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3C7" w:rsidRDefault="007F53C7" w14:paraId="48AADE37" w14:textId="4FB5B4B7">
      <w:pPr>
        <w:suppressAutoHyphens/>
        <w:rPr>
          <w:color w:val="000000"/>
        </w:rPr>
      </w:pPr>
      <w:r>
        <w:rPr>
          <w:color w:val="000000"/>
        </w:rPr>
        <w:t>ALJ/PD1/avs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F53C7">
        <w:rPr>
          <w:b/>
          <w:bCs/>
          <w:color w:val="000000"/>
        </w:rPr>
        <w:t>Date of Issuance  12/5/2023</w:t>
      </w:r>
    </w:p>
    <w:p w:rsidR="007F53C7" w:rsidRDefault="007F53C7" w14:paraId="6BC376A3" w14:textId="77777777">
      <w:pPr>
        <w:suppressAutoHyphens/>
        <w:rPr>
          <w:color w:val="000000"/>
        </w:rPr>
      </w:pPr>
    </w:p>
    <w:p w:rsidR="007F53C7" w:rsidRDefault="007F53C7" w14:paraId="77629D1B" w14:textId="77777777">
      <w:pPr>
        <w:suppressAutoHyphens/>
        <w:rPr>
          <w:color w:val="000000"/>
        </w:rPr>
      </w:pPr>
    </w:p>
    <w:p w:rsidRPr="00EE0A39" w:rsidR="00A92D0B" w:rsidRDefault="00A92D0B" w14:paraId="5BDA9FD4" w14:textId="08E2B2A4">
      <w:pPr>
        <w:suppressAutoHyphens/>
        <w:rPr>
          <w:b/>
          <w:bCs/>
          <w:color w:val="000000"/>
        </w:rPr>
      </w:pPr>
      <w:r w:rsidRPr="007F620E">
        <w:rPr>
          <w:color w:val="000000"/>
        </w:rPr>
        <w:t xml:space="preserve">Decision </w:t>
      </w:r>
      <w:r w:rsidRPr="008D0516" w:rsidR="008D0516">
        <w:rPr>
          <w:color w:val="000000"/>
        </w:rPr>
        <w:t>23-11-114</w:t>
      </w:r>
      <w:r w:rsidR="008D0516">
        <w:rPr>
          <w:color w:val="000000"/>
        </w:rPr>
        <w:t xml:space="preserve">  November 30, 2023</w:t>
      </w:r>
    </w:p>
    <w:p w:rsidRPr="00EE0A39" w:rsidR="00EE0A39" w:rsidP="00EE0A39" w:rsidRDefault="00EE0A39" w14:paraId="72559364" w14:textId="44DA8544">
      <w:pPr>
        <w:suppressAutoHyphens/>
        <w:ind w:right="180"/>
        <w:jc w:val="right"/>
        <w:rPr>
          <w:b/>
          <w:bCs/>
          <w:color w:val="000000"/>
        </w:rPr>
      </w:pPr>
    </w:p>
    <w:p w:rsidRPr="00EE0A39" w:rsidR="00EE0A39" w:rsidP="00EE0A39" w:rsidRDefault="00EE0A39" w14:paraId="1D938762" w14:textId="77777777">
      <w:pPr>
        <w:suppressAutoHyphens/>
        <w:ind w:right="180"/>
        <w:jc w:val="right"/>
        <w:rPr>
          <w:b/>
          <w:bCs/>
          <w:color w:val="000000"/>
        </w:rPr>
      </w:pPr>
    </w:p>
    <w:p w:rsidRPr="007F620E" w:rsidR="00A92D0B" w:rsidRDefault="00A92D0B" w14:paraId="44E03231" w14:textId="77777777">
      <w:pPr>
        <w:pStyle w:val="titlebar"/>
        <w:rPr>
          <w:rFonts w:ascii="Times New Roman" w:hAnsi="Times New Roman"/>
          <w:color w:val="000000"/>
          <w:sz w:val="24"/>
          <w:szCs w:val="24"/>
        </w:rPr>
      </w:pPr>
    </w:p>
    <w:p w:rsidR="00A92D0B" w:rsidRDefault="00A92D0B" w14:paraId="67F2520C" w14:textId="4CFFB68D">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57088A" w:rsidR="002E632E" w:rsidRDefault="002E632E" w14:paraId="090B267B" w14:textId="77777777">
      <w:pPr>
        <w:pStyle w:val="titlebar"/>
        <w:rPr>
          <w:rFonts w:ascii="Arial" w:hAnsi="Arial"/>
          <w:color w:val="000000"/>
          <w:sz w:val="24"/>
          <w:szCs w:val="24"/>
        </w:rPr>
      </w:pP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680"/>
        <w:gridCol w:w="5148"/>
      </w:tblGrid>
      <w:tr w:rsidRPr="007F620E" w:rsidR="002E632E" w:rsidTr="00CB5616" w14:paraId="3942D7B4" w14:textId="77777777">
        <w:tc>
          <w:tcPr>
            <w:tcW w:w="4680" w:type="dxa"/>
            <w:shd w:val="clear" w:color="auto" w:fill="auto"/>
          </w:tcPr>
          <w:p w:rsidR="002E632E" w:rsidP="002E632E" w:rsidRDefault="002E632E" w14:paraId="3D954FDA" w14:textId="3CDFB8B7">
            <w:pPr>
              <w:tabs>
                <w:tab w:val="left" w:pos="1440"/>
                <w:tab w:val="left" w:pos="3600"/>
              </w:tabs>
              <w:rPr>
                <w:color w:val="000000"/>
              </w:rPr>
            </w:pPr>
            <w:r w:rsidRPr="001F7434">
              <w:rPr>
                <w:color w:val="000000"/>
              </w:rPr>
              <w:t xml:space="preserve">Application of </w:t>
            </w:r>
            <w:r w:rsidRPr="00E96627" w:rsidR="0025599F">
              <w:rPr>
                <w:color w:val="000000"/>
              </w:rPr>
              <w:t xml:space="preserve">Pacific Gas and Electric Company </w:t>
            </w:r>
            <w:r w:rsidRPr="000C4FA9" w:rsidR="0025599F">
              <w:t>to Revise its Electric Marginal Costs, Revenue Allocation and Rate Design</w:t>
            </w:r>
            <w:r w:rsidR="003351C0">
              <w:t>.</w:t>
            </w:r>
            <w:r w:rsidR="0025599F">
              <w:rPr>
                <w:i/>
                <w:iCs/>
              </w:rPr>
              <w:t xml:space="preserve"> (U39M</w:t>
            </w:r>
            <w:r w:rsidR="003351C0">
              <w:rPr>
                <w:i/>
                <w:iCs/>
              </w:rPr>
              <w:t>.</w:t>
            </w:r>
            <w:r w:rsidR="0025599F">
              <w:rPr>
                <w:color w:val="000000"/>
              </w:rPr>
              <w:t>)</w:t>
            </w:r>
          </w:p>
          <w:p w:rsidRPr="007F620E" w:rsidR="00CB5616" w:rsidP="002E632E" w:rsidRDefault="00CB5616" w14:paraId="47850BD9" w14:textId="4F9764C4">
            <w:pPr>
              <w:tabs>
                <w:tab w:val="left" w:pos="1440"/>
                <w:tab w:val="left" w:pos="3600"/>
              </w:tabs>
              <w:rPr>
                <w:color w:val="000000"/>
              </w:rPr>
            </w:pPr>
          </w:p>
        </w:tc>
        <w:tc>
          <w:tcPr>
            <w:tcW w:w="5148" w:type="dxa"/>
            <w:tcBorders>
              <w:top w:val="nil"/>
              <w:bottom w:val="nil"/>
            </w:tcBorders>
            <w:shd w:val="clear" w:color="auto" w:fill="auto"/>
          </w:tcPr>
          <w:p w:rsidRPr="007F620E" w:rsidR="002E632E" w:rsidP="00CB5616" w:rsidRDefault="002E632E" w14:paraId="2646BF08" w14:textId="3CD729BD">
            <w:pPr>
              <w:tabs>
                <w:tab w:val="left" w:pos="1440"/>
                <w:tab w:val="left" w:pos="3600"/>
              </w:tabs>
              <w:jc w:val="center"/>
              <w:rPr>
                <w:color w:val="000000"/>
              </w:rPr>
            </w:pPr>
            <w:r w:rsidRPr="00B4427C">
              <w:rPr>
                <w:color w:val="000000"/>
              </w:rPr>
              <w:t>Application 19-</w:t>
            </w:r>
            <w:r w:rsidRPr="00B4427C" w:rsidR="0025599F">
              <w:rPr>
                <w:color w:val="000000"/>
              </w:rPr>
              <w:t>11-0</w:t>
            </w:r>
            <w:r w:rsidRPr="00B4427C" w:rsidR="00221E12">
              <w:rPr>
                <w:color w:val="000000"/>
              </w:rPr>
              <w:t>1</w:t>
            </w:r>
            <w:r w:rsidRPr="00B4427C" w:rsidR="0025599F">
              <w:rPr>
                <w:color w:val="000000"/>
              </w:rPr>
              <w:t>9</w:t>
            </w:r>
          </w:p>
          <w:p w:rsidRPr="007F620E" w:rsidR="002E632E" w:rsidP="002E632E" w:rsidRDefault="002E632E" w14:paraId="031B6509" w14:textId="49B5D43C">
            <w:pPr>
              <w:tabs>
                <w:tab w:val="left" w:pos="1440"/>
                <w:tab w:val="left" w:pos="3600"/>
              </w:tabs>
              <w:rPr>
                <w:color w:val="000000"/>
              </w:rPr>
            </w:pPr>
          </w:p>
          <w:p w:rsidRPr="007F620E" w:rsidR="002E632E" w:rsidP="002E632E" w:rsidRDefault="002E632E" w14:paraId="7EC7277D" w14:textId="77777777">
            <w:pPr>
              <w:jc w:val="center"/>
              <w:rPr>
                <w:color w:val="000000"/>
              </w:rPr>
            </w:pPr>
          </w:p>
        </w:tc>
      </w:tr>
    </w:tbl>
    <w:p w:rsidR="00FC72B7" w:rsidRDefault="00FC72B7" w14:paraId="5459E071" w14:textId="77777777">
      <w:pPr>
        <w:jc w:val="center"/>
        <w:rPr>
          <w:b/>
          <w:color w:val="000000"/>
        </w:rPr>
      </w:pPr>
    </w:p>
    <w:p w:rsidRPr="007F620E" w:rsidR="005D20CE" w:rsidRDefault="005D20CE" w14:paraId="6C970172" w14:textId="77777777">
      <w:pPr>
        <w:jc w:val="center"/>
        <w:rPr>
          <w:b/>
          <w:color w:val="000000"/>
        </w:rPr>
      </w:pPr>
    </w:p>
    <w:p w:rsidRPr="00691528" w:rsidR="00A92D0B" w:rsidRDefault="006E05EE" w14:paraId="17BB0C52" w14:textId="5F9BD8C9">
      <w:pPr>
        <w:jc w:val="center"/>
        <w:rPr>
          <w:b/>
          <w:shd w:val="clear" w:color="auto" w:fill="CCFFCC"/>
        </w:rPr>
      </w:pPr>
      <w:r>
        <w:rPr>
          <w:b/>
        </w:rPr>
        <w:t xml:space="preserve">DECISION GRANTING </w:t>
      </w:r>
      <w:r w:rsidRPr="00691528" w:rsidR="00A92D0B">
        <w:rPr>
          <w:b/>
        </w:rPr>
        <w:t xml:space="preserve">COMPENSATION </w:t>
      </w:r>
      <w:r>
        <w:rPr>
          <w:b/>
        </w:rPr>
        <w:t>TO</w:t>
      </w:r>
      <w:r w:rsidRPr="00691528" w:rsidR="00A92D0B">
        <w:rPr>
          <w:b/>
        </w:rPr>
        <w:t xml:space="preserve"> </w:t>
      </w:r>
      <w:r w:rsidRPr="006E05EE" w:rsidR="00775A6C">
        <w:rPr>
          <w:b/>
        </w:rPr>
        <w:t xml:space="preserve">SMALL BUSINESS UTILITY ADVOCATES </w:t>
      </w:r>
      <w:r w:rsidRPr="006E05EE">
        <w:rPr>
          <w:b/>
        </w:rPr>
        <w:t xml:space="preserve">FOR SUBSTANTIAL CONTRIBUTION </w:t>
      </w:r>
      <w:r w:rsidR="00CB5616">
        <w:rPr>
          <w:b/>
        </w:rPr>
        <w:br/>
      </w:r>
      <w:r w:rsidRPr="006E05EE">
        <w:rPr>
          <w:b/>
        </w:rPr>
        <w:t>TO</w:t>
      </w:r>
      <w:r w:rsidRPr="00691528" w:rsidR="00A92D0B">
        <w:rPr>
          <w:b/>
        </w:rPr>
        <w:t xml:space="preserve"> DECISION</w:t>
      </w:r>
      <w:r w:rsidR="007C1845">
        <w:rPr>
          <w:b/>
        </w:rPr>
        <w:t xml:space="preserve"> </w:t>
      </w:r>
      <w:r w:rsidR="00076BD4">
        <w:rPr>
          <w:b/>
        </w:rPr>
        <w:t>21-11-016 and 22-08-002</w:t>
      </w:r>
    </w:p>
    <w:p w:rsidR="00374FD1" w:rsidRDefault="00374FD1" w14:paraId="7DD45571" w14:textId="77777777">
      <w:pPr>
        <w:jc w:val="center"/>
        <w:rPr>
          <w:b/>
          <w:shd w:val="clear" w:color="auto" w:fill="CCFFCC"/>
        </w:rPr>
      </w:pPr>
    </w:p>
    <w:p w:rsidRPr="00691528" w:rsidR="005D20CE" w:rsidRDefault="005D20CE" w14:paraId="670A4556" w14:textId="77777777">
      <w:pPr>
        <w:jc w:val="center"/>
        <w:rPr>
          <w:b/>
          <w:shd w:val="clear" w:color="auto" w:fill="CCFFCC"/>
        </w:rPr>
      </w:pPr>
    </w:p>
    <w:p w:rsidRPr="007F620E" w:rsidR="00A92D0B" w:rsidRDefault="00A92D0B" w14:paraId="4BEAFF75" w14:textId="77777777">
      <w:pPr>
        <w:suppressAutoHyphens/>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405"/>
        <w:gridCol w:w="4955"/>
      </w:tblGrid>
      <w:tr w:rsidRPr="007F620E" w:rsidR="00A92D0B" w:rsidTr="007C1845" w14:paraId="0FE98F62" w14:textId="77777777">
        <w:tc>
          <w:tcPr>
            <w:tcW w:w="4405" w:type="dxa"/>
            <w:shd w:val="clear" w:color="auto" w:fill="auto"/>
          </w:tcPr>
          <w:p w:rsidRPr="00691528" w:rsidR="00A92D0B" w:rsidP="00C47A2B" w:rsidRDefault="005A63D4" w14:paraId="11570D4A" w14:textId="35215547">
            <w:pPr>
              <w:tabs>
                <w:tab w:val="left" w:pos="1620"/>
                <w:tab w:val="right" w:pos="4500"/>
              </w:tabs>
              <w:rPr>
                <w:color w:val="000000"/>
              </w:rPr>
            </w:pPr>
            <w:r w:rsidRPr="007F620E">
              <w:rPr>
                <w:b/>
                <w:color w:val="000000"/>
              </w:rPr>
              <w:t>Intervenor</w:t>
            </w:r>
            <w:r w:rsidRPr="007F620E" w:rsidR="00F63C29">
              <w:rPr>
                <w:b/>
                <w:color w:val="000000"/>
              </w:rPr>
              <w:t>:</w:t>
            </w:r>
            <w:r w:rsidR="00691528">
              <w:rPr>
                <w:b/>
                <w:color w:val="000000"/>
              </w:rPr>
              <w:t xml:space="preserve"> </w:t>
            </w:r>
            <w:r w:rsidRPr="006764C7" w:rsidR="006764C7">
              <w:rPr>
                <w:bCs/>
                <w:color w:val="000000"/>
              </w:rPr>
              <w:t>Small Business Utility Advocates (</w:t>
            </w:r>
            <w:r w:rsidRPr="006764C7" w:rsidR="00775A6C">
              <w:rPr>
                <w:bCs/>
                <w:color w:val="000000"/>
              </w:rPr>
              <w:t>SBUA</w:t>
            </w:r>
            <w:r w:rsidR="006764C7">
              <w:rPr>
                <w:bCs/>
                <w:color w:val="000000"/>
              </w:rPr>
              <w:t>)</w:t>
            </w:r>
          </w:p>
        </w:tc>
        <w:tc>
          <w:tcPr>
            <w:tcW w:w="4955" w:type="dxa"/>
            <w:shd w:val="clear" w:color="auto" w:fill="auto"/>
          </w:tcPr>
          <w:p w:rsidRPr="007F620E" w:rsidR="00A92D0B" w:rsidP="007C1845" w:rsidRDefault="00A92D0B" w14:paraId="53A584EE" w14:textId="17F78C50">
            <w:pPr>
              <w:tabs>
                <w:tab w:val="left" w:pos="1872"/>
                <w:tab w:val="right" w:pos="3672"/>
              </w:tabs>
              <w:rPr>
                <w:b/>
                <w:color w:val="000000"/>
              </w:rPr>
            </w:pPr>
            <w:r w:rsidRPr="007F620E">
              <w:rPr>
                <w:b/>
                <w:color w:val="000000"/>
              </w:rPr>
              <w:t>For contribution to D</w:t>
            </w:r>
            <w:r w:rsidRPr="007F620E" w:rsidR="00DE3A5D">
              <w:rPr>
                <w:b/>
                <w:color w:val="000000"/>
              </w:rPr>
              <w:t xml:space="preserve">ecision (D.) </w:t>
            </w:r>
            <w:r w:rsidRPr="006E05EE" w:rsidR="002E632E">
              <w:rPr>
                <w:bCs/>
                <w:color w:val="000000"/>
              </w:rPr>
              <w:t>21-</w:t>
            </w:r>
            <w:r w:rsidRPr="006E05EE" w:rsidR="00913F91">
              <w:rPr>
                <w:bCs/>
                <w:color w:val="000000"/>
              </w:rPr>
              <w:t>11-016</w:t>
            </w:r>
            <w:r w:rsidRPr="006E05EE" w:rsidR="002E632E">
              <w:rPr>
                <w:bCs/>
                <w:color w:val="000000"/>
              </w:rPr>
              <w:t xml:space="preserve"> </w:t>
            </w:r>
            <w:r w:rsidR="007C1845">
              <w:rPr>
                <w:bCs/>
                <w:color w:val="000000"/>
              </w:rPr>
              <w:t xml:space="preserve">and </w:t>
            </w:r>
            <w:r w:rsidRPr="006E05EE" w:rsidR="002E632E">
              <w:rPr>
                <w:bCs/>
                <w:color w:val="000000"/>
              </w:rPr>
              <w:t>D.22-</w:t>
            </w:r>
            <w:r w:rsidRPr="006E05EE" w:rsidR="00913F91">
              <w:rPr>
                <w:bCs/>
                <w:color w:val="000000"/>
              </w:rPr>
              <w:t>08-002</w:t>
            </w:r>
          </w:p>
        </w:tc>
      </w:tr>
      <w:tr w:rsidRPr="007F620E" w:rsidR="00A92D0B" w:rsidTr="007C1845" w14:paraId="47003B8E" w14:textId="77777777">
        <w:tc>
          <w:tcPr>
            <w:tcW w:w="4405" w:type="dxa"/>
            <w:shd w:val="clear" w:color="auto" w:fill="auto"/>
          </w:tcPr>
          <w:p w:rsidRPr="007F620E" w:rsidR="00A92D0B" w:rsidP="00C47A2B" w:rsidRDefault="00A92D0B" w14:paraId="0E2E4BD1" w14:textId="72D2EA77">
            <w:pPr>
              <w:tabs>
                <w:tab w:val="left" w:pos="1620"/>
                <w:tab w:val="right" w:pos="4500"/>
              </w:tabs>
              <w:rPr>
                <w:b/>
                <w:color w:val="000000"/>
                <w:u w:val="single"/>
              </w:rPr>
            </w:pPr>
            <w:r w:rsidRPr="007F620E">
              <w:rPr>
                <w:b/>
                <w:color w:val="000000"/>
              </w:rPr>
              <w:t>Claimed:</w:t>
            </w:r>
            <w:r w:rsidRPr="007F620E" w:rsidR="00F63C29">
              <w:rPr>
                <w:b/>
                <w:color w:val="000000"/>
              </w:rPr>
              <w:t xml:space="preserve"> </w:t>
            </w:r>
            <w:r w:rsidR="002D21CA">
              <w:rPr>
                <w:b/>
                <w:color w:val="000000"/>
              </w:rPr>
              <w:t xml:space="preserve"> </w:t>
            </w:r>
            <w:r w:rsidRPr="00A731E8" w:rsidR="00A731E8">
              <w:rPr>
                <w:bCs/>
                <w:iCs/>
                <w:color w:val="000000"/>
              </w:rPr>
              <w:t>$</w:t>
            </w:r>
            <w:r w:rsidR="00E32DDC">
              <w:rPr>
                <w:bCs/>
                <w:iCs/>
                <w:color w:val="000000"/>
              </w:rPr>
              <w:t>382,062.25</w:t>
            </w:r>
          </w:p>
        </w:tc>
        <w:tc>
          <w:tcPr>
            <w:tcW w:w="4955" w:type="dxa"/>
            <w:tcBorders>
              <w:bottom w:val="single" w:color="auto" w:sz="4" w:space="0"/>
            </w:tcBorders>
            <w:shd w:val="clear" w:color="auto" w:fill="auto"/>
          </w:tcPr>
          <w:p w:rsidRPr="007F620E" w:rsidR="00A92D0B" w:rsidP="00C47A2B" w:rsidRDefault="00A92D0B" w14:paraId="211F40A8" w14:textId="0E5E7C77">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Pr="007C1845" w:rsidR="00FC72B7">
              <w:rPr>
                <w:bCs/>
                <w:color w:val="000000"/>
              </w:rPr>
              <w:t xml:space="preserve"> </w:t>
            </w:r>
            <w:r w:rsidRPr="00D87443" w:rsidR="00D87443">
              <w:rPr>
                <w:bCs/>
                <w:color w:val="000000"/>
              </w:rPr>
              <w:t>$329,942.74</w:t>
            </w:r>
          </w:p>
        </w:tc>
      </w:tr>
      <w:tr w:rsidRPr="007F620E" w:rsidR="002E632E" w:rsidTr="007C1845" w14:paraId="5C56877D" w14:textId="77777777">
        <w:tc>
          <w:tcPr>
            <w:tcW w:w="4405" w:type="dxa"/>
            <w:shd w:val="clear" w:color="auto" w:fill="auto"/>
          </w:tcPr>
          <w:p w:rsidRPr="00775A6C" w:rsidR="002E632E" w:rsidP="002E632E" w:rsidRDefault="002E632E" w14:paraId="6EF99E36" w14:textId="26A86254">
            <w:pPr>
              <w:tabs>
                <w:tab w:val="left" w:pos="3060"/>
                <w:tab w:val="right" w:pos="4500"/>
              </w:tabs>
              <w:rPr>
                <w:b/>
                <w:color w:val="000000"/>
              </w:rPr>
            </w:pPr>
            <w:r w:rsidRPr="007F620E">
              <w:rPr>
                <w:b/>
                <w:color w:val="000000"/>
              </w:rPr>
              <w:t xml:space="preserve">Assigned Commissioner: </w:t>
            </w:r>
            <w:r w:rsidRPr="00D809C9">
              <w:rPr>
                <w:bCs/>
                <w:color w:val="000000"/>
              </w:rPr>
              <w:t>Genevieve Shiroma</w:t>
            </w:r>
          </w:p>
        </w:tc>
        <w:tc>
          <w:tcPr>
            <w:tcW w:w="4955" w:type="dxa"/>
            <w:shd w:val="clear" w:color="auto" w:fill="auto"/>
          </w:tcPr>
          <w:p w:rsidRPr="00691528" w:rsidR="002E632E" w:rsidP="002E632E" w:rsidRDefault="002E632E" w14:paraId="79375F78" w14:textId="1D45AAD9">
            <w:pPr>
              <w:tabs>
                <w:tab w:val="left" w:pos="1872"/>
                <w:tab w:val="right" w:pos="3672"/>
              </w:tabs>
              <w:rPr>
                <w:color w:val="000000"/>
                <w:u w:val="single"/>
              </w:rPr>
            </w:pPr>
            <w:r w:rsidRPr="007F620E">
              <w:rPr>
                <w:b/>
                <w:color w:val="000000"/>
              </w:rPr>
              <w:t xml:space="preserve">Assigned ALJ: </w:t>
            </w:r>
            <w:r w:rsidR="00913F91">
              <w:rPr>
                <w:bCs/>
                <w:color w:val="000000"/>
              </w:rPr>
              <w:t>Patrick Doherty</w:t>
            </w:r>
          </w:p>
        </w:tc>
      </w:tr>
    </w:tbl>
    <w:p w:rsidR="006E7019" w:rsidP="006E7019" w:rsidRDefault="006E7019" w14:paraId="28BA3B75" w14:textId="77777777">
      <w:pPr>
        <w:spacing w:before="480"/>
        <w:jc w:val="center"/>
        <w:rPr>
          <w:b/>
          <w:color w:val="000000"/>
        </w:rPr>
        <w:sectPr w:rsidR="006E7019" w:rsidSect="006B7228">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00691528" w:rsidP="006E7019" w:rsidRDefault="00A92D0B" w14:paraId="3CEED871" w14:textId="62381001">
      <w:pPr>
        <w:spacing w:before="480"/>
        <w:jc w:val="center"/>
        <w:rPr>
          <w:b/>
          <w:color w:val="000000"/>
        </w:rPr>
      </w:pPr>
      <w:r w:rsidRPr="007F620E">
        <w:rPr>
          <w:b/>
          <w:color w:val="000000"/>
        </w:rPr>
        <w:lastRenderedPageBreak/>
        <w:t>PART I:</w:t>
      </w:r>
      <w:r w:rsidR="008E182E">
        <w:rPr>
          <w:b/>
          <w:color w:val="000000"/>
        </w:rPr>
        <w:t xml:space="preserve">  </w:t>
      </w:r>
      <w:r w:rsidRPr="007F620E">
        <w:rPr>
          <w:b/>
          <w:color w:val="000000"/>
        </w:rPr>
        <w:t>PROCEDURAL ISSUES</w:t>
      </w:r>
    </w:p>
    <w:p w:rsidRPr="003B6A1B" w:rsidR="00A92D0B" w:rsidP="006E7019" w:rsidRDefault="00A92D0B" w14:paraId="31F24E14" w14:textId="04294D1A">
      <w:pPr>
        <w:jc w:val="center"/>
        <w:rPr>
          <w:i/>
          <w:color w:val="000000"/>
          <w:u w:val="single"/>
        </w:rPr>
      </w:pPr>
    </w:p>
    <w:p w:rsidRPr="007F620E" w:rsidR="00A92D0B" w:rsidP="006E7019"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6E05EE" w14:paraId="3C5C25ED" w14:textId="77777777">
        <w:tc>
          <w:tcPr>
            <w:tcW w:w="3708" w:type="dxa"/>
            <w:shd w:val="clear" w:color="auto" w:fill="auto"/>
          </w:tcPr>
          <w:p w:rsidRPr="007F620E" w:rsidR="00A92D0B" w:rsidP="006E7019"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00D54C2B" w:rsidP="006E7019" w:rsidRDefault="002E632E" w14:paraId="246C6457" w14:textId="169C49AC">
            <w:pPr>
              <w:rPr>
                <w:color w:val="000000"/>
              </w:rPr>
            </w:pPr>
            <w:r>
              <w:rPr>
                <w:color w:val="000000"/>
              </w:rPr>
              <w:t>D.21-</w:t>
            </w:r>
            <w:r w:rsidR="00D54C2B">
              <w:rPr>
                <w:color w:val="000000"/>
              </w:rPr>
              <w:t xml:space="preserve">11-016 </w:t>
            </w:r>
            <w:r w:rsidRPr="00D54C2B" w:rsidR="00D54C2B">
              <w:rPr>
                <w:color w:val="000000"/>
              </w:rPr>
              <w:t>adopt</w:t>
            </w:r>
            <w:r w:rsidR="00D54C2B">
              <w:rPr>
                <w:color w:val="000000"/>
              </w:rPr>
              <w:t>ed</w:t>
            </w:r>
            <w:r w:rsidRPr="00D54C2B" w:rsidR="00D54C2B">
              <w:rPr>
                <w:color w:val="000000"/>
              </w:rPr>
              <w:t xml:space="preserve"> marginal costs for Pacific Gas and Electric Company (PG&amp;E) to be used in the allocation of revenue among PG&amp;E’s customer classes and the design of retail rates for PG&amp;E’s customers. </w:t>
            </w:r>
            <w:r w:rsidR="00D54C2B">
              <w:rPr>
                <w:color w:val="000000"/>
              </w:rPr>
              <w:t>D.21-11-016</w:t>
            </w:r>
            <w:r w:rsidRPr="00D54C2B" w:rsidR="00D54C2B">
              <w:rPr>
                <w:color w:val="000000"/>
              </w:rPr>
              <w:t xml:space="preserve"> adopts</w:t>
            </w:r>
            <w:r w:rsidR="0025599F">
              <w:rPr>
                <w:color w:val="000000"/>
              </w:rPr>
              <w:t>,</w:t>
            </w:r>
            <w:r w:rsidRPr="00D54C2B" w:rsidR="00D54C2B">
              <w:rPr>
                <w:color w:val="000000"/>
              </w:rPr>
              <w:t xml:space="preserve"> </w:t>
            </w:r>
            <w:r w:rsidRPr="00D54C2B" w:rsidR="0025599F">
              <w:rPr>
                <w:color w:val="000000"/>
              </w:rPr>
              <w:t>without modification, several uncontested settlements</w:t>
            </w:r>
            <w:r w:rsidR="0025599F">
              <w:rPr>
                <w:color w:val="000000"/>
              </w:rPr>
              <w:t xml:space="preserve">, to which Small Business Utility Advocates (SBUA) is a party, including on </w:t>
            </w:r>
            <w:r w:rsidRPr="00D54C2B" w:rsidR="0025599F">
              <w:rPr>
                <w:color w:val="000000"/>
              </w:rPr>
              <w:t>rate design issues and revenue allocation</w:t>
            </w:r>
            <w:r w:rsidR="0025599F">
              <w:rPr>
                <w:color w:val="000000"/>
              </w:rPr>
              <w:t>.</w:t>
            </w:r>
            <w:r w:rsidRPr="00D54C2B" w:rsidR="0025599F">
              <w:rPr>
                <w:color w:val="000000"/>
              </w:rPr>
              <w:t xml:space="preserve"> </w:t>
            </w:r>
            <w:r w:rsidR="0025599F">
              <w:rPr>
                <w:color w:val="000000"/>
              </w:rPr>
              <w:t xml:space="preserve">This decision also </w:t>
            </w:r>
            <w:r w:rsidRPr="00D54C2B" w:rsidR="00D54C2B">
              <w:rPr>
                <w:color w:val="000000"/>
              </w:rPr>
              <w:t xml:space="preserve">adopts </w:t>
            </w:r>
            <w:r w:rsidR="0025599F">
              <w:rPr>
                <w:color w:val="000000"/>
              </w:rPr>
              <w:t xml:space="preserve">certain </w:t>
            </w:r>
            <w:r w:rsidRPr="00D54C2B" w:rsidR="00D54C2B">
              <w:rPr>
                <w:color w:val="000000"/>
              </w:rPr>
              <w:t xml:space="preserve">marginal connection equipment costs proposed by the Agricultural Energy Consumers Association and </w:t>
            </w:r>
            <w:r w:rsidR="0025599F">
              <w:rPr>
                <w:color w:val="000000"/>
              </w:rPr>
              <w:t xml:space="preserve">certain </w:t>
            </w:r>
            <w:r w:rsidRPr="00D54C2B" w:rsidR="00D54C2B">
              <w:rPr>
                <w:color w:val="000000"/>
              </w:rPr>
              <w:t>marginal transmission capacity costs proposed by the Solar Energy Industries Association.</w:t>
            </w:r>
            <w:r w:rsidR="002E2469">
              <w:rPr>
                <w:color w:val="000000"/>
              </w:rPr>
              <w:t xml:space="preserve"> </w:t>
            </w:r>
            <w:r w:rsidRPr="00D54C2B" w:rsidR="00D54C2B">
              <w:rPr>
                <w:color w:val="000000"/>
              </w:rPr>
              <w:t xml:space="preserve"> </w:t>
            </w:r>
          </w:p>
          <w:p w:rsidR="002E2469" w:rsidP="006E7019" w:rsidRDefault="002E2469" w14:paraId="00470446" w14:textId="3F7BAF52">
            <w:pPr>
              <w:rPr>
                <w:color w:val="000000"/>
              </w:rPr>
            </w:pPr>
          </w:p>
          <w:p w:rsidRPr="007F620E" w:rsidR="00C02649" w:rsidP="006E7019" w:rsidRDefault="002E2469" w14:paraId="67B8ECAA" w14:textId="5D35210B">
            <w:pPr>
              <w:spacing w:after="120"/>
              <w:rPr>
                <w:color w:val="000000"/>
              </w:rPr>
            </w:pPr>
            <w:r>
              <w:rPr>
                <w:color w:val="000000"/>
              </w:rPr>
              <w:t xml:space="preserve">D.22-08-002 </w:t>
            </w:r>
            <w:r w:rsidRPr="002E2469">
              <w:rPr>
                <w:color w:val="000000"/>
              </w:rPr>
              <w:t>consider</w:t>
            </w:r>
            <w:r>
              <w:rPr>
                <w:color w:val="000000"/>
              </w:rPr>
              <w:t xml:space="preserve">ed </w:t>
            </w:r>
            <w:r w:rsidRPr="002E2469">
              <w:rPr>
                <w:color w:val="000000"/>
              </w:rPr>
              <w:t xml:space="preserve">a study on the marginal generation capacity costs that should be used by PG&amp;E when calculating its rates, including its recently approved real-time pricing rate. </w:t>
            </w:r>
            <w:r>
              <w:rPr>
                <w:color w:val="000000"/>
              </w:rPr>
              <w:t>D.22-08-002</w:t>
            </w:r>
            <w:r w:rsidRPr="002E2469">
              <w:rPr>
                <w:color w:val="000000"/>
              </w:rPr>
              <w:t xml:space="preserve"> </w:t>
            </w:r>
            <w:r w:rsidR="0025599F">
              <w:rPr>
                <w:color w:val="000000"/>
              </w:rPr>
              <w:t>adopts, without modification, a</w:t>
            </w:r>
            <w:r w:rsidRPr="002E2469" w:rsidR="0025599F">
              <w:rPr>
                <w:color w:val="000000"/>
              </w:rPr>
              <w:t xml:space="preserve"> settlement</w:t>
            </w:r>
            <w:r w:rsidR="0025599F">
              <w:rPr>
                <w:color w:val="000000"/>
              </w:rPr>
              <w:t>, to which SBUA is a party,</w:t>
            </w:r>
            <w:r w:rsidRPr="002E2469" w:rsidR="0025599F">
              <w:rPr>
                <w:color w:val="000000"/>
              </w:rPr>
              <w:t xml:space="preserve"> on real-time pricing pilots for certain customers</w:t>
            </w:r>
            <w:r w:rsidR="0025599F">
              <w:rPr>
                <w:color w:val="000000"/>
              </w:rPr>
              <w:t xml:space="preserve">, including small commercial customers. This decision </w:t>
            </w:r>
            <w:r w:rsidRPr="002E2469">
              <w:rPr>
                <w:color w:val="000000"/>
              </w:rPr>
              <w:t>approve</w:t>
            </w:r>
            <w:r w:rsidR="0025599F">
              <w:rPr>
                <w:color w:val="000000"/>
              </w:rPr>
              <w:t>s</w:t>
            </w:r>
            <w:r w:rsidRPr="002E2469">
              <w:rPr>
                <w:color w:val="000000"/>
              </w:rPr>
              <w:t xml:space="preserve"> the study’s methodology for calculating marginal generation capacity costs and orders PG&amp;E to utilize the methodology as soon as is practicable.</w:t>
            </w:r>
          </w:p>
        </w:tc>
      </w:tr>
    </w:tbl>
    <w:p w:rsidRPr="007F620E" w:rsidR="00A92D0B" w:rsidP="00880855" w:rsidRDefault="005A63D4" w14:paraId="2FBF046C" w14:textId="3FDCE63F">
      <w:pPr>
        <w:keepNext/>
        <w:numPr>
          <w:ilvl w:val="0"/>
          <w:numId w:val="5"/>
        </w:numPr>
        <w:spacing w:before="240" w:after="240"/>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5D20CE">
        <w:rPr>
          <w:b/>
          <w:color w:val="000000"/>
        </w:rPr>
        <w:t>:</w:t>
      </w:r>
      <w:r w:rsidR="003B6A1B">
        <w:rPr>
          <w:rStyle w:val="FootnoteReference"/>
          <w:b/>
          <w:color w:val="000000"/>
        </w:rPr>
        <w:footnoteReference w:id="1"/>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2E632E" w:rsidTr="006E05EE" w14:paraId="160E284A" w14:textId="77777777">
        <w:tc>
          <w:tcPr>
            <w:tcW w:w="4817" w:type="dxa"/>
            <w:tcBorders>
              <w:top w:val="single" w:color="auto" w:sz="4" w:space="0"/>
            </w:tcBorders>
            <w:shd w:val="clear" w:color="auto" w:fill="auto"/>
          </w:tcPr>
          <w:p w:rsidRPr="007F620E" w:rsidR="002E632E" w:rsidP="002E632E" w:rsidRDefault="002E632E" w14:paraId="44D1876C" w14:textId="478A95F3">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2267" w:type="dxa"/>
            <w:tcBorders>
              <w:top w:val="single" w:color="auto" w:sz="4" w:space="0"/>
            </w:tcBorders>
            <w:shd w:val="clear" w:color="auto" w:fill="auto"/>
          </w:tcPr>
          <w:p w:rsidRPr="007F620E" w:rsidR="002E632E" w:rsidP="002E632E" w:rsidRDefault="002E2469" w14:paraId="35450816" w14:textId="1D4483FC">
            <w:pPr>
              <w:keepNext/>
              <w:keepLines/>
              <w:tabs>
                <w:tab w:val="left" w:pos="360"/>
              </w:tabs>
              <w:ind w:left="360" w:hanging="360"/>
              <w:rPr>
                <w:color w:val="000000"/>
              </w:rPr>
            </w:pPr>
            <w:r>
              <w:rPr>
                <w:color w:val="000000"/>
              </w:rPr>
              <w:t>January 23, 2020</w:t>
            </w:r>
          </w:p>
        </w:tc>
        <w:tc>
          <w:tcPr>
            <w:tcW w:w="2276" w:type="dxa"/>
            <w:tcBorders>
              <w:top w:val="single" w:color="auto" w:sz="4" w:space="0"/>
            </w:tcBorders>
            <w:shd w:val="clear" w:color="auto" w:fill="auto"/>
          </w:tcPr>
          <w:p w:rsidRPr="007F620E" w:rsidR="002E632E" w:rsidP="002E632E" w:rsidRDefault="006E05EE" w14:paraId="34540344" w14:textId="640A5FF5">
            <w:pPr>
              <w:keepNext/>
              <w:tabs>
                <w:tab w:val="left" w:pos="360"/>
              </w:tabs>
              <w:jc w:val="both"/>
              <w:rPr>
                <w:color w:val="000000"/>
              </w:rPr>
            </w:pPr>
            <w:r>
              <w:rPr>
                <w:color w:val="000000"/>
              </w:rPr>
              <w:t>Verified</w:t>
            </w:r>
          </w:p>
        </w:tc>
      </w:tr>
      <w:tr w:rsidRPr="007F620E" w:rsidR="002E632E" w:rsidTr="006E05EE" w14:paraId="24C85564" w14:textId="77777777">
        <w:tc>
          <w:tcPr>
            <w:tcW w:w="4817" w:type="dxa"/>
            <w:shd w:val="clear" w:color="auto" w:fill="auto"/>
          </w:tcPr>
          <w:p w:rsidRPr="007F620E" w:rsidR="002E632E" w:rsidP="002E632E" w:rsidRDefault="002E632E" w14:paraId="382C5788" w14:textId="49F0E39E">
            <w:pPr>
              <w:tabs>
                <w:tab w:val="left" w:pos="360"/>
              </w:tabs>
              <w:ind w:left="360" w:hanging="360"/>
              <w:rPr>
                <w:color w:val="000000"/>
              </w:rPr>
            </w:pPr>
            <w:r w:rsidRPr="007F620E">
              <w:rPr>
                <w:color w:val="000000"/>
              </w:rPr>
              <w:t>2.</w:t>
            </w:r>
            <w:r>
              <w:rPr>
                <w:color w:val="000000"/>
              </w:rPr>
              <w:tab/>
            </w:r>
            <w:r w:rsidRPr="007F620E">
              <w:rPr>
                <w:color w:val="000000"/>
              </w:rPr>
              <w:t>Other specified date for NOI:</w:t>
            </w:r>
          </w:p>
        </w:tc>
        <w:tc>
          <w:tcPr>
            <w:tcW w:w="2267" w:type="dxa"/>
            <w:shd w:val="clear" w:color="auto" w:fill="auto"/>
          </w:tcPr>
          <w:p w:rsidRPr="007F620E" w:rsidR="002E632E" w:rsidP="002E632E" w:rsidRDefault="002E632E" w14:paraId="1826BC2C" w14:textId="77777777">
            <w:pPr>
              <w:keepNext/>
              <w:keepLines/>
              <w:tabs>
                <w:tab w:val="left" w:pos="360"/>
              </w:tabs>
              <w:ind w:left="360" w:hanging="360"/>
              <w:rPr>
                <w:color w:val="000000"/>
              </w:rPr>
            </w:pPr>
          </w:p>
        </w:tc>
        <w:tc>
          <w:tcPr>
            <w:tcW w:w="2276" w:type="dxa"/>
            <w:shd w:val="clear" w:color="auto" w:fill="auto"/>
          </w:tcPr>
          <w:p w:rsidRPr="007F620E" w:rsidR="002E632E" w:rsidP="002E632E" w:rsidRDefault="002E632E" w14:paraId="210DAD91" w14:textId="77777777">
            <w:pPr>
              <w:tabs>
                <w:tab w:val="left" w:pos="360"/>
              </w:tabs>
              <w:jc w:val="both"/>
              <w:rPr>
                <w:color w:val="000000"/>
              </w:rPr>
            </w:pPr>
          </w:p>
        </w:tc>
      </w:tr>
      <w:tr w:rsidRPr="007F620E" w:rsidR="002E632E" w:rsidTr="006E05EE" w14:paraId="4836EEA6" w14:textId="77777777">
        <w:tc>
          <w:tcPr>
            <w:tcW w:w="4817" w:type="dxa"/>
            <w:shd w:val="clear" w:color="auto" w:fill="auto"/>
          </w:tcPr>
          <w:p w:rsidRPr="007F620E" w:rsidR="002E632E" w:rsidP="002E632E" w:rsidRDefault="002E632E" w14:paraId="34809C45" w14:textId="2501A8A3">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2267" w:type="dxa"/>
            <w:tcBorders>
              <w:bottom w:val="single" w:color="auto" w:sz="4" w:space="0"/>
            </w:tcBorders>
            <w:shd w:val="clear" w:color="auto" w:fill="auto"/>
          </w:tcPr>
          <w:p w:rsidRPr="007F620E" w:rsidR="002E632E" w:rsidP="002E632E" w:rsidRDefault="002E2469" w14:paraId="44F7CCB9" w14:textId="126F344A">
            <w:pPr>
              <w:keepNext/>
              <w:keepLines/>
              <w:tabs>
                <w:tab w:val="left" w:pos="360"/>
              </w:tabs>
              <w:ind w:left="360" w:hanging="360"/>
              <w:rPr>
                <w:color w:val="000000"/>
              </w:rPr>
            </w:pPr>
            <w:r>
              <w:rPr>
                <w:color w:val="000000"/>
              </w:rPr>
              <w:t>February 19, 2020</w:t>
            </w:r>
          </w:p>
        </w:tc>
        <w:tc>
          <w:tcPr>
            <w:tcW w:w="2276" w:type="dxa"/>
            <w:tcBorders>
              <w:bottom w:val="single" w:color="auto" w:sz="4" w:space="0"/>
            </w:tcBorders>
            <w:shd w:val="clear" w:color="auto" w:fill="auto"/>
          </w:tcPr>
          <w:p w:rsidRPr="007F620E" w:rsidR="002E632E" w:rsidP="002E632E" w:rsidRDefault="006E05EE" w14:paraId="71759DE3" w14:textId="01306DD0">
            <w:pPr>
              <w:tabs>
                <w:tab w:val="left" w:pos="360"/>
              </w:tabs>
              <w:jc w:val="both"/>
              <w:rPr>
                <w:color w:val="000000"/>
              </w:rPr>
            </w:pPr>
            <w:r>
              <w:rPr>
                <w:color w:val="000000"/>
              </w:rPr>
              <w:t>Verified</w:t>
            </w:r>
          </w:p>
        </w:tc>
      </w:tr>
      <w:tr w:rsidRPr="007F620E" w:rsidR="00A92D0B" w:rsidTr="00F028C8"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276" w:type="dxa"/>
            <w:tcBorders>
              <w:bottom w:val="single" w:color="auto" w:sz="4" w:space="0"/>
            </w:tcBorders>
            <w:shd w:val="clear" w:color="auto" w:fill="auto"/>
          </w:tcPr>
          <w:p w:rsidRPr="007F620E" w:rsidR="00A92D0B" w:rsidP="00F028C8" w:rsidRDefault="006E05EE" w14:paraId="61DE2845" w14:textId="2BEA06F3">
            <w:pPr>
              <w:tabs>
                <w:tab w:val="left" w:pos="360"/>
              </w:tabs>
              <w:rPr>
                <w:color w:val="000000"/>
              </w:rPr>
            </w:pPr>
            <w:r>
              <w:rPr>
                <w:color w:val="000000"/>
              </w:rPr>
              <w:t>Yes</w:t>
            </w:r>
          </w:p>
        </w:tc>
      </w:tr>
      <w:tr w:rsidRPr="007F620E"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lastRenderedPageBreak/>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6764C7" w:rsidTr="006E05EE" w14:paraId="259EC227" w14:textId="77777777">
        <w:tc>
          <w:tcPr>
            <w:tcW w:w="4817" w:type="dxa"/>
            <w:tcBorders>
              <w:top w:val="single" w:color="auto" w:sz="4" w:space="0"/>
            </w:tcBorders>
            <w:shd w:val="clear" w:color="auto" w:fill="auto"/>
          </w:tcPr>
          <w:p w:rsidRPr="007F620E" w:rsidR="006764C7" w:rsidP="006764C7" w:rsidRDefault="006764C7" w14:paraId="0EFCD0E9" w14:textId="1A5E3FBE">
            <w:pPr>
              <w:keepNext/>
              <w:keepLines/>
              <w:ind w:left="360" w:hanging="360"/>
              <w:rPr>
                <w:color w:val="000000"/>
              </w:rPr>
            </w:pPr>
            <w:r w:rsidRPr="007F620E">
              <w:rPr>
                <w:color w:val="000000"/>
              </w:rPr>
              <w:t>5.</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6764C7" w:rsidP="006764C7" w:rsidRDefault="006764C7" w14:paraId="13E72B6D" w14:textId="634AC822">
            <w:pPr>
              <w:keepNext/>
              <w:keepLines/>
              <w:tabs>
                <w:tab w:val="left" w:pos="360"/>
              </w:tabs>
              <w:ind w:left="360" w:hanging="360"/>
              <w:rPr>
                <w:color w:val="000000"/>
              </w:rPr>
            </w:pPr>
            <w:r>
              <w:rPr>
                <w:color w:val="000000"/>
              </w:rPr>
              <w:t>R.</w:t>
            </w:r>
            <w:r w:rsidR="00CE29B0">
              <w:rPr>
                <w:color w:val="000000"/>
              </w:rPr>
              <w:t xml:space="preserve">22-02-005, </w:t>
            </w:r>
            <w:r w:rsidRPr="00355F73" w:rsidR="00CE29B0">
              <w:rPr>
                <w:i/>
                <w:iCs/>
                <w:color w:val="000000"/>
              </w:rPr>
              <w:t>et. al.</w:t>
            </w:r>
          </w:p>
        </w:tc>
        <w:tc>
          <w:tcPr>
            <w:tcW w:w="2276" w:type="dxa"/>
            <w:tcBorders>
              <w:top w:val="single" w:color="auto" w:sz="4" w:space="0"/>
            </w:tcBorders>
            <w:shd w:val="clear" w:color="auto" w:fill="auto"/>
          </w:tcPr>
          <w:p w:rsidRPr="007F620E" w:rsidR="006764C7" w:rsidP="006764C7" w:rsidRDefault="00B4427C" w14:paraId="2679B197" w14:textId="0C162F0A">
            <w:pPr>
              <w:keepNext/>
              <w:keepLines/>
              <w:tabs>
                <w:tab w:val="left" w:pos="360"/>
              </w:tabs>
              <w:rPr>
                <w:color w:val="000000"/>
              </w:rPr>
            </w:pPr>
            <w:r>
              <w:rPr>
                <w:color w:val="000000"/>
              </w:rPr>
              <w:t>A.22-02-005, et al.</w:t>
            </w:r>
          </w:p>
        </w:tc>
      </w:tr>
      <w:tr w:rsidRPr="007F620E" w:rsidR="006764C7" w:rsidTr="006E05EE" w14:paraId="4E0FB3B6" w14:textId="77777777">
        <w:tc>
          <w:tcPr>
            <w:tcW w:w="4817" w:type="dxa"/>
            <w:shd w:val="clear" w:color="auto" w:fill="auto"/>
          </w:tcPr>
          <w:p w:rsidRPr="007F620E" w:rsidR="006764C7" w:rsidP="006764C7" w:rsidRDefault="006764C7" w14:paraId="568B12E8" w14:textId="6121FC05">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2267" w:type="dxa"/>
            <w:shd w:val="clear" w:color="auto" w:fill="auto"/>
          </w:tcPr>
          <w:p w:rsidRPr="007F620E" w:rsidR="006764C7" w:rsidP="006764C7" w:rsidRDefault="00CE29B0" w14:paraId="306125B9" w14:textId="79423460">
            <w:pPr>
              <w:tabs>
                <w:tab w:val="left" w:pos="360"/>
              </w:tabs>
              <w:ind w:left="360" w:hanging="360"/>
              <w:rPr>
                <w:color w:val="000000"/>
              </w:rPr>
            </w:pPr>
            <w:r>
              <w:rPr>
                <w:color w:val="000000"/>
              </w:rPr>
              <w:t>August 2, 2022</w:t>
            </w:r>
          </w:p>
        </w:tc>
        <w:tc>
          <w:tcPr>
            <w:tcW w:w="2276" w:type="dxa"/>
            <w:shd w:val="clear" w:color="auto" w:fill="auto"/>
          </w:tcPr>
          <w:p w:rsidRPr="007F620E" w:rsidR="006764C7" w:rsidP="006764C7" w:rsidRDefault="00B4427C" w14:paraId="19F10313" w14:textId="3D9BFDA2">
            <w:pPr>
              <w:tabs>
                <w:tab w:val="left" w:pos="360"/>
              </w:tabs>
              <w:rPr>
                <w:color w:val="000000"/>
              </w:rPr>
            </w:pPr>
            <w:r>
              <w:rPr>
                <w:color w:val="000000"/>
              </w:rPr>
              <w:t>8/2/22</w:t>
            </w:r>
          </w:p>
        </w:tc>
      </w:tr>
      <w:tr w:rsidRPr="007F620E" w:rsidR="00A92D0B" w:rsidTr="006E05EE" w14:paraId="7F6C1E54" w14:textId="77777777">
        <w:tc>
          <w:tcPr>
            <w:tcW w:w="4817" w:type="dxa"/>
            <w:shd w:val="clear" w:color="auto" w:fill="auto"/>
          </w:tcPr>
          <w:p w:rsidRPr="007F620E" w:rsidR="00A92D0B" w:rsidP="00F028C8" w:rsidRDefault="00A92D0B" w14:paraId="4B6E35B7" w14:textId="56E59D65">
            <w:pPr>
              <w:tabs>
                <w:tab w:val="left" w:pos="360"/>
              </w:tabs>
              <w:ind w:left="360" w:hanging="360"/>
              <w:rPr>
                <w:color w:val="000000"/>
              </w:rPr>
            </w:pPr>
            <w:r w:rsidRPr="007F620E">
              <w:rPr>
                <w:color w:val="000000"/>
              </w:rPr>
              <w:t>7.</w:t>
            </w:r>
            <w:r w:rsidR="001E7EE2">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A92D0B" w:rsidP="00F028C8" w:rsidRDefault="00A92D0B" w14:paraId="5E0F9D32" w14:textId="77777777">
            <w:pPr>
              <w:tabs>
                <w:tab w:val="left" w:pos="360"/>
              </w:tabs>
              <w:ind w:left="360" w:hanging="360"/>
              <w:rPr>
                <w:color w:val="000000"/>
              </w:rPr>
            </w:pPr>
          </w:p>
        </w:tc>
        <w:tc>
          <w:tcPr>
            <w:tcW w:w="2276" w:type="dxa"/>
            <w:tcBorders>
              <w:bottom w:val="single" w:color="auto" w:sz="4" w:space="0"/>
            </w:tcBorders>
            <w:shd w:val="clear" w:color="auto" w:fill="auto"/>
          </w:tcPr>
          <w:p w:rsidRPr="007F620E" w:rsidR="00A92D0B" w:rsidP="00F028C8" w:rsidRDefault="00A92D0B" w14:paraId="180E80B3" w14:textId="77777777">
            <w:pPr>
              <w:tabs>
                <w:tab w:val="left" w:pos="360"/>
              </w:tabs>
              <w:rPr>
                <w:color w:val="000000"/>
              </w:rPr>
            </w:pPr>
          </w:p>
        </w:tc>
      </w:tr>
      <w:tr w:rsidRPr="007F620E" w:rsidR="00A92D0B" w:rsidTr="00F028C8" w14:paraId="397CC4AD" w14:textId="77777777">
        <w:tc>
          <w:tcPr>
            <w:tcW w:w="7084" w:type="dxa"/>
            <w:gridSpan w:val="2"/>
            <w:tcBorders>
              <w:bottom w:val="single" w:color="auto" w:sz="4" w:space="0"/>
            </w:tcBorders>
            <w:shd w:val="clear" w:color="auto" w:fill="auto"/>
          </w:tcPr>
          <w:p w:rsidRPr="007F620E" w:rsidR="00A92D0B" w:rsidP="00F028C8" w:rsidRDefault="00A92D0B" w14:paraId="71D46B68" w14:textId="56857D2E">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Pr="007F620E" w:rsidR="005A63D4">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276" w:type="dxa"/>
            <w:tcBorders>
              <w:bottom w:val="single" w:color="auto" w:sz="4" w:space="0"/>
            </w:tcBorders>
            <w:shd w:val="clear" w:color="auto" w:fill="auto"/>
          </w:tcPr>
          <w:p w:rsidRPr="007F620E" w:rsidR="00A92D0B" w:rsidP="00F028C8" w:rsidRDefault="00A364AB" w14:paraId="7D296E63" w14:textId="7DB12A1B">
            <w:pPr>
              <w:tabs>
                <w:tab w:val="left" w:pos="360"/>
              </w:tabs>
              <w:rPr>
                <w:color w:val="000000"/>
              </w:rPr>
            </w:pPr>
            <w:r>
              <w:rPr>
                <w:color w:val="000000"/>
              </w:rPr>
              <w:t>Yes</w:t>
            </w:r>
          </w:p>
        </w:tc>
      </w:tr>
      <w:tr w:rsidRPr="007F620E" w:rsidR="00A92D0B"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F028C8" w:rsidRDefault="00A92D0B" w14:paraId="0291EC4E" w14:textId="77777777">
            <w:pPr>
              <w:keepNext/>
              <w:tabs>
                <w:tab w:val="left" w:pos="360"/>
              </w:tabs>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A364AB" w:rsidTr="006E05EE" w14:paraId="77F91856" w14:textId="77777777">
        <w:tc>
          <w:tcPr>
            <w:tcW w:w="4817" w:type="dxa"/>
            <w:tcBorders>
              <w:top w:val="single" w:color="auto" w:sz="4" w:space="0"/>
            </w:tcBorders>
            <w:shd w:val="clear" w:color="auto" w:fill="auto"/>
          </w:tcPr>
          <w:p w:rsidRPr="007F620E" w:rsidR="00A364AB" w:rsidP="00A364AB" w:rsidRDefault="00A364AB"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A364AB" w:rsidP="00A364AB" w:rsidRDefault="00A364AB" w14:paraId="54B4911C" w14:textId="4F7F9B5D">
            <w:pPr>
              <w:tabs>
                <w:tab w:val="left" w:pos="360"/>
              </w:tabs>
              <w:ind w:left="360" w:hanging="360"/>
              <w:rPr>
                <w:color w:val="000000"/>
              </w:rPr>
            </w:pPr>
            <w:r>
              <w:rPr>
                <w:color w:val="000000"/>
              </w:rPr>
              <w:t xml:space="preserve">R.22-02-005, </w:t>
            </w:r>
            <w:r w:rsidRPr="00355F73">
              <w:rPr>
                <w:i/>
                <w:iCs/>
                <w:color w:val="000000"/>
              </w:rPr>
              <w:t>et. al</w:t>
            </w:r>
            <w:r>
              <w:rPr>
                <w:color w:val="000000"/>
              </w:rPr>
              <w:t>.</w:t>
            </w:r>
          </w:p>
        </w:tc>
        <w:tc>
          <w:tcPr>
            <w:tcW w:w="2276" w:type="dxa"/>
            <w:tcBorders>
              <w:top w:val="single" w:color="auto" w:sz="4" w:space="0"/>
            </w:tcBorders>
            <w:shd w:val="clear" w:color="auto" w:fill="auto"/>
          </w:tcPr>
          <w:p w:rsidRPr="007F620E" w:rsidR="00A364AB" w:rsidP="00A364AB" w:rsidRDefault="00B4427C" w14:paraId="2E2FB9D6" w14:textId="17A711AC">
            <w:pPr>
              <w:tabs>
                <w:tab w:val="left" w:pos="360"/>
              </w:tabs>
              <w:rPr>
                <w:color w:val="000000"/>
              </w:rPr>
            </w:pPr>
            <w:r w:rsidRPr="00B4427C">
              <w:rPr>
                <w:color w:val="000000"/>
              </w:rPr>
              <w:t>A.22-02-005, et al.</w:t>
            </w:r>
          </w:p>
        </w:tc>
      </w:tr>
      <w:tr w:rsidRPr="007F620E" w:rsidR="00A364AB" w:rsidTr="006E05EE" w14:paraId="4AD750C1" w14:textId="77777777">
        <w:tc>
          <w:tcPr>
            <w:tcW w:w="4817" w:type="dxa"/>
            <w:shd w:val="clear" w:color="auto" w:fill="auto"/>
          </w:tcPr>
          <w:p w:rsidRPr="007F620E" w:rsidR="00A364AB" w:rsidP="00A364AB" w:rsidRDefault="00A364AB" w14:paraId="2A279407" w14:textId="1E831EEE">
            <w:pPr>
              <w:ind w:left="360" w:hanging="360"/>
              <w:rPr>
                <w:color w:val="000000"/>
              </w:rPr>
            </w:pPr>
            <w:r w:rsidRPr="007F620E">
              <w:rPr>
                <w:color w:val="000000"/>
              </w:rPr>
              <w:t>10.</w:t>
            </w:r>
            <w:r>
              <w:rPr>
                <w:color w:val="000000"/>
              </w:rPr>
              <w:tab/>
            </w:r>
            <w:r w:rsidRPr="007F620E">
              <w:rPr>
                <w:color w:val="000000"/>
              </w:rPr>
              <w:t>Date of ALJ ruling:</w:t>
            </w:r>
          </w:p>
        </w:tc>
        <w:tc>
          <w:tcPr>
            <w:tcW w:w="2267" w:type="dxa"/>
            <w:shd w:val="clear" w:color="auto" w:fill="auto"/>
          </w:tcPr>
          <w:p w:rsidRPr="007F620E" w:rsidR="00A364AB" w:rsidP="00A364AB" w:rsidRDefault="00A364AB" w14:paraId="4B66A2E4" w14:textId="12718EC5">
            <w:pPr>
              <w:tabs>
                <w:tab w:val="left" w:pos="360"/>
              </w:tabs>
              <w:ind w:left="360" w:hanging="360"/>
              <w:rPr>
                <w:color w:val="000000"/>
              </w:rPr>
            </w:pPr>
            <w:r>
              <w:rPr>
                <w:color w:val="000000"/>
              </w:rPr>
              <w:t>August 2, 2022</w:t>
            </w:r>
          </w:p>
        </w:tc>
        <w:tc>
          <w:tcPr>
            <w:tcW w:w="2276" w:type="dxa"/>
            <w:shd w:val="clear" w:color="auto" w:fill="auto"/>
          </w:tcPr>
          <w:p w:rsidRPr="007F620E" w:rsidR="00A364AB" w:rsidP="00A364AB" w:rsidRDefault="00B4427C" w14:paraId="3B83D035" w14:textId="4F24BB35">
            <w:pPr>
              <w:tabs>
                <w:tab w:val="left" w:pos="360"/>
              </w:tabs>
              <w:rPr>
                <w:color w:val="000000"/>
              </w:rPr>
            </w:pPr>
            <w:r>
              <w:rPr>
                <w:color w:val="000000"/>
              </w:rPr>
              <w:t>8/2/22</w:t>
            </w:r>
          </w:p>
        </w:tc>
      </w:tr>
      <w:tr w:rsidRPr="007F620E" w:rsidR="00A364AB" w:rsidTr="006E05EE" w14:paraId="7C183C5E" w14:textId="77777777">
        <w:tc>
          <w:tcPr>
            <w:tcW w:w="4817" w:type="dxa"/>
            <w:shd w:val="clear" w:color="auto" w:fill="auto"/>
          </w:tcPr>
          <w:p w:rsidRPr="007F620E" w:rsidR="00A364AB" w:rsidP="00A364AB" w:rsidRDefault="00A364AB" w14:paraId="4141CB3D" w14:textId="2DCA8797">
            <w:pPr>
              <w:ind w:left="360" w:hanging="360"/>
              <w:rPr>
                <w:color w:val="000000"/>
              </w:rPr>
            </w:pPr>
            <w:r w:rsidRPr="007F620E">
              <w:rPr>
                <w:color w:val="000000"/>
              </w:rPr>
              <w:t>11.</w:t>
            </w:r>
            <w:r>
              <w:rPr>
                <w:color w:val="000000"/>
              </w:rPr>
              <w:tab/>
            </w:r>
            <w:r w:rsidRPr="007F620E">
              <w:rPr>
                <w:color w:val="000000"/>
              </w:rPr>
              <w:t>Based on another CPUC determination (specify):</w:t>
            </w:r>
          </w:p>
        </w:tc>
        <w:tc>
          <w:tcPr>
            <w:tcW w:w="2267" w:type="dxa"/>
            <w:shd w:val="clear" w:color="auto" w:fill="auto"/>
          </w:tcPr>
          <w:p w:rsidRPr="007F620E" w:rsidR="00A364AB" w:rsidP="00A364AB" w:rsidRDefault="00A364AB" w14:paraId="141EB5CF" w14:textId="77777777">
            <w:pPr>
              <w:tabs>
                <w:tab w:val="left" w:pos="360"/>
              </w:tabs>
              <w:ind w:left="360" w:hanging="360"/>
              <w:rPr>
                <w:color w:val="000000"/>
              </w:rPr>
            </w:pPr>
          </w:p>
        </w:tc>
        <w:tc>
          <w:tcPr>
            <w:tcW w:w="2276" w:type="dxa"/>
            <w:shd w:val="clear" w:color="auto" w:fill="auto"/>
          </w:tcPr>
          <w:p w:rsidRPr="007F620E" w:rsidR="00A364AB" w:rsidP="00A364AB" w:rsidRDefault="00A364AB" w14:paraId="79318715" w14:textId="77777777">
            <w:pPr>
              <w:tabs>
                <w:tab w:val="left" w:pos="360"/>
              </w:tabs>
              <w:rPr>
                <w:color w:val="000000"/>
              </w:rPr>
            </w:pPr>
          </w:p>
        </w:tc>
      </w:tr>
      <w:tr w:rsidRPr="007F620E" w:rsidR="00A364AB" w:rsidTr="00F028C8" w14:paraId="4E8D20BF" w14:textId="77777777">
        <w:tc>
          <w:tcPr>
            <w:tcW w:w="7084" w:type="dxa"/>
            <w:gridSpan w:val="2"/>
            <w:tcBorders>
              <w:bottom w:val="single" w:color="auto" w:sz="4" w:space="0"/>
            </w:tcBorders>
            <w:shd w:val="clear" w:color="auto" w:fill="auto"/>
          </w:tcPr>
          <w:p w:rsidRPr="007F620E" w:rsidR="00A364AB" w:rsidP="00A364AB" w:rsidRDefault="00A364AB" w14:paraId="48D0D936" w14:textId="6A3DF8B8">
            <w:pPr>
              <w:tabs>
                <w:tab w:val="left" w:pos="360"/>
              </w:tabs>
              <w:ind w:left="360" w:hanging="360"/>
              <w:rPr>
                <w:color w:val="000000"/>
              </w:rPr>
            </w:pPr>
            <w:r>
              <w:rPr>
                <w:color w:val="000000"/>
              </w:rPr>
              <w:t>12</w:t>
            </w:r>
            <w:r w:rsidRPr="007F620E">
              <w:rPr>
                <w:color w:val="000000"/>
              </w:rPr>
              <w:t>.</w:t>
            </w:r>
            <w:r>
              <w:rPr>
                <w:color w:val="000000"/>
              </w:rPr>
              <w:tab/>
            </w:r>
            <w:r w:rsidRPr="007F620E">
              <w:rPr>
                <w:color w:val="000000"/>
              </w:rPr>
              <w:t>Has the Intervenor demonstrated significant financial hardship?</w:t>
            </w:r>
          </w:p>
        </w:tc>
        <w:tc>
          <w:tcPr>
            <w:tcW w:w="2276" w:type="dxa"/>
            <w:tcBorders>
              <w:bottom w:val="single" w:color="auto" w:sz="4" w:space="0"/>
            </w:tcBorders>
            <w:shd w:val="clear" w:color="auto" w:fill="auto"/>
          </w:tcPr>
          <w:p w:rsidRPr="007F620E" w:rsidR="00A364AB" w:rsidP="00A364AB" w:rsidRDefault="00A364AB" w14:paraId="0F29B839" w14:textId="1E201741">
            <w:pPr>
              <w:tabs>
                <w:tab w:val="left" w:pos="360"/>
              </w:tabs>
              <w:rPr>
                <w:color w:val="000000"/>
              </w:rPr>
            </w:pPr>
            <w:r>
              <w:rPr>
                <w:color w:val="000000"/>
              </w:rPr>
              <w:t>Yes</w:t>
            </w:r>
          </w:p>
        </w:tc>
      </w:tr>
      <w:tr w:rsidRPr="007F620E" w:rsidR="00A364AB"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364AB" w:rsidP="00A364AB" w:rsidRDefault="00A364AB" w14:paraId="172E2884" w14:textId="77777777">
            <w:pPr>
              <w:keepNext/>
              <w:tabs>
                <w:tab w:val="left" w:pos="360"/>
              </w:tabs>
              <w:jc w:val="center"/>
              <w:rPr>
                <w:color w:val="000000"/>
              </w:rPr>
            </w:pPr>
            <w:r w:rsidRPr="007F620E">
              <w:rPr>
                <w:b/>
                <w:color w:val="000000"/>
              </w:rPr>
              <w:t>Timely request for compensation (§ 1804(c)):</w:t>
            </w:r>
          </w:p>
        </w:tc>
      </w:tr>
      <w:tr w:rsidRPr="007F620E" w:rsidR="00A364AB" w:rsidTr="006E05EE" w14:paraId="3E7938B0" w14:textId="77777777">
        <w:tc>
          <w:tcPr>
            <w:tcW w:w="4817" w:type="dxa"/>
            <w:tcBorders>
              <w:top w:val="single" w:color="auto" w:sz="4" w:space="0"/>
            </w:tcBorders>
            <w:shd w:val="clear" w:color="auto" w:fill="auto"/>
          </w:tcPr>
          <w:p w:rsidRPr="007F620E" w:rsidR="00A364AB" w:rsidP="00A364AB" w:rsidRDefault="00A364AB" w14:paraId="66088F1B" w14:textId="2DB4A731">
            <w:pPr>
              <w:keepNext/>
              <w:tabs>
                <w:tab w:val="left" w:pos="612"/>
              </w:tabs>
              <w:ind w:left="360" w:hanging="360"/>
              <w:rPr>
                <w:color w:val="000000"/>
              </w:rPr>
            </w:pPr>
            <w:r w:rsidRPr="007F620E">
              <w:rPr>
                <w:color w:val="000000"/>
              </w:rPr>
              <w:t>13.</w:t>
            </w:r>
            <w:r>
              <w:rPr>
                <w:color w:val="000000"/>
              </w:rPr>
              <w:tab/>
            </w:r>
            <w:r w:rsidRPr="007F620E">
              <w:rPr>
                <w:color w:val="000000"/>
              </w:rPr>
              <w:t>Identify Final Decision:</w:t>
            </w:r>
          </w:p>
        </w:tc>
        <w:tc>
          <w:tcPr>
            <w:tcW w:w="2267" w:type="dxa"/>
            <w:tcBorders>
              <w:top w:val="single" w:color="auto" w:sz="4" w:space="0"/>
            </w:tcBorders>
            <w:shd w:val="clear" w:color="auto" w:fill="auto"/>
          </w:tcPr>
          <w:p w:rsidR="00A364AB" w:rsidP="00A364AB" w:rsidRDefault="00A364AB" w14:paraId="19D64DFF" w14:textId="6BDA5B47">
            <w:pPr>
              <w:tabs>
                <w:tab w:val="left" w:pos="360"/>
              </w:tabs>
              <w:rPr>
                <w:color w:val="000000"/>
              </w:rPr>
            </w:pPr>
            <w:r>
              <w:rPr>
                <w:color w:val="000000"/>
              </w:rPr>
              <w:t>D.21-11-016</w:t>
            </w:r>
          </w:p>
          <w:p w:rsidRPr="007F620E" w:rsidR="00A364AB" w:rsidP="00A364AB" w:rsidRDefault="00A364AB" w14:paraId="7166F318" w14:textId="7EA329CF">
            <w:pPr>
              <w:tabs>
                <w:tab w:val="left" w:pos="360"/>
              </w:tabs>
              <w:rPr>
                <w:color w:val="000000"/>
              </w:rPr>
            </w:pPr>
            <w:r>
              <w:rPr>
                <w:color w:val="000000"/>
              </w:rPr>
              <w:t>D.22-08-002</w:t>
            </w:r>
          </w:p>
        </w:tc>
        <w:tc>
          <w:tcPr>
            <w:tcW w:w="2276" w:type="dxa"/>
            <w:tcBorders>
              <w:top w:val="single" w:color="auto" w:sz="4" w:space="0"/>
            </w:tcBorders>
            <w:shd w:val="clear" w:color="auto" w:fill="auto"/>
          </w:tcPr>
          <w:p w:rsidRPr="007F620E" w:rsidR="00A364AB" w:rsidP="00A364AB" w:rsidRDefault="00A364AB" w14:paraId="1588DC54" w14:textId="4C1953B2">
            <w:pPr>
              <w:tabs>
                <w:tab w:val="left" w:pos="360"/>
              </w:tabs>
              <w:rPr>
                <w:color w:val="000000"/>
              </w:rPr>
            </w:pPr>
            <w:r>
              <w:rPr>
                <w:color w:val="000000"/>
              </w:rPr>
              <w:t>Verified</w:t>
            </w:r>
          </w:p>
        </w:tc>
      </w:tr>
      <w:tr w:rsidRPr="007F620E" w:rsidR="00A364AB" w:rsidTr="006E05EE" w14:paraId="6360DE59" w14:textId="77777777">
        <w:tc>
          <w:tcPr>
            <w:tcW w:w="4817" w:type="dxa"/>
            <w:shd w:val="clear" w:color="auto" w:fill="auto"/>
          </w:tcPr>
          <w:p w:rsidRPr="007F620E" w:rsidR="00A364AB" w:rsidP="00A364AB" w:rsidRDefault="00A364AB" w14:paraId="4B809E4A" w14:textId="4BEED0BB">
            <w:pPr>
              <w:tabs>
                <w:tab w:val="left" w:pos="612"/>
              </w:tabs>
              <w:ind w:left="360" w:hanging="360"/>
              <w:rPr>
                <w:color w:val="000000"/>
              </w:rPr>
            </w:pPr>
            <w:r w:rsidRPr="007F620E">
              <w:rPr>
                <w:color w:val="000000"/>
              </w:rPr>
              <w:t>14.</w:t>
            </w:r>
            <w:r>
              <w:rPr>
                <w:color w:val="000000"/>
              </w:rPr>
              <w:tab/>
            </w:r>
            <w:r w:rsidRPr="007F620E">
              <w:rPr>
                <w:color w:val="000000"/>
              </w:rPr>
              <w:t xml:space="preserve">Date of issuance of Final Order or Decision:    </w:t>
            </w:r>
          </w:p>
        </w:tc>
        <w:tc>
          <w:tcPr>
            <w:tcW w:w="2267" w:type="dxa"/>
            <w:shd w:val="clear" w:color="auto" w:fill="auto"/>
          </w:tcPr>
          <w:p w:rsidR="00A364AB" w:rsidP="00A364AB" w:rsidRDefault="00A364AB" w14:paraId="512C0C1B" w14:textId="60E37D82">
            <w:pPr>
              <w:tabs>
                <w:tab w:val="left" w:pos="360"/>
              </w:tabs>
              <w:rPr>
                <w:color w:val="000000"/>
              </w:rPr>
            </w:pPr>
            <w:r>
              <w:rPr>
                <w:color w:val="000000"/>
              </w:rPr>
              <w:t>November 19, 2021</w:t>
            </w:r>
          </w:p>
          <w:p w:rsidRPr="007F620E" w:rsidR="00A364AB" w:rsidP="00A364AB" w:rsidRDefault="00A364AB" w14:paraId="20455B5F" w14:textId="428EAAC5">
            <w:pPr>
              <w:tabs>
                <w:tab w:val="left" w:pos="360"/>
              </w:tabs>
              <w:rPr>
                <w:color w:val="000000"/>
              </w:rPr>
            </w:pPr>
            <w:r>
              <w:rPr>
                <w:color w:val="000000"/>
              </w:rPr>
              <w:t>August 9, 2022</w:t>
            </w:r>
          </w:p>
        </w:tc>
        <w:tc>
          <w:tcPr>
            <w:tcW w:w="2276" w:type="dxa"/>
            <w:shd w:val="clear" w:color="auto" w:fill="auto"/>
          </w:tcPr>
          <w:p w:rsidRPr="007F620E" w:rsidR="00A364AB" w:rsidP="00A364AB" w:rsidRDefault="00A364AB" w14:paraId="1FCF00DD" w14:textId="377E98EE">
            <w:pPr>
              <w:tabs>
                <w:tab w:val="left" w:pos="360"/>
              </w:tabs>
              <w:rPr>
                <w:color w:val="000000"/>
              </w:rPr>
            </w:pPr>
            <w:r>
              <w:rPr>
                <w:color w:val="000000"/>
              </w:rPr>
              <w:t>Verified</w:t>
            </w:r>
          </w:p>
        </w:tc>
      </w:tr>
      <w:tr w:rsidRPr="007F620E" w:rsidR="00A364AB" w:rsidTr="006E05EE" w14:paraId="723259E3" w14:textId="77777777">
        <w:tc>
          <w:tcPr>
            <w:tcW w:w="4817" w:type="dxa"/>
            <w:shd w:val="clear" w:color="auto" w:fill="auto"/>
          </w:tcPr>
          <w:p w:rsidRPr="007F620E" w:rsidR="00A364AB" w:rsidP="00A364AB" w:rsidRDefault="00A364AB" w14:paraId="163EE1CA" w14:textId="2B64EB9E">
            <w:pPr>
              <w:tabs>
                <w:tab w:val="left" w:pos="612"/>
              </w:tabs>
              <w:ind w:left="360" w:hanging="360"/>
              <w:rPr>
                <w:color w:val="000000"/>
              </w:rPr>
            </w:pPr>
            <w:r w:rsidRPr="007F620E">
              <w:rPr>
                <w:color w:val="000000"/>
              </w:rPr>
              <w:t>15.</w:t>
            </w:r>
            <w:r>
              <w:rPr>
                <w:color w:val="000000"/>
              </w:rPr>
              <w:tab/>
            </w:r>
            <w:r w:rsidRPr="007F620E">
              <w:rPr>
                <w:color w:val="000000"/>
              </w:rPr>
              <w:t>File date of compensation request:</w:t>
            </w:r>
          </w:p>
        </w:tc>
        <w:tc>
          <w:tcPr>
            <w:tcW w:w="2267" w:type="dxa"/>
            <w:shd w:val="clear" w:color="auto" w:fill="auto"/>
          </w:tcPr>
          <w:p w:rsidRPr="007F620E" w:rsidR="00A364AB" w:rsidP="00A364AB" w:rsidRDefault="00A364AB" w14:paraId="0568B39D" w14:textId="25D07F58">
            <w:pPr>
              <w:tabs>
                <w:tab w:val="left" w:pos="360"/>
              </w:tabs>
              <w:rPr>
                <w:color w:val="000000"/>
              </w:rPr>
            </w:pPr>
            <w:r>
              <w:rPr>
                <w:color w:val="000000"/>
              </w:rPr>
              <w:t>October 10, 2022</w:t>
            </w:r>
          </w:p>
        </w:tc>
        <w:tc>
          <w:tcPr>
            <w:tcW w:w="2276" w:type="dxa"/>
            <w:shd w:val="clear" w:color="auto" w:fill="auto"/>
          </w:tcPr>
          <w:p w:rsidRPr="007F620E" w:rsidR="00A364AB" w:rsidP="00A364AB" w:rsidRDefault="00A364AB" w14:paraId="1CBF4E7A" w14:textId="02ACBA95">
            <w:pPr>
              <w:tabs>
                <w:tab w:val="left" w:pos="360"/>
              </w:tabs>
              <w:rPr>
                <w:color w:val="000000"/>
              </w:rPr>
            </w:pPr>
            <w:r>
              <w:rPr>
                <w:color w:val="000000"/>
              </w:rPr>
              <w:t>Verified</w:t>
            </w:r>
          </w:p>
        </w:tc>
      </w:tr>
      <w:tr w:rsidRPr="007F620E" w:rsidR="00A364AB" w:rsidTr="00F028C8" w14:paraId="406BCA3A" w14:textId="77777777">
        <w:tc>
          <w:tcPr>
            <w:tcW w:w="7084" w:type="dxa"/>
            <w:gridSpan w:val="2"/>
            <w:shd w:val="clear" w:color="auto" w:fill="auto"/>
          </w:tcPr>
          <w:p w:rsidRPr="007F620E" w:rsidR="00A364AB" w:rsidP="00A364AB" w:rsidRDefault="00A364AB" w14:paraId="10AF42D1" w14:textId="67695104">
            <w:pPr>
              <w:tabs>
                <w:tab w:val="left" w:pos="360"/>
              </w:tabs>
              <w:ind w:left="360" w:hanging="360"/>
              <w:rPr>
                <w:color w:val="000000"/>
              </w:rPr>
            </w:pPr>
            <w:r w:rsidRPr="007F620E">
              <w:rPr>
                <w:color w:val="000000"/>
              </w:rPr>
              <w:t>16</w:t>
            </w:r>
            <w:r>
              <w:rPr>
                <w:color w:val="000000"/>
              </w:rPr>
              <w:t>.</w:t>
            </w:r>
            <w:r>
              <w:rPr>
                <w:color w:val="000000"/>
              </w:rPr>
              <w:tab/>
            </w:r>
            <w:r w:rsidRPr="007F620E">
              <w:rPr>
                <w:color w:val="000000"/>
              </w:rPr>
              <w:t>Was the request for compensation timely?</w:t>
            </w:r>
          </w:p>
        </w:tc>
        <w:tc>
          <w:tcPr>
            <w:tcW w:w="2276" w:type="dxa"/>
            <w:shd w:val="clear" w:color="auto" w:fill="auto"/>
          </w:tcPr>
          <w:p w:rsidRPr="007F620E" w:rsidR="00A364AB" w:rsidP="00A364AB" w:rsidRDefault="00122914" w14:paraId="2EA30E63" w14:textId="34017C8D">
            <w:pPr>
              <w:tabs>
                <w:tab w:val="left" w:pos="360"/>
              </w:tabs>
              <w:rPr>
                <w:color w:val="000000"/>
              </w:rPr>
            </w:pPr>
            <w:r>
              <w:rPr>
                <w:color w:val="000000"/>
              </w:rPr>
              <w:t>Yes</w:t>
            </w:r>
          </w:p>
        </w:tc>
      </w:tr>
    </w:tbl>
    <w:p w:rsidRPr="007F620E" w:rsidR="00A92D0B" w:rsidP="00880855" w:rsidRDefault="00A92D0B" w14:paraId="0068592B" w14:textId="50F22265">
      <w:pPr>
        <w:keepNext/>
        <w:numPr>
          <w:ilvl w:val="0"/>
          <w:numId w:val="5"/>
        </w:numPr>
        <w:spacing w:before="240" w:after="240"/>
        <w:rPr>
          <w:b/>
          <w:color w:val="000000"/>
        </w:rPr>
      </w:pPr>
      <w:r w:rsidRPr="007F620E">
        <w:rPr>
          <w:b/>
          <w:color w:val="000000"/>
        </w:rPr>
        <w:t>Additional Comments on Part I</w:t>
      </w:r>
      <w:r w:rsidR="00C02649">
        <w:rPr>
          <w:b/>
          <w:color w:val="000000"/>
        </w:rPr>
        <w:t>:</w:t>
      </w:r>
      <w:r w:rsidRPr="007F620E">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7F620E"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4741"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8F1CA4" w:rsidTr="006E05EE" w14:paraId="74984CB5" w14:textId="77777777">
        <w:trPr>
          <w:trHeight w:val="67"/>
        </w:trPr>
        <w:tc>
          <w:tcPr>
            <w:tcW w:w="860" w:type="dxa"/>
            <w:shd w:val="clear" w:color="auto" w:fill="auto"/>
          </w:tcPr>
          <w:p w:rsidR="008F1CA4" w:rsidP="00A77595" w:rsidRDefault="008F1CA4" w14:paraId="6499BBC9" w14:textId="62A96E7F">
            <w:pPr>
              <w:tabs>
                <w:tab w:val="left" w:pos="360"/>
              </w:tabs>
              <w:rPr>
                <w:color w:val="000000"/>
              </w:rPr>
            </w:pPr>
            <w:r>
              <w:rPr>
                <w:color w:val="000000"/>
              </w:rPr>
              <w:t>A. &amp; B. 13</w:t>
            </w:r>
          </w:p>
        </w:tc>
        <w:tc>
          <w:tcPr>
            <w:tcW w:w="3759" w:type="dxa"/>
            <w:shd w:val="clear" w:color="auto" w:fill="auto"/>
          </w:tcPr>
          <w:p w:rsidR="008F1CA4" w:rsidP="00A77595" w:rsidRDefault="008F1CA4" w14:paraId="78C5F57E" w14:textId="754BE03C">
            <w:pPr>
              <w:tabs>
                <w:tab w:val="left" w:pos="360"/>
              </w:tabs>
              <w:rPr>
                <w:color w:val="000000"/>
              </w:rPr>
            </w:pPr>
            <w:r>
              <w:rPr>
                <w:color w:val="000000"/>
              </w:rPr>
              <w:t xml:space="preserve">D.22-08-002 was issued in non-consolidated proceedings A.19-11-019 and A.20-10-011. SBUA was a party to both proceedings and is seeking intervenor compensation in both proceedings, however, SBUA is not seeking the same hours spent on the Study and the work associated in both proceedings. SBUA’s hours have been carefully </w:t>
            </w:r>
            <w:r>
              <w:rPr>
                <w:color w:val="000000"/>
              </w:rPr>
              <w:lastRenderedPageBreak/>
              <w:t xml:space="preserve">reviewed and divided per proceeding to </w:t>
            </w:r>
            <w:r w:rsidR="009939C6">
              <w:rPr>
                <w:color w:val="000000"/>
              </w:rPr>
              <w:t>ensure</w:t>
            </w:r>
            <w:r>
              <w:rPr>
                <w:color w:val="000000"/>
              </w:rPr>
              <w:t xml:space="preserve"> that hours were not “double counted.”</w:t>
            </w:r>
          </w:p>
        </w:tc>
        <w:tc>
          <w:tcPr>
            <w:tcW w:w="4741" w:type="dxa"/>
            <w:shd w:val="clear" w:color="auto" w:fill="auto"/>
          </w:tcPr>
          <w:p w:rsidRPr="007F620E" w:rsidR="008F1CA4" w:rsidP="00A77595" w:rsidRDefault="00B4427C" w14:paraId="5D67DD0E" w14:textId="69D3D0A8">
            <w:pPr>
              <w:tabs>
                <w:tab w:val="left" w:pos="360"/>
              </w:tabs>
              <w:rPr>
                <w:color w:val="000000"/>
              </w:rPr>
            </w:pPr>
            <w:r>
              <w:rPr>
                <w:color w:val="000000"/>
              </w:rPr>
              <w:lastRenderedPageBreak/>
              <w:t>Noted</w:t>
            </w:r>
          </w:p>
        </w:tc>
      </w:tr>
      <w:tr w:rsidRPr="007F620E" w:rsidR="00A77595" w:rsidTr="006E05EE" w14:paraId="1C6180A4" w14:textId="77777777">
        <w:trPr>
          <w:trHeight w:val="67"/>
        </w:trPr>
        <w:tc>
          <w:tcPr>
            <w:tcW w:w="860" w:type="dxa"/>
            <w:shd w:val="clear" w:color="auto" w:fill="auto"/>
          </w:tcPr>
          <w:p w:rsidRPr="007F620E" w:rsidR="00A77595" w:rsidP="00A77595" w:rsidRDefault="00A77595" w14:paraId="4350D384" w14:textId="1A34B109">
            <w:pPr>
              <w:tabs>
                <w:tab w:val="left" w:pos="360"/>
              </w:tabs>
              <w:rPr>
                <w:color w:val="000000"/>
              </w:rPr>
            </w:pPr>
            <w:r>
              <w:rPr>
                <w:color w:val="000000"/>
              </w:rPr>
              <w:t>B.9-10</w:t>
            </w:r>
          </w:p>
        </w:tc>
        <w:tc>
          <w:tcPr>
            <w:tcW w:w="3759" w:type="dxa"/>
            <w:shd w:val="clear" w:color="auto" w:fill="auto"/>
          </w:tcPr>
          <w:p w:rsidRPr="0025599F" w:rsidR="009939C6" w:rsidP="0025599F" w:rsidRDefault="002E632E" w14:paraId="0ECF4A98" w14:textId="7C4CB875">
            <w:pPr>
              <w:tabs>
                <w:tab w:val="left" w:pos="360"/>
              </w:tabs>
              <w:spacing w:after="120"/>
            </w:pPr>
            <w:r>
              <w:rPr>
                <w:color w:val="000000"/>
              </w:rPr>
              <w:t xml:space="preserve">SBUA also received a ruling on its customer status and showing of significant financial hardship in A.18-11-005 on June 24, 2019, </w:t>
            </w:r>
            <w:r>
              <w:t>within one year prior to SBUA</w:t>
            </w:r>
            <w:r w:rsidRPr="00C72DAC">
              <w:t xml:space="preserve"> commenc</w:t>
            </w:r>
            <w:r>
              <w:t xml:space="preserve">ing activities in </w:t>
            </w:r>
            <w:r w:rsidRPr="00076BD4">
              <w:t>A.19-08-013</w:t>
            </w:r>
            <w:r w:rsidRPr="00076BD4" w:rsidR="00CE29B0">
              <w:t>.</w:t>
            </w:r>
            <w:r w:rsidR="00CE29B0">
              <w:t xml:space="preserve"> </w:t>
            </w:r>
            <w:r w:rsidRPr="00BF6A54">
              <w:rPr>
                <w:i/>
                <w:iCs/>
              </w:rPr>
              <w:t>See</w:t>
            </w:r>
            <w:r>
              <w:t xml:space="preserve"> Pub. Util. Code § 1804(b)(1).</w:t>
            </w:r>
          </w:p>
        </w:tc>
        <w:tc>
          <w:tcPr>
            <w:tcW w:w="4741" w:type="dxa"/>
            <w:shd w:val="clear" w:color="auto" w:fill="auto"/>
          </w:tcPr>
          <w:p w:rsidR="00A77595" w:rsidP="00A77595" w:rsidRDefault="00076BD4" w14:paraId="528B0A09" w14:textId="2A404A99">
            <w:pPr>
              <w:tabs>
                <w:tab w:val="left" w:pos="360"/>
              </w:tabs>
              <w:rPr>
                <w:color w:val="000000"/>
              </w:rPr>
            </w:pPr>
            <w:r>
              <w:rPr>
                <w:color w:val="000000"/>
              </w:rPr>
              <w:t>Noted</w:t>
            </w:r>
          </w:p>
          <w:p w:rsidRPr="007F620E" w:rsidR="00742C13" w:rsidP="00A77595" w:rsidRDefault="00742C13" w14:paraId="416D6250" w14:textId="2FB02975">
            <w:pPr>
              <w:tabs>
                <w:tab w:val="left" w:pos="360"/>
              </w:tabs>
              <w:rPr>
                <w:color w:val="000000"/>
              </w:rPr>
            </w:pPr>
          </w:p>
        </w:tc>
      </w:tr>
      <w:tr w:rsidRPr="007F620E" w:rsidR="00A731E8" w:rsidTr="006E05EE" w14:paraId="78C01BA7" w14:textId="77777777">
        <w:trPr>
          <w:trHeight w:val="67"/>
        </w:trPr>
        <w:tc>
          <w:tcPr>
            <w:tcW w:w="860" w:type="dxa"/>
            <w:shd w:val="clear" w:color="auto" w:fill="auto"/>
          </w:tcPr>
          <w:p w:rsidR="00CE0BEE" w:rsidP="00A77595" w:rsidRDefault="00CE0BEE" w14:paraId="1DCFD817" w14:textId="7DAD7642">
            <w:pPr>
              <w:tabs>
                <w:tab w:val="left" w:pos="360"/>
              </w:tabs>
              <w:rPr>
                <w:color w:val="000000"/>
              </w:rPr>
            </w:pPr>
            <w:r>
              <w:rPr>
                <w:color w:val="000000"/>
              </w:rPr>
              <w:t>B.13-16</w:t>
            </w:r>
          </w:p>
        </w:tc>
        <w:tc>
          <w:tcPr>
            <w:tcW w:w="3759" w:type="dxa"/>
            <w:shd w:val="clear" w:color="auto" w:fill="auto"/>
          </w:tcPr>
          <w:p w:rsidR="00CE0BEE" w:rsidP="0025599F" w:rsidRDefault="00CE0BEE" w14:paraId="49A19E95" w14:textId="2B329489">
            <w:pPr>
              <w:tabs>
                <w:tab w:val="left" w:pos="360"/>
              </w:tabs>
              <w:spacing w:after="120"/>
              <w:rPr>
                <w:color w:val="000000"/>
              </w:rPr>
            </w:pPr>
            <w:r w:rsidRPr="009253CA">
              <w:t>The Commission’s Rule 17.3 requires a Compensation Request to be filed within 60 days of the issuance of a final decision. Pursuant to Rule 1.15, if the last day falls on a Saturday, Sunday, holiday or other day when the Commission offices are closed, the time limit is extended to include the next business day thereafter. Sixty days from the issuance of D.</w:t>
            </w:r>
            <w:r>
              <w:t>22-08-002</w:t>
            </w:r>
            <w:r w:rsidRPr="009253CA">
              <w:t xml:space="preserve"> was a Saturday, </w:t>
            </w:r>
            <w:r>
              <w:t>October 8</w:t>
            </w:r>
            <w:r w:rsidRPr="009253CA">
              <w:t>, 20</w:t>
            </w:r>
            <w:r>
              <w:t>22</w:t>
            </w:r>
            <w:r w:rsidRPr="009253CA">
              <w:t>, and SBUA filed its compensation req</w:t>
            </w:r>
            <w:r>
              <w:t>ue</w:t>
            </w:r>
            <w:r w:rsidRPr="003867F5">
              <w:t xml:space="preserve">st on the next </w:t>
            </w:r>
            <w:r>
              <w:t>week</w:t>
            </w:r>
            <w:r w:rsidRPr="003867F5">
              <w:t xml:space="preserve">day thereafter, which was Monday, </w:t>
            </w:r>
            <w:r>
              <w:t>October</w:t>
            </w:r>
            <w:r w:rsidR="00A9334F">
              <w:t xml:space="preserve"> 10</w:t>
            </w:r>
            <w:r w:rsidRPr="003867F5">
              <w:t>, 2</w:t>
            </w:r>
            <w:r>
              <w:t>022.</w:t>
            </w:r>
          </w:p>
        </w:tc>
        <w:tc>
          <w:tcPr>
            <w:tcW w:w="4741" w:type="dxa"/>
            <w:shd w:val="clear" w:color="auto" w:fill="auto"/>
          </w:tcPr>
          <w:p w:rsidRPr="007F620E" w:rsidR="00CE0BEE" w:rsidP="00A77595" w:rsidRDefault="002421CE" w14:paraId="584D84C2" w14:textId="7F5DB14C">
            <w:pPr>
              <w:tabs>
                <w:tab w:val="left" w:pos="360"/>
              </w:tabs>
              <w:rPr>
                <w:color w:val="000000"/>
              </w:rPr>
            </w:pPr>
            <w:r>
              <w:rPr>
                <w:color w:val="000000"/>
              </w:rPr>
              <w:t>Verified</w:t>
            </w:r>
          </w:p>
        </w:tc>
      </w:tr>
    </w:tbl>
    <w:p w:rsidR="003B6A1B" w:rsidP="00574C44" w:rsidRDefault="00A92D0B" w14:paraId="501B5F3D" w14:textId="14334386">
      <w:pPr>
        <w:widowControl w:val="0"/>
        <w:spacing w:before="480"/>
        <w:jc w:val="center"/>
        <w:rPr>
          <w:b/>
          <w:color w:val="000000"/>
        </w:rPr>
      </w:pPr>
      <w:r w:rsidRPr="007F620E">
        <w:rPr>
          <w:b/>
          <w:color w:val="000000"/>
        </w:rPr>
        <w:t>PART II:</w:t>
      </w:r>
      <w:r w:rsidR="00D1778A">
        <w:rPr>
          <w:b/>
          <w:color w:val="000000"/>
        </w:rPr>
        <w:t xml:space="preserve">  </w:t>
      </w:r>
      <w:r w:rsidRPr="007F620E">
        <w:rPr>
          <w:b/>
          <w:color w:val="000000"/>
        </w:rPr>
        <w:t>SUBSTANTIAL CONTRIBUTION</w:t>
      </w:r>
    </w:p>
    <w:p w:rsidRPr="00C02649" w:rsidR="00A92D0B" w:rsidP="00574C44" w:rsidRDefault="00D075B1" w14:paraId="337CC332" w14:textId="741E5D1F">
      <w:pPr>
        <w:widowControl w:val="0"/>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258"/>
        <w:gridCol w:w="4140"/>
        <w:gridCol w:w="2340"/>
      </w:tblGrid>
      <w:tr w:rsidRPr="007F620E" w:rsidR="00A92D0B" w:rsidTr="00574C44" w14:paraId="67755362" w14:textId="77777777">
        <w:tc>
          <w:tcPr>
            <w:tcW w:w="3258" w:type="dxa"/>
            <w:tcBorders>
              <w:bottom w:val="single" w:color="auto" w:sz="4" w:space="0"/>
            </w:tcBorders>
            <w:shd w:val="pct12" w:color="auto" w:fill="auto"/>
          </w:tcPr>
          <w:p w:rsidRPr="007F620E" w:rsidR="00A92D0B" w:rsidP="00574C44" w:rsidRDefault="00D075B1" w14:paraId="7CE2E5BB" w14:textId="77777777">
            <w:pPr>
              <w:widowControl w:val="0"/>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vAlign w:val="bottom"/>
          </w:tcPr>
          <w:p w:rsidRPr="007F620E" w:rsidR="00A92D0B" w:rsidP="00574C44" w:rsidRDefault="00A92D0B" w14:paraId="2794272E" w14:textId="77777777">
            <w:pPr>
              <w:widowControl w:val="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pct12" w:color="auto" w:fill="auto"/>
            <w:vAlign w:val="bottom"/>
          </w:tcPr>
          <w:p w:rsidRPr="007F620E" w:rsidR="00A92D0B" w:rsidP="00574C44" w:rsidRDefault="00D075B1" w14:paraId="79AFC714" w14:textId="77777777">
            <w:pPr>
              <w:widowControl w:val="0"/>
              <w:jc w:val="center"/>
              <w:rPr>
                <w:b/>
                <w:color w:val="000000"/>
              </w:rPr>
            </w:pPr>
            <w:r w:rsidRPr="007F620E">
              <w:rPr>
                <w:b/>
                <w:color w:val="000000"/>
              </w:rPr>
              <w:t>CPUC Discussion</w:t>
            </w:r>
          </w:p>
        </w:tc>
      </w:tr>
      <w:tr w:rsidRPr="007F620E" w:rsidR="0025599F" w:rsidTr="006E05EE" w14:paraId="1AE3EB41" w14:textId="77777777">
        <w:tc>
          <w:tcPr>
            <w:tcW w:w="3258" w:type="dxa"/>
            <w:shd w:val="clear" w:color="auto" w:fill="auto"/>
          </w:tcPr>
          <w:p w:rsidRPr="00064CC3" w:rsidR="0025599F" w:rsidP="0025599F" w:rsidRDefault="0025599F" w14:paraId="5A44BA82" w14:textId="77777777">
            <w:pPr>
              <w:widowControl w:val="0"/>
              <w:spacing w:before="120"/>
              <w:rPr>
                <w:b/>
                <w:color w:val="000000"/>
                <w:u w:val="single"/>
              </w:rPr>
            </w:pPr>
            <w:r>
              <w:rPr>
                <w:b/>
                <w:color w:val="000000"/>
                <w:u w:val="single"/>
              </w:rPr>
              <w:t xml:space="preserve">1. </w:t>
            </w:r>
            <w:r w:rsidRPr="00064CC3">
              <w:rPr>
                <w:b/>
                <w:color w:val="000000"/>
                <w:u w:val="single"/>
              </w:rPr>
              <w:t>Overall</w:t>
            </w:r>
          </w:p>
          <w:p w:rsidRPr="00274A76" w:rsidR="002024B1" w:rsidP="002024B1" w:rsidRDefault="0025599F" w14:paraId="219389CE" w14:textId="180992C1">
            <w:pPr>
              <w:widowControl w:val="0"/>
              <w:snapToGrid w:val="0"/>
              <w:spacing w:before="240"/>
              <w:rPr>
                <w:color w:val="000000"/>
              </w:rPr>
            </w:pPr>
            <w:r w:rsidRPr="00350E14">
              <w:rPr>
                <w:color w:val="000000"/>
              </w:rPr>
              <w:t>This GR</w:t>
            </w:r>
            <w:r>
              <w:rPr>
                <w:color w:val="000000"/>
              </w:rPr>
              <w:t>C II proceeding covered an array of</w:t>
            </w:r>
            <w:r w:rsidRPr="00350E14">
              <w:rPr>
                <w:color w:val="000000"/>
              </w:rPr>
              <w:t xml:space="preserve"> issues</w:t>
            </w:r>
            <w:r>
              <w:rPr>
                <w:color w:val="000000"/>
              </w:rPr>
              <w:t xml:space="preserve"> </w:t>
            </w:r>
            <w:r w:rsidRPr="00350E14">
              <w:rPr>
                <w:color w:val="000000"/>
              </w:rPr>
              <w:t>ass</w:t>
            </w:r>
            <w:r>
              <w:rPr>
                <w:color w:val="000000"/>
              </w:rPr>
              <w:t>ociated with PGE</w:t>
            </w:r>
            <w:r w:rsidRPr="00350E14">
              <w:rPr>
                <w:color w:val="000000"/>
              </w:rPr>
              <w:t xml:space="preserve">’s </w:t>
            </w:r>
            <w:r>
              <w:rPr>
                <w:color w:val="000000"/>
              </w:rPr>
              <w:t xml:space="preserve">rate design, revenue allocation and </w:t>
            </w:r>
            <w:r>
              <w:rPr>
                <w:color w:val="000000"/>
              </w:rPr>
              <w:lastRenderedPageBreak/>
              <w:t xml:space="preserve">marginal costs, including real-time pricing. SBUA was an active participant in this proceeding, and SBUA’s experts submitted testimony on a </w:t>
            </w:r>
            <w:r w:rsidRPr="00350E14">
              <w:rPr>
                <w:color w:val="000000"/>
              </w:rPr>
              <w:t xml:space="preserve">variety of </w:t>
            </w:r>
            <w:r>
              <w:rPr>
                <w:color w:val="000000"/>
              </w:rPr>
              <w:t xml:space="preserve">issues impacting small businesses. </w:t>
            </w:r>
            <w:r w:rsidRPr="001C2033" w:rsidR="002024B1">
              <w:rPr>
                <w:color w:val="000000"/>
              </w:rPr>
              <w:t xml:space="preserve">SBUA </w:t>
            </w:r>
            <w:r w:rsidR="002024B1">
              <w:rPr>
                <w:color w:val="000000"/>
              </w:rPr>
              <w:t>was extensively involved</w:t>
            </w:r>
            <w:r w:rsidRPr="001C2033" w:rsidR="002024B1">
              <w:rPr>
                <w:color w:val="000000"/>
              </w:rPr>
              <w:t xml:space="preserve"> in the lengthy and overall effective settlement discussions and subsequent Settlement Agreement</w:t>
            </w:r>
            <w:r w:rsidR="002024B1">
              <w:rPr>
                <w:color w:val="000000"/>
              </w:rPr>
              <w:t>s, with o</w:t>
            </w:r>
            <w:r w:rsidRPr="001C2033" w:rsidR="002024B1">
              <w:rPr>
                <w:color w:val="000000"/>
              </w:rPr>
              <w:t xml:space="preserve">ur advocacy here </w:t>
            </w:r>
            <w:r w:rsidR="002024B1">
              <w:rPr>
                <w:color w:val="000000"/>
              </w:rPr>
              <w:t>being</w:t>
            </w:r>
            <w:r w:rsidRPr="001C2033" w:rsidR="002024B1">
              <w:rPr>
                <w:color w:val="000000"/>
              </w:rPr>
              <w:t xml:space="preserve"> part of a broader campaign to advocate for small commercial customers with regard to rate design and other issues in Phase 2 GRCs. </w:t>
            </w:r>
          </w:p>
          <w:p w:rsidR="00FA3E43" w:rsidP="00274A76" w:rsidRDefault="0025599F" w14:paraId="1E14C705" w14:textId="77777777">
            <w:pPr>
              <w:widowControl w:val="0"/>
              <w:snapToGrid w:val="0"/>
              <w:spacing w:before="240"/>
              <w:rPr>
                <w:color w:val="000000"/>
              </w:rPr>
            </w:pPr>
            <w:r>
              <w:rPr>
                <w:color w:val="000000"/>
              </w:rPr>
              <w:t>To address th</w:t>
            </w:r>
            <w:r w:rsidR="000F3BBB">
              <w:rPr>
                <w:color w:val="000000"/>
              </w:rPr>
              <w:t>e</w:t>
            </w:r>
            <w:r w:rsidRPr="00064CC3">
              <w:rPr>
                <w:color w:val="000000"/>
              </w:rPr>
              <w:t xml:space="preserve"> array of </w:t>
            </w:r>
            <w:r w:rsidR="000F3BBB">
              <w:rPr>
                <w:color w:val="000000"/>
              </w:rPr>
              <w:t>GRC 2</w:t>
            </w:r>
            <w:r w:rsidR="00FA3E43">
              <w:rPr>
                <w:color w:val="000000"/>
              </w:rPr>
              <w:t xml:space="preserve"> issues</w:t>
            </w:r>
            <w:r w:rsidRPr="00064CC3">
              <w:rPr>
                <w:color w:val="000000"/>
              </w:rPr>
              <w:t>, the Commission approved several Settlement Agreements</w:t>
            </w:r>
            <w:r>
              <w:rPr>
                <w:color w:val="000000"/>
              </w:rPr>
              <w:t>,</w:t>
            </w:r>
            <w:r w:rsidRPr="00064CC3">
              <w:rPr>
                <w:color w:val="000000"/>
              </w:rPr>
              <w:t xml:space="preserve"> including </w:t>
            </w:r>
            <w:r w:rsidR="00B53071">
              <w:rPr>
                <w:color w:val="000000"/>
              </w:rPr>
              <w:t>four</w:t>
            </w:r>
            <w:r>
              <w:rPr>
                <w:color w:val="000000"/>
              </w:rPr>
              <w:t xml:space="preserve"> settlements that SBUA is a signatory to, covering </w:t>
            </w:r>
            <w:r w:rsidRPr="00064CC3">
              <w:rPr>
                <w:color w:val="000000"/>
              </w:rPr>
              <w:t>the following</w:t>
            </w:r>
            <w:r>
              <w:rPr>
                <w:color w:val="000000"/>
              </w:rPr>
              <w:t xml:space="preserve"> </w:t>
            </w:r>
            <w:r w:rsidR="000F3BBB">
              <w:rPr>
                <w:color w:val="000000"/>
              </w:rPr>
              <w:t>area</w:t>
            </w:r>
            <w:r>
              <w:rPr>
                <w:color w:val="000000"/>
              </w:rPr>
              <w:t xml:space="preserve">: </w:t>
            </w:r>
            <w:r w:rsidRPr="00064CC3">
              <w:rPr>
                <w:color w:val="000000"/>
              </w:rPr>
              <w:t xml:space="preserve">(1) </w:t>
            </w:r>
            <w:r>
              <w:rPr>
                <w:color w:val="000000"/>
              </w:rPr>
              <w:t>Revenue Allocation</w:t>
            </w:r>
            <w:r w:rsidR="00E42D9B">
              <w:rPr>
                <w:color w:val="000000"/>
              </w:rPr>
              <w:t xml:space="preserve"> (RA)</w:t>
            </w:r>
            <w:r w:rsidRPr="00064CC3">
              <w:rPr>
                <w:color w:val="000000"/>
              </w:rPr>
              <w:t xml:space="preserve">, (2) </w:t>
            </w:r>
            <w:r>
              <w:rPr>
                <w:color w:val="000000"/>
              </w:rPr>
              <w:t xml:space="preserve">Economic Development Rate (EDR) Design, (3) </w:t>
            </w:r>
            <w:r w:rsidR="002024B1">
              <w:rPr>
                <w:color w:val="000000"/>
              </w:rPr>
              <w:t xml:space="preserve">Commercial and Industrial </w:t>
            </w:r>
            <w:r w:rsidR="00E42D9B">
              <w:rPr>
                <w:color w:val="000000"/>
              </w:rPr>
              <w:t xml:space="preserve">(C&amp;I) </w:t>
            </w:r>
            <w:r w:rsidR="002024B1">
              <w:rPr>
                <w:color w:val="000000"/>
              </w:rPr>
              <w:t>Rate Design</w:t>
            </w:r>
            <w:r w:rsidR="00B53071">
              <w:rPr>
                <w:color w:val="000000"/>
              </w:rPr>
              <w:t>, and (4) Real Time Pricing</w:t>
            </w:r>
            <w:r w:rsidR="00E42D9B">
              <w:rPr>
                <w:color w:val="000000"/>
              </w:rPr>
              <w:t xml:space="preserve"> (RTP)</w:t>
            </w:r>
            <w:r w:rsidRPr="001C2033" w:rsidR="002024B1">
              <w:rPr>
                <w:color w:val="000000"/>
              </w:rPr>
              <w:t>.</w:t>
            </w:r>
            <w:r w:rsidR="00B53071">
              <w:rPr>
                <w:color w:val="000000"/>
              </w:rPr>
              <w:t xml:space="preserve"> </w:t>
            </w:r>
          </w:p>
          <w:p w:rsidR="00FA3E43" w:rsidP="00274A76" w:rsidRDefault="00B53071" w14:paraId="1C2FD452" w14:textId="03F338E5">
            <w:pPr>
              <w:widowControl w:val="0"/>
              <w:snapToGrid w:val="0"/>
              <w:spacing w:before="240"/>
              <w:rPr>
                <w:color w:val="000000"/>
              </w:rPr>
            </w:pPr>
            <w:r w:rsidRPr="00064CC3">
              <w:rPr>
                <w:color w:val="000000"/>
              </w:rPr>
              <w:t xml:space="preserve">In </w:t>
            </w:r>
            <w:r>
              <w:rPr>
                <w:color w:val="000000"/>
              </w:rPr>
              <w:t>D.21-11-016 and D.22-08-002, the Commission agrees</w:t>
            </w:r>
            <w:r w:rsidRPr="00064CC3">
              <w:rPr>
                <w:color w:val="000000"/>
              </w:rPr>
              <w:t xml:space="preserve"> with ALJ</w:t>
            </w:r>
            <w:r>
              <w:rPr>
                <w:color w:val="000000"/>
              </w:rPr>
              <w:t xml:space="preserve"> Doherty’s</w:t>
            </w:r>
            <w:r w:rsidRPr="00064CC3">
              <w:rPr>
                <w:color w:val="000000"/>
              </w:rPr>
              <w:t xml:space="preserve"> findings</w:t>
            </w:r>
            <w:r w:rsidR="00274A76">
              <w:rPr>
                <w:color w:val="000000"/>
              </w:rPr>
              <w:t xml:space="preserve"> and ALJ Sisto’s findings </w:t>
            </w:r>
            <w:r w:rsidRPr="00064CC3">
              <w:rPr>
                <w:color w:val="000000"/>
              </w:rPr>
              <w:t xml:space="preserve">that </w:t>
            </w:r>
            <w:r w:rsidR="00625C79">
              <w:rPr>
                <w:color w:val="000000"/>
              </w:rPr>
              <w:t xml:space="preserve">the </w:t>
            </w:r>
            <w:r w:rsidRPr="00064CC3">
              <w:rPr>
                <w:color w:val="000000"/>
              </w:rPr>
              <w:t>approve</w:t>
            </w:r>
            <w:r w:rsidR="00625C79">
              <w:rPr>
                <w:color w:val="000000"/>
              </w:rPr>
              <w:t>d</w:t>
            </w:r>
            <w:r w:rsidRPr="00064CC3">
              <w:rPr>
                <w:color w:val="000000"/>
              </w:rPr>
              <w:t xml:space="preserve"> settlements are reasonable in light of the record</w:t>
            </w:r>
            <w:r>
              <w:rPr>
                <w:color w:val="000000"/>
              </w:rPr>
              <w:t xml:space="preserve"> and should be adopted</w:t>
            </w:r>
            <w:r w:rsidRPr="00064CC3">
              <w:rPr>
                <w:color w:val="000000"/>
              </w:rPr>
              <w:t>.</w:t>
            </w:r>
            <w:r w:rsidR="0071373F">
              <w:rPr>
                <w:color w:val="000000"/>
              </w:rPr>
              <w:t xml:space="preserve"> SBUA submits that the Commission should find </w:t>
            </w:r>
            <w:r w:rsidR="00E42D9B">
              <w:rPr>
                <w:color w:val="000000"/>
              </w:rPr>
              <w:t xml:space="preserve">that </w:t>
            </w:r>
            <w:r w:rsidR="000F3BBB">
              <w:rPr>
                <w:color w:val="000000"/>
              </w:rPr>
              <w:t>SBUA</w:t>
            </w:r>
            <w:r w:rsidR="00625C79">
              <w:rPr>
                <w:color w:val="000000"/>
              </w:rPr>
              <w:t xml:space="preserve">’s </w:t>
            </w:r>
            <w:r w:rsidR="00E42D9B">
              <w:rPr>
                <w:color w:val="000000"/>
              </w:rPr>
              <w:t>advoc</w:t>
            </w:r>
            <w:r w:rsidR="00625C79">
              <w:rPr>
                <w:color w:val="000000"/>
              </w:rPr>
              <w:t>acy</w:t>
            </w:r>
            <w:r w:rsidR="007F242D">
              <w:rPr>
                <w:color w:val="000000"/>
              </w:rPr>
              <w:t xml:space="preserve"> in negotiations and entering </w:t>
            </w:r>
            <w:r w:rsidR="00FA3E43">
              <w:rPr>
                <w:color w:val="000000"/>
              </w:rPr>
              <w:t xml:space="preserve">into </w:t>
            </w:r>
            <w:r w:rsidR="0071373F">
              <w:rPr>
                <w:color w:val="000000"/>
              </w:rPr>
              <w:t>these settlement agreements, which</w:t>
            </w:r>
            <w:r w:rsidRPr="00064CC3" w:rsidR="0071373F">
              <w:rPr>
                <w:color w:val="000000"/>
              </w:rPr>
              <w:t xml:space="preserve"> address a number of </w:t>
            </w:r>
            <w:r w:rsidR="0071373F">
              <w:rPr>
                <w:color w:val="000000"/>
              </w:rPr>
              <w:lastRenderedPageBreak/>
              <w:t xml:space="preserve">issues of </w:t>
            </w:r>
            <w:r w:rsidRPr="00064CC3" w:rsidR="0071373F">
              <w:rPr>
                <w:color w:val="000000"/>
              </w:rPr>
              <w:t>importan</w:t>
            </w:r>
            <w:r w:rsidR="0071373F">
              <w:rPr>
                <w:color w:val="000000"/>
              </w:rPr>
              <w:t>ce</w:t>
            </w:r>
            <w:r w:rsidRPr="00064CC3" w:rsidR="0071373F">
              <w:rPr>
                <w:color w:val="000000"/>
              </w:rPr>
              <w:t xml:space="preserve"> </w:t>
            </w:r>
            <w:r w:rsidR="0071373F">
              <w:rPr>
                <w:color w:val="000000"/>
              </w:rPr>
              <w:t>to small businesses</w:t>
            </w:r>
            <w:r w:rsidR="000F3BBB">
              <w:rPr>
                <w:color w:val="000000"/>
              </w:rPr>
              <w:t>, substantially contributed to the proceeding</w:t>
            </w:r>
            <w:r w:rsidR="0071373F">
              <w:rPr>
                <w:color w:val="000000"/>
              </w:rPr>
              <w:t>.</w:t>
            </w:r>
            <w:r w:rsidR="00040EE2">
              <w:rPr>
                <w:color w:val="000000"/>
              </w:rPr>
              <w:t xml:space="preserve"> </w:t>
            </w:r>
          </w:p>
          <w:p w:rsidRPr="006E2777" w:rsidR="0025599F" w:rsidP="00E25FE5" w:rsidRDefault="00FA3E43" w14:paraId="0BC525DF" w14:textId="379FA6AE">
            <w:pPr>
              <w:widowControl w:val="0"/>
              <w:snapToGrid w:val="0"/>
              <w:spacing w:before="240" w:after="120"/>
              <w:rPr>
                <w:color w:val="000000"/>
              </w:rPr>
            </w:pPr>
            <w:r>
              <w:rPr>
                <w:color w:val="000000"/>
              </w:rPr>
              <w:t>T</w:t>
            </w:r>
            <w:r w:rsidR="000F3BBB">
              <w:rPr>
                <w:color w:val="000000"/>
              </w:rPr>
              <w:t>he Commission</w:t>
            </w:r>
            <w:r>
              <w:rPr>
                <w:color w:val="000000"/>
              </w:rPr>
              <w:t xml:space="preserve"> also</w:t>
            </w:r>
            <w:r w:rsidR="000F3BBB">
              <w:rPr>
                <w:color w:val="000000"/>
              </w:rPr>
              <w:t xml:space="preserve"> addressed numerous marginal cost issues that were </w:t>
            </w:r>
            <w:r w:rsidRPr="00040EE2" w:rsidR="000F3BBB">
              <w:rPr>
                <w:i/>
                <w:iCs/>
                <w:color w:val="000000"/>
              </w:rPr>
              <w:t>not</w:t>
            </w:r>
            <w:r w:rsidR="000F3BBB">
              <w:rPr>
                <w:color w:val="000000"/>
              </w:rPr>
              <w:t xml:space="preserve"> settled. </w:t>
            </w:r>
            <w:r w:rsidR="00E42D9B">
              <w:rPr>
                <w:color w:val="000000"/>
              </w:rPr>
              <w:t>SBUA attended hearings and submitted legal briefing on the</w:t>
            </w:r>
            <w:r w:rsidR="000F3BBB">
              <w:rPr>
                <w:color w:val="000000"/>
              </w:rPr>
              <w:t>se</w:t>
            </w:r>
            <w:r w:rsidR="00E42D9B">
              <w:rPr>
                <w:color w:val="000000"/>
              </w:rPr>
              <w:t xml:space="preserve"> unresolved issues</w:t>
            </w:r>
            <w:r w:rsidRPr="00040EE2" w:rsidR="00274A76">
              <w:rPr>
                <w:color w:val="000000"/>
              </w:rPr>
              <w:t>.</w:t>
            </w:r>
            <w:r w:rsidRPr="00274A76" w:rsidR="00274A76">
              <w:rPr>
                <w:color w:val="000000"/>
              </w:rPr>
              <w:t xml:space="preserve"> </w:t>
            </w:r>
            <w:r w:rsidRPr="00274A76" w:rsidR="00B53071">
              <w:rPr>
                <w:color w:val="000000"/>
              </w:rPr>
              <w:t>Additional specifi</w:t>
            </w:r>
            <w:r w:rsidR="00B53071">
              <w:rPr>
                <w:color w:val="000000"/>
              </w:rPr>
              <w:t>cs on</w:t>
            </w:r>
            <w:r w:rsidR="00625C79">
              <w:rPr>
                <w:color w:val="000000"/>
              </w:rPr>
              <w:t xml:space="preserve"> this and</w:t>
            </w:r>
            <w:r w:rsidR="00B53071">
              <w:rPr>
                <w:color w:val="000000"/>
              </w:rPr>
              <w:t xml:space="preserve"> SBUA’s </w:t>
            </w:r>
            <w:r w:rsidR="0071373F">
              <w:rPr>
                <w:color w:val="000000"/>
              </w:rPr>
              <w:t>other</w:t>
            </w:r>
            <w:r>
              <w:rPr>
                <w:color w:val="000000"/>
              </w:rPr>
              <w:t xml:space="preserve"> areas of </w:t>
            </w:r>
            <w:r w:rsidR="00B53071">
              <w:rPr>
                <w:color w:val="000000"/>
              </w:rPr>
              <w:t>advocacy are detailed below</w:t>
            </w:r>
            <w:r w:rsidR="0071373F">
              <w:rPr>
                <w:color w:val="000000"/>
              </w:rPr>
              <w:t>.</w:t>
            </w:r>
          </w:p>
        </w:tc>
        <w:tc>
          <w:tcPr>
            <w:tcW w:w="4140" w:type="dxa"/>
            <w:shd w:val="clear" w:color="auto" w:fill="auto"/>
          </w:tcPr>
          <w:p w:rsidRPr="00040EE2" w:rsidR="00706AB7" w:rsidP="00706AB7" w:rsidRDefault="007E6E4B" w14:paraId="17765404" w14:textId="1989D116">
            <w:pPr>
              <w:autoSpaceDE w:val="0"/>
              <w:autoSpaceDN w:val="0"/>
              <w:adjustRightInd w:val="0"/>
              <w:rPr>
                <w:i/>
                <w:iCs/>
              </w:rPr>
            </w:pPr>
            <w:r>
              <w:rPr>
                <w:color w:val="000000"/>
              </w:rPr>
              <w:lastRenderedPageBreak/>
              <w:t>“</w:t>
            </w:r>
            <w:r>
              <w:t xml:space="preserve">Several motions were filed seeking adoption of settlements in this proceeding. </w:t>
            </w:r>
            <w:r w:rsidRPr="00D34F90">
              <w:t>PG&amp;E filed a motion to adopt</w:t>
            </w:r>
            <w:r>
              <w:t>…</w:t>
            </w:r>
            <w:r w:rsidRPr="00D34F90">
              <w:rPr>
                <w:rFonts w:ascii="Book Antiqua" w:hAnsi="Book Antiqua" w:eastAsia="Calibri"/>
                <w:sz w:val="26"/>
                <w:szCs w:val="22"/>
              </w:rPr>
              <w:t xml:space="preserve"> </w:t>
            </w:r>
            <w:r w:rsidRPr="00D34F90">
              <w:t>a revenue allocation settlement on April 8, 202</w:t>
            </w:r>
            <w:r w:rsidRPr="007E6E4B">
              <w:t>1</w:t>
            </w:r>
            <w:r w:rsidRPr="00D34F90">
              <w:t>,</w:t>
            </w:r>
            <w:r>
              <w:t>…</w:t>
            </w:r>
            <w:r w:rsidRPr="00D34F90">
              <w:rPr>
                <w:rFonts w:ascii="Book Antiqua" w:hAnsi="Book Antiqua" w:eastAsia="Calibri"/>
                <w:sz w:val="26"/>
                <w:szCs w:val="22"/>
              </w:rPr>
              <w:t xml:space="preserve"> </w:t>
            </w:r>
            <w:r w:rsidRPr="00D34F90">
              <w:t xml:space="preserve">and a motion to adopt a commercial and industrial rate </w:t>
            </w:r>
            <w:r w:rsidRPr="00D34F90">
              <w:lastRenderedPageBreak/>
              <w:t>design settlement on April 13, 2021.</w:t>
            </w:r>
            <w:r>
              <w:t>” D.21-11-016, p. 5.</w:t>
            </w:r>
            <w:r w:rsidR="00706AB7">
              <w:t xml:space="preserve"> On January 14, 2022, PG&amp;E and several parties, including</w:t>
            </w:r>
            <w:r w:rsidRPr="00706AB7" w:rsidR="00706AB7">
              <w:t xml:space="preserve"> SBUA, filed</w:t>
            </w:r>
            <w:r w:rsidRPr="00040EE2" w:rsidR="00706AB7">
              <w:t xml:space="preserve"> a motion to adopt a joint settlement on outstanding real-time pricing issues (RTP settlement).</w:t>
            </w:r>
            <w:r w:rsidR="00706AB7">
              <w:t xml:space="preserve"> D.22-08-002, p. 3.</w:t>
            </w:r>
          </w:p>
          <w:p w:rsidRPr="007E6E4B" w:rsidR="007E6E4B" w:rsidP="007E6E4B" w:rsidRDefault="007E6E4B" w14:paraId="35330EB2" w14:textId="55726CFB">
            <w:pPr>
              <w:widowControl w:val="0"/>
              <w:autoSpaceDE w:val="0"/>
              <w:autoSpaceDN w:val="0"/>
              <w:adjustRightInd w:val="0"/>
              <w:snapToGrid w:val="0"/>
              <w:spacing w:before="240"/>
              <w:rPr>
                <w:color w:val="000000"/>
              </w:rPr>
            </w:pPr>
            <w:r w:rsidRPr="007E6E4B">
              <w:rPr>
                <w:color w:val="000000"/>
              </w:rPr>
              <w:t xml:space="preserve">The RA Settling Parties </w:t>
            </w:r>
            <w:r>
              <w:rPr>
                <w:color w:val="000000"/>
              </w:rPr>
              <w:t xml:space="preserve">include SBUA. </w:t>
            </w:r>
            <w:r w:rsidRPr="00E25FE5" w:rsidR="00FA3E43">
              <w:rPr>
                <w:i/>
                <w:iCs/>
                <w:color w:val="000000"/>
              </w:rPr>
              <w:t>See</w:t>
            </w:r>
            <w:r w:rsidR="00FA3E43">
              <w:rPr>
                <w:color w:val="000000"/>
              </w:rPr>
              <w:t xml:space="preserve"> </w:t>
            </w:r>
            <w:r>
              <w:rPr>
                <w:i/>
                <w:iCs/>
                <w:color w:val="000000"/>
              </w:rPr>
              <w:t xml:space="preserve">Motion of PG&amp;E for Adoption of </w:t>
            </w:r>
            <w:r w:rsidRPr="00274A76">
              <w:rPr>
                <w:i/>
                <w:iCs/>
                <w:color w:val="000000"/>
              </w:rPr>
              <w:t>Revenue Allocation Supplemental Settlement Agreement</w:t>
            </w:r>
            <w:r w:rsidRPr="007E6E4B">
              <w:rPr>
                <w:color w:val="000000"/>
              </w:rPr>
              <w:t>, dated April 8, 2021, p. 1</w:t>
            </w:r>
            <w:r w:rsidR="00625C79">
              <w:rPr>
                <w:color w:val="000000"/>
              </w:rPr>
              <w:t xml:space="preserve">. </w:t>
            </w:r>
            <w:r w:rsidRPr="007E6E4B">
              <w:rPr>
                <w:color w:val="000000"/>
              </w:rPr>
              <w:t xml:space="preserve">“The RA settlement </w:t>
            </w:r>
            <w:r>
              <w:rPr>
                <w:color w:val="000000"/>
              </w:rPr>
              <w:t xml:space="preserve">[entered into by SBUA and other parties] </w:t>
            </w:r>
            <w:r w:rsidRPr="007E6E4B">
              <w:rPr>
                <w:color w:val="000000"/>
              </w:rPr>
              <w:t xml:space="preserve">is reasonable in light of the whole record,” “consistent with the law,” and “the rate and bill impacts of the RA settlement are reasonable.” </w:t>
            </w:r>
            <w:r>
              <w:rPr>
                <w:color w:val="000000"/>
              </w:rPr>
              <w:t xml:space="preserve">D.21-11-016, </w:t>
            </w:r>
            <w:r w:rsidRPr="007E6E4B">
              <w:rPr>
                <w:color w:val="000000"/>
              </w:rPr>
              <w:t>Conclusions of Law #26-28.</w:t>
            </w:r>
          </w:p>
          <w:p w:rsidR="007E6E4B" w:rsidP="007E6E4B" w:rsidRDefault="007E6E4B" w14:paraId="02C79B88" w14:textId="6944FD51">
            <w:pPr>
              <w:widowControl w:val="0"/>
              <w:autoSpaceDE w:val="0"/>
              <w:autoSpaceDN w:val="0"/>
              <w:adjustRightInd w:val="0"/>
              <w:snapToGrid w:val="0"/>
              <w:spacing w:before="240"/>
              <w:rPr>
                <w:color w:val="000000"/>
              </w:rPr>
            </w:pPr>
            <w:r w:rsidRPr="00FB7488">
              <w:rPr>
                <w:color w:val="000000"/>
              </w:rPr>
              <w:t xml:space="preserve">The </w:t>
            </w:r>
            <w:r>
              <w:rPr>
                <w:color w:val="000000"/>
              </w:rPr>
              <w:t>EDR</w:t>
            </w:r>
            <w:r w:rsidRPr="00FB7488">
              <w:rPr>
                <w:color w:val="000000"/>
              </w:rPr>
              <w:t xml:space="preserve"> Settling Parties </w:t>
            </w:r>
            <w:r>
              <w:rPr>
                <w:color w:val="000000"/>
              </w:rPr>
              <w:t xml:space="preserve">include SBUA. </w:t>
            </w:r>
            <w:r w:rsidRPr="00FB7488" w:rsidR="00FA3E43">
              <w:rPr>
                <w:i/>
                <w:iCs/>
                <w:color w:val="000000"/>
              </w:rPr>
              <w:t>See</w:t>
            </w:r>
            <w:r w:rsidR="00FA3E43">
              <w:rPr>
                <w:i/>
                <w:iCs/>
                <w:color w:val="000000"/>
              </w:rPr>
              <w:t xml:space="preserve"> </w:t>
            </w:r>
            <w:r>
              <w:rPr>
                <w:i/>
                <w:iCs/>
                <w:color w:val="000000"/>
              </w:rPr>
              <w:t>Motion of PG&amp;E for Adoption of Economic Development Rate</w:t>
            </w:r>
            <w:r w:rsidRPr="00274A76">
              <w:rPr>
                <w:i/>
                <w:iCs/>
                <w:color w:val="000000"/>
              </w:rPr>
              <w:t xml:space="preserve"> Supplemental Settlement Agreement</w:t>
            </w:r>
            <w:r>
              <w:rPr>
                <w:i/>
                <w:iCs/>
                <w:color w:val="000000"/>
              </w:rPr>
              <w:t xml:space="preserve">, </w:t>
            </w:r>
            <w:r w:rsidRPr="007E6E4B">
              <w:rPr>
                <w:color w:val="000000"/>
              </w:rPr>
              <w:t>dated April 8, 2021, p. 1, fn. 1</w:t>
            </w:r>
            <w:r w:rsidRPr="00FB7488">
              <w:rPr>
                <w:color w:val="000000"/>
              </w:rPr>
              <w:t>.</w:t>
            </w:r>
            <w:r>
              <w:rPr>
                <w:color w:val="000000"/>
              </w:rPr>
              <w:t xml:space="preserve"> "[P]</w:t>
            </w:r>
            <w:r w:rsidRPr="00AB50E1">
              <w:rPr>
                <w:color w:val="000000"/>
              </w:rPr>
              <w:t>arties to the EDR settlement are EUF, Joint CCAs, PG&amp;E, Cal Advocates, and SBUA.</w:t>
            </w:r>
            <w:r>
              <w:rPr>
                <w:color w:val="000000"/>
              </w:rPr>
              <w:t xml:space="preserve">” D. 21-11-016, p. 125 </w:t>
            </w:r>
            <w:r w:rsidRPr="007E6E4B">
              <w:rPr>
                <w:color w:val="000000"/>
              </w:rPr>
              <w:t xml:space="preserve">“The EDR settlement is reasonable in light of the whole record, complies with the law, and is in the public interest.” </w:t>
            </w:r>
            <w:r>
              <w:rPr>
                <w:color w:val="000000"/>
              </w:rPr>
              <w:t xml:space="preserve">D.21-11-016 , </w:t>
            </w:r>
            <w:r w:rsidRPr="007E6E4B">
              <w:rPr>
                <w:color w:val="000000"/>
              </w:rPr>
              <w:t>Con</w:t>
            </w:r>
            <w:r>
              <w:rPr>
                <w:color w:val="000000"/>
              </w:rPr>
              <w:t>cl</w:t>
            </w:r>
            <w:r w:rsidRPr="007E6E4B">
              <w:rPr>
                <w:color w:val="000000"/>
              </w:rPr>
              <w:t>usions of Law #36.</w:t>
            </w:r>
          </w:p>
          <w:p w:rsidRPr="00A917E8" w:rsidR="007E6E4B" w:rsidP="007E6E4B" w:rsidRDefault="00625C79" w14:paraId="3EA67437" w14:textId="449E5AFA">
            <w:pPr>
              <w:widowControl w:val="0"/>
              <w:autoSpaceDE w:val="0"/>
              <w:autoSpaceDN w:val="0"/>
              <w:adjustRightInd w:val="0"/>
              <w:snapToGrid w:val="0"/>
              <w:spacing w:before="240"/>
              <w:rPr>
                <w:color w:val="000000"/>
              </w:rPr>
            </w:pPr>
            <w:r w:rsidRPr="00FB7488">
              <w:rPr>
                <w:color w:val="000000"/>
              </w:rPr>
              <w:t xml:space="preserve">The </w:t>
            </w:r>
            <w:r>
              <w:rPr>
                <w:color w:val="000000"/>
              </w:rPr>
              <w:t>C&amp;I</w:t>
            </w:r>
            <w:r w:rsidRPr="00FB7488">
              <w:rPr>
                <w:color w:val="000000"/>
              </w:rPr>
              <w:t xml:space="preserve"> Settling Parties </w:t>
            </w:r>
            <w:r>
              <w:rPr>
                <w:color w:val="000000"/>
              </w:rPr>
              <w:t>include SBUA</w:t>
            </w:r>
            <w:r>
              <w:rPr>
                <w:i/>
                <w:iCs/>
                <w:color w:val="000000"/>
              </w:rPr>
              <w:t xml:space="preserve"> </w:t>
            </w:r>
            <w:r w:rsidRPr="00FB7488" w:rsidR="00FA3E43">
              <w:rPr>
                <w:i/>
                <w:iCs/>
                <w:color w:val="000000"/>
              </w:rPr>
              <w:t>See</w:t>
            </w:r>
            <w:r w:rsidR="00FA3E43">
              <w:rPr>
                <w:i/>
                <w:iCs/>
                <w:color w:val="000000"/>
              </w:rPr>
              <w:t xml:space="preserve"> </w:t>
            </w:r>
            <w:r w:rsidR="007E6E4B">
              <w:rPr>
                <w:i/>
                <w:iCs/>
                <w:color w:val="000000"/>
              </w:rPr>
              <w:t>Motion of PG&amp;E for Adoption of Commercial and Industrial Rate design</w:t>
            </w:r>
            <w:r w:rsidRPr="00274A76" w:rsidR="007E6E4B">
              <w:rPr>
                <w:i/>
                <w:iCs/>
                <w:color w:val="000000"/>
              </w:rPr>
              <w:t xml:space="preserve"> Supplemental Settlement Agreement</w:t>
            </w:r>
            <w:r w:rsidR="007E6E4B">
              <w:rPr>
                <w:i/>
                <w:iCs/>
                <w:color w:val="000000"/>
              </w:rPr>
              <w:t xml:space="preserve">, </w:t>
            </w:r>
            <w:r w:rsidRPr="007E6E4B" w:rsidR="007E6E4B">
              <w:rPr>
                <w:color w:val="000000"/>
              </w:rPr>
              <w:t xml:space="preserve">dated April 13, 2021, p. 2, fn. </w:t>
            </w:r>
            <w:r>
              <w:rPr>
                <w:color w:val="000000"/>
              </w:rPr>
              <w:t>1</w:t>
            </w:r>
            <w:r w:rsidR="007E6E4B">
              <w:rPr>
                <w:color w:val="000000"/>
              </w:rPr>
              <w:t>.</w:t>
            </w:r>
            <w:r w:rsidR="007E6E4B">
              <w:rPr>
                <w:i/>
                <w:iCs/>
                <w:color w:val="000000"/>
              </w:rPr>
              <w:t xml:space="preserve"> </w:t>
            </w:r>
            <w:r w:rsidRPr="007E6E4B" w:rsidR="007E6E4B">
              <w:rPr>
                <w:color w:val="000000"/>
              </w:rPr>
              <w:t xml:space="preserve">“The C&amp;I rate design settlement </w:t>
            </w:r>
            <w:r w:rsidR="007E6E4B">
              <w:rPr>
                <w:color w:val="000000"/>
              </w:rPr>
              <w:t xml:space="preserve">[entered into by SBUA and other parties] </w:t>
            </w:r>
            <w:r w:rsidRPr="007E6E4B" w:rsidR="007E6E4B">
              <w:rPr>
                <w:color w:val="000000"/>
              </w:rPr>
              <w:t xml:space="preserve">is reasonable in light of the whole record, complies with the law, and is in the public interest.” </w:t>
            </w:r>
            <w:r w:rsidR="007E6E4B">
              <w:rPr>
                <w:color w:val="000000"/>
              </w:rPr>
              <w:t xml:space="preserve">D.21-11-016 , </w:t>
            </w:r>
            <w:r w:rsidRPr="00A917E8" w:rsidR="007E6E4B">
              <w:rPr>
                <w:color w:val="000000"/>
              </w:rPr>
              <w:t>Conclusions of Law #38.</w:t>
            </w:r>
          </w:p>
          <w:p w:rsidRPr="00040EE2" w:rsidR="007E6E4B" w:rsidP="00706AB7" w:rsidRDefault="000941C4" w14:paraId="12C54A96" w14:textId="08F05882">
            <w:pPr>
              <w:widowControl w:val="0"/>
              <w:autoSpaceDE w:val="0"/>
              <w:autoSpaceDN w:val="0"/>
              <w:adjustRightInd w:val="0"/>
              <w:snapToGrid w:val="0"/>
              <w:spacing w:before="240"/>
              <w:rPr>
                <w:i/>
                <w:iCs/>
              </w:rPr>
            </w:pPr>
            <w:r>
              <w:lastRenderedPageBreak/>
              <w:t>T</w:t>
            </w:r>
            <w:r w:rsidR="00883D55">
              <w:t>he RTP Settl</w:t>
            </w:r>
            <w:r>
              <w:t>ing Parties include SBUA</w:t>
            </w:r>
            <w:r w:rsidR="00706AB7">
              <w:t xml:space="preserve">. </w:t>
            </w:r>
            <w:r w:rsidRPr="00FB7488" w:rsidR="00FA3E43">
              <w:rPr>
                <w:i/>
                <w:iCs/>
                <w:color w:val="000000"/>
              </w:rPr>
              <w:t>See</w:t>
            </w:r>
            <w:r w:rsidR="00FA3E43">
              <w:t xml:space="preserve"> </w:t>
            </w:r>
            <w:r w:rsidRPr="00E25FE5" w:rsidR="00706AB7">
              <w:rPr>
                <w:i/>
                <w:iCs/>
              </w:rPr>
              <w:t>Joint Motion of Parties to Adopt Joint Settlement Agreement on RTP Pricing Issues Including State 1 Pilots</w:t>
            </w:r>
            <w:r w:rsidR="00706AB7">
              <w:t>, App. A, p. 2. “T</w:t>
            </w:r>
            <w:r w:rsidRPr="007E6E4B" w:rsidR="007E6E4B">
              <w:t xml:space="preserve">he terms of the RTP settlement are compromise positions between the various positions taken by the parties in their testimony,” and “[t]he parties to the RTP settlement engaged in settlement negotiations </w:t>
            </w:r>
            <w:r w:rsidRPr="00040EE2" w:rsidR="007E6E4B">
              <w:rPr>
                <w:i/>
                <w:iCs/>
              </w:rPr>
              <w:t>for over one year,</w:t>
            </w:r>
            <w:r w:rsidRPr="007E6E4B" w:rsidR="007E6E4B">
              <w:t xml:space="preserve"> and the settlement is a product of those efforts.” D.</w:t>
            </w:r>
            <w:r w:rsidR="007E6E4B">
              <w:t>22-08-002,</w:t>
            </w:r>
            <w:r w:rsidRPr="007E6E4B" w:rsidR="007E6E4B">
              <w:t xml:space="preserve"> Findings of Fact #1-2</w:t>
            </w:r>
            <w:r w:rsidR="00706AB7">
              <w:t xml:space="preserve"> (emphasis added)</w:t>
            </w:r>
            <w:r w:rsidRPr="007E6E4B" w:rsidR="007E6E4B">
              <w:t xml:space="preserve">. </w:t>
            </w:r>
            <w:r w:rsidR="00706AB7">
              <w:t>“</w:t>
            </w:r>
            <w:r w:rsidRPr="007E6E4B" w:rsidR="007E6E4B">
              <w:t>The RTP Settlement is reasonable in light of the whole record,” “consistent with the law,” “in the public interest,” and “should be approved by the Commission.” D</w:t>
            </w:r>
            <w:r w:rsidR="007E6E4B">
              <w:t>.22-08-002</w:t>
            </w:r>
            <w:r w:rsidRPr="007E6E4B" w:rsidR="007E6E4B">
              <w:t>, Conclusions of Law #1-5.</w:t>
            </w:r>
          </w:p>
          <w:p w:rsidRPr="00A917E8" w:rsidR="007E6E4B" w:rsidP="007E6E4B" w:rsidRDefault="007E6E4B" w14:paraId="35CB167D" w14:textId="77777777">
            <w:pPr>
              <w:widowControl w:val="0"/>
              <w:autoSpaceDE w:val="0"/>
              <w:autoSpaceDN w:val="0"/>
              <w:adjustRightInd w:val="0"/>
            </w:pPr>
          </w:p>
          <w:p w:rsidR="0025599F" w:rsidP="007E6E4B" w:rsidRDefault="0025599F" w14:paraId="254A8B38" w14:textId="1B272B50">
            <w:pPr>
              <w:widowControl w:val="0"/>
              <w:autoSpaceDE w:val="0"/>
              <w:autoSpaceDN w:val="0"/>
              <w:adjustRightInd w:val="0"/>
              <w:rPr>
                <w:color w:val="000000"/>
              </w:rPr>
            </w:pPr>
          </w:p>
        </w:tc>
        <w:tc>
          <w:tcPr>
            <w:tcW w:w="2340" w:type="dxa"/>
            <w:shd w:val="clear" w:color="auto" w:fill="auto"/>
          </w:tcPr>
          <w:p w:rsidRPr="007F620E" w:rsidR="0025599F" w:rsidP="0025599F" w:rsidRDefault="00D97DD9" w14:paraId="37CBA774" w14:textId="11001374">
            <w:pPr>
              <w:widowControl w:val="0"/>
              <w:rPr>
                <w:color w:val="000000"/>
              </w:rPr>
            </w:pPr>
            <w:r>
              <w:rPr>
                <w:color w:val="000000"/>
              </w:rPr>
              <w:lastRenderedPageBreak/>
              <w:t xml:space="preserve">Noted. </w:t>
            </w:r>
            <w:r w:rsidR="00D408D1">
              <w:rPr>
                <w:color w:val="000000"/>
              </w:rPr>
              <w:t>The degree to which SBUA’s participation substantially contributed to the final decision</w:t>
            </w:r>
            <w:r w:rsidR="00693EA6">
              <w:rPr>
                <w:color w:val="000000"/>
              </w:rPr>
              <w:t>s</w:t>
            </w:r>
            <w:r w:rsidR="00D408D1">
              <w:rPr>
                <w:color w:val="000000"/>
              </w:rPr>
              <w:t xml:space="preserve"> is </w:t>
            </w:r>
            <w:r w:rsidR="00D408D1">
              <w:rPr>
                <w:color w:val="000000"/>
              </w:rPr>
              <w:lastRenderedPageBreak/>
              <w:t xml:space="preserve">addressed in the </w:t>
            </w:r>
            <w:r w:rsidR="00E61B11">
              <w:rPr>
                <w:color w:val="000000"/>
              </w:rPr>
              <w:t>discussion of substantive issues below.</w:t>
            </w:r>
          </w:p>
        </w:tc>
      </w:tr>
      <w:tr w:rsidRPr="007F620E" w:rsidR="00A92D0B" w:rsidTr="006E05EE" w14:paraId="2E691FFC" w14:textId="77777777">
        <w:tc>
          <w:tcPr>
            <w:tcW w:w="3258" w:type="dxa"/>
            <w:shd w:val="clear" w:color="auto" w:fill="auto"/>
          </w:tcPr>
          <w:p w:rsidR="00A92D0B" w:rsidP="00574C44" w:rsidRDefault="00040EE2" w14:paraId="54649358" w14:textId="383BC50A">
            <w:pPr>
              <w:widowControl w:val="0"/>
              <w:rPr>
                <w:color w:val="000000"/>
              </w:rPr>
            </w:pPr>
            <w:r>
              <w:rPr>
                <w:b/>
                <w:bCs/>
                <w:color w:val="000000"/>
              </w:rPr>
              <w:lastRenderedPageBreak/>
              <w:t>2</w:t>
            </w:r>
            <w:r w:rsidRPr="00D81C7B" w:rsidR="00A92D0B">
              <w:rPr>
                <w:b/>
                <w:bCs/>
                <w:color w:val="000000"/>
              </w:rPr>
              <w:t>.</w:t>
            </w:r>
            <w:r w:rsidR="00E25078">
              <w:rPr>
                <w:color w:val="000000"/>
              </w:rPr>
              <w:t xml:space="preserve"> </w:t>
            </w:r>
            <w:r w:rsidRPr="001C44B9" w:rsidR="001C44B9">
              <w:rPr>
                <w:b/>
                <w:bCs/>
                <w:color w:val="000000"/>
                <w:u w:val="single"/>
              </w:rPr>
              <w:t xml:space="preserve">Initial </w:t>
            </w:r>
            <w:r w:rsidR="002B7616">
              <w:rPr>
                <w:b/>
                <w:bCs/>
                <w:color w:val="000000"/>
                <w:u w:val="single"/>
              </w:rPr>
              <w:t>Application</w:t>
            </w:r>
            <w:r w:rsidRPr="001C44B9" w:rsidR="001C44B9">
              <w:rPr>
                <w:b/>
                <w:bCs/>
                <w:color w:val="000000"/>
                <w:u w:val="single"/>
              </w:rPr>
              <w:t xml:space="preserve"> </w:t>
            </w:r>
            <w:r w:rsidR="00032521">
              <w:rPr>
                <w:b/>
                <w:bCs/>
                <w:color w:val="000000"/>
                <w:u w:val="single"/>
              </w:rPr>
              <w:t xml:space="preserve"> Participation</w:t>
            </w:r>
            <w:r w:rsidR="00274A76">
              <w:rPr>
                <w:b/>
                <w:bCs/>
                <w:color w:val="000000"/>
                <w:u w:val="single"/>
              </w:rPr>
              <w:t xml:space="preserve"> and Evidentiary Hearings</w:t>
            </w:r>
          </w:p>
          <w:p w:rsidRPr="00D97B54" w:rsidR="001C44B9" w:rsidP="00153A46" w:rsidRDefault="00916B17" w14:paraId="0ADCCA70" w14:textId="47EBAAA8">
            <w:pPr>
              <w:widowControl w:val="0"/>
              <w:snapToGrid w:val="0"/>
              <w:spacing w:before="240"/>
              <w:rPr>
                <w:color w:val="000000"/>
              </w:rPr>
            </w:pPr>
            <w:r>
              <w:rPr>
                <w:color w:val="000000"/>
              </w:rPr>
              <w:t xml:space="preserve">SBUA </w:t>
            </w:r>
            <w:r w:rsidR="00D97B54">
              <w:rPr>
                <w:color w:val="000000"/>
              </w:rPr>
              <w:t xml:space="preserve">filed a Response to the Application on </w:t>
            </w:r>
            <w:r w:rsidR="00926429">
              <w:rPr>
                <w:color w:val="000000"/>
              </w:rPr>
              <w:t>January 10, 2020</w:t>
            </w:r>
            <w:r w:rsidR="00D97B54">
              <w:rPr>
                <w:color w:val="000000"/>
              </w:rPr>
              <w:t xml:space="preserve"> specifically focused on </w:t>
            </w:r>
            <w:r w:rsidR="00926429">
              <w:rPr>
                <w:color w:val="000000"/>
              </w:rPr>
              <w:t xml:space="preserve">SBUA’s concern that the </w:t>
            </w:r>
            <w:r w:rsidRPr="00926429" w:rsidR="00926429">
              <w:rPr>
                <w:color w:val="000000"/>
              </w:rPr>
              <w:t xml:space="preserve">Application will fail to consider the real-world implications of each of these proceedings on PG&amp;E’s customers, particularly small commercial customers. </w:t>
            </w:r>
            <w:r w:rsidR="00926429">
              <w:rPr>
                <w:color w:val="000000"/>
              </w:rPr>
              <w:t>SBUA advocated that the</w:t>
            </w:r>
            <w:r w:rsidRPr="00926429" w:rsidR="00926429">
              <w:rPr>
                <w:color w:val="000000"/>
              </w:rPr>
              <w:t xml:space="preserve"> Application should not be assessed without the consideration of all of the outstanding issues and implications of the current situation faced by PG&amp;E on its customers.</w:t>
            </w:r>
            <w:r w:rsidR="00C62899">
              <w:rPr>
                <w:color w:val="000000"/>
              </w:rPr>
              <w:t xml:space="preserve"> </w:t>
            </w:r>
            <w:r w:rsidRPr="00C62899" w:rsidR="00C62899">
              <w:rPr>
                <w:i/>
                <w:iCs/>
                <w:color w:val="000000"/>
              </w:rPr>
              <w:t xml:space="preserve">See, </w:t>
            </w:r>
            <w:r w:rsidR="00D97B54">
              <w:rPr>
                <w:i/>
                <w:iCs/>
                <w:color w:val="000000"/>
              </w:rPr>
              <w:t>Response</w:t>
            </w:r>
            <w:r w:rsidRPr="00C62899" w:rsidR="00C62899">
              <w:rPr>
                <w:i/>
                <w:iCs/>
                <w:color w:val="000000"/>
              </w:rPr>
              <w:t xml:space="preserve"> of SBUA dated </w:t>
            </w:r>
            <w:r w:rsidR="00926429">
              <w:rPr>
                <w:i/>
                <w:iCs/>
                <w:color w:val="000000"/>
              </w:rPr>
              <w:t>January 10, 2020</w:t>
            </w:r>
            <w:r w:rsidRPr="00C62899" w:rsidR="00C62899">
              <w:rPr>
                <w:i/>
                <w:iCs/>
                <w:color w:val="000000"/>
              </w:rPr>
              <w:t>.</w:t>
            </w:r>
            <w:r w:rsidR="004B0ED3">
              <w:rPr>
                <w:i/>
                <w:iCs/>
                <w:color w:val="000000"/>
              </w:rPr>
              <w:t xml:space="preserve"> </w:t>
            </w:r>
          </w:p>
          <w:p w:rsidR="005009E4" w:rsidP="00574C44" w:rsidRDefault="005009E4" w14:paraId="139C83B5" w14:textId="77777777">
            <w:pPr>
              <w:widowControl w:val="0"/>
              <w:rPr>
                <w:color w:val="000000"/>
              </w:rPr>
            </w:pPr>
          </w:p>
          <w:p w:rsidR="005009E4" w:rsidP="00574C44" w:rsidRDefault="005009E4" w14:paraId="5DD3433C" w14:textId="1706F9B2">
            <w:pPr>
              <w:widowControl w:val="0"/>
              <w:rPr>
                <w:color w:val="000000"/>
              </w:rPr>
            </w:pPr>
            <w:r>
              <w:rPr>
                <w:color w:val="000000"/>
              </w:rPr>
              <w:lastRenderedPageBreak/>
              <w:t xml:space="preserve">SBUA attended the </w:t>
            </w:r>
            <w:r w:rsidR="00926429">
              <w:rPr>
                <w:color w:val="000000"/>
              </w:rPr>
              <w:t>January 23, 2020</w:t>
            </w:r>
            <w:r>
              <w:rPr>
                <w:color w:val="000000"/>
              </w:rPr>
              <w:t xml:space="preserve"> Pre-hearing Conference in which the scope and schedule of the proceeding was discussed.</w:t>
            </w:r>
          </w:p>
          <w:p w:rsidR="00BE3629" w:rsidP="00574C44" w:rsidRDefault="00BE3629" w14:paraId="01A5EA33" w14:textId="77777777">
            <w:pPr>
              <w:widowControl w:val="0"/>
              <w:rPr>
                <w:color w:val="000000"/>
              </w:rPr>
            </w:pPr>
          </w:p>
          <w:p w:rsidRPr="00C96A25" w:rsidR="00BE3629" w:rsidP="00BE3629" w:rsidRDefault="00BE3629" w14:paraId="5AED0827" w14:textId="56623221">
            <w:pPr>
              <w:rPr>
                <w:i/>
                <w:iCs/>
                <w:color w:val="000000"/>
              </w:rPr>
            </w:pPr>
            <w:r>
              <w:rPr>
                <w:color w:val="000000"/>
              </w:rPr>
              <w:t xml:space="preserve">SBUA joined a Motion by parties to bifurcate the procedural schedule of the  proceeding and allow for the real-time pricing (RTP) issues to proceed on a separate track. </w:t>
            </w:r>
            <w:r w:rsidRPr="00C96A25">
              <w:rPr>
                <w:i/>
                <w:iCs/>
                <w:color w:val="000000"/>
              </w:rPr>
              <w:t>See, January 27, 2021 Joint Motion to Bifurcate.</w:t>
            </w:r>
          </w:p>
          <w:p w:rsidR="009C2005" w:rsidP="00574C44" w:rsidRDefault="009C2005" w14:paraId="54378824" w14:textId="6DA25E3D">
            <w:pPr>
              <w:widowControl w:val="0"/>
              <w:rPr>
                <w:color w:val="000000"/>
              </w:rPr>
            </w:pPr>
          </w:p>
          <w:p w:rsidRPr="002024B1" w:rsidR="001C5B0A" w:rsidP="001C2033" w:rsidRDefault="00A85311" w14:paraId="6A6B3CB1" w14:textId="65A5EA0A">
            <w:pPr>
              <w:rPr>
                <w:i/>
                <w:iCs/>
                <w:color w:val="000000"/>
              </w:rPr>
            </w:pPr>
            <w:r>
              <w:rPr>
                <w:color w:val="000000"/>
              </w:rPr>
              <w:t xml:space="preserve">Based upon the Scoping Memorandum and Ruling and the </w:t>
            </w:r>
            <w:r w:rsidR="00DD6581">
              <w:rPr>
                <w:color w:val="000000"/>
              </w:rPr>
              <w:t xml:space="preserve">two </w:t>
            </w:r>
            <w:r>
              <w:rPr>
                <w:color w:val="000000"/>
              </w:rPr>
              <w:t xml:space="preserve">Amended Scoping Memorandum and Ruling, SBUA engaged in </w:t>
            </w:r>
            <w:r w:rsidR="00153A46">
              <w:rPr>
                <w:color w:val="000000"/>
              </w:rPr>
              <w:t>discovery, drafting</w:t>
            </w:r>
            <w:r w:rsidR="001200B3">
              <w:rPr>
                <w:color w:val="000000"/>
              </w:rPr>
              <w:t xml:space="preserve"> and submitting </w:t>
            </w:r>
            <w:r w:rsidR="00BC569D">
              <w:rPr>
                <w:color w:val="000000"/>
              </w:rPr>
              <w:t xml:space="preserve">direct and rebuttal </w:t>
            </w:r>
            <w:r w:rsidR="001200B3">
              <w:rPr>
                <w:color w:val="000000"/>
              </w:rPr>
              <w:t>testimony</w:t>
            </w:r>
            <w:r w:rsidR="00BE3629">
              <w:rPr>
                <w:color w:val="000000"/>
              </w:rPr>
              <w:t xml:space="preserve">. </w:t>
            </w:r>
            <w:r w:rsidRPr="00BE3629" w:rsidR="00BE3629">
              <w:rPr>
                <w:i/>
                <w:iCs/>
                <w:color w:val="000000"/>
              </w:rPr>
              <w:t>See,</w:t>
            </w:r>
            <w:r w:rsidR="00CD0692">
              <w:rPr>
                <w:i/>
                <w:iCs/>
                <w:color w:val="000000"/>
              </w:rPr>
              <w:t xml:space="preserve"> </w:t>
            </w:r>
            <w:r w:rsidRPr="00CD0692" w:rsidR="00CD0692">
              <w:rPr>
                <w:i/>
                <w:iCs/>
                <w:color w:val="000000"/>
              </w:rPr>
              <w:t xml:space="preserve">Direct Testimony of Paul L. Chernick and John D. Wilson on behalf of Small Business Utility Advocates </w:t>
            </w:r>
            <w:r w:rsidRPr="00BE3629" w:rsidR="00BE3629">
              <w:rPr>
                <w:i/>
                <w:iCs/>
                <w:color w:val="000000"/>
              </w:rPr>
              <w:t>served on November 20, 2020</w:t>
            </w:r>
            <w:r w:rsidR="00BE3629">
              <w:rPr>
                <w:i/>
                <w:iCs/>
                <w:color w:val="000000"/>
              </w:rPr>
              <w:t xml:space="preserve"> </w:t>
            </w:r>
            <w:r w:rsidR="00BE3629">
              <w:rPr>
                <w:color w:val="000000"/>
              </w:rPr>
              <w:t xml:space="preserve">and </w:t>
            </w:r>
            <w:r w:rsidRPr="00CD0692" w:rsidR="00CD0692">
              <w:rPr>
                <w:i/>
                <w:iCs/>
                <w:color w:val="000000"/>
              </w:rPr>
              <w:t xml:space="preserve">Reply Testimony of Paul L. Chernick and John D. Wilson on behalf of Small Business Utility Advocates </w:t>
            </w:r>
            <w:r w:rsidRPr="00BC569D" w:rsidR="00BC569D">
              <w:rPr>
                <w:i/>
                <w:iCs/>
                <w:color w:val="000000"/>
              </w:rPr>
              <w:t>served on February 26, 2021</w:t>
            </w:r>
            <w:r w:rsidR="00BC569D">
              <w:rPr>
                <w:i/>
                <w:iCs/>
                <w:color w:val="000000"/>
              </w:rPr>
              <w:t>.</w:t>
            </w:r>
          </w:p>
          <w:p w:rsidR="00D34F90" w:rsidP="00BC569D" w:rsidRDefault="00D34F90" w14:paraId="52A8D4E8" w14:textId="77777777">
            <w:pPr>
              <w:rPr>
                <w:color w:val="000000"/>
              </w:rPr>
            </w:pPr>
          </w:p>
          <w:p w:rsidRPr="0071373F" w:rsidR="00F60076" w:rsidP="007E6E4B" w:rsidRDefault="00D34F90" w14:paraId="1B0CC007" w14:textId="5EEF315C">
            <w:pPr>
              <w:spacing w:after="120"/>
              <w:rPr>
                <w:color w:val="000000"/>
              </w:rPr>
            </w:pPr>
            <w:r>
              <w:rPr>
                <w:color w:val="000000"/>
              </w:rPr>
              <w:t xml:space="preserve">In lieu of cross-examination during the lengthy hearings, SBUA submitted </w:t>
            </w:r>
            <w:r w:rsidR="00FA3E43">
              <w:rPr>
                <w:color w:val="000000"/>
              </w:rPr>
              <w:t xml:space="preserve">Exhibits </w:t>
            </w:r>
            <w:r w:rsidR="0050128F">
              <w:rPr>
                <w:color w:val="000000"/>
              </w:rPr>
              <w:t>SBUA 3 through 6, which comprised Stipulated Data Responses in lieu of cross-examination for PG&amp;E, Public Advocates Office, the Energy Users and Producers Coalition (EPUC) and the California Large Energy Consumers Association (CLECA)</w:t>
            </w:r>
            <w:r w:rsidRPr="00E9343E" w:rsidR="00F60076">
              <w:rPr>
                <w:i/>
                <w:iCs/>
                <w:color w:val="000000"/>
              </w:rPr>
              <w:t>.</w:t>
            </w:r>
          </w:p>
        </w:tc>
        <w:tc>
          <w:tcPr>
            <w:tcW w:w="4140" w:type="dxa"/>
            <w:shd w:val="clear" w:color="auto" w:fill="auto"/>
          </w:tcPr>
          <w:p w:rsidR="00984200" w:rsidP="008148C5" w:rsidRDefault="00DF623E" w14:paraId="06DA8540" w14:textId="77777777">
            <w:pPr>
              <w:rPr>
                <w:color w:val="000000"/>
              </w:rPr>
            </w:pPr>
            <w:r>
              <w:rPr>
                <w:color w:val="000000"/>
              </w:rPr>
              <w:lastRenderedPageBreak/>
              <w:t>“</w:t>
            </w:r>
            <w:r w:rsidRPr="00DF623E">
              <w:rPr>
                <w:color w:val="000000"/>
              </w:rPr>
              <w:t>Pacific Gas and Electric Company (PG&amp;E) filed this General Rate Case (GRC) Phase 2 application (Application (A.) 19-11-019) on November 22, 2019.</w:t>
            </w:r>
            <w:r>
              <w:rPr>
                <w:color w:val="000000"/>
              </w:rPr>
              <w:t xml:space="preserve"> …</w:t>
            </w:r>
            <w:r w:rsidRPr="00DF623E">
              <w:rPr>
                <w:rFonts w:ascii="Book Antiqua" w:hAnsi="Book Antiqua" w:eastAsia="Calibri"/>
                <w:sz w:val="26"/>
                <w:szCs w:val="26"/>
              </w:rPr>
              <w:t xml:space="preserve"> </w:t>
            </w:r>
            <w:r w:rsidRPr="00DF623E">
              <w:rPr>
                <w:color w:val="000000"/>
              </w:rPr>
              <w:t>Responses to PG&amp;E’s application were filed on</w:t>
            </w:r>
            <w:r>
              <w:rPr>
                <w:color w:val="000000"/>
              </w:rPr>
              <w:t xml:space="preserve"> </w:t>
            </w:r>
            <w:r w:rsidRPr="00DF623E">
              <w:rPr>
                <w:color w:val="000000"/>
              </w:rPr>
              <w:t xml:space="preserve">January 10, 2020 by </w:t>
            </w:r>
            <w:r>
              <w:rPr>
                <w:color w:val="000000"/>
              </w:rPr>
              <w:t>…</w:t>
            </w:r>
            <w:r w:rsidRPr="00DF623E">
              <w:rPr>
                <w:color w:val="000000"/>
              </w:rPr>
              <w:t xml:space="preserve"> Small Business Utility Advocates (SBUA),</w:t>
            </w:r>
            <w:r>
              <w:rPr>
                <w:color w:val="000000"/>
              </w:rPr>
              <w:t>…” D. 21-11-016, pp. 2-3.</w:t>
            </w:r>
            <w:r w:rsidRPr="00DF623E">
              <w:rPr>
                <w:color w:val="000000"/>
              </w:rPr>
              <w:t xml:space="preserve">   </w:t>
            </w:r>
          </w:p>
          <w:p w:rsidR="00C96A25" w:rsidP="008148C5" w:rsidRDefault="00C96A25" w14:paraId="3FE62024" w14:textId="77777777">
            <w:pPr>
              <w:rPr>
                <w:color w:val="000000"/>
              </w:rPr>
            </w:pPr>
          </w:p>
          <w:p w:rsidRPr="00C96A25" w:rsidR="00C96A25" w:rsidP="00C96A25" w:rsidRDefault="00C96A25" w14:paraId="11E867AF" w14:textId="407509EC">
            <w:pPr>
              <w:rPr>
                <w:color w:val="000000"/>
              </w:rPr>
            </w:pPr>
            <w:r>
              <w:rPr>
                <w:color w:val="000000"/>
              </w:rPr>
              <w:t>“</w:t>
            </w:r>
            <w:r w:rsidRPr="00C96A25">
              <w:rPr>
                <w:color w:val="000000"/>
              </w:rPr>
              <w:t>On August 27, 2020, the assigned Administrative Law Judge (ALJ) issued a ruling seeking party testimony on real-time pricing rate design issues for consideration in this proceeding.  In November and December 2020, two motions were filed seeking to consolidate the real-time pricing rate design issues with a separate Commission proceeding considering a real-time pricing structure for certain PG&amp;E electric vehicle charging station operators (A.20-10-011). Both motions were denied.</w:t>
            </w:r>
            <w:r>
              <w:rPr>
                <w:color w:val="000000"/>
              </w:rPr>
              <w:t xml:space="preserve"> </w:t>
            </w:r>
            <w:r w:rsidRPr="00C96A25">
              <w:rPr>
                <w:color w:val="000000"/>
              </w:rPr>
              <w:t>However, several parties</w:t>
            </w:r>
            <w:r w:rsidR="00DA06E4">
              <w:rPr>
                <w:color w:val="000000"/>
              </w:rPr>
              <w:t xml:space="preserve"> </w:t>
            </w:r>
            <w:r w:rsidR="00DA06E4">
              <w:rPr>
                <w:color w:val="000000"/>
              </w:rPr>
              <w:lastRenderedPageBreak/>
              <w:t>[including SBUA]</w:t>
            </w:r>
            <w:r w:rsidRPr="00C96A25">
              <w:rPr>
                <w:color w:val="000000"/>
              </w:rPr>
              <w:t xml:space="preserve"> jointly filed a motion on January 27, 2021 seeking to bifurcate the real-time pricing rate design issues from the other marginal cost and rate design issues in this proceeding and consider them on a delayed track. This motion was granted on February 2, 2021.  </w:t>
            </w:r>
          </w:p>
          <w:p w:rsidR="005F3F23" w:rsidP="00C96A25" w:rsidRDefault="005F3F23" w14:paraId="1875A158" w14:textId="77777777">
            <w:pPr>
              <w:rPr>
                <w:color w:val="000000"/>
              </w:rPr>
            </w:pPr>
          </w:p>
          <w:p w:rsidR="00C96A25" w:rsidP="008148C5" w:rsidRDefault="00C96A25" w14:paraId="6C55B8DF" w14:textId="6C60C302">
            <w:pPr>
              <w:rPr>
                <w:color w:val="000000"/>
              </w:rPr>
            </w:pPr>
            <w:r w:rsidRPr="00C96A25">
              <w:rPr>
                <w:color w:val="000000"/>
              </w:rPr>
              <w:t>The bifurcation of the real-time pricing issues required a revision to the proceeding schedule, and an Assigned Commissioner’s Amended Scoping Memo and Ruling (amended scoping memo) was filed on February 16, 2021 to clarify the remaining procedural schedule.</w:t>
            </w:r>
            <w:r>
              <w:rPr>
                <w:color w:val="000000"/>
              </w:rPr>
              <w:t xml:space="preserve">” D.21-11-016, </w:t>
            </w:r>
            <w:r w:rsidR="00FA3E43">
              <w:rPr>
                <w:color w:val="000000"/>
              </w:rPr>
              <w:t>p</w:t>
            </w:r>
            <w:r>
              <w:rPr>
                <w:color w:val="000000"/>
              </w:rPr>
              <w:t>p. 4</w:t>
            </w:r>
            <w:r w:rsidR="005F3F23">
              <w:rPr>
                <w:color w:val="000000"/>
              </w:rPr>
              <w:t>-5.</w:t>
            </w:r>
          </w:p>
          <w:p w:rsidR="00BE3629" w:rsidP="008148C5" w:rsidRDefault="00BE3629" w14:paraId="4F970BB5" w14:textId="70A90ACC">
            <w:pPr>
              <w:rPr>
                <w:color w:val="000000"/>
              </w:rPr>
            </w:pPr>
          </w:p>
          <w:p w:rsidRPr="00BE3629" w:rsidR="00BE3629" w:rsidP="00BE3629" w:rsidRDefault="006E2777" w14:paraId="326BD7B7" w14:textId="2D8C0F78">
            <w:pPr>
              <w:rPr>
                <w:color w:val="000000"/>
              </w:rPr>
            </w:pPr>
            <w:r>
              <w:rPr>
                <w:color w:val="000000"/>
              </w:rPr>
              <w:t xml:space="preserve">SBUA and </w:t>
            </w:r>
            <w:r w:rsidR="00BE3629">
              <w:rPr>
                <w:color w:val="000000"/>
              </w:rPr>
              <w:t>“[</w:t>
            </w:r>
            <w:r w:rsidRPr="00BE3629" w:rsidR="00BE3629">
              <w:rPr>
                <w:color w:val="000000"/>
              </w:rPr>
              <w:t>o</w:t>
            </w:r>
            <w:r w:rsidR="00BE3629">
              <w:rPr>
                <w:color w:val="000000"/>
              </w:rPr>
              <w:t>]</w:t>
            </w:r>
            <w:r w:rsidRPr="00BE3629" w:rsidR="00BE3629">
              <w:rPr>
                <w:color w:val="000000"/>
              </w:rPr>
              <w:t>ther intervenors served their opening testimony on November 20, 2020.  Rebuttal testimony was served by all parties by February 26, 2021.</w:t>
            </w:r>
            <w:r w:rsidR="00BE3629">
              <w:rPr>
                <w:color w:val="000000"/>
              </w:rPr>
              <w:t>” D.21-11-016, p. 5.</w:t>
            </w:r>
          </w:p>
          <w:p w:rsidR="00D34F90" w:rsidP="00D34F90" w:rsidRDefault="00D34F90" w14:paraId="2A9EAD8A" w14:textId="2474622C"/>
          <w:p w:rsidRPr="00D34F90" w:rsidR="00D34F90" w:rsidP="00D34F90" w:rsidRDefault="00D34F90" w14:paraId="1FE70010" w14:textId="409BD807">
            <w:r>
              <w:t>“</w:t>
            </w:r>
            <w:r w:rsidRPr="00D34F90">
              <w:t>Evidentiary hearing was held on April 8, 9, 12, 13, 14, 16, 19, and 22, 2021.</w:t>
            </w:r>
            <w:r>
              <w:t>” D.21-11-016, p. 5</w:t>
            </w:r>
            <w:r w:rsidRPr="00D34F90">
              <w:t xml:space="preserve">  </w:t>
            </w:r>
          </w:p>
          <w:p w:rsidR="00C96A25" w:rsidP="008148C5" w:rsidRDefault="00C96A25" w14:paraId="7EE5478E" w14:textId="5663D0C5">
            <w:pPr>
              <w:rPr>
                <w:color w:val="000000"/>
              </w:rPr>
            </w:pPr>
          </w:p>
          <w:p w:rsidR="0006401A" w:rsidP="008148C5" w:rsidRDefault="0006401A" w14:paraId="684ED673" w14:textId="3385F21D">
            <w:pPr>
              <w:rPr>
                <w:color w:val="000000"/>
              </w:rPr>
            </w:pPr>
          </w:p>
          <w:p w:rsidR="0006401A" w:rsidP="008148C5" w:rsidRDefault="0006401A" w14:paraId="34A61170" w14:textId="77777777">
            <w:pPr>
              <w:rPr>
                <w:color w:val="000000"/>
              </w:rPr>
            </w:pPr>
          </w:p>
          <w:p w:rsidRPr="007F620E" w:rsidR="00C96A25" w:rsidP="008148C5" w:rsidRDefault="00C96A25" w14:paraId="532F95D2" w14:textId="2FA242B1">
            <w:pPr>
              <w:rPr>
                <w:color w:val="000000"/>
              </w:rPr>
            </w:pPr>
          </w:p>
        </w:tc>
        <w:tc>
          <w:tcPr>
            <w:tcW w:w="2340" w:type="dxa"/>
            <w:shd w:val="clear" w:color="auto" w:fill="auto"/>
          </w:tcPr>
          <w:p w:rsidRPr="007F620E" w:rsidR="00A92D0B" w:rsidP="00574C44" w:rsidRDefault="00E61B11" w14:paraId="63938BDA" w14:textId="4AF70036">
            <w:pPr>
              <w:widowControl w:val="0"/>
              <w:rPr>
                <w:color w:val="000000"/>
              </w:rPr>
            </w:pPr>
            <w:r>
              <w:rPr>
                <w:color w:val="000000"/>
              </w:rPr>
              <w:lastRenderedPageBreak/>
              <w:t>Noted. The degree to which SBUA’s participation substantially contributed to the final decision</w:t>
            </w:r>
            <w:r w:rsidR="00693EA6">
              <w:rPr>
                <w:color w:val="000000"/>
              </w:rPr>
              <w:t>s</w:t>
            </w:r>
            <w:r>
              <w:rPr>
                <w:color w:val="000000"/>
              </w:rPr>
              <w:t xml:space="preserve"> is addressed in the discussion of substantive issues below.</w:t>
            </w:r>
          </w:p>
        </w:tc>
      </w:tr>
      <w:tr w:rsidRPr="007F620E" w:rsidR="00E74514" w:rsidTr="006E05EE" w14:paraId="21856A28" w14:textId="77777777">
        <w:tc>
          <w:tcPr>
            <w:tcW w:w="3258" w:type="dxa"/>
            <w:shd w:val="clear" w:color="auto" w:fill="auto"/>
          </w:tcPr>
          <w:p w:rsidR="00E74514" w:rsidP="00073262" w:rsidRDefault="00A5058A" w14:paraId="75193697" w14:textId="3ADFBEA0">
            <w:pPr>
              <w:rPr>
                <w:b/>
                <w:bCs/>
                <w:color w:val="000000"/>
                <w:u w:val="single"/>
              </w:rPr>
            </w:pPr>
            <w:r>
              <w:rPr>
                <w:b/>
                <w:bCs/>
                <w:color w:val="000000"/>
              </w:rPr>
              <w:lastRenderedPageBreak/>
              <w:t>3</w:t>
            </w:r>
            <w:r w:rsidR="00FA01AB">
              <w:rPr>
                <w:b/>
                <w:bCs/>
                <w:color w:val="000000"/>
              </w:rPr>
              <w:t xml:space="preserve">. </w:t>
            </w:r>
            <w:r w:rsidRPr="00FA01AB" w:rsidR="00FA01AB">
              <w:rPr>
                <w:b/>
                <w:bCs/>
                <w:color w:val="000000"/>
                <w:u w:val="single"/>
              </w:rPr>
              <w:t>Margin</w:t>
            </w:r>
            <w:r w:rsidR="00B53071">
              <w:rPr>
                <w:b/>
                <w:bCs/>
                <w:color w:val="000000"/>
                <w:u w:val="single"/>
              </w:rPr>
              <w:t>al</w:t>
            </w:r>
            <w:r w:rsidRPr="00FA01AB" w:rsidR="00FA01AB">
              <w:rPr>
                <w:b/>
                <w:bCs/>
                <w:color w:val="000000"/>
                <w:u w:val="single"/>
              </w:rPr>
              <w:t xml:space="preserve"> Cost</w:t>
            </w:r>
            <w:r w:rsidR="00FA01AB">
              <w:rPr>
                <w:b/>
                <w:bCs/>
                <w:color w:val="000000"/>
                <w:u w:val="single"/>
              </w:rPr>
              <w:t xml:space="preserve"> of Service</w:t>
            </w:r>
          </w:p>
          <w:p w:rsidR="00FA01AB" w:rsidP="00073262" w:rsidRDefault="00FA01AB" w14:paraId="17901FC9" w14:textId="77777777">
            <w:pPr>
              <w:rPr>
                <w:b/>
                <w:bCs/>
                <w:color w:val="000000"/>
              </w:rPr>
            </w:pPr>
          </w:p>
          <w:p w:rsidR="007E6E4B" w:rsidP="00EE401B" w:rsidRDefault="007E6E4B" w14:paraId="1EB258B6" w14:textId="77777777">
            <w:pPr>
              <w:rPr>
                <w:i/>
                <w:iCs/>
                <w:color w:val="000000"/>
              </w:rPr>
            </w:pPr>
            <w:r>
              <w:rPr>
                <w:color w:val="000000"/>
              </w:rPr>
              <w:t xml:space="preserve">SBUA filed its Opening &amp; Reply Briefs addressing </w:t>
            </w:r>
            <w:r w:rsidRPr="001C5B0A">
              <w:rPr>
                <w:color w:val="000000"/>
              </w:rPr>
              <w:t xml:space="preserve">the issue of marginal cost of service </w:t>
            </w:r>
            <w:r>
              <w:rPr>
                <w:color w:val="000000"/>
              </w:rPr>
              <w:t xml:space="preserve">which </w:t>
            </w:r>
            <w:r w:rsidRPr="001C5B0A">
              <w:rPr>
                <w:color w:val="000000"/>
              </w:rPr>
              <w:t>remain</w:t>
            </w:r>
            <w:r>
              <w:rPr>
                <w:color w:val="000000"/>
              </w:rPr>
              <w:t>ed</w:t>
            </w:r>
            <w:r w:rsidRPr="001C5B0A">
              <w:rPr>
                <w:color w:val="000000"/>
              </w:rPr>
              <w:t xml:space="preserve"> </w:t>
            </w:r>
            <w:r>
              <w:rPr>
                <w:color w:val="000000"/>
              </w:rPr>
              <w:t>as an</w:t>
            </w:r>
            <w:r w:rsidRPr="001C5B0A">
              <w:rPr>
                <w:color w:val="000000"/>
              </w:rPr>
              <w:t xml:space="preserve"> open and litigated issue in the proceeding.</w:t>
            </w:r>
            <w:r>
              <w:rPr>
                <w:color w:val="000000"/>
              </w:rPr>
              <w:t xml:space="preserve"> </w:t>
            </w:r>
            <w:r w:rsidRPr="00EE401B">
              <w:rPr>
                <w:i/>
                <w:iCs/>
                <w:color w:val="000000"/>
              </w:rPr>
              <w:t>See, Opening Brief of Small Business Utility Advocates, dated May 20, 2021</w:t>
            </w:r>
            <w:r>
              <w:rPr>
                <w:i/>
                <w:iCs/>
                <w:color w:val="000000"/>
              </w:rPr>
              <w:t xml:space="preserve"> </w:t>
            </w:r>
            <w:r w:rsidRPr="00914B22">
              <w:rPr>
                <w:color w:val="000000"/>
              </w:rPr>
              <w:t xml:space="preserve">and </w:t>
            </w:r>
            <w:r w:rsidRPr="00E9343E">
              <w:rPr>
                <w:i/>
                <w:iCs/>
                <w:color w:val="000000"/>
              </w:rPr>
              <w:t>See, Reply Brief of Small Business Utility Advocates, dated June 10, 2021</w:t>
            </w:r>
          </w:p>
          <w:p w:rsidR="007E6E4B" w:rsidP="00EE401B" w:rsidRDefault="007E6E4B" w14:paraId="5D881578" w14:textId="77777777">
            <w:pPr>
              <w:rPr>
                <w:color w:val="000000"/>
              </w:rPr>
            </w:pPr>
          </w:p>
          <w:p w:rsidR="00EE401B" w:rsidP="00EE401B" w:rsidRDefault="00EE401B" w14:paraId="01C7C3DB" w14:textId="004476A4">
            <w:pPr>
              <w:rPr>
                <w:color w:val="000000"/>
              </w:rPr>
            </w:pPr>
            <w:r>
              <w:rPr>
                <w:color w:val="000000"/>
              </w:rPr>
              <w:t xml:space="preserve">In our Opening Brief, SBUA recommended: </w:t>
            </w:r>
          </w:p>
          <w:p w:rsidR="00F60076" w:rsidP="00EE401B" w:rsidRDefault="00F60076" w14:paraId="50D31C06" w14:textId="77777777">
            <w:pPr>
              <w:rPr>
                <w:color w:val="000000"/>
              </w:rPr>
            </w:pPr>
          </w:p>
          <w:p w:rsidR="00FB6213" w:rsidP="00EE401B" w:rsidRDefault="00FB6213" w14:paraId="6988ACFC" w14:textId="3E3059D8">
            <w:pPr>
              <w:numPr>
                <w:ilvl w:val="0"/>
                <w:numId w:val="11"/>
              </w:numPr>
              <w:rPr>
                <w:color w:val="000000"/>
              </w:rPr>
            </w:pPr>
            <w:r>
              <w:rPr>
                <w:color w:val="000000"/>
              </w:rPr>
              <w:t>The Commission should address MCEC either through embedded cost analysis or the NCO method.</w:t>
            </w:r>
          </w:p>
          <w:p w:rsidRPr="001C5B0A" w:rsidR="00EE401B" w:rsidP="00EE401B" w:rsidRDefault="00EE401B" w14:paraId="4A2F7267" w14:textId="77777777">
            <w:pPr>
              <w:numPr>
                <w:ilvl w:val="0"/>
                <w:numId w:val="11"/>
              </w:numPr>
              <w:rPr>
                <w:color w:val="000000"/>
              </w:rPr>
            </w:pPr>
            <w:r w:rsidRPr="001C5B0A">
              <w:rPr>
                <w:color w:val="000000"/>
              </w:rPr>
              <w:t>The Commission should approve PG&amp;E’s use of costs driven by new capacity for system reliability in its calculation of MGCCs.</w:t>
            </w:r>
          </w:p>
          <w:p w:rsidR="00EE401B" w:rsidP="00EE401B" w:rsidRDefault="00EE401B" w14:paraId="1944B702" w14:textId="1F4363FD">
            <w:pPr>
              <w:numPr>
                <w:ilvl w:val="0"/>
                <w:numId w:val="11"/>
              </w:numPr>
              <w:rPr>
                <w:color w:val="000000"/>
              </w:rPr>
            </w:pPr>
            <w:r w:rsidRPr="001C5B0A">
              <w:rPr>
                <w:color w:val="000000"/>
              </w:rPr>
              <w:t>The Commission should endorse Cal Advocates’ recommendations for determining MCACs, including the New Customer Only method and the recovery of meter O&amp;M costs through a lifetime O&amp;M adder.</w:t>
            </w:r>
          </w:p>
          <w:p w:rsidRPr="001C5B0A" w:rsidR="00F60076" w:rsidP="00F60076" w:rsidRDefault="00F60076" w14:paraId="775F9B5A" w14:textId="77777777">
            <w:pPr>
              <w:rPr>
                <w:color w:val="000000"/>
              </w:rPr>
            </w:pPr>
          </w:p>
          <w:p w:rsidRPr="001C5B0A" w:rsidR="00FB6213" w:rsidP="00EE401B" w:rsidRDefault="00EE401B" w14:paraId="2C4596E3" w14:textId="04BA4887">
            <w:pPr>
              <w:rPr>
                <w:i/>
                <w:iCs/>
                <w:color w:val="000000"/>
              </w:rPr>
            </w:pPr>
            <w:r w:rsidRPr="001C5B0A">
              <w:rPr>
                <w:i/>
                <w:iCs/>
                <w:color w:val="000000"/>
              </w:rPr>
              <w:t>See, Opening Brief of Small Business Utility Advocates, dated May 20, 2021.</w:t>
            </w:r>
          </w:p>
          <w:p w:rsidR="00FA01AB" w:rsidP="00073262" w:rsidRDefault="00FA01AB" w14:paraId="3415B61B" w14:textId="590B5317">
            <w:pPr>
              <w:rPr>
                <w:color w:val="000000"/>
              </w:rPr>
            </w:pPr>
          </w:p>
          <w:p w:rsidRPr="00E047C0" w:rsidR="00563ED9" w:rsidP="00563ED9" w:rsidRDefault="000B0A70" w14:paraId="722AB84D" w14:textId="70412013">
            <w:pPr>
              <w:rPr>
                <w:color w:val="000000"/>
              </w:rPr>
            </w:pPr>
            <w:r>
              <w:rPr>
                <w:color w:val="000000"/>
              </w:rPr>
              <w:t xml:space="preserve">While the Commission </w:t>
            </w:r>
            <w:r w:rsidR="00563ED9">
              <w:rPr>
                <w:color w:val="000000"/>
              </w:rPr>
              <w:t xml:space="preserve">did not agree with </w:t>
            </w:r>
            <w:r w:rsidR="00FA3E43">
              <w:rPr>
                <w:color w:val="000000"/>
              </w:rPr>
              <w:t xml:space="preserve">all of </w:t>
            </w:r>
            <w:r w:rsidR="00563ED9">
              <w:rPr>
                <w:color w:val="000000"/>
              </w:rPr>
              <w:t xml:space="preserve">SBUA’s </w:t>
            </w:r>
            <w:r>
              <w:rPr>
                <w:color w:val="000000"/>
              </w:rPr>
              <w:t>recommendations</w:t>
            </w:r>
            <w:r w:rsidR="004B2EBF">
              <w:rPr>
                <w:color w:val="000000"/>
              </w:rPr>
              <w:t xml:space="preserve"> (</w:t>
            </w:r>
            <w:r w:rsidRPr="00E25FE5" w:rsidR="004B2EBF">
              <w:rPr>
                <w:i/>
                <w:iCs/>
                <w:color w:val="000000"/>
              </w:rPr>
              <w:t>e.g.</w:t>
            </w:r>
            <w:r w:rsidR="004B2EBF">
              <w:rPr>
                <w:color w:val="000000"/>
              </w:rPr>
              <w:t xml:space="preserve">, </w:t>
            </w:r>
            <w:r w:rsidR="004B2EBF">
              <w:rPr>
                <w:color w:val="000000"/>
              </w:rPr>
              <w:lastRenderedPageBreak/>
              <w:t>recommendations on embedded costs)</w:t>
            </w:r>
            <w:r>
              <w:rPr>
                <w:color w:val="000000"/>
              </w:rPr>
              <w:t xml:space="preserve">, </w:t>
            </w:r>
            <w:r w:rsidR="00563ED9">
              <w:rPr>
                <w:color w:val="000000"/>
              </w:rPr>
              <w:t xml:space="preserve">SBUA’s </w:t>
            </w:r>
            <w:r w:rsidRPr="00E047C0" w:rsidR="00563ED9">
              <w:rPr>
                <w:color w:val="000000"/>
              </w:rPr>
              <w:t>advocacy contributed to a full discussion and analy</w:t>
            </w:r>
            <w:r w:rsidR="00563ED9">
              <w:rPr>
                <w:color w:val="000000"/>
              </w:rPr>
              <w:t>sis</w:t>
            </w:r>
            <w:r w:rsidRPr="00E047C0" w:rsidR="00563ED9">
              <w:rPr>
                <w:color w:val="000000"/>
              </w:rPr>
              <w:t xml:space="preserve"> of </w:t>
            </w:r>
            <w:r w:rsidR="004B2EBF">
              <w:rPr>
                <w:color w:val="000000"/>
              </w:rPr>
              <w:t>the marginal cost</w:t>
            </w:r>
            <w:r>
              <w:rPr>
                <w:color w:val="000000"/>
              </w:rPr>
              <w:t xml:space="preserve"> </w:t>
            </w:r>
            <w:r w:rsidRPr="00E047C0" w:rsidR="00563ED9">
              <w:rPr>
                <w:color w:val="000000"/>
              </w:rPr>
              <w:t>issues</w:t>
            </w:r>
            <w:r>
              <w:rPr>
                <w:color w:val="000000"/>
              </w:rPr>
              <w:t>,</w:t>
            </w:r>
            <w:r w:rsidRPr="00E047C0" w:rsidR="00563ED9">
              <w:rPr>
                <w:color w:val="000000"/>
              </w:rPr>
              <w:t xml:space="preserve"> and the Commission </w:t>
            </w:r>
            <w:r w:rsidR="00563ED9">
              <w:rPr>
                <w:color w:val="000000"/>
              </w:rPr>
              <w:t>deliberated on</w:t>
            </w:r>
            <w:r>
              <w:rPr>
                <w:color w:val="000000"/>
              </w:rPr>
              <w:t xml:space="preserve"> </w:t>
            </w:r>
            <w:r w:rsidRPr="00E047C0" w:rsidR="00563ED9">
              <w:rPr>
                <w:color w:val="000000"/>
              </w:rPr>
              <w:t>and address</w:t>
            </w:r>
            <w:r w:rsidR="00563ED9">
              <w:rPr>
                <w:color w:val="000000"/>
              </w:rPr>
              <w:t>ed</w:t>
            </w:r>
            <w:r w:rsidRPr="00E047C0" w:rsidR="00563ED9">
              <w:rPr>
                <w:color w:val="000000"/>
              </w:rPr>
              <w:t xml:space="preserve"> SBUA’s concerns. </w:t>
            </w:r>
            <w:r w:rsidR="00563ED9">
              <w:rPr>
                <w:color w:val="000000"/>
              </w:rPr>
              <w:t>Further</w:t>
            </w:r>
            <w:r w:rsidRPr="00E047C0" w:rsidR="00563ED9">
              <w:rPr>
                <w:color w:val="000000"/>
              </w:rPr>
              <w:t>, the standard for an award of intervenor compensation is</w:t>
            </w:r>
            <w:r w:rsidR="00563ED9">
              <w:rPr>
                <w:color w:val="000000"/>
              </w:rPr>
              <w:t xml:space="preserve"> </w:t>
            </w:r>
            <w:r w:rsidRPr="00E047C0" w:rsidR="00563ED9">
              <w:rPr>
                <w:color w:val="000000"/>
              </w:rPr>
              <w:t>whether SBUA made a</w:t>
            </w:r>
            <w:r w:rsidR="00563ED9">
              <w:rPr>
                <w:color w:val="000000"/>
              </w:rPr>
              <w:t xml:space="preserve"> </w:t>
            </w:r>
            <w:r w:rsidRPr="00E047C0" w:rsidR="00563ED9">
              <w:rPr>
                <w:color w:val="000000"/>
              </w:rPr>
              <w:t>substantial contribution to the</w:t>
            </w:r>
            <w:r w:rsidR="00563ED9">
              <w:rPr>
                <w:color w:val="000000"/>
              </w:rPr>
              <w:t xml:space="preserve"> </w:t>
            </w:r>
            <w:r w:rsidRPr="00E047C0" w:rsidR="00563ED9">
              <w:rPr>
                <w:color w:val="000000"/>
              </w:rPr>
              <w:t>Commission’s decision, not</w:t>
            </w:r>
          </w:p>
          <w:p w:rsidRPr="00E047C0" w:rsidR="00563ED9" w:rsidP="00563ED9" w:rsidRDefault="00563ED9" w14:paraId="6BED50A4" w14:textId="77777777">
            <w:pPr>
              <w:rPr>
                <w:color w:val="000000"/>
              </w:rPr>
            </w:pPr>
            <w:r w:rsidRPr="00E047C0">
              <w:rPr>
                <w:color w:val="000000"/>
              </w:rPr>
              <w:t>whether SBUA prevailed on</w:t>
            </w:r>
          </w:p>
          <w:p w:rsidR="00563ED9" w:rsidP="00563ED9" w:rsidRDefault="00563ED9" w14:paraId="0A3B885C" w14:textId="77777777">
            <w:pPr>
              <w:autoSpaceDE w:val="0"/>
              <w:autoSpaceDN w:val="0"/>
              <w:adjustRightInd w:val="0"/>
              <w:rPr>
                <w:i/>
                <w:iCs/>
              </w:rPr>
            </w:pPr>
            <w:r w:rsidRPr="00E047C0">
              <w:rPr>
                <w:color w:val="000000"/>
              </w:rPr>
              <w:t>any particular</w:t>
            </w:r>
            <w:r>
              <w:rPr>
                <w:color w:val="000000"/>
              </w:rPr>
              <w:t xml:space="preserve"> </w:t>
            </w:r>
            <w:r w:rsidRPr="00E047C0">
              <w:rPr>
                <w:color w:val="000000"/>
              </w:rPr>
              <w:t>issue or recommendation.</w:t>
            </w:r>
            <w:r>
              <w:rPr>
                <w:i/>
                <w:iCs/>
              </w:rPr>
              <w:t xml:space="preserve"> See D.08-04-</w:t>
            </w:r>
          </w:p>
          <w:p w:rsidRPr="00FA01AB" w:rsidR="00FB6213" w:rsidP="004B2EBF" w:rsidRDefault="00563ED9" w14:paraId="4197EF1C" w14:textId="2E2AF276">
            <w:pPr>
              <w:spacing w:after="120"/>
              <w:rPr>
                <w:color w:val="000000"/>
              </w:rPr>
            </w:pPr>
            <w:r>
              <w:rPr>
                <w:i/>
                <w:iCs/>
              </w:rPr>
              <w:t>004,</w:t>
            </w:r>
            <w:r w:rsidRPr="00E047C0">
              <w:t xml:space="preserve"> pp. 5-6.</w:t>
            </w:r>
          </w:p>
        </w:tc>
        <w:tc>
          <w:tcPr>
            <w:tcW w:w="4140" w:type="dxa"/>
            <w:shd w:val="clear" w:color="auto" w:fill="auto"/>
          </w:tcPr>
          <w:p w:rsidR="007E6E4B" w:rsidP="007E6E4B" w:rsidRDefault="007E6E4B" w14:paraId="17198ED5" w14:textId="4B0662F3">
            <w:pPr>
              <w:rPr>
                <w:color w:val="000000"/>
              </w:rPr>
            </w:pPr>
            <w:r>
              <w:rPr>
                <w:color w:val="000000"/>
              </w:rPr>
              <w:lastRenderedPageBreak/>
              <w:t>“</w:t>
            </w:r>
            <w:r w:rsidRPr="00723FE9">
              <w:rPr>
                <w:color w:val="000000"/>
              </w:rPr>
              <w:t xml:space="preserve">The parties </w:t>
            </w:r>
            <w:r w:rsidR="000B0A70">
              <w:rPr>
                <w:color w:val="000000"/>
              </w:rPr>
              <w:t xml:space="preserve">[including SBUA] </w:t>
            </w:r>
            <w:r w:rsidRPr="00723FE9">
              <w:rPr>
                <w:color w:val="000000"/>
              </w:rPr>
              <w:t>filed opening briefs on May 20, 2021 and reply briefs on June 10, 2021.</w:t>
            </w:r>
            <w:r>
              <w:rPr>
                <w:color w:val="000000"/>
              </w:rPr>
              <w:t>” D.21-11-016, p. 5.</w:t>
            </w:r>
          </w:p>
          <w:p w:rsidR="007E6E4B" w:rsidP="00D72F54" w:rsidRDefault="007E6E4B" w14:paraId="3FC68884" w14:textId="77777777">
            <w:pPr>
              <w:rPr>
                <w:color w:val="000000"/>
              </w:rPr>
            </w:pPr>
          </w:p>
          <w:p w:rsidR="00EE401B" w:rsidP="00D72F54" w:rsidRDefault="00EE401B" w14:paraId="2CAA1022" w14:textId="6E9A6AC7">
            <w:pPr>
              <w:rPr>
                <w:color w:val="000000"/>
              </w:rPr>
            </w:pPr>
            <w:r>
              <w:rPr>
                <w:color w:val="000000"/>
              </w:rPr>
              <w:t>“</w:t>
            </w:r>
            <w:r w:rsidRPr="00EE401B">
              <w:rPr>
                <w:color w:val="000000"/>
              </w:rPr>
              <w:t>One of the primary debates in this proceeding concerns the method for calculating MCEC.</w:t>
            </w:r>
            <w:r>
              <w:rPr>
                <w:color w:val="000000"/>
              </w:rPr>
              <w:t>” D. 21-11-016, p. 7</w:t>
            </w:r>
          </w:p>
          <w:p w:rsidR="00EE401B" w:rsidP="00D72F54" w:rsidRDefault="00EE401B" w14:paraId="3A2B25BE" w14:textId="5FF37F5F">
            <w:pPr>
              <w:rPr>
                <w:color w:val="000000"/>
              </w:rPr>
            </w:pPr>
            <w:r>
              <w:rPr>
                <w:color w:val="000000"/>
              </w:rPr>
              <w:t>“…</w:t>
            </w:r>
            <w:r w:rsidRPr="00EE401B">
              <w:rPr>
                <w:color w:val="000000"/>
              </w:rPr>
              <w:t>SBUA also supported using the NCO method as opposed to the RECC method.</w:t>
            </w:r>
            <w:r>
              <w:rPr>
                <w:color w:val="000000"/>
              </w:rPr>
              <w:t>” D. 21-11-016, p. 10.</w:t>
            </w:r>
          </w:p>
          <w:p w:rsidR="00FB6213" w:rsidP="00D72F54" w:rsidRDefault="00FB6213" w14:paraId="1B6A396E" w14:textId="5529E33D">
            <w:pPr>
              <w:rPr>
                <w:color w:val="000000"/>
              </w:rPr>
            </w:pPr>
          </w:p>
          <w:p w:rsidR="00FB6213" w:rsidP="00D72F54" w:rsidRDefault="00FB6213" w14:paraId="42FF706E" w14:textId="5A3059EF">
            <w:pPr>
              <w:rPr>
                <w:color w:val="000000"/>
              </w:rPr>
            </w:pPr>
            <w:r>
              <w:rPr>
                <w:color w:val="000000"/>
              </w:rPr>
              <w:t>“</w:t>
            </w:r>
            <w:r w:rsidRPr="00FB6213">
              <w:rPr>
                <w:color w:val="000000"/>
              </w:rPr>
              <w:t>The Commission does not agree that MCEC calculations should be replaced with an embedded cost analysis.  First, this decision disagrees with DACC and SBUA and finds that a marginal access price signal is capable of</w:t>
            </w:r>
            <w:r>
              <w:rPr>
                <w:color w:val="000000"/>
              </w:rPr>
              <w:t xml:space="preserve"> </w:t>
            </w:r>
            <w:r w:rsidRPr="00FB6213">
              <w:rPr>
                <w:color w:val="000000"/>
              </w:rPr>
              <w:t>being sent to a potential utility customer.</w:t>
            </w:r>
            <w:r>
              <w:rPr>
                <w:color w:val="000000"/>
              </w:rPr>
              <w:t>” D.21-11-016, pp. 14-15.</w:t>
            </w:r>
          </w:p>
          <w:p w:rsidR="006F2181" w:rsidP="00D72F54" w:rsidRDefault="006F2181" w14:paraId="0BF6FB19" w14:textId="1D0B9652">
            <w:pPr>
              <w:rPr>
                <w:color w:val="000000"/>
              </w:rPr>
            </w:pPr>
          </w:p>
          <w:p w:rsidR="006F2181" w:rsidP="00D72F54" w:rsidRDefault="006F2181" w14:paraId="3791BF56" w14:textId="77777777">
            <w:pPr>
              <w:rPr>
                <w:color w:val="000000"/>
              </w:rPr>
            </w:pPr>
            <w:r>
              <w:rPr>
                <w:color w:val="000000"/>
              </w:rPr>
              <w:t>“…</w:t>
            </w:r>
            <w:r w:rsidRPr="006F2181">
              <w:rPr>
                <w:color w:val="000000"/>
              </w:rPr>
              <w:t>SBUA</w:t>
            </w:r>
            <w:r>
              <w:rPr>
                <w:color w:val="000000"/>
              </w:rPr>
              <w:t>…</w:t>
            </w:r>
            <w:r w:rsidRPr="006F2181">
              <w:rPr>
                <w:color w:val="000000"/>
              </w:rPr>
              <w:t>argued that there is a need for new generation capacity.  They reasoned that the definition of marginal cost does not depend on where the need comes from, and conclude that, therefore, the MGCC should be calculated based on the cost of building new resources.</w:t>
            </w:r>
            <w:r>
              <w:rPr>
                <w:color w:val="000000"/>
              </w:rPr>
              <w:t>” D. 21-11-016, p. 48.</w:t>
            </w:r>
          </w:p>
          <w:p w:rsidR="006F2181" w:rsidP="00D72F54" w:rsidRDefault="006F2181" w14:paraId="01FDB666" w14:textId="77777777">
            <w:pPr>
              <w:rPr>
                <w:color w:val="000000"/>
              </w:rPr>
            </w:pPr>
          </w:p>
          <w:p w:rsidR="00C97BF7" w:rsidP="00D72F54" w:rsidRDefault="006F2181" w14:paraId="31ED97B5" w14:textId="1ED23D76">
            <w:pPr>
              <w:rPr>
                <w:color w:val="000000"/>
              </w:rPr>
            </w:pPr>
            <w:r>
              <w:rPr>
                <w:color w:val="000000"/>
              </w:rPr>
              <w:t>“</w:t>
            </w:r>
            <w:r w:rsidRPr="006F2181">
              <w:rPr>
                <w:color w:val="000000"/>
              </w:rPr>
              <w:t>There is no dispute that PG&amp;E will procure additional generation capacity between now and 2026. Cal Advocates’ argument that this procurement should not contribute to MGCC is unpersuasive as it amounts to hair-splitting.</w:t>
            </w:r>
            <w:r>
              <w:rPr>
                <w:color w:val="000000"/>
              </w:rPr>
              <w:t>” D.21-11-016, p. 48.</w:t>
            </w:r>
          </w:p>
          <w:p w:rsidR="00C97BF7" w:rsidP="00D72F54" w:rsidRDefault="00C97BF7" w14:paraId="2810D1A8" w14:textId="77777777">
            <w:pPr>
              <w:rPr>
                <w:color w:val="000000"/>
              </w:rPr>
            </w:pPr>
          </w:p>
          <w:p w:rsidR="00C97BF7" w:rsidP="00C97BF7" w:rsidRDefault="00C97BF7" w14:paraId="5353C054" w14:textId="7C957540">
            <w:pPr>
              <w:rPr>
                <w:color w:val="000000"/>
              </w:rPr>
            </w:pPr>
            <w:r>
              <w:rPr>
                <w:color w:val="000000"/>
              </w:rPr>
              <w:t>“</w:t>
            </w:r>
            <w:r w:rsidRPr="00C97BF7">
              <w:rPr>
                <w:color w:val="000000"/>
              </w:rPr>
              <w:t>While this decision holds that a six-year average of energy storage costs should be used in generating PG&amp;E’s MGCC, the parties disputed exactly how to calculate the 2021 price for energy storage to be used in the six-year average.</w:t>
            </w:r>
            <w:r>
              <w:rPr>
                <w:color w:val="000000"/>
              </w:rPr>
              <w:t xml:space="preserve"> … </w:t>
            </w:r>
            <w:r w:rsidRPr="00C97BF7">
              <w:rPr>
                <w:color w:val="000000"/>
              </w:rPr>
              <w:t xml:space="preserve">Several parties including </w:t>
            </w:r>
            <w:r w:rsidRPr="00C97BF7">
              <w:rPr>
                <w:color w:val="000000"/>
              </w:rPr>
              <w:lastRenderedPageBreak/>
              <w:t xml:space="preserve">SBUA, </w:t>
            </w:r>
            <w:r>
              <w:rPr>
                <w:color w:val="000000"/>
              </w:rPr>
              <w:t>…</w:t>
            </w:r>
            <w:r w:rsidRPr="00C97BF7">
              <w:rPr>
                <w:color w:val="000000"/>
              </w:rPr>
              <w:t>supported PG&amp;E’s position.</w:t>
            </w:r>
            <w:r>
              <w:rPr>
                <w:color w:val="000000"/>
              </w:rPr>
              <w:t>” D. 21-11-016, p. 50.</w:t>
            </w:r>
          </w:p>
          <w:p w:rsidR="00C97BF7" w:rsidP="00C97BF7" w:rsidRDefault="00C97BF7" w14:paraId="0CC01516" w14:textId="3FF591C8">
            <w:pPr>
              <w:rPr>
                <w:color w:val="000000"/>
              </w:rPr>
            </w:pPr>
          </w:p>
          <w:p w:rsidR="00DE377D" w:rsidP="00D72F54" w:rsidRDefault="00C97BF7" w14:paraId="3E14B55E" w14:textId="1CB13E32">
            <w:pPr>
              <w:rPr>
                <w:color w:val="000000"/>
              </w:rPr>
            </w:pPr>
            <w:r>
              <w:rPr>
                <w:color w:val="000000"/>
              </w:rPr>
              <w:t>“</w:t>
            </w:r>
            <w:r w:rsidRPr="00C97BF7">
              <w:rPr>
                <w:color w:val="000000"/>
              </w:rPr>
              <w:t>This decision previously found that it is undisputed that PG&amp;E will be required to procure additional generation capacity between now and 2026.  This decision therefore concurs with PG&amp;E’s reasoning that the long-term costs that are incurred in 2021 should be used to generate the 2021 cost figures used in the six-year average MGCC calculation.</w:t>
            </w:r>
            <w:r>
              <w:rPr>
                <w:color w:val="000000"/>
              </w:rPr>
              <w:t>” D. 21-11-016, p. 51.</w:t>
            </w:r>
          </w:p>
          <w:p w:rsidR="00DE377D" w:rsidP="00D72F54" w:rsidRDefault="00DE377D" w14:paraId="7CBCCF59" w14:textId="2453CE0E">
            <w:pPr>
              <w:rPr>
                <w:color w:val="000000"/>
              </w:rPr>
            </w:pPr>
          </w:p>
        </w:tc>
        <w:tc>
          <w:tcPr>
            <w:tcW w:w="2340" w:type="dxa"/>
            <w:shd w:val="clear" w:color="auto" w:fill="auto"/>
          </w:tcPr>
          <w:p w:rsidRPr="00FF619B" w:rsidR="00FF619B" w:rsidP="00FF619B" w:rsidRDefault="00291193" w14:paraId="6B937ED7" w14:textId="475765AE">
            <w:pPr>
              <w:rPr>
                <w:color w:val="000000"/>
              </w:rPr>
            </w:pPr>
            <w:r>
              <w:rPr>
                <w:color w:val="000000"/>
              </w:rPr>
              <w:lastRenderedPageBreak/>
              <w:t>Verified</w:t>
            </w:r>
            <w:r w:rsidR="00702C6D">
              <w:rPr>
                <w:color w:val="000000"/>
              </w:rPr>
              <w:t xml:space="preserve"> as to </w:t>
            </w:r>
            <w:r w:rsidR="00C32A77">
              <w:rPr>
                <w:color w:val="000000"/>
              </w:rPr>
              <w:t>MCEC</w:t>
            </w:r>
            <w:r>
              <w:rPr>
                <w:color w:val="000000"/>
              </w:rPr>
              <w:t xml:space="preserve">. </w:t>
            </w:r>
            <w:r w:rsidR="004868A9">
              <w:rPr>
                <w:color w:val="000000"/>
              </w:rPr>
              <w:t xml:space="preserve">The discussion in the </w:t>
            </w:r>
            <w:r w:rsidR="00693EA6">
              <w:rPr>
                <w:color w:val="000000"/>
              </w:rPr>
              <w:t>d</w:t>
            </w:r>
            <w:r w:rsidR="004868A9">
              <w:rPr>
                <w:color w:val="000000"/>
              </w:rPr>
              <w:t xml:space="preserve">ecision indicates that </w:t>
            </w:r>
            <w:r w:rsidRPr="00BF3BEE" w:rsidR="001F0D11">
              <w:rPr>
                <w:color w:val="000000"/>
              </w:rPr>
              <w:t xml:space="preserve">SBUA’s participation </w:t>
            </w:r>
            <w:r w:rsidRPr="00BF3BEE" w:rsidR="00FF619B">
              <w:rPr>
                <w:color w:val="000000"/>
              </w:rPr>
              <w:t>influenced the resolution of the proceeding</w:t>
            </w:r>
            <w:r w:rsidR="00FF619B">
              <w:rPr>
                <w:color w:val="000000"/>
              </w:rPr>
              <w:t xml:space="preserve"> </w:t>
            </w:r>
            <w:r w:rsidR="008435F9">
              <w:rPr>
                <w:color w:val="000000"/>
              </w:rPr>
              <w:t xml:space="preserve">with respect to this issue </w:t>
            </w:r>
            <w:r w:rsidR="00FF619B">
              <w:rPr>
                <w:color w:val="000000"/>
              </w:rPr>
              <w:t>and constitutes a substantial contribution to the decision.</w:t>
            </w:r>
          </w:p>
          <w:p w:rsidR="00E74514" w:rsidP="00073262" w:rsidRDefault="00E74514" w14:paraId="63C2F08C" w14:textId="1475E177">
            <w:pPr>
              <w:rPr>
                <w:color w:val="000000"/>
              </w:rPr>
            </w:pPr>
          </w:p>
          <w:p w:rsidR="00BD3DF7" w:rsidP="00073262" w:rsidRDefault="00BD3DF7" w14:paraId="6B0AFA1B" w14:textId="4D41645C">
            <w:pPr>
              <w:rPr>
                <w:color w:val="000000"/>
              </w:rPr>
            </w:pPr>
            <w:r>
              <w:rPr>
                <w:color w:val="000000"/>
              </w:rPr>
              <w:t xml:space="preserve">With respect to MGCC, </w:t>
            </w:r>
            <w:r w:rsidR="00F1126E">
              <w:rPr>
                <w:color w:val="000000"/>
              </w:rPr>
              <w:t xml:space="preserve">SBUA filed limited testimony </w:t>
            </w:r>
            <w:r w:rsidR="00245B40">
              <w:rPr>
                <w:color w:val="000000"/>
              </w:rPr>
              <w:t xml:space="preserve">and </w:t>
            </w:r>
            <w:r w:rsidR="00F7564C">
              <w:rPr>
                <w:color w:val="000000"/>
              </w:rPr>
              <w:t xml:space="preserve">briefing </w:t>
            </w:r>
            <w:r w:rsidR="00F1126E">
              <w:rPr>
                <w:color w:val="000000"/>
              </w:rPr>
              <w:t xml:space="preserve">and </w:t>
            </w:r>
            <w:r w:rsidR="0098185F">
              <w:rPr>
                <w:color w:val="000000"/>
              </w:rPr>
              <w:t xml:space="preserve">the Decision </w:t>
            </w:r>
            <w:r w:rsidR="00F7564C">
              <w:rPr>
                <w:color w:val="000000"/>
              </w:rPr>
              <w:t>states</w:t>
            </w:r>
            <w:r w:rsidR="0098185F">
              <w:rPr>
                <w:color w:val="000000"/>
              </w:rPr>
              <w:t xml:space="preserve"> </w:t>
            </w:r>
            <w:r w:rsidR="00301FE7">
              <w:rPr>
                <w:color w:val="000000"/>
              </w:rPr>
              <w:t xml:space="preserve">only that SBUA agreed with several other parties on specific issues.  SBUA has not </w:t>
            </w:r>
            <w:r w:rsidR="00285403">
              <w:rPr>
                <w:color w:val="000000"/>
              </w:rPr>
              <w:t xml:space="preserve">pointed to any language in the decision indicating </w:t>
            </w:r>
            <w:r w:rsidR="008819F1">
              <w:rPr>
                <w:color w:val="000000"/>
              </w:rPr>
              <w:t xml:space="preserve">that its participation on those issues </w:t>
            </w:r>
            <w:r w:rsidR="00AC7027">
              <w:rPr>
                <w:color w:val="000000"/>
              </w:rPr>
              <w:t>constitutes a substantial contribution to the decision.</w:t>
            </w:r>
          </w:p>
          <w:p w:rsidR="00122914" w:rsidP="00073262" w:rsidRDefault="00122914" w14:paraId="2316AC13" w14:textId="77777777">
            <w:pPr>
              <w:rPr>
                <w:color w:val="000000"/>
              </w:rPr>
            </w:pPr>
          </w:p>
          <w:p w:rsidR="003336F5" w:rsidP="003336F5" w:rsidRDefault="00055242" w14:paraId="5159C91A" w14:textId="10C9F212">
            <w:pPr>
              <w:rPr>
                <w:color w:val="000000"/>
              </w:rPr>
            </w:pPr>
            <w:r>
              <w:rPr>
                <w:color w:val="000000"/>
              </w:rPr>
              <w:t xml:space="preserve">The decision </w:t>
            </w:r>
            <w:r w:rsidR="00E433B9">
              <w:rPr>
                <w:color w:val="000000"/>
              </w:rPr>
              <w:t xml:space="preserve">also </w:t>
            </w:r>
            <w:r>
              <w:rPr>
                <w:color w:val="000000"/>
              </w:rPr>
              <w:t>addresses Cal</w:t>
            </w:r>
            <w:r w:rsidR="002D473B">
              <w:rPr>
                <w:color w:val="000000"/>
              </w:rPr>
              <w:t xml:space="preserve"> </w:t>
            </w:r>
            <w:r>
              <w:rPr>
                <w:color w:val="000000"/>
              </w:rPr>
              <w:t>Adv</w:t>
            </w:r>
            <w:r w:rsidR="002D473B">
              <w:rPr>
                <w:color w:val="000000"/>
              </w:rPr>
              <w:t>o</w:t>
            </w:r>
            <w:r>
              <w:rPr>
                <w:color w:val="000000"/>
              </w:rPr>
              <w:t>cate</w:t>
            </w:r>
            <w:r w:rsidR="002D473B">
              <w:rPr>
                <w:color w:val="000000"/>
              </w:rPr>
              <w:t>s</w:t>
            </w:r>
            <w:r w:rsidR="001063A4">
              <w:rPr>
                <w:color w:val="000000"/>
              </w:rPr>
              <w:t>’</w:t>
            </w:r>
            <w:r w:rsidR="002D473B">
              <w:rPr>
                <w:color w:val="000000"/>
              </w:rPr>
              <w:t xml:space="preserve"> proposal to use </w:t>
            </w:r>
            <w:r w:rsidR="00FE52BB">
              <w:rPr>
                <w:color w:val="000000"/>
              </w:rPr>
              <w:t xml:space="preserve">an O&amp;M </w:t>
            </w:r>
            <w:r w:rsidR="00C37360">
              <w:rPr>
                <w:color w:val="000000"/>
              </w:rPr>
              <w:t>a</w:t>
            </w:r>
            <w:r w:rsidR="00FE52BB">
              <w:rPr>
                <w:color w:val="000000"/>
              </w:rPr>
              <w:t xml:space="preserve">dder for </w:t>
            </w:r>
            <w:r w:rsidR="00C37360">
              <w:rPr>
                <w:color w:val="000000"/>
              </w:rPr>
              <w:t>RCS costs (a component of MCAC</w:t>
            </w:r>
            <w:r w:rsidR="00245B40">
              <w:rPr>
                <w:color w:val="000000"/>
              </w:rPr>
              <w:t>) but</w:t>
            </w:r>
            <w:r w:rsidR="00C37360">
              <w:rPr>
                <w:color w:val="000000"/>
              </w:rPr>
              <w:t xml:space="preserve"> does not mention SBUA in the discussion at all. </w:t>
            </w:r>
            <w:r w:rsidR="001063A4">
              <w:rPr>
                <w:color w:val="000000"/>
              </w:rPr>
              <w:t xml:space="preserve">SBUA has not </w:t>
            </w:r>
            <w:r w:rsidR="003336F5">
              <w:rPr>
                <w:color w:val="000000"/>
              </w:rPr>
              <w:t xml:space="preserve">pointed to any language in the decision indicating </w:t>
            </w:r>
            <w:r w:rsidR="003336F5">
              <w:rPr>
                <w:color w:val="000000"/>
              </w:rPr>
              <w:lastRenderedPageBreak/>
              <w:t>that its participation on those issues constitutes a substantial contribution to the decision.</w:t>
            </w:r>
          </w:p>
          <w:p w:rsidR="001063A4" w:rsidP="001063A4" w:rsidRDefault="001063A4" w14:paraId="2D7F563C" w14:textId="0E6A9F2D">
            <w:pPr>
              <w:rPr>
                <w:color w:val="000000"/>
              </w:rPr>
            </w:pPr>
            <w:r>
              <w:rPr>
                <w:color w:val="000000"/>
              </w:rPr>
              <w:t>to the decision.</w:t>
            </w:r>
          </w:p>
          <w:p w:rsidR="002117A7" w:rsidP="001063A4" w:rsidRDefault="002117A7" w14:paraId="61DFE932" w14:textId="77777777">
            <w:pPr>
              <w:rPr>
                <w:color w:val="000000"/>
              </w:rPr>
            </w:pPr>
          </w:p>
          <w:p w:rsidR="002117A7" w:rsidP="001063A4" w:rsidRDefault="003336F5" w14:paraId="792814EF" w14:textId="5A479686">
            <w:pPr>
              <w:rPr>
                <w:color w:val="000000"/>
              </w:rPr>
            </w:pPr>
            <w:r>
              <w:rPr>
                <w:color w:val="000000"/>
              </w:rPr>
              <w:t xml:space="preserve">In sum, </w:t>
            </w:r>
            <w:r w:rsidR="005240D2">
              <w:rPr>
                <w:color w:val="000000"/>
              </w:rPr>
              <w:t xml:space="preserve">SBUA’s </w:t>
            </w:r>
            <w:r w:rsidR="002310C2">
              <w:rPr>
                <w:color w:val="000000"/>
              </w:rPr>
              <w:t>contribution</w:t>
            </w:r>
            <w:r w:rsidR="005240D2">
              <w:rPr>
                <w:color w:val="000000"/>
              </w:rPr>
              <w:t xml:space="preserve"> </w:t>
            </w:r>
            <w:r w:rsidR="0057666C">
              <w:rPr>
                <w:color w:val="000000"/>
              </w:rPr>
              <w:t xml:space="preserve">on Marginal Cost of Service is </w:t>
            </w:r>
            <w:r w:rsidR="00BF0591">
              <w:rPr>
                <w:color w:val="000000"/>
              </w:rPr>
              <w:t xml:space="preserve">partially compensable – see discussion </w:t>
            </w:r>
            <w:r w:rsidR="00DF0E15">
              <w:rPr>
                <w:color w:val="000000"/>
              </w:rPr>
              <w:t xml:space="preserve">in Part </w:t>
            </w:r>
            <w:r w:rsidR="00384CCC">
              <w:rPr>
                <w:color w:val="000000"/>
              </w:rPr>
              <w:t>III.D below</w:t>
            </w:r>
            <w:r w:rsidR="00A50E21">
              <w:rPr>
                <w:color w:val="000000"/>
              </w:rPr>
              <w:t xml:space="preserve"> </w:t>
            </w:r>
            <w:r w:rsidR="00B67DA5">
              <w:rPr>
                <w:color w:val="000000"/>
              </w:rPr>
              <w:t>on adjustments</w:t>
            </w:r>
            <w:r w:rsidR="00FF619B">
              <w:rPr>
                <w:color w:val="000000"/>
              </w:rPr>
              <w:t>.</w:t>
            </w:r>
          </w:p>
          <w:p w:rsidRPr="007F620E" w:rsidR="00AA1F82" w:rsidP="00073262" w:rsidRDefault="00AA1F82" w14:paraId="726B82CA" w14:textId="091C01C9">
            <w:pPr>
              <w:rPr>
                <w:color w:val="000000"/>
              </w:rPr>
            </w:pPr>
          </w:p>
        </w:tc>
      </w:tr>
      <w:tr w:rsidRPr="007F620E" w:rsidR="00FB6213" w:rsidTr="006E05EE" w14:paraId="032C557A" w14:textId="77777777">
        <w:tc>
          <w:tcPr>
            <w:tcW w:w="3258" w:type="dxa"/>
            <w:shd w:val="clear" w:color="auto" w:fill="auto"/>
          </w:tcPr>
          <w:p w:rsidRPr="00914B22" w:rsidR="00FB6213" w:rsidP="00073262" w:rsidRDefault="00A5058A" w14:paraId="3C3F85CF" w14:textId="51743F2B">
            <w:pPr>
              <w:rPr>
                <w:b/>
                <w:bCs/>
                <w:color w:val="000000"/>
                <w:u w:val="single"/>
              </w:rPr>
            </w:pPr>
            <w:r>
              <w:rPr>
                <w:b/>
                <w:bCs/>
                <w:color w:val="000000"/>
              </w:rPr>
              <w:lastRenderedPageBreak/>
              <w:t>4</w:t>
            </w:r>
            <w:r w:rsidR="00FB6213">
              <w:rPr>
                <w:b/>
                <w:bCs/>
                <w:color w:val="000000"/>
              </w:rPr>
              <w:t xml:space="preserve">. </w:t>
            </w:r>
            <w:r w:rsidRPr="00FB6213" w:rsidR="00FB6213">
              <w:rPr>
                <w:b/>
                <w:bCs/>
                <w:color w:val="000000"/>
                <w:u w:val="single"/>
              </w:rPr>
              <w:t>Transmission Rate Study</w:t>
            </w:r>
          </w:p>
          <w:p w:rsidRPr="00914B22" w:rsidR="00914B22" w:rsidP="00914B22" w:rsidRDefault="00914B22" w14:paraId="6BFD2BD7" w14:textId="77777777">
            <w:pPr>
              <w:rPr>
                <w:color w:val="000000"/>
              </w:rPr>
            </w:pPr>
          </w:p>
          <w:p w:rsidRPr="00914B22" w:rsidR="00914B22" w:rsidP="00914B22" w:rsidRDefault="00914B22" w14:paraId="6A87C88B" w14:textId="77777777">
            <w:pPr>
              <w:rPr>
                <w:i/>
                <w:iCs/>
                <w:color w:val="000000"/>
              </w:rPr>
            </w:pPr>
            <w:r w:rsidRPr="00914B22">
              <w:rPr>
                <w:color w:val="000000"/>
              </w:rPr>
              <w:t xml:space="preserve">SBUA filed a Reply Brief on June 10, 2021 addressing the marginal transmission capacity costs raised by both SBUA and SEIA. </w:t>
            </w:r>
            <w:r w:rsidRPr="00914B22">
              <w:rPr>
                <w:i/>
                <w:iCs/>
                <w:color w:val="000000"/>
              </w:rPr>
              <w:t>See, Reply Brief of Small Business Utility Advocates, dated June 10, 2021.</w:t>
            </w:r>
          </w:p>
          <w:p w:rsidRPr="00914B22" w:rsidR="00914B22" w:rsidP="00073262" w:rsidRDefault="00914B22" w14:paraId="2281D2D6" w14:textId="589A8DD2">
            <w:pPr>
              <w:rPr>
                <w:color w:val="000000"/>
              </w:rPr>
            </w:pPr>
          </w:p>
        </w:tc>
        <w:tc>
          <w:tcPr>
            <w:tcW w:w="4140" w:type="dxa"/>
            <w:shd w:val="clear" w:color="auto" w:fill="auto"/>
          </w:tcPr>
          <w:p w:rsidR="00FB6213" w:rsidP="00D72F54" w:rsidRDefault="00914B22" w14:paraId="09B0E19F" w14:textId="0FD90CEE">
            <w:pPr>
              <w:rPr>
                <w:color w:val="000000"/>
              </w:rPr>
            </w:pPr>
            <w:r>
              <w:rPr>
                <w:color w:val="000000"/>
              </w:rPr>
              <w:t>“</w:t>
            </w:r>
            <w:r w:rsidRPr="00914B22">
              <w:rPr>
                <w:color w:val="000000"/>
              </w:rPr>
              <w:t>In light of the substantial portion of PG&amp;E’s marginal transmission costs that may be affected by changes in peak demand, SEIA and SBUA recommended that the Commission advise PG&amp;E to propose a rate design proposal at the Federal Energy Regulatory Commission (FERC) to time-differentiate its transmission rates.</w:t>
            </w:r>
            <w:r>
              <w:rPr>
                <w:color w:val="000000"/>
              </w:rPr>
              <w:t>” D.21-11-016, pp. 66.</w:t>
            </w:r>
          </w:p>
          <w:p w:rsidR="00914B22" w:rsidP="00D72F54" w:rsidRDefault="00914B22" w14:paraId="7303F99B" w14:textId="77777777">
            <w:pPr>
              <w:rPr>
                <w:color w:val="000000"/>
              </w:rPr>
            </w:pPr>
          </w:p>
          <w:p w:rsidR="00321CC2" w:rsidP="00D72F54" w:rsidRDefault="00914B22" w14:paraId="25D09213" w14:textId="045D746F">
            <w:pPr>
              <w:rPr>
                <w:color w:val="000000"/>
              </w:rPr>
            </w:pPr>
            <w:r>
              <w:rPr>
                <w:color w:val="000000"/>
              </w:rPr>
              <w:t>“</w:t>
            </w:r>
            <w:bookmarkStart w:name="_Hlk87893736" w:id="0"/>
            <w:r w:rsidRPr="00321CC2" w:rsidR="00321CC2">
              <w:rPr>
                <w:color w:val="000000"/>
              </w:rPr>
              <w:t>As noted previously, this decision finds that a substantial proportion of PG&amp;E’s marginal transmission costs are related to peak demand</w:t>
            </w:r>
            <w:r w:rsidR="00321CC2">
              <w:rPr>
                <w:color w:val="000000"/>
              </w:rPr>
              <w:t>….</w:t>
            </w:r>
            <w:r w:rsidRPr="00321CC2" w:rsidR="00321CC2">
              <w:rPr>
                <w:rFonts w:ascii="Book Antiqua" w:hAnsi="Book Antiqua" w:eastAsia="Calibri"/>
                <w:sz w:val="26"/>
                <w:szCs w:val="22"/>
              </w:rPr>
              <w:t xml:space="preserve"> </w:t>
            </w:r>
            <w:r w:rsidRPr="00321CC2" w:rsidR="00321CC2">
              <w:rPr>
                <w:color w:val="000000"/>
              </w:rPr>
              <w:t xml:space="preserve">Thus, PG&amp;E’s retail customers are not receiving the appropriate time-differentiated price signals for the electric transmission services they receive.  </w:t>
            </w:r>
          </w:p>
          <w:p w:rsidR="00321CC2" w:rsidP="00D72F54" w:rsidRDefault="00321CC2" w14:paraId="59215864" w14:textId="77777777">
            <w:pPr>
              <w:rPr>
                <w:color w:val="000000"/>
              </w:rPr>
            </w:pPr>
            <w:r w:rsidRPr="00321CC2">
              <w:rPr>
                <w:color w:val="000000"/>
              </w:rPr>
              <w:t xml:space="preserve">  </w:t>
            </w:r>
          </w:p>
          <w:p w:rsidR="00914B22" w:rsidP="004B2EBF" w:rsidRDefault="00914B22" w14:paraId="69821BCE" w14:textId="310AD1AC">
            <w:pPr>
              <w:spacing w:after="120"/>
              <w:rPr>
                <w:color w:val="000000"/>
              </w:rPr>
            </w:pPr>
            <w:r w:rsidRPr="00914B22">
              <w:rPr>
                <w:color w:val="000000"/>
              </w:rPr>
              <w:t xml:space="preserve">The Commission has long expressed a preference for marginal cost-based rate design and time-differentiated rates.  It is time for a study of the potential impacts of prudent illustrative potential time-differentiated transmission rates on retail customers.  The Commission therefore orders PG&amp;E to submit a </w:t>
            </w:r>
            <w:r w:rsidRPr="00914B22">
              <w:rPr>
                <w:color w:val="000000"/>
              </w:rPr>
              <w:lastRenderedPageBreak/>
              <w:t>study analyzing the potential customer impacts of illustrative time-differentiated transmission rates to be used by the Commission’s Energy Division and parties to this proceeding for the purpose of allowing the Energy Division and other parties to examine whether time-differentiated transmission rates should be proposed in a FERC rate proceeding.  The Commission’s Energy Division may choose to host workshops to further examine this issue in response to PG&amp;E’s illustrative study.  There is no questioning FERC’s exclusive jurisdiction over setting transmission rates.  PG&amp;E is ordered to submit its illustrative study to the Commission’s Energy Division and serve a copy on parties to this proceeding within one year of the issue date of this decision.</w:t>
            </w:r>
            <w:bookmarkEnd w:id="0"/>
            <w:r>
              <w:rPr>
                <w:color w:val="000000"/>
              </w:rPr>
              <w:t>” D.21-11-016, p</w:t>
            </w:r>
            <w:r w:rsidR="00321CC2">
              <w:rPr>
                <w:color w:val="000000"/>
              </w:rPr>
              <w:t>p</w:t>
            </w:r>
            <w:r>
              <w:rPr>
                <w:color w:val="000000"/>
              </w:rPr>
              <w:t xml:space="preserve">. </w:t>
            </w:r>
            <w:r w:rsidR="00321CC2">
              <w:rPr>
                <w:color w:val="000000"/>
              </w:rPr>
              <w:t>66-</w:t>
            </w:r>
            <w:r>
              <w:rPr>
                <w:color w:val="000000"/>
              </w:rPr>
              <w:t>67.</w:t>
            </w:r>
            <w:r w:rsidRPr="00914B22">
              <w:rPr>
                <w:color w:val="000000"/>
              </w:rPr>
              <w:t xml:space="preserve"> </w:t>
            </w:r>
          </w:p>
        </w:tc>
        <w:tc>
          <w:tcPr>
            <w:tcW w:w="2340" w:type="dxa"/>
            <w:shd w:val="clear" w:color="auto" w:fill="auto"/>
          </w:tcPr>
          <w:p w:rsidR="00FB6213" w:rsidP="00073262" w:rsidRDefault="00476A95" w14:paraId="545E78B7" w14:textId="01C0C19A">
            <w:pPr>
              <w:rPr>
                <w:color w:val="000000"/>
              </w:rPr>
            </w:pPr>
            <w:r>
              <w:rPr>
                <w:color w:val="000000"/>
              </w:rPr>
              <w:lastRenderedPageBreak/>
              <w:t xml:space="preserve">Noted. However, </w:t>
            </w:r>
            <w:r w:rsidR="00FC7FB1">
              <w:rPr>
                <w:color w:val="000000"/>
              </w:rPr>
              <w:t>the citation should be to</w:t>
            </w:r>
            <w:r w:rsidR="00245B40">
              <w:rPr>
                <w:color w:val="000000"/>
              </w:rPr>
              <w:t xml:space="preserve"> </w:t>
            </w:r>
            <w:r w:rsidR="00FC7FB1">
              <w:rPr>
                <w:color w:val="000000"/>
              </w:rPr>
              <w:t xml:space="preserve">p. 68 </w:t>
            </w:r>
            <w:r w:rsidR="00F7640B">
              <w:rPr>
                <w:color w:val="000000"/>
              </w:rPr>
              <w:t xml:space="preserve">and pp. </w:t>
            </w:r>
            <w:r w:rsidR="000706E8">
              <w:rPr>
                <w:color w:val="000000"/>
              </w:rPr>
              <w:t xml:space="preserve">69-70 </w:t>
            </w:r>
            <w:r w:rsidR="00FC7FB1">
              <w:rPr>
                <w:color w:val="000000"/>
              </w:rPr>
              <w:t>of D.21-11</w:t>
            </w:r>
            <w:r w:rsidR="007C6447">
              <w:rPr>
                <w:color w:val="000000"/>
              </w:rPr>
              <w:t>-016.</w:t>
            </w:r>
          </w:p>
          <w:p w:rsidR="0024093F" w:rsidP="00073262" w:rsidRDefault="0024093F" w14:paraId="766D1245" w14:textId="77777777">
            <w:pPr>
              <w:rPr>
                <w:color w:val="000000"/>
              </w:rPr>
            </w:pPr>
          </w:p>
          <w:p w:rsidR="00E976F5" w:rsidP="00E976F5" w:rsidRDefault="009D1659" w14:paraId="480350D3" w14:textId="6956EA62">
            <w:pPr>
              <w:rPr>
                <w:color w:val="000000"/>
              </w:rPr>
            </w:pPr>
            <w:r>
              <w:rPr>
                <w:color w:val="000000"/>
              </w:rPr>
              <w:t xml:space="preserve">Although the Decision does not adopt the recommendations of </w:t>
            </w:r>
            <w:r w:rsidR="00E976F5">
              <w:rPr>
                <w:color w:val="000000"/>
              </w:rPr>
              <w:t xml:space="preserve">SEIA that SBUA supported in its Reply Brief, the language in the decision indicates that </w:t>
            </w:r>
            <w:r w:rsidR="00C915EE">
              <w:rPr>
                <w:color w:val="000000"/>
              </w:rPr>
              <w:t>SBUA’s participation</w:t>
            </w:r>
            <w:r w:rsidR="00E976F5">
              <w:rPr>
                <w:color w:val="000000"/>
              </w:rPr>
              <w:t xml:space="preserve"> on </w:t>
            </w:r>
            <w:r w:rsidR="00476674">
              <w:rPr>
                <w:color w:val="000000"/>
              </w:rPr>
              <w:t xml:space="preserve">the marginal transmission costs issue </w:t>
            </w:r>
            <w:r w:rsidR="00F7564C">
              <w:rPr>
                <w:color w:val="000000"/>
              </w:rPr>
              <w:t xml:space="preserve">influenced the resolution of the decision and </w:t>
            </w:r>
            <w:r w:rsidR="00E976F5">
              <w:rPr>
                <w:color w:val="000000"/>
              </w:rPr>
              <w:t>constitutes a substantial contribution to the decision.</w:t>
            </w:r>
            <w:r w:rsidR="00476674">
              <w:rPr>
                <w:color w:val="000000"/>
              </w:rPr>
              <w:t xml:space="preserve"> </w:t>
            </w:r>
          </w:p>
          <w:p w:rsidRPr="007F620E" w:rsidR="0024093F" w:rsidP="00073262" w:rsidRDefault="0024093F" w14:paraId="3F71934A" w14:textId="7A936CA2">
            <w:pPr>
              <w:rPr>
                <w:color w:val="000000"/>
              </w:rPr>
            </w:pPr>
          </w:p>
        </w:tc>
      </w:tr>
      <w:tr w:rsidRPr="007F620E" w:rsidR="00ED518C" w:rsidTr="006E05EE" w14:paraId="2556B98D" w14:textId="77777777">
        <w:tc>
          <w:tcPr>
            <w:tcW w:w="3258" w:type="dxa"/>
            <w:shd w:val="clear" w:color="auto" w:fill="auto"/>
          </w:tcPr>
          <w:p w:rsidR="00ED518C" w:rsidP="00073262" w:rsidRDefault="00A5058A" w14:paraId="7C8C0A87" w14:textId="152540E3">
            <w:pPr>
              <w:rPr>
                <w:b/>
                <w:bCs/>
                <w:color w:val="000000"/>
                <w:u w:val="single"/>
              </w:rPr>
            </w:pPr>
            <w:r>
              <w:rPr>
                <w:b/>
                <w:bCs/>
                <w:color w:val="000000"/>
              </w:rPr>
              <w:t>5</w:t>
            </w:r>
            <w:r w:rsidRPr="00ED518C" w:rsidR="00ED518C">
              <w:rPr>
                <w:b/>
                <w:bCs/>
                <w:color w:val="000000"/>
              </w:rPr>
              <w:t xml:space="preserve">. </w:t>
            </w:r>
            <w:r w:rsidR="001C2033">
              <w:rPr>
                <w:b/>
                <w:bCs/>
                <w:color w:val="000000"/>
                <w:u w:val="single"/>
              </w:rPr>
              <w:t>D.21-11-016 Settlement</w:t>
            </w:r>
            <w:r w:rsidR="00AB50E1">
              <w:rPr>
                <w:b/>
                <w:bCs/>
                <w:color w:val="000000"/>
                <w:u w:val="single"/>
              </w:rPr>
              <w:t>s</w:t>
            </w:r>
          </w:p>
          <w:p w:rsidR="00B96EEC" w:rsidP="00073262" w:rsidRDefault="00B96EEC" w14:paraId="0A40349E" w14:textId="77777777">
            <w:pPr>
              <w:rPr>
                <w:b/>
                <w:bCs/>
                <w:color w:val="000000"/>
              </w:rPr>
            </w:pPr>
          </w:p>
          <w:p w:rsidR="00AB50E1" w:rsidP="00AB50E1" w:rsidRDefault="004B2EBF" w14:paraId="763C5F7D" w14:textId="4734CD06">
            <w:pPr>
              <w:rPr>
                <w:color w:val="000000"/>
              </w:rPr>
            </w:pPr>
            <w:r>
              <w:rPr>
                <w:color w:val="000000"/>
              </w:rPr>
              <w:t xml:space="preserve">As discussed above, </w:t>
            </w:r>
            <w:r w:rsidRPr="00AB50E1" w:rsidR="00AB50E1">
              <w:rPr>
                <w:color w:val="000000"/>
              </w:rPr>
              <w:t>SBUA actively participated in the lengthy and overall effective settlement discussions and subsequent Settlement Agreement</w:t>
            </w:r>
            <w:r w:rsidR="00AB50E1">
              <w:rPr>
                <w:color w:val="000000"/>
              </w:rPr>
              <w:t>s</w:t>
            </w:r>
            <w:r w:rsidRPr="00AB50E1" w:rsidR="00AB50E1">
              <w:rPr>
                <w:color w:val="000000"/>
              </w:rPr>
              <w:t>. SBUA agreed to and signed th</w:t>
            </w:r>
            <w:r w:rsidR="00060506">
              <w:rPr>
                <w:color w:val="000000"/>
              </w:rPr>
              <w:t>r</w:t>
            </w:r>
            <w:r w:rsidRPr="00AB50E1" w:rsidR="00AB50E1">
              <w:rPr>
                <w:color w:val="000000"/>
              </w:rPr>
              <w:t>e</w:t>
            </w:r>
            <w:r w:rsidR="00060506">
              <w:rPr>
                <w:color w:val="000000"/>
              </w:rPr>
              <w:t>e</w:t>
            </w:r>
            <w:r w:rsidRPr="00AB50E1" w:rsidR="00AB50E1">
              <w:rPr>
                <w:color w:val="000000"/>
              </w:rPr>
              <w:t xml:space="preserve"> Settlement Agreements, which were filed on April 8 &amp; April 13, 2021</w:t>
            </w:r>
            <w:r w:rsidR="00FD51BC">
              <w:rPr>
                <w:color w:val="000000"/>
              </w:rPr>
              <w:t>.</w:t>
            </w:r>
          </w:p>
          <w:p w:rsidR="00FD51BC" w:rsidP="00AB50E1" w:rsidRDefault="00FD51BC" w14:paraId="13B116CD" w14:textId="77777777">
            <w:pPr>
              <w:rPr>
                <w:color w:val="000000"/>
              </w:rPr>
            </w:pPr>
          </w:p>
          <w:p w:rsidRPr="00AB50E1" w:rsidR="00FD51BC" w:rsidP="00AB50E1" w:rsidRDefault="00FD51BC" w14:paraId="378DB11D" w14:textId="51C9D8CB">
            <w:pPr>
              <w:rPr>
                <w:i/>
                <w:iCs/>
                <w:color w:val="000000"/>
              </w:rPr>
            </w:pPr>
            <w:r>
              <w:rPr>
                <w:color w:val="000000"/>
              </w:rPr>
              <w:t xml:space="preserve">Pursuant to the Rule 12 </w:t>
            </w:r>
            <w:r w:rsidR="004B2EBF">
              <w:rPr>
                <w:color w:val="000000"/>
              </w:rPr>
              <w:t xml:space="preserve">confidentiality </w:t>
            </w:r>
            <w:r>
              <w:rPr>
                <w:color w:val="000000"/>
              </w:rPr>
              <w:t xml:space="preserve">requirements regarding Settlement, SBUA will only focus on our </w:t>
            </w:r>
            <w:r w:rsidR="00E16905">
              <w:rPr>
                <w:color w:val="000000"/>
              </w:rPr>
              <w:t>position in Testimony with</w:t>
            </w:r>
            <w:r w:rsidR="0089176F">
              <w:rPr>
                <w:color w:val="000000"/>
              </w:rPr>
              <w:t xml:space="preserve"> respect to the issues that were settled</w:t>
            </w:r>
            <w:r w:rsidR="00A5058A">
              <w:rPr>
                <w:color w:val="000000"/>
              </w:rPr>
              <w:t>.</w:t>
            </w:r>
            <w:r w:rsidR="0089176F">
              <w:rPr>
                <w:color w:val="000000"/>
              </w:rPr>
              <w:t xml:space="preserve"> SBUA filed testimony addressing time-of-use (TOU) differentials</w:t>
            </w:r>
            <w:r w:rsidR="00A5058A">
              <w:rPr>
                <w:color w:val="000000"/>
              </w:rPr>
              <w:t xml:space="preserve">, real-time pricing, marginal cost of service, revenue allocation, rate design </w:t>
            </w:r>
            <w:r w:rsidR="0089176F">
              <w:rPr>
                <w:color w:val="000000"/>
              </w:rPr>
              <w:t>and demand charges</w:t>
            </w:r>
            <w:r w:rsidR="009E639C">
              <w:rPr>
                <w:color w:val="000000"/>
              </w:rPr>
              <w:t xml:space="preserve"> – </w:t>
            </w:r>
            <w:r w:rsidR="009E639C">
              <w:rPr>
                <w:color w:val="000000"/>
              </w:rPr>
              <w:lastRenderedPageBreak/>
              <w:t>specifically focused on small business customers</w:t>
            </w:r>
            <w:r w:rsidR="00A5058A">
              <w:rPr>
                <w:color w:val="000000"/>
              </w:rPr>
              <w:t xml:space="preserve">. </w:t>
            </w:r>
            <w:r w:rsidR="0089176F">
              <w:rPr>
                <w:color w:val="000000"/>
              </w:rPr>
              <w:t xml:space="preserve"> </w:t>
            </w:r>
            <w:r w:rsidRPr="0089176F" w:rsidR="0089176F">
              <w:rPr>
                <w:i/>
                <w:iCs/>
                <w:color w:val="000000"/>
              </w:rPr>
              <w:t>See, Direct Testimony of SBUA, dated November 20, 2020.</w:t>
            </w:r>
          </w:p>
          <w:p w:rsidRPr="009A0588" w:rsidR="009A0588" w:rsidP="000724EF" w:rsidRDefault="009A0588" w14:paraId="3B009811" w14:textId="51228388">
            <w:pPr>
              <w:rPr>
                <w:color w:val="000000"/>
              </w:rPr>
            </w:pPr>
          </w:p>
        </w:tc>
        <w:tc>
          <w:tcPr>
            <w:tcW w:w="4140" w:type="dxa"/>
            <w:shd w:val="clear" w:color="auto" w:fill="auto"/>
          </w:tcPr>
          <w:p w:rsidR="00AB50E1" w:rsidP="00AB50E1" w:rsidRDefault="00AB50E1" w14:paraId="1E92B0DB" w14:textId="7A1F1F03">
            <w:pPr>
              <w:rPr>
                <w:color w:val="000000"/>
              </w:rPr>
            </w:pPr>
            <w:r>
              <w:rPr>
                <w:color w:val="000000"/>
              </w:rPr>
              <w:lastRenderedPageBreak/>
              <w:t>“</w:t>
            </w:r>
            <w:r w:rsidRPr="00AB50E1">
              <w:rPr>
                <w:color w:val="000000"/>
              </w:rPr>
              <w:t>On April 8, 2021, PG&amp;E served and filed a motion seeking adoption of an Economic Development Rate Supplemental Settlement Agreement (EDR settlement).  The motion claimed to resolve all EDR issues in the current proceeding.  The motion stated that the parties to the EDR settlement are EUF, Joint CCAs, PG&amp;E, Cal Advocates, and SBUA.  Because the parties serving testimony on EDR issues signed the EDR settlement, the EDR settlement is uncontested.</w:t>
            </w:r>
            <w:r>
              <w:rPr>
                <w:color w:val="000000"/>
              </w:rPr>
              <w:t>” D.21-11-016, p. 125.</w:t>
            </w:r>
          </w:p>
          <w:p w:rsidR="00795D4E" w:rsidP="00AB50E1" w:rsidRDefault="00795D4E" w14:paraId="576AA177" w14:textId="30C12687">
            <w:pPr>
              <w:rPr>
                <w:color w:val="000000"/>
              </w:rPr>
            </w:pPr>
          </w:p>
          <w:p w:rsidR="00795D4E" w:rsidP="00795D4E" w:rsidRDefault="00795D4E" w14:paraId="63820CA1" w14:textId="79E2CA93">
            <w:pPr>
              <w:rPr>
                <w:color w:val="000000"/>
              </w:rPr>
            </w:pPr>
            <w:r>
              <w:rPr>
                <w:color w:val="000000"/>
              </w:rPr>
              <w:t>“</w:t>
            </w:r>
            <w:r w:rsidRPr="00795D4E">
              <w:rPr>
                <w:color w:val="000000"/>
              </w:rPr>
              <w:t>Because the EDR settlement complies with the requirements of Rule 12.1 as described above, this decision holds that it is reasonable to adopt the EDR settlement in its entirety.  PG&amp;E shall implement the terms of the EDR settlement as soon as practicable.</w:t>
            </w:r>
            <w:r>
              <w:rPr>
                <w:color w:val="000000"/>
              </w:rPr>
              <w:t>” D.21-11-016, p. 131.</w:t>
            </w:r>
          </w:p>
          <w:p w:rsidR="00563ED9" w:rsidP="00FD51BC" w:rsidRDefault="00563ED9" w14:paraId="22B04084" w14:textId="77777777">
            <w:pPr>
              <w:rPr>
                <w:color w:val="000000"/>
              </w:rPr>
            </w:pPr>
          </w:p>
          <w:p w:rsidRPr="00FD51BC" w:rsidR="00FD51BC" w:rsidP="00FD51BC" w:rsidRDefault="00FD51BC" w14:paraId="26FDDE44" w14:textId="12A01773">
            <w:pPr>
              <w:rPr>
                <w:color w:val="000000"/>
              </w:rPr>
            </w:pPr>
            <w:r>
              <w:rPr>
                <w:color w:val="000000"/>
              </w:rPr>
              <w:lastRenderedPageBreak/>
              <w:t>“</w:t>
            </w:r>
            <w:r w:rsidRPr="00FD51BC">
              <w:rPr>
                <w:color w:val="000000"/>
              </w:rPr>
              <w:t>Testimony responding to PG&amp;E’s proposals on C&amp;I rate design issues was served on October 23, 2020, by Cal Advocates, and on November 20, 2020 by SBUA</w:t>
            </w:r>
            <w:r w:rsidR="0089176F">
              <w:rPr>
                <w:color w:val="000000"/>
              </w:rPr>
              <w:t>…</w:t>
            </w:r>
            <w:r w:rsidRPr="00FD51BC">
              <w:rPr>
                <w:color w:val="000000"/>
              </w:rPr>
              <w:t>.  These parties agreed with PG&amp;E’s proposals in many respects, but they also sought some changes.  These positions contrary to PG&amp;E’s proposals included:</w:t>
            </w:r>
          </w:p>
          <w:p w:rsidRPr="00FD51BC" w:rsidR="00FD51BC" w:rsidP="00FD51BC" w:rsidRDefault="00FD51BC" w14:paraId="7444A526" w14:textId="27418D14">
            <w:pPr>
              <w:numPr>
                <w:ilvl w:val="0"/>
                <w:numId w:val="12"/>
              </w:numPr>
              <w:ind w:left="674" w:hanging="270"/>
              <w:rPr>
                <w:color w:val="000000"/>
              </w:rPr>
            </w:pPr>
            <w:r w:rsidRPr="00FD51BC">
              <w:rPr>
                <w:color w:val="000000"/>
              </w:rPr>
              <w:t>SBUA wished to see changes to the SOP period at the earliest opportunity, consistent with adequate outreach.</w:t>
            </w:r>
          </w:p>
          <w:p w:rsidR="00FD51BC" w:rsidP="00FD51BC" w:rsidRDefault="00FD51BC" w14:paraId="0880A9D4" w14:textId="4C3B93A7">
            <w:pPr>
              <w:numPr>
                <w:ilvl w:val="0"/>
                <w:numId w:val="12"/>
              </w:numPr>
              <w:ind w:left="674" w:hanging="270"/>
              <w:rPr>
                <w:color w:val="000000"/>
              </w:rPr>
            </w:pPr>
            <w:r w:rsidRPr="00FD51BC">
              <w:rPr>
                <w:color w:val="000000"/>
              </w:rPr>
              <w:t>SBUA recommended that Schedule B-6 have its TOU differentials increased to full cost</w:t>
            </w:r>
            <w:r>
              <w:rPr>
                <w:color w:val="000000"/>
              </w:rPr>
              <w:t>…</w:t>
            </w:r>
          </w:p>
          <w:p w:rsidR="00B96EEC" w:rsidP="00D72F54" w:rsidRDefault="00FD51BC" w14:paraId="333D6747" w14:textId="1F64A03E">
            <w:pPr>
              <w:numPr>
                <w:ilvl w:val="0"/>
                <w:numId w:val="12"/>
              </w:numPr>
              <w:ind w:left="674" w:hanging="270"/>
              <w:rPr>
                <w:color w:val="000000"/>
              </w:rPr>
            </w:pPr>
            <w:r w:rsidRPr="00FD51BC">
              <w:rPr>
                <w:color w:val="000000"/>
              </w:rPr>
              <w:t>SBUA proposed replacing non-coincident demand charges with flat per kWh rates, and replacing time-varying demand charges with volumetric TOU rates</w:t>
            </w:r>
            <w:r>
              <w:rPr>
                <w:color w:val="000000"/>
              </w:rPr>
              <w:t>.”</w:t>
            </w:r>
          </w:p>
          <w:p w:rsidR="0089176F" w:rsidP="0089176F" w:rsidRDefault="0089176F" w14:paraId="726434A0" w14:textId="16B6A8C1">
            <w:pPr>
              <w:rPr>
                <w:color w:val="000000"/>
              </w:rPr>
            </w:pPr>
          </w:p>
          <w:p w:rsidR="0089176F" w:rsidP="0089176F" w:rsidRDefault="0089176F" w14:paraId="7874A4E3" w14:textId="34746C3D">
            <w:pPr>
              <w:rPr>
                <w:color w:val="000000"/>
              </w:rPr>
            </w:pPr>
            <w:r>
              <w:rPr>
                <w:color w:val="000000"/>
              </w:rPr>
              <w:t>“</w:t>
            </w:r>
            <w:r w:rsidRPr="0089176F">
              <w:rPr>
                <w:color w:val="000000"/>
              </w:rPr>
              <w:t>PG&amp;E served a motion for Adoption of Commercial and Industrial Rate Design Supplemental Agreement (C&amp;I rate design settlement) on April 13, 2021.</w:t>
            </w:r>
            <w:r w:rsidR="00257753">
              <w:rPr>
                <w:color w:val="000000"/>
              </w:rPr>
              <w:t>” D. 21-11-016, p. 144.</w:t>
            </w:r>
          </w:p>
          <w:p w:rsidR="00257753" w:rsidP="0089176F" w:rsidRDefault="00257753" w14:paraId="71693F04" w14:textId="6DA37B01">
            <w:pPr>
              <w:rPr>
                <w:color w:val="000000"/>
              </w:rPr>
            </w:pPr>
          </w:p>
          <w:p w:rsidR="00257753" w:rsidP="0089176F" w:rsidRDefault="00257753" w14:paraId="33B2CDA0" w14:textId="74ADECA3">
            <w:pPr>
              <w:rPr>
                <w:color w:val="000000"/>
              </w:rPr>
            </w:pPr>
            <w:r>
              <w:rPr>
                <w:color w:val="000000"/>
              </w:rPr>
              <w:t>“</w:t>
            </w:r>
            <w:r w:rsidRPr="00257753">
              <w:rPr>
                <w:color w:val="000000"/>
              </w:rPr>
              <w:t xml:space="preserve">The C&amp;I rate design settlement proposed the following changes to the rate design of Schedule B-6: 1) Summer Peak to Off Peak maximum differential of $0.25763, 2) Winter Peak to Off Peak maximum differential of $0.04360, and </w:t>
            </w:r>
            <w:r w:rsidRPr="00257753">
              <w:rPr>
                <w:color w:val="000000"/>
              </w:rPr>
              <w:br/>
              <w:t>3) Winter Peak to Super Off Peak maximum differential of $0.07968. For Schedules B-19, B-19V, and B-20 the settlement determined that the peak generation demand charge should be adjusted in line with the generation marginal costs adopted by this decision.</w:t>
            </w:r>
            <w:r>
              <w:rPr>
                <w:color w:val="000000"/>
              </w:rPr>
              <w:t>” D. 21-11-016, pp. 144-145.</w:t>
            </w:r>
          </w:p>
          <w:p w:rsidR="00257753" w:rsidP="0089176F" w:rsidRDefault="00257753" w14:paraId="2129DA4C" w14:textId="5DA85E37">
            <w:pPr>
              <w:rPr>
                <w:color w:val="000000"/>
              </w:rPr>
            </w:pPr>
          </w:p>
          <w:p w:rsidR="00257753" w:rsidP="00257753" w:rsidRDefault="00257753" w14:paraId="2B6D79FD" w14:textId="56047078">
            <w:pPr>
              <w:rPr>
                <w:color w:val="000000"/>
              </w:rPr>
            </w:pPr>
            <w:r>
              <w:rPr>
                <w:color w:val="000000"/>
              </w:rPr>
              <w:lastRenderedPageBreak/>
              <w:t>“</w:t>
            </w:r>
            <w:r w:rsidRPr="00257753">
              <w:rPr>
                <w:color w:val="000000"/>
              </w:rPr>
              <w:t>The C&amp;I rate design settlement also requires PG&amp;E to provide illustrative rates in its next GRC Phase 2 proceeding.  First, PG&amp;E will provide illustrative rates that convert TOU demand charges to TOU energy rates and non-coincident demand charges to flat energy rates for Schedules B-10, B-19, B-19V, and B-20 in its next GRC Phase 2 proceeding.</w:t>
            </w:r>
            <w:r>
              <w:rPr>
                <w:color w:val="000000"/>
              </w:rPr>
              <w:t>” D. 21-11-016, pp. 145-146.</w:t>
            </w:r>
          </w:p>
          <w:p w:rsidR="00257753" w:rsidP="00257753" w:rsidRDefault="00257753" w14:paraId="035BA26F" w14:textId="6D7332F2">
            <w:pPr>
              <w:rPr>
                <w:color w:val="000000"/>
              </w:rPr>
            </w:pPr>
          </w:p>
          <w:p w:rsidR="00B96EEC" w:rsidP="001C2033" w:rsidRDefault="00257753" w14:paraId="1F1111E0" w14:textId="6B482BC3">
            <w:pPr>
              <w:rPr>
                <w:color w:val="000000"/>
              </w:rPr>
            </w:pPr>
            <w:r>
              <w:rPr>
                <w:color w:val="000000"/>
              </w:rPr>
              <w:t>“</w:t>
            </w:r>
            <w:r w:rsidRPr="00257753">
              <w:rPr>
                <w:color w:val="000000"/>
              </w:rPr>
              <w:t>This decision agrees that the C&amp;I rate design settlement adopts compromise positions between the litigated positions of the parties, as evidenced by Appendix 3 to the settlement itself, and therefore represents a reasonable compromise that avoids further litigation on the issues and provides certainty to commercial and industrial customers regarding their future rate designs.  For these reasons this decision finds that the C&amp;I rate design settlement is in the public interest.</w:t>
            </w:r>
            <w:r>
              <w:rPr>
                <w:color w:val="000000"/>
              </w:rPr>
              <w:t>” D.21-11-016, p. 147.</w:t>
            </w:r>
          </w:p>
          <w:p w:rsidRPr="000B0A70" w:rsidR="00563ED9" w:rsidP="001C2033" w:rsidRDefault="00563ED9" w14:paraId="7DB800AE" w14:textId="77777777">
            <w:pPr>
              <w:rPr>
                <w:color w:val="000000"/>
              </w:rPr>
            </w:pPr>
          </w:p>
          <w:p w:rsidR="00563ED9" w:rsidP="001C2033" w:rsidRDefault="009E639C" w14:paraId="53EE6B9A" w14:textId="77777777">
            <w:pPr>
              <w:rPr>
                <w:color w:val="000000"/>
              </w:rPr>
            </w:pPr>
            <w:r>
              <w:rPr>
                <w:color w:val="000000"/>
                <w:u w:val="single"/>
              </w:rPr>
              <w:t>“</w:t>
            </w:r>
            <w:r w:rsidRPr="009E639C">
              <w:rPr>
                <w:color w:val="000000"/>
              </w:rPr>
              <w:t>On April 8, 2021, PG&amp;E served and filed a motion seeking adoption of a Revenue Allocation Supplemental Settlement Agreement (RA settlement)</w:t>
            </w:r>
            <w:r>
              <w:rPr>
                <w:color w:val="000000"/>
              </w:rPr>
              <w:t xml:space="preserve"> [of which SBUA was a signatory]</w:t>
            </w:r>
            <w:r w:rsidRPr="009E639C">
              <w:rPr>
                <w:color w:val="000000"/>
              </w:rPr>
              <w:t>.  The motion claimed that the RA settlement resolved all contested and uncontested revenue allocation issues in the proceeding and that it was uncontested</w:t>
            </w:r>
            <w:r>
              <w:rPr>
                <w:color w:val="000000"/>
              </w:rPr>
              <w:t>.” D.21-11-016, p. 82.</w:t>
            </w:r>
          </w:p>
          <w:p w:rsidR="002353E9" w:rsidP="001C2033" w:rsidRDefault="002353E9" w14:paraId="10909EEA" w14:textId="77777777">
            <w:pPr>
              <w:rPr>
                <w:color w:val="000000"/>
              </w:rPr>
            </w:pPr>
          </w:p>
          <w:p w:rsidRPr="002353E9" w:rsidR="002353E9" w:rsidP="002353E9" w:rsidRDefault="002353E9" w14:paraId="257DABF8" w14:textId="395C4FCC">
            <w:pPr>
              <w:rPr>
                <w:color w:val="000000"/>
              </w:rPr>
            </w:pPr>
            <w:r>
              <w:rPr>
                <w:color w:val="000000"/>
              </w:rPr>
              <w:t>“</w:t>
            </w:r>
            <w:r w:rsidRPr="002353E9">
              <w:rPr>
                <w:color w:val="000000"/>
              </w:rPr>
              <w:t>Given that the approved marginal costs and the RA settlement together lead to average rate impacts of less than one and a half percent in either a positive or negative direction for any given class</w:t>
            </w:r>
            <w:r w:rsidR="004B2EBF">
              <w:rPr>
                <w:color w:val="000000"/>
              </w:rPr>
              <w:t xml:space="preserve"> [including small commercial customers]</w:t>
            </w:r>
            <w:r w:rsidRPr="002353E9">
              <w:rPr>
                <w:color w:val="000000"/>
              </w:rPr>
              <w:t xml:space="preserve">, the rate impacts of the RA settlement are reasonable.  This decision also finds that because all of PG&amp;E’s </w:t>
            </w:r>
            <w:r w:rsidRPr="002353E9">
              <w:rPr>
                <w:color w:val="000000"/>
              </w:rPr>
              <w:lastRenderedPageBreak/>
              <w:t>customers benefit from PG&amp;E’s efforts to mitigate the wildfire risk posed by its distribution network, and given that wildfire mitigation work is normatively distinct from PG&amp;E’s ordinary distribution investments, it is desirable to reallocate PG&amp;E’s wildfire mitigation costs away from a strict distribution cost allocation and to more fairly distribute those costs to all of PG&amp;E’s customers, as proposed by the RA settlement.  For all of these reasons, this decision finds that the RA settlement is in the public interest.</w:t>
            </w:r>
            <w:r>
              <w:rPr>
                <w:color w:val="000000"/>
              </w:rPr>
              <w:t>” D.21-11-016, p. 90-91.</w:t>
            </w:r>
          </w:p>
          <w:p w:rsidR="002353E9" w:rsidP="001C2033" w:rsidRDefault="002353E9" w14:paraId="20D6A68F" w14:textId="613B0E8D">
            <w:pPr>
              <w:rPr>
                <w:color w:val="000000"/>
              </w:rPr>
            </w:pPr>
          </w:p>
        </w:tc>
        <w:tc>
          <w:tcPr>
            <w:tcW w:w="2340" w:type="dxa"/>
            <w:shd w:val="clear" w:color="auto" w:fill="auto"/>
          </w:tcPr>
          <w:p w:rsidR="00ED518C" w:rsidP="00073262" w:rsidRDefault="004772DC" w14:paraId="0E919285" w14:textId="13E38EE5">
            <w:pPr>
              <w:rPr>
                <w:color w:val="000000"/>
              </w:rPr>
            </w:pPr>
            <w:r>
              <w:rPr>
                <w:color w:val="000000"/>
              </w:rPr>
              <w:lastRenderedPageBreak/>
              <w:t xml:space="preserve">Verified. The decision adopts all 3 settlement agreements to which SBUA was a signatory, addressing revenue allocation, </w:t>
            </w:r>
            <w:r w:rsidR="00F1126E">
              <w:rPr>
                <w:color w:val="000000"/>
              </w:rPr>
              <w:t>EDR</w:t>
            </w:r>
            <w:r>
              <w:rPr>
                <w:color w:val="000000"/>
              </w:rPr>
              <w:t xml:space="preserve">, and C&amp;I rate design. </w:t>
            </w:r>
          </w:p>
          <w:p w:rsidR="00F1126E" w:rsidP="00807486" w:rsidRDefault="00F1126E" w14:paraId="05E8DD12" w14:textId="77777777">
            <w:pPr>
              <w:rPr>
                <w:color w:val="000000"/>
              </w:rPr>
            </w:pPr>
          </w:p>
          <w:p w:rsidR="00F1126E" w:rsidP="00F1126E" w:rsidRDefault="00D170D2" w14:paraId="742CFFB5" w14:textId="671815B6">
            <w:pPr>
              <w:rPr>
                <w:color w:val="000000"/>
              </w:rPr>
            </w:pPr>
            <w:r>
              <w:rPr>
                <w:color w:val="000000"/>
              </w:rPr>
              <w:t xml:space="preserve">However, at least half of SBUA’s testimony on non-RTP issues is focused on cost-of -service issues, not the </w:t>
            </w:r>
            <w:r w:rsidR="00693EA6">
              <w:rPr>
                <w:color w:val="000000"/>
              </w:rPr>
              <w:t>three</w:t>
            </w:r>
            <w:r w:rsidR="00245B40">
              <w:rPr>
                <w:color w:val="000000"/>
              </w:rPr>
              <w:t xml:space="preserve"> </w:t>
            </w:r>
            <w:r>
              <w:rPr>
                <w:color w:val="000000"/>
              </w:rPr>
              <w:t xml:space="preserve">issues that are the subject of the settlements.  </w:t>
            </w:r>
            <w:r w:rsidR="00F1126E">
              <w:rPr>
                <w:color w:val="000000"/>
              </w:rPr>
              <w:t xml:space="preserve">Moreover, the </w:t>
            </w:r>
            <w:r w:rsidR="00693EA6">
              <w:rPr>
                <w:color w:val="000000"/>
              </w:rPr>
              <w:t>d</w:t>
            </w:r>
            <w:r w:rsidR="00F1126E">
              <w:rPr>
                <w:color w:val="000000"/>
              </w:rPr>
              <w:t xml:space="preserve">ecision contains no discussion </w:t>
            </w:r>
            <w:r w:rsidR="00245B40">
              <w:rPr>
                <w:color w:val="000000"/>
              </w:rPr>
              <w:t>about</w:t>
            </w:r>
            <w:r w:rsidR="00F1126E">
              <w:rPr>
                <w:color w:val="000000"/>
              </w:rPr>
              <w:t xml:space="preserve"> SBUA’s role in the EDR and RA settlements. The </w:t>
            </w:r>
            <w:r w:rsidRPr="00807486" w:rsidR="00807486">
              <w:rPr>
                <w:color w:val="000000"/>
              </w:rPr>
              <w:lastRenderedPageBreak/>
              <w:t xml:space="preserve">Commission finds that the </w:t>
            </w:r>
            <w:r w:rsidRPr="00401C12" w:rsidR="00245B40">
              <w:rPr>
                <w:color w:val="000000"/>
              </w:rPr>
              <w:t xml:space="preserve">C&amp;I </w:t>
            </w:r>
            <w:r w:rsidRPr="00401C12" w:rsidR="00807486">
              <w:rPr>
                <w:color w:val="000000"/>
              </w:rPr>
              <w:t xml:space="preserve">settlement was positively influenced by </w:t>
            </w:r>
            <w:r w:rsidRPr="00401C12" w:rsidR="006A30CD">
              <w:rPr>
                <w:color w:val="000000"/>
              </w:rPr>
              <w:t>SBUA’s</w:t>
            </w:r>
            <w:r w:rsidRPr="00401C12" w:rsidR="00F24361">
              <w:rPr>
                <w:color w:val="000000"/>
              </w:rPr>
              <w:t xml:space="preserve"> participation</w:t>
            </w:r>
            <w:r w:rsidRPr="00401C12" w:rsidR="00807486">
              <w:rPr>
                <w:color w:val="000000"/>
              </w:rPr>
              <w:t xml:space="preserve">, </w:t>
            </w:r>
            <w:r w:rsidRPr="00401C12" w:rsidR="00F1126E">
              <w:rPr>
                <w:color w:val="000000"/>
              </w:rPr>
              <w:t>rendering the contribution compensable</w:t>
            </w:r>
            <w:r w:rsidRPr="00401C12" w:rsidR="00E433B9">
              <w:rPr>
                <w:color w:val="000000"/>
              </w:rPr>
              <w:t>.</w:t>
            </w:r>
            <w:r w:rsidR="00E433B9">
              <w:rPr>
                <w:color w:val="000000"/>
              </w:rPr>
              <w:t xml:space="preserve"> </w:t>
            </w:r>
            <w:r w:rsidR="00F1126E">
              <w:rPr>
                <w:color w:val="000000"/>
              </w:rPr>
              <w:t xml:space="preserve"> See discussion in Part III.D below on adjustments</w:t>
            </w:r>
            <w:r w:rsidR="00E433B9">
              <w:rPr>
                <w:color w:val="000000"/>
              </w:rPr>
              <w:t xml:space="preserve"> for the contributions relating to the D.21-11-016 settlements</w:t>
            </w:r>
            <w:r w:rsidR="00F1126E">
              <w:rPr>
                <w:color w:val="000000"/>
              </w:rPr>
              <w:t>.</w:t>
            </w:r>
          </w:p>
          <w:p w:rsidRPr="00807486" w:rsidR="00807486" w:rsidP="00807486" w:rsidRDefault="00807486" w14:paraId="099F2DC8" w14:textId="7D5ABB9C">
            <w:pPr>
              <w:rPr>
                <w:color w:val="000000"/>
              </w:rPr>
            </w:pPr>
          </w:p>
          <w:p w:rsidRPr="007F620E" w:rsidR="00807486" w:rsidP="00073262" w:rsidRDefault="00807486" w14:paraId="65C08261" w14:textId="5FA95A88">
            <w:pPr>
              <w:rPr>
                <w:color w:val="000000"/>
              </w:rPr>
            </w:pPr>
          </w:p>
        </w:tc>
      </w:tr>
      <w:tr w:rsidRPr="007F620E" w:rsidR="00D2442F" w:rsidTr="006E05EE" w14:paraId="54913065" w14:textId="77777777">
        <w:tc>
          <w:tcPr>
            <w:tcW w:w="3258" w:type="dxa"/>
            <w:shd w:val="clear" w:color="auto" w:fill="auto"/>
          </w:tcPr>
          <w:p w:rsidR="00D2442F" w:rsidP="00D2442F" w:rsidRDefault="00567086" w14:paraId="4A0B9D1C" w14:textId="56F2D3AD">
            <w:pPr>
              <w:rPr>
                <w:b/>
                <w:bCs/>
                <w:color w:val="000000"/>
                <w:u w:val="single"/>
              </w:rPr>
            </w:pPr>
            <w:r>
              <w:rPr>
                <w:b/>
                <w:bCs/>
                <w:color w:val="000000"/>
              </w:rPr>
              <w:lastRenderedPageBreak/>
              <w:t>6</w:t>
            </w:r>
            <w:r w:rsidRPr="00DE2D2A" w:rsidR="00D2442F">
              <w:rPr>
                <w:b/>
                <w:bCs/>
                <w:color w:val="000000"/>
              </w:rPr>
              <w:t>.</w:t>
            </w:r>
            <w:r w:rsidR="00D2442F">
              <w:rPr>
                <w:color w:val="000000"/>
              </w:rPr>
              <w:t xml:space="preserve"> </w:t>
            </w:r>
            <w:r w:rsidR="001C2033">
              <w:rPr>
                <w:b/>
                <w:bCs/>
                <w:color w:val="000000"/>
                <w:u w:val="single"/>
              </w:rPr>
              <w:t>D.22-08-002 MGCC Study and RTP</w:t>
            </w:r>
            <w:r w:rsidR="00DA06E4">
              <w:rPr>
                <w:b/>
                <w:bCs/>
                <w:color w:val="000000"/>
                <w:u w:val="single"/>
              </w:rPr>
              <w:t xml:space="preserve"> Settlement</w:t>
            </w:r>
          </w:p>
          <w:p w:rsidR="00D2442F" w:rsidP="00D2442F" w:rsidRDefault="00D2442F" w14:paraId="3A9720B3" w14:textId="77777777">
            <w:pPr>
              <w:rPr>
                <w:b/>
                <w:bCs/>
                <w:color w:val="000000"/>
                <w:u w:val="single"/>
              </w:rPr>
            </w:pPr>
          </w:p>
          <w:p w:rsidR="00D2442F" w:rsidP="00E74514" w:rsidRDefault="0006401A" w14:paraId="06A9CE61" w14:textId="5E00877C">
            <w:pPr>
              <w:spacing w:after="240"/>
              <w:rPr>
                <w:i/>
                <w:iCs/>
                <w:color w:val="000000"/>
              </w:rPr>
            </w:pPr>
            <w:r>
              <w:rPr>
                <w:color w:val="000000"/>
              </w:rPr>
              <w:t xml:space="preserve">As discussed above, SBUA joined the Joint Motion to Bifurcate the Real Time Pricing issues in the proceeding. Pursuant to the Amended Scoping Memorandum, SBUA filed Real Time Pricing Testimony on May 28, 2021. </w:t>
            </w:r>
            <w:r w:rsidRPr="00E74514">
              <w:rPr>
                <w:i/>
                <w:iCs/>
                <w:color w:val="000000"/>
              </w:rPr>
              <w:t xml:space="preserve">See, </w:t>
            </w:r>
            <w:r w:rsidRPr="00E74514" w:rsidR="000F4104">
              <w:rPr>
                <w:i/>
                <w:iCs/>
                <w:color w:val="000000"/>
              </w:rPr>
              <w:t xml:space="preserve">RTP TESTIMONY OF PAUL L. CHERNICK AND JOHN D. </w:t>
            </w:r>
            <w:r w:rsidRPr="00E74514" w:rsidR="00172D1E">
              <w:rPr>
                <w:i/>
                <w:iCs/>
                <w:color w:val="000000"/>
              </w:rPr>
              <w:t>WILSON ON BEHALF OF SMALL BUSINESS UTILITY ADVOCATES, dated May 28, 2021.</w:t>
            </w:r>
          </w:p>
          <w:p w:rsidR="00DF2267" w:rsidP="00E74514" w:rsidRDefault="00185CE3" w14:paraId="23007962" w14:textId="77777777">
            <w:pPr>
              <w:spacing w:after="240"/>
              <w:rPr>
                <w:color w:val="000000"/>
              </w:rPr>
            </w:pPr>
            <w:r>
              <w:rPr>
                <w:color w:val="000000"/>
              </w:rPr>
              <w:t>Pursuant to bifurcation of the proceeding, as discussed in 1. SBUA engaged with a subset of parties to discuss and develop a MGCC study to be</w:t>
            </w:r>
            <w:r w:rsidR="001E7C23">
              <w:rPr>
                <w:color w:val="000000"/>
              </w:rPr>
              <w:t xml:space="preserve"> used in the proceeding.</w:t>
            </w:r>
            <w:r>
              <w:rPr>
                <w:color w:val="000000"/>
              </w:rPr>
              <w:t xml:space="preserve"> </w:t>
            </w:r>
          </w:p>
          <w:p w:rsidR="00DF2267" w:rsidP="00E74514" w:rsidRDefault="00DF2267" w14:paraId="23F24034" w14:textId="37F0F0BB">
            <w:pPr>
              <w:spacing w:after="240"/>
              <w:rPr>
                <w:color w:val="000000"/>
              </w:rPr>
            </w:pPr>
            <w:r>
              <w:rPr>
                <w:color w:val="000000"/>
              </w:rPr>
              <w:t xml:space="preserve">SBUA experts John D. Wilson and Paul L. Chernick served as MGCC Study Participants, </w:t>
            </w:r>
            <w:r w:rsidRPr="001B4986">
              <w:rPr>
                <w:i/>
                <w:iCs/>
                <w:color w:val="000000"/>
              </w:rPr>
              <w:t xml:space="preserve">See </w:t>
            </w:r>
            <w:r w:rsidRPr="001B4986">
              <w:rPr>
                <w:i/>
                <w:iCs/>
                <w:color w:val="000000"/>
              </w:rPr>
              <w:lastRenderedPageBreak/>
              <w:t xml:space="preserve">March 15, 2022 </w:t>
            </w:r>
            <w:r w:rsidRPr="001B4986" w:rsidR="001B4986">
              <w:rPr>
                <w:i/>
                <w:iCs/>
                <w:color w:val="000000"/>
              </w:rPr>
              <w:t>Report, Attachment A to D.22-08-002.</w:t>
            </w:r>
          </w:p>
          <w:p w:rsidRPr="001B4986" w:rsidR="00185CE3" w:rsidP="00E74514" w:rsidRDefault="004A6941" w14:paraId="555A96BB" w14:textId="10BDE704">
            <w:pPr>
              <w:spacing w:after="240"/>
              <w:rPr>
                <w:i/>
                <w:iCs/>
                <w:color w:val="000000"/>
              </w:rPr>
            </w:pPr>
            <w:r>
              <w:rPr>
                <w:color w:val="000000"/>
              </w:rPr>
              <w:t>The MGCC Study relied upon data compiled by SBUA and Cal Advocates in their respective testimonies, as noted in the March 15, 2022 MGCC RTP Study on p. 7.</w:t>
            </w:r>
            <w:r w:rsidR="001B4986">
              <w:rPr>
                <w:color w:val="000000"/>
              </w:rPr>
              <w:t xml:space="preserve"> </w:t>
            </w:r>
            <w:r w:rsidRPr="001B4986" w:rsidR="001B4986">
              <w:rPr>
                <w:i/>
                <w:iCs/>
                <w:color w:val="000000"/>
              </w:rPr>
              <w:t>See, Attachment A to D.22-08-002.</w:t>
            </w:r>
          </w:p>
          <w:p w:rsidR="00185CE3" w:rsidP="00E74514" w:rsidRDefault="00185CE3" w14:paraId="0AA96C0D" w14:textId="77777777">
            <w:pPr>
              <w:spacing w:after="240"/>
              <w:rPr>
                <w:color w:val="000000"/>
              </w:rPr>
            </w:pPr>
            <w:r>
              <w:rPr>
                <w:color w:val="000000"/>
              </w:rPr>
              <w:t xml:space="preserve">As with other issues in the proceeding, SBUA engaged in numerous and fruitful settlement discussions with PG&amp;E and the parties. </w:t>
            </w:r>
            <w:r w:rsidR="00192605">
              <w:rPr>
                <w:color w:val="000000"/>
              </w:rPr>
              <w:t xml:space="preserve">With respect to the RTP issues, SBUA and parties engaged in settlement discussions for over </w:t>
            </w:r>
            <w:r w:rsidRPr="00192605" w:rsidR="00192605">
              <w:rPr>
                <w:b/>
                <w:bCs/>
                <w:color w:val="000000"/>
              </w:rPr>
              <w:t>one-year</w:t>
            </w:r>
            <w:r w:rsidR="00192605">
              <w:rPr>
                <w:color w:val="000000"/>
              </w:rPr>
              <w:t xml:space="preserve"> and worked tirelessly on the MGCC Study which was a crux for the eventual settlement of issues involved. </w:t>
            </w:r>
            <w:r>
              <w:rPr>
                <w:color w:val="000000"/>
              </w:rPr>
              <w:t>SBUA joined the RTP settlement filed on January 14, 2022.</w:t>
            </w:r>
          </w:p>
          <w:p w:rsidRPr="00185CE3" w:rsidR="00DF2267" w:rsidP="00E74514" w:rsidRDefault="00DF2267" w14:paraId="560D200A" w14:textId="62DE7132">
            <w:pPr>
              <w:spacing w:after="240"/>
              <w:rPr>
                <w:color w:val="000000"/>
              </w:rPr>
            </w:pPr>
          </w:p>
        </w:tc>
        <w:tc>
          <w:tcPr>
            <w:tcW w:w="4140" w:type="dxa"/>
            <w:shd w:val="clear" w:color="auto" w:fill="auto"/>
          </w:tcPr>
          <w:p w:rsidRPr="005362B1" w:rsidR="005362B1" w:rsidP="005362B1" w:rsidRDefault="005362B1" w14:paraId="0A85F512" w14:textId="159664D3">
            <w:pPr>
              <w:rPr>
                <w:color w:val="000000"/>
              </w:rPr>
            </w:pPr>
            <w:r>
              <w:rPr>
                <w:color w:val="000000"/>
              </w:rPr>
              <w:lastRenderedPageBreak/>
              <w:t>“</w:t>
            </w:r>
            <w:r w:rsidRPr="005362B1">
              <w:rPr>
                <w:color w:val="000000"/>
              </w:rPr>
              <w:t xml:space="preserve">Decision (D.) 21-11-016 in Application (A.) 19-11-019 disposed of most substantive issues in the General Rate Case Phase 2 application of Pacific Gas and Electric Company (PG&amp;E). Two other decisions, D.20-09-021 and D.22-03-012, addressed some of the remaining issues in the proceeding. However, real-time rate design is an issue that remains outstanding in A.19-11-019, and this issue requires resolution before the proceeding can be closed. PG&amp;E and several other parties to A.19-11-019 </w:t>
            </w:r>
            <w:r w:rsidR="00DA06E4">
              <w:rPr>
                <w:color w:val="000000"/>
              </w:rPr>
              <w:t xml:space="preserve">[including SBUA] </w:t>
            </w:r>
            <w:r w:rsidRPr="005362B1">
              <w:rPr>
                <w:color w:val="000000"/>
              </w:rPr>
              <w:t xml:space="preserve">filed a motion to adopt a joint settlement on outstanding real-time pricing issues (RTP settlement) on January 14, 2022. On March 15, 2022, PG&amp;E served a study (herein after Marginal Generation Capacity Cost MGCC study) by several parties to A.19-11-019 </w:t>
            </w:r>
            <w:r w:rsidR="00A917E8">
              <w:rPr>
                <w:color w:val="000000"/>
              </w:rPr>
              <w:t xml:space="preserve">[including SBUA] </w:t>
            </w:r>
            <w:r w:rsidRPr="005362B1">
              <w:rPr>
                <w:color w:val="000000"/>
              </w:rPr>
              <w:t>outlining a proposed methodology to be used to generate an hourly marginal generation capacity cost price signal for the rate designs set out</w:t>
            </w:r>
          </w:p>
          <w:p w:rsidRPr="005362B1" w:rsidR="005362B1" w:rsidP="005362B1" w:rsidRDefault="005362B1" w14:paraId="2F479A10" w14:textId="5BD55E19">
            <w:pPr>
              <w:rPr>
                <w:color w:val="000000"/>
              </w:rPr>
            </w:pPr>
            <w:r w:rsidRPr="005362B1">
              <w:rPr>
                <w:color w:val="000000"/>
              </w:rPr>
              <w:t>in the RTP settlement.  A corrected version of the MGCC study was served on March 17, 2022 in A.19-11-019.</w:t>
            </w:r>
            <w:r>
              <w:rPr>
                <w:color w:val="000000"/>
              </w:rPr>
              <w:t>” D.22-08-002, p. 3.</w:t>
            </w:r>
          </w:p>
          <w:p w:rsidR="005362B1" w:rsidP="00185CE3" w:rsidRDefault="005362B1" w14:paraId="3E1C0FDB" w14:textId="68EE2549">
            <w:pPr>
              <w:rPr>
                <w:color w:val="000000"/>
              </w:rPr>
            </w:pPr>
          </w:p>
          <w:p w:rsidR="00185CE3" w:rsidP="00185CE3" w:rsidRDefault="00185CE3" w14:paraId="66357B60" w14:textId="5C5ED660">
            <w:pPr>
              <w:rPr>
                <w:color w:val="000000"/>
              </w:rPr>
            </w:pPr>
            <w:r>
              <w:rPr>
                <w:color w:val="000000"/>
              </w:rPr>
              <w:lastRenderedPageBreak/>
              <w:t>“</w:t>
            </w:r>
            <w:r w:rsidRPr="00185CE3">
              <w:rPr>
                <w:color w:val="000000"/>
              </w:rPr>
              <w:t xml:space="preserve">Parties to A.19-11-019 </w:t>
            </w:r>
            <w:r w:rsidR="00A917E8">
              <w:rPr>
                <w:color w:val="000000"/>
              </w:rPr>
              <w:t xml:space="preserve">[including SBUA] </w:t>
            </w:r>
            <w:r w:rsidRPr="00185CE3">
              <w:rPr>
                <w:color w:val="000000"/>
              </w:rPr>
              <w:t>filed voluminous testimony on RTP issues, and on January 14, 2022 a motion to adopt the RTP settlement was filed and served in A.19-11-019.  Evidentiary hearing was held on January 26, 2022 in order to gather more information from the settling parties on the detail of the RTP settlement.</w:t>
            </w:r>
          </w:p>
          <w:p w:rsidRPr="00185CE3" w:rsidR="005362B1" w:rsidP="00185CE3" w:rsidRDefault="005362B1" w14:paraId="5A7C4ACC" w14:textId="77777777">
            <w:pPr>
              <w:rPr>
                <w:color w:val="000000"/>
              </w:rPr>
            </w:pPr>
          </w:p>
          <w:p w:rsidR="00185CE3" w:rsidP="00185CE3" w:rsidRDefault="00185CE3" w14:paraId="2CCAFD8C" w14:textId="548D7823">
            <w:pPr>
              <w:rPr>
                <w:color w:val="000000"/>
              </w:rPr>
            </w:pPr>
            <w:r w:rsidRPr="00185CE3">
              <w:rPr>
                <w:color w:val="000000"/>
              </w:rPr>
              <w:t>The RTP settlement is uncontested, and is signed by the Agricultural Energy Consumers Association (AECA), the California Large Energy Consumers Association (CLECA), the California Solar and Storage Association (CALSSA), Enel X North America, Inc.  (Enel X), the Energy Producers and Users Coalition (EPUC), the Federal Executive Agencies (FEA), the Public Advocates Office at the California Public Utilities Commission (Cal Advocates), the Small Business Utility Advocates (SBUA), and PG&amp;E.</w:t>
            </w:r>
            <w:r>
              <w:rPr>
                <w:color w:val="000000"/>
              </w:rPr>
              <w:t>” D. 22-08-002, p. 4.</w:t>
            </w:r>
          </w:p>
          <w:p w:rsidR="001E7C23" w:rsidP="00185CE3" w:rsidRDefault="001E7C23" w14:paraId="19C590C8" w14:textId="4B500546">
            <w:pPr>
              <w:rPr>
                <w:color w:val="000000"/>
              </w:rPr>
            </w:pPr>
          </w:p>
          <w:p w:rsidRPr="001E7C23" w:rsidR="001E7C23" w:rsidP="001E7C23" w:rsidRDefault="001E7C23" w14:paraId="51131C95" w14:textId="5F265D8C">
            <w:pPr>
              <w:rPr>
                <w:color w:val="000000"/>
              </w:rPr>
            </w:pPr>
            <w:r>
              <w:rPr>
                <w:color w:val="000000"/>
              </w:rPr>
              <w:t>“</w:t>
            </w:r>
            <w:r w:rsidRPr="001E7C23">
              <w:rPr>
                <w:color w:val="000000"/>
              </w:rPr>
              <w:t xml:space="preserve">As a result of a stipulation adopted in D.21-11-017, and consistent with related rulings, a subset of parties to A.19-11-019 gathered together and studied PG&amp;E’s marginal generation capacity costs to develop a methodology for calculating a marginal generation capacity cost price signal.  These parties – consisting of PG&amp;E, SBUA, </w:t>
            </w:r>
            <w:r>
              <w:rPr>
                <w:color w:val="000000"/>
              </w:rPr>
              <w:t>…</w:t>
            </w:r>
            <w:r w:rsidRPr="001E7C23">
              <w:rPr>
                <w:color w:val="000000"/>
              </w:rPr>
              <w:t xml:space="preserve">– produced the MGCC study that was served in both A.19-11-019 and A.20-10-011 in March 2022. The scope of the MGCC study was to “analyze the relationship of the following variables to the condition of the [California Independent System Operator (CAISO)] </w:t>
            </w:r>
          </w:p>
          <w:p w:rsidR="001E7C23" w:rsidP="001E7C23" w:rsidRDefault="001E7C23" w14:paraId="57E7263F" w14:textId="0D067F14">
            <w:pPr>
              <w:rPr>
                <w:color w:val="000000"/>
              </w:rPr>
            </w:pPr>
            <w:r w:rsidRPr="001E7C23">
              <w:rPr>
                <w:color w:val="000000"/>
              </w:rPr>
              <w:t xml:space="preserve">grid: 1) hydro year conditions, 2) the definition and weighting of the hydro variable in the calculation of Adjusted Net Load (ANL), 3) CAISO restricted </w:t>
            </w:r>
            <w:r w:rsidRPr="001E7C23">
              <w:rPr>
                <w:color w:val="000000"/>
              </w:rPr>
              <w:lastRenderedPageBreak/>
              <w:t>maintenance operations (RMO), 4) day-ahead CAISO Flex Alerts and CAISO Flex Alert Events, and 5) other CAISO warning and emergency events, 6) the Peak Capacity Allocation Factor (PCAF) threshold, and 7) the functional form of PCAF weighting above the PCAF threshold, using [Strategic Energy Risk Valuation Model (SERVM)] data that Energy Division would provide.”</w:t>
            </w:r>
            <w:r>
              <w:rPr>
                <w:color w:val="000000"/>
              </w:rPr>
              <w:t xml:space="preserve"> D. 22-08-002, p. 15. [Note, the D.21-11-017</w:t>
            </w:r>
            <w:r w:rsidR="00207128">
              <w:rPr>
                <w:color w:val="000000"/>
              </w:rPr>
              <w:t xml:space="preserve"> was issued in A. 20-10-011</w:t>
            </w:r>
            <w:r>
              <w:rPr>
                <w:color w:val="000000"/>
              </w:rPr>
              <w:t>].</w:t>
            </w:r>
          </w:p>
          <w:p w:rsidR="004E08E7" w:rsidP="001E7C23" w:rsidRDefault="004E08E7" w14:paraId="4D45EAB9" w14:textId="0E4A877D">
            <w:pPr>
              <w:rPr>
                <w:color w:val="000000"/>
              </w:rPr>
            </w:pPr>
          </w:p>
          <w:p w:rsidRPr="004E08E7" w:rsidR="004E08E7" w:rsidP="004E08E7" w:rsidRDefault="004E08E7" w14:paraId="23CB3A34" w14:textId="480BBBB7">
            <w:pPr>
              <w:rPr>
                <w:color w:val="000000"/>
              </w:rPr>
            </w:pPr>
            <w:r>
              <w:rPr>
                <w:color w:val="000000"/>
              </w:rPr>
              <w:t>“</w:t>
            </w:r>
            <w:r w:rsidRPr="004E08E7">
              <w:rPr>
                <w:color w:val="000000"/>
              </w:rPr>
              <w:t>The real-time generation component to be used in the Stage 1 pilots would include: 1) a Marginal Energy Cost (MEC) price signal, 2) a Marginal Generation Capacity Cost (MGCC) price signal, and 3) a Revenue Neutral Adder (RNA).</w:t>
            </w:r>
            <w:r w:rsidR="00A15FF2">
              <w:rPr>
                <w:color w:val="000000"/>
              </w:rPr>
              <w:t xml:space="preserve"> </w:t>
            </w:r>
            <w:r w:rsidRPr="004E08E7">
              <w:rPr>
                <w:color w:val="000000"/>
              </w:rPr>
              <w:t>With respect to the MGCC element, the RTP settlement wishes it to be based on the MGCC study and that it be identical to the MGCC element to be used for the electric vehicle charging real-time rate at issue in A.20-10-011.</w:t>
            </w:r>
            <w:r>
              <w:rPr>
                <w:color w:val="000000"/>
              </w:rPr>
              <w:t>” D.22-08-002, p. 7.</w:t>
            </w:r>
          </w:p>
          <w:p w:rsidR="004E08E7" w:rsidP="001E7C23" w:rsidRDefault="004E08E7" w14:paraId="5C3C7670" w14:textId="25DADC40">
            <w:pPr>
              <w:rPr>
                <w:color w:val="000000"/>
              </w:rPr>
            </w:pPr>
          </w:p>
          <w:p w:rsidRPr="00192605" w:rsidR="00192605" w:rsidP="00192605" w:rsidRDefault="00192605" w14:paraId="33498631" w14:textId="698C8293">
            <w:pPr>
              <w:rPr>
                <w:color w:val="000000"/>
              </w:rPr>
            </w:pPr>
            <w:r>
              <w:rPr>
                <w:color w:val="000000"/>
              </w:rPr>
              <w:t>“</w:t>
            </w:r>
            <w:r w:rsidRPr="00192605">
              <w:rPr>
                <w:color w:val="000000"/>
              </w:rPr>
              <w:t>The RTP settlement motion claimed that the RTP settlement was</w:t>
            </w:r>
          </w:p>
          <w:p w:rsidRPr="00192605" w:rsidR="00192605" w:rsidP="00192605" w:rsidRDefault="00192605" w14:paraId="26ADCB43" w14:textId="1F995F98">
            <w:pPr>
              <w:rPr>
                <w:color w:val="000000"/>
              </w:rPr>
            </w:pPr>
            <w:r w:rsidRPr="00192605">
              <w:rPr>
                <w:color w:val="000000"/>
              </w:rPr>
              <w:t>reasonable in light of the whole record as it represented a give-and-take among the parties after careful review of their respective positions on RTP issues</w:t>
            </w:r>
            <w:r>
              <w:rPr>
                <w:color w:val="000000"/>
              </w:rPr>
              <w:t>.</w:t>
            </w:r>
            <w:r w:rsidRPr="00192605">
              <w:rPr>
                <w:color w:val="000000"/>
              </w:rPr>
              <w:t xml:space="preserve"> The Comparison Exhibit attached to the motion also reveals that the terms of the RTP settlement are compromise positions between the various positions taken by the parties in their testimony.</w:t>
            </w:r>
          </w:p>
          <w:p w:rsidR="00192605" w:rsidP="00192605" w:rsidRDefault="00192605" w14:paraId="745B8B6C" w14:textId="5FA57E28">
            <w:pPr>
              <w:rPr>
                <w:color w:val="000000"/>
              </w:rPr>
            </w:pPr>
            <w:r w:rsidRPr="00192605">
              <w:rPr>
                <w:color w:val="000000"/>
              </w:rPr>
              <w:t xml:space="preserve">The RTP settlement stated that the parties engaged in settlement negotiations for over one year, and that the settlement is a product of those efforts. While many issues were, in fact, uncontested, some contested issues </w:t>
            </w:r>
            <w:r w:rsidRPr="00192605">
              <w:rPr>
                <w:color w:val="000000"/>
              </w:rPr>
              <w:lastRenderedPageBreak/>
              <w:t>included: 1) the number of rate schedules that should be included in the Stage 1 pilots and 2) which rates those should be.  The selection of three rate schedules for inclusion – two commercial and one residential – reflects a compromise of litigated positions.</w:t>
            </w:r>
            <w:r>
              <w:rPr>
                <w:color w:val="000000"/>
              </w:rPr>
              <w:t>” D.22-08-002, pp. 11-12.</w:t>
            </w:r>
          </w:p>
          <w:p w:rsidR="00D2442F" w:rsidP="001C2033" w:rsidRDefault="00D2442F" w14:paraId="212DC65D" w14:textId="77777777">
            <w:pPr>
              <w:rPr>
                <w:color w:val="000000"/>
              </w:rPr>
            </w:pPr>
          </w:p>
          <w:p w:rsidR="00A15A91" w:rsidP="00A15A91" w:rsidRDefault="00A15A91" w14:paraId="32D5A235" w14:textId="1899BC41">
            <w:pPr>
              <w:rPr>
                <w:color w:val="000000"/>
              </w:rPr>
            </w:pPr>
            <w:r>
              <w:rPr>
                <w:color w:val="000000"/>
              </w:rPr>
              <w:t>“</w:t>
            </w:r>
            <w:r w:rsidRPr="00A15A91">
              <w:rPr>
                <w:color w:val="000000"/>
              </w:rPr>
              <w:t>Given the nature of the proposed marginal generational capacity cost pricing methodology, and the purported advantages of the approach, the Stipulating Parties recommended that the Commission adopt the proposed methodology as described in the MGCC study.  No party to either A.19-11-019 or A.20-10-011 objected to the marginal generation capacity cost pricing methodology and proposal as described in the MGCC study.</w:t>
            </w:r>
            <w:r>
              <w:rPr>
                <w:color w:val="000000"/>
              </w:rPr>
              <w:t>” D.22-08-002, p. 18.</w:t>
            </w:r>
          </w:p>
          <w:p w:rsidR="00931646" w:rsidP="00A15A91" w:rsidRDefault="00931646" w14:paraId="5CD7BBF7" w14:textId="5B52CEF7">
            <w:pPr>
              <w:rPr>
                <w:color w:val="000000"/>
              </w:rPr>
            </w:pPr>
          </w:p>
          <w:p w:rsidRPr="00931646" w:rsidR="00931646" w:rsidP="00931646" w:rsidRDefault="00931646" w14:paraId="6142ED2C" w14:textId="77777777">
            <w:pPr>
              <w:rPr>
                <w:color w:val="000000"/>
              </w:rPr>
            </w:pPr>
            <w:r>
              <w:rPr>
                <w:color w:val="000000"/>
              </w:rPr>
              <w:t>“</w:t>
            </w:r>
            <w:r w:rsidRPr="00931646">
              <w:rPr>
                <w:color w:val="000000"/>
              </w:rPr>
              <w:t>Subsequent to the service of the MGCC study, the Stipulating Parties filed a motion in A.20-10-011 on April 13, 2022 to accept a joint stipulation on marginal generation capacity costs (April 13 joint stipulation) in lieu of testimony on the issue. The April 13 joint stipulation is identified as Exhibit PG&amp;E-25 in A.20-10-011 and Exhibit PG&amp;E-RTP-8 in A.19-11-019.</w:t>
            </w:r>
          </w:p>
          <w:p w:rsidRPr="00931646" w:rsidR="00931646" w:rsidP="00931646" w:rsidRDefault="00931646" w14:paraId="5F91A772" w14:textId="77777777">
            <w:pPr>
              <w:rPr>
                <w:color w:val="000000"/>
              </w:rPr>
            </w:pPr>
            <w:r w:rsidRPr="00931646">
              <w:rPr>
                <w:color w:val="000000"/>
              </w:rPr>
              <w:t xml:space="preserve">The April 13 joint stipulation recommended that the Commission adopt the MGCC study’s methodology for calculating an hourly marginal generation capacity cost signal. It asserted that the MGCC study was a result of “a collaborative, [consensus-based] research effort spanning five months after initial data collection, with 21 meetings held between October 18, 2021 and March 10, 2022.  MGCC Study Participants devoted considerable </w:t>
            </w:r>
            <w:r w:rsidRPr="00931646">
              <w:rPr>
                <w:color w:val="000000"/>
              </w:rPr>
              <w:lastRenderedPageBreak/>
              <w:t>resources to addressing the following issues:</w:t>
            </w:r>
          </w:p>
          <w:p w:rsidRPr="00931646" w:rsidR="00931646" w:rsidP="00931646" w:rsidRDefault="00931646" w14:paraId="71D1A0EB" w14:textId="77777777">
            <w:pPr>
              <w:numPr>
                <w:ilvl w:val="0"/>
                <w:numId w:val="14"/>
              </w:numPr>
              <w:ind w:left="494" w:hanging="180"/>
              <w:rPr>
                <w:color w:val="000000"/>
              </w:rPr>
            </w:pPr>
            <w:r w:rsidRPr="00931646">
              <w:rPr>
                <w:color w:val="000000"/>
              </w:rPr>
              <w:t>Finding and vetting historical load and generation data</w:t>
            </w:r>
          </w:p>
          <w:p w:rsidRPr="00931646" w:rsidR="00931646" w:rsidP="00931646" w:rsidRDefault="00931646" w14:paraId="121755C7" w14:textId="77777777">
            <w:pPr>
              <w:numPr>
                <w:ilvl w:val="0"/>
                <w:numId w:val="14"/>
              </w:numPr>
              <w:ind w:left="494" w:hanging="180"/>
              <w:rPr>
                <w:color w:val="000000"/>
              </w:rPr>
            </w:pPr>
            <w:r w:rsidRPr="00931646">
              <w:rPr>
                <w:color w:val="000000"/>
              </w:rPr>
              <w:t>Vetting AWE data from the [CAISO]</w:t>
            </w:r>
          </w:p>
          <w:p w:rsidRPr="00931646" w:rsidR="00931646" w:rsidP="00931646" w:rsidRDefault="00931646" w14:paraId="24427741" w14:textId="77777777">
            <w:pPr>
              <w:numPr>
                <w:ilvl w:val="0"/>
                <w:numId w:val="14"/>
              </w:numPr>
              <w:ind w:left="494" w:hanging="180"/>
              <w:rPr>
                <w:color w:val="000000"/>
              </w:rPr>
            </w:pPr>
            <w:r w:rsidRPr="00931646">
              <w:rPr>
                <w:color w:val="000000"/>
              </w:rPr>
              <w:t>Finding and vetting forecast data concerning load, generation and various measures of grid stress in outputs from the Energy Division’s [SERVM data]</w:t>
            </w:r>
          </w:p>
          <w:p w:rsidRPr="00931646" w:rsidR="00931646" w:rsidP="00931646" w:rsidRDefault="00931646" w14:paraId="24E5C8CA" w14:textId="045788BD">
            <w:pPr>
              <w:numPr>
                <w:ilvl w:val="0"/>
                <w:numId w:val="14"/>
              </w:numPr>
              <w:ind w:left="494" w:hanging="180"/>
              <w:rPr>
                <w:color w:val="000000"/>
              </w:rPr>
            </w:pPr>
            <w:r w:rsidRPr="00931646">
              <w:rPr>
                <w:color w:val="000000"/>
              </w:rPr>
              <w:t>Finding the historical measures of net load that best correlate with AWE data</w:t>
            </w:r>
            <w:r>
              <w:rPr>
                <w:color w:val="000000"/>
              </w:rPr>
              <w:t>” D.22-08-002, pp. 18-19.</w:t>
            </w:r>
          </w:p>
          <w:p w:rsidR="00931646" w:rsidP="00A15A91" w:rsidRDefault="00931646" w14:paraId="12DACA93" w14:textId="120DCD24">
            <w:pPr>
              <w:rPr>
                <w:color w:val="000000"/>
              </w:rPr>
            </w:pPr>
          </w:p>
          <w:p w:rsidRPr="00DF2267" w:rsidR="00DF2267" w:rsidP="00DF2267" w:rsidRDefault="00DF2267" w14:paraId="406F5ED3" w14:textId="77777777">
            <w:pPr>
              <w:rPr>
                <w:color w:val="000000"/>
              </w:rPr>
            </w:pPr>
            <w:r>
              <w:rPr>
                <w:color w:val="000000"/>
              </w:rPr>
              <w:t>“</w:t>
            </w:r>
            <w:r w:rsidRPr="00DF2267">
              <w:rPr>
                <w:color w:val="000000"/>
              </w:rPr>
              <w:t>Given the consensus-derived results provided by various intervenors and PG&amp;E, that are uncontested, it is apparent that the MGCC study reflects a</w:t>
            </w:r>
          </w:p>
          <w:p w:rsidRPr="00DF2267" w:rsidR="00DF2267" w:rsidP="00DF2267" w:rsidRDefault="00DF2267" w14:paraId="0B95ACE2" w14:textId="77777777">
            <w:pPr>
              <w:rPr>
                <w:color w:val="000000"/>
              </w:rPr>
            </w:pPr>
            <w:r w:rsidRPr="00DF2267">
              <w:rPr>
                <w:color w:val="000000"/>
              </w:rPr>
              <w:t xml:space="preserve">cross-party consensus for calculating a marginal generation capacity cost price signal for PG&amp;E’s approved real-time pricing rates, and that it is the result of months of diligent work by the Stipulating Parties.  As recited above, there is ample record in both the MGCC study and the April 13 joint stipulation to support the conclusion that it is reasonable to adopt the MGCC study’s methodology.  In particular, the fact that the MGCC study’s methodology: 1) would result in a marginal generation capacity cost signal that leads to non- zero prices at lower adjusted net loads, </w:t>
            </w:r>
          </w:p>
          <w:p w:rsidRPr="00DF2267" w:rsidR="00DF2267" w:rsidP="00DF2267" w:rsidRDefault="00DF2267" w14:paraId="0816009E" w14:textId="77777777">
            <w:pPr>
              <w:rPr>
                <w:color w:val="000000"/>
              </w:rPr>
            </w:pPr>
            <w:r w:rsidRPr="00DF2267">
              <w:rPr>
                <w:color w:val="000000"/>
              </w:rPr>
              <w:t xml:space="preserve">2) places a cap on the hourly price component (rather than increasing indefinitely at higher and higher net loads),  3) leads to lower year-to-year revenue variability, which should lower the likely magnitude of revenue over- and under-collections, </w:t>
            </w:r>
          </w:p>
          <w:p w:rsidR="00A15A91" w:rsidP="001C2033" w:rsidRDefault="00DF2267" w14:paraId="50930157" w14:textId="725285A8">
            <w:pPr>
              <w:rPr>
                <w:color w:val="000000"/>
              </w:rPr>
            </w:pPr>
            <w:r w:rsidRPr="00DF2267">
              <w:rPr>
                <w:color w:val="000000"/>
              </w:rPr>
              <w:t xml:space="preserve">4) is not expected to have a significantly adverse bill impact on participating customers, and 5) is uncontested among </w:t>
            </w:r>
            <w:r w:rsidRPr="00DF2267">
              <w:rPr>
                <w:color w:val="000000"/>
              </w:rPr>
              <w:lastRenderedPageBreak/>
              <w:t>the parties to A.19-11-019 and A.20-10-011, leads the Commission to conclude that the MGCC study’s methodology is reasonable and should be adopted.</w:t>
            </w:r>
            <w:r>
              <w:rPr>
                <w:color w:val="000000"/>
              </w:rPr>
              <w:t>” D.22-08-002, p. 20.</w:t>
            </w:r>
          </w:p>
        </w:tc>
        <w:tc>
          <w:tcPr>
            <w:tcW w:w="2340" w:type="dxa"/>
            <w:shd w:val="clear" w:color="auto" w:fill="auto"/>
          </w:tcPr>
          <w:p w:rsidRPr="007F620E" w:rsidR="00D2442F" w:rsidP="00D2442F" w:rsidRDefault="00567086" w14:paraId="32A73B0D" w14:textId="529DCB95">
            <w:pPr>
              <w:rPr>
                <w:color w:val="000000"/>
              </w:rPr>
            </w:pPr>
            <w:r>
              <w:rPr>
                <w:color w:val="000000"/>
              </w:rPr>
              <w:lastRenderedPageBreak/>
              <w:t xml:space="preserve">Verified. The </w:t>
            </w:r>
            <w:r w:rsidR="00693EA6">
              <w:rPr>
                <w:color w:val="000000"/>
              </w:rPr>
              <w:t>d</w:t>
            </w:r>
            <w:r>
              <w:rPr>
                <w:color w:val="000000"/>
              </w:rPr>
              <w:t xml:space="preserve">ecision supports SBUA’s claim that it made a substantial contribution to the </w:t>
            </w:r>
            <w:r w:rsidR="009F7941">
              <w:rPr>
                <w:color w:val="000000"/>
              </w:rPr>
              <w:t>d</w:t>
            </w:r>
            <w:r>
              <w:rPr>
                <w:color w:val="000000"/>
              </w:rPr>
              <w:t xml:space="preserve">ecision through its participation in the MGCC study and its role in the development of the RTP settlement.   </w:t>
            </w:r>
          </w:p>
        </w:tc>
      </w:tr>
    </w:tbl>
    <w:p w:rsidRPr="007F620E" w:rsidR="00A92D0B" w:rsidP="00DE2D2A" w:rsidRDefault="00A92D0B" w14:paraId="0D4BCD3A" w14:textId="77777777">
      <w:pPr>
        <w:numPr>
          <w:ilvl w:val="0"/>
          <w:numId w:val="8"/>
        </w:numPr>
        <w:spacing w:before="240" w:after="240"/>
        <w:rPr>
          <w:b/>
          <w:color w:val="000000"/>
        </w:rPr>
      </w:pPr>
      <w:r w:rsidRPr="007F620E">
        <w:rPr>
          <w:b/>
          <w:color w:val="000000"/>
        </w:rPr>
        <w:lastRenderedPageBreak/>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57"/>
      </w:tblGrid>
      <w:tr w:rsidRPr="007F620E" w:rsidR="00A92D0B" w:rsidTr="00A13381" w14:paraId="76F3266C" w14:textId="77777777">
        <w:tc>
          <w:tcPr>
            <w:tcW w:w="6048" w:type="dxa"/>
            <w:shd w:val="clear" w:color="auto" w:fill="D9D9D9" w:themeFill="background1" w:themeFillShade="D9"/>
          </w:tcPr>
          <w:p w:rsidRPr="007F620E" w:rsidR="00A92D0B" w:rsidP="00DE2D2A" w:rsidRDefault="00A92D0B" w14:paraId="300CEDBC" w14:textId="77777777">
            <w:pPr>
              <w:rPr>
                <w:color w:val="000000"/>
              </w:rPr>
            </w:pPr>
          </w:p>
        </w:tc>
        <w:tc>
          <w:tcPr>
            <w:tcW w:w="1710" w:type="dxa"/>
            <w:tcBorders>
              <w:bottom w:val="single" w:color="auto" w:sz="4" w:space="0"/>
            </w:tcBorders>
            <w:shd w:val="clear" w:color="auto" w:fill="D9D9D9" w:themeFill="background1" w:themeFillShade="D9"/>
          </w:tcPr>
          <w:p w:rsidRPr="007F620E" w:rsidR="00A92D0B" w:rsidP="00DE2D2A" w:rsidRDefault="005A63D4" w14:paraId="7B091096" w14:textId="77777777">
            <w:pPr>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57" w:type="dxa"/>
            <w:shd w:val="clear" w:color="auto" w:fill="D9D9D9" w:themeFill="background1" w:themeFillShade="D9"/>
          </w:tcPr>
          <w:p w:rsidRPr="007F620E" w:rsidR="00A92D0B" w:rsidP="00DE2D2A" w:rsidRDefault="00A92D0B" w14:paraId="25CE5081" w14:textId="77777777">
            <w:pPr>
              <w:jc w:val="center"/>
              <w:rPr>
                <w:b/>
                <w:color w:val="000000"/>
              </w:rPr>
            </w:pPr>
            <w:r w:rsidRPr="007F620E">
              <w:rPr>
                <w:b/>
                <w:color w:val="000000"/>
              </w:rPr>
              <w:t xml:space="preserve">CPUC </w:t>
            </w:r>
            <w:r w:rsidRPr="007F620E" w:rsidR="00D075B1">
              <w:rPr>
                <w:b/>
                <w:color w:val="000000"/>
              </w:rPr>
              <w:t>Discussion</w:t>
            </w:r>
          </w:p>
        </w:tc>
      </w:tr>
      <w:tr w:rsidRPr="007F620E" w:rsidR="00A92D0B" w:rsidTr="006E05EE" w14:paraId="24A12BE1" w14:textId="77777777">
        <w:tc>
          <w:tcPr>
            <w:tcW w:w="6048" w:type="dxa"/>
            <w:shd w:val="clear" w:color="auto" w:fill="auto"/>
          </w:tcPr>
          <w:p w:rsidRPr="007F620E" w:rsidR="00A92D0B" w:rsidP="00DE2D2A" w:rsidRDefault="00A92D0B" w14:paraId="6915FAF6" w14:textId="43C3E4CD">
            <w:pPr>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tcPr>
          <w:p w:rsidRPr="00E25078" w:rsidR="00A92D0B" w:rsidP="00DE2D2A" w:rsidRDefault="005E71EE" w14:paraId="0B49A7C8" w14:textId="54766A41">
            <w:pPr>
              <w:rPr>
                <w:color w:val="000000"/>
              </w:rPr>
            </w:pPr>
            <w:r>
              <w:rPr>
                <w:color w:val="000000"/>
              </w:rPr>
              <w:t>Yes</w:t>
            </w:r>
          </w:p>
        </w:tc>
        <w:tc>
          <w:tcPr>
            <w:tcW w:w="1957" w:type="dxa"/>
            <w:shd w:val="clear" w:color="auto" w:fill="auto"/>
          </w:tcPr>
          <w:p w:rsidRPr="00E25078" w:rsidR="00A92D0B" w:rsidP="00DE2D2A" w:rsidRDefault="00221E12" w14:paraId="23B6532A" w14:textId="61E2184A">
            <w:pPr>
              <w:rPr>
                <w:color w:val="000000"/>
              </w:rPr>
            </w:pPr>
            <w:r>
              <w:rPr>
                <w:color w:val="000000"/>
              </w:rPr>
              <w:t>Yes</w:t>
            </w:r>
          </w:p>
        </w:tc>
      </w:tr>
      <w:tr w:rsidRPr="007F620E" w:rsidR="00A92D0B" w:rsidTr="006E05EE" w14:paraId="3317BD71" w14:textId="77777777">
        <w:tc>
          <w:tcPr>
            <w:tcW w:w="6048" w:type="dxa"/>
            <w:shd w:val="clear" w:color="auto" w:fill="auto"/>
          </w:tcPr>
          <w:p w:rsidRPr="007F620E" w:rsidR="00A92D0B" w:rsidP="00D81C7B"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710" w:type="dxa"/>
            <w:shd w:val="clear" w:color="auto" w:fill="auto"/>
          </w:tcPr>
          <w:p w:rsidRPr="00E25078" w:rsidR="00A92D0B" w:rsidP="00D81C7B" w:rsidRDefault="005E71EE" w14:paraId="3708E485" w14:textId="7F8CCFE2">
            <w:pPr>
              <w:rPr>
                <w:color w:val="000000"/>
              </w:rPr>
            </w:pPr>
            <w:r>
              <w:rPr>
                <w:color w:val="000000"/>
              </w:rPr>
              <w:t>Yes</w:t>
            </w:r>
          </w:p>
        </w:tc>
        <w:tc>
          <w:tcPr>
            <w:tcW w:w="1957" w:type="dxa"/>
            <w:shd w:val="clear" w:color="auto" w:fill="auto"/>
          </w:tcPr>
          <w:p w:rsidRPr="00E25078" w:rsidR="00A92D0B" w:rsidP="00D81C7B" w:rsidRDefault="00221E12" w14:paraId="6B3388E6" w14:textId="17744D67">
            <w:pPr>
              <w:rPr>
                <w:color w:val="000000"/>
              </w:rPr>
            </w:pPr>
            <w:r>
              <w:rPr>
                <w:color w:val="000000"/>
              </w:rPr>
              <w:t>Yes</w:t>
            </w:r>
          </w:p>
        </w:tc>
      </w:tr>
      <w:tr w:rsidRPr="007F620E" w:rsidR="00A92D0B" w:rsidTr="006E05EE" w14:paraId="0A51B7D4" w14:textId="77777777">
        <w:tc>
          <w:tcPr>
            <w:tcW w:w="7758" w:type="dxa"/>
            <w:gridSpan w:val="2"/>
            <w:shd w:val="clear" w:color="auto" w:fill="auto"/>
          </w:tcPr>
          <w:p w:rsidRPr="00E25078" w:rsidR="00A92D0B" w:rsidP="00D81C7B" w:rsidRDefault="00A92D0B" w14:paraId="0919176B" w14:textId="6CDB9C01">
            <w:pPr>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r w:rsidR="00767976">
              <w:rPr>
                <w:color w:val="000000"/>
              </w:rPr>
              <w:t>With respect to the proceeding, many parties filed testimony</w:t>
            </w:r>
            <w:r w:rsidR="003D66E5">
              <w:rPr>
                <w:color w:val="000000"/>
              </w:rPr>
              <w:t xml:space="preserve"> and signed the </w:t>
            </w:r>
            <w:r w:rsidR="00AB10FF">
              <w:rPr>
                <w:color w:val="000000"/>
              </w:rPr>
              <w:t xml:space="preserve">various </w:t>
            </w:r>
            <w:r w:rsidR="003D66E5">
              <w:rPr>
                <w:color w:val="000000"/>
              </w:rPr>
              <w:t>settlement agreements</w:t>
            </w:r>
            <w:r w:rsidR="00767976">
              <w:rPr>
                <w:color w:val="000000"/>
              </w:rPr>
              <w:t>, including CalPA</w:t>
            </w:r>
            <w:r w:rsidR="00AD438A">
              <w:rPr>
                <w:color w:val="000000"/>
              </w:rPr>
              <w:t>,</w:t>
            </w:r>
            <w:r w:rsidR="00767976">
              <w:rPr>
                <w:color w:val="000000"/>
              </w:rPr>
              <w:t xml:space="preserve"> TURN</w:t>
            </w:r>
            <w:r w:rsidR="00AD438A">
              <w:rPr>
                <w:color w:val="000000"/>
              </w:rPr>
              <w:t xml:space="preserve">, </w:t>
            </w:r>
            <w:r w:rsidR="003D66E5">
              <w:rPr>
                <w:color w:val="000000"/>
              </w:rPr>
              <w:t xml:space="preserve">EPUC, CLECA, </w:t>
            </w:r>
            <w:r w:rsidR="00A13381">
              <w:rPr>
                <w:color w:val="000000"/>
              </w:rPr>
              <w:t>Joint Community Choice Aggregators</w:t>
            </w:r>
            <w:r w:rsidR="00A15FF2">
              <w:rPr>
                <w:color w:val="000000"/>
              </w:rPr>
              <w:t>,</w:t>
            </w:r>
            <w:r w:rsidR="00A13381">
              <w:rPr>
                <w:color w:val="000000"/>
              </w:rPr>
              <w:t xml:space="preserve"> and Joint Storage Parties</w:t>
            </w:r>
            <w:r w:rsidR="00767976">
              <w:rPr>
                <w:color w:val="000000"/>
              </w:rPr>
              <w:t>.</w:t>
            </w:r>
            <w:r w:rsidR="00A13381">
              <w:rPr>
                <w:color w:val="000000"/>
              </w:rPr>
              <w:t xml:space="preserve"> </w:t>
            </w:r>
          </w:p>
        </w:tc>
        <w:tc>
          <w:tcPr>
            <w:tcW w:w="1957" w:type="dxa"/>
            <w:shd w:val="clear" w:color="auto" w:fill="auto"/>
          </w:tcPr>
          <w:p w:rsidRPr="00E25078" w:rsidR="00A92D0B" w:rsidP="00D81C7B" w:rsidRDefault="00221E12" w14:paraId="22A40B49" w14:textId="410A1A1F">
            <w:pPr>
              <w:rPr>
                <w:color w:val="000000"/>
              </w:rPr>
            </w:pPr>
            <w:r>
              <w:rPr>
                <w:color w:val="000000"/>
              </w:rPr>
              <w:t>Noted</w:t>
            </w:r>
          </w:p>
        </w:tc>
      </w:tr>
      <w:tr w:rsidRPr="007F620E" w:rsidR="00A92D0B" w:rsidTr="006E05EE" w14:paraId="744830F5" w14:textId="77777777">
        <w:tc>
          <w:tcPr>
            <w:tcW w:w="7758" w:type="dxa"/>
            <w:gridSpan w:val="2"/>
            <w:shd w:val="clear" w:color="auto" w:fill="auto"/>
          </w:tcPr>
          <w:p w:rsidR="00355F73" w:rsidP="00D81C7B" w:rsidRDefault="00A92D0B" w14:paraId="0F16D81A" w14:textId="0421F94F">
            <w:pPr>
              <w:ind w:left="334"/>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r w:rsidRPr="005E71EE" w:rsidR="005E71EE">
              <w:rPr>
                <w:color w:val="000000"/>
              </w:rPr>
              <w:t xml:space="preserve">SBUA’s main objective for the proceeding was to add the voice and interests of small business ratepayers that in the past have been underrepresented in utility </w:t>
            </w:r>
            <w:r w:rsidR="00767976">
              <w:rPr>
                <w:color w:val="000000"/>
              </w:rPr>
              <w:t xml:space="preserve">rate </w:t>
            </w:r>
            <w:r w:rsidRPr="005E71EE" w:rsidR="005E71EE">
              <w:rPr>
                <w:color w:val="000000"/>
              </w:rPr>
              <w:t>proceedings</w:t>
            </w:r>
            <w:r w:rsidR="00767976">
              <w:rPr>
                <w:color w:val="000000"/>
              </w:rPr>
              <w:t>. S</w:t>
            </w:r>
            <w:r w:rsidRPr="00047C1B" w:rsidR="00767976">
              <w:rPr>
                <w:color w:val="000000"/>
              </w:rPr>
              <w:t xml:space="preserve">BUA </w:t>
            </w:r>
            <w:r w:rsidR="00AB10FF">
              <w:rPr>
                <w:color w:val="000000"/>
              </w:rPr>
              <w:t xml:space="preserve">sought to reduce overlap by </w:t>
            </w:r>
            <w:r w:rsidR="00767976">
              <w:rPr>
                <w:color w:val="000000"/>
              </w:rPr>
              <w:t>participat</w:t>
            </w:r>
            <w:r w:rsidR="00AB10FF">
              <w:rPr>
                <w:color w:val="000000"/>
              </w:rPr>
              <w:t>ing</w:t>
            </w:r>
            <w:r w:rsidR="00767976">
              <w:rPr>
                <w:color w:val="000000"/>
              </w:rPr>
              <w:t xml:space="preserve"> exclusively on behalf of </w:t>
            </w:r>
            <w:r w:rsidRPr="00047C1B" w:rsidR="00767976">
              <w:rPr>
                <w:color w:val="000000"/>
              </w:rPr>
              <w:t>small businesses</w:t>
            </w:r>
            <w:r w:rsidR="00767976">
              <w:rPr>
                <w:color w:val="000000"/>
              </w:rPr>
              <w:t xml:space="preserve">. </w:t>
            </w:r>
            <w:r w:rsidR="00A15FF2">
              <w:rPr>
                <w:color w:val="000000"/>
              </w:rPr>
              <w:t>With regard to the revenue allocation, commercial and industrial rate design, and economic development rate settlements (D.21-11-016) as well as the real-time pricing settlement and the MGCC Study (D.22-08-002), SBUA worked closely with the Company and listed parties to minimize duplication and collaborate on matters of common concern.</w:t>
            </w:r>
          </w:p>
          <w:p w:rsidR="003003EA" w:rsidP="003D66E5" w:rsidRDefault="003003EA" w14:paraId="5C274AD3" w14:textId="77777777">
            <w:pPr>
              <w:rPr>
                <w:color w:val="000000"/>
              </w:rPr>
            </w:pPr>
          </w:p>
          <w:p w:rsidRPr="00E25078" w:rsidR="00A92D0B" w:rsidP="00E25FE5" w:rsidRDefault="008C1BB0" w14:paraId="3228BB07" w14:textId="6194556C">
            <w:pPr>
              <w:spacing w:after="120"/>
              <w:ind w:left="331"/>
              <w:rPr>
                <w:color w:val="000000"/>
              </w:rPr>
            </w:pPr>
            <w:r>
              <w:rPr>
                <w:color w:val="000000"/>
              </w:rPr>
              <w:t>With many advocates participating in</w:t>
            </w:r>
            <w:r w:rsidR="002B30C1">
              <w:rPr>
                <w:color w:val="000000"/>
              </w:rPr>
              <w:t xml:space="preserve"> </w:t>
            </w:r>
            <w:r w:rsidR="00767976">
              <w:rPr>
                <w:color w:val="000000"/>
              </w:rPr>
              <w:t>the proceeding</w:t>
            </w:r>
            <w:r>
              <w:rPr>
                <w:color w:val="000000"/>
              </w:rPr>
              <w:t xml:space="preserve">, </w:t>
            </w:r>
            <w:r w:rsidRPr="005E71EE" w:rsidR="005E71EE">
              <w:rPr>
                <w:color w:val="000000"/>
              </w:rPr>
              <w:t>other parties may have had positions that were similar to SBUA in some instances</w:t>
            </w:r>
            <w:r w:rsidR="00AB10FF">
              <w:rPr>
                <w:color w:val="000000"/>
              </w:rPr>
              <w:t xml:space="preserve">, but </w:t>
            </w:r>
            <w:r w:rsidRPr="00AB10FF" w:rsidR="00AB10FF">
              <w:rPr>
                <w:color w:val="000000"/>
              </w:rPr>
              <w:t xml:space="preserve">no party maintained stronger positions on a consistent basis throughout the negotiations in favor of small commercial customers than SBUA. Because of SBUA’s unique core mission, we were able to sustain conflict-free and untethered advocacy in favor of small </w:t>
            </w:r>
            <w:r w:rsidR="00AB10FF">
              <w:rPr>
                <w:color w:val="000000"/>
              </w:rPr>
              <w:t>businesses</w:t>
            </w:r>
            <w:r w:rsidRPr="00AB10FF" w:rsidR="00AB10FF">
              <w:rPr>
                <w:color w:val="000000"/>
              </w:rPr>
              <w:t xml:space="preserve"> throughout the proceeding.</w:t>
            </w:r>
            <w:r w:rsidR="00AB10FF">
              <w:rPr>
                <w:color w:val="000000"/>
              </w:rPr>
              <w:t xml:space="preserve"> The </w:t>
            </w:r>
            <w:r w:rsidR="00AB10FF">
              <w:t xml:space="preserve">interests of residential and other customer classes, </w:t>
            </w:r>
            <w:r w:rsidRPr="003E7766" w:rsidR="00AB10FF">
              <w:t xml:space="preserve">by necessity, </w:t>
            </w:r>
            <w:r w:rsidR="00AB10FF">
              <w:t xml:space="preserve">can </w:t>
            </w:r>
            <w:r w:rsidRPr="003E7766" w:rsidR="00AB10FF">
              <w:t xml:space="preserve">conflict with the interests of small commercial customers. </w:t>
            </w:r>
            <w:r w:rsidR="00AB10FF">
              <w:t>For example, l</w:t>
            </w:r>
            <w:r w:rsidRPr="003E7766" w:rsidR="00AB10FF">
              <w:t>owering revenue allocation for one customer class, such as small commercial customers</w:t>
            </w:r>
            <w:r w:rsidR="00AB10FF">
              <w:t xml:space="preserve"> (which SBUA advocated for)</w:t>
            </w:r>
            <w:r w:rsidRPr="003E7766" w:rsidR="00AB10FF">
              <w:t>, necessarily requires redistributing the revenue requirement</w:t>
            </w:r>
            <w:r w:rsidR="00AB10FF">
              <w:t xml:space="preserve">s </w:t>
            </w:r>
            <w:r w:rsidRPr="003E7766" w:rsidR="00AB10FF">
              <w:t>to other classes, including residential customers</w:t>
            </w:r>
            <w:r w:rsidR="00AB10FF">
              <w:t xml:space="preserve"> (a proposition that other groups often oppose). </w:t>
            </w:r>
            <w:r w:rsidR="004B2EBF">
              <w:t>Therefore, a</w:t>
            </w:r>
            <w:r w:rsidR="00AB10FF">
              <w:t xml:space="preserve">ny duplication that may have occurred here was incidental, </w:t>
            </w:r>
            <w:r w:rsidR="00AB10FF">
              <w:lastRenderedPageBreak/>
              <w:t xml:space="preserve">and SBUA’s </w:t>
            </w:r>
            <w:r w:rsidRPr="007E2A09" w:rsidR="00AB10FF">
              <w:t xml:space="preserve">participation </w:t>
            </w:r>
            <w:r w:rsidR="00AB10FF">
              <w:t xml:space="preserve">in that regard </w:t>
            </w:r>
            <w:r w:rsidRPr="007E2A09" w:rsidR="00AB10FF">
              <w:t>was in</w:t>
            </w:r>
            <w:r w:rsidR="00AB10FF">
              <w:t xml:space="preserve"> </w:t>
            </w:r>
            <w:r w:rsidRPr="007E2A09" w:rsidR="00AB10FF">
              <w:t>addition to but not</w:t>
            </w:r>
            <w:r w:rsidR="00AB10FF">
              <w:t xml:space="preserve"> </w:t>
            </w:r>
            <w:r w:rsidRPr="007E2A09" w:rsidR="00AB10FF">
              <w:t>duplicative of the</w:t>
            </w:r>
            <w:r w:rsidR="00AB10FF">
              <w:t xml:space="preserve"> </w:t>
            </w:r>
            <w:r w:rsidRPr="007E2A09" w:rsidR="00AB10FF">
              <w:t>arguments and</w:t>
            </w:r>
            <w:r w:rsidR="00AB10FF">
              <w:t xml:space="preserve"> </w:t>
            </w:r>
            <w:r w:rsidRPr="007E2A09" w:rsidR="00AB10FF">
              <w:t>evidence presented by</w:t>
            </w:r>
            <w:r w:rsidR="00AB10FF">
              <w:t xml:space="preserve"> </w:t>
            </w:r>
            <w:r w:rsidRPr="007E2A09" w:rsidR="00AB10FF">
              <w:t>other parties</w:t>
            </w:r>
            <w:r w:rsidR="00AB10FF">
              <w:t>.</w:t>
            </w:r>
          </w:p>
        </w:tc>
        <w:tc>
          <w:tcPr>
            <w:tcW w:w="1957" w:type="dxa"/>
            <w:shd w:val="clear" w:color="auto" w:fill="auto"/>
          </w:tcPr>
          <w:p w:rsidR="00097DDE" w:rsidP="00D24891" w:rsidRDefault="00097DDE" w14:paraId="2FFF804D" w14:textId="4811A4D2">
            <w:pPr>
              <w:rPr>
                <w:color w:val="000000"/>
              </w:rPr>
            </w:pPr>
          </w:p>
          <w:p w:rsidR="00221E12" w:rsidP="00D24891" w:rsidRDefault="00221E12" w14:paraId="40C21EDE" w14:textId="77777777">
            <w:pPr>
              <w:rPr>
                <w:color w:val="000000"/>
              </w:rPr>
            </w:pPr>
          </w:p>
          <w:p w:rsidRPr="00E25078" w:rsidR="00221E12" w:rsidP="00D24891" w:rsidRDefault="00221E12" w14:paraId="5F9BBA55" w14:textId="599584C6">
            <w:pPr>
              <w:rPr>
                <w:color w:val="000000"/>
              </w:rPr>
            </w:pPr>
            <w:r>
              <w:rPr>
                <w:color w:val="000000"/>
              </w:rPr>
              <w:t>Noted</w:t>
            </w:r>
          </w:p>
        </w:tc>
      </w:tr>
    </w:tbl>
    <w:p w:rsidRPr="007F620E" w:rsidR="00B312DA" w:rsidP="005B5B44" w:rsidRDefault="00A92D0B" w14:paraId="175C3F89" w14:textId="4835545D">
      <w:pPr>
        <w:keepNext/>
        <w:tabs>
          <w:tab w:val="left" w:pos="1260"/>
        </w:tabs>
        <w:spacing w:before="480"/>
        <w:ind w:left="1267" w:hanging="1267"/>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rsidRPr="003B6A1B" w:rsidR="00A92D0B" w:rsidP="00B312DA" w:rsidRDefault="00A92D0B" w14:paraId="48FE39F8" w14:textId="7A7CA578">
      <w:pPr>
        <w:tabs>
          <w:tab w:val="left" w:pos="1260"/>
        </w:tabs>
        <w:ind w:left="1260" w:hanging="1260"/>
        <w:jc w:val="center"/>
        <w:rPr>
          <w:i/>
          <w:color w:val="000000"/>
          <w:u w:val="single"/>
        </w:rPr>
      </w:pP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7F620E"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250"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6E05EE" w14:paraId="5708510E" w14:textId="77777777">
        <w:tc>
          <w:tcPr>
            <w:tcW w:w="7488" w:type="dxa"/>
            <w:tcBorders>
              <w:bottom w:val="single" w:color="auto" w:sz="4" w:space="0"/>
            </w:tcBorders>
            <w:shd w:val="clear" w:color="auto" w:fill="auto"/>
          </w:tcPr>
          <w:p w:rsidR="00AB267B" w:rsidP="00AB267B" w:rsidRDefault="00FE3BAE" w14:paraId="3629B488" w14:textId="11B74123">
            <w:pPr>
              <w:spacing w:after="240"/>
              <w:rPr>
                <w:color w:val="000000"/>
              </w:rPr>
            </w:pPr>
            <w:r w:rsidRPr="007F620E">
              <w:rPr>
                <w:b/>
                <w:color w:val="000000"/>
              </w:rPr>
              <w:t>a. Intervenor’s claim of cost reasonableness:</w:t>
            </w:r>
            <w:r w:rsidRPr="00E25078" w:rsidR="00E25078">
              <w:rPr>
                <w:color w:val="000000"/>
              </w:rPr>
              <w:t xml:space="preserve"> </w:t>
            </w:r>
            <w:r w:rsidRPr="003D093A" w:rsidR="00AB267B">
              <w:rPr>
                <w:color w:val="000000"/>
              </w:rPr>
              <w:t xml:space="preserve">SBUA </w:t>
            </w:r>
            <w:r w:rsidR="00AB267B">
              <w:rPr>
                <w:color w:val="000000"/>
              </w:rPr>
              <w:t xml:space="preserve">actively </w:t>
            </w:r>
            <w:r w:rsidRPr="003D093A" w:rsidR="00AB267B">
              <w:rPr>
                <w:color w:val="000000"/>
              </w:rPr>
              <w:t>participate</w:t>
            </w:r>
            <w:r w:rsidR="00AB267B">
              <w:rPr>
                <w:color w:val="000000"/>
              </w:rPr>
              <w:t>d</w:t>
            </w:r>
            <w:r w:rsidRPr="003D093A" w:rsidR="00AB267B">
              <w:rPr>
                <w:color w:val="000000"/>
              </w:rPr>
              <w:t xml:space="preserve"> in </w:t>
            </w:r>
            <w:r w:rsidR="00A8238E">
              <w:rPr>
                <w:color w:val="000000"/>
              </w:rPr>
              <w:t xml:space="preserve">all aspects of </w:t>
            </w:r>
            <w:r w:rsidR="00AB267B">
              <w:rPr>
                <w:color w:val="000000"/>
              </w:rPr>
              <w:t xml:space="preserve">the </w:t>
            </w:r>
            <w:r w:rsidRPr="003D093A" w:rsidR="00AB267B">
              <w:rPr>
                <w:color w:val="000000"/>
              </w:rPr>
              <w:t>proceeding</w:t>
            </w:r>
            <w:r w:rsidR="00AB267B">
              <w:rPr>
                <w:color w:val="000000"/>
              </w:rPr>
              <w:t xml:space="preserve">, during both </w:t>
            </w:r>
            <w:r w:rsidR="00B44036">
              <w:rPr>
                <w:color w:val="000000"/>
              </w:rPr>
              <w:t>the primary phase and the RTP track.</w:t>
            </w:r>
            <w:r w:rsidR="00AB267B">
              <w:rPr>
                <w:color w:val="000000"/>
              </w:rPr>
              <w:t xml:space="preserve"> SBUA </w:t>
            </w:r>
            <w:r w:rsidR="0084089A">
              <w:rPr>
                <w:color w:val="000000"/>
              </w:rPr>
              <w:t>researched and drafted</w:t>
            </w:r>
            <w:r w:rsidR="00AB267B">
              <w:rPr>
                <w:color w:val="000000"/>
              </w:rPr>
              <w:t xml:space="preserve"> expert testimony, engaged in </w:t>
            </w:r>
            <w:r w:rsidR="00A8238E">
              <w:rPr>
                <w:color w:val="000000"/>
              </w:rPr>
              <w:t xml:space="preserve">discovery, </w:t>
            </w:r>
            <w:r w:rsidR="00B44036">
              <w:rPr>
                <w:color w:val="000000"/>
              </w:rPr>
              <w:t xml:space="preserve">attended </w:t>
            </w:r>
            <w:r w:rsidR="002024B1">
              <w:rPr>
                <w:color w:val="000000"/>
              </w:rPr>
              <w:t>extensive</w:t>
            </w:r>
            <w:r w:rsidR="00B44036">
              <w:rPr>
                <w:color w:val="000000"/>
              </w:rPr>
              <w:t xml:space="preserve"> settlement conferences, </w:t>
            </w:r>
            <w:r w:rsidR="002024B1">
              <w:rPr>
                <w:color w:val="000000"/>
              </w:rPr>
              <w:t xml:space="preserve">negotiated and executed </w:t>
            </w:r>
            <w:r w:rsidR="00A15FF2">
              <w:rPr>
                <w:color w:val="000000"/>
              </w:rPr>
              <w:t>four</w:t>
            </w:r>
            <w:r w:rsidR="002024B1">
              <w:rPr>
                <w:color w:val="000000"/>
              </w:rPr>
              <w:t xml:space="preserve"> settlement agreements, </w:t>
            </w:r>
            <w:r w:rsidR="00A8238E">
              <w:rPr>
                <w:color w:val="000000"/>
              </w:rPr>
              <w:t>attended</w:t>
            </w:r>
            <w:r w:rsidR="000A260E">
              <w:rPr>
                <w:color w:val="000000"/>
              </w:rPr>
              <w:t xml:space="preserve"> </w:t>
            </w:r>
            <w:r w:rsidR="00B44036">
              <w:rPr>
                <w:color w:val="000000"/>
              </w:rPr>
              <w:t>the</w:t>
            </w:r>
            <w:r w:rsidR="00F01C76">
              <w:rPr>
                <w:color w:val="000000"/>
              </w:rPr>
              <w:t xml:space="preserve"> </w:t>
            </w:r>
            <w:r w:rsidR="00AB267B">
              <w:rPr>
                <w:color w:val="000000"/>
              </w:rPr>
              <w:t>evidentiary hearings</w:t>
            </w:r>
            <w:r w:rsidR="00A8238E">
              <w:rPr>
                <w:color w:val="000000"/>
              </w:rPr>
              <w:t>,</w:t>
            </w:r>
            <w:r w:rsidR="00AB267B">
              <w:rPr>
                <w:color w:val="000000"/>
              </w:rPr>
              <w:t xml:space="preserve"> </w:t>
            </w:r>
            <w:r w:rsidR="00907ACC">
              <w:rPr>
                <w:color w:val="000000"/>
              </w:rPr>
              <w:t>took one of the lead positions with our experts researching, analyzing, and developing the</w:t>
            </w:r>
            <w:r w:rsidRPr="00FB7488" w:rsidR="00907ACC">
              <w:rPr>
                <w:color w:val="000000"/>
              </w:rPr>
              <w:t xml:space="preserve"> Marginal Generation Capacity Cost </w:t>
            </w:r>
            <w:r w:rsidR="00907ACC">
              <w:rPr>
                <w:color w:val="000000"/>
              </w:rPr>
              <w:t>(</w:t>
            </w:r>
            <w:r w:rsidRPr="00FB7488" w:rsidR="00907ACC">
              <w:rPr>
                <w:color w:val="000000"/>
              </w:rPr>
              <w:t>MGCC</w:t>
            </w:r>
            <w:r w:rsidR="00907ACC">
              <w:rPr>
                <w:color w:val="000000"/>
              </w:rPr>
              <w:t>)</w:t>
            </w:r>
            <w:r w:rsidRPr="00FB7488" w:rsidR="00907ACC">
              <w:rPr>
                <w:color w:val="000000"/>
              </w:rPr>
              <w:t xml:space="preserve"> study</w:t>
            </w:r>
            <w:r w:rsidR="00907ACC">
              <w:rPr>
                <w:color w:val="000000"/>
              </w:rPr>
              <w:t xml:space="preserve">, </w:t>
            </w:r>
            <w:r w:rsidR="0084089A">
              <w:rPr>
                <w:color w:val="000000"/>
              </w:rPr>
              <w:t>drafted and developed arguments in</w:t>
            </w:r>
            <w:r w:rsidR="00AB267B">
              <w:rPr>
                <w:color w:val="000000"/>
              </w:rPr>
              <w:t xml:space="preserve"> </w:t>
            </w:r>
            <w:r w:rsidR="00A8238E">
              <w:rPr>
                <w:color w:val="000000"/>
              </w:rPr>
              <w:t xml:space="preserve">legal </w:t>
            </w:r>
            <w:r w:rsidR="00AB267B">
              <w:rPr>
                <w:color w:val="000000"/>
              </w:rPr>
              <w:t>briefs</w:t>
            </w:r>
            <w:r w:rsidR="000A260E">
              <w:rPr>
                <w:color w:val="000000"/>
              </w:rPr>
              <w:t>, and filed comments on proposed decisions</w:t>
            </w:r>
            <w:r w:rsidR="00AB267B">
              <w:rPr>
                <w:color w:val="000000"/>
              </w:rPr>
              <w:t>.</w:t>
            </w:r>
          </w:p>
          <w:p w:rsidRPr="00256F2D" w:rsidR="003003EA" w:rsidP="00256F2D" w:rsidRDefault="00FF5CD4" w14:paraId="2B1A1242" w14:textId="7FB90F62">
            <w:pPr>
              <w:spacing w:after="240"/>
              <w:rPr>
                <w:color w:val="000000"/>
              </w:rPr>
            </w:pPr>
            <w:r>
              <w:t>D.21-11-016 approved numerous s</w:t>
            </w:r>
            <w:r w:rsidRPr="009B5DC3">
              <w:t>ettlement</w:t>
            </w:r>
            <w:r>
              <w:t>s that have</w:t>
            </w:r>
            <w:r w:rsidRPr="009B5DC3">
              <w:t xml:space="preserve"> both quantitative and qualitative benefits</w:t>
            </w:r>
            <w:r>
              <w:t xml:space="preserve"> for small businesses</w:t>
            </w:r>
            <w:r w:rsidRPr="009B5DC3">
              <w:t xml:space="preserve">. </w:t>
            </w:r>
            <w:r>
              <w:t xml:space="preserve">As a result of SBUA’s work, for </w:t>
            </w:r>
            <w:r w:rsidR="006E3A5C">
              <w:t>example,</w:t>
            </w:r>
            <w:r>
              <w:t xml:space="preserve"> small commercial customers of bundled electricity will not incur </w:t>
            </w:r>
            <w:r w:rsidR="002353E9">
              <w:t xml:space="preserve">large </w:t>
            </w:r>
            <w:r>
              <w:t>rate increases</w:t>
            </w:r>
            <w:r w:rsidR="002353E9">
              <w:t xml:space="preserve">. </w:t>
            </w:r>
            <w:r>
              <w:t>Overall, the adoption of the SBUA-executed s</w:t>
            </w:r>
            <w:r w:rsidRPr="009B5DC3">
              <w:t>ettlement</w:t>
            </w:r>
            <w:r>
              <w:t xml:space="preserve"> agreements in D.21-11-016</w:t>
            </w:r>
            <w:r w:rsidRPr="009B5DC3">
              <w:t xml:space="preserve"> will help protect an important customer class </w:t>
            </w:r>
            <w:r>
              <w:t>and is in the public interest</w:t>
            </w:r>
            <w:r w:rsidR="00256F2D">
              <w:t>.</w:t>
            </w:r>
            <w:r w:rsidR="00256F2D">
              <w:rPr>
                <w:color w:val="000000"/>
              </w:rPr>
              <w:t xml:space="preserve"> Similarly, t</w:t>
            </w:r>
            <w:r w:rsidRPr="00E241DC" w:rsidR="00AB267B">
              <w:rPr>
                <w:rFonts w:asciiTheme="majorBidi" w:hAnsiTheme="majorBidi" w:cstheme="majorBidi"/>
              </w:rPr>
              <w:t xml:space="preserve">he </w:t>
            </w:r>
            <w:r w:rsidR="00B44036">
              <w:rPr>
                <w:rFonts w:asciiTheme="majorBidi" w:hAnsiTheme="majorBidi" w:cstheme="majorBidi"/>
              </w:rPr>
              <w:t xml:space="preserve">RTP </w:t>
            </w:r>
            <w:r w:rsidRPr="00E241DC" w:rsidR="00AB267B">
              <w:rPr>
                <w:rFonts w:asciiTheme="majorBidi" w:hAnsiTheme="majorBidi" w:cstheme="majorBidi"/>
              </w:rPr>
              <w:t>Decision</w:t>
            </w:r>
            <w:r w:rsidR="00AB267B">
              <w:rPr>
                <w:rFonts w:asciiTheme="majorBidi" w:hAnsiTheme="majorBidi" w:cstheme="majorBidi"/>
              </w:rPr>
              <w:t xml:space="preserve"> </w:t>
            </w:r>
            <w:r w:rsidRPr="00E241DC" w:rsidR="00AB267B">
              <w:rPr>
                <w:rFonts w:asciiTheme="majorBidi" w:hAnsiTheme="majorBidi" w:cstheme="majorBidi"/>
              </w:rPr>
              <w:t>explicitly recognize</w:t>
            </w:r>
            <w:r w:rsidR="00AB267B">
              <w:rPr>
                <w:rFonts w:asciiTheme="majorBidi" w:hAnsiTheme="majorBidi" w:cstheme="majorBidi"/>
              </w:rPr>
              <w:t>s</w:t>
            </w:r>
            <w:r w:rsidRPr="00E241DC" w:rsidR="00AB267B">
              <w:rPr>
                <w:rFonts w:asciiTheme="majorBidi" w:hAnsiTheme="majorBidi" w:cstheme="majorBidi"/>
              </w:rPr>
              <w:t xml:space="preserve"> SBUA’s substantial contributions</w:t>
            </w:r>
            <w:r w:rsidRPr="00E241DC" w:rsidR="00AB267B">
              <w:t xml:space="preserve">, as detailed above, and these results merit the cost of SBUA’s participation. </w:t>
            </w:r>
            <w:r w:rsidRPr="00E241DC" w:rsidR="00AB267B">
              <w:rPr>
                <w:rFonts w:asciiTheme="majorBidi" w:hAnsiTheme="majorBidi" w:cstheme="majorBidi"/>
              </w:rPr>
              <w:t>SBUA’s advocacy o</w:t>
            </w:r>
            <w:r w:rsidR="00AB267B">
              <w:rPr>
                <w:rFonts w:asciiTheme="majorBidi" w:hAnsiTheme="majorBidi" w:cstheme="majorBidi"/>
              </w:rPr>
              <w:t xml:space="preserve">n the </w:t>
            </w:r>
            <w:r w:rsidR="00B44036">
              <w:rPr>
                <w:rFonts w:asciiTheme="majorBidi" w:hAnsiTheme="majorBidi" w:cstheme="majorBidi"/>
              </w:rPr>
              <w:t>MGCC Study benefitted both the present proceeding and A.20-10-011</w:t>
            </w:r>
            <w:r w:rsidR="000A260E">
              <w:rPr>
                <w:color w:val="000000"/>
              </w:rPr>
              <w:t>.</w:t>
            </w:r>
            <w:r w:rsidRPr="001F49AD" w:rsidR="00493C44">
              <w:rPr>
                <w:color w:val="000000"/>
              </w:rPr>
              <w:t xml:space="preserve"> </w:t>
            </w:r>
            <w:r w:rsidRPr="001F49AD" w:rsidR="001F49AD">
              <w:rPr>
                <w:color w:val="000000"/>
              </w:rPr>
              <w:t>Accordingly</w:t>
            </w:r>
            <w:r w:rsidR="00256F2D">
              <w:t>,</w:t>
            </w:r>
            <w:r w:rsidRPr="001F49AD" w:rsidR="001F49AD">
              <w:rPr>
                <w:color w:val="000000"/>
              </w:rPr>
              <w:t xml:space="preserve"> the Commission should find that SBUA’s efforts have been valuable and </w:t>
            </w:r>
            <w:r w:rsidR="006F0341">
              <w:rPr>
                <w:color w:val="000000"/>
              </w:rPr>
              <w:t>its</w:t>
            </w:r>
            <w:r w:rsidRPr="001F49AD" w:rsidR="001F49AD">
              <w:rPr>
                <w:color w:val="000000"/>
              </w:rPr>
              <w:t xml:space="preserve"> request for co</w:t>
            </w:r>
            <w:r w:rsidR="009567C1">
              <w:rPr>
                <w:color w:val="000000"/>
              </w:rPr>
              <w:t>mpensation</w:t>
            </w:r>
            <w:r w:rsidRPr="001F49AD" w:rsidR="001F49AD">
              <w:rPr>
                <w:color w:val="000000"/>
              </w:rPr>
              <w:t xml:space="preserve"> reasonable</w:t>
            </w:r>
            <w:r w:rsidR="00256F2D">
              <w:rPr>
                <w:color w:val="000000"/>
              </w:rPr>
              <w:t xml:space="preserve"> </w:t>
            </w:r>
            <w:r w:rsidRPr="009B5DC3" w:rsidR="00256F2D">
              <w:t xml:space="preserve">in comparison </w:t>
            </w:r>
            <w:r w:rsidR="00256F2D">
              <w:t>to the benefits, financial and otherwise, secured for small business</w:t>
            </w:r>
            <w:r w:rsidR="006E3A5C">
              <w:t xml:space="preserve"> and other ratepayers</w:t>
            </w:r>
            <w:r w:rsidRPr="001F49AD" w:rsidR="001F49AD">
              <w:rPr>
                <w:color w:val="000000"/>
              </w:rPr>
              <w:t>.</w:t>
            </w:r>
          </w:p>
        </w:tc>
        <w:tc>
          <w:tcPr>
            <w:tcW w:w="2250" w:type="dxa"/>
            <w:shd w:val="clear" w:color="auto" w:fill="auto"/>
          </w:tcPr>
          <w:p w:rsidRPr="00FE3BAE" w:rsidR="00FE3BAE" w:rsidP="00EC6387" w:rsidRDefault="00097DDE" w14:paraId="223B4665" w14:textId="0A9800FA">
            <w:pPr>
              <w:rPr>
                <w:color w:val="000000"/>
              </w:rPr>
            </w:pPr>
            <w:r>
              <w:rPr>
                <w:color w:val="000000"/>
              </w:rPr>
              <w:t>Noted</w:t>
            </w:r>
          </w:p>
        </w:tc>
      </w:tr>
      <w:tr w:rsidRPr="007F620E" w:rsidR="00AB267B" w:rsidTr="006E05EE" w14:paraId="5548029C" w14:textId="77777777">
        <w:tc>
          <w:tcPr>
            <w:tcW w:w="7488" w:type="dxa"/>
            <w:shd w:val="clear" w:color="auto" w:fill="auto"/>
          </w:tcPr>
          <w:p w:rsidR="00BC391B" w:rsidP="00BC391B" w:rsidRDefault="00AB267B" w14:paraId="3E798360" w14:textId="6C3E4B81">
            <w:pPr>
              <w:autoSpaceDE w:val="0"/>
              <w:autoSpaceDN w:val="0"/>
              <w:adjustRightInd w:val="0"/>
            </w:pPr>
            <w:r w:rsidRPr="007F620E">
              <w:rPr>
                <w:b/>
                <w:color w:val="000000"/>
              </w:rPr>
              <w:t>b. Reasonableness of hours claimed:</w:t>
            </w:r>
            <w:r w:rsidRPr="00E25078">
              <w:rPr>
                <w:color w:val="000000"/>
              </w:rPr>
              <w:t xml:space="preserve"> </w:t>
            </w:r>
            <w:r w:rsidR="00256F2D">
              <w:t xml:space="preserve">Given the complexity of the issues presented in Phase 2 of a General Rate Case, </w:t>
            </w:r>
            <w:r w:rsidR="00A15FF2">
              <w:t xml:space="preserve">given </w:t>
            </w:r>
            <w:r w:rsidR="00256F2D">
              <w:t>SBUA’s extensive involvement</w:t>
            </w:r>
            <w:r w:rsidR="00AD03E8">
              <w:t xml:space="preserve"> in four settlements as well as </w:t>
            </w:r>
            <w:r w:rsidR="006E3A5C">
              <w:t xml:space="preserve">on </w:t>
            </w:r>
            <w:r w:rsidR="00AD03E8">
              <w:t>contested issues</w:t>
            </w:r>
            <w:r w:rsidR="00256F2D">
              <w:t xml:space="preserve">, and </w:t>
            </w:r>
            <w:r w:rsidR="00A15FF2">
              <w:t xml:space="preserve">given </w:t>
            </w:r>
            <w:r w:rsidR="00BC391B">
              <w:t>a case</w:t>
            </w:r>
            <w:r w:rsidR="00256F2D">
              <w:t xml:space="preserve"> duration extending over three years, SBUA’s hours, including for several attorneys and </w:t>
            </w:r>
            <w:r w:rsidR="00BC391B">
              <w:t xml:space="preserve">several </w:t>
            </w:r>
            <w:r w:rsidR="00256F2D">
              <w:t>experts, are reasonable to address key issues of importance to small businesses in this proceeding.</w:t>
            </w:r>
          </w:p>
          <w:p w:rsidR="00BC391B" w:rsidP="00BC391B" w:rsidRDefault="00BC391B" w14:paraId="6DFD4B2D" w14:textId="77777777">
            <w:pPr>
              <w:autoSpaceDE w:val="0"/>
              <w:autoSpaceDN w:val="0"/>
              <w:adjustRightInd w:val="0"/>
            </w:pPr>
          </w:p>
          <w:p w:rsidRPr="00BC391B" w:rsidR="00AB267B" w:rsidP="00BC391B" w:rsidRDefault="00E4519F" w14:paraId="7B52B4DF" w14:textId="64F5027D">
            <w:pPr>
              <w:autoSpaceDE w:val="0"/>
              <w:autoSpaceDN w:val="0"/>
              <w:adjustRightInd w:val="0"/>
            </w:pPr>
            <w:r>
              <w:rPr>
                <w:color w:val="000000"/>
              </w:rPr>
              <w:t xml:space="preserve">SBUA </w:t>
            </w:r>
            <w:r w:rsidRPr="00E241DC">
              <w:t>assembl</w:t>
            </w:r>
            <w:r>
              <w:t>ed</w:t>
            </w:r>
            <w:r w:rsidRPr="00E241DC">
              <w:t xml:space="preserve"> a team of professionals, highly experienced in details of regulatory and utility proceedings</w:t>
            </w:r>
            <w:r>
              <w:t>,</w:t>
            </w:r>
            <w:r>
              <w:rPr>
                <w:color w:val="000000"/>
              </w:rPr>
              <w:t xml:space="preserve"> </w:t>
            </w:r>
            <w:r w:rsidR="00D5608E">
              <w:rPr>
                <w:color w:val="000000"/>
              </w:rPr>
              <w:t>which included</w:t>
            </w:r>
            <w:r w:rsidRPr="00E4519F">
              <w:rPr>
                <w:color w:val="000000"/>
              </w:rPr>
              <w:t xml:space="preserve"> </w:t>
            </w:r>
            <w:r w:rsidR="00F01C76">
              <w:rPr>
                <w:color w:val="000000"/>
              </w:rPr>
              <w:t>two</w:t>
            </w:r>
            <w:r w:rsidRPr="00E4519F">
              <w:rPr>
                <w:color w:val="000000"/>
              </w:rPr>
              <w:t xml:space="preserve"> </w:t>
            </w:r>
            <w:r w:rsidR="00D5608E">
              <w:rPr>
                <w:color w:val="000000"/>
              </w:rPr>
              <w:t xml:space="preserve">senior </w:t>
            </w:r>
            <w:r w:rsidRPr="00E4519F">
              <w:rPr>
                <w:color w:val="000000"/>
              </w:rPr>
              <w:t xml:space="preserve">attorneys and </w:t>
            </w:r>
            <w:r>
              <w:rPr>
                <w:color w:val="000000"/>
              </w:rPr>
              <w:t xml:space="preserve">two </w:t>
            </w:r>
            <w:r w:rsidRPr="00E4519F">
              <w:rPr>
                <w:color w:val="000000"/>
              </w:rPr>
              <w:t>expert</w:t>
            </w:r>
            <w:r>
              <w:rPr>
                <w:color w:val="000000"/>
              </w:rPr>
              <w:t>s</w:t>
            </w:r>
            <w:r w:rsidR="00D5608E">
              <w:rPr>
                <w:color w:val="000000"/>
              </w:rPr>
              <w:t>, to participate in the c</w:t>
            </w:r>
            <w:r w:rsidRPr="00E4519F" w:rsidR="00D5608E">
              <w:rPr>
                <w:color w:val="000000"/>
              </w:rPr>
              <w:t>omplex</w:t>
            </w:r>
            <w:r w:rsidR="00D5608E">
              <w:rPr>
                <w:color w:val="000000"/>
              </w:rPr>
              <w:t>ities</w:t>
            </w:r>
            <w:r w:rsidRPr="00E4519F" w:rsidR="00D5608E">
              <w:rPr>
                <w:color w:val="000000"/>
              </w:rPr>
              <w:t xml:space="preserve"> of </w:t>
            </w:r>
            <w:r w:rsidR="00D5608E">
              <w:rPr>
                <w:color w:val="000000"/>
              </w:rPr>
              <w:t>this multi-tracked,</w:t>
            </w:r>
            <w:r w:rsidRPr="00E4519F" w:rsidR="00D5608E">
              <w:rPr>
                <w:color w:val="000000"/>
              </w:rPr>
              <w:t xml:space="preserve"> Phase </w:t>
            </w:r>
            <w:r w:rsidR="00570904">
              <w:rPr>
                <w:color w:val="000000"/>
              </w:rPr>
              <w:t>II</w:t>
            </w:r>
            <w:r w:rsidRPr="00E4519F" w:rsidR="00D5608E">
              <w:rPr>
                <w:color w:val="000000"/>
              </w:rPr>
              <w:t xml:space="preserve"> General Rate</w:t>
            </w:r>
            <w:r w:rsidR="00D5608E">
              <w:rPr>
                <w:color w:val="000000"/>
              </w:rPr>
              <w:t xml:space="preserve"> </w:t>
            </w:r>
            <w:r w:rsidRPr="00E4519F" w:rsidR="00D5608E">
              <w:rPr>
                <w:color w:val="000000"/>
              </w:rPr>
              <w:t>Case</w:t>
            </w:r>
            <w:r w:rsidRPr="00E4519F">
              <w:rPr>
                <w:color w:val="000000"/>
              </w:rPr>
              <w:t xml:space="preserve">. </w:t>
            </w:r>
            <w:r w:rsidR="00AB267B">
              <w:rPr>
                <w:color w:val="000000"/>
              </w:rPr>
              <w:t xml:space="preserve">SBUA seeks recovery for </w:t>
            </w:r>
            <w:r>
              <w:rPr>
                <w:color w:val="000000"/>
              </w:rPr>
              <w:t xml:space="preserve">approximately </w:t>
            </w:r>
            <w:r w:rsidR="004B2EBF">
              <w:rPr>
                <w:color w:val="000000"/>
              </w:rPr>
              <w:t>804.15</w:t>
            </w:r>
            <w:r w:rsidR="00C9075A">
              <w:rPr>
                <w:color w:val="000000"/>
              </w:rPr>
              <w:t xml:space="preserve"> </w:t>
            </w:r>
            <w:r w:rsidR="00AB267B">
              <w:rPr>
                <w:color w:val="000000"/>
              </w:rPr>
              <w:lastRenderedPageBreak/>
              <w:t>hours of attorney and expert time</w:t>
            </w:r>
            <w:r>
              <w:rPr>
                <w:color w:val="000000"/>
              </w:rPr>
              <w:t xml:space="preserve">, as detailed in the attached time </w:t>
            </w:r>
            <w:r w:rsidR="00D5608E">
              <w:rPr>
                <w:color w:val="000000"/>
              </w:rPr>
              <w:t>sheets</w:t>
            </w:r>
            <w:r w:rsidR="00AB267B">
              <w:rPr>
                <w:color w:val="000000"/>
              </w:rPr>
              <w:t>, excluding hours associated with the compensation billing</w:t>
            </w:r>
            <w:r>
              <w:rPr>
                <w:color w:val="000000"/>
              </w:rPr>
              <w:t>, and submits this is a reasonable amount of time to address</w:t>
            </w:r>
            <w:r w:rsidRPr="00E4519F">
              <w:rPr>
                <w:color w:val="000000"/>
              </w:rPr>
              <w:t xml:space="preserve"> key issues of importance to small businesses in</w:t>
            </w:r>
            <w:r>
              <w:rPr>
                <w:color w:val="000000"/>
              </w:rPr>
              <w:t xml:space="preserve"> of this proceeding</w:t>
            </w:r>
            <w:r w:rsidR="00AB267B">
              <w:rPr>
                <w:color w:val="000000"/>
              </w:rPr>
              <w:t xml:space="preserve">. </w:t>
            </w:r>
          </w:p>
          <w:p w:rsidR="00AB267B" w:rsidP="00AB267B" w:rsidRDefault="00AB267B" w14:paraId="2EF1C3AD" w14:textId="621D6F4C">
            <w:pPr>
              <w:spacing w:before="240" w:after="120"/>
              <w:rPr>
                <w:color w:val="000000"/>
              </w:rPr>
            </w:pPr>
            <w:r w:rsidRPr="00030999">
              <w:rPr>
                <w:color w:val="000000"/>
              </w:rPr>
              <w:t xml:space="preserve">SBUA Litigation Supervisor, Jennifer Weberski, coordinated SBUA’s engagement during the proceeding. Ms. Weberski has </w:t>
            </w:r>
            <w:r>
              <w:rPr>
                <w:color w:val="000000"/>
              </w:rPr>
              <w:t xml:space="preserve">over </w:t>
            </w:r>
            <w:r w:rsidRPr="00030999">
              <w:rPr>
                <w:color w:val="000000"/>
              </w:rPr>
              <w:t>2</w:t>
            </w:r>
            <w:r>
              <w:rPr>
                <w:color w:val="000000"/>
              </w:rPr>
              <w:t>4</w:t>
            </w:r>
            <w:r w:rsidRPr="00030999">
              <w:rPr>
                <w:color w:val="000000"/>
              </w:rPr>
              <w:t xml:space="preserve"> years of utility regulatory experience.</w:t>
            </w:r>
            <w:r>
              <w:rPr>
                <w:color w:val="000000"/>
              </w:rPr>
              <w:t xml:space="preserve"> </w:t>
            </w:r>
            <w:r>
              <w:t xml:space="preserve">Based on SBUA’s participation in related rate proceedings and decades of pertinent legal experience, Ms. Weberski efficiently participated in this docket and spent a reasonable amount of time on </w:t>
            </w:r>
            <w:r w:rsidR="00570904">
              <w:t>the proceeding</w:t>
            </w:r>
            <w:r>
              <w:rPr>
                <w:color w:val="000000"/>
              </w:rPr>
              <w:t>.</w:t>
            </w:r>
          </w:p>
          <w:p w:rsidR="00AB267B" w:rsidP="001D0979" w:rsidRDefault="00AB267B" w14:paraId="0BEC96A6" w14:textId="718D0DDD">
            <w:pPr>
              <w:snapToGrid w:val="0"/>
              <w:spacing w:before="240" w:after="120"/>
              <w:rPr>
                <w:color w:val="000000"/>
              </w:rPr>
            </w:pPr>
            <w:r w:rsidRPr="00030999">
              <w:rPr>
                <w:color w:val="000000"/>
              </w:rPr>
              <w:t xml:space="preserve">SBUA’s expert </w:t>
            </w:r>
            <w:r>
              <w:rPr>
                <w:color w:val="000000"/>
              </w:rPr>
              <w:t xml:space="preserve">John Wilson </w:t>
            </w:r>
            <w:r w:rsidRPr="00030999">
              <w:rPr>
                <w:color w:val="000000"/>
              </w:rPr>
              <w:t xml:space="preserve">served as SBUA’s </w:t>
            </w:r>
            <w:r>
              <w:rPr>
                <w:color w:val="000000"/>
              </w:rPr>
              <w:t xml:space="preserve">lead </w:t>
            </w:r>
            <w:r w:rsidRPr="00030999">
              <w:rPr>
                <w:color w:val="000000"/>
              </w:rPr>
              <w:t>consultant and utility expert</w:t>
            </w:r>
            <w:r w:rsidR="00033219">
              <w:rPr>
                <w:color w:val="000000"/>
              </w:rPr>
              <w:t xml:space="preserve"> for </w:t>
            </w:r>
            <w:r w:rsidR="00570904">
              <w:rPr>
                <w:color w:val="000000"/>
              </w:rPr>
              <w:t>RTP</w:t>
            </w:r>
            <w:r w:rsidRPr="00030999">
              <w:rPr>
                <w:color w:val="000000"/>
              </w:rPr>
              <w:t xml:space="preserve">. </w:t>
            </w:r>
            <w:r>
              <w:rPr>
                <w:color w:val="000000"/>
              </w:rPr>
              <w:t xml:space="preserve">Mr. Wilson has over 28 years of experience with regard to utility regulation. Mr. Wilson focused his efforts on providing robust testimony identifying </w:t>
            </w:r>
            <w:r w:rsidR="00D9196C">
              <w:rPr>
                <w:color w:val="000000"/>
              </w:rPr>
              <w:t>issues in PGE’s</w:t>
            </w:r>
            <w:r>
              <w:rPr>
                <w:color w:val="000000"/>
              </w:rPr>
              <w:t xml:space="preserve"> Application and testimony and recommending the Commission </w:t>
            </w:r>
            <w:r w:rsidR="00D9196C">
              <w:rPr>
                <w:color w:val="000000"/>
              </w:rPr>
              <w:t>bifurcate the proceeding</w:t>
            </w:r>
            <w:r>
              <w:rPr>
                <w:color w:val="000000"/>
              </w:rPr>
              <w:t>. As President of Resource Insight, Inc. with 40 years of experience, SBUA expert Paul Chernick provided oversight and input into the testimony submitted.</w:t>
            </w:r>
            <w:r w:rsidR="008B79D4">
              <w:rPr>
                <w:color w:val="000000"/>
              </w:rPr>
              <w:t xml:space="preserve"> In addition, to Mr. Wilson and Mr. Chernick, James Harvey assisted with research related to the MGCC Study and RTP settlement.</w:t>
            </w:r>
          </w:p>
          <w:p w:rsidR="00AB267B" w:rsidP="001D0979" w:rsidRDefault="00AB267B" w14:paraId="0E5C06C5" w14:textId="77777777">
            <w:pPr>
              <w:snapToGrid w:val="0"/>
              <w:spacing w:before="240" w:after="120"/>
              <w:rPr>
                <w:color w:val="000000"/>
              </w:rPr>
            </w:pPr>
            <w:r>
              <w:rPr>
                <w:rFonts w:asciiTheme="majorBidi" w:hAnsiTheme="majorBidi" w:cstheme="majorBidi"/>
                <w:color w:val="000000"/>
              </w:rPr>
              <w:t xml:space="preserve">In addition, </w:t>
            </w:r>
            <w:r>
              <w:t xml:space="preserve">SBUA’s President and General Counsel, James Birkelund, participated in this proceeding analyzing the application and parties’ testimony, developing litigation positions, providing strategic direction, </w:t>
            </w:r>
            <w:r w:rsidRPr="003A5C0D">
              <w:t>managing work efforts</w:t>
            </w:r>
            <w:r>
              <w:t xml:space="preserve">, and </w:t>
            </w:r>
            <w:r>
              <w:rPr>
                <w:color w:val="000000"/>
              </w:rPr>
              <w:t>o</w:t>
            </w:r>
            <w:r w:rsidRPr="0007240E">
              <w:rPr>
                <w:color w:val="000000"/>
              </w:rPr>
              <w:t>versee</w:t>
            </w:r>
            <w:r>
              <w:rPr>
                <w:color w:val="000000"/>
              </w:rPr>
              <w:t>ing and coordinating</w:t>
            </w:r>
            <w:r w:rsidRPr="0007240E">
              <w:rPr>
                <w:color w:val="000000"/>
              </w:rPr>
              <w:t xml:space="preserve"> the legal </w:t>
            </w:r>
            <w:r>
              <w:rPr>
                <w:color w:val="000000"/>
              </w:rPr>
              <w:t>team</w:t>
            </w:r>
            <w:r w:rsidRPr="00304834">
              <w:rPr>
                <w:color w:val="000000"/>
              </w:rPr>
              <w:t>.</w:t>
            </w:r>
          </w:p>
          <w:p w:rsidRPr="007F620E" w:rsidR="00AB267B" w:rsidP="001D0979" w:rsidRDefault="00AB267B" w14:paraId="694F0B63" w14:textId="76A81730">
            <w:pPr>
              <w:snapToGrid w:val="0"/>
              <w:spacing w:before="240"/>
              <w:rPr>
                <w:color w:val="000000"/>
              </w:rPr>
            </w:pPr>
            <w:r>
              <w:t xml:space="preserve">SBUA took care to coordinate its efforts between </w:t>
            </w:r>
            <w:r w:rsidR="00645273">
              <w:t>professionals and</w:t>
            </w:r>
            <w:r>
              <w:t xml:space="preserve"> given magnitude </w:t>
            </w:r>
            <w:r w:rsidR="004B2EBF">
              <w:t xml:space="preserve">and importance </w:t>
            </w:r>
            <w:r>
              <w:t xml:space="preserve">of the </w:t>
            </w:r>
            <w:r w:rsidR="00D9196C">
              <w:t>Application as a whole</w:t>
            </w:r>
            <w:r>
              <w:t xml:space="preserve">, SBUA’s hours represent an appropriate level of engagement </w:t>
            </w:r>
            <w:r>
              <w:rPr>
                <w:color w:val="000000"/>
              </w:rPr>
              <w:t xml:space="preserve">and </w:t>
            </w:r>
            <w:r w:rsidRPr="00030999">
              <w:rPr>
                <w:color w:val="000000"/>
              </w:rPr>
              <w:t xml:space="preserve">effort to participate in </w:t>
            </w:r>
            <w:r w:rsidR="00D9196C">
              <w:rPr>
                <w:color w:val="000000"/>
              </w:rPr>
              <w:t>the proceeding</w:t>
            </w:r>
            <w:r w:rsidR="002024B1">
              <w:rPr>
                <w:color w:val="000000"/>
              </w:rPr>
              <w:t xml:space="preserve">, </w:t>
            </w:r>
            <w:r w:rsidR="00AD03E8">
              <w:rPr>
                <w:color w:val="000000"/>
              </w:rPr>
              <w:t>a series</w:t>
            </w:r>
            <w:r w:rsidR="002024B1">
              <w:rPr>
                <w:color w:val="000000"/>
              </w:rPr>
              <w:t xml:space="preserve"> of settle</w:t>
            </w:r>
            <w:r w:rsidR="00AD03E8">
              <w:rPr>
                <w:color w:val="000000"/>
              </w:rPr>
              <w:t>ments</w:t>
            </w:r>
            <w:r w:rsidR="002024B1">
              <w:rPr>
                <w:color w:val="000000"/>
              </w:rPr>
              <w:t>,</w:t>
            </w:r>
            <w:r>
              <w:rPr>
                <w:color w:val="000000"/>
              </w:rPr>
              <w:t xml:space="preserve"> and other activities leading up to </w:t>
            </w:r>
            <w:r w:rsidR="00033219">
              <w:rPr>
                <w:color w:val="000000"/>
              </w:rPr>
              <w:t xml:space="preserve">the </w:t>
            </w:r>
            <w:r w:rsidR="002024B1">
              <w:rPr>
                <w:color w:val="000000"/>
              </w:rPr>
              <w:t xml:space="preserve">two </w:t>
            </w:r>
            <w:r w:rsidR="00033219">
              <w:rPr>
                <w:color w:val="000000"/>
              </w:rPr>
              <w:t>Decisions</w:t>
            </w:r>
            <w:r w:rsidRPr="00030999">
              <w:rPr>
                <w:color w:val="000000"/>
              </w:rPr>
              <w:t>.</w:t>
            </w:r>
            <w:r>
              <w:rPr>
                <w:color w:val="000000"/>
              </w:rPr>
              <w:t xml:space="preserve"> (SBUA </w:t>
            </w:r>
            <w:r w:rsidR="00D9196C">
              <w:rPr>
                <w:color w:val="000000"/>
              </w:rPr>
              <w:t xml:space="preserve">is </w:t>
            </w:r>
            <w:r w:rsidR="00A15FF2">
              <w:rPr>
                <w:color w:val="000000"/>
              </w:rPr>
              <w:t xml:space="preserve">separately </w:t>
            </w:r>
            <w:r w:rsidR="00D9196C">
              <w:rPr>
                <w:color w:val="000000"/>
              </w:rPr>
              <w:t>filing for intervenor compensation in A.20-10-011</w:t>
            </w:r>
            <w:r>
              <w:rPr>
                <w:color w:val="000000"/>
              </w:rPr>
              <w:t>.)</w:t>
            </w:r>
            <w:r w:rsidR="00E4076C">
              <w:rPr>
                <w:rStyle w:val="FootnoteReference"/>
                <w:color w:val="000000"/>
              </w:rPr>
              <w:footnoteReference w:id="2"/>
            </w:r>
            <w:r>
              <w:rPr>
                <w:color w:val="000000"/>
              </w:rPr>
              <w:t xml:space="preserve"> </w:t>
            </w:r>
            <w:r>
              <w:t>Therefore, SBUA</w:t>
            </w:r>
            <w:r w:rsidRPr="00165303">
              <w:t xml:space="preserve"> seeks</w:t>
            </w:r>
            <w:r>
              <w:t xml:space="preserve"> </w:t>
            </w:r>
            <w:r w:rsidRPr="00165303">
              <w:t xml:space="preserve">compensation for all of the hours recorded by our attorneys </w:t>
            </w:r>
            <w:r>
              <w:t xml:space="preserve">and experts </w:t>
            </w:r>
            <w:r w:rsidR="00033219">
              <w:t xml:space="preserve">in </w:t>
            </w:r>
            <w:r w:rsidR="00D9196C">
              <w:t>A.19-11-019</w:t>
            </w:r>
            <w:r w:rsidR="00033219">
              <w:t xml:space="preserve"> </w:t>
            </w:r>
            <w:r w:rsidRPr="00165303">
              <w:t>included in this</w:t>
            </w:r>
            <w:r>
              <w:t xml:space="preserve"> </w:t>
            </w:r>
            <w:r w:rsidRPr="00165303">
              <w:t>request</w:t>
            </w:r>
            <w:r>
              <w:t>.</w:t>
            </w:r>
            <w:r w:rsidRPr="00030999">
              <w:rPr>
                <w:color w:val="000000"/>
              </w:rPr>
              <w:t xml:space="preserve"> </w:t>
            </w:r>
          </w:p>
        </w:tc>
        <w:tc>
          <w:tcPr>
            <w:tcW w:w="2250" w:type="dxa"/>
            <w:shd w:val="clear" w:color="auto" w:fill="auto"/>
          </w:tcPr>
          <w:p w:rsidRPr="007F620E" w:rsidR="00AB267B" w:rsidP="00AB267B" w:rsidRDefault="00097DDE" w14:paraId="1874D625" w14:textId="7A270E5C">
            <w:pPr>
              <w:rPr>
                <w:color w:val="000000"/>
              </w:rPr>
            </w:pPr>
            <w:r>
              <w:rPr>
                <w:color w:val="000000"/>
              </w:rPr>
              <w:lastRenderedPageBreak/>
              <w:t xml:space="preserve">Noted. See discussion in Part </w:t>
            </w:r>
            <w:r w:rsidR="009F7941">
              <w:rPr>
                <w:color w:val="000000"/>
              </w:rPr>
              <w:t>III.</w:t>
            </w:r>
            <w:r>
              <w:rPr>
                <w:color w:val="000000"/>
              </w:rPr>
              <w:t>D</w:t>
            </w:r>
            <w:r w:rsidR="009F7941">
              <w:rPr>
                <w:color w:val="000000"/>
              </w:rPr>
              <w:t>.</w:t>
            </w:r>
            <w:r>
              <w:rPr>
                <w:color w:val="000000"/>
              </w:rPr>
              <w:t xml:space="preserve"> below regarding deductions for lack of specificity in </w:t>
            </w:r>
            <w:r w:rsidR="00E433B9">
              <w:rPr>
                <w:color w:val="000000"/>
              </w:rPr>
              <w:t>the experts’</w:t>
            </w:r>
            <w:r>
              <w:rPr>
                <w:color w:val="000000"/>
              </w:rPr>
              <w:t xml:space="preserve"> time sheet records and unnecessary duplication of effort.</w:t>
            </w:r>
          </w:p>
        </w:tc>
      </w:tr>
      <w:tr w:rsidRPr="007F620E" w:rsidR="00FE3BAE" w:rsidTr="006E05EE" w14:paraId="3FD38B74" w14:textId="77777777">
        <w:tc>
          <w:tcPr>
            <w:tcW w:w="7488" w:type="dxa"/>
            <w:shd w:val="clear" w:color="auto" w:fill="auto"/>
          </w:tcPr>
          <w:p w:rsidRPr="00E25078" w:rsidR="00FE3BAE" w:rsidP="00EC6387" w:rsidRDefault="00FE3BAE" w14:paraId="46990B37" w14:textId="23A36A7B">
            <w:pPr>
              <w:rPr>
                <w:color w:val="000000"/>
              </w:rPr>
            </w:pPr>
            <w:r w:rsidRPr="007F620E">
              <w:rPr>
                <w:b/>
                <w:color w:val="000000"/>
              </w:rPr>
              <w:t>c. Allocation of hours by issue:</w:t>
            </w:r>
            <w:r w:rsidRPr="00E25078" w:rsidR="00E25078">
              <w:rPr>
                <w:color w:val="000000"/>
              </w:rPr>
              <w:t xml:space="preserve"> </w:t>
            </w:r>
            <w:r w:rsidR="008C339D">
              <w:rPr>
                <w:color w:val="000000"/>
              </w:rPr>
              <w:t>Each issue was approached from the perspective and advocacy for small business customers.</w:t>
            </w:r>
          </w:p>
          <w:p w:rsidR="00FE3BAE" w:rsidP="00EC6387" w:rsidRDefault="00FE3BAE" w14:paraId="78501013" w14:textId="38C935F9">
            <w:pPr>
              <w:rPr>
                <w:color w:val="000000"/>
              </w:rPr>
            </w:pPr>
          </w:p>
          <w:p w:rsidR="00EC0081" w:rsidP="00EC0081" w:rsidRDefault="00EC0081" w14:paraId="713C9C98" w14:textId="319795FC">
            <w:pPr>
              <w:rPr>
                <w:color w:val="000000"/>
              </w:rPr>
            </w:pPr>
            <w:r w:rsidRPr="005E0327">
              <w:rPr>
                <w:color w:val="000000"/>
                <w:u w:val="single"/>
              </w:rPr>
              <w:t xml:space="preserve">Issue </w:t>
            </w:r>
            <w:r>
              <w:rPr>
                <w:color w:val="000000"/>
                <w:u w:val="single"/>
              </w:rPr>
              <w:t>1</w:t>
            </w:r>
            <w:r w:rsidRPr="005E0327">
              <w:rPr>
                <w:color w:val="000000"/>
                <w:u w:val="single"/>
              </w:rPr>
              <w:t xml:space="preserve"> </w:t>
            </w:r>
            <w:r>
              <w:rPr>
                <w:color w:val="000000"/>
                <w:u w:val="single"/>
              </w:rPr>
              <w:t>–Marginal Cost &amp; Cost of Service</w:t>
            </w:r>
            <w:r>
              <w:rPr>
                <w:color w:val="000000"/>
              </w:rPr>
              <w:t xml:space="preserve">  = </w:t>
            </w:r>
            <w:r w:rsidR="00E11907">
              <w:rPr>
                <w:bCs/>
              </w:rPr>
              <w:t>60.9</w:t>
            </w:r>
            <w:r w:rsidRPr="00B515D4" w:rsidR="00E11907">
              <w:rPr>
                <w:bCs/>
              </w:rPr>
              <w:t xml:space="preserve"> hours or </w:t>
            </w:r>
            <w:r w:rsidR="00E11907">
              <w:rPr>
                <w:bCs/>
              </w:rPr>
              <w:t>7.6</w:t>
            </w:r>
            <w:r w:rsidRPr="00B515D4" w:rsidR="00E11907">
              <w:t>%</w:t>
            </w:r>
          </w:p>
          <w:p w:rsidR="00EC0081" w:rsidP="00EC0081" w:rsidRDefault="00EC0081" w14:paraId="3D505A78" w14:textId="77777777">
            <w:pPr>
              <w:rPr>
                <w:color w:val="000000"/>
                <w:u w:val="single"/>
              </w:rPr>
            </w:pPr>
          </w:p>
          <w:p w:rsidRPr="00177536" w:rsidR="00EC0081" w:rsidP="00EC0081" w:rsidRDefault="00EC0081" w14:paraId="4EAB931F" w14:textId="2B0D68C1">
            <w:pPr>
              <w:rPr>
                <w:color w:val="000000"/>
              </w:rPr>
            </w:pPr>
            <w:r>
              <w:rPr>
                <w:color w:val="000000"/>
                <w:u w:val="single"/>
              </w:rPr>
              <w:t>Issue 2 – Revenue Allocation</w:t>
            </w:r>
            <w:r>
              <w:rPr>
                <w:color w:val="000000"/>
              </w:rPr>
              <w:t xml:space="preserve"> = </w:t>
            </w:r>
            <w:r w:rsidR="00E11907">
              <w:rPr>
                <w:bCs/>
              </w:rPr>
              <w:t>132.1</w:t>
            </w:r>
            <w:r w:rsidRPr="00B515D4" w:rsidR="00E11907">
              <w:rPr>
                <w:bCs/>
              </w:rPr>
              <w:t xml:space="preserve"> hours or </w:t>
            </w:r>
            <w:r w:rsidR="00E11907">
              <w:rPr>
                <w:bCs/>
              </w:rPr>
              <w:t>16.4</w:t>
            </w:r>
            <w:r w:rsidRPr="00B515D4" w:rsidR="00E11907">
              <w:t>%</w:t>
            </w:r>
          </w:p>
          <w:p w:rsidR="00EC0081" w:rsidP="00EC0081" w:rsidRDefault="00EC0081" w14:paraId="2737EAD3" w14:textId="77777777">
            <w:pPr>
              <w:rPr>
                <w:color w:val="000000"/>
              </w:rPr>
            </w:pPr>
          </w:p>
          <w:p w:rsidRPr="00177536" w:rsidR="00EC0081" w:rsidP="00EC0081" w:rsidRDefault="00EC0081" w14:paraId="27385CF9" w14:textId="03BEEA86">
            <w:pPr>
              <w:rPr>
                <w:color w:val="000000"/>
              </w:rPr>
            </w:pPr>
            <w:r w:rsidRPr="005E0327">
              <w:rPr>
                <w:color w:val="000000"/>
                <w:u w:val="single"/>
              </w:rPr>
              <w:t xml:space="preserve">Issue </w:t>
            </w:r>
            <w:r>
              <w:rPr>
                <w:color w:val="000000"/>
                <w:u w:val="single"/>
              </w:rPr>
              <w:t>3</w:t>
            </w:r>
            <w:r w:rsidRPr="005E0327">
              <w:rPr>
                <w:color w:val="000000"/>
                <w:u w:val="single"/>
              </w:rPr>
              <w:t xml:space="preserve"> – </w:t>
            </w:r>
            <w:r>
              <w:rPr>
                <w:color w:val="000000"/>
                <w:u w:val="single"/>
              </w:rPr>
              <w:t>Small Bus. Rate Design (including EDR)</w:t>
            </w:r>
            <w:r w:rsidR="00BC391B">
              <w:rPr>
                <w:color w:val="000000"/>
                <w:u w:val="single"/>
              </w:rPr>
              <w:t xml:space="preserve"> </w:t>
            </w:r>
            <w:r>
              <w:rPr>
                <w:color w:val="000000"/>
              </w:rPr>
              <w:t xml:space="preserve">= </w:t>
            </w:r>
            <w:r w:rsidR="00E11907">
              <w:rPr>
                <w:bCs/>
              </w:rPr>
              <w:t>109.85</w:t>
            </w:r>
            <w:r w:rsidRPr="00B515D4" w:rsidR="00E11907">
              <w:rPr>
                <w:bCs/>
              </w:rPr>
              <w:t xml:space="preserve"> hours or </w:t>
            </w:r>
            <w:r w:rsidR="00E11907">
              <w:rPr>
                <w:bCs/>
              </w:rPr>
              <w:t>13.7</w:t>
            </w:r>
            <w:r w:rsidRPr="00B515D4" w:rsidR="00E11907">
              <w:t>%</w:t>
            </w:r>
          </w:p>
          <w:p w:rsidR="00EC0081" w:rsidP="00EC0081" w:rsidRDefault="00EC0081" w14:paraId="38537867" w14:textId="77777777">
            <w:pPr>
              <w:rPr>
                <w:color w:val="000000"/>
                <w:u w:val="single"/>
              </w:rPr>
            </w:pPr>
          </w:p>
          <w:p w:rsidRPr="00177536" w:rsidR="00EC0081" w:rsidP="00EC0081" w:rsidRDefault="00EC0081" w14:paraId="753EC6E1" w14:textId="7088DD9D">
            <w:pPr>
              <w:rPr>
                <w:color w:val="000000"/>
              </w:rPr>
            </w:pPr>
            <w:r>
              <w:rPr>
                <w:color w:val="000000"/>
                <w:u w:val="single"/>
              </w:rPr>
              <w:t xml:space="preserve">Issue 4 – Real-Time Pricing </w:t>
            </w:r>
            <w:r>
              <w:rPr>
                <w:color w:val="000000"/>
              </w:rPr>
              <w:t xml:space="preserve">= </w:t>
            </w:r>
            <w:r w:rsidR="00E11907">
              <w:rPr>
                <w:bCs/>
              </w:rPr>
              <w:t>315.55</w:t>
            </w:r>
            <w:r w:rsidRPr="00B515D4" w:rsidR="00E11907">
              <w:rPr>
                <w:bCs/>
              </w:rPr>
              <w:t xml:space="preserve"> hours or 3</w:t>
            </w:r>
            <w:r w:rsidR="00E11907">
              <w:rPr>
                <w:bCs/>
              </w:rPr>
              <w:t>9.2</w:t>
            </w:r>
            <w:r w:rsidRPr="00B515D4" w:rsidR="00E11907">
              <w:t>%</w:t>
            </w:r>
          </w:p>
          <w:p w:rsidR="00EC0081" w:rsidP="00EC0081" w:rsidRDefault="00EC0081" w14:paraId="0460A02D" w14:textId="77777777">
            <w:pPr>
              <w:rPr>
                <w:color w:val="000000"/>
              </w:rPr>
            </w:pPr>
          </w:p>
          <w:p w:rsidR="00EC0081" w:rsidP="00EC0081" w:rsidRDefault="00EC0081" w14:paraId="78E0AA41" w14:textId="77777777">
            <w:pPr>
              <w:rPr>
                <w:color w:val="000000"/>
              </w:rPr>
            </w:pPr>
          </w:p>
          <w:p w:rsidRPr="00B441CA" w:rsidR="00EC0081" w:rsidP="00EC0081" w:rsidRDefault="00EC0081" w14:paraId="5DF07579" w14:textId="67506520">
            <w:pPr>
              <w:rPr>
                <w:color w:val="000000"/>
              </w:rPr>
            </w:pPr>
            <w:r w:rsidRPr="00B441CA">
              <w:rPr>
                <w:color w:val="000000"/>
                <w:u w:val="single"/>
              </w:rPr>
              <w:t xml:space="preserve">Issue </w:t>
            </w:r>
            <w:r w:rsidR="00A52B40">
              <w:rPr>
                <w:color w:val="000000"/>
                <w:u w:val="single"/>
              </w:rPr>
              <w:t>5</w:t>
            </w:r>
            <w:r w:rsidRPr="00B441CA">
              <w:rPr>
                <w:color w:val="000000"/>
                <w:u w:val="single"/>
              </w:rPr>
              <w:t xml:space="preserve"> </w:t>
            </w:r>
            <w:r>
              <w:rPr>
                <w:color w:val="000000"/>
                <w:u w:val="single"/>
              </w:rPr>
              <w:t>– Discovery/Workshops/Hearings</w:t>
            </w:r>
            <w:r>
              <w:rPr>
                <w:color w:val="000000"/>
              </w:rPr>
              <w:t xml:space="preserve"> = </w:t>
            </w:r>
            <w:r w:rsidR="00E11907">
              <w:rPr>
                <w:bCs/>
              </w:rPr>
              <w:t>160.5</w:t>
            </w:r>
            <w:r w:rsidRPr="00B515D4" w:rsidR="00E11907">
              <w:rPr>
                <w:bCs/>
              </w:rPr>
              <w:t xml:space="preserve"> hours or </w:t>
            </w:r>
            <w:r w:rsidR="00E11907">
              <w:rPr>
                <w:bCs/>
              </w:rPr>
              <w:t>20</w:t>
            </w:r>
            <w:r w:rsidRPr="00B515D4" w:rsidR="00E11907">
              <w:t>%</w:t>
            </w:r>
          </w:p>
          <w:p w:rsidR="00EC0081" w:rsidP="00EC0081" w:rsidRDefault="00EC0081" w14:paraId="6CD79884" w14:textId="77777777">
            <w:pPr>
              <w:rPr>
                <w:color w:val="000000"/>
              </w:rPr>
            </w:pPr>
          </w:p>
          <w:p w:rsidR="000830B1" w:rsidP="00EC0081" w:rsidRDefault="00EC0081" w14:paraId="02D2EFBF" w14:textId="639DD927">
            <w:pPr>
              <w:rPr>
                <w:color w:val="000000"/>
              </w:rPr>
            </w:pPr>
            <w:r w:rsidRPr="00B441CA">
              <w:rPr>
                <w:color w:val="000000"/>
                <w:u w:val="single"/>
              </w:rPr>
              <w:t xml:space="preserve">Issue </w:t>
            </w:r>
            <w:r w:rsidR="00A52B40">
              <w:rPr>
                <w:color w:val="000000"/>
                <w:u w:val="single"/>
              </w:rPr>
              <w:t>6</w:t>
            </w:r>
            <w:r w:rsidRPr="00B441CA">
              <w:rPr>
                <w:color w:val="000000"/>
                <w:u w:val="single"/>
              </w:rPr>
              <w:t xml:space="preserve"> – </w:t>
            </w:r>
            <w:r>
              <w:rPr>
                <w:color w:val="000000"/>
                <w:u w:val="single"/>
              </w:rPr>
              <w:t>Procedural</w:t>
            </w:r>
            <w:r w:rsidRPr="00B441CA">
              <w:rPr>
                <w:color w:val="000000"/>
                <w:u w:val="single"/>
              </w:rPr>
              <w:t xml:space="preserve"> Participation</w:t>
            </w:r>
            <w:r>
              <w:rPr>
                <w:color w:val="000000"/>
              </w:rPr>
              <w:t xml:space="preserve"> = </w:t>
            </w:r>
            <w:r w:rsidR="00E11907">
              <w:rPr>
                <w:bCs/>
              </w:rPr>
              <w:t>25.25</w:t>
            </w:r>
            <w:r w:rsidRPr="00B515D4" w:rsidR="00E11907">
              <w:rPr>
                <w:bCs/>
              </w:rPr>
              <w:t xml:space="preserve"> hours or 3</w:t>
            </w:r>
            <w:r w:rsidR="00E11907">
              <w:rPr>
                <w:bCs/>
              </w:rPr>
              <w:t>.1</w:t>
            </w:r>
            <w:r w:rsidRPr="00B515D4" w:rsidR="00E11907">
              <w:t>%</w:t>
            </w:r>
          </w:p>
          <w:p w:rsidRPr="003D4455" w:rsidR="008B79D4" w:rsidP="008102B7" w:rsidRDefault="008B79D4" w14:paraId="3285939A" w14:textId="3D16D2FA">
            <w:pPr>
              <w:rPr>
                <w:color w:val="000000"/>
              </w:rPr>
            </w:pPr>
          </w:p>
        </w:tc>
        <w:tc>
          <w:tcPr>
            <w:tcW w:w="2250" w:type="dxa"/>
            <w:shd w:val="clear" w:color="auto" w:fill="auto"/>
          </w:tcPr>
          <w:p w:rsidRPr="007F620E" w:rsidR="00FE3BAE" w:rsidP="00EC6387" w:rsidRDefault="009F7941" w14:paraId="497C4799" w14:textId="177FAD95">
            <w:pPr>
              <w:rPr>
                <w:color w:val="000000"/>
              </w:rPr>
            </w:pPr>
            <w:r w:rsidRPr="00D36224">
              <w:rPr>
                <w:i/>
                <w:iCs/>
                <w:color w:val="000000"/>
              </w:rPr>
              <w:lastRenderedPageBreak/>
              <w:t>See</w:t>
            </w:r>
            <w:r>
              <w:rPr>
                <w:color w:val="000000"/>
              </w:rPr>
              <w:t xml:space="preserve"> discussion in Part II.D. below regarding allocation of hours to procedural issues.</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t>Specific Claim</w:t>
      </w:r>
      <w:r w:rsidR="00C02649">
        <w:rPr>
          <w:b/>
          <w:color w:val="000000"/>
        </w:rPr>
        <w:t>:</w:t>
      </w:r>
      <w:r w:rsidRPr="007F620E" w:rsidR="00D075B1">
        <w:rPr>
          <w:b/>
          <w:color w:val="000000"/>
        </w:rPr>
        <w:t>*</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911"/>
        <w:gridCol w:w="810"/>
        <w:gridCol w:w="1333"/>
        <w:gridCol w:w="917"/>
        <w:gridCol w:w="38"/>
        <w:gridCol w:w="1146"/>
        <w:gridCol w:w="1881"/>
      </w:tblGrid>
      <w:tr w:rsidRPr="007F620E" w:rsidR="00A92D0B" w:rsidTr="0039315E" w14:paraId="780664A2" w14:textId="77777777">
        <w:trPr>
          <w:jc w:val="center"/>
        </w:trPr>
        <w:tc>
          <w:tcPr>
            <w:tcW w:w="7178" w:type="dxa"/>
            <w:gridSpan w:val="8"/>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982" w:type="dxa"/>
            <w:gridSpan w:val="4"/>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39315E"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39315E" w14:paraId="5A70C962" w14:textId="77777777">
        <w:trPr>
          <w:jc w:val="center"/>
        </w:trPr>
        <w:tc>
          <w:tcPr>
            <w:tcW w:w="1489" w:type="dxa"/>
            <w:tcBorders>
              <w:top w:val="single" w:color="auto" w:sz="4" w:space="0"/>
              <w:bottom w:val="single" w:color="auto" w:sz="4" w:space="0"/>
            </w:tcBorders>
            <w:shd w:val="clear" w:color="auto" w:fill="auto"/>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shd w:val="clear" w:color="auto" w:fill="auto"/>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881" w:type="dxa"/>
            <w:tcBorders>
              <w:top w:val="single" w:color="auto" w:sz="4" w:space="0"/>
            </w:tcBorders>
            <w:shd w:val="clear" w:color="auto" w:fill="auto"/>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8B6451" w:rsidTr="006E05EE" w14:paraId="6501C1E4" w14:textId="77777777">
        <w:trPr>
          <w:jc w:val="center"/>
        </w:trPr>
        <w:tc>
          <w:tcPr>
            <w:tcW w:w="1489" w:type="dxa"/>
            <w:shd w:val="clear" w:color="auto" w:fill="auto"/>
          </w:tcPr>
          <w:p w:rsidRPr="00615F17" w:rsidR="008B6451" w:rsidP="008B6451" w:rsidRDefault="008B6451" w14:paraId="041CD583" w14:textId="1DD3BB23">
            <w:pPr>
              <w:spacing w:before="60" w:after="60"/>
              <w:rPr>
                <w:color w:val="000000"/>
              </w:rPr>
            </w:pPr>
            <w:r>
              <w:rPr>
                <w:color w:val="000000"/>
              </w:rPr>
              <w:t>Jennifer Weberski</w:t>
            </w:r>
          </w:p>
        </w:tc>
        <w:tc>
          <w:tcPr>
            <w:tcW w:w="821" w:type="dxa"/>
            <w:shd w:val="clear" w:color="auto" w:fill="auto"/>
          </w:tcPr>
          <w:p w:rsidRPr="00615F17" w:rsidR="008B6451" w:rsidP="008B6451" w:rsidRDefault="008B6451" w14:paraId="6137C49A" w14:textId="58D4437E">
            <w:pPr>
              <w:spacing w:before="60" w:after="60"/>
              <w:jc w:val="center"/>
              <w:rPr>
                <w:color w:val="000000"/>
              </w:rPr>
            </w:pPr>
            <w:r>
              <w:rPr>
                <w:color w:val="000000"/>
              </w:rPr>
              <w:t>2019</w:t>
            </w:r>
          </w:p>
        </w:tc>
        <w:tc>
          <w:tcPr>
            <w:tcW w:w="884" w:type="dxa"/>
            <w:gridSpan w:val="2"/>
            <w:shd w:val="clear" w:color="auto" w:fill="auto"/>
          </w:tcPr>
          <w:p w:rsidRPr="007F620E" w:rsidR="008B6451" w:rsidP="008B6451" w:rsidRDefault="008B6451" w14:paraId="337E22C2" w14:textId="79ADFE54">
            <w:pPr>
              <w:spacing w:before="60" w:after="60"/>
              <w:jc w:val="center"/>
              <w:rPr>
                <w:color w:val="000000"/>
              </w:rPr>
            </w:pPr>
            <w:r>
              <w:rPr>
                <w:color w:val="000000"/>
              </w:rPr>
              <w:t>19.45</w:t>
            </w:r>
          </w:p>
        </w:tc>
        <w:tc>
          <w:tcPr>
            <w:tcW w:w="930" w:type="dxa"/>
            <w:shd w:val="clear" w:color="auto" w:fill="auto"/>
          </w:tcPr>
          <w:p w:rsidR="008B6451" w:rsidP="008B6451" w:rsidRDefault="008B6451" w14:paraId="09084C04" w14:textId="5696DEA8">
            <w:pPr>
              <w:spacing w:before="60" w:after="60"/>
              <w:jc w:val="right"/>
              <w:rPr>
                <w:color w:val="000000"/>
              </w:rPr>
            </w:pPr>
            <w:r>
              <w:rPr>
                <w:color w:val="000000"/>
              </w:rPr>
              <w:t>$460</w:t>
            </w:r>
          </w:p>
        </w:tc>
        <w:tc>
          <w:tcPr>
            <w:tcW w:w="1721" w:type="dxa"/>
            <w:gridSpan w:val="2"/>
            <w:tcBorders>
              <w:right w:val="single" w:color="auto" w:sz="4" w:space="0"/>
            </w:tcBorders>
            <w:shd w:val="clear" w:color="auto" w:fill="auto"/>
          </w:tcPr>
          <w:p w:rsidRPr="0075766A" w:rsidR="008B6451" w:rsidP="008B6451" w:rsidRDefault="008B6451" w14:paraId="1E58D945" w14:textId="71EE206B">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8B6451" w:rsidP="008B6451" w:rsidRDefault="008B6451" w14:paraId="5193FF29" w14:textId="6995639F">
            <w:pPr>
              <w:spacing w:before="60" w:after="60"/>
              <w:jc w:val="right"/>
              <w:rPr>
                <w:color w:val="000000"/>
              </w:rPr>
            </w:pPr>
            <w:r>
              <w:rPr>
                <w:color w:val="000000"/>
              </w:rPr>
              <w:t>$8,947</w:t>
            </w:r>
          </w:p>
        </w:tc>
        <w:tc>
          <w:tcPr>
            <w:tcW w:w="955" w:type="dxa"/>
            <w:gridSpan w:val="2"/>
            <w:tcBorders>
              <w:left w:val="single" w:color="auto" w:sz="4" w:space="0"/>
            </w:tcBorders>
            <w:shd w:val="clear" w:color="auto" w:fill="auto"/>
          </w:tcPr>
          <w:p w:rsidRPr="007F620E" w:rsidR="008B6451" w:rsidP="008B6451" w:rsidRDefault="008B6451" w14:paraId="35B0B298" w14:textId="0600C522">
            <w:pPr>
              <w:spacing w:before="60" w:after="60"/>
              <w:jc w:val="center"/>
              <w:rPr>
                <w:color w:val="000000"/>
              </w:rPr>
            </w:pPr>
            <w:r>
              <w:rPr>
                <w:color w:val="000000"/>
              </w:rPr>
              <w:t xml:space="preserve">18.25 [3] </w:t>
            </w:r>
          </w:p>
        </w:tc>
        <w:tc>
          <w:tcPr>
            <w:tcW w:w="1146" w:type="dxa"/>
            <w:shd w:val="clear" w:color="auto" w:fill="auto"/>
          </w:tcPr>
          <w:p w:rsidRPr="007F620E" w:rsidR="008B6451" w:rsidP="008B6451" w:rsidRDefault="008B6451" w14:paraId="56C03DDF" w14:textId="388E0BAE">
            <w:pPr>
              <w:spacing w:before="60" w:after="60"/>
              <w:jc w:val="right"/>
              <w:rPr>
                <w:color w:val="000000"/>
              </w:rPr>
            </w:pPr>
            <w:r>
              <w:rPr>
                <w:color w:val="000000"/>
              </w:rPr>
              <w:t>$460.00</w:t>
            </w:r>
          </w:p>
        </w:tc>
        <w:tc>
          <w:tcPr>
            <w:tcW w:w="1881" w:type="dxa"/>
            <w:shd w:val="clear" w:color="auto" w:fill="auto"/>
          </w:tcPr>
          <w:p w:rsidRPr="007F620E" w:rsidR="008B6451" w:rsidP="008B6451" w:rsidRDefault="008B6451" w14:paraId="281266E2" w14:textId="0F32DE67">
            <w:pPr>
              <w:spacing w:before="60" w:after="60"/>
              <w:jc w:val="right"/>
              <w:rPr>
                <w:color w:val="000000"/>
              </w:rPr>
            </w:pPr>
            <w:r w:rsidRPr="00F81BB9">
              <w:t xml:space="preserve">$8,395.00 </w:t>
            </w:r>
          </w:p>
        </w:tc>
      </w:tr>
      <w:tr w:rsidRPr="007F620E" w:rsidR="008B6451" w:rsidTr="006E05EE" w14:paraId="62E8A168" w14:textId="77777777">
        <w:trPr>
          <w:jc w:val="center"/>
        </w:trPr>
        <w:tc>
          <w:tcPr>
            <w:tcW w:w="1489" w:type="dxa"/>
            <w:shd w:val="clear" w:color="auto" w:fill="auto"/>
          </w:tcPr>
          <w:p w:rsidRPr="007F620E" w:rsidR="008B6451" w:rsidP="008B6451" w:rsidRDefault="008B6451" w14:paraId="33EA8B38" w14:textId="37F203A6">
            <w:pPr>
              <w:spacing w:before="60" w:after="60"/>
              <w:rPr>
                <w:color w:val="000000"/>
              </w:rPr>
            </w:pPr>
            <w:r w:rsidRPr="00615F17">
              <w:rPr>
                <w:color w:val="000000"/>
              </w:rPr>
              <w:t>Jennifer Weberski</w:t>
            </w:r>
          </w:p>
        </w:tc>
        <w:tc>
          <w:tcPr>
            <w:tcW w:w="821" w:type="dxa"/>
            <w:shd w:val="clear" w:color="auto" w:fill="auto"/>
          </w:tcPr>
          <w:p w:rsidRPr="007F620E" w:rsidR="008B6451" w:rsidP="008B6451" w:rsidRDefault="008B6451" w14:paraId="47EBBC49" w14:textId="5A82C5AE">
            <w:pPr>
              <w:spacing w:before="60" w:after="60"/>
              <w:jc w:val="center"/>
              <w:rPr>
                <w:color w:val="000000"/>
              </w:rPr>
            </w:pPr>
            <w:r w:rsidRPr="00615F17">
              <w:rPr>
                <w:color w:val="000000"/>
              </w:rPr>
              <w:t>202</w:t>
            </w:r>
            <w:r>
              <w:rPr>
                <w:color w:val="000000"/>
              </w:rPr>
              <w:t>0</w:t>
            </w:r>
          </w:p>
        </w:tc>
        <w:tc>
          <w:tcPr>
            <w:tcW w:w="884" w:type="dxa"/>
            <w:gridSpan w:val="2"/>
            <w:shd w:val="clear" w:color="auto" w:fill="auto"/>
          </w:tcPr>
          <w:p w:rsidRPr="007F620E" w:rsidR="008B6451" w:rsidP="008B6451" w:rsidRDefault="008B6451" w14:paraId="39A3074C" w14:textId="0CC1DD2E">
            <w:pPr>
              <w:spacing w:before="60" w:after="60"/>
              <w:jc w:val="center"/>
              <w:rPr>
                <w:color w:val="000000"/>
              </w:rPr>
            </w:pPr>
            <w:r>
              <w:rPr>
                <w:color w:val="000000"/>
              </w:rPr>
              <w:t>81.1</w:t>
            </w:r>
          </w:p>
        </w:tc>
        <w:tc>
          <w:tcPr>
            <w:tcW w:w="930" w:type="dxa"/>
            <w:shd w:val="clear" w:color="auto" w:fill="auto"/>
          </w:tcPr>
          <w:p w:rsidRPr="007F620E" w:rsidR="008B6451" w:rsidP="008B6451" w:rsidRDefault="008B6451" w14:paraId="3E5BD317" w14:textId="5678CAA7">
            <w:pPr>
              <w:spacing w:before="60" w:after="60"/>
              <w:jc w:val="right"/>
              <w:rPr>
                <w:color w:val="000000"/>
              </w:rPr>
            </w:pPr>
            <w:r>
              <w:rPr>
                <w:color w:val="000000"/>
              </w:rPr>
              <w:t>$470</w:t>
            </w:r>
          </w:p>
        </w:tc>
        <w:tc>
          <w:tcPr>
            <w:tcW w:w="1721" w:type="dxa"/>
            <w:gridSpan w:val="2"/>
            <w:tcBorders>
              <w:right w:val="single" w:color="auto" w:sz="4" w:space="0"/>
            </w:tcBorders>
            <w:shd w:val="clear" w:color="auto" w:fill="auto"/>
          </w:tcPr>
          <w:p w:rsidRPr="007F620E" w:rsidR="008B6451" w:rsidP="008B6451" w:rsidRDefault="008B6451" w14:paraId="63BDE315" w14:textId="73034A4C">
            <w:pPr>
              <w:spacing w:before="60" w:after="60"/>
              <w:rPr>
                <w:color w:val="000000"/>
              </w:rPr>
            </w:pPr>
            <w:r w:rsidRPr="0075766A">
              <w:rPr>
                <w:rFonts w:asciiTheme="majorBidi" w:hAnsiTheme="majorBidi" w:cstheme="majorBidi"/>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06BD92A5" w14:textId="5097D247">
            <w:pPr>
              <w:spacing w:before="60" w:after="60"/>
              <w:jc w:val="right"/>
              <w:rPr>
                <w:color w:val="000000"/>
              </w:rPr>
            </w:pPr>
            <w:r>
              <w:rPr>
                <w:color w:val="000000"/>
              </w:rPr>
              <w:t>$38,117</w:t>
            </w:r>
          </w:p>
        </w:tc>
        <w:tc>
          <w:tcPr>
            <w:tcW w:w="955" w:type="dxa"/>
            <w:gridSpan w:val="2"/>
            <w:tcBorders>
              <w:left w:val="single" w:color="auto" w:sz="4" w:space="0"/>
            </w:tcBorders>
            <w:shd w:val="clear" w:color="auto" w:fill="auto"/>
          </w:tcPr>
          <w:p w:rsidR="008B6451" w:rsidP="008B6451" w:rsidRDefault="008B6451" w14:paraId="067FB748" w14:textId="77777777">
            <w:pPr>
              <w:spacing w:before="60" w:after="60"/>
              <w:jc w:val="center"/>
              <w:rPr>
                <w:color w:val="000000"/>
              </w:rPr>
            </w:pPr>
            <w:r>
              <w:rPr>
                <w:color w:val="000000"/>
              </w:rPr>
              <w:t>74.06</w:t>
            </w:r>
          </w:p>
          <w:p w:rsidRPr="007F620E" w:rsidR="008B6451" w:rsidP="008B6451" w:rsidRDefault="008B6451" w14:paraId="31AF7AA4" w14:textId="6C1468A0">
            <w:pPr>
              <w:spacing w:before="60" w:after="60"/>
              <w:jc w:val="center"/>
              <w:rPr>
                <w:color w:val="000000"/>
              </w:rPr>
            </w:pPr>
            <w:r>
              <w:rPr>
                <w:color w:val="000000"/>
              </w:rPr>
              <w:t>[3]</w:t>
            </w:r>
          </w:p>
        </w:tc>
        <w:tc>
          <w:tcPr>
            <w:tcW w:w="1146" w:type="dxa"/>
            <w:shd w:val="clear" w:color="auto" w:fill="auto"/>
          </w:tcPr>
          <w:p w:rsidRPr="007F620E" w:rsidR="008B6451" w:rsidP="008B6451" w:rsidRDefault="008B6451" w14:paraId="3400AFFC" w14:textId="691A0A0A">
            <w:pPr>
              <w:spacing w:before="60" w:after="60"/>
              <w:jc w:val="right"/>
              <w:rPr>
                <w:color w:val="000000"/>
              </w:rPr>
            </w:pPr>
            <w:r>
              <w:rPr>
                <w:color w:val="000000"/>
              </w:rPr>
              <w:t>$470.00</w:t>
            </w:r>
          </w:p>
        </w:tc>
        <w:tc>
          <w:tcPr>
            <w:tcW w:w="1881" w:type="dxa"/>
            <w:shd w:val="clear" w:color="auto" w:fill="auto"/>
          </w:tcPr>
          <w:p w:rsidRPr="007F620E" w:rsidR="008B6451" w:rsidP="008B6451" w:rsidRDefault="008B6451" w14:paraId="196C1830" w14:textId="2D8ABDBB">
            <w:pPr>
              <w:spacing w:before="60" w:after="60"/>
              <w:jc w:val="right"/>
              <w:rPr>
                <w:color w:val="000000"/>
              </w:rPr>
            </w:pPr>
            <w:r w:rsidRPr="00F81BB9">
              <w:t xml:space="preserve">$34,808.20 </w:t>
            </w:r>
          </w:p>
        </w:tc>
      </w:tr>
      <w:tr w:rsidRPr="007F620E" w:rsidR="008B6451" w:rsidTr="006E05EE" w14:paraId="49DB5E08" w14:textId="77777777">
        <w:trPr>
          <w:jc w:val="center"/>
        </w:trPr>
        <w:tc>
          <w:tcPr>
            <w:tcW w:w="1489" w:type="dxa"/>
            <w:shd w:val="clear" w:color="auto" w:fill="auto"/>
          </w:tcPr>
          <w:p w:rsidRPr="00615F17" w:rsidR="008B6451" w:rsidP="008B6451" w:rsidRDefault="008B6451" w14:paraId="5157A1BD" w14:textId="30B318C3">
            <w:pPr>
              <w:spacing w:before="60" w:after="60"/>
              <w:rPr>
                <w:color w:val="000000"/>
              </w:rPr>
            </w:pPr>
            <w:r>
              <w:rPr>
                <w:color w:val="000000"/>
              </w:rPr>
              <w:t>Jennifer Weberski</w:t>
            </w:r>
          </w:p>
        </w:tc>
        <w:tc>
          <w:tcPr>
            <w:tcW w:w="821" w:type="dxa"/>
            <w:shd w:val="clear" w:color="auto" w:fill="auto"/>
          </w:tcPr>
          <w:p w:rsidRPr="00615F17" w:rsidR="008B6451" w:rsidP="008B6451" w:rsidRDefault="008B6451" w14:paraId="29E4BF3B" w14:textId="0354F057">
            <w:pPr>
              <w:spacing w:before="60" w:after="60"/>
              <w:jc w:val="center"/>
              <w:rPr>
                <w:color w:val="000000"/>
              </w:rPr>
            </w:pPr>
            <w:r>
              <w:rPr>
                <w:color w:val="000000"/>
              </w:rPr>
              <w:t>2021</w:t>
            </w:r>
          </w:p>
        </w:tc>
        <w:tc>
          <w:tcPr>
            <w:tcW w:w="884" w:type="dxa"/>
            <w:gridSpan w:val="2"/>
            <w:shd w:val="clear" w:color="auto" w:fill="auto"/>
          </w:tcPr>
          <w:p w:rsidRPr="007F620E" w:rsidR="008B6451" w:rsidP="008B6451" w:rsidRDefault="008B6451" w14:paraId="4788FFAB" w14:textId="32AB8C92">
            <w:pPr>
              <w:spacing w:before="60" w:after="60"/>
              <w:jc w:val="center"/>
              <w:rPr>
                <w:color w:val="000000"/>
              </w:rPr>
            </w:pPr>
            <w:r>
              <w:rPr>
                <w:color w:val="000000"/>
              </w:rPr>
              <w:t>137.75</w:t>
            </w:r>
          </w:p>
        </w:tc>
        <w:tc>
          <w:tcPr>
            <w:tcW w:w="930" w:type="dxa"/>
            <w:shd w:val="clear" w:color="auto" w:fill="auto"/>
          </w:tcPr>
          <w:p w:rsidR="008B6451" w:rsidP="008B6451" w:rsidRDefault="008B6451" w14:paraId="6DC516AA" w14:textId="087FC776">
            <w:pPr>
              <w:spacing w:before="60" w:after="60"/>
              <w:jc w:val="right"/>
              <w:rPr>
                <w:color w:val="000000"/>
              </w:rPr>
            </w:pPr>
            <w:r>
              <w:rPr>
                <w:color w:val="000000"/>
              </w:rPr>
              <w:t>$625</w:t>
            </w:r>
          </w:p>
        </w:tc>
        <w:tc>
          <w:tcPr>
            <w:tcW w:w="1721" w:type="dxa"/>
            <w:gridSpan w:val="2"/>
            <w:tcBorders>
              <w:right w:val="single" w:color="auto" w:sz="4" w:space="0"/>
            </w:tcBorders>
            <w:shd w:val="clear" w:color="auto" w:fill="auto"/>
          </w:tcPr>
          <w:p w:rsidRPr="0075766A" w:rsidR="008B6451" w:rsidP="008B6451" w:rsidRDefault="008B6451" w14:paraId="3D0365E7" w14:textId="04E53D99">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4669295B" w14:textId="5E8C0AE9">
            <w:pPr>
              <w:spacing w:before="60" w:after="60"/>
              <w:jc w:val="right"/>
              <w:rPr>
                <w:color w:val="000000"/>
              </w:rPr>
            </w:pPr>
            <w:r>
              <w:rPr>
                <w:color w:val="000000"/>
              </w:rPr>
              <w:t>$86,093.75</w:t>
            </w:r>
          </w:p>
        </w:tc>
        <w:tc>
          <w:tcPr>
            <w:tcW w:w="955" w:type="dxa"/>
            <w:gridSpan w:val="2"/>
            <w:tcBorders>
              <w:left w:val="single" w:color="auto" w:sz="4" w:space="0"/>
            </w:tcBorders>
            <w:shd w:val="clear" w:color="auto" w:fill="auto"/>
          </w:tcPr>
          <w:p w:rsidR="008B6451" w:rsidP="008B6451" w:rsidRDefault="008B6451" w14:paraId="37B65E91" w14:textId="77777777">
            <w:pPr>
              <w:spacing w:before="60" w:after="60"/>
              <w:jc w:val="center"/>
              <w:rPr>
                <w:color w:val="000000"/>
              </w:rPr>
            </w:pPr>
            <w:r>
              <w:rPr>
                <w:color w:val="000000"/>
              </w:rPr>
              <w:t>135.55</w:t>
            </w:r>
          </w:p>
          <w:p w:rsidRPr="007F620E" w:rsidR="008B6451" w:rsidP="008B6451" w:rsidRDefault="008B6451" w14:paraId="4B646B1D" w14:textId="2608407F">
            <w:pPr>
              <w:spacing w:before="60" w:after="60"/>
              <w:jc w:val="center"/>
              <w:rPr>
                <w:color w:val="000000"/>
              </w:rPr>
            </w:pPr>
            <w:r>
              <w:rPr>
                <w:color w:val="000000"/>
              </w:rPr>
              <w:t>[3]</w:t>
            </w:r>
          </w:p>
        </w:tc>
        <w:tc>
          <w:tcPr>
            <w:tcW w:w="1146" w:type="dxa"/>
            <w:shd w:val="clear" w:color="auto" w:fill="auto"/>
          </w:tcPr>
          <w:p w:rsidRPr="007F620E" w:rsidR="008B6451" w:rsidP="008B6451" w:rsidRDefault="008B6451" w14:paraId="666E1651" w14:textId="4F45191B">
            <w:pPr>
              <w:spacing w:before="60" w:after="60"/>
              <w:jc w:val="right"/>
              <w:rPr>
                <w:color w:val="000000"/>
              </w:rPr>
            </w:pPr>
            <w:r>
              <w:rPr>
                <w:color w:val="000000"/>
              </w:rPr>
              <w:t>$625.00</w:t>
            </w:r>
          </w:p>
        </w:tc>
        <w:tc>
          <w:tcPr>
            <w:tcW w:w="1881" w:type="dxa"/>
            <w:shd w:val="clear" w:color="auto" w:fill="auto"/>
          </w:tcPr>
          <w:p w:rsidRPr="007F620E" w:rsidR="008B6451" w:rsidP="008B6451" w:rsidRDefault="008B6451" w14:paraId="285B1903" w14:textId="3E9D7E22">
            <w:pPr>
              <w:spacing w:before="60" w:after="60"/>
              <w:jc w:val="right"/>
              <w:rPr>
                <w:color w:val="000000"/>
              </w:rPr>
            </w:pPr>
            <w:r w:rsidRPr="00F81BB9">
              <w:t xml:space="preserve">$84,718.75 </w:t>
            </w:r>
          </w:p>
        </w:tc>
      </w:tr>
      <w:tr w:rsidRPr="007F620E" w:rsidR="008B6451" w:rsidTr="006E05EE" w14:paraId="5BF6A154" w14:textId="77777777">
        <w:trPr>
          <w:jc w:val="center"/>
        </w:trPr>
        <w:tc>
          <w:tcPr>
            <w:tcW w:w="1489" w:type="dxa"/>
            <w:shd w:val="clear" w:color="auto" w:fill="auto"/>
          </w:tcPr>
          <w:p w:rsidRPr="007F620E" w:rsidR="008B6451" w:rsidP="008B6451" w:rsidRDefault="008B6451" w14:paraId="118506EC" w14:textId="0116C3BA">
            <w:pPr>
              <w:spacing w:before="60" w:after="60"/>
              <w:rPr>
                <w:color w:val="000000"/>
              </w:rPr>
            </w:pPr>
            <w:r>
              <w:rPr>
                <w:color w:val="000000"/>
              </w:rPr>
              <w:t>Jennifer Weberski</w:t>
            </w:r>
          </w:p>
        </w:tc>
        <w:tc>
          <w:tcPr>
            <w:tcW w:w="821" w:type="dxa"/>
            <w:shd w:val="clear" w:color="auto" w:fill="auto"/>
          </w:tcPr>
          <w:p w:rsidRPr="007F620E" w:rsidR="008B6451" w:rsidP="008B6451" w:rsidRDefault="008B6451" w14:paraId="3767540B" w14:textId="615F6CF7">
            <w:pPr>
              <w:spacing w:before="60" w:after="60"/>
              <w:jc w:val="center"/>
              <w:rPr>
                <w:color w:val="000000"/>
              </w:rPr>
            </w:pPr>
            <w:r>
              <w:rPr>
                <w:color w:val="000000"/>
              </w:rPr>
              <w:t>2022</w:t>
            </w:r>
          </w:p>
        </w:tc>
        <w:tc>
          <w:tcPr>
            <w:tcW w:w="884" w:type="dxa"/>
            <w:gridSpan w:val="2"/>
            <w:shd w:val="clear" w:color="auto" w:fill="auto"/>
          </w:tcPr>
          <w:p w:rsidRPr="007F620E" w:rsidR="008B6451" w:rsidP="008B6451" w:rsidRDefault="008B6451" w14:paraId="120FE857" w14:textId="529723CB">
            <w:pPr>
              <w:spacing w:before="60" w:after="60"/>
              <w:jc w:val="center"/>
              <w:rPr>
                <w:color w:val="000000"/>
              </w:rPr>
            </w:pPr>
            <w:r>
              <w:rPr>
                <w:color w:val="000000"/>
              </w:rPr>
              <w:t>13</w:t>
            </w:r>
          </w:p>
        </w:tc>
        <w:tc>
          <w:tcPr>
            <w:tcW w:w="930" w:type="dxa"/>
            <w:shd w:val="clear" w:color="auto" w:fill="auto"/>
          </w:tcPr>
          <w:p w:rsidRPr="007F620E" w:rsidR="008B6451" w:rsidP="008B6451" w:rsidRDefault="008B6451" w14:paraId="075109E1" w14:textId="62B7D97E">
            <w:pPr>
              <w:spacing w:before="60" w:after="60"/>
              <w:jc w:val="right"/>
              <w:rPr>
                <w:color w:val="000000"/>
              </w:rPr>
            </w:pPr>
            <w:r>
              <w:rPr>
                <w:color w:val="000000"/>
              </w:rPr>
              <w:t>$655</w:t>
            </w:r>
          </w:p>
        </w:tc>
        <w:tc>
          <w:tcPr>
            <w:tcW w:w="1721" w:type="dxa"/>
            <w:gridSpan w:val="2"/>
            <w:tcBorders>
              <w:right w:val="single" w:color="auto" w:sz="4" w:space="0"/>
            </w:tcBorders>
            <w:shd w:val="clear" w:color="auto" w:fill="auto"/>
          </w:tcPr>
          <w:p w:rsidRPr="007F620E" w:rsidR="008B6451" w:rsidP="008B6451" w:rsidRDefault="008B6451" w14:paraId="4AF4C006" w14:textId="4FC7FD57">
            <w:pPr>
              <w:spacing w:before="60" w:after="60"/>
              <w:rPr>
                <w:color w:val="000000"/>
              </w:rPr>
            </w:pPr>
            <w:r w:rsidRPr="0075766A">
              <w:rPr>
                <w:rFonts w:asciiTheme="majorBidi" w:hAnsiTheme="majorBidi" w:cstheme="majorBidi"/>
                <w:bCs/>
                <w:color w:val="000000"/>
                <w:sz w:val="22"/>
                <w:szCs w:val="22"/>
              </w:rPr>
              <w:t>D.22-01-012</w:t>
            </w:r>
            <w:r>
              <w:rPr>
                <w:rFonts w:asciiTheme="majorBidi" w:hAnsiTheme="majorBidi" w:cstheme="majorBidi"/>
                <w:bCs/>
                <w:color w:val="000000"/>
                <w:sz w:val="22"/>
                <w:szCs w:val="22"/>
              </w:rPr>
              <w:t>,</w:t>
            </w:r>
            <w:r>
              <w:rPr>
                <w:color w:val="000000"/>
              </w:rPr>
              <w:t xml:space="preserve"> </w:t>
            </w:r>
            <w:r>
              <w:rPr>
                <w:sz w:val="22"/>
                <w:szCs w:val="22"/>
              </w:rPr>
              <w:t xml:space="preserve">plus </w:t>
            </w:r>
            <w:r w:rsidRPr="0075766A">
              <w:rPr>
                <w:color w:val="000000"/>
                <w:sz w:val="22"/>
                <w:szCs w:val="22"/>
              </w:rPr>
              <w:t>a 5% step increase per Res. ALJ-3</w:t>
            </w:r>
            <w:r>
              <w:rPr>
                <w:color w:val="000000"/>
                <w:sz w:val="22"/>
                <w:szCs w:val="22"/>
              </w:rPr>
              <w:t>93</w:t>
            </w:r>
            <w:r>
              <w:rPr>
                <w:rFonts w:asciiTheme="majorBidi" w:hAnsiTheme="majorBidi" w:cstheme="majorBidi"/>
                <w:bCs/>
                <w:color w:val="000000"/>
                <w:sz w:val="22"/>
                <w:szCs w:val="22"/>
              </w:rPr>
              <w:t xml:space="preserve">; </w:t>
            </w:r>
            <w:r w:rsidRPr="0075766A">
              <w:rPr>
                <w:rFonts w:asciiTheme="majorBidi" w:hAnsiTheme="majorBidi" w:cstheme="majorBidi"/>
                <w:bCs/>
                <w:i/>
                <w:iCs/>
                <w:color w:val="000000"/>
                <w:sz w:val="22"/>
                <w:szCs w:val="22"/>
              </w:rPr>
              <w:t>see</w:t>
            </w:r>
            <w:r w:rsidRPr="0075766A">
              <w:rPr>
                <w:rFonts w:asciiTheme="majorBidi" w:hAnsiTheme="majorBidi" w:cstheme="majorBidi"/>
                <w:bCs/>
                <w:color w:val="000000"/>
                <w:sz w:val="22"/>
                <w:szCs w:val="22"/>
              </w:rPr>
              <w:t xml:space="preserve"> Comment </w:t>
            </w:r>
            <w:r>
              <w:rPr>
                <w:rFonts w:asciiTheme="majorBidi" w:hAnsiTheme="majorBidi" w:cstheme="majorBidi"/>
                <w:bCs/>
                <w:color w:val="000000"/>
                <w:sz w:val="22"/>
                <w:szCs w:val="22"/>
              </w:rPr>
              <w:t>1</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2A77845E" w14:textId="09AB8D8F">
            <w:pPr>
              <w:spacing w:before="60" w:after="60"/>
              <w:jc w:val="right"/>
              <w:rPr>
                <w:color w:val="000000"/>
              </w:rPr>
            </w:pPr>
            <w:r>
              <w:rPr>
                <w:color w:val="000000"/>
              </w:rPr>
              <w:t>$8,515</w:t>
            </w:r>
          </w:p>
        </w:tc>
        <w:tc>
          <w:tcPr>
            <w:tcW w:w="955" w:type="dxa"/>
            <w:gridSpan w:val="2"/>
            <w:tcBorders>
              <w:left w:val="single" w:color="auto" w:sz="4" w:space="0"/>
            </w:tcBorders>
            <w:shd w:val="clear" w:color="auto" w:fill="auto"/>
          </w:tcPr>
          <w:p w:rsidRPr="007F620E" w:rsidR="008B6451" w:rsidP="008B6451" w:rsidRDefault="008B6451" w14:paraId="461DC9FD" w14:textId="64D04686">
            <w:pPr>
              <w:spacing w:before="60" w:after="60"/>
              <w:jc w:val="center"/>
              <w:rPr>
                <w:color w:val="000000"/>
              </w:rPr>
            </w:pPr>
            <w:r>
              <w:rPr>
                <w:color w:val="000000"/>
              </w:rPr>
              <w:t>13</w:t>
            </w:r>
          </w:p>
        </w:tc>
        <w:tc>
          <w:tcPr>
            <w:tcW w:w="1146" w:type="dxa"/>
            <w:shd w:val="clear" w:color="auto" w:fill="auto"/>
          </w:tcPr>
          <w:p w:rsidRPr="007F620E" w:rsidR="008B6451" w:rsidP="008B6451" w:rsidRDefault="008B6451" w14:paraId="7FDABF74" w14:textId="0571E6BC">
            <w:pPr>
              <w:spacing w:before="60" w:after="60"/>
              <w:jc w:val="right"/>
              <w:rPr>
                <w:color w:val="000000"/>
              </w:rPr>
            </w:pPr>
            <w:r>
              <w:rPr>
                <w:color w:val="000000"/>
              </w:rPr>
              <w:t>$675.00 [5]</w:t>
            </w:r>
          </w:p>
        </w:tc>
        <w:tc>
          <w:tcPr>
            <w:tcW w:w="1881" w:type="dxa"/>
            <w:shd w:val="clear" w:color="auto" w:fill="auto"/>
          </w:tcPr>
          <w:p w:rsidRPr="007F620E" w:rsidR="008B6451" w:rsidP="008B6451" w:rsidRDefault="008B6451" w14:paraId="05EFCF76" w14:textId="3AFCB7F7">
            <w:pPr>
              <w:spacing w:before="60" w:after="60"/>
              <w:jc w:val="right"/>
              <w:rPr>
                <w:color w:val="000000"/>
              </w:rPr>
            </w:pPr>
            <w:r w:rsidRPr="00F81BB9">
              <w:t xml:space="preserve">$8,775.00 </w:t>
            </w:r>
          </w:p>
        </w:tc>
      </w:tr>
      <w:tr w:rsidRPr="007F620E" w:rsidR="008B6451" w:rsidTr="006E05EE" w14:paraId="4B4196D4" w14:textId="77777777">
        <w:trPr>
          <w:jc w:val="center"/>
        </w:trPr>
        <w:tc>
          <w:tcPr>
            <w:tcW w:w="1489" w:type="dxa"/>
            <w:shd w:val="clear" w:color="auto" w:fill="auto"/>
          </w:tcPr>
          <w:p w:rsidR="008B6451" w:rsidP="008B6451" w:rsidRDefault="008B6451" w14:paraId="154F7136" w14:textId="61701C06">
            <w:pPr>
              <w:spacing w:before="60" w:after="60"/>
              <w:rPr>
                <w:color w:val="000000"/>
              </w:rPr>
            </w:pPr>
            <w:r>
              <w:rPr>
                <w:color w:val="000000"/>
              </w:rPr>
              <w:t>Paul Chernick</w:t>
            </w:r>
          </w:p>
        </w:tc>
        <w:tc>
          <w:tcPr>
            <w:tcW w:w="821" w:type="dxa"/>
            <w:shd w:val="clear" w:color="auto" w:fill="auto"/>
          </w:tcPr>
          <w:p w:rsidR="008B6451" w:rsidP="008B6451" w:rsidRDefault="008B6451" w14:paraId="23B6F2FF" w14:textId="43348709">
            <w:pPr>
              <w:spacing w:before="60" w:after="60"/>
              <w:jc w:val="center"/>
              <w:rPr>
                <w:color w:val="000000"/>
              </w:rPr>
            </w:pPr>
            <w:r>
              <w:rPr>
                <w:color w:val="000000"/>
              </w:rPr>
              <w:t>2019</w:t>
            </w:r>
          </w:p>
        </w:tc>
        <w:tc>
          <w:tcPr>
            <w:tcW w:w="884" w:type="dxa"/>
            <w:gridSpan w:val="2"/>
            <w:shd w:val="clear" w:color="auto" w:fill="auto"/>
          </w:tcPr>
          <w:p w:rsidR="008B6451" w:rsidP="008B6451" w:rsidRDefault="008B6451" w14:paraId="3C94D3F7" w14:textId="12C7B377">
            <w:pPr>
              <w:spacing w:before="60" w:after="60"/>
              <w:jc w:val="center"/>
              <w:rPr>
                <w:color w:val="000000"/>
              </w:rPr>
            </w:pPr>
            <w:r>
              <w:rPr>
                <w:color w:val="000000"/>
              </w:rPr>
              <w:t>3</w:t>
            </w:r>
          </w:p>
        </w:tc>
        <w:tc>
          <w:tcPr>
            <w:tcW w:w="930" w:type="dxa"/>
            <w:shd w:val="clear" w:color="auto" w:fill="auto"/>
          </w:tcPr>
          <w:p w:rsidR="008B6451" w:rsidP="008B6451" w:rsidRDefault="008B6451" w14:paraId="34946E77" w14:textId="33640534">
            <w:pPr>
              <w:spacing w:before="60" w:after="60"/>
              <w:jc w:val="right"/>
              <w:rPr>
                <w:color w:val="000000"/>
              </w:rPr>
            </w:pPr>
            <w:r>
              <w:rPr>
                <w:color w:val="000000"/>
              </w:rPr>
              <w:t>$400</w:t>
            </w:r>
          </w:p>
        </w:tc>
        <w:tc>
          <w:tcPr>
            <w:tcW w:w="1721" w:type="dxa"/>
            <w:gridSpan w:val="2"/>
            <w:tcBorders>
              <w:right w:val="single" w:color="auto" w:sz="4" w:space="0"/>
            </w:tcBorders>
            <w:shd w:val="clear" w:color="auto" w:fill="auto"/>
          </w:tcPr>
          <w:p w:rsidRPr="0075766A" w:rsidR="008B6451" w:rsidP="008B6451" w:rsidRDefault="008B6451" w14:paraId="3D5EACDD" w14:textId="087464EA">
            <w:pPr>
              <w:spacing w:before="60" w:after="60"/>
              <w:rPr>
                <w:color w:val="000000"/>
                <w:sz w:val="22"/>
                <w:szCs w:val="22"/>
              </w:rPr>
            </w:pPr>
            <w:r>
              <w:rPr>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8B6451" w:rsidP="008B6451" w:rsidRDefault="008B6451" w14:paraId="741A67C2" w14:textId="3687DAE2">
            <w:pPr>
              <w:spacing w:before="60" w:after="60"/>
              <w:jc w:val="right"/>
              <w:rPr>
                <w:color w:val="000000"/>
              </w:rPr>
            </w:pPr>
            <w:r>
              <w:rPr>
                <w:color w:val="000000"/>
              </w:rPr>
              <w:t>$1,200</w:t>
            </w:r>
          </w:p>
        </w:tc>
        <w:tc>
          <w:tcPr>
            <w:tcW w:w="955" w:type="dxa"/>
            <w:gridSpan w:val="2"/>
            <w:tcBorders>
              <w:left w:val="single" w:color="auto" w:sz="4" w:space="0"/>
            </w:tcBorders>
            <w:shd w:val="clear" w:color="auto" w:fill="auto"/>
          </w:tcPr>
          <w:p w:rsidR="008B6451" w:rsidP="008B6451" w:rsidRDefault="008B6451" w14:paraId="14A8FADB" w14:textId="77777777">
            <w:pPr>
              <w:spacing w:before="60" w:after="60"/>
              <w:jc w:val="center"/>
              <w:rPr>
                <w:color w:val="000000"/>
              </w:rPr>
            </w:pPr>
            <w:r>
              <w:rPr>
                <w:color w:val="000000"/>
              </w:rPr>
              <w:t>2.52</w:t>
            </w:r>
          </w:p>
          <w:p w:rsidRPr="007F620E" w:rsidR="008B6451" w:rsidP="008B6451" w:rsidRDefault="008B6451" w14:paraId="340B76A3" w14:textId="2DF4C045">
            <w:pPr>
              <w:spacing w:before="60" w:after="60"/>
              <w:jc w:val="center"/>
              <w:rPr>
                <w:color w:val="000000"/>
              </w:rPr>
            </w:pPr>
            <w:r>
              <w:rPr>
                <w:color w:val="000000"/>
              </w:rPr>
              <w:t>[2], [3]</w:t>
            </w:r>
          </w:p>
        </w:tc>
        <w:tc>
          <w:tcPr>
            <w:tcW w:w="1146" w:type="dxa"/>
            <w:shd w:val="clear" w:color="auto" w:fill="auto"/>
          </w:tcPr>
          <w:p w:rsidRPr="007F620E" w:rsidR="008B6451" w:rsidP="008B6451" w:rsidRDefault="008B6451" w14:paraId="36D31A1D" w14:textId="6934983D">
            <w:pPr>
              <w:spacing w:before="60" w:after="60"/>
              <w:jc w:val="right"/>
              <w:rPr>
                <w:color w:val="000000"/>
              </w:rPr>
            </w:pPr>
            <w:r>
              <w:rPr>
                <w:color w:val="000000"/>
              </w:rPr>
              <w:t>$400.00</w:t>
            </w:r>
          </w:p>
        </w:tc>
        <w:tc>
          <w:tcPr>
            <w:tcW w:w="1881" w:type="dxa"/>
            <w:shd w:val="clear" w:color="auto" w:fill="auto"/>
          </w:tcPr>
          <w:p w:rsidRPr="007F620E" w:rsidR="008B6451" w:rsidP="008B6451" w:rsidRDefault="008B6451" w14:paraId="5B9DAEA3" w14:textId="0C2A61DD">
            <w:pPr>
              <w:spacing w:before="60" w:after="60"/>
              <w:jc w:val="right"/>
              <w:rPr>
                <w:color w:val="000000"/>
              </w:rPr>
            </w:pPr>
            <w:r w:rsidRPr="00F81BB9">
              <w:t xml:space="preserve">$1,008.00 </w:t>
            </w:r>
          </w:p>
        </w:tc>
      </w:tr>
      <w:tr w:rsidRPr="007F620E" w:rsidR="008B6451" w:rsidTr="006E05EE" w14:paraId="41FCD731" w14:textId="77777777">
        <w:trPr>
          <w:jc w:val="center"/>
        </w:trPr>
        <w:tc>
          <w:tcPr>
            <w:tcW w:w="1489" w:type="dxa"/>
            <w:shd w:val="clear" w:color="auto" w:fill="auto"/>
          </w:tcPr>
          <w:p w:rsidR="008B6451" w:rsidP="008B6451" w:rsidRDefault="008B6451" w14:paraId="3CA435D5" w14:textId="1F412087">
            <w:pPr>
              <w:spacing w:before="60" w:after="60"/>
              <w:rPr>
                <w:color w:val="000000"/>
              </w:rPr>
            </w:pPr>
            <w:r>
              <w:rPr>
                <w:color w:val="000000"/>
              </w:rPr>
              <w:t>Paul Chernick</w:t>
            </w:r>
          </w:p>
        </w:tc>
        <w:tc>
          <w:tcPr>
            <w:tcW w:w="821" w:type="dxa"/>
            <w:shd w:val="clear" w:color="auto" w:fill="auto"/>
          </w:tcPr>
          <w:p w:rsidR="008B6451" w:rsidP="008B6451" w:rsidRDefault="008B6451" w14:paraId="02B20CAA" w14:textId="2089AFCA">
            <w:pPr>
              <w:spacing w:before="60" w:after="60"/>
              <w:jc w:val="center"/>
              <w:rPr>
                <w:color w:val="000000"/>
              </w:rPr>
            </w:pPr>
            <w:r>
              <w:rPr>
                <w:color w:val="000000"/>
              </w:rPr>
              <w:t>2020</w:t>
            </w:r>
          </w:p>
        </w:tc>
        <w:tc>
          <w:tcPr>
            <w:tcW w:w="884" w:type="dxa"/>
            <w:gridSpan w:val="2"/>
            <w:shd w:val="clear" w:color="auto" w:fill="auto"/>
          </w:tcPr>
          <w:p w:rsidR="008B6451" w:rsidP="008B6451" w:rsidRDefault="008B6451" w14:paraId="039C98E6" w14:textId="6C722AA6">
            <w:pPr>
              <w:spacing w:before="60" w:after="60"/>
              <w:jc w:val="center"/>
              <w:rPr>
                <w:color w:val="000000"/>
              </w:rPr>
            </w:pPr>
            <w:r>
              <w:rPr>
                <w:color w:val="000000"/>
              </w:rPr>
              <w:t>63.75</w:t>
            </w:r>
          </w:p>
        </w:tc>
        <w:tc>
          <w:tcPr>
            <w:tcW w:w="930" w:type="dxa"/>
            <w:shd w:val="clear" w:color="auto" w:fill="auto"/>
          </w:tcPr>
          <w:p w:rsidR="008B6451" w:rsidP="008B6451" w:rsidRDefault="008B6451" w14:paraId="29A25972" w14:textId="20684BC2">
            <w:pPr>
              <w:spacing w:before="60" w:after="60"/>
              <w:jc w:val="right"/>
              <w:rPr>
                <w:color w:val="000000"/>
              </w:rPr>
            </w:pPr>
            <w:r>
              <w:rPr>
                <w:color w:val="000000"/>
              </w:rPr>
              <w:t>$430</w:t>
            </w:r>
          </w:p>
        </w:tc>
        <w:tc>
          <w:tcPr>
            <w:tcW w:w="1721" w:type="dxa"/>
            <w:gridSpan w:val="2"/>
            <w:tcBorders>
              <w:right w:val="single" w:color="auto" w:sz="4" w:space="0"/>
            </w:tcBorders>
            <w:shd w:val="clear" w:color="auto" w:fill="auto"/>
          </w:tcPr>
          <w:p w:rsidR="008B6451" w:rsidP="008B6451" w:rsidRDefault="008B6451" w14:paraId="544E2320" w14:textId="5C2F063A">
            <w:pPr>
              <w:spacing w:before="60" w:after="60"/>
              <w:rPr>
                <w:color w:val="000000"/>
                <w:sz w:val="22"/>
                <w:szCs w:val="22"/>
              </w:rPr>
            </w:pPr>
            <w:r w:rsidRPr="0075766A">
              <w:rPr>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8B6451" w:rsidP="008B6451" w:rsidRDefault="008B6451" w14:paraId="54A66079" w14:textId="6FE8DA58">
            <w:pPr>
              <w:spacing w:before="60" w:after="60"/>
              <w:jc w:val="right"/>
              <w:rPr>
                <w:color w:val="000000"/>
              </w:rPr>
            </w:pPr>
            <w:r>
              <w:rPr>
                <w:color w:val="000000"/>
              </w:rPr>
              <w:t>$27,412.50</w:t>
            </w:r>
          </w:p>
        </w:tc>
        <w:tc>
          <w:tcPr>
            <w:tcW w:w="955" w:type="dxa"/>
            <w:gridSpan w:val="2"/>
            <w:tcBorders>
              <w:left w:val="single" w:color="auto" w:sz="4" w:space="0"/>
            </w:tcBorders>
            <w:shd w:val="clear" w:color="auto" w:fill="auto"/>
          </w:tcPr>
          <w:p w:rsidR="008B6451" w:rsidP="008B6451" w:rsidRDefault="008B6451" w14:paraId="443F4038" w14:textId="5F0DD91E">
            <w:pPr>
              <w:spacing w:before="60" w:after="60"/>
              <w:jc w:val="center"/>
              <w:rPr>
                <w:color w:val="000000"/>
              </w:rPr>
            </w:pPr>
            <w:r>
              <w:rPr>
                <w:color w:val="000000"/>
              </w:rPr>
              <w:t>54.59</w:t>
            </w:r>
          </w:p>
          <w:p w:rsidRPr="007F620E" w:rsidR="008B6451" w:rsidP="008B6451" w:rsidRDefault="008B6451" w14:paraId="0DCFDC06" w14:textId="67306ACB">
            <w:pPr>
              <w:spacing w:before="60" w:after="60"/>
              <w:jc w:val="center"/>
              <w:rPr>
                <w:color w:val="000000"/>
              </w:rPr>
            </w:pPr>
            <w:r>
              <w:rPr>
                <w:color w:val="000000"/>
              </w:rPr>
              <w:t>[2], [3]</w:t>
            </w:r>
          </w:p>
        </w:tc>
        <w:tc>
          <w:tcPr>
            <w:tcW w:w="1146" w:type="dxa"/>
            <w:shd w:val="clear" w:color="auto" w:fill="auto"/>
          </w:tcPr>
          <w:p w:rsidRPr="007F620E" w:rsidR="008B6451" w:rsidP="008B6451" w:rsidRDefault="008B6451" w14:paraId="7A389264" w14:textId="4FFE1045">
            <w:pPr>
              <w:spacing w:before="60" w:after="60"/>
              <w:jc w:val="right"/>
              <w:rPr>
                <w:color w:val="000000"/>
              </w:rPr>
            </w:pPr>
            <w:r>
              <w:rPr>
                <w:color w:val="000000"/>
              </w:rPr>
              <w:t>$430.00</w:t>
            </w:r>
          </w:p>
        </w:tc>
        <w:tc>
          <w:tcPr>
            <w:tcW w:w="1881" w:type="dxa"/>
            <w:shd w:val="clear" w:color="auto" w:fill="auto"/>
          </w:tcPr>
          <w:p w:rsidRPr="007F620E" w:rsidR="008B6451" w:rsidP="008B6451" w:rsidRDefault="008B6451" w14:paraId="6754F9B7" w14:textId="50F91AAC">
            <w:pPr>
              <w:spacing w:before="60" w:after="60"/>
              <w:jc w:val="right"/>
              <w:rPr>
                <w:color w:val="000000"/>
              </w:rPr>
            </w:pPr>
            <w:r w:rsidRPr="00F81BB9">
              <w:t xml:space="preserve">$23,473.70 </w:t>
            </w:r>
          </w:p>
        </w:tc>
      </w:tr>
      <w:tr w:rsidRPr="007F620E" w:rsidR="008B6451" w:rsidTr="006E05EE" w14:paraId="6328BAC0" w14:textId="77777777">
        <w:trPr>
          <w:jc w:val="center"/>
        </w:trPr>
        <w:tc>
          <w:tcPr>
            <w:tcW w:w="1489" w:type="dxa"/>
            <w:shd w:val="clear" w:color="auto" w:fill="auto"/>
          </w:tcPr>
          <w:p w:rsidR="008B6451" w:rsidP="008B6451" w:rsidRDefault="008B6451" w14:paraId="127B6B9E" w14:textId="36209C98">
            <w:pPr>
              <w:spacing w:before="60" w:after="60"/>
              <w:rPr>
                <w:color w:val="000000"/>
              </w:rPr>
            </w:pPr>
            <w:r>
              <w:rPr>
                <w:color w:val="000000"/>
              </w:rPr>
              <w:t>Paul Chernick</w:t>
            </w:r>
          </w:p>
        </w:tc>
        <w:tc>
          <w:tcPr>
            <w:tcW w:w="821" w:type="dxa"/>
            <w:shd w:val="clear" w:color="auto" w:fill="auto"/>
          </w:tcPr>
          <w:p w:rsidR="008B6451" w:rsidP="008B6451" w:rsidRDefault="008B6451" w14:paraId="23DC59A7" w14:textId="1C2447D1">
            <w:pPr>
              <w:spacing w:before="60" w:after="60"/>
              <w:jc w:val="center"/>
              <w:rPr>
                <w:color w:val="000000"/>
              </w:rPr>
            </w:pPr>
            <w:r>
              <w:rPr>
                <w:color w:val="000000"/>
              </w:rPr>
              <w:t>2021</w:t>
            </w:r>
          </w:p>
        </w:tc>
        <w:tc>
          <w:tcPr>
            <w:tcW w:w="884" w:type="dxa"/>
            <w:gridSpan w:val="2"/>
            <w:shd w:val="clear" w:color="auto" w:fill="auto"/>
          </w:tcPr>
          <w:p w:rsidR="008B6451" w:rsidP="008B6451" w:rsidRDefault="008B6451" w14:paraId="5768198F" w14:textId="1D4E78A3">
            <w:pPr>
              <w:spacing w:before="60" w:after="60"/>
              <w:jc w:val="center"/>
              <w:rPr>
                <w:color w:val="000000"/>
              </w:rPr>
            </w:pPr>
            <w:r>
              <w:rPr>
                <w:color w:val="000000"/>
              </w:rPr>
              <w:t>181.6</w:t>
            </w:r>
          </w:p>
        </w:tc>
        <w:tc>
          <w:tcPr>
            <w:tcW w:w="930" w:type="dxa"/>
            <w:shd w:val="clear" w:color="auto" w:fill="auto"/>
          </w:tcPr>
          <w:p w:rsidR="008B6451" w:rsidP="008B6451" w:rsidRDefault="008B6451" w14:paraId="4FA95E23" w14:textId="5D292C4E">
            <w:pPr>
              <w:spacing w:before="60" w:after="60"/>
              <w:jc w:val="right"/>
              <w:rPr>
                <w:color w:val="000000"/>
              </w:rPr>
            </w:pPr>
            <w:r>
              <w:rPr>
                <w:color w:val="000000"/>
              </w:rPr>
              <w:t>$465</w:t>
            </w:r>
          </w:p>
        </w:tc>
        <w:tc>
          <w:tcPr>
            <w:tcW w:w="1721" w:type="dxa"/>
            <w:gridSpan w:val="2"/>
            <w:tcBorders>
              <w:right w:val="single" w:color="auto" w:sz="4" w:space="0"/>
            </w:tcBorders>
            <w:shd w:val="clear" w:color="auto" w:fill="auto"/>
          </w:tcPr>
          <w:p w:rsidR="008B6451" w:rsidP="008B6451" w:rsidRDefault="008B6451" w14:paraId="2F8D40BA" w14:textId="596494E0">
            <w:pPr>
              <w:spacing w:before="60" w:after="60"/>
              <w:rPr>
                <w:color w:val="000000"/>
                <w:sz w:val="22"/>
                <w:szCs w:val="22"/>
              </w:rPr>
            </w:pPr>
            <w:r>
              <w:rPr>
                <w:color w:val="000000"/>
                <w:sz w:val="22"/>
                <w:szCs w:val="22"/>
              </w:rPr>
              <w:t>D.22-09-024</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8B6451" w:rsidP="008B6451" w:rsidRDefault="008B6451" w14:paraId="58F8FB82" w14:textId="0FF38B88">
            <w:pPr>
              <w:spacing w:before="60" w:after="60"/>
              <w:jc w:val="right"/>
              <w:rPr>
                <w:color w:val="000000"/>
              </w:rPr>
            </w:pPr>
            <w:r>
              <w:rPr>
                <w:color w:val="000000"/>
              </w:rPr>
              <w:t>$84,444</w:t>
            </w:r>
          </w:p>
        </w:tc>
        <w:tc>
          <w:tcPr>
            <w:tcW w:w="955" w:type="dxa"/>
            <w:gridSpan w:val="2"/>
            <w:tcBorders>
              <w:left w:val="single" w:color="auto" w:sz="4" w:space="0"/>
            </w:tcBorders>
            <w:shd w:val="clear" w:color="auto" w:fill="auto"/>
          </w:tcPr>
          <w:p w:rsidR="008B6451" w:rsidP="008B6451" w:rsidRDefault="008B6451" w14:paraId="79704988" w14:textId="77777777">
            <w:pPr>
              <w:spacing w:before="60" w:after="60"/>
              <w:jc w:val="center"/>
              <w:rPr>
                <w:color w:val="000000"/>
              </w:rPr>
            </w:pPr>
            <w:r>
              <w:rPr>
                <w:color w:val="000000"/>
              </w:rPr>
              <w:t>159.48</w:t>
            </w:r>
          </w:p>
          <w:p w:rsidRPr="007F620E" w:rsidR="008B6451" w:rsidP="008B6451" w:rsidRDefault="008B6451" w14:paraId="62D57F32" w14:textId="1B448BE9">
            <w:pPr>
              <w:spacing w:before="60" w:after="60"/>
              <w:jc w:val="center"/>
              <w:rPr>
                <w:color w:val="000000"/>
              </w:rPr>
            </w:pPr>
            <w:r>
              <w:rPr>
                <w:color w:val="000000"/>
              </w:rPr>
              <w:t>[2], [3]</w:t>
            </w:r>
          </w:p>
        </w:tc>
        <w:tc>
          <w:tcPr>
            <w:tcW w:w="1146" w:type="dxa"/>
            <w:shd w:val="clear" w:color="auto" w:fill="auto"/>
          </w:tcPr>
          <w:p w:rsidRPr="007F620E" w:rsidR="008B6451" w:rsidP="008B6451" w:rsidRDefault="008B6451" w14:paraId="337D7A41" w14:textId="1058BDCC">
            <w:pPr>
              <w:spacing w:before="60" w:after="60"/>
              <w:jc w:val="right"/>
              <w:rPr>
                <w:color w:val="000000"/>
              </w:rPr>
            </w:pPr>
            <w:r>
              <w:rPr>
                <w:color w:val="000000"/>
              </w:rPr>
              <w:t>$465.00</w:t>
            </w:r>
          </w:p>
        </w:tc>
        <w:tc>
          <w:tcPr>
            <w:tcW w:w="1881" w:type="dxa"/>
            <w:shd w:val="clear" w:color="auto" w:fill="auto"/>
          </w:tcPr>
          <w:p w:rsidRPr="007F620E" w:rsidR="008B6451" w:rsidP="008B6451" w:rsidRDefault="008B6451" w14:paraId="6FC7E853" w14:textId="7F812BF2">
            <w:pPr>
              <w:spacing w:before="60" w:after="60"/>
              <w:jc w:val="right"/>
              <w:rPr>
                <w:color w:val="000000"/>
              </w:rPr>
            </w:pPr>
            <w:r w:rsidRPr="00F81BB9">
              <w:t xml:space="preserve">$74,158.20 </w:t>
            </w:r>
          </w:p>
        </w:tc>
      </w:tr>
      <w:tr w:rsidRPr="007F620E" w:rsidR="008B6451" w:rsidTr="006E05EE" w14:paraId="4538B77C" w14:textId="77777777">
        <w:trPr>
          <w:jc w:val="center"/>
        </w:trPr>
        <w:tc>
          <w:tcPr>
            <w:tcW w:w="1489" w:type="dxa"/>
            <w:shd w:val="clear" w:color="auto" w:fill="auto"/>
          </w:tcPr>
          <w:p w:rsidR="008B6451" w:rsidP="008B6451" w:rsidRDefault="008B6451" w14:paraId="508E921A" w14:textId="76CA0470">
            <w:pPr>
              <w:spacing w:before="60" w:after="60"/>
              <w:rPr>
                <w:color w:val="000000"/>
              </w:rPr>
            </w:pPr>
            <w:r>
              <w:rPr>
                <w:color w:val="000000"/>
              </w:rPr>
              <w:t>Paul Chernick</w:t>
            </w:r>
          </w:p>
        </w:tc>
        <w:tc>
          <w:tcPr>
            <w:tcW w:w="821" w:type="dxa"/>
            <w:shd w:val="clear" w:color="auto" w:fill="auto"/>
          </w:tcPr>
          <w:p w:rsidR="008B6451" w:rsidP="008B6451" w:rsidRDefault="008B6451" w14:paraId="0887D534" w14:textId="3F1933E6">
            <w:pPr>
              <w:spacing w:before="60" w:after="60"/>
              <w:jc w:val="center"/>
              <w:rPr>
                <w:color w:val="000000"/>
              </w:rPr>
            </w:pPr>
            <w:r>
              <w:rPr>
                <w:color w:val="000000"/>
              </w:rPr>
              <w:t>2022</w:t>
            </w:r>
          </w:p>
        </w:tc>
        <w:tc>
          <w:tcPr>
            <w:tcW w:w="884" w:type="dxa"/>
            <w:gridSpan w:val="2"/>
            <w:shd w:val="clear" w:color="auto" w:fill="auto"/>
          </w:tcPr>
          <w:p w:rsidR="008B6451" w:rsidP="008B6451" w:rsidRDefault="008B6451" w14:paraId="5E0AD2A1" w14:textId="2B94F311">
            <w:pPr>
              <w:spacing w:before="60" w:after="60"/>
              <w:jc w:val="center"/>
              <w:rPr>
                <w:color w:val="000000"/>
              </w:rPr>
            </w:pPr>
            <w:r>
              <w:rPr>
                <w:color w:val="000000"/>
              </w:rPr>
              <w:t>12</w:t>
            </w:r>
          </w:p>
        </w:tc>
        <w:tc>
          <w:tcPr>
            <w:tcW w:w="930" w:type="dxa"/>
            <w:shd w:val="clear" w:color="auto" w:fill="auto"/>
          </w:tcPr>
          <w:p w:rsidR="008B6451" w:rsidP="008B6451" w:rsidRDefault="008B6451" w14:paraId="603F40CE" w14:textId="4344EF99">
            <w:pPr>
              <w:spacing w:before="60" w:after="60"/>
              <w:jc w:val="right"/>
              <w:rPr>
                <w:color w:val="000000"/>
              </w:rPr>
            </w:pPr>
            <w:r>
              <w:rPr>
                <w:color w:val="000000"/>
              </w:rPr>
              <w:t>$520</w:t>
            </w:r>
          </w:p>
        </w:tc>
        <w:tc>
          <w:tcPr>
            <w:tcW w:w="1721" w:type="dxa"/>
            <w:gridSpan w:val="2"/>
            <w:tcBorders>
              <w:right w:val="single" w:color="auto" w:sz="4" w:space="0"/>
            </w:tcBorders>
            <w:shd w:val="clear" w:color="auto" w:fill="auto"/>
          </w:tcPr>
          <w:p w:rsidR="008B6451" w:rsidP="008B6451" w:rsidRDefault="008B6451" w14:paraId="75A60243" w14:textId="5DF321F0">
            <w:pPr>
              <w:spacing w:before="60" w:after="60"/>
              <w:rPr>
                <w:color w:val="000000"/>
                <w:sz w:val="22"/>
                <w:szCs w:val="22"/>
              </w:rPr>
            </w:pPr>
            <w:r>
              <w:rPr>
                <w:color w:val="000000"/>
                <w:sz w:val="22"/>
                <w:szCs w:val="22"/>
              </w:rPr>
              <w:t xml:space="preserve">D.22-09-024, </w:t>
            </w:r>
            <w:r w:rsidRPr="0075766A">
              <w:rPr>
                <w:color w:val="000000"/>
                <w:sz w:val="22"/>
                <w:szCs w:val="22"/>
              </w:rPr>
              <w:t>plus a 5% step increase per Res. ALJ-</w:t>
            </w:r>
            <w:r>
              <w:rPr>
                <w:color w:val="000000"/>
                <w:sz w:val="22"/>
                <w:szCs w:val="22"/>
              </w:rPr>
              <w:t>393</w:t>
            </w:r>
            <w:r w:rsidRPr="0075766A">
              <w:rPr>
                <w:color w:val="000000"/>
                <w:sz w:val="22"/>
                <w:szCs w:val="22"/>
              </w:rPr>
              <w:t xml:space="preserve">; </w:t>
            </w:r>
            <w:r w:rsidRPr="0075766A">
              <w:rPr>
                <w:i/>
                <w:iCs/>
                <w:color w:val="000000"/>
                <w:sz w:val="22"/>
                <w:szCs w:val="22"/>
              </w:rPr>
              <w:t>see</w:t>
            </w:r>
            <w:r w:rsidRPr="0075766A">
              <w:rPr>
                <w:color w:val="000000"/>
                <w:sz w:val="22"/>
                <w:szCs w:val="22"/>
              </w:rPr>
              <w:t xml:space="preserve"> Comment </w:t>
            </w:r>
            <w:r>
              <w:rPr>
                <w:color w:val="000000"/>
                <w:sz w:val="22"/>
                <w:szCs w:val="22"/>
              </w:rPr>
              <w:t>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8B6451" w:rsidP="008B6451" w:rsidRDefault="008B6451" w14:paraId="7CB1C5F6" w14:textId="745378A7">
            <w:pPr>
              <w:spacing w:before="60" w:after="60"/>
              <w:jc w:val="right"/>
              <w:rPr>
                <w:color w:val="000000"/>
              </w:rPr>
            </w:pPr>
            <w:r>
              <w:rPr>
                <w:color w:val="000000"/>
              </w:rPr>
              <w:t>$6,240</w:t>
            </w:r>
          </w:p>
        </w:tc>
        <w:tc>
          <w:tcPr>
            <w:tcW w:w="955" w:type="dxa"/>
            <w:gridSpan w:val="2"/>
            <w:tcBorders>
              <w:left w:val="single" w:color="auto" w:sz="4" w:space="0"/>
            </w:tcBorders>
            <w:shd w:val="clear" w:color="auto" w:fill="auto"/>
          </w:tcPr>
          <w:p w:rsidR="008B6451" w:rsidP="008B6451" w:rsidRDefault="008B6451" w14:paraId="3179EEC3" w14:textId="77777777">
            <w:pPr>
              <w:spacing w:before="60" w:after="60"/>
              <w:jc w:val="center"/>
              <w:rPr>
                <w:color w:val="000000"/>
              </w:rPr>
            </w:pPr>
            <w:r>
              <w:rPr>
                <w:color w:val="000000"/>
              </w:rPr>
              <w:t>10.8</w:t>
            </w:r>
          </w:p>
          <w:p w:rsidRPr="007F620E" w:rsidR="008B6451" w:rsidP="008B6451" w:rsidRDefault="008B6451" w14:paraId="4B0477DC" w14:textId="12327D5F">
            <w:pPr>
              <w:spacing w:before="60" w:after="60"/>
              <w:jc w:val="center"/>
              <w:rPr>
                <w:color w:val="000000"/>
              </w:rPr>
            </w:pPr>
            <w:r>
              <w:rPr>
                <w:color w:val="000000"/>
              </w:rPr>
              <w:t>[2]</w:t>
            </w:r>
          </w:p>
        </w:tc>
        <w:tc>
          <w:tcPr>
            <w:tcW w:w="1146" w:type="dxa"/>
            <w:shd w:val="clear" w:color="auto" w:fill="auto"/>
          </w:tcPr>
          <w:p w:rsidRPr="007F620E" w:rsidR="008B6451" w:rsidP="008B6451" w:rsidRDefault="008B6451" w14:paraId="057718C1" w14:textId="7AC35B4F">
            <w:pPr>
              <w:spacing w:before="60" w:after="60"/>
              <w:jc w:val="right"/>
              <w:rPr>
                <w:color w:val="000000"/>
              </w:rPr>
            </w:pPr>
            <w:r>
              <w:rPr>
                <w:color w:val="000000"/>
              </w:rPr>
              <w:t>$505.00 [6]</w:t>
            </w:r>
          </w:p>
        </w:tc>
        <w:tc>
          <w:tcPr>
            <w:tcW w:w="1881" w:type="dxa"/>
            <w:shd w:val="clear" w:color="auto" w:fill="auto"/>
          </w:tcPr>
          <w:p w:rsidRPr="007F620E" w:rsidR="008B6451" w:rsidP="008B6451" w:rsidRDefault="008B6451" w14:paraId="44FD51D2" w14:textId="197FDF99">
            <w:pPr>
              <w:spacing w:before="60" w:after="60"/>
              <w:jc w:val="right"/>
              <w:rPr>
                <w:color w:val="000000"/>
              </w:rPr>
            </w:pPr>
            <w:r w:rsidRPr="00F81BB9">
              <w:t xml:space="preserve">$5,454.00 </w:t>
            </w:r>
          </w:p>
        </w:tc>
      </w:tr>
      <w:tr w:rsidRPr="007F620E" w:rsidR="008B6451" w:rsidTr="006E05EE" w14:paraId="78FC5ECE" w14:textId="77777777">
        <w:trPr>
          <w:jc w:val="center"/>
        </w:trPr>
        <w:tc>
          <w:tcPr>
            <w:tcW w:w="1489" w:type="dxa"/>
            <w:shd w:val="clear" w:color="auto" w:fill="auto"/>
          </w:tcPr>
          <w:p w:rsidRPr="007F620E" w:rsidR="008B6451" w:rsidP="008B6451" w:rsidRDefault="008B6451" w14:paraId="1F8943E9" w14:textId="3FE36AE2">
            <w:pPr>
              <w:spacing w:before="60" w:after="60"/>
              <w:rPr>
                <w:color w:val="000000"/>
              </w:rPr>
            </w:pPr>
            <w:r>
              <w:rPr>
                <w:color w:val="000000"/>
              </w:rPr>
              <w:lastRenderedPageBreak/>
              <w:t>John Wilson</w:t>
            </w:r>
          </w:p>
        </w:tc>
        <w:tc>
          <w:tcPr>
            <w:tcW w:w="821" w:type="dxa"/>
            <w:shd w:val="clear" w:color="auto" w:fill="auto"/>
          </w:tcPr>
          <w:p w:rsidRPr="007F620E" w:rsidR="008B6451" w:rsidP="008B6451" w:rsidRDefault="008B6451" w14:paraId="6FFEFF62" w14:textId="0F126500">
            <w:pPr>
              <w:spacing w:before="60" w:after="60"/>
              <w:jc w:val="center"/>
              <w:rPr>
                <w:color w:val="000000"/>
              </w:rPr>
            </w:pPr>
            <w:r>
              <w:rPr>
                <w:color w:val="000000"/>
              </w:rPr>
              <w:t>2020</w:t>
            </w:r>
          </w:p>
        </w:tc>
        <w:tc>
          <w:tcPr>
            <w:tcW w:w="884" w:type="dxa"/>
            <w:gridSpan w:val="2"/>
            <w:shd w:val="clear" w:color="auto" w:fill="auto"/>
          </w:tcPr>
          <w:p w:rsidRPr="007F620E" w:rsidR="008B6451" w:rsidP="008B6451" w:rsidRDefault="008B6451" w14:paraId="24984638" w14:textId="404BDEB4">
            <w:pPr>
              <w:spacing w:before="60" w:after="60"/>
              <w:jc w:val="center"/>
              <w:rPr>
                <w:color w:val="000000"/>
              </w:rPr>
            </w:pPr>
            <w:r>
              <w:rPr>
                <w:color w:val="000000"/>
              </w:rPr>
              <w:t>69.5</w:t>
            </w:r>
          </w:p>
        </w:tc>
        <w:tc>
          <w:tcPr>
            <w:tcW w:w="930" w:type="dxa"/>
            <w:shd w:val="clear" w:color="auto" w:fill="auto"/>
          </w:tcPr>
          <w:p w:rsidRPr="007F620E" w:rsidR="008B6451" w:rsidP="008B6451" w:rsidRDefault="008B6451" w14:paraId="00CA9050" w14:textId="706F03AD">
            <w:pPr>
              <w:spacing w:before="60" w:after="60"/>
              <w:jc w:val="right"/>
              <w:rPr>
                <w:color w:val="000000"/>
              </w:rPr>
            </w:pPr>
            <w:r>
              <w:rPr>
                <w:color w:val="000000"/>
              </w:rPr>
              <w:t>$360</w:t>
            </w:r>
          </w:p>
        </w:tc>
        <w:tc>
          <w:tcPr>
            <w:tcW w:w="1721" w:type="dxa"/>
            <w:gridSpan w:val="2"/>
            <w:tcBorders>
              <w:right w:val="single" w:color="auto" w:sz="4" w:space="0"/>
            </w:tcBorders>
            <w:shd w:val="clear" w:color="auto" w:fill="auto"/>
          </w:tcPr>
          <w:p w:rsidRPr="007F620E" w:rsidR="008B6451" w:rsidP="008B6451" w:rsidRDefault="008B6451" w14:paraId="760F08DA" w14:textId="38203FB6">
            <w:pPr>
              <w:spacing w:before="60" w:after="60"/>
              <w:rPr>
                <w:color w:val="000000"/>
              </w:rPr>
            </w:pPr>
            <w:r w:rsidRPr="0075766A">
              <w:rPr>
                <w:rFonts w:asciiTheme="majorBidi" w:hAnsiTheme="majorBidi" w:cstheme="majorBidi"/>
                <w:color w:val="000000"/>
                <w:sz w:val="22"/>
                <w:szCs w:val="22"/>
              </w:rPr>
              <w:t>D.22-01-012</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39D39174" w14:textId="6B2C6648">
            <w:pPr>
              <w:spacing w:before="60" w:after="60"/>
              <w:jc w:val="right"/>
              <w:rPr>
                <w:color w:val="000000"/>
              </w:rPr>
            </w:pPr>
            <w:r>
              <w:rPr>
                <w:color w:val="000000"/>
              </w:rPr>
              <w:t>$25,020</w:t>
            </w:r>
          </w:p>
        </w:tc>
        <w:tc>
          <w:tcPr>
            <w:tcW w:w="955" w:type="dxa"/>
            <w:gridSpan w:val="2"/>
            <w:tcBorders>
              <w:left w:val="single" w:color="auto" w:sz="4" w:space="0"/>
            </w:tcBorders>
            <w:shd w:val="clear" w:color="auto" w:fill="auto"/>
          </w:tcPr>
          <w:p w:rsidR="008B6451" w:rsidP="008B6451" w:rsidRDefault="008B6451" w14:paraId="4E259000" w14:textId="77777777">
            <w:pPr>
              <w:spacing w:before="60" w:after="60"/>
              <w:jc w:val="center"/>
              <w:rPr>
                <w:color w:val="000000"/>
              </w:rPr>
            </w:pPr>
            <w:r>
              <w:rPr>
                <w:color w:val="000000"/>
              </w:rPr>
              <w:t>58.77</w:t>
            </w:r>
          </w:p>
          <w:p w:rsidRPr="007F620E" w:rsidR="008B6451" w:rsidP="008B6451" w:rsidRDefault="008B6451" w14:paraId="047FD0B5" w14:textId="2E452DAA">
            <w:pPr>
              <w:spacing w:before="60" w:after="60"/>
              <w:jc w:val="center"/>
              <w:rPr>
                <w:color w:val="000000"/>
              </w:rPr>
            </w:pPr>
            <w:r>
              <w:rPr>
                <w:color w:val="000000"/>
              </w:rPr>
              <w:t>[2], [3]</w:t>
            </w:r>
          </w:p>
        </w:tc>
        <w:tc>
          <w:tcPr>
            <w:tcW w:w="1146" w:type="dxa"/>
            <w:shd w:val="clear" w:color="auto" w:fill="auto"/>
          </w:tcPr>
          <w:p w:rsidRPr="007F620E" w:rsidR="008B6451" w:rsidP="008B6451" w:rsidRDefault="008B6451" w14:paraId="367660C2" w14:textId="10A40017">
            <w:pPr>
              <w:spacing w:before="60" w:after="60"/>
              <w:jc w:val="right"/>
              <w:rPr>
                <w:color w:val="000000"/>
              </w:rPr>
            </w:pPr>
            <w:r>
              <w:rPr>
                <w:color w:val="000000"/>
              </w:rPr>
              <w:t>$360.00</w:t>
            </w:r>
          </w:p>
        </w:tc>
        <w:tc>
          <w:tcPr>
            <w:tcW w:w="1881" w:type="dxa"/>
            <w:shd w:val="clear" w:color="auto" w:fill="auto"/>
          </w:tcPr>
          <w:p w:rsidRPr="007F620E" w:rsidR="008B6451" w:rsidP="008B6451" w:rsidRDefault="008B6451" w14:paraId="766AC45F" w14:textId="59B1ADA6">
            <w:pPr>
              <w:spacing w:before="60" w:after="60"/>
              <w:jc w:val="right"/>
              <w:rPr>
                <w:color w:val="000000"/>
              </w:rPr>
            </w:pPr>
            <w:r w:rsidRPr="00F81BB9">
              <w:t xml:space="preserve">$21,157.20 </w:t>
            </w:r>
          </w:p>
        </w:tc>
      </w:tr>
      <w:tr w:rsidRPr="007F620E" w:rsidR="008B6451" w:rsidTr="006E05EE" w14:paraId="629AE5A6" w14:textId="77777777">
        <w:trPr>
          <w:jc w:val="center"/>
        </w:trPr>
        <w:tc>
          <w:tcPr>
            <w:tcW w:w="1489" w:type="dxa"/>
            <w:shd w:val="clear" w:color="auto" w:fill="auto"/>
          </w:tcPr>
          <w:p w:rsidR="008B6451" w:rsidP="008B6451" w:rsidRDefault="008B6451" w14:paraId="1A7FA05C" w14:textId="6E383FE4">
            <w:pPr>
              <w:spacing w:before="60" w:after="60"/>
              <w:rPr>
                <w:color w:val="000000"/>
              </w:rPr>
            </w:pPr>
            <w:r>
              <w:rPr>
                <w:color w:val="000000"/>
              </w:rPr>
              <w:t>John Wilson</w:t>
            </w:r>
          </w:p>
        </w:tc>
        <w:tc>
          <w:tcPr>
            <w:tcW w:w="821" w:type="dxa"/>
            <w:shd w:val="clear" w:color="auto" w:fill="auto"/>
          </w:tcPr>
          <w:p w:rsidR="008B6451" w:rsidP="008B6451" w:rsidRDefault="008B6451" w14:paraId="2D3796C1" w14:textId="22C73F48">
            <w:pPr>
              <w:spacing w:before="60" w:after="60"/>
              <w:jc w:val="center"/>
              <w:rPr>
                <w:color w:val="000000"/>
              </w:rPr>
            </w:pPr>
            <w:r>
              <w:rPr>
                <w:color w:val="000000"/>
              </w:rPr>
              <w:t>2021</w:t>
            </w:r>
          </w:p>
        </w:tc>
        <w:tc>
          <w:tcPr>
            <w:tcW w:w="884" w:type="dxa"/>
            <w:gridSpan w:val="2"/>
            <w:shd w:val="clear" w:color="auto" w:fill="auto"/>
          </w:tcPr>
          <w:p w:rsidRPr="007F620E" w:rsidR="008B6451" w:rsidP="008B6451" w:rsidRDefault="008B6451" w14:paraId="489F3FD5" w14:textId="3CB5A7B2">
            <w:pPr>
              <w:spacing w:before="60" w:after="60"/>
              <w:jc w:val="center"/>
              <w:rPr>
                <w:color w:val="000000"/>
              </w:rPr>
            </w:pPr>
            <w:r>
              <w:rPr>
                <w:color w:val="000000"/>
              </w:rPr>
              <w:t>172</w:t>
            </w:r>
          </w:p>
        </w:tc>
        <w:tc>
          <w:tcPr>
            <w:tcW w:w="930" w:type="dxa"/>
            <w:shd w:val="clear" w:color="auto" w:fill="auto"/>
          </w:tcPr>
          <w:p w:rsidR="008B6451" w:rsidP="008B6451" w:rsidRDefault="008B6451" w14:paraId="2060A06D" w14:textId="352D363D">
            <w:pPr>
              <w:spacing w:before="60" w:after="60"/>
              <w:jc w:val="right"/>
              <w:rPr>
                <w:color w:val="000000"/>
              </w:rPr>
            </w:pPr>
            <w:r>
              <w:rPr>
                <w:color w:val="000000"/>
              </w:rPr>
              <w:t>$380</w:t>
            </w:r>
          </w:p>
        </w:tc>
        <w:tc>
          <w:tcPr>
            <w:tcW w:w="1721" w:type="dxa"/>
            <w:gridSpan w:val="2"/>
            <w:tcBorders>
              <w:right w:val="single" w:color="auto" w:sz="4" w:space="0"/>
            </w:tcBorders>
            <w:shd w:val="clear" w:color="auto" w:fill="auto"/>
          </w:tcPr>
          <w:p w:rsidRPr="0075766A" w:rsidR="008B6451" w:rsidP="008B6451" w:rsidRDefault="008B6451" w14:paraId="35F74B77" w14:textId="5D703A04">
            <w:pPr>
              <w:spacing w:before="60" w:after="60"/>
              <w:rPr>
                <w:rFonts w:asciiTheme="majorBidi" w:hAnsiTheme="majorBidi" w:cstheme="majorBidi"/>
                <w:color w:val="000000"/>
                <w:sz w:val="22"/>
                <w:szCs w:val="22"/>
              </w:rPr>
            </w:pPr>
            <w:r w:rsidRPr="0075766A">
              <w:rPr>
                <w:rFonts w:asciiTheme="majorBidi" w:hAnsiTheme="majorBidi" w:cstheme="majorBidi"/>
                <w:color w:val="000000"/>
                <w:sz w:val="22"/>
                <w:szCs w:val="22"/>
              </w:rPr>
              <w:t>D.22-0</w:t>
            </w:r>
            <w:r>
              <w:rPr>
                <w:rFonts w:asciiTheme="majorBidi" w:hAnsiTheme="majorBidi" w:cstheme="majorBidi"/>
                <w:color w:val="000000"/>
                <w:sz w:val="22"/>
                <w:szCs w:val="22"/>
              </w:rPr>
              <w:t>8</w:t>
            </w:r>
            <w:r w:rsidRPr="0075766A">
              <w:rPr>
                <w:rFonts w:asciiTheme="majorBidi" w:hAnsiTheme="majorBidi" w:cstheme="majorBidi"/>
                <w:color w:val="000000"/>
                <w:sz w:val="22"/>
                <w:szCs w:val="22"/>
              </w:rPr>
              <w:t>-0</w:t>
            </w:r>
            <w:r>
              <w:rPr>
                <w:rFonts w:asciiTheme="majorBidi" w:hAnsiTheme="majorBidi" w:cstheme="majorBidi"/>
                <w:color w:val="000000"/>
                <w:sz w:val="22"/>
                <w:szCs w:val="22"/>
              </w:rPr>
              <w:t>46</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6B16F436" w14:textId="66DF317F">
            <w:pPr>
              <w:spacing w:before="60" w:after="60"/>
              <w:jc w:val="right"/>
              <w:rPr>
                <w:color w:val="000000"/>
              </w:rPr>
            </w:pPr>
            <w:r>
              <w:rPr>
                <w:color w:val="000000"/>
              </w:rPr>
              <w:t>$65,360</w:t>
            </w:r>
          </w:p>
        </w:tc>
        <w:tc>
          <w:tcPr>
            <w:tcW w:w="955" w:type="dxa"/>
            <w:gridSpan w:val="2"/>
            <w:tcBorders>
              <w:left w:val="single" w:color="auto" w:sz="4" w:space="0"/>
            </w:tcBorders>
            <w:shd w:val="clear" w:color="auto" w:fill="auto"/>
          </w:tcPr>
          <w:p w:rsidR="008B6451" w:rsidP="008B6451" w:rsidRDefault="008B6451" w14:paraId="304AE59F" w14:textId="77777777">
            <w:pPr>
              <w:spacing w:before="60" w:after="60"/>
              <w:jc w:val="center"/>
              <w:rPr>
                <w:color w:val="000000"/>
              </w:rPr>
            </w:pPr>
            <w:r>
              <w:rPr>
                <w:color w:val="000000"/>
              </w:rPr>
              <w:t>153.63</w:t>
            </w:r>
          </w:p>
          <w:p w:rsidRPr="007F620E" w:rsidR="008B6451" w:rsidP="008B6451" w:rsidRDefault="008B6451" w14:paraId="6AA3AF9B" w14:textId="7B9FBDFF">
            <w:pPr>
              <w:spacing w:before="60" w:after="60"/>
              <w:jc w:val="center"/>
              <w:rPr>
                <w:color w:val="000000"/>
              </w:rPr>
            </w:pPr>
            <w:r>
              <w:rPr>
                <w:color w:val="000000"/>
              </w:rPr>
              <w:t>[2], [3]</w:t>
            </w:r>
          </w:p>
        </w:tc>
        <w:tc>
          <w:tcPr>
            <w:tcW w:w="1146" w:type="dxa"/>
            <w:shd w:val="clear" w:color="auto" w:fill="auto"/>
          </w:tcPr>
          <w:p w:rsidRPr="007F620E" w:rsidR="008B6451" w:rsidP="008B6451" w:rsidRDefault="008B6451" w14:paraId="2494AE0B" w14:textId="40B0FE32">
            <w:pPr>
              <w:spacing w:before="60" w:after="60"/>
              <w:jc w:val="right"/>
              <w:rPr>
                <w:color w:val="000000"/>
              </w:rPr>
            </w:pPr>
            <w:r>
              <w:rPr>
                <w:color w:val="000000"/>
              </w:rPr>
              <w:t>$380.00</w:t>
            </w:r>
          </w:p>
        </w:tc>
        <w:tc>
          <w:tcPr>
            <w:tcW w:w="1881" w:type="dxa"/>
            <w:shd w:val="clear" w:color="auto" w:fill="auto"/>
          </w:tcPr>
          <w:p w:rsidRPr="007F620E" w:rsidR="008B6451" w:rsidP="008B6451" w:rsidRDefault="008B6451" w14:paraId="76E5A293" w14:textId="105F9492">
            <w:pPr>
              <w:spacing w:before="60" w:after="60"/>
              <w:jc w:val="right"/>
              <w:rPr>
                <w:color w:val="000000"/>
              </w:rPr>
            </w:pPr>
            <w:r w:rsidRPr="00F81BB9">
              <w:t xml:space="preserve">$58,379.40 </w:t>
            </w:r>
          </w:p>
        </w:tc>
      </w:tr>
      <w:tr w:rsidRPr="007F620E" w:rsidR="008B6451" w:rsidTr="006E05EE" w14:paraId="1B513B81" w14:textId="77777777">
        <w:trPr>
          <w:jc w:val="center"/>
        </w:trPr>
        <w:tc>
          <w:tcPr>
            <w:tcW w:w="1489" w:type="dxa"/>
            <w:shd w:val="clear" w:color="auto" w:fill="auto"/>
          </w:tcPr>
          <w:p w:rsidR="008B6451" w:rsidP="008B6451" w:rsidRDefault="008B6451" w14:paraId="051EA446" w14:textId="7E234168">
            <w:pPr>
              <w:spacing w:before="60" w:after="60"/>
              <w:rPr>
                <w:color w:val="000000"/>
              </w:rPr>
            </w:pPr>
            <w:r>
              <w:rPr>
                <w:color w:val="000000"/>
              </w:rPr>
              <w:t>John Wilson</w:t>
            </w:r>
          </w:p>
        </w:tc>
        <w:tc>
          <w:tcPr>
            <w:tcW w:w="821" w:type="dxa"/>
            <w:shd w:val="clear" w:color="auto" w:fill="auto"/>
          </w:tcPr>
          <w:p w:rsidR="008B6451" w:rsidP="008B6451" w:rsidRDefault="008B6451" w14:paraId="0390B4A6" w14:textId="7F4F0306">
            <w:pPr>
              <w:spacing w:before="60" w:after="60"/>
              <w:jc w:val="center"/>
              <w:rPr>
                <w:color w:val="000000"/>
              </w:rPr>
            </w:pPr>
            <w:r>
              <w:rPr>
                <w:color w:val="000000"/>
              </w:rPr>
              <w:t>2022</w:t>
            </w:r>
          </w:p>
        </w:tc>
        <w:tc>
          <w:tcPr>
            <w:tcW w:w="884" w:type="dxa"/>
            <w:gridSpan w:val="2"/>
            <w:shd w:val="clear" w:color="auto" w:fill="auto"/>
          </w:tcPr>
          <w:p w:rsidRPr="007F620E" w:rsidR="008B6451" w:rsidP="008B6451" w:rsidRDefault="008B6451" w14:paraId="616F0604" w14:textId="238B4466">
            <w:pPr>
              <w:spacing w:before="60" w:after="60"/>
              <w:jc w:val="center"/>
              <w:rPr>
                <w:color w:val="000000"/>
              </w:rPr>
            </w:pPr>
            <w:r>
              <w:rPr>
                <w:color w:val="000000"/>
              </w:rPr>
              <w:t>15.5</w:t>
            </w:r>
          </w:p>
        </w:tc>
        <w:tc>
          <w:tcPr>
            <w:tcW w:w="930" w:type="dxa"/>
            <w:shd w:val="clear" w:color="auto" w:fill="auto"/>
          </w:tcPr>
          <w:p w:rsidR="008B6451" w:rsidP="008B6451" w:rsidRDefault="008B6451" w14:paraId="7B46ACC1" w14:textId="46A88FA2">
            <w:pPr>
              <w:spacing w:before="60" w:after="60"/>
              <w:jc w:val="right"/>
              <w:rPr>
                <w:color w:val="000000"/>
              </w:rPr>
            </w:pPr>
            <w:r>
              <w:rPr>
                <w:color w:val="000000"/>
              </w:rPr>
              <w:t>$400</w:t>
            </w:r>
          </w:p>
        </w:tc>
        <w:tc>
          <w:tcPr>
            <w:tcW w:w="1721" w:type="dxa"/>
            <w:gridSpan w:val="2"/>
            <w:tcBorders>
              <w:right w:val="single" w:color="auto" w:sz="4" w:space="0"/>
            </w:tcBorders>
            <w:shd w:val="clear" w:color="auto" w:fill="auto"/>
          </w:tcPr>
          <w:p w:rsidRPr="0075766A" w:rsidR="008B6451" w:rsidP="008B6451" w:rsidRDefault="008B6451" w14:paraId="615E5821" w14:textId="00AD2706">
            <w:pPr>
              <w:spacing w:before="60" w:after="60"/>
              <w:rPr>
                <w:rFonts w:asciiTheme="majorBidi" w:hAnsiTheme="majorBidi" w:cstheme="majorBidi"/>
                <w:color w:val="000000"/>
                <w:sz w:val="22"/>
                <w:szCs w:val="22"/>
              </w:rPr>
            </w:pPr>
            <w:r w:rsidRPr="0075766A">
              <w:rPr>
                <w:rFonts w:asciiTheme="majorBidi" w:hAnsiTheme="majorBidi" w:cstheme="majorBidi"/>
                <w:color w:val="000000"/>
                <w:sz w:val="22"/>
                <w:szCs w:val="22"/>
              </w:rPr>
              <w:t>D.22-0</w:t>
            </w:r>
            <w:r>
              <w:rPr>
                <w:rFonts w:asciiTheme="majorBidi" w:hAnsiTheme="majorBidi" w:cstheme="majorBidi"/>
                <w:color w:val="000000"/>
                <w:sz w:val="22"/>
                <w:szCs w:val="22"/>
              </w:rPr>
              <w:t>8</w:t>
            </w:r>
            <w:r w:rsidRPr="0075766A">
              <w:rPr>
                <w:rFonts w:asciiTheme="majorBidi" w:hAnsiTheme="majorBidi" w:cstheme="majorBidi"/>
                <w:color w:val="000000"/>
                <w:sz w:val="22"/>
                <w:szCs w:val="22"/>
              </w:rPr>
              <w:t>-0</w:t>
            </w:r>
            <w:r>
              <w:rPr>
                <w:rFonts w:asciiTheme="majorBidi" w:hAnsiTheme="majorBidi" w:cstheme="majorBidi"/>
                <w:color w:val="000000"/>
                <w:sz w:val="22"/>
                <w:szCs w:val="22"/>
              </w:rPr>
              <w:t xml:space="preserve">46, </w:t>
            </w:r>
            <w:r w:rsidRPr="0075766A">
              <w:rPr>
                <w:color w:val="000000"/>
                <w:sz w:val="22"/>
                <w:szCs w:val="22"/>
              </w:rPr>
              <w:t>plus a 5% step increase per Res. ALJ-</w:t>
            </w:r>
            <w:r>
              <w:rPr>
                <w:color w:val="000000"/>
                <w:sz w:val="22"/>
                <w:szCs w:val="22"/>
              </w:rPr>
              <w:t>393</w:t>
            </w:r>
            <w:r w:rsidRPr="0075766A">
              <w:rPr>
                <w:color w:val="000000"/>
                <w:sz w:val="22"/>
                <w:szCs w:val="22"/>
              </w:rPr>
              <w:t xml:space="preserve">; </w:t>
            </w:r>
            <w:r w:rsidRPr="0075766A">
              <w:rPr>
                <w:i/>
                <w:iCs/>
                <w:color w:val="000000"/>
                <w:sz w:val="22"/>
                <w:szCs w:val="22"/>
              </w:rPr>
              <w:t>see</w:t>
            </w:r>
            <w:r w:rsidRPr="0075766A">
              <w:rPr>
                <w:color w:val="000000"/>
                <w:sz w:val="22"/>
                <w:szCs w:val="22"/>
              </w:rPr>
              <w:t xml:space="preserve"> Comment </w:t>
            </w:r>
            <w:r>
              <w:rPr>
                <w:color w:val="000000"/>
                <w:sz w:val="22"/>
                <w:szCs w:val="22"/>
              </w:rPr>
              <w:t>3</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7B67D91B" w14:textId="60C16E49">
            <w:pPr>
              <w:spacing w:before="60" w:after="60"/>
              <w:jc w:val="right"/>
              <w:rPr>
                <w:color w:val="000000"/>
              </w:rPr>
            </w:pPr>
            <w:r>
              <w:rPr>
                <w:color w:val="000000"/>
              </w:rPr>
              <w:t>$6,200</w:t>
            </w:r>
          </w:p>
        </w:tc>
        <w:tc>
          <w:tcPr>
            <w:tcW w:w="955" w:type="dxa"/>
            <w:gridSpan w:val="2"/>
            <w:tcBorders>
              <w:left w:val="single" w:color="auto" w:sz="4" w:space="0"/>
            </w:tcBorders>
            <w:shd w:val="clear" w:color="auto" w:fill="auto"/>
          </w:tcPr>
          <w:p w:rsidR="008B6451" w:rsidP="008B6451" w:rsidRDefault="008B6451" w14:paraId="272C20CB" w14:textId="77777777">
            <w:pPr>
              <w:spacing w:before="60" w:after="60"/>
              <w:jc w:val="center"/>
              <w:rPr>
                <w:color w:val="000000"/>
              </w:rPr>
            </w:pPr>
            <w:r>
              <w:rPr>
                <w:color w:val="000000"/>
              </w:rPr>
              <w:t>13.95</w:t>
            </w:r>
          </w:p>
          <w:p w:rsidRPr="007F620E" w:rsidR="008B6451" w:rsidP="008B6451" w:rsidRDefault="008B6451" w14:paraId="5A00C8F5" w14:textId="7D140B9B">
            <w:pPr>
              <w:spacing w:before="60" w:after="60"/>
              <w:jc w:val="center"/>
              <w:rPr>
                <w:color w:val="000000"/>
              </w:rPr>
            </w:pPr>
            <w:r>
              <w:rPr>
                <w:color w:val="000000"/>
              </w:rPr>
              <w:t>[2]</w:t>
            </w:r>
          </w:p>
        </w:tc>
        <w:tc>
          <w:tcPr>
            <w:tcW w:w="1146" w:type="dxa"/>
            <w:shd w:val="clear" w:color="auto" w:fill="auto"/>
          </w:tcPr>
          <w:p w:rsidRPr="007F620E" w:rsidR="008B6451" w:rsidP="008B6451" w:rsidRDefault="008B6451" w14:paraId="6B2A4B6C" w14:textId="5A9FB21E">
            <w:pPr>
              <w:spacing w:before="60" w:after="60"/>
              <w:jc w:val="right"/>
              <w:rPr>
                <w:color w:val="000000"/>
              </w:rPr>
            </w:pPr>
            <w:r>
              <w:rPr>
                <w:color w:val="000000"/>
              </w:rPr>
              <w:t>$415.00 [7]</w:t>
            </w:r>
          </w:p>
        </w:tc>
        <w:tc>
          <w:tcPr>
            <w:tcW w:w="1881" w:type="dxa"/>
            <w:shd w:val="clear" w:color="auto" w:fill="auto"/>
          </w:tcPr>
          <w:p w:rsidRPr="007F620E" w:rsidR="008B6451" w:rsidP="008B6451" w:rsidRDefault="008B6451" w14:paraId="509C6811" w14:textId="3DD361A8">
            <w:pPr>
              <w:spacing w:before="60" w:after="60"/>
              <w:jc w:val="right"/>
              <w:rPr>
                <w:color w:val="000000"/>
              </w:rPr>
            </w:pPr>
            <w:r w:rsidRPr="00F81BB9">
              <w:t xml:space="preserve">$5,789.25 </w:t>
            </w:r>
          </w:p>
        </w:tc>
      </w:tr>
      <w:tr w:rsidRPr="007F620E" w:rsidR="008B6451" w:rsidTr="006E05EE" w14:paraId="0EE3BB8E" w14:textId="77777777">
        <w:trPr>
          <w:jc w:val="center"/>
        </w:trPr>
        <w:tc>
          <w:tcPr>
            <w:tcW w:w="1489" w:type="dxa"/>
            <w:shd w:val="clear" w:color="auto" w:fill="auto"/>
          </w:tcPr>
          <w:p w:rsidR="008B6451" w:rsidP="008B6451" w:rsidRDefault="008B6451" w14:paraId="5B38821F" w14:textId="42DBB4AF">
            <w:pPr>
              <w:spacing w:before="60" w:after="60"/>
              <w:rPr>
                <w:color w:val="000000"/>
              </w:rPr>
            </w:pPr>
            <w:r>
              <w:rPr>
                <w:color w:val="000000"/>
              </w:rPr>
              <w:t>James Harvey</w:t>
            </w:r>
          </w:p>
        </w:tc>
        <w:tc>
          <w:tcPr>
            <w:tcW w:w="821" w:type="dxa"/>
            <w:shd w:val="clear" w:color="auto" w:fill="auto"/>
          </w:tcPr>
          <w:p w:rsidR="008B6451" w:rsidP="008B6451" w:rsidRDefault="008B6451" w14:paraId="21E4B641" w14:textId="1FAD38E4">
            <w:pPr>
              <w:spacing w:before="60" w:after="60"/>
              <w:jc w:val="center"/>
              <w:rPr>
                <w:color w:val="000000"/>
              </w:rPr>
            </w:pPr>
            <w:r>
              <w:rPr>
                <w:color w:val="000000"/>
              </w:rPr>
              <w:t>2021</w:t>
            </w:r>
          </w:p>
        </w:tc>
        <w:tc>
          <w:tcPr>
            <w:tcW w:w="884" w:type="dxa"/>
            <w:gridSpan w:val="2"/>
            <w:shd w:val="clear" w:color="auto" w:fill="auto"/>
          </w:tcPr>
          <w:p w:rsidR="008B6451" w:rsidP="008B6451" w:rsidRDefault="008B6451" w14:paraId="5E30B108" w14:textId="397F8B9D">
            <w:pPr>
              <w:spacing w:before="60" w:after="60"/>
              <w:jc w:val="center"/>
              <w:rPr>
                <w:color w:val="000000"/>
              </w:rPr>
            </w:pPr>
            <w:r>
              <w:rPr>
                <w:color w:val="000000"/>
              </w:rPr>
              <w:t>13.5</w:t>
            </w:r>
          </w:p>
        </w:tc>
        <w:tc>
          <w:tcPr>
            <w:tcW w:w="930" w:type="dxa"/>
            <w:shd w:val="clear" w:color="auto" w:fill="auto"/>
          </w:tcPr>
          <w:p w:rsidR="008B6451" w:rsidP="008B6451" w:rsidRDefault="008B6451" w14:paraId="0D045C72" w14:textId="766617AF">
            <w:pPr>
              <w:spacing w:before="60" w:after="60"/>
              <w:jc w:val="right"/>
              <w:rPr>
                <w:color w:val="000000"/>
              </w:rPr>
            </w:pPr>
            <w:r>
              <w:rPr>
                <w:color w:val="000000"/>
              </w:rPr>
              <w:t>$210</w:t>
            </w:r>
          </w:p>
        </w:tc>
        <w:tc>
          <w:tcPr>
            <w:tcW w:w="1721" w:type="dxa"/>
            <w:gridSpan w:val="2"/>
            <w:tcBorders>
              <w:right w:val="single" w:color="auto" w:sz="4" w:space="0"/>
            </w:tcBorders>
            <w:shd w:val="clear" w:color="auto" w:fill="auto"/>
          </w:tcPr>
          <w:p w:rsidRPr="007147E8" w:rsidR="008B6451" w:rsidP="008B6451" w:rsidRDefault="008B6451" w14:paraId="7B5B4166" w14:textId="09F42490">
            <w:pPr>
              <w:spacing w:before="60" w:after="60"/>
              <w:rPr>
                <w:sz w:val="22"/>
                <w:szCs w:val="22"/>
              </w:rPr>
            </w:pPr>
            <w:r>
              <w:rPr>
                <w:sz w:val="22"/>
                <w:szCs w:val="22"/>
              </w:rPr>
              <w:t>D.22-09-024</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76E8EAE6" w14:textId="5530EEFD">
            <w:pPr>
              <w:spacing w:before="60" w:after="60"/>
              <w:jc w:val="right"/>
              <w:rPr>
                <w:color w:val="000000"/>
              </w:rPr>
            </w:pPr>
            <w:r>
              <w:rPr>
                <w:color w:val="000000"/>
              </w:rPr>
              <w:t>$2,835</w:t>
            </w:r>
          </w:p>
        </w:tc>
        <w:tc>
          <w:tcPr>
            <w:tcW w:w="955" w:type="dxa"/>
            <w:gridSpan w:val="2"/>
            <w:tcBorders>
              <w:left w:val="single" w:color="auto" w:sz="4" w:space="0"/>
            </w:tcBorders>
            <w:shd w:val="clear" w:color="auto" w:fill="auto"/>
          </w:tcPr>
          <w:p w:rsidRPr="007F620E" w:rsidR="008B6451" w:rsidP="008B6451" w:rsidRDefault="008B6451" w14:paraId="60887BB4" w14:textId="4A06E75E">
            <w:pPr>
              <w:spacing w:before="60" w:after="60"/>
              <w:jc w:val="center"/>
              <w:rPr>
                <w:color w:val="000000"/>
              </w:rPr>
            </w:pPr>
            <w:r>
              <w:rPr>
                <w:color w:val="000000"/>
              </w:rPr>
              <w:t>13.5</w:t>
            </w:r>
          </w:p>
        </w:tc>
        <w:tc>
          <w:tcPr>
            <w:tcW w:w="1146" w:type="dxa"/>
            <w:shd w:val="clear" w:color="auto" w:fill="auto"/>
          </w:tcPr>
          <w:p w:rsidRPr="007F620E" w:rsidR="008B6451" w:rsidP="008B6451" w:rsidRDefault="008B6451" w14:paraId="6EFE95DC" w14:textId="72C3A5AA">
            <w:pPr>
              <w:spacing w:before="60" w:after="60"/>
              <w:jc w:val="right"/>
              <w:rPr>
                <w:color w:val="000000"/>
              </w:rPr>
            </w:pPr>
            <w:r>
              <w:rPr>
                <w:color w:val="000000"/>
              </w:rPr>
              <w:t>$210.00</w:t>
            </w:r>
          </w:p>
        </w:tc>
        <w:tc>
          <w:tcPr>
            <w:tcW w:w="1881" w:type="dxa"/>
            <w:shd w:val="clear" w:color="auto" w:fill="auto"/>
          </w:tcPr>
          <w:p w:rsidRPr="007F620E" w:rsidR="008B6451" w:rsidP="008B6451" w:rsidRDefault="008B6451" w14:paraId="37C80139" w14:textId="715641D8">
            <w:pPr>
              <w:spacing w:before="60" w:after="60"/>
              <w:jc w:val="right"/>
              <w:rPr>
                <w:color w:val="000000"/>
              </w:rPr>
            </w:pPr>
            <w:r w:rsidRPr="00F81BB9">
              <w:t xml:space="preserve">$2,835.00 </w:t>
            </w:r>
          </w:p>
        </w:tc>
      </w:tr>
      <w:tr w:rsidRPr="007F620E" w:rsidR="008B6451" w:rsidTr="006E05EE" w14:paraId="26DCFDE7" w14:textId="77777777">
        <w:trPr>
          <w:jc w:val="center"/>
        </w:trPr>
        <w:tc>
          <w:tcPr>
            <w:tcW w:w="1489" w:type="dxa"/>
            <w:shd w:val="clear" w:color="auto" w:fill="auto"/>
          </w:tcPr>
          <w:p w:rsidR="008B6451" w:rsidP="008B6451" w:rsidRDefault="008B6451" w14:paraId="651036DE" w14:textId="2E90DDFB">
            <w:pPr>
              <w:spacing w:before="60" w:after="60"/>
              <w:rPr>
                <w:color w:val="000000"/>
              </w:rPr>
            </w:pPr>
            <w:r>
              <w:rPr>
                <w:color w:val="000000"/>
              </w:rPr>
              <w:t>James Birkelund</w:t>
            </w:r>
          </w:p>
        </w:tc>
        <w:tc>
          <w:tcPr>
            <w:tcW w:w="821" w:type="dxa"/>
            <w:shd w:val="clear" w:color="auto" w:fill="auto"/>
          </w:tcPr>
          <w:p w:rsidR="008B6451" w:rsidP="008B6451" w:rsidRDefault="008B6451" w14:paraId="3A15BDFD" w14:textId="151AB3CB">
            <w:pPr>
              <w:spacing w:before="60" w:after="60"/>
              <w:jc w:val="center"/>
              <w:rPr>
                <w:color w:val="000000"/>
              </w:rPr>
            </w:pPr>
            <w:r>
              <w:rPr>
                <w:color w:val="000000"/>
              </w:rPr>
              <w:t>2019</w:t>
            </w:r>
          </w:p>
        </w:tc>
        <w:tc>
          <w:tcPr>
            <w:tcW w:w="884" w:type="dxa"/>
            <w:gridSpan w:val="2"/>
            <w:shd w:val="clear" w:color="auto" w:fill="auto"/>
          </w:tcPr>
          <w:p w:rsidR="008B6451" w:rsidP="008B6451" w:rsidRDefault="008B6451" w14:paraId="6F26567E" w14:textId="11841F6C">
            <w:pPr>
              <w:spacing w:before="60" w:after="60"/>
              <w:jc w:val="center"/>
              <w:rPr>
                <w:color w:val="000000"/>
              </w:rPr>
            </w:pPr>
            <w:r>
              <w:rPr>
                <w:color w:val="000000"/>
              </w:rPr>
              <w:t>5.8</w:t>
            </w:r>
          </w:p>
        </w:tc>
        <w:tc>
          <w:tcPr>
            <w:tcW w:w="930" w:type="dxa"/>
            <w:shd w:val="clear" w:color="auto" w:fill="auto"/>
          </w:tcPr>
          <w:p w:rsidR="008B6451" w:rsidP="008B6451" w:rsidRDefault="008B6451" w14:paraId="2CD119D5" w14:textId="6ABE0D64">
            <w:pPr>
              <w:spacing w:before="60" w:after="60"/>
              <w:jc w:val="right"/>
              <w:rPr>
                <w:color w:val="000000"/>
              </w:rPr>
            </w:pPr>
            <w:r>
              <w:rPr>
                <w:color w:val="000000"/>
              </w:rPr>
              <w:t>$495</w:t>
            </w:r>
          </w:p>
        </w:tc>
        <w:tc>
          <w:tcPr>
            <w:tcW w:w="1721" w:type="dxa"/>
            <w:gridSpan w:val="2"/>
            <w:tcBorders>
              <w:right w:val="single" w:color="auto" w:sz="4" w:space="0"/>
            </w:tcBorders>
            <w:shd w:val="clear" w:color="auto" w:fill="auto"/>
          </w:tcPr>
          <w:p w:rsidRPr="007147E8" w:rsidR="008B6451" w:rsidP="008B6451" w:rsidRDefault="008B6451" w14:paraId="317014D0" w14:textId="77777777">
            <w:pPr>
              <w:spacing w:before="60" w:after="60"/>
              <w:rPr>
                <w:sz w:val="22"/>
                <w:szCs w:val="22"/>
              </w:rPr>
            </w:pPr>
            <w:r w:rsidRPr="007147E8">
              <w:rPr>
                <w:sz w:val="22"/>
                <w:szCs w:val="22"/>
              </w:rPr>
              <w:t xml:space="preserve">D.20-02-061 </w:t>
            </w:r>
          </w:p>
          <w:p w:rsidR="008B6451" w:rsidP="008B6451" w:rsidRDefault="008B6451" w14:paraId="6CD8D62B" w14:textId="54AEE18E">
            <w:pPr>
              <w:spacing w:before="60" w:after="60"/>
              <w:rPr>
                <w:sz w:val="22"/>
                <w:szCs w:val="22"/>
              </w:rPr>
            </w:pP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559D2F00" w14:textId="54A46B7E">
            <w:pPr>
              <w:spacing w:before="60" w:after="60"/>
              <w:jc w:val="right"/>
              <w:rPr>
                <w:color w:val="000000"/>
              </w:rPr>
            </w:pPr>
            <w:r>
              <w:rPr>
                <w:color w:val="000000"/>
              </w:rPr>
              <w:t>$2,871</w:t>
            </w:r>
          </w:p>
        </w:tc>
        <w:tc>
          <w:tcPr>
            <w:tcW w:w="955" w:type="dxa"/>
            <w:gridSpan w:val="2"/>
            <w:tcBorders>
              <w:left w:val="single" w:color="auto" w:sz="4" w:space="0"/>
            </w:tcBorders>
            <w:shd w:val="clear" w:color="auto" w:fill="auto"/>
          </w:tcPr>
          <w:p w:rsidR="008B6451" w:rsidP="008B6451" w:rsidRDefault="008B6451" w14:paraId="3F02CB87" w14:textId="77777777">
            <w:pPr>
              <w:spacing w:before="60" w:after="60"/>
              <w:jc w:val="center"/>
              <w:rPr>
                <w:color w:val="000000"/>
              </w:rPr>
            </w:pPr>
            <w:r>
              <w:rPr>
                <w:color w:val="000000"/>
              </w:rPr>
              <w:t>5.68</w:t>
            </w:r>
          </w:p>
          <w:p w:rsidRPr="007F620E" w:rsidR="008B6451" w:rsidP="008B6451" w:rsidRDefault="008B6451" w14:paraId="0A20E4C0" w14:textId="0BB470BD">
            <w:pPr>
              <w:spacing w:before="60" w:after="60"/>
              <w:jc w:val="center"/>
              <w:rPr>
                <w:color w:val="000000"/>
              </w:rPr>
            </w:pPr>
            <w:r>
              <w:rPr>
                <w:color w:val="000000"/>
              </w:rPr>
              <w:t>[3]</w:t>
            </w:r>
          </w:p>
        </w:tc>
        <w:tc>
          <w:tcPr>
            <w:tcW w:w="1146" w:type="dxa"/>
            <w:shd w:val="clear" w:color="auto" w:fill="auto"/>
          </w:tcPr>
          <w:p w:rsidRPr="007F620E" w:rsidR="008B6451" w:rsidP="008B6451" w:rsidRDefault="008B6451" w14:paraId="2AF453BF" w14:textId="204E9487">
            <w:pPr>
              <w:spacing w:before="60" w:after="60"/>
              <w:jc w:val="right"/>
              <w:rPr>
                <w:color w:val="000000"/>
              </w:rPr>
            </w:pPr>
            <w:r>
              <w:rPr>
                <w:color w:val="000000"/>
              </w:rPr>
              <w:t>$495.00</w:t>
            </w:r>
          </w:p>
        </w:tc>
        <w:tc>
          <w:tcPr>
            <w:tcW w:w="1881" w:type="dxa"/>
            <w:shd w:val="clear" w:color="auto" w:fill="auto"/>
          </w:tcPr>
          <w:p w:rsidRPr="007F620E" w:rsidR="008B6451" w:rsidP="008B6451" w:rsidRDefault="008B6451" w14:paraId="7A3D907D" w14:textId="1528F72E">
            <w:pPr>
              <w:spacing w:before="60" w:after="60"/>
              <w:jc w:val="right"/>
              <w:rPr>
                <w:color w:val="000000"/>
              </w:rPr>
            </w:pPr>
            <w:r w:rsidRPr="00F81BB9">
              <w:t xml:space="preserve">$2,811.60 </w:t>
            </w:r>
          </w:p>
        </w:tc>
      </w:tr>
      <w:tr w:rsidRPr="007F620E" w:rsidR="008B6451" w:rsidTr="006E05EE" w14:paraId="128346A9" w14:textId="77777777">
        <w:trPr>
          <w:jc w:val="center"/>
        </w:trPr>
        <w:tc>
          <w:tcPr>
            <w:tcW w:w="1489" w:type="dxa"/>
            <w:shd w:val="clear" w:color="auto" w:fill="auto"/>
          </w:tcPr>
          <w:p w:rsidR="008B6451" w:rsidP="008B6451" w:rsidRDefault="008B6451" w14:paraId="1FD3700D" w14:textId="67B58FE3">
            <w:pPr>
              <w:spacing w:before="60" w:after="60"/>
              <w:rPr>
                <w:color w:val="000000"/>
              </w:rPr>
            </w:pPr>
            <w:r>
              <w:rPr>
                <w:color w:val="000000"/>
              </w:rPr>
              <w:t>James Birkelund</w:t>
            </w:r>
          </w:p>
        </w:tc>
        <w:tc>
          <w:tcPr>
            <w:tcW w:w="821" w:type="dxa"/>
            <w:shd w:val="clear" w:color="auto" w:fill="auto"/>
          </w:tcPr>
          <w:p w:rsidR="008B6451" w:rsidP="008B6451" w:rsidRDefault="008B6451" w14:paraId="0D7E57B3" w14:textId="3B5DDE7E">
            <w:pPr>
              <w:spacing w:before="60" w:after="60"/>
              <w:jc w:val="center"/>
              <w:rPr>
                <w:color w:val="000000"/>
              </w:rPr>
            </w:pPr>
            <w:r>
              <w:rPr>
                <w:color w:val="000000"/>
              </w:rPr>
              <w:t>2020</w:t>
            </w:r>
          </w:p>
        </w:tc>
        <w:tc>
          <w:tcPr>
            <w:tcW w:w="884" w:type="dxa"/>
            <w:gridSpan w:val="2"/>
            <w:shd w:val="clear" w:color="auto" w:fill="auto"/>
          </w:tcPr>
          <w:p w:rsidRPr="007F620E" w:rsidR="008B6451" w:rsidP="008B6451" w:rsidRDefault="008B6451" w14:paraId="42F7319D" w14:textId="2EBD668F">
            <w:pPr>
              <w:spacing w:before="60" w:after="60"/>
              <w:jc w:val="center"/>
              <w:rPr>
                <w:color w:val="000000"/>
              </w:rPr>
            </w:pPr>
            <w:r>
              <w:rPr>
                <w:color w:val="000000"/>
              </w:rPr>
              <w:t>6.05</w:t>
            </w:r>
          </w:p>
        </w:tc>
        <w:tc>
          <w:tcPr>
            <w:tcW w:w="930" w:type="dxa"/>
            <w:shd w:val="clear" w:color="auto" w:fill="auto"/>
          </w:tcPr>
          <w:p w:rsidR="008B6451" w:rsidP="008B6451" w:rsidRDefault="008B6451" w14:paraId="203727BB" w14:textId="359F45E0">
            <w:pPr>
              <w:spacing w:before="60" w:after="60"/>
              <w:jc w:val="right"/>
              <w:rPr>
                <w:color w:val="000000"/>
              </w:rPr>
            </w:pPr>
            <w:r>
              <w:rPr>
                <w:color w:val="000000"/>
              </w:rPr>
              <w:t>$510</w:t>
            </w:r>
          </w:p>
        </w:tc>
        <w:tc>
          <w:tcPr>
            <w:tcW w:w="1721" w:type="dxa"/>
            <w:gridSpan w:val="2"/>
            <w:tcBorders>
              <w:right w:val="single" w:color="auto" w:sz="4" w:space="0"/>
            </w:tcBorders>
            <w:shd w:val="clear" w:color="auto" w:fill="auto"/>
          </w:tcPr>
          <w:p w:rsidRPr="00C770D1" w:rsidR="008B6451" w:rsidP="008B6451" w:rsidRDefault="008B6451" w14:paraId="3A4865D0" w14:textId="77777777">
            <w:pPr>
              <w:spacing w:before="60" w:after="60"/>
              <w:rPr>
                <w:rFonts w:asciiTheme="majorBidi" w:hAnsiTheme="majorBidi" w:cstheme="majorBidi"/>
                <w:sz w:val="22"/>
                <w:szCs w:val="22"/>
              </w:rPr>
            </w:pPr>
            <w:r>
              <w:rPr>
                <w:sz w:val="22"/>
                <w:szCs w:val="22"/>
              </w:rPr>
              <w:t xml:space="preserve">D.21-06-011 </w:t>
            </w:r>
          </w:p>
          <w:p w:rsidRPr="0075766A" w:rsidR="008B6451" w:rsidP="008B6451" w:rsidRDefault="008B6451" w14:paraId="7EFC06A6" w14:textId="77777777">
            <w:pPr>
              <w:spacing w:before="60" w:after="60"/>
              <w:rPr>
                <w:rFonts w:asciiTheme="majorBidi" w:hAnsiTheme="majorBidi" w:cstheme="majorBidi"/>
                <w:bCs/>
                <w:color w:val="000000"/>
                <w:sz w:val="22"/>
                <w:szCs w:val="22"/>
              </w:rPr>
            </w:pP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259806B7" w14:textId="45142B5D">
            <w:pPr>
              <w:spacing w:before="60" w:after="60"/>
              <w:jc w:val="right"/>
              <w:rPr>
                <w:color w:val="000000"/>
              </w:rPr>
            </w:pPr>
            <w:r>
              <w:rPr>
                <w:color w:val="000000"/>
              </w:rPr>
              <w:t>$3,085.50</w:t>
            </w:r>
          </w:p>
        </w:tc>
        <w:tc>
          <w:tcPr>
            <w:tcW w:w="955" w:type="dxa"/>
            <w:gridSpan w:val="2"/>
            <w:tcBorders>
              <w:left w:val="single" w:color="auto" w:sz="4" w:space="0"/>
            </w:tcBorders>
            <w:shd w:val="clear" w:color="auto" w:fill="auto"/>
          </w:tcPr>
          <w:p w:rsidR="008B6451" w:rsidP="008B6451" w:rsidRDefault="008B6451" w14:paraId="02C42411" w14:textId="77777777">
            <w:pPr>
              <w:spacing w:before="60" w:after="60"/>
              <w:jc w:val="center"/>
              <w:rPr>
                <w:color w:val="000000"/>
              </w:rPr>
            </w:pPr>
            <w:r>
              <w:rPr>
                <w:color w:val="000000"/>
              </w:rPr>
              <w:t>5.61</w:t>
            </w:r>
          </w:p>
          <w:p w:rsidRPr="007F620E" w:rsidR="008B6451" w:rsidP="008B6451" w:rsidRDefault="008B6451" w14:paraId="5446706C" w14:textId="444E2648">
            <w:pPr>
              <w:spacing w:before="60" w:after="60"/>
              <w:jc w:val="center"/>
              <w:rPr>
                <w:color w:val="000000"/>
              </w:rPr>
            </w:pPr>
            <w:r>
              <w:rPr>
                <w:color w:val="000000"/>
              </w:rPr>
              <w:t>[3]</w:t>
            </w:r>
          </w:p>
        </w:tc>
        <w:tc>
          <w:tcPr>
            <w:tcW w:w="1146" w:type="dxa"/>
            <w:shd w:val="clear" w:color="auto" w:fill="auto"/>
          </w:tcPr>
          <w:p w:rsidRPr="007F620E" w:rsidR="008B6451" w:rsidP="008B6451" w:rsidRDefault="008B6451" w14:paraId="2D53C630" w14:textId="5BA019E9">
            <w:pPr>
              <w:spacing w:before="60" w:after="60"/>
              <w:jc w:val="right"/>
              <w:rPr>
                <w:color w:val="000000"/>
              </w:rPr>
            </w:pPr>
            <w:r>
              <w:rPr>
                <w:color w:val="000000"/>
              </w:rPr>
              <w:t>$510.00</w:t>
            </w:r>
          </w:p>
        </w:tc>
        <w:tc>
          <w:tcPr>
            <w:tcW w:w="1881" w:type="dxa"/>
            <w:shd w:val="clear" w:color="auto" w:fill="auto"/>
          </w:tcPr>
          <w:p w:rsidRPr="007F620E" w:rsidR="008B6451" w:rsidP="008B6451" w:rsidRDefault="008B6451" w14:paraId="01E6E8F2" w14:textId="5F9F4EFD">
            <w:pPr>
              <w:spacing w:before="60" w:after="60"/>
              <w:jc w:val="right"/>
              <w:rPr>
                <w:color w:val="000000"/>
              </w:rPr>
            </w:pPr>
            <w:r w:rsidRPr="00F81BB9">
              <w:t xml:space="preserve">$2,861.10 </w:t>
            </w:r>
          </w:p>
        </w:tc>
      </w:tr>
      <w:tr w:rsidRPr="007F620E" w:rsidR="008B6451" w:rsidTr="006E05EE" w14:paraId="156227F2" w14:textId="77777777">
        <w:trPr>
          <w:jc w:val="center"/>
        </w:trPr>
        <w:tc>
          <w:tcPr>
            <w:tcW w:w="1489" w:type="dxa"/>
            <w:shd w:val="clear" w:color="auto" w:fill="auto"/>
          </w:tcPr>
          <w:p w:rsidR="008B6451" w:rsidP="008B6451" w:rsidRDefault="008B6451" w14:paraId="0E38AF93" w14:textId="0676A253">
            <w:pPr>
              <w:spacing w:before="60" w:after="60"/>
              <w:rPr>
                <w:color w:val="000000"/>
              </w:rPr>
            </w:pPr>
            <w:r>
              <w:rPr>
                <w:color w:val="000000"/>
              </w:rPr>
              <w:t>James Birkelund</w:t>
            </w:r>
          </w:p>
        </w:tc>
        <w:tc>
          <w:tcPr>
            <w:tcW w:w="821" w:type="dxa"/>
            <w:shd w:val="clear" w:color="auto" w:fill="auto"/>
          </w:tcPr>
          <w:p w:rsidR="008B6451" w:rsidP="008B6451" w:rsidRDefault="008B6451" w14:paraId="2FB44497" w14:textId="103E01C1">
            <w:pPr>
              <w:spacing w:before="60" w:after="60"/>
              <w:jc w:val="center"/>
              <w:rPr>
                <w:color w:val="000000"/>
              </w:rPr>
            </w:pPr>
            <w:r>
              <w:rPr>
                <w:color w:val="000000"/>
              </w:rPr>
              <w:t>2021</w:t>
            </w:r>
          </w:p>
        </w:tc>
        <w:tc>
          <w:tcPr>
            <w:tcW w:w="884" w:type="dxa"/>
            <w:gridSpan w:val="2"/>
            <w:shd w:val="clear" w:color="auto" w:fill="auto"/>
          </w:tcPr>
          <w:p w:rsidRPr="007F620E" w:rsidR="008B6451" w:rsidP="008B6451" w:rsidRDefault="008B6451" w14:paraId="31B81273" w14:textId="342C8623">
            <w:pPr>
              <w:spacing w:before="60" w:after="60"/>
              <w:jc w:val="center"/>
              <w:rPr>
                <w:color w:val="000000"/>
              </w:rPr>
            </w:pPr>
            <w:r>
              <w:rPr>
                <w:color w:val="000000"/>
              </w:rPr>
              <w:t>5.9</w:t>
            </w:r>
          </w:p>
        </w:tc>
        <w:tc>
          <w:tcPr>
            <w:tcW w:w="930" w:type="dxa"/>
            <w:shd w:val="clear" w:color="auto" w:fill="auto"/>
          </w:tcPr>
          <w:p w:rsidR="008B6451" w:rsidP="008B6451" w:rsidRDefault="008B6451" w14:paraId="7DA88517" w14:textId="1F6ACF6D">
            <w:pPr>
              <w:spacing w:before="60" w:after="60"/>
              <w:jc w:val="right"/>
              <w:rPr>
                <w:color w:val="000000"/>
              </w:rPr>
            </w:pPr>
            <w:r>
              <w:rPr>
                <w:color w:val="000000"/>
              </w:rPr>
              <w:t>$650</w:t>
            </w:r>
          </w:p>
        </w:tc>
        <w:tc>
          <w:tcPr>
            <w:tcW w:w="1721" w:type="dxa"/>
            <w:gridSpan w:val="2"/>
            <w:tcBorders>
              <w:right w:val="single" w:color="auto" w:sz="4" w:space="0"/>
            </w:tcBorders>
            <w:shd w:val="clear" w:color="auto" w:fill="auto"/>
          </w:tcPr>
          <w:p w:rsidRPr="0075766A" w:rsidR="008B6451" w:rsidP="008B6451" w:rsidRDefault="008B6451" w14:paraId="4506AFDA" w14:textId="4E284052">
            <w:pPr>
              <w:spacing w:before="60" w:after="60"/>
              <w:rPr>
                <w:rFonts w:asciiTheme="majorBidi" w:hAnsiTheme="majorBidi" w:cstheme="majorBidi"/>
                <w:bCs/>
                <w:color w:val="000000"/>
                <w:sz w:val="22"/>
                <w:szCs w:val="22"/>
              </w:rPr>
            </w:pPr>
            <w:r w:rsidRPr="0075766A">
              <w:rPr>
                <w:rFonts w:asciiTheme="majorBidi" w:hAnsiTheme="majorBidi" w:cstheme="majorBidi"/>
                <w:color w:val="000000"/>
                <w:sz w:val="22"/>
                <w:szCs w:val="22"/>
              </w:rPr>
              <w:t>D.22-</w:t>
            </w:r>
            <w:r>
              <w:rPr>
                <w:rFonts w:asciiTheme="majorBidi" w:hAnsiTheme="majorBidi" w:cstheme="majorBidi"/>
                <w:color w:val="000000"/>
                <w:sz w:val="22"/>
                <w:szCs w:val="22"/>
              </w:rPr>
              <w:t>08-046</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2C9518A3" w14:textId="3290B44D">
            <w:pPr>
              <w:spacing w:before="60" w:after="60"/>
              <w:jc w:val="right"/>
              <w:rPr>
                <w:color w:val="000000"/>
              </w:rPr>
            </w:pPr>
            <w:r>
              <w:rPr>
                <w:color w:val="000000"/>
              </w:rPr>
              <w:t>$3,835</w:t>
            </w:r>
          </w:p>
        </w:tc>
        <w:tc>
          <w:tcPr>
            <w:tcW w:w="955" w:type="dxa"/>
            <w:gridSpan w:val="2"/>
            <w:tcBorders>
              <w:left w:val="single" w:color="auto" w:sz="4" w:space="0"/>
            </w:tcBorders>
            <w:shd w:val="clear" w:color="auto" w:fill="auto"/>
          </w:tcPr>
          <w:p w:rsidR="008B6451" w:rsidP="008B6451" w:rsidRDefault="008B6451" w14:paraId="72FDB00E" w14:textId="77777777">
            <w:pPr>
              <w:spacing w:before="60" w:after="60"/>
              <w:jc w:val="center"/>
              <w:rPr>
                <w:color w:val="000000"/>
              </w:rPr>
            </w:pPr>
            <w:r>
              <w:rPr>
                <w:color w:val="000000"/>
              </w:rPr>
              <w:t>5.74</w:t>
            </w:r>
          </w:p>
          <w:p w:rsidRPr="007F620E" w:rsidR="008B6451" w:rsidP="008B6451" w:rsidRDefault="008B6451" w14:paraId="6EDEE1E7" w14:textId="0F529668">
            <w:pPr>
              <w:spacing w:before="60" w:after="60"/>
              <w:jc w:val="center"/>
              <w:rPr>
                <w:color w:val="000000"/>
              </w:rPr>
            </w:pPr>
            <w:r>
              <w:rPr>
                <w:color w:val="000000"/>
              </w:rPr>
              <w:t>[3]</w:t>
            </w:r>
          </w:p>
        </w:tc>
        <w:tc>
          <w:tcPr>
            <w:tcW w:w="1146" w:type="dxa"/>
            <w:shd w:val="clear" w:color="auto" w:fill="auto"/>
          </w:tcPr>
          <w:p w:rsidRPr="007F620E" w:rsidR="008B6451" w:rsidP="008B6451" w:rsidRDefault="008B6451" w14:paraId="778D6010" w14:textId="0CDDD990">
            <w:pPr>
              <w:spacing w:before="60" w:after="60"/>
              <w:jc w:val="right"/>
              <w:rPr>
                <w:color w:val="000000"/>
              </w:rPr>
            </w:pPr>
            <w:r>
              <w:rPr>
                <w:color w:val="000000"/>
              </w:rPr>
              <w:t>$650.00</w:t>
            </w:r>
          </w:p>
        </w:tc>
        <w:tc>
          <w:tcPr>
            <w:tcW w:w="1881" w:type="dxa"/>
            <w:shd w:val="clear" w:color="auto" w:fill="auto"/>
          </w:tcPr>
          <w:p w:rsidRPr="007F620E" w:rsidR="008B6451" w:rsidP="008B6451" w:rsidRDefault="008B6451" w14:paraId="05AB3D7A" w14:textId="7DA63159">
            <w:pPr>
              <w:spacing w:before="60" w:after="60"/>
              <w:jc w:val="right"/>
              <w:rPr>
                <w:color w:val="000000"/>
              </w:rPr>
            </w:pPr>
            <w:r w:rsidRPr="00F81BB9">
              <w:t xml:space="preserve">$3,731.00 </w:t>
            </w:r>
          </w:p>
        </w:tc>
      </w:tr>
      <w:tr w:rsidRPr="007F620E" w:rsidR="008B6451" w:rsidTr="006E05EE" w14:paraId="43E8D1F1" w14:textId="77777777">
        <w:trPr>
          <w:jc w:val="center"/>
        </w:trPr>
        <w:tc>
          <w:tcPr>
            <w:tcW w:w="1489" w:type="dxa"/>
            <w:shd w:val="clear" w:color="auto" w:fill="auto"/>
          </w:tcPr>
          <w:p w:rsidR="008B6451" w:rsidP="008B6451" w:rsidRDefault="008B6451" w14:paraId="0346C74B" w14:textId="5D2A6B82">
            <w:pPr>
              <w:spacing w:before="60" w:after="60"/>
              <w:rPr>
                <w:color w:val="000000"/>
              </w:rPr>
            </w:pPr>
            <w:r>
              <w:rPr>
                <w:color w:val="000000"/>
              </w:rPr>
              <w:t>James Birkelund</w:t>
            </w:r>
          </w:p>
        </w:tc>
        <w:tc>
          <w:tcPr>
            <w:tcW w:w="821" w:type="dxa"/>
            <w:shd w:val="clear" w:color="auto" w:fill="auto"/>
          </w:tcPr>
          <w:p w:rsidR="008B6451" w:rsidP="008B6451" w:rsidRDefault="008B6451" w14:paraId="4D582EAF" w14:textId="3F6B3EC8">
            <w:pPr>
              <w:spacing w:before="60" w:after="60"/>
              <w:jc w:val="center"/>
              <w:rPr>
                <w:color w:val="000000"/>
              </w:rPr>
            </w:pPr>
            <w:r>
              <w:rPr>
                <w:color w:val="000000"/>
              </w:rPr>
              <w:t>2022</w:t>
            </w:r>
          </w:p>
        </w:tc>
        <w:tc>
          <w:tcPr>
            <w:tcW w:w="884" w:type="dxa"/>
            <w:gridSpan w:val="2"/>
            <w:shd w:val="clear" w:color="auto" w:fill="auto"/>
          </w:tcPr>
          <w:p w:rsidRPr="007F620E" w:rsidR="008B6451" w:rsidP="008B6451" w:rsidRDefault="008B6451" w14:paraId="4B03D062" w14:textId="4D83F0D5">
            <w:pPr>
              <w:spacing w:before="60" w:after="60"/>
              <w:jc w:val="center"/>
              <w:rPr>
                <w:color w:val="000000"/>
              </w:rPr>
            </w:pPr>
            <w:r>
              <w:rPr>
                <w:color w:val="000000"/>
              </w:rPr>
              <w:t>4.25</w:t>
            </w:r>
          </w:p>
        </w:tc>
        <w:tc>
          <w:tcPr>
            <w:tcW w:w="930" w:type="dxa"/>
            <w:shd w:val="clear" w:color="auto" w:fill="auto"/>
          </w:tcPr>
          <w:p w:rsidR="008B6451" w:rsidP="008B6451" w:rsidRDefault="008B6451" w14:paraId="6C5E2427" w14:textId="0F8B78C9">
            <w:pPr>
              <w:spacing w:before="60" w:after="60"/>
              <w:jc w:val="right"/>
              <w:rPr>
                <w:color w:val="000000"/>
              </w:rPr>
            </w:pPr>
            <w:r>
              <w:rPr>
                <w:color w:val="000000"/>
              </w:rPr>
              <w:t>$680</w:t>
            </w:r>
          </w:p>
        </w:tc>
        <w:tc>
          <w:tcPr>
            <w:tcW w:w="1721" w:type="dxa"/>
            <w:gridSpan w:val="2"/>
            <w:tcBorders>
              <w:right w:val="single" w:color="auto" w:sz="4" w:space="0"/>
            </w:tcBorders>
            <w:shd w:val="clear" w:color="auto" w:fill="auto"/>
          </w:tcPr>
          <w:p w:rsidRPr="0075766A" w:rsidR="008B6451" w:rsidP="008B6451" w:rsidRDefault="008B6451" w14:paraId="729DE33A" w14:textId="7069FCBB">
            <w:pPr>
              <w:spacing w:before="60" w:after="60"/>
              <w:rPr>
                <w:rFonts w:asciiTheme="majorBidi" w:hAnsiTheme="majorBidi" w:cstheme="majorBidi"/>
                <w:bCs/>
                <w:color w:val="000000"/>
                <w:sz w:val="22"/>
                <w:szCs w:val="22"/>
              </w:rPr>
            </w:pPr>
            <w:r w:rsidRPr="0075766A">
              <w:rPr>
                <w:rFonts w:asciiTheme="majorBidi" w:hAnsiTheme="majorBidi" w:cstheme="majorBidi"/>
                <w:color w:val="000000"/>
                <w:sz w:val="22"/>
                <w:szCs w:val="22"/>
              </w:rPr>
              <w:t>D.22-0</w:t>
            </w:r>
            <w:r>
              <w:rPr>
                <w:rFonts w:asciiTheme="majorBidi" w:hAnsiTheme="majorBidi" w:cstheme="majorBidi"/>
                <w:color w:val="000000"/>
                <w:sz w:val="22"/>
                <w:szCs w:val="22"/>
              </w:rPr>
              <w:t>8</w:t>
            </w:r>
            <w:r w:rsidRPr="0075766A">
              <w:rPr>
                <w:rFonts w:asciiTheme="majorBidi" w:hAnsiTheme="majorBidi" w:cstheme="majorBidi"/>
                <w:color w:val="000000"/>
                <w:sz w:val="22"/>
                <w:szCs w:val="22"/>
              </w:rPr>
              <w:t>-0</w:t>
            </w:r>
            <w:r>
              <w:rPr>
                <w:rFonts w:asciiTheme="majorBidi" w:hAnsiTheme="majorBidi" w:cstheme="majorBidi"/>
                <w:color w:val="000000"/>
                <w:sz w:val="22"/>
                <w:szCs w:val="22"/>
              </w:rPr>
              <w:t xml:space="preserve">46, </w:t>
            </w:r>
            <w:r w:rsidRPr="0075766A">
              <w:rPr>
                <w:color w:val="000000"/>
                <w:sz w:val="22"/>
                <w:szCs w:val="22"/>
              </w:rPr>
              <w:t>plus a 5% step increase per Res. ALJ-</w:t>
            </w:r>
            <w:r>
              <w:rPr>
                <w:color w:val="000000"/>
                <w:sz w:val="22"/>
                <w:szCs w:val="22"/>
              </w:rPr>
              <w:t>393</w:t>
            </w:r>
            <w:r w:rsidRPr="0075766A">
              <w:rPr>
                <w:color w:val="000000"/>
                <w:sz w:val="22"/>
                <w:szCs w:val="22"/>
              </w:rPr>
              <w:t xml:space="preserve">; </w:t>
            </w:r>
            <w:r w:rsidRPr="0075766A">
              <w:rPr>
                <w:i/>
                <w:iCs/>
                <w:color w:val="000000"/>
                <w:sz w:val="22"/>
                <w:szCs w:val="22"/>
              </w:rPr>
              <w:t>see</w:t>
            </w:r>
            <w:r w:rsidRPr="0075766A">
              <w:rPr>
                <w:color w:val="000000"/>
                <w:sz w:val="22"/>
                <w:szCs w:val="22"/>
              </w:rPr>
              <w:t xml:space="preserve"> Comment </w:t>
            </w:r>
            <w:r>
              <w:rPr>
                <w:color w:val="000000"/>
                <w:sz w:val="22"/>
                <w:szCs w:val="22"/>
              </w:rPr>
              <w:t>4.</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B6451" w:rsidP="008B6451" w:rsidRDefault="008B6451" w14:paraId="2E231A0A" w14:textId="4F178651">
            <w:pPr>
              <w:spacing w:before="60" w:after="60"/>
              <w:jc w:val="right"/>
              <w:rPr>
                <w:color w:val="000000"/>
              </w:rPr>
            </w:pPr>
            <w:r>
              <w:rPr>
                <w:color w:val="000000"/>
              </w:rPr>
              <w:t>$2,890</w:t>
            </w:r>
          </w:p>
        </w:tc>
        <w:tc>
          <w:tcPr>
            <w:tcW w:w="955" w:type="dxa"/>
            <w:gridSpan w:val="2"/>
            <w:tcBorders>
              <w:left w:val="single" w:color="auto" w:sz="4" w:space="0"/>
            </w:tcBorders>
            <w:shd w:val="clear" w:color="auto" w:fill="auto"/>
          </w:tcPr>
          <w:p w:rsidRPr="007F620E" w:rsidR="008B6451" w:rsidP="008B6451" w:rsidRDefault="008B6451" w14:paraId="13AAAFC0" w14:textId="1E9F90E1">
            <w:pPr>
              <w:spacing w:before="60" w:after="60"/>
              <w:jc w:val="center"/>
              <w:rPr>
                <w:color w:val="000000"/>
              </w:rPr>
            </w:pPr>
            <w:r>
              <w:rPr>
                <w:color w:val="000000"/>
              </w:rPr>
              <w:t>4.25</w:t>
            </w:r>
          </w:p>
        </w:tc>
        <w:tc>
          <w:tcPr>
            <w:tcW w:w="1146" w:type="dxa"/>
            <w:shd w:val="clear" w:color="auto" w:fill="auto"/>
          </w:tcPr>
          <w:p w:rsidRPr="007F620E" w:rsidR="008B6451" w:rsidP="008B6451" w:rsidRDefault="008B6451" w14:paraId="1625227B" w14:textId="0D840208">
            <w:pPr>
              <w:spacing w:before="60" w:after="60"/>
              <w:jc w:val="right"/>
              <w:rPr>
                <w:color w:val="000000"/>
              </w:rPr>
            </w:pPr>
            <w:r>
              <w:rPr>
                <w:color w:val="000000"/>
              </w:rPr>
              <w:t>$705.00 [8]</w:t>
            </w:r>
          </w:p>
        </w:tc>
        <w:tc>
          <w:tcPr>
            <w:tcW w:w="1881" w:type="dxa"/>
            <w:shd w:val="clear" w:color="auto" w:fill="auto"/>
          </w:tcPr>
          <w:p w:rsidRPr="007F620E" w:rsidR="008B6451" w:rsidP="008B6451" w:rsidRDefault="008B6451" w14:paraId="29A89856" w14:textId="6BC023AF">
            <w:pPr>
              <w:spacing w:before="60" w:after="60"/>
              <w:jc w:val="right"/>
              <w:rPr>
                <w:color w:val="000000"/>
              </w:rPr>
            </w:pPr>
            <w:r w:rsidRPr="00F81BB9">
              <w:t xml:space="preserve">$2,996.25 </w:t>
            </w:r>
          </w:p>
        </w:tc>
      </w:tr>
      <w:tr w:rsidRPr="007F620E" w:rsidR="00822B8C" w:rsidTr="0039315E" w14:paraId="1B237C11" w14:textId="77777777">
        <w:trPr>
          <w:jc w:val="center"/>
        </w:trPr>
        <w:tc>
          <w:tcPr>
            <w:tcW w:w="7178" w:type="dxa"/>
            <w:gridSpan w:val="8"/>
            <w:tcBorders>
              <w:bottom w:val="single" w:color="auto" w:sz="4" w:space="0"/>
              <w:right w:val="single" w:color="auto" w:sz="24" w:space="0"/>
            </w:tcBorders>
            <w:shd w:val="clear" w:color="auto" w:fill="auto"/>
          </w:tcPr>
          <w:p w:rsidRPr="00374FD1" w:rsidR="00822B8C" w:rsidP="00822B8C" w:rsidRDefault="00822B8C" w14:paraId="2ECB6744" w14:textId="3866A7B5">
            <w:pPr>
              <w:tabs>
                <w:tab w:val="left" w:pos="957"/>
              </w:tabs>
              <w:spacing w:before="60" w:after="60"/>
              <w:ind w:right="162"/>
              <w:jc w:val="right"/>
              <w:rPr>
                <w:b/>
                <w:i/>
                <w:color w:val="000000"/>
              </w:rPr>
            </w:pPr>
            <w:r w:rsidRPr="007F620E">
              <w:rPr>
                <w:b/>
                <w:i/>
                <w:color w:val="000000"/>
              </w:rPr>
              <w:t>Subtotal:</w:t>
            </w:r>
            <w:r>
              <w:rPr>
                <w:b/>
                <w:i/>
                <w:color w:val="000000"/>
              </w:rPr>
              <w:t xml:space="preserve"> $</w:t>
            </w:r>
            <w:r w:rsidR="00A731E8">
              <w:rPr>
                <w:b/>
                <w:i/>
                <w:color w:val="000000"/>
              </w:rPr>
              <w:t>373,065.75</w:t>
            </w:r>
            <w:r w:rsidRPr="007F620E">
              <w:rPr>
                <w:b/>
                <w:i/>
                <w:color w:val="000000"/>
              </w:rPr>
              <w:t xml:space="preserve"> </w:t>
            </w:r>
          </w:p>
        </w:tc>
        <w:tc>
          <w:tcPr>
            <w:tcW w:w="3982" w:type="dxa"/>
            <w:gridSpan w:val="4"/>
            <w:tcBorders>
              <w:left w:val="single" w:color="auto" w:sz="24" w:space="0"/>
              <w:bottom w:val="single" w:color="auto" w:sz="4" w:space="0"/>
            </w:tcBorders>
            <w:shd w:val="clear" w:color="auto" w:fill="auto"/>
          </w:tcPr>
          <w:p w:rsidRPr="007F620E" w:rsidR="00822B8C" w:rsidP="00822B8C" w:rsidRDefault="00822B8C" w14:paraId="4C4556E5" w14:textId="20816FBF">
            <w:pPr>
              <w:tabs>
                <w:tab w:val="left" w:pos="957"/>
              </w:tabs>
              <w:spacing w:before="60" w:after="60"/>
              <w:ind w:right="162"/>
              <w:jc w:val="right"/>
              <w:rPr>
                <w:color w:val="000000"/>
              </w:rPr>
            </w:pPr>
            <w:r w:rsidRPr="007F620E">
              <w:rPr>
                <w:b/>
                <w:i/>
                <w:color w:val="000000"/>
              </w:rPr>
              <w:t xml:space="preserve">Subtotal: </w:t>
            </w:r>
            <w:r w:rsidRPr="008B6451" w:rsidR="008B6451">
              <w:rPr>
                <w:b/>
                <w:color w:val="000000"/>
              </w:rPr>
              <w:t>$341,351.65</w:t>
            </w:r>
          </w:p>
        </w:tc>
      </w:tr>
      <w:tr w:rsidRPr="007F620E" w:rsidR="00822B8C" w:rsidTr="0039315E"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822B8C" w:rsidP="00822B8C" w:rsidRDefault="00822B8C" w14:paraId="41FE304C" w14:textId="77777777">
            <w:pPr>
              <w:keepNext/>
              <w:spacing w:before="60" w:after="60"/>
              <w:jc w:val="center"/>
              <w:rPr>
                <w:color w:val="000000"/>
              </w:rPr>
            </w:pPr>
            <w:r w:rsidRPr="007F620E">
              <w:rPr>
                <w:b/>
                <w:color w:val="000000"/>
              </w:rPr>
              <w:t xml:space="preserve">INTERVENOR COMPENSATION CLAIM PREPARATION </w:t>
            </w:r>
            <w:r w:rsidRPr="007F620E">
              <w:rPr>
                <w:b/>
                <w:smallCaps/>
                <w:color w:val="000000"/>
              </w:rPr>
              <w:t xml:space="preserve"> **</w:t>
            </w:r>
          </w:p>
        </w:tc>
      </w:tr>
      <w:tr w:rsidRPr="00260518" w:rsidR="00822B8C" w:rsidTr="0039315E" w14:paraId="48B3E535" w14:textId="77777777">
        <w:trPr>
          <w:jc w:val="center"/>
        </w:trPr>
        <w:tc>
          <w:tcPr>
            <w:tcW w:w="1489" w:type="dxa"/>
            <w:tcBorders>
              <w:top w:val="single" w:color="auto" w:sz="4" w:space="0"/>
              <w:bottom w:val="single" w:color="auto" w:sz="4" w:space="0"/>
            </w:tcBorders>
            <w:shd w:val="clear" w:color="auto" w:fill="auto"/>
          </w:tcPr>
          <w:p w:rsidRPr="00260518" w:rsidR="00822B8C" w:rsidP="00822B8C" w:rsidRDefault="00822B8C" w14:paraId="563A43BB" w14:textId="77777777">
            <w:pPr>
              <w:keepNext/>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tcPr>
          <w:p w:rsidRPr="00260518" w:rsidR="00822B8C" w:rsidP="00822B8C" w:rsidRDefault="00822B8C" w14:paraId="144552E0" w14:textId="7777777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tcPr>
          <w:p w:rsidRPr="00260518" w:rsidR="00822B8C" w:rsidP="00822B8C" w:rsidRDefault="00822B8C" w14:paraId="42890B1B" w14:textId="77777777">
            <w:pPr>
              <w:keepNext/>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tcPr>
          <w:p w:rsidRPr="00260518" w:rsidR="00822B8C" w:rsidP="00822B8C" w:rsidRDefault="00822B8C" w14:paraId="1E7BD956" w14:textId="243077B9">
            <w:pPr>
              <w:keepNext/>
              <w:spacing w:before="60" w:after="60"/>
              <w:jc w:val="center"/>
              <w:rPr>
                <w:b/>
                <w:color w:val="000000"/>
                <w:sz w:val="22"/>
                <w:szCs w:val="22"/>
              </w:rPr>
            </w:pPr>
            <w:r w:rsidRPr="00260518">
              <w:rPr>
                <w:b/>
                <w:color w:val="000000"/>
                <w:sz w:val="22"/>
                <w:szCs w:val="22"/>
              </w:rPr>
              <w:t>Rate $</w:t>
            </w:r>
          </w:p>
        </w:tc>
        <w:tc>
          <w:tcPr>
            <w:tcW w:w="1721" w:type="dxa"/>
            <w:gridSpan w:val="2"/>
            <w:tcBorders>
              <w:top w:val="single" w:color="auto" w:sz="4" w:space="0"/>
              <w:bottom w:val="single" w:color="auto" w:sz="4" w:space="0"/>
              <w:right w:val="single" w:color="auto" w:sz="4" w:space="0"/>
            </w:tcBorders>
            <w:shd w:val="clear" w:color="auto" w:fill="auto"/>
          </w:tcPr>
          <w:p w:rsidRPr="00260518" w:rsidR="00822B8C" w:rsidP="00822B8C" w:rsidRDefault="00822B8C" w14:paraId="104D7982" w14:textId="77777777">
            <w:pPr>
              <w:keepNext/>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260518" w:rsidR="00822B8C" w:rsidP="00822B8C" w:rsidRDefault="00822B8C"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shd w:val="clear" w:color="auto" w:fill="auto"/>
          </w:tcPr>
          <w:p w:rsidRPr="00260518" w:rsidR="00822B8C" w:rsidP="00822B8C" w:rsidRDefault="00822B8C" w14:paraId="0409143B" w14:textId="77777777">
            <w:pPr>
              <w:keepNext/>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tcPr>
          <w:p w:rsidRPr="00260518" w:rsidR="00822B8C" w:rsidP="00822B8C" w:rsidRDefault="00822B8C" w14:paraId="6B59BB80" w14:textId="2C791D8E">
            <w:pPr>
              <w:keepNext/>
              <w:spacing w:before="60" w:after="60"/>
              <w:jc w:val="center"/>
              <w:rPr>
                <w:b/>
                <w:color w:val="000000"/>
                <w:sz w:val="22"/>
                <w:szCs w:val="22"/>
              </w:rPr>
            </w:pPr>
            <w:r w:rsidRPr="00260518">
              <w:rPr>
                <w:b/>
                <w:color w:val="000000"/>
                <w:sz w:val="22"/>
                <w:szCs w:val="22"/>
              </w:rPr>
              <w:t xml:space="preserve">Rate </w:t>
            </w:r>
            <w:r>
              <w:rPr>
                <w:b/>
                <w:color w:val="000000"/>
                <w:sz w:val="22"/>
                <w:szCs w:val="22"/>
              </w:rPr>
              <w:t>$</w:t>
            </w:r>
          </w:p>
        </w:tc>
        <w:tc>
          <w:tcPr>
            <w:tcW w:w="1881" w:type="dxa"/>
            <w:tcBorders>
              <w:top w:val="single" w:color="auto" w:sz="4" w:space="0"/>
            </w:tcBorders>
            <w:shd w:val="clear" w:color="auto" w:fill="auto"/>
          </w:tcPr>
          <w:p w:rsidRPr="00260518" w:rsidR="00822B8C" w:rsidP="00822B8C" w:rsidRDefault="00822B8C" w14:paraId="6C7B13CF" w14:textId="77777777">
            <w:pPr>
              <w:keepNext/>
              <w:spacing w:before="60" w:after="60"/>
              <w:jc w:val="center"/>
              <w:rPr>
                <w:b/>
                <w:color w:val="000000"/>
                <w:sz w:val="22"/>
                <w:szCs w:val="22"/>
              </w:rPr>
            </w:pPr>
            <w:r w:rsidRPr="00260518">
              <w:rPr>
                <w:b/>
                <w:color w:val="000000"/>
                <w:sz w:val="22"/>
                <w:szCs w:val="22"/>
              </w:rPr>
              <w:t>Total $</w:t>
            </w:r>
          </w:p>
        </w:tc>
      </w:tr>
      <w:tr w:rsidRPr="007F620E" w:rsidR="00FA0E96" w:rsidTr="006E05EE" w14:paraId="25086E67" w14:textId="77777777">
        <w:trPr>
          <w:jc w:val="center"/>
        </w:trPr>
        <w:tc>
          <w:tcPr>
            <w:tcW w:w="1489" w:type="dxa"/>
            <w:shd w:val="clear" w:color="auto" w:fill="auto"/>
          </w:tcPr>
          <w:p w:rsidRPr="007F620E" w:rsidR="00FA0E96" w:rsidP="00FA0E96" w:rsidRDefault="00FA0E96" w14:paraId="386D0995" w14:textId="40557A49">
            <w:pPr>
              <w:spacing w:before="60" w:after="60"/>
              <w:rPr>
                <w:color w:val="000000"/>
              </w:rPr>
            </w:pPr>
            <w:r>
              <w:rPr>
                <w:color w:val="000000"/>
              </w:rPr>
              <w:t>Jennifer Weberski</w:t>
            </w:r>
          </w:p>
        </w:tc>
        <w:tc>
          <w:tcPr>
            <w:tcW w:w="821" w:type="dxa"/>
            <w:shd w:val="clear" w:color="auto" w:fill="auto"/>
          </w:tcPr>
          <w:p w:rsidRPr="007F620E" w:rsidR="00FA0E96" w:rsidP="00FA0E96" w:rsidRDefault="00FA0E96" w14:paraId="4A155F1D" w14:textId="0AE01658">
            <w:pPr>
              <w:spacing w:before="60" w:after="60"/>
              <w:jc w:val="center"/>
              <w:rPr>
                <w:color w:val="000000"/>
              </w:rPr>
            </w:pPr>
            <w:r>
              <w:rPr>
                <w:color w:val="000000"/>
              </w:rPr>
              <w:t>2019</w:t>
            </w:r>
          </w:p>
        </w:tc>
        <w:tc>
          <w:tcPr>
            <w:tcW w:w="884" w:type="dxa"/>
            <w:gridSpan w:val="2"/>
            <w:shd w:val="clear" w:color="auto" w:fill="auto"/>
          </w:tcPr>
          <w:p w:rsidRPr="007F620E" w:rsidR="00FA0E96" w:rsidP="00FA0E96" w:rsidRDefault="00FA0E96" w14:paraId="30EEA80A" w14:textId="375EE899">
            <w:pPr>
              <w:spacing w:before="60" w:after="60"/>
              <w:jc w:val="center"/>
              <w:rPr>
                <w:color w:val="000000"/>
              </w:rPr>
            </w:pPr>
            <w:r>
              <w:rPr>
                <w:color w:val="000000"/>
              </w:rPr>
              <w:t>3</w:t>
            </w:r>
          </w:p>
        </w:tc>
        <w:tc>
          <w:tcPr>
            <w:tcW w:w="930" w:type="dxa"/>
            <w:shd w:val="clear" w:color="auto" w:fill="auto"/>
          </w:tcPr>
          <w:p w:rsidRPr="007F620E" w:rsidR="00FA0E96" w:rsidP="00FA0E96" w:rsidRDefault="00FA0E96" w14:paraId="4EB14C91" w14:textId="43A55931">
            <w:pPr>
              <w:spacing w:before="60" w:after="60"/>
              <w:rPr>
                <w:color w:val="000000"/>
              </w:rPr>
            </w:pPr>
            <w:r w:rsidRPr="00F762EE">
              <w:rPr>
                <w:color w:val="000000"/>
                <w:sz w:val="22"/>
                <w:szCs w:val="22"/>
              </w:rPr>
              <w:t>$</w:t>
            </w:r>
            <w:r>
              <w:rPr>
                <w:color w:val="000000"/>
                <w:sz w:val="22"/>
                <w:szCs w:val="22"/>
              </w:rPr>
              <w:t>215</w:t>
            </w:r>
          </w:p>
        </w:tc>
        <w:tc>
          <w:tcPr>
            <w:tcW w:w="1721" w:type="dxa"/>
            <w:gridSpan w:val="2"/>
            <w:tcBorders>
              <w:right w:val="single" w:color="auto" w:sz="4" w:space="0"/>
            </w:tcBorders>
            <w:shd w:val="clear" w:color="auto" w:fill="auto"/>
          </w:tcPr>
          <w:p w:rsidRPr="007F620E" w:rsidR="00FA0E96" w:rsidP="00FA0E96" w:rsidRDefault="00FA0E96" w14:paraId="02D334B7" w14:textId="72BD2B53">
            <w:pPr>
              <w:spacing w:before="60" w:after="60"/>
              <w:rPr>
                <w:color w:val="000000"/>
              </w:rPr>
            </w:pPr>
            <w:r>
              <w:rPr>
                <w:color w:val="000000"/>
              </w:rPr>
              <w:t>50% of 2019 Rate</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FA0E96" w:rsidP="00FA0E96" w:rsidRDefault="00FA0E96" w14:paraId="7B9A0261" w14:textId="3EB1DAE7">
            <w:pPr>
              <w:spacing w:before="60" w:after="60"/>
              <w:jc w:val="right"/>
              <w:rPr>
                <w:color w:val="000000"/>
              </w:rPr>
            </w:pPr>
            <w:r>
              <w:rPr>
                <w:color w:val="000000"/>
              </w:rPr>
              <w:t>$645</w:t>
            </w:r>
          </w:p>
        </w:tc>
        <w:tc>
          <w:tcPr>
            <w:tcW w:w="955" w:type="dxa"/>
            <w:gridSpan w:val="2"/>
            <w:tcBorders>
              <w:left w:val="single" w:color="auto" w:sz="4" w:space="0"/>
              <w:right w:val="single" w:color="auto" w:sz="4" w:space="0"/>
            </w:tcBorders>
            <w:shd w:val="clear" w:color="auto" w:fill="auto"/>
          </w:tcPr>
          <w:p w:rsidRPr="007F620E" w:rsidR="00FA0E96" w:rsidP="00FA0E96" w:rsidRDefault="00FA0E96" w14:paraId="5E5A4264" w14:textId="143BF951">
            <w:pPr>
              <w:spacing w:before="60" w:after="60"/>
              <w:rPr>
                <w:color w:val="000000"/>
              </w:rPr>
            </w:pPr>
            <w:r>
              <w:rPr>
                <w:color w:val="000000"/>
              </w:rPr>
              <w:t>3</w:t>
            </w:r>
          </w:p>
        </w:tc>
        <w:tc>
          <w:tcPr>
            <w:tcW w:w="1146" w:type="dxa"/>
            <w:tcBorders>
              <w:left w:val="single" w:color="auto" w:sz="4" w:space="0"/>
            </w:tcBorders>
            <w:shd w:val="clear" w:color="auto" w:fill="auto"/>
          </w:tcPr>
          <w:p w:rsidRPr="007F620E" w:rsidR="00FA0E96" w:rsidP="00FA0E96" w:rsidRDefault="00FA0E96" w14:paraId="47B1F089" w14:textId="4A9961BA">
            <w:pPr>
              <w:spacing w:before="60" w:after="60"/>
              <w:jc w:val="right"/>
              <w:rPr>
                <w:color w:val="000000"/>
              </w:rPr>
            </w:pPr>
            <w:r>
              <w:rPr>
                <w:color w:val="000000"/>
              </w:rPr>
              <w:t>$230.00 [9]</w:t>
            </w:r>
          </w:p>
        </w:tc>
        <w:tc>
          <w:tcPr>
            <w:tcW w:w="1881" w:type="dxa"/>
            <w:shd w:val="clear" w:color="auto" w:fill="auto"/>
          </w:tcPr>
          <w:p w:rsidRPr="007F620E" w:rsidR="00FA0E96" w:rsidP="00FA0E96" w:rsidRDefault="00FA0E96" w14:paraId="10659B6D" w14:textId="69DD7B43">
            <w:pPr>
              <w:spacing w:before="60" w:after="60"/>
              <w:jc w:val="right"/>
              <w:rPr>
                <w:color w:val="000000"/>
              </w:rPr>
            </w:pPr>
            <w:r w:rsidRPr="00657709">
              <w:t xml:space="preserve">$690.00 </w:t>
            </w:r>
          </w:p>
        </w:tc>
      </w:tr>
      <w:tr w:rsidRPr="007F620E" w:rsidR="00FA0E96" w:rsidTr="006E05EE" w14:paraId="7AB9EF54" w14:textId="77777777">
        <w:trPr>
          <w:jc w:val="center"/>
        </w:trPr>
        <w:tc>
          <w:tcPr>
            <w:tcW w:w="1489" w:type="dxa"/>
            <w:shd w:val="clear" w:color="auto" w:fill="auto"/>
          </w:tcPr>
          <w:p w:rsidRPr="007F620E" w:rsidR="00FA0E96" w:rsidP="00FA0E96" w:rsidRDefault="00FA0E96" w14:paraId="4F803C09" w14:textId="3490E320">
            <w:pPr>
              <w:spacing w:before="60" w:after="60"/>
              <w:rPr>
                <w:color w:val="000000"/>
              </w:rPr>
            </w:pPr>
            <w:r>
              <w:rPr>
                <w:color w:val="000000"/>
              </w:rPr>
              <w:t>Jennifer Weberski</w:t>
            </w:r>
          </w:p>
        </w:tc>
        <w:tc>
          <w:tcPr>
            <w:tcW w:w="821" w:type="dxa"/>
            <w:shd w:val="clear" w:color="auto" w:fill="auto"/>
          </w:tcPr>
          <w:p w:rsidRPr="007F620E" w:rsidR="00FA0E96" w:rsidP="00FA0E96" w:rsidRDefault="00FA0E96" w14:paraId="058BFE37" w14:textId="35661592">
            <w:pPr>
              <w:spacing w:before="60" w:after="60"/>
              <w:jc w:val="center"/>
              <w:rPr>
                <w:color w:val="000000"/>
              </w:rPr>
            </w:pPr>
            <w:r>
              <w:rPr>
                <w:color w:val="000000"/>
              </w:rPr>
              <w:t>2022</w:t>
            </w:r>
          </w:p>
        </w:tc>
        <w:tc>
          <w:tcPr>
            <w:tcW w:w="884" w:type="dxa"/>
            <w:gridSpan w:val="2"/>
            <w:shd w:val="clear" w:color="auto" w:fill="auto"/>
          </w:tcPr>
          <w:p w:rsidRPr="007F620E" w:rsidR="00FA0E96" w:rsidP="00FA0E96" w:rsidRDefault="00FA0E96" w14:paraId="66A42865" w14:textId="5C471B0B">
            <w:pPr>
              <w:spacing w:before="60" w:after="60"/>
              <w:jc w:val="center"/>
              <w:rPr>
                <w:color w:val="000000"/>
              </w:rPr>
            </w:pPr>
            <w:r>
              <w:rPr>
                <w:color w:val="000000"/>
              </w:rPr>
              <w:t>25</w:t>
            </w:r>
          </w:p>
        </w:tc>
        <w:tc>
          <w:tcPr>
            <w:tcW w:w="930" w:type="dxa"/>
            <w:shd w:val="clear" w:color="auto" w:fill="auto"/>
          </w:tcPr>
          <w:p w:rsidRPr="007F620E" w:rsidR="00FA0E96" w:rsidP="00FA0E96" w:rsidRDefault="00FA0E96" w14:paraId="42AE8F2C" w14:textId="147FB35F">
            <w:pPr>
              <w:spacing w:before="60" w:after="60"/>
              <w:rPr>
                <w:color w:val="000000"/>
              </w:rPr>
            </w:pPr>
            <w:r w:rsidRPr="00F762EE">
              <w:rPr>
                <w:color w:val="000000"/>
                <w:sz w:val="22"/>
                <w:szCs w:val="22"/>
              </w:rPr>
              <w:t>$</w:t>
            </w:r>
            <w:r>
              <w:rPr>
                <w:color w:val="000000"/>
                <w:sz w:val="22"/>
                <w:szCs w:val="22"/>
              </w:rPr>
              <w:t>327.5</w:t>
            </w:r>
          </w:p>
        </w:tc>
        <w:tc>
          <w:tcPr>
            <w:tcW w:w="1721" w:type="dxa"/>
            <w:gridSpan w:val="2"/>
            <w:tcBorders>
              <w:right w:val="single" w:color="auto" w:sz="4" w:space="0"/>
            </w:tcBorders>
            <w:shd w:val="clear" w:color="auto" w:fill="auto"/>
          </w:tcPr>
          <w:p w:rsidRPr="007F620E" w:rsidR="00FA0E96" w:rsidP="00FA0E96" w:rsidRDefault="00FA0E96" w14:paraId="3DB754B7" w14:textId="0210EF46">
            <w:pPr>
              <w:spacing w:before="60" w:after="60"/>
              <w:rPr>
                <w:color w:val="000000"/>
              </w:rPr>
            </w:pPr>
            <w:r>
              <w:rPr>
                <w:color w:val="000000"/>
              </w:rPr>
              <w:t>50% of 2022 Rate</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FA0E96" w:rsidP="00FA0E96" w:rsidRDefault="00FA0E96" w14:paraId="3D39C021" w14:textId="3C51B3A5">
            <w:pPr>
              <w:spacing w:before="60" w:after="60"/>
              <w:jc w:val="right"/>
              <w:rPr>
                <w:color w:val="000000"/>
              </w:rPr>
            </w:pPr>
            <w:r>
              <w:rPr>
                <w:color w:val="000000"/>
              </w:rPr>
              <w:t>$8,187.50</w:t>
            </w:r>
          </w:p>
        </w:tc>
        <w:tc>
          <w:tcPr>
            <w:tcW w:w="955" w:type="dxa"/>
            <w:gridSpan w:val="2"/>
            <w:tcBorders>
              <w:left w:val="single" w:color="auto" w:sz="4" w:space="0"/>
              <w:right w:val="single" w:color="auto" w:sz="4" w:space="0"/>
            </w:tcBorders>
            <w:shd w:val="clear" w:color="auto" w:fill="auto"/>
          </w:tcPr>
          <w:p w:rsidR="00FA0E96" w:rsidP="00FA0E96" w:rsidRDefault="00FA0E96" w14:paraId="1CF68E8C" w14:textId="77777777">
            <w:pPr>
              <w:spacing w:before="60" w:after="60"/>
              <w:rPr>
                <w:color w:val="000000"/>
              </w:rPr>
            </w:pPr>
            <w:r>
              <w:rPr>
                <w:color w:val="000000"/>
              </w:rPr>
              <w:t>15</w:t>
            </w:r>
          </w:p>
          <w:p w:rsidRPr="007F620E" w:rsidR="00FA0E96" w:rsidP="00FA0E96" w:rsidRDefault="00FA0E96" w14:paraId="6B8C8F0C" w14:textId="33FA168F">
            <w:pPr>
              <w:spacing w:before="60" w:after="60"/>
              <w:rPr>
                <w:color w:val="000000"/>
              </w:rPr>
            </w:pPr>
            <w:r>
              <w:rPr>
                <w:color w:val="000000"/>
              </w:rPr>
              <w:t>[4]</w:t>
            </w:r>
          </w:p>
        </w:tc>
        <w:tc>
          <w:tcPr>
            <w:tcW w:w="1146" w:type="dxa"/>
            <w:tcBorders>
              <w:left w:val="single" w:color="auto" w:sz="4" w:space="0"/>
            </w:tcBorders>
            <w:shd w:val="clear" w:color="auto" w:fill="auto"/>
          </w:tcPr>
          <w:p w:rsidRPr="007F620E" w:rsidR="00FA0E96" w:rsidP="00FA0E96" w:rsidRDefault="00FA0E96" w14:paraId="0A58B021" w14:textId="6AD15554">
            <w:pPr>
              <w:spacing w:before="60" w:after="60"/>
              <w:jc w:val="right"/>
              <w:rPr>
                <w:color w:val="000000"/>
              </w:rPr>
            </w:pPr>
            <w:r>
              <w:rPr>
                <w:color w:val="000000"/>
              </w:rPr>
              <w:t>$337.50 [9]</w:t>
            </w:r>
          </w:p>
        </w:tc>
        <w:tc>
          <w:tcPr>
            <w:tcW w:w="1881" w:type="dxa"/>
            <w:shd w:val="clear" w:color="auto" w:fill="auto"/>
          </w:tcPr>
          <w:p w:rsidRPr="007F620E" w:rsidR="00FA0E96" w:rsidP="00FA0E96" w:rsidRDefault="00FA0E96" w14:paraId="0769A3B4" w14:textId="70CEB2A5">
            <w:pPr>
              <w:spacing w:before="60" w:after="60"/>
              <w:jc w:val="right"/>
              <w:rPr>
                <w:color w:val="000000"/>
              </w:rPr>
            </w:pPr>
            <w:r w:rsidRPr="00657709">
              <w:t xml:space="preserve">$5,062.50 </w:t>
            </w:r>
          </w:p>
        </w:tc>
      </w:tr>
      <w:tr w:rsidRPr="007F620E" w:rsidR="00FA0E96" w:rsidTr="006E05EE" w14:paraId="2FAD5599" w14:textId="77777777">
        <w:trPr>
          <w:jc w:val="center"/>
        </w:trPr>
        <w:tc>
          <w:tcPr>
            <w:tcW w:w="1489" w:type="dxa"/>
            <w:shd w:val="clear" w:color="auto" w:fill="auto"/>
          </w:tcPr>
          <w:p w:rsidR="00FA0E96" w:rsidP="00FA0E96" w:rsidRDefault="00FA0E96" w14:paraId="31B70EEB" w14:textId="4569E380">
            <w:pPr>
              <w:spacing w:before="60" w:after="60"/>
              <w:rPr>
                <w:color w:val="000000"/>
              </w:rPr>
            </w:pPr>
            <w:r>
              <w:rPr>
                <w:color w:val="000000"/>
              </w:rPr>
              <w:t>James Birkelund</w:t>
            </w:r>
          </w:p>
        </w:tc>
        <w:tc>
          <w:tcPr>
            <w:tcW w:w="821" w:type="dxa"/>
            <w:shd w:val="clear" w:color="auto" w:fill="auto"/>
          </w:tcPr>
          <w:p w:rsidR="00FA0E96" w:rsidP="00FA0E96" w:rsidRDefault="00FA0E96" w14:paraId="56C4190C" w14:textId="1B626939">
            <w:pPr>
              <w:spacing w:before="60" w:after="60"/>
              <w:jc w:val="center"/>
              <w:rPr>
                <w:color w:val="000000"/>
              </w:rPr>
            </w:pPr>
            <w:r>
              <w:rPr>
                <w:color w:val="000000"/>
              </w:rPr>
              <w:t>2020</w:t>
            </w:r>
          </w:p>
        </w:tc>
        <w:tc>
          <w:tcPr>
            <w:tcW w:w="884" w:type="dxa"/>
            <w:gridSpan w:val="2"/>
            <w:shd w:val="clear" w:color="auto" w:fill="auto"/>
          </w:tcPr>
          <w:p w:rsidR="00FA0E96" w:rsidP="00FA0E96" w:rsidRDefault="00FA0E96" w14:paraId="3C01CCBB" w14:textId="52FD68E0">
            <w:pPr>
              <w:spacing w:before="60" w:after="60"/>
              <w:jc w:val="center"/>
              <w:rPr>
                <w:color w:val="000000"/>
              </w:rPr>
            </w:pPr>
            <w:r>
              <w:rPr>
                <w:color w:val="000000"/>
              </w:rPr>
              <w:t>0.8</w:t>
            </w:r>
          </w:p>
        </w:tc>
        <w:tc>
          <w:tcPr>
            <w:tcW w:w="930" w:type="dxa"/>
            <w:shd w:val="clear" w:color="auto" w:fill="auto"/>
          </w:tcPr>
          <w:p w:rsidRPr="00F762EE" w:rsidR="00FA0E96" w:rsidP="00FA0E96" w:rsidRDefault="00FA0E96" w14:paraId="2C1806F0" w14:textId="2E2D1A78">
            <w:pPr>
              <w:spacing w:before="60" w:after="60"/>
              <w:rPr>
                <w:color w:val="000000"/>
                <w:sz w:val="22"/>
                <w:szCs w:val="22"/>
              </w:rPr>
            </w:pPr>
            <w:r>
              <w:rPr>
                <w:color w:val="000000"/>
                <w:sz w:val="22"/>
                <w:szCs w:val="22"/>
              </w:rPr>
              <w:t>$205</w:t>
            </w:r>
          </w:p>
        </w:tc>
        <w:tc>
          <w:tcPr>
            <w:tcW w:w="1721" w:type="dxa"/>
            <w:gridSpan w:val="2"/>
            <w:tcBorders>
              <w:right w:val="single" w:color="auto" w:sz="4" w:space="0"/>
            </w:tcBorders>
            <w:shd w:val="clear" w:color="auto" w:fill="auto"/>
          </w:tcPr>
          <w:p w:rsidR="00FA0E96" w:rsidP="00FA0E96" w:rsidRDefault="00FA0E96" w14:paraId="30CEF955" w14:textId="62B0CC0A">
            <w:pPr>
              <w:spacing w:before="60" w:after="60"/>
              <w:rPr>
                <w:color w:val="000000"/>
              </w:rPr>
            </w:pPr>
            <w:r>
              <w:rPr>
                <w:color w:val="000000"/>
              </w:rPr>
              <w:t>50% of 2020 Rate</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00FA0E96" w:rsidP="00FA0E96" w:rsidRDefault="00FA0E96" w14:paraId="0F400B0C" w14:textId="61A9A51D">
            <w:pPr>
              <w:spacing w:before="60" w:after="60"/>
              <w:jc w:val="right"/>
              <w:rPr>
                <w:color w:val="000000"/>
              </w:rPr>
            </w:pPr>
            <w:r>
              <w:rPr>
                <w:color w:val="000000"/>
              </w:rPr>
              <w:t>$164</w:t>
            </w:r>
          </w:p>
        </w:tc>
        <w:tc>
          <w:tcPr>
            <w:tcW w:w="955" w:type="dxa"/>
            <w:gridSpan w:val="2"/>
            <w:tcBorders>
              <w:left w:val="single" w:color="auto" w:sz="4" w:space="0"/>
              <w:right w:val="single" w:color="auto" w:sz="4" w:space="0"/>
            </w:tcBorders>
            <w:shd w:val="clear" w:color="auto" w:fill="auto"/>
          </w:tcPr>
          <w:p w:rsidRPr="007F620E" w:rsidR="00FA0E96" w:rsidP="00FA0E96" w:rsidRDefault="00FA0E96" w14:paraId="26F484AE" w14:textId="68CA9973">
            <w:pPr>
              <w:spacing w:before="60" w:after="60"/>
              <w:rPr>
                <w:color w:val="000000"/>
              </w:rPr>
            </w:pPr>
            <w:r>
              <w:rPr>
                <w:color w:val="000000"/>
              </w:rPr>
              <w:t>0.8</w:t>
            </w:r>
          </w:p>
        </w:tc>
        <w:tc>
          <w:tcPr>
            <w:tcW w:w="1146" w:type="dxa"/>
            <w:tcBorders>
              <w:left w:val="single" w:color="auto" w:sz="4" w:space="0"/>
            </w:tcBorders>
            <w:shd w:val="clear" w:color="auto" w:fill="auto"/>
          </w:tcPr>
          <w:p w:rsidRPr="007F620E" w:rsidR="00FA0E96" w:rsidP="00FA0E96" w:rsidRDefault="00FA0E96" w14:paraId="0D92DF54" w14:textId="22CEA46B">
            <w:pPr>
              <w:spacing w:before="60" w:after="60"/>
              <w:jc w:val="right"/>
              <w:rPr>
                <w:color w:val="000000"/>
              </w:rPr>
            </w:pPr>
            <w:r>
              <w:rPr>
                <w:color w:val="000000"/>
              </w:rPr>
              <w:t>$255.00</w:t>
            </w:r>
          </w:p>
        </w:tc>
        <w:tc>
          <w:tcPr>
            <w:tcW w:w="1881" w:type="dxa"/>
            <w:shd w:val="clear" w:color="auto" w:fill="auto"/>
          </w:tcPr>
          <w:p w:rsidRPr="007F620E" w:rsidR="00FA0E96" w:rsidP="00FA0E96" w:rsidRDefault="00FA0E96" w14:paraId="568E645E" w14:textId="44A86711">
            <w:pPr>
              <w:spacing w:before="60" w:after="60"/>
              <w:jc w:val="right"/>
              <w:rPr>
                <w:color w:val="000000"/>
              </w:rPr>
            </w:pPr>
            <w:r w:rsidRPr="00657709">
              <w:t xml:space="preserve">$204.00 </w:t>
            </w:r>
          </w:p>
        </w:tc>
      </w:tr>
      <w:tr w:rsidRPr="007F620E" w:rsidR="00822B8C" w:rsidTr="0039315E" w14:paraId="266CEDD5" w14:textId="77777777">
        <w:trPr>
          <w:jc w:val="center"/>
        </w:trPr>
        <w:tc>
          <w:tcPr>
            <w:tcW w:w="7178" w:type="dxa"/>
            <w:gridSpan w:val="8"/>
            <w:tcBorders>
              <w:bottom w:val="single" w:color="auto" w:sz="4" w:space="0"/>
              <w:right w:val="single" w:color="auto" w:sz="24" w:space="0"/>
            </w:tcBorders>
            <w:shd w:val="clear" w:color="auto" w:fill="auto"/>
          </w:tcPr>
          <w:p w:rsidRPr="00374FD1" w:rsidR="00822B8C" w:rsidP="00822B8C" w:rsidRDefault="00822B8C" w14:paraId="4A1F5988" w14:textId="5F31DAB4">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A731E8">
              <w:rPr>
                <w:b/>
                <w:i/>
                <w:color w:val="000000"/>
              </w:rPr>
              <w:t>8,996.50</w:t>
            </w:r>
          </w:p>
        </w:tc>
        <w:tc>
          <w:tcPr>
            <w:tcW w:w="3982" w:type="dxa"/>
            <w:gridSpan w:val="4"/>
            <w:tcBorders>
              <w:left w:val="single" w:color="auto" w:sz="24" w:space="0"/>
              <w:bottom w:val="single" w:color="auto" w:sz="4" w:space="0"/>
            </w:tcBorders>
            <w:shd w:val="clear" w:color="auto" w:fill="auto"/>
          </w:tcPr>
          <w:p w:rsidRPr="00374FD1" w:rsidR="00822B8C" w:rsidP="00822B8C" w:rsidRDefault="00822B8C" w14:paraId="2FBAA587" w14:textId="56A93732">
            <w:pPr>
              <w:tabs>
                <w:tab w:val="left" w:pos="957"/>
              </w:tabs>
              <w:spacing w:before="60" w:after="60"/>
              <w:ind w:right="162"/>
              <w:jc w:val="right"/>
              <w:rPr>
                <w:b/>
                <w:i/>
                <w:color w:val="000000"/>
              </w:rPr>
            </w:pPr>
            <w:r w:rsidRPr="007F620E">
              <w:rPr>
                <w:b/>
                <w:i/>
                <w:color w:val="000000"/>
              </w:rPr>
              <w:t xml:space="preserve">Subtotal: </w:t>
            </w:r>
            <w:r w:rsidRPr="00D44A1B" w:rsidR="00D44A1B">
              <w:rPr>
                <w:b/>
                <w:i/>
                <w:color w:val="000000"/>
              </w:rPr>
              <w:t>$5,956.50</w:t>
            </w:r>
          </w:p>
        </w:tc>
      </w:tr>
      <w:tr w:rsidRPr="007F620E" w:rsidR="00822B8C" w:rsidTr="0039315E" w14:paraId="06E7371A" w14:textId="77777777">
        <w:trPr>
          <w:jc w:val="center"/>
        </w:trPr>
        <w:tc>
          <w:tcPr>
            <w:tcW w:w="7178" w:type="dxa"/>
            <w:gridSpan w:val="8"/>
            <w:tcBorders>
              <w:top w:val="single" w:color="auto" w:sz="4" w:space="0"/>
              <w:bottom w:val="single" w:color="auto" w:sz="4" w:space="0"/>
              <w:right w:val="single" w:color="auto" w:sz="24" w:space="0"/>
            </w:tcBorders>
            <w:shd w:val="clear" w:color="auto" w:fill="E6E6E6"/>
          </w:tcPr>
          <w:p w:rsidRPr="00FE3BAE" w:rsidR="00822B8C" w:rsidP="00822B8C" w:rsidRDefault="00822B8C" w14:paraId="11B3B704" w14:textId="0DBC9A34">
            <w:pPr>
              <w:tabs>
                <w:tab w:val="left" w:pos="957"/>
              </w:tabs>
              <w:spacing w:before="60" w:after="60"/>
              <w:ind w:right="72"/>
              <w:jc w:val="right"/>
              <w:rPr>
                <w:b/>
                <w:color w:val="000000"/>
              </w:rPr>
            </w:pPr>
            <w:r w:rsidRPr="00374FD1">
              <w:rPr>
                <w:b/>
                <w:i/>
                <w:color w:val="000000"/>
              </w:rPr>
              <w:t>TOTAL REQUEST: $</w:t>
            </w:r>
            <w:r w:rsidR="00E32DDC">
              <w:rPr>
                <w:b/>
                <w:i/>
                <w:color w:val="000000"/>
              </w:rPr>
              <w:t>382,062.25</w:t>
            </w:r>
          </w:p>
        </w:tc>
        <w:tc>
          <w:tcPr>
            <w:tcW w:w="3982" w:type="dxa"/>
            <w:gridSpan w:val="4"/>
            <w:tcBorders>
              <w:left w:val="single" w:color="auto" w:sz="24" w:space="0"/>
            </w:tcBorders>
            <w:shd w:val="clear" w:color="auto" w:fill="E6E6E6"/>
          </w:tcPr>
          <w:p w:rsidR="00822B8C" w:rsidP="00822B8C" w:rsidRDefault="00D44A1B" w14:paraId="02DF395D" w14:textId="6892D626">
            <w:pPr>
              <w:tabs>
                <w:tab w:val="left" w:pos="957"/>
              </w:tabs>
              <w:spacing w:before="60" w:after="60"/>
              <w:ind w:right="72"/>
              <w:jc w:val="right"/>
              <w:rPr>
                <w:b/>
                <w:i/>
                <w:color w:val="000000"/>
              </w:rPr>
            </w:pPr>
            <w:r>
              <w:rPr>
                <w:b/>
                <w:i/>
                <w:color w:val="000000"/>
              </w:rPr>
              <w:t>SUB</w:t>
            </w:r>
            <w:r w:rsidRPr="00374FD1" w:rsidR="00822B8C">
              <w:rPr>
                <w:b/>
                <w:i/>
                <w:color w:val="000000"/>
              </w:rPr>
              <w:t>TOTAL AWARD: $</w:t>
            </w:r>
            <w:r w:rsidRPr="00D44A1B">
              <w:rPr>
                <w:b/>
                <w:i/>
                <w:color w:val="000000"/>
              </w:rPr>
              <w:t>347,308.15</w:t>
            </w:r>
          </w:p>
          <w:p w:rsidR="00DA10DE" w:rsidP="00FB08BC" w:rsidRDefault="00DA10DE" w14:paraId="30825CB1" w14:textId="7AFC4295">
            <w:pPr>
              <w:tabs>
                <w:tab w:val="left" w:pos="957"/>
              </w:tabs>
              <w:spacing w:before="60" w:after="60"/>
              <w:ind w:right="72"/>
              <w:rPr>
                <w:b/>
                <w:i/>
                <w:color w:val="000000"/>
              </w:rPr>
            </w:pPr>
            <w:r>
              <w:rPr>
                <w:b/>
                <w:i/>
                <w:color w:val="000000"/>
              </w:rPr>
              <w:t>-</w:t>
            </w:r>
            <w:r w:rsidR="000218B9">
              <w:rPr>
                <w:b/>
                <w:i/>
                <w:color w:val="000000"/>
              </w:rPr>
              <w:t>5% general reduction</w:t>
            </w:r>
            <w:r>
              <w:rPr>
                <w:b/>
                <w:i/>
                <w:color w:val="000000"/>
              </w:rPr>
              <w:t xml:space="preserve"> [1]</w:t>
            </w:r>
            <w:r w:rsidR="00D44A1B">
              <w:rPr>
                <w:b/>
                <w:i/>
                <w:color w:val="000000"/>
              </w:rPr>
              <w:t>:</w:t>
            </w:r>
            <w:r w:rsidR="00D44A1B">
              <w:t xml:space="preserve"> </w:t>
            </w:r>
            <w:r w:rsidRPr="00D44A1B" w:rsidR="00D44A1B">
              <w:rPr>
                <w:b/>
                <w:i/>
                <w:color w:val="000000"/>
              </w:rPr>
              <w:t>17,365.41</w:t>
            </w:r>
          </w:p>
          <w:p w:rsidRPr="00FE3BAE" w:rsidR="00DA10DE" w:rsidP="00822B8C" w:rsidRDefault="00D44A1B" w14:paraId="3680D139" w14:textId="7AE030B3">
            <w:pPr>
              <w:tabs>
                <w:tab w:val="left" w:pos="957"/>
              </w:tabs>
              <w:spacing w:before="60" w:after="60"/>
              <w:ind w:right="72"/>
              <w:jc w:val="right"/>
              <w:rPr>
                <w:b/>
                <w:color w:val="000000"/>
              </w:rPr>
            </w:pPr>
            <w:r>
              <w:rPr>
                <w:b/>
                <w:i/>
                <w:color w:val="000000"/>
              </w:rPr>
              <w:t xml:space="preserve">TOTAL AWARD = </w:t>
            </w:r>
            <w:r w:rsidRPr="00D44A1B">
              <w:rPr>
                <w:b/>
                <w:i/>
                <w:color w:val="000000"/>
              </w:rPr>
              <w:t>$329,942.74</w:t>
            </w:r>
          </w:p>
        </w:tc>
      </w:tr>
      <w:tr w:rsidRPr="007F620E" w:rsidR="00822B8C" w:rsidTr="0039315E" w14:paraId="6A909BC1" w14:textId="77777777">
        <w:trPr>
          <w:jc w:val="center"/>
        </w:trPr>
        <w:tc>
          <w:tcPr>
            <w:tcW w:w="11160" w:type="dxa"/>
            <w:gridSpan w:val="12"/>
            <w:tcBorders>
              <w:top w:val="single" w:color="auto" w:sz="4" w:space="0"/>
              <w:bottom w:val="single" w:color="auto" w:sz="4" w:space="0"/>
            </w:tcBorders>
            <w:shd w:val="clear" w:color="auto" w:fill="auto"/>
          </w:tcPr>
          <w:p w:rsidRPr="007F620E" w:rsidR="00822B8C" w:rsidP="00822B8C" w:rsidRDefault="00822B8C"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w:t>
            </w:r>
            <w:r w:rsidRPr="007F620E">
              <w:rPr>
                <w:color w:val="000000"/>
              </w:rPr>
              <w:lastRenderedPageBreak/>
              <w:t xml:space="preserve">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822B8C" w:rsidP="00822B8C" w:rsidRDefault="00822B8C"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822B8C" w:rsidTr="0039315E"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822B8C" w:rsidP="00822B8C" w:rsidRDefault="00822B8C" w14:paraId="48B43CBD" w14:textId="77777777">
            <w:pPr>
              <w:keepNext/>
              <w:spacing w:before="60" w:after="60"/>
              <w:jc w:val="center"/>
              <w:rPr>
                <w:b/>
                <w:smallCaps/>
                <w:color w:val="000000"/>
              </w:rPr>
            </w:pPr>
            <w:r w:rsidRPr="007F620E">
              <w:rPr>
                <w:b/>
                <w:smallCaps/>
                <w:color w:val="000000"/>
              </w:rPr>
              <w:lastRenderedPageBreak/>
              <w:t>ATTORNEY INFORMATION</w:t>
            </w:r>
          </w:p>
        </w:tc>
      </w:tr>
      <w:tr w:rsidRPr="00C16981" w:rsidR="00822B8C" w:rsidTr="0039315E" w14:paraId="790C92C0" w14:textId="77777777">
        <w:trPr>
          <w:trHeight w:val="173"/>
          <w:jc w:val="center"/>
        </w:trPr>
        <w:tc>
          <w:tcPr>
            <w:tcW w:w="2692" w:type="dxa"/>
            <w:gridSpan w:val="3"/>
            <w:tcBorders>
              <w:top w:val="single" w:color="auto" w:sz="4" w:space="0"/>
              <w:bottom w:val="single" w:color="auto" w:sz="4" w:space="0"/>
            </w:tcBorders>
            <w:shd w:val="clear" w:color="auto" w:fill="FFFFFF"/>
          </w:tcPr>
          <w:p w:rsidRPr="00C16981" w:rsidR="00822B8C" w:rsidP="00822B8C" w:rsidRDefault="00822B8C" w14:paraId="00CAC866" w14:textId="77777777">
            <w:pPr>
              <w:keepNext/>
              <w:keepLines/>
              <w:spacing w:before="60" w:after="60"/>
              <w:jc w:val="center"/>
              <w:rPr>
                <w:b/>
                <w:color w:val="000000"/>
                <w:sz w:val="22"/>
                <w:szCs w:val="22"/>
              </w:rPr>
            </w:pPr>
            <w:r w:rsidRPr="00C16981">
              <w:rPr>
                <w:b/>
                <w:sz w:val="22"/>
                <w:szCs w:val="22"/>
              </w:rPr>
              <w:t>Attorney</w:t>
            </w:r>
          </w:p>
        </w:tc>
        <w:tc>
          <w:tcPr>
            <w:tcW w:w="2343" w:type="dxa"/>
            <w:gridSpan w:val="3"/>
            <w:tcBorders>
              <w:top w:val="single" w:color="auto" w:sz="4" w:space="0"/>
              <w:bottom w:val="single" w:color="auto" w:sz="4" w:space="0"/>
            </w:tcBorders>
            <w:shd w:val="clear" w:color="auto" w:fill="FFFFFF"/>
          </w:tcPr>
          <w:p w:rsidRPr="00C16981" w:rsidR="00822B8C" w:rsidP="00822B8C" w:rsidRDefault="00822B8C"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3"/>
            </w:r>
          </w:p>
        </w:tc>
        <w:tc>
          <w:tcPr>
            <w:tcW w:w="3060" w:type="dxa"/>
            <w:gridSpan w:val="3"/>
            <w:tcBorders>
              <w:top w:val="single" w:color="auto" w:sz="4" w:space="0"/>
              <w:bottom w:val="single" w:color="auto" w:sz="4" w:space="0"/>
            </w:tcBorders>
            <w:shd w:val="clear" w:color="auto" w:fill="FFFFFF"/>
          </w:tcPr>
          <w:p w:rsidRPr="00C16981" w:rsidR="00822B8C" w:rsidP="00822B8C" w:rsidRDefault="00822B8C" w14:paraId="27E64ED7" w14:textId="77777777">
            <w:pPr>
              <w:keepNext/>
              <w:keepLines/>
              <w:spacing w:before="60" w:after="60"/>
              <w:jc w:val="center"/>
              <w:rPr>
                <w:b/>
                <w:color w:val="000000"/>
                <w:sz w:val="22"/>
                <w:szCs w:val="22"/>
              </w:rPr>
            </w:pPr>
            <w:r w:rsidRPr="00C16981">
              <w:rPr>
                <w:b/>
                <w:sz w:val="22"/>
                <w:szCs w:val="22"/>
              </w:rPr>
              <w:t>Member Number</w:t>
            </w:r>
          </w:p>
        </w:tc>
        <w:tc>
          <w:tcPr>
            <w:tcW w:w="3065" w:type="dxa"/>
            <w:gridSpan w:val="3"/>
            <w:tcBorders>
              <w:top w:val="single" w:color="auto" w:sz="4" w:space="0"/>
              <w:bottom w:val="single" w:color="auto" w:sz="4" w:space="0"/>
            </w:tcBorders>
            <w:shd w:val="clear" w:color="auto" w:fill="FFFFFF"/>
          </w:tcPr>
          <w:p w:rsidRPr="00C16981" w:rsidR="00822B8C" w:rsidP="00822B8C" w:rsidRDefault="00822B8C" w14:paraId="496B5DC1" w14:textId="77777777">
            <w:pPr>
              <w:keepNext/>
              <w:keepLines/>
              <w:spacing w:before="60" w:after="60"/>
              <w:jc w:val="center"/>
              <w:rPr>
                <w:b/>
                <w:sz w:val="22"/>
                <w:szCs w:val="22"/>
              </w:rPr>
            </w:pPr>
            <w:r w:rsidRPr="00C16981">
              <w:rPr>
                <w:b/>
                <w:sz w:val="22"/>
                <w:szCs w:val="22"/>
              </w:rPr>
              <w:t>Actions Affecting Eligibility (Yes/No?)</w:t>
            </w:r>
          </w:p>
          <w:p w:rsidRPr="00C16981" w:rsidR="00822B8C" w:rsidP="00822B8C" w:rsidRDefault="00822B8C"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822B8C" w:rsidTr="006E05EE"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7F620E" w:rsidR="00822B8C" w:rsidP="00822B8C" w:rsidRDefault="00822B8C" w14:paraId="7266B7BF" w14:textId="538CB38D">
            <w:pPr>
              <w:keepLines/>
              <w:spacing w:before="60" w:after="60"/>
              <w:jc w:val="center"/>
              <w:rPr>
                <w:color w:val="000000"/>
              </w:rPr>
            </w:pPr>
            <w:r w:rsidRPr="009F27B6">
              <w:rPr>
                <w:color w:val="000000"/>
              </w:rPr>
              <w:t>James M. Birkelund</w:t>
            </w:r>
          </w:p>
        </w:tc>
        <w:tc>
          <w:tcPr>
            <w:tcW w:w="2343" w:type="dxa"/>
            <w:gridSpan w:val="3"/>
            <w:tcBorders>
              <w:top w:val="single" w:color="auto" w:sz="4" w:space="0"/>
              <w:bottom w:val="single" w:color="auto" w:sz="4" w:space="0"/>
            </w:tcBorders>
            <w:shd w:val="clear" w:color="auto" w:fill="auto"/>
          </w:tcPr>
          <w:p w:rsidRPr="007F620E" w:rsidR="00822B8C" w:rsidP="00822B8C" w:rsidRDefault="00822B8C" w14:paraId="69A41F15" w14:textId="57D0FEEA">
            <w:pPr>
              <w:keepLines/>
              <w:spacing w:before="60" w:after="60"/>
              <w:jc w:val="center"/>
              <w:rPr>
                <w:color w:val="000000"/>
              </w:rPr>
            </w:pPr>
            <w:r w:rsidRPr="009F27B6">
              <w:rPr>
                <w:color w:val="000000"/>
              </w:rPr>
              <w:t>March 2000</w:t>
            </w:r>
          </w:p>
        </w:tc>
        <w:tc>
          <w:tcPr>
            <w:tcW w:w="3060" w:type="dxa"/>
            <w:gridSpan w:val="3"/>
            <w:tcBorders>
              <w:top w:val="single" w:color="auto" w:sz="4" w:space="0"/>
              <w:bottom w:val="single" w:color="auto" w:sz="4" w:space="0"/>
            </w:tcBorders>
            <w:shd w:val="clear" w:color="auto" w:fill="auto"/>
          </w:tcPr>
          <w:p w:rsidRPr="007F620E" w:rsidR="00822B8C" w:rsidP="00822B8C" w:rsidRDefault="00822B8C" w14:paraId="58495CD7" w14:textId="07D0454E">
            <w:pPr>
              <w:keepLines/>
              <w:spacing w:before="60" w:after="60"/>
              <w:jc w:val="center"/>
              <w:rPr>
                <w:color w:val="000000"/>
              </w:rPr>
            </w:pPr>
            <w:r w:rsidRPr="009F27B6">
              <w:rPr>
                <w:color w:val="000000"/>
              </w:rPr>
              <w:t>206328</w:t>
            </w:r>
          </w:p>
        </w:tc>
        <w:tc>
          <w:tcPr>
            <w:tcW w:w="3065" w:type="dxa"/>
            <w:gridSpan w:val="3"/>
            <w:tcBorders>
              <w:top w:val="single" w:color="auto" w:sz="4" w:space="0"/>
              <w:bottom w:val="single" w:color="auto" w:sz="4" w:space="0"/>
            </w:tcBorders>
            <w:shd w:val="clear" w:color="auto" w:fill="auto"/>
          </w:tcPr>
          <w:p w:rsidRPr="007F620E" w:rsidR="00822B8C" w:rsidP="00822B8C" w:rsidRDefault="00822B8C" w14:paraId="117B99BF" w14:textId="5BFF8332">
            <w:pPr>
              <w:keepLines/>
              <w:spacing w:before="60" w:after="60"/>
              <w:jc w:val="center"/>
              <w:rPr>
                <w:color w:val="000000"/>
              </w:rPr>
            </w:pPr>
            <w:r>
              <w:rPr>
                <w:color w:val="000000"/>
              </w:rPr>
              <w:t>No</w:t>
            </w:r>
          </w:p>
        </w:tc>
      </w:tr>
      <w:tr w:rsidRPr="007F620E" w:rsidR="00822B8C" w:rsidTr="006E05EE"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7F620E" w:rsidR="00822B8C" w:rsidP="00822B8C" w:rsidRDefault="00822B8C" w14:paraId="3D5F8F51" w14:textId="74590867">
            <w:pPr>
              <w:spacing w:before="60" w:after="60"/>
              <w:jc w:val="center"/>
              <w:rPr>
                <w:color w:val="000000"/>
              </w:rPr>
            </w:pPr>
            <w:r>
              <w:rPr>
                <w:color w:val="000000"/>
              </w:rPr>
              <w:t>Jennifer L. Weberski</w:t>
            </w:r>
          </w:p>
        </w:tc>
        <w:tc>
          <w:tcPr>
            <w:tcW w:w="2343" w:type="dxa"/>
            <w:gridSpan w:val="3"/>
            <w:tcBorders>
              <w:top w:val="single" w:color="auto" w:sz="4" w:space="0"/>
              <w:bottom w:val="single" w:color="auto" w:sz="4" w:space="0"/>
            </w:tcBorders>
            <w:shd w:val="clear" w:color="auto" w:fill="auto"/>
          </w:tcPr>
          <w:p w:rsidRPr="007F620E" w:rsidR="00822B8C" w:rsidP="00822B8C" w:rsidRDefault="00822B8C" w14:paraId="1609FC8E" w14:textId="45565AF2">
            <w:pPr>
              <w:spacing w:before="60" w:after="60"/>
              <w:jc w:val="center"/>
              <w:rPr>
                <w:color w:val="000000"/>
              </w:rPr>
            </w:pPr>
            <w:r w:rsidRPr="009F27B6">
              <w:t>Admitted (</w:t>
            </w:r>
            <w:r>
              <w:t xml:space="preserve">Connecticut, 1997; </w:t>
            </w:r>
            <w:r w:rsidRPr="009F27B6">
              <w:t>Washington D.C.</w:t>
            </w:r>
            <w:r>
              <w:t>, 2003)</w:t>
            </w:r>
            <w:r w:rsidRPr="009F27B6">
              <w:t xml:space="preserve"> </w:t>
            </w:r>
          </w:p>
        </w:tc>
        <w:tc>
          <w:tcPr>
            <w:tcW w:w="3060" w:type="dxa"/>
            <w:gridSpan w:val="3"/>
            <w:tcBorders>
              <w:top w:val="single" w:color="auto" w:sz="4" w:space="0"/>
              <w:bottom w:val="single" w:color="auto" w:sz="4" w:space="0"/>
            </w:tcBorders>
            <w:shd w:val="clear" w:color="auto" w:fill="auto"/>
          </w:tcPr>
          <w:p w:rsidRPr="007F620E" w:rsidR="00822B8C" w:rsidP="00822B8C" w:rsidRDefault="00822B8C" w14:paraId="182A9D2B" w14:textId="1B1383A8">
            <w:pPr>
              <w:spacing w:before="60" w:after="60"/>
              <w:jc w:val="center"/>
              <w:rPr>
                <w:color w:val="000000"/>
              </w:rPr>
            </w:pPr>
            <w:r w:rsidRPr="00AC00D4">
              <w:rPr>
                <w:sz w:val="23"/>
                <w:szCs w:val="23"/>
              </w:rPr>
              <w:t xml:space="preserve">Conn. Bar No. </w:t>
            </w:r>
            <w:r>
              <w:rPr>
                <w:sz w:val="23"/>
                <w:szCs w:val="23"/>
              </w:rPr>
              <w:t>414546</w:t>
            </w:r>
            <w:r w:rsidRPr="00AC00D4">
              <w:rPr>
                <w:sz w:val="23"/>
                <w:szCs w:val="23"/>
              </w:rPr>
              <w:t xml:space="preserve">;D.C. Bar No. </w:t>
            </w:r>
            <w:r>
              <w:rPr>
                <w:sz w:val="23"/>
                <w:szCs w:val="23"/>
              </w:rPr>
              <w:t>481853</w:t>
            </w:r>
            <w:r w:rsidRPr="00AC00D4">
              <w:rPr>
                <w:sz w:val="23"/>
                <w:szCs w:val="23"/>
              </w:rPr>
              <w:t xml:space="preserve">. Res. ALJ-393, p. </w:t>
            </w:r>
            <w:r>
              <w:rPr>
                <w:sz w:val="23"/>
                <w:szCs w:val="23"/>
              </w:rPr>
              <w:t>6</w:t>
            </w:r>
            <w:r w:rsidRPr="00AC00D4">
              <w:rPr>
                <w:sz w:val="23"/>
                <w:szCs w:val="23"/>
              </w:rPr>
              <w:t xml:space="preserve"> (attorneys </w:t>
            </w:r>
            <w:r>
              <w:rPr>
                <w:sz w:val="23"/>
                <w:szCs w:val="23"/>
              </w:rPr>
              <w:t xml:space="preserve">eligible for compensation </w:t>
            </w:r>
            <w:r w:rsidRPr="00AC00D4">
              <w:rPr>
                <w:sz w:val="23"/>
                <w:szCs w:val="23"/>
              </w:rPr>
              <w:t>can be licensed in any jurisdiction within the United States)</w:t>
            </w:r>
            <w:r>
              <w:rPr>
                <w:sz w:val="23"/>
                <w:szCs w:val="23"/>
              </w:rPr>
              <w:t>.</w:t>
            </w:r>
            <w:r w:rsidRPr="00AC00D4">
              <w:rPr>
                <w:sz w:val="23"/>
                <w:szCs w:val="23"/>
              </w:rPr>
              <w:t xml:space="preserve"> </w:t>
            </w:r>
          </w:p>
        </w:tc>
        <w:tc>
          <w:tcPr>
            <w:tcW w:w="3065" w:type="dxa"/>
            <w:gridSpan w:val="3"/>
            <w:tcBorders>
              <w:top w:val="single" w:color="auto" w:sz="4" w:space="0"/>
              <w:bottom w:val="single" w:color="auto" w:sz="4" w:space="0"/>
            </w:tcBorders>
            <w:shd w:val="clear" w:color="auto" w:fill="auto"/>
          </w:tcPr>
          <w:p w:rsidRPr="007F620E" w:rsidR="00822B8C" w:rsidP="00822B8C" w:rsidRDefault="00822B8C" w14:paraId="35DC3C56" w14:textId="7E86C33A">
            <w:pPr>
              <w:spacing w:before="60" w:after="60"/>
              <w:jc w:val="center"/>
              <w:rPr>
                <w:color w:val="000000"/>
              </w:rPr>
            </w:pPr>
            <w:r>
              <w:rPr>
                <w:color w:val="000000"/>
              </w:rPr>
              <w:t>No</w:t>
            </w:r>
          </w:p>
        </w:tc>
      </w:tr>
    </w:tbl>
    <w:p w:rsidR="0022302F" w:rsidP="005B5B44" w:rsidRDefault="00A92D0B" w14:paraId="67A6CABA" w14:textId="77777777">
      <w:pPr>
        <w:keepNext/>
        <w:numPr>
          <w:ilvl w:val="0"/>
          <w:numId w:val="9"/>
        </w:numPr>
        <w:spacing w:before="240"/>
        <w:rPr>
          <w:b/>
          <w:color w:val="000000"/>
        </w:rPr>
      </w:pPr>
      <w:r w:rsidRPr="005B5B44">
        <w:rPr>
          <w:b/>
          <w:color w:val="000000"/>
        </w:rPr>
        <w:t>Attachments</w:t>
      </w:r>
      <w:r w:rsidRPr="007F620E">
        <w:rPr>
          <w:b/>
        </w:rPr>
        <w:t xml:space="preserve"> Documenting Specific Claim and Comments on Part III</w:t>
      </w:r>
      <w:r w:rsidR="00C02649">
        <w:rPr>
          <w:b/>
        </w:rPr>
        <w:t>:</w:t>
      </w:r>
    </w:p>
    <w:p w:rsidRPr="00D36224" w:rsidR="00A92D0B" w:rsidP="0022302F" w:rsidRDefault="00A92D0B" w14:paraId="04BC309E" w14:textId="3F22434B">
      <w:pPr>
        <w:spacing w:after="240"/>
        <w:ind w:left="360"/>
        <w:rPr>
          <w:bCs/>
          <w:i/>
          <w:color w:val="000000"/>
          <w:u w:val="single"/>
        </w:rPr>
      </w:pPr>
      <w:r w:rsidRPr="00D36224">
        <w:rPr>
          <w:bCs/>
          <w:iCs/>
          <w:color w:val="000000"/>
        </w:rPr>
        <w:t xml:space="preserve">(attachments </w:t>
      </w:r>
      <w:r w:rsidRPr="00D36224" w:rsidR="0022302F">
        <w:rPr>
          <w:bCs/>
          <w:iCs/>
          <w:color w:val="000000"/>
        </w:rPr>
        <w:t>not attached to final Decision</w:t>
      </w:r>
      <w:r w:rsidRPr="00D36224" w:rsidR="00D36224">
        <w:rPr>
          <w:bCs/>
          <w:iCs/>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Attachment or Comment  #</w:t>
            </w:r>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A92D0B" w:rsidTr="006E05EE" w14:paraId="71F47148" w14:textId="77777777">
        <w:tc>
          <w:tcPr>
            <w:tcW w:w="1795" w:type="dxa"/>
            <w:tcBorders>
              <w:bottom w:val="single" w:color="auto" w:sz="4" w:space="0"/>
            </w:tcBorders>
            <w:shd w:val="clear" w:color="auto" w:fill="auto"/>
          </w:tcPr>
          <w:p w:rsidRPr="006E05EE" w:rsidR="00A92D0B" w:rsidP="001A3CF3" w:rsidRDefault="00C3708F" w14:paraId="7A5C03D8" w14:textId="50F5D67A">
            <w:pPr>
              <w:tabs>
                <w:tab w:val="left" w:pos="1260"/>
              </w:tabs>
              <w:rPr>
                <w:color w:val="000000"/>
              </w:rPr>
            </w:pPr>
            <w:r w:rsidRPr="006E05EE">
              <w:rPr>
                <w:color w:val="000000"/>
              </w:rPr>
              <w:t xml:space="preserve">Attachment </w:t>
            </w:r>
            <w:r w:rsidRPr="006E05EE" w:rsidR="00A92D0B">
              <w:rPr>
                <w:color w:val="000000"/>
              </w:rPr>
              <w:t>1</w:t>
            </w:r>
          </w:p>
        </w:tc>
        <w:tc>
          <w:tcPr>
            <w:tcW w:w="7565" w:type="dxa"/>
            <w:tcBorders>
              <w:bottom w:val="single" w:color="auto" w:sz="4" w:space="0"/>
            </w:tcBorders>
            <w:shd w:val="clear" w:color="auto" w:fill="auto"/>
          </w:tcPr>
          <w:p w:rsidRPr="006E05EE" w:rsidR="00A92D0B" w:rsidP="001A3CF3" w:rsidRDefault="00A92D0B" w14:paraId="370C67BC" w14:textId="77777777">
            <w:pPr>
              <w:tabs>
                <w:tab w:val="left" w:pos="1260"/>
              </w:tabs>
              <w:rPr>
                <w:color w:val="000000"/>
              </w:rPr>
            </w:pPr>
            <w:r w:rsidRPr="006E05EE">
              <w:rPr>
                <w:color w:val="000000"/>
              </w:rPr>
              <w:t>Certificate of Service</w:t>
            </w:r>
          </w:p>
        </w:tc>
      </w:tr>
      <w:tr w:rsidRPr="007F620E" w:rsidR="00C3708F" w:rsidTr="006E05EE" w14:paraId="72C869B0" w14:textId="77777777">
        <w:tc>
          <w:tcPr>
            <w:tcW w:w="1795" w:type="dxa"/>
            <w:shd w:val="clear" w:color="auto" w:fill="auto"/>
          </w:tcPr>
          <w:p w:rsidRPr="006E05EE" w:rsidR="00C3708F" w:rsidP="00C3708F" w:rsidRDefault="00C3708F" w14:paraId="49AADD21" w14:textId="4B0369F3">
            <w:pPr>
              <w:tabs>
                <w:tab w:val="left" w:pos="1260"/>
              </w:tabs>
              <w:rPr>
                <w:color w:val="000000"/>
              </w:rPr>
            </w:pPr>
            <w:r w:rsidRPr="006E05EE">
              <w:rPr>
                <w:color w:val="000000"/>
              </w:rPr>
              <w:t>Attachment 2</w:t>
            </w:r>
          </w:p>
        </w:tc>
        <w:tc>
          <w:tcPr>
            <w:tcW w:w="7565" w:type="dxa"/>
            <w:shd w:val="clear" w:color="auto" w:fill="auto"/>
          </w:tcPr>
          <w:p w:rsidRPr="006E05EE" w:rsidR="00C3708F" w:rsidP="00C3708F" w:rsidRDefault="00C3708F" w14:paraId="3AF20C23" w14:textId="37F2EA3C">
            <w:pPr>
              <w:tabs>
                <w:tab w:val="left" w:pos="1260"/>
              </w:tabs>
              <w:rPr>
                <w:color w:val="000000"/>
              </w:rPr>
            </w:pPr>
            <w:r w:rsidRPr="006E05EE">
              <w:rPr>
                <w:color w:val="000000"/>
              </w:rPr>
              <w:t>Timesheets of SBUA Attorneys</w:t>
            </w:r>
            <w:r w:rsidRPr="006E05EE" w:rsidR="00D82C21">
              <w:rPr>
                <w:color w:val="000000"/>
              </w:rPr>
              <w:t xml:space="preserve"> </w:t>
            </w:r>
            <w:r w:rsidRPr="006E05EE">
              <w:rPr>
                <w:color w:val="000000"/>
              </w:rPr>
              <w:t>and Resource Insight, Inc. Experts</w:t>
            </w:r>
          </w:p>
        </w:tc>
      </w:tr>
      <w:tr w:rsidRPr="007F620E" w:rsidR="00C3708F" w:rsidTr="006E05EE" w14:paraId="70367292" w14:textId="77777777">
        <w:tc>
          <w:tcPr>
            <w:tcW w:w="1795" w:type="dxa"/>
            <w:shd w:val="clear" w:color="auto" w:fill="auto"/>
          </w:tcPr>
          <w:p w:rsidRPr="006E05EE" w:rsidR="00C3708F" w:rsidP="00C3708F" w:rsidRDefault="00C3708F" w14:paraId="575EA770" w14:textId="73D64EAF">
            <w:pPr>
              <w:tabs>
                <w:tab w:val="left" w:pos="1260"/>
              </w:tabs>
              <w:rPr>
                <w:color w:val="000000"/>
              </w:rPr>
            </w:pPr>
            <w:r w:rsidRPr="006E05EE">
              <w:rPr>
                <w:color w:val="000000"/>
              </w:rPr>
              <w:t>Comment 1</w:t>
            </w:r>
          </w:p>
        </w:tc>
        <w:tc>
          <w:tcPr>
            <w:tcW w:w="7565" w:type="dxa"/>
            <w:shd w:val="clear" w:color="auto" w:fill="auto"/>
          </w:tcPr>
          <w:p w:rsidRPr="006E05EE" w:rsidR="00C3708F" w:rsidP="00C3708F" w:rsidRDefault="00C3708F" w14:paraId="7F959551" w14:textId="77777777">
            <w:pPr>
              <w:widowControl w:val="0"/>
              <w:tabs>
                <w:tab w:val="left" w:pos="1260"/>
              </w:tabs>
              <w:spacing w:before="120" w:after="120"/>
              <w:rPr>
                <w:color w:val="000000"/>
                <w:u w:val="single"/>
              </w:rPr>
            </w:pPr>
            <w:r w:rsidRPr="006E05EE">
              <w:rPr>
                <w:color w:val="000000"/>
                <w:u w:val="single"/>
              </w:rPr>
              <w:t>2022 Hourly Rate for Attorney Jennifer L. Weberski</w:t>
            </w:r>
          </w:p>
          <w:p w:rsidRPr="006E05EE" w:rsidR="00C3708F" w:rsidP="00C3708F" w:rsidRDefault="00C3708F" w14:paraId="654A589D" w14:textId="288E4D79">
            <w:pPr>
              <w:tabs>
                <w:tab w:val="left" w:pos="1260"/>
              </w:tabs>
              <w:rPr>
                <w:color w:val="000000"/>
              </w:rPr>
            </w:pPr>
            <w:r w:rsidRPr="006E05EE">
              <w:rPr>
                <w:color w:val="000000"/>
              </w:rPr>
              <w:t>The Commission set Ms. Weberski’s 2021 rate at $625 in D.22-01-012. For 2022, SBUA requests a step increase with the resultant rate for Ms. Weberski of $655 per hour (625*1.05, rounded to the nearest five, per D.13-05-009). Resolution ALJ-393 (p. 5) states that “intervenor representatives remain eligible to claim up to two five percent annual ‘step increases’ within each labor role experience level, so long as their final requested rate does not exceed the maximum approved rate for that experience level.” Ms. Weberski has not received a step increase for her experience level.</w:t>
            </w:r>
          </w:p>
        </w:tc>
      </w:tr>
      <w:tr w:rsidRPr="007F620E" w:rsidR="00907ACC" w:rsidTr="006E05EE" w14:paraId="451F71FF" w14:textId="77777777">
        <w:tc>
          <w:tcPr>
            <w:tcW w:w="1795" w:type="dxa"/>
            <w:shd w:val="clear" w:color="auto" w:fill="auto"/>
          </w:tcPr>
          <w:p w:rsidRPr="00C16DCE" w:rsidR="00907ACC" w:rsidP="00C3708F" w:rsidRDefault="00AD03E8" w14:paraId="12E0399F" w14:textId="395AE2FE">
            <w:pPr>
              <w:tabs>
                <w:tab w:val="left" w:pos="1260"/>
              </w:tabs>
              <w:rPr>
                <w:bCs/>
                <w:color w:val="000000"/>
              </w:rPr>
            </w:pPr>
            <w:r w:rsidRPr="00C16DCE">
              <w:rPr>
                <w:bCs/>
                <w:color w:val="000000"/>
              </w:rPr>
              <w:t xml:space="preserve">Comment </w:t>
            </w:r>
            <w:r>
              <w:rPr>
                <w:bCs/>
                <w:color w:val="000000"/>
              </w:rPr>
              <w:t>2</w:t>
            </w:r>
          </w:p>
        </w:tc>
        <w:tc>
          <w:tcPr>
            <w:tcW w:w="7565" w:type="dxa"/>
            <w:shd w:val="clear" w:color="auto" w:fill="auto"/>
          </w:tcPr>
          <w:p w:rsidR="00907ACC" w:rsidP="00C3708F" w:rsidRDefault="00907ACC" w14:paraId="5FF4F54B" w14:textId="77777777">
            <w:pPr>
              <w:widowControl w:val="0"/>
              <w:tabs>
                <w:tab w:val="left" w:pos="1260"/>
              </w:tabs>
              <w:spacing w:before="120" w:after="120"/>
              <w:rPr>
                <w:bCs/>
                <w:color w:val="000000"/>
                <w:u w:val="single"/>
              </w:rPr>
            </w:pPr>
            <w:r>
              <w:rPr>
                <w:bCs/>
                <w:color w:val="000000"/>
                <w:u w:val="single"/>
              </w:rPr>
              <w:t>2022 Hourly Rate for Paul Chernick</w:t>
            </w:r>
          </w:p>
          <w:p w:rsidRPr="005E4ED7" w:rsidR="00907ACC" w:rsidP="00907ACC" w:rsidRDefault="00907ACC" w14:paraId="3F0F32DF" w14:textId="14DE8D50">
            <w:pPr>
              <w:widowControl w:val="0"/>
              <w:tabs>
                <w:tab w:val="left" w:pos="1260"/>
              </w:tabs>
              <w:spacing w:before="120" w:after="120"/>
              <w:rPr>
                <w:bCs/>
                <w:color w:val="000000"/>
                <w:u w:val="single"/>
              </w:rPr>
            </w:pPr>
            <w:r w:rsidRPr="003677E6">
              <w:rPr>
                <w:bCs/>
                <w:color w:val="000000"/>
              </w:rPr>
              <w:t xml:space="preserve">The Commission set Mr. </w:t>
            </w:r>
            <w:r>
              <w:rPr>
                <w:bCs/>
                <w:color w:val="000000"/>
              </w:rPr>
              <w:t>Chernick’s</w:t>
            </w:r>
            <w:r w:rsidRPr="003677E6">
              <w:rPr>
                <w:bCs/>
                <w:color w:val="000000"/>
              </w:rPr>
              <w:t xml:space="preserve"> 20</w:t>
            </w:r>
            <w:r>
              <w:rPr>
                <w:bCs/>
                <w:color w:val="000000"/>
              </w:rPr>
              <w:t>21</w:t>
            </w:r>
            <w:r w:rsidRPr="003677E6">
              <w:rPr>
                <w:bCs/>
                <w:color w:val="000000"/>
              </w:rPr>
              <w:t xml:space="preserve"> rate at $</w:t>
            </w:r>
            <w:r>
              <w:rPr>
                <w:bCs/>
                <w:color w:val="000000"/>
              </w:rPr>
              <w:t xml:space="preserve">465 </w:t>
            </w:r>
            <w:r w:rsidRPr="00AD438A">
              <w:rPr>
                <w:bCs/>
                <w:color w:val="000000"/>
              </w:rPr>
              <w:t>in</w:t>
            </w:r>
            <w:r w:rsidRPr="00DE2D2A">
              <w:rPr>
                <w:rFonts w:asciiTheme="majorBidi" w:hAnsiTheme="majorBidi" w:cstheme="majorBidi"/>
                <w:color w:val="000000"/>
              </w:rPr>
              <w:t xml:space="preserve"> D.22-0</w:t>
            </w:r>
            <w:r>
              <w:rPr>
                <w:rFonts w:asciiTheme="majorBidi" w:hAnsiTheme="majorBidi" w:cstheme="majorBidi"/>
                <w:color w:val="000000"/>
              </w:rPr>
              <w:t>9-024</w:t>
            </w:r>
            <w:r>
              <w:rPr>
                <w:bCs/>
                <w:color w:val="000000"/>
              </w:rPr>
              <w:t xml:space="preserve"> for the labor role of Level V Public Policy Analyst.</w:t>
            </w:r>
            <w:r w:rsidRPr="003677E6">
              <w:rPr>
                <w:bCs/>
                <w:color w:val="000000"/>
              </w:rPr>
              <w:t xml:space="preserve"> For</w:t>
            </w:r>
            <w:r>
              <w:rPr>
                <w:bCs/>
                <w:color w:val="000000"/>
              </w:rPr>
              <w:t xml:space="preserve"> </w:t>
            </w:r>
            <w:r w:rsidRPr="003677E6">
              <w:rPr>
                <w:bCs/>
                <w:color w:val="000000"/>
              </w:rPr>
              <w:t>202</w:t>
            </w:r>
            <w:r>
              <w:rPr>
                <w:bCs/>
                <w:color w:val="000000"/>
              </w:rPr>
              <w:t>2</w:t>
            </w:r>
            <w:r w:rsidRPr="003677E6">
              <w:rPr>
                <w:bCs/>
                <w:color w:val="000000"/>
              </w:rPr>
              <w:t xml:space="preserve">, SBUA requests a </w:t>
            </w:r>
            <w:r w:rsidRPr="003677E6">
              <w:rPr>
                <w:bCs/>
                <w:color w:val="000000"/>
              </w:rPr>
              <w:lastRenderedPageBreak/>
              <w:t xml:space="preserve">step increase </w:t>
            </w:r>
            <w:r>
              <w:rPr>
                <w:bCs/>
                <w:color w:val="000000"/>
              </w:rPr>
              <w:t>with</w:t>
            </w:r>
            <w:r w:rsidRPr="003677E6">
              <w:rPr>
                <w:bCs/>
                <w:color w:val="000000"/>
              </w:rPr>
              <w:t xml:space="preserve"> the resultant</w:t>
            </w:r>
            <w:r>
              <w:rPr>
                <w:bCs/>
                <w:color w:val="000000"/>
              </w:rPr>
              <w:t xml:space="preserve"> </w:t>
            </w:r>
            <w:r w:rsidRPr="003677E6">
              <w:rPr>
                <w:bCs/>
                <w:color w:val="000000"/>
              </w:rPr>
              <w:t xml:space="preserve">rate for Mr. </w:t>
            </w:r>
            <w:r>
              <w:rPr>
                <w:bCs/>
                <w:color w:val="000000"/>
              </w:rPr>
              <w:t>Chernick</w:t>
            </w:r>
            <w:r w:rsidRPr="003677E6">
              <w:rPr>
                <w:bCs/>
                <w:color w:val="000000"/>
              </w:rPr>
              <w:t xml:space="preserve"> of $</w:t>
            </w:r>
            <w:r>
              <w:rPr>
                <w:bCs/>
                <w:color w:val="000000"/>
              </w:rPr>
              <w:t>520</w:t>
            </w:r>
            <w:r w:rsidRPr="003677E6">
              <w:rPr>
                <w:bCs/>
                <w:color w:val="000000"/>
              </w:rPr>
              <w:t xml:space="preserve"> per hour (</w:t>
            </w:r>
            <w:r>
              <w:rPr>
                <w:bCs/>
                <w:color w:val="000000"/>
              </w:rPr>
              <w:t>495</w:t>
            </w:r>
            <w:r w:rsidRPr="003677E6">
              <w:rPr>
                <w:bCs/>
                <w:color w:val="000000"/>
              </w:rPr>
              <w:t>*1.0</w:t>
            </w:r>
            <w:r>
              <w:rPr>
                <w:bCs/>
                <w:color w:val="000000"/>
              </w:rPr>
              <w:t>5</w:t>
            </w:r>
            <w:r w:rsidRPr="003677E6">
              <w:rPr>
                <w:bCs/>
                <w:color w:val="000000"/>
              </w:rPr>
              <w:t>, rounded to the nearest</w:t>
            </w:r>
            <w:r>
              <w:rPr>
                <w:bCs/>
                <w:color w:val="000000"/>
              </w:rPr>
              <w:t xml:space="preserve"> </w:t>
            </w:r>
            <w:r w:rsidRPr="003677E6">
              <w:rPr>
                <w:bCs/>
                <w:color w:val="000000"/>
              </w:rPr>
              <w:t>five, per D.13-05-009). Resolution ALJ-</w:t>
            </w:r>
            <w:r>
              <w:rPr>
                <w:bCs/>
                <w:color w:val="000000"/>
              </w:rPr>
              <w:t>393</w:t>
            </w:r>
            <w:r w:rsidRPr="003677E6">
              <w:rPr>
                <w:bCs/>
                <w:color w:val="000000"/>
              </w:rPr>
              <w:t xml:space="preserve"> </w:t>
            </w:r>
            <w:r>
              <w:rPr>
                <w:bCs/>
                <w:color w:val="000000"/>
              </w:rPr>
              <w:t xml:space="preserve">(p. 5) </w:t>
            </w:r>
            <w:r w:rsidRPr="003677E6">
              <w:rPr>
                <w:bCs/>
                <w:color w:val="000000"/>
              </w:rPr>
              <w:t xml:space="preserve">states that </w:t>
            </w:r>
            <w:r>
              <w:rPr>
                <w:bCs/>
                <w:color w:val="000000"/>
              </w:rPr>
              <w:t>“</w:t>
            </w:r>
            <w:r w:rsidRPr="00761E10">
              <w:rPr>
                <w:bCs/>
                <w:color w:val="000000"/>
              </w:rPr>
              <w:t xml:space="preserve">intervenor representatives remain eligible to claim up to two five percent annual </w:t>
            </w:r>
            <w:r>
              <w:rPr>
                <w:bCs/>
                <w:color w:val="000000"/>
              </w:rPr>
              <w:t>‘</w:t>
            </w:r>
            <w:r w:rsidRPr="00761E10">
              <w:rPr>
                <w:bCs/>
                <w:color w:val="000000"/>
              </w:rPr>
              <w:t>step increases</w:t>
            </w:r>
            <w:r>
              <w:rPr>
                <w:bCs/>
                <w:color w:val="000000"/>
              </w:rPr>
              <w:t>’</w:t>
            </w:r>
            <w:r w:rsidRPr="00761E10">
              <w:rPr>
                <w:bCs/>
                <w:color w:val="000000"/>
              </w:rPr>
              <w:t xml:space="preserve"> within each labor role experience level, so long as their final requested rate does not exceed the maximum approved rate for that experience level</w:t>
            </w:r>
            <w:r>
              <w:rPr>
                <w:bCs/>
                <w:color w:val="000000"/>
              </w:rPr>
              <w:t>.”</w:t>
            </w:r>
            <w:r w:rsidRPr="003677E6">
              <w:rPr>
                <w:bCs/>
                <w:color w:val="000000"/>
              </w:rPr>
              <w:t xml:space="preserve"> Mr. </w:t>
            </w:r>
            <w:r>
              <w:rPr>
                <w:bCs/>
                <w:color w:val="000000"/>
              </w:rPr>
              <w:t>Chernick</w:t>
            </w:r>
            <w:r w:rsidRPr="003677E6">
              <w:rPr>
                <w:bCs/>
                <w:color w:val="000000"/>
              </w:rPr>
              <w:t xml:space="preserve"> has not received a step increase for his</w:t>
            </w:r>
            <w:r>
              <w:rPr>
                <w:bCs/>
                <w:color w:val="000000"/>
              </w:rPr>
              <w:t xml:space="preserve"> </w:t>
            </w:r>
            <w:r w:rsidRPr="003677E6">
              <w:rPr>
                <w:bCs/>
                <w:color w:val="000000"/>
              </w:rPr>
              <w:t>experience</w:t>
            </w:r>
            <w:r>
              <w:rPr>
                <w:bCs/>
                <w:color w:val="000000"/>
              </w:rPr>
              <w:t xml:space="preserve"> </w:t>
            </w:r>
            <w:r w:rsidRPr="003677E6">
              <w:rPr>
                <w:bCs/>
                <w:color w:val="000000"/>
              </w:rPr>
              <w:t>level.</w:t>
            </w:r>
          </w:p>
        </w:tc>
      </w:tr>
      <w:tr w:rsidRPr="007F620E" w:rsidR="00907ACC" w:rsidTr="006E05EE" w14:paraId="43E40B8A" w14:textId="77777777">
        <w:tc>
          <w:tcPr>
            <w:tcW w:w="1795" w:type="dxa"/>
            <w:shd w:val="clear" w:color="auto" w:fill="auto"/>
          </w:tcPr>
          <w:p w:rsidRPr="00C16DCE" w:rsidR="00907ACC" w:rsidP="00C3708F" w:rsidRDefault="00AD03E8" w14:paraId="14CD3772" w14:textId="2727DEB6">
            <w:pPr>
              <w:tabs>
                <w:tab w:val="left" w:pos="1260"/>
              </w:tabs>
              <w:rPr>
                <w:bCs/>
                <w:color w:val="000000"/>
              </w:rPr>
            </w:pPr>
            <w:r w:rsidRPr="00C16DCE">
              <w:rPr>
                <w:bCs/>
                <w:color w:val="000000"/>
              </w:rPr>
              <w:lastRenderedPageBreak/>
              <w:t xml:space="preserve">Comment </w:t>
            </w:r>
            <w:r>
              <w:rPr>
                <w:bCs/>
                <w:color w:val="000000"/>
              </w:rPr>
              <w:t>3</w:t>
            </w:r>
          </w:p>
        </w:tc>
        <w:tc>
          <w:tcPr>
            <w:tcW w:w="7565" w:type="dxa"/>
            <w:shd w:val="clear" w:color="auto" w:fill="auto"/>
          </w:tcPr>
          <w:p w:rsidR="00907ACC" w:rsidP="00907ACC" w:rsidRDefault="00907ACC" w14:paraId="1F8FC319" w14:textId="1CC6ABF3">
            <w:pPr>
              <w:widowControl w:val="0"/>
              <w:tabs>
                <w:tab w:val="left" w:pos="1260"/>
              </w:tabs>
              <w:spacing w:before="120" w:after="120"/>
              <w:rPr>
                <w:bCs/>
                <w:color w:val="000000"/>
                <w:u w:val="single"/>
              </w:rPr>
            </w:pPr>
            <w:r>
              <w:rPr>
                <w:bCs/>
                <w:color w:val="000000"/>
                <w:u w:val="single"/>
              </w:rPr>
              <w:t>2022 Hourly Rate for John Wilson</w:t>
            </w:r>
          </w:p>
          <w:p w:rsidRPr="005E4ED7" w:rsidR="00907ACC" w:rsidP="00907ACC" w:rsidRDefault="00907ACC" w14:paraId="1FD4DB0C" w14:textId="32CD028E">
            <w:pPr>
              <w:widowControl w:val="0"/>
              <w:tabs>
                <w:tab w:val="left" w:pos="1260"/>
              </w:tabs>
              <w:spacing w:before="120" w:after="120"/>
              <w:rPr>
                <w:bCs/>
                <w:color w:val="000000"/>
                <w:u w:val="single"/>
              </w:rPr>
            </w:pPr>
            <w:r w:rsidRPr="003677E6">
              <w:rPr>
                <w:bCs/>
                <w:color w:val="000000"/>
              </w:rPr>
              <w:t xml:space="preserve">The Commission set Mr. </w:t>
            </w:r>
            <w:r>
              <w:rPr>
                <w:bCs/>
                <w:color w:val="000000"/>
              </w:rPr>
              <w:t>Wilson’s</w:t>
            </w:r>
            <w:r w:rsidRPr="003677E6">
              <w:rPr>
                <w:bCs/>
                <w:color w:val="000000"/>
              </w:rPr>
              <w:t xml:space="preserve"> 20</w:t>
            </w:r>
            <w:r>
              <w:rPr>
                <w:bCs/>
                <w:color w:val="000000"/>
              </w:rPr>
              <w:t>21</w:t>
            </w:r>
            <w:r w:rsidRPr="003677E6">
              <w:rPr>
                <w:bCs/>
                <w:color w:val="000000"/>
              </w:rPr>
              <w:t xml:space="preserve"> rate at $</w:t>
            </w:r>
            <w:r>
              <w:rPr>
                <w:bCs/>
                <w:color w:val="000000"/>
              </w:rPr>
              <w:t xml:space="preserve">380 </w:t>
            </w:r>
            <w:r w:rsidRPr="00AD438A">
              <w:rPr>
                <w:bCs/>
                <w:color w:val="000000"/>
              </w:rPr>
              <w:t>in</w:t>
            </w:r>
            <w:r w:rsidRPr="00DE2D2A">
              <w:rPr>
                <w:rFonts w:asciiTheme="majorBidi" w:hAnsiTheme="majorBidi" w:cstheme="majorBidi"/>
                <w:color w:val="000000"/>
              </w:rPr>
              <w:t xml:space="preserve"> D.22-0</w:t>
            </w:r>
            <w:r>
              <w:rPr>
                <w:rFonts w:asciiTheme="majorBidi" w:hAnsiTheme="majorBidi" w:cstheme="majorBidi"/>
                <w:color w:val="000000"/>
              </w:rPr>
              <w:t>9-024</w:t>
            </w:r>
            <w:r>
              <w:rPr>
                <w:bCs/>
                <w:color w:val="000000"/>
              </w:rPr>
              <w:t xml:space="preserve"> for the labor role of Level IV Public Policy Analyst.</w:t>
            </w:r>
            <w:r w:rsidRPr="003677E6">
              <w:rPr>
                <w:bCs/>
                <w:color w:val="000000"/>
              </w:rPr>
              <w:t xml:space="preserve"> For</w:t>
            </w:r>
            <w:r>
              <w:rPr>
                <w:bCs/>
                <w:color w:val="000000"/>
              </w:rPr>
              <w:t xml:space="preserve"> </w:t>
            </w:r>
            <w:r w:rsidRPr="003677E6">
              <w:rPr>
                <w:bCs/>
                <w:color w:val="000000"/>
              </w:rPr>
              <w:t>202</w:t>
            </w:r>
            <w:r>
              <w:rPr>
                <w:bCs/>
                <w:color w:val="000000"/>
              </w:rPr>
              <w:t>2</w:t>
            </w:r>
            <w:r w:rsidRPr="003677E6">
              <w:rPr>
                <w:bCs/>
                <w:color w:val="000000"/>
              </w:rPr>
              <w:t xml:space="preserve">, SBUA requests a step increase </w:t>
            </w:r>
            <w:r>
              <w:rPr>
                <w:bCs/>
                <w:color w:val="000000"/>
              </w:rPr>
              <w:t>with</w:t>
            </w:r>
            <w:r w:rsidRPr="003677E6">
              <w:rPr>
                <w:bCs/>
                <w:color w:val="000000"/>
              </w:rPr>
              <w:t xml:space="preserve"> the resultant</w:t>
            </w:r>
            <w:r>
              <w:rPr>
                <w:bCs/>
                <w:color w:val="000000"/>
              </w:rPr>
              <w:t xml:space="preserve"> </w:t>
            </w:r>
            <w:r w:rsidRPr="003677E6">
              <w:rPr>
                <w:bCs/>
                <w:color w:val="000000"/>
              </w:rPr>
              <w:t xml:space="preserve">rate for Mr. </w:t>
            </w:r>
            <w:r>
              <w:rPr>
                <w:bCs/>
                <w:color w:val="000000"/>
              </w:rPr>
              <w:t>Wilson</w:t>
            </w:r>
            <w:r w:rsidRPr="003677E6">
              <w:rPr>
                <w:bCs/>
                <w:color w:val="000000"/>
              </w:rPr>
              <w:t xml:space="preserve"> of $</w:t>
            </w:r>
            <w:r>
              <w:rPr>
                <w:bCs/>
                <w:color w:val="000000"/>
              </w:rPr>
              <w:t>400</w:t>
            </w:r>
            <w:r w:rsidRPr="003677E6">
              <w:rPr>
                <w:bCs/>
                <w:color w:val="000000"/>
              </w:rPr>
              <w:t xml:space="preserve"> per hour (</w:t>
            </w:r>
            <w:r>
              <w:rPr>
                <w:bCs/>
                <w:color w:val="000000"/>
              </w:rPr>
              <w:t>380</w:t>
            </w:r>
            <w:r w:rsidRPr="003677E6">
              <w:rPr>
                <w:bCs/>
                <w:color w:val="000000"/>
              </w:rPr>
              <w:t>*1.0</w:t>
            </w:r>
            <w:r>
              <w:rPr>
                <w:bCs/>
                <w:color w:val="000000"/>
              </w:rPr>
              <w:t>5</w:t>
            </w:r>
            <w:r w:rsidRPr="003677E6">
              <w:rPr>
                <w:bCs/>
                <w:color w:val="000000"/>
              </w:rPr>
              <w:t>, rounded to the nearest</w:t>
            </w:r>
            <w:r>
              <w:rPr>
                <w:bCs/>
                <w:color w:val="000000"/>
              </w:rPr>
              <w:t xml:space="preserve"> </w:t>
            </w:r>
            <w:r w:rsidRPr="003677E6">
              <w:rPr>
                <w:bCs/>
                <w:color w:val="000000"/>
              </w:rPr>
              <w:t>five, per D.13-05-009). Resolution ALJ-</w:t>
            </w:r>
            <w:r>
              <w:rPr>
                <w:bCs/>
                <w:color w:val="000000"/>
              </w:rPr>
              <w:t>393</w:t>
            </w:r>
            <w:r w:rsidRPr="003677E6">
              <w:rPr>
                <w:bCs/>
                <w:color w:val="000000"/>
              </w:rPr>
              <w:t xml:space="preserve"> </w:t>
            </w:r>
            <w:r>
              <w:rPr>
                <w:bCs/>
                <w:color w:val="000000"/>
              </w:rPr>
              <w:t xml:space="preserve">(p. 5) </w:t>
            </w:r>
            <w:r w:rsidRPr="003677E6">
              <w:rPr>
                <w:bCs/>
                <w:color w:val="000000"/>
              </w:rPr>
              <w:t xml:space="preserve">states that </w:t>
            </w:r>
            <w:r>
              <w:rPr>
                <w:bCs/>
                <w:color w:val="000000"/>
              </w:rPr>
              <w:t>“</w:t>
            </w:r>
            <w:r w:rsidRPr="00761E10">
              <w:rPr>
                <w:bCs/>
                <w:color w:val="000000"/>
              </w:rPr>
              <w:t xml:space="preserve">intervenor representatives remain eligible to claim up to two five percent annual </w:t>
            </w:r>
            <w:r>
              <w:rPr>
                <w:bCs/>
                <w:color w:val="000000"/>
              </w:rPr>
              <w:t>‘</w:t>
            </w:r>
            <w:r w:rsidRPr="00761E10">
              <w:rPr>
                <w:bCs/>
                <w:color w:val="000000"/>
              </w:rPr>
              <w:t>step increases</w:t>
            </w:r>
            <w:r>
              <w:rPr>
                <w:bCs/>
                <w:color w:val="000000"/>
              </w:rPr>
              <w:t>’</w:t>
            </w:r>
            <w:r w:rsidRPr="00761E10">
              <w:rPr>
                <w:bCs/>
                <w:color w:val="000000"/>
              </w:rPr>
              <w:t xml:space="preserve"> within each labor role experience level, so long as their final requested rate does not exceed the maximum approved rate for that experience level</w:t>
            </w:r>
            <w:r>
              <w:rPr>
                <w:bCs/>
                <w:color w:val="000000"/>
              </w:rPr>
              <w:t>.”</w:t>
            </w:r>
            <w:r w:rsidRPr="003677E6">
              <w:rPr>
                <w:bCs/>
                <w:color w:val="000000"/>
              </w:rPr>
              <w:t xml:space="preserve"> Mr. </w:t>
            </w:r>
            <w:r>
              <w:rPr>
                <w:bCs/>
                <w:color w:val="000000"/>
              </w:rPr>
              <w:t>Wilson</w:t>
            </w:r>
            <w:r w:rsidRPr="003677E6">
              <w:rPr>
                <w:bCs/>
                <w:color w:val="000000"/>
              </w:rPr>
              <w:t xml:space="preserve"> has not received a step increase for his</w:t>
            </w:r>
            <w:r>
              <w:rPr>
                <w:bCs/>
                <w:color w:val="000000"/>
              </w:rPr>
              <w:t xml:space="preserve"> </w:t>
            </w:r>
            <w:r w:rsidRPr="003677E6">
              <w:rPr>
                <w:bCs/>
                <w:color w:val="000000"/>
              </w:rPr>
              <w:t>experience</w:t>
            </w:r>
            <w:r>
              <w:rPr>
                <w:bCs/>
                <w:color w:val="000000"/>
              </w:rPr>
              <w:t xml:space="preserve"> </w:t>
            </w:r>
            <w:r w:rsidRPr="003677E6">
              <w:rPr>
                <w:bCs/>
                <w:color w:val="000000"/>
              </w:rPr>
              <w:t>level.</w:t>
            </w:r>
          </w:p>
        </w:tc>
      </w:tr>
      <w:tr w:rsidRPr="007F620E" w:rsidR="00C3708F" w:rsidTr="006E05EE" w14:paraId="1B4D40C9" w14:textId="77777777">
        <w:tc>
          <w:tcPr>
            <w:tcW w:w="1795" w:type="dxa"/>
            <w:shd w:val="clear" w:color="auto" w:fill="auto"/>
          </w:tcPr>
          <w:p w:rsidR="00C3708F" w:rsidP="00C3708F" w:rsidRDefault="00C3708F" w14:paraId="1775F24D" w14:textId="3F0C3407">
            <w:pPr>
              <w:tabs>
                <w:tab w:val="left" w:pos="1260"/>
              </w:tabs>
              <w:rPr>
                <w:bCs/>
                <w:color w:val="000000"/>
              </w:rPr>
            </w:pPr>
            <w:r w:rsidRPr="00C16DCE">
              <w:rPr>
                <w:bCs/>
                <w:color w:val="000000"/>
              </w:rPr>
              <w:t xml:space="preserve">Comment </w:t>
            </w:r>
            <w:r w:rsidR="00A731E8">
              <w:rPr>
                <w:bCs/>
                <w:color w:val="000000"/>
              </w:rPr>
              <w:t>4</w:t>
            </w:r>
          </w:p>
        </w:tc>
        <w:tc>
          <w:tcPr>
            <w:tcW w:w="7565" w:type="dxa"/>
            <w:shd w:val="clear" w:color="auto" w:fill="auto"/>
          </w:tcPr>
          <w:p w:rsidRPr="005E4ED7" w:rsidR="00C3708F" w:rsidP="00C3708F" w:rsidRDefault="00C3708F" w14:paraId="0EA72DF5" w14:textId="77777777">
            <w:pPr>
              <w:widowControl w:val="0"/>
              <w:tabs>
                <w:tab w:val="left" w:pos="1260"/>
              </w:tabs>
              <w:spacing w:before="120" w:after="120"/>
              <w:rPr>
                <w:bCs/>
                <w:color w:val="000000"/>
                <w:u w:val="single"/>
              </w:rPr>
            </w:pPr>
            <w:r w:rsidRPr="005E4ED7">
              <w:rPr>
                <w:bCs/>
                <w:color w:val="000000"/>
                <w:u w:val="single"/>
              </w:rPr>
              <w:t>2022 Hourly Rate for General Counsel James M. Birkelund</w:t>
            </w:r>
          </w:p>
          <w:p w:rsidRPr="00642893" w:rsidR="00C3708F" w:rsidP="00C3708F" w:rsidRDefault="00C3708F" w14:paraId="22DD352A" w14:textId="11811281">
            <w:pPr>
              <w:snapToGrid w:val="0"/>
              <w:spacing w:before="120"/>
              <w:rPr>
                <w:u w:val="single"/>
              </w:rPr>
            </w:pPr>
            <w:r w:rsidRPr="003677E6">
              <w:rPr>
                <w:bCs/>
                <w:color w:val="000000"/>
              </w:rPr>
              <w:t xml:space="preserve">The Commission set Mr. </w:t>
            </w:r>
            <w:r>
              <w:rPr>
                <w:bCs/>
                <w:color w:val="000000"/>
              </w:rPr>
              <w:t>Birkelund’s</w:t>
            </w:r>
            <w:r w:rsidRPr="003677E6">
              <w:rPr>
                <w:bCs/>
                <w:color w:val="000000"/>
              </w:rPr>
              <w:t xml:space="preserve"> 20</w:t>
            </w:r>
            <w:r>
              <w:rPr>
                <w:bCs/>
                <w:color w:val="000000"/>
              </w:rPr>
              <w:t>21</w:t>
            </w:r>
            <w:r w:rsidRPr="003677E6">
              <w:rPr>
                <w:bCs/>
                <w:color w:val="000000"/>
              </w:rPr>
              <w:t xml:space="preserve"> rate at $</w:t>
            </w:r>
            <w:r>
              <w:rPr>
                <w:bCs/>
                <w:color w:val="000000"/>
              </w:rPr>
              <w:t>6</w:t>
            </w:r>
            <w:r w:rsidR="00AD438A">
              <w:rPr>
                <w:bCs/>
                <w:color w:val="000000"/>
              </w:rPr>
              <w:t xml:space="preserve">50 </w:t>
            </w:r>
            <w:r w:rsidRPr="00AD438A" w:rsidR="00AD438A">
              <w:rPr>
                <w:bCs/>
                <w:color w:val="000000"/>
              </w:rPr>
              <w:t>in</w:t>
            </w:r>
            <w:r w:rsidRPr="00DE2D2A" w:rsidR="00AD438A">
              <w:rPr>
                <w:rFonts w:asciiTheme="majorBidi" w:hAnsiTheme="majorBidi" w:cstheme="majorBidi"/>
                <w:color w:val="000000"/>
              </w:rPr>
              <w:t xml:space="preserve"> D.22-08-047</w:t>
            </w:r>
            <w:r w:rsidR="00BB597E">
              <w:rPr>
                <w:rStyle w:val="FootnoteReference"/>
                <w:rFonts w:asciiTheme="majorBidi" w:hAnsiTheme="majorBidi" w:cstheme="majorBidi"/>
                <w:color w:val="000000"/>
              </w:rPr>
              <w:footnoteReference w:id="4"/>
            </w:r>
            <w:r>
              <w:rPr>
                <w:bCs/>
                <w:color w:val="000000"/>
              </w:rPr>
              <w:t xml:space="preserve"> for the labor role of Legal Director III</w:t>
            </w:r>
            <w:r w:rsidRPr="003677E6">
              <w:rPr>
                <w:bCs/>
                <w:color w:val="000000"/>
              </w:rPr>
              <w:t>. For</w:t>
            </w:r>
            <w:r>
              <w:rPr>
                <w:bCs/>
                <w:color w:val="000000"/>
              </w:rPr>
              <w:t xml:space="preserve"> </w:t>
            </w:r>
            <w:r w:rsidRPr="003677E6">
              <w:rPr>
                <w:bCs/>
                <w:color w:val="000000"/>
              </w:rPr>
              <w:t>202</w:t>
            </w:r>
            <w:r>
              <w:rPr>
                <w:bCs/>
                <w:color w:val="000000"/>
              </w:rPr>
              <w:t>2</w:t>
            </w:r>
            <w:r w:rsidRPr="003677E6">
              <w:rPr>
                <w:bCs/>
                <w:color w:val="000000"/>
              </w:rPr>
              <w:t xml:space="preserve">, SBUA requests a step increase </w:t>
            </w:r>
            <w:r>
              <w:rPr>
                <w:bCs/>
                <w:color w:val="000000"/>
              </w:rPr>
              <w:t>with</w:t>
            </w:r>
            <w:r w:rsidRPr="003677E6">
              <w:rPr>
                <w:bCs/>
                <w:color w:val="000000"/>
              </w:rPr>
              <w:t xml:space="preserve"> the resultant</w:t>
            </w:r>
            <w:r>
              <w:rPr>
                <w:bCs/>
                <w:color w:val="000000"/>
              </w:rPr>
              <w:t xml:space="preserve"> </w:t>
            </w:r>
            <w:r w:rsidRPr="003677E6">
              <w:rPr>
                <w:bCs/>
                <w:color w:val="000000"/>
              </w:rPr>
              <w:t xml:space="preserve">rate for Mr. </w:t>
            </w:r>
            <w:r>
              <w:rPr>
                <w:bCs/>
                <w:color w:val="000000"/>
              </w:rPr>
              <w:t>Birkelund</w:t>
            </w:r>
            <w:r w:rsidRPr="003677E6">
              <w:rPr>
                <w:bCs/>
                <w:color w:val="000000"/>
              </w:rPr>
              <w:t xml:space="preserve"> of $</w:t>
            </w:r>
            <w:r w:rsidR="005D1315">
              <w:rPr>
                <w:bCs/>
                <w:color w:val="000000"/>
              </w:rPr>
              <w:t>680</w:t>
            </w:r>
            <w:r w:rsidRPr="003677E6">
              <w:rPr>
                <w:bCs/>
                <w:color w:val="000000"/>
              </w:rPr>
              <w:t xml:space="preserve"> per hour (</w:t>
            </w:r>
            <w:r>
              <w:rPr>
                <w:bCs/>
                <w:color w:val="000000"/>
              </w:rPr>
              <w:t>6</w:t>
            </w:r>
            <w:r w:rsidR="005D1315">
              <w:rPr>
                <w:bCs/>
                <w:color w:val="000000"/>
              </w:rPr>
              <w:t>50</w:t>
            </w:r>
            <w:r w:rsidRPr="003677E6">
              <w:rPr>
                <w:bCs/>
                <w:color w:val="000000"/>
              </w:rPr>
              <w:t>*1.0</w:t>
            </w:r>
            <w:r>
              <w:rPr>
                <w:bCs/>
                <w:color w:val="000000"/>
              </w:rPr>
              <w:t>5</w:t>
            </w:r>
            <w:r w:rsidRPr="003677E6">
              <w:rPr>
                <w:bCs/>
                <w:color w:val="000000"/>
              </w:rPr>
              <w:t>, rounded to the nearest</w:t>
            </w:r>
            <w:r>
              <w:rPr>
                <w:bCs/>
                <w:color w:val="000000"/>
              </w:rPr>
              <w:t xml:space="preserve"> </w:t>
            </w:r>
            <w:r w:rsidRPr="003677E6">
              <w:rPr>
                <w:bCs/>
                <w:color w:val="000000"/>
              </w:rPr>
              <w:t>five, per D.13-05-009). Resolution ALJ-</w:t>
            </w:r>
            <w:r>
              <w:rPr>
                <w:bCs/>
                <w:color w:val="000000"/>
              </w:rPr>
              <w:t>393</w:t>
            </w:r>
            <w:r w:rsidRPr="003677E6">
              <w:rPr>
                <w:bCs/>
                <w:color w:val="000000"/>
              </w:rPr>
              <w:t xml:space="preserve"> </w:t>
            </w:r>
            <w:r>
              <w:rPr>
                <w:bCs/>
                <w:color w:val="000000"/>
              </w:rPr>
              <w:t xml:space="preserve">(p. 5) </w:t>
            </w:r>
            <w:r w:rsidRPr="003677E6">
              <w:rPr>
                <w:bCs/>
                <w:color w:val="000000"/>
              </w:rPr>
              <w:t xml:space="preserve">states that </w:t>
            </w:r>
            <w:r>
              <w:rPr>
                <w:bCs/>
                <w:color w:val="000000"/>
              </w:rPr>
              <w:t>“</w:t>
            </w:r>
            <w:r w:rsidRPr="00761E10">
              <w:rPr>
                <w:bCs/>
                <w:color w:val="000000"/>
              </w:rPr>
              <w:t xml:space="preserve">intervenor representatives remain eligible to claim up to two five percent annual </w:t>
            </w:r>
            <w:r>
              <w:rPr>
                <w:bCs/>
                <w:color w:val="000000"/>
              </w:rPr>
              <w:t>‘</w:t>
            </w:r>
            <w:r w:rsidRPr="00761E10">
              <w:rPr>
                <w:bCs/>
                <w:color w:val="000000"/>
              </w:rPr>
              <w:t>step increases</w:t>
            </w:r>
            <w:r>
              <w:rPr>
                <w:bCs/>
                <w:color w:val="000000"/>
              </w:rPr>
              <w:t>’</w:t>
            </w:r>
            <w:r w:rsidRPr="00761E10">
              <w:rPr>
                <w:bCs/>
                <w:color w:val="000000"/>
              </w:rPr>
              <w:t xml:space="preserve"> within each labor role experience level, so long as their final requested rate does not exceed the maximum approved rate for that experience level</w:t>
            </w:r>
            <w:r>
              <w:rPr>
                <w:bCs/>
                <w:color w:val="000000"/>
              </w:rPr>
              <w:t>.”</w:t>
            </w:r>
            <w:r w:rsidRPr="003677E6">
              <w:rPr>
                <w:bCs/>
                <w:color w:val="000000"/>
              </w:rPr>
              <w:t xml:space="preserve"> Mr. </w:t>
            </w:r>
            <w:r>
              <w:rPr>
                <w:bCs/>
                <w:color w:val="000000"/>
              </w:rPr>
              <w:t>Birkelund</w:t>
            </w:r>
            <w:r w:rsidRPr="003677E6">
              <w:rPr>
                <w:bCs/>
                <w:color w:val="000000"/>
              </w:rPr>
              <w:t xml:space="preserve"> has not received a step increase for his</w:t>
            </w:r>
            <w:r>
              <w:rPr>
                <w:bCs/>
                <w:color w:val="000000"/>
              </w:rPr>
              <w:t xml:space="preserve"> </w:t>
            </w:r>
            <w:r w:rsidRPr="003677E6">
              <w:rPr>
                <w:bCs/>
                <w:color w:val="000000"/>
              </w:rPr>
              <w:t>experience</w:t>
            </w:r>
            <w:r>
              <w:rPr>
                <w:bCs/>
                <w:color w:val="000000"/>
              </w:rPr>
              <w:t xml:space="preserve"> </w:t>
            </w:r>
            <w:r w:rsidRPr="003677E6">
              <w:rPr>
                <w:bCs/>
                <w:color w:val="000000"/>
              </w:rPr>
              <w:t xml:space="preserve">level. </w:t>
            </w:r>
          </w:p>
        </w:tc>
      </w:tr>
      <w:tr w:rsidRPr="007F620E" w:rsidR="00CF5E43" w:rsidTr="006E05EE" w14:paraId="4F3B73B5" w14:textId="77777777">
        <w:tc>
          <w:tcPr>
            <w:tcW w:w="1795" w:type="dxa"/>
            <w:shd w:val="clear" w:color="auto" w:fill="auto"/>
          </w:tcPr>
          <w:p w:rsidRPr="00C16DCE" w:rsidR="00CF5E43" w:rsidP="00CF5E43" w:rsidRDefault="00CF5E43" w14:paraId="0149E094" w14:textId="39F81504">
            <w:pPr>
              <w:tabs>
                <w:tab w:val="left" w:pos="1260"/>
              </w:tabs>
              <w:rPr>
                <w:bCs/>
                <w:color w:val="000000"/>
              </w:rPr>
            </w:pPr>
            <w:r>
              <w:rPr>
                <w:color w:val="000000"/>
              </w:rPr>
              <w:t xml:space="preserve">Comment </w:t>
            </w:r>
            <w:r w:rsidR="00822B8C">
              <w:rPr>
                <w:color w:val="000000"/>
              </w:rPr>
              <w:t>3</w:t>
            </w:r>
          </w:p>
        </w:tc>
        <w:tc>
          <w:tcPr>
            <w:tcW w:w="7565" w:type="dxa"/>
            <w:shd w:val="clear" w:color="auto" w:fill="auto"/>
          </w:tcPr>
          <w:p w:rsidRPr="005E4ED7" w:rsidR="00CF5E43" w:rsidP="00CF5E43" w:rsidRDefault="00CF5E43" w14:paraId="0A3931E2" w14:textId="26E12A6C">
            <w:pPr>
              <w:widowControl w:val="0"/>
              <w:tabs>
                <w:tab w:val="left" w:pos="1260"/>
              </w:tabs>
              <w:spacing w:before="120" w:after="120"/>
              <w:rPr>
                <w:bCs/>
                <w:color w:val="000000"/>
                <w:u w:val="single"/>
              </w:rPr>
            </w:pPr>
            <w:r w:rsidRPr="005F3363">
              <w:rPr>
                <w:bCs/>
                <w:color w:val="000000"/>
              </w:rPr>
              <w:t>For 2022</w:t>
            </w:r>
            <w:r>
              <w:rPr>
                <w:bCs/>
                <w:color w:val="000000"/>
              </w:rPr>
              <w:t xml:space="preserve"> hourly rates</w:t>
            </w:r>
            <w:r w:rsidRPr="005F3363">
              <w:rPr>
                <w:bCs/>
                <w:color w:val="000000"/>
              </w:rPr>
              <w:t xml:space="preserve">, </w:t>
            </w:r>
            <w:r>
              <w:rPr>
                <w:bCs/>
                <w:color w:val="000000"/>
              </w:rPr>
              <w:t>SBUA</w:t>
            </w:r>
            <w:r w:rsidRPr="005F3363">
              <w:rPr>
                <w:bCs/>
                <w:color w:val="000000"/>
              </w:rPr>
              <w:t xml:space="preserve"> requests that the Commission apply </w:t>
            </w:r>
            <w:r>
              <w:rPr>
                <w:bCs/>
                <w:color w:val="000000"/>
              </w:rPr>
              <w:t>any</w:t>
            </w:r>
            <w:r w:rsidRPr="005F3363">
              <w:rPr>
                <w:bCs/>
                <w:color w:val="000000"/>
              </w:rPr>
              <w:t xml:space="preserve"> approved annual escalation </w:t>
            </w:r>
            <w:r>
              <w:rPr>
                <w:bCs/>
                <w:color w:val="000000"/>
              </w:rPr>
              <w:t xml:space="preserve">in </w:t>
            </w:r>
            <w:r w:rsidRPr="005F3363">
              <w:rPr>
                <w:bCs/>
                <w:color w:val="000000"/>
              </w:rPr>
              <w:t>rate</w:t>
            </w:r>
            <w:r>
              <w:rPr>
                <w:bCs/>
                <w:color w:val="000000"/>
              </w:rPr>
              <w:t xml:space="preserve">s to SBUA’s attorneys and experts. </w:t>
            </w:r>
            <w:r w:rsidRPr="005F3363">
              <w:rPr>
                <w:bCs/>
                <w:color w:val="000000"/>
              </w:rPr>
              <w:t>Resolution ALJ-393</w:t>
            </w:r>
            <w:r>
              <w:rPr>
                <w:bCs/>
                <w:color w:val="000000"/>
              </w:rPr>
              <w:t xml:space="preserve"> provides for an annual rate escalator that is automatically applicable (</w:t>
            </w:r>
            <w:r w:rsidRPr="009657B6">
              <w:rPr>
                <w:bCs/>
                <w:i/>
                <w:iCs/>
                <w:color w:val="000000"/>
              </w:rPr>
              <w:t>see</w:t>
            </w:r>
            <w:r>
              <w:rPr>
                <w:bCs/>
                <w:color w:val="000000"/>
              </w:rPr>
              <w:t xml:space="preserve"> p. 4); however, at the time of this filing, the Commission had not yet calculated the escalator for</w:t>
            </w:r>
            <w:r w:rsidRPr="005F3363">
              <w:rPr>
                <w:bCs/>
                <w:color w:val="000000"/>
              </w:rPr>
              <w:t xml:space="preserve"> 2022.</w:t>
            </w:r>
          </w:p>
        </w:tc>
      </w:tr>
    </w:tbl>
    <w:p w:rsidRPr="007F620E" w:rsidR="00A92D0B" w:rsidP="005B5B44" w:rsidRDefault="00A92D0B" w14:paraId="0D8B7003" w14:textId="6BA13AD1">
      <w:pPr>
        <w:keepNext/>
        <w:numPr>
          <w:ilvl w:val="0"/>
          <w:numId w:val="9"/>
        </w:numPr>
        <w:spacing w:before="240" w:after="240"/>
        <w:rPr>
          <w:b/>
          <w:color w:val="000000"/>
        </w:rPr>
      </w:pPr>
      <w:r w:rsidRPr="007F620E">
        <w:rPr>
          <w:b/>
          <w:color w:val="000000"/>
        </w:rPr>
        <w:lastRenderedPageBreak/>
        <w:t xml:space="preserve">CPUC </w:t>
      </w:r>
      <w:r w:rsidR="008C09F7">
        <w:rPr>
          <w:b/>
          <w:color w:val="000000"/>
        </w:rPr>
        <w:t xml:space="preserve">Comments, </w:t>
      </w:r>
      <w:r w:rsidRPr="007F620E">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03"/>
        <w:gridCol w:w="7757"/>
      </w:tblGrid>
      <w:tr w:rsidRPr="007F620E" w:rsidR="00A92D0B" w:rsidTr="004A1B96" w14:paraId="52CD0603" w14:textId="77777777">
        <w:trPr>
          <w:tblHeader/>
        </w:trPr>
        <w:tc>
          <w:tcPr>
            <w:tcW w:w="1603"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757"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4A1B96" w14:paraId="69DEE01C" w14:textId="77777777">
        <w:tc>
          <w:tcPr>
            <w:tcW w:w="1603" w:type="dxa"/>
            <w:shd w:val="clear" w:color="auto" w:fill="auto"/>
          </w:tcPr>
          <w:p w:rsidRPr="007F620E" w:rsidR="00A92D0B" w:rsidP="00EB64CF" w:rsidRDefault="00DB71BB" w14:paraId="1E6C8F3D" w14:textId="536C0B72">
            <w:pPr>
              <w:tabs>
                <w:tab w:val="left" w:pos="1440"/>
              </w:tabs>
              <w:rPr>
                <w:color w:val="000000"/>
              </w:rPr>
            </w:pPr>
            <w:r>
              <w:rPr>
                <w:color w:val="000000"/>
              </w:rPr>
              <w:t>[1]</w:t>
            </w:r>
            <w:r w:rsidR="00B804B5">
              <w:rPr>
                <w:color w:val="000000"/>
              </w:rPr>
              <w:t xml:space="preserve"> General Disallowance for Vague Allocation of Time By Issue</w:t>
            </w:r>
          </w:p>
        </w:tc>
        <w:tc>
          <w:tcPr>
            <w:tcW w:w="7757" w:type="dxa"/>
            <w:shd w:val="clear" w:color="auto" w:fill="auto"/>
          </w:tcPr>
          <w:p w:rsidR="00A92D0B" w:rsidP="00EB64CF" w:rsidRDefault="008A22D8" w14:paraId="4528673D" w14:textId="7CD3E546">
            <w:pPr>
              <w:tabs>
                <w:tab w:val="left" w:pos="1440"/>
              </w:tabs>
              <w:rPr>
                <w:color w:val="000000"/>
              </w:rPr>
            </w:pPr>
            <w:r>
              <w:rPr>
                <w:color w:val="000000"/>
              </w:rPr>
              <w:t xml:space="preserve">SBUA’s </w:t>
            </w:r>
            <w:r w:rsidR="00C9359A">
              <w:rPr>
                <w:color w:val="000000"/>
              </w:rPr>
              <w:t xml:space="preserve">list of </w:t>
            </w:r>
            <w:r w:rsidR="003C387E">
              <w:rPr>
                <w:color w:val="000000"/>
              </w:rPr>
              <w:t>substantial</w:t>
            </w:r>
            <w:r w:rsidR="005D4A70">
              <w:rPr>
                <w:color w:val="000000"/>
              </w:rPr>
              <w:t xml:space="preserve"> </w:t>
            </w:r>
            <w:r w:rsidR="003C387E">
              <w:rPr>
                <w:color w:val="000000"/>
              </w:rPr>
              <w:t>contributions</w:t>
            </w:r>
            <w:r w:rsidR="005D4A70">
              <w:rPr>
                <w:color w:val="000000"/>
              </w:rPr>
              <w:t xml:space="preserve"> in </w:t>
            </w:r>
            <w:r w:rsidR="003C387E">
              <w:rPr>
                <w:color w:val="000000"/>
              </w:rPr>
              <w:t xml:space="preserve">Part II.A. </w:t>
            </w:r>
            <w:r w:rsidR="005D4A70">
              <w:rPr>
                <w:color w:val="000000"/>
              </w:rPr>
              <w:t>w</w:t>
            </w:r>
            <w:r w:rsidR="001F55C1">
              <w:rPr>
                <w:color w:val="000000"/>
              </w:rPr>
              <w:t>as</w:t>
            </w:r>
            <w:r w:rsidR="005D4A70">
              <w:rPr>
                <w:color w:val="000000"/>
              </w:rPr>
              <w:t xml:space="preserve"> </w:t>
            </w:r>
            <w:r w:rsidR="005567CF">
              <w:rPr>
                <w:color w:val="000000"/>
              </w:rPr>
              <w:t xml:space="preserve">at times duplicative and </w:t>
            </w:r>
            <w:r w:rsidR="005D4A70">
              <w:rPr>
                <w:color w:val="000000"/>
              </w:rPr>
              <w:t xml:space="preserve">not </w:t>
            </w:r>
            <w:r w:rsidR="003C387E">
              <w:rPr>
                <w:color w:val="000000"/>
              </w:rPr>
              <w:t xml:space="preserve">labeled in a manner </w:t>
            </w:r>
            <w:r w:rsidR="005D4A70">
              <w:rPr>
                <w:color w:val="000000"/>
              </w:rPr>
              <w:t>consistent</w:t>
            </w:r>
            <w:r w:rsidR="003C387E">
              <w:rPr>
                <w:color w:val="000000"/>
              </w:rPr>
              <w:t xml:space="preserve"> with the </w:t>
            </w:r>
            <w:r w:rsidR="00CC6F3C">
              <w:rPr>
                <w:color w:val="000000"/>
              </w:rPr>
              <w:t>issues by which hours were allocated in Part III.</w:t>
            </w:r>
            <w:r w:rsidR="003C459D">
              <w:rPr>
                <w:color w:val="000000"/>
              </w:rPr>
              <w:t>A.c</w:t>
            </w:r>
            <w:r w:rsidR="00703C06">
              <w:rPr>
                <w:color w:val="000000"/>
              </w:rPr>
              <w:t xml:space="preserve">. </w:t>
            </w:r>
          </w:p>
          <w:p w:rsidR="00B97DC5" w:rsidP="00EB64CF" w:rsidRDefault="00B97DC5" w14:paraId="2D34B12F" w14:textId="77777777">
            <w:pPr>
              <w:tabs>
                <w:tab w:val="left" w:pos="1440"/>
              </w:tabs>
              <w:rPr>
                <w:color w:val="000000"/>
              </w:rPr>
            </w:pPr>
          </w:p>
          <w:p w:rsidR="00B97DC5" w:rsidP="00EB64CF" w:rsidRDefault="00703C06" w14:paraId="33C20D53" w14:textId="11640DF6">
            <w:pPr>
              <w:tabs>
                <w:tab w:val="left" w:pos="1440"/>
              </w:tabs>
              <w:rPr>
                <w:color w:val="000000"/>
              </w:rPr>
            </w:pPr>
            <w:r>
              <w:rPr>
                <w:color w:val="000000"/>
              </w:rPr>
              <w:t>For example, i</w:t>
            </w:r>
            <w:r w:rsidR="00C629AE">
              <w:rPr>
                <w:color w:val="000000"/>
              </w:rPr>
              <w:t xml:space="preserve">n Part. </w:t>
            </w:r>
            <w:r w:rsidR="000F54D7">
              <w:rPr>
                <w:color w:val="000000"/>
              </w:rPr>
              <w:t xml:space="preserve">II.A., </w:t>
            </w:r>
            <w:r w:rsidR="00B97DC5">
              <w:rPr>
                <w:color w:val="000000"/>
              </w:rPr>
              <w:t>SBUA identifies 4 settlements</w:t>
            </w:r>
            <w:r w:rsidR="00361BF1">
              <w:rPr>
                <w:color w:val="000000"/>
              </w:rPr>
              <w:t xml:space="preserve"> </w:t>
            </w:r>
            <w:r w:rsidR="00C629AE">
              <w:rPr>
                <w:color w:val="000000"/>
              </w:rPr>
              <w:t xml:space="preserve">as a substantial contribution </w:t>
            </w:r>
            <w:r w:rsidR="00361BF1">
              <w:rPr>
                <w:color w:val="000000"/>
              </w:rPr>
              <w:t>under “overall”</w:t>
            </w:r>
            <w:r w:rsidR="00B76602">
              <w:rPr>
                <w:color w:val="000000"/>
              </w:rPr>
              <w:t xml:space="preserve"> and then lists them again under </w:t>
            </w:r>
            <w:r w:rsidR="00791324">
              <w:rPr>
                <w:color w:val="000000"/>
              </w:rPr>
              <w:t>“</w:t>
            </w:r>
            <w:r w:rsidR="0040113F">
              <w:rPr>
                <w:color w:val="000000"/>
              </w:rPr>
              <w:t>D.21</w:t>
            </w:r>
            <w:r w:rsidR="00791324">
              <w:rPr>
                <w:color w:val="000000"/>
              </w:rPr>
              <w:t>-11-016 settlements” and “</w:t>
            </w:r>
            <w:r w:rsidR="00C629AE">
              <w:rPr>
                <w:color w:val="000000"/>
              </w:rPr>
              <w:t>D.22-08-002</w:t>
            </w:r>
            <w:r w:rsidR="005E24FA">
              <w:rPr>
                <w:color w:val="000000"/>
              </w:rPr>
              <w:t xml:space="preserve"> </w:t>
            </w:r>
            <w:r w:rsidR="00C629AE">
              <w:rPr>
                <w:color w:val="000000"/>
              </w:rPr>
              <w:t xml:space="preserve">MGCC Study and RTP settlement.” </w:t>
            </w:r>
            <w:r w:rsidR="00EA0180">
              <w:rPr>
                <w:color w:val="000000"/>
              </w:rPr>
              <w:t xml:space="preserve"> I</w:t>
            </w:r>
            <w:r w:rsidR="00E72E83">
              <w:rPr>
                <w:color w:val="000000"/>
              </w:rPr>
              <w:t xml:space="preserve">n Part II.A., SBUA </w:t>
            </w:r>
            <w:r w:rsidR="00D70E78">
              <w:rPr>
                <w:color w:val="000000"/>
              </w:rPr>
              <w:t xml:space="preserve">separately identifies “marginal cost of service” and “transmission rate study” as substantial </w:t>
            </w:r>
            <w:r w:rsidR="002D7F9A">
              <w:rPr>
                <w:color w:val="000000"/>
              </w:rPr>
              <w:t>contributions</w:t>
            </w:r>
            <w:r w:rsidR="00D70E78">
              <w:rPr>
                <w:color w:val="000000"/>
              </w:rPr>
              <w:t xml:space="preserve">, but </w:t>
            </w:r>
            <w:r w:rsidR="005E24FA">
              <w:rPr>
                <w:color w:val="000000"/>
              </w:rPr>
              <w:t xml:space="preserve">apparently includes </w:t>
            </w:r>
            <w:r w:rsidR="0084443B">
              <w:rPr>
                <w:color w:val="000000"/>
              </w:rPr>
              <w:t xml:space="preserve">transmission rate study hours in </w:t>
            </w:r>
            <w:r w:rsidR="002D7F9A">
              <w:rPr>
                <w:color w:val="000000"/>
              </w:rPr>
              <w:t>marginal cost and cost of service hours</w:t>
            </w:r>
            <w:r w:rsidR="00527194">
              <w:rPr>
                <w:color w:val="000000"/>
              </w:rPr>
              <w:t xml:space="preserve"> in Part III</w:t>
            </w:r>
            <w:r w:rsidR="002D7F9A">
              <w:rPr>
                <w:color w:val="000000"/>
              </w:rPr>
              <w:t>.</w:t>
            </w:r>
            <w:r w:rsidR="00DB4632">
              <w:rPr>
                <w:color w:val="000000"/>
              </w:rPr>
              <w:t>A.c.</w:t>
            </w:r>
            <w:r w:rsidR="002D7F9A">
              <w:rPr>
                <w:color w:val="000000"/>
              </w:rPr>
              <w:t xml:space="preserve"> </w:t>
            </w:r>
            <w:r w:rsidR="00C7494A">
              <w:rPr>
                <w:color w:val="000000"/>
              </w:rPr>
              <w:t>Conversely</w:t>
            </w:r>
            <w:r w:rsidR="00963974">
              <w:rPr>
                <w:color w:val="000000"/>
              </w:rPr>
              <w:t xml:space="preserve">, the </w:t>
            </w:r>
            <w:r w:rsidR="00C7494A">
              <w:rPr>
                <w:color w:val="000000"/>
              </w:rPr>
              <w:t>allocation</w:t>
            </w:r>
            <w:r w:rsidR="00963974">
              <w:rPr>
                <w:color w:val="000000"/>
              </w:rPr>
              <w:t xml:space="preserve"> of hours identifies both “revenue allocation” and </w:t>
            </w:r>
            <w:r w:rsidR="00C7494A">
              <w:rPr>
                <w:color w:val="000000"/>
              </w:rPr>
              <w:t>small business rate design</w:t>
            </w:r>
            <w:r w:rsidR="00D24891">
              <w:rPr>
                <w:color w:val="000000"/>
              </w:rPr>
              <w:t>,</w:t>
            </w:r>
            <w:r w:rsidR="00C7494A">
              <w:rPr>
                <w:color w:val="000000"/>
              </w:rPr>
              <w:t xml:space="preserve">” whereas the contribution claims </w:t>
            </w:r>
            <w:r w:rsidR="00EA0180">
              <w:rPr>
                <w:color w:val="000000"/>
              </w:rPr>
              <w:t xml:space="preserve">in Part II.A </w:t>
            </w:r>
            <w:r w:rsidR="00C7494A">
              <w:rPr>
                <w:color w:val="000000"/>
              </w:rPr>
              <w:t xml:space="preserve">refer </w:t>
            </w:r>
            <w:r w:rsidR="00FA4934">
              <w:rPr>
                <w:color w:val="000000"/>
              </w:rPr>
              <w:t xml:space="preserve">only </w:t>
            </w:r>
            <w:r w:rsidR="00C7494A">
              <w:rPr>
                <w:color w:val="000000"/>
              </w:rPr>
              <w:t>to D.21-11-016 settlements.</w:t>
            </w:r>
          </w:p>
          <w:p w:rsidR="00F7564C" w:rsidP="00EB64CF" w:rsidRDefault="00F7564C" w14:paraId="4BD4D6F9" w14:textId="77777777">
            <w:pPr>
              <w:tabs>
                <w:tab w:val="left" w:pos="1440"/>
              </w:tabs>
              <w:rPr>
                <w:color w:val="000000"/>
              </w:rPr>
            </w:pPr>
          </w:p>
          <w:p w:rsidRPr="007F620E" w:rsidR="00F7564C" w:rsidP="00EB64CF" w:rsidRDefault="00703C06" w14:paraId="45BFCB16" w14:textId="680FAACF">
            <w:pPr>
              <w:tabs>
                <w:tab w:val="left" w:pos="1440"/>
              </w:tabs>
              <w:rPr>
                <w:color w:val="000000"/>
              </w:rPr>
            </w:pPr>
            <w:r>
              <w:rPr>
                <w:color w:val="000000"/>
              </w:rPr>
              <w:t>In addition, SBUA identifie</w:t>
            </w:r>
            <w:r w:rsidR="00E433B9">
              <w:rPr>
                <w:color w:val="000000"/>
              </w:rPr>
              <w:t>s</w:t>
            </w:r>
            <w:r>
              <w:rPr>
                <w:color w:val="000000"/>
              </w:rPr>
              <w:t xml:space="preserve"> contributions/activities that are procedural in nature and not tied to specific issues addressed in the </w:t>
            </w:r>
            <w:r w:rsidR="009F7941">
              <w:rPr>
                <w:color w:val="000000"/>
              </w:rPr>
              <w:t>d</w:t>
            </w:r>
            <w:r>
              <w:rPr>
                <w:color w:val="000000"/>
              </w:rPr>
              <w:t>ecision. For example, SBUA claim</w:t>
            </w:r>
            <w:r w:rsidR="00E433B9">
              <w:rPr>
                <w:color w:val="000000"/>
              </w:rPr>
              <w:t>s</w:t>
            </w:r>
            <w:r>
              <w:rPr>
                <w:color w:val="000000"/>
              </w:rPr>
              <w:t xml:space="preserve"> a substantial contribution for “overall” and “initial application participation and evidentiary hearings” and subsequently allocat</w:t>
            </w:r>
            <w:r w:rsidR="00E433B9">
              <w:rPr>
                <w:color w:val="000000"/>
              </w:rPr>
              <w:t>es</w:t>
            </w:r>
            <w:r>
              <w:rPr>
                <w:color w:val="000000"/>
              </w:rPr>
              <w:t xml:space="preserve"> hours to “procedural participation and “discovery/workshops/hearings” equal</w:t>
            </w:r>
            <w:r w:rsidR="001F55C1">
              <w:rPr>
                <w:color w:val="000000"/>
              </w:rPr>
              <w:t>ing</w:t>
            </w:r>
            <w:r>
              <w:rPr>
                <w:color w:val="000000"/>
              </w:rPr>
              <w:t xml:space="preserve"> almost 25% of the total hours claimed.  In both Parts II.A. and III.A.c., procedural activities should be allocated to specific issues addressed in the </w:t>
            </w:r>
            <w:r w:rsidR="00E433B9">
              <w:rPr>
                <w:color w:val="000000"/>
              </w:rPr>
              <w:t>d</w:t>
            </w:r>
            <w:r>
              <w:rPr>
                <w:color w:val="000000"/>
              </w:rPr>
              <w:t xml:space="preserve">ecision. </w:t>
            </w:r>
            <w:r w:rsidR="00FA4934">
              <w:rPr>
                <w:color w:val="000000"/>
              </w:rPr>
              <w:t>To address the high percentage of non-substantive hour</w:t>
            </w:r>
            <w:r w:rsidR="0090345F">
              <w:rPr>
                <w:color w:val="000000"/>
              </w:rPr>
              <w:t>s</w:t>
            </w:r>
            <w:r w:rsidR="00FA4934">
              <w:rPr>
                <w:color w:val="000000"/>
              </w:rPr>
              <w:t xml:space="preserve">, </w:t>
            </w:r>
            <w:r w:rsidR="0090345F">
              <w:rPr>
                <w:color w:val="000000"/>
              </w:rPr>
              <w:t xml:space="preserve">we reduce the total award, after the adjustments described below, by 5%. </w:t>
            </w:r>
            <w:r w:rsidR="007E4709">
              <w:rPr>
                <w:color w:val="000000"/>
              </w:rPr>
              <w:t>We remind SBUA, per the Intervenor Compensation Program Guide at Part III.B.(5)</w:t>
            </w:r>
            <w:r w:rsidR="005A1824">
              <w:rPr>
                <w:color w:val="000000"/>
              </w:rPr>
              <w:t>.(d) on p.25, submitted time records must provide separately recorded</w:t>
            </w:r>
            <w:r w:rsidR="00F60BAC">
              <w:rPr>
                <w:color w:val="000000"/>
              </w:rPr>
              <w:t xml:space="preserve"> specific</w:t>
            </w:r>
            <w:r w:rsidR="005A1824">
              <w:rPr>
                <w:color w:val="000000"/>
              </w:rPr>
              <w:t xml:space="preserve"> tasks and </w:t>
            </w:r>
            <w:r w:rsidR="00F60BAC">
              <w:rPr>
                <w:color w:val="000000"/>
              </w:rPr>
              <w:t>the corresponding issue in the proceeding the specific tasks addressed</w:t>
            </w:r>
            <w:r w:rsidR="005A1824">
              <w:rPr>
                <w:color w:val="000000"/>
              </w:rPr>
              <w:t xml:space="preserve">. </w:t>
            </w:r>
            <w:r w:rsidR="0090345F">
              <w:rPr>
                <w:color w:val="000000"/>
              </w:rPr>
              <w:t xml:space="preserve">   </w:t>
            </w:r>
          </w:p>
        </w:tc>
      </w:tr>
      <w:tr w:rsidRPr="007F620E" w:rsidR="00A92D0B" w:rsidTr="004A1B96" w14:paraId="52155EFC" w14:textId="77777777">
        <w:tc>
          <w:tcPr>
            <w:tcW w:w="1603" w:type="dxa"/>
            <w:shd w:val="clear" w:color="auto" w:fill="auto"/>
          </w:tcPr>
          <w:p w:rsidRPr="007F620E" w:rsidR="00A92D0B" w:rsidP="00EB64CF" w:rsidRDefault="00E906F3" w14:paraId="26487933" w14:textId="3E7C5056">
            <w:pPr>
              <w:tabs>
                <w:tab w:val="left" w:pos="1440"/>
              </w:tabs>
              <w:rPr>
                <w:color w:val="000000"/>
              </w:rPr>
            </w:pPr>
            <w:r>
              <w:rPr>
                <w:color w:val="000000"/>
              </w:rPr>
              <w:t>[2]</w:t>
            </w:r>
            <w:r w:rsidR="00CA5A05">
              <w:rPr>
                <w:color w:val="000000"/>
              </w:rPr>
              <w:t xml:space="preserve"> </w:t>
            </w:r>
            <w:r w:rsidR="00CD6B7D">
              <w:rPr>
                <w:color w:val="000000"/>
              </w:rPr>
              <w:t xml:space="preserve">Chernick and Wilson - </w:t>
            </w:r>
            <w:r w:rsidR="00CA5A05">
              <w:rPr>
                <w:color w:val="000000"/>
              </w:rPr>
              <w:t>General Disallowance for Vagueness of Time Entries</w:t>
            </w:r>
          </w:p>
        </w:tc>
        <w:tc>
          <w:tcPr>
            <w:tcW w:w="7757" w:type="dxa"/>
            <w:shd w:val="clear" w:color="auto" w:fill="auto"/>
          </w:tcPr>
          <w:p w:rsidR="00117DB4" w:rsidP="00117DB4" w:rsidRDefault="00117DB4" w14:paraId="1E3DD0EF" w14:textId="2A30CA6D">
            <w:pPr>
              <w:tabs>
                <w:tab w:val="left" w:pos="1440"/>
              </w:tabs>
              <w:rPr>
                <w:color w:val="000000"/>
              </w:rPr>
            </w:pPr>
            <w:r>
              <w:rPr>
                <w:color w:val="000000"/>
              </w:rPr>
              <w:t xml:space="preserve">The description of hours for </w:t>
            </w:r>
            <w:r w:rsidR="00650374">
              <w:rPr>
                <w:color w:val="000000"/>
              </w:rPr>
              <w:t>experts</w:t>
            </w:r>
            <w:r>
              <w:rPr>
                <w:color w:val="000000"/>
              </w:rPr>
              <w:t xml:space="preserve"> Chernick </w:t>
            </w:r>
            <w:r w:rsidR="009C6649">
              <w:rPr>
                <w:color w:val="000000"/>
              </w:rPr>
              <w:t>and Wilson periodically</w:t>
            </w:r>
            <w:r>
              <w:rPr>
                <w:color w:val="000000"/>
              </w:rPr>
              <w:t xml:space="preserve"> lacks a verb, leaving </w:t>
            </w:r>
            <w:r w:rsidR="00804259">
              <w:rPr>
                <w:color w:val="000000"/>
              </w:rPr>
              <w:t>us</w:t>
            </w:r>
            <w:r>
              <w:rPr>
                <w:color w:val="000000"/>
              </w:rPr>
              <w:t xml:space="preserve"> in the dark as to what </w:t>
            </w:r>
            <w:r w:rsidR="009C6649">
              <w:rPr>
                <w:color w:val="000000"/>
              </w:rPr>
              <w:t>they were</w:t>
            </w:r>
            <w:r>
              <w:rPr>
                <w:color w:val="000000"/>
              </w:rPr>
              <w:t xml:space="preserve"> doing.  For example, on 10/12, 12/13, and 10/14 in 2020, Mr. Chernick identifies 5.5 hours for “demand charges,” but does not explain what task he was performing.  Other examples include “BIP issues for settlement” on 10/20/21, and “data for RTP analysis” on 10/11/21. </w:t>
            </w:r>
            <w:r w:rsidR="009C6649">
              <w:rPr>
                <w:color w:val="000000"/>
              </w:rPr>
              <w:t xml:space="preserve">There are similar ambiguities with Mr. Wilson’s time sheet record on 10/12 -10/14/21 as well as </w:t>
            </w:r>
            <w:r w:rsidR="00E63541">
              <w:rPr>
                <w:color w:val="000000"/>
              </w:rPr>
              <w:t xml:space="preserve">on </w:t>
            </w:r>
            <w:r w:rsidR="009C6649">
              <w:rPr>
                <w:color w:val="000000"/>
              </w:rPr>
              <w:t xml:space="preserve">other dates. </w:t>
            </w:r>
            <w:r>
              <w:rPr>
                <w:color w:val="000000"/>
              </w:rPr>
              <w:t xml:space="preserve">Without knowing what activity was being performed, we cannot determine whether those hours are reasonable. </w:t>
            </w:r>
            <w:r w:rsidR="00E63541">
              <w:rPr>
                <w:color w:val="000000"/>
              </w:rPr>
              <w:t xml:space="preserve">Moreover, </w:t>
            </w:r>
            <w:r w:rsidR="006A30CD">
              <w:rPr>
                <w:color w:val="000000"/>
              </w:rPr>
              <w:t xml:space="preserve">Mr. Chernick’s hours include numerous references to “settlement” or “settlement call,” without specifying which settlement he is referring to.  </w:t>
            </w:r>
          </w:p>
          <w:p w:rsidR="00650374" w:rsidP="00117DB4" w:rsidRDefault="00650374" w14:paraId="042B7821" w14:textId="77777777">
            <w:pPr>
              <w:tabs>
                <w:tab w:val="left" w:pos="1440"/>
              </w:tabs>
              <w:rPr>
                <w:color w:val="000000"/>
              </w:rPr>
            </w:pPr>
          </w:p>
          <w:p w:rsidR="00A92D0B" w:rsidP="00650374" w:rsidRDefault="00650374" w14:paraId="31C18696" w14:textId="77BA3199">
            <w:pPr>
              <w:tabs>
                <w:tab w:val="left" w:pos="1440"/>
              </w:tabs>
              <w:rPr>
                <w:color w:val="000000"/>
              </w:rPr>
            </w:pPr>
            <w:r>
              <w:rPr>
                <w:color w:val="000000"/>
              </w:rPr>
              <w:t xml:space="preserve">In addition, there are various instances in which SBUA claims hours for both experts to attend the same event or perform similar activities. SBUA does not explain why two experts are necessary, whether their qualifications differ, or </w:t>
            </w:r>
            <w:r>
              <w:rPr>
                <w:color w:val="000000"/>
              </w:rPr>
              <w:lastRenderedPageBreak/>
              <w:t>whether they were addressing different issues.  Both participated on the same issues in approximately the same percentages of total time.</w:t>
            </w:r>
          </w:p>
          <w:p w:rsidR="00650374" w:rsidP="00650374" w:rsidRDefault="00650374" w14:paraId="1BEBFABB" w14:textId="77777777">
            <w:pPr>
              <w:tabs>
                <w:tab w:val="left" w:pos="1440"/>
              </w:tabs>
              <w:rPr>
                <w:color w:val="000000"/>
              </w:rPr>
            </w:pPr>
          </w:p>
          <w:p w:rsidRPr="007F620E" w:rsidR="00650374" w:rsidP="00650374" w:rsidRDefault="00F60BAC" w14:paraId="455E6A00" w14:textId="7D34C78D">
            <w:pPr>
              <w:tabs>
                <w:tab w:val="left" w:pos="1440"/>
              </w:tabs>
              <w:rPr>
                <w:color w:val="000000"/>
              </w:rPr>
            </w:pPr>
            <w:r>
              <w:rPr>
                <w:color w:val="000000"/>
              </w:rPr>
              <w:t xml:space="preserve">We remind SBUA, per the Intervenor Compensation Program Guide at Part III.B.(5).(d) on p.25, submitted time records must provide separately recorded specific tasks and the corresponding issue in the proceeding the specific tasks addressed. </w:t>
            </w:r>
            <w:r w:rsidR="00650374">
              <w:rPr>
                <w:color w:val="000000"/>
              </w:rPr>
              <w:t xml:space="preserve">Due to the failure to provide the necessary detail about tasks associated with the hours claimed and to justify the use of two experts, Mr. Chernick’s and Mr. Wilson’s </w:t>
            </w:r>
            <w:r w:rsidR="00495E8D">
              <w:rPr>
                <w:color w:val="000000"/>
              </w:rPr>
              <w:t xml:space="preserve">total </w:t>
            </w:r>
            <w:r w:rsidR="00650374">
              <w:rPr>
                <w:color w:val="000000"/>
              </w:rPr>
              <w:t>hours are decreased by 10%.</w:t>
            </w:r>
          </w:p>
        </w:tc>
      </w:tr>
      <w:tr w:rsidRPr="007F620E" w:rsidR="006E05EE" w:rsidTr="004A1B96" w14:paraId="371AD67B"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6E05EE" w:rsidP="00550E4D" w:rsidRDefault="00FF619B" w14:paraId="0018B4A9" w14:textId="248D0237">
            <w:pPr>
              <w:tabs>
                <w:tab w:val="left" w:pos="1440"/>
              </w:tabs>
              <w:rPr>
                <w:color w:val="000000"/>
              </w:rPr>
            </w:pPr>
            <w:r>
              <w:rPr>
                <w:color w:val="000000"/>
              </w:rPr>
              <w:lastRenderedPageBreak/>
              <w:t>[3]</w:t>
            </w:r>
            <w:r w:rsidR="00CA5A05">
              <w:rPr>
                <w:color w:val="000000"/>
              </w:rPr>
              <w:t xml:space="preserve"> Partial Compensation for Marginal Cost of Service Work</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Pr="007F620E" w:rsidR="006E05EE" w:rsidP="00550E4D" w:rsidRDefault="00650374" w14:paraId="4ED75D15" w14:textId="05A57F5D">
            <w:pPr>
              <w:tabs>
                <w:tab w:val="left" w:pos="1440"/>
              </w:tabs>
              <w:rPr>
                <w:color w:val="000000"/>
              </w:rPr>
            </w:pPr>
            <w:r>
              <w:rPr>
                <w:color w:val="000000"/>
              </w:rPr>
              <w:t xml:space="preserve">Marginal Cost of Service: As noted </w:t>
            </w:r>
            <w:r w:rsidR="004A1B96">
              <w:rPr>
                <w:color w:val="000000"/>
              </w:rPr>
              <w:t>previously in this decision</w:t>
            </w:r>
            <w:r>
              <w:rPr>
                <w:color w:val="000000"/>
              </w:rPr>
              <w:t xml:space="preserve">, SBUA’s claims for Marginal Cost &amp; Cost of Service are </w:t>
            </w:r>
            <w:r w:rsidR="004A1B96">
              <w:rPr>
                <w:color w:val="000000"/>
              </w:rPr>
              <w:t xml:space="preserve">only </w:t>
            </w:r>
            <w:r>
              <w:rPr>
                <w:color w:val="000000"/>
              </w:rPr>
              <w:t xml:space="preserve">partially compensable. </w:t>
            </w:r>
            <w:r w:rsidR="00E433B9">
              <w:rPr>
                <w:color w:val="000000"/>
              </w:rPr>
              <w:t>T</w:t>
            </w:r>
            <w:r>
              <w:rPr>
                <w:color w:val="000000"/>
              </w:rPr>
              <w:t>he Commission finds that</w:t>
            </w:r>
            <w:r w:rsidR="00C233A9">
              <w:rPr>
                <w:color w:val="000000"/>
              </w:rPr>
              <w:t xml:space="preserve"> after the adjustments identified in </w:t>
            </w:r>
            <w:r w:rsidR="00CD6B7D">
              <w:rPr>
                <w:color w:val="000000"/>
              </w:rPr>
              <w:t xml:space="preserve">Comment </w:t>
            </w:r>
            <w:r w:rsidR="00C233A9">
              <w:rPr>
                <w:color w:val="000000"/>
              </w:rPr>
              <w:t>[2] above,</w:t>
            </w:r>
            <w:r>
              <w:rPr>
                <w:color w:val="000000"/>
              </w:rPr>
              <w:t xml:space="preserve"> </w:t>
            </w:r>
            <w:r w:rsidR="00CD6B7D">
              <w:rPr>
                <w:color w:val="000000"/>
              </w:rPr>
              <w:t xml:space="preserve">only </w:t>
            </w:r>
            <w:r>
              <w:rPr>
                <w:color w:val="000000"/>
              </w:rPr>
              <w:t xml:space="preserve">60% of the hours attributed to marginal cost of service are compensable.  </w:t>
            </w:r>
          </w:p>
        </w:tc>
      </w:tr>
      <w:tr w:rsidRPr="007F620E" w:rsidR="00702F52" w:rsidTr="004A1B96" w14:paraId="75BCFA23"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00702F52" w:rsidP="00550E4D" w:rsidRDefault="00702F52" w14:paraId="3B29642D" w14:textId="584DA174">
            <w:pPr>
              <w:tabs>
                <w:tab w:val="left" w:pos="1440"/>
              </w:tabs>
              <w:rPr>
                <w:color w:val="000000"/>
              </w:rPr>
            </w:pPr>
            <w:r>
              <w:rPr>
                <w:color w:val="000000"/>
              </w:rPr>
              <w:t>[4] Weberski Claim Preparation</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00702F52" w:rsidP="00855366" w:rsidRDefault="00702F52" w14:paraId="3DF4DC87" w14:textId="647AF953">
            <w:pPr>
              <w:tabs>
                <w:tab w:val="left" w:pos="1440"/>
              </w:tabs>
              <w:rPr>
                <w:color w:val="000000"/>
              </w:rPr>
            </w:pPr>
            <w:r>
              <w:rPr>
                <w:color w:val="000000"/>
              </w:rPr>
              <w:t>Weberski claimed 25 hours of intervenor compensation preparation time in 2022.  Given that Weberski is an experienced lawyer and practitioner before the Commission, this is an unreasonable number of hours to claim for intervenor compensation claim preparation.  Weberski’s 2021 hours for claim preparation are reduced to 15.</w:t>
            </w:r>
          </w:p>
        </w:tc>
      </w:tr>
      <w:tr w:rsidRPr="007F620E" w:rsidR="006E05EE" w:rsidTr="004A1B96" w14:paraId="083F183B"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6E05EE" w:rsidP="00550E4D" w:rsidRDefault="0026147A" w14:paraId="6E3EBC71" w14:textId="5B2D9AA2">
            <w:pPr>
              <w:tabs>
                <w:tab w:val="left" w:pos="1440"/>
              </w:tabs>
              <w:rPr>
                <w:color w:val="000000"/>
              </w:rPr>
            </w:pPr>
            <w:r>
              <w:rPr>
                <w:color w:val="000000"/>
              </w:rPr>
              <w:t>[</w:t>
            </w:r>
            <w:r w:rsidR="00BB597E">
              <w:rPr>
                <w:color w:val="000000"/>
              </w:rPr>
              <w:t>5</w:t>
            </w:r>
            <w:r>
              <w:rPr>
                <w:color w:val="000000"/>
              </w:rPr>
              <w:t>]</w:t>
            </w:r>
            <w:r w:rsidR="00887C49">
              <w:rPr>
                <w:color w:val="000000"/>
              </w:rPr>
              <w:t xml:space="preserve"> Jennifer Weberski 2022 Rate</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00855366" w:rsidP="00855366" w:rsidRDefault="00BB597E" w14:paraId="6630A070" w14:textId="756D4099">
            <w:pPr>
              <w:tabs>
                <w:tab w:val="left" w:pos="1440"/>
              </w:tabs>
              <w:rPr>
                <w:color w:val="000000"/>
              </w:rPr>
            </w:pPr>
            <w:r>
              <w:rPr>
                <w:color w:val="000000"/>
              </w:rPr>
              <w:t xml:space="preserve">SBUA requested a </w:t>
            </w:r>
            <w:r w:rsidR="007464F2">
              <w:rPr>
                <w:color w:val="000000"/>
              </w:rPr>
              <w:t xml:space="preserve">2022 </w:t>
            </w:r>
            <w:r>
              <w:rPr>
                <w:color w:val="000000"/>
              </w:rPr>
              <w:t>rate of $655.00 for Jennifer Weberski.</w:t>
            </w:r>
            <w:r w:rsidR="007464F2">
              <w:rPr>
                <w:color w:val="000000"/>
              </w:rPr>
              <w:t xml:space="preserve"> This includes the first 5% step increase.</w:t>
            </w:r>
            <w:r w:rsidR="00855366">
              <w:rPr>
                <w:color w:val="000000"/>
              </w:rPr>
              <w:t xml:space="preserve"> Using our calculation methodology, the 5% step increase, 3.31% 2022 escalation and rounding to the nearest $5 increment:</w:t>
            </w:r>
          </w:p>
          <w:p w:rsidR="00855366" w:rsidP="00855366" w:rsidRDefault="00855366" w14:paraId="7287D7F4" w14:textId="77777777">
            <w:pPr>
              <w:tabs>
                <w:tab w:val="left" w:pos="1440"/>
              </w:tabs>
              <w:rPr>
                <w:color w:val="000000"/>
              </w:rPr>
            </w:pPr>
          </w:p>
          <w:p w:rsidR="006E05EE" w:rsidP="00855366" w:rsidRDefault="00855366" w14:paraId="19053DA5" w14:textId="77777777">
            <w:pPr>
              <w:tabs>
                <w:tab w:val="left" w:pos="1440"/>
              </w:tabs>
              <w:rPr>
                <w:color w:val="000000"/>
              </w:rPr>
            </w:pPr>
            <w:r>
              <w:rPr>
                <w:color w:val="000000"/>
              </w:rPr>
              <w:t>2022:</w:t>
            </w:r>
            <w:r w:rsidR="00066A5C">
              <w:rPr>
                <w:color w:val="000000"/>
              </w:rPr>
              <w:t xml:space="preserve"> $625 x 5% = $31.25 + $625 = $655.00 x 3.31% = $675.00</w:t>
            </w:r>
          </w:p>
          <w:p w:rsidR="00066A5C" w:rsidP="00855366" w:rsidRDefault="00066A5C" w14:paraId="04D6D182" w14:textId="77777777">
            <w:pPr>
              <w:tabs>
                <w:tab w:val="left" w:pos="1440"/>
              </w:tabs>
              <w:rPr>
                <w:color w:val="000000"/>
              </w:rPr>
            </w:pPr>
          </w:p>
          <w:p w:rsidRPr="007F620E" w:rsidR="00066A5C" w:rsidP="00855366" w:rsidRDefault="00C128B3" w14:paraId="77D02C44" w14:textId="2113A8E1">
            <w:pPr>
              <w:tabs>
                <w:tab w:val="left" w:pos="1440"/>
              </w:tabs>
              <w:rPr>
                <w:color w:val="000000"/>
              </w:rPr>
            </w:pPr>
            <w:r>
              <w:rPr>
                <w:color w:val="000000"/>
              </w:rPr>
              <w:t xml:space="preserve">We note the 2022 rate of $655.00 previously adopted in D.23-09-019 did not include the 2022 3.31% escalation, which we apply here. </w:t>
            </w:r>
            <w:r w:rsidR="006655FB">
              <w:rPr>
                <w:color w:val="000000"/>
              </w:rPr>
              <w:t>We find the 2022 rate of $675.00 reasonable and adopt it here</w:t>
            </w:r>
            <w:r>
              <w:rPr>
                <w:color w:val="000000"/>
              </w:rPr>
              <w:t>.</w:t>
            </w:r>
          </w:p>
        </w:tc>
      </w:tr>
      <w:tr w:rsidRPr="007F620E" w:rsidR="006E05EE" w:rsidTr="004A1B96" w14:paraId="1DB64E36"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6E05EE" w:rsidP="00550E4D" w:rsidRDefault="0026147A" w14:paraId="779135B8" w14:textId="24440B31">
            <w:pPr>
              <w:tabs>
                <w:tab w:val="left" w:pos="1440"/>
              </w:tabs>
              <w:rPr>
                <w:color w:val="000000"/>
              </w:rPr>
            </w:pPr>
            <w:r>
              <w:rPr>
                <w:color w:val="000000"/>
              </w:rPr>
              <w:t>[</w:t>
            </w:r>
            <w:r w:rsidR="00BB597E">
              <w:rPr>
                <w:color w:val="000000"/>
              </w:rPr>
              <w:t>6</w:t>
            </w:r>
            <w:r>
              <w:rPr>
                <w:color w:val="000000"/>
              </w:rPr>
              <w:t>]</w:t>
            </w:r>
            <w:r w:rsidR="00887C49">
              <w:rPr>
                <w:color w:val="000000"/>
              </w:rPr>
              <w:t xml:space="preserve"> Paul Chernick 2022 Rate</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00855366" w:rsidP="00855366" w:rsidRDefault="00BB597E" w14:paraId="01BCA121" w14:textId="760089A0">
            <w:pPr>
              <w:tabs>
                <w:tab w:val="left" w:pos="1440"/>
              </w:tabs>
              <w:rPr>
                <w:color w:val="000000"/>
              </w:rPr>
            </w:pPr>
            <w:r>
              <w:rPr>
                <w:color w:val="000000"/>
              </w:rPr>
              <w:t xml:space="preserve">SBUA requested a </w:t>
            </w:r>
            <w:r w:rsidR="007464F2">
              <w:rPr>
                <w:color w:val="000000"/>
              </w:rPr>
              <w:t xml:space="preserve">2022 </w:t>
            </w:r>
            <w:r>
              <w:rPr>
                <w:color w:val="000000"/>
              </w:rPr>
              <w:t>rate of $520.00 for Paul Chernick.</w:t>
            </w:r>
            <w:r w:rsidR="007464F2">
              <w:rPr>
                <w:color w:val="000000"/>
              </w:rPr>
              <w:t xml:space="preserve"> This includes the first 5% step increase.</w:t>
            </w:r>
            <w:r w:rsidR="00855366">
              <w:rPr>
                <w:color w:val="000000"/>
              </w:rPr>
              <w:t xml:space="preserve"> Using our calculation methodology, the 5% step increase, 3.31% 2022 escalation and rounding to the nearest $5 increment:</w:t>
            </w:r>
          </w:p>
          <w:p w:rsidR="00855366" w:rsidP="00855366" w:rsidRDefault="00855366" w14:paraId="3C7E2B28" w14:textId="77777777">
            <w:pPr>
              <w:tabs>
                <w:tab w:val="left" w:pos="1440"/>
              </w:tabs>
              <w:rPr>
                <w:color w:val="000000"/>
              </w:rPr>
            </w:pPr>
          </w:p>
          <w:p w:rsidR="006E05EE" w:rsidP="00855366" w:rsidRDefault="00855366" w14:paraId="5C12359D" w14:textId="77777777">
            <w:pPr>
              <w:tabs>
                <w:tab w:val="left" w:pos="1440"/>
              </w:tabs>
              <w:rPr>
                <w:color w:val="000000"/>
              </w:rPr>
            </w:pPr>
            <w:r>
              <w:rPr>
                <w:color w:val="000000"/>
              </w:rPr>
              <w:t xml:space="preserve">2022: $465 x 5% = $23.25 + $465 = </w:t>
            </w:r>
            <w:r w:rsidR="0095316A">
              <w:rPr>
                <w:color w:val="000000"/>
              </w:rPr>
              <w:t>$490 x 3.31% = $505.00</w:t>
            </w:r>
          </w:p>
          <w:p w:rsidR="0095316A" w:rsidP="00855366" w:rsidRDefault="0095316A" w14:paraId="23289266" w14:textId="77777777">
            <w:pPr>
              <w:tabs>
                <w:tab w:val="left" w:pos="1440"/>
              </w:tabs>
              <w:rPr>
                <w:color w:val="000000"/>
              </w:rPr>
            </w:pPr>
          </w:p>
          <w:p w:rsidRPr="007F620E" w:rsidR="0095316A" w:rsidP="00855366" w:rsidRDefault="00C128B3" w14:paraId="18C6CD15" w14:textId="02306DF3">
            <w:pPr>
              <w:tabs>
                <w:tab w:val="left" w:pos="1440"/>
              </w:tabs>
              <w:rPr>
                <w:color w:val="000000"/>
              </w:rPr>
            </w:pPr>
            <w:r>
              <w:rPr>
                <w:color w:val="000000"/>
              </w:rPr>
              <w:t xml:space="preserve">We note the 2022 rate of $490.00 previously adopted in D.23-10-016 did not include the 2022 3.31% escalation, which we apply here. </w:t>
            </w:r>
            <w:r w:rsidR="0095316A">
              <w:rPr>
                <w:color w:val="000000"/>
              </w:rPr>
              <w:t xml:space="preserve">We find the 2022 rate of $505.00 reasonable and adopt it here. </w:t>
            </w:r>
            <w:r>
              <w:rPr>
                <w:color w:val="000000"/>
              </w:rPr>
              <w:t>Additionally, we note the</w:t>
            </w:r>
            <w:r w:rsidR="0095316A">
              <w:rPr>
                <w:color w:val="000000"/>
              </w:rPr>
              <w:t xml:space="preserve"> SBUA calculations in Part III.C.2 incorrectly </w:t>
            </w:r>
            <w:r w:rsidR="00066A5C">
              <w:rPr>
                <w:color w:val="000000"/>
              </w:rPr>
              <w:t>uses $495.00 as the 2021 base rate. D.22-09-024 verifies a 2021 rate of $465.00 as reflected in our calculations.</w:t>
            </w:r>
          </w:p>
        </w:tc>
      </w:tr>
      <w:tr w:rsidRPr="007F620E" w:rsidR="006E05EE" w:rsidTr="004A1B96" w14:paraId="1FA2A3A9"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6E05EE" w:rsidP="00550E4D" w:rsidRDefault="0026147A" w14:paraId="75E32E34" w14:textId="438912E1">
            <w:pPr>
              <w:tabs>
                <w:tab w:val="left" w:pos="1440"/>
              </w:tabs>
              <w:rPr>
                <w:color w:val="000000"/>
              </w:rPr>
            </w:pPr>
            <w:r>
              <w:rPr>
                <w:color w:val="000000"/>
              </w:rPr>
              <w:t>[</w:t>
            </w:r>
            <w:r w:rsidR="00BB597E">
              <w:rPr>
                <w:color w:val="000000"/>
              </w:rPr>
              <w:t>7</w:t>
            </w:r>
            <w:r>
              <w:rPr>
                <w:color w:val="000000"/>
              </w:rPr>
              <w:t xml:space="preserve">] </w:t>
            </w:r>
            <w:r w:rsidR="00887C49">
              <w:rPr>
                <w:color w:val="000000"/>
              </w:rPr>
              <w:t>John Wilson 2022 Rate</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006E05EE" w:rsidP="00550E4D" w:rsidRDefault="00BB597E" w14:paraId="471EDB39" w14:textId="2D5B37A5">
            <w:pPr>
              <w:tabs>
                <w:tab w:val="left" w:pos="1440"/>
              </w:tabs>
              <w:rPr>
                <w:color w:val="000000"/>
              </w:rPr>
            </w:pPr>
            <w:r>
              <w:rPr>
                <w:color w:val="000000"/>
              </w:rPr>
              <w:t xml:space="preserve">SBUA requested a </w:t>
            </w:r>
            <w:r w:rsidR="007464F2">
              <w:rPr>
                <w:color w:val="000000"/>
              </w:rPr>
              <w:t xml:space="preserve">2022 </w:t>
            </w:r>
            <w:r>
              <w:rPr>
                <w:color w:val="000000"/>
              </w:rPr>
              <w:t>rate of $400.00 for John Wilson.</w:t>
            </w:r>
            <w:r w:rsidR="007464F2">
              <w:rPr>
                <w:color w:val="000000"/>
              </w:rPr>
              <w:t xml:space="preserve"> This includes the first 5% step increase. Using our calculation methodology, the 5% step increase, 3.31% 2022 escalation and rounding to the nearest $5 increment:</w:t>
            </w:r>
          </w:p>
          <w:p w:rsidR="007464F2" w:rsidP="00550E4D" w:rsidRDefault="007464F2" w14:paraId="59EAD539" w14:textId="77777777">
            <w:pPr>
              <w:tabs>
                <w:tab w:val="left" w:pos="1440"/>
              </w:tabs>
              <w:rPr>
                <w:color w:val="000000"/>
              </w:rPr>
            </w:pPr>
          </w:p>
          <w:p w:rsidR="007464F2" w:rsidP="00550E4D" w:rsidRDefault="007464F2" w14:paraId="71D5F586" w14:textId="77777777">
            <w:pPr>
              <w:tabs>
                <w:tab w:val="left" w:pos="1440"/>
              </w:tabs>
              <w:rPr>
                <w:color w:val="000000"/>
              </w:rPr>
            </w:pPr>
            <w:r>
              <w:rPr>
                <w:color w:val="000000"/>
              </w:rPr>
              <w:t xml:space="preserve">2022: $380 x 5% = $19 + $380 = </w:t>
            </w:r>
            <w:r w:rsidR="00855366">
              <w:rPr>
                <w:color w:val="000000"/>
              </w:rPr>
              <w:t>$400 x 3.31% = $13.24 + $400 = $415.00</w:t>
            </w:r>
          </w:p>
          <w:p w:rsidR="00855366" w:rsidP="00550E4D" w:rsidRDefault="00855366" w14:paraId="56543B0C" w14:textId="77777777">
            <w:pPr>
              <w:tabs>
                <w:tab w:val="left" w:pos="1440"/>
              </w:tabs>
              <w:rPr>
                <w:color w:val="000000"/>
              </w:rPr>
            </w:pPr>
          </w:p>
          <w:p w:rsidRPr="007F620E" w:rsidR="00855366" w:rsidP="00550E4D" w:rsidRDefault="00855366" w14:paraId="277070C3" w14:textId="58D98E37">
            <w:pPr>
              <w:tabs>
                <w:tab w:val="left" w:pos="1440"/>
              </w:tabs>
              <w:rPr>
                <w:color w:val="000000"/>
              </w:rPr>
            </w:pPr>
            <w:r>
              <w:rPr>
                <w:color w:val="000000"/>
              </w:rPr>
              <w:t xml:space="preserve">We find the 2022 rate of $415.00 reasonable and adopt it here. </w:t>
            </w:r>
          </w:p>
        </w:tc>
      </w:tr>
      <w:tr w:rsidRPr="007F620E" w:rsidR="00EB389D" w:rsidTr="004A1B96" w14:paraId="32B74732"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EB389D" w:rsidP="00550E4D" w:rsidRDefault="00066A5C" w14:paraId="2DFA6B9E" w14:textId="4CDDD9EE">
            <w:pPr>
              <w:tabs>
                <w:tab w:val="left" w:pos="1440"/>
              </w:tabs>
              <w:rPr>
                <w:color w:val="000000"/>
              </w:rPr>
            </w:pPr>
            <w:r>
              <w:rPr>
                <w:color w:val="000000"/>
              </w:rPr>
              <w:lastRenderedPageBreak/>
              <w:t>[8] James Birkelund 2022 Rate</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Pr="007F620E" w:rsidR="00EB389D" w:rsidP="00550E4D" w:rsidRDefault="00066A5C" w14:paraId="7AFF6449" w14:textId="238695CC">
            <w:pPr>
              <w:tabs>
                <w:tab w:val="left" w:pos="1440"/>
              </w:tabs>
              <w:rPr>
                <w:color w:val="000000"/>
              </w:rPr>
            </w:pPr>
            <w:r w:rsidRPr="00066A5C">
              <w:rPr>
                <w:color w:val="000000"/>
              </w:rPr>
              <w:t>D.23-02-016</w:t>
            </w:r>
            <w:r>
              <w:rPr>
                <w:color w:val="000000"/>
              </w:rPr>
              <w:t xml:space="preserve"> verified a rate of $705.00 for James Birkelund. We apply the same rate here.</w:t>
            </w:r>
          </w:p>
        </w:tc>
      </w:tr>
      <w:tr w:rsidRPr="007F620E" w:rsidR="00EB389D" w:rsidTr="004A1B96" w14:paraId="3EC371E8" w14:textId="77777777">
        <w:tc>
          <w:tcPr>
            <w:tcW w:w="1603" w:type="dxa"/>
            <w:tcBorders>
              <w:top w:val="single" w:color="auto" w:sz="4" w:space="0"/>
              <w:left w:val="single" w:color="auto" w:sz="4" w:space="0"/>
              <w:bottom w:val="single" w:color="auto" w:sz="4" w:space="0"/>
              <w:right w:val="single" w:color="auto" w:sz="4" w:space="0"/>
            </w:tcBorders>
            <w:shd w:val="clear" w:color="auto" w:fill="auto"/>
          </w:tcPr>
          <w:p w:rsidRPr="007F620E" w:rsidR="00EB389D" w:rsidP="00550E4D" w:rsidRDefault="0021359D" w14:paraId="3C331A9D" w14:textId="53900AE1">
            <w:pPr>
              <w:tabs>
                <w:tab w:val="left" w:pos="1440"/>
              </w:tabs>
              <w:rPr>
                <w:color w:val="000000"/>
              </w:rPr>
            </w:pPr>
            <w:r>
              <w:rPr>
                <w:color w:val="000000"/>
              </w:rPr>
              <w:t>[9] Intervenor Compensation Claim Preparation Hours for Jennifer Weberski and James Birkelund</w:t>
            </w:r>
          </w:p>
        </w:tc>
        <w:tc>
          <w:tcPr>
            <w:tcW w:w="7757" w:type="dxa"/>
            <w:tcBorders>
              <w:top w:val="single" w:color="auto" w:sz="4" w:space="0"/>
              <w:left w:val="single" w:color="auto" w:sz="4" w:space="0"/>
              <w:bottom w:val="single" w:color="auto" w:sz="4" w:space="0"/>
              <w:right w:val="single" w:color="auto" w:sz="4" w:space="0"/>
            </w:tcBorders>
            <w:shd w:val="clear" w:color="auto" w:fill="auto"/>
          </w:tcPr>
          <w:p w:rsidR="00EB389D" w:rsidP="00550E4D" w:rsidRDefault="0021359D" w14:paraId="711EC3DB" w14:textId="77777777">
            <w:pPr>
              <w:tabs>
                <w:tab w:val="left" w:pos="1440"/>
              </w:tabs>
              <w:rPr>
                <w:color w:val="000000"/>
              </w:rPr>
            </w:pPr>
            <w:r>
              <w:rPr>
                <w:color w:val="000000"/>
              </w:rPr>
              <w:t xml:space="preserve">SBUA’s requested intervenor compensation claim preparation rates, which is awarded at ½ preparer’s normal rate, were incorrectly calculated </w:t>
            </w:r>
            <w:r w:rsidR="007F71D9">
              <w:rPr>
                <w:color w:val="000000"/>
              </w:rPr>
              <w:t>for Jennifer Weberski’s 2019 and 2022 rate, as well as James Birkelund’s 2020 rate.</w:t>
            </w:r>
          </w:p>
          <w:p w:rsidR="007F71D9" w:rsidP="00550E4D" w:rsidRDefault="007F71D9" w14:paraId="24692BD6" w14:textId="77777777">
            <w:pPr>
              <w:tabs>
                <w:tab w:val="left" w:pos="1440"/>
              </w:tabs>
              <w:rPr>
                <w:color w:val="000000"/>
              </w:rPr>
            </w:pPr>
          </w:p>
          <w:p w:rsidR="007F71D9" w:rsidP="00550E4D" w:rsidRDefault="007F71D9" w14:paraId="0EA721D0" w14:textId="4967FD41">
            <w:pPr>
              <w:tabs>
                <w:tab w:val="left" w:pos="1440"/>
              </w:tabs>
              <w:rPr>
                <w:color w:val="000000"/>
              </w:rPr>
            </w:pPr>
            <w:r>
              <w:rPr>
                <w:color w:val="000000"/>
              </w:rPr>
              <w:t>The correct amounts are a 2019 rate of $230.00 and 2022 rate of $337.50 for Jennifer Weberski and a 2020 rate of $255.00 for James Birkelund.</w:t>
            </w:r>
          </w:p>
          <w:p w:rsidR="007F71D9" w:rsidP="00550E4D" w:rsidRDefault="007F71D9" w14:paraId="061E9AD5" w14:textId="77777777">
            <w:pPr>
              <w:tabs>
                <w:tab w:val="left" w:pos="1440"/>
              </w:tabs>
              <w:rPr>
                <w:color w:val="000000"/>
              </w:rPr>
            </w:pPr>
          </w:p>
          <w:p w:rsidRPr="007F620E" w:rsidR="007F71D9" w:rsidP="00221E12" w:rsidRDefault="007F71D9" w14:paraId="0F90BD86" w14:textId="4E5F27D6">
            <w:pPr>
              <w:tabs>
                <w:tab w:val="left" w:pos="1440"/>
              </w:tabs>
              <w:rPr>
                <w:color w:val="000000"/>
              </w:rPr>
            </w:pPr>
            <w:r>
              <w:rPr>
                <w:color w:val="000000"/>
              </w:rPr>
              <w:t xml:space="preserve">We remind SBUA to verify calculations for requested awards as errors will provide incorrect totals and </w:t>
            </w:r>
            <w:r w:rsidR="00221E12">
              <w:rPr>
                <w:color w:val="000000"/>
              </w:rPr>
              <w:t xml:space="preserve">awards </w:t>
            </w:r>
            <w:r>
              <w:rPr>
                <w:color w:val="000000"/>
              </w:rPr>
              <w:t xml:space="preserve">may </w:t>
            </w:r>
            <w:r w:rsidR="00221E12">
              <w:rPr>
                <w:color w:val="000000"/>
              </w:rPr>
              <w:t xml:space="preserve">erroneously </w:t>
            </w:r>
            <w:r>
              <w:rPr>
                <w:color w:val="000000"/>
              </w:rPr>
              <w:t>appear as a reduction or increase</w:t>
            </w:r>
            <w:r w:rsidR="00221E12">
              <w:rPr>
                <w:color w:val="000000"/>
              </w:rPr>
              <w:t xml:space="preserve"> as a result.</w:t>
            </w:r>
          </w:p>
        </w:tc>
      </w:tr>
    </w:tbl>
    <w:p w:rsidRPr="007F620E" w:rsidR="00A92D0B" w:rsidP="00575494" w:rsidRDefault="00A92D0B" w14:paraId="18E9D359" w14:textId="6CF07914">
      <w:pPr>
        <w:keepNext/>
        <w:tabs>
          <w:tab w:val="left" w:pos="1260"/>
        </w:tabs>
        <w:spacing w:before="480"/>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shd w:val="clear" w:color="auto" w:fill="auto"/>
          </w:tcPr>
          <w:p w:rsidRPr="007F620E" w:rsidR="00A92D0B" w:rsidP="005A3018" w:rsidRDefault="00A92D0B" w14:paraId="607B1FB9" w14:textId="639D7800">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rsidRPr="007F620E" w:rsidR="00A92D0B" w:rsidP="005A3018" w:rsidRDefault="00A364AB" w14:paraId="6E7CD931" w14:textId="70FE5DE4">
            <w:pPr>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7F620E" w:rsidR="00A92D0B" w:rsidP="005A3018" w:rsidRDefault="00A92D0B" w14:paraId="37D28D8D" w14:textId="4DD2F575">
            <w:pPr>
              <w:ind w:left="360" w:hanging="360"/>
              <w:rPr>
                <w:color w:val="000000"/>
              </w:rPr>
            </w:pPr>
            <w:r w:rsidRPr="007F620E">
              <w:rPr>
                <w:b/>
                <w:color w:val="000000"/>
              </w:rPr>
              <w:t>B.</w:t>
            </w:r>
            <w:r w:rsidR="005A3018">
              <w:rPr>
                <w:b/>
                <w:color w:val="000000"/>
              </w:rPr>
              <w:tab/>
            </w:r>
            <w:r w:rsidRPr="007F620E">
              <w:rPr>
                <w:b/>
                <w:color w:val="000000"/>
              </w:rPr>
              <w:t>Comment Period:  Was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4A1B96" w14:paraId="238D2D3F" w14:textId="3FD64CD1">
            <w:pPr>
              <w:keepNext/>
              <w:keepLines/>
              <w:spacing w:after="240"/>
              <w:rPr>
                <w:color w:val="000000"/>
              </w:rPr>
            </w:pPr>
            <w:r>
              <w:rPr>
                <w:color w:val="000000"/>
              </w:rPr>
              <w:t>Yes</w:t>
            </w:r>
          </w:p>
        </w:tc>
      </w:tr>
    </w:tbl>
    <w:p w:rsidRPr="007F620E" w:rsidR="00A92D0B" w:rsidP="005D20CE" w:rsidRDefault="00A92D0B" w14:paraId="186E115A" w14:textId="77777777">
      <w:pPr>
        <w:spacing w:before="240" w:after="240"/>
        <w:jc w:val="center"/>
        <w:rPr>
          <w:b/>
          <w:color w:val="000000"/>
          <w:u w:val="single"/>
        </w:rPr>
      </w:pPr>
      <w:r w:rsidRPr="007F620E">
        <w:rPr>
          <w:b/>
          <w:color w:val="000000"/>
          <w:u w:val="single"/>
        </w:rPr>
        <w:t>FINDINGS OF FACT</w:t>
      </w:r>
    </w:p>
    <w:p w:rsidRPr="007F620E" w:rsidR="00A92D0B" w:rsidP="00B72183" w:rsidRDefault="00CF5E43" w14:paraId="7772A9DC" w14:textId="2A9D1D54">
      <w:pPr>
        <w:numPr>
          <w:ilvl w:val="0"/>
          <w:numId w:val="3"/>
        </w:numPr>
        <w:tabs>
          <w:tab w:val="num" w:pos="540"/>
        </w:tabs>
        <w:ind w:left="540" w:hanging="540"/>
      </w:pPr>
      <w:r w:rsidRPr="006E05EE">
        <w:t>Small Business Utility Advocates</w:t>
      </w:r>
      <w:r w:rsidRPr="007F620E" w:rsidR="00FE3BAE">
        <w:t xml:space="preserve"> </w:t>
      </w:r>
      <w:r w:rsidRPr="007F620E" w:rsidR="00A92D0B">
        <w:t>has made a substantia</w:t>
      </w:r>
      <w:r w:rsidRPr="007F620E" w:rsidR="00DE3A5D">
        <w:t xml:space="preserve">l contribution to </w:t>
      </w:r>
      <w:r w:rsidRPr="00B72183" w:rsidR="00B72183">
        <w:t>D.21-</w:t>
      </w:r>
      <w:r w:rsidR="00D82C21">
        <w:t>11-016</w:t>
      </w:r>
      <w:r w:rsidR="00B72183">
        <w:t xml:space="preserve"> </w:t>
      </w:r>
      <w:r w:rsidR="006E05EE">
        <w:t>and</w:t>
      </w:r>
      <w:r w:rsidR="00B72183">
        <w:t xml:space="preserve"> </w:t>
      </w:r>
      <w:r w:rsidRPr="00B72183" w:rsidR="00B72183">
        <w:t>D.22-</w:t>
      </w:r>
      <w:r w:rsidR="00D82C21">
        <w:t>08-002</w:t>
      </w:r>
      <w:r w:rsidRPr="007F620E" w:rsidR="00A92D0B">
        <w:t>.</w:t>
      </w:r>
    </w:p>
    <w:p w:rsidRPr="007F620E" w:rsidR="00A92D0B" w:rsidRDefault="00A92D0B" w14:paraId="04EB50FD" w14:textId="280FD381">
      <w:pPr>
        <w:numPr>
          <w:ilvl w:val="0"/>
          <w:numId w:val="3"/>
        </w:numPr>
        <w:tabs>
          <w:tab w:val="num" w:pos="540"/>
        </w:tabs>
        <w:spacing w:before="240"/>
      </w:pPr>
      <w:r w:rsidRPr="007F620E">
        <w:t>The requested hourly rates for</w:t>
      </w:r>
      <w:r w:rsidR="003B6A1B">
        <w:t xml:space="preserve"> </w:t>
      </w:r>
      <w:r w:rsidRPr="006E05EE" w:rsidR="00CF5E43">
        <w:t>Small Business Utility Advocate</w:t>
      </w:r>
      <w:r w:rsidRPr="006E05EE" w:rsidR="005A63D4">
        <w:t>s</w:t>
      </w:r>
      <w:r w:rsidRPr="007F620E" w:rsidR="005A63D4">
        <w:t xml:space="preserve"> </w:t>
      </w:r>
      <w:r w:rsidRPr="007F620E">
        <w:t>representatives,</w:t>
      </w:r>
      <w:r w:rsidR="003B5EAC">
        <w:t xml:space="preserve"> </w:t>
      </w:r>
      <w:r w:rsidRPr="007F620E">
        <w:t>as adjusted herein, are comparable to market rates paid to experts and advocates having comparable training and experience and offering similar services.</w:t>
      </w:r>
    </w:p>
    <w:p w:rsidRPr="007F620E" w:rsidR="00A92D0B" w:rsidRDefault="00A92D0B" w14:paraId="528EBB52" w14:textId="3C92CA62">
      <w:pPr>
        <w:numPr>
          <w:ilvl w:val="0"/>
          <w:numId w:val="3"/>
        </w:numPr>
        <w:tabs>
          <w:tab w:val="num" w:pos="540"/>
        </w:tabs>
        <w:spacing w:before="240"/>
      </w:pPr>
      <w:r w:rsidRPr="007F620E">
        <w:t xml:space="preserve">The claimed costs and expenses are reasonable and commensurate with the work performed. </w:t>
      </w:r>
    </w:p>
    <w:p w:rsidRPr="007F620E" w:rsidR="00A92D0B" w:rsidRDefault="00A92D0B" w14:paraId="48B52895" w14:textId="7A86C065">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Pr="00D44A1B" w:rsidR="00D44A1B">
        <w:t>$329,942.74</w:t>
      </w:r>
      <w:r w:rsidRPr="007F620E">
        <w:t>.</w:t>
      </w:r>
    </w:p>
    <w:p w:rsidRPr="007F620E" w:rsidR="00A92D0B" w:rsidP="00CE057B" w:rsidRDefault="00A92D0B" w14:paraId="5C773C3F" w14:textId="77777777">
      <w:pPr>
        <w:keepNext/>
        <w:spacing w:before="480" w:after="240"/>
        <w:jc w:val="center"/>
        <w:rPr>
          <w:b/>
          <w:color w:val="000000"/>
          <w:u w:val="single"/>
        </w:rPr>
      </w:pPr>
      <w:r w:rsidRPr="007F620E">
        <w:rPr>
          <w:b/>
          <w:color w:val="000000"/>
          <w:u w:val="single"/>
        </w:rPr>
        <w:lastRenderedPageBreak/>
        <w:t>CONCLUSION OF LAW</w:t>
      </w:r>
    </w:p>
    <w:p w:rsidRPr="007F620E" w:rsidR="00A92D0B" w:rsidP="00575494" w:rsidRDefault="00A92D0B" w14:paraId="654F2C27" w14:textId="074AABC0">
      <w:pPr>
        <w:numPr>
          <w:ilvl w:val="0"/>
          <w:numId w:val="10"/>
        </w:numPr>
        <w:spacing w:before="240"/>
        <w:rPr>
          <w:color w:val="000000"/>
        </w:rPr>
      </w:pPr>
      <w:r w:rsidRPr="00575494">
        <w:t>The</w:t>
      </w:r>
      <w:r w:rsidRPr="007F620E">
        <w:rPr>
          <w:color w:val="000000"/>
        </w:rPr>
        <w:t xml:space="preserv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A92D0B" w:rsidP="00CE057B" w:rsidRDefault="00A92D0B" w14:paraId="0E2503A5" w14:textId="77777777">
      <w:pPr>
        <w:keepNext/>
        <w:spacing w:before="480" w:after="240"/>
        <w:jc w:val="center"/>
        <w:rPr>
          <w:b/>
          <w:color w:val="000000"/>
          <w:u w:val="single"/>
        </w:rPr>
      </w:pPr>
      <w:r w:rsidRPr="007F620E">
        <w:rPr>
          <w:b/>
          <w:color w:val="000000"/>
          <w:u w:val="single"/>
        </w:rPr>
        <w:t>ORDER</w:t>
      </w:r>
    </w:p>
    <w:p w:rsidRPr="007F620E" w:rsidR="00A92D0B" w:rsidP="00CE057B" w:rsidRDefault="00B37C36" w14:paraId="33FB4E15" w14:textId="185F7EEB">
      <w:pPr>
        <w:keepNext/>
        <w:numPr>
          <w:ilvl w:val="0"/>
          <w:numId w:val="4"/>
        </w:numPr>
        <w:tabs>
          <w:tab w:val="clear" w:pos="900"/>
          <w:tab w:val="num" w:pos="540"/>
        </w:tabs>
        <w:ind w:left="547" w:hanging="547"/>
        <w:rPr>
          <w:color w:val="000000"/>
        </w:rPr>
      </w:pPr>
      <w:r w:rsidRPr="006E05EE">
        <w:rPr>
          <w:color w:val="000000"/>
        </w:rPr>
        <w:t>Small Business Utility Advocates</w:t>
      </w:r>
      <w:r w:rsidRPr="006E05EE" w:rsidR="00FE3BAE">
        <w:rPr>
          <w:color w:val="000000"/>
        </w:rPr>
        <w:t xml:space="preserve"> </w:t>
      </w:r>
      <w:r w:rsidRPr="006E05EE" w:rsidR="00831652">
        <w:rPr>
          <w:color w:val="000000"/>
        </w:rPr>
        <w:t>is</w:t>
      </w:r>
      <w:r w:rsidRPr="006E05EE" w:rsidR="00FE3BAE">
        <w:rPr>
          <w:color w:val="000000"/>
        </w:rPr>
        <w:t xml:space="preserve"> </w:t>
      </w:r>
      <w:r w:rsidRPr="00FE3BAE" w:rsidR="00A92D0B">
        <w:rPr>
          <w:color w:val="000000"/>
        </w:rPr>
        <w:t xml:space="preserve">awarded </w:t>
      </w:r>
      <w:r w:rsidRPr="00D44A1B" w:rsidR="00D44A1B">
        <w:rPr>
          <w:color w:val="000000"/>
        </w:rPr>
        <w:t>$329,942.74</w:t>
      </w:r>
      <w:r w:rsidRPr="007F620E" w:rsidR="00A92D0B">
        <w:rPr>
          <w:color w:val="000000"/>
        </w:rPr>
        <w:t>.</w:t>
      </w:r>
    </w:p>
    <w:p w:rsidR="00A92D0B" w:rsidRDefault="00A92D0B" w14:paraId="4AEF5671" w14:textId="4CCFF0A1">
      <w:pPr>
        <w:numPr>
          <w:ilvl w:val="0"/>
          <w:numId w:val="4"/>
        </w:numPr>
        <w:tabs>
          <w:tab w:val="clear" w:pos="900"/>
          <w:tab w:val="num" w:pos="540"/>
        </w:tabs>
        <w:spacing w:before="240"/>
        <w:ind w:left="547" w:hanging="547"/>
      </w:pPr>
      <w:r w:rsidRPr="007F620E">
        <w:t>Wit</w:t>
      </w:r>
      <w:r w:rsidRPr="006E05EE">
        <w:rPr>
          <w:color w:val="000000"/>
        </w:rPr>
        <w:t xml:space="preserve">hin 30 days of the effective date of this decision, </w:t>
      </w:r>
      <w:r w:rsidR="006E05EE">
        <w:rPr>
          <w:color w:val="000000"/>
        </w:rPr>
        <w:t>Pacific Gas and Electric Company</w:t>
      </w:r>
      <w:r w:rsidRPr="006E05EE" w:rsidR="006E05EE">
        <w:rPr>
          <w:color w:val="000000"/>
        </w:rPr>
        <w:t xml:space="preserve"> </w:t>
      </w:r>
      <w:r w:rsidRPr="006E05EE">
        <w:rPr>
          <w:color w:val="000000"/>
        </w:rPr>
        <w:t xml:space="preserve">shall pay </w:t>
      </w:r>
      <w:r w:rsidRPr="006E05EE" w:rsidR="00B37C36">
        <w:rPr>
          <w:color w:val="000000"/>
        </w:rPr>
        <w:t>Small Business Utility Advocates</w:t>
      </w:r>
      <w:r w:rsidRPr="006E05EE" w:rsidR="00FE3BAE">
        <w:rPr>
          <w:color w:val="000000"/>
        </w:rPr>
        <w:t xml:space="preserve"> </w:t>
      </w:r>
      <w:r w:rsidRPr="006E05EE">
        <w:rPr>
          <w:color w:val="000000"/>
        </w:rPr>
        <w:t>the total award.</w:t>
      </w:r>
      <w:r w:rsidR="006E05EE">
        <w:rPr>
          <w:color w:val="000000"/>
        </w:rPr>
        <w:t xml:space="preserve"> </w:t>
      </w:r>
      <w:r w:rsidRPr="006E05EE">
        <w:rPr>
          <w:color w:val="000000"/>
        </w:rPr>
        <w:t xml:space="preserve"> Payment of the award shall include</w:t>
      </w:r>
      <w:r w:rsidRPr="006E05EE" w:rsidR="004E3939">
        <w:rPr>
          <w:color w:val="000000"/>
        </w:rPr>
        <w:t xml:space="preserve"> compound </w:t>
      </w:r>
      <w:r w:rsidRPr="006E05EE">
        <w:rPr>
          <w:color w:val="000000"/>
        </w:rPr>
        <w:t xml:space="preserve">interest at the rate earned on prime, three-month </w:t>
      </w:r>
      <w:r w:rsidRPr="006E05EE" w:rsidR="00214B22">
        <w:rPr>
          <w:color w:val="000000"/>
        </w:rPr>
        <w:t xml:space="preserve">non-financial </w:t>
      </w:r>
      <w:r w:rsidRPr="006E05EE">
        <w:rPr>
          <w:color w:val="000000"/>
        </w:rPr>
        <w:t>commercial paper as reported in Federal Reserve Statistical Release H.15, beginning</w:t>
      </w:r>
      <w:r w:rsidRPr="006E05EE" w:rsidR="00357F1A">
        <w:rPr>
          <w:color w:val="000000"/>
        </w:rPr>
        <w:t xml:space="preserve"> </w:t>
      </w:r>
      <w:r w:rsidR="00A364AB">
        <w:rPr>
          <w:color w:val="000000"/>
        </w:rPr>
        <w:t>December 24, 2022</w:t>
      </w:r>
      <w:r w:rsidRPr="006E05EE" w:rsidR="00357F1A">
        <w:rPr>
          <w:color w:val="000000"/>
        </w:rPr>
        <w:t xml:space="preserve">, </w:t>
      </w:r>
      <w:r w:rsidRPr="006E05EE">
        <w:rPr>
          <w:color w:val="000000"/>
        </w:rPr>
        <w:t xml:space="preserve">the 75th day after the filing of </w:t>
      </w:r>
      <w:r w:rsidRPr="006E05EE" w:rsidR="00B37C36">
        <w:rPr>
          <w:color w:val="000000"/>
        </w:rPr>
        <w:t>Small Business Utility Advocate</w:t>
      </w:r>
      <w:r w:rsidRPr="006E05EE" w:rsidR="00FE3BAE">
        <w:rPr>
          <w:color w:val="000000"/>
        </w:rPr>
        <w:t>s</w:t>
      </w:r>
      <w:r w:rsidR="00A364AB">
        <w:rPr>
          <w:color w:val="000000"/>
        </w:rPr>
        <w:t>’</w:t>
      </w:r>
      <w:r w:rsidRPr="006E05EE" w:rsidR="00FE3BAE">
        <w:rPr>
          <w:color w:val="000000"/>
        </w:rPr>
        <w:t xml:space="preserve"> </w:t>
      </w:r>
      <w:r w:rsidRPr="006E05EE">
        <w:rPr>
          <w:color w:val="000000"/>
        </w:rPr>
        <w:t>reques</w:t>
      </w:r>
      <w:r w:rsidRPr="007F620E">
        <w:t>t, and continuing until full payment is made.</w:t>
      </w:r>
    </w:p>
    <w:p w:rsidRPr="007F620E" w:rsidR="00A92D0B" w:rsidP="00DE3A5D" w:rsidRDefault="00A92D0B" w14:paraId="5AD40C95" w14:textId="5BCA080F">
      <w:pPr>
        <w:keepNext/>
        <w:keepLines/>
        <w:numPr>
          <w:ilvl w:val="0"/>
          <w:numId w:val="4"/>
        </w:numPr>
        <w:tabs>
          <w:tab w:val="clear" w:pos="900"/>
          <w:tab w:val="num" w:pos="540"/>
        </w:tabs>
        <w:spacing w:before="240"/>
        <w:ind w:left="547" w:hanging="547"/>
      </w:pPr>
      <w:r w:rsidRPr="007F620E">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357623" w:rsidRDefault="00A92D0B" w14:paraId="0467B995" w14:textId="5C15B362">
      <w:pPr>
        <w:keepNext/>
        <w:keepLines/>
        <w:spacing w:before="240"/>
        <w:ind w:left="547"/>
        <w:rPr>
          <w:color w:val="000000"/>
        </w:rPr>
      </w:pPr>
      <w:r w:rsidRPr="007F620E">
        <w:rPr>
          <w:color w:val="000000"/>
        </w:rPr>
        <w:t>Dated</w:t>
      </w:r>
      <w:r w:rsidR="006B2FB2">
        <w:rPr>
          <w:color w:val="000000"/>
        </w:rPr>
        <w:t xml:space="preserve"> November 30, 2023</w:t>
      </w:r>
      <w:r w:rsidRPr="007F620E">
        <w:rPr>
          <w:color w:val="000000"/>
        </w:rPr>
        <w:t xml:space="preserve">, at </w:t>
      </w:r>
      <w:r w:rsidR="007919CB">
        <w:rPr>
          <w:color w:val="000000"/>
        </w:rPr>
        <w:t>Sacramento</w:t>
      </w:r>
      <w:r w:rsidRPr="007F620E">
        <w:rPr>
          <w:color w:val="000000"/>
        </w:rPr>
        <w:t>, California.</w:t>
      </w:r>
    </w:p>
    <w:p w:rsidR="00A92D0B" w:rsidRDefault="00A92D0B" w14:paraId="1A474D77" w14:textId="77777777"/>
    <w:p w:rsidR="006B2FB2" w:rsidRDefault="006B2FB2" w14:paraId="6E50DAEC" w14:textId="77777777"/>
    <w:p w:rsidR="006B2FB2" w:rsidP="006B2FB2" w:rsidRDefault="006B2FB2" w14:paraId="264ACF2D" w14:textId="77777777">
      <w:pPr>
        <w:autoSpaceDE w:val="0"/>
        <w:autoSpaceDN w:val="0"/>
        <w:adjustRightInd w:val="0"/>
        <w:ind w:left="4950"/>
        <w:jc w:val="both"/>
        <w:rPr>
          <w:szCs w:val="20"/>
        </w:rPr>
      </w:pPr>
      <w:r>
        <w:rPr>
          <w:szCs w:val="20"/>
        </w:rPr>
        <w:t>ALICE REYNOLDS</w:t>
      </w:r>
    </w:p>
    <w:p w:rsidR="006B2FB2" w:rsidP="006B2FB2" w:rsidRDefault="006B2FB2" w14:paraId="1EFAAC9E" w14:textId="77777777">
      <w:pPr>
        <w:autoSpaceDE w:val="0"/>
        <w:autoSpaceDN w:val="0"/>
        <w:adjustRightInd w:val="0"/>
        <w:ind w:left="6030"/>
        <w:jc w:val="both"/>
        <w:rPr>
          <w:szCs w:val="20"/>
        </w:rPr>
      </w:pPr>
      <w:r>
        <w:rPr>
          <w:szCs w:val="20"/>
        </w:rPr>
        <w:t>President</w:t>
      </w:r>
    </w:p>
    <w:p w:rsidR="006B2FB2" w:rsidP="006B2FB2" w:rsidRDefault="006B2FB2" w14:paraId="11BCF6E1" w14:textId="77777777">
      <w:pPr>
        <w:autoSpaceDE w:val="0"/>
        <w:autoSpaceDN w:val="0"/>
        <w:adjustRightInd w:val="0"/>
        <w:ind w:left="4950"/>
        <w:jc w:val="both"/>
        <w:rPr>
          <w:szCs w:val="20"/>
        </w:rPr>
      </w:pPr>
      <w:r>
        <w:rPr>
          <w:szCs w:val="20"/>
        </w:rPr>
        <w:t>GENEVIEVE SHIROMA</w:t>
      </w:r>
    </w:p>
    <w:p w:rsidR="006B2FB2" w:rsidP="006B2FB2" w:rsidRDefault="006B2FB2" w14:paraId="1957C22C" w14:textId="77777777">
      <w:pPr>
        <w:autoSpaceDE w:val="0"/>
        <w:autoSpaceDN w:val="0"/>
        <w:adjustRightInd w:val="0"/>
        <w:ind w:left="4950"/>
        <w:jc w:val="both"/>
        <w:rPr>
          <w:szCs w:val="20"/>
        </w:rPr>
      </w:pPr>
      <w:r>
        <w:rPr>
          <w:szCs w:val="20"/>
        </w:rPr>
        <w:t>DARCIE L. HOUCK</w:t>
      </w:r>
    </w:p>
    <w:p w:rsidR="006B2FB2" w:rsidP="006B2FB2" w:rsidRDefault="006B2FB2" w14:paraId="56C0E0CF" w14:textId="77777777">
      <w:pPr>
        <w:autoSpaceDE w:val="0"/>
        <w:autoSpaceDN w:val="0"/>
        <w:adjustRightInd w:val="0"/>
        <w:ind w:left="4950"/>
        <w:jc w:val="both"/>
        <w:rPr>
          <w:szCs w:val="20"/>
        </w:rPr>
      </w:pPr>
      <w:r>
        <w:rPr>
          <w:szCs w:val="20"/>
        </w:rPr>
        <w:t>JOHN REYNOLDS</w:t>
      </w:r>
    </w:p>
    <w:p w:rsidR="006B2FB2" w:rsidP="006B2FB2" w:rsidRDefault="006B2FB2" w14:paraId="407D4256" w14:textId="77777777">
      <w:pPr>
        <w:autoSpaceDE w:val="0"/>
        <w:autoSpaceDN w:val="0"/>
        <w:adjustRightInd w:val="0"/>
        <w:ind w:left="4950"/>
        <w:jc w:val="both"/>
        <w:rPr>
          <w:szCs w:val="20"/>
        </w:rPr>
      </w:pPr>
      <w:r>
        <w:rPr>
          <w:szCs w:val="20"/>
        </w:rPr>
        <w:t>KAREN DOUGLAS</w:t>
      </w:r>
    </w:p>
    <w:p w:rsidR="006B2FB2" w:rsidP="006B2FB2" w:rsidRDefault="006B2FB2" w14:paraId="19F8AA3C" w14:textId="2066AE9E">
      <w:pPr>
        <w:ind w:right="2340"/>
        <w:jc w:val="right"/>
      </w:pPr>
      <w:r>
        <w:rPr>
          <w:szCs w:val="20"/>
        </w:rPr>
        <w:t>Commissioners</w:t>
      </w:r>
    </w:p>
    <w:p w:rsidRPr="007F620E" w:rsidR="006B2FB2" w:rsidRDefault="006B2FB2" w14:paraId="7D98CC96" w14:textId="77777777"/>
    <w:p w:rsidR="00FE3BAE" w:rsidRDefault="00FE3BAE" w14:paraId="3C739AE2" w14:textId="71F3AFC8"/>
    <w:p w:rsidR="006B7228" w:rsidRDefault="006B7228" w14:paraId="37D74F32" w14:textId="77777777">
      <w:pPr>
        <w:sectPr w:rsidR="006B7228" w:rsidSect="006E7019">
          <w:headerReference w:type="default" r:id="rId11"/>
          <w:footerReference w:type="default" r:id="rId12"/>
          <w:headerReference w:type="first" r:id="rId13"/>
          <w:footerReference w:type="first" r:id="rId14"/>
          <w:pgSz w:w="12240" w:h="15840"/>
          <w:pgMar w:top="1440" w:right="1440" w:bottom="1440" w:left="1440" w:header="720" w:footer="720" w:gutter="0"/>
          <w:pgNumType w:fmt="numberInDash"/>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A23C17" w:rsidRDefault="006B2FB2" w14:paraId="16C5D6B1" w14:textId="4AAACF24">
            <w:r>
              <w:t>D2311114</w:t>
            </w:r>
          </w:p>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A23C17"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A23C17" w:rsidRDefault="006E05EE" w14:paraId="6846FB87" w14:textId="239DC93B">
            <w:pPr>
              <w:jc w:val="center"/>
            </w:pPr>
            <w:r>
              <w:t>No</w:t>
            </w:r>
          </w:p>
        </w:tc>
      </w:tr>
      <w:tr w:rsidRPr="00B803D5" w:rsidR="00FE3BAE" w:rsidTr="006E05EE"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B72183" w:rsidRDefault="00B72183" w14:paraId="426F2C45" w14:textId="4ECFF08A">
            <w:r w:rsidRPr="00B72183">
              <w:t>D21</w:t>
            </w:r>
            <w:r w:rsidR="00D82C21">
              <w:t>11016</w:t>
            </w:r>
            <w:r>
              <w:t xml:space="preserve"> </w:t>
            </w:r>
            <w:r w:rsidR="006E05EE">
              <w:t>and</w:t>
            </w:r>
            <w:r>
              <w:t xml:space="preserve"> </w:t>
            </w:r>
            <w:r w:rsidRPr="00B72183">
              <w:t>D22</w:t>
            </w:r>
            <w:r w:rsidR="00D82C21">
              <w:t>08002</w:t>
            </w:r>
          </w:p>
        </w:tc>
      </w:tr>
      <w:tr w:rsidRPr="00B803D5" w:rsidR="00FE3BAE" w:rsidTr="006E05EE"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D82C21" w14:paraId="5B85688D" w14:textId="4FF02112">
            <w:r>
              <w:t>A1911019</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6E05EE" w14:paraId="5E75C0F0" w14:textId="192B0B2E">
            <w:r>
              <w:t>ALJ Patrick Doherty</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6E05EE" w14:paraId="7CA711B6" w14:textId="5AC0B49F">
            <w:r>
              <w:rPr>
                <w:color w:val="000000"/>
              </w:rPr>
              <w:t>Pacific Gas and Electric Company</w:t>
            </w:r>
          </w:p>
        </w:tc>
      </w:tr>
    </w:tbl>
    <w:p w:rsidRPr="00B803D5" w:rsidR="00FE3BAE" w:rsidP="005809BC" w:rsidRDefault="00FE3BAE" w14:paraId="7F0236A2" w14:textId="77777777">
      <w:pPr>
        <w:spacing w:before="120" w:after="12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3"/>
        <w:gridCol w:w="1458"/>
        <w:gridCol w:w="1430"/>
        <w:gridCol w:w="1587"/>
        <w:gridCol w:w="1404"/>
        <w:gridCol w:w="2498"/>
      </w:tblGrid>
      <w:tr w:rsidRPr="00B803D5"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6E05EE"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8C339D" w:rsidR="00FE3BAE" w:rsidP="00A23C17" w:rsidRDefault="00B37C36" w14:paraId="3008FB17" w14:textId="44EE7195">
            <w:pPr>
              <w:jc w:val="center"/>
              <w:rPr>
                <w:bCs/>
                <w:caps/>
              </w:rPr>
            </w:pPr>
            <w:r w:rsidRPr="006E05EE">
              <w:t>Small Business Utility Advocates</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D82C21" w14:paraId="63956769" w14:textId="52215677">
            <w:pPr>
              <w:jc w:val="center"/>
            </w:pPr>
            <w:r>
              <w:t>10/</w:t>
            </w:r>
            <w:r w:rsidR="00A731E8">
              <w:t>10</w:t>
            </w:r>
            <w:r w:rsidR="00B37C36">
              <w:t>/22</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BB79F4" w14:paraId="75AD20FA" w14:textId="1527376A">
            <w:pPr>
              <w:jc w:val="center"/>
            </w:pPr>
            <w:r>
              <w:t>$</w:t>
            </w:r>
            <w:r w:rsidR="00E32DDC">
              <w:rPr>
                <w:bCs/>
                <w:iCs/>
                <w:color w:val="000000"/>
              </w:rPr>
              <w:t>382,062.25</w:t>
            </w:r>
          </w:p>
        </w:tc>
        <w:tc>
          <w:tcPr>
            <w:tcW w:w="1571"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D44A1B" w14:paraId="0DD6FE00" w14:textId="07694851">
            <w:pPr>
              <w:jc w:val="center"/>
            </w:pPr>
            <w:r w:rsidRPr="00D44A1B">
              <w:t>$329,942.74</w:t>
            </w:r>
          </w:p>
        </w:tc>
        <w:tc>
          <w:tcPr>
            <w:tcW w:w="1390"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D44A1B" w:rsidR="00FE3BAE" w:rsidP="00A23C17" w:rsidRDefault="00D44A1B" w14:paraId="6B53C6F9" w14:textId="08779D1F">
            <w:pPr>
              <w:jc w:val="center"/>
            </w:pPr>
            <w:r>
              <w:rPr>
                <w:i/>
                <w:iCs/>
              </w:rPr>
              <w:t>See</w:t>
            </w:r>
            <w:r>
              <w:t xml:space="preserve"> Part III.D CPUC Comments, Disallowances and Adjustments</w:t>
            </w:r>
          </w:p>
        </w:tc>
      </w:tr>
    </w:tbl>
    <w:p w:rsidRPr="00B803D5" w:rsidR="00FE3BAE" w:rsidP="005809BC" w:rsidRDefault="0022302F" w14:paraId="2841210B" w14:textId="77777777">
      <w:pPr>
        <w:spacing w:before="120" w:after="12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B37C36"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B72183" w:rsidTr="006E05EE" w14:paraId="46F7B84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B72183" w:rsidP="00B37C36" w:rsidRDefault="00B72183" w14:paraId="1CB09E12" w14:textId="2CB8F4F6">
            <w:pPr>
              <w:jc w:val="center"/>
            </w:pPr>
            <w:r w:rsidRPr="006E05EE">
              <w:t>Jennifer</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B72183" w:rsidP="00B37C36" w:rsidRDefault="00AB1A7D" w14:paraId="3EACDDD9" w14:textId="3CF55FE7">
            <w:pPr>
              <w:jc w:val="center"/>
            </w:pPr>
            <w:r w:rsidRPr="006E05EE">
              <w:t>Weberski</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B72183" w:rsidP="00B37C36" w:rsidRDefault="00AB1A7D" w14:paraId="08C7A859" w14:textId="2605D734">
            <w:pPr>
              <w:jc w:val="center"/>
            </w:pPr>
            <w:r w:rsidRPr="006E05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00B72183" w:rsidP="00B37C36" w:rsidRDefault="00AB1A7D" w14:paraId="6E9221FD" w14:textId="17E80F03">
            <w:pPr>
              <w:jc w:val="center"/>
            </w:pPr>
            <w:r>
              <w:t>$460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B72183" w:rsidP="00B37C36" w:rsidRDefault="00AB1A7D" w14:paraId="772EE7EF" w14:textId="2710CDFA">
            <w:pPr>
              <w:jc w:val="center"/>
            </w:pPr>
            <w:r>
              <w:t>2019</w:t>
            </w:r>
          </w:p>
        </w:tc>
        <w:tc>
          <w:tcPr>
            <w:tcW w:w="1634" w:type="dxa"/>
            <w:tcBorders>
              <w:top w:val="single" w:color="auto" w:sz="4" w:space="0"/>
              <w:left w:val="single" w:color="auto" w:sz="4" w:space="0"/>
              <w:bottom w:val="single" w:color="auto" w:sz="4" w:space="0"/>
              <w:right w:val="single" w:color="auto" w:sz="4" w:space="0"/>
            </w:tcBorders>
          </w:tcPr>
          <w:p w:rsidRPr="00B803D5" w:rsidR="00B72183" w:rsidP="00B37C36" w:rsidRDefault="00A364AB" w14:paraId="5D84B3EF" w14:textId="1127C829">
            <w:pPr>
              <w:jc w:val="center"/>
            </w:pPr>
            <w:r>
              <w:t>$</w:t>
            </w:r>
            <w:r w:rsidR="00761CF4">
              <w:t>460.00</w:t>
            </w:r>
          </w:p>
        </w:tc>
      </w:tr>
      <w:tr w:rsidRPr="00B803D5" w:rsidR="00B37C36" w:rsidTr="006E05EE"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B37C36" w:rsidP="00B37C36" w:rsidRDefault="00B37C36" w14:paraId="0F0C6D6C" w14:textId="79F29031">
            <w:pPr>
              <w:jc w:val="center"/>
            </w:pPr>
            <w:r w:rsidRPr="006E05EE">
              <w:t xml:space="preserve">Jennifer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B37C36" w:rsidP="00B37C36" w:rsidRDefault="00B37C36" w14:paraId="6ACE7B68" w14:textId="69929BDD">
            <w:pPr>
              <w:jc w:val="center"/>
            </w:pPr>
            <w:r w:rsidRPr="006E05EE">
              <w:t>Weberski</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B37C36" w:rsidP="00B37C36" w:rsidRDefault="00B37C36" w14:paraId="0E61474F" w14:textId="38725510">
            <w:pPr>
              <w:jc w:val="center"/>
            </w:pPr>
            <w:r w:rsidRPr="006E05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B37C36" w:rsidP="00B37C36" w:rsidRDefault="00B37C36" w14:paraId="44F9655C" w14:textId="1536103F">
            <w:pPr>
              <w:jc w:val="center"/>
            </w:pPr>
            <w:r>
              <w:t>$470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B37C36" w:rsidP="00B37C36" w:rsidRDefault="00B37C36" w14:paraId="2EB25516" w14:textId="5619F4A9">
            <w:pPr>
              <w:jc w:val="center"/>
            </w:pPr>
            <w:r>
              <w:t>2020</w:t>
            </w:r>
          </w:p>
        </w:tc>
        <w:tc>
          <w:tcPr>
            <w:tcW w:w="1634" w:type="dxa"/>
            <w:tcBorders>
              <w:top w:val="single" w:color="auto" w:sz="4" w:space="0"/>
              <w:left w:val="single" w:color="auto" w:sz="4" w:space="0"/>
              <w:bottom w:val="single" w:color="auto" w:sz="4" w:space="0"/>
              <w:right w:val="single" w:color="auto" w:sz="4" w:space="0"/>
            </w:tcBorders>
          </w:tcPr>
          <w:p w:rsidRPr="00B803D5" w:rsidR="00B37C36" w:rsidP="00B37C36" w:rsidRDefault="00A364AB" w14:paraId="0A76FE98" w14:textId="5E0896B9">
            <w:pPr>
              <w:jc w:val="center"/>
            </w:pPr>
            <w:r>
              <w:t>$</w:t>
            </w:r>
            <w:r w:rsidR="00761CF4">
              <w:t>470.00</w:t>
            </w:r>
          </w:p>
        </w:tc>
      </w:tr>
      <w:tr w:rsidRPr="00B803D5" w:rsidR="00B508E1" w:rsidTr="006E05EE" w14:paraId="24049EF7"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6E8065E5" w14:textId="1A43846A">
            <w:pPr>
              <w:jc w:val="center"/>
            </w:pPr>
            <w:r w:rsidRPr="006E05EE">
              <w:t xml:space="preserve">Jennifer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4ED1F847" w14:textId="2B3B8D48">
            <w:pPr>
              <w:jc w:val="center"/>
            </w:pPr>
            <w:r w:rsidRPr="006E05EE">
              <w:t>Weberski</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682EAB5C" w14:textId="26A7D488">
            <w:pPr>
              <w:jc w:val="center"/>
            </w:pPr>
            <w:r w:rsidRPr="006E05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00B508E1" w:rsidP="00B508E1" w:rsidRDefault="00B508E1" w14:paraId="6170D404" w14:textId="432940F1">
            <w:pPr>
              <w:jc w:val="center"/>
            </w:pPr>
            <w:r>
              <w:t>$</w:t>
            </w:r>
            <w:r w:rsidR="009003F2">
              <w:t>625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B508E1" w:rsidP="00B508E1" w:rsidRDefault="00B508E1" w14:paraId="4082975D" w14:textId="53AB432F">
            <w:pPr>
              <w:jc w:val="center"/>
            </w:pPr>
            <w:r>
              <w:t>2021</w:t>
            </w:r>
          </w:p>
        </w:tc>
        <w:tc>
          <w:tcPr>
            <w:tcW w:w="1634" w:type="dxa"/>
            <w:tcBorders>
              <w:top w:val="single" w:color="auto" w:sz="4" w:space="0"/>
              <w:left w:val="single" w:color="auto" w:sz="4" w:space="0"/>
              <w:bottom w:val="single" w:color="auto" w:sz="4" w:space="0"/>
              <w:right w:val="single" w:color="auto" w:sz="4" w:space="0"/>
            </w:tcBorders>
          </w:tcPr>
          <w:p w:rsidRPr="00B803D5" w:rsidR="00B508E1" w:rsidP="00B508E1" w:rsidRDefault="00A364AB" w14:paraId="6CF59290" w14:textId="67CF5AD4">
            <w:pPr>
              <w:jc w:val="center"/>
            </w:pPr>
            <w:r>
              <w:t>$</w:t>
            </w:r>
            <w:r w:rsidR="00761CF4">
              <w:t>625.00</w:t>
            </w:r>
          </w:p>
        </w:tc>
      </w:tr>
      <w:tr w:rsidRPr="00B803D5" w:rsidR="00B508E1" w:rsidTr="006E05EE"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4CFDAB24" w14:textId="3CCBE4F1">
            <w:pPr>
              <w:jc w:val="center"/>
            </w:pPr>
            <w:r w:rsidRPr="006E05EE">
              <w:t xml:space="preserve">Jennifer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3A9B4F75" w14:textId="751ABA74">
            <w:pPr>
              <w:jc w:val="center"/>
            </w:pPr>
            <w:r w:rsidRPr="006E05EE">
              <w:t>Weberski</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B508E1" w:rsidP="00B508E1" w:rsidRDefault="00B508E1" w14:paraId="73440B00" w14:textId="1D6FEA3B">
            <w:pPr>
              <w:jc w:val="center"/>
            </w:pPr>
            <w:r w:rsidRPr="006E05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B508E1" w:rsidP="00B508E1" w:rsidRDefault="00B508E1" w14:paraId="1466F47E" w14:textId="69799719">
            <w:pPr>
              <w:jc w:val="center"/>
            </w:pPr>
            <w:r>
              <w:t>$655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B508E1" w:rsidP="00B508E1" w:rsidRDefault="00B508E1" w14:paraId="4CBE320E" w14:textId="78A686BA">
            <w:pPr>
              <w:jc w:val="center"/>
            </w:pPr>
            <w:r>
              <w:t>2022</w:t>
            </w:r>
          </w:p>
        </w:tc>
        <w:tc>
          <w:tcPr>
            <w:tcW w:w="1634" w:type="dxa"/>
            <w:tcBorders>
              <w:top w:val="single" w:color="auto" w:sz="4" w:space="0"/>
              <w:left w:val="single" w:color="auto" w:sz="4" w:space="0"/>
              <w:bottom w:val="single" w:color="auto" w:sz="4" w:space="0"/>
              <w:right w:val="single" w:color="auto" w:sz="4" w:space="0"/>
            </w:tcBorders>
          </w:tcPr>
          <w:p w:rsidRPr="00B803D5" w:rsidR="00B508E1" w:rsidP="00B508E1" w:rsidRDefault="00A364AB" w14:paraId="37932A57" w14:textId="0C18CE2D">
            <w:pPr>
              <w:jc w:val="center"/>
            </w:pPr>
            <w:r>
              <w:t>$</w:t>
            </w:r>
            <w:r w:rsidR="00C747D1">
              <w:t>675.00</w:t>
            </w:r>
          </w:p>
        </w:tc>
      </w:tr>
      <w:tr w:rsidRPr="00B803D5" w:rsidR="00944825" w:rsidTr="006E05EE" w14:paraId="2E22BF9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944825" w:rsidP="00944825" w:rsidRDefault="00944825" w14:paraId="6E287137" w14:textId="49C7254D">
            <w:pPr>
              <w:jc w:val="center"/>
            </w:pPr>
            <w:r w:rsidRPr="006E05EE">
              <w:t>Paul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944825" w:rsidP="00944825" w:rsidRDefault="00944825" w14:paraId="208C3DB3" w14:textId="77EEC8E5">
            <w:pPr>
              <w:jc w:val="center"/>
            </w:pPr>
            <w:r w:rsidRPr="006E05EE">
              <w:t>Chernick</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944825" w:rsidP="00944825" w:rsidRDefault="00944825" w14:paraId="3F27B31A" w14:textId="1E9DF5CD">
            <w:pPr>
              <w:jc w:val="center"/>
            </w:pPr>
            <w:r w:rsidRPr="006E05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E52FF" w:rsidR="00944825" w:rsidP="00944825" w:rsidRDefault="00944825" w14:paraId="710EB353" w14:textId="2FE80C5D">
            <w:pPr>
              <w:jc w:val="center"/>
            </w:pPr>
            <w:r>
              <w:t>$465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944825" w:rsidP="00944825" w:rsidRDefault="00944825" w14:paraId="5C0270E9" w14:textId="1A97633E">
            <w:pPr>
              <w:jc w:val="center"/>
            </w:pPr>
            <w:r>
              <w:t>2021</w:t>
            </w:r>
          </w:p>
        </w:tc>
        <w:tc>
          <w:tcPr>
            <w:tcW w:w="1634" w:type="dxa"/>
            <w:tcBorders>
              <w:top w:val="single" w:color="auto" w:sz="4" w:space="0"/>
              <w:left w:val="single" w:color="auto" w:sz="4" w:space="0"/>
              <w:bottom w:val="single" w:color="auto" w:sz="4" w:space="0"/>
              <w:right w:val="single" w:color="auto" w:sz="4" w:space="0"/>
            </w:tcBorders>
          </w:tcPr>
          <w:p w:rsidRPr="00B803D5" w:rsidR="00944825" w:rsidP="00944825" w:rsidRDefault="00A364AB" w14:paraId="64B27AED" w14:textId="028094E0">
            <w:pPr>
              <w:jc w:val="center"/>
            </w:pPr>
            <w:r>
              <w:t>$</w:t>
            </w:r>
            <w:r w:rsidR="00761CF4">
              <w:t>465.00</w:t>
            </w:r>
          </w:p>
        </w:tc>
      </w:tr>
      <w:tr w:rsidRPr="00B803D5" w:rsidR="00907ACC" w:rsidTr="006E05EE" w14:paraId="7DD38947"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3777A557" w14:textId="69FAB4D3">
            <w:pPr>
              <w:jc w:val="center"/>
            </w:pPr>
            <w:r w:rsidRPr="006E05EE">
              <w:t>Paul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040ECF0E" w14:textId="51F7E435">
            <w:pPr>
              <w:jc w:val="center"/>
            </w:pPr>
            <w:r w:rsidRPr="006E05EE">
              <w:t>Chernick</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4729F466" w14:textId="2DFAB220">
            <w:pPr>
              <w:jc w:val="center"/>
            </w:pPr>
            <w:r w:rsidRPr="006E05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E52FF" w:rsidR="00907ACC" w:rsidP="00907ACC" w:rsidRDefault="00907ACC" w14:paraId="2F91BC41" w14:textId="2A89EA72">
            <w:pPr>
              <w:jc w:val="center"/>
            </w:pPr>
            <w:r>
              <w:t>$520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907ACC" w:rsidP="00907ACC" w:rsidRDefault="00907ACC" w14:paraId="04EFE33B" w14:textId="15A778A4">
            <w:pPr>
              <w:jc w:val="center"/>
            </w:pPr>
            <w:r>
              <w:t>202</w:t>
            </w:r>
            <w:r w:rsidR="00755192">
              <w:t>2</w:t>
            </w:r>
          </w:p>
        </w:tc>
        <w:tc>
          <w:tcPr>
            <w:tcW w:w="1634" w:type="dxa"/>
            <w:tcBorders>
              <w:top w:val="single" w:color="auto" w:sz="4" w:space="0"/>
              <w:left w:val="single" w:color="auto" w:sz="4" w:space="0"/>
              <w:bottom w:val="single" w:color="auto" w:sz="4" w:space="0"/>
              <w:right w:val="single" w:color="auto" w:sz="4" w:space="0"/>
            </w:tcBorders>
          </w:tcPr>
          <w:p w:rsidRPr="00B803D5" w:rsidR="00907ACC" w:rsidP="00907ACC" w:rsidRDefault="00A364AB" w14:paraId="01ED0B34" w14:textId="5F8F7024">
            <w:pPr>
              <w:jc w:val="center"/>
            </w:pPr>
            <w:r>
              <w:t>$</w:t>
            </w:r>
            <w:r w:rsidR="00C747D1">
              <w:t>505.00</w:t>
            </w:r>
          </w:p>
        </w:tc>
      </w:tr>
      <w:tr w:rsidRPr="00B803D5" w:rsidR="00907ACC" w:rsidTr="006E05EE"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115C1393" w14:textId="2A9DADB1">
            <w:pPr>
              <w:jc w:val="center"/>
            </w:pPr>
            <w:r w:rsidRPr="006E05EE">
              <w:t>John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1467A27B" w14:textId="7E1D2940">
            <w:pPr>
              <w:jc w:val="center"/>
            </w:pPr>
            <w:r w:rsidRPr="006E05EE">
              <w:t>Wilson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66D10560" w14:textId="3FC4872B">
            <w:pPr>
              <w:jc w:val="center"/>
            </w:pPr>
            <w:r w:rsidRPr="006E05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07ACC" w:rsidP="00907ACC" w:rsidRDefault="00907ACC" w14:paraId="7BC812A8" w14:textId="71824D77">
            <w:pPr>
              <w:jc w:val="center"/>
            </w:pPr>
            <w:r w:rsidRPr="00CE52FF">
              <w:t>$</w:t>
            </w:r>
            <w:r>
              <w:t>380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07ACC" w:rsidP="00907ACC" w:rsidRDefault="00907ACC" w14:paraId="4580AE9E" w14:textId="68D279F4">
            <w:pPr>
              <w:jc w:val="center"/>
            </w:pPr>
            <w:r>
              <w:t>2021</w:t>
            </w:r>
          </w:p>
        </w:tc>
        <w:tc>
          <w:tcPr>
            <w:tcW w:w="1634" w:type="dxa"/>
            <w:tcBorders>
              <w:top w:val="single" w:color="auto" w:sz="4" w:space="0"/>
              <w:left w:val="single" w:color="auto" w:sz="4" w:space="0"/>
              <w:bottom w:val="single" w:color="auto" w:sz="4" w:space="0"/>
              <w:right w:val="single" w:color="auto" w:sz="4" w:space="0"/>
            </w:tcBorders>
          </w:tcPr>
          <w:p w:rsidRPr="00B803D5" w:rsidR="00907ACC" w:rsidP="00907ACC" w:rsidRDefault="00A364AB" w14:paraId="74B7B957" w14:textId="39C75279">
            <w:pPr>
              <w:jc w:val="center"/>
            </w:pPr>
            <w:r>
              <w:t>$</w:t>
            </w:r>
            <w:r w:rsidR="00EB389D">
              <w:t>380.00</w:t>
            </w:r>
          </w:p>
        </w:tc>
      </w:tr>
      <w:tr w:rsidRPr="00B803D5" w:rsidR="00907ACC" w:rsidTr="006E05EE" w14:paraId="4E9F8CF6"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4B9D587D" w14:textId="4784714C">
            <w:pPr>
              <w:jc w:val="center"/>
            </w:pPr>
            <w:r w:rsidRPr="006E05EE">
              <w:t>John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6E58A406" w14:textId="3EFB4461">
            <w:pPr>
              <w:jc w:val="center"/>
            </w:pPr>
            <w:r w:rsidRPr="006E05EE">
              <w:t>Wilson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59997A9B" w14:textId="487B19ED">
            <w:pPr>
              <w:jc w:val="center"/>
            </w:pPr>
            <w:r w:rsidRPr="006E05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E52FF" w:rsidR="00907ACC" w:rsidP="00907ACC" w:rsidRDefault="00907ACC" w14:paraId="70017308" w14:textId="732B4761">
            <w:pPr>
              <w:jc w:val="center"/>
            </w:pPr>
            <w:r w:rsidRPr="00CE52FF">
              <w:t>$</w:t>
            </w:r>
            <w:r>
              <w:t>400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907ACC" w:rsidP="00907ACC" w:rsidRDefault="00907ACC" w14:paraId="02A6FB3D" w14:textId="49607A9C">
            <w:pPr>
              <w:jc w:val="center"/>
            </w:pPr>
            <w:r>
              <w:t>202</w:t>
            </w:r>
            <w:r w:rsidR="00755192">
              <w:t>2</w:t>
            </w:r>
          </w:p>
        </w:tc>
        <w:tc>
          <w:tcPr>
            <w:tcW w:w="1634" w:type="dxa"/>
            <w:tcBorders>
              <w:top w:val="single" w:color="auto" w:sz="4" w:space="0"/>
              <w:left w:val="single" w:color="auto" w:sz="4" w:space="0"/>
              <w:bottom w:val="single" w:color="auto" w:sz="4" w:space="0"/>
              <w:right w:val="single" w:color="auto" w:sz="4" w:space="0"/>
            </w:tcBorders>
          </w:tcPr>
          <w:p w:rsidRPr="00B803D5" w:rsidR="00907ACC" w:rsidP="00907ACC" w:rsidRDefault="00C747D1" w14:paraId="5B00F40D" w14:textId="4E40D3DA">
            <w:pPr>
              <w:jc w:val="center"/>
            </w:pPr>
            <w:r>
              <w:t>$415.00</w:t>
            </w:r>
          </w:p>
        </w:tc>
      </w:tr>
      <w:tr w:rsidRPr="00B803D5" w:rsidR="00907ACC" w:rsidTr="006E05EE" w14:paraId="62B0BAE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3CC833CC" w14:textId="2E9E342A">
            <w:pPr>
              <w:jc w:val="center"/>
            </w:pPr>
            <w:r w:rsidRPr="006E05EE">
              <w:t>James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6777F066" w14:textId="432C4DD6">
            <w:pPr>
              <w:jc w:val="center"/>
            </w:pPr>
            <w:r w:rsidRPr="006E05EE">
              <w:t>Harvey</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907ACC" w:rsidP="00907ACC" w:rsidRDefault="00907ACC" w14:paraId="7F4E6A58" w14:textId="1DF24655">
            <w:pPr>
              <w:jc w:val="center"/>
            </w:pPr>
            <w:r w:rsidRPr="006E05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E52FF" w:rsidR="00907ACC" w:rsidP="00907ACC" w:rsidRDefault="00907ACC" w14:paraId="7E52A461" w14:textId="3402B4ED">
            <w:pPr>
              <w:jc w:val="center"/>
            </w:pPr>
            <w:r>
              <w:t>$210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907ACC" w:rsidP="00907ACC" w:rsidRDefault="00755192" w14:paraId="43792B87" w14:textId="0793F3D6">
            <w:pPr>
              <w:jc w:val="center"/>
            </w:pPr>
            <w:r>
              <w:t>2021</w:t>
            </w:r>
          </w:p>
        </w:tc>
        <w:tc>
          <w:tcPr>
            <w:tcW w:w="1634" w:type="dxa"/>
            <w:tcBorders>
              <w:top w:val="single" w:color="auto" w:sz="4" w:space="0"/>
              <w:left w:val="single" w:color="auto" w:sz="4" w:space="0"/>
              <w:bottom w:val="single" w:color="auto" w:sz="4" w:space="0"/>
              <w:right w:val="single" w:color="auto" w:sz="4" w:space="0"/>
            </w:tcBorders>
          </w:tcPr>
          <w:p w:rsidRPr="00B803D5" w:rsidR="00907ACC" w:rsidP="00907ACC" w:rsidRDefault="00A364AB" w14:paraId="1A87B17D" w14:textId="7E77984E">
            <w:pPr>
              <w:jc w:val="center"/>
            </w:pPr>
            <w:r>
              <w:t>$</w:t>
            </w:r>
            <w:r w:rsidR="00761CF4">
              <w:t>210.00</w:t>
            </w:r>
          </w:p>
        </w:tc>
      </w:tr>
      <w:tr w:rsidRPr="00B803D5" w:rsidR="00A364AB" w:rsidTr="006E05EE" w14:paraId="6FC6404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141F01BB" w14:textId="2626D1BA">
            <w:pPr>
              <w:jc w:val="center"/>
            </w:pPr>
            <w:r w:rsidRPr="006E05EE">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04920CAC" w14:textId="3A489540">
            <w:pPr>
              <w:jc w:val="center"/>
            </w:pPr>
            <w:r w:rsidRPr="006E05EE">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71FCDCA0" w14:textId="0D92996F">
            <w:pPr>
              <w:jc w:val="center"/>
            </w:pPr>
            <w:r w:rsidRPr="006E05EE">
              <w:t xml:space="preserve">General Counsel </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00A364AB" w:rsidP="00A364AB" w:rsidRDefault="00A364AB" w14:paraId="0CA8E488" w14:textId="503AA9F8">
            <w:pPr>
              <w:jc w:val="center"/>
            </w:pPr>
            <w:r>
              <w:t>$495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364AB" w:rsidP="00A364AB" w:rsidRDefault="00A364AB" w14:paraId="4653F95E" w14:textId="6725F0AD">
            <w:pPr>
              <w:jc w:val="center"/>
            </w:pPr>
            <w:r>
              <w:t>2019</w:t>
            </w:r>
          </w:p>
        </w:tc>
        <w:tc>
          <w:tcPr>
            <w:tcW w:w="1634" w:type="dxa"/>
            <w:tcBorders>
              <w:top w:val="single" w:color="auto" w:sz="4" w:space="0"/>
              <w:left w:val="single" w:color="auto" w:sz="4" w:space="0"/>
              <w:bottom w:val="single" w:color="auto" w:sz="4" w:space="0"/>
              <w:right w:val="single" w:color="auto" w:sz="4" w:space="0"/>
            </w:tcBorders>
          </w:tcPr>
          <w:p w:rsidRPr="00B803D5" w:rsidR="00A364AB" w:rsidP="00A364AB" w:rsidRDefault="00A364AB" w14:paraId="1E925B53" w14:textId="51A5A8C6">
            <w:pPr>
              <w:jc w:val="center"/>
            </w:pPr>
            <w:r>
              <w:t>$</w:t>
            </w:r>
            <w:r w:rsidR="00761CF4">
              <w:t>495.00</w:t>
            </w:r>
          </w:p>
        </w:tc>
      </w:tr>
      <w:tr w:rsidRPr="00B803D5" w:rsidR="00A364AB" w:rsidTr="006E05EE" w14:paraId="29AE693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360AC496" w14:textId="64C32633">
            <w:pPr>
              <w:jc w:val="center"/>
            </w:pPr>
            <w:r w:rsidRPr="006E05EE">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56248722" w14:textId="2D9D5D27">
            <w:pPr>
              <w:jc w:val="center"/>
            </w:pPr>
            <w:r w:rsidRPr="006E05EE">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5260F89F" w14:textId="090B66DB">
            <w:pPr>
              <w:jc w:val="center"/>
            </w:pPr>
            <w:r w:rsidRPr="006E05EE">
              <w:t xml:space="preserve">General Counsel </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6D2EBA5C" w14:textId="15759031">
            <w:pPr>
              <w:jc w:val="center"/>
            </w:pPr>
            <w:r>
              <w:t>$510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34B04A04" w14:textId="5A2956DB">
            <w:pPr>
              <w:jc w:val="center"/>
            </w:pPr>
            <w:r>
              <w:t>2020</w:t>
            </w:r>
          </w:p>
        </w:tc>
        <w:tc>
          <w:tcPr>
            <w:tcW w:w="1634" w:type="dxa"/>
            <w:tcBorders>
              <w:top w:val="single" w:color="auto" w:sz="4" w:space="0"/>
              <w:left w:val="single" w:color="auto" w:sz="4" w:space="0"/>
              <w:bottom w:val="single" w:color="auto" w:sz="4" w:space="0"/>
              <w:right w:val="single" w:color="auto" w:sz="4" w:space="0"/>
            </w:tcBorders>
          </w:tcPr>
          <w:p w:rsidRPr="00B803D5" w:rsidR="00A364AB" w:rsidP="00A364AB" w:rsidRDefault="00A364AB" w14:paraId="6A145930" w14:textId="5DB8804B">
            <w:pPr>
              <w:jc w:val="center"/>
            </w:pPr>
            <w:r>
              <w:t>$</w:t>
            </w:r>
            <w:r w:rsidR="00761CF4">
              <w:t>510.00</w:t>
            </w:r>
          </w:p>
        </w:tc>
      </w:tr>
      <w:tr w:rsidRPr="00B803D5" w:rsidR="00A364AB" w:rsidTr="006E05EE" w14:paraId="7BBD5E1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23066614" w14:textId="7EF5EC17">
            <w:pPr>
              <w:jc w:val="center"/>
            </w:pPr>
            <w:r w:rsidRPr="006E05EE">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4786C89C" w14:textId="3B6F3B12">
            <w:pPr>
              <w:jc w:val="center"/>
            </w:pPr>
            <w:r w:rsidRPr="006E05EE">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18CADD1E" w14:textId="353A002D">
            <w:pPr>
              <w:jc w:val="center"/>
            </w:pPr>
            <w:r w:rsidRPr="006E05EE">
              <w:t xml:space="preserve">General Counsel </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39919693" w14:textId="35FCBAFB">
            <w:pPr>
              <w:jc w:val="center"/>
            </w:pPr>
            <w:r>
              <w:t>$650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214A549B" w14:textId="72EB0209">
            <w:pPr>
              <w:jc w:val="center"/>
            </w:pPr>
            <w:r>
              <w:t>2021</w:t>
            </w:r>
          </w:p>
        </w:tc>
        <w:tc>
          <w:tcPr>
            <w:tcW w:w="1634" w:type="dxa"/>
            <w:tcBorders>
              <w:top w:val="single" w:color="auto" w:sz="4" w:space="0"/>
              <w:left w:val="single" w:color="auto" w:sz="4" w:space="0"/>
              <w:bottom w:val="single" w:color="auto" w:sz="4" w:space="0"/>
              <w:right w:val="single" w:color="auto" w:sz="4" w:space="0"/>
            </w:tcBorders>
          </w:tcPr>
          <w:p w:rsidRPr="00B803D5" w:rsidR="00A364AB" w:rsidP="00A364AB" w:rsidRDefault="00A364AB" w14:paraId="3B9C718F" w14:textId="142A5B4C">
            <w:pPr>
              <w:jc w:val="center"/>
            </w:pPr>
            <w:r>
              <w:t>$</w:t>
            </w:r>
            <w:r w:rsidR="00761CF4">
              <w:t>640.00</w:t>
            </w:r>
          </w:p>
        </w:tc>
      </w:tr>
      <w:tr w:rsidRPr="00B803D5" w:rsidR="00A364AB" w:rsidTr="006E05EE" w14:paraId="1906C055"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2ACF0B05" w14:textId="3CB9F979">
            <w:pPr>
              <w:jc w:val="center"/>
            </w:pPr>
            <w:r w:rsidRPr="006E05EE">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63E68C11" w14:textId="45A46781">
            <w:pPr>
              <w:jc w:val="center"/>
            </w:pPr>
            <w:r w:rsidRPr="006E05EE">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E05EE" w:rsidR="00A364AB" w:rsidP="00A364AB" w:rsidRDefault="00A364AB" w14:paraId="1E984C6F" w14:textId="4F23A3D1">
            <w:pPr>
              <w:jc w:val="center"/>
            </w:pPr>
            <w:r w:rsidRPr="006E05EE">
              <w:t xml:space="preserve">General Counsel </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53B8F326" w14:textId="22429B7F">
            <w:pPr>
              <w:jc w:val="center"/>
            </w:pPr>
            <w:r>
              <w:t>$680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A364AB" w:rsidP="00A364AB" w:rsidRDefault="00A364AB" w14:paraId="7954D4D0" w14:textId="19AFF672">
            <w:pPr>
              <w:jc w:val="center"/>
            </w:pPr>
            <w:r>
              <w:t>2022</w:t>
            </w:r>
          </w:p>
        </w:tc>
        <w:tc>
          <w:tcPr>
            <w:tcW w:w="1634" w:type="dxa"/>
            <w:tcBorders>
              <w:top w:val="single" w:color="auto" w:sz="4" w:space="0"/>
              <w:left w:val="single" w:color="auto" w:sz="4" w:space="0"/>
              <w:bottom w:val="single" w:color="auto" w:sz="4" w:space="0"/>
              <w:right w:val="single" w:color="auto" w:sz="4" w:space="0"/>
            </w:tcBorders>
          </w:tcPr>
          <w:p w:rsidRPr="00B803D5" w:rsidR="00A364AB" w:rsidP="00A364AB" w:rsidRDefault="00A364AB" w14:paraId="467531DD" w14:textId="4739F3A9">
            <w:pPr>
              <w:jc w:val="center"/>
            </w:pPr>
            <w:r>
              <w:t>$</w:t>
            </w:r>
            <w:r w:rsidR="00761CF4">
              <w:t>705.00</w:t>
            </w:r>
          </w:p>
        </w:tc>
      </w:tr>
    </w:tbl>
    <w:p w:rsidR="0022302F" w:rsidP="00FE3BAE" w:rsidRDefault="0022302F" w14:paraId="439C0840" w14:textId="77777777">
      <w:pPr>
        <w:spacing w:line="360" w:lineRule="auto"/>
        <w:rPr>
          <w:b/>
        </w:rPr>
      </w:pPr>
    </w:p>
    <w:p w:rsidRPr="00B803D5" w:rsidR="00FE3BAE" w:rsidP="00FE3BAE" w:rsidRDefault="00FE3BAE" w14:paraId="53F54635" w14:textId="77777777">
      <w:pPr>
        <w:jc w:val="center"/>
      </w:pPr>
      <w:r w:rsidRPr="00B803D5">
        <w:rPr>
          <w:b/>
        </w:rPr>
        <w:t xml:space="preserve">(END OF </w:t>
      </w:r>
      <w:r w:rsidRPr="00B803D5">
        <w:rPr>
          <w:b/>
          <w:szCs w:val="26"/>
        </w:rPr>
        <w:t>APPENDIX</w:t>
      </w:r>
      <w:r w:rsidRPr="00B803D5">
        <w:rPr>
          <w:b/>
        </w:rPr>
        <w:t>)</w:t>
      </w:r>
    </w:p>
    <w:sectPr w:rsidRPr="00B803D5" w:rsidR="00FE3BAE" w:rsidSect="006B7228">
      <w:footerReference w:type="default" r:id="rId15"/>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42CC" w14:textId="77777777" w:rsidR="00D779DE" w:rsidRDefault="00D779DE" w:rsidP="00885956">
      <w:r>
        <w:separator/>
      </w:r>
    </w:p>
  </w:endnote>
  <w:endnote w:type="continuationSeparator" w:id="0">
    <w:p w14:paraId="7620133A" w14:textId="77777777" w:rsidR="00D779DE" w:rsidRDefault="00D779DE"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9329"/>
      <w:docPartObj>
        <w:docPartGallery w:val="Page Numbers (Bottom of Page)"/>
        <w:docPartUnique/>
      </w:docPartObj>
    </w:sdtPr>
    <w:sdtEndPr>
      <w:rPr>
        <w:noProof/>
      </w:rPr>
    </w:sdtEndPr>
    <w:sdtContent>
      <w:p w14:paraId="560F7D5D" w14:textId="0C7CFAAB" w:rsidR="00CF1129" w:rsidRDefault="008D0516" w:rsidP="002846F0">
        <w:pPr>
          <w:pStyle w:val="Footer"/>
        </w:pPr>
        <w:r>
          <w:rPr>
            <w:rFonts w:ascii="Arial" w:hAnsi="Arial" w:cs="Arial"/>
            <w:color w:val="000000"/>
            <w:sz w:val="18"/>
            <w:szCs w:val="18"/>
            <w:shd w:val="clear" w:color="auto" w:fill="FFFFFF"/>
          </w:rPr>
          <w:t>521288243 </w:t>
        </w:r>
        <w:r w:rsidR="002846F0">
          <w:rPr>
            <w:rFonts w:ascii="Arial" w:hAnsi="Arial" w:cs="Arial"/>
            <w:color w:val="000000"/>
            <w:sz w:val="18"/>
            <w:szCs w:val="18"/>
            <w:shd w:val="clear" w:color="auto" w:fill="FFFFFF"/>
          </w:rPr>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7744"/>
      <w:docPartObj>
        <w:docPartGallery w:val="Page Numbers (Bottom of Page)"/>
        <w:docPartUnique/>
      </w:docPartObj>
    </w:sdtPr>
    <w:sdtEndPr>
      <w:rPr>
        <w:noProof/>
      </w:rPr>
    </w:sdtEndPr>
    <w:sdtContent>
      <w:p w14:paraId="60C6A67A" w14:textId="77777777" w:rsidR="008D0516" w:rsidRDefault="008D0516" w:rsidP="00880855">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41965"/>
      <w:docPartObj>
        <w:docPartGallery w:val="Page Numbers (Bottom of Page)"/>
        <w:docPartUnique/>
      </w:docPartObj>
    </w:sdtPr>
    <w:sdtEndPr>
      <w:rPr>
        <w:noProof/>
      </w:rPr>
    </w:sdtEndPr>
    <w:sdtContent>
      <w:p w14:paraId="07EA0877" w14:textId="73A4A699" w:rsidR="006E7019" w:rsidRDefault="006E7019" w:rsidP="002846F0">
        <w:pPr>
          <w:pStyle w:val="Footer"/>
        </w:pPr>
        <w:r>
          <w:rPr>
            <w:rFonts w:ascii="Arial" w:hAnsi="Arial" w:cs="Arial"/>
            <w:color w:val="000000"/>
            <w:sz w:val="18"/>
            <w:szCs w:val="18"/>
            <w:shd w:val="clear" w:color="auto" w:fill="FFFFFF"/>
          </w:rPr>
          <w:tab/>
        </w:r>
        <w:r>
          <w:fldChar w:fldCharType="begin"/>
        </w:r>
        <w:r>
          <w:instrText xml:space="preserve"> PAGE   \* MERGEFORMAT </w:instrText>
        </w:r>
        <w:r>
          <w:fldChar w:fldCharType="separate"/>
        </w:r>
        <w:r>
          <w:rPr>
            <w:noProof/>
          </w:rPr>
          <w:t>- 1 -</w:t>
        </w:r>
        <w:r>
          <w:rPr>
            <w:noProof/>
          </w:rPr>
          <w:fldChar w:fldCharType="end"/>
        </w:r>
      </w:p>
    </w:sdtContent>
  </w:sdt>
  <w:p w14:paraId="38536DB6" w14:textId="77777777" w:rsidR="006E7019" w:rsidRDefault="006E70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69AF" w14:textId="77777777" w:rsidR="00D779DE" w:rsidRDefault="00D779DE" w:rsidP="00885956">
      <w:r>
        <w:separator/>
      </w:r>
    </w:p>
  </w:footnote>
  <w:footnote w:type="continuationSeparator" w:id="0">
    <w:p w14:paraId="046DA26D" w14:textId="77777777" w:rsidR="00D779DE" w:rsidRDefault="00D779DE"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425D85C3" w14:textId="41EA9E20" w:rsidR="00E4076C" w:rsidRDefault="00E4076C" w:rsidP="00E4076C">
      <w:pPr>
        <w:pStyle w:val="FootnoteText"/>
      </w:pPr>
      <w:r>
        <w:rPr>
          <w:rStyle w:val="FootnoteReference"/>
        </w:rPr>
        <w:footnoteRef/>
      </w:r>
      <w:r>
        <w:t xml:space="preserve"> SBUA has reviewed timesheets </w:t>
      </w:r>
      <w:r w:rsidR="00925050">
        <w:t>for attorneys and experts to ensure</w:t>
      </w:r>
      <w:r>
        <w:t xml:space="preserve"> no hours </w:t>
      </w:r>
      <w:r w:rsidR="002024B1">
        <w:t>being</w:t>
      </w:r>
      <w:r>
        <w:t xml:space="preserve"> submitted on </w:t>
      </w:r>
      <w:r w:rsidR="00D9196C">
        <w:t>A.20-10-011</w:t>
      </w:r>
      <w:r>
        <w:t xml:space="preserve"> are submitted in this current request</w:t>
      </w:r>
      <w:r w:rsidR="00A52B40">
        <w:t xml:space="preserve"> and vice versa</w:t>
      </w:r>
      <w:r>
        <w:t xml:space="preserve">. </w:t>
      </w:r>
    </w:p>
  </w:footnote>
  <w:footnote w:id="3">
    <w:p w14:paraId="2A44723A" w14:textId="562ACEDC" w:rsidR="00822B8C" w:rsidRPr="00DE3A5D" w:rsidRDefault="00822B8C"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00EF5420" w:rsidRPr="00EF5420">
          <w:rPr>
            <w:rStyle w:val="Hyperlink"/>
          </w:rPr>
          <w:t>http://members.calbar.ca.gov/fal/MemberSearch/QuickSearch</w:t>
        </w:r>
      </w:hyperlink>
    </w:p>
  </w:footnote>
  <w:footnote w:id="4">
    <w:p w14:paraId="1FAF8A8C" w14:textId="27E5DBCE" w:rsidR="00BB597E" w:rsidRDefault="00BB597E">
      <w:pPr>
        <w:pStyle w:val="FootnoteText"/>
      </w:pPr>
      <w:r>
        <w:rPr>
          <w:rStyle w:val="FootnoteReference"/>
        </w:rPr>
        <w:footnoteRef/>
      </w:r>
      <w:r>
        <w:t xml:space="preserve"> Correct decision number is D.22-08-047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FF04" w14:textId="595D18A1" w:rsidR="0005538D" w:rsidRPr="002846F0" w:rsidRDefault="002846F0">
    <w:pPr>
      <w:pStyle w:val="Header"/>
      <w:rPr>
        <w:b/>
        <w:bCs/>
      </w:rPr>
    </w:pPr>
    <w:r>
      <w:t>A.19-11-019  ALJ/PD1/avs</w:t>
    </w:r>
    <w:r>
      <w:tab/>
    </w:r>
    <w:r>
      <w:tab/>
    </w:r>
    <w:r w:rsidRPr="002846F0">
      <w:rPr>
        <w:b/>
        <w:bCs/>
      </w:rPr>
      <w:t>PROPOSED DECISION</w:t>
    </w:r>
  </w:p>
  <w:p w14:paraId="445F7090" w14:textId="77777777" w:rsidR="002846F0" w:rsidRDefault="002846F0">
    <w:pPr>
      <w:pStyle w:val="Header"/>
    </w:pPr>
  </w:p>
  <w:p w14:paraId="47DDCBF6" w14:textId="77777777" w:rsidR="002846F0" w:rsidRDefault="0028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F952" w14:textId="0E0E9B03" w:rsidR="008D0516" w:rsidRPr="002846F0" w:rsidRDefault="008D0516">
    <w:pPr>
      <w:pStyle w:val="Header"/>
      <w:rPr>
        <w:b/>
        <w:bCs/>
      </w:rPr>
    </w:pPr>
    <w:r>
      <w:t>A.19-11-019  ALJ/PD1/avs</w:t>
    </w:r>
    <w:r>
      <w:tab/>
    </w:r>
    <w:r>
      <w:tab/>
    </w:r>
  </w:p>
  <w:p w14:paraId="7207A477" w14:textId="77777777" w:rsidR="008D0516" w:rsidRDefault="008D0516">
    <w:pPr>
      <w:pStyle w:val="Header"/>
    </w:pPr>
  </w:p>
  <w:p w14:paraId="2A3D55BA" w14:textId="77777777" w:rsidR="008D0516" w:rsidRDefault="008D0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6731" w14:textId="11E536F1" w:rsidR="006E7019" w:rsidRPr="00EE0A39" w:rsidRDefault="006E7019">
    <w:pPr>
      <w:pStyle w:val="Header"/>
      <w:rPr>
        <w:b/>
        <w:bCs/>
      </w:rPr>
    </w:pPr>
    <w:r>
      <w:t>A.19-11-019  ALJ/PD1/avs</w:t>
    </w:r>
    <w:r>
      <w:tab/>
    </w:r>
    <w:r>
      <w:tab/>
    </w:r>
  </w:p>
  <w:p w14:paraId="0B3FA735" w14:textId="77777777" w:rsidR="006E7019" w:rsidRDefault="006E7019">
    <w:pPr>
      <w:pStyle w:val="Header"/>
    </w:pPr>
  </w:p>
  <w:p w14:paraId="6D74CA52" w14:textId="77777777" w:rsidR="006E7019" w:rsidRDefault="006E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66AEC"/>
    <w:multiLevelType w:val="hybridMultilevel"/>
    <w:tmpl w:val="67FA5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E334F4"/>
    <w:multiLevelType w:val="hybridMultilevel"/>
    <w:tmpl w:val="557E5F04"/>
    <w:lvl w:ilvl="0" w:tplc="A4C21444">
      <w:numFmt w:val="bullet"/>
      <w:lvlText w:val=""/>
      <w:lvlJc w:val="left"/>
      <w:pPr>
        <w:ind w:left="1285" w:hanging="368"/>
      </w:pPr>
      <w:rPr>
        <w:rFonts w:ascii="Symbol" w:eastAsia="Symbol" w:hAnsi="Symbol" w:cs="Symbol" w:hint="default"/>
        <w:b w:val="0"/>
        <w:bCs w:val="0"/>
        <w:i w:val="0"/>
        <w:iCs w:val="0"/>
        <w:w w:val="102"/>
        <w:sz w:val="25"/>
        <w:szCs w:val="25"/>
        <w:lang w:val="en-US" w:eastAsia="en-US" w:bidi="ar-SA"/>
      </w:rPr>
    </w:lvl>
    <w:lvl w:ilvl="1" w:tplc="B92E8ADE">
      <w:numFmt w:val="bullet"/>
      <w:lvlText w:val="•"/>
      <w:lvlJc w:val="left"/>
      <w:pPr>
        <w:ind w:left="2136" w:hanging="368"/>
      </w:pPr>
      <w:rPr>
        <w:rFonts w:hint="default"/>
        <w:lang w:val="en-US" w:eastAsia="en-US" w:bidi="ar-SA"/>
      </w:rPr>
    </w:lvl>
    <w:lvl w:ilvl="2" w:tplc="E5DA75A0">
      <w:numFmt w:val="bullet"/>
      <w:lvlText w:val="•"/>
      <w:lvlJc w:val="left"/>
      <w:pPr>
        <w:ind w:left="2992" w:hanging="368"/>
      </w:pPr>
      <w:rPr>
        <w:rFonts w:hint="default"/>
        <w:lang w:val="en-US" w:eastAsia="en-US" w:bidi="ar-SA"/>
      </w:rPr>
    </w:lvl>
    <w:lvl w:ilvl="3" w:tplc="D6D41FB8">
      <w:numFmt w:val="bullet"/>
      <w:lvlText w:val="•"/>
      <w:lvlJc w:val="left"/>
      <w:pPr>
        <w:ind w:left="3848" w:hanging="368"/>
      </w:pPr>
      <w:rPr>
        <w:rFonts w:hint="default"/>
        <w:lang w:val="en-US" w:eastAsia="en-US" w:bidi="ar-SA"/>
      </w:rPr>
    </w:lvl>
    <w:lvl w:ilvl="4" w:tplc="5F827676">
      <w:numFmt w:val="bullet"/>
      <w:lvlText w:val="•"/>
      <w:lvlJc w:val="left"/>
      <w:pPr>
        <w:ind w:left="4704" w:hanging="368"/>
      </w:pPr>
      <w:rPr>
        <w:rFonts w:hint="default"/>
        <w:lang w:val="en-US" w:eastAsia="en-US" w:bidi="ar-SA"/>
      </w:rPr>
    </w:lvl>
    <w:lvl w:ilvl="5" w:tplc="2CC61BF8">
      <w:numFmt w:val="bullet"/>
      <w:lvlText w:val="•"/>
      <w:lvlJc w:val="left"/>
      <w:pPr>
        <w:ind w:left="5560" w:hanging="368"/>
      </w:pPr>
      <w:rPr>
        <w:rFonts w:hint="default"/>
        <w:lang w:val="en-US" w:eastAsia="en-US" w:bidi="ar-SA"/>
      </w:rPr>
    </w:lvl>
    <w:lvl w:ilvl="6" w:tplc="475ADDF4">
      <w:numFmt w:val="bullet"/>
      <w:lvlText w:val="•"/>
      <w:lvlJc w:val="left"/>
      <w:pPr>
        <w:ind w:left="6416" w:hanging="368"/>
      </w:pPr>
      <w:rPr>
        <w:rFonts w:hint="default"/>
        <w:lang w:val="en-US" w:eastAsia="en-US" w:bidi="ar-SA"/>
      </w:rPr>
    </w:lvl>
    <w:lvl w:ilvl="7" w:tplc="9006A9C8">
      <w:numFmt w:val="bullet"/>
      <w:lvlText w:val="•"/>
      <w:lvlJc w:val="left"/>
      <w:pPr>
        <w:ind w:left="7272" w:hanging="368"/>
      </w:pPr>
      <w:rPr>
        <w:rFonts w:hint="default"/>
        <w:lang w:val="en-US" w:eastAsia="en-US" w:bidi="ar-SA"/>
      </w:rPr>
    </w:lvl>
    <w:lvl w:ilvl="8" w:tplc="EAF0BE7A">
      <w:numFmt w:val="bullet"/>
      <w:lvlText w:val="•"/>
      <w:lvlJc w:val="left"/>
      <w:pPr>
        <w:ind w:left="8128" w:hanging="368"/>
      </w:pPr>
      <w:rPr>
        <w:rFonts w:hint="default"/>
        <w:lang w:val="en-US" w:eastAsia="en-US" w:bidi="ar-SA"/>
      </w:rPr>
    </w:lvl>
  </w:abstractNum>
  <w:abstractNum w:abstractNumId="5"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FF7837"/>
    <w:multiLevelType w:val="singleLevel"/>
    <w:tmpl w:val="BE262CB2"/>
    <w:lvl w:ilvl="0">
      <w:start w:val="1"/>
      <w:numFmt w:val="bullet"/>
      <w:lvlText w:val=""/>
      <w:lvlJc w:val="left"/>
      <w:pPr>
        <w:ind w:left="540" w:hanging="540"/>
      </w:pPr>
      <w:rPr>
        <w:rFonts w:ascii="Symbol" w:hAnsi="Symbol" w:hint="default"/>
      </w:rPr>
    </w:lvl>
  </w:abstractNum>
  <w:abstractNum w:abstractNumId="9"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12"/>
  </w:num>
  <w:num w:numId="2" w16cid:durableId="296566636">
    <w:abstractNumId w:val="0"/>
  </w:num>
  <w:num w:numId="3" w16cid:durableId="2098595014">
    <w:abstractNumId w:val="13"/>
  </w:num>
  <w:num w:numId="4" w16cid:durableId="1312905431">
    <w:abstractNumId w:val="9"/>
  </w:num>
  <w:num w:numId="5" w16cid:durableId="417093550">
    <w:abstractNumId w:val="6"/>
  </w:num>
  <w:num w:numId="6" w16cid:durableId="1486429129">
    <w:abstractNumId w:val="11"/>
  </w:num>
  <w:num w:numId="7" w16cid:durableId="258221757">
    <w:abstractNumId w:val="7"/>
  </w:num>
  <w:num w:numId="8" w16cid:durableId="842936081">
    <w:abstractNumId w:val="10"/>
  </w:num>
  <w:num w:numId="9" w16cid:durableId="1685205339">
    <w:abstractNumId w:val="2"/>
  </w:num>
  <w:num w:numId="10" w16cid:durableId="789317941">
    <w:abstractNumId w:val="5"/>
  </w:num>
  <w:num w:numId="11" w16cid:durableId="1456480016">
    <w:abstractNumId w:val="8"/>
  </w:num>
  <w:num w:numId="12" w16cid:durableId="1320766094">
    <w:abstractNumId w:val="1"/>
  </w:num>
  <w:num w:numId="13" w16cid:durableId="811097219">
    <w:abstractNumId w:val="3"/>
  </w:num>
  <w:num w:numId="14" w16cid:durableId="2085955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2B5"/>
    <w:rsid w:val="00003A49"/>
    <w:rsid w:val="000059AD"/>
    <w:rsid w:val="00012A4C"/>
    <w:rsid w:val="00014F5E"/>
    <w:rsid w:val="000218B9"/>
    <w:rsid w:val="00021D0B"/>
    <w:rsid w:val="00026A15"/>
    <w:rsid w:val="00032521"/>
    <w:rsid w:val="00033219"/>
    <w:rsid w:val="00034492"/>
    <w:rsid w:val="00036F54"/>
    <w:rsid w:val="00040D2F"/>
    <w:rsid w:val="00040EE2"/>
    <w:rsid w:val="00041482"/>
    <w:rsid w:val="00041B06"/>
    <w:rsid w:val="00045A2F"/>
    <w:rsid w:val="000478BA"/>
    <w:rsid w:val="00055242"/>
    <w:rsid w:val="0005538D"/>
    <w:rsid w:val="00055843"/>
    <w:rsid w:val="00060506"/>
    <w:rsid w:val="00062488"/>
    <w:rsid w:val="0006401A"/>
    <w:rsid w:val="000666D1"/>
    <w:rsid w:val="00066A5C"/>
    <w:rsid w:val="000706E8"/>
    <w:rsid w:val="00071A70"/>
    <w:rsid w:val="000724EF"/>
    <w:rsid w:val="00072C81"/>
    <w:rsid w:val="00073262"/>
    <w:rsid w:val="00076BD4"/>
    <w:rsid w:val="000830B1"/>
    <w:rsid w:val="000941C4"/>
    <w:rsid w:val="000971C0"/>
    <w:rsid w:val="00097DDE"/>
    <w:rsid w:val="000A1517"/>
    <w:rsid w:val="000A1679"/>
    <w:rsid w:val="000A260E"/>
    <w:rsid w:val="000A2F6F"/>
    <w:rsid w:val="000A322F"/>
    <w:rsid w:val="000B0A70"/>
    <w:rsid w:val="000B10E8"/>
    <w:rsid w:val="000B4F27"/>
    <w:rsid w:val="000C4FA9"/>
    <w:rsid w:val="000C50B1"/>
    <w:rsid w:val="000D26D5"/>
    <w:rsid w:val="000D4ECA"/>
    <w:rsid w:val="000D4EF0"/>
    <w:rsid w:val="000D6CA0"/>
    <w:rsid w:val="000D6DF8"/>
    <w:rsid w:val="000E0440"/>
    <w:rsid w:val="000E41D9"/>
    <w:rsid w:val="000E42ED"/>
    <w:rsid w:val="000E6ABD"/>
    <w:rsid w:val="000F3BBB"/>
    <w:rsid w:val="000F4104"/>
    <w:rsid w:val="000F54D7"/>
    <w:rsid w:val="000F595C"/>
    <w:rsid w:val="000F7670"/>
    <w:rsid w:val="00103263"/>
    <w:rsid w:val="0010480F"/>
    <w:rsid w:val="001063A4"/>
    <w:rsid w:val="00110D89"/>
    <w:rsid w:val="00117DB4"/>
    <w:rsid w:val="001200B3"/>
    <w:rsid w:val="001220E6"/>
    <w:rsid w:val="00122914"/>
    <w:rsid w:val="00123103"/>
    <w:rsid w:val="00125492"/>
    <w:rsid w:val="001322FC"/>
    <w:rsid w:val="001346EB"/>
    <w:rsid w:val="0013605B"/>
    <w:rsid w:val="00141A4E"/>
    <w:rsid w:val="00147289"/>
    <w:rsid w:val="00147F81"/>
    <w:rsid w:val="00151AA8"/>
    <w:rsid w:val="00152F94"/>
    <w:rsid w:val="00153A46"/>
    <w:rsid w:val="00171EBF"/>
    <w:rsid w:val="001727B2"/>
    <w:rsid w:val="00172D1E"/>
    <w:rsid w:val="0017376F"/>
    <w:rsid w:val="00174DAB"/>
    <w:rsid w:val="00175865"/>
    <w:rsid w:val="00177536"/>
    <w:rsid w:val="001806F9"/>
    <w:rsid w:val="00180E8C"/>
    <w:rsid w:val="00185092"/>
    <w:rsid w:val="0018570F"/>
    <w:rsid w:val="00185CE3"/>
    <w:rsid w:val="00191D93"/>
    <w:rsid w:val="00192605"/>
    <w:rsid w:val="001962EB"/>
    <w:rsid w:val="001A3CF3"/>
    <w:rsid w:val="001B4565"/>
    <w:rsid w:val="001B4986"/>
    <w:rsid w:val="001C09DA"/>
    <w:rsid w:val="001C0DD1"/>
    <w:rsid w:val="001C2033"/>
    <w:rsid w:val="001C21AE"/>
    <w:rsid w:val="001C44B9"/>
    <w:rsid w:val="001C5B0A"/>
    <w:rsid w:val="001D0979"/>
    <w:rsid w:val="001D15A8"/>
    <w:rsid w:val="001D3ED2"/>
    <w:rsid w:val="001D5DAB"/>
    <w:rsid w:val="001E4BEC"/>
    <w:rsid w:val="001E6894"/>
    <w:rsid w:val="001E77CF"/>
    <w:rsid w:val="001E7C23"/>
    <w:rsid w:val="001E7EE2"/>
    <w:rsid w:val="001F035D"/>
    <w:rsid w:val="001F0D11"/>
    <w:rsid w:val="001F238E"/>
    <w:rsid w:val="001F49AD"/>
    <w:rsid w:val="001F55C1"/>
    <w:rsid w:val="00200F63"/>
    <w:rsid w:val="002024B1"/>
    <w:rsid w:val="00204E3A"/>
    <w:rsid w:val="00207128"/>
    <w:rsid w:val="002117A7"/>
    <w:rsid w:val="00212E10"/>
    <w:rsid w:val="0021359D"/>
    <w:rsid w:val="00214B22"/>
    <w:rsid w:val="00217224"/>
    <w:rsid w:val="002179F0"/>
    <w:rsid w:val="00221E12"/>
    <w:rsid w:val="00222F97"/>
    <w:rsid w:val="0022302F"/>
    <w:rsid w:val="00230392"/>
    <w:rsid w:val="002310C2"/>
    <w:rsid w:val="002353E9"/>
    <w:rsid w:val="0024093F"/>
    <w:rsid w:val="002415DC"/>
    <w:rsid w:val="002421CE"/>
    <w:rsid w:val="00245B40"/>
    <w:rsid w:val="002466F8"/>
    <w:rsid w:val="00250A3B"/>
    <w:rsid w:val="0025599F"/>
    <w:rsid w:val="00256F00"/>
    <w:rsid w:val="00256F2D"/>
    <w:rsid w:val="00257753"/>
    <w:rsid w:val="00260518"/>
    <w:rsid w:val="0026147A"/>
    <w:rsid w:val="002618FE"/>
    <w:rsid w:val="00264333"/>
    <w:rsid w:val="00270E2E"/>
    <w:rsid w:val="00272FB5"/>
    <w:rsid w:val="00273208"/>
    <w:rsid w:val="00274A76"/>
    <w:rsid w:val="002846F0"/>
    <w:rsid w:val="00285403"/>
    <w:rsid w:val="00291193"/>
    <w:rsid w:val="002A6C07"/>
    <w:rsid w:val="002B30C1"/>
    <w:rsid w:val="002B7616"/>
    <w:rsid w:val="002C19F6"/>
    <w:rsid w:val="002C1CCA"/>
    <w:rsid w:val="002D0D08"/>
    <w:rsid w:val="002D21CA"/>
    <w:rsid w:val="002D473B"/>
    <w:rsid w:val="002D53AA"/>
    <w:rsid w:val="002D7F9A"/>
    <w:rsid w:val="002E2469"/>
    <w:rsid w:val="002E4B02"/>
    <w:rsid w:val="002E58AC"/>
    <w:rsid w:val="002E59F7"/>
    <w:rsid w:val="002E5F83"/>
    <w:rsid w:val="002E632E"/>
    <w:rsid w:val="002E77D8"/>
    <w:rsid w:val="002F4226"/>
    <w:rsid w:val="003003EA"/>
    <w:rsid w:val="00301381"/>
    <w:rsid w:val="00301FE7"/>
    <w:rsid w:val="00303C2B"/>
    <w:rsid w:val="00304FE1"/>
    <w:rsid w:val="00321058"/>
    <w:rsid w:val="003210A4"/>
    <w:rsid w:val="00321CC2"/>
    <w:rsid w:val="00323B18"/>
    <w:rsid w:val="00326273"/>
    <w:rsid w:val="003336F5"/>
    <w:rsid w:val="003351C0"/>
    <w:rsid w:val="00336B38"/>
    <w:rsid w:val="00342069"/>
    <w:rsid w:val="0034611A"/>
    <w:rsid w:val="003501DD"/>
    <w:rsid w:val="00355F73"/>
    <w:rsid w:val="00357623"/>
    <w:rsid w:val="00357DA0"/>
    <w:rsid w:val="00357F1A"/>
    <w:rsid w:val="00361BF1"/>
    <w:rsid w:val="0036239B"/>
    <w:rsid w:val="003729E9"/>
    <w:rsid w:val="00374FD1"/>
    <w:rsid w:val="00375B19"/>
    <w:rsid w:val="00377884"/>
    <w:rsid w:val="00380703"/>
    <w:rsid w:val="00381352"/>
    <w:rsid w:val="00381C76"/>
    <w:rsid w:val="00383503"/>
    <w:rsid w:val="00384CCC"/>
    <w:rsid w:val="0038616E"/>
    <w:rsid w:val="003862C2"/>
    <w:rsid w:val="0039315E"/>
    <w:rsid w:val="00395738"/>
    <w:rsid w:val="003A5800"/>
    <w:rsid w:val="003B1782"/>
    <w:rsid w:val="003B5EAC"/>
    <w:rsid w:val="003B6A1B"/>
    <w:rsid w:val="003C203C"/>
    <w:rsid w:val="003C387E"/>
    <w:rsid w:val="003C459D"/>
    <w:rsid w:val="003C569E"/>
    <w:rsid w:val="003C608A"/>
    <w:rsid w:val="003D359B"/>
    <w:rsid w:val="003D4455"/>
    <w:rsid w:val="003D66E5"/>
    <w:rsid w:val="003E1642"/>
    <w:rsid w:val="003E34FD"/>
    <w:rsid w:val="003F0463"/>
    <w:rsid w:val="003F10FA"/>
    <w:rsid w:val="003F137B"/>
    <w:rsid w:val="003F1D48"/>
    <w:rsid w:val="003F75D4"/>
    <w:rsid w:val="0040113F"/>
    <w:rsid w:val="00401C12"/>
    <w:rsid w:val="00421341"/>
    <w:rsid w:val="004329FE"/>
    <w:rsid w:val="00433F24"/>
    <w:rsid w:val="0043535B"/>
    <w:rsid w:val="00435C30"/>
    <w:rsid w:val="00444A48"/>
    <w:rsid w:val="004534E7"/>
    <w:rsid w:val="0046248A"/>
    <w:rsid w:val="0046434C"/>
    <w:rsid w:val="00467E65"/>
    <w:rsid w:val="00470736"/>
    <w:rsid w:val="00476674"/>
    <w:rsid w:val="00476A95"/>
    <w:rsid w:val="004772DC"/>
    <w:rsid w:val="00480BF6"/>
    <w:rsid w:val="004840D2"/>
    <w:rsid w:val="004868A9"/>
    <w:rsid w:val="00490849"/>
    <w:rsid w:val="00490A98"/>
    <w:rsid w:val="00493C44"/>
    <w:rsid w:val="00494040"/>
    <w:rsid w:val="00495E8D"/>
    <w:rsid w:val="004A1B96"/>
    <w:rsid w:val="004A358D"/>
    <w:rsid w:val="004A43E4"/>
    <w:rsid w:val="004A6941"/>
    <w:rsid w:val="004A6FD4"/>
    <w:rsid w:val="004A78C4"/>
    <w:rsid w:val="004A7F31"/>
    <w:rsid w:val="004B0ED3"/>
    <w:rsid w:val="004B1ED7"/>
    <w:rsid w:val="004B2EBF"/>
    <w:rsid w:val="004C0961"/>
    <w:rsid w:val="004C370F"/>
    <w:rsid w:val="004C39A1"/>
    <w:rsid w:val="004D188B"/>
    <w:rsid w:val="004D6B6D"/>
    <w:rsid w:val="004D779D"/>
    <w:rsid w:val="004E0395"/>
    <w:rsid w:val="004E08E7"/>
    <w:rsid w:val="004E3939"/>
    <w:rsid w:val="004E3D93"/>
    <w:rsid w:val="004F2D2C"/>
    <w:rsid w:val="004F5F23"/>
    <w:rsid w:val="00500712"/>
    <w:rsid w:val="005009E4"/>
    <w:rsid w:val="0050128F"/>
    <w:rsid w:val="00507A73"/>
    <w:rsid w:val="00511148"/>
    <w:rsid w:val="00512E55"/>
    <w:rsid w:val="005163E8"/>
    <w:rsid w:val="00516CE7"/>
    <w:rsid w:val="005215EF"/>
    <w:rsid w:val="00521B86"/>
    <w:rsid w:val="00522010"/>
    <w:rsid w:val="005240D2"/>
    <w:rsid w:val="0052424F"/>
    <w:rsid w:val="00525142"/>
    <w:rsid w:val="00527194"/>
    <w:rsid w:val="00527FDB"/>
    <w:rsid w:val="0053261D"/>
    <w:rsid w:val="00533373"/>
    <w:rsid w:val="005362B1"/>
    <w:rsid w:val="00542884"/>
    <w:rsid w:val="00547145"/>
    <w:rsid w:val="00551967"/>
    <w:rsid w:val="0055228B"/>
    <w:rsid w:val="0055232B"/>
    <w:rsid w:val="00553385"/>
    <w:rsid w:val="005567CF"/>
    <w:rsid w:val="00563ED9"/>
    <w:rsid w:val="00567086"/>
    <w:rsid w:val="00567331"/>
    <w:rsid w:val="005677DE"/>
    <w:rsid w:val="0057088A"/>
    <w:rsid w:val="00570904"/>
    <w:rsid w:val="00574C44"/>
    <w:rsid w:val="00575494"/>
    <w:rsid w:val="005765C9"/>
    <w:rsid w:val="0057666C"/>
    <w:rsid w:val="005809BC"/>
    <w:rsid w:val="00584FDB"/>
    <w:rsid w:val="005912FA"/>
    <w:rsid w:val="0059289A"/>
    <w:rsid w:val="005932E2"/>
    <w:rsid w:val="00595778"/>
    <w:rsid w:val="005A1824"/>
    <w:rsid w:val="005A2A68"/>
    <w:rsid w:val="005A3018"/>
    <w:rsid w:val="005A53F1"/>
    <w:rsid w:val="005A54E4"/>
    <w:rsid w:val="005A63D4"/>
    <w:rsid w:val="005A65C2"/>
    <w:rsid w:val="005B34EE"/>
    <w:rsid w:val="005B5B44"/>
    <w:rsid w:val="005C327F"/>
    <w:rsid w:val="005D028A"/>
    <w:rsid w:val="005D1315"/>
    <w:rsid w:val="005D20CE"/>
    <w:rsid w:val="005D4A70"/>
    <w:rsid w:val="005D6F96"/>
    <w:rsid w:val="005D7F84"/>
    <w:rsid w:val="005E0327"/>
    <w:rsid w:val="005E24FA"/>
    <w:rsid w:val="005E71EE"/>
    <w:rsid w:val="005E7FFE"/>
    <w:rsid w:val="005F3F23"/>
    <w:rsid w:val="005F4D82"/>
    <w:rsid w:val="00614F10"/>
    <w:rsid w:val="00615AAD"/>
    <w:rsid w:val="00621A7C"/>
    <w:rsid w:val="00625C79"/>
    <w:rsid w:val="00645273"/>
    <w:rsid w:val="00650374"/>
    <w:rsid w:val="0065061F"/>
    <w:rsid w:val="0065087E"/>
    <w:rsid w:val="00651D20"/>
    <w:rsid w:val="00652DEA"/>
    <w:rsid w:val="00660D7E"/>
    <w:rsid w:val="006637D2"/>
    <w:rsid w:val="006655FB"/>
    <w:rsid w:val="00673595"/>
    <w:rsid w:val="00673EB1"/>
    <w:rsid w:val="006764C7"/>
    <w:rsid w:val="00677A73"/>
    <w:rsid w:val="006847BC"/>
    <w:rsid w:val="00691528"/>
    <w:rsid w:val="006915C2"/>
    <w:rsid w:val="00692738"/>
    <w:rsid w:val="00693EA6"/>
    <w:rsid w:val="00694DE6"/>
    <w:rsid w:val="006A30CD"/>
    <w:rsid w:val="006A50C1"/>
    <w:rsid w:val="006A635E"/>
    <w:rsid w:val="006A7272"/>
    <w:rsid w:val="006B0BC7"/>
    <w:rsid w:val="006B2FB2"/>
    <w:rsid w:val="006B5696"/>
    <w:rsid w:val="006B7228"/>
    <w:rsid w:val="006B7375"/>
    <w:rsid w:val="006C19C4"/>
    <w:rsid w:val="006D1BE0"/>
    <w:rsid w:val="006D4B0E"/>
    <w:rsid w:val="006D615F"/>
    <w:rsid w:val="006D67C9"/>
    <w:rsid w:val="006E05EE"/>
    <w:rsid w:val="006E2777"/>
    <w:rsid w:val="006E3A5C"/>
    <w:rsid w:val="006E7019"/>
    <w:rsid w:val="006F0341"/>
    <w:rsid w:val="006F17FA"/>
    <w:rsid w:val="006F2181"/>
    <w:rsid w:val="006F3B35"/>
    <w:rsid w:val="006F6118"/>
    <w:rsid w:val="006F634E"/>
    <w:rsid w:val="00702C6D"/>
    <w:rsid w:val="00702F52"/>
    <w:rsid w:val="00703C06"/>
    <w:rsid w:val="00703D5A"/>
    <w:rsid w:val="007056FC"/>
    <w:rsid w:val="00706AB7"/>
    <w:rsid w:val="0071373F"/>
    <w:rsid w:val="00713D32"/>
    <w:rsid w:val="00717E05"/>
    <w:rsid w:val="007220B6"/>
    <w:rsid w:val="00723FE9"/>
    <w:rsid w:val="00724EE5"/>
    <w:rsid w:val="0072622C"/>
    <w:rsid w:val="00730E28"/>
    <w:rsid w:val="007377A9"/>
    <w:rsid w:val="00742C13"/>
    <w:rsid w:val="0074620B"/>
    <w:rsid w:val="007464F2"/>
    <w:rsid w:val="00752FEA"/>
    <w:rsid w:val="0075487B"/>
    <w:rsid w:val="00755192"/>
    <w:rsid w:val="00757B44"/>
    <w:rsid w:val="00761CF4"/>
    <w:rsid w:val="00761D23"/>
    <w:rsid w:val="00763797"/>
    <w:rsid w:val="00767976"/>
    <w:rsid w:val="00771A7F"/>
    <w:rsid w:val="00771FA3"/>
    <w:rsid w:val="00775A6C"/>
    <w:rsid w:val="00776516"/>
    <w:rsid w:val="00777509"/>
    <w:rsid w:val="00780C7B"/>
    <w:rsid w:val="00786CAD"/>
    <w:rsid w:val="00791324"/>
    <w:rsid w:val="007919CB"/>
    <w:rsid w:val="00795D4E"/>
    <w:rsid w:val="00797BE9"/>
    <w:rsid w:val="007A3E50"/>
    <w:rsid w:val="007A3FCC"/>
    <w:rsid w:val="007A461E"/>
    <w:rsid w:val="007B20AC"/>
    <w:rsid w:val="007B54E7"/>
    <w:rsid w:val="007C1845"/>
    <w:rsid w:val="007C1B69"/>
    <w:rsid w:val="007C6447"/>
    <w:rsid w:val="007D1E7D"/>
    <w:rsid w:val="007E0356"/>
    <w:rsid w:val="007E122E"/>
    <w:rsid w:val="007E4709"/>
    <w:rsid w:val="007E6E4B"/>
    <w:rsid w:val="007E71C3"/>
    <w:rsid w:val="007E7450"/>
    <w:rsid w:val="007F1BF0"/>
    <w:rsid w:val="007F242D"/>
    <w:rsid w:val="007F339C"/>
    <w:rsid w:val="007F53C7"/>
    <w:rsid w:val="007F620E"/>
    <w:rsid w:val="007F6CF5"/>
    <w:rsid w:val="007F71D9"/>
    <w:rsid w:val="00802101"/>
    <w:rsid w:val="00802701"/>
    <w:rsid w:val="00804259"/>
    <w:rsid w:val="00807486"/>
    <w:rsid w:val="008102B7"/>
    <w:rsid w:val="00811DB1"/>
    <w:rsid w:val="008148C5"/>
    <w:rsid w:val="00815F1F"/>
    <w:rsid w:val="0081626F"/>
    <w:rsid w:val="00822B8C"/>
    <w:rsid w:val="008250E8"/>
    <w:rsid w:val="00831652"/>
    <w:rsid w:val="0083301D"/>
    <w:rsid w:val="0083350A"/>
    <w:rsid w:val="0084089A"/>
    <w:rsid w:val="008435F9"/>
    <w:rsid w:val="0084383C"/>
    <w:rsid w:val="0084443B"/>
    <w:rsid w:val="00844452"/>
    <w:rsid w:val="00855366"/>
    <w:rsid w:val="00855FD7"/>
    <w:rsid w:val="00857495"/>
    <w:rsid w:val="008636E3"/>
    <w:rsid w:val="00871D75"/>
    <w:rsid w:val="0087481E"/>
    <w:rsid w:val="0087566C"/>
    <w:rsid w:val="00880855"/>
    <w:rsid w:val="008819F1"/>
    <w:rsid w:val="00882DD3"/>
    <w:rsid w:val="00883D55"/>
    <w:rsid w:val="00884146"/>
    <w:rsid w:val="008844B6"/>
    <w:rsid w:val="0088576F"/>
    <w:rsid w:val="00885956"/>
    <w:rsid w:val="00886869"/>
    <w:rsid w:val="00887C49"/>
    <w:rsid w:val="0089176F"/>
    <w:rsid w:val="008930AF"/>
    <w:rsid w:val="008A22D8"/>
    <w:rsid w:val="008A2AB0"/>
    <w:rsid w:val="008A615D"/>
    <w:rsid w:val="008B18D9"/>
    <w:rsid w:val="008B6451"/>
    <w:rsid w:val="008B663E"/>
    <w:rsid w:val="008B67E2"/>
    <w:rsid w:val="008B79D4"/>
    <w:rsid w:val="008C09F7"/>
    <w:rsid w:val="008C1BB0"/>
    <w:rsid w:val="008C2208"/>
    <w:rsid w:val="008C339D"/>
    <w:rsid w:val="008C3D7E"/>
    <w:rsid w:val="008D0516"/>
    <w:rsid w:val="008D3E38"/>
    <w:rsid w:val="008E182E"/>
    <w:rsid w:val="008E3450"/>
    <w:rsid w:val="008E4336"/>
    <w:rsid w:val="008F146E"/>
    <w:rsid w:val="008F1CA4"/>
    <w:rsid w:val="008F3194"/>
    <w:rsid w:val="0090032A"/>
    <w:rsid w:val="009003F2"/>
    <w:rsid w:val="00903380"/>
    <w:rsid w:val="0090345F"/>
    <w:rsid w:val="00907ACC"/>
    <w:rsid w:val="00912E72"/>
    <w:rsid w:val="00913F91"/>
    <w:rsid w:val="00914B22"/>
    <w:rsid w:val="00915118"/>
    <w:rsid w:val="00916B17"/>
    <w:rsid w:val="00925050"/>
    <w:rsid w:val="00925FAB"/>
    <w:rsid w:val="00926429"/>
    <w:rsid w:val="00931646"/>
    <w:rsid w:val="009324BA"/>
    <w:rsid w:val="00934973"/>
    <w:rsid w:val="00944825"/>
    <w:rsid w:val="00952328"/>
    <w:rsid w:val="0095316A"/>
    <w:rsid w:val="00954598"/>
    <w:rsid w:val="009567C1"/>
    <w:rsid w:val="00963974"/>
    <w:rsid w:val="00963EEF"/>
    <w:rsid w:val="009647C3"/>
    <w:rsid w:val="0096596F"/>
    <w:rsid w:val="009815AF"/>
    <w:rsid w:val="0098185F"/>
    <w:rsid w:val="0098252B"/>
    <w:rsid w:val="00984200"/>
    <w:rsid w:val="009900F0"/>
    <w:rsid w:val="0099272F"/>
    <w:rsid w:val="009939C6"/>
    <w:rsid w:val="00996828"/>
    <w:rsid w:val="009A0588"/>
    <w:rsid w:val="009A62F6"/>
    <w:rsid w:val="009A7A14"/>
    <w:rsid w:val="009B36CD"/>
    <w:rsid w:val="009C01B1"/>
    <w:rsid w:val="009C2005"/>
    <w:rsid w:val="009C5BFC"/>
    <w:rsid w:val="009C63B7"/>
    <w:rsid w:val="009C6649"/>
    <w:rsid w:val="009D1659"/>
    <w:rsid w:val="009E373E"/>
    <w:rsid w:val="009E48E4"/>
    <w:rsid w:val="009E639C"/>
    <w:rsid w:val="009F7941"/>
    <w:rsid w:val="00A01907"/>
    <w:rsid w:val="00A0573F"/>
    <w:rsid w:val="00A05E64"/>
    <w:rsid w:val="00A07A96"/>
    <w:rsid w:val="00A12255"/>
    <w:rsid w:val="00A13381"/>
    <w:rsid w:val="00A15A91"/>
    <w:rsid w:val="00A15FF2"/>
    <w:rsid w:val="00A229D7"/>
    <w:rsid w:val="00A24E91"/>
    <w:rsid w:val="00A267F3"/>
    <w:rsid w:val="00A319DE"/>
    <w:rsid w:val="00A364AB"/>
    <w:rsid w:val="00A40F27"/>
    <w:rsid w:val="00A4599F"/>
    <w:rsid w:val="00A5058A"/>
    <w:rsid w:val="00A50E21"/>
    <w:rsid w:val="00A52B40"/>
    <w:rsid w:val="00A60185"/>
    <w:rsid w:val="00A60203"/>
    <w:rsid w:val="00A67E89"/>
    <w:rsid w:val="00A731E8"/>
    <w:rsid w:val="00A75D2D"/>
    <w:rsid w:val="00A77595"/>
    <w:rsid w:val="00A8008B"/>
    <w:rsid w:val="00A8238E"/>
    <w:rsid w:val="00A85311"/>
    <w:rsid w:val="00A86489"/>
    <w:rsid w:val="00A86988"/>
    <w:rsid w:val="00A910F1"/>
    <w:rsid w:val="00A917E8"/>
    <w:rsid w:val="00A92D0B"/>
    <w:rsid w:val="00A9334F"/>
    <w:rsid w:val="00AA1740"/>
    <w:rsid w:val="00AA1F82"/>
    <w:rsid w:val="00AA2356"/>
    <w:rsid w:val="00AB0899"/>
    <w:rsid w:val="00AB10FF"/>
    <w:rsid w:val="00AB1A7D"/>
    <w:rsid w:val="00AB252A"/>
    <w:rsid w:val="00AB267B"/>
    <w:rsid w:val="00AB2F7F"/>
    <w:rsid w:val="00AB3510"/>
    <w:rsid w:val="00AB477A"/>
    <w:rsid w:val="00AB50E1"/>
    <w:rsid w:val="00AC2625"/>
    <w:rsid w:val="00AC2884"/>
    <w:rsid w:val="00AC5A4B"/>
    <w:rsid w:val="00AC7027"/>
    <w:rsid w:val="00AD03E8"/>
    <w:rsid w:val="00AD438A"/>
    <w:rsid w:val="00AD5797"/>
    <w:rsid w:val="00AD742A"/>
    <w:rsid w:val="00AE429F"/>
    <w:rsid w:val="00AE6488"/>
    <w:rsid w:val="00AF5745"/>
    <w:rsid w:val="00AF61A9"/>
    <w:rsid w:val="00B00BCD"/>
    <w:rsid w:val="00B03003"/>
    <w:rsid w:val="00B0553E"/>
    <w:rsid w:val="00B1593B"/>
    <w:rsid w:val="00B17005"/>
    <w:rsid w:val="00B22637"/>
    <w:rsid w:val="00B23C0C"/>
    <w:rsid w:val="00B24512"/>
    <w:rsid w:val="00B312DA"/>
    <w:rsid w:val="00B31565"/>
    <w:rsid w:val="00B37147"/>
    <w:rsid w:val="00B37C36"/>
    <w:rsid w:val="00B43E72"/>
    <w:rsid w:val="00B44036"/>
    <w:rsid w:val="00B441CA"/>
    <w:rsid w:val="00B4427C"/>
    <w:rsid w:val="00B46DAC"/>
    <w:rsid w:val="00B508E1"/>
    <w:rsid w:val="00B511CF"/>
    <w:rsid w:val="00B51C2B"/>
    <w:rsid w:val="00B51F03"/>
    <w:rsid w:val="00B53071"/>
    <w:rsid w:val="00B54991"/>
    <w:rsid w:val="00B552C2"/>
    <w:rsid w:val="00B55CCD"/>
    <w:rsid w:val="00B55D78"/>
    <w:rsid w:val="00B62AC0"/>
    <w:rsid w:val="00B66CF5"/>
    <w:rsid w:val="00B67DA5"/>
    <w:rsid w:val="00B67F06"/>
    <w:rsid w:val="00B72183"/>
    <w:rsid w:val="00B76345"/>
    <w:rsid w:val="00B76602"/>
    <w:rsid w:val="00B803D5"/>
    <w:rsid w:val="00B804B5"/>
    <w:rsid w:val="00B816B4"/>
    <w:rsid w:val="00B87354"/>
    <w:rsid w:val="00B8779F"/>
    <w:rsid w:val="00B96EEC"/>
    <w:rsid w:val="00B97DC5"/>
    <w:rsid w:val="00BA548C"/>
    <w:rsid w:val="00BA655D"/>
    <w:rsid w:val="00BB1633"/>
    <w:rsid w:val="00BB49BB"/>
    <w:rsid w:val="00BB597E"/>
    <w:rsid w:val="00BB79F4"/>
    <w:rsid w:val="00BB7DD8"/>
    <w:rsid w:val="00BC1E34"/>
    <w:rsid w:val="00BC1FD9"/>
    <w:rsid w:val="00BC391B"/>
    <w:rsid w:val="00BC524D"/>
    <w:rsid w:val="00BC569D"/>
    <w:rsid w:val="00BC7218"/>
    <w:rsid w:val="00BD0AA2"/>
    <w:rsid w:val="00BD0DD1"/>
    <w:rsid w:val="00BD2BFA"/>
    <w:rsid w:val="00BD3DF7"/>
    <w:rsid w:val="00BE28DC"/>
    <w:rsid w:val="00BE3629"/>
    <w:rsid w:val="00BE45D0"/>
    <w:rsid w:val="00BE4EBE"/>
    <w:rsid w:val="00BE5387"/>
    <w:rsid w:val="00BF0591"/>
    <w:rsid w:val="00BF2F45"/>
    <w:rsid w:val="00BF3BEE"/>
    <w:rsid w:val="00C0224E"/>
    <w:rsid w:val="00C02649"/>
    <w:rsid w:val="00C0471D"/>
    <w:rsid w:val="00C0481C"/>
    <w:rsid w:val="00C04D60"/>
    <w:rsid w:val="00C128B3"/>
    <w:rsid w:val="00C13B3F"/>
    <w:rsid w:val="00C16981"/>
    <w:rsid w:val="00C233A9"/>
    <w:rsid w:val="00C31E06"/>
    <w:rsid w:val="00C32A77"/>
    <w:rsid w:val="00C355EC"/>
    <w:rsid w:val="00C3708F"/>
    <w:rsid w:val="00C372E0"/>
    <w:rsid w:val="00C37360"/>
    <w:rsid w:val="00C47A2B"/>
    <w:rsid w:val="00C47AE4"/>
    <w:rsid w:val="00C5646F"/>
    <w:rsid w:val="00C57A64"/>
    <w:rsid w:val="00C61219"/>
    <w:rsid w:val="00C62899"/>
    <w:rsid w:val="00C629AE"/>
    <w:rsid w:val="00C742D7"/>
    <w:rsid w:val="00C747D1"/>
    <w:rsid w:val="00C7494A"/>
    <w:rsid w:val="00C765A2"/>
    <w:rsid w:val="00C80771"/>
    <w:rsid w:val="00C9075A"/>
    <w:rsid w:val="00C9154F"/>
    <w:rsid w:val="00C915EE"/>
    <w:rsid w:val="00C9359A"/>
    <w:rsid w:val="00C96A25"/>
    <w:rsid w:val="00C97BF7"/>
    <w:rsid w:val="00CA0806"/>
    <w:rsid w:val="00CA2C7C"/>
    <w:rsid w:val="00CA5A05"/>
    <w:rsid w:val="00CA68F5"/>
    <w:rsid w:val="00CB02FC"/>
    <w:rsid w:val="00CB5616"/>
    <w:rsid w:val="00CC10AF"/>
    <w:rsid w:val="00CC1240"/>
    <w:rsid w:val="00CC4B40"/>
    <w:rsid w:val="00CC57FB"/>
    <w:rsid w:val="00CC6F3C"/>
    <w:rsid w:val="00CD0692"/>
    <w:rsid w:val="00CD67BE"/>
    <w:rsid w:val="00CD6886"/>
    <w:rsid w:val="00CD6B7D"/>
    <w:rsid w:val="00CD7D17"/>
    <w:rsid w:val="00CE057B"/>
    <w:rsid w:val="00CE0BEE"/>
    <w:rsid w:val="00CE1E72"/>
    <w:rsid w:val="00CE29B0"/>
    <w:rsid w:val="00CE32ED"/>
    <w:rsid w:val="00CF1129"/>
    <w:rsid w:val="00CF5E43"/>
    <w:rsid w:val="00D04DF2"/>
    <w:rsid w:val="00D07172"/>
    <w:rsid w:val="00D075B1"/>
    <w:rsid w:val="00D10372"/>
    <w:rsid w:val="00D170D2"/>
    <w:rsid w:val="00D1778A"/>
    <w:rsid w:val="00D2167D"/>
    <w:rsid w:val="00D22769"/>
    <w:rsid w:val="00D2442F"/>
    <w:rsid w:val="00D24891"/>
    <w:rsid w:val="00D272D0"/>
    <w:rsid w:val="00D27D5F"/>
    <w:rsid w:val="00D30039"/>
    <w:rsid w:val="00D30C4F"/>
    <w:rsid w:val="00D3273F"/>
    <w:rsid w:val="00D34F90"/>
    <w:rsid w:val="00D36184"/>
    <w:rsid w:val="00D36224"/>
    <w:rsid w:val="00D36884"/>
    <w:rsid w:val="00D36927"/>
    <w:rsid w:val="00D408D1"/>
    <w:rsid w:val="00D44A1B"/>
    <w:rsid w:val="00D54C2B"/>
    <w:rsid w:val="00D5608E"/>
    <w:rsid w:val="00D56BCA"/>
    <w:rsid w:val="00D5762E"/>
    <w:rsid w:val="00D630C7"/>
    <w:rsid w:val="00D6399D"/>
    <w:rsid w:val="00D70E78"/>
    <w:rsid w:val="00D72F54"/>
    <w:rsid w:val="00D74F4E"/>
    <w:rsid w:val="00D75107"/>
    <w:rsid w:val="00D779DE"/>
    <w:rsid w:val="00D77D7F"/>
    <w:rsid w:val="00D81C7B"/>
    <w:rsid w:val="00D82C21"/>
    <w:rsid w:val="00D84F94"/>
    <w:rsid w:val="00D87443"/>
    <w:rsid w:val="00D8769E"/>
    <w:rsid w:val="00D9196C"/>
    <w:rsid w:val="00D97B54"/>
    <w:rsid w:val="00D97DD9"/>
    <w:rsid w:val="00DA06E4"/>
    <w:rsid w:val="00DA10DE"/>
    <w:rsid w:val="00DA22EB"/>
    <w:rsid w:val="00DA3AEE"/>
    <w:rsid w:val="00DB2CCA"/>
    <w:rsid w:val="00DB4632"/>
    <w:rsid w:val="00DB71BB"/>
    <w:rsid w:val="00DC64BB"/>
    <w:rsid w:val="00DD2FA6"/>
    <w:rsid w:val="00DD52BB"/>
    <w:rsid w:val="00DD5BAF"/>
    <w:rsid w:val="00DD6581"/>
    <w:rsid w:val="00DE2D2A"/>
    <w:rsid w:val="00DE377D"/>
    <w:rsid w:val="00DE3A5D"/>
    <w:rsid w:val="00DE56D1"/>
    <w:rsid w:val="00DF0E15"/>
    <w:rsid w:val="00DF2267"/>
    <w:rsid w:val="00DF623E"/>
    <w:rsid w:val="00DF7BE5"/>
    <w:rsid w:val="00E00990"/>
    <w:rsid w:val="00E00AA7"/>
    <w:rsid w:val="00E00FCE"/>
    <w:rsid w:val="00E0117F"/>
    <w:rsid w:val="00E01E25"/>
    <w:rsid w:val="00E047C0"/>
    <w:rsid w:val="00E1100B"/>
    <w:rsid w:val="00E11907"/>
    <w:rsid w:val="00E11909"/>
    <w:rsid w:val="00E15DC3"/>
    <w:rsid w:val="00E16905"/>
    <w:rsid w:val="00E17B34"/>
    <w:rsid w:val="00E21EA5"/>
    <w:rsid w:val="00E22428"/>
    <w:rsid w:val="00E22BE8"/>
    <w:rsid w:val="00E2334A"/>
    <w:rsid w:val="00E238D2"/>
    <w:rsid w:val="00E25078"/>
    <w:rsid w:val="00E25FE5"/>
    <w:rsid w:val="00E31961"/>
    <w:rsid w:val="00E31CDA"/>
    <w:rsid w:val="00E32DDC"/>
    <w:rsid w:val="00E3786F"/>
    <w:rsid w:val="00E40140"/>
    <w:rsid w:val="00E4076C"/>
    <w:rsid w:val="00E42D9B"/>
    <w:rsid w:val="00E433B9"/>
    <w:rsid w:val="00E4519F"/>
    <w:rsid w:val="00E500D0"/>
    <w:rsid w:val="00E52992"/>
    <w:rsid w:val="00E538CB"/>
    <w:rsid w:val="00E60942"/>
    <w:rsid w:val="00E61B11"/>
    <w:rsid w:val="00E63541"/>
    <w:rsid w:val="00E66FE7"/>
    <w:rsid w:val="00E72E83"/>
    <w:rsid w:val="00E74514"/>
    <w:rsid w:val="00E75496"/>
    <w:rsid w:val="00E75E09"/>
    <w:rsid w:val="00E775D0"/>
    <w:rsid w:val="00E80EF1"/>
    <w:rsid w:val="00E90044"/>
    <w:rsid w:val="00E9037D"/>
    <w:rsid w:val="00E906F3"/>
    <w:rsid w:val="00E9343E"/>
    <w:rsid w:val="00E9366A"/>
    <w:rsid w:val="00E9387D"/>
    <w:rsid w:val="00E959A0"/>
    <w:rsid w:val="00E976F5"/>
    <w:rsid w:val="00EA0180"/>
    <w:rsid w:val="00EA51E1"/>
    <w:rsid w:val="00EB0DBA"/>
    <w:rsid w:val="00EB389D"/>
    <w:rsid w:val="00EB3E51"/>
    <w:rsid w:val="00EB64CF"/>
    <w:rsid w:val="00EC0081"/>
    <w:rsid w:val="00EC6387"/>
    <w:rsid w:val="00ED469A"/>
    <w:rsid w:val="00ED518C"/>
    <w:rsid w:val="00ED6B6B"/>
    <w:rsid w:val="00EE0A39"/>
    <w:rsid w:val="00EE401B"/>
    <w:rsid w:val="00EE67DD"/>
    <w:rsid w:val="00EE7513"/>
    <w:rsid w:val="00EF5420"/>
    <w:rsid w:val="00EF7E07"/>
    <w:rsid w:val="00F01C76"/>
    <w:rsid w:val="00F028C8"/>
    <w:rsid w:val="00F04904"/>
    <w:rsid w:val="00F0648A"/>
    <w:rsid w:val="00F1126E"/>
    <w:rsid w:val="00F20061"/>
    <w:rsid w:val="00F24361"/>
    <w:rsid w:val="00F245B3"/>
    <w:rsid w:val="00F26371"/>
    <w:rsid w:val="00F2682B"/>
    <w:rsid w:val="00F30DA8"/>
    <w:rsid w:val="00F34C1F"/>
    <w:rsid w:val="00F3772B"/>
    <w:rsid w:val="00F47E87"/>
    <w:rsid w:val="00F60076"/>
    <w:rsid w:val="00F60BAC"/>
    <w:rsid w:val="00F63C29"/>
    <w:rsid w:val="00F650AE"/>
    <w:rsid w:val="00F65D75"/>
    <w:rsid w:val="00F71EB7"/>
    <w:rsid w:val="00F7564C"/>
    <w:rsid w:val="00F7579D"/>
    <w:rsid w:val="00F7640B"/>
    <w:rsid w:val="00F81778"/>
    <w:rsid w:val="00F8529B"/>
    <w:rsid w:val="00F862A9"/>
    <w:rsid w:val="00F9262B"/>
    <w:rsid w:val="00F93EED"/>
    <w:rsid w:val="00F955C4"/>
    <w:rsid w:val="00F9643F"/>
    <w:rsid w:val="00FA01AB"/>
    <w:rsid w:val="00FA0902"/>
    <w:rsid w:val="00FA0E96"/>
    <w:rsid w:val="00FA3E43"/>
    <w:rsid w:val="00FA4732"/>
    <w:rsid w:val="00FA4934"/>
    <w:rsid w:val="00FB08BC"/>
    <w:rsid w:val="00FB3E34"/>
    <w:rsid w:val="00FB50E5"/>
    <w:rsid w:val="00FB6213"/>
    <w:rsid w:val="00FC397C"/>
    <w:rsid w:val="00FC3AF0"/>
    <w:rsid w:val="00FC72B7"/>
    <w:rsid w:val="00FC7FB1"/>
    <w:rsid w:val="00FD16C4"/>
    <w:rsid w:val="00FD2BD8"/>
    <w:rsid w:val="00FD51BC"/>
    <w:rsid w:val="00FD688E"/>
    <w:rsid w:val="00FE32B1"/>
    <w:rsid w:val="00FE3BAE"/>
    <w:rsid w:val="00FE52BB"/>
    <w:rsid w:val="00FF4087"/>
    <w:rsid w:val="00FF5CD4"/>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6D03F662-06F9-414F-B198-C304E4B3F00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A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ALTS FOOTNOTE,f"/>
    <w:basedOn w:val="Normal"/>
    <w:link w:val="FootnoteTextChar"/>
    <w:uiPriority w:val="99"/>
    <w:qFormat/>
    <w:rsid w:val="00A86489"/>
    <w:pPr>
      <w:spacing w:after="12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ALTS FOOTNOTE Char"/>
    <w:basedOn w:val="DefaultParagraphFont"/>
    <w:link w:val="FootnoteText"/>
    <w:uiPriority w:val="99"/>
    <w:rsid w:val="00A86489"/>
    <w:rPr>
      <w:sz w:val="22"/>
    </w:rPr>
  </w:style>
  <w:style w:type="character" w:styleId="FootnoteReference">
    <w:name w:val="footnote reference"/>
    <w:aliases w:val="o,fr,o1,o2,o3,o4,o5,o6,o11,o21,o7,Style 3,o + Times New Roman,Style 58,Style 12,(NECG) Footnote Reference,Appel note de bas de p,Style 124,Style 17,Style 20,Style 13,fr1,fr2,fr3,Char Char Char Char,FR,callout,Footnote Reference/"/>
    <w:uiPriority w:val="99"/>
    <w:qFormat/>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character" w:styleId="UnresolvedMention">
    <w:name w:val="Unresolved Mention"/>
    <w:basedOn w:val="DefaultParagraphFont"/>
    <w:uiPriority w:val="99"/>
    <w:semiHidden/>
    <w:unhideWhenUsed/>
    <w:rsid w:val="00E2334A"/>
    <w:rPr>
      <w:color w:val="605E5C"/>
      <w:shd w:val="clear" w:color="auto" w:fill="E1DFDD"/>
    </w:rPr>
  </w:style>
  <w:style w:type="paragraph" w:customStyle="1" w:styleId="Default">
    <w:name w:val="Default"/>
    <w:rsid w:val="00AD43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876">
      <w:bodyDiv w:val="1"/>
      <w:marLeft w:val="0"/>
      <w:marRight w:val="0"/>
      <w:marTop w:val="0"/>
      <w:marBottom w:val="0"/>
      <w:divBdr>
        <w:top w:val="none" w:sz="0" w:space="0" w:color="auto"/>
        <w:left w:val="none" w:sz="0" w:space="0" w:color="auto"/>
        <w:bottom w:val="none" w:sz="0" w:space="0" w:color="auto"/>
        <w:right w:val="none" w:sz="0" w:space="0" w:color="auto"/>
      </w:divBdr>
    </w:div>
    <w:div w:id="187305061">
      <w:bodyDiv w:val="1"/>
      <w:marLeft w:val="0"/>
      <w:marRight w:val="0"/>
      <w:marTop w:val="0"/>
      <w:marBottom w:val="0"/>
      <w:divBdr>
        <w:top w:val="none" w:sz="0" w:space="0" w:color="auto"/>
        <w:left w:val="none" w:sz="0" w:space="0" w:color="auto"/>
        <w:bottom w:val="none" w:sz="0" w:space="0" w:color="auto"/>
        <w:right w:val="none" w:sz="0" w:space="0" w:color="auto"/>
      </w:divBdr>
    </w:div>
    <w:div w:id="270743545">
      <w:bodyDiv w:val="1"/>
      <w:marLeft w:val="0"/>
      <w:marRight w:val="0"/>
      <w:marTop w:val="0"/>
      <w:marBottom w:val="0"/>
      <w:divBdr>
        <w:top w:val="none" w:sz="0" w:space="0" w:color="auto"/>
        <w:left w:val="none" w:sz="0" w:space="0" w:color="auto"/>
        <w:bottom w:val="none" w:sz="0" w:space="0" w:color="auto"/>
        <w:right w:val="none" w:sz="0" w:space="0" w:color="auto"/>
      </w:divBdr>
    </w:div>
    <w:div w:id="342559266">
      <w:bodyDiv w:val="1"/>
      <w:marLeft w:val="0"/>
      <w:marRight w:val="0"/>
      <w:marTop w:val="0"/>
      <w:marBottom w:val="0"/>
      <w:divBdr>
        <w:top w:val="none" w:sz="0" w:space="0" w:color="auto"/>
        <w:left w:val="none" w:sz="0" w:space="0" w:color="auto"/>
        <w:bottom w:val="none" w:sz="0" w:space="0" w:color="auto"/>
        <w:right w:val="none" w:sz="0" w:space="0" w:color="auto"/>
      </w:divBdr>
    </w:div>
    <w:div w:id="379674504">
      <w:bodyDiv w:val="1"/>
      <w:marLeft w:val="0"/>
      <w:marRight w:val="0"/>
      <w:marTop w:val="0"/>
      <w:marBottom w:val="0"/>
      <w:divBdr>
        <w:top w:val="none" w:sz="0" w:space="0" w:color="auto"/>
        <w:left w:val="none" w:sz="0" w:space="0" w:color="auto"/>
        <w:bottom w:val="none" w:sz="0" w:space="0" w:color="auto"/>
        <w:right w:val="none" w:sz="0" w:space="0" w:color="auto"/>
      </w:divBdr>
    </w:div>
    <w:div w:id="423764830">
      <w:bodyDiv w:val="1"/>
      <w:marLeft w:val="0"/>
      <w:marRight w:val="0"/>
      <w:marTop w:val="0"/>
      <w:marBottom w:val="0"/>
      <w:divBdr>
        <w:top w:val="none" w:sz="0" w:space="0" w:color="auto"/>
        <w:left w:val="none" w:sz="0" w:space="0" w:color="auto"/>
        <w:bottom w:val="none" w:sz="0" w:space="0" w:color="auto"/>
        <w:right w:val="none" w:sz="0" w:space="0" w:color="auto"/>
      </w:divBdr>
    </w:div>
    <w:div w:id="425736867">
      <w:bodyDiv w:val="1"/>
      <w:marLeft w:val="0"/>
      <w:marRight w:val="0"/>
      <w:marTop w:val="0"/>
      <w:marBottom w:val="0"/>
      <w:divBdr>
        <w:top w:val="none" w:sz="0" w:space="0" w:color="auto"/>
        <w:left w:val="none" w:sz="0" w:space="0" w:color="auto"/>
        <w:bottom w:val="none" w:sz="0" w:space="0" w:color="auto"/>
        <w:right w:val="none" w:sz="0" w:space="0" w:color="auto"/>
      </w:divBdr>
    </w:div>
    <w:div w:id="503712784">
      <w:bodyDiv w:val="1"/>
      <w:marLeft w:val="0"/>
      <w:marRight w:val="0"/>
      <w:marTop w:val="0"/>
      <w:marBottom w:val="0"/>
      <w:divBdr>
        <w:top w:val="none" w:sz="0" w:space="0" w:color="auto"/>
        <w:left w:val="none" w:sz="0" w:space="0" w:color="auto"/>
        <w:bottom w:val="none" w:sz="0" w:space="0" w:color="auto"/>
        <w:right w:val="none" w:sz="0" w:space="0" w:color="auto"/>
      </w:divBdr>
    </w:div>
    <w:div w:id="569121864">
      <w:bodyDiv w:val="1"/>
      <w:marLeft w:val="0"/>
      <w:marRight w:val="0"/>
      <w:marTop w:val="0"/>
      <w:marBottom w:val="0"/>
      <w:divBdr>
        <w:top w:val="none" w:sz="0" w:space="0" w:color="auto"/>
        <w:left w:val="none" w:sz="0" w:space="0" w:color="auto"/>
        <w:bottom w:val="none" w:sz="0" w:space="0" w:color="auto"/>
        <w:right w:val="none" w:sz="0" w:space="0" w:color="auto"/>
      </w:divBdr>
    </w:div>
    <w:div w:id="575553599">
      <w:bodyDiv w:val="1"/>
      <w:marLeft w:val="0"/>
      <w:marRight w:val="0"/>
      <w:marTop w:val="0"/>
      <w:marBottom w:val="0"/>
      <w:divBdr>
        <w:top w:val="none" w:sz="0" w:space="0" w:color="auto"/>
        <w:left w:val="none" w:sz="0" w:space="0" w:color="auto"/>
        <w:bottom w:val="none" w:sz="0" w:space="0" w:color="auto"/>
        <w:right w:val="none" w:sz="0" w:space="0" w:color="auto"/>
      </w:divBdr>
    </w:div>
    <w:div w:id="657612548">
      <w:bodyDiv w:val="1"/>
      <w:marLeft w:val="0"/>
      <w:marRight w:val="0"/>
      <w:marTop w:val="0"/>
      <w:marBottom w:val="0"/>
      <w:divBdr>
        <w:top w:val="none" w:sz="0" w:space="0" w:color="auto"/>
        <w:left w:val="none" w:sz="0" w:space="0" w:color="auto"/>
        <w:bottom w:val="none" w:sz="0" w:space="0" w:color="auto"/>
        <w:right w:val="none" w:sz="0" w:space="0" w:color="auto"/>
      </w:divBdr>
    </w:div>
    <w:div w:id="755395219">
      <w:bodyDiv w:val="1"/>
      <w:marLeft w:val="0"/>
      <w:marRight w:val="0"/>
      <w:marTop w:val="0"/>
      <w:marBottom w:val="0"/>
      <w:divBdr>
        <w:top w:val="none" w:sz="0" w:space="0" w:color="auto"/>
        <w:left w:val="none" w:sz="0" w:space="0" w:color="auto"/>
        <w:bottom w:val="none" w:sz="0" w:space="0" w:color="auto"/>
        <w:right w:val="none" w:sz="0" w:space="0" w:color="auto"/>
      </w:divBdr>
    </w:div>
    <w:div w:id="841046823">
      <w:bodyDiv w:val="1"/>
      <w:marLeft w:val="0"/>
      <w:marRight w:val="0"/>
      <w:marTop w:val="0"/>
      <w:marBottom w:val="0"/>
      <w:divBdr>
        <w:top w:val="none" w:sz="0" w:space="0" w:color="auto"/>
        <w:left w:val="none" w:sz="0" w:space="0" w:color="auto"/>
        <w:bottom w:val="none" w:sz="0" w:space="0" w:color="auto"/>
        <w:right w:val="none" w:sz="0" w:space="0" w:color="auto"/>
      </w:divBdr>
    </w:div>
    <w:div w:id="921135325">
      <w:bodyDiv w:val="1"/>
      <w:marLeft w:val="0"/>
      <w:marRight w:val="0"/>
      <w:marTop w:val="0"/>
      <w:marBottom w:val="0"/>
      <w:divBdr>
        <w:top w:val="none" w:sz="0" w:space="0" w:color="auto"/>
        <w:left w:val="none" w:sz="0" w:space="0" w:color="auto"/>
        <w:bottom w:val="none" w:sz="0" w:space="0" w:color="auto"/>
        <w:right w:val="none" w:sz="0" w:space="0" w:color="auto"/>
      </w:divBdr>
    </w:div>
    <w:div w:id="983969924">
      <w:bodyDiv w:val="1"/>
      <w:marLeft w:val="0"/>
      <w:marRight w:val="0"/>
      <w:marTop w:val="0"/>
      <w:marBottom w:val="0"/>
      <w:divBdr>
        <w:top w:val="none" w:sz="0" w:space="0" w:color="auto"/>
        <w:left w:val="none" w:sz="0" w:space="0" w:color="auto"/>
        <w:bottom w:val="none" w:sz="0" w:space="0" w:color="auto"/>
        <w:right w:val="none" w:sz="0" w:space="0" w:color="auto"/>
      </w:divBdr>
    </w:div>
    <w:div w:id="1017584640">
      <w:bodyDiv w:val="1"/>
      <w:marLeft w:val="0"/>
      <w:marRight w:val="0"/>
      <w:marTop w:val="0"/>
      <w:marBottom w:val="0"/>
      <w:divBdr>
        <w:top w:val="none" w:sz="0" w:space="0" w:color="auto"/>
        <w:left w:val="none" w:sz="0" w:space="0" w:color="auto"/>
        <w:bottom w:val="none" w:sz="0" w:space="0" w:color="auto"/>
        <w:right w:val="none" w:sz="0" w:space="0" w:color="auto"/>
      </w:divBdr>
    </w:div>
    <w:div w:id="1141582689">
      <w:bodyDiv w:val="1"/>
      <w:marLeft w:val="0"/>
      <w:marRight w:val="0"/>
      <w:marTop w:val="0"/>
      <w:marBottom w:val="0"/>
      <w:divBdr>
        <w:top w:val="none" w:sz="0" w:space="0" w:color="auto"/>
        <w:left w:val="none" w:sz="0" w:space="0" w:color="auto"/>
        <w:bottom w:val="none" w:sz="0" w:space="0" w:color="auto"/>
        <w:right w:val="none" w:sz="0" w:space="0" w:color="auto"/>
      </w:divBdr>
    </w:div>
    <w:div w:id="1259602689">
      <w:bodyDiv w:val="1"/>
      <w:marLeft w:val="0"/>
      <w:marRight w:val="0"/>
      <w:marTop w:val="0"/>
      <w:marBottom w:val="0"/>
      <w:divBdr>
        <w:top w:val="none" w:sz="0" w:space="0" w:color="auto"/>
        <w:left w:val="none" w:sz="0" w:space="0" w:color="auto"/>
        <w:bottom w:val="none" w:sz="0" w:space="0" w:color="auto"/>
        <w:right w:val="none" w:sz="0" w:space="0" w:color="auto"/>
      </w:divBdr>
    </w:div>
    <w:div w:id="1497529515">
      <w:bodyDiv w:val="1"/>
      <w:marLeft w:val="0"/>
      <w:marRight w:val="0"/>
      <w:marTop w:val="0"/>
      <w:marBottom w:val="0"/>
      <w:divBdr>
        <w:top w:val="none" w:sz="0" w:space="0" w:color="auto"/>
        <w:left w:val="none" w:sz="0" w:space="0" w:color="auto"/>
        <w:bottom w:val="none" w:sz="0" w:space="0" w:color="auto"/>
        <w:right w:val="none" w:sz="0" w:space="0" w:color="auto"/>
      </w:divBdr>
    </w:div>
    <w:div w:id="1563710649">
      <w:bodyDiv w:val="1"/>
      <w:marLeft w:val="0"/>
      <w:marRight w:val="0"/>
      <w:marTop w:val="0"/>
      <w:marBottom w:val="0"/>
      <w:divBdr>
        <w:top w:val="none" w:sz="0" w:space="0" w:color="auto"/>
        <w:left w:val="none" w:sz="0" w:space="0" w:color="auto"/>
        <w:bottom w:val="none" w:sz="0" w:space="0" w:color="auto"/>
        <w:right w:val="none" w:sz="0" w:space="0" w:color="auto"/>
      </w:divBdr>
    </w:div>
    <w:div w:id="1594628553">
      <w:bodyDiv w:val="1"/>
      <w:marLeft w:val="0"/>
      <w:marRight w:val="0"/>
      <w:marTop w:val="0"/>
      <w:marBottom w:val="0"/>
      <w:divBdr>
        <w:top w:val="none" w:sz="0" w:space="0" w:color="auto"/>
        <w:left w:val="none" w:sz="0" w:space="0" w:color="auto"/>
        <w:bottom w:val="none" w:sz="0" w:space="0" w:color="auto"/>
        <w:right w:val="none" w:sz="0" w:space="0" w:color="auto"/>
      </w:divBdr>
    </w:div>
    <w:div w:id="1632244938">
      <w:bodyDiv w:val="1"/>
      <w:marLeft w:val="0"/>
      <w:marRight w:val="0"/>
      <w:marTop w:val="0"/>
      <w:marBottom w:val="0"/>
      <w:divBdr>
        <w:top w:val="none" w:sz="0" w:space="0" w:color="auto"/>
        <w:left w:val="none" w:sz="0" w:space="0" w:color="auto"/>
        <w:bottom w:val="none" w:sz="0" w:space="0" w:color="auto"/>
        <w:right w:val="none" w:sz="0" w:space="0" w:color="auto"/>
      </w:divBdr>
    </w:div>
    <w:div w:id="1828401096">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66035206">
      <w:bodyDiv w:val="1"/>
      <w:marLeft w:val="0"/>
      <w:marRight w:val="0"/>
      <w:marTop w:val="0"/>
      <w:marBottom w:val="0"/>
      <w:divBdr>
        <w:top w:val="none" w:sz="0" w:space="0" w:color="auto"/>
        <w:left w:val="none" w:sz="0" w:space="0" w:color="auto"/>
        <w:bottom w:val="none" w:sz="0" w:space="0" w:color="auto"/>
        <w:right w:val="none" w:sz="0" w:space="0" w:color="auto"/>
      </w:divBdr>
    </w:div>
    <w:div w:id="21144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29</ap:Pages>
  <ap:Words>8543</ap:Words>
  <ap:Characters>48697</ap:Characters>
  <ap:Application>Microsoft Office Word</ap:Application>
  <ap:DocSecurity>0</ap:DocSecurity>
  <ap:Lines>405</ap:Lines>
  <ap:Paragraphs>114</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57126</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2023-07-23T21:36:00Z</cp:lastPrinted>
  <dcterms:created xsi:type="dcterms:W3CDTF">2023-12-06T09:27:43Z</dcterms:created>
  <dcterms:modified xsi:type="dcterms:W3CDTF">2023-12-06T09:27:43Z</dcterms:modified>
</cp:coreProperties>
</file>