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587B" w:rsidR="005B0E9C" w:rsidP="004E49A3" w:rsidRDefault="00DF59AD" w14:paraId="6E54B5FE" w14:textId="65E1A77F">
      <w:pPr>
        <w:rPr>
          <w:rFonts w:ascii="Book Antiqua" w:hAnsi="Book Antiqua"/>
          <w:b/>
          <w:bCs/>
        </w:rPr>
      </w:pPr>
      <w:r w:rsidRPr="00DE587B">
        <w:rPr>
          <w:rFonts w:ascii="Book Antiqua" w:hAnsi="Book Antiqua"/>
        </w:rPr>
        <w:t>ALJ</w:t>
      </w:r>
      <w:r w:rsidRPr="00DE587B" w:rsidR="004A793B">
        <w:rPr>
          <w:rFonts w:ascii="Book Antiqua" w:hAnsi="Book Antiqua"/>
        </w:rPr>
        <w:t>/KWZ/hma</w:t>
      </w:r>
      <w:r w:rsidRPr="00DE587B" w:rsidR="005B0E9C">
        <w:rPr>
          <w:rFonts w:ascii="Book Antiqua" w:hAnsi="Book Antiqua"/>
        </w:rPr>
        <w:t xml:space="preserve">           </w:t>
      </w:r>
      <w:r w:rsidRPr="00DE587B" w:rsidR="00DE587B">
        <w:rPr>
          <w:rFonts w:ascii="Book Antiqua" w:hAnsi="Book Antiqua"/>
        </w:rPr>
        <w:tab/>
      </w:r>
      <w:r w:rsidRPr="00DE587B" w:rsidR="005B0E9C">
        <w:rPr>
          <w:rFonts w:ascii="Book Antiqua" w:hAnsi="Book Antiqua"/>
        </w:rPr>
        <w:t xml:space="preserve">                    </w:t>
      </w:r>
      <w:r w:rsidR="004E49A3">
        <w:rPr>
          <w:rFonts w:ascii="Book Antiqua" w:hAnsi="Book Antiqua"/>
        </w:rPr>
        <w:tab/>
      </w:r>
      <w:r w:rsidR="004E49A3">
        <w:rPr>
          <w:rFonts w:ascii="Book Antiqua" w:hAnsi="Book Antiqua"/>
        </w:rPr>
        <w:tab/>
      </w:r>
      <w:r w:rsidR="004E49A3">
        <w:rPr>
          <w:rFonts w:ascii="Book Antiqua" w:hAnsi="Book Antiqua"/>
        </w:rPr>
        <w:tab/>
        <w:t xml:space="preserve">       </w:t>
      </w:r>
      <w:r w:rsidR="004E49A3">
        <w:rPr>
          <w:rFonts w:ascii="Book Antiqua" w:hAnsi="Book Antiqua"/>
          <w:b/>
          <w:bCs/>
        </w:rPr>
        <w:t>Date of Issuance 12/</w:t>
      </w:r>
      <w:r w:rsidR="00076898">
        <w:rPr>
          <w:rFonts w:ascii="Book Antiqua" w:hAnsi="Book Antiqua"/>
          <w:b/>
          <w:bCs/>
        </w:rPr>
        <w:t>6</w:t>
      </w:r>
      <w:r w:rsidR="004E49A3">
        <w:rPr>
          <w:rFonts w:ascii="Book Antiqua" w:hAnsi="Book Antiqua"/>
          <w:b/>
          <w:bCs/>
        </w:rPr>
        <w:t>/2023</w:t>
      </w:r>
    </w:p>
    <w:p w:rsidRPr="00DE587B" w:rsidR="005B0E9C" w:rsidP="005B0E9C" w:rsidRDefault="005B0E9C" w14:paraId="42D6C57D" w14:textId="77777777">
      <w:pPr>
        <w:rPr>
          <w:rFonts w:ascii="Book Antiqua" w:hAnsi="Book Antiqua"/>
        </w:rPr>
      </w:pPr>
    </w:p>
    <w:p w:rsidRPr="00DE587B" w:rsidR="00EA437E" w:rsidP="005B0E9C" w:rsidRDefault="00EA437E" w14:paraId="52EDC9A2" w14:textId="77777777">
      <w:pPr>
        <w:rPr>
          <w:rFonts w:ascii="Book Antiqua" w:hAnsi="Book Antiqua"/>
        </w:rPr>
      </w:pPr>
    </w:p>
    <w:p w:rsidRPr="00DE587B" w:rsidR="005B0E9C" w:rsidP="005B0E9C" w:rsidRDefault="005B0E9C" w14:paraId="44631BC2" w14:textId="37819EBB">
      <w:pPr>
        <w:suppressAutoHyphens/>
        <w:rPr>
          <w:rFonts w:ascii="Book Antiqua" w:hAnsi="Book Antiqua"/>
          <w:sz w:val="20"/>
          <w:u w:val="single"/>
        </w:rPr>
      </w:pPr>
      <w:r w:rsidRPr="00DE587B">
        <w:rPr>
          <w:rFonts w:ascii="Book Antiqua" w:hAnsi="Book Antiqua"/>
        </w:rPr>
        <w:t xml:space="preserve">Decision </w:t>
      </w:r>
      <w:r w:rsidRPr="00270742" w:rsidR="00270742">
        <w:rPr>
          <w:rFonts w:ascii="Book Antiqua" w:hAnsi="Book Antiqua"/>
        </w:rPr>
        <w:t>23-11-102 November 30, 2023</w:t>
      </w:r>
      <w:r w:rsidRPr="00DE587B">
        <w:rPr>
          <w:rFonts w:ascii="Book Antiqua" w:hAnsi="Book Antiqua"/>
          <w:u w:val="single"/>
        </w:rPr>
        <w:t xml:space="preserve"> </w:t>
      </w:r>
    </w:p>
    <w:p w:rsidRPr="00A80752" w:rsidR="00056BEE" w:rsidRDefault="00056BEE" w14:paraId="5B031E76" w14:textId="77777777">
      <w:pPr>
        <w:pStyle w:val="Header"/>
        <w:rPr>
          <w:rFonts w:ascii="Book Antiqua" w:hAnsi="Book Antiqua"/>
        </w:rPr>
      </w:pPr>
    </w:p>
    <w:p w:rsidRPr="00CA180C" w:rsidR="00056BEE" w:rsidRDefault="00056BEE" w14:paraId="21B4814A" w14:textId="77777777">
      <w:pPr>
        <w:rPr>
          <w:rFonts w:ascii="Arial" w:hAnsi="Arial"/>
          <w:b/>
          <w:sz w:val="24"/>
          <w:szCs w:val="24"/>
        </w:rPr>
      </w:pPr>
      <w:r w:rsidRPr="00CA180C">
        <w:rPr>
          <w:rFonts w:ascii="Arial" w:hAnsi="Arial"/>
          <w:b/>
          <w:sz w:val="24"/>
          <w:szCs w:val="24"/>
        </w:rPr>
        <w:t>BEFORE THE PUBLIC UTILITIES COMMISSION OF THE STATE OF CALIFORNIA</w:t>
      </w:r>
    </w:p>
    <w:p w:rsidRPr="00A80752" w:rsidR="00056BEE" w:rsidRDefault="00056BEE" w14:paraId="24D0C75B" w14:textId="77777777">
      <w:pPr>
        <w:suppressAutoHyphens/>
        <w:rPr>
          <w:rFonts w:ascii="Book Antiqua" w:hAnsi="Book Antiqua"/>
        </w:rPr>
      </w:pPr>
    </w:p>
    <w:tbl>
      <w:tblPr>
        <w:tblW w:w="0" w:type="auto"/>
        <w:tblLayout w:type="fixed"/>
        <w:tblLook w:val="0000" w:firstRow="0" w:lastRow="0" w:firstColumn="0" w:lastColumn="0" w:noHBand="0" w:noVBand="0"/>
      </w:tblPr>
      <w:tblGrid>
        <w:gridCol w:w="5328"/>
        <w:gridCol w:w="3917"/>
      </w:tblGrid>
      <w:tr w:rsidRPr="00D154F1" w:rsidR="00906840" w14:paraId="1868F0F6" w14:textId="77777777">
        <w:tc>
          <w:tcPr>
            <w:tcW w:w="5328" w:type="dxa"/>
            <w:tcBorders>
              <w:bottom w:val="single" w:color="auto" w:sz="6" w:space="0"/>
              <w:right w:val="single" w:color="auto" w:sz="6" w:space="0"/>
            </w:tcBorders>
          </w:tcPr>
          <w:p w:rsidRPr="00D154F1" w:rsidR="00EE080A" w:rsidP="00AE0E7F" w:rsidRDefault="00227856" w14:paraId="787CAEDE" w14:textId="77777777">
            <w:pPr>
              <w:tabs>
                <w:tab w:val="left" w:pos="4575"/>
              </w:tabs>
              <w:rPr>
                <w:rFonts w:ascii="Book Antiqua" w:hAnsi="Book Antiqua"/>
              </w:rPr>
            </w:pPr>
            <w:r w:rsidRPr="00D039B9">
              <w:t>Application of Pacific Gas and Electric</w:t>
            </w:r>
            <w:r>
              <w:t> </w:t>
            </w:r>
            <w:r w:rsidRPr="00D039B9">
              <w:t>Company for Recovery of Recorded Expenditures Related to Wildfire Mitigation, Catastrophic Events, and Other Recorded Costs. (U39M)</w:t>
            </w:r>
            <w:r>
              <w:t>.</w:t>
            </w:r>
          </w:p>
          <w:p w:rsidRPr="00D154F1" w:rsidR="00DC64A4" w:rsidP="00AE0E7F" w:rsidRDefault="00DC64A4" w14:paraId="624D7F6B" w14:textId="77777777">
            <w:pPr>
              <w:tabs>
                <w:tab w:val="left" w:pos="4575"/>
              </w:tabs>
              <w:rPr>
                <w:rFonts w:ascii="Book Antiqua" w:hAnsi="Book Antiqua"/>
              </w:rPr>
            </w:pPr>
          </w:p>
        </w:tc>
        <w:tc>
          <w:tcPr>
            <w:tcW w:w="3917" w:type="dxa"/>
            <w:tcBorders>
              <w:left w:val="nil"/>
            </w:tcBorders>
          </w:tcPr>
          <w:p w:rsidRPr="00D154F1" w:rsidR="00A6497E" w:rsidP="00AE0E7F" w:rsidRDefault="00A6497E" w14:paraId="521E26FA" w14:textId="77777777">
            <w:pPr>
              <w:jc w:val="center"/>
              <w:rPr>
                <w:rFonts w:ascii="Book Antiqua" w:hAnsi="Book Antiqua"/>
              </w:rPr>
            </w:pPr>
          </w:p>
          <w:p w:rsidRPr="00D154F1" w:rsidR="00A6497E" w:rsidP="00AE0E7F" w:rsidRDefault="00A6497E" w14:paraId="69CA2F5E" w14:textId="77777777">
            <w:pPr>
              <w:jc w:val="center"/>
              <w:rPr>
                <w:rFonts w:ascii="Book Antiqua" w:hAnsi="Book Antiqua"/>
              </w:rPr>
            </w:pPr>
          </w:p>
          <w:p w:rsidRPr="00D154F1" w:rsidR="00DC64A4" w:rsidP="00AE0E7F" w:rsidRDefault="00DC64A4" w14:paraId="0C880E3B" w14:textId="77777777">
            <w:pPr>
              <w:jc w:val="center"/>
              <w:rPr>
                <w:rFonts w:ascii="Book Antiqua" w:hAnsi="Book Antiqua"/>
              </w:rPr>
            </w:pPr>
          </w:p>
          <w:p w:rsidRPr="00D154F1" w:rsidR="00DC64A4" w:rsidP="00AE0E7F" w:rsidRDefault="00227856" w14:paraId="5A96A22F" w14:textId="77777777">
            <w:pPr>
              <w:jc w:val="center"/>
              <w:rPr>
                <w:rFonts w:ascii="Book Antiqua" w:hAnsi="Book Antiqua"/>
              </w:rPr>
            </w:pPr>
            <w:bookmarkStart w:name="_Hlk35572581" w:id="0"/>
            <w:r>
              <w:rPr>
                <w:rFonts w:cs="Arial"/>
                <w:szCs w:val="26"/>
              </w:rPr>
              <w:t>Application 21-09-008</w:t>
            </w:r>
          </w:p>
          <w:bookmarkEnd w:id="0"/>
          <w:p w:rsidRPr="00D154F1" w:rsidR="00EE080A" w:rsidP="001C25AC" w:rsidRDefault="00EE080A" w14:paraId="5FD8BA1E" w14:textId="77777777">
            <w:pPr>
              <w:jc w:val="center"/>
              <w:rPr>
                <w:rFonts w:ascii="Book Antiqua" w:hAnsi="Book Antiqua"/>
              </w:rPr>
            </w:pPr>
          </w:p>
        </w:tc>
      </w:tr>
    </w:tbl>
    <w:p w:rsidRPr="00A80752" w:rsidR="00056BEE" w:rsidRDefault="00056BEE" w14:paraId="0CF0BB9A" w14:textId="77777777">
      <w:pPr>
        <w:rPr>
          <w:rFonts w:ascii="Book Antiqua" w:hAnsi="Book Antiqua"/>
        </w:rPr>
      </w:pPr>
    </w:p>
    <w:p w:rsidRPr="00A80752" w:rsidR="00056BEE" w:rsidRDefault="00056BEE" w14:paraId="0A59B932" w14:textId="77777777">
      <w:pPr>
        <w:rPr>
          <w:rFonts w:ascii="Book Antiqua" w:hAnsi="Book Antiqua"/>
        </w:rPr>
      </w:pPr>
    </w:p>
    <w:p w:rsidRPr="00CA180C" w:rsidR="00122DD7" w:rsidP="00CA180C" w:rsidRDefault="003854D9" w14:paraId="2F227A1F" w14:textId="44CEEBDC">
      <w:pPr>
        <w:pStyle w:val="main"/>
      </w:pPr>
      <w:r>
        <w:t>ORDER EXTENDING STATUTORY DEADLINE</w:t>
      </w:r>
    </w:p>
    <w:p w:rsidRPr="00A80752" w:rsidR="00CA180C" w:rsidP="00CA180C" w:rsidRDefault="00CA180C" w14:paraId="58B3D1A0" w14:textId="77777777">
      <w:pPr>
        <w:rPr>
          <w:rFonts w:ascii="Book Antiqua" w:hAnsi="Book Antiqua"/>
        </w:rPr>
      </w:pPr>
    </w:p>
    <w:p w:rsidRPr="001024AA" w:rsidR="00DC64A4" w:rsidP="009D65AF" w:rsidRDefault="00DC64A4" w14:paraId="057DC337" w14:textId="77777777">
      <w:pPr>
        <w:pStyle w:val="main"/>
        <w:spacing w:line="360" w:lineRule="auto"/>
        <w:jc w:val="left"/>
      </w:pPr>
      <w:r w:rsidRPr="00CA180C">
        <w:t>Summary</w:t>
      </w:r>
    </w:p>
    <w:p w:rsidRPr="00DE587B" w:rsidR="00DC64A4" w:rsidP="00963C2B" w:rsidRDefault="003854D9" w14:paraId="44B6D186" w14:textId="3083C250">
      <w:pPr>
        <w:pStyle w:val="standard"/>
        <w:rPr>
          <w:rFonts w:ascii="Book Antiqua" w:hAnsi="Book Antiqua"/>
        </w:rPr>
      </w:pPr>
      <w:r w:rsidRPr="00DE587B">
        <w:rPr>
          <w:rFonts w:ascii="Book Antiqua" w:hAnsi="Book Antiqua"/>
        </w:rPr>
        <w:t>This decision extends the statutory deadline</w:t>
      </w:r>
      <w:r w:rsidR="00E63258">
        <w:rPr>
          <w:rFonts w:ascii="Book Antiqua" w:hAnsi="Book Antiqua"/>
        </w:rPr>
        <w:t>s</w:t>
      </w:r>
      <w:r w:rsidRPr="00DE587B">
        <w:rPr>
          <w:rFonts w:ascii="Book Antiqua" w:hAnsi="Book Antiqua"/>
        </w:rPr>
        <w:t xml:space="preserve"> in this proceeding </w:t>
      </w:r>
      <w:r w:rsidR="00D9252A">
        <w:rPr>
          <w:rFonts w:ascii="Book Antiqua" w:hAnsi="Book Antiqua"/>
        </w:rPr>
        <w:t xml:space="preserve">pursuant </w:t>
      </w:r>
      <w:r w:rsidRPr="00DE587B" w:rsidR="00227856">
        <w:rPr>
          <w:rFonts w:ascii="Book Antiqua" w:hAnsi="Book Antiqua"/>
        </w:rPr>
        <w:t>to Public Utilities (Pub. Util.) Code </w:t>
      </w:r>
      <w:r w:rsidRPr="00DE587B" w:rsidR="00227856">
        <w:rPr>
          <w:rFonts w:ascii="Book Antiqua" w:hAnsi="Book Antiqua" w:cs="BookAntiqua"/>
          <w:szCs w:val="26"/>
        </w:rPr>
        <w:t>§ </w:t>
      </w:r>
      <w:r w:rsidRPr="00DE587B" w:rsidR="00227856">
        <w:rPr>
          <w:rFonts w:ascii="Book Antiqua" w:hAnsi="Book Antiqua"/>
        </w:rPr>
        <w:t xml:space="preserve">8386.4(b)(2) and </w:t>
      </w:r>
      <w:r w:rsidRPr="00DE587B" w:rsidR="00227856">
        <w:rPr>
          <w:rFonts w:ascii="Book Antiqua" w:hAnsi="Book Antiqua"/>
          <w:szCs w:val="26"/>
        </w:rPr>
        <w:t>Pub. Util. Code </w:t>
      </w:r>
      <w:r w:rsidRPr="00DE587B" w:rsidR="00227856">
        <w:rPr>
          <w:rFonts w:ascii="Book Antiqua" w:hAnsi="Book Antiqua" w:cs="BookAntiqua"/>
          <w:szCs w:val="26"/>
        </w:rPr>
        <w:t>§ </w:t>
      </w:r>
      <w:r w:rsidRPr="00DE587B" w:rsidR="00227856">
        <w:rPr>
          <w:rFonts w:ascii="Book Antiqua" w:hAnsi="Book Antiqua"/>
          <w:szCs w:val="26"/>
        </w:rPr>
        <w:t xml:space="preserve">1701.5(a) </w:t>
      </w:r>
      <w:r w:rsidRPr="00DE587B" w:rsidR="00227856">
        <w:rPr>
          <w:rFonts w:ascii="Book Antiqua" w:hAnsi="Book Antiqua"/>
        </w:rPr>
        <w:t xml:space="preserve">to </w:t>
      </w:r>
      <w:r w:rsidR="00D95718">
        <w:rPr>
          <w:rFonts w:ascii="Book Antiqua" w:hAnsi="Book Antiqua"/>
        </w:rPr>
        <w:t>March 31</w:t>
      </w:r>
      <w:r w:rsidRPr="00DE587B" w:rsidR="00227856">
        <w:rPr>
          <w:rFonts w:ascii="Book Antiqua" w:hAnsi="Book Antiqua"/>
        </w:rPr>
        <w:t>, 2024.</w:t>
      </w:r>
    </w:p>
    <w:p w:rsidR="00963C2B" w:rsidP="009E0AA9" w:rsidRDefault="003854D9" w14:paraId="3490D287" w14:textId="77777777">
      <w:pPr>
        <w:pStyle w:val="Heading1"/>
        <w:ind w:left="720" w:hanging="720"/>
      </w:pPr>
      <w:r>
        <w:t>Background</w:t>
      </w:r>
      <w:r w:rsidR="00055C20">
        <w:t xml:space="preserve"> and Justification</w:t>
      </w:r>
    </w:p>
    <w:p w:rsidRPr="00DE587B" w:rsidR="0048585D" w:rsidP="0048585D" w:rsidRDefault="0048585D" w14:paraId="32E95E82" w14:textId="12F631F3">
      <w:pPr>
        <w:pStyle w:val="standard"/>
        <w:rPr>
          <w:rFonts w:ascii="Book Antiqua" w:hAnsi="Book Antiqua"/>
        </w:rPr>
      </w:pPr>
      <w:r w:rsidRPr="00DE587B">
        <w:rPr>
          <w:rFonts w:ascii="Book Antiqua" w:hAnsi="Book Antiqua"/>
        </w:rPr>
        <w:t xml:space="preserve">Public Utilities (Pub. Util.) Code § 8386.4(b)(2) provides that the Commission shall issue a proposed decision within 12 months of the filing date of an application for cost recovery of implementing a wildfire mitigation plan by an electrical corporation, unless the </w:t>
      </w:r>
      <w:r w:rsidR="00E63258">
        <w:rPr>
          <w:rFonts w:ascii="Book Antiqua" w:hAnsi="Book Antiqua"/>
        </w:rPr>
        <w:t>C</w:t>
      </w:r>
      <w:r w:rsidRPr="00DE587B">
        <w:rPr>
          <w:rFonts w:ascii="Book Antiqua" w:hAnsi="Book Antiqua"/>
        </w:rPr>
        <w:t xml:space="preserve">ommission issues an order extending the deadline upon a finding of good cause. The statutory deadline for issuing the proposed decision in this proceeding on that basis is September 23, 2022. </w:t>
      </w:r>
    </w:p>
    <w:p w:rsidRPr="00DE587B" w:rsidR="0048585D" w:rsidP="0048585D" w:rsidRDefault="0048585D" w14:paraId="3DDB766C" w14:textId="77777777">
      <w:pPr>
        <w:pStyle w:val="standard"/>
        <w:rPr>
          <w:rFonts w:ascii="Book Antiqua" w:hAnsi="Book Antiqua"/>
        </w:rPr>
      </w:pPr>
      <w:r w:rsidRPr="00DE587B">
        <w:rPr>
          <w:rFonts w:ascii="Book Antiqua" w:hAnsi="Book Antiqua"/>
        </w:rPr>
        <w:t xml:space="preserve">Pub. Util. Code § 1701.5(a) provides that the Commission shall resolve the issues raised in the scoping memo of a ratesetting proceeding within 18 months of the date the proceeding is initiated, unless the Commission makes a written determination that the deadline cannot be met and issues an order extending that </w:t>
      </w:r>
      <w:r w:rsidRPr="00DE587B">
        <w:rPr>
          <w:rFonts w:ascii="Book Antiqua" w:hAnsi="Book Antiqua"/>
        </w:rPr>
        <w:lastRenderedPageBreak/>
        <w:t xml:space="preserve">deadline. The statutory deadline for resolving this application as a ratesetting proceeding is March 23, 2023. </w:t>
      </w:r>
    </w:p>
    <w:p w:rsidRPr="00DE587B" w:rsidR="0048585D" w:rsidP="0048585D" w:rsidRDefault="0048585D" w14:paraId="275AD4DE" w14:textId="00E82D78">
      <w:pPr>
        <w:pStyle w:val="standard"/>
        <w:rPr>
          <w:rFonts w:ascii="Book Antiqua" w:hAnsi="Book Antiqua"/>
        </w:rPr>
      </w:pPr>
      <w:r w:rsidRPr="00DE587B">
        <w:rPr>
          <w:rFonts w:ascii="Book Antiqua" w:hAnsi="Book Antiqua"/>
        </w:rPr>
        <w:t>On September 16, 2021, Pacific Gas and Electric Company (PG&amp;E or Applicant) filed Application (A.) 21</w:t>
      </w:r>
      <w:r w:rsidR="00D9252A">
        <w:rPr>
          <w:rFonts w:ascii="Book Antiqua" w:hAnsi="Book Antiqua"/>
        </w:rPr>
        <w:t>-</w:t>
      </w:r>
      <w:r w:rsidRPr="00DE587B">
        <w:rPr>
          <w:rFonts w:ascii="Book Antiqua" w:hAnsi="Book Antiqua"/>
        </w:rPr>
        <w:t>09</w:t>
      </w:r>
      <w:r w:rsidR="00D9252A">
        <w:rPr>
          <w:rFonts w:ascii="Book Antiqua" w:hAnsi="Book Antiqua"/>
        </w:rPr>
        <w:t>-</w:t>
      </w:r>
      <w:r w:rsidRPr="00DE587B">
        <w:rPr>
          <w:rFonts w:ascii="Book Antiqua" w:hAnsi="Book Antiqua"/>
        </w:rPr>
        <w:t xml:space="preserve">008 for the recovery of recorded expenditures related to wildfire mitigation, catastrophic events, and other recorded costs. </w:t>
      </w:r>
    </w:p>
    <w:p w:rsidRPr="00DE587B" w:rsidR="0048585D" w:rsidP="0048585D" w:rsidRDefault="0048585D" w14:paraId="62A51500" w14:textId="77777777">
      <w:pPr>
        <w:pStyle w:val="standard"/>
        <w:rPr>
          <w:rFonts w:ascii="Book Antiqua" w:hAnsi="Book Antiqua"/>
        </w:rPr>
      </w:pPr>
      <w:r w:rsidRPr="00DE587B">
        <w:rPr>
          <w:rFonts w:ascii="Book Antiqua" w:hAnsi="Book Antiqua"/>
        </w:rPr>
        <w:t>On October 11, 2021, the Administrative Law Judge (ALJ) issued a ruling setting a telephonic prehearing conference (PHC) and directing the filing of a joint proposed scope and schedule.</w:t>
      </w:r>
    </w:p>
    <w:p w:rsidRPr="00DE587B" w:rsidR="0048585D" w:rsidP="0048585D" w:rsidRDefault="0048585D" w14:paraId="72237E5C" w14:textId="681DA826">
      <w:pPr>
        <w:pStyle w:val="standard"/>
        <w:rPr>
          <w:rFonts w:ascii="Book Antiqua" w:hAnsi="Book Antiqua"/>
        </w:rPr>
      </w:pPr>
      <w:r w:rsidRPr="00DE587B">
        <w:rPr>
          <w:rFonts w:ascii="Book Antiqua" w:hAnsi="Book Antiqua"/>
        </w:rPr>
        <w:t xml:space="preserve">On October 21, 2021, Direct Access Customer Coalition filed a response to the Application, and the Public Advocates Office, </w:t>
      </w:r>
      <w:r w:rsidR="000020B8">
        <w:rPr>
          <w:rFonts w:ascii="Book Antiqua" w:hAnsi="Book Antiqua"/>
        </w:rPr>
        <w:t>T</w:t>
      </w:r>
      <w:r w:rsidRPr="00DE587B">
        <w:rPr>
          <w:rFonts w:ascii="Book Antiqua" w:hAnsi="Book Antiqua"/>
        </w:rPr>
        <w:t>he Utility Reform Network (TURN), and Thomas Del Monte filed protests to the Application.</w:t>
      </w:r>
    </w:p>
    <w:p w:rsidRPr="00DE587B" w:rsidR="0048585D" w:rsidP="0048585D" w:rsidRDefault="0048585D" w14:paraId="56B375B3" w14:textId="71244A02">
      <w:pPr>
        <w:pStyle w:val="standard"/>
        <w:rPr>
          <w:rFonts w:ascii="Book Antiqua" w:hAnsi="Book Antiqua"/>
        </w:rPr>
      </w:pPr>
      <w:r w:rsidRPr="00DE587B">
        <w:rPr>
          <w:rFonts w:ascii="Book Antiqua" w:hAnsi="Book Antiqua"/>
        </w:rPr>
        <w:t>On October 28, 2021, PG&amp;E, the Public Advocates Office, TURN, Direct Access Customer Coalition, and Thomas Del Monte filed a Joint Prehearing Statement.</w:t>
      </w:r>
    </w:p>
    <w:p w:rsidRPr="00DE587B" w:rsidR="0048585D" w:rsidP="0048585D" w:rsidRDefault="0048585D" w14:paraId="3DB72B9E" w14:textId="77777777">
      <w:pPr>
        <w:pStyle w:val="standard"/>
        <w:rPr>
          <w:rFonts w:ascii="Book Antiqua" w:hAnsi="Book Antiqua"/>
        </w:rPr>
      </w:pPr>
      <w:r w:rsidRPr="00DE587B">
        <w:rPr>
          <w:rFonts w:ascii="Book Antiqua" w:hAnsi="Book Antiqua"/>
        </w:rPr>
        <w:t xml:space="preserve">On October 29, 2021, the Commission held a telephonic PHC to discuss the issues of law and fact and to determine the need for hearing and schedule for resolving the matter. </w:t>
      </w:r>
    </w:p>
    <w:p w:rsidRPr="00DE587B" w:rsidR="0048585D" w:rsidP="0048585D" w:rsidRDefault="0048585D" w14:paraId="37113333" w14:textId="77777777">
      <w:pPr>
        <w:pStyle w:val="standard"/>
        <w:rPr>
          <w:rFonts w:ascii="Book Antiqua" w:hAnsi="Book Antiqua"/>
        </w:rPr>
      </w:pPr>
      <w:r w:rsidRPr="00DE587B">
        <w:rPr>
          <w:rFonts w:ascii="Book Antiqua" w:hAnsi="Book Antiqua"/>
        </w:rPr>
        <w:t>On November 1, 2021, PG&amp;E filed its Reply to Protests.</w:t>
      </w:r>
    </w:p>
    <w:p w:rsidRPr="00DE587B" w:rsidR="0048585D" w:rsidP="0048585D" w:rsidRDefault="0048585D" w14:paraId="29E60D76" w14:textId="21AECBA8">
      <w:pPr>
        <w:pStyle w:val="standard"/>
        <w:rPr>
          <w:rFonts w:ascii="Book Antiqua" w:hAnsi="Book Antiqua"/>
        </w:rPr>
      </w:pPr>
      <w:r w:rsidRPr="00DE587B">
        <w:rPr>
          <w:rFonts w:ascii="Book Antiqua" w:hAnsi="Book Antiqua"/>
        </w:rPr>
        <w:t>On November 18, 2021, the assigned Commissioner issued the Scoping Memo and Ruling (Scoping Ruling).</w:t>
      </w:r>
      <w:r w:rsidR="00B84CBA">
        <w:rPr>
          <w:rFonts w:ascii="Book Antiqua" w:hAnsi="Book Antiqua"/>
        </w:rPr>
        <w:t xml:space="preserve"> </w:t>
      </w:r>
      <w:r w:rsidR="00B84CBA">
        <w:t>Also on November 18, 2021, the ALJ issued a ruling granting the motion for party status of William B. Abrams.</w:t>
      </w:r>
    </w:p>
    <w:p w:rsidRPr="00DE587B" w:rsidR="0048585D" w:rsidP="0048585D" w:rsidRDefault="00D01B57" w14:paraId="799F2ADA" w14:textId="77777777">
      <w:pPr>
        <w:pStyle w:val="standard"/>
        <w:rPr>
          <w:rFonts w:ascii="Book Antiqua" w:hAnsi="Book Antiqua"/>
        </w:rPr>
      </w:pPr>
      <w:r w:rsidRPr="00DE587B">
        <w:rPr>
          <w:rFonts w:ascii="Book Antiqua" w:hAnsi="Book Antiqua"/>
        </w:rPr>
        <w:t xml:space="preserve">On May 10, 2022, the proceeding was reassigned to Commissioner Alice Reynolds. </w:t>
      </w:r>
      <w:r w:rsidRPr="00DE587B" w:rsidR="0048585D">
        <w:rPr>
          <w:rFonts w:ascii="Book Antiqua" w:hAnsi="Book Antiqua"/>
        </w:rPr>
        <w:t xml:space="preserve">On July 25 and 26, 2022, the Commission held evidentiary hearings. </w:t>
      </w:r>
    </w:p>
    <w:p w:rsidRPr="00DE587B" w:rsidR="0048585D" w:rsidP="0048585D" w:rsidRDefault="0048585D" w14:paraId="6A3BD5DE" w14:textId="6522A602">
      <w:pPr>
        <w:pStyle w:val="standard"/>
        <w:rPr>
          <w:rFonts w:ascii="Book Antiqua" w:hAnsi="Book Antiqua"/>
        </w:rPr>
      </w:pPr>
      <w:r w:rsidRPr="00DE587B">
        <w:rPr>
          <w:rFonts w:ascii="Book Antiqua" w:hAnsi="Book Antiqua"/>
        </w:rPr>
        <w:lastRenderedPageBreak/>
        <w:t xml:space="preserve">On August 26, 2022, PG&amp;E, the Public Advocates Office, </w:t>
      </w:r>
      <w:r w:rsidR="001A5193">
        <w:rPr>
          <w:rFonts w:ascii="Book Antiqua" w:hAnsi="Book Antiqua"/>
        </w:rPr>
        <w:t xml:space="preserve">and </w:t>
      </w:r>
      <w:r w:rsidRPr="00DE587B">
        <w:rPr>
          <w:rFonts w:ascii="Book Antiqua" w:hAnsi="Book Antiqua"/>
        </w:rPr>
        <w:t>TURN jointly filed a Joint Motion to Extend Settlement Deadline to September 16, 2022. On August 31, 2022, the ALJ granted this motion.</w:t>
      </w:r>
    </w:p>
    <w:p w:rsidRPr="00DE587B" w:rsidR="0048585D" w:rsidP="0048585D" w:rsidRDefault="0048585D" w14:paraId="14889C6A" w14:textId="6974B24D">
      <w:pPr>
        <w:pStyle w:val="standard"/>
        <w:rPr>
          <w:rFonts w:ascii="Book Antiqua" w:hAnsi="Book Antiqua"/>
        </w:rPr>
      </w:pPr>
      <w:r w:rsidRPr="00DE587B">
        <w:rPr>
          <w:rFonts w:ascii="Book Antiqua" w:hAnsi="Book Antiqua"/>
        </w:rPr>
        <w:t>On September 16, 202</w:t>
      </w:r>
      <w:r w:rsidR="00441D74">
        <w:rPr>
          <w:rFonts w:ascii="Book Antiqua" w:hAnsi="Book Antiqua"/>
        </w:rPr>
        <w:t>2</w:t>
      </w:r>
      <w:r w:rsidRPr="00DE587B">
        <w:rPr>
          <w:rFonts w:ascii="Book Antiqua" w:hAnsi="Book Antiqua"/>
        </w:rPr>
        <w:t xml:space="preserve">, parties filed opening briefs. </w:t>
      </w:r>
    </w:p>
    <w:p w:rsidRPr="00DE587B" w:rsidR="0048585D" w:rsidP="0048585D" w:rsidRDefault="0048585D" w14:paraId="57E53E29" w14:textId="3F8972AF">
      <w:pPr>
        <w:pStyle w:val="standard"/>
        <w:rPr>
          <w:rFonts w:ascii="Book Antiqua" w:hAnsi="Book Antiqua"/>
        </w:rPr>
      </w:pPr>
      <w:r w:rsidRPr="00DE587B">
        <w:rPr>
          <w:rFonts w:ascii="Book Antiqua" w:hAnsi="Book Antiqua"/>
        </w:rPr>
        <w:t>On September 16, 202</w:t>
      </w:r>
      <w:r w:rsidR="00441D74">
        <w:rPr>
          <w:rFonts w:ascii="Book Antiqua" w:hAnsi="Book Antiqua"/>
        </w:rPr>
        <w:t>2</w:t>
      </w:r>
      <w:r w:rsidRPr="00DE587B">
        <w:rPr>
          <w:rFonts w:ascii="Book Antiqua" w:hAnsi="Book Antiqua"/>
        </w:rPr>
        <w:t xml:space="preserve">, PG&amp;E and the Public Advocates Office jointly filed a motion to extend the settlement deadline from September 16, 2022 to October 28, 2022. On November 17, 2022, the ALJ extended the deadline to December 2, 2022. On December 2, 2022, PG&amp;E and the Public Advocates Office filed a Joint Motion to extend the Settlement deadline from December 2, 2022 to January 6, 2023. </w:t>
      </w:r>
      <w:r w:rsidR="00441D74">
        <w:t>On December 15, 2022, the Acting Chief ALJ</w:t>
      </w:r>
      <w:r w:rsidR="000D206A">
        <w:t xml:space="preserve"> </w:t>
      </w:r>
      <w:r w:rsidR="00441D74">
        <w:t>granted that motion.</w:t>
      </w:r>
    </w:p>
    <w:p w:rsidRPr="00DE587B" w:rsidR="0048585D" w:rsidP="0048585D" w:rsidRDefault="0048585D" w14:paraId="108E98D1" w14:textId="77777777">
      <w:pPr>
        <w:pStyle w:val="standard"/>
        <w:rPr>
          <w:rFonts w:ascii="Book Antiqua" w:hAnsi="Book Antiqua"/>
        </w:rPr>
      </w:pPr>
      <w:r w:rsidRPr="00DE587B">
        <w:rPr>
          <w:rFonts w:ascii="Book Antiqua" w:hAnsi="Book Antiqua"/>
        </w:rPr>
        <w:t>On January 18, 2023, PG&amp;E, the Public Advocates Office, and TURN filed a Joint Motion for Approval of Settlement Agreement</w:t>
      </w:r>
      <w:r w:rsidRPr="00DE587B" w:rsidR="00D01B57">
        <w:rPr>
          <w:rFonts w:ascii="Book Antiqua" w:hAnsi="Book Antiqua"/>
        </w:rPr>
        <w:t xml:space="preserve"> related to eight of the nine accounts that are the subject of this application. </w:t>
      </w:r>
    </w:p>
    <w:p w:rsidRPr="00DE587B" w:rsidR="00A00358" w:rsidP="0048585D" w:rsidRDefault="00A00358" w14:paraId="49894F4F" w14:textId="77777777">
      <w:pPr>
        <w:pStyle w:val="standard"/>
        <w:rPr>
          <w:rFonts w:ascii="Book Antiqua" w:hAnsi="Book Antiqua"/>
        </w:rPr>
      </w:pPr>
      <w:r w:rsidRPr="00DE587B">
        <w:rPr>
          <w:rFonts w:ascii="Book Antiqua" w:hAnsi="Book Antiqua"/>
        </w:rPr>
        <w:t xml:space="preserve">On April 7, 2023, the Commission issued D.23-07-011 extending the statutory deadline for the issuance of a proposed decision pursuant to Pub. Util. Code § 8386.4(b)(2) and Pub. Util. Code § 1701.5(a) to December 23, 2023. </w:t>
      </w:r>
    </w:p>
    <w:p w:rsidRPr="00DE587B" w:rsidR="00D01B57" w:rsidP="0048585D" w:rsidRDefault="00D01B57" w14:paraId="33B46B2F" w14:textId="7F441848">
      <w:pPr>
        <w:pStyle w:val="standard"/>
        <w:rPr>
          <w:rFonts w:ascii="Book Antiqua" w:hAnsi="Book Antiqua"/>
        </w:rPr>
      </w:pPr>
      <w:r w:rsidRPr="00DE587B">
        <w:rPr>
          <w:rFonts w:ascii="Book Antiqua" w:hAnsi="Book Antiqua"/>
        </w:rPr>
        <w:t>On May 3, 2023, this proceeding was reassigned to ALJ Camille Watts-Zagha. On August 18, 2023, the Commission issued D.23-08-027 approving the partial settlement agreement. On October 17, 2023, the assigned ALJ issued a Ruling Seeking Responses</w:t>
      </w:r>
      <w:r w:rsidRPr="00DE587B" w:rsidR="00A00358">
        <w:rPr>
          <w:rFonts w:ascii="Book Antiqua" w:hAnsi="Book Antiqua"/>
        </w:rPr>
        <w:t xml:space="preserve">, with a due date of October 27, 2023 for the responses. </w:t>
      </w:r>
    </w:p>
    <w:p w:rsidRPr="00DE587B" w:rsidR="004E66D3" w:rsidP="0048585D" w:rsidRDefault="0048585D" w14:paraId="2B80A99D" w14:textId="49C24656">
      <w:pPr>
        <w:pStyle w:val="standard"/>
        <w:rPr>
          <w:rFonts w:ascii="Book Antiqua" w:hAnsi="Book Antiqua"/>
        </w:rPr>
      </w:pPr>
      <w:r w:rsidRPr="00DE587B">
        <w:rPr>
          <w:rFonts w:ascii="Book Antiqua" w:hAnsi="Book Antiqua"/>
        </w:rPr>
        <w:t xml:space="preserve">In order to allow the Commission to conduct </w:t>
      </w:r>
      <w:r w:rsidRPr="00DE587B" w:rsidR="00A00358">
        <w:rPr>
          <w:rFonts w:ascii="Book Antiqua" w:hAnsi="Book Antiqua"/>
        </w:rPr>
        <w:t>the remaining procedural activities and issue a decision resolving the costs in the ninth and final account in this proceeding</w:t>
      </w:r>
      <w:r w:rsidRPr="00DE587B">
        <w:rPr>
          <w:rFonts w:ascii="Book Antiqua" w:hAnsi="Book Antiqua"/>
        </w:rPr>
        <w:t xml:space="preserve">, an extension of the statutory deadline pursuant to Pub. Util. Code § 8386.4(b)(2) and Pub. Util. Code § 1701.5(a) to </w:t>
      </w:r>
      <w:r w:rsidR="00D95718">
        <w:rPr>
          <w:rFonts w:ascii="Book Antiqua" w:hAnsi="Book Antiqua"/>
        </w:rPr>
        <w:t>March 31</w:t>
      </w:r>
      <w:r w:rsidRPr="00DE587B">
        <w:rPr>
          <w:rFonts w:ascii="Book Antiqua" w:hAnsi="Book Antiqua"/>
        </w:rPr>
        <w:t>, 202</w:t>
      </w:r>
      <w:r w:rsidRPr="00DE587B" w:rsidR="00A00358">
        <w:rPr>
          <w:rFonts w:ascii="Book Antiqua" w:hAnsi="Book Antiqua"/>
        </w:rPr>
        <w:t>4</w:t>
      </w:r>
      <w:r w:rsidRPr="00DE587B">
        <w:rPr>
          <w:rFonts w:ascii="Book Antiqua" w:hAnsi="Book Antiqua"/>
        </w:rPr>
        <w:t>, is appropriate.</w:t>
      </w:r>
    </w:p>
    <w:p w:rsidRPr="00CA180C" w:rsidR="00DC64A4" w:rsidP="009E0AA9" w:rsidRDefault="003854D9" w14:paraId="01F7C714" w14:textId="77777777">
      <w:pPr>
        <w:pStyle w:val="Heading1"/>
        <w:ind w:left="720" w:hanging="720"/>
      </w:pPr>
      <w:r>
        <w:lastRenderedPageBreak/>
        <w:t>Waiver of Comment Period</w:t>
      </w:r>
    </w:p>
    <w:p w:rsidRPr="00DD5BB0" w:rsidR="003854D9" w:rsidP="003854D9" w:rsidRDefault="003854D9" w14:paraId="199CF1FB" w14:textId="77777777">
      <w:pPr>
        <w:pStyle w:val="standard"/>
        <w:rPr>
          <w:rFonts w:ascii="Book Antiqua" w:hAnsi="Book Antiqua"/>
        </w:rPr>
      </w:pPr>
      <w:r w:rsidRPr="00DD5BB0">
        <w:rPr>
          <w:rFonts w:ascii="Book Antiqua" w:hAnsi="Book Antiqua"/>
        </w:rPr>
        <w:t xml:space="preserve">Under Rule 14.6(c)(4) of the Commission’s Rules of Practice and Procedure, the Commission may waive the otherwise applicable 30-day period for public review and comment on a decision that extends </w:t>
      </w:r>
      <w:r w:rsidR="00A35BD7">
        <w:rPr>
          <w:rFonts w:ascii="Book Antiqua" w:hAnsi="Book Antiqua"/>
        </w:rPr>
        <w:t xml:space="preserve">the deadline for resolving ratesetting proceedings pursuant to Pub. Util. Code </w:t>
      </w:r>
      <w:r w:rsidRPr="00DD5BB0" w:rsidR="00A35BD7">
        <w:rPr>
          <w:rFonts w:ascii="Book Antiqua" w:hAnsi="Book Antiqua"/>
        </w:rPr>
        <w:t xml:space="preserve">§ </w:t>
      </w:r>
      <w:r w:rsidR="00A35BD7">
        <w:rPr>
          <w:rFonts w:ascii="Book Antiqua" w:hAnsi="Book Antiqua"/>
        </w:rPr>
        <w:t>1701.5</w:t>
      </w:r>
      <w:r w:rsidRPr="00DD5BB0">
        <w:rPr>
          <w:rFonts w:ascii="Book Antiqua" w:hAnsi="Book Antiqua"/>
        </w:rPr>
        <w:t>.  Under the circumstances of this proceeding, it is appropriate to waive the 30-day period for public review and comment.</w:t>
      </w:r>
    </w:p>
    <w:p w:rsidRPr="00CA180C" w:rsidR="006D6900" w:rsidP="009E0AA9" w:rsidRDefault="003854D9" w14:paraId="34FBE801" w14:textId="77777777">
      <w:pPr>
        <w:pStyle w:val="Heading1"/>
        <w:ind w:left="720" w:hanging="720"/>
      </w:pPr>
      <w:bookmarkStart w:name="_Hlk34241689" w:id="1"/>
      <w:r>
        <w:t>Assignment of Proceeding</w:t>
      </w:r>
    </w:p>
    <w:p w:rsidRPr="00A80752" w:rsidR="006D6900" w:rsidP="006D6900" w:rsidRDefault="00A00358" w14:paraId="3F003339" w14:textId="77777777">
      <w:pPr>
        <w:pStyle w:val="standard"/>
        <w:rPr>
          <w:rFonts w:ascii="Book Antiqua" w:hAnsi="Book Antiqua"/>
        </w:rPr>
      </w:pPr>
      <w:r>
        <w:rPr>
          <w:rFonts w:ascii="Book Antiqua" w:hAnsi="Book Antiqua"/>
        </w:rPr>
        <w:t xml:space="preserve">Alice Reynolds </w:t>
      </w:r>
      <w:r w:rsidR="003854D9">
        <w:rPr>
          <w:rFonts w:ascii="Book Antiqua" w:hAnsi="Book Antiqua"/>
        </w:rPr>
        <w:t xml:space="preserve">is the assigned Commissioner and </w:t>
      </w:r>
      <w:r>
        <w:rPr>
          <w:rFonts w:ascii="Book Antiqua" w:hAnsi="Book Antiqua"/>
        </w:rPr>
        <w:t xml:space="preserve">Camille Watts-Zagha </w:t>
      </w:r>
      <w:r w:rsidR="003854D9">
        <w:rPr>
          <w:rFonts w:ascii="Book Antiqua" w:hAnsi="Book Antiqua"/>
        </w:rPr>
        <w:t>is the assigned Administrative Law Judge and the presiding officer in this proceeding</w:t>
      </w:r>
      <w:r w:rsidR="00A16167">
        <w:rPr>
          <w:rFonts w:ascii="Book Antiqua" w:hAnsi="Book Antiqua"/>
        </w:rPr>
        <w:t>.</w:t>
      </w:r>
    </w:p>
    <w:bookmarkEnd w:id="1"/>
    <w:p w:rsidRPr="003854D9" w:rsidR="006D6900" w:rsidP="003854D9" w:rsidRDefault="003854D9" w14:paraId="05B9E8C7" w14:textId="77777777">
      <w:pPr>
        <w:pStyle w:val="Heading1"/>
        <w:numPr>
          <w:ilvl w:val="0"/>
          <w:numId w:val="0"/>
        </w:numPr>
        <w:ind w:left="475" w:hanging="475"/>
      </w:pPr>
      <w:r>
        <w:t xml:space="preserve">Findings of Fact </w:t>
      </w:r>
    </w:p>
    <w:p w:rsidR="0070712E" w:rsidP="00BE6381" w:rsidRDefault="00F60A93" w14:paraId="4823D051" w14:textId="1E541940">
      <w:pPr>
        <w:pStyle w:val="num1"/>
        <w:rPr>
          <w:rFonts w:ascii="Book Antiqua" w:hAnsi="Book Antiqua"/>
        </w:rPr>
      </w:pPr>
      <w:r>
        <w:rPr>
          <w:rFonts w:ascii="Book Antiqua" w:hAnsi="Book Antiqua"/>
        </w:rPr>
        <w:t xml:space="preserve">The current statutory deadline for resolving </w:t>
      </w:r>
      <w:r w:rsidR="00A00358">
        <w:rPr>
          <w:rFonts w:ascii="Book Antiqua" w:hAnsi="Book Antiqua"/>
        </w:rPr>
        <w:t>A.21-09-008</w:t>
      </w:r>
      <w:r>
        <w:rPr>
          <w:rFonts w:ascii="Book Antiqua" w:hAnsi="Book Antiqua"/>
        </w:rPr>
        <w:t xml:space="preserve"> is</w:t>
      </w:r>
      <w:r w:rsidR="0070712E">
        <w:rPr>
          <w:rFonts w:ascii="Book Antiqua" w:hAnsi="Book Antiqua"/>
        </w:rPr>
        <w:t xml:space="preserve"> </w:t>
      </w:r>
      <w:r w:rsidR="00A00358">
        <w:rPr>
          <w:rFonts w:ascii="Book Antiqua" w:hAnsi="Book Antiqua"/>
        </w:rPr>
        <w:t>December</w:t>
      </w:r>
      <w:r w:rsidR="003C2119">
        <w:rPr>
          <w:rFonts w:ascii="Book Antiqua" w:hAnsi="Book Antiqua"/>
        </w:rPr>
        <w:t> </w:t>
      </w:r>
      <w:r w:rsidR="00A00358">
        <w:rPr>
          <w:rFonts w:ascii="Book Antiqua" w:hAnsi="Book Antiqua"/>
        </w:rPr>
        <w:t>23,</w:t>
      </w:r>
      <w:r w:rsidR="003C2119">
        <w:rPr>
          <w:rFonts w:ascii="Book Antiqua" w:hAnsi="Book Antiqua"/>
        </w:rPr>
        <w:t> </w:t>
      </w:r>
      <w:r w:rsidR="00A00358">
        <w:rPr>
          <w:rFonts w:ascii="Book Antiqua" w:hAnsi="Book Antiqua"/>
        </w:rPr>
        <w:t>2023</w:t>
      </w:r>
      <w:r w:rsidR="0070712E">
        <w:rPr>
          <w:rFonts w:ascii="Book Antiqua" w:hAnsi="Book Antiqua"/>
        </w:rPr>
        <w:t>.</w:t>
      </w:r>
    </w:p>
    <w:p w:rsidR="0070712E" w:rsidP="00BE6381" w:rsidRDefault="00A16167" w14:paraId="20FB8BD8" w14:textId="77777777">
      <w:pPr>
        <w:pStyle w:val="num1"/>
        <w:rPr>
          <w:rFonts w:ascii="Book Antiqua" w:hAnsi="Book Antiqua"/>
        </w:rPr>
      </w:pPr>
      <w:r>
        <w:rPr>
          <w:rFonts w:ascii="Book Antiqua" w:hAnsi="Book Antiqua"/>
        </w:rPr>
        <w:t xml:space="preserve">A.21-09-008 </w:t>
      </w:r>
      <w:r w:rsidR="0070712E">
        <w:rPr>
          <w:rFonts w:ascii="Book Antiqua" w:hAnsi="Book Antiqua"/>
        </w:rPr>
        <w:t xml:space="preserve">cannot be completed by </w:t>
      </w:r>
      <w:r>
        <w:rPr>
          <w:rFonts w:ascii="Book Antiqua" w:hAnsi="Book Antiqua"/>
        </w:rPr>
        <w:t>December 23, 2023.</w:t>
      </w:r>
    </w:p>
    <w:p w:rsidRPr="003829E4" w:rsidR="0070712E" w:rsidP="003829E4" w:rsidRDefault="0070712E" w14:paraId="6D309DD4" w14:textId="3D1131D3">
      <w:pPr>
        <w:pStyle w:val="num1"/>
        <w:rPr>
          <w:rFonts w:ascii="Book Antiqua" w:hAnsi="Book Antiqua"/>
        </w:rPr>
      </w:pPr>
      <w:r>
        <w:rPr>
          <w:rFonts w:ascii="Book Antiqua" w:hAnsi="Book Antiqua"/>
        </w:rPr>
        <w:t xml:space="preserve">An extension of the statutory deadline until </w:t>
      </w:r>
      <w:r w:rsidR="00D95718">
        <w:rPr>
          <w:rFonts w:ascii="Book Antiqua" w:hAnsi="Book Antiqua"/>
        </w:rPr>
        <w:t>March 31</w:t>
      </w:r>
      <w:r w:rsidR="00A16167">
        <w:rPr>
          <w:rFonts w:ascii="Book Antiqua" w:hAnsi="Book Antiqua"/>
        </w:rPr>
        <w:t xml:space="preserve">, 2024 </w:t>
      </w:r>
      <w:r>
        <w:rPr>
          <w:rFonts w:ascii="Book Antiqua" w:hAnsi="Book Antiqua"/>
        </w:rPr>
        <w:t xml:space="preserve">is necessary to allow adequate time to complete this </w:t>
      </w:r>
      <w:r w:rsidR="00F60A93">
        <w:rPr>
          <w:rFonts w:ascii="Book Antiqua" w:hAnsi="Book Antiqua"/>
        </w:rPr>
        <w:t>proceeding</w:t>
      </w:r>
      <w:r w:rsidRPr="00A80752" w:rsidR="00BE6381">
        <w:rPr>
          <w:rFonts w:ascii="Book Antiqua" w:hAnsi="Book Antiqua"/>
        </w:rPr>
        <w:t>.</w:t>
      </w:r>
      <w:bookmarkStart w:name="_Hlk10631608" w:id="2"/>
    </w:p>
    <w:p w:rsidR="00904595" w:rsidP="00904595" w:rsidRDefault="00904595" w14:paraId="7D23CF57" w14:textId="77777777">
      <w:pPr>
        <w:keepNext/>
        <w:tabs>
          <w:tab w:val="left" w:pos="6973"/>
        </w:tabs>
        <w:spacing w:before="120" w:line="360" w:lineRule="auto"/>
        <w:rPr>
          <w:rFonts w:ascii="Helvetica" w:hAnsi="Helvetica"/>
          <w:b/>
          <w:kern w:val="28"/>
        </w:rPr>
      </w:pPr>
      <w:r>
        <w:rPr>
          <w:rFonts w:ascii="Helvetica" w:hAnsi="Helvetica"/>
          <w:b/>
          <w:kern w:val="28"/>
        </w:rPr>
        <w:t>Conclusion of Law</w:t>
      </w:r>
    </w:p>
    <w:bookmarkEnd w:id="2"/>
    <w:p w:rsidRPr="00DE587B" w:rsidR="003829E4" w:rsidP="009E0AA9" w:rsidRDefault="00904595" w14:paraId="61D62A39" w14:textId="57B14AA9">
      <w:pPr>
        <w:pStyle w:val="standard"/>
        <w:rPr>
          <w:rFonts w:ascii="Book Antiqua" w:hAnsi="Book Antiqua"/>
        </w:rPr>
      </w:pPr>
      <w:r w:rsidRPr="00DE587B">
        <w:rPr>
          <w:rFonts w:ascii="Book Antiqua" w:hAnsi="Book Antiqua"/>
        </w:rPr>
        <w:t xml:space="preserve">Pursuant to the authority granted to the Commission under </w:t>
      </w:r>
      <w:r w:rsidRPr="00DE587B" w:rsidR="00F32AC1">
        <w:rPr>
          <w:rFonts w:ascii="Book Antiqua" w:hAnsi="Book Antiqua" w:eastAsia="Calibri"/>
        </w:rPr>
        <w:t>Pub. Util. Code § 8386.4(b)(2)</w:t>
      </w:r>
      <w:r w:rsidR="000D206A">
        <w:rPr>
          <w:rFonts w:ascii="Book Antiqua" w:hAnsi="Book Antiqua" w:eastAsia="Calibri"/>
        </w:rPr>
        <w:t xml:space="preserve"> and</w:t>
      </w:r>
      <w:r w:rsidRPr="00DE587B" w:rsidR="00A35BD7">
        <w:rPr>
          <w:rFonts w:ascii="Book Antiqua" w:hAnsi="Book Antiqua"/>
        </w:rPr>
        <w:t xml:space="preserve"> Pub. Util. Code § 1701.5(a)</w:t>
      </w:r>
      <w:r w:rsidRPr="00DE587B">
        <w:rPr>
          <w:rFonts w:ascii="Book Antiqua" w:hAnsi="Book Antiqua"/>
        </w:rPr>
        <w:t xml:space="preserve">, the statutory deadline should be extended to </w:t>
      </w:r>
      <w:r w:rsidR="00D95718">
        <w:rPr>
          <w:rFonts w:ascii="Book Antiqua" w:hAnsi="Book Antiqua"/>
        </w:rPr>
        <w:t>March 31</w:t>
      </w:r>
      <w:r w:rsidRPr="00DE587B" w:rsidR="00F32AC1">
        <w:rPr>
          <w:rFonts w:ascii="Book Antiqua" w:hAnsi="Book Antiqua"/>
        </w:rPr>
        <w:t>, 2024.</w:t>
      </w:r>
    </w:p>
    <w:p w:rsidRPr="00DD5BB0" w:rsidR="00904595" w:rsidP="00904595" w:rsidRDefault="00904595" w14:paraId="701EC304" w14:textId="478A1B86">
      <w:pPr>
        <w:pStyle w:val="standard"/>
        <w:keepNext/>
        <w:keepLines/>
        <w:spacing w:before="120"/>
        <w:rPr>
          <w:rFonts w:ascii="Book Antiqua" w:hAnsi="Book Antiqua"/>
        </w:rPr>
      </w:pPr>
      <w:r w:rsidRPr="00DD5BB0">
        <w:rPr>
          <w:rFonts w:ascii="Book Antiqua" w:hAnsi="Book Antiqua"/>
          <w:b/>
        </w:rPr>
        <w:lastRenderedPageBreak/>
        <w:t>IT IS ORDERED</w:t>
      </w:r>
      <w:r w:rsidRPr="00DD5BB0">
        <w:rPr>
          <w:rFonts w:ascii="Book Antiqua" w:hAnsi="Book Antiqua"/>
        </w:rPr>
        <w:t xml:space="preserve"> that the statutory deadline for completion of this proceeding is extended until </w:t>
      </w:r>
      <w:r w:rsidRPr="00DD5BB0">
        <w:rPr>
          <w:rFonts w:ascii="Book Antiqua" w:hAnsi="Book Antiqua"/>
        </w:rPr>
        <w:softHyphen/>
      </w:r>
      <w:r w:rsidRPr="00DD5BB0">
        <w:rPr>
          <w:rFonts w:ascii="Book Antiqua" w:hAnsi="Book Antiqua"/>
        </w:rPr>
        <w:softHyphen/>
      </w:r>
      <w:r w:rsidRPr="00DD5BB0">
        <w:rPr>
          <w:rFonts w:ascii="Book Antiqua" w:hAnsi="Book Antiqua"/>
        </w:rPr>
        <w:softHyphen/>
      </w:r>
      <w:r w:rsidR="00D95718">
        <w:rPr>
          <w:rFonts w:ascii="Book Antiqua" w:hAnsi="Book Antiqua"/>
        </w:rPr>
        <w:t>March 31</w:t>
      </w:r>
      <w:r w:rsidR="00F32AC1">
        <w:rPr>
          <w:rFonts w:ascii="Book Antiqua" w:hAnsi="Book Antiqua"/>
        </w:rPr>
        <w:t>, 2024.</w:t>
      </w:r>
    </w:p>
    <w:p w:rsidRPr="00DD5BB0" w:rsidR="00904595" w:rsidP="00904595" w:rsidRDefault="00904595" w14:paraId="672C6963" w14:textId="77777777">
      <w:pPr>
        <w:pStyle w:val="standard"/>
        <w:keepNext/>
        <w:keepLines/>
        <w:rPr>
          <w:rFonts w:ascii="Book Antiqua" w:hAnsi="Book Antiqua"/>
        </w:rPr>
      </w:pPr>
      <w:r w:rsidRPr="00DD5BB0">
        <w:rPr>
          <w:rFonts w:ascii="Book Antiqua" w:hAnsi="Book Antiqua"/>
        </w:rPr>
        <w:t>This order is effective today.</w:t>
      </w:r>
    </w:p>
    <w:p w:rsidR="00904595" w:rsidP="00904595" w:rsidRDefault="00904595" w14:paraId="2DD3DB66" w14:textId="5DF3F643">
      <w:pPr>
        <w:pStyle w:val="standard"/>
        <w:keepNext/>
        <w:keepLines/>
        <w:rPr>
          <w:rFonts w:ascii="Book Antiqua" w:hAnsi="Book Antiqua"/>
          <w:szCs w:val="26"/>
        </w:rPr>
      </w:pPr>
      <w:r w:rsidRPr="00DD5BB0">
        <w:rPr>
          <w:rFonts w:ascii="Book Antiqua" w:hAnsi="Book Antiqua"/>
          <w:szCs w:val="26"/>
        </w:rPr>
        <w:t xml:space="preserve">Dated </w:t>
      </w:r>
      <w:r w:rsidR="00E41989">
        <w:rPr>
          <w:rFonts w:ascii="Book Antiqua" w:hAnsi="Book Antiqua"/>
          <w:szCs w:val="26"/>
        </w:rPr>
        <w:t xml:space="preserve">November 30, </w:t>
      </w:r>
      <w:r w:rsidRPr="00DD5BB0">
        <w:rPr>
          <w:rFonts w:ascii="Book Antiqua" w:hAnsi="Book Antiqua"/>
          <w:szCs w:val="26"/>
        </w:rPr>
        <w:t>202</w:t>
      </w:r>
      <w:r w:rsidR="00F32AC1">
        <w:rPr>
          <w:rFonts w:ascii="Book Antiqua" w:hAnsi="Book Antiqua"/>
          <w:szCs w:val="26"/>
        </w:rPr>
        <w:t>3</w:t>
      </w:r>
      <w:r w:rsidRPr="00DD5BB0">
        <w:rPr>
          <w:rFonts w:ascii="Book Antiqua" w:hAnsi="Book Antiqua"/>
          <w:szCs w:val="26"/>
        </w:rPr>
        <w:t xml:space="preserve">, at </w:t>
      </w:r>
      <w:r w:rsidR="00BB0CB2">
        <w:rPr>
          <w:rFonts w:ascii="Book Antiqua" w:hAnsi="Book Antiqua"/>
          <w:szCs w:val="26"/>
        </w:rPr>
        <w:t>Sacramento</w:t>
      </w:r>
      <w:r w:rsidRPr="00DD5BB0">
        <w:rPr>
          <w:rFonts w:ascii="Book Antiqua" w:hAnsi="Book Antiqua"/>
          <w:szCs w:val="26"/>
        </w:rPr>
        <w:t>, California.</w:t>
      </w:r>
    </w:p>
    <w:p w:rsidR="00E41989" w:rsidP="00904595" w:rsidRDefault="00E41989" w14:paraId="1BD819E2" w14:textId="77777777">
      <w:pPr>
        <w:pStyle w:val="standard"/>
        <w:keepNext/>
        <w:keepLines/>
        <w:rPr>
          <w:rFonts w:ascii="Book Antiqua" w:hAnsi="Book Antiqua"/>
          <w:szCs w:val="26"/>
        </w:rPr>
      </w:pPr>
    </w:p>
    <w:p w:rsidR="00E41989" w:rsidP="00E41989" w:rsidRDefault="00E41989" w14:paraId="4FCB6EF1" w14:textId="77777777">
      <w:pPr>
        <w:autoSpaceDE w:val="0"/>
        <w:autoSpaceDN w:val="0"/>
        <w:adjustRightInd w:val="0"/>
        <w:ind w:left="4320"/>
        <w:jc w:val="both"/>
        <w:rPr>
          <w:rFonts w:ascii="Book Antiqua" w:hAnsi="Book Antiqua"/>
        </w:rPr>
      </w:pPr>
      <w:r>
        <w:rPr>
          <w:rFonts w:ascii="Book Antiqua" w:hAnsi="Book Antiqua"/>
        </w:rPr>
        <w:t>ALICE REYNOLDS</w:t>
      </w:r>
    </w:p>
    <w:p w:rsidR="00E41989" w:rsidP="00E41989" w:rsidRDefault="00E41989" w14:paraId="4A6C054B" w14:textId="77777777">
      <w:pPr>
        <w:autoSpaceDE w:val="0"/>
        <w:autoSpaceDN w:val="0"/>
        <w:adjustRightInd w:val="0"/>
        <w:ind w:firstLine="720"/>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President</w:t>
      </w:r>
    </w:p>
    <w:p w:rsidR="00E41989" w:rsidP="00E41989" w:rsidRDefault="00E41989" w14:paraId="2D13DDBF" w14:textId="77777777">
      <w:pPr>
        <w:autoSpaceDE w:val="0"/>
        <w:autoSpaceDN w:val="0"/>
        <w:adjustRightInd w:val="0"/>
        <w:ind w:left="4320"/>
        <w:jc w:val="both"/>
        <w:rPr>
          <w:rFonts w:ascii="Book Antiqua" w:hAnsi="Book Antiqua"/>
        </w:rPr>
      </w:pPr>
      <w:r>
        <w:rPr>
          <w:rFonts w:ascii="Book Antiqua" w:hAnsi="Book Antiqua"/>
        </w:rPr>
        <w:t>GENEVIEVE SHIROMA</w:t>
      </w:r>
    </w:p>
    <w:p w:rsidR="00E41989" w:rsidP="00E41989" w:rsidRDefault="00E41989" w14:paraId="6E2EB782" w14:textId="77777777">
      <w:pPr>
        <w:autoSpaceDE w:val="0"/>
        <w:autoSpaceDN w:val="0"/>
        <w:adjustRightInd w:val="0"/>
        <w:ind w:left="3600" w:firstLine="720"/>
        <w:jc w:val="both"/>
        <w:rPr>
          <w:rFonts w:ascii="Book Antiqua" w:hAnsi="Book Antiqua"/>
        </w:rPr>
      </w:pPr>
      <w:r>
        <w:rPr>
          <w:rFonts w:ascii="Book Antiqua" w:hAnsi="Book Antiqua"/>
        </w:rPr>
        <w:t>DARCIE L. HOUCK</w:t>
      </w:r>
    </w:p>
    <w:p w:rsidR="00E41989" w:rsidP="00E41989" w:rsidRDefault="00E41989" w14:paraId="1142EF3D" w14:textId="77777777">
      <w:pPr>
        <w:autoSpaceDE w:val="0"/>
        <w:autoSpaceDN w:val="0"/>
        <w:adjustRightInd w:val="0"/>
        <w:ind w:left="3600" w:firstLine="720"/>
        <w:jc w:val="both"/>
        <w:rPr>
          <w:rFonts w:ascii="Book Antiqua" w:hAnsi="Book Antiqua"/>
        </w:rPr>
      </w:pPr>
      <w:r>
        <w:rPr>
          <w:rFonts w:ascii="Book Antiqua" w:hAnsi="Book Antiqua"/>
        </w:rPr>
        <w:t>JOHN REYNOLDS</w:t>
      </w:r>
    </w:p>
    <w:p w:rsidR="00E41989" w:rsidP="00E41989" w:rsidRDefault="00E41989" w14:paraId="4FE0B81F" w14:textId="77777777">
      <w:pPr>
        <w:autoSpaceDE w:val="0"/>
        <w:autoSpaceDN w:val="0"/>
        <w:adjustRightInd w:val="0"/>
        <w:ind w:left="3600" w:firstLine="720"/>
        <w:jc w:val="both"/>
        <w:rPr>
          <w:rFonts w:ascii="Book Antiqua" w:hAnsi="Book Antiqua"/>
        </w:rPr>
      </w:pPr>
      <w:r>
        <w:rPr>
          <w:rFonts w:ascii="Book Antiqua" w:hAnsi="Book Antiqua" w:cs="Calibri"/>
          <w:color w:val="000000"/>
          <w:szCs w:val="26"/>
        </w:rPr>
        <w:t>KAREN DOUGLAS</w:t>
      </w:r>
    </w:p>
    <w:p w:rsidR="00E41989" w:rsidP="00E41989" w:rsidRDefault="00E41989" w14:paraId="7B04699B" w14:textId="77777777">
      <w:pPr>
        <w:autoSpaceDE w:val="0"/>
        <w:autoSpaceDN w:val="0"/>
        <w:adjustRightInd w:val="0"/>
        <w:ind w:left="4320" w:firstLine="720"/>
        <w:jc w:val="both"/>
        <w:rPr>
          <w:rFonts w:ascii="Book Antiqua" w:hAnsi="Book Antiqua"/>
        </w:rPr>
      </w:pPr>
      <w:r>
        <w:rPr>
          <w:rFonts w:ascii="Book Antiqua" w:hAnsi="Book Antiqua"/>
        </w:rPr>
        <w:t xml:space="preserve">            Commissioners</w:t>
      </w:r>
    </w:p>
    <w:p w:rsidRPr="00DD5BB0" w:rsidR="00E41989" w:rsidP="00904595" w:rsidRDefault="00E41989" w14:paraId="770CBB63" w14:textId="77777777">
      <w:pPr>
        <w:pStyle w:val="standard"/>
        <w:keepNext/>
        <w:keepLines/>
        <w:rPr>
          <w:rFonts w:ascii="Book Antiqua" w:hAnsi="Book Antiqua"/>
          <w:szCs w:val="26"/>
        </w:rPr>
      </w:pPr>
    </w:p>
    <w:p w:rsidRPr="00DD5BB0" w:rsidR="00904595" w:rsidP="00C47A02" w:rsidRDefault="00904595" w14:paraId="3394A921" w14:textId="77777777">
      <w:pPr>
        <w:keepNext/>
        <w:keepLines/>
        <w:autoSpaceDE w:val="0"/>
        <w:autoSpaceDN w:val="0"/>
        <w:adjustRightInd w:val="0"/>
        <w:ind w:left="4320"/>
        <w:jc w:val="both"/>
        <w:rPr>
          <w:rFonts w:ascii="Book Antiqua" w:hAnsi="Book Antiqua" w:cs="Palatino"/>
          <w:szCs w:val="26"/>
        </w:rPr>
      </w:pPr>
    </w:p>
    <w:sectPr w:rsidRPr="00DD5BB0" w:rsidR="00904595" w:rsidSect="001F3624">
      <w:headerReference w:type="even" r:id="rId11"/>
      <w:headerReference w:type="default" r:id="rId12"/>
      <w:footerReference w:type="even" r:id="rId13"/>
      <w:footerReference w:type="default" r:id="rId14"/>
      <w:headerReference w:type="first" r:id="rId15"/>
      <w:footerReference w:type="first" r:id="rId16"/>
      <w:pgSz w:w="12240" w:h="15840" w:code="1"/>
      <w:pgMar w:top="172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975E" w14:textId="77777777" w:rsidR="00FF2195" w:rsidRDefault="00FF2195">
      <w:r>
        <w:separator/>
      </w:r>
    </w:p>
  </w:endnote>
  <w:endnote w:type="continuationSeparator" w:id="0">
    <w:p w14:paraId="4048C9B1" w14:textId="77777777" w:rsidR="00FF2195" w:rsidRDefault="00FF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Palatino">
    <w:altName w:val="Palatino Linotype"/>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B033" w14:textId="77777777" w:rsidR="003D2B54" w:rsidRDefault="003D2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A20F" w14:textId="77777777" w:rsidR="00A80752" w:rsidRPr="00A80752" w:rsidRDefault="00FB4DAD" w:rsidP="00A80752">
    <w:pPr>
      <w:pStyle w:val="Footer"/>
      <w:rPr>
        <w:rFonts w:ascii="Book Antiqua" w:hAnsi="Book Antiqua"/>
      </w:rPr>
    </w:pPr>
    <w:r>
      <w:rPr>
        <w:rFonts w:ascii="Book Antiqua" w:hAnsi="Book Antiqua"/>
      </w:rPr>
      <w:noBreakHyphen/>
    </w:r>
    <w:r w:rsidR="00A80752" w:rsidRPr="00A80752">
      <w:rPr>
        <w:rFonts w:ascii="Book Antiqua" w:hAnsi="Book Antiqua"/>
      </w:rPr>
      <w:t xml:space="preserve"> </w:t>
    </w:r>
    <w:r w:rsidR="00A80752" w:rsidRPr="00A80752">
      <w:rPr>
        <w:rFonts w:ascii="Book Antiqua" w:hAnsi="Book Antiqua"/>
      </w:rPr>
      <w:fldChar w:fldCharType="begin"/>
    </w:r>
    <w:r w:rsidR="00A80752" w:rsidRPr="00A80752">
      <w:rPr>
        <w:rFonts w:ascii="Book Antiqua" w:hAnsi="Book Antiqua"/>
      </w:rPr>
      <w:instrText xml:space="preserve"> PAGE   \* MERGEFORMAT </w:instrText>
    </w:r>
    <w:r w:rsidR="00A80752" w:rsidRPr="00A80752">
      <w:rPr>
        <w:rFonts w:ascii="Book Antiqua" w:hAnsi="Book Antiqua"/>
      </w:rPr>
      <w:fldChar w:fldCharType="separate"/>
    </w:r>
    <w:r w:rsidR="00BD089D">
      <w:rPr>
        <w:rFonts w:ascii="Book Antiqua" w:hAnsi="Book Antiqua"/>
        <w:noProof/>
      </w:rPr>
      <w:t>4</w:t>
    </w:r>
    <w:r w:rsidR="00A80752" w:rsidRPr="00A80752">
      <w:rPr>
        <w:rFonts w:ascii="Book Antiqua" w:hAnsi="Book Antiqua"/>
        <w:noProof/>
      </w:rPr>
      <w:fldChar w:fldCharType="end"/>
    </w:r>
    <w:r w:rsidR="00A80752" w:rsidRPr="00A80752">
      <w:rPr>
        <w:rFonts w:ascii="Book Antiqua" w:hAnsi="Book Antiqua"/>
      </w:rPr>
      <w:t xml:space="preserve"> </w:t>
    </w:r>
    <w:r>
      <w:rPr>
        <w:rFonts w:ascii="Book Antiqua" w:hAnsi="Book Antiqua"/>
      </w:rPr>
      <w:noBreak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D602" w14:textId="54992E3D" w:rsidR="00787BB6" w:rsidRPr="00A80752" w:rsidRDefault="003D2B54">
    <w:pPr>
      <w:pStyle w:val="Footer"/>
      <w:jc w:val="left"/>
      <w:rPr>
        <w:rFonts w:ascii="Arial" w:hAnsi="Arial"/>
        <w:sz w:val="16"/>
      </w:rPr>
    </w:pPr>
    <w:r w:rsidRPr="003D2B54">
      <w:rPr>
        <w:rFonts w:ascii="Book Antiqua" w:hAnsi="Book Antiqua"/>
        <w:sz w:val="16"/>
      </w:rPr>
      <w:t>521288274</w:t>
    </w:r>
    <w:r w:rsidR="00787BB6" w:rsidRPr="00A80752">
      <w:rPr>
        <w:rFonts w:ascii="Arial" w:hAnsi="Arial"/>
        <w:sz w:val="16"/>
      </w:rPr>
      <w:tab/>
    </w:r>
    <w:r w:rsidR="00FB4DAD">
      <w:rPr>
        <w:rFonts w:ascii="Book Antiqua" w:hAnsi="Book Antiqua"/>
      </w:rPr>
      <w:noBreakHyphen/>
    </w:r>
    <w:r w:rsidR="00A80752" w:rsidRPr="00A80752">
      <w:rPr>
        <w:rFonts w:ascii="Book Antiqua" w:hAnsi="Book Antiqua"/>
      </w:rPr>
      <w:t xml:space="preserve"> </w:t>
    </w:r>
    <w:r w:rsidR="00A80752" w:rsidRPr="00A80752">
      <w:rPr>
        <w:rFonts w:ascii="Book Antiqua" w:hAnsi="Book Antiqua"/>
      </w:rPr>
      <w:fldChar w:fldCharType="begin"/>
    </w:r>
    <w:r w:rsidR="00A80752" w:rsidRPr="00A80752">
      <w:rPr>
        <w:rFonts w:ascii="Book Antiqua" w:hAnsi="Book Antiqua"/>
      </w:rPr>
      <w:instrText xml:space="preserve"> PAGE   \* MERGEFORMAT </w:instrText>
    </w:r>
    <w:r w:rsidR="00A80752" w:rsidRPr="00A80752">
      <w:rPr>
        <w:rFonts w:ascii="Book Antiqua" w:hAnsi="Book Antiqua"/>
      </w:rPr>
      <w:fldChar w:fldCharType="separate"/>
    </w:r>
    <w:r w:rsidR="00BD089D">
      <w:rPr>
        <w:rFonts w:ascii="Book Antiqua" w:hAnsi="Book Antiqua"/>
        <w:noProof/>
      </w:rPr>
      <w:t>1</w:t>
    </w:r>
    <w:r w:rsidR="00A80752" w:rsidRPr="00A80752">
      <w:rPr>
        <w:rFonts w:ascii="Book Antiqua" w:hAnsi="Book Antiqua"/>
        <w:noProof/>
      </w:rPr>
      <w:fldChar w:fldCharType="end"/>
    </w:r>
    <w:r w:rsidR="00A80752" w:rsidRPr="00A80752">
      <w:rPr>
        <w:rFonts w:ascii="Book Antiqua" w:hAnsi="Book Antiqua"/>
      </w:rPr>
      <w:t xml:space="preserve"> </w:t>
    </w:r>
    <w:r w:rsidR="00FB4DAD">
      <w:rPr>
        <w:rFonts w:ascii="Book Antiqua" w:hAnsi="Book Antiqua"/>
      </w:rPr>
      <w:noBreakHyphen/>
    </w:r>
    <w:r w:rsidR="00A80752" w:rsidRPr="00A80752">
      <w:rPr>
        <w:rFonts w:ascii="Book Antiqua" w:hAnsi="Book Antiq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7965" w14:textId="77777777" w:rsidR="00FF2195" w:rsidRDefault="00FF2195">
      <w:r>
        <w:separator/>
      </w:r>
    </w:p>
  </w:footnote>
  <w:footnote w:type="continuationSeparator" w:id="0">
    <w:p w14:paraId="06DAEFAD" w14:textId="77777777" w:rsidR="00FF2195" w:rsidRDefault="00FF2195">
      <w:r>
        <w:continuationSeparator/>
      </w:r>
    </w:p>
  </w:footnote>
  <w:footnote w:type="continuationNotice" w:id="1">
    <w:p w14:paraId="08300DCC" w14:textId="77777777" w:rsidR="00FF2195" w:rsidRDefault="00FF2195">
      <w:pPr>
        <w:rPr>
          <w:sz w:val="22"/>
        </w:rPr>
      </w:pPr>
    </w:p>
    <w:p w14:paraId="368E00D5" w14:textId="77777777" w:rsidR="00FF2195" w:rsidRDefault="00FF2195">
      <w:pPr>
        <w:jc w:val="right"/>
        <w:rPr>
          <w:sz w:val="22"/>
        </w:rPr>
      </w:pPr>
      <w:r>
        <w:rPr>
          <w:i/>
          <w:sz w:val="22"/>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8282" w14:textId="77777777" w:rsidR="003D2B54" w:rsidRDefault="003D2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447B" w14:textId="7DBFAB73" w:rsidR="001024AA" w:rsidRPr="001024AA" w:rsidRDefault="00EA437E" w:rsidP="001024AA">
    <w:pPr>
      <w:rPr>
        <w:rFonts w:ascii="Book Antiqua" w:hAnsi="Book Antiqua"/>
      </w:rPr>
    </w:pPr>
    <w:r>
      <w:rPr>
        <w:rFonts w:ascii="Book Antiqua" w:hAnsi="Book Antiqua"/>
      </w:rPr>
      <w:t>A.21-09-008 ALJ/KWZ/hma</w:t>
    </w:r>
    <w:r w:rsidR="00DE587B">
      <w:rPr>
        <w:rFonts w:ascii="Book Antiqua" w:hAnsi="Book Antiqua"/>
      </w:rPr>
      <w:tab/>
    </w:r>
    <w:r w:rsidR="00DE587B">
      <w:rPr>
        <w:rFonts w:ascii="Book Antiqua" w:hAnsi="Book Antiqua"/>
      </w:rPr>
      <w:tab/>
    </w:r>
    <w:r w:rsidR="00DE587B">
      <w:rPr>
        <w:rFonts w:ascii="Book Antiqua" w:hAnsi="Book Antiqua"/>
      </w:rPr>
      <w:tab/>
    </w:r>
    <w:r w:rsidR="00DE587B">
      <w:rPr>
        <w:rFonts w:ascii="Book Antiqua" w:hAnsi="Book Antiqu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BFD0" w14:textId="77777777" w:rsidR="003D2B54" w:rsidRDefault="003D2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569B"/>
    <w:multiLevelType w:val="singleLevel"/>
    <w:tmpl w:val="E46A7320"/>
    <w:lvl w:ilvl="0">
      <w:start w:val="1"/>
      <w:numFmt w:val="decimal"/>
      <w:lvlText w:val="%1."/>
      <w:legacy w:legacy="1" w:legacySpace="144" w:legacyIndent="0"/>
      <w:lvlJc w:val="left"/>
    </w:lvl>
  </w:abstractNum>
  <w:abstractNum w:abstractNumId="1" w15:restartNumberingAfterBreak="0">
    <w:nsid w:val="0EC55AEE"/>
    <w:multiLevelType w:val="hybridMultilevel"/>
    <w:tmpl w:val="684A6B2A"/>
    <w:lvl w:ilvl="0" w:tplc="FFFFFFFF">
      <w:start w:val="3"/>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1936B4E"/>
    <w:multiLevelType w:val="singleLevel"/>
    <w:tmpl w:val="E46A7320"/>
    <w:lvl w:ilvl="0">
      <w:start w:val="1"/>
      <w:numFmt w:val="decimal"/>
      <w:lvlText w:val="%1."/>
      <w:legacy w:legacy="1" w:legacySpace="144" w:legacyIndent="0"/>
      <w:lvlJc w:val="left"/>
    </w:lvl>
  </w:abstractNum>
  <w:abstractNum w:abstractNumId="3" w15:restartNumberingAfterBreak="0">
    <w:nsid w:val="11BA4BB5"/>
    <w:multiLevelType w:val="singleLevel"/>
    <w:tmpl w:val="E46A7320"/>
    <w:lvl w:ilvl="0">
      <w:start w:val="1"/>
      <w:numFmt w:val="decimal"/>
      <w:lvlText w:val="%1."/>
      <w:legacy w:legacy="1" w:legacySpace="144" w:legacyIndent="0"/>
      <w:lvlJc w:val="left"/>
    </w:lvl>
  </w:abstractNum>
  <w:abstractNum w:abstractNumId="4" w15:restartNumberingAfterBreak="0">
    <w:nsid w:val="120339A5"/>
    <w:multiLevelType w:val="singleLevel"/>
    <w:tmpl w:val="E46A7320"/>
    <w:lvl w:ilvl="0">
      <w:start w:val="1"/>
      <w:numFmt w:val="decimal"/>
      <w:lvlText w:val="%1."/>
      <w:legacy w:legacy="1" w:legacySpace="144" w:legacyIndent="0"/>
      <w:lvlJc w:val="left"/>
    </w:lvl>
  </w:abstractNum>
  <w:abstractNum w:abstractNumId="5" w15:restartNumberingAfterBreak="0">
    <w:nsid w:val="130B33A9"/>
    <w:multiLevelType w:val="singleLevel"/>
    <w:tmpl w:val="E46A7320"/>
    <w:lvl w:ilvl="0">
      <w:start w:val="1"/>
      <w:numFmt w:val="decimal"/>
      <w:lvlText w:val="%1."/>
      <w:legacy w:legacy="1" w:legacySpace="144" w:legacyIndent="0"/>
      <w:lvlJc w:val="left"/>
    </w:lvl>
  </w:abstractNum>
  <w:abstractNum w:abstractNumId="6" w15:restartNumberingAfterBreak="0">
    <w:nsid w:val="17060642"/>
    <w:multiLevelType w:val="singleLevel"/>
    <w:tmpl w:val="F3AE1DA0"/>
    <w:lvl w:ilvl="0">
      <w:start w:val="1"/>
      <w:numFmt w:val="decimal"/>
      <w:lvlText w:val="%1."/>
      <w:legacy w:legacy="1" w:legacySpace="0" w:legacyIndent="0"/>
      <w:lvlJc w:val="left"/>
    </w:lvl>
  </w:abstractNum>
  <w:abstractNum w:abstractNumId="7" w15:restartNumberingAfterBreak="0">
    <w:nsid w:val="1B1F2A61"/>
    <w:multiLevelType w:val="singleLevel"/>
    <w:tmpl w:val="E46A7320"/>
    <w:lvl w:ilvl="0">
      <w:start w:val="1"/>
      <w:numFmt w:val="decimal"/>
      <w:lvlText w:val="%1."/>
      <w:legacy w:legacy="1" w:legacySpace="144" w:legacyIndent="0"/>
      <w:lvlJc w:val="left"/>
    </w:lvl>
  </w:abstractNum>
  <w:abstractNum w:abstractNumId="8" w15:restartNumberingAfterBreak="0">
    <w:nsid w:val="1E6F4BEC"/>
    <w:multiLevelType w:val="hybridMultilevel"/>
    <w:tmpl w:val="DF4C0C6C"/>
    <w:lvl w:ilvl="0" w:tplc="E9DAD9BE">
      <w:start w:val="1"/>
      <w:numFmt w:val="upperRoman"/>
      <w:lvlText w:val="%1."/>
      <w:lvlJc w:val="left"/>
      <w:pPr>
        <w:tabs>
          <w:tab w:val="num" w:pos="1080"/>
        </w:tabs>
        <w:ind w:left="1080" w:hanging="720"/>
      </w:pPr>
      <w:rPr>
        <w:rFonts w:hint="default"/>
        <w:b/>
      </w:rPr>
    </w:lvl>
    <w:lvl w:ilvl="1" w:tplc="E68626F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BC3A84"/>
    <w:multiLevelType w:val="hybridMultilevel"/>
    <w:tmpl w:val="273211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C3A99"/>
    <w:multiLevelType w:val="multilevel"/>
    <w:tmpl w:val="2200A396"/>
    <w:lvl w:ilvl="0">
      <w:start w:val="1"/>
      <w:numFmt w:val="decimal"/>
      <w:pStyle w:val="Heading1"/>
      <w:lvlText w:val="%1."/>
      <w:lvlJc w:val="left"/>
      <w:pPr>
        <w:ind w:left="475" w:hanging="475"/>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tabs>
          <w:tab w:val="num" w:pos="1080"/>
        </w:tabs>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23262AD7"/>
    <w:multiLevelType w:val="hybridMultilevel"/>
    <w:tmpl w:val="7BC0E752"/>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0E62B6"/>
    <w:multiLevelType w:val="singleLevel"/>
    <w:tmpl w:val="F3AE1DA0"/>
    <w:lvl w:ilvl="0">
      <w:start w:val="1"/>
      <w:numFmt w:val="decimal"/>
      <w:lvlText w:val="%1."/>
      <w:legacy w:legacy="1" w:legacySpace="0" w:legacyIndent="0"/>
      <w:lvlJc w:val="left"/>
    </w:lvl>
  </w:abstractNum>
  <w:abstractNum w:abstractNumId="13" w15:restartNumberingAfterBreak="0">
    <w:nsid w:val="2A832F16"/>
    <w:multiLevelType w:val="singleLevel"/>
    <w:tmpl w:val="E46A7320"/>
    <w:lvl w:ilvl="0">
      <w:start w:val="1"/>
      <w:numFmt w:val="decimal"/>
      <w:lvlText w:val="%1."/>
      <w:legacy w:legacy="1" w:legacySpace="144" w:legacyIndent="0"/>
      <w:lvlJc w:val="left"/>
    </w:lvl>
  </w:abstractNum>
  <w:abstractNum w:abstractNumId="14" w15:restartNumberingAfterBreak="0">
    <w:nsid w:val="2D6B1AE0"/>
    <w:multiLevelType w:val="singleLevel"/>
    <w:tmpl w:val="F3AE1DA0"/>
    <w:lvl w:ilvl="0">
      <w:start w:val="1"/>
      <w:numFmt w:val="decimal"/>
      <w:lvlText w:val="%1."/>
      <w:legacy w:legacy="1" w:legacySpace="0" w:legacyIndent="0"/>
      <w:lvlJc w:val="left"/>
    </w:lvl>
  </w:abstractNum>
  <w:abstractNum w:abstractNumId="15" w15:restartNumberingAfterBreak="0">
    <w:nsid w:val="30C65E0A"/>
    <w:multiLevelType w:val="singleLevel"/>
    <w:tmpl w:val="E46A7320"/>
    <w:lvl w:ilvl="0">
      <w:start w:val="1"/>
      <w:numFmt w:val="decimal"/>
      <w:lvlText w:val="%1."/>
      <w:legacy w:legacy="1" w:legacySpace="144" w:legacyIndent="0"/>
      <w:lvlJc w:val="left"/>
    </w:lvl>
  </w:abstractNum>
  <w:abstractNum w:abstractNumId="16" w15:restartNumberingAfterBreak="0">
    <w:nsid w:val="31BB081B"/>
    <w:multiLevelType w:val="singleLevel"/>
    <w:tmpl w:val="E46A7320"/>
    <w:lvl w:ilvl="0">
      <w:start w:val="1"/>
      <w:numFmt w:val="decimal"/>
      <w:lvlText w:val="%1."/>
      <w:legacy w:legacy="1" w:legacySpace="144" w:legacyIndent="0"/>
      <w:lvlJc w:val="left"/>
    </w:lvl>
  </w:abstractNum>
  <w:abstractNum w:abstractNumId="17" w15:restartNumberingAfterBreak="0">
    <w:nsid w:val="33F61F84"/>
    <w:multiLevelType w:val="singleLevel"/>
    <w:tmpl w:val="F3AE1DA0"/>
    <w:lvl w:ilvl="0">
      <w:start w:val="1"/>
      <w:numFmt w:val="decimal"/>
      <w:lvlText w:val="%1."/>
      <w:legacy w:legacy="1" w:legacySpace="0" w:legacyIndent="0"/>
      <w:lvlJc w:val="left"/>
    </w:lvl>
  </w:abstractNum>
  <w:abstractNum w:abstractNumId="18" w15:restartNumberingAfterBreak="0">
    <w:nsid w:val="34032548"/>
    <w:multiLevelType w:val="hybridMultilevel"/>
    <w:tmpl w:val="CE0A1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D4236"/>
    <w:multiLevelType w:val="singleLevel"/>
    <w:tmpl w:val="F3AE1DA0"/>
    <w:lvl w:ilvl="0">
      <w:start w:val="1"/>
      <w:numFmt w:val="decimal"/>
      <w:lvlText w:val="%1."/>
      <w:legacy w:legacy="1" w:legacySpace="0" w:legacyIndent="0"/>
      <w:lvlJc w:val="left"/>
    </w:lvl>
  </w:abstractNum>
  <w:abstractNum w:abstractNumId="20" w15:restartNumberingAfterBreak="0">
    <w:nsid w:val="3CC22DAD"/>
    <w:multiLevelType w:val="singleLevel"/>
    <w:tmpl w:val="E46A7320"/>
    <w:lvl w:ilvl="0">
      <w:start w:val="1"/>
      <w:numFmt w:val="decimal"/>
      <w:lvlText w:val="%1."/>
      <w:legacy w:legacy="1" w:legacySpace="144" w:legacyIndent="0"/>
      <w:lvlJc w:val="left"/>
    </w:lvl>
  </w:abstractNum>
  <w:abstractNum w:abstractNumId="21" w15:restartNumberingAfterBreak="0">
    <w:nsid w:val="3FD80D71"/>
    <w:multiLevelType w:val="hybridMultilevel"/>
    <w:tmpl w:val="F7200B26"/>
    <w:lvl w:ilvl="0" w:tplc="982E8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E7753"/>
    <w:multiLevelType w:val="singleLevel"/>
    <w:tmpl w:val="F3AE1DA0"/>
    <w:lvl w:ilvl="0">
      <w:start w:val="1"/>
      <w:numFmt w:val="decimal"/>
      <w:lvlText w:val="%1."/>
      <w:legacy w:legacy="1" w:legacySpace="0" w:legacyIndent="0"/>
      <w:lvlJc w:val="left"/>
    </w:lvl>
  </w:abstractNum>
  <w:abstractNum w:abstractNumId="23" w15:restartNumberingAfterBreak="0">
    <w:nsid w:val="42BF523E"/>
    <w:multiLevelType w:val="singleLevel"/>
    <w:tmpl w:val="F3AE1DA0"/>
    <w:lvl w:ilvl="0">
      <w:start w:val="1"/>
      <w:numFmt w:val="decimal"/>
      <w:lvlText w:val="%1."/>
      <w:legacy w:legacy="1" w:legacySpace="0" w:legacyIndent="0"/>
      <w:lvlJc w:val="left"/>
    </w:lvl>
  </w:abstractNum>
  <w:abstractNum w:abstractNumId="24" w15:restartNumberingAfterBreak="0">
    <w:nsid w:val="453077A7"/>
    <w:multiLevelType w:val="singleLevel"/>
    <w:tmpl w:val="E46A7320"/>
    <w:lvl w:ilvl="0">
      <w:start w:val="1"/>
      <w:numFmt w:val="decimal"/>
      <w:lvlText w:val="%1."/>
      <w:legacy w:legacy="1" w:legacySpace="144" w:legacyIndent="0"/>
      <w:lvlJc w:val="left"/>
    </w:lvl>
  </w:abstractNum>
  <w:abstractNum w:abstractNumId="25" w15:restartNumberingAfterBreak="0">
    <w:nsid w:val="4A527F38"/>
    <w:multiLevelType w:val="singleLevel"/>
    <w:tmpl w:val="8FA05B2A"/>
    <w:lvl w:ilvl="0">
      <w:start w:val="1"/>
      <w:numFmt w:val="decimal"/>
      <w:pStyle w:val="num1"/>
      <w:lvlText w:val="%1."/>
      <w:legacy w:legacy="1" w:legacySpace="144" w:legacyIndent="0"/>
      <w:lvlJc w:val="left"/>
    </w:lvl>
  </w:abstractNum>
  <w:abstractNum w:abstractNumId="26" w15:restartNumberingAfterBreak="0">
    <w:nsid w:val="4C9C4791"/>
    <w:multiLevelType w:val="singleLevel"/>
    <w:tmpl w:val="F3AE1DA0"/>
    <w:lvl w:ilvl="0">
      <w:start w:val="1"/>
      <w:numFmt w:val="decimal"/>
      <w:lvlText w:val="%1."/>
      <w:legacy w:legacy="1" w:legacySpace="0" w:legacyIndent="0"/>
      <w:lvlJc w:val="left"/>
    </w:lvl>
  </w:abstractNum>
  <w:abstractNum w:abstractNumId="27" w15:restartNumberingAfterBreak="0">
    <w:nsid w:val="4F7C04B4"/>
    <w:multiLevelType w:val="hybridMultilevel"/>
    <w:tmpl w:val="E1028B1C"/>
    <w:lvl w:ilvl="0" w:tplc="476A428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FD3C73"/>
    <w:multiLevelType w:val="singleLevel"/>
    <w:tmpl w:val="E46A7320"/>
    <w:lvl w:ilvl="0">
      <w:start w:val="1"/>
      <w:numFmt w:val="decimal"/>
      <w:lvlText w:val="%1."/>
      <w:legacy w:legacy="1" w:legacySpace="144" w:legacyIndent="0"/>
      <w:lvlJc w:val="left"/>
    </w:lvl>
  </w:abstractNum>
  <w:abstractNum w:abstractNumId="29" w15:restartNumberingAfterBreak="0">
    <w:nsid w:val="55770878"/>
    <w:multiLevelType w:val="singleLevel"/>
    <w:tmpl w:val="F3AE1DA0"/>
    <w:lvl w:ilvl="0">
      <w:start w:val="1"/>
      <w:numFmt w:val="decimal"/>
      <w:lvlText w:val="%1."/>
      <w:legacy w:legacy="1" w:legacySpace="0" w:legacyIndent="0"/>
      <w:lvlJc w:val="left"/>
    </w:lvl>
  </w:abstractNum>
  <w:abstractNum w:abstractNumId="30" w15:restartNumberingAfterBreak="0">
    <w:nsid w:val="584A4699"/>
    <w:multiLevelType w:val="singleLevel"/>
    <w:tmpl w:val="F3AE1DA0"/>
    <w:lvl w:ilvl="0">
      <w:start w:val="1"/>
      <w:numFmt w:val="decimal"/>
      <w:lvlText w:val="%1."/>
      <w:legacy w:legacy="1" w:legacySpace="0" w:legacyIndent="0"/>
      <w:lvlJc w:val="left"/>
    </w:lvl>
  </w:abstractNum>
  <w:abstractNum w:abstractNumId="31" w15:restartNumberingAfterBreak="0">
    <w:nsid w:val="5E98384C"/>
    <w:multiLevelType w:val="hybridMultilevel"/>
    <w:tmpl w:val="48D43B0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23D1C82"/>
    <w:multiLevelType w:val="singleLevel"/>
    <w:tmpl w:val="F3AE1DA0"/>
    <w:lvl w:ilvl="0">
      <w:start w:val="1"/>
      <w:numFmt w:val="decimal"/>
      <w:lvlText w:val="%1."/>
      <w:legacy w:legacy="1" w:legacySpace="0" w:legacyIndent="0"/>
      <w:lvlJc w:val="left"/>
    </w:lvl>
  </w:abstractNum>
  <w:abstractNum w:abstractNumId="33" w15:restartNumberingAfterBreak="0">
    <w:nsid w:val="69941F85"/>
    <w:multiLevelType w:val="singleLevel"/>
    <w:tmpl w:val="F3AE1DA0"/>
    <w:lvl w:ilvl="0">
      <w:start w:val="1"/>
      <w:numFmt w:val="decimal"/>
      <w:lvlText w:val="%1."/>
      <w:legacy w:legacy="1" w:legacySpace="0" w:legacyIndent="0"/>
      <w:lvlJc w:val="left"/>
    </w:lvl>
  </w:abstractNum>
  <w:abstractNum w:abstractNumId="34" w15:restartNumberingAfterBreak="0">
    <w:nsid w:val="7D142BE1"/>
    <w:multiLevelType w:val="singleLevel"/>
    <w:tmpl w:val="E46A7320"/>
    <w:lvl w:ilvl="0">
      <w:start w:val="1"/>
      <w:numFmt w:val="decimal"/>
      <w:lvlText w:val="%1."/>
      <w:legacy w:legacy="1" w:legacySpace="144" w:legacyIndent="0"/>
      <w:lvlJc w:val="left"/>
    </w:lvl>
  </w:abstractNum>
  <w:abstractNum w:abstractNumId="35" w15:restartNumberingAfterBreak="0">
    <w:nsid w:val="7D905A9E"/>
    <w:multiLevelType w:val="singleLevel"/>
    <w:tmpl w:val="F3AE1DA0"/>
    <w:lvl w:ilvl="0">
      <w:start w:val="1"/>
      <w:numFmt w:val="decimal"/>
      <w:lvlText w:val="%1."/>
      <w:legacy w:legacy="1" w:legacySpace="0" w:legacyIndent="0"/>
      <w:lvlJc w:val="left"/>
    </w:lvl>
  </w:abstractNum>
  <w:abstractNum w:abstractNumId="36" w15:restartNumberingAfterBreak="0">
    <w:nsid w:val="7FA24549"/>
    <w:multiLevelType w:val="singleLevel"/>
    <w:tmpl w:val="E46A7320"/>
    <w:lvl w:ilvl="0">
      <w:start w:val="1"/>
      <w:numFmt w:val="decimal"/>
      <w:lvlText w:val="%1."/>
      <w:legacy w:legacy="1" w:legacySpace="144" w:legacyIndent="0"/>
      <w:lvlJc w:val="left"/>
    </w:lvl>
  </w:abstractNum>
  <w:num w:numId="1" w16cid:durableId="1672172738">
    <w:abstractNumId w:val="22"/>
  </w:num>
  <w:num w:numId="2" w16cid:durableId="1392148201">
    <w:abstractNumId w:val="33"/>
  </w:num>
  <w:num w:numId="3" w16cid:durableId="46997149">
    <w:abstractNumId w:val="19"/>
  </w:num>
  <w:num w:numId="4" w16cid:durableId="2903515">
    <w:abstractNumId w:val="32"/>
  </w:num>
  <w:num w:numId="5" w16cid:durableId="247812381">
    <w:abstractNumId w:val="35"/>
  </w:num>
  <w:num w:numId="6" w16cid:durableId="996151179">
    <w:abstractNumId w:val="6"/>
  </w:num>
  <w:num w:numId="7" w16cid:durableId="1559703303">
    <w:abstractNumId w:val="23"/>
  </w:num>
  <w:num w:numId="8" w16cid:durableId="107313427">
    <w:abstractNumId w:val="29"/>
  </w:num>
  <w:num w:numId="9" w16cid:durableId="1533808885">
    <w:abstractNumId w:val="12"/>
  </w:num>
  <w:num w:numId="10" w16cid:durableId="1431852859">
    <w:abstractNumId w:val="14"/>
  </w:num>
  <w:num w:numId="11" w16cid:durableId="237440467">
    <w:abstractNumId w:val="17"/>
  </w:num>
  <w:num w:numId="12" w16cid:durableId="97067747">
    <w:abstractNumId w:val="26"/>
  </w:num>
  <w:num w:numId="13" w16cid:durableId="95096540">
    <w:abstractNumId w:val="30"/>
  </w:num>
  <w:num w:numId="14" w16cid:durableId="409086644">
    <w:abstractNumId w:val="15"/>
  </w:num>
  <w:num w:numId="15" w16cid:durableId="1263563870">
    <w:abstractNumId w:val="36"/>
  </w:num>
  <w:num w:numId="16" w16cid:durableId="838430016">
    <w:abstractNumId w:val="16"/>
  </w:num>
  <w:num w:numId="17" w16cid:durableId="1649478513">
    <w:abstractNumId w:val="13"/>
  </w:num>
  <w:num w:numId="18" w16cid:durableId="753622597">
    <w:abstractNumId w:val="7"/>
  </w:num>
  <w:num w:numId="19" w16cid:durableId="1869024838">
    <w:abstractNumId w:val="5"/>
  </w:num>
  <w:num w:numId="20" w16cid:durableId="38827619">
    <w:abstractNumId w:val="0"/>
  </w:num>
  <w:num w:numId="21" w16cid:durableId="831994995">
    <w:abstractNumId w:val="24"/>
  </w:num>
  <w:num w:numId="22" w16cid:durableId="1578897656">
    <w:abstractNumId w:val="4"/>
  </w:num>
  <w:num w:numId="23" w16cid:durableId="476921117">
    <w:abstractNumId w:val="2"/>
  </w:num>
  <w:num w:numId="24" w16cid:durableId="1392849270">
    <w:abstractNumId w:val="28"/>
  </w:num>
  <w:num w:numId="25" w16cid:durableId="811751959">
    <w:abstractNumId w:val="20"/>
  </w:num>
  <w:num w:numId="26" w16cid:durableId="1136527014">
    <w:abstractNumId w:val="34"/>
  </w:num>
  <w:num w:numId="27" w16cid:durableId="1667437909">
    <w:abstractNumId w:val="3"/>
  </w:num>
  <w:num w:numId="28" w16cid:durableId="355037492">
    <w:abstractNumId w:val="27"/>
  </w:num>
  <w:num w:numId="29" w16cid:durableId="1814758383">
    <w:abstractNumId w:val="25"/>
  </w:num>
  <w:num w:numId="30" w16cid:durableId="213079820">
    <w:abstractNumId w:val="8"/>
  </w:num>
  <w:num w:numId="31" w16cid:durableId="1150251053">
    <w:abstractNumId w:val="31"/>
  </w:num>
  <w:num w:numId="32" w16cid:durableId="173111079">
    <w:abstractNumId w:val="1"/>
  </w:num>
  <w:num w:numId="33" w16cid:durableId="587234817">
    <w:abstractNumId w:val="11"/>
  </w:num>
  <w:num w:numId="34" w16cid:durableId="423722681">
    <w:abstractNumId w:val="18"/>
  </w:num>
  <w:num w:numId="35" w16cid:durableId="920410041">
    <w:abstractNumId w:val="9"/>
  </w:num>
  <w:num w:numId="36" w16cid:durableId="819004782">
    <w:abstractNumId w:val="21"/>
  </w:num>
  <w:num w:numId="37" w16cid:durableId="1070276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7E"/>
    <w:rsid w:val="00001A72"/>
    <w:rsid w:val="000020B8"/>
    <w:rsid w:val="00002110"/>
    <w:rsid w:val="00007FFC"/>
    <w:rsid w:val="00010EE2"/>
    <w:rsid w:val="00013076"/>
    <w:rsid w:val="00014252"/>
    <w:rsid w:val="000150AC"/>
    <w:rsid w:val="0002229F"/>
    <w:rsid w:val="00031E1A"/>
    <w:rsid w:val="00041691"/>
    <w:rsid w:val="000416DB"/>
    <w:rsid w:val="00052B05"/>
    <w:rsid w:val="00055C20"/>
    <w:rsid w:val="00056BEE"/>
    <w:rsid w:val="0006000A"/>
    <w:rsid w:val="00063102"/>
    <w:rsid w:val="0007659D"/>
    <w:rsid w:val="00076898"/>
    <w:rsid w:val="00077D15"/>
    <w:rsid w:val="00087130"/>
    <w:rsid w:val="00087B10"/>
    <w:rsid w:val="000B5AF7"/>
    <w:rsid w:val="000C1314"/>
    <w:rsid w:val="000C411F"/>
    <w:rsid w:val="000C70C1"/>
    <w:rsid w:val="000D206A"/>
    <w:rsid w:val="000D2E05"/>
    <w:rsid w:val="000F4C15"/>
    <w:rsid w:val="0010141E"/>
    <w:rsid w:val="001024AA"/>
    <w:rsid w:val="00104DF4"/>
    <w:rsid w:val="001179C9"/>
    <w:rsid w:val="00122DD7"/>
    <w:rsid w:val="00135523"/>
    <w:rsid w:val="001422AB"/>
    <w:rsid w:val="00143F10"/>
    <w:rsid w:val="00150A38"/>
    <w:rsid w:val="00155A51"/>
    <w:rsid w:val="001646C7"/>
    <w:rsid w:val="001A5193"/>
    <w:rsid w:val="001B08E7"/>
    <w:rsid w:val="001C25AC"/>
    <w:rsid w:val="001C7D8D"/>
    <w:rsid w:val="001D4701"/>
    <w:rsid w:val="001E6267"/>
    <w:rsid w:val="001E652D"/>
    <w:rsid w:val="001F3624"/>
    <w:rsid w:val="001F5AA0"/>
    <w:rsid w:val="002166DB"/>
    <w:rsid w:val="00217B92"/>
    <w:rsid w:val="00227856"/>
    <w:rsid w:val="002335B1"/>
    <w:rsid w:val="002342FF"/>
    <w:rsid w:val="0024545D"/>
    <w:rsid w:val="00246DEB"/>
    <w:rsid w:val="00250146"/>
    <w:rsid w:val="00256CFB"/>
    <w:rsid w:val="002639C0"/>
    <w:rsid w:val="00263F77"/>
    <w:rsid w:val="00270742"/>
    <w:rsid w:val="00274C87"/>
    <w:rsid w:val="002819F9"/>
    <w:rsid w:val="00282DDC"/>
    <w:rsid w:val="00287A15"/>
    <w:rsid w:val="002A07F8"/>
    <w:rsid w:val="002A3F44"/>
    <w:rsid w:val="002B4519"/>
    <w:rsid w:val="002B5F48"/>
    <w:rsid w:val="002C082A"/>
    <w:rsid w:val="002C40DA"/>
    <w:rsid w:val="002C4389"/>
    <w:rsid w:val="002D28E5"/>
    <w:rsid w:val="002E0628"/>
    <w:rsid w:val="002E1CB5"/>
    <w:rsid w:val="002F3577"/>
    <w:rsid w:val="003019E5"/>
    <w:rsid w:val="0030370C"/>
    <w:rsid w:val="00315990"/>
    <w:rsid w:val="00316829"/>
    <w:rsid w:val="00322AC0"/>
    <w:rsid w:val="00331D21"/>
    <w:rsid w:val="0033721F"/>
    <w:rsid w:val="00342C08"/>
    <w:rsid w:val="00342C29"/>
    <w:rsid w:val="00363B14"/>
    <w:rsid w:val="003764AE"/>
    <w:rsid w:val="00377FF3"/>
    <w:rsid w:val="003829E4"/>
    <w:rsid w:val="003854D9"/>
    <w:rsid w:val="00394C72"/>
    <w:rsid w:val="00397115"/>
    <w:rsid w:val="003A0943"/>
    <w:rsid w:val="003A7279"/>
    <w:rsid w:val="003C2119"/>
    <w:rsid w:val="003C283F"/>
    <w:rsid w:val="003D2B54"/>
    <w:rsid w:val="003D2CCF"/>
    <w:rsid w:val="003E1131"/>
    <w:rsid w:val="003F0C6C"/>
    <w:rsid w:val="003F2E0C"/>
    <w:rsid w:val="00400D17"/>
    <w:rsid w:val="0040306C"/>
    <w:rsid w:val="004250C5"/>
    <w:rsid w:val="00431131"/>
    <w:rsid w:val="00441D74"/>
    <w:rsid w:val="00447D15"/>
    <w:rsid w:val="00447E59"/>
    <w:rsid w:val="00452F2F"/>
    <w:rsid w:val="00480489"/>
    <w:rsid w:val="00481CA3"/>
    <w:rsid w:val="0048585D"/>
    <w:rsid w:val="004956DA"/>
    <w:rsid w:val="0049618B"/>
    <w:rsid w:val="004962A9"/>
    <w:rsid w:val="004A2453"/>
    <w:rsid w:val="004A2DB6"/>
    <w:rsid w:val="004A793B"/>
    <w:rsid w:val="004B365B"/>
    <w:rsid w:val="004C21F4"/>
    <w:rsid w:val="004C3160"/>
    <w:rsid w:val="004C6635"/>
    <w:rsid w:val="004D0F62"/>
    <w:rsid w:val="004D65CC"/>
    <w:rsid w:val="004E1D59"/>
    <w:rsid w:val="004E49A3"/>
    <w:rsid w:val="004E66D3"/>
    <w:rsid w:val="004F3888"/>
    <w:rsid w:val="004F59F3"/>
    <w:rsid w:val="004F65A3"/>
    <w:rsid w:val="004F6923"/>
    <w:rsid w:val="00513F6C"/>
    <w:rsid w:val="00520365"/>
    <w:rsid w:val="00525BE6"/>
    <w:rsid w:val="0053690C"/>
    <w:rsid w:val="00545E4A"/>
    <w:rsid w:val="00550304"/>
    <w:rsid w:val="0055265D"/>
    <w:rsid w:val="00555235"/>
    <w:rsid w:val="00561833"/>
    <w:rsid w:val="00563EB7"/>
    <w:rsid w:val="005641C9"/>
    <w:rsid w:val="0056469A"/>
    <w:rsid w:val="005714E9"/>
    <w:rsid w:val="0057715A"/>
    <w:rsid w:val="005819CE"/>
    <w:rsid w:val="00595EF8"/>
    <w:rsid w:val="005963C6"/>
    <w:rsid w:val="005A186C"/>
    <w:rsid w:val="005B0E9C"/>
    <w:rsid w:val="005B481C"/>
    <w:rsid w:val="005C03B5"/>
    <w:rsid w:val="005C0C47"/>
    <w:rsid w:val="005D1B7F"/>
    <w:rsid w:val="005D467A"/>
    <w:rsid w:val="005D7702"/>
    <w:rsid w:val="005E7046"/>
    <w:rsid w:val="005F4CAB"/>
    <w:rsid w:val="006220C2"/>
    <w:rsid w:val="00623E31"/>
    <w:rsid w:val="00631946"/>
    <w:rsid w:val="00637EA4"/>
    <w:rsid w:val="006446FA"/>
    <w:rsid w:val="006512D7"/>
    <w:rsid w:val="00657FFA"/>
    <w:rsid w:val="006643BA"/>
    <w:rsid w:val="00677B14"/>
    <w:rsid w:val="00687CF7"/>
    <w:rsid w:val="0069299F"/>
    <w:rsid w:val="006A192B"/>
    <w:rsid w:val="006A5A8D"/>
    <w:rsid w:val="006C3127"/>
    <w:rsid w:val="006D2558"/>
    <w:rsid w:val="006D4CC0"/>
    <w:rsid w:val="006D5437"/>
    <w:rsid w:val="006D6138"/>
    <w:rsid w:val="006D6900"/>
    <w:rsid w:val="006E0936"/>
    <w:rsid w:val="006E2216"/>
    <w:rsid w:val="006E24B9"/>
    <w:rsid w:val="006E2A10"/>
    <w:rsid w:val="006F14CA"/>
    <w:rsid w:val="006F4AEF"/>
    <w:rsid w:val="006F5EAB"/>
    <w:rsid w:val="00703FB9"/>
    <w:rsid w:val="0070712E"/>
    <w:rsid w:val="0073259D"/>
    <w:rsid w:val="00733E99"/>
    <w:rsid w:val="00735F2B"/>
    <w:rsid w:val="0074000F"/>
    <w:rsid w:val="00741B04"/>
    <w:rsid w:val="007544B4"/>
    <w:rsid w:val="00760900"/>
    <w:rsid w:val="007638AD"/>
    <w:rsid w:val="00770922"/>
    <w:rsid w:val="0077123B"/>
    <w:rsid w:val="00771C84"/>
    <w:rsid w:val="00787BB6"/>
    <w:rsid w:val="007901BF"/>
    <w:rsid w:val="0079338F"/>
    <w:rsid w:val="007B0997"/>
    <w:rsid w:val="007C0F1B"/>
    <w:rsid w:val="007C7969"/>
    <w:rsid w:val="007C7E8B"/>
    <w:rsid w:val="007C7E94"/>
    <w:rsid w:val="007D39A6"/>
    <w:rsid w:val="007E7D9B"/>
    <w:rsid w:val="007F4FD6"/>
    <w:rsid w:val="007F5F30"/>
    <w:rsid w:val="008043F4"/>
    <w:rsid w:val="00805559"/>
    <w:rsid w:val="008055CF"/>
    <w:rsid w:val="00825448"/>
    <w:rsid w:val="00826CB5"/>
    <w:rsid w:val="00831BA9"/>
    <w:rsid w:val="00837795"/>
    <w:rsid w:val="00840699"/>
    <w:rsid w:val="00843FCB"/>
    <w:rsid w:val="00854FC2"/>
    <w:rsid w:val="00860AEA"/>
    <w:rsid w:val="008632C0"/>
    <w:rsid w:val="00871B57"/>
    <w:rsid w:val="008819CE"/>
    <w:rsid w:val="00882919"/>
    <w:rsid w:val="00884BF8"/>
    <w:rsid w:val="008907B1"/>
    <w:rsid w:val="008B36E0"/>
    <w:rsid w:val="008D7C5C"/>
    <w:rsid w:val="00900F70"/>
    <w:rsid w:val="009035B7"/>
    <w:rsid w:val="00904595"/>
    <w:rsid w:val="009055E1"/>
    <w:rsid w:val="00906840"/>
    <w:rsid w:val="00906B83"/>
    <w:rsid w:val="009212E7"/>
    <w:rsid w:val="00921F55"/>
    <w:rsid w:val="00933190"/>
    <w:rsid w:val="00941B3B"/>
    <w:rsid w:val="00941E75"/>
    <w:rsid w:val="00962D61"/>
    <w:rsid w:val="009632BC"/>
    <w:rsid w:val="00963C2B"/>
    <w:rsid w:val="00970B98"/>
    <w:rsid w:val="00971B02"/>
    <w:rsid w:val="009737AE"/>
    <w:rsid w:val="00980B61"/>
    <w:rsid w:val="0098748D"/>
    <w:rsid w:val="009B1BD0"/>
    <w:rsid w:val="009B405E"/>
    <w:rsid w:val="009D65AF"/>
    <w:rsid w:val="009D7469"/>
    <w:rsid w:val="009E0AA9"/>
    <w:rsid w:val="009E1CD7"/>
    <w:rsid w:val="009E5A9D"/>
    <w:rsid w:val="00A00358"/>
    <w:rsid w:val="00A13571"/>
    <w:rsid w:val="00A16167"/>
    <w:rsid w:val="00A20557"/>
    <w:rsid w:val="00A30C4B"/>
    <w:rsid w:val="00A3176E"/>
    <w:rsid w:val="00A35BD7"/>
    <w:rsid w:val="00A449CB"/>
    <w:rsid w:val="00A52B2F"/>
    <w:rsid w:val="00A6497E"/>
    <w:rsid w:val="00A65630"/>
    <w:rsid w:val="00A72450"/>
    <w:rsid w:val="00A737DC"/>
    <w:rsid w:val="00A7747B"/>
    <w:rsid w:val="00A80752"/>
    <w:rsid w:val="00A80C04"/>
    <w:rsid w:val="00A814DD"/>
    <w:rsid w:val="00A879AB"/>
    <w:rsid w:val="00AA0395"/>
    <w:rsid w:val="00AA47A5"/>
    <w:rsid w:val="00AA5531"/>
    <w:rsid w:val="00AE0E7F"/>
    <w:rsid w:val="00AF5477"/>
    <w:rsid w:val="00B0426D"/>
    <w:rsid w:val="00B12DCC"/>
    <w:rsid w:val="00B138B1"/>
    <w:rsid w:val="00B237B9"/>
    <w:rsid w:val="00B3127A"/>
    <w:rsid w:val="00B3638B"/>
    <w:rsid w:val="00B36BA9"/>
    <w:rsid w:val="00B371F2"/>
    <w:rsid w:val="00B42578"/>
    <w:rsid w:val="00B45849"/>
    <w:rsid w:val="00B543F8"/>
    <w:rsid w:val="00B65152"/>
    <w:rsid w:val="00B70C0D"/>
    <w:rsid w:val="00B73C03"/>
    <w:rsid w:val="00B74278"/>
    <w:rsid w:val="00B77E7C"/>
    <w:rsid w:val="00B82EC6"/>
    <w:rsid w:val="00B84CBA"/>
    <w:rsid w:val="00B935B4"/>
    <w:rsid w:val="00B94B56"/>
    <w:rsid w:val="00B95A3E"/>
    <w:rsid w:val="00BA0AB4"/>
    <w:rsid w:val="00BA1129"/>
    <w:rsid w:val="00BB0CB2"/>
    <w:rsid w:val="00BC7F54"/>
    <w:rsid w:val="00BD089D"/>
    <w:rsid w:val="00BE02D8"/>
    <w:rsid w:val="00BE6125"/>
    <w:rsid w:val="00BE6381"/>
    <w:rsid w:val="00BE729F"/>
    <w:rsid w:val="00BF6664"/>
    <w:rsid w:val="00C0155F"/>
    <w:rsid w:val="00C01D67"/>
    <w:rsid w:val="00C21E20"/>
    <w:rsid w:val="00C37BF5"/>
    <w:rsid w:val="00C41458"/>
    <w:rsid w:val="00C451DE"/>
    <w:rsid w:val="00C47A02"/>
    <w:rsid w:val="00C50340"/>
    <w:rsid w:val="00C50BF1"/>
    <w:rsid w:val="00C63E7C"/>
    <w:rsid w:val="00C746FF"/>
    <w:rsid w:val="00C8534B"/>
    <w:rsid w:val="00C97E35"/>
    <w:rsid w:val="00CA180C"/>
    <w:rsid w:val="00CA5050"/>
    <w:rsid w:val="00CB5413"/>
    <w:rsid w:val="00CC7AEF"/>
    <w:rsid w:val="00CD0F4D"/>
    <w:rsid w:val="00CD1C1D"/>
    <w:rsid w:val="00CD6EE4"/>
    <w:rsid w:val="00CE5467"/>
    <w:rsid w:val="00CE547E"/>
    <w:rsid w:val="00CE7E35"/>
    <w:rsid w:val="00CF1851"/>
    <w:rsid w:val="00CF7496"/>
    <w:rsid w:val="00D01B57"/>
    <w:rsid w:val="00D1316E"/>
    <w:rsid w:val="00D154F1"/>
    <w:rsid w:val="00D1608C"/>
    <w:rsid w:val="00D251B3"/>
    <w:rsid w:val="00D2596D"/>
    <w:rsid w:val="00D25B69"/>
    <w:rsid w:val="00D262BB"/>
    <w:rsid w:val="00D30676"/>
    <w:rsid w:val="00D328C0"/>
    <w:rsid w:val="00D32957"/>
    <w:rsid w:val="00D47160"/>
    <w:rsid w:val="00D62851"/>
    <w:rsid w:val="00D63CC6"/>
    <w:rsid w:val="00D772F6"/>
    <w:rsid w:val="00D9252A"/>
    <w:rsid w:val="00D95718"/>
    <w:rsid w:val="00DA228B"/>
    <w:rsid w:val="00DA4E49"/>
    <w:rsid w:val="00DA5440"/>
    <w:rsid w:val="00DA67C9"/>
    <w:rsid w:val="00DA7BD7"/>
    <w:rsid w:val="00DA7F6C"/>
    <w:rsid w:val="00DB0395"/>
    <w:rsid w:val="00DC5FF9"/>
    <w:rsid w:val="00DC64A4"/>
    <w:rsid w:val="00DD5BB0"/>
    <w:rsid w:val="00DD633C"/>
    <w:rsid w:val="00DE587B"/>
    <w:rsid w:val="00DF59AD"/>
    <w:rsid w:val="00E02085"/>
    <w:rsid w:val="00E17937"/>
    <w:rsid w:val="00E41989"/>
    <w:rsid w:val="00E43B60"/>
    <w:rsid w:val="00E43F53"/>
    <w:rsid w:val="00E63258"/>
    <w:rsid w:val="00E90E57"/>
    <w:rsid w:val="00EA437E"/>
    <w:rsid w:val="00EC6732"/>
    <w:rsid w:val="00ED343F"/>
    <w:rsid w:val="00ED6846"/>
    <w:rsid w:val="00EE080A"/>
    <w:rsid w:val="00EE28AA"/>
    <w:rsid w:val="00EE5350"/>
    <w:rsid w:val="00EF3DC1"/>
    <w:rsid w:val="00EF4E65"/>
    <w:rsid w:val="00F07BC5"/>
    <w:rsid w:val="00F32AC1"/>
    <w:rsid w:val="00F32D29"/>
    <w:rsid w:val="00F3521D"/>
    <w:rsid w:val="00F3650E"/>
    <w:rsid w:val="00F4367D"/>
    <w:rsid w:val="00F46DCA"/>
    <w:rsid w:val="00F47106"/>
    <w:rsid w:val="00F5294C"/>
    <w:rsid w:val="00F5459B"/>
    <w:rsid w:val="00F60A93"/>
    <w:rsid w:val="00F61F2B"/>
    <w:rsid w:val="00F75B55"/>
    <w:rsid w:val="00F868D2"/>
    <w:rsid w:val="00F91E6C"/>
    <w:rsid w:val="00FB3A05"/>
    <w:rsid w:val="00FB4DAD"/>
    <w:rsid w:val="00FB5D7E"/>
    <w:rsid w:val="00FB6618"/>
    <w:rsid w:val="00FC16CA"/>
    <w:rsid w:val="00FD12E8"/>
    <w:rsid w:val="00FE7796"/>
    <w:rsid w:val="00FF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5A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rsid w:val="00AF5477"/>
    <w:pPr>
      <w:keepNext/>
      <w:numPr>
        <w:numId w:val="37"/>
      </w:numPr>
      <w:spacing w:after="120"/>
      <w:outlineLvl w:val="0"/>
    </w:pPr>
    <w:rPr>
      <w:rFonts w:ascii="Arial" w:hAnsi="Arial"/>
      <w:b/>
      <w:kern w:val="28"/>
    </w:rPr>
  </w:style>
  <w:style w:type="paragraph" w:styleId="Heading2">
    <w:name w:val="heading 2"/>
    <w:basedOn w:val="Normal"/>
    <w:next w:val="sub1"/>
    <w:qFormat/>
    <w:pPr>
      <w:keepNext/>
      <w:numPr>
        <w:ilvl w:val="1"/>
        <w:numId w:val="37"/>
      </w:numPr>
      <w:spacing w:before="120" w:after="120"/>
      <w:outlineLvl w:val="1"/>
    </w:pPr>
    <w:rPr>
      <w:rFonts w:ascii="Helvetica" w:hAnsi="Helvetica"/>
      <w:b/>
      <w:i/>
    </w:rPr>
  </w:style>
  <w:style w:type="paragraph" w:styleId="Heading3">
    <w:name w:val="heading 3"/>
    <w:basedOn w:val="Normal"/>
    <w:next w:val="sub2"/>
    <w:qFormat/>
    <w:pPr>
      <w:keepNext/>
      <w:numPr>
        <w:ilvl w:val="2"/>
        <w:numId w:val="37"/>
      </w:numPr>
      <w:spacing w:before="120" w:after="120"/>
      <w:outlineLvl w:val="2"/>
    </w:pPr>
    <w:rPr>
      <w:rFonts w:ascii="Helvetica" w:hAnsi="Helvetica"/>
      <w:b/>
    </w:rPr>
  </w:style>
  <w:style w:type="paragraph" w:styleId="Heading4">
    <w:name w:val="heading 4"/>
    <w:basedOn w:val="Normal"/>
    <w:next w:val="sub3"/>
    <w:qFormat/>
    <w:pPr>
      <w:keepNext/>
      <w:numPr>
        <w:ilvl w:val="3"/>
        <w:numId w:val="37"/>
      </w:numPr>
      <w:spacing w:before="120" w:after="60"/>
      <w:outlineLvl w:val="3"/>
    </w:pPr>
    <w:rPr>
      <w:rFonts w:ascii="Helvetica" w:hAnsi="Helvetica"/>
      <w:b/>
      <w:i/>
    </w:rPr>
  </w:style>
  <w:style w:type="paragraph" w:styleId="Heading5">
    <w:name w:val="heading 5"/>
    <w:basedOn w:val="Normal"/>
    <w:next w:val="sub4"/>
    <w:qFormat/>
    <w:pPr>
      <w:numPr>
        <w:ilvl w:val="4"/>
        <w:numId w:val="37"/>
      </w:numPr>
      <w:spacing w:before="120" w:after="120"/>
      <w:outlineLvl w:val="4"/>
    </w:pPr>
    <w:rPr>
      <w:rFonts w:ascii="Helvetica" w:hAnsi="Helvetica"/>
      <w:b/>
    </w:rPr>
  </w:style>
  <w:style w:type="paragraph" w:styleId="Heading6">
    <w:name w:val="heading 6"/>
    <w:basedOn w:val="Normal"/>
    <w:next w:val="Normal"/>
    <w:link w:val="Heading6Char"/>
    <w:semiHidden/>
    <w:unhideWhenUsed/>
    <w:qFormat/>
    <w:rsid w:val="00CE5467"/>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46DCA"/>
    <w:pPr>
      <w:spacing w:after="120"/>
    </w:pPr>
    <w:rPr>
      <w:rFonts w:ascii="Book Antiqua" w:hAnsi="Book Antiqua"/>
      <w:sz w:val="22"/>
    </w:rPr>
  </w:style>
  <w:style w:type="character" w:styleId="FootnoteReference">
    <w:name w:val="footnote reference"/>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link w:val="quoteChar"/>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rsid w:val="00D154F1"/>
    <w:pPr>
      <w:jc w:val="center"/>
    </w:pPr>
    <w:rPr>
      <w:rFonts w:ascii="Arial" w:hAnsi="Arial"/>
      <w:b/>
    </w:rPr>
  </w:style>
  <w:style w:type="paragraph" w:customStyle="1" w:styleId="mainex">
    <w:name w:val="mainex"/>
    <w:basedOn w:val="main"/>
    <w:rPr>
      <w:spacing w:val="120"/>
    </w:rPr>
  </w:style>
  <w:style w:type="paragraph" w:customStyle="1" w:styleId="num1">
    <w:name w:val="num1"/>
    <w:basedOn w:val="Normal"/>
    <w:rsid w:val="002166DB"/>
    <w:pPr>
      <w:numPr>
        <w:numId w:val="29"/>
      </w:num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character" w:styleId="PageNumber">
    <w:name w:val="page number"/>
    <w:basedOn w:val="DefaultParagraphFont"/>
  </w:style>
  <w:style w:type="paragraph" w:styleId="BlockText">
    <w:name w:val="Block Text"/>
    <w:basedOn w:val="Normal"/>
    <w:pPr>
      <w:tabs>
        <w:tab w:val="left" w:pos="0"/>
      </w:tabs>
      <w:ind w:left="1440" w:right="1440"/>
    </w:pPr>
    <w:rPr>
      <w:sz w:val="24"/>
    </w:rPr>
  </w:style>
  <w:style w:type="paragraph" w:customStyle="1" w:styleId="sub1">
    <w:name w:val="sub1"/>
    <w:basedOn w:val="Normal"/>
    <w:rsid w:val="005819CE"/>
    <w:pPr>
      <w:spacing w:before="120" w:after="120"/>
      <w:ind w:left="1170" w:right="1440" w:hanging="450"/>
    </w:pPr>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spacing w:line="360" w:lineRule="auto"/>
      <w:ind w:firstLine="3600"/>
    </w:pPr>
  </w:style>
  <w:style w:type="character" w:customStyle="1" w:styleId="standardChar">
    <w:name w:val="standard Char"/>
    <w:link w:val="standard"/>
    <w:rPr>
      <w:rFonts w:ascii="Palatino" w:hAnsi="Palatino"/>
      <w:sz w:val="26"/>
      <w:lang w:val="en-US" w:eastAsia="en-US" w:bidi="ar-SA"/>
    </w:rPr>
  </w:style>
  <w:style w:type="character" w:customStyle="1" w:styleId="quoteChar">
    <w:name w:val="quote Char"/>
    <w:basedOn w:val="standardChar"/>
    <w:link w:val="Quote1"/>
    <w:rPr>
      <w:rFonts w:ascii="Palatino" w:hAnsi="Palatino"/>
      <w:sz w:val="26"/>
      <w:lang w:val="en-US" w:eastAsia="en-US" w:bidi="ar-SA"/>
    </w:rPr>
  </w:style>
  <w:style w:type="paragraph" w:customStyle="1" w:styleId="no1">
    <w:name w:val="no.1"/>
    <w:basedOn w:val="standard"/>
    <w:pPr>
      <w:tabs>
        <w:tab w:val="left" w:pos="1080"/>
      </w:tabs>
      <w:spacing w:after="120" w:line="240" w:lineRule="auto"/>
      <w:ind w:left="1080" w:right="994" w:hanging="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25448"/>
    <w:pPr>
      <w:spacing w:before="100" w:beforeAutospacing="1" w:after="100" w:afterAutospacing="1"/>
    </w:pPr>
    <w:rPr>
      <w:rFonts w:ascii="Times New Roman" w:hAnsi="Times New Roman"/>
      <w:sz w:val="24"/>
      <w:szCs w:val="24"/>
    </w:rPr>
  </w:style>
  <w:style w:type="character" w:styleId="Hyperlink">
    <w:name w:val="Hyperlink"/>
    <w:rsid w:val="00825448"/>
    <w:rPr>
      <w:color w:val="0000FF"/>
      <w:u w:val="single"/>
    </w:rPr>
  </w:style>
  <w:style w:type="paragraph" w:customStyle="1" w:styleId="msolistparagraphcxspmiddle">
    <w:name w:val="msolistparagraphcxspmiddle"/>
    <w:basedOn w:val="Normal"/>
    <w:rsid w:val="00056BEE"/>
    <w:pPr>
      <w:spacing w:before="100" w:beforeAutospacing="1" w:after="100" w:afterAutospacing="1"/>
    </w:pPr>
    <w:rPr>
      <w:rFonts w:ascii="Times New Roman" w:hAnsi="Times New Roman"/>
      <w:sz w:val="24"/>
      <w:szCs w:val="24"/>
    </w:rPr>
  </w:style>
  <w:style w:type="character" w:customStyle="1" w:styleId="FootnoteTextChar">
    <w:name w:val="Footnote Text Char"/>
    <w:link w:val="FootnoteText"/>
    <w:semiHidden/>
    <w:rsid w:val="00F46DCA"/>
    <w:rPr>
      <w:rFonts w:ascii="Book Antiqua" w:hAnsi="Book Antiqua"/>
      <w:sz w:val="22"/>
    </w:rPr>
  </w:style>
  <w:style w:type="character" w:styleId="CommentReference">
    <w:name w:val="annotation reference"/>
    <w:basedOn w:val="DefaultParagraphFont"/>
    <w:semiHidden/>
    <w:unhideWhenUsed/>
    <w:rsid w:val="00DD633C"/>
    <w:rPr>
      <w:sz w:val="16"/>
      <w:szCs w:val="16"/>
    </w:rPr>
  </w:style>
  <w:style w:type="paragraph" w:styleId="CommentText">
    <w:name w:val="annotation text"/>
    <w:basedOn w:val="Normal"/>
    <w:link w:val="CommentTextChar"/>
    <w:semiHidden/>
    <w:unhideWhenUsed/>
    <w:rsid w:val="00DD633C"/>
    <w:rPr>
      <w:sz w:val="20"/>
    </w:rPr>
  </w:style>
  <w:style w:type="character" w:customStyle="1" w:styleId="CommentTextChar">
    <w:name w:val="Comment Text Char"/>
    <w:basedOn w:val="DefaultParagraphFont"/>
    <w:link w:val="CommentText"/>
    <w:semiHidden/>
    <w:rsid w:val="00DD633C"/>
    <w:rPr>
      <w:rFonts w:ascii="Palatino" w:hAnsi="Palatino"/>
    </w:rPr>
  </w:style>
  <w:style w:type="paragraph" w:styleId="CommentSubject">
    <w:name w:val="annotation subject"/>
    <w:basedOn w:val="CommentText"/>
    <w:next w:val="CommentText"/>
    <w:link w:val="CommentSubjectChar"/>
    <w:semiHidden/>
    <w:unhideWhenUsed/>
    <w:rsid w:val="00DD633C"/>
    <w:rPr>
      <w:b/>
      <w:bCs/>
    </w:rPr>
  </w:style>
  <w:style w:type="character" w:customStyle="1" w:styleId="CommentSubjectChar">
    <w:name w:val="Comment Subject Char"/>
    <w:basedOn w:val="CommentTextChar"/>
    <w:link w:val="CommentSubject"/>
    <w:semiHidden/>
    <w:rsid w:val="00DD633C"/>
    <w:rPr>
      <w:rFonts w:ascii="Palatino" w:hAnsi="Palatino"/>
      <w:b/>
      <w:bCs/>
    </w:rPr>
  </w:style>
  <w:style w:type="paragraph" w:styleId="BalloonText">
    <w:name w:val="Balloon Text"/>
    <w:basedOn w:val="Normal"/>
    <w:link w:val="BalloonTextChar"/>
    <w:semiHidden/>
    <w:unhideWhenUsed/>
    <w:rsid w:val="00DD633C"/>
    <w:rPr>
      <w:rFonts w:ascii="Segoe UI" w:hAnsi="Segoe UI" w:cs="Segoe UI"/>
      <w:sz w:val="18"/>
      <w:szCs w:val="18"/>
    </w:rPr>
  </w:style>
  <w:style w:type="character" w:customStyle="1" w:styleId="BalloonTextChar">
    <w:name w:val="Balloon Text Char"/>
    <w:basedOn w:val="DefaultParagraphFont"/>
    <w:link w:val="BalloonText"/>
    <w:semiHidden/>
    <w:rsid w:val="00DD633C"/>
    <w:rPr>
      <w:rFonts w:ascii="Segoe UI" w:hAnsi="Segoe UI" w:cs="Segoe UI"/>
      <w:sz w:val="18"/>
      <w:szCs w:val="18"/>
    </w:rPr>
  </w:style>
  <w:style w:type="character" w:customStyle="1" w:styleId="UnresolvedMention1">
    <w:name w:val="Unresolved Mention1"/>
    <w:basedOn w:val="DefaultParagraphFont"/>
    <w:uiPriority w:val="99"/>
    <w:unhideWhenUsed/>
    <w:rsid w:val="005D467A"/>
    <w:rPr>
      <w:color w:val="605E5C"/>
      <w:shd w:val="clear" w:color="auto" w:fill="E1DFDD"/>
    </w:rPr>
  </w:style>
  <w:style w:type="character" w:styleId="FollowedHyperlink">
    <w:name w:val="FollowedHyperlink"/>
    <w:basedOn w:val="DefaultParagraphFont"/>
    <w:semiHidden/>
    <w:unhideWhenUsed/>
    <w:rsid w:val="005D467A"/>
    <w:rPr>
      <w:color w:val="800080" w:themeColor="followedHyperlink"/>
      <w:u w:val="single"/>
    </w:rPr>
  </w:style>
  <w:style w:type="paragraph" w:styleId="Revision">
    <w:name w:val="Revision"/>
    <w:hidden/>
    <w:uiPriority w:val="99"/>
    <w:semiHidden/>
    <w:rsid w:val="00EF3DC1"/>
    <w:rPr>
      <w:rFonts w:ascii="Palatino" w:hAnsi="Palatino"/>
      <w:sz w:val="26"/>
    </w:rPr>
  </w:style>
  <w:style w:type="character" w:customStyle="1" w:styleId="Heading6Char">
    <w:name w:val="Heading 6 Char"/>
    <w:basedOn w:val="DefaultParagraphFont"/>
    <w:link w:val="Heading6"/>
    <w:semiHidden/>
    <w:rsid w:val="00CE5467"/>
    <w:rPr>
      <w:rFonts w:asciiTheme="majorHAnsi" w:eastAsiaTheme="majorEastAsia" w:hAnsiTheme="majorHAnsi" w:cstheme="majorBidi"/>
      <w:color w:val="243F60" w:themeColor="accent1" w:themeShade="7F"/>
      <w:sz w:val="26"/>
    </w:rPr>
  </w:style>
  <w:style w:type="paragraph" w:customStyle="1" w:styleId="ListNum">
    <w:name w:val="List Num"/>
    <w:basedOn w:val="Normal"/>
    <w:rsid w:val="00CE5467"/>
    <w:pPr>
      <w:numPr>
        <w:ilvl w:val="6"/>
        <w:numId w:val="37"/>
      </w:numPr>
    </w:pPr>
  </w:style>
  <w:style w:type="paragraph" w:customStyle="1" w:styleId="ListAlpha">
    <w:name w:val="List Alpha"/>
    <w:basedOn w:val="Normal"/>
    <w:rsid w:val="00CE5467"/>
    <w:pPr>
      <w:numPr>
        <w:ilvl w:val="7"/>
        <w:numId w:val="37"/>
      </w:numPr>
    </w:pPr>
  </w:style>
  <w:style w:type="character" w:customStyle="1" w:styleId="HeaderChar">
    <w:name w:val="Header Char"/>
    <w:basedOn w:val="DefaultParagraphFont"/>
    <w:link w:val="Header"/>
    <w:uiPriority w:val="99"/>
    <w:rsid w:val="00980B61"/>
    <w:rPr>
      <w:rFonts w:ascii="Palatino" w:hAnsi="Palatino"/>
      <w:sz w:val="26"/>
    </w:rPr>
  </w:style>
  <w:style w:type="paragraph" w:styleId="TOCHeading">
    <w:name w:val="TOC Heading"/>
    <w:basedOn w:val="Heading1"/>
    <w:next w:val="Normal"/>
    <w:uiPriority w:val="39"/>
    <w:semiHidden/>
    <w:unhideWhenUsed/>
    <w:qFormat/>
    <w:rsid w:val="0048585D"/>
    <w:pPr>
      <w:keepLines/>
      <w:numPr>
        <w:numId w:val="0"/>
      </w:numPr>
      <w:spacing w:before="240" w:after="0"/>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79411">
      <w:bodyDiv w:val="1"/>
      <w:marLeft w:val="0"/>
      <w:marRight w:val="0"/>
      <w:marTop w:val="0"/>
      <w:marBottom w:val="0"/>
      <w:divBdr>
        <w:top w:val="none" w:sz="0" w:space="0" w:color="auto"/>
        <w:left w:val="none" w:sz="0" w:space="0" w:color="auto"/>
        <w:bottom w:val="none" w:sz="0" w:space="0" w:color="auto"/>
        <w:right w:val="none" w:sz="0" w:space="0" w:color="auto"/>
      </w:divBdr>
    </w:div>
    <w:div w:id="443040422">
      <w:bodyDiv w:val="1"/>
      <w:marLeft w:val="0"/>
      <w:marRight w:val="0"/>
      <w:marTop w:val="0"/>
      <w:marBottom w:val="0"/>
      <w:divBdr>
        <w:top w:val="none" w:sz="0" w:space="0" w:color="auto"/>
        <w:left w:val="none" w:sz="0" w:space="0" w:color="auto"/>
        <w:bottom w:val="none" w:sz="0" w:space="0" w:color="auto"/>
        <w:right w:val="none" w:sz="0" w:space="0" w:color="auto"/>
      </w:divBdr>
    </w:div>
    <w:div w:id="537014440">
      <w:bodyDiv w:val="1"/>
      <w:marLeft w:val="0"/>
      <w:marRight w:val="0"/>
      <w:marTop w:val="0"/>
      <w:marBottom w:val="0"/>
      <w:divBdr>
        <w:top w:val="none" w:sz="0" w:space="0" w:color="auto"/>
        <w:left w:val="none" w:sz="0" w:space="0" w:color="auto"/>
        <w:bottom w:val="none" w:sz="0" w:space="0" w:color="auto"/>
        <w:right w:val="none" w:sz="0" w:space="0" w:color="auto"/>
      </w:divBdr>
    </w:div>
    <w:div w:id="1147162606">
      <w:bodyDiv w:val="1"/>
      <w:marLeft w:val="0"/>
      <w:marRight w:val="0"/>
      <w:marTop w:val="0"/>
      <w:marBottom w:val="0"/>
      <w:divBdr>
        <w:top w:val="none" w:sz="0" w:space="0" w:color="auto"/>
        <w:left w:val="none" w:sz="0" w:space="0" w:color="auto"/>
        <w:bottom w:val="none" w:sz="0" w:space="0" w:color="auto"/>
        <w:right w:val="none" w:sz="0" w:space="0" w:color="auto"/>
      </w:divBdr>
    </w:div>
    <w:div w:id="1361277672">
      <w:bodyDiv w:val="1"/>
      <w:marLeft w:val="0"/>
      <w:marRight w:val="0"/>
      <w:marTop w:val="0"/>
      <w:marBottom w:val="0"/>
      <w:divBdr>
        <w:top w:val="none" w:sz="0" w:space="0" w:color="auto"/>
        <w:left w:val="none" w:sz="0" w:space="0" w:color="auto"/>
        <w:bottom w:val="none" w:sz="0" w:space="0" w:color="auto"/>
        <w:right w:val="none" w:sz="0" w:space="0" w:color="auto"/>
      </w:divBdr>
    </w:div>
    <w:div w:id="15355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2" ma:contentTypeDescription="Create a new document." ma:contentTypeScope="" ma:versionID="4225d45ddd1a7a5828db1e92e0ebaa6f">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a878a72dfcf12e16a82a81229ed307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99074-814B-4649-81B3-9152D2EF98F7}">
  <ds:schemaRefs>
    <ds:schemaRef ds:uri="http://schemas.openxmlformats.org/officeDocument/2006/bibliography"/>
  </ds:schemaRefs>
</ds:datastoreItem>
</file>

<file path=customXml/itemProps2.xml><?xml version="1.0" encoding="utf-8"?>
<ds:datastoreItem xmlns:ds="http://schemas.openxmlformats.org/officeDocument/2006/customXml" ds:itemID="{B35E405C-1802-431B-B299-8B428CDFABC6}">
  <ds:schemaRefs>
    <ds:schemaRef ds:uri="http://schemas.microsoft.com/sharepoint/v3/contenttype/forms"/>
  </ds:schemaRefs>
</ds:datastoreItem>
</file>

<file path=customXml/itemProps3.xml><?xml version="1.0" encoding="utf-8"?>
<ds:datastoreItem xmlns:ds="http://schemas.openxmlformats.org/officeDocument/2006/customXml" ds:itemID="{6C52B17E-09B1-4FD1-A5BA-0FCC51BBA73D}">
  <ds:schemaRefs>
    <ds:schemaRef ds:uri="http://schemas.microsoft.com/office/2006/metadata/properties"/>
    <ds:schemaRef ds:uri="http://schemas.microsoft.com/office/infopath/2007/PartnerControls"/>
    <ds:schemaRef ds:uri="ef7e321c-44a6-4cb5-81f0-0bfd95ece253"/>
    <ds:schemaRef ds:uri="40c2bee6-72d2-4c4b-bbf2-19a975248824"/>
  </ds:schemaRefs>
</ds:datastoreItem>
</file>

<file path=customXml/itemProps4.xml><?xml version="1.0" encoding="utf-8"?>
<ds:datastoreItem xmlns:ds="http://schemas.openxmlformats.org/officeDocument/2006/customXml" ds:itemID="{BD557ABD-F124-4BCC-9F44-1BF7C60E4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907</ap:Words>
  <ap:Characters>5175</ap:Characters>
  <ap:Application>Microsoft Office Word</ap:Application>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BEFORE THE PUBLIC UTILITIES COMMISSION OF THE STATE OF CALIFORNIA</vt:lpstr>
    </vt:vector>
  </ap:TitlesOfParts>
  <ap:Company/>
  <ap:LinksUpToDate>false</ap:LinksUpToDate>
  <ap:CharactersWithSpaces>6070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2020-03-09T22:25:00Z</cp:lastPrinted>
  <dcterms:created xsi:type="dcterms:W3CDTF">2023-12-06T09:38:12Z</dcterms:created>
  <dcterms:modified xsi:type="dcterms:W3CDTF">2023-12-06T09:38:12Z</dcterms:modified>
</cp:coreProperties>
</file>