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71E" w:rsidP="001C55F5" w:rsidRDefault="008C271E" w14:paraId="54A61650" w14:textId="1CA60E93">
      <w:pPr>
        <w:suppressAutoHyphens/>
        <w:rPr>
          <w:color w:val="000000"/>
        </w:rPr>
      </w:pPr>
      <w:r>
        <w:rPr>
          <w:color w:val="000000"/>
        </w:rPr>
        <w:t>ALJ/SW9/</w:t>
      </w:r>
      <w:proofErr w:type="spellStart"/>
      <w:r>
        <w:rPr>
          <w:color w:val="000000"/>
        </w:rPr>
        <w:t>sgu</w:t>
      </w:r>
      <w:proofErr w:type="spellEnd"/>
      <w:r w:rsidRPr="00610C70">
        <w:rPr>
          <w:b/>
          <w:bCs/>
          <w:color w:val="000000"/>
        </w:rPr>
        <w:t xml:space="preserve"> </w:t>
      </w:r>
      <w:r>
        <w:rPr>
          <w:b/>
          <w:bCs/>
          <w:color w:val="000000"/>
        </w:rPr>
        <w:tab/>
      </w:r>
      <w:r>
        <w:rPr>
          <w:b/>
          <w:bCs/>
          <w:color w:val="000000"/>
        </w:rPr>
        <w:tab/>
      </w:r>
      <w:r w:rsidR="001C55F5">
        <w:rPr>
          <w:b/>
          <w:bCs/>
          <w:color w:val="000000"/>
        </w:rPr>
        <w:tab/>
      </w:r>
      <w:r w:rsidR="001C55F5">
        <w:rPr>
          <w:b/>
          <w:bCs/>
          <w:color w:val="000000"/>
        </w:rPr>
        <w:tab/>
      </w:r>
      <w:r w:rsidR="001C55F5">
        <w:rPr>
          <w:b/>
          <w:bCs/>
          <w:color w:val="000000"/>
        </w:rPr>
        <w:tab/>
      </w:r>
      <w:r w:rsidR="001C55F5">
        <w:rPr>
          <w:b/>
          <w:bCs/>
          <w:color w:val="000000"/>
        </w:rPr>
        <w:tab/>
      </w:r>
      <w:r w:rsidR="001C55F5">
        <w:rPr>
          <w:b/>
          <w:bCs/>
          <w:color w:val="000000"/>
        </w:rPr>
        <w:tab/>
      </w:r>
      <w:proofErr w:type="gramStart"/>
      <w:r w:rsidR="001C55F5">
        <w:rPr>
          <w:b/>
          <w:bCs/>
          <w:color w:val="000000"/>
        </w:rPr>
        <w:tab/>
        <w:t xml:space="preserve">  Date</w:t>
      </w:r>
      <w:proofErr w:type="gramEnd"/>
      <w:r w:rsidR="001C55F5">
        <w:rPr>
          <w:b/>
          <w:bCs/>
          <w:color w:val="000000"/>
        </w:rPr>
        <w:t xml:space="preserve"> of Issuance 12/6/2023</w:t>
      </w:r>
    </w:p>
    <w:p w:rsidR="008C271E" w:rsidP="007953BE" w:rsidRDefault="008C271E" w14:paraId="59F9F20E" w14:textId="77777777">
      <w:pPr>
        <w:suppressAutoHyphens/>
        <w:rPr>
          <w:color w:val="000000"/>
        </w:rPr>
      </w:pPr>
    </w:p>
    <w:p w:rsidR="008C271E" w:rsidP="007953BE" w:rsidRDefault="008C271E" w14:paraId="653941D3" w14:textId="77777777">
      <w:pPr>
        <w:suppressAutoHyphens/>
        <w:rPr>
          <w:color w:val="000000"/>
        </w:rPr>
      </w:pPr>
    </w:p>
    <w:p w:rsidRPr="007F620E" w:rsidR="00A92D0B" w:rsidP="007953BE" w:rsidRDefault="00A92D0B" w14:paraId="6D327C87" w14:textId="3A33F5F1">
      <w:pPr>
        <w:suppressAutoHyphens/>
        <w:rPr>
          <w:color w:val="000000"/>
        </w:rPr>
      </w:pPr>
      <w:r w:rsidRPr="007F620E">
        <w:rPr>
          <w:color w:val="000000"/>
        </w:rPr>
        <w:t>Decision</w:t>
      </w:r>
      <w:r w:rsidR="001C55F5">
        <w:rPr>
          <w:color w:val="000000"/>
        </w:rPr>
        <w:t xml:space="preserve"> 23-11-</w:t>
      </w:r>
      <w:proofErr w:type="gramStart"/>
      <w:r w:rsidR="001C55F5">
        <w:rPr>
          <w:color w:val="000000"/>
        </w:rPr>
        <w:t>117  November</w:t>
      </w:r>
      <w:proofErr w:type="gramEnd"/>
      <w:r w:rsidR="001C55F5">
        <w:rPr>
          <w:color w:val="000000"/>
        </w:rPr>
        <w:t xml:space="preserve"> 30, 2023</w:t>
      </w:r>
    </w:p>
    <w:p w:rsidRPr="007F620E" w:rsidR="00A92D0B" w:rsidRDefault="00A92D0B" w14:paraId="44E03231" w14:textId="77777777">
      <w:pPr>
        <w:pStyle w:val="titlebar"/>
        <w:rPr>
          <w:rFonts w:ascii="Times New Roman" w:hAnsi="Times New Roman"/>
          <w:color w:val="000000"/>
          <w:sz w:val="24"/>
          <w:szCs w:val="24"/>
        </w:rPr>
      </w:pPr>
    </w:p>
    <w:p w:rsidRPr="0057088A" w:rsidR="00A92D0B" w:rsidRDefault="00A92D0B" w14:paraId="67F2520C" w14:textId="77777777">
      <w:pPr>
        <w:pStyle w:val="titlebar"/>
        <w:rPr>
          <w:rFonts w:ascii="Arial" w:hAnsi="Arial"/>
          <w:color w:val="000000"/>
          <w:sz w:val="24"/>
          <w:szCs w:val="24"/>
        </w:rPr>
      </w:pPr>
      <w:r w:rsidRPr="0057088A">
        <w:rPr>
          <w:rFonts w:ascii="Arial" w:hAnsi="Arial"/>
          <w:color w:val="000000"/>
          <w:sz w:val="24"/>
          <w:szCs w:val="24"/>
        </w:rPr>
        <w:t>BEFORE THE PUBLIC UTILITIES COMMISSION OF THE STATE OF CALIFORNIA</w:t>
      </w:r>
    </w:p>
    <w:p w:rsidRPr="007F620E" w:rsidR="00A92D0B" w:rsidRDefault="00A92D0B" w14:paraId="564284CD" w14:textId="77777777">
      <w:pPr>
        <w:suppressAutoHyphens/>
        <w:rPr>
          <w:color w:val="000000"/>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4950"/>
        <w:gridCol w:w="4878"/>
      </w:tblGrid>
      <w:tr w:rsidRPr="00D615BE" w:rsidR="00A92D0B" w:rsidTr="008C271E" w14:paraId="3942D7B4" w14:textId="77777777">
        <w:tc>
          <w:tcPr>
            <w:tcW w:w="4950" w:type="dxa"/>
            <w:shd w:val="clear" w:color="auto" w:fill="auto"/>
          </w:tcPr>
          <w:p w:rsidR="00A92D0B" w:rsidP="00F6363B" w:rsidRDefault="00B07134" w14:paraId="094328C5" w14:textId="77777777">
            <w:pPr>
              <w:tabs>
                <w:tab w:val="left" w:pos="1440"/>
                <w:tab w:val="left" w:pos="3600"/>
              </w:tabs>
            </w:pPr>
            <w:r w:rsidRPr="00D615BE">
              <w:t xml:space="preserve">Order Instituting Rulemaking to Update the California Telephone Service (California </w:t>
            </w:r>
            <w:proofErr w:type="spellStart"/>
            <w:r w:rsidRPr="00D615BE">
              <w:t>LifeLine</w:t>
            </w:r>
            <w:proofErr w:type="spellEnd"/>
            <w:r w:rsidRPr="00D615BE">
              <w:t>) Program.</w:t>
            </w:r>
          </w:p>
          <w:p w:rsidRPr="00D615BE" w:rsidR="00C35717" w:rsidP="00F6363B" w:rsidRDefault="00C35717" w14:paraId="47850BD9" w14:textId="7FB7D3DB">
            <w:pPr>
              <w:tabs>
                <w:tab w:val="left" w:pos="1440"/>
                <w:tab w:val="left" w:pos="3600"/>
              </w:tabs>
            </w:pPr>
          </w:p>
        </w:tc>
        <w:tc>
          <w:tcPr>
            <w:tcW w:w="4878" w:type="dxa"/>
            <w:tcBorders>
              <w:top w:val="nil"/>
              <w:bottom w:val="nil"/>
            </w:tcBorders>
            <w:shd w:val="clear" w:color="auto" w:fill="auto"/>
          </w:tcPr>
          <w:p w:rsidR="008C271E" w:rsidP="008C271E" w:rsidRDefault="008C271E" w14:paraId="6AC4D09C" w14:textId="77777777">
            <w:pPr>
              <w:tabs>
                <w:tab w:val="left" w:pos="1440"/>
                <w:tab w:val="left" w:pos="3600"/>
              </w:tabs>
              <w:jc w:val="center"/>
            </w:pPr>
          </w:p>
          <w:p w:rsidRPr="00D615BE" w:rsidR="00A92D0B" w:rsidP="008C271E" w:rsidRDefault="00B07134" w14:paraId="56246C5B" w14:textId="571564B1">
            <w:pPr>
              <w:tabs>
                <w:tab w:val="left" w:pos="1440"/>
                <w:tab w:val="left" w:pos="3600"/>
              </w:tabs>
              <w:jc w:val="center"/>
            </w:pPr>
            <w:r w:rsidRPr="00D615BE">
              <w:t>R</w:t>
            </w:r>
            <w:r w:rsidR="008C271E">
              <w:t xml:space="preserve">ulemaking </w:t>
            </w:r>
            <w:r w:rsidRPr="00D615BE">
              <w:t>20-02-008</w:t>
            </w:r>
          </w:p>
          <w:p w:rsidRPr="00D615BE" w:rsidR="00A92D0B" w:rsidP="00F6363B" w:rsidRDefault="00A92D0B" w14:paraId="7EC7277D" w14:textId="394F384B">
            <w:pPr>
              <w:tabs>
                <w:tab w:val="left" w:pos="1440"/>
                <w:tab w:val="left" w:pos="3600"/>
              </w:tabs>
            </w:pPr>
          </w:p>
        </w:tc>
      </w:tr>
    </w:tbl>
    <w:p w:rsidRPr="00D615BE" w:rsidR="00D615BE" w:rsidP="00D615BE" w:rsidRDefault="00D615BE" w14:paraId="617E9623" w14:textId="77777777">
      <w:pPr>
        <w:pStyle w:val="Default"/>
      </w:pPr>
    </w:p>
    <w:p w:rsidRPr="007953BE" w:rsidR="00D615BE" w:rsidP="00D615BE" w:rsidRDefault="00D615BE" w14:paraId="3662CACD" w14:textId="77777777">
      <w:pPr>
        <w:pStyle w:val="Default"/>
      </w:pPr>
      <w:r w:rsidRPr="007953BE">
        <w:t xml:space="preserve"> </w:t>
      </w:r>
      <w:r w:rsidRPr="007953BE">
        <w:rPr>
          <w:b/>
          <w:bCs/>
        </w:rPr>
        <w:t>DECISION GRANTING COMPENSATION TO THE</w:t>
      </w:r>
      <w:r w:rsidRPr="007953BE" w:rsidR="00D0368A">
        <w:rPr>
          <w:b/>
          <w:bCs/>
        </w:rPr>
        <w:t xml:space="preserve"> UTILITY REFORM NETWORK</w:t>
      </w:r>
      <w:r w:rsidRPr="007953BE">
        <w:t xml:space="preserve"> </w:t>
      </w:r>
    </w:p>
    <w:p w:rsidRPr="00691528" w:rsidR="00A92D0B" w:rsidP="00D615BE" w:rsidRDefault="00D615BE" w14:paraId="170436E7" w14:textId="33A61004">
      <w:pPr>
        <w:jc w:val="center"/>
        <w:rPr>
          <w:b/>
        </w:rPr>
      </w:pPr>
      <w:r w:rsidRPr="007953BE">
        <w:t xml:space="preserve"> </w:t>
      </w:r>
      <w:r w:rsidRPr="007953BE">
        <w:rPr>
          <w:b/>
          <w:bCs/>
        </w:rPr>
        <w:t xml:space="preserve">FOR SUBSTANTIAL CONTRIBUTION TO DECISION </w:t>
      </w:r>
      <w:r w:rsidRPr="007953BE" w:rsidR="007953BE">
        <w:rPr>
          <w:b/>
          <w:bCs/>
        </w:rPr>
        <w:t xml:space="preserve">(D). </w:t>
      </w:r>
      <w:r w:rsidRPr="007953BE">
        <w:rPr>
          <w:b/>
          <w:bCs/>
        </w:rPr>
        <w:t>22-05-014</w:t>
      </w:r>
      <w:r w:rsidRPr="00691528" w:rsidR="00A92D0B">
        <w:rPr>
          <w:b/>
          <w:shd w:val="clear" w:color="auto" w:fill="CCFFCC"/>
        </w:rPr>
        <w:t xml:space="preserve"> </w:t>
      </w:r>
    </w:p>
    <w:p w:rsidRPr="007F620E" w:rsidR="00A92D0B" w:rsidRDefault="00A92D0B" w14:paraId="4BEAFF75" w14:textId="77777777">
      <w:pPr>
        <w:suppressAutoHyphens/>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949"/>
        <w:gridCol w:w="5411"/>
      </w:tblGrid>
      <w:tr w:rsidRPr="007F620E" w:rsidR="00A92D0B" w:rsidTr="00611487" w14:paraId="0FE98F62" w14:textId="77777777">
        <w:trPr>
          <w:trHeight w:val="391"/>
        </w:trPr>
        <w:tc>
          <w:tcPr>
            <w:tcW w:w="3949" w:type="dxa"/>
            <w:shd w:val="clear" w:color="auto" w:fill="auto"/>
          </w:tcPr>
          <w:p w:rsidR="00960D3B" w:rsidP="00C47A2B" w:rsidRDefault="005A63D4" w14:paraId="09E43F21" w14:textId="77777777">
            <w:pPr>
              <w:tabs>
                <w:tab w:val="left" w:pos="1620"/>
                <w:tab w:val="right" w:pos="4500"/>
              </w:tabs>
              <w:rPr>
                <w:b/>
                <w:color w:val="000000"/>
              </w:rPr>
            </w:pPr>
            <w:r w:rsidRPr="007F620E">
              <w:rPr>
                <w:b/>
                <w:color w:val="000000"/>
              </w:rPr>
              <w:t>Intervenor</w:t>
            </w:r>
            <w:r w:rsidRPr="007F620E" w:rsidR="00F63C29">
              <w:rPr>
                <w:b/>
                <w:color w:val="000000"/>
              </w:rPr>
              <w:t>:</w:t>
            </w:r>
          </w:p>
          <w:p w:rsidRPr="00960D3B" w:rsidR="00A92D0B" w:rsidP="00C47A2B" w:rsidRDefault="00960D3B" w14:paraId="11570D4A" w14:textId="4BCCC667">
            <w:pPr>
              <w:tabs>
                <w:tab w:val="left" w:pos="1620"/>
                <w:tab w:val="right" w:pos="4500"/>
              </w:tabs>
              <w:rPr>
                <w:bCs/>
                <w:color w:val="000000"/>
              </w:rPr>
            </w:pPr>
            <w:r w:rsidRPr="00960D3B">
              <w:rPr>
                <w:bCs/>
                <w:color w:val="000000"/>
              </w:rPr>
              <w:t>The Utility Reform Network (TURN)</w:t>
            </w:r>
          </w:p>
        </w:tc>
        <w:tc>
          <w:tcPr>
            <w:tcW w:w="5411" w:type="dxa"/>
            <w:shd w:val="clear" w:color="auto" w:fill="auto"/>
          </w:tcPr>
          <w:p w:rsidRPr="00611487" w:rsidR="00C62E1E" w:rsidP="00611487" w:rsidRDefault="00A92D0B" w14:paraId="53A584EE" w14:textId="4904B400">
            <w:pPr>
              <w:pStyle w:val="pf0"/>
              <w:rPr>
                <w:rFonts w:ascii="Arial" w:hAnsi="Arial" w:cs="Arial"/>
                <w:sz w:val="20"/>
                <w:szCs w:val="20"/>
              </w:rPr>
            </w:pPr>
            <w:r w:rsidRPr="007F620E">
              <w:rPr>
                <w:b/>
                <w:color w:val="000000"/>
              </w:rPr>
              <w:t>For contribution to D</w:t>
            </w:r>
            <w:r w:rsidRPr="007F620E" w:rsidR="00DE3A5D">
              <w:rPr>
                <w:b/>
                <w:color w:val="000000"/>
              </w:rPr>
              <w:t xml:space="preserve">ecision (D.) </w:t>
            </w:r>
            <w:r w:rsidRPr="00484A16" w:rsidR="001C04DE">
              <w:rPr>
                <w:rStyle w:val="cf01"/>
                <w:rFonts w:ascii="Times New Roman" w:hAnsi="Times New Roman" w:cs="Times New Roman"/>
                <w:sz w:val="24"/>
                <w:szCs w:val="24"/>
              </w:rPr>
              <w:t>22-05-014</w:t>
            </w:r>
          </w:p>
        </w:tc>
      </w:tr>
      <w:tr w:rsidRPr="007F620E" w:rsidR="00A92D0B" w:rsidTr="006F08B5" w14:paraId="47003B8E" w14:textId="77777777">
        <w:tc>
          <w:tcPr>
            <w:tcW w:w="3949" w:type="dxa"/>
            <w:shd w:val="clear" w:color="auto" w:fill="auto"/>
          </w:tcPr>
          <w:p w:rsidRPr="007F620E" w:rsidR="00A92D0B" w:rsidP="00C47A2B" w:rsidRDefault="00A92D0B" w14:paraId="0E2E4BD1" w14:textId="78E50AED">
            <w:pPr>
              <w:tabs>
                <w:tab w:val="left" w:pos="1620"/>
                <w:tab w:val="right" w:pos="4500"/>
              </w:tabs>
              <w:rPr>
                <w:b/>
                <w:color w:val="000000"/>
                <w:u w:val="single"/>
              </w:rPr>
            </w:pPr>
            <w:r w:rsidRPr="007F620E">
              <w:rPr>
                <w:b/>
                <w:color w:val="000000"/>
              </w:rPr>
              <w:t>Claimed:</w:t>
            </w:r>
            <w:r w:rsidRPr="007F620E" w:rsidR="00F63C29">
              <w:rPr>
                <w:b/>
                <w:color w:val="000000"/>
              </w:rPr>
              <w:t xml:space="preserve"> </w:t>
            </w:r>
            <w:r w:rsidR="002D21CA">
              <w:rPr>
                <w:b/>
                <w:color w:val="000000"/>
              </w:rPr>
              <w:t xml:space="preserve"> </w:t>
            </w:r>
            <w:r w:rsidRPr="006F08B5" w:rsidR="00FC72B7">
              <w:t>$</w:t>
            </w:r>
            <w:r w:rsidRPr="006F08B5" w:rsidR="00BD1F37">
              <w:t>22,</w:t>
            </w:r>
            <w:r w:rsidRPr="006F08B5" w:rsidR="00E67B72">
              <w:t>743.75</w:t>
            </w:r>
          </w:p>
        </w:tc>
        <w:tc>
          <w:tcPr>
            <w:tcW w:w="5411" w:type="dxa"/>
            <w:tcBorders>
              <w:bottom w:val="single" w:color="auto" w:sz="4" w:space="0"/>
            </w:tcBorders>
            <w:shd w:val="clear" w:color="auto" w:fill="auto"/>
          </w:tcPr>
          <w:p w:rsidRPr="007F620E" w:rsidR="00A92D0B" w:rsidP="00C47A2B" w:rsidRDefault="00A92D0B" w14:paraId="211F40A8" w14:textId="051B3B8F">
            <w:pPr>
              <w:tabs>
                <w:tab w:val="left" w:pos="1872"/>
                <w:tab w:val="right" w:pos="3672"/>
              </w:tabs>
              <w:rPr>
                <w:b/>
                <w:color w:val="000000"/>
                <w:u w:val="single"/>
              </w:rPr>
            </w:pPr>
            <w:r w:rsidRPr="007F620E">
              <w:rPr>
                <w:b/>
                <w:color w:val="000000"/>
              </w:rPr>
              <w:t>Awarded:</w:t>
            </w:r>
            <w:r w:rsidRPr="007F620E" w:rsidR="00FC72B7">
              <w:rPr>
                <w:b/>
                <w:color w:val="000000"/>
              </w:rPr>
              <w:t xml:space="preserve">  </w:t>
            </w:r>
            <w:r w:rsidR="00563AF7">
              <w:t>$22,393.75</w:t>
            </w:r>
          </w:p>
        </w:tc>
      </w:tr>
      <w:tr w:rsidRPr="007F620E" w:rsidR="00A92D0B" w:rsidTr="006F08B5" w14:paraId="5C56877D" w14:textId="77777777">
        <w:tc>
          <w:tcPr>
            <w:tcW w:w="3949" w:type="dxa"/>
            <w:shd w:val="clear" w:color="auto" w:fill="auto"/>
          </w:tcPr>
          <w:p w:rsidR="00A95158" w:rsidP="00C47A2B" w:rsidRDefault="00A92D0B" w14:paraId="7E751616" w14:textId="77777777">
            <w:pPr>
              <w:tabs>
                <w:tab w:val="left" w:pos="3060"/>
                <w:tab w:val="right" w:pos="4500"/>
              </w:tabs>
              <w:rPr>
                <w:b/>
                <w:color w:val="000000"/>
              </w:rPr>
            </w:pPr>
            <w:r w:rsidRPr="007F620E">
              <w:rPr>
                <w:b/>
                <w:color w:val="000000"/>
              </w:rPr>
              <w:t xml:space="preserve">Assigned Commissioner: </w:t>
            </w:r>
          </w:p>
          <w:p w:rsidRPr="00A95158" w:rsidR="00A92D0B" w:rsidP="00C47A2B" w:rsidRDefault="00A95158" w14:paraId="6EF99E36" w14:textId="0B5607C7">
            <w:pPr>
              <w:tabs>
                <w:tab w:val="left" w:pos="3060"/>
                <w:tab w:val="right" w:pos="4500"/>
              </w:tabs>
              <w:rPr>
                <w:bCs/>
                <w:color w:val="000000"/>
                <w:u w:val="single"/>
              </w:rPr>
            </w:pPr>
            <w:r w:rsidRPr="00A95158">
              <w:rPr>
                <w:bCs/>
                <w:color w:val="000000"/>
              </w:rPr>
              <w:t>Genevieve Shiroma</w:t>
            </w:r>
          </w:p>
        </w:tc>
        <w:tc>
          <w:tcPr>
            <w:tcW w:w="5411" w:type="dxa"/>
            <w:shd w:val="clear" w:color="auto" w:fill="auto"/>
          </w:tcPr>
          <w:p w:rsidR="00232B3B" w:rsidP="00C47A2B" w:rsidRDefault="00A92D0B" w14:paraId="6C8B17EF" w14:textId="77777777">
            <w:pPr>
              <w:tabs>
                <w:tab w:val="left" w:pos="1872"/>
                <w:tab w:val="right" w:pos="3672"/>
              </w:tabs>
              <w:rPr>
                <w:b/>
                <w:color w:val="000000"/>
              </w:rPr>
            </w:pPr>
            <w:r w:rsidRPr="007F620E">
              <w:rPr>
                <w:b/>
                <w:color w:val="000000"/>
              </w:rPr>
              <w:t>Assigned ALJ:</w:t>
            </w:r>
            <w:r w:rsidRPr="007F620E" w:rsidR="00F63C29">
              <w:rPr>
                <w:b/>
                <w:color w:val="000000"/>
              </w:rPr>
              <w:t xml:space="preserve"> </w:t>
            </w:r>
          </w:p>
          <w:p w:rsidRPr="00691528" w:rsidR="00A92D0B" w:rsidP="00C47A2B" w:rsidRDefault="00232B3B" w14:paraId="79375F78" w14:textId="30FCC7D6">
            <w:pPr>
              <w:tabs>
                <w:tab w:val="left" w:pos="1872"/>
                <w:tab w:val="right" w:pos="3672"/>
              </w:tabs>
              <w:rPr>
                <w:color w:val="000000"/>
                <w:u w:val="single"/>
              </w:rPr>
            </w:pPr>
            <w:r w:rsidRPr="00232B3B">
              <w:rPr>
                <w:bCs/>
                <w:color w:val="000000"/>
              </w:rPr>
              <w:t>Stephanie Wang</w:t>
            </w:r>
          </w:p>
        </w:tc>
      </w:tr>
    </w:tbl>
    <w:p w:rsidR="00611487" w:rsidP="00611487" w:rsidRDefault="00611487" w14:paraId="3A873343" w14:textId="77777777">
      <w:pPr>
        <w:keepNext/>
        <w:rPr>
          <w:b/>
          <w:color w:val="000000"/>
        </w:rPr>
      </w:pPr>
    </w:p>
    <w:p w:rsidRPr="006F08B5" w:rsidR="00A92D0B" w:rsidP="00611487" w:rsidRDefault="00A92D0B" w14:paraId="31F24E14" w14:textId="570D767B">
      <w:pPr>
        <w:keepNext/>
        <w:jc w:val="center"/>
        <w:rPr>
          <w:b/>
          <w:color w:val="000000"/>
        </w:rPr>
      </w:pPr>
      <w:r w:rsidRPr="007F620E">
        <w:rPr>
          <w:b/>
          <w:color w:val="000000"/>
        </w:rPr>
        <w:t>PART I:</w:t>
      </w:r>
      <w:r w:rsidR="008E182E">
        <w:rPr>
          <w:b/>
          <w:color w:val="000000"/>
        </w:rPr>
        <w:t xml:space="preserve">  </w:t>
      </w:r>
      <w:r w:rsidRPr="007F620E">
        <w:rPr>
          <w:b/>
          <w:color w:val="000000"/>
        </w:rPr>
        <w:t>PROCEDURAL ISSUES</w:t>
      </w:r>
    </w:p>
    <w:p w:rsidRPr="007F620E" w:rsidR="00A92D0B" w:rsidP="00055843" w:rsidRDefault="00A92D0B" w14:paraId="37AA25BD" w14:textId="77777777">
      <w:pPr>
        <w:keepNext/>
        <w:rPr>
          <w:color w:val="000000"/>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5647"/>
      </w:tblGrid>
      <w:tr w:rsidRPr="007F620E" w:rsidR="00A92D0B" w:rsidTr="005E3D50" w14:paraId="3C5C25ED" w14:textId="77777777">
        <w:tc>
          <w:tcPr>
            <w:tcW w:w="3708"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5647" w:type="dxa"/>
            <w:shd w:val="clear" w:color="auto" w:fill="auto"/>
          </w:tcPr>
          <w:p w:rsidRPr="007F620E" w:rsidR="00C02649" w:rsidP="00465A9B" w:rsidRDefault="00854E60" w14:paraId="67B8ECAA" w14:textId="26A41A5B">
            <w:pPr>
              <w:rPr>
                <w:color w:val="000000"/>
              </w:rPr>
            </w:pPr>
            <w:r>
              <w:rPr>
                <w:color w:val="000000"/>
              </w:rPr>
              <w:t xml:space="preserve">In </w:t>
            </w:r>
            <w:r w:rsidR="004D1ABD">
              <w:rPr>
                <w:color w:val="000000"/>
              </w:rPr>
              <w:t>D.</w:t>
            </w:r>
            <w:r w:rsidR="004D1ABD">
              <w:t xml:space="preserve"> </w:t>
            </w:r>
            <w:r w:rsidRPr="00681ADE" w:rsidR="004D1ABD">
              <w:rPr>
                <w:color w:val="000000"/>
              </w:rPr>
              <w:t>22-05-014</w:t>
            </w:r>
            <w:r>
              <w:rPr>
                <w:color w:val="000000"/>
              </w:rPr>
              <w:t xml:space="preserve">, the Commission </w:t>
            </w:r>
            <w:r w:rsidR="003E4564">
              <w:rPr>
                <w:color w:val="000000"/>
              </w:rPr>
              <w:t>adopted renewal process improvements and compliance with Assembly Bill 74.</w:t>
            </w:r>
          </w:p>
        </w:tc>
      </w:tr>
    </w:tbl>
    <w:p w:rsidRPr="007F620E" w:rsidR="00A92D0B" w:rsidP="00880855" w:rsidRDefault="005A63D4" w14:paraId="2FBF046C" w14:textId="77777777">
      <w:pPr>
        <w:keepNext/>
        <w:numPr>
          <w:ilvl w:val="0"/>
          <w:numId w:val="5"/>
        </w:numPr>
        <w:spacing w:before="240" w:after="240"/>
        <w:rPr>
          <w:b/>
          <w:color w:val="000000"/>
        </w:rPr>
      </w:pPr>
      <w:r w:rsidRPr="007F620E">
        <w:rPr>
          <w:b/>
          <w:color w:val="000000"/>
        </w:rPr>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2"/>
      </w:r>
      <w:r w:rsidRPr="007F620E" w:rsidR="00A92D0B">
        <w:rPr>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276"/>
      </w:tblGrid>
      <w:tr w:rsidRPr="007F620E" w:rsidR="00A92D0B" w:rsidTr="00F028C8" w14:paraId="640CF70A" w14:textId="77777777">
        <w:trPr>
          <w:tblHeader/>
        </w:trPr>
        <w:tc>
          <w:tcPr>
            <w:tcW w:w="4817" w:type="dxa"/>
            <w:tcBorders>
              <w:bottom w:val="single" w:color="auto" w:sz="4" w:space="0"/>
            </w:tcBorders>
            <w:shd w:val="clear" w:color="auto" w:fill="auto"/>
          </w:tcPr>
          <w:p w:rsidRPr="007F620E"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shd w:val="clear" w:color="auto" w:fill="auto"/>
          </w:tcPr>
          <w:p w:rsidRPr="007F620E" w:rsidR="00A92D0B" w:rsidP="00F028C8" w:rsidRDefault="005A63D4" w14:paraId="1412A3C6" w14:textId="77777777">
            <w:pPr>
              <w:tabs>
                <w:tab w:val="left" w:pos="360"/>
              </w:tabs>
              <w:jc w:val="center"/>
              <w:rPr>
                <w:b/>
                <w:color w:val="000000"/>
              </w:rPr>
            </w:pPr>
            <w:r w:rsidRPr="007F620E">
              <w:rPr>
                <w:b/>
                <w:color w:val="000000"/>
              </w:rPr>
              <w:t>Intervenor</w:t>
            </w:r>
          </w:p>
        </w:tc>
        <w:tc>
          <w:tcPr>
            <w:tcW w:w="2276" w:type="dxa"/>
            <w:tcBorders>
              <w:bottom w:val="single" w:color="auto" w:sz="4" w:space="0"/>
            </w:tcBorders>
            <w:shd w:val="clear" w:color="auto" w:fill="auto"/>
          </w:tcPr>
          <w:p w:rsidRPr="007F620E" w:rsidR="00A92D0B" w:rsidP="00F028C8" w:rsidRDefault="00A92D0B" w14:paraId="2A218C38" w14:textId="386C9A6A">
            <w:pPr>
              <w:tabs>
                <w:tab w:val="left" w:pos="360"/>
              </w:tabs>
              <w:jc w:val="center"/>
              <w:rPr>
                <w:b/>
                <w:color w:val="000000"/>
              </w:rPr>
            </w:pPr>
            <w:r w:rsidRPr="007F620E">
              <w:rPr>
                <w:b/>
                <w:color w:val="000000"/>
              </w:rPr>
              <w:t xml:space="preserve">CPUC </w:t>
            </w:r>
            <w:r w:rsidR="0081626F">
              <w:rPr>
                <w:b/>
                <w:color w:val="000000"/>
              </w:rPr>
              <w:t>Verification</w:t>
            </w:r>
          </w:p>
        </w:tc>
      </w:tr>
      <w:tr w:rsidRPr="007F620E" w:rsidR="00A92D0B" w:rsidTr="00F028C8"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F028C8" w:rsidRDefault="00A92D0B" w14:paraId="606E2B66" w14:textId="77777777">
            <w:pPr>
              <w:keepNext/>
              <w:tabs>
                <w:tab w:val="left" w:pos="360"/>
              </w:tabs>
              <w:jc w:val="center"/>
              <w:rPr>
                <w:b/>
              </w:rPr>
            </w:pPr>
            <w:r w:rsidRPr="007F620E">
              <w:rPr>
                <w:b/>
              </w:rPr>
              <w:t>Timely filing of notice of intent to claim compensation (NOI) (§ 1804(a)):</w:t>
            </w:r>
          </w:p>
        </w:tc>
      </w:tr>
      <w:tr w:rsidRPr="007F620E" w:rsidR="00B20A6A" w:rsidTr="006F08B5" w14:paraId="160E284A" w14:textId="77777777">
        <w:tc>
          <w:tcPr>
            <w:tcW w:w="4817" w:type="dxa"/>
            <w:tcBorders>
              <w:top w:val="single" w:color="auto" w:sz="4" w:space="0"/>
            </w:tcBorders>
            <w:shd w:val="clear" w:color="auto" w:fill="auto"/>
          </w:tcPr>
          <w:p w:rsidRPr="007F620E" w:rsidR="00B20A6A" w:rsidP="00B20A6A" w:rsidRDefault="00B20A6A" w14:paraId="44D1876C" w14:textId="478A95F3">
            <w:pPr>
              <w:keepNext/>
              <w:tabs>
                <w:tab w:val="left" w:pos="360"/>
              </w:tabs>
              <w:ind w:left="360" w:hanging="360"/>
              <w:rPr>
                <w:color w:val="000000"/>
              </w:rPr>
            </w:pPr>
            <w:r w:rsidRPr="007F620E">
              <w:rPr>
                <w:color w:val="000000"/>
              </w:rPr>
              <w:t>1.</w:t>
            </w:r>
            <w:r>
              <w:rPr>
                <w:color w:val="000000"/>
              </w:rPr>
              <w:tab/>
            </w:r>
            <w:r w:rsidRPr="007F620E">
              <w:rPr>
                <w:color w:val="000000"/>
              </w:rPr>
              <w:t>Date of Prehearing Conference:</w:t>
            </w:r>
          </w:p>
        </w:tc>
        <w:tc>
          <w:tcPr>
            <w:tcW w:w="2267" w:type="dxa"/>
            <w:tcBorders>
              <w:top w:val="single" w:color="auto" w:sz="4" w:space="0"/>
            </w:tcBorders>
            <w:shd w:val="clear" w:color="auto" w:fill="auto"/>
            <w:vAlign w:val="center"/>
          </w:tcPr>
          <w:p w:rsidRPr="007F620E" w:rsidR="00B20A6A" w:rsidP="00BD1F37" w:rsidRDefault="00B20A6A" w14:paraId="35450816" w14:textId="58FEB535">
            <w:pPr>
              <w:keepNext/>
              <w:keepLines/>
              <w:tabs>
                <w:tab w:val="left" w:pos="360"/>
              </w:tabs>
              <w:ind w:left="360" w:hanging="360"/>
              <w:jc w:val="center"/>
              <w:rPr>
                <w:color w:val="000000"/>
              </w:rPr>
            </w:pPr>
            <w:r>
              <w:rPr>
                <w:color w:val="000000"/>
              </w:rPr>
              <w:t>March 10, 2020</w:t>
            </w:r>
          </w:p>
        </w:tc>
        <w:tc>
          <w:tcPr>
            <w:tcW w:w="2276" w:type="dxa"/>
            <w:tcBorders>
              <w:top w:val="single" w:color="auto" w:sz="4" w:space="0"/>
            </w:tcBorders>
            <w:shd w:val="clear" w:color="auto" w:fill="auto"/>
          </w:tcPr>
          <w:p w:rsidRPr="007F620E" w:rsidR="00B20A6A" w:rsidP="00B20A6A" w:rsidRDefault="00301782" w14:paraId="34540344" w14:textId="03E7A589">
            <w:pPr>
              <w:keepNext/>
              <w:tabs>
                <w:tab w:val="left" w:pos="360"/>
              </w:tabs>
              <w:jc w:val="both"/>
              <w:rPr>
                <w:color w:val="000000"/>
              </w:rPr>
            </w:pPr>
            <w:r>
              <w:rPr>
                <w:color w:val="000000"/>
              </w:rPr>
              <w:t>Verified</w:t>
            </w:r>
          </w:p>
        </w:tc>
      </w:tr>
      <w:tr w:rsidRPr="007F620E" w:rsidR="00B20A6A" w:rsidTr="006F08B5" w14:paraId="24C85564" w14:textId="77777777">
        <w:tc>
          <w:tcPr>
            <w:tcW w:w="4817" w:type="dxa"/>
            <w:shd w:val="clear" w:color="auto" w:fill="auto"/>
          </w:tcPr>
          <w:p w:rsidRPr="007F620E" w:rsidR="00B20A6A" w:rsidP="00B20A6A" w:rsidRDefault="00B20A6A" w14:paraId="382C5788" w14:textId="49F0E39E">
            <w:pPr>
              <w:tabs>
                <w:tab w:val="left" w:pos="360"/>
              </w:tabs>
              <w:ind w:left="360" w:hanging="360"/>
              <w:rPr>
                <w:color w:val="000000"/>
              </w:rPr>
            </w:pPr>
            <w:r w:rsidRPr="007F620E">
              <w:rPr>
                <w:color w:val="000000"/>
              </w:rPr>
              <w:t>2.</w:t>
            </w:r>
            <w:r>
              <w:rPr>
                <w:color w:val="000000"/>
              </w:rPr>
              <w:tab/>
            </w:r>
            <w:r w:rsidRPr="007F620E">
              <w:rPr>
                <w:color w:val="000000"/>
              </w:rPr>
              <w:t>Other specified date for NOI:</w:t>
            </w:r>
          </w:p>
        </w:tc>
        <w:tc>
          <w:tcPr>
            <w:tcW w:w="2267" w:type="dxa"/>
            <w:shd w:val="clear" w:color="auto" w:fill="auto"/>
            <w:vAlign w:val="center"/>
          </w:tcPr>
          <w:p w:rsidRPr="007F620E" w:rsidR="00B20A6A" w:rsidP="00BD1F37" w:rsidRDefault="00BE54B8" w14:paraId="1826BC2C" w14:textId="66AE82B1">
            <w:pPr>
              <w:keepNext/>
              <w:keepLines/>
              <w:tabs>
                <w:tab w:val="left" w:pos="360"/>
              </w:tabs>
              <w:ind w:left="360" w:hanging="360"/>
              <w:jc w:val="center"/>
              <w:rPr>
                <w:color w:val="000000"/>
              </w:rPr>
            </w:pPr>
            <w:r>
              <w:rPr>
                <w:color w:val="000000"/>
              </w:rPr>
              <w:t>N/A</w:t>
            </w:r>
          </w:p>
        </w:tc>
        <w:tc>
          <w:tcPr>
            <w:tcW w:w="2276" w:type="dxa"/>
            <w:shd w:val="clear" w:color="auto" w:fill="auto"/>
          </w:tcPr>
          <w:p w:rsidRPr="007F620E" w:rsidR="00B20A6A" w:rsidP="00B20A6A" w:rsidRDefault="00B20A6A" w14:paraId="210DAD91" w14:textId="77777777">
            <w:pPr>
              <w:tabs>
                <w:tab w:val="left" w:pos="360"/>
              </w:tabs>
              <w:jc w:val="both"/>
              <w:rPr>
                <w:color w:val="000000"/>
              </w:rPr>
            </w:pPr>
          </w:p>
        </w:tc>
      </w:tr>
      <w:tr w:rsidRPr="007F620E" w:rsidR="00481623" w:rsidTr="006F08B5" w14:paraId="4836EEA6" w14:textId="77777777">
        <w:tc>
          <w:tcPr>
            <w:tcW w:w="4817" w:type="dxa"/>
            <w:shd w:val="clear" w:color="auto" w:fill="auto"/>
          </w:tcPr>
          <w:p w:rsidRPr="007F620E" w:rsidR="00481623" w:rsidP="00481623" w:rsidRDefault="00481623" w14:paraId="34809C45" w14:textId="2501A8A3">
            <w:pPr>
              <w:tabs>
                <w:tab w:val="left" w:pos="360"/>
              </w:tabs>
              <w:ind w:left="360" w:hanging="360"/>
              <w:rPr>
                <w:color w:val="000000"/>
              </w:rPr>
            </w:pPr>
            <w:r w:rsidRPr="007F620E">
              <w:rPr>
                <w:color w:val="000000"/>
              </w:rPr>
              <w:t>3.</w:t>
            </w:r>
            <w:r>
              <w:rPr>
                <w:color w:val="000000"/>
              </w:rPr>
              <w:tab/>
            </w:r>
            <w:r w:rsidRPr="007F620E">
              <w:rPr>
                <w:color w:val="000000"/>
              </w:rPr>
              <w:t>Date NOI filed:</w:t>
            </w:r>
          </w:p>
        </w:tc>
        <w:tc>
          <w:tcPr>
            <w:tcW w:w="2267" w:type="dxa"/>
            <w:tcBorders>
              <w:bottom w:val="single" w:color="auto" w:sz="4" w:space="0"/>
            </w:tcBorders>
            <w:shd w:val="clear" w:color="auto" w:fill="auto"/>
            <w:vAlign w:val="center"/>
          </w:tcPr>
          <w:p w:rsidRPr="007F620E" w:rsidR="00481623" w:rsidP="00BD1F37" w:rsidRDefault="00481623" w14:paraId="44F7CCB9" w14:textId="4737EFCF">
            <w:pPr>
              <w:keepNext/>
              <w:keepLines/>
              <w:tabs>
                <w:tab w:val="left" w:pos="360"/>
              </w:tabs>
              <w:ind w:left="360" w:hanging="360"/>
              <w:jc w:val="center"/>
              <w:rPr>
                <w:color w:val="000000"/>
              </w:rPr>
            </w:pPr>
            <w:r>
              <w:rPr>
                <w:color w:val="000000"/>
              </w:rPr>
              <w:t>August 11, 2006</w:t>
            </w:r>
            <w:r>
              <w:rPr>
                <w:rStyle w:val="FootnoteReference"/>
                <w:color w:val="000000"/>
              </w:rPr>
              <w:footnoteReference w:id="3"/>
            </w:r>
          </w:p>
        </w:tc>
        <w:tc>
          <w:tcPr>
            <w:tcW w:w="2276" w:type="dxa"/>
            <w:tcBorders>
              <w:bottom w:val="single" w:color="auto" w:sz="4" w:space="0"/>
            </w:tcBorders>
            <w:shd w:val="clear" w:color="auto" w:fill="auto"/>
          </w:tcPr>
          <w:p w:rsidRPr="007F620E" w:rsidR="00481623" w:rsidP="00481623" w:rsidRDefault="002A069C" w14:paraId="71759DE3" w14:textId="7ED9E6E5">
            <w:pPr>
              <w:tabs>
                <w:tab w:val="left" w:pos="360"/>
              </w:tabs>
              <w:jc w:val="both"/>
              <w:rPr>
                <w:color w:val="000000"/>
              </w:rPr>
            </w:pPr>
            <w:r>
              <w:rPr>
                <w:color w:val="000000"/>
              </w:rPr>
              <w:t>Verified</w:t>
            </w:r>
          </w:p>
        </w:tc>
      </w:tr>
      <w:tr w:rsidRPr="007F620E" w:rsidR="00481623" w:rsidTr="00F028C8" w14:paraId="22BBCDE3" w14:textId="77777777">
        <w:tc>
          <w:tcPr>
            <w:tcW w:w="7084" w:type="dxa"/>
            <w:gridSpan w:val="2"/>
            <w:tcBorders>
              <w:bottom w:val="single" w:color="auto" w:sz="4" w:space="0"/>
            </w:tcBorders>
            <w:shd w:val="clear" w:color="auto" w:fill="auto"/>
          </w:tcPr>
          <w:p w:rsidRPr="007F620E" w:rsidR="00481623" w:rsidP="00481623" w:rsidRDefault="00481623" w14:paraId="7E6E2068" w14:textId="1D4DD6B8">
            <w:pPr>
              <w:tabs>
                <w:tab w:val="left" w:pos="360"/>
              </w:tabs>
              <w:ind w:left="360" w:hanging="360"/>
              <w:rPr>
                <w:color w:val="000000"/>
              </w:rPr>
            </w:pPr>
            <w:r w:rsidRPr="007F620E">
              <w:rPr>
                <w:color w:val="000000"/>
              </w:rPr>
              <w:t>4.</w:t>
            </w:r>
            <w:r>
              <w:rPr>
                <w:color w:val="000000"/>
              </w:rPr>
              <w:tab/>
            </w:r>
            <w:r w:rsidRPr="007F620E">
              <w:rPr>
                <w:color w:val="000000"/>
              </w:rPr>
              <w:t>Was the NOI timely filed?</w:t>
            </w:r>
          </w:p>
        </w:tc>
        <w:tc>
          <w:tcPr>
            <w:tcW w:w="2276" w:type="dxa"/>
            <w:tcBorders>
              <w:bottom w:val="single" w:color="auto" w:sz="4" w:space="0"/>
            </w:tcBorders>
            <w:shd w:val="clear" w:color="auto" w:fill="auto"/>
          </w:tcPr>
          <w:p w:rsidRPr="007F620E" w:rsidR="00481623" w:rsidP="00481623" w:rsidRDefault="002A069C" w14:paraId="61DE2845" w14:textId="3CF2D2D9">
            <w:pPr>
              <w:tabs>
                <w:tab w:val="left" w:pos="360"/>
              </w:tabs>
              <w:rPr>
                <w:color w:val="000000"/>
              </w:rPr>
            </w:pPr>
            <w:r>
              <w:rPr>
                <w:color w:val="000000"/>
              </w:rPr>
              <w:t>Yes</w:t>
            </w:r>
          </w:p>
        </w:tc>
      </w:tr>
      <w:tr w:rsidRPr="007F620E" w:rsidR="00481623" w:rsidTr="00F028C8"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00481623" w:rsidP="00481623" w:rsidRDefault="00481623" w14:paraId="003AB151" w14:textId="75841E30">
            <w:pPr>
              <w:keepNext/>
              <w:keepLines/>
              <w:tabs>
                <w:tab w:val="left" w:pos="360"/>
              </w:tabs>
              <w:jc w:val="center"/>
              <w:rPr>
                <w:b/>
                <w:color w:val="000000"/>
              </w:rPr>
            </w:pPr>
            <w:r w:rsidRPr="007F620E">
              <w:rPr>
                <w:b/>
                <w:color w:val="000000"/>
              </w:rPr>
              <w:lastRenderedPageBreak/>
              <w:t>Showing of eligible customer status (§ 1802(b)</w:t>
            </w:r>
            <w:r>
              <w:rPr>
                <w:b/>
                <w:color w:val="000000"/>
              </w:rPr>
              <w:t>)</w:t>
            </w:r>
          </w:p>
          <w:p w:rsidRPr="007F620E" w:rsidR="00481623" w:rsidP="00481623" w:rsidRDefault="00481623" w14:paraId="19D649BF" w14:textId="31FAE647">
            <w:pPr>
              <w:keepNext/>
              <w:keepLines/>
              <w:tabs>
                <w:tab w:val="left" w:pos="360"/>
              </w:tabs>
              <w:jc w:val="center"/>
              <w:rPr>
                <w:b/>
                <w:color w:val="000000"/>
              </w:rPr>
            </w:pPr>
            <w:r w:rsidRPr="007F620E">
              <w:rPr>
                <w:b/>
                <w:color w:val="000000"/>
              </w:rPr>
              <w:t xml:space="preserve"> or eligible local government entity </w:t>
            </w:r>
            <w:r>
              <w:rPr>
                <w:b/>
                <w:color w:val="000000"/>
              </w:rPr>
              <w:t xml:space="preserve">status </w:t>
            </w:r>
            <w:r w:rsidRPr="007F620E">
              <w:rPr>
                <w:b/>
                <w:color w:val="000000"/>
              </w:rPr>
              <w:t>(§§ 1802(d), 1802.4):</w:t>
            </w:r>
          </w:p>
        </w:tc>
      </w:tr>
      <w:tr w:rsidRPr="007F620E" w:rsidR="00481623" w:rsidTr="006F08B5" w14:paraId="259EC227" w14:textId="77777777">
        <w:tc>
          <w:tcPr>
            <w:tcW w:w="4817" w:type="dxa"/>
            <w:tcBorders>
              <w:top w:val="single" w:color="auto" w:sz="4" w:space="0"/>
            </w:tcBorders>
            <w:shd w:val="clear" w:color="auto" w:fill="auto"/>
          </w:tcPr>
          <w:p w:rsidRPr="007F620E" w:rsidR="00481623" w:rsidP="00481623" w:rsidRDefault="00481623" w14:paraId="0EFCD0E9" w14:textId="1A5E3FBE">
            <w:pPr>
              <w:keepNext/>
              <w:keepLines/>
              <w:ind w:left="360" w:hanging="360"/>
              <w:rPr>
                <w:color w:val="000000"/>
              </w:rPr>
            </w:pPr>
            <w:r w:rsidRPr="007F620E">
              <w:rPr>
                <w:color w:val="000000"/>
              </w:rPr>
              <w:t>5.</w:t>
            </w:r>
            <w:r>
              <w:rPr>
                <w:color w:val="000000"/>
              </w:rPr>
              <w:tab/>
            </w:r>
            <w:r w:rsidRPr="007F620E">
              <w:rPr>
                <w:color w:val="000000"/>
              </w:rPr>
              <w:t>Based on ALJ ruling issued in proceeding   number:</w:t>
            </w:r>
          </w:p>
        </w:tc>
        <w:tc>
          <w:tcPr>
            <w:tcW w:w="2267" w:type="dxa"/>
            <w:tcBorders>
              <w:top w:val="single" w:color="auto" w:sz="4" w:space="0"/>
            </w:tcBorders>
            <w:shd w:val="clear" w:color="auto" w:fill="auto"/>
            <w:vAlign w:val="center"/>
          </w:tcPr>
          <w:p w:rsidRPr="007F620E" w:rsidR="00481623" w:rsidP="00BD1F37" w:rsidRDefault="00677867" w14:paraId="13E72B6D" w14:textId="6C352DC7">
            <w:pPr>
              <w:keepNext/>
              <w:keepLines/>
              <w:tabs>
                <w:tab w:val="left" w:pos="360"/>
              </w:tabs>
              <w:ind w:left="360" w:hanging="360"/>
              <w:jc w:val="center"/>
              <w:rPr>
                <w:color w:val="000000"/>
              </w:rPr>
            </w:pPr>
            <w:r>
              <w:rPr>
                <w:color w:val="000000"/>
              </w:rPr>
              <w:t>R.06-05-028</w:t>
            </w:r>
          </w:p>
        </w:tc>
        <w:tc>
          <w:tcPr>
            <w:tcW w:w="2276" w:type="dxa"/>
            <w:tcBorders>
              <w:top w:val="single" w:color="auto" w:sz="4" w:space="0"/>
            </w:tcBorders>
            <w:shd w:val="clear" w:color="auto" w:fill="auto"/>
          </w:tcPr>
          <w:p w:rsidRPr="007F620E" w:rsidR="00481623" w:rsidP="00481623" w:rsidRDefault="002A069C" w14:paraId="2679B197" w14:textId="4FF4C22C">
            <w:pPr>
              <w:keepNext/>
              <w:keepLines/>
              <w:tabs>
                <w:tab w:val="left" w:pos="360"/>
              </w:tabs>
              <w:rPr>
                <w:color w:val="000000"/>
              </w:rPr>
            </w:pPr>
            <w:r>
              <w:rPr>
                <w:color w:val="000000"/>
              </w:rPr>
              <w:t>Verified</w:t>
            </w:r>
          </w:p>
        </w:tc>
      </w:tr>
      <w:tr w:rsidRPr="007F620E" w:rsidR="00481623" w:rsidTr="006F08B5" w14:paraId="4E0FB3B6" w14:textId="77777777">
        <w:tc>
          <w:tcPr>
            <w:tcW w:w="4817" w:type="dxa"/>
            <w:shd w:val="clear" w:color="auto" w:fill="auto"/>
          </w:tcPr>
          <w:p w:rsidRPr="007F620E" w:rsidR="00481623" w:rsidP="00481623" w:rsidRDefault="00481623" w14:paraId="568B12E8" w14:textId="6121FC05">
            <w:pPr>
              <w:tabs>
                <w:tab w:val="left" w:pos="360"/>
              </w:tabs>
              <w:ind w:left="360" w:hanging="360"/>
              <w:rPr>
                <w:color w:val="000000"/>
              </w:rPr>
            </w:pPr>
            <w:r w:rsidRPr="007F620E">
              <w:rPr>
                <w:color w:val="000000"/>
              </w:rPr>
              <w:t>6.</w:t>
            </w:r>
            <w:r>
              <w:rPr>
                <w:color w:val="000000"/>
              </w:rPr>
              <w:tab/>
            </w:r>
            <w:r w:rsidRPr="007F620E">
              <w:rPr>
                <w:color w:val="000000"/>
              </w:rPr>
              <w:t>Date of ALJ ruling:</w:t>
            </w:r>
          </w:p>
        </w:tc>
        <w:tc>
          <w:tcPr>
            <w:tcW w:w="2267" w:type="dxa"/>
            <w:shd w:val="clear" w:color="auto" w:fill="auto"/>
            <w:vAlign w:val="center"/>
          </w:tcPr>
          <w:p w:rsidRPr="007F620E" w:rsidR="00481623" w:rsidP="00BD1F37" w:rsidRDefault="00E56649" w14:paraId="306125B9" w14:textId="3DB8EE90">
            <w:pPr>
              <w:tabs>
                <w:tab w:val="left" w:pos="360"/>
              </w:tabs>
              <w:ind w:left="360" w:hanging="360"/>
              <w:jc w:val="center"/>
              <w:rPr>
                <w:color w:val="000000"/>
              </w:rPr>
            </w:pPr>
            <w:r>
              <w:rPr>
                <w:color w:val="000000"/>
              </w:rPr>
              <w:t>August 29, 2006</w:t>
            </w:r>
            <w:r>
              <w:rPr>
                <w:rStyle w:val="FootnoteReference"/>
                <w:color w:val="000000"/>
              </w:rPr>
              <w:footnoteReference w:id="4"/>
            </w:r>
          </w:p>
        </w:tc>
        <w:tc>
          <w:tcPr>
            <w:tcW w:w="2276" w:type="dxa"/>
            <w:shd w:val="clear" w:color="auto" w:fill="auto"/>
          </w:tcPr>
          <w:p w:rsidRPr="007F620E" w:rsidR="00481623" w:rsidP="00481623" w:rsidRDefault="002A069C" w14:paraId="19F10313" w14:textId="234A2CDB">
            <w:pPr>
              <w:tabs>
                <w:tab w:val="left" w:pos="360"/>
              </w:tabs>
              <w:rPr>
                <w:color w:val="000000"/>
              </w:rPr>
            </w:pPr>
            <w:r>
              <w:rPr>
                <w:color w:val="000000"/>
              </w:rPr>
              <w:t>Verified</w:t>
            </w:r>
          </w:p>
        </w:tc>
      </w:tr>
      <w:tr w:rsidRPr="007F620E" w:rsidR="00481623" w:rsidTr="006F08B5" w14:paraId="7F6C1E54" w14:textId="77777777">
        <w:tc>
          <w:tcPr>
            <w:tcW w:w="4817" w:type="dxa"/>
            <w:shd w:val="clear" w:color="auto" w:fill="auto"/>
          </w:tcPr>
          <w:p w:rsidRPr="007F620E" w:rsidR="00481623" w:rsidP="00481623" w:rsidRDefault="00481623" w14:paraId="4B6E35B7" w14:textId="56E59D65">
            <w:pPr>
              <w:tabs>
                <w:tab w:val="left" w:pos="360"/>
              </w:tabs>
              <w:ind w:left="360" w:hanging="360"/>
              <w:rPr>
                <w:color w:val="000000"/>
              </w:rPr>
            </w:pPr>
            <w:r w:rsidRPr="007F620E">
              <w:rPr>
                <w:color w:val="000000"/>
              </w:rPr>
              <w:t>7.</w:t>
            </w:r>
            <w:r>
              <w:rPr>
                <w:color w:val="000000"/>
              </w:rPr>
              <w:tab/>
            </w:r>
            <w:r w:rsidRPr="007F620E">
              <w:rPr>
                <w:color w:val="000000"/>
              </w:rPr>
              <w:t>Based on another CPUC determination (specify):</w:t>
            </w:r>
          </w:p>
        </w:tc>
        <w:tc>
          <w:tcPr>
            <w:tcW w:w="2267" w:type="dxa"/>
            <w:tcBorders>
              <w:bottom w:val="single" w:color="auto" w:sz="4" w:space="0"/>
            </w:tcBorders>
            <w:shd w:val="clear" w:color="auto" w:fill="auto"/>
            <w:vAlign w:val="center"/>
          </w:tcPr>
          <w:p w:rsidRPr="007F620E" w:rsidR="00481623" w:rsidP="00BD1F37" w:rsidRDefault="00E750D0" w14:paraId="5E0F9D32" w14:textId="03F2607D">
            <w:pPr>
              <w:tabs>
                <w:tab w:val="left" w:pos="360"/>
              </w:tabs>
              <w:ind w:left="360" w:hanging="360"/>
              <w:jc w:val="center"/>
              <w:rPr>
                <w:color w:val="000000"/>
              </w:rPr>
            </w:pPr>
            <w:r>
              <w:rPr>
                <w:color w:val="000000"/>
              </w:rPr>
              <w:t>N/A</w:t>
            </w:r>
          </w:p>
        </w:tc>
        <w:tc>
          <w:tcPr>
            <w:tcW w:w="2276" w:type="dxa"/>
            <w:tcBorders>
              <w:bottom w:val="single" w:color="auto" w:sz="4" w:space="0"/>
            </w:tcBorders>
            <w:shd w:val="clear" w:color="auto" w:fill="auto"/>
          </w:tcPr>
          <w:p w:rsidRPr="007F620E" w:rsidR="00481623" w:rsidP="00481623" w:rsidRDefault="00481623" w14:paraId="180E80B3" w14:textId="77777777">
            <w:pPr>
              <w:tabs>
                <w:tab w:val="left" w:pos="360"/>
              </w:tabs>
              <w:rPr>
                <w:color w:val="000000"/>
              </w:rPr>
            </w:pPr>
          </w:p>
        </w:tc>
      </w:tr>
      <w:tr w:rsidRPr="007F620E" w:rsidR="00481623" w:rsidTr="00F028C8" w14:paraId="397CC4AD" w14:textId="77777777">
        <w:tc>
          <w:tcPr>
            <w:tcW w:w="7084" w:type="dxa"/>
            <w:gridSpan w:val="2"/>
            <w:tcBorders>
              <w:bottom w:val="single" w:color="auto" w:sz="4" w:space="0"/>
            </w:tcBorders>
            <w:shd w:val="clear" w:color="auto" w:fill="auto"/>
          </w:tcPr>
          <w:p w:rsidRPr="007F620E" w:rsidR="00481623" w:rsidP="00481623" w:rsidRDefault="00481623" w14:paraId="71D46B68" w14:textId="56857D2E">
            <w:pPr>
              <w:tabs>
                <w:tab w:val="left" w:pos="360"/>
              </w:tabs>
              <w:ind w:left="360" w:hanging="360"/>
              <w:rPr>
                <w:color w:val="000000"/>
              </w:rPr>
            </w:pPr>
            <w:r w:rsidRPr="007F620E">
              <w:rPr>
                <w:color w:val="000000"/>
              </w:rPr>
              <w:t>8.</w:t>
            </w:r>
            <w:r>
              <w:rPr>
                <w:color w:val="000000"/>
              </w:rPr>
              <w:tab/>
            </w:r>
            <w:r w:rsidRPr="007F620E">
              <w:rPr>
                <w:color w:val="000000"/>
              </w:rPr>
              <w:t xml:space="preserve">Has the Intervenor demonstrated </w:t>
            </w:r>
            <w:r w:rsidRPr="00ED6B6B">
              <w:t>customer</w:t>
            </w:r>
            <w:r w:rsidRPr="007F620E">
              <w:rPr>
                <w:color w:val="000000"/>
              </w:rPr>
              <w:t xml:space="preserve"> </w:t>
            </w:r>
            <w:r>
              <w:rPr>
                <w:color w:val="000000"/>
              </w:rPr>
              <w:t>status or eligible government entity status</w:t>
            </w:r>
            <w:r w:rsidRPr="007F620E">
              <w:rPr>
                <w:color w:val="000000"/>
              </w:rPr>
              <w:t>?</w:t>
            </w:r>
          </w:p>
        </w:tc>
        <w:tc>
          <w:tcPr>
            <w:tcW w:w="2276" w:type="dxa"/>
            <w:tcBorders>
              <w:bottom w:val="single" w:color="auto" w:sz="4" w:space="0"/>
            </w:tcBorders>
            <w:shd w:val="clear" w:color="auto" w:fill="auto"/>
          </w:tcPr>
          <w:p w:rsidRPr="007F620E" w:rsidR="00481623" w:rsidP="00481623" w:rsidRDefault="002A069C" w14:paraId="7D296E63" w14:textId="2C166A62">
            <w:pPr>
              <w:tabs>
                <w:tab w:val="left" w:pos="360"/>
              </w:tabs>
              <w:rPr>
                <w:color w:val="000000"/>
              </w:rPr>
            </w:pPr>
            <w:r>
              <w:rPr>
                <w:color w:val="000000"/>
              </w:rPr>
              <w:t>Yes</w:t>
            </w:r>
          </w:p>
        </w:tc>
      </w:tr>
      <w:tr w:rsidRPr="007F620E" w:rsidR="00481623" w:rsidTr="00F028C8"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481623" w:rsidP="00481623" w:rsidRDefault="00481623" w14:paraId="0291EC4E" w14:textId="77777777">
            <w:pPr>
              <w:keepNext/>
              <w:tabs>
                <w:tab w:val="left" w:pos="360"/>
              </w:tabs>
              <w:jc w:val="center"/>
              <w:rPr>
                <w:color w:val="000000"/>
              </w:rPr>
            </w:pPr>
            <w:r w:rsidRPr="007F620E">
              <w:rPr>
                <w:b/>
                <w:color w:val="000000"/>
              </w:rPr>
              <w:t>Showing of “significant financial hardship” (§1802(</w:t>
            </w:r>
            <w:r>
              <w:rPr>
                <w:b/>
                <w:color w:val="000000"/>
              </w:rPr>
              <w:t>h</w:t>
            </w:r>
            <w:r w:rsidRPr="007F620E">
              <w:rPr>
                <w:b/>
                <w:color w:val="000000"/>
              </w:rPr>
              <w:t>) or §1803.1(b))</w:t>
            </w:r>
            <w:r>
              <w:rPr>
                <w:b/>
                <w:color w:val="000000"/>
              </w:rPr>
              <w:t>:</w:t>
            </w:r>
          </w:p>
        </w:tc>
      </w:tr>
      <w:tr w:rsidRPr="007F620E" w:rsidR="00481623" w:rsidTr="006F08B5" w14:paraId="77F91856" w14:textId="77777777">
        <w:tc>
          <w:tcPr>
            <w:tcW w:w="4817" w:type="dxa"/>
            <w:tcBorders>
              <w:top w:val="single" w:color="auto" w:sz="4" w:space="0"/>
            </w:tcBorders>
            <w:shd w:val="clear" w:color="auto" w:fill="auto"/>
          </w:tcPr>
          <w:p w:rsidRPr="007F620E" w:rsidR="00481623" w:rsidP="00481623" w:rsidRDefault="00481623" w14:paraId="6506E60E" w14:textId="7F0FF6A0">
            <w:pPr>
              <w:tabs>
                <w:tab w:val="left" w:pos="315"/>
              </w:tabs>
              <w:ind w:left="360" w:hanging="360"/>
              <w:rPr>
                <w:color w:val="000000"/>
              </w:rPr>
            </w:pPr>
            <w:r w:rsidRPr="007F620E">
              <w:rPr>
                <w:color w:val="000000"/>
              </w:rPr>
              <w:t>9.</w:t>
            </w:r>
            <w:r>
              <w:rPr>
                <w:color w:val="000000"/>
              </w:rPr>
              <w:tab/>
            </w:r>
            <w:r w:rsidRPr="007F620E">
              <w:rPr>
                <w:color w:val="000000"/>
              </w:rPr>
              <w:t>Based on ALJ ruling issued in proceeding number:</w:t>
            </w:r>
          </w:p>
        </w:tc>
        <w:tc>
          <w:tcPr>
            <w:tcW w:w="2267" w:type="dxa"/>
            <w:tcBorders>
              <w:top w:val="single" w:color="auto" w:sz="4" w:space="0"/>
            </w:tcBorders>
            <w:shd w:val="clear" w:color="auto" w:fill="auto"/>
            <w:vAlign w:val="center"/>
          </w:tcPr>
          <w:p w:rsidR="005F2013" w:rsidP="00BD1F37" w:rsidRDefault="005F2013" w14:paraId="6BD82347" w14:textId="77777777">
            <w:pPr>
              <w:tabs>
                <w:tab w:val="left" w:pos="360"/>
              </w:tabs>
              <w:ind w:left="360" w:hanging="360"/>
              <w:jc w:val="center"/>
              <w:rPr>
                <w:color w:val="000000"/>
              </w:rPr>
            </w:pPr>
            <w:r>
              <w:rPr>
                <w:color w:val="000000"/>
              </w:rPr>
              <w:t>R.04-04-003</w:t>
            </w:r>
          </w:p>
          <w:p w:rsidR="005F2013" w:rsidP="00BD1F37" w:rsidRDefault="005F2013" w14:paraId="5DCE4D22" w14:textId="77777777">
            <w:pPr>
              <w:tabs>
                <w:tab w:val="left" w:pos="360"/>
              </w:tabs>
              <w:ind w:left="360" w:hanging="360"/>
              <w:jc w:val="center"/>
              <w:rPr>
                <w:color w:val="000000"/>
              </w:rPr>
            </w:pPr>
            <w:r>
              <w:rPr>
                <w:color w:val="000000"/>
              </w:rPr>
              <w:t>A.05-02-027</w:t>
            </w:r>
          </w:p>
          <w:p w:rsidRPr="007F620E" w:rsidR="00481623" w:rsidP="00BD1F37" w:rsidRDefault="005F2013" w14:paraId="54B4911C" w14:textId="4E71F262">
            <w:pPr>
              <w:tabs>
                <w:tab w:val="left" w:pos="360"/>
              </w:tabs>
              <w:ind w:left="360" w:hanging="360"/>
              <w:jc w:val="center"/>
              <w:rPr>
                <w:color w:val="000000"/>
              </w:rPr>
            </w:pPr>
            <w:r>
              <w:rPr>
                <w:color w:val="000000"/>
              </w:rPr>
              <w:t>R.19-01-011</w:t>
            </w:r>
          </w:p>
        </w:tc>
        <w:tc>
          <w:tcPr>
            <w:tcW w:w="2276" w:type="dxa"/>
            <w:tcBorders>
              <w:top w:val="single" w:color="auto" w:sz="4" w:space="0"/>
            </w:tcBorders>
            <w:shd w:val="clear" w:color="auto" w:fill="auto"/>
          </w:tcPr>
          <w:p w:rsidR="00481623" w:rsidP="00481623" w:rsidRDefault="00492E85" w14:paraId="25EEE673" w14:textId="0A8C9F33">
            <w:pPr>
              <w:tabs>
                <w:tab w:val="left" w:pos="360"/>
              </w:tabs>
              <w:rPr>
                <w:color w:val="000000"/>
              </w:rPr>
            </w:pPr>
            <w:r>
              <w:rPr>
                <w:color w:val="000000"/>
              </w:rPr>
              <w:t>No</w:t>
            </w:r>
            <w:bookmarkStart w:name="_Ref148450092" w:id="0"/>
            <w:r>
              <w:rPr>
                <w:rStyle w:val="FootnoteReference"/>
                <w:color w:val="000000"/>
              </w:rPr>
              <w:footnoteReference w:id="5"/>
            </w:r>
            <w:bookmarkEnd w:id="0"/>
          </w:p>
          <w:p w:rsidR="00D5782B" w:rsidP="00481623" w:rsidRDefault="00D5782B" w14:paraId="7BD0F4D9" w14:textId="4FC40F50">
            <w:pPr>
              <w:tabs>
                <w:tab w:val="left" w:pos="360"/>
              </w:tabs>
              <w:rPr>
                <w:color w:val="000000"/>
              </w:rPr>
            </w:pPr>
            <w:r>
              <w:rPr>
                <w:color w:val="000000"/>
              </w:rPr>
              <w:t>Yes</w:t>
            </w:r>
          </w:p>
          <w:p w:rsidRPr="007F620E" w:rsidR="00D5782B" w:rsidP="00481623" w:rsidRDefault="00D5782B" w14:paraId="2E2FB9D6" w14:textId="7756516F">
            <w:pPr>
              <w:tabs>
                <w:tab w:val="left" w:pos="360"/>
              </w:tabs>
              <w:rPr>
                <w:color w:val="000000"/>
              </w:rPr>
            </w:pPr>
            <w:r>
              <w:rPr>
                <w:color w:val="000000"/>
              </w:rPr>
              <w:t>Yes</w:t>
            </w:r>
          </w:p>
        </w:tc>
      </w:tr>
      <w:tr w:rsidRPr="007F620E" w:rsidR="00481623" w:rsidTr="006F08B5" w14:paraId="4AD750C1" w14:textId="77777777">
        <w:tc>
          <w:tcPr>
            <w:tcW w:w="4817" w:type="dxa"/>
            <w:shd w:val="clear" w:color="auto" w:fill="auto"/>
          </w:tcPr>
          <w:p w:rsidRPr="007F620E" w:rsidR="00481623" w:rsidP="00481623" w:rsidRDefault="00481623" w14:paraId="2A279407" w14:textId="1E831EEE">
            <w:pPr>
              <w:ind w:left="360" w:hanging="360"/>
              <w:rPr>
                <w:color w:val="000000"/>
              </w:rPr>
            </w:pPr>
            <w:r w:rsidRPr="007F620E">
              <w:rPr>
                <w:color w:val="000000"/>
              </w:rPr>
              <w:t>10.</w:t>
            </w:r>
            <w:r>
              <w:rPr>
                <w:color w:val="000000"/>
              </w:rPr>
              <w:tab/>
            </w:r>
            <w:r w:rsidRPr="007F620E">
              <w:rPr>
                <w:color w:val="000000"/>
              </w:rPr>
              <w:t>Date of ALJ ruling:</w:t>
            </w:r>
          </w:p>
        </w:tc>
        <w:tc>
          <w:tcPr>
            <w:tcW w:w="2267" w:type="dxa"/>
            <w:shd w:val="clear" w:color="auto" w:fill="auto"/>
            <w:vAlign w:val="center"/>
          </w:tcPr>
          <w:p w:rsidR="0081227C" w:rsidP="00BD1F37" w:rsidRDefault="0081227C" w14:paraId="24C02176" w14:textId="77777777">
            <w:pPr>
              <w:tabs>
                <w:tab w:val="left" w:pos="360"/>
              </w:tabs>
              <w:ind w:left="360" w:hanging="360"/>
              <w:jc w:val="center"/>
              <w:rPr>
                <w:color w:val="000000"/>
              </w:rPr>
            </w:pPr>
            <w:r>
              <w:rPr>
                <w:color w:val="000000"/>
              </w:rPr>
              <w:t>July 27, 2004</w:t>
            </w:r>
            <w:r>
              <w:rPr>
                <w:rStyle w:val="FootnoteReference"/>
                <w:color w:val="000000"/>
              </w:rPr>
              <w:footnoteReference w:id="6"/>
            </w:r>
          </w:p>
          <w:p w:rsidR="0081227C" w:rsidP="00BD1F37" w:rsidRDefault="0081227C" w14:paraId="79D06BDA" w14:textId="77777777">
            <w:pPr>
              <w:tabs>
                <w:tab w:val="left" w:pos="360"/>
              </w:tabs>
              <w:ind w:left="360" w:hanging="360"/>
              <w:jc w:val="center"/>
              <w:rPr>
                <w:color w:val="000000"/>
              </w:rPr>
            </w:pPr>
            <w:r>
              <w:rPr>
                <w:color w:val="000000"/>
              </w:rPr>
              <w:t>November 4, 2005</w:t>
            </w:r>
          </w:p>
          <w:p w:rsidRPr="007F620E" w:rsidR="00481623" w:rsidP="00BD1F37" w:rsidRDefault="0081227C" w14:paraId="4B66A2E4" w14:textId="4BC68F0B">
            <w:pPr>
              <w:tabs>
                <w:tab w:val="left" w:pos="360"/>
              </w:tabs>
              <w:ind w:left="360" w:hanging="360"/>
              <w:jc w:val="center"/>
              <w:rPr>
                <w:color w:val="000000"/>
              </w:rPr>
            </w:pPr>
            <w:r>
              <w:rPr>
                <w:color w:val="000000"/>
              </w:rPr>
              <w:t>July 26, 2019</w:t>
            </w:r>
          </w:p>
        </w:tc>
        <w:tc>
          <w:tcPr>
            <w:tcW w:w="2276" w:type="dxa"/>
            <w:shd w:val="clear" w:color="auto" w:fill="auto"/>
          </w:tcPr>
          <w:p w:rsidR="00BE03E1" w:rsidP="00481623" w:rsidRDefault="00BE03E1" w14:paraId="590BF841" w14:textId="3B3FBE24">
            <w:pPr>
              <w:tabs>
                <w:tab w:val="left" w:pos="360"/>
              </w:tabs>
              <w:rPr>
                <w:color w:val="000000"/>
              </w:rPr>
            </w:pPr>
            <w:r>
              <w:rPr>
                <w:color w:val="000000"/>
              </w:rPr>
              <w:t>No</w:t>
            </w:r>
            <w:r w:rsidRPr="00BE03E1">
              <w:rPr>
                <w:color w:val="000000"/>
                <w:vertAlign w:val="superscript"/>
              </w:rPr>
              <w:fldChar w:fldCharType="begin"/>
            </w:r>
            <w:r w:rsidRPr="00BE03E1">
              <w:rPr>
                <w:color w:val="000000"/>
                <w:vertAlign w:val="superscript"/>
              </w:rPr>
              <w:instrText xml:space="preserve"> NOTEREF _Ref148450092 \h  \* MERGEFORMAT </w:instrText>
            </w:r>
            <w:r w:rsidRPr="00BE03E1">
              <w:rPr>
                <w:color w:val="000000"/>
                <w:vertAlign w:val="superscript"/>
              </w:rPr>
            </w:r>
            <w:r w:rsidRPr="00BE03E1">
              <w:rPr>
                <w:color w:val="000000"/>
                <w:vertAlign w:val="superscript"/>
              </w:rPr>
              <w:fldChar w:fldCharType="separate"/>
            </w:r>
            <w:r w:rsidRPr="00BE03E1">
              <w:rPr>
                <w:color w:val="000000"/>
                <w:vertAlign w:val="superscript"/>
              </w:rPr>
              <w:t>4</w:t>
            </w:r>
            <w:r w:rsidRPr="00BE03E1">
              <w:rPr>
                <w:color w:val="000000"/>
                <w:vertAlign w:val="superscript"/>
              </w:rPr>
              <w:fldChar w:fldCharType="end"/>
            </w:r>
          </w:p>
          <w:p w:rsidR="00D5782B" w:rsidP="00481623" w:rsidRDefault="00D5782B" w14:paraId="151C7F88" w14:textId="6D61B93B">
            <w:pPr>
              <w:tabs>
                <w:tab w:val="left" w:pos="360"/>
              </w:tabs>
              <w:rPr>
                <w:color w:val="000000"/>
              </w:rPr>
            </w:pPr>
            <w:r>
              <w:rPr>
                <w:color w:val="000000"/>
              </w:rPr>
              <w:t>Yes</w:t>
            </w:r>
          </w:p>
          <w:p w:rsidRPr="007F620E" w:rsidR="00D5782B" w:rsidP="00481623" w:rsidRDefault="00D5782B" w14:paraId="3B83D035" w14:textId="3693F6B7">
            <w:pPr>
              <w:tabs>
                <w:tab w:val="left" w:pos="360"/>
              </w:tabs>
              <w:rPr>
                <w:color w:val="000000"/>
              </w:rPr>
            </w:pPr>
            <w:r>
              <w:rPr>
                <w:color w:val="000000"/>
              </w:rPr>
              <w:t>Yes</w:t>
            </w:r>
          </w:p>
        </w:tc>
      </w:tr>
      <w:tr w:rsidRPr="007F620E" w:rsidR="00481623" w:rsidTr="006F08B5" w14:paraId="7C183C5E" w14:textId="77777777">
        <w:tc>
          <w:tcPr>
            <w:tcW w:w="4817" w:type="dxa"/>
            <w:shd w:val="clear" w:color="auto" w:fill="auto"/>
          </w:tcPr>
          <w:p w:rsidRPr="007F620E" w:rsidR="00481623" w:rsidP="00481623" w:rsidRDefault="00481623" w14:paraId="4141CB3D" w14:textId="2DCA8797">
            <w:pPr>
              <w:ind w:left="360" w:hanging="360"/>
              <w:rPr>
                <w:color w:val="000000"/>
              </w:rPr>
            </w:pPr>
            <w:r w:rsidRPr="007F620E">
              <w:rPr>
                <w:color w:val="000000"/>
              </w:rPr>
              <w:t>11.</w:t>
            </w:r>
            <w:r>
              <w:rPr>
                <w:color w:val="000000"/>
              </w:rPr>
              <w:tab/>
            </w:r>
            <w:r w:rsidRPr="007F620E">
              <w:rPr>
                <w:color w:val="000000"/>
              </w:rPr>
              <w:t>Based on another CPUC determination (specify):</w:t>
            </w:r>
          </w:p>
        </w:tc>
        <w:tc>
          <w:tcPr>
            <w:tcW w:w="2267" w:type="dxa"/>
            <w:shd w:val="clear" w:color="auto" w:fill="auto"/>
            <w:vAlign w:val="center"/>
          </w:tcPr>
          <w:p w:rsidRPr="007F620E" w:rsidR="00481623" w:rsidP="00BD1F37" w:rsidRDefault="00B32D01" w14:paraId="141EB5CF" w14:textId="3019BC3C">
            <w:pPr>
              <w:tabs>
                <w:tab w:val="left" w:pos="360"/>
              </w:tabs>
              <w:ind w:left="360" w:hanging="360"/>
              <w:jc w:val="center"/>
              <w:rPr>
                <w:color w:val="000000"/>
              </w:rPr>
            </w:pPr>
            <w:r>
              <w:rPr>
                <w:color w:val="000000"/>
              </w:rPr>
              <w:t>N/A</w:t>
            </w:r>
          </w:p>
        </w:tc>
        <w:tc>
          <w:tcPr>
            <w:tcW w:w="2276" w:type="dxa"/>
            <w:shd w:val="clear" w:color="auto" w:fill="auto"/>
          </w:tcPr>
          <w:p w:rsidRPr="007F620E" w:rsidR="00481623" w:rsidP="00481623" w:rsidRDefault="00481623" w14:paraId="79318715" w14:textId="77777777">
            <w:pPr>
              <w:tabs>
                <w:tab w:val="left" w:pos="360"/>
              </w:tabs>
              <w:rPr>
                <w:color w:val="000000"/>
              </w:rPr>
            </w:pPr>
          </w:p>
        </w:tc>
      </w:tr>
      <w:tr w:rsidRPr="007F620E" w:rsidR="00481623" w:rsidTr="00F028C8" w14:paraId="4E8D20BF" w14:textId="77777777">
        <w:tc>
          <w:tcPr>
            <w:tcW w:w="7084" w:type="dxa"/>
            <w:gridSpan w:val="2"/>
            <w:tcBorders>
              <w:bottom w:val="single" w:color="auto" w:sz="4" w:space="0"/>
            </w:tcBorders>
            <w:shd w:val="clear" w:color="auto" w:fill="auto"/>
          </w:tcPr>
          <w:p w:rsidRPr="007F620E" w:rsidR="00481623" w:rsidP="00481623" w:rsidRDefault="00481623" w14:paraId="48D0D936" w14:textId="6A3DF8B8">
            <w:pPr>
              <w:tabs>
                <w:tab w:val="left" w:pos="360"/>
              </w:tabs>
              <w:ind w:left="360" w:hanging="360"/>
              <w:rPr>
                <w:color w:val="000000"/>
              </w:rPr>
            </w:pPr>
            <w:r>
              <w:rPr>
                <w:color w:val="000000"/>
              </w:rPr>
              <w:t>12</w:t>
            </w:r>
            <w:r w:rsidRPr="007F620E">
              <w:rPr>
                <w:color w:val="000000"/>
              </w:rPr>
              <w:t>.</w:t>
            </w:r>
            <w:r>
              <w:rPr>
                <w:color w:val="000000"/>
              </w:rPr>
              <w:tab/>
            </w:r>
            <w:r w:rsidRPr="007F620E">
              <w:rPr>
                <w:color w:val="000000"/>
              </w:rPr>
              <w:t>Has the Intervenor demonstrated significant financial hardship?</w:t>
            </w:r>
          </w:p>
        </w:tc>
        <w:tc>
          <w:tcPr>
            <w:tcW w:w="2276" w:type="dxa"/>
            <w:tcBorders>
              <w:bottom w:val="single" w:color="auto" w:sz="4" w:space="0"/>
            </w:tcBorders>
            <w:shd w:val="clear" w:color="auto" w:fill="auto"/>
          </w:tcPr>
          <w:p w:rsidRPr="007F620E" w:rsidR="00481623" w:rsidP="00481623" w:rsidRDefault="00D5782B" w14:paraId="0F29B839" w14:textId="14E883F4">
            <w:pPr>
              <w:tabs>
                <w:tab w:val="left" w:pos="360"/>
              </w:tabs>
              <w:rPr>
                <w:color w:val="000000"/>
              </w:rPr>
            </w:pPr>
            <w:r>
              <w:rPr>
                <w:color w:val="000000"/>
              </w:rPr>
              <w:t>Yes</w:t>
            </w:r>
          </w:p>
        </w:tc>
      </w:tr>
      <w:tr w:rsidRPr="007F620E" w:rsidR="00481623" w:rsidTr="00681ADE" w14:paraId="60D4FD5C" w14:textId="77777777">
        <w:trPr>
          <w:trHeight w:val="337"/>
        </w:trPr>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481623" w:rsidP="00481623" w:rsidRDefault="00481623" w14:paraId="172E2884" w14:textId="77777777">
            <w:pPr>
              <w:keepNext/>
              <w:tabs>
                <w:tab w:val="left" w:pos="360"/>
              </w:tabs>
              <w:jc w:val="center"/>
              <w:rPr>
                <w:color w:val="000000"/>
              </w:rPr>
            </w:pPr>
            <w:r w:rsidRPr="007F620E">
              <w:rPr>
                <w:b/>
                <w:color w:val="000000"/>
              </w:rPr>
              <w:t>Timely request for compensation (§ 1804(c)):</w:t>
            </w:r>
          </w:p>
        </w:tc>
      </w:tr>
      <w:tr w:rsidRPr="007F620E" w:rsidR="00481623" w:rsidTr="006F08B5" w14:paraId="3E7938B0" w14:textId="77777777">
        <w:tc>
          <w:tcPr>
            <w:tcW w:w="4817" w:type="dxa"/>
            <w:tcBorders>
              <w:top w:val="single" w:color="auto" w:sz="4" w:space="0"/>
            </w:tcBorders>
            <w:shd w:val="clear" w:color="auto" w:fill="auto"/>
          </w:tcPr>
          <w:p w:rsidRPr="007F620E" w:rsidR="00481623" w:rsidP="00481623" w:rsidRDefault="00481623" w14:paraId="66088F1B" w14:textId="2DB4A731">
            <w:pPr>
              <w:keepNext/>
              <w:tabs>
                <w:tab w:val="left" w:pos="612"/>
              </w:tabs>
              <w:ind w:left="360" w:hanging="360"/>
              <w:rPr>
                <w:color w:val="000000"/>
              </w:rPr>
            </w:pPr>
            <w:r w:rsidRPr="007F620E">
              <w:rPr>
                <w:color w:val="000000"/>
              </w:rPr>
              <w:t>13.</w:t>
            </w:r>
            <w:r>
              <w:rPr>
                <w:color w:val="000000"/>
              </w:rPr>
              <w:tab/>
            </w:r>
            <w:r w:rsidRPr="007F620E">
              <w:rPr>
                <w:color w:val="000000"/>
              </w:rPr>
              <w:t>Identify Final Decision:</w:t>
            </w:r>
          </w:p>
        </w:tc>
        <w:tc>
          <w:tcPr>
            <w:tcW w:w="2267" w:type="dxa"/>
            <w:tcBorders>
              <w:top w:val="single" w:color="auto" w:sz="4" w:space="0"/>
            </w:tcBorders>
            <w:shd w:val="clear" w:color="auto" w:fill="auto"/>
            <w:vAlign w:val="center"/>
          </w:tcPr>
          <w:p w:rsidRPr="006F08B5" w:rsidR="00481623" w:rsidP="00BD1F37" w:rsidRDefault="00DA7FD6" w14:paraId="7166F318" w14:textId="08684851">
            <w:pPr>
              <w:tabs>
                <w:tab w:val="left" w:pos="360"/>
              </w:tabs>
              <w:jc w:val="center"/>
            </w:pPr>
            <w:r w:rsidRPr="006F08B5">
              <w:t>D.22-02-021</w:t>
            </w:r>
          </w:p>
        </w:tc>
        <w:tc>
          <w:tcPr>
            <w:tcW w:w="2276" w:type="dxa"/>
            <w:tcBorders>
              <w:top w:val="single" w:color="auto" w:sz="4" w:space="0"/>
            </w:tcBorders>
            <w:shd w:val="clear" w:color="auto" w:fill="auto"/>
          </w:tcPr>
          <w:p w:rsidRPr="006F08B5" w:rsidR="00481623" w:rsidP="00481623" w:rsidRDefault="00681ADE" w14:paraId="1588DC54" w14:textId="60EAEF6D">
            <w:pPr>
              <w:tabs>
                <w:tab w:val="left" w:pos="360"/>
              </w:tabs>
            </w:pPr>
            <w:r w:rsidRPr="006F08B5">
              <w:t>D. 22-05-014</w:t>
            </w:r>
          </w:p>
        </w:tc>
      </w:tr>
      <w:tr w:rsidRPr="007F620E" w:rsidR="00481623" w:rsidTr="006F08B5" w14:paraId="6360DE59" w14:textId="77777777">
        <w:tc>
          <w:tcPr>
            <w:tcW w:w="4817" w:type="dxa"/>
            <w:shd w:val="clear" w:color="auto" w:fill="auto"/>
          </w:tcPr>
          <w:p w:rsidRPr="007F620E" w:rsidR="00481623" w:rsidP="00481623" w:rsidRDefault="00481623" w14:paraId="4B809E4A" w14:textId="4BEED0BB">
            <w:pPr>
              <w:tabs>
                <w:tab w:val="left" w:pos="612"/>
              </w:tabs>
              <w:ind w:left="360" w:hanging="360"/>
              <w:rPr>
                <w:color w:val="000000"/>
              </w:rPr>
            </w:pPr>
            <w:r w:rsidRPr="007F620E">
              <w:rPr>
                <w:color w:val="000000"/>
              </w:rPr>
              <w:t>14.</w:t>
            </w:r>
            <w:r>
              <w:rPr>
                <w:color w:val="000000"/>
              </w:rPr>
              <w:tab/>
            </w:r>
            <w:r w:rsidRPr="007F620E">
              <w:rPr>
                <w:color w:val="000000"/>
              </w:rPr>
              <w:t xml:space="preserve">Date of issuance of Final Order or Decision:    </w:t>
            </w:r>
          </w:p>
        </w:tc>
        <w:tc>
          <w:tcPr>
            <w:tcW w:w="2267" w:type="dxa"/>
            <w:shd w:val="clear" w:color="auto" w:fill="auto"/>
            <w:vAlign w:val="center"/>
          </w:tcPr>
          <w:p w:rsidRPr="006F08B5" w:rsidR="00481623" w:rsidP="00BD1F37" w:rsidRDefault="007B312E" w14:paraId="20455B5F" w14:textId="75CC9941">
            <w:pPr>
              <w:tabs>
                <w:tab w:val="left" w:pos="360"/>
              </w:tabs>
              <w:jc w:val="center"/>
            </w:pPr>
            <w:r w:rsidRPr="006F08B5">
              <w:t>May 25, 2022</w:t>
            </w:r>
          </w:p>
        </w:tc>
        <w:tc>
          <w:tcPr>
            <w:tcW w:w="2276" w:type="dxa"/>
            <w:shd w:val="clear" w:color="auto" w:fill="auto"/>
          </w:tcPr>
          <w:p w:rsidRPr="006F08B5" w:rsidR="00481623" w:rsidP="00481623" w:rsidRDefault="00681ADE" w14:paraId="1FCF00DD" w14:textId="419DF415">
            <w:pPr>
              <w:tabs>
                <w:tab w:val="left" w:pos="360"/>
              </w:tabs>
            </w:pPr>
            <w:r w:rsidRPr="006F08B5">
              <w:t>Verified</w:t>
            </w:r>
          </w:p>
        </w:tc>
      </w:tr>
      <w:tr w:rsidRPr="007F620E" w:rsidR="00481623" w:rsidTr="006F08B5" w14:paraId="723259E3" w14:textId="77777777">
        <w:tc>
          <w:tcPr>
            <w:tcW w:w="4817" w:type="dxa"/>
            <w:shd w:val="clear" w:color="auto" w:fill="auto"/>
          </w:tcPr>
          <w:p w:rsidRPr="007F620E" w:rsidR="00481623" w:rsidP="00481623" w:rsidRDefault="00481623" w14:paraId="163EE1CA" w14:textId="2B64EB9E">
            <w:pPr>
              <w:tabs>
                <w:tab w:val="left" w:pos="612"/>
              </w:tabs>
              <w:ind w:left="360" w:hanging="360"/>
              <w:rPr>
                <w:color w:val="000000"/>
              </w:rPr>
            </w:pPr>
            <w:r w:rsidRPr="007F620E">
              <w:rPr>
                <w:color w:val="000000"/>
              </w:rPr>
              <w:t>15.</w:t>
            </w:r>
            <w:r>
              <w:rPr>
                <w:color w:val="000000"/>
              </w:rPr>
              <w:tab/>
            </w:r>
            <w:r w:rsidRPr="007F620E">
              <w:rPr>
                <w:color w:val="000000"/>
              </w:rPr>
              <w:t>File date of compensation request:</w:t>
            </w:r>
          </w:p>
        </w:tc>
        <w:tc>
          <w:tcPr>
            <w:tcW w:w="2267" w:type="dxa"/>
            <w:shd w:val="clear" w:color="auto" w:fill="auto"/>
            <w:vAlign w:val="center"/>
          </w:tcPr>
          <w:p w:rsidRPr="006F08B5" w:rsidR="00481623" w:rsidP="00BD1F37" w:rsidRDefault="00BD1F37" w14:paraId="0568B39D" w14:textId="59F6106E">
            <w:pPr>
              <w:tabs>
                <w:tab w:val="left" w:pos="360"/>
              </w:tabs>
              <w:jc w:val="center"/>
            </w:pPr>
            <w:r w:rsidRPr="006F08B5">
              <w:t>July 22, 2022</w:t>
            </w:r>
          </w:p>
        </w:tc>
        <w:tc>
          <w:tcPr>
            <w:tcW w:w="2276" w:type="dxa"/>
            <w:shd w:val="clear" w:color="auto" w:fill="auto"/>
          </w:tcPr>
          <w:p w:rsidRPr="006F08B5" w:rsidR="00481623" w:rsidP="00AE724E" w:rsidRDefault="00AE724E" w14:paraId="1CBF4E7A" w14:textId="2D2555AB">
            <w:pPr>
              <w:tabs>
                <w:tab w:val="left" w:pos="360"/>
              </w:tabs>
            </w:pPr>
            <w:r w:rsidRPr="006F08B5">
              <w:t>Verified</w:t>
            </w:r>
          </w:p>
        </w:tc>
      </w:tr>
      <w:tr w:rsidRPr="007F620E" w:rsidR="00481623" w:rsidTr="00F028C8" w14:paraId="406BCA3A" w14:textId="77777777">
        <w:tc>
          <w:tcPr>
            <w:tcW w:w="7084" w:type="dxa"/>
            <w:gridSpan w:val="2"/>
            <w:shd w:val="clear" w:color="auto" w:fill="auto"/>
          </w:tcPr>
          <w:p w:rsidRPr="007F620E" w:rsidR="00481623" w:rsidP="00481623" w:rsidRDefault="00481623" w14:paraId="10AF42D1" w14:textId="67695104">
            <w:pPr>
              <w:tabs>
                <w:tab w:val="left" w:pos="360"/>
              </w:tabs>
              <w:ind w:left="360" w:hanging="360"/>
              <w:rPr>
                <w:color w:val="000000"/>
              </w:rPr>
            </w:pPr>
            <w:r w:rsidRPr="007F620E">
              <w:rPr>
                <w:color w:val="000000"/>
              </w:rPr>
              <w:t>16</w:t>
            </w:r>
            <w:r>
              <w:rPr>
                <w:color w:val="000000"/>
              </w:rPr>
              <w:t>.</w:t>
            </w:r>
            <w:r>
              <w:rPr>
                <w:color w:val="000000"/>
              </w:rPr>
              <w:tab/>
            </w:r>
            <w:r w:rsidRPr="007F620E">
              <w:rPr>
                <w:color w:val="000000"/>
              </w:rPr>
              <w:t>Was the request for compensation timely?</w:t>
            </w:r>
          </w:p>
        </w:tc>
        <w:tc>
          <w:tcPr>
            <w:tcW w:w="2276" w:type="dxa"/>
            <w:shd w:val="clear" w:color="auto" w:fill="auto"/>
          </w:tcPr>
          <w:p w:rsidRPr="007F620E" w:rsidR="00481623" w:rsidP="00481623" w:rsidRDefault="00681ADE" w14:paraId="2EA30E63" w14:textId="69AFE9A4">
            <w:pPr>
              <w:tabs>
                <w:tab w:val="left" w:pos="360"/>
              </w:tabs>
              <w:rPr>
                <w:color w:val="000000"/>
              </w:rPr>
            </w:pPr>
            <w:r>
              <w:rPr>
                <w:color w:val="000000"/>
              </w:rPr>
              <w:t>Yes</w:t>
            </w:r>
          </w:p>
        </w:tc>
      </w:tr>
    </w:tbl>
    <w:p w:rsidRPr="007F620E" w:rsidR="00A92D0B" w:rsidP="00880855" w:rsidRDefault="00A92D0B" w14:paraId="0068592B" w14:textId="788A27CC">
      <w:pPr>
        <w:keepNext/>
        <w:numPr>
          <w:ilvl w:val="0"/>
          <w:numId w:val="5"/>
        </w:numPr>
        <w:spacing w:before="240" w:after="240"/>
        <w:rPr>
          <w:b/>
          <w:color w:val="000000"/>
        </w:rPr>
      </w:pPr>
      <w:r w:rsidRPr="007F620E">
        <w:rPr>
          <w:b/>
          <w:color w:val="000000"/>
        </w:rPr>
        <w:lastRenderedPageBreak/>
        <w:t>Additional Comments on Part I</w:t>
      </w:r>
      <w:r w:rsidR="00C02649">
        <w:rPr>
          <w:b/>
          <w:color w:val="000000"/>
        </w:rPr>
        <w:t>:</w:t>
      </w:r>
      <w:r w:rsidRPr="007F620E">
        <w:rPr>
          <w:b/>
          <w:color w:val="000000"/>
        </w:rPr>
        <w:t xml:space="preserve">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860"/>
        <w:gridCol w:w="7145"/>
        <w:gridCol w:w="1355"/>
      </w:tblGrid>
      <w:tr w:rsidRPr="007F620E" w:rsidR="003C608A" w:rsidTr="00EA10B7" w14:paraId="046F77BA" w14:textId="77777777">
        <w:trPr>
          <w:tblHeader/>
        </w:trPr>
        <w:tc>
          <w:tcPr>
            <w:tcW w:w="860" w:type="dxa"/>
            <w:tcBorders>
              <w:bottom w:val="single" w:color="auto" w:sz="4" w:space="0"/>
            </w:tcBorders>
            <w:shd w:val="clear" w:color="auto" w:fill="D9D9D9" w:themeFill="background1" w:themeFillShade="D9"/>
          </w:tcPr>
          <w:p w:rsidRPr="007F620E" w:rsidR="003C608A" w:rsidP="007056FC" w:rsidRDefault="003C608A" w14:paraId="0CB867A6" w14:textId="77777777">
            <w:pPr>
              <w:tabs>
                <w:tab w:val="left" w:pos="360"/>
              </w:tabs>
              <w:jc w:val="center"/>
              <w:rPr>
                <w:b/>
                <w:color w:val="000000"/>
              </w:rPr>
            </w:pPr>
            <w:r w:rsidRPr="007F620E">
              <w:rPr>
                <w:b/>
                <w:color w:val="000000"/>
              </w:rPr>
              <w:t>#</w:t>
            </w:r>
          </w:p>
        </w:tc>
        <w:tc>
          <w:tcPr>
            <w:tcW w:w="7145" w:type="dxa"/>
            <w:tcBorders>
              <w:bottom w:val="single" w:color="auto" w:sz="4" w:space="0"/>
            </w:tcBorders>
            <w:shd w:val="clear" w:color="auto" w:fill="D9D9D9" w:themeFill="background1" w:themeFillShade="D9"/>
          </w:tcPr>
          <w:p w:rsidRPr="007F620E" w:rsidR="003C608A" w:rsidP="007056FC" w:rsidRDefault="003C608A" w14:paraId="196D09DF" w14:textId="77777777">
            <w:pPr>
              <w:tabs>
                <w:tab w:val="left" w:pos="360"/>
              </w:tabs>
              <w:jc w:val="center"/>
              <w:rPr>
                <w:b/>
                <w:color w:val="000000"/>
              </w:rPr>
            </w:pPr>
            <w:r w:rsidRPr="007F620E">
              <w:rPr>
                <w:b/>
                <w:color w:val="000000"/>
              </w:rPr>
              <w:t>Intervenor’s Comment(s)</w:t>
            </w:r>
          </w:p>
        </w:tc>
        <w:tc>
          <w:tcPr>
            <w:tcW w:w="1355" w:type="dxa"/>
            <w:shd w:val="clear" w:color="auto" w:fill="D9D9D9" w:themeFill="background1" w:themeFillShade="D9"/>
          </w:tcPr>
          <w:p w:rsidRPr="007F620E" w:rsidR="003C608A" w:rsidP="007056FC" w:rsidRDefault="003C608A" w14:paraId="07207D31" w14:textId="77777777">
            <w:pPr>
              <w:tabs>
                <w:tab w:val="left" w:pos="360"/>
              </w:tabs>
              <w:jc w:val="center"/>
              <w:rPr>
                <w:b/>
                <w:color w:val="000000"/>
              </w:rPr>
            </w:pPr>
            <w:r w:rsidRPr="007F620E">
              <w:rPr>
                <w:b/>
                <w:color w:val="000000"/>
              </w:rPr>
              <w:t>CPUC Discussion</w:t>
            </w:r>
          </w:p>
        </w:tc>
      </w:tr>
      <w:tr w:rsidRPr="007F620E" w:rsidR="001C3AA1" w:rsidTr="006F08B5" w14:paraId="1C6180A4" w14:textId="77777777">
        <w:trPr>
          <w:trHeight w:val="67"/>
        </w:trPr>
        <w:tc>
          <w:tcPr>
            <w:tcW w:w="860" w:type="dxa"/>
            <w:shd w:val="clear" w:color="auto" w:fill="auto"/>
          </w:tcPr>
          <w:p w:rsidR="001C3AA1" w:rsidP="001C3AA1" w:rsidRDefault="001C3AA1" w14:paraId="5F21410D" w14:textId="77777777">
            <w:pPr>
              <w:tabs>
                <w:tab w:val="left" w:pos="360"/>
              </w:tabs>
              <w:rPr>
                <w:color w:val="000000"/>
              </w:rPr>
            </w:pPr>
            <w:r>
              <w:rPr>
                <w:color w:val="000000"/>
              </w:rPr>
              <w:t>B.3,</w:t>
            </w:r>
          </w:p>
          <w:p w:rsidR="001C3AA1" w:rsidP="001C3AA1" w:rsidRDefault="001C3AA1" w14:paraId="6E301DB3" w14:textId="77777777">
            <w:pPr>
              <w:tabs>
                <w:tab w:val="left" w:pos="360"/>
              </w:tabs>
              <w:rPr>
                <w:color w:val="000000"/>
              </w:rPr>
            </w:pPr>
            <w:r>
              <w:rPr>
                <w:color w:val="000000"/>
              </w:rPr>
              <w:t>B.6,</w:t>
            </w:r>
          </w:p>
          <w:p w:rsidRPr="007F620E" w:rsidR="001C3AA1" w:rsidP="001C3AA1" w:rsidRDefault="001C3AA1" w14:paraId="4350D384" w14:textId="771EB667">
            <w:pPr>
              <w:tabs>
                <w:tab w:val="left" w:pos="360"/>
              </w:tabs>
              <w:rPr>
                <w:color w:val="000000"/>
              </w:rPr>
            </w:pPr>
            <w:r>
              <w:rPr>
                <w:color w:val="000000"/>
              </w:rPr>
              <w:t>B.10</w:t>
            </w:r>
          </w:p>
        </w:tc>
        <w:tc>
          <w:tcPr>
            <w:tcW w:w="7145" w:type="dxa"/>
            <w:shd w:val="clear" w:color="auto" w:fill="auto"/>
          </w:tcPr>
          <w:p w:rsidRPr="007F620E" w:rsidR="001C3AA1" w:rsidP="001C3AA1" w:rsidRDefault="001C3AA1" w14:paraId="0ECF4A98" w14:textId="7C294C0F">
            <w:pPr>
              <w:tabs>
                <w:tab w:val="left" w:pos="360"/>
              </w:tabs>
              <w:rPr>
                <w:color w:val="000000"/>
              </w:rPr>
            </w:pPr>
            <w:r>
              <w:rPr>
                <w:color w:val="000000"/>
              </w:rPr>
              <w:t xml:space="preserve">TURN relies on its NOI from R.06-05-028, which was the Commission’s early </w:t>
            </w:r>
            <w:proofErr w:type="spellStart"/>
            <w:r>
              <w:rPr>
                <w:color w:val="000000"/>
              </w:rPr>
              <w:t>LifeLine</w:t>
            </w:r>
            <w:proofErr w:type="spellEnd"/>
            <w:r>
              <w:rPr>
                <w:color w:val="000000"/>
              </w:rPr>
              <w:t xml:space="preserve"> proceeding before the current proceeding (R.20-02-008) and the prior </w:t>
            </w:r>
            <w:proofErr w:type="spellStart"/>
            <w:r>
              <w:rPr>
                <w:color w:val="000000"/>
              </w:rPr>
              <w:t>LifeLine</w:t>
            </w:r>
            <w:proofErr w:type="spellEnd"/>
            <w:r>
              <w:rPr>
                <w:color w:val="000000"/>
              </w:rPr>
              <w:t xml:space="preserve"> proceeding (R.11-03-013)</w:t>
            </w:r>
            <w:r w:rsidR="00CF1A2C">
              <w:rPr>
                <w:color w:val="000000"/>
              </w:rPr>
              <w:t xml:space="preserve"> s</w:t>
            </w:r>
            <w:r>
              <w:rPr>
                <w:color w:val="000000"/>
              </w:rPr>
              <w:t xml:space="preserve">ince R.06-05-028, in subsequent orders instituting rulemakings, the Commission retained all intervenor compensation findings and filings. </w:t>
            </w:r>
            <w:r w:rsidRPr="00740C54" w:rsidR="00740C54">
              <w:rPr>
                <w:i/>
                <w:iCs/>
                <w:color w:val="000000"/>
              </w:rPr>
              <w:t>See</w:t>
            </w:r>
            <w:r w:rsidR="00740C54">
              <w:rPr>
                <w:color w:val="000000"/>
              </w:rPr>
              <w:t xml:space="preserve">, </w:t>
            </w:r>
            <w:r>
              <w:rPr>
                <w:color w:val="000000"/>
              </w:rPr>
              <w:t xml:space="preserve">OIR (R.11-03-013) at p. 15; OIR (R.20-02-008) at p. 7.  </w:t>
            </w:r>
            <w:r w:rsidRPr="000C336B">
              <w:rPr>
                <w:i/>
                <w:iCs/>
                <w:color w:val="000000"/>
              </w:rPr>
              <w:t>See also, e.g</w:t>
            </w:r>
            <w:r>
              <w:rPr>
                <w:color w:val="000000"/>
              </w:rPr>
              <w:t>., Decisions 19-01-017 and 20-12-040 (R.11-03-013) (the Commission relied on TURN’s NOI and showings from R.06-05-028).</w:t>
            </w:r>
          </w:p>
        </w:tc>
        <w:tc>
          <w:tcPr>
            <w:tcW w:w="1355" w:type="dxa"/>
            <w:shd w:val="clear" w:color="auto" w:fill="auto"/>
          </w:tcPr>
          <w:p w:rsidRPr="007F620E" w:rsidR="001C3AA1" w:rsidP="00686F9C" w:rsidRDefault="004D1ABD" w14:paraId="416D6250" w14:textId="76549ABD">
            <w:pPr>
              <w:tabs>
                <w:tab w:val="left" w:pos="360"/>
              </w:tabs>
              <w:rPr>
                <w:color w:val="000000"/>
              </w:rPr>
            </w:pPr>
            <w:r>
              <w:rPr>
                <w:color w:val="000000"/>
              </w:rPr>
              <w:t>Noted</w:t>
            </w:r>
          </w:p>
        </w:tc>
      </w:tr>
    </w:tbl>
    <w:p w:rsidRPr="00DA2D29" w:rsidR="00A92D0B" w:rsidP="00DA2D29" w:rsidRDefault="00A92D0B" w14:paraId="45219348" w14:textId="2BE2E1B5">
      <w:pPr>
        <w:keepNext/>
        <w:spacing w:before="480"/>
        <w:jc w:val="center"/>
        <w:rPr>
          <w:b/>
          <w:color w:val="000000"/>
        </w:rPr>
      </w:pPr>
      <w:r w:rsidRPr="007F620E">
        <w:rPr>
          <w:b/>
          <w:color w:val="000000"/>
        </w:rPr>
        <w:t>PART II:</w:t>
      </w:r>
      <w:r w:rsidR="00D1778A">
        <w:rPr>
          <w:b/>
          <w:color w:val="000000"/>
        </w:rPr>
        <w:t xml:space="preserve">  </w:t>
      </w:r>
      <w:r w:rsidRPr="007F620E">
        <w:rPr>
          <w:b/>
          <w:color w:val="000000"/>
        </w:rPr>
        <w:t>SUBSTANTIAL CONTRIBUTION</w:t>
      </w:r>
    </w:p>
    <w:p w:rsidRPr="00C02649" w:rsidR="00A92D0B" w:rsidP="005B5B44" w:rsidRDefault="00D075B1" w14:paraId="337CC332" w14:textId="39F9B612">
      <w:pPr>
        <w:keepNext/>
        <w:numPr>
          <w:ilvl w:val="0"/>
          <w:numId w:val="8"/>
        </w:numPr>
        <w:spacing w:before="240" w:after="240"/>
        <w:rPr>
          <w:b/>
          <w:color w:val="000000"/>
        </w:rPr>
      </w:pPr>
      <w:r w:rsidRPr="007F620E">
        <w:rPr>
          <w:b/>
          <w:color w:val="000000"/>
        </w:rPr>
        <w:t xml:space="preserve">Did the </w:t>
      </w:r>
      <w:r w:rsidRPr="007F620E" w:rsidR="005A63D4">
        <w:rPr>
          <w:b/>
          <w:color w:val="000000"/>
        </w:rPr>
        <w:t>Intervenor</w:t>
      </w:r>
      <w:r w:rsidRPr="007F620E">
        <w:rPr>
          <w:b/>
          <w:color w:val="000000"/>
        </w:rPr>
        <w:t xml:space="preserve"> substantially contribute to the final decision</w:t>
      </w:r>
      <w:r w:rsidRPr="007F620E" w:rsidR="00A92D0B">
        <w:rPr>
          <w:b/>
          <w:color w:val="000000"/>
        </w:rPr>
        <w:t xml:space="preserve"> (</w:t>
      </w:r>
      <w:r w:rsidRPr="007F620E" w:rsidR="00A92D0B">
        <w:rPr>
          <w:b/>
          <w:i/>
          <w:color w:val="000000"/>
        </w:rPr>
        <w:t>see</w:t>
      </w:r>
      <w:r w:rsidRPr="007F620E" w:rsidR="00A92D0B">
        <w:rPr>
          <w:b/>
          <w:color w:val="000000"/>
        </w:rPr>
        <w:t xml:space="preserve"> § 1802(</w:t>
      </w:r>
      <w:r w:rsidR="00ED6B6B">
        <w:rPr>
          <w:b/>
          <w:color w:val="000000"/>
        </w:rPr>
        <w:t>j</w:t>
      </w:r>
      <w:r w:rsidRPr="007F620E" w:rsidR="00A92D0B">
        <w:rPr>
          <w:b/>
          <w:color w:val="000000"/>
        </w:rPr>
        <w:t xml:space="preserve">), </w:t>
      </w:r>
      <w:r w:rsidRPr="007F620E" w:rsidR="001E77CF">
        <w:rPr>
          <w:b/>
          <w:color w:val="000000"/>
        </w:rPr>
        <w:br/>
      </w:r>
      <w:r w:rsidRPr="007F620E" w:rsidR="00A92D0B">
        <w:rPr>
          <w:b/>
          <w:color w:val="000000"/>
        </w:rPr>
        <w:t>§ 1803(a)</w:t>
      </w:r>
      <w:r w:rsidRPr="007F620E" w:rsidR="00F30DA8">
        <w:rPr>
          <w:b/>
          <w:color w:val="000000"/>
        </w:rPr>
        <w:t>,</w:t>
      </w:r>
      <w:r w:rsidRPr="007F620E" w:rsidR="00A92D0B">
        <w:rPr>
          <w:b/>
          <w:color w:val="000000"/>
        </w:rPr>
        <w:t xml:space="preserve"> </w:t>
      </w:r>
      <w:r w:rsidR="00ED6B6B">
        <w:rPr>
          <w:b/>
          <w:color w:val="000000"/>
        </w:rPr>
        <w:t xml:space="preserve">1803.1(a) </w:t>
      </w:r>
      <w:r w:rsidRPr="007F620E" w:rsidR="00F30DA8">
        <w:rPr>
          <w:b/>
          <w:color w:val="000000"/>
        </w:rPr>
        <w:t>and</w:t>
      </w:r>
      <w:r w:rsidRPr="007F620E" w:rsidR="00A92D0B">
        <w:rPr>
          <w:b/>
          <w:color w:val="000000"/>
        </w:rPr>
        <w:t xml:space="preserve"> D.98-04-059)</w:t>
      </w:r>
      <w:r w:rsidR="00C02649">
        <w:rPr>
          <w:b/>
          <w:color w:val="000000"/>
        </w:rPr>
        <w:t>:</w:t>
      </w:r>
      <w:r w:rsidRPr="007F620E" w:rsidR="00A92D0B">
        <w:rPr>
          <w:b/>
          <w:color w:val="000000"/>
        </w:rPr>
        <w:t xml:space="preserve"> </w:t>
      </w: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769"/>
        <w:gridCol w:w="2786"/>
        <w:gridCol w:w="2250"/>
      </w:tblGrid>
      <w:tr w:rsidRPr="007F620E" w:rsidR="00A92D0B" w:rsidTr="00EC0904" w14:paraId="67755362" w14:textId="77777777">
        <w:tc>
          <w:tcPr>
            <w:tcW w:w="4769" w:type="dxa"/>
            <w:tcBorders>
              <w:bottom w:val="single" w:color="auto" w:sz="4" w:space="0"/>
            </w:tcBorders>
            <w:shd w:val="pct12" w:color="auto" w:fill="auto"/>
          </w:tcPr>
          <w:p w:rsidRPr="007F620E" w:rsidR="00A92D0B" w:rsidP="00073262" w:rsidRDefault="00D075B1" w14:paraId="7CE2E5BB" w14:textId="77777777">
            <w:pPr>
              <w:jc w:val="center"/>
              <w:rPr>
                <w:b/>
                <w:color w:val="000000"/>
              </w:rPr>
            </w:pPr>
            <w:r w:rsidRPr="007F620E">
              <w:rPr>
                <w:b/>
                <w:color w:val="000000"/>
              </w:rPr>
              <w:t>Intervenor’s Claimed Contribution(s)</w:t>
            </w:r>
          </w:p>
        </w:tc>
        <w:tc>
          <w:tcPr>
            <w:tcW w:w="2786" w:type="dxa"/>
            <w:tcBorders>
              <w:bottom w:val="single" w:color="auto" w:sz="4" w:space="0"/>
            </w:tcBorders>
            <w:shd w:val="pct12" w:color="auto" w:fill="auto"/>
          </w:tcPr>
          <w:p w:rsidRPr="007F620E" w:rsidR="00A92D0B" w:rsidP="00073262" w:rsidRDefault="00A92D0B" w14:paraId="2794272E" w14:textId="77777777">
            <w:pPr>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250" w:type="dxa"/>
            <w:shd w:val="pct12" w:color="auto" w:fill="auto"/>
          </w:tcPr>
          <w:p w:rsidRPr="007F620E" w:rsidR="00A92D0B" w:rsidP="00073262" w:rsidRDefault="00D075B1" w14:paraId="79AFC714" w14:textId="77777777">
            <w:pPr>
              <w:jc w:val="center"/>
              <w:rPr>
                <w:b/>
                <w:color w:val="000000"/>
              </w:rPr>
            </w:pPr>
            <w:r w:rsidRPr="007F620E">
              <w:rPr>
                <w:b/>
                <w:color w:val="000000"/>
              </w:rPr>
              <w:t>CPUC Discussion</w:t>
            </w:r>
          </w:p>
        </w:tc>
      </w:tr>
      <w:tr w:rsidRPr="007F620E" w:rsidR="00A92D0B" w:rsidTr="00DA2D29" w14:paraId="2E691FFC" w14:textId="77777777">
        <w:tc>
          <w:tcPr>
            <w:tcW w:w="4769" w:type="dxa"/>
            <w:shd w:val="clear" w:color="auto" w:fill="auto"/>
          </w:tcPr>
          <w:p w:rsidRPr="00615C98" w:rsidR="00A92D0B" w:rsidP="00615C98" w:rsidRDefault="00E96C4C" w14:paraId="54649358" w14:textId="1CF785D4">
            <w:pPr>
              <w:pStyle w:val="ListParagraph"/>
              <w:numPr>
                <w:ilvl w:val="0"/>
                <w:numId w:val="11"/>
              </w:numPr>
              <w:ind w:left="337"/>
              <w:rPr>
                <w:b/>
                <w:bCs/>
                <w:color w:val="000000"/>
                <w:szCs w:val="24"/>
              </w:rPr>
            </w:pPr>
            <w:r w:rsidRPr="00615C98">
              <w:rPr>
                <w:b/>
                <w:bCs/>
                <w:color w:val="000000"/>
                <w:szCs w:val="24"/>
              </w:rPr>
              <w:t>Background</w:t>
            </w:r>
          </w:p>
          <w:p w:rsidR="00CC2B15" w:rsidP="007877D0" w:rsidRDefault="001046F1" w14:paraId="67B6C16F" w14:textId="3891AC87">
            <w:pPr>
              <w:pStyle w:val="SubstantialContribution"/>
            </w:pPr>
            <w:r>
              <w:t xml:space="preserve">This proceeding is multifaceted and addresses multiple issues regarding the California </w:t>
            </w:r>
            <w:proofErr w:type="spellStart"/>
            <w:r>
              <w:t>LifeLine</w:t>
            </w:r>
            <w:proofErr w:type="spellEnd"/>
            <w:r>
              <w:t xml:space="preserve"> Program</w:t>
            </w:r>
            <w:r w:rsidR="00CC2B15">
              <w:t xml:space="preserve">, including </w:t>
            </w:r>
            <w:r w:rsidR="003614C3">
              <w:t xml:space="preserve">the </w:t>
            </w:r>
            <w:r w:rsidR="00CC2B15">
              <w:t>moderniz</w:t>
            </w:r>
            <w:r w:rsidR="003614C3">
              <w:t>ation</w:t>
            </w:r>
            <w:r w:rsidR="00CC2B15">
              <w:t xml:space="preserve"> </w:t>
            </w:r>
            <w:r w:rsidR="007B6D50">
              <w:t xml:space="preserve">of </w:t>
            </w:r>
            <w:r w:rsidR="00CC2B15">
              <w:t>the program’s renewal processes</w:t>
            </w:r>
            <w:r>
              <w:t xml:space="preserve">.  </w:t>
            </w:r>
            <w:r w:rsidR="00C5683B">
              <w:t xml:space="preserve">As of March 2020, the Commission suspended the </w:t>
            </w:r>
            <w:r w:rsidR="002F6FA8">
              <w:t xml:space="preserve">renewal process as a consumer protection in response to the global COVID-19 pandemic. </w:t>
            </w:r>
            <w:r w:rsidR="00C5683B">
              <w:t xml:space="preserve"> </w:t>
            </w:r>
            <w:r w:rsidR="002F6FA8">
              <w:t>Therefore, f</w:t>
            </w:r>
            <w:r w:rsidR="00CD6C93">
              <w:t>or much of the time t</w:t>
            </w:r>
            <w:r w:rsidR="00CC2B15">
              <w:t xml:space="preserve">he </w:t>
            </w:r>
            <w:r w:rsidR="00AA4CDA">
              <w:t xml:space="preserve">Commission considered and </w:t>
            </w:r>
            <w:r w:rsidR="006B0B17">
              <w:t>adopted</w:t>
            </w:r>
            <w:r w:rsidR="00AA4CDA">
              <w:t xml:space="preserve"> renewal process modifications,</w:t>
            </w:r>
            <w:r w:rsidR="00CC2B15">
              <w:t xml:space="preserve"> the renewal rules were suspended</w:t>
            </w:r>
            <w:r w:rsidR="00810B5F">
              <w:t xml:space="preserve">.  As a result, </w:t>
            </w:r>
            <w:r w:rsidR="00CC2B15">
              <w:t xml:space="preserve">some of the </w:t>
            </w:r>
            <w:r w:rsidR="00EA0166">
              <w:t xml:space="preserve">Commission’s </w:t>
            </w:r>
            <w:r w:rsidR="00CC2B15">
              <w:t xml:space="preserve">early modifications to the renewals process were implemented but </w:t>
            </w:r>
            <w:r w:rsidR="007F0AD2">
              <w:t xml:space="preserve">their effectiveness </w:t>
            </w:r>
            <w:r w:rsidR="002E4418">
              <w:t xml:space="preserve">has </w:t>
            </w:r>
            <w:proofErr w:type="gramStart"/>
            <w:r w:rsidR="002E4418">
              <w:t>not been</w:t>
            </w:r>
            <w:proofErr w:type="gramEnd"/>
            <w:r w:rsidR="00AA4CDA">
              <w:t xml:space="preserve"> </w:t>
            </w:r>
            <w:r w:rsidR="00CC2B15">
              <w:t xml:space="preserve">apparent </w:t>
            </w:r>
            <w:r w:rsidR="00EC7E6F">
              <w:t>while</w:t>
            </w:r>
            <w:r w:rsidR="00CC2B15">
              <w:t xml:space="preserve"> the renewal process was suspended.</w:t>
            </w:r>
            <w:r w:rsidR="002E4418">
              <w:t xml:space="preserve">  </w:t>
            </w:r>
            <w:r w:rsidR="00326954">
              <w:t xml:space="preserve">On </w:t>
            </w:r>
            <w:r w:rsidR="00673BA1">
              <w:t>July 1, 2022</w:t>
            </w:r>
            <w:r w:rsidR="00326954">
              <w:t xml:space="preserve">, the Commission </w:t>
            </w:r>
            <w:r w:rsidR="004025D2">
              <w:t>reinstated the renewal process, and this process now includes th</w:t>
            </w:r>
            <w:r w:rsidR="009D6D0A">
              <w:t>ose early</w:t>
            </w:r>
            <w:r w:rsidR="004025D2">
              <w:t xml:space="preserve"> modifi</w:t>
            </w:r>
            <w:r w:rsidR="009046A8">
              <w:t>cations</w:t>
            </w:r>
            <w:r w:rsidR="009D6D0A">
              <w:t xml:space="preserve"> and the modification that are the subject of Decision 22-05-041</w:t>
            </w:r>
            <w:r w:rsidR="00B13A3D">
              <w:t>.</w:t>
            </w:r>
          </w:p>
          <w:p w:rsidRPr="007F620E" w:rsidR="002B6217" w:rsidP="007877D0" w:rsidRDefault="00231045" w14:paraId="1B0CC007" w14:textId="6166CC69">
            <w:pPr>
              <w:pStyle w:val="SubstantialContribution"/>
            </w:pPr>
            <w:r>
              <w:t xml:space="preserve">Here, in Decision 22-05-041, the Commission </w:t>
            </w:r>
            <w:r w:rsidR="0034683A">
              <w:t xml:space="preserve">considered </w:t>
            </w:r>
            <w:r w:rsidR="008A0FC0">
              <w:t xml:space="preserve">and adopted </w:t>
            </w:r>
            <w:r w:rsidR="0034683A">
              <w:t xml:space="preserve">modifications to the </w:t>
            </w:r>
            <w:r w:rsidR="0034683A">
              <w:lastRenderedPageBreak/>
              <w:t xml:space="preserve">California </w:t>
            </w:r>
            <w:proofErr w:type="spellStart"/>
            <w:r w:rsidR="0034683A">
              <w:t>LifeLine</w:t>
            </w:r>
            <w:proofErr w:type="spellEnd"/>
            <w:r w:rsidR="0034683A">
              <w:t xml:space="preserve"> renewal process</w:t>
            </w:r>
            <w:r w:rsidR="00F35ED0">
              <w:t xml:space="preserve"> that </w:t>
            </w:r>
            <w:r w:rsidR="00BB720B">
              <w:t>were the result</w:t>
            </w:r>
            <w:r w:rsidR="0008348C">
              <w:t xml:space="preserve"> of</w:t>
            </w:r>
            <w:r w:rsidR="00EF7291">
              <w:t xml:space="preserve"> </w:t>
            </w:r>
            <w:r w:rsidR="00F35ED0">
              <w:t>multiple sources</w:t>
            </w:r>
            <w:r w:rsidR="0034683A">
              <w:t xml:space="preserve">.  </w:t>
            </w:r>
            <w:r w:rsidR="00F35ED0">
              <w:t>One source was the Renewals Working Group</w:t>
            </w:r>
            <w:r w:rsidR="0034683A">
              <w:t>,</w:t>
            </w:r>
            <w:r w:rsidR="00F35ED0">
              <w:t xml:space="preserve"> which</w:t>
            </w:r>
            <w:r w:rsidR="0034683A">
              <w:t xml:space="preserve"> </w:t>
            </w:r>
            <w:r w:rsidR="00EC7E6F">
              <w:t>consisted of</w:t>
            </w:r>
            <w:r w:rsidR="0034683A">
              <w:t xml:space="preserve"> parties to </w:t>
            </w:r>
            <w:r w:rsidR="00EC7E6F">
              <w:t>this proceeding</w:t>
            </w:r>
            <w:r w:rsidR="009D36E7">
              <w:t>—</w:t>
            </w:r>
            <w:r w:rsidR="0008348C">
              <w:t>including TURN</w:t>
            </w:r>
            <w:r w:rsidR="009D36E7">
              <w:t>—</w:t>
            </w:r>
            <w:r w:rsidR="003B449B">
              <w:t xml:space="preserve">and was formed </w:t>
            </w:r>
            <w:r w:rsidR="0034683A">
              <w:t xml:space="preserve">to propose modifications to the then-current renewals process.  </w:t>
            </w:r>
            <w:r w:rsidR="00F35ED0">
              <w:t xml:space="preserve">Another source was </w:t>
            </w:r>
            <w:r w:rsidR="00EF7291">
              <w:t>Assembly Bill 74</w:t>
            </w:r>
            <w:r w:rsidR="009D36E7">
              <w:t xml:space="preserve"> </w:t>
            </w:r>
            <w:r w:rsidR="00EF7291">
              <w:t>(2021, Gonzalez)</w:t>
            </w:r>
            <w:r w:rsidR="009D36E7">
              <w:t xml:space="preserve"> (“AB 74”).</w:t>
            </w:r>
            <w:r w:rsidR="00EF7291">
              <w:t xml:space="preserve">  For </w:t>
            </w:r>
            <w:proofErr w:type="gramStart"/>
            <w:r w:rsidR="00EF7291">
              <w:t>both of these</w:t>
            </w:r>
            <w:proofErr w:type="gramEnd"/>
            <w:r w:rsidR="00EF7291">
              <w:t xml:space="preserve"> sources,</w:t>
            </w:r>
            <w:r w:rsidR="007877D0">
              <w:t xml:space="preserve"> </w:t>
            </w:r>
            <w:r w:rsidR="0034683A">
              <w:t xml:space="preserve">the Commission </w:t>
            </w:r>
            <w:r w:rsidR="0099114E">
              <w:t xml:space="preserve">considered how it would incorporate </w:t>
            </w:r>
            <w:r w:rsidR="00EF7291">
              <w:t xml:space="preserve">either the suggestions from the Renewals Working Group or the </w:t>
            </w:r>
            <w:r w:rsidR="00736525">
              <w:t>AB</w:t>
            </w:r>
            <w:r w:rsidR="00EF7291">
              <w:t xml:space="preserve"> 74 </w:t>
            </w:r>
            <w:r w:rsidR="0099114E">
              <w:t>legislative directives to modernize the renewal process</w:t>
            </w:r>
            <w:r w:rsidR="00EF7291">
              <w:t>.</w:t>
            </w:r>
          </w:p>
        </w:tc>
        <w:tc>
          <w:tcPr>
            <w:tcW w:w="2786" w:type="dxa"/>
            <w:shd w:val="clear" w:color="auto" w:fill="auto"/>
          </w:tcPr>
          <w:p w:rsidRPr="007F620E" w:rsidR="00A92D0B" w:rsidP="00073262" w:rsidRDefault="00A92D0B" w14:paraId="532F95D2" w14:textId="77777777">
            <w:pPr>
              <w:rPr>
                <w:color w:val="000000"/>
              </w:rPr>
            </w:pPr>
          </w:p>
        </w:tc>
        <w:tc>
          <w:tcPr>
            <w:tcW w:w="2250" w:type="dxa"/>
            <w:shd w:val="clear" w:color="auto" w:fill="auto"/>
          </w:tcPr>
          <w:p w:rsidR="00AF6CCA" w:rsidP="00073262" w:rsidRDefault="00AF6CCA" w14:paraId="515D8884" w14:textId="714627CF">
            <w:pPr>
              <w:rPr>
                <w:color w:val="000000"/>
              </w:rPr>
            </w:pPr>
            <w:r>
              <w:rPr>
                <w:color w:val="000000"/>
              </w:rPr>
              <w:t>Noted</w:t>
            </w:r>
            <w:r w:rsidR="00BE03E1">
              <w:rPr>
                <w:color w:val="000000"/>
              </w:rPr>
              <w:t>,</w:t>
            </w:r>
          </w:p>
          <w:p w:rsidRPr="007F620E" w:rsidR="00B949A4" w:rsidP="00073262" w:rsidRDefault="00B949A4" w14:paraId="63938BDA" w14:textId="60875ECD">
            <w:pPr>
              <w:rPr>
                <w:color w:val="000000"/>
              </w:rPr>
            </w:pPr>
            <w:r>
              <w:rPr>
                <w:color w:val="000000"/>
              </w:rPr>
              <w:t>D.22-05-014</w:t>
            </w:r>
            <w:r w:rsidR="007953BE">
              <w:rPr>
                <w:color w:val="000000"/>
              </w:rPr>
              <w:t xml:space="preserve"> is the correct decision number.</w:t>
            </w:r>
          </w:p>
        </w:tc>
      </w:tr>
      <w:tr w:rsidRPr="007F620E" w:rsidR="00A92D0B" w:rsidTr="00DA2D29" w14:paraId="4AAA05AE" w14:textId="77777777">
        <w:tc>
          <w:tcPr>
            <w:tcW w:w="4769" w:type="dxa"/>
            <w:shd w:val="clear" w:color="auto" w:fill="auto"/>
          </w:tcPr>
          <w:p w:rsidRPr="00C840E1" w:rsidR="00A92D0B" w:rsidP="00C840E1" w:rsidRDefault="00E96C4C" w14:paraId="31756DBD" w14:textId="219FE66E">
            <w:pPr>
              <w:pStyle w:val="ListParagraph"/>
              <w:numPr>
                <w:ilvl w:val="0"/>
                <w:numId w:val="11"/>
              </w:numPr>
              <w:ind w:left="337"/>
              <w:rPr>
                <w:b/>
                <w:bCs/>
                <w:color w:val="000000"/>
                <w:szCs w:val="24"/>
              </w:rPr>
            </w:pPr>
            <w:r w:rsidRPr="00C840E1">
              <w:rPr>
                <w:b/>
                <w:bCs/>
                <w:color w:val="000000"/>
                <w:szCs w:val="24"/>
              </w:rPr>
              <w:t>AB 74 Compliance</w:t>
            </w:r>
          </w:p>
          <w:p w:rsidRPr="007F620E" w:rsidR="00C852F8" w:rsidP="00615C98" w:rsidRDefault="00C852F8" w14:paraId="11FCCEB5" w14:textId="0FAD5613">
            <w:pPr>
              <w:pStyle w:val="SubstantialContribution"/>
            </w:pPr>
            <w:r>
              <w:t xml:space="preserve">Joint Consumers </w:t>
            </w:r>
            <w:r w:rsidR="00CF3B70">
              <w:t xml:space="preserve">advocated that the Commission need not take any additional measures to implement the legislative directives in Assembly Bill 74 </w:t>
            </w:r>
            <w:r w:rsidR="00582B41">
              <w:t>(2021, Gonzalez</w:t>
            </w:r>
            <w:r w:rsidR="000212F1">
              <w:t>)</w:t>
            </w:r>
            <w:r w:rsidR="00240D52">
              <w:t xml:space="preserve"> (codified in Pub. Util. Code sec. 878.6)</w:t>
            </w:r>
            <w:r w:rsidR="000212F1">
              <w:t xml:space="preserve"> because the Commission was already in full compliance with AB 74</w:t>
            </w:r>
            <w:r w:rsidR="0083429B">
              <w:t>’s directives</w:t>
            </w:r>
            <w:r w:rsidR="000212F1">
              <w:t>.</w:t>
            </w:r>
            <w:r w:rsidR="00872E1E">
              <w:t xml:space="preserve">  The Commission </w:t>
            </w:r>
            <w:r w:rsidR="000906CB">
              <w:t xml:space="preserve">adopted additional modifications </w:t>
            </w:r>
            <w:r w:rsidR="00A31768">
              <w:t xml:space="preserve">based on the Staff Proposal </w:t>
            </w:r>
            <w:r w:rsidR="000906CB">
              <w:t xml:space="preserve">but </w:t>
            </w:r>
            <w:r w:rsidR="00240D52">
              <w:t>found that “the Staff Recommendations as modified by this decision comply with all of the requirements of AB 74 and Section 878.6.”</w:t>
            </w:r>
          </w:p>
        </w:tc>
        <w:tc>
          <w:tcPr>
            <w:tcW w:w="2786" w:type="dxa"/>
            <w:shd w:val="clear" w:color="auto" w:fill="auto"/>
          </w:tcPr>
          <w:p w:rsidR="00156BEC" w:rsidP="0003633B" w:rsidRDefault="00156BEC" w14:paraId="29E2ADFD" w14:textId="77777777">
            <w:pPr>
              <w:pStyle w:val="SubstantialContribution"/>
            </w:pPr>
          </w:p>
          <w:p w:rsidR="003B0B73" w:rsidP="0003633B" w:rsidRDefault="003B0B73" w14:paraId="5FB11E25" w14:textId="15138BB0">
            <w:pPr>
              <w:pStyle w:val="SubstantialContribution"/>
            </w:pPr>
            <w:r>
              <w:t>Joint Consumers Opening Comments on the Staff Proposal</w:t>
            </w:r>
            <w:r w:rsidR="007A4044">
              <w:t xml:space="preserve"> (</w:t>
            </w:r>
            <w:r>
              <w:t>Jan</w:t>
            </w:r>
            <w:r w:rsidR="007A4044">
              <w:t>.</w:t>
            </w:r>
            <w:r>
              <w:t xml:space="preserve"> 14, 2022</w:t>
            </w:r>
            <w:r w:rsidR="007A4044">
              <w:t>)</w:t>
            </w:r>
            <w:r>
              <w:t xml:space="preserve"> at p</w:t>
            </w:r>
            <w:r w:rsidR="00F658C9">
              <w:t>p</w:t>
            </w:r>
            <w:r>
              <w:t xml:space="preserve">. </w:t>
            </w:r>
            <w:proofErr w:type="gramStart"/>
            <w:r w:rsidR="00927274">
              <w:t>2-</w:t>
            </w:r>
            <w:r w:rsidR="00F658C9">
              <w:t>4</w:t>
            </w:r>
            <w:r>
              <w:t>;</w:t>
            </w:r>
            <w:proofErr w:type="gramEnd"/>
          </w:p>
          <w:p w:rsidR="004965F9" w:rsidP="0003633B" w:rsidRDefault="004965F9" w14:paraId="02F36F50" w14:textId="008B5343">
            <w:pPr>
              <w:pStyle w:val="SubstantialContribution"/>
            </w:pPr>
            <w:r>
              <w:t>Joint Consumers Reply Comments on the Staff Proposal</w:t>
            </w:r>
            <w:r w:rsidR="007A4044">
              <w:t xml:space="preserve"> (</w:t>
            </w:r>
            <w:r>
              <w:t>Jan</w:t>
            </w:r>
            <w:r w:rsidR="007A4044">
              <w:t>.</w:t>
            </w:r>
            <w:r>
              <w:t xml:space="preserve"> 28, 2022</w:t>
            </w:r>
            <w:r w:rsidR="007A4044">
              <w:t>)</w:t>
            </w:r>
            <w:r>
              <w:t xml:space="preserve"> at p. </w:t>
            </w:r>
            <w:proofErr w:type="gramStart"/>
            <w:r>
              <w:t>1;</w:t>
            </w:r>
            <w:proofErr w:type="gramEnd"/>
          </w:p>
          <w:p w:rsidRPr="00BF0F35" w:rsidR="00BF0F35" w:rsidP="0003633B" w:rsidRDefault="000212F1" w14:paraId="2A92A629" w14:textId="79BC50F0">
            <w:pPr>
              <w:pStyle w:val="SubstantialContribution"/>
            </w:pPr>
            <w:r>
              <w:t>D</w:t>
            </w:r>
            <w:r w:rsidR="007A4044">
              <w:t>.</w:t>
            </w:r>
            <w:r>
              <w:t>22-05-041 at p</w:t>
            </w:r>
            <w:r w:rsidR="001B7CA5">
              <w:t>p</w:t>
            </w:r>
            <w:r>
              <w:t>. 11</w:t>
            </w:r>
            <w:r w:rsidR="001B7CA5">
              <w:t>-12</w:t>
            </w:r>
            <w:r w:rsidR="003B0B73">
              <w:t>,</w:t>
            </w:r>
            <w:r w:rsidR="000A5FB4">
              <w:t xml:space="preserve"> COL 4</w:t>
            </w:r>
            <w:r w:rsidR="005454FD">
              <w:t>, OP 1</w:t>
            </w:r>
            <w:r w:rsidR="000A5FB4">
              <w:t>.</w:t>
            </w:r>
          </w:p>
        </w:tc>
        <w:tc>
          <w:tcPr>
            <w:tcW w:w="2250" w:type="dxa"/>
            <w:shd w:val="clear" w:color="auto" w:fill="auto"/>
          </w:tcPr>
          <w:p w:rsidR="0059713C" w:rsidP="0059713C" w:rsidRDefault="00F635D4" w14:paraId="56A38DFF" w14:textId="7C7EFEFA">
            <w:pPr>
              <w:rPr>
                <w:color w:val="000000"/>
              </w:rPr>
            </w:pPr>
            <w:r>
              <w:rPr>
                <w:color w:val="000000"/>
              </w:rPr>
              <w:t xml:space="preserve">Verified. </w:t>
            </w:r>
            <w:r w:rsidR="007823E8">
              <w:rPr>
                <w:color w:val="000000"/>
              </w:rPr>
              <w:t>D.22-05-014 agrees with the Joint Consumer’s position that we did not need to take any additional measures</w:t>
            </w:r>
            <w:r w:rsidR="0059713C">
              <w:rPr>
                <w:color w:val="000000"/>
              </w:rPr>
              <w:t>.</w:t>
            </w:r>
          </w:p>
          <w:p w:rsidRPr="007F620E" w:rsidR="00BA2100" w:rsidP="00073262" w:rsidRDefault="00BA2100" w14:paraId="56FD3368" w14:textId="5B8B6160">
            <w:pPr>
              <w:rPr>
                <w:color w:val="000000"/>
              </w:rPr>
            </w:pPr>
          </w:p>
        </w:tc>
      </w:tr>
      <w:tr w:rsidRPr="007F620E" w:rsidR="00494926" w:rsidTr="00DA2D29" w14:paraId="79923D52" w14:textId="77777777">
        <w:tc>
          <w:tcPr>
            <w:tcW w:w="4769" w:type="dxa"/>
            <w:shd w:val="clear" w:color="auto" w:fill="auto"/>
          </w:tcPr>
          <w:p w:rsidRPr="00C840E1" w:rsidR="00494926" w:rsidP="00C840E1" w:rsidRDefault="00494926" w14:paraId="4BEBAAD3" w14:textId="7D78FCAA">
            <w:pPr>
              <w:pStyle w:val="ListParagraph"/>
              <w:numPr>
                <w:ilvl w:val="0"/>
                <w:numId w:val="11"/>
              </w:numPr>
              <w:ind w:left="337"/>
              <w:rPr>
                <w:b/>
                <w:bCs/>
                <w:color w:val="000000"/>
                <w:szCs w:val="24"/>
              </w:rPr>
            </w:pPr>
            <w:r w:rsidRPr="00C840E1">
              <w:rPr>
                <w:b/>
                <w:bCs/>
                <w:color w:val="000000"/>
                <w:szCs w:val="24"/>
              </w:rPr>
              <w:t>Renewal Rate Reporting</w:t>
            </w:r>
          </w:p>
          <w:p w:rsidRPr="0003633B" w:rsidR="00494926" w:rsidP="0003633B" w:rsidRDefault="00494926" w14:paraId="08EC6F02" w14:textId="788753CF">
            <w:pPr>
              <w:pStyle w:val="SubstantialContribution"/>
            </w:pPr>
            <w:r w:rsidRPr="0003633B">
              <w:t xml:space="preserve">TURN, </w:t>
            </w:r>
            <w:r w:rsidR="00461A92">
              <w:t>as part of</w:t>
            </w:r>
            <w:r w:rsidRPr="0003633B">
              <w:t xml:space="preserve"> Joint Consumers, recommended </w:t>
            </w:r>
            <w:r w:rsidR="00D4277D">
              <w:t xml:space="preserve">that </w:t>
            </w:r>
            <w:r w:rsidRPr="0003633B">
              <w:t xml:space="preserve">the Commission </w:t>
            </w:r>
            <w:r w:rsidR="00273D2C">
              <w:t xml:space="preserve">should </w:t>
            </w:r>
            <w:r w:rsidRPr="0003633B">
              <w:t xml:space="preserve">adjust its reporting </w:t>
            </w:r>
            <w:r w:rsidR="003D3C16">
              <w:t xml:space="preserve">requirement </w:t>
            </w:r>
            <w:r w:rsidRPr="0003633B">
              <w:t xml:space="preserve">of the California </w:t>
            </w:r>
            <w:proofErr w:type="spellStart"/>
            <w:r w:rsidRPr="0003633B">
              <w:t>LifeLine</w:t>
            </w:r>
            <w:proofErr w:type="spellEnd"/>
            <w:r w:rsidRPr="0003633B">
              <w:t xml:space="preserve"> renewal rate to differentiate </w:t>
            </w:r>
            <w:r w:rsidR="00E61B4C">
              <w:t xml:space="preserve">between </w:t>
            </w:r>
            <w:r w:rsidRPr="0003633B">
              <w:t xml:space="preserve">the </w:t>
            </w:r>
            <w:r w:rsidR="00E61B4C">
              <w:t xml:space="preserve">subscriber </w:t>
            </w:r>
            <w:r w:rsidRPr="0003633B">
              <w:t xml:space="preserve">renewal rate for subscribers who qualify for federal Lifeline from those </w:t>
            </w:r>
            <w:r w:rsidR="00974B6D">
              <w:t xml:space="preserve">subscribers </w:t>
            </w:r>
            <w:r w:rsidRPr="0003633B">
              <w:t>who do not</w:t>
            </w:r>
            <w:r w:rsidR="00974B6D">
              <w:t xml:space="preserve"> qualify for federal Lifeline</w:t>
            </w:r>
            <w:r w:rsidRPr="0003633B">
              <w:t>.  In response, “[t]he Commission concluded that this recommendation is reasonable and should be adopted.”</w:t>
            </w:r>
          </w:p>
          <w:p w:rsidRPr="00494926" w:rsidR="00494926" w:rsidP="0003633B" w:rsidRDefault="00494926" w14:paraId="5A6CCD56" w14:textId="1FDE0CB4">
            <w:pPr>
              <w:pStyle w:val="SubstantialContribution"/>
            </w:pPr>
            <w:r w:rsidRPr="0003633B">
              <w:t xml:space="preserve">Relatedly, Joint Consumers opposed </w:t>
            </w:r>
            <w:proofErr w:type="spellStart"/>
            <w:r w:rsidRPr="0003633B">
              <w:t>NaLA’s</w:t>
            </w:r>
            <w:proofErr w:type="spellEnd"/>
            <w:r w:rsidRPr="0003633B">
              <w:t xml:space="preserve"> arguments that</w:t>
            </w:r>
            <w:r w:rsidRPr="0003633B" w:rsidR="0012497E">
              <w:t xml:space="preserve"> Assembly Bill 74 (2021, Gonzalez) required </w:t>
            </w:r>
            <w:r w:rsidRPr="0003633B" w:rsidR="00A46C08">
              <w:t xml:space="preserve">California </w:t>
            </w:r>
            <w:proofErr w:type="spellStart"/>
            <w:r w:rsidRPr="0003633B" w:rsidR="00A46C08">
              <w:t>LifeLine</w:t>
            </w:r>
            <w:proofErr w:type="spellEnd"/>
            <w:r w:rsidRPr="0003633B" w:rsidR="00A46C08">
              <w:t xml:space="preserve"> </w:t>
            </w:r>
            <w:r w:rsidR="00D92BD0">
              <w:t xml:space="preserve">subscriber </w:t>
            </w:r>
            <w:r w:rsidRPr="0003633B" w:rsidR="00A46C08">
              <w:t xml:space="preserve">renewal rates to be “on par” with federal Lifeline </w:t>
            </w:r>
            <w:r w:rsidR="00D92BD0">
              <w:t xml:space="preserve">subscriber </w:t>
            </w:r>
            <w:r w:rsidRPr="0003633B" w:rsidR="00A46C08">
              <w:t>renewal rates</w:t>
            </w:r>
            <w:r w:rsidRPr="0003633B" w:rsidR="00933B7C">
              <w:t xml:space="preserve"> and</w:t>
            </w:r>
            <w:r w:rsidR="00D92BD0">
              <w:t xml:space="preserve"> </w:t>
            </w:r>
            <w:r w:rsidR="00D92BD0">
              <w:lastRenderedPageBreak/>
              <w:t>therefore</w:t>
            </w:r>
            <w:r w:rsidR="00461A92">
              <w:t xml:space="preserve"> </w:t>
            </w:r>
            <w:r w:rsidRPr="0003633B" w:rsidR="00933B7C">
              <w:t>the Commission should recalculate the renewal rates</w:t>
            </w:r>
            <w:r w:rsidRPr="0003633B" w:rsidR="00A46C08">
              <w:t>.</w:t>
            </w:r>
            <w:r w:rsidRPr="0003633B">
              <w:t xml:space="preserve">  The Commission did not adopt </w:t>
            </w:r>
            <w:proofErr w:type="spellStart"/>
            <w:r w:rsidRPr="0003633B">
              <w:t>NaLA’s</w:t>
            </w:r>
            <w:proofErr w:type="spellEnd"/>
            <w:r w:rsidRPr="0003633B">
              <w:t xml:space="preserve"> position.</w:t>
            </w:r>
          </w:p>
        </w:tc>
        <w:tc>
          <w:tcPr>
            <w:tcW w:w="2786" w:type="dxa"/>
            <w:shd w:val="clear" w:color="auto" w:fill="auto"/>
          </w:tcPr>
          <w:p w:rsidR="00156BEC" w:rsidP="0003633B" w:rsidRDefault="00156BEC" w14:paraId="531FFBDD" w14:textId="77777777">
            <w:pPr>
              <w:pStyle w:val="SubstantialContribution"/>
            </w:pPr>
          </w:p>
          <w:p w:rsidR="00494926" w:rsidP="0003633B" w:rsidRDefault="00494926" w14:paraId="3480631C" w14:textId="78398E96">
            <w:pPr>
              <w:pStyle w:val="SubstantialContribution"/>
            </w:pPr>
            <w:r>
              <w:t>Joint Consumers Opening Comments on the Staff Proposal</w:t>
            </w:r>
            <w:r w:rsidR="007A4044">
              <w:t xml:space="preserve"> (</w:t>
            </w:r>
            <w:r>
              <w:t>Jan</w:t>
            </w:r>
            <w:r w:rsidR="007A4044">
              <w:t>.</w:t>
            </w:r>
            <w:r>
              <w:t xml:space="preserve"> 14, 2022</w:t>
            </w:r>
            <w:r w:rsidR="007A4044">
              <w:t>)</w:t>
            </w:r>
            <w:r>
              <w:t xml:space="preserve"> at p. </w:t>
            </w:r>
            <w:proofErr w:type="gramStart"/>
            <w:r w:rsidR="00F658C9">
              <w:t>4-6</w:t>
            </w:r>
            <w:r>
              <w:t>;</w:t>
            </w:r>
            <w:proofErr w:type="gramEnd"/>
          </w:p>
          <w:p w:rsidR="00494926" w:rsidP="0003633B" w:rsidRDefault="00494926" w14:paraId="3C66F706" w14:textId="7DE40B2F">
            <w:pPr>
              <w:pStyle w:val="SubstantialContribution"/>
            </w:pPr>
            <w:r>
              <w:t>D</w:t>
            </w:r>
            <w:r w:rsidR="007A4044">
              <w:t>.</w:t>
            </w:r>
            <w:r>
              <w:t>22-05-041 at p. 11, COL 2.</w:t>
            </w:r>
          </w:p>
          <w:p w:rsidR="00494926" w:rsidP="0003633B" w:rsidRDefault="00494926" w14:paraId="7667AFCF" w14:textId="0D0E325E">
            <w:pPr>
              <w:pStyle w:val="SubstantialContribution"/>
            </w:pPr>
          </w:p>
          <w:p w:rsidR="00156BEC" w:rsidP="0003633B" w:rsidRDefault="00156BEC" w14:paraId="74AEF4E5" w14:textId="1450E061">
            <w:pPr>
              <w:pStyle w:val="SubstantialContribution"/>
            </w:pPr>
          </w:p>
          <w:p w:rsidR="00536A6B" w:rsidP="0003633B" w:rsidRDefault="00536A6B" w14:paraId="749EC2A7" w14:textId="01053433">
            <w:pPr>
              <w:pStyle w:val="SubstantialContribution"/>
            </w:pPr>
          </w:p>
          <w:p w:rsidR="00D805CB" w:rsidP="0003633B" w:rsidRDefault="00D805CB" w14:paraId="3FB02839" w14:textId="77777777">
            <w:pPr>
              <w:pStyle w:val="SubstantialContribution"/>
            </w:pPr>
          </w:p>
          <w:p w:rsidR="00494926" w:rsidP="0003633B" w:rsidRDefault="00494926" w14:paraId="42E28863" w14:textId="5617F2D2">
            <w:pPr>
              <w:pStyle w:val="SubstantialContribution"/>
            </w:pPr>
            <w:r>
              <w:t>Joint Consumers Reply Comments on the Staff Proposal</w:t>
            </w:r>
            <w:r w:rsidR="007A4044">
              <w:t xml:space="preserve"> (</w:t>
            </w:r>
            <w:r>
              <w:t>Jan</w:t>
            </w:r>
            <w:r w:rsidR="007A4044">
              <w:t>.</w:t>
            </w:r>
            <w:r>
              <w:t xml:space="preserve"> 28, 2022</w:t>
            </w:r>
            <w:r w:rsidR="007A4044">
              <w:t>)</w:t>
            </w:r>
            <w:r>
              <w:t xml:space="preserve"> </w:t>
            </w:r>
            <w:r>
              <w:lastRenderedPageBreak/>
              <w:t xml:space="preserve">at p. </w:t>
            </w:r>
            <w:r w:rsidR="00A46C08">
              <w:t>3</w:t>
            </w:r>
            <w:r w:rsidR="00933B7C">
              <w:t xml:space="preserve"> (discussing “on par” rates),</w:t>
            </w:r>
            <w:r w:rsidR="007A4044">
              <w:t xml:space="preserve"> pp.</w:t>
            </w:r>
            <w:r w:rsidR="00933B7C">
              <w:t xml:space="preserve"> 3-</w:t>
            </w:r>
            <w:r w:rsidR="006D5172">
              <w:t>5</w:t>
            </w:r>
            <w:r w:rsidR="00933B7C">
              <w:t xml:space="preserve"> (discussing recalculations</w:t>
            </w:r>
            <w:proofErr w:type="gramStart"/>
            <w:r w:rsidR="00933B7C">
              <w:t>)</w:t>
            </w:r>
            <w:r>
              <w:t>;</w:t>
            </w:r>
            <w:proofErr w:type="gramEnd"/>
          </w:p>
          <w:p w:rsidR="00494926" w:rsidP="0003633B" w:rsidRDefault="00494926" w14:paraId="1B0E473E" w14:textId="48BB8631">
            <w:pPr>
              <w:pStyle w:val="SubstantialContribution"/>
            </w:pPr>
            <w:r w:rsidRPr="00494926">
              <w:rPr>
                <w:i/>
                <w:iCs/>
              </w:rPr>
              <w:t>See generally</w:t>
            </w:r>
            <w:r>
              <w:t>, D</w:t>
            </w:r>
            <w:r w:rsidR="007A4044">
              <w:t>.</w:t>
            </w:r>
            <w:r>
              <w:t>22-05-041.</w:t>
            </w:r>
          </w:p>
        </w:tc>
        <w:tc>
          <w:tcPr>
            <w:tcW w:w="2250" w:type="dxa"/>
            <w:shd w:val="clear" w:color="auto" w:fill="auto"/>
          </w:tcPr>
          <w:p w:rsidR="0059713C" w:rsidP="0059713C" w:rsidRDefault="00F635D4" w14:paraId="6639839D" w14:textId="416F992A">
            <w:pPr>
              <w:rPr>
                <w:color w:val="000000"/>
              </w:rPr>
            </w:pPr>
            <w:r>
              <w:rPr>
                <w:color w:val="000000"/>
              </w:rPr>
              <w:lastRenderedPageBreak/>
              <w:t xml:space="preserve">Verified. </w:t>
            </w:r>
            <w:r w:rsidR="0059713C">
              <w:rPr>
                <w:color w:val="000000"/>
              </w:rPr>
              <w:t>D.22-05-014</w:t>
            </w:r>
            <w:r w:rsidR="007823E8">
              <w:rPr>
                <w:color w:val="000000"/>
              </w:rPr>
              <w:t xml:space="preserve"> </w:t>
            </w:r>
            <w:r w:rsidR="00CB0415">
              <w:rPr>
                <w:color w:val="000000"/>
              </w:rPr>
              <w:t xml:space="preserve">agrees with the </w:t>
            </w:r>
            <w:r w:rsidR="00CB0415">
              <w:t>Joint Consumers Opening Comments on the Staff Proposal.</w:t>
            </w:r>
          </w:p>
          <w:p w:rsidR="008D3B5F" w:rsidP="00185AFC" w:rsidRDefault="008D3B5F" w14:paraId="34B0C992" w14:textId="77777777">
            <w:pPr>
              <w:rPr>
                <w:color w:val="000000"/>
              </w:rPr>
            </w:pPr>
          </w:p>
          <w:p w:rsidRPr="007F620E" w:rsidR="008D3B5F" w:rsidP="00185AFC" w:rsidRDefault="008D3B5F" w14:paraId="0DCFD7B0" w14:textId="5C2EA1FF">
            <w:pPr>
              <w:rPr>
                <w:color w:val="000000"/>
              </w:rPr>
            </w:pPr>
          </w:p>
        </w:tc>
      </w:tr>
      <w:tr w:rsidRPr="007F620E" w:rsidR="00331D98" w:rsidTr="00DA2D29" w14:paraId="78BD20D6" w14:textId="77777777">
        <w:tc>
          <w:tcPr>
            <w:tcW w:w="4769" w:type="dxa"/>
            <w:shd w:val="clear" w:color="auto" w:fill="auto"/>
          </w:tcPr>
          <w:p w:rsidRPr="00461A92" w:rsidR="00331D98" w:rsidP="00C840E1" w:rsidRDefault="00D805CB" w14:paraId="33FF6CA4" w14:textId="4542A9D7">
            <w:pPr>
              <w:pStyle w:val="ListParagraph"/>
              <w:numPr>
                <w:ilvl w:val="0"/>
                <w:numId w:val="11"/>
              </w:numPr>
              <w:ind w:left="337"/>
              <w:rPr>
                <w:b/>
                <w:bCs/>
                <w:color w:val="000000"/>
                <w:szCs w:val="24"/>
              </w:rPr>
            </w:pPr>
            <w:r w:rsidRPr="00461A92">
              <w:rPr>
                <w:b/>
                <w:bCs/>
              </w:rPr>
              <w:t>Personal Identifying Numbers (</w:t>
            </w:r>
            <w:r w:rsidRPr="00461A92" w:rsidR="00331D98">
              <w:rPr>
                <w:b/>
                <w:bCs/>
                <w:color w:val="000000"/>
                <w:szCs w:val="24"/>
              </w:rPr>
              <w:t>PIN</w:t>
            </w:r>
            <w:r w:rsidRPr="00461A92" w:rsidR="00872B2C">
              <w:rPr>
                <w:b/>
                <w:bCs/>
                <w:color w:val="000000"/>
                <w:szCs w:val="24"/>
              </w:rPr>
              <w:t>s</w:t>
            </w:r>
            <w:r w:rsidRPr="00461A92">
              <w:rPr>
                <w:b/>
                <w:bCs/>
                <w:color w:val="000000"/>
                <w:szCs w:val="24"/>
              </w:rPr>
              <w:t>)</w:t>
            </w:r>
          </w:p>
          <w:p w:rsidRPr="002B0AF1" w:rsidR="002B0AF1" w:rsidP="0003633B" w:rsidRDefault="002451CB" w14:paraId="720E6D06" w14:textId="4E7F7B9D">
            <w:pPr>
              <w:pStyle w:val="SubstantialContribution"/>
            </w:pPr>
            <w:r>
              <w:t>Joint Consumers</w:t>
            </w:r>
            <w:r w:rsidR="002B0AF1">
              <w:t xml:space="preserve"> opposed </w:t>
            </w:r>
            <w:proofErr w:type="spellStart"/>
            <w:r w:rsidR="002B0AF1">
              <w:t>NaLA’s</w:t>
            </w:r>
            <w:proofErr w:type="spellEnd"/>
            <w:r w:rsidR="002B0AF1">
              <w:t xml:space="preserve"> </w:t>
            </w:r>
            <w:r w:rsidR="00AE4D8C">
              <w:t xml:space="preserve">interpretation </w:t>
            </w:r>
            <w:r w:rsidR="002B0AF1">
              <w:t xml:space="preserve">that the Commission </w:t>
            </w:r>
            <w:r w:rsidR="00C53606">
              <w:t xml:space="preserve">must eliminate the use of all Personal Identifying Numbers (PINs) in the </w:t>
            </w:r>
            <w:r w:rsidR="00872B2C">
              <w:t xml:space="preserve">subscriber </w:t>
            </w:r>
            <w:r w:rsidR="00C53606">
              <w:t>renewal process</w:t>
            </w:r>
            <w:r w:rsidR="00AE4D8C">
              <w:t xml:space="preserve"> by </w:t>
            </w:r>
            <w:r w:rsidR="000D66EC">
              <w:t>March 1, 2022</w:t>
            </w:r>
            <w:r w:rsidR="00C53606">
              <w:t xml:space="preserve">.  Instead, </w:t>
            </w:r>
            <w:r>
              <w:t>Joint Consumers</w:t>
            </w:r>
            <w:r w:rsidR="00C53606">
              <w:t xml:space="preserve"> clarified that Assembly Bill 74 </w:t>
            </w:r>
            <w:r w:rsidR="00582B41">
              <w:t>(2021, Gonzalez</w:t>
            </w:r>
            <w:r w:rsidR="00C53606">
              <w:t xml:space="preserve">) only required </w:t>
            </w:r>
            <w:r w:rsidR="00D50622">
              <w:t xml:space="preserve">that </w:t>
            </w:r>
            <w:r w:rsidR="00C53606">
              <w:t>the Commission eliminate the use of “Commission-issued” PINs, but that subscribers can</w:t>
            </w:r>
            <w:r w:rsidR="00D50622">
              <w:t xml:space="preserve"> continue to</w:t>
            </w:r>
            <w:r w:rsidR="00C53606">
              <w:t xml:space="preserve"> select their own PINs.  The Commission </w:t>
            </w:r>
            <w:r w:rsidR="003B24DF">
              <w:t xml:space="preserve">generally </w:t>
            </w:r>
            <w:r w:rsidR="00C53606">
              <w:t xml:space="preserve">agreed with </w:t>
            </w:r>
            <w:r>
              <w:t>Joint Consumers</w:t>
            </w:r>
            <w:r w:rsidR="003B24DF">
              <w:t xml:space="preserve"> </w:t>
            </w:r>
            <w:r>
              <w:t xml:space="preserve">and did not </w:t>
            </w:r>
            <w:r w:rsidR="00AE4D8C">
              <w:t xml:space="preserve">adopt </w:t>
            </w:r>
            <w:proofErr w:type="spellStart"/>
            <w:r w:rsidR="00AE4D8C">
              <w:t>NaLA’s</w:t>
            </w:r>
            <w:proofErr w:type="spellEnd"/>
            <w:r w:rsidR="00AE4D8C">
              <w:t xml:space="preserve"> interpretation</w:t>
            </w:r>
            <w:r w:rsidR="00BF4AB8">
              <w:t>.</w:t>
            </w:r>
          </w:p>
        </w:tc>
        <w:tc>
          <w:tcPr>
            <w:tcW w:w="2786" w:type="dxa"/>
            <w:shd w:val="clear" w:color="auto" w:fill="auto"/>
          </w:tcPr>
          <w:p w:rsidR="00331D98" w:rsidP="00073262" w:rsidRDefault="00331D98" w14:paraId="74BE9288" w14:textId="77777777">
            <w:pPr>
              <w:rPr>
                <w:color w:val="000000"/>
              </w:rPr>
            </w:pPr>
          </w:p>
          <w:p w:rsidRPr="0003633B" w:rsidR="00BF4AB8" w:rsidP="0003633B" w:rsidRDefault="00BF4AB8" w14:paraId="4E085415" w14:textId="0577A4CA">
            <w:pPr>
              <w:pStyle w:val="SubstantialContribution"/>
            </w:pPr>
            <w:r w:rsidRPr="0003633B">
              <w:t xml:space="preserve">Joint Consumers </w:t>
            </w:r>
            <w:r w:rsidRPr="0003633B" w:rsidR="004965F9">
              <w:t>Reply</w:t>
            </w:r>
            <w:r w:rsidRPr="0003633B">
              <w:t xml:space="preserve"> Comments on the Staff Proposal</w:t>
            </w:r>
            <w:r w:rsidR="007A4044">
              <w:t xml:space="preserve"> (</w:t>
            </w:r>
            <w:r w:rsidRPr="0003633B">
              <w:t>Jan</w:t>
            </w:r>
            <w:r w:rsidR="007A4044">
              <w:t>.</w:t>
            </w:r>
            <w:r w:rsidRPr="0003633B">
              <w:t xml:space="preserve"> </w:t>
            </w:r>
            <w:r w:rsidRPr="0003633B" w:rsidR="004965F9">
              <w:t>28</w:t>
            </w:r>
            <w:r w:rsidRPr="0003633B">
              <w:t>, 2022</w:t>
            </w:r>
            <w:r w:rsidR="007A4044">
              <w:t>)</w:t>
            </w:r>
            <w:r w:rsidRPr="0003633B">
              <w:t xml:space="preserve"> at p</w:t>
            </w:r>
            <w:r w:rsidRPr="0003633B" w:rsidR="004965F9">
              <w:t>p</w:t>
            </w:r>
            <w:r w:rsidRPr="0003633B">
              <w:t xml:space="preserve">. </w:t>
            </w:r>
            <w:proofErr w:type="gramStart"/>
            <w:r w:rsidRPr="0003633B" w:rsidR="004965F9">
              <w:t>1-</w:t>
            </w:r>
            <w:r w:rsidRPr="0003633B" w:rsidR="0012497E">
              <w:t>2</w:t>
            </w:r>
            <w:r w:rsidRPr="0003633B">
              <w:t>;</w:t>
            </w:r>
            <w:proofErr w:type="gramEnd"/>
          </w:p>
          <w:p w:rsidRPr="007F620E" w:rsidR="00BF4AB8" w:rsidP="0003633B" w:rsidRDefault="00BF4AB8" w14:paraId="2E7972F2" w14:textId="56B758EB">
            <w:pPr>
              <w:pStyle w:val="SubstantialContribution"/>
            </w:pPr>
            <w:r w:rsidRPr="0003633B">
              <w:t>D</w:t>
            </w:r>
            <w:r w:rsidR="007A4044">
              <w:t>.</w:t>
            </w:r>
            <w:r w:rsidRPr="0003633B">
              <w:t xml:space="preserve">22-05-041 at pp. 11-12, </w:t>
            </w:r>
            <w:r w:rsidRPr="0003633B" w:rsidR="000D66EC">
              <w:t xml:space="preserve">FOF 1, </w:t>
            </w:r>
            <w:r w:rsidRPr="0003633B" w:rsidR="000A5FB4">
              <w:t>COL 3</w:t>
            </w:r>
            <w:r w:rsidRPr="0003633B" w:rsidR="005454FD">
              <w:t>, OP 1</w:t>
            </w:r>
            <w:r w:rsidRPr="0003633B" w:rsidR="000A5FB4">
              <w:t>.</w:t>
            </w:r>
          </w:p>
        </w:tc>
        <w:tc>
          <w:tcPr>
            <w:tcW w:w="2250" w:type="dxa"/>
            <w:shd w:val="clear" w:color="auto" w:fill="auto"/>
          </w:tcPr>
          <w:p w:rsidR="00031CA7" w:rsidP="00073262" w:rsidRDefault="00F635D4" w14:paraId="282E1ABF" w14:textId="5F5769E6">
            <w:pPr>
              <w:rPr>
                <w:color w:val="000000"/>
              </w:rPr>
            </w:pPr>
            <w:r>
              <w:rPr>
                <w:color w:val="000000"/>
              </w:rPr>
              <w:t xml:space="preserve">Verified. </w:t>
            </w:r>
            <w:r w:rsidR="0059713C">
              <w:rPr>
                <w:color w:val="000000"/>
              </w:rPr>
              <w:t xml:space="preserve">The </w:t>
            </w:r>
            <w:r w:rsidR="00C35717">
              <w:rPr>
                <w:color w:val="000000"/>
              </w:rPr>
              <w:t>C</w:t>
            </w:r>
            <w:r w:rsidR="0059713C">
              <w:rPr>
                <w:color w:val="000000"/>
              </w:rPr>
              <w:t xml:space="preserve">ommission agrees with TURN’s comments to not adopt </w:t>
            </w:r>
            <w:proofErr w:type="spellStart"/>
            <w:r w:rsidR="0059713C">
              <w:rPr>
                <w:color w:val="000000"/>
              </w:rPr>
              <w:t>NalA’s</w:t>
            </w:r>
            <w:proofErr w:type="spellEnd"/>
            <w:r w:rsidR="0059713C">
              <w:rPr>
                <w:color w:val="000000"/>
              </w:rPr>
              <w:t xml:space="preserve"> interpretation in </w:t>
            </w:r>
          </w:p>
          <w:p w:rsidR="0059713C" w:rsidP="0059713C" w:rsidRDefault="0059713C" w14:paraId="4AE8989F" w14:textId="5C57BB75">
            <w:pPr>
              <w:rPr>
                <w:color w:val="000000"/>
              </w:rPr>
            </w:pPr>
            <w:r>
              <w:rPr>
                <w:color w:val="000000"/>
              </w:rPr>
              <w:t>D.22-05-014.</w:t>
            </w:r>
          </w:p>
          <w:p w:rsidRPr="007F620E" w:rsidR="00ED0D4F" w:rsidP="00073262" w:rsidRDefault="00ED0D4F" w14:paraId="043B79D2" w14:textId="1C8F1576">
            <w:pPr>
              <w:rPr>
                <w:color w:val="000000"/>
              </w:rPr>
            </w:pPr>
          </w:p>
        </w:tc>
      </w:tr>
      <w:tr w:rsidRPr="007F620E" w:rsidR="00565A12" w:rsidTr="00DA2D29" w14:paraId="3CEFAA8C" w14:textId="77777777">
        <w:tc>
          <w:tcPr>
            <w:tcW w:w="4769" w:type="dxa"/>
            <w:shd w:val="clear" w:color="auto" w:fill="auto"/>
          </w:tcPr>
          <w:p w:rsidRPr="00C840E1" w:rsidR="00565A12" w:rsidP="00C840E1" w:rsidRDefault="00565A12" w14:paraId="0CA481B3" w14:textId="31348069">
            <w:pPr>
              <w:pStyle w:val="ListParagraph"/>
              <w:numPr>
                <w:ilvl w:val="0"/>
                <w:numId w:val="11"/>
              </w:numPr>
              <w:ind w:left="337"/>
              <w:rPr>
                <w:b/>
                <w:bCs/>
                <w:color w:val="000000"/>
                <w:szCs w:val="24"/>
              </w:rPr>
            </w:pPr>
            <w:r w:rsidRPr="00C840E1">
              <w:rPr>
                <w:b/>
                <w:bCs/>
                <w:color w:val="000000"/>
                <w:szCs w:val="24"/>
              </w:rPr>
              <w:t xml:space="preserve"> </w:t>
            </w:r>
            <w:r w:rsidRPr="00C840E1" w:rsidR="0007573B">
              <w:rPr>
                <w:b/>
                <w:bCs/>
                <w:color w:val="000000"/>
                <w:szCs w:val="24"/>
              </w:rPr>
              <w:t xml:space="preserve">Renewal Working Group </w:t>
            </w:r>
            <w:r w:rsidRPr="00C840E1" w:rsidR="00DC31C2">
              <w:rPr>
                <w:b/>
                <w:bCs/>
                <w:color w:val="000000"/>
                <w:szCs w:val="24"/>
              </w:rPr>
              <w:t>Proposals</w:t>
            </w:r>
          </w:p>
          <w:p w:rsidRPr="0003633B" w:rsidR="009B6DA7" w:rsidP="0003633B" w:rsidRDefault="00C57B0B" w14:paraId="1977466C" w14:textId="016509F0">
            <w:pPr>
              <w:pStyle w:val="SubstantialContribution"/>
            </w:pPr>
            <w:r w:rsidRPr="0003633B">
              <w:t xml:space="preserve">For </w:t>
            </w:r>
            <w:r w:rsidRPr="0003633B" w:rsidR="0097008D">
              <w:t>b</w:t>
            </w:r>
            <w:r w:rsidRPr="0003633B">
              <w:t xml:space="preserve">ackground, </w:t>
            </w:r>
            <w:r w:rsidRPr="0003633B" w:rsidR="00A21713">
              <w:t>TURN</w:t>
            </w:r>
            <w:r w:rsidRPr="0003633B" w:rsidR="0097008D">
              <w:t xml:space="preserve"> </w:t>
            </w:r>
            <w:r w:rsidRPr="0003633B" w:rsidR="00A21713">
              <w:t xml:space="preserve">participated in a Renewals Working Group to make recommendations to modernize the renewals process.  Some of </w:t>
            </w:r>
            <w:r w:rsidRPr="0003633B" w:rsidR="000A4BF8">
              <w:t>the Renewals Working Group recommendations were adopted in Decision 21-09-023, while other recommendations required further consideratio</w:t>
            </w:r>
            <w:r w:rsidRPr="0003633B" w:rsidR="00B1102C">
              <w:t xml:space="preserve">n </w:t>
            </w:r>
            <w:r w:rsidR="00E353EE">
              <w:t>and</w:t>
            </w:r>
            <w:r w:rsidRPr="0003633B" w:rsidR="00B1102C">
              <w:t xml:space="preserve"> were addressed in Decision 22-05-041.</w:t>
            </w:r>
          </w:p>
          <w:p w:rsidR="00331D98" w:rsidP="0003633B" w:rsidRDefault="0097008D" w14:paraId="2BB21F65" w14:textId="5F63C6AE">
            <w:pPr>
              <w:pStyle w:val="SubstantialContribution"/>
            </w:pPr>
            <w:r w:rsidRPr="0003633B">
              <w:t xml:space="preserve">TURN, </w:t>
            </w:r>
            <w:r w:rsidR="00461A92">
              <w:t>as part of</w:t>
            </w:r>
            <w:r w:rsidRPr="0003633B">
              <w:t xml:space="preserve"> Joint Consumers, supported the Commission’s adoption of </w:t>
            </w:r>
            <w:r w:rsidR="00E83E7F">
              <w:t xml:space="preserve">many of </w:t>
            </w:r>
            <w:r w:rsidRPr="0003633B">
              <w:t>the additional Renewals Working Group recommendations</w:t>
            </w:r>
            <w:r w:rsidRPr="0003633B" w:rsidR="008F7EB8">
              <w:t xml:space="preserve">.  The </w:t>
            </w:r>
            <w:r w:rsidRPr="0003633B" w:rsidR="006D5172">
              <w:t>Commission</w:t>
            </w:r>
            <w:r w:rsidRPr="0003633B" w:rsidR="008F7EB8">
              <w:t xml:space="preserve"> adopted the additional Renewal Working Group recommendations.</w:t>
            </w:r>
          </w:p>
        </w:tc>
        <w:tc>
          <w:tcPr>
            <w:tcW w:w="2786" w:type="dxa"/>
            <w:shd w:val="clear" w:color="auto" w:fill="auto"/>
          </w:tcPr>
          <w:p w:rsidR="00565A12" w:rsidP="0003633B" w:rsidRDefault="007A4044" w14:paraId="6E21B981" w14:textId="02E1F2FA">
            <w:pPr>
              <w:pStyle w:val="SubstantialContribution"/>
            </w:pPr>
            <w:r w:rsidRPr="007A4044">
              <w:rPr>
                <w:i/>
                <w:iCs/>
              </w:rPr>
              <w:t>See</w:t>
            </w:r>
            <w:r>
              <w:t xml:space="preserve">, </w:t>
            </w:r>
            <w:r w:rsidR="009B6DA7">
              <w:t>D</w:t>
            </w:r>
            <w:r>
              <w:t>.</w:t>
            </w:r>
            <w:r w:rsidR="009B6DA7">
              <w:t xml:space="preserve">22-05-041 at </w:t>
            </w:r>
            <w:r w:rsidR="00F6450A">
              <w:t xml:space="preserve">pp. 2-3, </w:t>
            </w:r>
            <w:r w:rsidR="009B6DA7">
              <w:t>fn. 2 (noting TURN</w:t>
            </w:r>
            <w:r w:rsidR="00F6450A">
              <w:t>’s</w:t>
            </w:r>
            <w:r w:rsidR="009B6DA7">
              <w:t xml:space="preserve"> participat</w:t>
            </w:r>
            <w:r w:rsidR="00F6450A">
              <w:t>ion</w:t>
            </w:r>
            <w:r w:rsidR="009B6DA7">
              <w:t xml:space="preserve"> in the Renewals Working Group).</w:t>
            </w:r>
          </w:p>
          <w:p w:rsidR="008F7EB8" w:rsidP="0003633B" w:rsidRDefault="008F7EB8" w14:paraId="4D9CB336" w14:textId="77777777">
            <w:pPr>
              <w:pStyle w:val="SubstantialContribution"/>
            </w:pPr>
          </w:p>
          <w:p w:rsidR="008F7EB8" w:rsidP="0003633B" w:rsidRDefault="008F7EB8" w14:paraId="0F93FD7B" w14:textId="737E79DB">
            <w:pPr>
              <w:pStyle w:val="SubstantialContribution"/>
            </w:pPr>
            <w:r>
              <w:t>Joint Consumers Opening Comments on the Staff Proposal</w:t>
            </w:r>
            <w:r w:rsidR="007A4044">
              <w:t xml:space="preserve"> (</w:t>
            </w:r>
            <w:r>
              <w:t>Jan</w:t>
            </w:r>
            <w:r w:rsidR="007A4044">
              <w:t>.</w:t>
            </w:r>
            <w:r>
              <w:t xml:space="preserve"> 14, 2022</w:t>
            </w:r>
            <w:r w:rsidR="007A4044">
              <w:t>)</w:t>
            </w:r>
            <w:r>
              <w:t xml:space="preserve"> at p</w:t>
            </w:r>
            <w:r w:rsidR="00F658C9">
              <w:t xml:space="preserve">p. </w:t>
            </w:r>
            <w:proofErr w:type="gramStart"/>
            <w:r w:rsidR="00F658C9">
              <w:t>6-</w:t>
            </w:r>
            <w:r w:rsidR="00497F9D">
              <w:t>13</w:t>
            </w:r>
            <w:r>
              <w:t>;</w:t>
            </w:r>
            <w:proofErr w:type="gramEnd"/>
          </w:p>
          <w:p w:rsidR="008F7EB8" w:rsidP="0003633B" w:rsidRDefault="008F7EB8" w14:paraId="7B18680D" w14:textId="78D5F5EE">
            <w:pPr>
              <w:pStyle w:val="SubstantialContribution"/>
            </w:pPr>
            <w:r>
              <w:t>Joint Consumers Reply Comments on the Staff Proposal</w:t>
            </w:r>
            <w:r w:rsidR="007A4044">
              <w:t xml:space="preserve"> (</w:t>
            </w:r>
            <w:r>
              <w:t>Jan</w:t>
            </w:r>
            <w:r w:rsidR="007A4044">
              <w:t>.</w:t>
            </w:r>
            <w:r>
              <w:t xml:space="preserve"> 28, 2022</w:t>
            </w:r>
            <w:r w:rsidR="007A4044">
              <w:t>)</w:t>
            </w:r>
            <w:r>
              <w:t xml:space="preserve"> at p</w:t>
            </w:r>
            <w:r w:rsidR="001F7AF2">
              <w:t xml:space="preserve">p. </w:t>
            </w:r>
            <w:proofErr w:type="gramStart"/>
            <w:r w:rsidR="001F7AF2">
              <w:t>5-7</w:t>
            </w:r>
            <w:r>
              <w:t>;</w:t>
            </w:r>
            <w:proofErr w:type="gramEnd"/>
          </w:p>
          <w:p w:rsidRPr="007F620E" w:rsidR="008F7EB8" w:rsidP="0003633B" w:rsidRDefault="008F7EB8" w14:paraId="6B6B1EB6" w14:textId="0A41AC3A">
            <w:pPr>
              <w:pStyle w:val="SubstantialContribution"/>
            </w:pPr>
            <w:r>
              <w:t>D</w:t>
            </w:r>
            <w:r w:rsidR="007A4044">
              <w:t>.</w:t>
            </w:r>
            <w:r>
              <w:t xml:space="preserve">22-05-014 at pp. </w:t>
            </w:r>
            <w:r w:rsidR="003A367C">
              <w:t>5-7, COL 1</w:t>
            </w:r>
            <w:r w:rsidR="005454FD">
              <w:t>, OP 1</w:t>
            </w:r>
            <w:r>
              <w:t>.</w:t>
            </w:r>
          </w:p>
        </w:tc>
        <w:tc>
          <w:tcPr>
            <w:tcW w:w="2250" w:type="dxa"/>
            <w:shd w:val="clear" w:color="auto" w:fill="auto"/>
          </w:tcPr>
          <w:p w:rsidR="00A24714" w:rsidP="00073262" w:rsidRDefault="00F635D4" w14:paraId="3B842410" w14:textId="4054291D">
            <w:pPr>
              <w:rPr>
                <w:color w:val="000000"/>
              </w:rPr>
            </w:pPr>
            <w:r>
              <w:rPr>
                <w:color w:val="000000"/>
              </w:rPr>
              <w:t xml:space="preserve">Verified. </w:t>
            </w:r>
            <w:r w:rsidR="00BA2100">
              <w:rPr>
                <w:color w:val="000000"/>
              </w:rPr>
              <w:t>D.22-05-014</w:t>
            </w:r>
            <w:r w:rsidR="00CB0415">
              <w:rPr>
                <w:color w:val="000000"/>
              </w:rPr>
              <w:t xml:space="preserve"> verifies adopting recommendations </w:t>
            </w:r>
            <w:r w:rsidR="00503AC1">
              <w:rPr>
                <w:color w:val="000000"/>
              </w:rPr>
              <w:t>from the Renewal Working Group.</w:t>
            </w:r>
          </w:p>
          <w:p w:rsidRPr="007F620E" w:rsidR="00A24714" w:rsidP="00CB0415" w:rsidRDefault="00A24714" w14:paraId="07860EBA" w14:textId="1E7B3DB0">
            <w:pPr>
              <w:rPr>
                <w:color w:val="000000"/>
              </w:rPr>
            </w:pPr>
          </w:p>
        </w:tc>
      </w:tr>
      <w:tr w:rsidRPr="007F620E" w:rsidR="00565A12" w:rsidTr="00DA2D29" w14:paraId="5B88F8E1" w14:textId="77777777">
        <w:tc>
          <w:tcPr>
            <w:tcW w:w="4769" w:type="dxa"/>
            <w:shd w:val="clear" w:color="auto" w:fill="auto"/>
          </w:tcPr>
          <w:p w:rsidRPr="00C840E1" w:rsidR="00565A12" w:rsidP="00C840E1" w:rsidRDefault="00565A12" w14:paraId="6F7615FA" w14:textId="77777777">
            <w:pPr>
              <w:pStyle w:val="ListParagraph"/>
              <w:numPr>
                <w:ilvl w:val="0"/>
                <w:numId w:val="11"/>
              </w:numPr>
              <w:ind w:left="337"/>
              <w:rPr>
                <w:b/>
                <w:bCs/>
                <w:color w:val="000000"/>
                <w:szCs w:val="24"/>
              </w:rPr>
            </w:pPr>
            <w:r w:rsidRPr="00C840E1">
              <w:rPr>
                <w:b/>
                <w:bCs/>
                <w:color w:val="000000"/>
                <w:szCs w:val="24"/>
              </w:rPr>
              <w:t xml:space="preserve"> </w:t>
            </w:r>
            <w:r w:rsidRPr="00C840E1" w:rsidR="00DC31C2">
              <w:rPr>
                <w:b/>
                <w:bCs/>
                <w:color w:val="000000"/>
                <w:szCs w:val="24"/>
              </w:rPr>
              <w:t>Data Sharing Agreements</w:t>
            </w:r>
          </w:p>
          <w:p w:rsidRPr="004A3802" w:rsidR="004A3802" w:rsidP="007A4044" w:rsidRDefault="004A3802" w14:paraId="1DFD41DB" w14:textId="54E332B2">
            <w:pPr>
              <w:pStyle w:val="SubstantialContribution"/>
            </w:pPr>
            <w:r>
              <w:t xml:space="preserve">Joint Consumers opposed Small LEC’s proposal to delay the implementation of the California </w:t>
            </w:r>
            <w:proofErr w:type="spellStart"/>
            <w:r>
              <w:t>LifeLine</w:t>
            </w:r>
            <w:proofErr w:type="spellEnd"/>
            <w:r>
              <w:t xml:space="preserve"> data sharing agreements</w:t>
            </w:r>
            <w:r w:rsidR="00495E79">
              <w:t xml:space="preserve">, </w:t>
            </w:r>
            <w:r w:rsidR="00495E79">
              <w:lastRenderedPageBreak/>
              <w:t>and therefore</w:t>
            </w:r>
            <w:r>
              <w:t xml:space="preserve"> </w:t>
            </w:r>
            <w:r w:rsidR="00495E79">
              <w:t>delay the</w:t>
            </w:r>
            <w:r w:rsidR="00032C7B">
              <w:t xml:space="preserve"> automatic</w:t>
            </w:r>
            <w:r>
              <w:t xml:space="preserve"> renewals</w:t>
            </w:r>
            <w:r w:rsidR="00032C7B">
              <w:t xml:space="preserve"> processes</w:t>
            </w:r>
            <w:r w:rsidR="00495E79">
              <w:t>,</w:t>
            </w:r>
            <w:r>
              <w:t xml:space="preserve"> until after </w:t>
            </w:r>
            <w:r w:rsidR="00032C7B">
              <w:t>the Commission held a</w:t>
            </w:r>
            <w:r>
              <w:t xml:space="preserve"> workshop</w:t>
            </w:r>
            <w:r w:rsidR="00032C7B">
              <w:t xml:space="preserve"> on the issue</w:t>
            </w:r>
            <w:r>
              <w:t xml:space="preserve">.  The Commission agreed </w:t>
            </w:r>
            <w:r w:rsidR="00032C7B">
              <w:t xml:space="preserve">with Joint Consumers that a workshop was not needed to </w:t>
            </w:r>
            <w:r w:rsidRPr="003442E4" w:rsidR="00032C7B">
              <w:t>implement</w:t>
            </w:r>
            <w:r w:rsidR="00032C7B">
              <w:t xml:space="preserve"> </w:t>
            </w:r>
            <w:r>
              <w:t xml:space="preserve">and </w:t>
            </w:r>
            <w:r w:rsidR="003442E4">
              <w:t xml:space="preserve">the </w:t>
            </w:r>
            <w:r w:rsidR="003B0D74">
              <w:t>Commission</w:t>
            </w:r>
            <w:r w:rsidR="003442E4">
              <w:t xml:space="preserve"> </w:t>
            </w:r>
            <w:r w:rsidR="00CE73C0">
              <w:t>“did not require the Commission’s staff to hold a workshop prior to implementation.”</w:t>
            </w:r>
          </w:p>
        </w:tc>
        <w:tc>
          <w:tcPr>
            <w:tcW w:w="2786" w:type="dxa"/>
            <w:shd w:val="clear" w:color="auto" w:fill="auto"/>
          </w:tcPr>
          <w:p w:rsidR="00565A12" w:rsidP="007A4044" w:rsidRDefault="00CE73C0" w14:paraId="178AB729" w14:textId="0F52C072">
            <w:pPr>
              <w:pStyle w:val="SubstantialContribution"/>
            </w:pPr>
            <w:r>
              <w:lastRenderedPageBreak/>
              <w:t xml:space="preserve">Joint Consumers Reply Comments on the Staff </w:t>
            </w:r>
            <w:r>
              <w:lastRenderedPageBreak/>
              <w:t>Proposal</w:t>
            </w:r>
            <w:r w:rsidR="007A4044">
              <w:t xml:space="preserve"> (</w:t>
            </w:r>
            <w:r w:rsidR="00F0319F">
              <w:t>Jan</w:t>
            </w:r>
            <w:r w:rsidR="007A4044">
              <w:t>.</w:t>
            </w:r>
            <w:r w:rsidR="00F0319F">
              <w:t xml:space="preserve"> 28, 2022</w:t>
            </w:r>
            <w:r w:rsidR="007A4044">
              <w:t>)</w:t>
            </w:r>
            <w:r w:rsidR="00F0319F">
              <w:t xml:space="preserve"> at pp. </w:t>
            </w:r>
            <w:proofErr w:type="gramStart"/>
            <w:r w:rsidR="008B2243">
              <w:t>6-8;</w:t>
            </w:r>
            <w:proofErr w:type="gramEnd"/>
          </w:p>
          <w:p w:rsidRPr="007F620E" w:rsidR="008B2243" w:rsidP="007A4044" w:rsidRDefault="008B2243" w14:paraId="17D428EE" w14:textId="31DED4EE">
            <w:pPr>
              <w:pStyle w:val="SubstantialContribution"/>
            </w:pPr>
            <w:r>
              <w:t>D</w:t>
            </w:r>
            <w:r w:rsidR="007A4044">
              <w:t>.</w:t>
            </w:r>
            <w:r>
              <w:t>22-05-014 at pp. 8-9.</w:t>
            </w:r>
          </w:p>
        </w:tc>
        <w:tc>
          <w:tcPr>
            <w:tcW w:w="2250" w:type="dxa"/>
            <w:shd w:val="clear" w:color="auto" w:fill="auto"/>
          </w:tcPr>
          <w:p w:rsidR="00565A12" w:rsidP="00073262" w:rsidRDefault="00845AF9" w14:paraId="37310B6D" w14:textId="77777777">
            <w:pPr>
              <w:rPr>
                <w:color w:val="000000"/>
              </w:rPr>
            </w:pPr>
            <w:r>
              <w:rPr>
                <w:color w:val="000000"/>
              </w:rPr>
              <w:lastRenderedPageBreak/>
              <w:t xml:space="preserve">Verified </w:t>
            </w:r>
          </w:p>
          <w:p w:rsidRPr="00845AF9" w:rsidR="00845AF9" w:rsidP="00073262" w:rsidRDefault="00845AF9" w14:paraId="4132F90B" w14:textId="7852F796">
            <w:pPr>
              <w:rPr>
                <w:color w:val="000000"/>
              </w:rPr>
            </w:pPr>
          </w:p>
        </w:tc>
      </w:tr>
      <w:tr w:rsidRPr="007F620E" w:rsidR="00DC31C2" w:rsidTr="00DA2D29" w14:paraId="1CB0497A" w14:textId="77777777">
        <w:tc>
          <w:tcPr>
            <w:tcW w:w="4769" w:type="dxa"/>
            <w:shd w:val="clear" w:color="auto" w:fill="auto"/>
          </w:tcPr>
          <w:p w:rsidRPr="004C0B1B" w:rsidR="00DC31C2" w:rsidP="00C840E1" w:rsidRDefault="00DC31C2" w14:paraId="19AA0256" w14:textId="77777777">
            <w:pPr>
              <w:pStyle w:val="ListParagraph"/>
              <w:numPr>
                <w:ilvl w:val="0"/>
                <w:numId w:val="11"/>
              </w:numPr>
              <w:ind w:left="337"/>
              <w:rPr>
                <w:color w:val="000000"/>
              </w:rPr>
            </w:pPr>
            <w:r w:rsidRPr="00C840E1">
              <w:rPr>
                <w:b/>
                <w:bCs/>
                <w:color w:val="000000"/>
                <w:szCs w:val="24"/>
              </w:rPr>
              <w:t xml:space="preserve"> </w:t>
            </w:r>
            <w:r w:rsidRPr="00C840E1" w:rsidR="00BA2C2F">
              <w:rPr>
                <w:b/>
                <w:bCs/>
                <w:color w:val="000000"/>
                <w:szCs w:val="24"/>
              </w:rPr>
              <w:t>Black Out Dates</w:t>
            </w:r>
          </w:p>
          <w:p w:rsidRPr="004C0B1B" w:rsidR="004C0B1B" w:rsidP="007A4044" w:rsidRDefault="004C0B1B" w14:paraId="7A633A5C" w14:textId="77C62D44">
            <w:pPr>
              <w:pStyle w:val="SubstantialContribution"/>
            </w:pPr>
            <w:r w:rsidRPr="007A4044">
              <w:t xml:space="preserve">TURN, with Joint Consumers, opposed </w:t>
            </w:r>
            <w:proofErr w:type="spellStart"/>
            <w:r w:rsidRPr="007A4044">
              <w:t>NaLA’s</w:t>
            </w:r>
            <w:proofErr w:type="spellEnd"/>
            <w:r w:rsidRPr="007A4044">
              <w:t xml:space="preserve"> </w:t>
            </w:r>
            <w:r w:rsidRPr="007A4044" w:rsidR="001C4340">
              <w:t>position</w:t>
            </w:r>
            <w:r w:rsidRPr="007A4044">
              <w:t xml:space="preserve"> that the Commission must revise</w:t>
            </w:r>
            <w:r w:rsidR="00DC3564">
              <w:t xml:space="preserve"> immediately</w:t>
            </w:r>
            <w:r w:rsidRPr="007A4044">
              <w:t xml:space="preserve"> </w:t>
            </w:r>
            <w:r w:rsidR="0087593A">
              <w:t xml:space="preserve">the </w:t>
            </w:r>
            <w:r w:rsidRPr="007A4044">
              <w:t>renewal “blackout dates</w:t>
            </w:r>
            <w:r w:rsidR="00DC3564">
              <w:t>.</w:t>
            </w:r>
            <w:r w:rsidRPr="007A4044">
              <w:t>”</w:t>
            </w:r>
            <w:r w:rsidR="00E83E7F">
              <w:t xml:space="preserve">  </w:t>
            </w:r>
            <w:proofErr w:type="gramStart"/>
            <w:r w:rsidR="00DC3564">
              <w:t>Although,</w:t>
            </w:r>
            <w:proofErr w:type="gramEnd"/>
            <w:r w:rsidR="00DC3564">
              <w:t xml:space="preserve"> t</w:t>
            </w:r>
            <w:r w:rsidR="00E83E7F">
              <w:t xml:space="preserve">he Renewals Working Group had proposed a </w:t>
            </w:r>
            <w:r w:rsidR="00A4611D">
              <w:t xml:space="preserve">general </w:t>
            </w:r>
            <w:r w:rsidR="00E83E7F">
              <w:t>revision to the renewal blackout dates</w:t>
            </w:r>
            <w:r w:rsidR="00214AFB">
              <w:t>,</w:t>
            </w:r>
            <w:r w:rsidR="0036788F">
              <w:t xml:space="preserve"> there was insufficient data to </w:t>
            </w:r>
            <w:r w:rsidR="00A4611D">
              <w:t>recommend specific revisions</w:t>
            </w:r>
            <w:r w:rsidR="00715939">
              <w:t>.</w:t>
            </w:r>
            <w:r w:rsidRPr="007A4044" w:rsidR="001C4340">
              <w:t xml:space="preserve">  Joint Consumers argued tha</w:t>
            </w:r>
            <w:r w:rsidRPr="007A4044" w:rsidR="00723AE6">
              <w:t xml:space="preserve">t </w:t>
            </w:r>
            <w:r w:rsidR="00715939">
              <w:t xml:space="preserve">the </w:t>
            </w:r>
            <w:r w:rsidRPr="007A4044" w:rsidR="00723AE6">
              <w:t xml:space="preserve">Commission </w:t>
            </w:r>
            <w:r w:rsidRPr="007A4044" w:rsidR="003A6394">
              <w:t xml:space="preserve">need not address blackout dates at this time until </w:t>
            </w:r>
            <w:r w:rsidR="00B50CB8">
              <w:t xml:space="preserve">after </w:t>
            </w:r>
            <w:r w:rsidRPr="007A4044" w:rsidR="003A6394">
              <w:t xml:space="preserve">the Commission </w:t>
            </w:r>
            <w:r w:rsidR="00B50CB8">
              <w:t>obtains</w:t>
            </w:r>
            <w:r w:rsidRPr="007A4044" w:rsidR="00B50CB8">
              <w:t xml:space="preserve"> </w:t>
            </w:r>
            <w:r w:rsidRPr="007A4044" w:rsidR="003A6394">
              <w:t xml:space="preserve">more information.  The Commission agreed </w:t>
            </w:r>
            <w:r w:rsidR="003B0D74">
              <w:t xml:space="preserve">with Joint Consumers </w:t>
            </w:r>
            <w:r w:rsidRPr="007A4044" w:rsidR="00564DB7">
              <w:t>and did not revise renewal blackout dates at this time.</w:t>
            </w:r>
          </w:p>
        </w:tc>
        <w:tc>
          <w:tcPr>
            <w:tcW w:w="2786" w:type="dxa"/>
            <w:shd w:val="clear" w:color="auto" w:fill="auto"/>
          </w:tcPr>
          <w:p w:rsidRPr="007A4044" w:rsidR="004C0B1B" w:rsidP="007A4044" w:rsidRDefault="004C0B1B" w14:paraId="1C03CA44" w14:textId="58048FA2">
            <w:pPr>
              <w:pStyle w:val="SubstantialContribution"/>
            </w:pPr>
            <w:r w:rsidRPr="007A4044">
              <w:t>Joint Consumers Reply Comments on the Staff Proposal</w:t>
            </w:r>
            <w:r w:rsidR="007A4044">
              <w:t xml:space="preserve"> (</w:t>
            </w:r>
            <w:r w:rsidRPr="007A4044">
              <w:t>Jan</w:t>
            </w:r>
            <w:r w:rsidR="007A4044">
              <w:t>.</w:t>
            </w:r>
            <w:r w:rsidRPr="007A4044">
              <w:t xml:space="preserve"> 28, 2022</w:t>
            </w:r>
            <w:r w:rsidR="007A4044">
              <w:t>)</w:t>
            </w:r>
            <w:r w:rsidRPr="007A4044">
              <w:t xml:space="preserve"> at p</w:t>
            </w:r>
            <w:r w:rsidRPr="007A4044" w:rsidR="006D5172">
              <w:t>p</w:t>
            </w:r>
            <w:r w:rsidRPr="007A4044">
              <w:t xml:space="preserve">. </w:t>
            </w:r>
            <w:proofErr w:type="gramStart"/>
            <w:r w:rsidRPr="007A4044" w:rsidR="006D5172">
              <w:t>5-6</w:t>
            </w:r>
            <w:r w:rsidRPr="007A4044">
              <w:t>;</w:t>
            </w:r>
            <w:proofErr w:type="gramEnd"/>
          </w:p>
          <w:p w:rsidRPr="007F620E" w:rsidR="004C0B1B" w:rsidP="007A4044" w:rsidRDefault="004C0B1B" w14:paraId="4BC2D75A" w14:textId="2E630484">
            <w:pPr>
              <w:pStyle w:val="SubstantialContribution"/>
            </w:pPr>
            <w:r w:rsidRPr="007A4044">
              <w:t>D</w:t>
            </w:r>
            <w:r w:rsidR="007A4044">
              <w:t>.</w:t>
            </w:r>
            <w:r w:rsidRPr="007A4044">
              <w:t>22-05-014 at pp. 7-8</w:t>
            </w:r>
            <w:r w:rsidR="0089042F">
              <w:t>, COL 1, OP 1</w:t>
            </w:r>
            <w:r w:rsidRPr="007A4044">
              <w:t>.</w:t>
            </w:r>
          </w:p>
        </w:tc>
        <w:tc>
          <w:tcPr>
            <w:tcW w:w="2250" w:type="dxa"/>
            <w:shd w:val="clear" w:color="auto" w:fill="auto"/>
          </w:tcPr>
          <w:p w:rsidR="00D60EC9" w:rsidP="00073262" w:rsidRDefault="00D60EC9" w14:paraId="1E8C0A77" w14:textId="76D0D2B4">
            <w:pPr>
              <w:rPr>
                <w:color w:val="000000"/>
              </w:rPr>
            </w:pPr>
            <w:r>
              <w:rPr>
                <w:color w:val="000000"/>
              </w:rPr>
              <w:t>Verified</w:t>
            </w:r>
          </w:p>
          <w:p w:rsidR="00D60EC9" w:rsidP="00073262" w:rsidRDefault="00D60EC9" w14:paraId="546EA049" w14:textId="77777777">
            <w:pPr>
              <w:rPr>
                <w:color w:val="000000"/>
              </w:rPr>
            </w:pPr>
          </w:p>
          <w:p w:rsidRPr="007F620E" w:rsidR="00DC31C2" w:rsidP="00073262" w:rsidRDefault="00DC31C2" w14:paraId="0CCC8252" w14:textId="21F11C98">
            <w:pPr>
              <w:rPr>
                <w:color w:val="000000"/>
              </w:rPr>
            </w:pPr>
          </w:p>
        </w:tc>
      </w:tr>
      <w:tr w:rsidRPr="007F620E" w:rsidR="002B33EF" w:rsidTr="00DA2D29" w14:paraId="4030E586" w14:textId="77777777">
        <w:tc>
          <w:tcPr>
            <w:tcW w:w="4769" w:type="dxa"/>
            <w:shd w:val="clear" w:color="auto" w:fill="auto"/>
          </w:tcPr>
          <w:p w:rsidRPr="00F8588D" w:rsidR="002B33EF" w:rsidP="00C840E1" w:rsidRDefault="007A4044" w14:paraId="75EEBA5B" w14:textId="564B3E12">
            <w:pPr>
              <w:pStyle w:val="ListParagraph"/>
              <w:numPr>
                <w:ilvl w:val="0"/>
                <w:numId w:val="11"/>
              </w:numPr>
              <w:ind w:left="337"/>
              <w:rPr>
                <w:b/>
                <w:bCs/>
                <w:color w:val="000000"/>
                <w:szCs w:val="24"/>
              </w:rPr>
            </w:pPr>
            <w:r>
              <w:rPr>
                <w:b/>
                <w:bCs/>
                <w:color w:val="000000"/>
                <w:szCs w:val="24"/>
              </w:rPr>
              <w:t xml:space="preserve">Future </w:t>
            </w:r>
            <w:r w:rsidRPr="00F8588D" w:rsidR="002B33EF">
              <w:rPr>
                <w:b/>
                <w:bCs/>
                <w:color w:val="000000"/>
                <w:szCs w:val="24"/>
              </w:rPr>
              <w:t>Workshop</w:t>
            </w:r>
          </w:p>
          <w:p w:rsidRPr="002B33EF" w:rsidR="002B33EF" w:rsidP="00F8588D" w:rsidRDefault="00EE1CF5" w14:paraId="46FFD4B8" w14:textId="55E374E2">
            <w:pPr>
              <w:pStyle w:val="SubstantialContribution"/>
            </w:pPr>
            <w:r>
              <w:t>At the time the Commission s</w:t>
            </w:r>
            <w:r w:rsidR="002E04C3">
              <w:t>ought to modernize the renewal process</w:t>
            </w:r>
            <w:r>
              <w:t xml:space="preserve">, the California </w:t>
            </w:r>
            <w:proofErr w:type="spellStart"/>
            <w:r>
              <w:t>LifeLine</w:t>
            </w:r>
            <w:proofErr w:type="spellEnd"/>
            <w:r>
              <w:t xml:space="preserve"> Program renewal rules were suspended in response to COVID</w:t>
            </w:r>
            <w:r w:rsidR="00D37255">
              <w:t>-19</w:t>
            </w:r>
            <w:r>
              <w:t xml:space="preserve">.  Joint Consumers encouraged the Commission to </w:t>
            </w:r>
            <w:r w:rsidR="002E04C3">
              <w:t xml:space="preserve">hold a workshop to discuss the </w:t>
            </w:r>
            <w:r w:rsidR="00853EAF">
              <w:t xml:space="preserve">effectiveness of the modernized renewal process after the renewal rules </w:t>
            </w:r>
            <w:r w:rsidR="008F5BAA">
              <w:t xml:space="preserve">suspension is lifted and the rules </w:t>
            </w:r>
            <w:r w:rsidR="00853EAF">
              <w:t xml:space="preserve">go back into effect.  </w:t>
            </w:r>
            <w:r w:rsidR="001D1C19">
              <w:t>The Commission agreed and stated its plans “to hold a workshop to discuss the renewal process after the renewals process suspension ends.”</w:t>
            </w:r>
          </w:p>
        </w:tc>
        <w:tc>
          <w:tcPr>
            <w:tcW w:w="2786" w:type="dxa"/>
            <w:shd w:val="clear" w:color="auto" w:fill="auto"/>
          </w:tcPr>
          <w:p w:rsidRPr="007A4044" w:rsidR="00853EAF" w:rsidP="007A4044" w:rsidRDefault="00853EAF" w14:paraId="24B3A28E" w14:textId="46214D03">
            <w:pPr>
              <w:pStyle w:val="SubstantialContribution"/>
            </w:pPr>
            <w:r w:rsidRPr="007A4044">
              <w:t xml:space="preserve">Joint Consumers </w:t>
            </w:r>
            <w:r w:rsidRPr="007A4044" w:rsidR="002F798B">
              <w:t>Opening Comments on the Staff Proposal</w:t>
            </w:r>
            <w:r w:rsidR="007A4044">
              <w:t xml:space="preserve"> (</w:t>
            </w:r>
            <w:r w:rsidRPr="007A4044" w:rsidR="002F798B">
              <w:t>Jan</w:t>
            </w:r>
            <w:r w:rsidR="007A4044">
              <w:t>.</w:t>
            </w:r>
            <w:r w:rsidRPr="007A4044" w:rsidR="002F798B">
              <w:t xml:space="preserve"> 14, 2022</w:t>
            </w:r>
            <w:r w:rsidR="007A4044">
              <w:t>)</w:t>
            </w:r>
            <w:r w:rsidRPr="007A4044" w:rsidR="002F798B">
              <w:t xml:space="preserve"> at p. </w:t>
            </w:r>
            <w:proofErr w:type="gramStart"/>
            <w:r w:rsidRPr="007A4044" w:rsidR="002F798B">
              <w:t>1</w:t>
            </w:r>
            <w:r w:rsidRPr="007A4044" w:rsidR="001D1C19">
              <w:t>;</w:t>
            </w:r>
            <w:proofErr w:type="gramEnd"/>
          </w:p>
          <w:p w:rsidRPr="007F620E" w:rsidR="001D1C19" w:rsidP="007A4044" w:rsidRDefault="001D1C19" w14:paraId="5F90684A" w14:textId="7BBDC187">
            <w:pPr>
              <w:pStyle w:val="SubstantialContribution"/>
            </w:pPr>
            <w:r w:rsidRPr="007A4044">
              <w:t>D</w:t>
            </w:r>
            <w:r w:rsidR="007A4044">
              <w:t>.</w:t>
            </w:r>
            <w:r w:rsidRPr="007A4044">
              <w:t>22-05-014 at p. 7.</w:t>
            </w:r>
          </w:p>
        </w:tc>
        <w:tc>
          <w:tcPr>
            <w:tcW w:w="2250" w:type="dxa"/>
            <w:shd w:val="clear" w:color="auto" w:fill="auto"/>
          </w:tcPr>
          <w:p w:rsidR="002B33EF" w:rsidP="00073262" w:rsidRDefault="00ED0D4F" w14:paraId="4F680EF0" w14:textId="77777777">
            <w:pPr>
              <w:rPr>
                <w:color w:val="000000"/>
              </w:rPr>
            </w:pPr>
            <w:r>
              <w:rPr>
                <w:color w:val="000000"/>
              </w:rPr>
              <w:t>Verified</w:t>
            </w:r>
          </w:p>
          <w:p w:rsidRPr="007F620E" w:rsidR="00ED0D4F" w:rsidP="00073262" w:rsidRDefault="00ED0D4F" w14:paraId="41FDC9BB" w14:textId="4C858E42">
            <w:pPr>
              <w:rPr>
                <w:color w:val="000000"/>
              </w:rPr>
            </w:pPr>
          </w:p>
        </w:tc>
      </w:tr>
    </w:tbl>
    <w:p w:rsidRPr="007F620E" w:rsidR="00A92D0B" w:rsidP="005B5B44" w:rsidRDefault="00A92D0B" w14:paraId="0D4BCD3A" w14:textId="77777777">
      <w:pPr>
        <w:keepNext/>
        <w:numPr>
          <w:ilvl w:val="0"/>
          <w:numId w:val="8"/>
        </w:numPr>
        <w:spacing w:before="240" w:after="240"/>
        <w:rPr>
          <w:b/>
          <w:color w:val="000000"/>
        </w:rPr>
      </w:pPr>
      <w:r w:rsidRPr="007F620E">
        <w:rPr>
          <w:b/>
          <w:color w:val="000000"/>
        </w:rPr>
        <w:lastRenderedPageBreak/>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048"/>
        <w:gridCol w:w="1710"/>
        <w:gridCol w:w="1980"/>
      </w:tblGrid>
      <w:tr w:rsidRPr="007F620E" w:rsidR="00A92D0B" w:rsidTr="00F6363B" w14:paraId="76F3266C" w14:textId="77777777">
        <w:tc>
          <w:tcPr>
            <w:tcW w:w="6048" w:type="dxa"/>
            <w:shd w:val="clear" w:color="auto" w:fill="D9D9D9" w:themeFill="background1" w:themeFillShade="D9"/>
          </w:tcPr>
          <w:p w:rsidRPr="007F620E" w:rsidR="00A92D0B" w:rsidP="00073262" w:rsidRDefault="00A92D0B" w14:paraId="300CEDBC" w14:textId="77777777">
            <w:pPr>
              <w:keepNext/>
              <w:keepLines/>
              <w:rPr>
                <w:color w:val="000000"/>
              </w:rPr>
            </w:pPr>
          </w:p>
        </w:tc>
        <w:tc>
          <w:tcPr>
            <w:tcW w:w="1710" w:type="dxa"/>
            <w:tcBorders>
              <w:bottom w:val="single" w:color="auto" w:sz="4" w:space="0"/>
            </w:tcBorders>
            <w:shd w:val="clear" w:color="auto" w:fill="D9D9D9" w:themeFill="background1" w:themeFillShade="D9"/>
          </w:tcPr>
          <w:p w:rsidRPr="007F620E" w:rsidR="00A92D0B" w:rsidP="00073262" w:rsidRDefault="005A63D4" w14:paraId="7B091096" w14:textId="77777777">
            <w:pPr>
              <w:keepNext/>
              <w:keepLines/>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1980" w:type="dxa"/>
            <w:shd w:val="clear" w:color="auto" w:fill="D9D9D9" w:themeFill="background1" w:themeFillShade="D9"/>
          </w:tcPr>
          <w:p w:rsidRPr="007F620E" w:rsidR="00A92D0B" w:rsidP="00073262" w:rsidRDefault="00A92D0B" w14:paraId="25CE5081" w14:textId="77777777">
            <w:pPr>
              <w:keepNext/>
              <w:keepLines/>
              <w:jc w:val="center"/>
              <w:rPr>
                <w:b/>
                <w:color w:val="000000"/>
              </w:rPr>
            </w:pPr>
            <w:r w:rsidRPr="007F620E">
              <w:rPr>
                <w:b/>
                <w:color w:val="000000"/>
              </w:rPr>
              <w:t xml:space="preserve">CPUC </w:t>
            </w:r>
            <w:r w:rsidRPr="007F620E" w:rsidR="00D075B1">
              <w:rPr>
                <w:b/>
                <w:color w:val="000000"/>
              </w:rPr>
              <w:t>Discussion</w:t>
            </w:r>
          </w:p>
        </w:tc>
      </w:tr>
      <w:tr w:rsidRPr="007F620E" w:rsidR="00A92D0B" w:rsidTr="00DA2D29" w14:paraId="24A12BE1" w14:textId="77777777">
        <w:tc>
          <w:tcPr>
            <w:tcW w:w="6048" w:type="dxa"/>
            <w:shd w:val="clear" w:color="auto" w:fill="auto"/>
          </w:tcPr>
          <w:p w:rsidRPr="007F620E" w:rsidR="00A92D0B" w:rsidP="00073262" w:rsidRDefault="00A92D0B" w14:paraId="6915FAF6" w14:textId="3BCA97CC">
            <w:pPr>
              <w:keepLines/>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p>
        </w:tc>
        <w:tc>
          <w:tcPr>
            <w:tcW w:w="1710" w:type="dxa"/>
            <w:shd w:val="clear" w:color="auto" w:fill="auto"/>
            <w:vAlign w:val="center"/>
          </w:tcPr>
          <w:p w:rsidRPr="00E25078" w:rsidR="00A92D0B" w:rsidP="0089042F" w:rsidRDefault="00052FB5" w14:paraId="0B49A7C8" w14:textId="5050DFB3">
            <w:pPr>
              <w:keepNext/>
              <w:keepLines/>
              <w:jc w:val="center"/>
              <w:rPr>
                <w:color w:val="000000"/>
              </w:rPr>
            </w:pPr>
            <w:r>
              <w:rPr>
                <w:color w:val="000000"/>
              </w:rPr>
              <w:t>Yes</w:t>
            </w:r>
          </w:p>
        </w:tc>
        <w:tc>
          <w:tcPr>
            <w:tcW w:w="1980" w:type="dxa"/>
            <w:shd w:val="clear" w:color="auto" w:fill="auto"/>
          </w:tcPr>
          <w:p w:rsidRPr="00E25078" w:rsidR="00A92D0B" w:rsidP="00073262" w:rsidRDefault="008C2C11" w14:paraId="23B6532A" w14:textId="2B855525">
            <w:pPr>
              <w:keepNext/>
              <w:keepLines/>
              <w:rPr>
                <w:color w:val="000000"/>
              </w:rPr>
            </w:pPr>
            <w:r>
              <w:rPr>
                <w:color w:val="000000"/>
              </w:rPr>
              <w:t>Verified</w:t>
            </w:r>
          </w:p>
        </w:tc>
      </w:tr>
      <w:tr w:rsidRPr="007F620E" w:rsidR="00A92D0B" w:rsidTr="00DA2D29" w14:paraId="3317BD71" w14:textId="77777777">
        <w:tc>
          <w:tcPr>
            <w:tcW w:w="6048" w:type="dxa"/>
            <w:shd w:val="clear" w:color="auto" w:fill="auto"/>
          </w:tcPr>
          <w:p w:rsidRPr="007F620E" w:rsidR="00A92D0B" w:rsidP="00073262" w:rsidRDefault="00A92D0B" w14:paraId="561D245D" w14:textId="77777777">
            <w:pPr>
              <w:tabs>
                <w:tab w:val="left" w:pos="360"/>
              </w:tabs>
              <w:ind w:left="360" w:hanging="360"/>
              <w:rPr>
                <w:b/>
                <w:color w:val="000000"/>
              </w:rPr>
            </w:pPr>
            <w:r w:rsidRPr="007F620E">
              <w:rPr>
                <w:b/>
                <w:color w:val="000000"/>
              </w:rPr>
              <w:t>b.</w:t>
            </w:r>
            <w:r w:rsidRPr="007F620E">
              <w:rPr>
                <w:b/>
                <w:color w:val="000000"/>
              </w:rPr>
              <w:tab/>
              <w:t xml:space="preserve">Were there other parties to the proceeding with positions </w:t>
            </w:r>
            <w:proofErr w:type="gramStart"/>
            <w:r w:rsidRPr="007F620E">
              <w:rPr>
                <w:b/>
                <w:color w:val="000000"/>
              </w:rPr>
              <w:t>similar to</w:t>
            </w:r>
            <w:proofErr w:type="gramEnd"/>
            <w:r w:rsidRPr="007F620E">
              <w:rPr>
                <w:b/>
                <w:color w:val="000000"/>
              </w:rPr>
              <w:t xml:space="preserve"> yours? </w:t>
            </w:r>
          </w:p>
        </w:tc>
        <w:tc>
          <w:tcPr>
            <w:tcW w:w="1710" w:type="dxa"/>
            <w:shd w:val="clear" w:color="auto" w:fill="auto"/>
            <w:vAlign w:val="center"/>
          </w:tcPr>
          <w:p w:rsidRPr="00E25078" w:rsidR="00A92D0B" w:rsidP="0089042F" w:rsidRDefault="00052FB5" w14:paraId="3708E485" w14:textId="0C4E4F31">
            <w:pPr>
              <w:jc w:val="center"/>
              <w:rPr>
                <w:color w:val="000000"/>
              </w:rPr>
            </w:pPr>
            <w:r>
              <w:rPr>
                <w:color w:val="000000"/>
              </w:rPr>
              <w:t>Yes</w:t>
            </w:r>
          </w:p>
        </w:tc>
        <w:tc>
          <w:tcPr>
            <w:tcW w:w="1980" w:type="dxa"/>
            <w:shd w:val="clear" w:color="auto" w:fill="auto"/>
          </w:tcPr>
          <w:p w:rsidRPr="00E25078" w:rsidR="00A92D0B" w:rsidP="00073262" w:rsidRDefault="00DA2D29" w14:paraId="6B3388E6" w14:textId="75CA4564">
            <w:pPr>
              <w:rPr>
                <w:color w:val="000000"/>
              </w:rPr>
            </w:pPr>
            <w:r>
              <w:rPr>
                <w:color w:val="000000"/>
              </w:rPr>
              <w:t>Noted</w:t>
            </w:r>
          </w:p>
        </w:tc>
      </w:tr>
      <w:tr w:rsidRPr="007F620E" w:rsidR="00A92D0B" w:rsidTr="00DA2D29" w14:paraId="0A51B7D4" w14:textId="77777777">
        <w:tc>
          <w:tcPr>
            <w:tcW w:w="7758" w:type="dxa"/>
            <w:gridSpan w:val="2"/>
            <w:shd w:val="clear" w:color="auto" w:fill="auto"/>
          </w:tcPr>
          <w:p w:rsidRPr="00E25078" w:rsidR="00A92D0B" w:rsidP="00073262" w:rsidRDefault="00A92D0B" w14:paraId="30CB6275" w14:textId="7D63B4F2">
            <w:pPr>
              <w:ind w:left="360" w:hanging="360"/>
              <w:rPr>
                <w:color w:val="000000"/>
              </w:rPr>
            </w:pPr>
            <w:r w:rsidRPr="00E25078">
              <w:rPr>
                <w:b/>
                <w:color w:val="000000"/>
              </w:rPr>
              <w:t>c.</w:t>
            </w:r>
            <w:r w:rsidRPr="00E25078">
              <w:rPr>
                <w:b/>
                <w:color w:val="000000"/>
              </w:rPr>
              <w:tab/>
              <w:t>If so, provide name of other parties:</w:t>
            </w:r>
            <w:r w:rsidRPr="00E25078" w:rsidR="00E25078">
              <w:rPr>
                <w:color w:val="000000"/>
              </w:rPr>
              <w:t xml:space="preserve"> </w:t>
            </w:r>
          </w:p>
          <w:p w:rsidRPr="00E25078" w:rsidR="00A92D0B" w:rsidP="00136CD1" w:rsidRDefault="00731D38" w14:paraId="0919176B" w14:textId="38715BD5">
            <w:pPr>
              <w:ind w:left="360" w:hanging="360"/>
              <w:rPr>
                <w:color w:val="000000"/>
              </w:rPr>
            </w:pPr>
            <w:r>
              <w:rPr>
                <w:color w:val="000000"/>
              </w:rPr>
              <w:t xml:space="preserve">Center for Accessible Technology, </w:t>
            </w:r>
            <w:r w:rsidR="0089042F">
              <w:rPr>
                <w:color w:val="000000"/>
              </w:rPr>
              <w:t xml:space="preserve">The </w:t>
            </w:r>
            <w:r w:rsidR="00136CD1">
              <w:rPr>
                <w:color w:val="000000"/>
              </w:rPr>
              <w:t>Greenlining Institute</w:t>
            </w:r>
          </w:p>
        </w:tc>
        <w:tc>
          <w:tcPr>
            <w:tcW w:w="1980" w:type="dxa"/>
            <w:shd w:val="clear" w:color="auto" w:fill="auto"/>
          </w:tcPr>
          <w:p w:rsidRPr="00E25078" w:rsidR="00A92D0B" w:rsidP="00073262" w:rsidRDefault="00DA2D29" w14:paraId="22A40B49" w14:textId="4E685D61">
            <w:pPr>
              <w:rPr>
                <w:color w:val="000000"/>
              </w:rPr>
            </w:pPr>
            <w:r>
              <w:rPr>
                <w:color w:val="000000"/>
              </w:rPr>
              <w:t>Noted</w:t>
            </w:r>
          </w:p>
        </w:tc>
      </w:tr>
      <w:tr w:rsidRPr="007F620E" w:rsidR="00A92D0B" w:rsidTr="00DA2D29" w14:paraId="744830F5" w14:textId="77777777">
        <w:tc>
          <w:tcPr>
            <w:tcW w:w="7758" w:type="dxa"/>
            <w:gridSpan w:val="2"/>
            <w:shd w:val="clear" w:color="auto" w:fill="auto"/>
          </w:tcPr>
          <w:p w:rsidRPr="00E25078" w:rsidR="00A92D0B" w:rsidP="00073262" w:rsidRDefault="00A92D0B" w14:paraId="7C05FE5A" w14:textId="7521972E">
            <w:pPr>
              <w:tabs>
                <w:tab w:val="left" w:pos="360"/>
              </w:tabs>
              <w:ind w:left="360" w:hanging="360"/>
              <w:rPr>
                <w:color w:val="000000"/>
              </w:rPr>
            </w:pPr>
            <w:r w:rsidRPr="00E25078">
              <w:rPr>
                <w:b/>
                <w:color w:val="000000"/>
              </w:rPr>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p>
          <w:p w:rsidR="00616FAF" w:rsidP="00B26EBD" w:rsidRDefault="009054B4" w14:paraId="39D16C35" w14:textId="397CAB1C">
            <w:pPr>
              <w:pStyle w:val="SubstantialContribution"/>
            </w:pPr>
            <w:r>
              <w:t xml:space="preserve">TURN coordinated very closely with </w:t>
            </w:r>
            <w:proofErr w:type="gramStart"/>
            <w:r>
              <w:t>Center</w:t>
            </w:r>
            <w:proofErr w:type="gramEnd"/>
            <w:r>
              <w:t xml:space="preserve"> for Accessible Technology and The Greenlining Institute throughout this proceeding</w:t>
            </w:r>
            <w:r w:rsidR="00BB5B2D">
              <w:t>.  Here, at every instance, TURN, Center for Accessible Technology, and The Greenlining Institute</w:t>
            </w:r>
            <w:r>
              <w:t xml:space="preserve"> fil</w:t>
            </w:r>
            <w:r w:rsidR="00BB5B2D">
              <w:t>ed</w:t>
            </w:r>
            <w:r>
              <w:t xml:space="preserve"> joint comments as “Joint Consumers” to avoid duplication.  </w:t>
            </w:r>
            <w:r w:rsidR="00392470">
              <w:t>As</w:t>
            </w:r>
            <w:r>
              <w:t xml:space="preserve"> TURN</w:t>
            </w:r>
            <w:r w:rsidR="00392470">
              <w:t>’s time record reflects</w:t>
            </w:r>
            <w:r>
              <w:t xml:space="preserve">, TURN took the lead in </w:t>
            </w:r>
            <w:r w:rsidR="00CA55FD">
              <w:t xml:space="preserve">coordinating efforts amongst the Joint Consumers, </w:t>
            </w:r>
            <w:r>
              <w:t>strategy development</w:t>
            </w:r>
            <w:r w:rsidR="00CA55FD">
              <w:t>,</w:t>
            </w:r>
            <w:r>
              <w:t xml:space="preserve"> and drafting</w:t>
            </w:r>
            <w:r w:rsidR="00CA55FD">
              <w:t xml:space="preserve"> comments</w:t>
            </w:r>
            <w:r>
              <w:t xml:space="preserve">.  This ongoing coordination allowed </w:t>
            </w:r>
            <w:r w:rsidR="00392470">
              <w:t>all three</w:t>
            </w:r>
            <w:r>
              <w:t xml:space="preserve"> organizations to leverage each other’s resources and effectively address a broader array of consumer-impacting issues over the course of the </w:t>
            </w:r>
            <w:proofErr w:type="gramStart"/>
            <w:r>
              <w:t>proceeding</w:t>
            </w:r>
            <w:proofErr w:type="gramEnd"/>
            <w:r>
              <w:t xml:space="preserve">.  </w:t>
            </w:r>
            <w:r w:rsidRPr="00386C02" w:rsidR="00136031">
              <w:t>In a proceeding such as this where many stakeholder groups are encouraged to participate, some degree of duplication may be practically unavoidable.</w:t>
            </w:r>
            <w:r w:rsidRPr="00386C02" w:rsidR="00136031">
              <w:rPr>
                <w:rStyle w:val="FootnoteReference"/>
              </w:rPr>
              <w:footnoteReference w:id="7"/>
            </w:r>
            <w:r w:rsidRPr="00386C02" w:rsidR="00136031">
              <w:t xml:space="preserve">  </w:t>
            </w:r>
            <w:r>
              <w:t>TURN’s timesheets reflect the benefits of this close coordination.</w:t>
            </w:r>
          </w:p>
          <w:p w:rsidRPr="00E25078" w:rsidR="00616FAF" w:rsidP="00616FAF" w:rsidRDefault="00616FAF" w14:paraId="3228BB07" w14:textId="6A0918D5">
            <w:pPr>
              <w:pStyle w:val="SubstantialContribution"/>
            </w:pPr>
            <w:r>
              <w:t xml:space="preserve">With respect to Cal Advocates, </w:t>
            </w:r>
            <w:r w:rsidRPr="00C97E77">
              <w:t xml:space="preserve">Cal Advocates </w:t>
            </w:r>
            <w:r>
              <w:t xml:space="preserve">is an active party to this </w:t>
            </w:r>
            <w:r w:rsidR="006809E5">
              <w:t>proceeding,</w:t>
            </w:r>
            <w:r>
              <w:t xml:space="preserve"> but Cal Advocates </w:t>
            </w:r>
            <w:r w:rsidRPr="00C97E77">
              <w:t xml:space="preserve">did not </w:t>
            </w:r>
            <w:r>
              <w:t xml:space="preserve">file </w:t>
            </w:r>
            <w:r w:rsidRPr="00C97E77">
              <w:t>comment</w:t>
            </w:r>
            <w:r>
              <w:t>s</w:t>
            </w:r>
            <w:r w:rsidRPr="00C97E77">
              <w:t xml:space="preserve"> on the </w:t>
            </w:r>
            <w:r>
              <w:t xml:space="preserve">staff proposal or the </w:t>
            </w:r>
            <w:r w:rsidRPr="00C97E77">
              <w:t>proposed decision</w:t>
            </w:r>
            <w:r w:rsidR="00FD2DD2">
              <w:t xml:space="preserve"> in this phase</w:t>
            </w:r>
            <w:r>
              <w:t>.</w:t>
            </w:r>
          </w:p>
        </w:tc>
        <w:tc>
          <w:tcPr>
            <w:tcW w:w="1980" w:type="dxa"/>
            <w:shd w:val="clear" w:color="auto" w:fill="auto"/>
          </w:tcPr>
          <w:p w:rsidRPr="00E25078" w:rsidR="00A92D0B" w:rsidP="00073262" w:rsidRDefault="00DA2D29" w14:paraId="5F9BBA55" w14:textId="54B7B4C5">
            <w:pPr>
              <w:tabs>
                <w:tab w:val="left" w:pos="360"/>
              </w:tabs>
              <w:ind w:left="360" w:hanging="360"/>
              <w:rPr>
                <w:color w:val="000000"/>
              </w:rPr>
            </w:pPr>
            <w:r>
              <w:rPr>
                <w:color w:val="000000"/>
              </w:rPr>
              <w:t>Noted</w:t>
            </w:r>
          </w:p>
        </w:tc>
      </w:tr>
    </w:tbl>
    <w:p w:rsidRPr="003B6A1B" w:rsidR="00A92D0B" w:rsidP="005B5B44" w:rsidRDefault="00A92D0B" w14:paraId="4415DD51" w14:textId="269EBE63">
      <w:pPr>
        <w:keepNext/>
        <w:numPr>
          <w:ilvl w:val="0"/>
          <w:numId w:val="8"/>
        </w:numPr>
        <w:spacing w:before="240" w:after="240"/>
        <w:rPr>
          <w:b/>
          <w:i/>
          <w:color w:val="000000"/>
          <w:u w:val="single"/>
        </w:rPr>
      </w:pPr>
      <w:r w:rsidRPr="007F620E">
        <w:rPr>
          <w:b/>
          <w:color w:val="000000"/>
        </w:rPr>
        <w:lastRenderedPageBreak/>
        <w:t>Additional Comments on Part II</w:t>
      </w:r>
      <w:r w:rsidR="00C02649">
        <w:rPr>
          <w:b/>
          <w:color w:val="000000"/>
        </w:rPr>
        <w:t>:</w:t>
      </w:r>
      <w:r w:rsidRPr="007F620E">
        <w:rPr>
          <w:b/>
          <w:color w:val="000000"/>
        </w:rPr>
        <w:t xml:space="preserve"> </w:t>
      </w:r>
    </w:p>
    <w:tbl>
      <w:tblPr>
        <w:tblW w:w="9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999"/>
        <w:gridCol w:w="6646"/>
        <w:gridCol w:w="2149"/>
      </w:tblGrid>
      <w:tr w:rsidRPr="007F620E" w:rsidR="00963EEF" w:rsidTr="00195375" w14:paraId="52771334" w14:textId="77777777">
        <w:trPr>
          <w:tblHeader/>
        </w:trPr>
        <w:tc>
          <w:tcPr>
            <w:tcW w:w="999" w:type="dxa"/>
            <w:tcBorders>
              <w:bottom w:val="single" w:color="auto" w:sz="4" w:space="0"/>
            </w:tcBorders>
            <w:shd w:val="clear" w:color="auto" w:fill="D9D9D9" w:themeFill="background1" w:themeFillShade="D9"/>
          </w:tcPr>
          <w:p w:rsidRPr="007F620E" w:rsidR="00963EEF" w:rsidP="00073262" w:rsidRDefault="00963EEF" w14:paraId="15D83D80" w14:textId="77777777">
            <w:pPr>
              <w:tabs>
                <w:tab w:val="left" w:pos="360"/>
              </w:tabs>
              <w:jc w:val="center"/>
              <w:rPr>
                <w:b/>
                <w:color w:val="000000"/>
              </w:rPr>
            </w:pPr>
            <w:r w:rsidRPr="007F620E">
              <w:rPr>
                <w:b/>
                <w:color w:val="000000"/>
              </w:rPr>
              <w:t>#</w:t>
            </w:r>
          </w:p>
        </w:tc>
        <w:tc>
          <w:tcPr>
            <w:tcW w:w="6646" w:type="dxa"/>
            <w:tcBorders>
              <w:bottom w:val="single" w:color="auto" w:sz="4" w:space="0"/>
            </w:tcBorders>
            <w:shd w:val="clear" w:color="auto" w:fill="D9D9D9" w:themeFill="background1" w:themeFillShade="D9"/>
          </w:tcPr>
          <w:p w:rsidRPr="007F620E" w:rsidR="00963EEF" w:rsidP="00073262" w:rsidRDefault="00963EEF" w14:paraId="23BC1F82" w14:textId="77777777">
            <w:pPr>
              <w:tabs>
                <w:tab w:val="left" w:pos="360"/>
              </w:tabs>
              <w:jc w:val="center"/>
              <w:rPr>
                <w:b/>
                <w:color w:val="000000"/>
              </w:rPr>
            </w:pPr>
            <w:r w:rsidRPr="007F620E">
              <w:rPr>
                <w:b/>
                <w:color w:val="000000"/>
              </w:rPr>
              <w:t>Intervenor’s Comment</w:t>
            </w:r>
          </w:p>
        </w:tc>
        <w:tc>
          <w:tcPr>
            <w:tcW w:w="2149" w:type="dxa"/>
            <w:shd w:val="clear" w:color="auto" w:fill="D9D9D9" w:themeFill="background1" w:themeFillShade="D9"/>
          </w:tcPr>
          <w:p w:rsidRPr="007F620E" w:rsidR="00963EEF" w:rsidP="00073262" w:rsidRDefault="00963EEF" w14:paraId="03118710" w14:textId="77777777">
            <w:pPr>
              <w:tabs>
                <w:tab w:val="left" w:pos="360"/>
              </w:tabs>
              <w:jc w:val="center"/>
              <w:rPr>
                <w:b/>
                <w:color w:val="000000"/>
              </w:rPr>
            </w:pPr>
            <w:r w:rsidRPr="007F620E">
              <w:rPr>
                <w:b/>
                <w:color w:val="000000"/>
              </w:rPr>
              <w:t>CPUC Discussion</w:t>
            </w:r>
          </w:p>
        </w:tc>
      </w:tr>
      <w:tr w:rsidRPr="007F620E" w:rsidR="00963EEF" w:rsidTr="00DA2D29" w14:paraId="58A3E16A" w14:textId="77777777">
        <w:tc>
          <w:tcPr>
            <w:tcW w:w="999" w:type="dxa"/>
            <w:shd w:val="clear" w:color="auto" w:fill="auto"/>
          </w:tcPr>
          <w:p w:rsidRPr="00DA2D29" w:rsidR="00963EEF" w:rsidP="00073262" w:rsidRDefault="00136CD1" w14:paraId="2842D49E" w14:textId="77777777">
            <w:pPr>
              <w:tabs>
                <w:tab w:val="left" w:pos="360"/>
              </w:tabs>
            </w:pPr>
            <w:r w:rsidRPr="00DA2D29">
              <w:t>B (c)</w:t>
            </w:r>
            <w:r w:rsidRPr="00DA2D29" w:rsidR="00EF38F1">
              <w:t>,</w:t>
            </w:r>
          </w:p>
          <w:p w:rsidRPr="00DA2D29" w:rsidR="00EF38F1" w:rsidP="00073262" w:rsidRDefault="00EF38F1" w14:paraId="3D289A0B" w14:textId="64CD1420">
            <w:pPr>
              <w:tabs>
                <w:tab w:val="left" w:pos="360"/>
              </w:tabs>
            </w:pPr>
            <w:r w:rsidRPr="00DA2D29">
              <w:t>B (d)</w:t>
            </w:r>
          </w:p>
        </w:tc>
        <w:tc>
          <w:tcPr>
            <w:tcW w:w="6646" w:type="dxa"/>
            <w:shd w:val="clear" w:color="auto" w:fill="auto"/>
          </w:tcPr>
          <w:p w:rsidRPr="00DA2D29" w:rsidR="00963EEF" w:rsidP="00073262" w:rsidRDefault="00136CD1" w14:paraId="59AA74E8" w14:textId="7847C2B9">
            <w:pPr>
              <w:tabs>
                <w:tab w:val="left" w:pos="360"/>
              </w:tabs>
            </w:pPr>
            <w:r w:rsidRPr="00DA2D29">
              <w:t xml:space="preserve">There </w:t>
            </w:r>
            <w:r w:rsidRPr="00DA2D29" w:rsidR="00EF38F1">
              <w:t>are</w:t>
            </w:r>
            <w:r w:rsidRPr="00DA2D29">
              <w:t xml:space="preserve"> many other</w:t>
            </w:r>
            <w:r w:rsidRPr="00DA2D29" w:rsidR="00195375">
              <w:t xml:space="preserve"> parties in the proceeding that </w:t>
            </w:r>
            <w:r w:rsidRPr="00DA2D29" w:rsidR="00EF38F1">
              <w:t>sometimes</w:t>
            </w:r>
            <w:r w:rsidRPr="00DA2D29" w:rsidR="00195375">
              <w:t xml:space="preserve"> have similar positions to TURN, however th</w:t>
            </w:r>
            <w:r w:rsidRPr="00DA2D29" w:rsidR="006809E5">
              <w:t>o</w:t>
            </w:r>
            <w:r w:rsidRPr="00DA2D29" w:rsidR="00195375">
              <w:t xml:space="preserve">se parties did not file comments on the </w:t>
            </w:r>
            <w:r w:rsidRPr="00DA2D29" w:rsidR="003235F7">
              <w:t xml:space="preserve">underlying </w:t>
            </w:r>
            <w:r w:rsidRPr="00DA2D29" w:rsidR="00195375">
              <w:t xml:space="preserve">staff proposal or proposed decision </w:t>
            </w:r>
            <w:r w:rsidRPr="00DA2D29" w:rsidR="003235F7">
              <w:t>that developed the record for Decision 22-05-014.</w:t>
            </w:r>
          </w:p>
        </w:tc>
        <w:tc>
          <w:tcPr>
            <w:tcW w:w="2149" w:type="dxa"/>
            <w:shd w:val="clear" w:color="auto" w:fill="auto"/>
          </w:tcPr>
          <w:p w:rsidRPr="007F620E" w:rsidR="00963EEF" w:rsidP="00073262" w:rsidRDefault="00503AC1" w14:paraId="7B53CB1C" w14:textId="00BB3291">
            <w:pPr>
              <w:tabs>
                <w:tab w:val="left" w:pos="360"/>
              </w:tabs>
              <w:rPr>
                <w:color w:val="000000"/>
              </w:rPr>
            </w:pPr>
            <w:r>
              <w:rPr>
                <w:color w:val="000000"/>
              </w:rPr>
              <w:t>Noted</w:t>
            </w:r>
          </w:p>
        </w:tc>
      </w:tr>
    </w:tbl>
    <w:p w:rsidRPr="007F620E" w:rsidR="00B312DA" w:rsidP="005B5B44" w:rsidRDefault="00A92D0B" w14:paraId="175C3F89" w14:textId="4835545D">
      <w:pPr>
        <w:keepNext/>
        <w:tabs>
          <w:tab w:val="left" w:pos="1260"/>
        </w:tabs>
        <w:spacing w:before="480"/>
        <w:ind w:left="1267" w:hanging="1267"/>
        <w:jc w:val="center"/>
        <w:rPr>
          <w:b/>
          <w:color w:val="000000"/>
        </w:rPr>
      </w:pPr>
      <w:r w:rsidRPr="007F620E">
        <w:rPr>
          <w:b/>
          <w:color w:val="000000"/>
        </w:rPr>
        <w:t>PART III:</w:t>
      </w:r>
      <w:r w:rsidR="00D1778A">
        <w:rPr>
          <w:b/>
          <w:color w:val="000000"/>
        </w:rPr>
        <w:t xml:space="preserve">  </w:t>
      </w:r>
      <w:r w:rsidRPr="007F620E">
        <w:rPr>
          <w:b/>
          <w:color w:val="000000"/>
        </w:rPr>
        <w:t>REASONABLENESS OF REQUESTED COMPENSATION</w:t>
      </w:r>
    </w:p>
    <w:p w:rsidRPr="007F620E" w:rsidR="00A92D0B" w:rsidP="005B5B44" w:rsidRDefault="00A92D0B" w14:paraId="6F74DAE2" w14:textId="77777777">
      <w:pPr>
        <w:keepNext/>
        <w:numPr>
          <w:ilvl w:val="0"/>
          <w:numId w:val="9"/>
        </w:numPr>
        <w:spacing w:before="240" w:after="24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250"/>
      </w:tblGrid>
      <w:tr w:rsidRPr="007F620E" w:rsidR="00FE3BAE" w:rsidTr="00EC6387" w14:paraId="4078AC87" w14:textId="77777777">
        <w:trPr>
          <w:tblHeader/>
        </w:trPr>
        <w:tc>
          <w:tcPr>
            <w:tcW w:w="7488" w:type="dxa"/>
            <w:tcBorders>
              <w:bottom w:val="single" w:color="auto" w:sz="4" w:space="0"/>
            </w:tcBorders>
            <w:shd w:val="clear" w:color="auto" w:fill="D9D9D9" w:themeFill="background1" w:themeFillShade="D9"/>
          </w:tcPr>
          <w:p w:rsidRPr="007F620E" w:rsidR="00FE3BAE" w:rsidP="00EC6387" w:rsidRDefault="00FE3BAE" w14:paraId="70FDF5DA" w14:textId="77777777">
            <w:pPr>
              <w:rPr>
                <w:b/>
                <w:color w:val="000000"/>
              </w:rPr>
            </w:pPr>
          </w:p>
        </w:tc>
        <w:tc>
          <w:tcPr>
            <w:tcW w:w="2250" w:type="dxa"/>
            <w:shd w:val="clear" w:color="auto" w:fill="D9D9D9" w:themeFill="background1" w:themeFillShade="D9"/>
          </w:tcPr>
          <w:p w:rsidRPr="00FE3BAE" w:rsidR="00FE3BAE" w:rsidP="00EC6387" w:rsidRDefault="00FE3BAE" w14:paraId="59CD9FCF" w14:textId="77777777">
            <w:pPr>
              <w:rPr>
                <w:color w:val="000000"/>
              </w:rPr>
            </w:pPr>
            <w:r w:rsidRPr="007F620E">
              <w:rPr>
                <w:b/>
                <w:color w:val="000000"/>
              </w:rPr>
              <w:t>CPUC Discussion</w:t>
            </w:r>
          </w:p>
        </w:tc>
      </w:tr>
      <w:tr w:rsidRPr="007F620E" w:rsidR="00B61434" w:rsidTr="00C21EB2" w14:paraId="5708510E" w14:textId="77777777">
        <w:tc>
          <w:tcPr>
            <w:tcW w:w="7488" w:type="dxa"/>
            <w:tcBorders>
              <w:bottom w:val="single" w:color="auto" w:sz="4" w:space="0"/>
            </w:tcBorders>
            <w:shd w:val="clear" w:color="auto" w:fill="auto"/>
          </w:tcPr>
          <w:p w:rsidRPr="00E25078" w:rsidR="00B61434" w:rsidP="00B61434" w:rsidRDefault="00B61434" w14:paraId="14251AAF" w14:textId="77777777">
            <w:pPr>
              <w:rPr>
                <w:color w:val="000000"/>
              </w:rPr>
            </w:pPr>
            <w:r w:rsidRPr="007F620E">
              <w:rPr>
                <w:b/>
                <w:color w:val="000000"/>
              </w:rPr>
              <w:t>a. Intervenor’s claim of cost reasonableness:</w:t>
            </w:r>
            <w:r w:rsidRPr="00E25078">
              <w:rPr>
                <w:color w:val="000000"/>
              </w:rPr>
              <w:t xml:space="preserve"> </w:t>
            </w:r>
          </w:p>
          <w:p w:rsidR="00B61434" w:rsidP="00B61434" w:rsidRDefault="00B61434" w14:paraId="6E7D7A8C" w14:textId="79BEF648">
            <w:pPr>
              <w:pStyle w:val="SubstantialContribution"/>
            </w:pPr>
            <w:r w:rsidRPr="00F60ECF">
              <w:t xml:space="preserve">TURN’s request for intervenor compensation seeks an award of approximately </w:t>
            </w:r>
            <w:r w:rsidRPr="00D654B5">
              <w:t>$</w:t>
            </w:r>
            <w:r>
              <w:rPr>
                <w:bCs/>
                <w:iCs/>
              </w:rPr>
              <w:t>22,</w:t>
            </w:r>
            <w:r w:rsidR="0019306C">
              <w:rPr>
                <w:bCs/>
                <w:iCs/>
              </w:rPr>
              <w:t>743</w:t>
            </w:r>
            <w:r>
              <w:rPr>
                <w:bCs/>
                <w:iCs/>
              </w:rPr>
              <w:t>.</w:t>
            </w:r>
            <w:r w:rsidR="00F6363B">
              <w:rPr>
                <w:bCs/>
                <w:iCs/>
              </w:rPr>
              <w:t>7</w:t>
            </w:r>
            <w:r>
              <w:rPr>
                <w:bCs/>
                <w:iCs/>
              </w:rPr>
              <w:t>5</w:t>
            </w:r>
            <w:r w:rsidRPr="00D5158D">
              <w:t xml:space="preserve"> as the</w:t>
            </w:r>
            <w:r w:rsidRPr="00277C87">
              <w:t xml:space="preserve"> reasonable cost of </w:t>
            </w:r>
            <w:r>
              <w:t>TURN’s</w:t>
            </w:r>
            <w:r w:rsidRPr="00277C87">
              <w:t xml:space="preserve"> participation in the </w:t>
            </w:r>
            <w:proofErr w:type="gramStart"/>
            <w:r w:rsidRPr="00277C87">
              <w:t>proceeding</w:t>
            </w:r>
            <w:proofErr w:type="gramEnd"/>
            <w:r w:rsidRPr="00277C87">
              <w:t xml:space="preserve">.  </w:t>
            </w:r>
            <w:r w:rsidRPr="00F60ECF">
              <w:t xml:space="preserve">Considering the scope and quality of TURN’s work, and the breadth and depth of benefits achieved through TURN’s participation in the proceeding, </w:t>
            </w:r>
            <w:r>
              <w:t xml:space="preserve">TURN respectfully requests </w:t>
            </w:r>
            <w:r w:rsidRPr="00F60ECF">
              <w:t xml:space="preserve">the Commission </w:t>
            </w:r>
            <w:r w:rsidR="00D30181">
              <w:t xml:space="preserve">to </w:t>
            </w:r>
            <w:r w:rsidRPr="00F60ECF">
              <w:t>conclud</w:t>
            </w:r>
            <w:r>
              <w:t>e</w:t>
            </w:r>
            <w:r w:rsidRPr="00F60ECF">
              <w:t xml:space="preserve"> that the amount requested is reasonable</w:t>
            </w:r>
            <w:r>
              <w:t>.</w:t>
            </w:r>
          </w:p>
          <w:p w:rsidR="00B61434" w:rsidP="00B61434" w:rsidRDefault="00B61434" w14:paraId="7ABEB504" w14:textId="1FE170E6">
            <w:pPr>
              <w:pStyle w:val="SubstantialContribution"/>
            </w:pPr>
            <w:r>
              <w:t xml:space="preserve">The Commission’s work in this docket advances California’s goal of making California </w:t>
            </w:r>
            <w:proofErr w:type="spellStart"/>
            <w:r>
              <w:t>LifeLine</w:t>
            </w:r>
            <w:proofErr w:type="spellEnd"/>
            <w:r>
              <w:t xml:space="preserve"> service available to the greatest number of Californians by improving the renewal process</w:t>
            </w:r>
            <w:r w:rsidR="00A42BC9">
              <w:t xml:space="preserve"> so </w:t>
            </w:r>
            <w:proofErr w:type="spellStart"/>
            <w:r w:rsidR="00A42BC9">
              <w:t>LifeLine</w:t>
            </w:r>
            <w:proofErr w:type="spellEnd"/>
            <w:r w:rsidR="00A42BC9">
              <w:t xml:space="preserve"> subscribers can more easily retain their </w:t>
            </w:r>
            <w:proofErr w:type="spellStart"/>
            <w:r w:rsidR="00A42BC9">
              <w:t>LifeLine</w:t>
            </w:r>
            <w:proofErr w:type="spellEnd"/>
            <w:r w:rsidR="00A42BC9">
              <w:t xml:space="preserve"> service.  </w:t>
            </w:r>
            <w:r w:rsidR="00D70E7D">
              <w:t>Both the Renewals Working Group</w:t>
            </w:r>
            <w:r w:rsidR="00C12B31">
              <w:t xml:space="preserve">’s recommendations </w:t>
            </w:r>
            <w:r w:rsidR="00D70E7D">
              <w:t>and Assembly Bill 74</w:t>
            </w:r>
            <w:r w:rsidR="00C12B31">
              <w:t>’s</w:t>
            </w:r>
            <w:r w:rsidR="00D70E7D">
              <w:t xml:space="preserve"> (2021, Gonzalez)</w:t>
            </w:r>
            <w:r w:rsidR="009F10D5">
              <w:t xml:space="preserve"> legislative directives </w:t>
            </w:r>
            <w:r w:rsidR="00D70E7D">
              <w:t xml:space="preserve">impact </w:t>
            </w:r>
            <w:proofErr w:type="spellStart"/>
            <w:r w:rsidR="00D70E7D">
              <w:t>LifeLine</w:t>
            </w:r>
            <w:proofErr w:type="spellEnd"/>
            <w:r w:rsidR="00D70E7D">
              <w:t xml:space="preserve"> </w:t>
            </w:r>
            <w:r w:rsidR="00B613A1">
              <w:t>subscribers’</w:t>
            </w:r>
            <w:r w:rsidR="00D70E7D">
              <w:t xml:space="preserve"> ability to renew their service.  The changes made by the</w:t>
            </w:r>
            <w:r w:rsidR="00747ED6">
              <w:t xml:space="preserve"> decision covered by this compensation request include modernizations and improvements to the </w:t>
            </w:r>
            <w:r w:rsidR="00B613A1">
              <w:t>policies and rules for this public purpose program to ensure transparency and efficiency</w:t>
            </w:r>
            <w:r w:rsidR="00D15D7A">
              <w:t>.</w:t>
            </w:r>
            <w:r w:rsidR="00B613A1">
              <w:t xml:space="preserve"> </w:t>
            </w:r>
            <w:r w:rsidR="00D15D7A">
              <w:t xml:space="preserve"> The decision </w:t>
            </w:r>
            <w:proofErr w:type="gramStart"/>
            <w:r w:rsidR="00D15D7A">
              <w:t>also</w:t>
            </w:r>
            <w:r w:rsidR="00B613A1">
              <w:t xml:space="preserve"> as</w:t>
            </w:r>
            <w:proofErr w:type="gramEnd"/>
            <w:r w:rsidR="00B613A1">
              <w:t xml:space="preserve"> sets the stage for </w:t>
            </w:r>
            <w:r w:rsidR="0045498F">
              <w:t>monitoring the effectiveness of these renewal process modifications</w:t>
            </w:r>
            <w:r w:rsidR="005A027E">
              <w:t xml:space="preserve"> to improve renewal rates</w:t>
            </w:r>
            <w:r w:rsidR="0045498F">
              <w:t xml:space="preserve"> and future </w:t>
            </w:r>
            <w:r w:rsidR="005A027E">
              <w:t xml:space="preserve">renewal </w:t>
            </w:r>
            <w:r w:rsidR="0045498F">
              <w:t>process modernizations efforts</w:t>
            </w:r>
            <w:r w:rsidR="005A027E">
              <w:t xml:space="preserve"> as needed</w:t>
            </w:r>
            <w:r w:rsidR="0045498F">
              <w:t>.</w:t>
            </w:r>
          </w:p>
          <w:p w:rsidR="00B61434" w:rsidP="00B61434" w:rsidRDefault="00B61434" w14:paraId="68159507" w14:textId="26B4E1C7">
            <w:pPr>
              <w:pStyle w:val="SubstantialContribution"/>
            </w:pPr>
            <w:r w:rsidRPr="00247EEC">
              <w:t xml:space="preserve">As is often the case for telecommunications proceedings in recent years, it is more difficult to quantify the dollar impacts of TURN’s work here than is the case </w:t>
            </w:r>
            <w:r>
              <w:t>in</w:t>
            </w:r>
            <w:r w:rsidRPr="00247EEC">
              <w:t xml:space="preserve"> Commission proceeding</w:t>
            </w:r>
            <w:r>
              <w:t>s addressing rates</w:t>
            </w:r>
            <w:r w:rsidRPr="00BC3FFD">
              <w:t xml:space="preserve">.  Here, TURN’s advocacy helped achieve benefits that were clear and substantial, though hard to quantify.  As discussed above, </w:t>
            </w:r>
            <w:r>
              <w:t xml:space="preserve">TURN worked to ensure the efficient </w:t>
            </w:r>
            <w:r w:rsidR="0045498F">
              <w:t xml:space="preserve">renewal processes for California </w:t>
            </w:r>
            <w:proofErr w:type="spellStart"/>
            <w:r w:rsidR="0045498F">
              <w:t>LifeLine</w:t>
            </w:r>
            <w:proofErr w:type="spellEnd"/>
            <w:r w:rsidR="0045498F">
              <w:t xml:space="preserve"> by participating in the Renewal Working </w:t>
            </w:r>
            <w:r w:rsidR="0084662A">
              <w:t>Group and</w:t>
            </w:r>
            <w:r w:rsidR="0045498F">
              <w:t xml:space="preserve"> </w:t>
            </w:r>
            <w:r w:rsidR="005E1927">
              <w:t>making recommendations to improve the renewal process.</w:t>
            </w:r>
            <w:r>
              <w:t xml:space="preserve">  Further, TURN’s resources supported changes to the program that </w:t>
            </w:r>
            <w:r w:rsidR="005E1927">
              <w:t xml:space="preserve">will </w:t>
            </w:r>
            <w:r>
              <w:t xml:space="preserve">increase the </w:t>
            </w:r>
            <w:r w:rsidR="005E1927">
              <w:t xml:space="preserve">renewal rate for </w:t>
            </w:r>
            <w:r w:rsidR="0084662A">
              <w:t xml:space="preserve">California </w:t>
            </w:r>
            <w:proofErr w:type="spellStart"/>
            <w:r w:rsidR="0084662A">
              <w:t>LifeLine</w:t>
            </w:r>
            <w:proofErr w:type="spellEnd"/>
            <w:r w:rsidR="0084662A">
              <w:t xml:space="preserve"> subscribers.  </w:t>
            </w:r>
            <w:r>
              <w:t xml:space="preserve">Moreover, TURN also advocated for program rules </w:t>
            </w:r>
            <w:r w:rsidR="00211380">
              <w:t>to</w:t>
            </w:r>
            <w:r>
              <w:t xml:space="preserve"> not unduly burden </w:t>
            </w:r>
            <w:proofErr w:type="spellStart"/>
            <w:r w:rsidR="0084662A">
              <w:t>LifeLine</w:t>
            </w:r>
            <w:proofErr w:type="spellEnd"/>
            <w:r w:rsidR="0084662A">
              <w:t xml:space="preserve"> subscribers, the</w:t>
            </w:r>
            <w:r>
              <w:t xml:space="preserve"> </w:t>
            </w:r>
            <w:r w:rsidR="0084662A">
              <w:t xml:space="preserve">California </w:t>
            </w:r>
            <w:proofErr w:type="spellStart"/>
            <w:r w:rsidR="0084662A">
              <w:t>LifeLine</w:t>
            </w:r>
            <w:proofErr w:type="spellEnd"/>
            <w:r w:rsidR="0084662A">
              <w:t xml:space="preserve"> Third-Party </w:t>
            </w:r>
            <w:r w:rsidR="0084662A">
              <w:lastRenderedPageBreak/>
              <w:t>Administrator,</w:t>
            </w:r>
            <w:r w:rsidR="00211380">
              <w:t xml:space="preserve"> the</w:t>
            </w:r>
            <w:r w:rsidR="0084662A">
              <w:t xml:space="preserve"> </w:t>
            </w:r>
            <w:proofErr w:type="spellStart"/>
            <w:r w:rsidR="00414829">
              <w:t>LifeLine</w:t>
            </w:r>
            <w:proofErr w:type="spellEnd"/>
            <w:r w:rsidR="00414829">
              <w:t xml:space="preserve"> </w:t>
            </w:r>
            <w:r w:rsidR="0084662A">
              <w:t>providers, and</w:t>
            </w:r>
            <w:r w:rsidR="00211380">
              <w:t xml:space="preserve"> the</w:t>
            </w:r>
            <w:r w:rsidR="0084662A">
              <w:t xml:space="preserve"> Commission Staff</w:t>
            </w:r>
            <w:r>
              <w:t xml:space="preserve">.  </w:t>
            </w:r>
            <w:r w:rsidRPr="00BC3FFD">
              <w:t>TURN submits that such outc</w:t>
            </w:r>
            <w:r w:rsidRPr="00B8612F">
              <w:t>omes demonstrate benefits to Californians, including low-income Californians</w:t>
            </w:r>
            <w:r>
              <w:t>,</w:t>
            </w:r>
            <w:r w:rsidRPr="00B8612F">
              <w:t xml:space="preserve"> </w:t>
            </w:r>
            <w:r>
              <w:t>which</w:t>
            </w:r>
            <w:r w:rsidRPr="00B8612F">
              <w:t>, though difficult to quantify, more than support a compensation award in the</w:t>
            </w:r>
            <w:r w:rsidRPr="00E22590">
              <w:t xml:space="preserve"> amount requested here.</w:t>
            </w:r>
          </w:p>
          <w:p w:rsidRPr="003D4455" w:rsidR="00B61434" w:rsidP="00B61434" w:rsidRDefault="00B61434" w14:paraId="2B1A1242" w14:textId="2972A3FE">
            <w:pPr>
              <w:rPr>
                <w:color w:val="000000"/>
              </w:rPr>
            </w:pPr>
            <w:r w:rsidRPr="00F71951">
              <w:t xml:space="preserve">Therefore, TURN urges the Commission to find that </w:t>
            </w:r>
            <w:r>
              <w:t>TURN’s participation</w:t>
            </w:r>
            <w:r w:rsidRPr="00F71951">
              <w:t xml:space="preserve"> costs are reasonable considering the significant consumer benefits from a robust, comprehensive</w:t>
            </w:r>
            <w:r>
              <w:t>,</w:t>
            </w:r>
            <w:r w:rsidRPr="00F71951">
              <w:t xml:space="preserve"> and efficient</w:t>
            </w:r>
            <w:r>
              <w:t xml:space="preserve"> California </w:t>
            </w:r>
            <w:proofErr w:type="spellStart"/>
            <w:r w:rsidR="00C31245">
              <w:t>LifeLine</w:t>
            </w:r>
            <w:proofErr w:type="spellEnd"/>
            <w:r w:rsidR="00C31245">
              <w:t xml:space="preserve"> Program.</w:t>
            </w:r>
          </w:p>
        </w:tc>
        <w:tc>
          <w:tcPr>
            <w:tcW w:w="2250" w:type="dxa"/>
            <w:shd w:val="clear" w:color="auto" w:fill="auto"/>
          </w:tcPr>
          <w:p w:rsidRPr="00FE3BAE" w:rsidR="00B61434" w:rsidP="00B61434" w:rsidRDefault="00503AC1" w14:paraId="223B4665" w14:textId="0C532F32">
            <w:pPr>
              <w:rPr>
                <w:color w:val="000000"/>
              </w:rPr>
            </w:pPr>
            <w:r>
              <w:rPr>
                <w:color w:val="000000"/>
              </w:rPr>
              <w:lastRenderedPageBreak/>
              <w:t>Noted</w:t>
            </w:r>
          </w:p>
        </w:tc>
      </w:tr>
      <w:tr w:rsidRPr="007F620E" w:rsidR="00A037BE" w:rsidTr="00C21EB2" w14:paraId="5548029C" w14:textId="77777777">
        <w:tc>
          <w:tcPr>
            <w:tcW w:w="7488" w:type="dxa"/>
            <w:shd w:val="clear" w:color="auto" w:fill="auto"/>
          </w:tcPr>
          <w:p w:rsidRPr="00524CD1" w:rsidR="00A037BE" w:rsidP="00A037BE" w:rsidRDefault="00A037BE" w14:paraId="737CFD11" w14:textId="77777777">
            <w:pPr>
              <w:pStyle w:val="SubstantialContribution"/>
              <w:rPr>
                <w:b/>
                <w:bCs/>
              </w:rPr>
            </w:pPr>
            <w:r w:rsidRPr="00524CD1">
              <w:rPr>
                <w:b/>
                <w:bCs/>
              </w:rPr>
              <w:t xml:space="preserve">b. Reasonableness of hours claimed: </w:t>
            </w:r>
          </w:p>
          <w:p w:rsidR="00A037BE" w:rsidP="00A037BE" w:rsidRDefault="00A037BE" w14:paraId="1D055F34" w14:textId="043B45AC">
            <w:pPr>
              <w:pStyle w:val="SubstantialContribution"/>
            </w:pPr>
            <w:r>
              <w:t xml:space="preserve">TURN seeks compensation for approximately 40 hours that </w:t>
            </w:r>
            <w:r w:rsidRPr="0053143C">
              <w:t xml:space="preserve">Ashley </w:t>
            </w:r>
            <w:r>
              <w:t xml:space="preserve">L. </w:t>
            </w:r>
            <w:r w:rsidRPr="0053143C">
              <w:t xml:space="preserve">Salas </w:t>
            </w:r>
            <w:r>
              <w:t>devoted to substantive issues in this proceeding.  Ms. Salas is</w:t>
            </w:r>
            <w:r w:rsidRPr="0053143C">
              <w:t xml:space="preserve"> TURN’s lead attorney on </w:t>
            </w:r>
            <w:r>
              <w:t xml:space="preserve">California </w:t>
            </w:r>
            <w:proofErr w:type="spellStart"/>
            <w:r>
              <w:t>LifeLine</w:t>
            </w:r>
            <w:proofErr w:type="spellEnd"/>
            <w:r>
              <w:t xml:space="preserve"> issues and </w:t>
            </w:r>
            <w:r w:rsidRPr="0053143C">
              <w:t>managed TURN’s policy development and substantive drafting of TURN’s filings</w:t>
            </w:r>
            <w:r>
              <w:t>.  Ms. Salas</w:t>
            </w:r>
            <w:r w:rsidRPr="0053143C">
              <w:t xml:space="preserve"> dedicated significant resources to supporting TURN’s efforts in this proceeding.</w:t>
            </w:r>
            <w:r>
              <w:t xml:space="preserve">  Ms. Salas participated in </w:t>
            </w:r>
            <w:r w:rsidRPr="00EA16FC">
              <w:t>all</w:t>
            </w:r>
            <w:r>
              <w:t xml:space="preserve"> aspects of the </w:t>
            </w:r>
            <w:proofErr w:type="gramStart"/>
            <w:r>
              <w:t>proceeding</w:t>
            </w:r>
            <w:proofErr w:type="gramEnd"/>
            <w:r>
              <w:t xml:space="preserve">, including </w:t>
            </w:r>
            <w:r w:rsidR="006C47F4">
              <w:t xml:space="preserve">in California </w:t>
            </w:r>
            <w:proofErr w:type="spellStart"/>
            <w:r w:rsidR="006C47F4">
              <w:t>LifeLine</w:t>
            </w:r>
            <w:proofErr w:type="spellEnd"/>
            <w:r w:rsidR="006C47F4">
              <w:t xml:space="preserve"> Working Group Calls</w:t>
            </w:r>
            <w:r>
              <w:t>.</w:t>
            </w:r>
            <w:r w:rsidRPr="0053143C">
              <w:t xml:space="preserve">  She </w:t>
            </w:r>
            <w:r>
              <w:t xml:space="preserve">also coordinated TURN’s efforts with </w:t>
            </w:r>
            <w:r w:rsidR="006C47F4">
              <w:t>Center for Accessible Technology and T</w:t>
            </w:r>
            <w:r>
              <w:t>he Greenlining Institute.</w:t>
            </w:r>
          </w:p>
          <w:p w:rsidR="005C710F" w:rsidP="00A037BE" w:rsidRDefault="005C710F" w14:paraId="70EC882F" w14:textId="2508A455">
            <w:pPr>
              <w:pStyle w:val="SubstantialContribution"/>
            </w:pPr>
            <w:r>
              <w:t xml:space="preserve">TURN seeks compensation for approximately 8 hours that Brenda D. Villanueva devoted to substantive issues in this </w:t>
            </w:r>
            <w:r w:rsidRPr="002A2B8A">
              <w:t>proceeding.</w:t>
            </w:r>
            <w:r>
              <w:t xml:space="preserve">  Mrs. Villanueva served as the managing attorney for this proceeding starting in 2022.  Mrs. Villanueva assisted Ms. Salas in aspects of the proceeding, including strategy development.</w:t>
            </w:r>
          </w:p>
          <w:p w:rsidR="00A037BE" w:rsidP="00A037BE" w:rsidRDefault="00A037BE" w14:paraId="72220243" w14:textId="41498975">
            <w:pPr>
              <w:pStyle w:val="SubstantialContribution"/>
            </w:pPr>
            <w:r>
              <w:t xml:space="preserve">TURN seeks compensation for approximately </w:t>
            </w:r>
            <w:r w:rsidR="005C710F">
              <w:t>1.5</w:t>
            </w:r>
            <w:r>
              <w:t xml:space="preserve"> hours that </w:t>
            </w:r>
            <w:r w:rsidRPr="0053143C">
              <w:t xml:space="preserve">Christine </w:t>
            </w:r>
            <w:r>
              <w:t xml:space="preserve">A. </w:t>
            </w:r>
            <w:r w:rsidRPr="0053143C">
              <w:t xml:space="preserve">Mailloux </w:t>
            </w:r>
            <w:r>
              <w:t xml:space="preserve">devoted to this proceeding.  Ms. Mailloux served as the managing attorney for this proceeding until 2021.  Ms. Mailloux assisted Ms. Salas in aspects of the </w:t>
            </w:r>
            <w:proofErr w:type="gramStart"/>
            <w:r>
              <w:t>proceeding</w:t>
            </w:r>
            <w:proofErr w:type="gramEnd"/>
            <w:r>
              <w:t>, including strategy development.</w:t>
            </w:r>
          </w:p>
          <w:p w:rsidR="00655827" w:rsidP="00A037BE" w:rsidRDefault="00655827" w14:paraId="3D2B229F" w14:textId="3ADC14CA">
            <w:pPr>
              <w:pStyle w:val="SubstantialContribution"/>
            </w:pPr>
          </w:p>
          <w:p w:rsidRPr="00B57411" w:rsidR="00655827" w:rsidP="00655827" w:rsidRDefault="00655827" w14:paraId="73D98A5D" w14:textId="77777777">
            <w:pPr>
              <w:pStyle w:val="SubstantialContribution"/>
            </w:pPr>
            <w:r w:rsidRPr="00B57411">
              <w:rPr>
                <w:i/>
                <w:iCs/>
              </w:rPr>
              <w:t xml:space="preserve">Meetings or </w:t>
            </w:r>
            <w:r>
              <w:rPr>
                <w:i/>
                <w:iCs/>
              </w:rPr>
              <w:t>D</w:t>
            </w:r>
            <w:r w:rsidRPr="00B57411">
              <w:rPr>
                <w:i/>
                <w:iCs/>
              </w:rPr>
              <w:t xml:space="preserve">iscussions </w:t>
            </w:r>
            <w:r>
              <w:rPr>
                <w:i/>
                <w:iCs/>
              </w:rPr>
              <w:t>I</w:t>
            </w:r>
            <w:r w:rsidRPr="00B57411">
              <w:rPr>
                <w:i/>
                <w:iCs/>
              </w:rPr>
              <w:t xml:space="preserve">nvolving </w:t>
            </w:r>
            <w:r>
              <w:rPr>
                <w:i/>
                <w:iCs/>
              </w:rPr>
              <w:t>M</w:t>
            </w:r>
            <w:r w:rsidRPr="00B57411">
              <w:rPr>
                <w:i/>
                <w:iCs/>
              </w:rPr>
              <w:t xml:space="preserve">ore than one TURN </w:t>
            </w:r>
            <w:r>
              <w:rPr>
                <w:i/>
                <w:iCs/>
              </w:rPr>
              <w:t>Advocate</w:t>
            </w:r>
          </w:p>
          <w:p w:rsidRPr="00B57411" w:rsidR="00655827" w:rsidP="00655827" w:rsidRDefault="00655827" w14:paraId="7B9E161B" w14:textId="044647F1">
            <w:pPr>
              <w:pStyle w:val="SubstantialContribution"/>
            </w:pPr>
            <w:r w:rsidRPr="00B57411">
              <w:t xml:space="preserve">A relatively small percentage of hours and hourly entries reflect internal and external meetings involving two or more of TURN’s </w:t>
            </w:r>
            <w:r w:rsidR="00406EC2">
              <w:t>advocates</w:t>
            </w:r>
            <w:r w:rsidRPr="00B57411">
              <w:t xml:space="preserve">.  In past compensation decisions the Commission has deemed such entries as reflecting internal duplication that is not eligible for an award of intervenor compensation.  This is not the case here.  For the meetings that were among TURN’s </w:t>
            </w:r>
            <w:r w:rsidR="00B51A7E">
              <w:t>advocates</w:t>
            </w:r>
            <w:r w:rsidRPr="00B57411">
              <w:t xml:space="preserve">, such meetings are essential to the effective development and implementation of TURN’s strategy for this proceeding.  None of the attendees are there in a duplicative role – each is an active participant, bringing his or her </w:t>
            </w:r>
            <w:proofErr w:type="gramStart"/>
            <w:r w:rsidRPr="00B57411">
              <w:t>particular knowledge</w:t>
            </w:r>
            <w:proofErr w:type="gramEnd"/>
            <w:r w:rsidRPr="00B57411">
              <w:t xml:space="preserve"> and expertise to bear on the discussions.  As a result, TURN </w:t>
            </w:r>
            <w:r w:rsidRPr="00B57411" w:rsidR="00E34620">
              <w:t>can</w:t>
            </w:r>
            <w:r w:rsidRPr="00B57411">
              <w:t xml:space="preserve"> identify issues and angles that would almost certainly never come to mind but for the “</w:t>
            </w:r>
            <w:proofErr w:type="gramStart"/>
            <w:r w:rsidRPr="00B57411">
              <w:t>group-think</w:t>
            </w:r>
            <w:proofErr w:type="gramEnd"/>
            <w:r w:rsidRPr="00B57411">
              <w:t>” achievable in such settings.</w:t>
            </w:r>
          </w:p>
          <w:p w:rsidR="00655827" w:rsidP="00655827" w:rsidRDefault="00655827" w14:paraId="7AC3019E" w14:textId="0A0FFD54">
            <w:pPr>
              <w:pStyle w:val="SubstantialContribution"/>
              <w:rPr>
                <w:sz w:val="22"/>
                <w:szCs w:val="22"/>
              </w:rPr>
            </w:pPr>
            <w:r w:rsidRPr="00B57411">
              <w:lastRenderedPageBreak/>
              <w:t xml:space="preserve">There were also meetings with other parties at which more than one attorney represented TURN on occasion.  The Commission should understand that this is often essential in a case such as this one, with a wide range of issues that no single person is likely to master.  TURN’s requested hours do not include any for TURN </w:t>
            </w:r>
            <w:r w:rsidR="00E2675E">
              <w:t>advocates</w:t>
            </w:r>
            <w:r w:rsidRPr="00B57411">
              <w:t xml:space="preserve"> where </w:t>
            </w:r>
            <w:proofErr w:type="spellStart"/>
            <w:r w:rsidRPr="00B57411">
              <w:t>their</w:t>
            </w:r>
            <w:proofErr w:type="spellEnd"/>
            <w:r w:rsidRPr="00B57411">
              <w:t xml:space="preserve">, his, or her presence at a meeting was not necessary </w:t>
            </w:r>
            <w:proofErr w:type="gramStart"/>
            <w:r w:rsidRPr="00B57411">
              <w:t>in order to</w:t>
            </w:r>
            <w:proofErr w:type="gramEnd"/>
            <w:r w:rsidRPr="00B57411">
              <w:t xml:space="preserve"> achieve the meeting’s purpose.  TURN submits that such meetings can be part of an intervenor’s effective advocacy before the Commission, and that intervenor compensation can and should be awarded for the time of all participants in such meetings where, as here, each participant needed to be in the meeting to advance the intervenor’s advocacy efforts.</w:t>
            </w:r>
          </w:p>
          <w:p w:rsidRPr="00686259" w:rsidR="00F80927" w:rsidP="00655827" w:rsidRDefault="00F80927" w14:paraId="08E4E7FC" w14:textId="5D55D875">
            <w:pPr>
              <w:pStyle w:val="SubstantialContribution"/>
            </w:pPr>
            <w:r w:rsidRPr="001774A2">
              <w:t>For both internal and external meeting</w:t>
            </w:r>
            <w:r w:rsidR="001774A2">
              <w:t>s</w:t>
            </w:r>
            <w:r w:rsidRPr="001774A2">
              <w:t>, T</w:t>
            </w:r>
            <w:r w:rsidRPr="001774A2" w:rsidR="004F5A85">
              <w:t>URN advocates on occasion did not stay for the entire meeting</w:t>
            </w:r>
            <w:r w:rsidRPr="001774A2" w:rsidR="009A7F67">
              <w:t xml:space="preserve"> because </w:t>
            </w:r>
            <w:r w:rsidRPr="001774A2" w:rsidR="009479EC">
              <w:t>of a schedule conflict</w:t>
            </w:r>
            <w:r w:rsidRPr="001774A2" w:rsidR="009A7F67">
              <w:t xml:space="preserve">.  </w:t>
            </w:r>
            <w:r w:rsidRPr="00B57411" w:rsidR="00C30C7A">
              <w:t xml:space="preserve">In past compensation decisions the Commission has deemed such </w:t>
            </w:r>
            <w:r w:rsidR="00686259">
              <w:t xml:space="preserve">discrepancies in time </w:t>
            </w:r>
            <w:r w:rsidRPr="00B57411" w:rsidR="00C30C7A">
              <w:t>entries</w:t>
            </w:r>
            <w:r w:rsidR="00686259">
              <w:t xml:space="preserve"> as grounds to reduce all advocates</w:t>
            </w:r>
            <w:r w:rsidR="009479EC">
              <w:t>’</w:t>
            </w:r>
            <w:r w:rsidR="00686259">
              <w:t xml:space="preserve"> time for such meetings.  </w:t>
            </w:r>
            <w:r w:rsidRPr="00B57411" w:rsidR="00C30C7A">
              <w:t xml:space="preserve">This is not the case here.  </w:t>
            </w:r>
            <w:r w:rsidRPr="001774A2" w:rsidR="009A7F67">
              <w:t xml:space="preserve">TURN submits that any </w:t>
            </w:r>
            <w:r w:rsidRPr="001774A2" w:rsidR="00EE2B17">
              <w:t>time</w:t>
            </w:r>
            <w:r w:rsidR="001A1FD3">
              <w:t xml:space="preserve"> difference</w:t>
            </w:r>
            <w:r w:rsidRPr="001774A2" w:rsidR="00EE2B17">
              <w:t xml:space="preserve"> </w:t>
            </w:r>
            <w:r w:rsidR="002D2CD5">
              <w:t>listed for</w:t>
            </w:r>
            <w:r w:rsidRPr="001774A2" w:rsidR="00EE2B17">
              <w:t xml:space="preserve"> </w:t>
            </w:r>
            <w:r w:rsidRPr="001774A2" w:rsidR="009A7F67">
              <w:t xml:space="preserve">internal or external meeting </w:t>
            </w:r>
            <w:r w:rsidRPr="001774A2" w:rsidR="00EE2B17">
              <w:t>reflects the fact that an advocate could not stay for the entire length of the meeting due to a schedule conflict</w:t>
            </w:r>
            <w:r w:rsidRPr="001774A2" w:rsidR="005968C0">
              <w:t>, which resulted in an advocate arriving late to a meeting or leaving early</w:t>
            </w:r>
            <w:r w:rsidRPr="001774A2" w:rsidR="00EE2B17">
              <w:t>.</w:t>
            </w:r>
          </w:p>
          <w:p w:rsidR="00655827" w:rsidP="00A037BE" w:rsidRDefault="00655827" w14:paraId="22CED54C" w14:textId="77777777">
            <w:pPr>
              <w:pStyle w:val="SubstantialContribution"/>
            </w:pPr>
          </w:p>
          <w:p w:rsidRPr="00BB44D4" w:rsidR="00A037BE" w:rsidP="00A037BE" w:rsidRDefault="00A037BE" w14:paraId="537B2AA6" w14:textId="77777777">
            <w:pPr>
              <w:rPr>
                <w:b/>
                <w:iCs/>
                <w:color w:val="000000"/>
                <w:sz w:val="22"/>
                <w:szCs w:val="22"/>
                <w:u w:val="single"/>
              </w:rPr>
            </w:pPr>
            <w:r w:rsidRPr="00BB44D4">
              <w:rPr>
                <w:b/>
                <w:iCs/>
                <w:color w:val="000000"/>
                <w:sz w:val="22"/>
                <w:szCs w:val="22"/>
                <w:u w:val="single"/>
              </w:rPr>
              <w:t>Intervenor Compensation-Related Time</w:t>
            </w:r>
          </w:p>
          <w:p w:rsidRPr="00F71E52" w:rsidR="00A037BE" w:rsidP="00A037BE" w:rsidRDefault="00A037BE" w14:paraId="37200450" w14:textId="03AAAEAB">
            <w:pPr>
              <w:pStyle w:val="SubstantialContribution"/>
            </w:pPr>
            <w:r w:rsidRPr="00436FD3">
              <w:t xml:space="preserve">TURN is requesting </w:t>
            </w:r>
            <w:r w:rsidRPr="00F71E52">
              <w:t xml:space="preserve">compensation for </w:t>
            </w:r>
            <w:r w:rsidR="000D2782">
              <w:t>6.5</w:t>
            </w:r>
            <w:r w:rsidRPr="00F71E52">
              <w:t xml:space="preserve"> hours devoted to compensation-related matters.</w:t>
            </w:r>
          </w:p>
          <w:p w:rsidRPr="007F620E" w:rsidR="00A037BE" w:rsidP="00A037BE" w:rsidRDefault="00A037BE" w14:paraId="694F0B63" w14:textId="1B9A8AD1">
            <w:pPr>
              <w:rPr>
                <w:color w:val="000000"/>
              </w:rPr>
            </w:pPr>
            <w:r w:rsidRPr="00F71E52">
              <w:t xml:space="preserve">TURN’s request for compensation for </w:t>
            </w:r>
            <w:r w:rsidR="000D2782">
              <w:t>6.5</w:t>
            </w:r>
            <w:r w:rsidRPr="00F71E52">
              <w:t xml:space="preserve"> hours</w:t>
            </w:r>
            <w:r w:rsidRPr="00436FD3">
              <w:t xml:space="preserve"> for preparation of this claim </w:t>
            </w:r>
            <w:r>
              <w:t xml:space="preserve">is generally consistent with the number of hours </w:t>
            </w:r>
            <w:r w:rsidRPr="00436FD3">
              <w:t>found reasonable by the Commission in decisions addressing TURN’s intervenor compensation requests in</w:t>
            </w:r>
            <w:r>
              <w:t xml:space="preserve"> prior</w:t>
            </w:r>
            <w:r w:rsidRPr="00436FD3">
              <w:t xml:space="preserve"> </w:t>
            </w:r>
            <w:r>
              <w:t>proceedings.</w:t>
            </w:r>
          </w:p>
        </w:tc>
        <w:tc>
          <w:tcPr>
            <w:tcW w:w="2250" w:type="dxa"/>
            <w:shd w:val="clear" w:color="auto" w:fill="auto"/>
          </w:tcPr>
          <w:p w:rsidRPr="007F620E" w:rsidR="00A037BE" w:rsidP="00C35717" w:rsidRDefault="00503AC1" w14:paraId="1874D625" w14:textId="08E7B315">
            <w:pPr>
              <w:rPr>
                <w:color w:val="000000"/>
              </w:rPr>
            </w:pPr>
            <w:proofErr w:type="gramStart"/>
            <w:r>
              <w:rPr>
                <w:color w:val="000000"/>
              </w:rPr>
              <w:lastRenderedPageBreak/>
              <w:t>Noted</w:t>
            </w:r>
            <w:r w:rsidR="00C35717">
              <w:rPr>
                <w:color w:val="000000"/>
              </w:rPr>
              <w:t>.</w:t>
            </w:r>
            <w:proofErr w:type="gramEnd"/>
            <w:r w:rsidR="00C35717">
              <w:rPr>
                <w:color w:val="000000"/>
              </w:rPr>
              <w:t xml:space="preserve"> </w:t>
            </w:r>
          </w:p>
        </w:tc>
      </w:tr>
      <w:tr w:rsidRPr="007F620E" w:rsidR="00A037BE" w:rsidTr="00C21EB2" w14:paraId="3FD38B74" w14:textId="77777777">
        <w:tc>
          <w:tcPr>
            <w:tcW w:w="7488" w:type="dxa"/>
            <w:shd w:val="clear" w:color="auto" w:fill="auto"/>
          </w:tcPr>
          <w:p w:rsidRPr="00E25078" w:rsidR="00A037BE" w:rsidP="00A037BE" w:rsidRDefault="00A037BE" w14:paraId="46990B37" w14:textId="569E5E0F">
            <w:pPr>
              <w:rPr>
                <w:color w:val="000000"/>
              </w:rPr>
            </w:pPr>
            <w:r w:rsidRPr="007F620E">
              <w:rPr>
                <w:b/>
                <w:color w:val="000000"/>
              </w:rPr>
              <w:t>c. Allocation of hours by issue:</w:t>
            </w:r>
            <w:r w:rsidRPr="00E25078">
              <w:rPr>
                <w:color w:val="000000"/>
              </w:rPr>
              <w:t xml:space="preserve"> </w:t>
            </w:r>
          </w:p>
          <w:tbl>
            <w:tblPr>
              <w:tblStyle w:val="TableGrid"/>
              <w:tblW w:w="7257" w:type="dxa"/>
              <w:tblLayout w:type="fixed"/>
              <w:tblLook w:val="04A0" w:firstRow="1" w:lastRow="0" w:firstColumn="1" w:lastColumn="0" w:noHBand="0" w:noVBand="1"/>
            </w:tblPr>
            <w:tblGrid>
              <w:gridCol w:w="1052"/>
              <w:gridCol w:w="5136"/>
              <w:gridCol w:w="1069"/>
            </w:tblGrid>
            <w:tr w:rsidRPr="0068168F" w:rsidR="00A037BE" w:rsidTr="00D3682D" w14:paraId="294106A2" w14:textId="77777777">
              <w:tc>
                <w:tcPr>
                  <w:tcW w:w="1052" w:type="dxa"/>
                </w:tcPr>
                <w:p w:rsidR="00A037BE" w:rsidP="00A037BE" w:rsidRDefault="00A037BE" w14:paraId="4E50C4DB" w14:textId="2E3EE2CB">
                  <w:pPr>
                    <w:rPr>
                      <w:color w:val="000000"/>
                    </w:rPr>
                  </w:pPr>
                  <w:r>
                    <w:rPr>
                      <w:color w:val="000000"/>
                    </w:rPr>
                    <w:t>DATA</w:t>
                  </w:r>
                </w:p>
              </w:tc>
              <w:tc>
                <w:tcPr>
                  <w:tcW w:w="5136" w:type="dxa"/>
                </w:tcPr>
                <w:p w:rsidRPr="00254D5C" w:rsidR="00A037BE" w:rsidP="00A037BE" w:rsidRDefault="00A037BE" w14:paraId="0B9CDAD5" w14:textId="05963C62">
                  <w:pPr>
                    <w:rPr>
                      <w:b/>
                      <w:bCs/>
                      <w:color w:val="000000"/>
                    </w:rPr>
                  </w:pPr>
                  <w:r>
                    <w:rPr>
                      <w:b/>
                      <w:bCs/>
                      <w:color w:val="000000"/>
                    </w:rPr>
                    <w:t>Database Dipping</w:t>
                  </w:r>
                  <w:r w:rsidRPr="00254D5C">
                    <w:rPr>
                      <w:color w:val="000000"/>
                    </w:rPr>
                    <w:t xml:space="preserve"> </w:t>
                  </w:r>
                  <w:r>
                    <w:rPr>
                      <w:color w:val="000000"/>
                    </w:rPr>
                    <w:t>–</w:t>
                  </w:r>
                  <w:r w:rsidRPr="00254D5C">
                    <w:rPr>
                      <w:color w:val="000000"/>
                    </w:rPr>
                    <w:t xml:space="preserve"> </w:t>
                  </w:r>
                  <w:r>
                    <w:rPr>
                      <w:color w:val="000000"/>
                    </w:rPr>
                    <w:t xml:space="preserve">Work to advocate for and implement automatic renewal process involving the California </w:t>
                  </w:r>
                  <w:proofErr w:type="spellStart"/>
                  <w:r>
                    <w:rPr>
                      <w:color w:val="000000"/>
                    </w:rPr>
                    <w:t>LifeLine</w:t>
                  </w:r>
                  <w:proofErr w:type="spellEnd"/>
                  <w:r>
                    <w:rPr>
                      <w:color w:val="000000"/>
                    </w:rPr>
                    <w:t xml:space="preserve"> Third-Party Administrator (TPA) use of the Cal Fresh Confirm Solutions database.</w:t>
                  </w:r>
                </w:p>
              </w:tc>
              <w:tc>
                <w:tcPr>
                  <w:tcW w:w="1069" w:type="dxa"/>
                </w:tcPr>
                <w:p w:rsidR="00A037BE" w:rsidP="00A037BE" w:rsidRDefault="00A037BE" w14:paraId="1B83C59E" w14:textId="16E7BC7F">
                  <w:pPr>
                    <w:jc w:val="right"/>
                    <w:rPr>
                      <w:b/>
                      <w:bCs/>
                      <w:color w:val="000000"/>
                    </w:rPr>
                  </w:pPr>
                  <w:r>
                    <w:rPr>
                      <w:b/>
                      <w:bCs/>
                      <w:color w:val="000000"/>
                    </w:rPr>
                    <w:t>14.</w:t>
                  </w:r>
                  <w:r w:rsidR="00FC69E8">
                    <w:rPr>
                      <w:b/>
                      <w:bCs/>
                      <w:color w:val="000000"/>
                    </w:rPr>
                    <w:t>67</w:t>
                  </w:r>
                  <w:r>
                    <w:rPr>
                      <w:b/>
                      <w:bCs/>
                      <w:color w:val="000000"/>
                    </w:rPr>
                    <w:t>%</w:t>
                  </w:r>
                </w:p>
              </w:tc>
            </w:tr>
            <w:tr w:rsidRPr="0068168F" w:rsidR="00A037BE" w:rsidTr="00D3682D" w14:paraId="76B2FDCE" w14:textId="77777777">
              <w:tc>
                <w:tcPr>
                  <w:tcW w:w="1052" w:type="dxa"/>
                </w:tcPr>
                <w:p w:rsidR="00A037BE" w:rsidP="00A037BE" w:rsidRDefault="00A037BE" w14:paraId="47F6B77C" w14:textId="430A6B31">
                  <w:pPr>
                    <w:rPr>
                      <w:color w:val="000000"/>
                    </w:rPr>
                  </w:pPr>
                  <w:r>
                    <w:rPr>
                      <w:color w:val="000000"/>
                    </w:rPr>
                    <w:t>AB 74</w:t>
                  </w:r>
                </w:p>
              </w:tc>
              <w:tc>
                <w:tcPr>
                  <w:tcW w:w="5136" w:type="dxa"/>
                </w:tcPr>
                <w:p w:rsidR="00A037BE" w:rsidP="00A037BE" w:rsidRDefault="00A037BE" w14:paraId="5EE9E6AA" w14:textId="7833BB12">
                  <w:pPr>
                    <w:rPr>
                      <w:b/>
                      <w:bCs/>
                      <w:color w:val="000000"/>
                    </w:rPr>
                  </w:pPr>
                  <w:r>
                    <w:rPr>
                      <w:b/>
                      <w:bCs/>
                      <w:color w:val="000000"/>
                    </w:rPr>
                    <w:t>Assembly Bill 74</w:t>
                  </w:r>
                  <w:r>
                    <w:rPr>
                      <w:color w:val="000000"/>
                    </w:rPr>
                    <w:t xml:space="preserve"> – Advocacy regarding the implementation of legislative directives in Assembly Bill 74 (2021, Gonzalez). </w:t>
                  </w:r>
                </w:p>
              </w:tc>
              <w:tc>
                <w:tcPr>
                  <w:tcW w:w="1069" w:type="dxa"/>
                </w:tcPr>
                <w:p w:rsidR="00A037BE" w:rsidP="00A037BE" w:rsidRDefault="00A037BE" w14:paraId="4E42E0B2" w14:textId="22378741">
                  <w:pPr>
                    <w:jc w:val="right"/>
                    <w:rPr>
                      <w:b/>
                      <w:bCs/>
                      <w:color w:val="000000"/>
                    </w:rPr>
                  </w:pPr>
                  <w:r>
                    <w:rPr>
                      <w:b/>
                      <w:bCs/>
                      <w:color w:val="000000"/>
                    </w:rPr>
                    <w:t>1</w:t>
                  </w:r>
                  <w:r w:rsidR="00FC69E8">
                    <w:rPr>
                      <w:b/>
                      <w:bCs/>
                      <w:color w:val="000000"/>
                    </w:rPr>
                    <w:t>2.89</w:t>
                  </w:r>
                  <w:r>
                    <w:rPr>
                      <w:b/>
                      <w:bCs/>
                      <w:color w:val="000000"/>
                    </w:rPr>
                    <w:t>%</w:t>
                  </w:r>
                </w:p>
              </w:tc>
            </w:tr>
            <w:tr w:rsidRPr="0068168F" w:rsidR="00A037BE" w:rsidTr="00D3682D" w14:paraId="0177B5AD" w14:textId="77777777">
              <w:tc>
                <w:tcPr>
                  <w:tcW w:w="1052" w:type="dxa"/>
                </w:tcPr>
                <w:p w:rsidR="00A037BE" w:rsidP="00A037BE" w:rsidRDefault="00A037BE" w14:paraId="13629E0A" w14:textId="5F1BE24A">
                  <w:pPr>
                    <w:rPr>
                      <w:color w:val="000000"/>
                    </w:rPr>
                  </w:pPr>
                  <w:r>
                    <w:rPr>
                      <w:color w:val="000000"/>
                    </w:rPr>
                    <w:t>COVID</w:t>
                  </w:r>
                </w:p>
              </w:tc>
              <w:tc>
                <w:tcPr>
                  <w:tcW w:w="5136" w:type="dxa"/>
                </w:tcPr>
                <w:p w:rsidR="00A037BE" w:rsidP="00A037BE" w:rsidRDefault="00D359BC" w14:paraId="49559A9B" w14:textId="4FAA7065">
                  <w:pPr>
                    <w:rPr>
                      <w:b/>
                      <w:bCs/>
                      <w:color w:val="000000"/>
                    </w:rPr>
                  </w:pPr>
                  <w:r>
                    <w:rPr>
                      <w:b/>
                      <w:bCs/>
                      <w:color w:val="000000"/>
                    </w:rPr>
                    <w:t xml:space="preserve">COVID-19 </w:t>
                  </w:r>
                  <w:r w:rsidR="00A037BE">
                    <w:rPr>
                      <w:b/>
                      <w:bCs/>
                      <w:color w:val="000000"/>
                    </w:rPr>
                    <w:t>Renewal Rule Suspension</w:t>
                  </w:r>
                  <w:r w:rsidR="00A037BE">
                    <w:rPr>
                      <w:color w:val="000000"/>
                    </w:rPr>
                    <w:t xml:space="preserve"> – Work regarding the suspension of</w:t>
                  </w:r>
                  <w:r w:rsidR="00912F25">
                    <w:rPr>
                      <w:color w:val="000000"/>
                    </w:rPr>
                    <w:t xml:space="preserve"> the</w:t>
                  </w:r>
                  <w:r w:rsidR="00A037BE">
                    <w:rPr>
                      <w:color w:val="000000"/>
                    </w:rPr>
                    <w:t xml:space="preserve"> California </w:t>
                  </w:r>
                  <w:proofErr w:type="spellStart"/>
                  <w:r w:rsidR="00A037BE">
                    <w:rPr>
                      <w:color w:val="000000"/>
                    </w:rPr>
                    <w:t>LifeLine</w:t>
                  </w:r>
                  <w:proofErr w:type="spellEnd"/>
                  <w:r w:rsidR="00A037BE">
                    <w:rPr>
                      <w:color w:val="000000"/>
                    </w:rPr>
                    <w:t xml:space="preserve"> renewal rules as a consumer protection in response to the global COVID-19 pandemic.</w:t>
                  </w:r>
                </w:p>
              </w:tc>
              <w:tc>
                <w:tcPr>
                  <w:tcW w:w="1069" w:type="dxa"/>
                </w:tcPr>
                <w:p w:rsidR="00A037BE" w:rsidP="00A037BE" w:rsidRDefault="00A037BE" w14:paraId="74191641" w14:textId="6644C07D">
                  <w:pPr>
                    <w:jc w:val="right"/>
                    <w:rPr>
                      <w:b/>
                      <w:bCs/>
                      <w:color w:val="000000"/>
                    </w:rPr>
                  </w:pPr>
                  <w:r>
                    <w:rPr>
                      <w:b/>
                      <w:bCs/>
                      <w:color w:val="000000"/>
                    </w:rPr>
                    <w:t>4.</w:t>
                  </w:r>
                  <w:r w:rsidR="00FC69E8">
                    <w:rPr>
                      <w:b/>
                      <w:bCs/>
                      <w:color w:val="000000"/>
                    </w:rPr>
                    <w:t>89</w:t>
                  </w:r>
                  <w:r>
                    <w:rPr>
                      <w:b/>
                      <w:bCs/>
                      <w:color w:val="000000"/>
                    </w:rPr>
                    <w:t>%</w:t>
                  </w:r>
                </w:p>
              </w:tc>
            </w:tr>
            <w:tr w:rsidRPr="0068168F" w:rsidR="00A037BE" w:rsidTr="00D3682D" w14:paraId="1BB03085" w14:textId="77777777">
              <w:tc>
                <w:tcPr>
                  <w:tcW w:w="1052" w:type="dxa"/>
                </w:tcPr>
                <w:p w:rsidR="00A037BE" w:rsidP="00A037BE" w:rsidRDefault="00A037BE" w14:paraId="3490E651" w14:textId="6440890A">
                  <w:pPr>
                    <w:rPr>
                      <w:color w:val="000000"/>
                    </w:rPr>
                  </w:pPr>
                  <w:r>
                    <w:rPr>
                      <w:color w:val="000000"/>
                    </w:rPr>
                    <w:lastRenderedPageBreak/>
                    <w:t>GROUP</w:t>
                  </w:r>
                </w:p>
              </w:tc>
              <w:tc>
                <w:tcPr>
                  <w:tcW w:w="5136" w:type="dxa"/>
                </w:tcPr>
                <w:p w:rsidRPr="00CC020F" w:rsidR="00A037BE" w:rsidP="00A037BE" w:rsidRDefault="00A037BE" w14:paraId="35E09143" w14:textId="1340425E">
                  <w:pPr>
                    <w:rPr>
                      <w:color w:val="000000"/>
                    </w:rPr>
                  </w:pPr>
                  <w:r>
                    <w:rPr>
                      <w:b/>
                      <w:bCs/>
                      <w:color w:val="000000"/>
                    </w:rPr>
                    <w:t xml:space="preserve">Renewal Working Group Recommendations </w:t>
                  </w:r>
                  <w:r>
                    <w:rPr>
                      <w:color w:val="000000"/>
                    </w:rPr>
                    <w:t>– Advocacy to implement the recommendations of the Renewal Working Group.</w:t>
                  </w:r>
                </w:p>
              </w:tc>
              <w:tc>
                <w:tcPr>
                  <w:tcW w:w="1069" w:type="dxa"/>
                </w:tcPr>
                <w:p w:rsidR="00A037BE" w:rsidP="00A037BE" w:rsidRDefault="00FC69E8" w14:paraId="03317708" w14:textId="097F5381">
                  <w:pPr>
                    <w:jc w:val="right"/>
                    <w:rPr>
                      <w:b/>
                      <w:bCs/>
                      <w:color w:val="000000"/>
                    </w:rPr>
                  </w:pPr>
                  <w:r>
                    <w:rPr>
                      <w:b/>
                      <w:bCs/>
                      <w:color w:val="000000"/>
                    </w:rPr>
                    <w:t>8.89</w:t>
                  </w:r>
                  <w:r w:rsidR="00A037BE">
                    <w:rPr>
                      <w:b/>
                      <w:bCs/>
                      <w:color w:val="000000"/>
                    </w:rPr>
                    <w:t>%</w:t>
                  </w:r>
                </w:p>
              </w:tc>
            </w:tr>
            <w:tr w:rsidRPr="0068168F" w:rsidR="00A037BE" w:rsidTr="00D3682D" w14:paraId="47B3EFC9" w14:textId="77777777">
              <w:tc>
                <w:tcPr>
                  <w:tcW w:w="1052" w:type="dxa"/>
                </w:tcPr>
                <w:p w:rsidRPr="0088540B" w:rsidR="00A037BE" w:rsidP="00A037BE" w:rsidRDefault="00A037BE" w14:paraId="3EA82C39" w14:textId="77777777">
                  <w:pPr>
                    <w:rPr>
                      <w:color w:val="000000"/>
                    </w:rPr>
                  </w:pPr>
                  <w:r>
                    <w:rPr>
                      <w:color w:val="000000"/>
                    </w:rPr>
                    <w:t>REN</w:t>
                  </w:r>
                </w:p>
              </w:tc>
              <w:tc>
                <w:tcPr>
                  <w:tcW w:w="5136" w:type="dxa"/>
                </w:tcPr>
                <w:p w:rsidRPr="0088540B" w:rsidR="00A037BE" w:rsidP="00A037BE" w:rsidRDefault="00A037BE" w14:paraId="54B56976" w14:textId="662E7135">
                  <w:pPr>
                    <w:rPr>
                      <w:color w:val="000000"/>
                    </w:rPr>
                  </w:pPr>
                  <w:r>
                    <w:rPr>
                      <w:b/>
                      <w:bCs/>
                      <w:color w:val="000000"/>
                    </w:rPr>
                    <w:t>Renewals</w:t>
                  </w:r>
                  <w:r w:rsidRPr="0088540B">
                    <w:rPr>
                      <w:color w:val="000000"/>
                    </w:rPr>
                    <w:t xml:space="preserve"> </w:t>
                  </w:r>
                  <w:r>
                    <w:rPr>
                      <w:color w:val="000000"/>
                    </w:rPr>
                    <w:t>–</w:t>
                  </w:r>
                  <w:r w:rsidRPr="0088540B">
                    <w:rPr>
                      <w:color w:val="000000"/>
                    </w:rPr>
                    <w:t xml:space="preserve"> </w:t>
                  </w:r>
                  <w:r>
                    <w:rPr>
                      <w:color w:val="000000"/>
                    </w:rPr>
                    <w:t xml:space="preserve">Work to modernize the </w:t>
                  </w:r>
                  <w:proofErr w:type="spellStart"/>
                  <w:r>
                    <w:rPr>
                      <w:color w:val="000000"/>
                    </w:rPr>
                    <w:t>LifeLine</w:t>
                  </w:r>
                  <w:proofErr w:type="spellEnd"/>
                  <w:r>
                    <w:rPr>
                      <w:color w:val="000000"/>
                    </w:rPr>
                    <w:t xml:space="preserve"> renewals process.  </w:t>
                  </w:r>
                  <w:r w:rsidRPr="004A6867">
                    <w:rPr>
                      <w:color w:val="000000"/>
                    </w:rPr>
                    <w:t>Those identified with “REN” are generally associated with work spent on multiple, interrelated issues to create a record for this phase of the proceeding.  TURN attempted to identify each entry with a specific code and therefore entries with a “</w:t>
                  </w:r>
                  <w:r>
                    <w:rPr>
                      <w:color w:val="000000"/>
                    </w:rPr>
                    <w:t>REN</w:t>
                  </w:r>
                  <w:r w:rsidRPr="004A6867">
                    <w:rPr>
                      <w:color w:val="000000"/>
                    </w:rPr>
                    <w:t xml:space="preserve">” are limited.  TURN does not believe allocation of these entries is required, but if the Commission chooses to allocate these entries to specific issues they would roughly break down as: </w:t>
                  </w:r>
                  <w:r w:rsidRPr="00BF7637">
                    <w:rPr>
                      <w:color w:val="000000"/>
                    </w:rPr>
                    <w:t>DATA - 4</w:t>
                  </w:r>
                  <w:r>
                    <w:rPr>
                      <w:color w:val="000000"/>
                    </w:rPr>
                    <w:t>0</w:t>
                  </w:r>
                  <w:r w:rsidRPr="00BF7637">
                    <w:rPr>
                      <w:color w:val="000000"/>
                    </w:rPr>
                    <w:t xml:space="preserve">%, AB 74 - </w:t>
                  </w:r>
                  <w:r>
                    <w:rPr>
                      <w:color w:val="000000"/>
                    </w:rPr>
                    <w:t>45</w:t>
                  </w:r>
                  <w:r w:rsidRPr="00BF7637">
                    <w:rPr>
                      <w:color w:val="000000"/>
                    </w:rPr>
                    <w:t>%, COVID - 5%</w:t>
                  </w:r>
                  <w:r>
                    <w:rPr>
                      <w:color w:val="000000"/>
                    </w:rPr>
                    <w:t>, GROUP - 10%.</w:t>
                  </w:r>
                </w:p>
              </w:tc>
              <w:tc>
                <w:tcPr>
                  <w:tcW w:w="1069" w:type="dxa"/>
                </w:tcPr>
                <w:p w:rsidR="00A037BE" w:rsidP="00A037BE" w:rsidRDefault="00FC69E8" w14:paraId="4E9BBD24" w14:textId="2A0B8112">
                  <w:pPr>
                    <w:jc w:val="right"/>
                    <w:rPr>
                      <w:b/>
                      <w:bCs/>
                      <w:color w:val="000000"/>
                    </w:rPr>
                  </w:pPr>
                  <w:r>
                    <w:rPr>
                      <w:b/>
                      <w:bCs/>
                      <w:color w:val="000000"/>
                    </w:rPr>
                    <w:t>9.33</w:t>
                  </w:r>
                  <w:r w:rsidR="00A037BE">
                    <w:rPr>
                      <w:b/>
                      <w:bCs/>
                      <w:color w:val="000000"/>
                    </w:rPr>
                    <w:t>%</w:t>
                  </w:r>
                </w:p>
              </w:tc>
            </w:tr>
            <w:tr w:rsidRPr="0068168F" w:rsidR="00A037BE" w:rsidTr="00D3682D" w14:paraId="3F5C884C" w14:textId="77777777">
              <w:tc>
                <w:tcPr>
                  <w:tcW w:w="1052" w:type="dxa"/>
                </w:tcPr>
                <w:p w:rsidRPr="0068168F" w:rsidR="00A037BE" w:rsidP="00A037BE" w:rsidRDefault="00A037BE" w14:paraId="5D02C676" w14:textId="1CD17002">
                  <w:pPr>
                    <w:rPr>
                      <w:color w:val="000000"/>
                    </w:rPr>
                  </w:pPr>
                  <w:r>
                    <w:rPr>
                      <w:color w:val="000000"/>
                    </w:rPr>
                    <w:t>OPEN</w:t>
                  </w:r>
                </w:p>
              </w:tc>
              <w:tc>
                <w:tcPr>
                  <w:tcW w:w="5136" w:type="dxa"/>
                </w:tcPr>
                <w:p w:rsidRPr="008F2750" w:rsidR="00A037BE" w:rsidP="00A037BE" w:rsidRDefault="00A037BE" w14:paraId="4E8491E8" w14:textId="3C95B8DD">
                  <w:pPr>
                    <w:rPr>
                      <w:color w:val="000000"/>
                    </w:rPr>
                  </w:pPr>
                  <w:r w:rsidRPr="008F2750">
                    <w:rPr>
                      <w:b/>
                      <w:bCs/>
                      <w:color w:val="000000"/>
                    </w:rPr>
                    <w:t>Opening Comments on the Staff Proposal</w:t>
                  </w:r>
                  <w:r w:rsidRPr="008F2750">
                    <w:rPr>
                      <w:color w:val="000000"/>
                    </w:rPr>
                    <w:t xml:space="preserve"> – Time entries that cover substantial work that cannot easily be identified with a specific activity code.  Those identified with “OPEN” are generally associated with work spent on multiple, interrelated issues to create a record for this phase of the proceeding.  TURN attempted to identify each entry with a specific code and therefore entries with a “OPEN” are limited.  TURN does not believe allocation of these entries is required, but if the Commission chooses to allocate these entries to specific issues they would roughly break down as: </w:t>
                  </w:r>
                  <w:r w:rsidRPr="00BF7637">
                    <w:rPr>
                      <w:color w:val="000000"/>
                    </w:rPr>
                    <w:t xml:space="preserve">DATA - </w:t>
                  </w:r>
                  <w:r>
                    <w:rPr>
                      <w:color w:val="000000"/>
                    </w:rPr>
                    <w:t>5</w:t>
                  </w:r>
                  <w:r w:rsidRPr="00BF7637">
                    <w:rPr>
                      <w:color w:val="000000"/>
                    </w:rPr>
                    <w:t xml:space="preserve">%, AB 74 - </w:t>
                  </w:r>
                  <w:r>
                    <w:rPr>
                      <w:color w:val="000000"/>
                    </w:rPr>
                    <w:t>45</w:t>
                  </w:r>
                  <w:r w:rsidRPr="00BF7637">
                    <w:rPr>
                      <w:color w:val="000000"/>
                    </w:rPr>
                    <w:t>%, COVID - 5%</w:t>
                  </w:r>
                  <w:r>
                    <w:rPr>
                      <w:color w:val="000000"/>
                    </w:rPr>
                    <w:t>, GROUP - 45%.</w:t>
                  </w:r>
                </w:p>
              </w:tc>
              <w:tc>
                <w:tcPr>
                  <w:tcW w:w="1069" w:type="dxa"/>
                </w:tcPr>
                <w:p w:rsidRPr="0068168F" w:rsidR="00A037BE" w:rsidP="00A037BE" w:rsidRDefault="00A037BE" w14:paraId="4EDE407B" w14:textId="0E612EF1">
                  <w:pPr>
                    <w:jc w:val="right"/>
                    <w:rPr>
                      <w:b/>
                      <w:bCs/>
                      <w:color w:val="000000"/>
                    </w:rPr>
                  </w:pPr>
                  <w:r>
                    <w:rPr>
                      <w:b/>
                      <w:bCs/>
                      <w:color w:val="000000"/>
                    </w:rPr>
                    <w:t>22.</w:t>
                  </w:r>
                  <w:r w:rsidR="00FC69E8">
                    <w:rPr>
                      <w:b/>
                      <w:bCs/>
                      <w:color w:val="000000"/>
                    </w:rPr>
                    <w:t>67</w:t>
                  </w:r>
                  <w:r>
                    <w:rPr>
                      <w:b/>
                      <w:bCs/>
                      <w:color w:val="000000"/>
                    </w:rPr>
                    <w:t>%</w:t>
                  </w:r>
                </w:p>
              </w:tc>
            </w:tr>
            <w:tr w:rsidRPr="0068168F" w:rsidR="00A037BE" w:rsidTr="00D3682D" w14:paraId="65AB27FD" w14:textId="77777777">
              <w:tc>
                <w:tcPr>
                  <w:tcW w:w="1052" w:type="dxa"/>
                </w:tcPr>
                <w:p w:rsidR="00A037BE" w:rsidP="00A037BE" w:rsidRDefault="00A037BE" w14:paraId="5BE5AEBD" w14:textId="2FBD7168">
                  <w:pPr>
                    <w:rPr>
                      <w:color w:val="000000"/>
                    </w:rPr>
                  </w:pPr>
                  <w:r>
                    <w:rPr>
                      <w:color w:val="000000"/>
                    </w:rPr>
                    <w:t>REPLY</w:t>
                  </w:r>
                </w:p>
              </w:tc>
              <w:tc>
                <w:tcPr>
                  <w:tcW w:w="5136" w:type="dxa"/>
                </w:tcPr>
                <w:p w:rsidRPr="008F2750" w:rsidR="00A037BE" w:rsidP="00A037BE" w:rsidRDefault="00A037BE" w14:paraId="156D6E6A" w14:textId="2880BF2F">
                  <w:pPr>
                    <w:rPr>
                      <w:color w:val="000000"/>
                    </w:rPr>
                  </w:pPr>
                  <w:r w:rsidRPr="008F2750">
                    <w:rPr>
                      <w:b/>
                      <w:bCs/>
                      <w:color w:val="000000"/>
                    </w:rPr>
                    <w:t>Reply Comments on the Staff Proposal</w:t>
                  </w:r>
                  <w:r w:rsidRPr="008F2750">
                    <w:rPr>
                      <w:color w:val="000000"/>
                    </w:rPr>
                    <w:t xml:space="preserve"> – Time entries that cover substantial work that cannot easily be identified with a specific activity code.  Those identified with “REPLY” are generally associated with work spent on multiple, interrelated issues to create a record for this phase of the proceeding.  TURN attempted to identify each entry with a specific code and therefore entries with a “REPLY” are limited.  TURN does not believe allocation of these entries is required, but if the Commission chooses to allocate these entries to specific issues they would roughly break down as: </w:t>
                  </w:r>
                  <w:r w:rsidRPr="00BF7637">
                    <w:rPr>
                      <w:color w:val="000000"/>
                    </w:rPr>
                    <w:t xml:space="preserve">DATA - </w:t>
                  </w:r>
                  <w:r>
                    <w:rPr>
                      <w:color w:val="000000"/>
                    </w:rPr>
                    <w:t>15</w:t>
                  </w:r>
                  <w:r w:rsidRPr="00BF7637">
                    <w:rPr>
                      <w:color w:val="000000"/>
                    </w:rPr>
                    <w:t xml:space="preserve">%, AB 74 - </w:t>
                  </w:r>
                  <w:r>
                    <w:rPr>
                      <w:color w:val="000000"/>
                    </w:rPr>
                    <w:t>65</w:t>
                  </w:r>
                  <w:r w:rsidRPr="00BF7637">
                    <w:rPr>
                      <w:color w:val="000000"/>
                    </w:rPr>
                    <w:t xml:space="preserve">%, </w:t>
                  </w:r>
                  <w:r>
                    <w:rPr>
                      <w:color w:val="000000"/>
                    </w:rPr>
                    <w:t>GROUP - 20%.</w:t>
                  </w:r>
                </w:p>
              </w:tc>
              <w:tc>
                <w:tcPr>
                  <w:tcW w:w="1069" w:type="dxa"/>
                </w:tcPr>
                <w:p w:rsidR="00A037BE" w:rsidP="00A037BE" w:rsidRDefault="00A037BE" w14:paraId="2231A59C" w14:textId="630D80E9">
                  <w:pPr>
                    <w:jc w:val="right"/>
                    <w:rPr>
                      <w:b/>
                      <w:bCs/>
                      <w:color w:val="000000"/>
                    </w:rPr>
                  </w:pPr>
                  <w:r>
                    <w:rPr>
                      <w:b/>
                      <w:bCs/>
                      <w:color w:val="000000"/>
                    </w:rPr>
                    <w:t>11.</w:t>
                  </w:r>
                  <w:r w:rsidR="00FC69E8">
                    <w:rPr>
                      <w:b/>
                      <w:bCs/>
                      <w:color w:val="000000"/>
                    </w:rPr>
                    <w:t>56</w:t>
                  </w:r>
                  <w:r>
                    <w:rPr>
                      <w:b/>
                      <w:bCs/>
                      <w:color w:val="000000"/>
                    </w:rPr>
                    <w:t>%</w:t>
                  </w:r>
                </w:p>
              </w:tc>
            </w:tr>
            <w:tr w:rsidRPr="0068168F" w:rsidR="00A037BE" w:rsidTr="00D3682D" w14:paraId="5D908024" w14:textId="77777777">
              <w:tc>
                <w:tcPr>
                  <w:tcW w:w="1052" w:type="dxa"/>
                </w:tcPr>
                <w:p w:rsidRPr="00781C9A" w:rsidR="00A037BE" w:rsidP="00A037BE" w:rsidRDefault="00A037BE" w14:paraId="04076B9D" w14:textId="1AF91661">
                  <w:pPr>
                    <w:rPr>
                      <w:color w:val="000000"/>
                    </w:rPr>
                  </w:pPr>
                  <w:r>
                    <w:rPr>
                      <w:color w:val="000000"/>
                    </w:rPr>
                    <w:lastRenderedPageBreak/>
                    <w:t>COOR</w:t>
                  </w:r>
                </w:p>
              </w:tc>
              <w:tc>
                <w:tcPr>
                  <w:tcW w:w="5136" w:type="dxa"/>
                </w:tcPr>
                <w:p w:rsidRPr="00AF6203" w:rsidR="00A037BE" w:rsidP="00A037BE" w:rsidRDefault="00A037BE" w14:paraId="2BB80A27" w14:textId="79E9E058">
                  <w:pPr>
                    <w:rPr>
                      <w:color w:val="000000"/>
                    </w:rPr>
                  </w:pPr>
                  <w:r>
                    <w:rPr>
                      <w:b/>
                      <w:bCs/>
                      <w:color w:val="000000"/>
                    </w:rPr>
                    <w:t>Coordination of Effort</w:t>
                  </w:r>
                  <w:r>
                    <w:rPr>
                      <w:color w:val="000000"/>
                    </w:rPr>
                    <w:t xml:space="preserve"> – Work to coordinate the efforts of the Joint Consumer coalition.</w:t>
                  </w:r>
                </w:p>
              </w:tc>
              <w:tc>
                <w:tcPr>
                  <w:tcW w:w="1069" w:type="dxa"/>
                </w:tcPr>
                <w:p w:rsidR="00A037BE" w:rsidP="00A037BE" w:rsidRDefault="00A037BE" w14:paraId="4E6A42C6" w14:textId="52C47706">
                  <w:pPr>
                    <w:jc w:val="right"/>
                    <w:rPr>
                      <w:b/>
                      <w:bCs/>
                      <w:color w:val="000000"/>
                    </w:rPr>
                  </w:pPr>
                  <w:r>
                    <w:rPr>
                      <w:b/>
                      <w:bCs/>
                      <w:color w:val="000000"/>
                    </w:rPr>
                    <w:t>1.3</w:t>
                  </w:r>
                  <w:r w:rsidR="00FC69E8">
                    <w:rPr>
                      <w:b/>
                      <w:bCs/>
                      <w:color w:val="000000"/>
                    </w:rPr>
                    <w:t>3</w:t>
                  </w:r>
                  <w:r>
                    <w:rPr>
                      <w:b/>
                      <w:bCs/>
                      <w:color w:val="000000"/>
                    </w:rPr>
                    <w:t>%</w:t>
                  </w:r>
                </w:p>
              </w:tc>
            </w:tr>
            <w:tr w:rsidRPr="0068168F" w:rsidR="00A037BE" w:rsidTr="00D3682D" w14:paraId="1C080821" w14:textId="77777777">
              <w:tc>
                <w:tcPr>
                  <w:tcW w:w="1052" w:type="dxa"/>
                </w:tcPr>
                <w:p w:rsidRPr="00781C9A" w:rsidR="00A037BE" w:rsidP="00A037BE" w:rsidRDefault="00A037BE" w14:paraId="6EBF4E4B" w14:textId="77777777">
                  <w:pPr>
                    <w:rPr>
                      <w:color w:val="000000"/>
                    </w:rPr>
                  </w:pPr>
                  <w:r w:rsidRPr="00781C9A">
                    <w:rPr>
                      <w:color w:val="000000"/>
                    </w:rPr>
                    <w:t>#</w:t>
                  </w:r>
                </w:p>
              </w:tc>
              <w:tc>
                <w:tcPr>
                  <w:tcW w:w="5136" w:type="dxa"/>
                </w:tcPr>
                <w:p w:rsidRPr="00781C9A" w:rsidR="00A037BE" w:rsidP="00A037BE" w:rsidRDefault="00A037BE" w14:paraId="3C2B7733" w14:textId="6AADCA1F">
                  <w:pPr>
                    <w:rPr>
                      <w:color w:val="000000"/>
                    </w:rPr>
                  </w:pPr>
                  <w:r w:rsidRPr="00781C9A">
                    <w:rPr>
                      <w:b/>
                      <w:bCs/>
                      <w:color w:val="000000"/>
                    </w:rPr>
                    <w:t>Combined Efforts</w:t>
                  </w:r>
                  <w:r w:rsidRPr="00781C9A">
                    <w:rPr>
                      <w:color w:val="000000"/>
                    </w:rPr>
                    <w:t xml:space="preserve"> – Time entries that cover substantial work that cannot easily be identified with a specific activity code</w:t>
                  </w:r>
                  <w:r>
                    <w:rPr>
                      <w:color w:val="000000"/>
                    </w:rPr>
                    <w:t xml:space="preserve">, including work with the </w:t>
                  </w:r>
                  <w:proofErr w:type="spellStart"/>
                  <w:r>
                    <w:rPr>
                      <w:color w:val="000000"/>
                    </w:rPr>
                    <w:t>LifeLine</w:t>
                  </w:r>
                  <w:proofErr w:type="spellEnd"/>
                  <w:r>
                    <w:rPr>
                      <w:color w:val="000000"/>
                    </w:rPr>
                    <w:t xml:space="preserve"> Working Group</w:t>
                  </w:r>
                  <w:r w:rsidRPr="00781C9A">
                    <w:rPr>
                      <w:color w:val="000000"/>
                    </w:rPr>
                    <w:t xml:space="preserve">.  Those identified with “#” are generally associated with work spent on multiple, interrelated issues to create a record for this phase of the proceeding.  TURN attempted to identify each entry with a specific code and therefore entries with a “#” are limited.  TURN does not believe allocation of these entries is required, but if the Commission chooses to allocate these entries to specific issues they would roughly break down as: </w:t>
                  </w:r>
                  <w:r w:rsidRPr="00BF7637">
                    <w:rPr>
                      <w:color w:val="000000"/>
                    </w:rPr>
                    <w:t xml:space="preserve">DATA - </w:t>
                  </w:r>
                  <w:r>
                    <w:rPr>
                      <w:color w:val="000000"/>
                    </w:rPr>
                    <w:t>40</w:t>
                  </w:r>
                  <w:r w:rsidRPr="00BF7637">
                    <w:rPr>
                      <w:color w:val="000000"/>
                    </w:rPr>
                    <w:t xml:space="preserve">%, AB 74 - </w:t>
                  </w:r>
                  <w:r>
                    <w:rPr>
                      <w:color w:val="000000"/>
                    </w:rPr>
                    <w:t>40</w:t>
                  </w:r>
                  <w:r w:rsidRPr="00BF7637">
                    <w:rPr>
                      <w:color w:val="000000"/>
                    </w:rPr>
                    <w:t xml:space="preserve">%, COVID - </w:t>
                  </w:r>
                  <w:r>
                    <w:rPr>
                      <w:color w:val="000000"/>
                    </w:rPr>
                    <w:t>10</w:t>
                  </w:r>
                  <w:r w:rsidRPr="00BF7637">
                    <w:rPr>
                      <w:color w:val="000000"/>
                    </w:rPr>
                    <w:t>%</w:t>
                  </w:r>
                  <w:r>
                    <w:rPr>
                      <w:color w:val="000000"/>
                    </w:rPr>
                    <w:t>, GROUP - 10%.</w:t>
                  </w:r>
                </w:p>
              </w:tc>
              <w:tc>
                <w:tcPr>
                  <w:tcW w:w="1069" w:type="dxa"/>
                </w:tcPr>
                <w:p w:rsidR="00A037BE" w:rsidP="00A037BE" w:rsidRDefault="00A037BE" w14:paraId="6A88C55A" w14:textId="4C9CE9FC">
                  <w:pPr>
                    <w:jc w:val="right"/>
                    <w:rPr>
                      <w:b/>
                      <w:bCs/>
                      <w:color w:val="000000"/>
                    </w:rPr>
                  </w:pPr>
                  <w:r>
                    <w:rPr>
                      <w:b/>
                      <w:bCs/>
                      <w:color w:val="000000"/>
                    </w:rPr>
                    <w:t>2.2</w:t>
                  </w:r>
                  <w:r w:rsidR="00FC69E8">
                    <w:rPr>
                      <w:b/>
                      <w:bCs/>
                      <w:color w:val="000000"/>
                    </w:rPr>
                    <w:t>2</w:t>
                  </w:r>
                  <w:r>
                    <w:rPr>
                      <w:b/>
                      <w:bCs/>
                      <w:color w:val="000000"/>
                    </w:rPr>
                    <w:t>%</w:t>
                  </w:r>
                </w:p>
              </w:tc>
            </w:tr>
            <w:tr w:rsidRPr="0068168F" w:rsidR="00A037BE" w:rsidTr="00D3682D" w14:paraId="01DE6A23" w14:textId="77777777">
              <w:tc>
                <w:tcPr>
                  <w:tcW w:w="1052" w:type="dxa"/>
                </w:tcPr>
                <w:p w:rsidRPr="003C4FFB" w:rsidR="00A037BE" w:rsidP="00A037BE" w:rsidRDefault="00A037BE" w14:paraId="7B2CAC2E" w14:textId="77777777">
                  <w:pPr>
                    <w:rPr>
                      <w:color w:val="000000"/>
                    </w:rPr>
                  </w:pPr>
                  <w:r w:rsidRPr="003C4FFB">
                    <w:rPr>
                      <w:color w:val="000000"/>
                    </w:rPr>
                    <w:t>COMP</w:t>
                  </w:r>
                </w:p>
              </w:tc>
              <w:tc>
                <w:tcPr>
                  <w:tcW w:w="5136" w:type="dxa"/>
                </w:tcPr>
                <w:p w:rsidRPr="003C4FFB" w:rsidR="00A037BE" w:rsidP="00A037BE" w:rsidRDefault="00A037BE" w14:paraId="7BD66AE0" w14:textId="77777777">
                  <w:pPr>
                    <w:rPr>
                      <w:b/>
                      <w:bCs/>
                      <w:color w:val="000000"/>
                    </w:rPr>
                  </w:pPr>
                  <w:r w:rsidRPr="003C4FFB">
                    <w:rPr>
                      <w:b/>
                      <w:bCs/>
                      <w:color w:val="000000"/>
                    </w:rPr>
                    <w:t>COMP</w:t>
                  </w:r>
                  <w:r w:rsidRPr="003C4FFB">
                    <w:rPr>
                      <w:color w:val="000000"/>
                    </w:rPr>
                    <w:t xml:space="preserve"> – Work spent on compensation request related matters.</w:t>
                  </w:r>
                </w:p>
              </w:tc>
              <w:tc>
                <w:tcPr>
                  <w:tcW w:w="1069" w:type="dxa"/>
                </w:tcPr>
                <w:p w:rsidR="00A037BE" w:rsidP="00A037BE" w:rsidRDefault="00A037BE" w14:paraId="6BCF117A" w14:textId="28C0BEC7">
                  <w:pPr>
                    <w:jc w:val="right"/>
                    <w:rPr>
                      <w:b/>
                      <w:bCs/>
                      <w:color w:val="000000"/>
                    </w:rPr>
                  </w:pPr>
                  <w:r>
                    <w:rPr>
                      <w:b/>
                      <w:bCs/>
                      <w:color w:val="000000"/>
                    </w:rPr>
                    <w:t>11.</w:t>
                  </w:r>
                  <w:r w:rsidR="00FC69E8">
                    <w:rPr>
                      <w:b/>
                      <w:bCs/>
                      <w:color w:val="000000"/>
                    </w:rPr>
                    <w:t>56</w:t>
                  </w:r>
                  <w:r>
                    <w:rPr>
                      <w:b/>
                      <w:bCs/>
                      <w:color w:val="000000"/>
                    </w:rPr>
                    <w:t>%</w:t>
                  </w:r>
                </w:p>
              </w:tc>
            </w:tr>
            <w:tr w:rsidRPr="0068168F" w:rsidR="00A037BE" w:rsidTr="00C725B0" w14:paraId="49BF194A" w14:textId="77777777">
              <w:tc>
                <w:tcPr>
                  <w:tcW w:w="6188" w:type="dxa"/>
                  <w:gridSpan w:val="2"/>
                </w:tcPr>
                <w:p w:rsidR="00A037BE" w:rsidP="00A037BE" w:rsidRDefault="00A037BE" w14:paraId="4C9A7B15" w14:textId="77777777">
                  <w:pPr>
                    <w:rPr>
                      <w:b/>
                      <w:bCs/>
                      <w:color w:val="000000"/>
                    </w:rPr>
                  </w:pPr>
                </w:p>
              </w:tc>
              <w:tc>
                <w:tcPr>
                  <w:tcW w:w="1069" w:type="dxa"/>
                </w:tcPr>
                <w:p w:rsidR="00A037BE" w:rsidP="00A037BE" w:rsidRDefault="00A037BE" w14:paraId="5D70C193" w14:textId="77777777">
                  <w:pPr>
                    <w:jc w:val="right"/>
                    <w:rPr>
                      <w:b/>
                      <w:bCs/>
                      <w:color w:val="000000"/>
                    </w:rPr>
                  </w:pPr>
                  <w:r>
                    <w:rPr>
                      <w:b/>
                      <w:bCs/>
                      <w:color w:val="000000"/>
                    </w:rPr>
                    <w:t>100%</w:t>
                  </w:r>
                </w:p>
              </w:tc>
            </w:tr>
          </w:tbl>
          <w:p w:rsidRPr="00691528" w:rsidR="00A037BE" w:rsidP="00A037BE" w:rsidRDefault="00A037BE" w14:paraId="78501013" w14:textId="77777777">
            <w:pPr>
              <w:rPr>
                <w:color w:val="000000"/>
              </w:rPr>
            </w:pPr>
          </w:p>
          <w:p w:rsidRPr="003D4455" w:rsidR="00A037BE" w:rsidP="00A037BE" w:rsidRDefault="00A037BE" w14:paraId="3285939A" w14:textId="77777777">
            <w:pPr>
              <w:rPr>
                <w:color w:val="000000"/>
              </w:rPr>
            </w:pPr>
          </w:p>
        </w:tc>
        <w:tc>
          <w:tcPr>
            <w:tcW w:w="2250" w:type="dxa"/>
            <w:shd w:val="clear" w:color="auto" w:fill="auto"/>
          </w:tcPr>
          <w:p w:rsidRPr="007F620E" w:rsidR="00A037BE" w:rsidP="00A037BE" w:rsidRDefault="00563AF7" w14:paraId="497C4799" w14:textId="1C5413A2">
            <w:pPr>
              <w:rPr>
                <w:color w:val="000000"/>
              </w:rPr>
            </w:pPr>
            <w:r>
              <w:rPr>
                <w:color w:val="000000"/>
              </w:rPr>
              <w:lastRenderedPageBreak/>
              <w:t>Noted</w:t>
            </w:r>
            <w:r w:rsidR="007953BE">
              <w:rPr>
                <w:color w:val="000000"/>
              </w:rPr>
              <w:t>, totals 100.01%</w:t>
            </w:r>
          </w:p>
        </w:tc>
      </w:tr>
    </w:tbl>
    <w:p w:rsidRPr="007F620E" w:rsidR="00A92D0B" w:rsidP="005B5B44" w:rsidRDefault="00A92D0B" w14:paraId="710BC7D6" w14:textId="77777777">
      <w:pPr>
        <w:keepNext/>
        <w:numPr>
          <w:ilvl w:val="0"/>
          <w:numId w:val="9"/>
        </w:numPr>
        <w:spacing w:before="240" w:after="240"/>
        <w:rPr>
          <w:b/>
          <w:color w:val="000000"/>
        </w:rPr>
      </w:pPr>
      <w:r w:rsidRPr="007F620E">
        <w:rPr>
          <w:b/>
          <w:color w:val="000000"/>
        </w:rPr>
        <w:lastRenderedPageBreak/>
        <w:t xml:space="preserve">Specific </w:t>
      </w:r>
      <w:proofErr w:type="gramStart"/>
      <w:r w:rsidRPr="007F620E">
        <w:rPr>
          <w:b/>
          <w:color w:val="000000"/>
        </w:rPr>
        <w:t>Claim</w:t>
      </w:r>
      <w:r w:rsidR="00C02649">
        <w:rPr>
          <w:b/>
          <w:color w:val="000000"/>
        </w:rPr>
        <w:t>:</w:t>
      </w:r>
      <w:r w:rsidRPr="007F620E" w:rsidR="00D075B1">
        <w:rPr>
          <w:b/>
          <w:color w:val="000000"/>
        </w:rPr>
        <w:t>*</w:t>
      </w:r>
      <w:proofErr w:type="gramEnd"/>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45"/>
        <w:gridCol w:w="720"/>
        <w:gridCol w:w="627"/>
        <w:gridCol w:w="183"/>
        <w:gridCol w:w="1080"/>
        <w:gridCol w:w="646"/>
        <w:gridCol w:w="1964"/>
        <w:gridCol w:w="327"/>
        <w:gridCol w:w="1023"/>
        <w:gridCol w:w="810"/>
        <w:gridCol w:w="1080"/>
        <w:gridCol w:w="1355"/>
      </w:tblGrid>
      <w:tr w:rsidRPr="007F620E" w:rsidR="00A92D0B" w:rsidTr="00D276B8" w14:paraId="780664A2" w14:textId="77777777">
        <w:trPr>
          <w:tblHeader/>
          <w:jc w:val="center"/>
        </w:trPr>
        <w:tc>
          <w:tcPr>
            <w:tcW w:w="7915" w:type="dxa"/>
            <w:gridSpan w:val="9"/>
            <w:tcBorders>
              <w:bottom w:val="single" w:color="auto" w:sz="4" w:space="0"/>
              <w:right w:val="single" w:color="auto" w:sz="24" w:space="0"/>
            </w:tcBorders>
            <w:shd w:val="clear" w:color="auto" w:fill="auto"/>
          </w:tcPr>
          <w:p w:rsidRPr="007F620E" w:rsidR="00A92D0B" w:rsidP="00DE3A5D" w:rsidRDefault="00A92D0B" w14:paraId="6BFE54DA" w14:textId="77777777">
            <w:pPr>
              <w:keepNext/>
              <w:keepLines/>
              <w:spacing w:before="60" w:after="60"/>
              <w:jc w:val="center"/>
              <w:rPr>
                <w:b/>
                <w:smallCaps/>
                <w:color w:val="000000"/>
              </w:rPr>
            </w:pPr>
            <w:r w:rsidRPr="007F620E">
              <w:rPr>
                <w:b/>
                <w:smallCaps/>
                <w:color w:val="000000"/>
              </w:rPr>
              <w:t>Claimed</w:t>
            </w:r>
          </w:p>
        </w:tc>
        <w:tc>
          <w:tcPr>
            <w:tcW w:w="3245" w:type="dxa"/>
            <w:gridSpan w:val="3"/>
            <w:tcBorders>
              <w:left w:val="single" w:color="auto" w:sz="24" w:space="0"/>
              <w:bottom w:val="single" w:color="auto" w:sz="4" w:space="0"/>
            </w:tcBorders>
            <w:shd w:val="clear" w:color="auto" w:fill="auto"/>
          </w:tcPr>
          <w:p w:rsidRPr="007F620E" w:rsidR="00A92D0B" w:rsidP="00DE3A5D" w:rsidRDefault="00A92D0B" w14:paraId="170A0FA1" w14:textId="77777777">
            <w:pPr>
              <w:keepNext/>
              <w:keepLines/>
              <w:spacing w:before="60" w:after="60"/>
              <w:jc w:val="center"/>
              <w:rPr>
                <w:b/>
                <w:smallCaps/>
                <w:color w:val="000000"/>
              </w:rPr>
            </w:pPr>
            <w:r w:rsidRPr="007F620E">
              <w:rPr>
                <w:b/>
                <w:smallCaps/>
                <w:color w:val="000000"/>
              </w:rPr>
              <w:t>CPUC Award</w:t>
            </w:r>
          </w:p>
        </w:tc>
      </w:tr>
      <w:tr w:rsidRPr="007F620E" w:rsidR="00A92D0B" w:rsidTr="00EC6387" w14:paraId="0F5B6CAA"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DE3A5D" w:rsidRDefault="00A92D0B" w14:paraId="284F9031" w14:textId="77777777">
            <w:pPr>
              <w:keepNext/>
              <w:keepLines/>
              <w:spacing w:before="60" w:after="60"/>
              <w:jc w:val="center"/>
              <w:rPr>
                <w:b/>
              </w:rPr>
            </w:pPr>
            <w:r w:rsidRPr="007F620E">
              <w:rPr>
                <w:b/>
              </w:rPr>
              <w:t>ATTORNEY, EXPERT, AND ADVOCATE FEES</w:t>
            </w:r>
          </w:p>
        </w:tc>
      </w:tr>
      <w:tr w:rsidRPr="00260518" w:rsidR="00A92D0B" w:rsidTr="00D276B8" w14:paraId="5A70C962" w14:textId="77777777">
        <w:trPr>
          <w:jc w:val="center"/>
        </w:trPr>
        <w:tc>
          <w:tcPr>
            <w:tcW w:w="1345" w:type="dxa"/>
            <w:tcBorders>
              <w:top w:val="single" w:color="auto" w:sz="4" w:space="0"/>
              <w:bottom w:val="single" w:color="auto" w:sz="4" w:space="0"/>
            </w:tcBorders>
            <w:shd w:val="clear" w:color="auto" w:fill="auto"/>
            <w:vAlign w:val="bottom"/>
          </w:tcPr>
          <w:p w:rsidRPr="00260518" w:rsidR="00A92D0B" w:rsidP="00D276B8" w:rsidRDefault="00A92D0B" w14:paraId="41646676" w14:textId="77777777">
            <w:pPr>
              <w:keepNext/>
              <w:keepLines/>
              <w:spacing w:before="60" w:after="60"/>
              <w:jc w:val="right"/>
              <w:rPr>
                <w:b/>
                <w:color w:val="000000"/>
                <w:sz w:val="22"/>
                <w:szCs w:val="22"/>
              </w:rPr>
            </w:pPr>
            <w:r w:rsidRPr="00260518">
              <w:rPr>
                <w:b/>
                <w:color w:val="000000"/>
                <w:sz w:val="22"/>
                <w:szCs w:val="22"/>
              </w:rPr>
              <w:t>Item</w:t>
            </w:r>
          </w:p>
        </w:tc>
        <w:tc>
          <w:tcPr>
            <w:tcW w:w="720" w:type="dxa"/>
            <w:tcBorders>
              <w:top w:val="single" w:color="auto" w:sz="4" w:space="0"/>
              <w:bottom w:val="single" w:color="auto" w:sz="4" w:space="0"/>
            </w:tcBorders>
            <w:shd w:val="clear" w:color="auto" w:fill="auto"/>
            <w:vAlign w:val="bottom"/>
          </w:tcPr>
          <w:p w:rsidRPr="00260518" w:rsidR="00A92D0B" w:rsidP="00D276B8" w:rsidRDefault="00A92D0B" w14:paraId="43BB9941" w14:textId="77777777">
            <w:pPr>
              <w:keepNext/>
              <w:keepLines/>
              <w:spacing w:before="60" w:after="60"/>
              <w:jc w:val="right"/>
              <w:rPr>
                <w:b/>
                <w:color w:val="000000"/>
                <w:sz w:val="22"/>
                <w:szCs w:val="22"/>
              </w:rPr>
            </w:pPr>
            <w:r w:rsidRPr="00260518">
              <w:rPr>
                <w:b/>
                <w:color w:val="000000"/>
                <w:sz w:val="22"/>
                <w:szCs w:val="22"/>
              </w:rPr>
              <w:t>Year</w:t>
            </w:r>
          </w:p>
        </w:tc>
        <w:tc>
          <w:tcPr>
            <w:tcW w:w="810" w:type="dxa"/>
            <w:gridSpan w:val="2"/>
            <w:tcBorders>
              <w:top w:val="single" w:color="auto" w:sz="4" w:space="0"/>
              <w:bottom w:val="single" w:color="auto" w:sz="4" w:space="0"/>
            </w:tcBorders>
            <w:shd w:val="clear" w:color="auto" w:fill="auto"/>
            <w:vAlign w:val="bottom"/>
          </w:tcPr>
          <w:p w:rsidRPr="00260518" w:rsidR="00A92D0B" w:rsidP="00D276B8" w:rsidRDefault="00A92D0B" w14:paraId="0EF32B08" w14:textId="77777777">
            <w:pPr>
              <w:keepNext/>
              <w:keepLines/>
              <w:spacing w:before="60" w:after="60"/>
              <w:jc w:val="right"/>
              <w:rPr>
                <w:b/>
                <w:color w:val="000000"/>
                <w:sz w:val="22"/>
                <w:szCs w:val="22"/>
              </w:rPr>
            </w:pPr>
            <w:r w:rsidRPr="00260518">
              <w:rPr>
                <w:b/>
                <w:color w:val="000000"/>
                <w:sz w:val="22"/>
                <w:szCs w:val="22"/>
              </w:rPr>
              <w:t>Hours</w:t>
            </w:r>
          </w:p>
        </w:tc>
        <w:tc>
          <w:tcPr>
            <w:tcW w:w="1080" w:type="dxa"/>
            <w:tcBorders>
              <w:top w:val="single" w:color="auto" w:sz="4" w:space="0"/>
              <w:bottom w:val="single" w:color="auto" w:sz="4" w:space="0"/>
            </w:tcBorders>
            <w:shd w:val="clear" w:color="auto" w:fill="auto"/>
            <w:vAlign w:val="bottom"/>
          </w:tcPr>
          <w:p w:rsidRPr="00260518" w:rsidR="00A92D0B" w:rsidP="00D276B8" w:rsidRDefault="00A92D0B" w14:paraId="21C69246" w14:textId="77777777">
            <w:pPr>
              <w:keepNext/>
              <w:keepLines/>
              <w:spacing w:before="60" w:after="60"/>
              <w:jc w:val="right"/>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2610" w:type="dxa"/>
            <w:gridSpan w:val="2"/>
            <w:tcBorders>
              <w:top w:val="single" w:color="auto" w:sz="4" w:space="0"/>
              <w:bottom w:val="single" w:color="auto" w:sz="4" w:space="0"/>
              <w:right w:val="single" w:color="auto" w:sz="4" w:space="0"/>
            </w:tcBorders>
            <w:shd w:val="clear" w:color="auto" w:fill="auto"/>
            <w:vAlign w:val="bottom"/>
          </w:tcPr>
          <w:p w:rsidRPr="00260518" w:rsidR="00A92D0B" w:rsidP="00D276B8" w:rsidRDefault="00A92D0B" w14:paraId="59E63C07" w14:textId="77777777">
            <w:pPr>
              <w:keepNext/>
              <w:keepLines/>
              <w:spacing w:before="60" w:after="60"/>
              <w:jc w:val="right"/>
              <w:rPr>
                <w:b/>
                <w:color w:val="000000"/>
                <w:sz w:val="22"/>
                <w:szCs w:val="22"/>
              </w:rPr>
            </w:pPr>
            <w:r w:rsidRPr="00260518">
              <w:rPr>
                <w:b/>
                <w:color w:val="000000"/>
                <w:sz w:val="22"/>
                <w:szCs w:val="22"/>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D276B8" w:rsidRDefault="00A92D0B" w14:paraId="7099C603" w14:textId="77777777">
            <w:pPr>
              <w:keepNext/>
              <w:keepLines/>
              <w:spacing w:before="60" w:after="60"/>
              <w:jc w:val="right"/>
              <w:rPr>
                <w:b/>
                <w:color w:val="000000"/>
                <w:sz w:val="22"/>
                <w:szCs w:val="22"/>
              </w:rPr>
            </w:pPr>
            <w:r w:rsidRPr="00260518">
              <w:rPr>
                <w:b/>
                <w:color w:val="000000"/>
                <w:sz w:val="22"/>
                <w:szCs w:val="22"/>
              </w:rPr>
              <w:t>Total $</w:t>
            </w:r>
          </w:p>
        </w:tc>
        <w:tc>
          <w:tcPr>
            <w:tcW w:w="810" w:type="dxa"/>
            <w:tcBorders>
              <w:top w:val="single" w:color="auto" w:sz="4" w:space="0"/>
              <w:left w:val="single" w:color="auto" w:sz="4" w:space="0"/>
            </w:tcBorders>
            <w:shd w:val="clear" w:color="auto" w:fill="auto"/>
            <w:vAlign w:val="bottom"/>
          </w:tcPr>
          <w:p w:rsidRPr="00260518" w:rsidR="00A92D0B" w:rsidP="00D276B8" w:rsidRDefault="00A92D0B" w14:paraId="564E4964" w14:textId="77777777">
            <w:pPr>
              <w:keepNext/>
              <w:keepLines/>
              <w:spacing w:before="60" w:after="60"/>
              <w:jc w:val="right"/>
              <w:rPr>
                <w:b/>
                <w:color w:val="000000"/>
                <w:sz w:val="22"/>
                <w:szCs w:val="22"/>
              </w:rPr>
            </w:pPr>
            <w:r w:rsidRPr="00260518">
              <w:rPr>
                <w:b/>
                <w:color w:val="000000"/>
                <w:sz w:val="22"/>
                <w:szCs w:val="22"/>
              </w:rPr>
              <w:t>Hours</w:t>
            </w:r>
          </w:p>
        </w:tc>
        <w:tc>
          <w:tcPr>
            <w:tcW w:w="1080" w:type="dxa"/>
            <w:tcBorders>
              <w:top w:val="single" w:color="auto" w:sz="4" w:space="0"/>
            </w:tcBorders>
            <w:shd w:val="clear" w:color="auto" w:fill="auto"/>
            <w:vAlign w:val="bottom"/>
          </w:tcPr>
          <w:p w:rsidRPr="00260518" w:rsidR="00A92D0B" w:rsidP="00D276B8" w:rsidRDefault="00A92D0B" w14:paraId="1462552D" w14:textId="77777777">
            <w:pPr>
              <w:keepNext/>
              <w:keepLines/>
              <w:spacing w:before="60" w:after="60"/>
              <w:jc w:val="right"/>
              <w:rPr>
                <w:b/>
                <w:color w:val="000000"/>
                <w:sz w:val="22"/>
                <w:szCs w:val="22"/>
              </w:rPr>
            </w:pPr>
            <w:r w:rsidRPr="00260518">
              <w:rPr>
                <w:b/>
                <w:color w:val="000000"/>
                <w:sz w:val="22"/>
                <w:szCs w:val="22"/>
              </w:rPr>
              <w:t>Rate</w:t>
            </w:r>
            <w:r w:rsidRPr="00260518" w:rsidR="00E3786F">
              <w:rPr>
                <w:b/>
                <w:color w:val="000000"/>
                <w:sz w:val="22"/>
                <w:szCs w:val="22"/>
              </w:rPr>
              <w:t xml:space="preserve"> $</w:t>
            </w:r>
          </w:p>
        </w:tc>
        <w:tc>
          <w:tcPr>
            <w:tcW w:w="1355" w:type="dxa"/>
            <w:tcBorders>
              <w:top w:val="single" w:color="auto" w:sz="4" w:space="0"/>
            </w:tcBorders>
            <w:shd w:val="clear" w:color="auto" w:fill="auto"/>
            <w:vAlign w:val="bottom"/>
          </w:tcPr>
          <w:p w:rsidRPr="00260518" w:rsidR="00A92D0B" w:rsidP="00D276B8" w:rsidRDefault="00A92D0B" w14:paraId="1B6A5CA4" w14:textId="77777777">
            <w:pPr>
              <w:keepNext/>
              <w:keepLines/>
              <w:spacing w:before="60" w:after="60"/>
              <w:jc w:val="right"/>
              <w:rPr>
                <w:b/>
                <w:color w:val="000000"/>
                <w:sz w:val="22"/>
                <w:szCs w:val="22"/>
              </w:rPr>
            </w:pPr>
            <w:r w:rsidRPr="00260518">
              <w:rPr>
                <w:b/>
                <w:color w:val="000000"/>
                <w:sz w:val="22"/>
                <w:szCs w:val="22"/>
              </w:rPr>
              <w:t>Total $</w:t>
            </w:r>
          </w:p>
        </w:tc>
      </w:tr>
      <w:tr w:rsidRPr="007F620E" w:rsidR="008914DC" w:rsidTr="00D276B8" w14:paraId="53554320" w14:textId="77777777">
        <w:trPr>
          <w:jc w:val="center"/>
        </w:trPr>
        <w:tc>
          <w:tcPr>
            <w:tcW w:w="1345" w:type="dxa"/>
            <w:shd w:val="clear" w:color="auto" w:fill="auto"/>
            <w:vAlign w:val="center"/>
          </w:tcPr>
          <w:p w:rsidR="008914DC" w:rsidP="00D276B8" w:rsidRDefault="008914DC" w14:paraId="699CBDAC" w14:textId="1B971358">
            <w:pPr>
              <w:spacing w:before="60" w:after="60"/>
              <w:jc w:val="right"/>
              <w:rPr>
                <w:color w:val="000000"/>
              </w:rPr>
            </w:pPr>
            <w:r>
              <w:rPr>
                <w:color w:val="000000"/>
              </w:rPr>
              <w:t>Ashley L. Salas</w:t>
            </w:r>
          </w:p>
        </w:tc>
        <w:tc>
          <w:tcPr>
            <w:tcW w:w="720" w:type="dxa"/>
            <w:shd w:val="clear" w:color="auto" w:fill="auto"/>
            <w:vAlign w:val="center"/>
          </w:tcPr>
          <w:p w:rsidR="008914DC" w:rsidP="00D276B8" w:rsidRDefault="008914DC" w14:paraId="3D256665" w14:textId="423D32DA">
            <w:pPr>
              <w:spacing w:before="60" w:after="60"/>
              <w:jc w:val="right"/>
              <w:rPr>
                <w:color w:val="000000"/>
              </w:rPr>
            </w:pPr>
            <w:r>
              <w:rPr>
                <w:color w:val="000000"/>
              </w:rPr>
              <w:t>2021</w:t>
            </w:r>
          </w:p>
        </w:tc>
        <w:tc>
          <w:tcPr>
            <w:tcW w:w="810" w:type="dxa"/>
            <w:gridSpan w:val="2"/>
            <w:shd w:val="clear" w:color="auto" w:fill="auto"/>
            <w:vAlign w:val="center"/>
          </w:tcPr>
          <w:p w:rsidRPr="007F620E" w:rsidR="008914DC" w:rsidP="00D276B8" w:rsidRDefault="00F22128" w14:paraId="5ED614A5" w14:textId="5A60A938">
            <w:pPr>
              <w:spacing w:before="60" w:after="60"/>
              <w:jc w:val="right"/>
              <w:rPr>
                <w:color w:val="000000"/>
              </w:rPr>
            </w:pPr>
            <w:r>
              <w:rPr>
                <w:color w:val="000000"/>
              </w:rPr>
              <w:t>7.</w:t>
            </w:r>
            <w:r w:rsidR="004766BD">
              <w:rPr>
                <w:color w:val="000000"/>
              </w:rPr>
              <w:t>75</w:t>
            </w:r>
          </w:p>
        </w:tc>
        <w:tc>
          <w:tcPr>
            <w:tcW w:w="1080" w:type="dxa"/>
            <w:shd w:val="clear" w:color="auto" w:fill="auto"/>
            <w:vAlign w:val="center"/>
          </w:tcPr>
          <w:p w:rsidR="008914DC" w:rsidP="00D276B8" w:rsidRDefault="00014075" w14:paraId="55E2E39E" w14:textId="4DD85E6C">
            <w:pPr>
              <w:spacing w:before="60" w:after="60"/>
              <w:jc w:val="right"/>
              <w:rPr>
                <w:color w:val="000000"/>
              </w:rPr>
            </w:pPr>
            <w:r>
              <w:rPr>
                <w:color w:val="000000"/>
              </w:rPr>
              <w:t>$400.00</w:t>
            </w:r>
          </w:p>
        </w:tc>
        <w:tc>
          <w:tcPr>
            <w:tcW w:w="2610" w:type="dxa"/>
            <w:gridSpan w:val="2"/>
            <w:tcBorders>
              <w:right w:val="single" w:color="auto" w:sz="4" w:space="0"/>
            </w:tcBorders>
            <w:shd w:val="clear" w:color="auto" w:fill="auto"/>
            <w:vAlign w:val="center"/>
          </w:tcPr>
          <w:p w:rsidR="008914DC" w:rsidP="00D276B8" w:rsidRDefault="00014075" w14:paraId="7C4310E4" w14:textId="0D9266B1">
            <w:pPr>
              <w:spacing w:before="60" w:after="60"/>
              <w:jc w:val="right"/>
              <w:rPr>
                <w:color w:val="000000"/>
              </w:rPr>
            </w:pPr>
            <w:r>
              <w:rPr>
                <w:color w:val="000000"/>
              </w:rPr>
              <w:t>D.22-06-048</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8914DC" w:rsidP="00D276B8" w:rsidRDefault="00F22128" w14:paraId="33EBFBA2" w14:textId="04A8BCBB">
            <w:pPr>
              <w:spacing w:before="60" w:after="60"/>
              <w:jc w:val="right"/>
              <w:rPr>
                <w:color w:val="000000"/>
              </w:rPr>
            </w:pPr>
            <w:r>
              <w:rPr>
                <w:color w:val="000000"/>
              </w:rPr>
              <w:t>$3,</w:t>
            </w:r>
            <w:r w:rsidR="004766BD">
              <w:rPr>
                <w:color w:val="000000"/>
              </w:rPr>
              <w:t>1</w:t>
            </w:r>
            <w:r>
              <w:rPr>
                <w:color w:val="000000"/>
              </w:rPr>
              <w:t>00.00</w:t>
            </w:r>
          </w:p>
        </w:tc>
        <w:tc>
          <w:tcPr>
            <w:tcW w:w="810" w:type="dxa"/>
            <w:tcBorders>
              <w:left w:val="single" w:color="auto" w:sz="4" w:space="0"/>
            </w:tcBorders>
            <w:shd w:val="clear" w:color="auto" w:fill="auto"/>
          </w:tcPr>
          <w:p w:rsidRPr="007F620E" w:rsidR="008914DC" w:rsidP="00D276B8" w:rsidRDefault="00BF1A49" w14:paraId="7F21329D" w14:textId="5D90EE57">
            <w:pPr>
              <w:spacing w:before="60" w:after="60"/>
              <w:jc w:val="right"/>
              <w:rPr>
                <w:color w:val="000000"/>
              </w:rPr>
            </w:pPr>
            <w:r>
              <w:rPr>
                <w:color w:val="000000"/>
              </w:rPr>
              <w:t>7.</w:t>
            </w:r>
            <w:r w:rsidR="00503AC1">
              <w:rPr>
                <w:color w:val="000000"/>
              </w:rPr>
              <w:t>75</w:t>
            </w:r>
          </w:p>
        </w:tc>
        <w:tc>
          <w:tcPr>
            <w:tcW w:w="1080" w:type="dxa"/>
            <w:shd w:val="clear" w:color="auto" w:fill="auto"/>
          </w:tcPr>
          <w:p w:rsidRPr="007F620E" w:rsidR="008914DC" w:rsidP="00D276B8" w:rsidRDefault="00F04470" w14:paraId="379FBD27" w14:textId="176F6935">
            <w:pPr>
              <w:spacing w:before="60" w:after="60"/>
              <w:jc w:val="right"/>
              <w:rPr>
                <w:color w:val="000000"/>
              </w:rPr>
            </w:pPr>
            <w:r>
              <w:rPr>
                <w:color w:val="000000"/>
              </w:rPr>
              <w:t>$400</w:t>
            </w:r>
            <w:r w:rsidR="007953BE">
              <w:rPr>
                <w:color w:val="000000"/>
              </w:rPr>
              <w:t>.00</w:t>
            </w:r>
          </w:p>
        </w:tc>
        <w:tc>
          <w:tcPr>
            <w:tcW w:w="1355" w:type="dxa"/>
            <w:shd w:val="clear" w:color="auto" w:fill="auto"/>
          </w:tcPr>
          <w:p w:rsidRPr="007F620E" w:rsidR="008914DC" w:rsidP="00D276B8" w:rsidRDefault="00BF1A49" w14:paraId="06284E6C" w14:textId="4A07EF6A">
            <w:pPr>
              <w:spacing w:before="60" w:after="60"/>
              <w:jc w:val="right"/>
              <w:rPr>
                <w:color w:val="000000"/>
              </w:rPr>
            </w:pPr>
            <w:r>
              <w:rPr>
                <w:color w:val="000000"/>
              </w:rPr>
              <w:t>$</w:t>
            </w:r>
            <w:r w:rsidR="00503AC1">
              <w:rPr>
                <w:color w:val="000000"/>
              </w:rPr>
              <w:t>3,100</w:t>
            </w:r>
            <w:r w:rsidR="007953BE">
              <w:rPr>
                <w:color w:val="000000"/>
              </w:rPr>
              <w:t>.00</w:t>
            </w:r>
          </w:p>
        </w:tc>
      </w:tr>
      <w:tr w:rsidRPr="007F620E" w:rsidR="00A92D0B" w:rsidTr="00D276B8" w14:paraId="62E8A168" w14:textId="77777777">
        <w:trPr>
          <w:jc w:val="center"/>
        </w:trPr>
        <w:tc>
          <w:tcPr>
            <w:tcW w:w="1345" w:type="dxa"/>
            <w:shd w:val="clear" w:color="auto" w:fill="auto"/>
            <w:vAlign w:val="center"/>
          </w:tcPr>
          <w:p w:rsidRPr="007F620E" w:rsidR="00A92D0B" w:rsidP="00D276B8" w:rsidRDefault="000E6183" w14:paraId="33EA8B38" w14:textId="12F9527D">
            <w:pPr>
              <w:spacing w:before="60" w:after="60"/>
              <w:jc w:val="right"/>
              <w:rPr>
                <w:color w:val="000000"/>
              </w:rPr>
            </w:pPr>
            <w:r>
              <w:rPr>
                <w:color w:val="000000"/>
              </w:rPr>
              <w:t>Ashley L. Salas</w:t>
            </w:r>
          </w:p>
        </w:tc>
        <w:tc>
          <w:tcPr>
            <w:tcW w:w="720" w:type="dxa"/>
            <w:shd w:val="clear" w:color="auto" w:fill="auto"/>
            <w:vAlign w:val="center"/>
          </w:tcPr>
          <w:p w:rsidRPr="007F620E" w:rsidR="00A92D0B" w:rsidP="00D276B8" w:rsidRDefault="00E926C7" w14:paraId="47EBBC49" w14:textId="4E06E89D">
            <w:pPr>
              <w:spacing w:before="60" w:after="60"/>
              <w:jc w:val="right"/>
              <w:rPr>
                <w:color w:val="000000"/>
              </w:rPr>
            </w:pPr>
            <w:r>
              <w:rPr>
                <w:color w:val="000000"/>
              </w:rPr>
              <w:t>2022</w:t>
            </w:r>
          </w:p>
        </w:tc>
        <w:tc>
          <w:tcPr>
            <w:tcW w:w="810" w:type="dxa"/>
            <w:gridSpan w:val="2"/>
            <w:shd w:val="clear" w:color="auto" w:fill="auto"/>
            <w:vAlign w:val="center"/>
          </w:tcPr>
          <w:p w:rsidRPr="007F620E" w:rsidR="00A92D0B" w:rsidP="00D276B8" w:rsidRDefault="00F22128" w14:paraId="39A3074C" w14:textId="3E27FFFE">
            <w:pPr>
              <w:spacing w:before="60" w:after="60"/>
              <w:jc w:val="right"/>
              <w:rPr>
                <w:color w:val="000000"/>
              </w:rPr>
            </w:pPr>
            <w:r>
              <w:rPr>
                <w:color w:val="000000"/>
              </w:rPr>
              <w:t>32.25</w:t>
            </w:r>
          </w:p>
        </w:tc>
        <w:tc>
          <w:tcPr>
            <w:tcW w:w="1080" w:type="dxa"/>
            <w:shd w:val="clear" w:color="auto" w:fill="auto"/>
            <w:vAlign w:val="center"/>
          </w:tcPr>
          <w:p w:rsidRPr="007F620E" w:rsidR="00A92D0B" w:rsidP="00D276B8" w:rsidRDefault="0080325E" w14:paraId="3E5BD317" w14:textId="61BE9834">
            <w:pPr>
              <w:spacing w:before="60" w:after="60"/>
              <w:jc w:val="right"/>
              <w:rPr>
                <w:color w:val="000000"/>
              </w:rPr>
            </w:pPr>
            <w:r>
              <w:rPr>
                <w:color w:val="000000"/>
              </w:rPr>
              <w:t>$415</w:t>
            </w:r>
            <w:r w:rsidR="002B16E1">
              <w:rPr>
                <w:color w:val="000000"/>
              </w:rPr>
              <w:t>.00</w:t>
            </w:r>
          </w:p>
        </w:tc>
        <w:tc>
          <w:tcPr>
            <w:tcW w:w="2610" w:type="dxa"/>
            <w:gridSpan w:val="2"/>
            <w:tcBorders>
              <w:right w:val="single" w:color="auto" w:sz="4" w:space="0"/>
            </w:tcBorders>
            <w:shd w:val="clear" w:color="auto" w:fill="auto"/>
            <w:vAlign w:val="center"/>
          </w:tcPr>
          <w:p w:rsidR="00A92D0B" w:rsidP="00D276B8" w:rsidRDefault="0080325E" w14:paraId="6343F84A" w14:textId="77777777">
            <w:pPr>
              <w:spacing w:before="60" w:after="60"/>
              <w:jc w:val="right"/>
              <w:rPr>
                <w:color w:val="000000"/>
              </w:rPr>
            </w:pPr>
            <w:r>
              <w:rPr>
                <w:color w:val="000000"/>
              </w:rPr>
              <w:t>Res. ALJ-393, 2021 Rate plus 3.3% COLA</w:t>
            </w:r>
            <w:r w:rsidR="00BE647E">
              <w:rPr>
                <w:color w:val="000000"/>
              </w:rPr>
              <w:t>.</w:t>
            </w:r>
          </w:p>
          <w:p w:rsidRPr="007F620E" w:rsidR="00BE647E" w:rsidP="00D276B8" w:rsidRDefault="00BE647E" w14:paraId="63BDE315" w14:textId="67B452A9">
            <w:pPr>
              <w:spacing w:before="60" w:after="60"/>
              <w:jc w:val="right"/>
              <w:rPr>
                <w:color w:val="000000"/>
              </w:rPr>
            </w:pPr>
            <w:r>
              <w:rPr>
                <w:color w:val="000000"/>
              </w:rPr>
              <w:t>See Comment 1.</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A92D0B" w:rsidP="00D276B8" w:rsidRDefault="00F22128" w14:paraId="06BD92A5" w14:textId="7F8DB3D3">
            <w:pPr>
              <w:spacing w:before="60" w:after="60"/>
              <w:jc w:val="right"/>
              <w:rPr>
                <w:color w:val="000000"/>
              </w:rPr>
            </w:pPr>
            <w:r>
              <w:rPr>
                <w:color w:val="000000"/>
              </w:rPr>
              <w:t>$13,383.75</w:t>
            </w:r>
          </w:p>
        </w:tc>
        <w:tc>
          <w:tcPr>
            <w:tcW w:w="810" w:type="dxa"/>
            <w:tcBorders>
              <w:left w:val="single" w:color="auto" w:sz="4" w:space="0"/>
            </w:tcBorders>
            <w:shd w:val="clear" w:color="auto" w:fill="auto"/>
          </w:tcPr>
          <w:p w:rsidRPr="007F620E" w:rsidR="00A92D0B" w:rsidP="00D276B8" w:rsidRDefault="00BF1A49" w14:paraId="31AF7AA4" w14:textId="74748728">
            <w:pPr>
              <w:spacing w:before="60" w:after="60"/>
              <w:jc w:val="right"/>
              <w:rPr>
                <w:color w:val="000000"/>
              </w:rPr>
            </w:pPr>
            <w:r>
              <w:rPr>
                <w:color w:val="000000"/>
              </w:rPr>
              <w:t>32.</w:t>
            </w:r>
            <w:r w:rsidR="0030067D">
              <w:rPr>
                <w:color w:val="000000"/>
              </w:rPr>
              <w:t>2</w:t>
            </w:r>
            <w:r>
              <w:rPr>
                <w:color w:val="000000"/>
              </w:rPr>
              <w:t>5</w:t>
            </w:r>
          </w:p>
        </w:tc>
        <w:tc>
          <w:tcPr>
            <w:tcW w:w="1080" w:type="dxa"/>
            <w:shd w:val="clear" w:color="auto" w:fill="auto"/>
          </w:tcPr>
          <w:p w:rsidRPr="007F620E" w:rsidR="00C06B54" w:rsidP="00D276B8" w:rsidRDefault="00C06B54" w14:paraId="3400AFFC" w14:textId="376E9233">
            <w:pPr>
              <w:spacing w:before="60" w:after="60"/>
              <w:jc w:val="right"/>
              <w:rPr>
                <w:color w:val="000000"/>
              </w:rPr>
            </w:pPr>
            <w:r>
              <w:rPr>
                <w:color w:val="000000"/>
              </w:rPr>
              <w:t>$415</w:t>
            </w:r>
            <w:r w:rsidR="007953BE">
              <w:rPr>
                <w:color w:val="000000"/>
              </w:rPr>
              <w:t>.00</w:t>
            </w:r>
            <w:r w:rsidR="00746FE9">
              <w:rPr>
                <w:color w:val="000000"/>
              </w:rPr>
              <w:t xml:space="preserve"> </w:t>
            </w:r>
            <w:r>
              <w:rPr>
                <w:color w:val="000000"/>
              </w:rPr>
              <w:t>[1]</w:t>
            </w:r>
          </w:p>
        </w:tc>
        <w:tc>
          <w:tcPr>
            <w:tcW w:w="1355" w:type="dxa"/>
            <w:shd w:val="clear" w:color="auto" w:fill="auto"/>
          </w:tcPr>
          <w:p w:rsidRPr="007F620E" w:rsidR="00A92D0B" w:rsidP="00D276B8" w:rsidRDefault="00BF1A49" w14:paraId="196C1830" w14:textId="26EB2590">
            <w:pPr>
              <w:spacing w:before="60" w:after="60"/>
              <w:jc w:val="right"/>
              <w:rPr>
                <w:color w:val="000000"/>
              </w:rPr>
            </w:pPr>
            <w:r>
              <w:rPr>
                <w:color w:val="000000"/>
              </w:rPr>
              <w:t>$13</w:t>
            </w:r>
            <w:r w:rsidR="00503AC1">
              <w:rPr>
                <w:color w:val="000000"/>
              </w:rPr>
              <w:t>,</w:t>
            </w:r>
            <w:r>
              <w:rPr>
                <w:color w:val="000000"/>
              </w:rPr>
              <w:t>383.75</w:t>
            </w:r>
          </w:p>
        </w:tc>
      </w:tr>
      <w:tr w:rsidRPr="007F620E" w:rsidR="00A92D0B" w:rsidTr="00D276B8" w14:paraId="5BF6A154" w14:textId="77777777">
        <w:trPr>
          <w:jc w:val="center"/>
        </w:trPr>
        <w:tc>
          <w:tcPr>
            <w:tcW w:w="1345" w:type="dxa"/>
            <w:shd w:val="clear" w:color="auto" w:fill="auto"/>
            <w:vAlign w:val="center"/>
          </w:tcPr>
          <w:p w:rsidRPr="007F620E" w:rsidR="00A92D0B" w:rsidP="00D276B8" w:rsidRDefault="000E6183" w14:paraId="118506EC" w14:textId="341DC45D">
            <w:pPr>
              <w:spacing w:before="60" w:after="60"/>
              <w:jc w:val="right"/>
              <w:rPr>
                <w:color w:val="000000"/>
              </w:rPr>
            </w:pPr>
            <w:r>
              <w:rPr>
                <w:color w:val="000000"/>
              </w:rPr>
              <w:t>Brenda D. Villanueva</w:t>
            </w:r>
          </w:p>
        </w:tc>
        <w:tc>
          <w:tcPr>
            <w:tcW w:w="720" w:type="dxa"/>
            <w:shd w:val="clear" w:color="auto" w:fill="auto"/>
            <w:vAlign w:val="center"/>
          </w:tcPr>
          <w:p w:rsidRPr="007F620E" w:rsidR="00A92D0B" w:rsidP="00D276B8" w:rsidRDefault="00380791" w14:paraId="3767540B" w14:textId="79DA8FD9">
            <w:pPr>
              <w:spacing w:before="60" w:after="60"/>
              <w:jc w:val="right"/>
              <w:rPr>
                <w:color w:val="000000"/>
              </w:rPr>
            </w:pPr>
            <w:r>
              <w:rPr>
                <w:color w:val="000000"/>
              </w:rPr>
              <w:t>2022</w:t>
            </w:r>
          </w:p>
        </w:tc>
        <w:tc>
          <w:tcPr>
            <w:tcW w:w="810" w:type="dxa"/>
            <w:gridSpan w:val="2"/>
            <w:shd w:val="clear" w:color="auto" w:fill="auto"/>
            <w:vAlign w:val="center"/>
          </w:tcPr>
          <w:p w:rsidRPr="007F620E" w:rsidR="00A92D0B" w:rsidP="00D276B8" w:rsidRDefault="004766BD" w14:paraId="120FE857" w14:textId="5817457F">
            <w:pPr>
              <w:spacing w:before="60" w:after="60"/>
              <w:jc w:val="right"/>
              <w:rPr>
                <w:color w:val="000000"/>
              </w:rPr>
            </w:pPr>
            <w:r>
              <w:rPr>
                <w:color w:val="000000"/>
              </w:rPr>
              <w:t>8.25</w:t>
            </w:r>
          </w:p>
        </w:tc>
        <w:tc>
          <w:tcPr>
            <w:tcW w:w="1080" w:type="dxa"/>
            <w:shd w:val="clear" w:color="auto" w:fill="auto"/>
            <w:vAlign w:val="center"/>
          </w:tcPr>
          <w:p w:rsidRPr="007F620E" w:rsidR="00A92D0B" w:rsidP="00D276B8" w:rsidRDefault="002B16E1" w14:paraId="075109E1" w14:textId="68A4D0C9">
            <w:pPr>
              <w:spacing w:before="60" w:after="60"/>
              <w:jc w:val="right"/>
              <w:rPr>
                <w:color w:val="000000"/>
              </w:rPr>
            </w:pPr>
            <w:r>
              <w:rPr>
                <w:color w:val="000000"/>
              </w:rPr>
              <w:t>$4</w:t>
            </w:r>
            <w:r w:rsidR="005500CC">
              <w:rPr>
                <w:color w:val="000000"/>
              </w:rPr>
              <w:t>6</w:t>
            </w:r>
            <w:r>
              <w:rPr>
                <w:color w:val="000000"/>
              </w:rPr>
              <w:t>5.00</w:t>
            </w:r>
          </w:p>
        </w:tc>
        <w:tc>
          <w:tcPr>
            <w:tcW w:w="2610" w:type="dxa"/>
            <w:gridSpan w:val="2"/>
            <w:tcBorders>
              <w:right w:val="single" w:color="auto" w:sz="4" w:space="0"/>
            </w:tcBorders>
            <w:shd w:val="clear" w:color="auto" w:fill="auto"/>
            <w:vAlign w:val="center"/>
          </w:tcPr>
          <w:p w:rsidRPr="007F620E" w:rsidR="00BE647E" w:rsidP="00D276B8" w:rsidRDefault="00BE647E" w14:paraId="4AF4C006" w14:textId="60F86A74">
            <w:pPr>
              <w:spacing w:before="60" w:after="60"/>
              <w:jc w:val="right"/>
              <w:rPr>
                <w:color w:val="000000"/>
              </w:rPr>
            </w:pPr>
            <w:r>
              <w:rPr>
                <w:color w:val="000000"/>
              </w:rPr>
              <w:t>See Comment 2.</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A92D0B" w:rsidP="00D276B8" w:rsidRDefault="00B63E2F" w14:paraId="2A77845E" w14:textId="641F7EAB">
            <w:pPr>
              <w:spacing w:before="60" w:after="60"/>
              <w:jc w:val="right"/>
              <w:rPr>
                <w:color w:val="000000"/>
              </w:rPr>
            </w:pPr>
            <w:r>
              <w:rPr>
                <w:color w:val="000000"/>
              </w:rPr>
              <w:t>$3,</w:t>
            </w:r>
            <w:r w:rsidR="00E67B72">
              <w:rPr>
                <w:color w:val="000000"/>
              </w:rPr>
              <w:t>836</w:t>
            </w:r>
            <w:r>
              <w:rPr>
                <w:color w:val="000000"/>
              </w:rPr>
              <w:t>.</w:t>
            </w:r>
            <w:r w:rsidR="004766BD">
              <w:rPr>
                <w:color w:val="000000"/>
              </w:rPr>
              <w:t>2</w:t>
            </w:r>
            <w:r>
              <w:rPr>
                <w:color w:val="000000"/>
              </w:rPr>
              <w:t>5</w:t>
            </w:r>
          </w:p>
        </w:tc>
        <w:tc>
          <w:tcPr>
            <w:tcW w:w="810" w:type="dxa"/>
            <w:tcBorders>
              <w:left w:val="single" w:color="auto" w:sz="4" w:space="0"/>
            </w:tcBorders>
            <w:shd w:val="clear" w:color="auto" w:fill="auto"/>
          </w:tcPr>
          <w:p w:rsidRPr="007F620E" w:rsidR="00A92D0B" w:rsidP="00D276B8" w:rsidRDefault="00BF1A49" w14:paraId="461DC9FD" w14:textId="13497540">
            <w:pPr>
              <w:spacing w:before="60" w:after="60"/>
              <w:jc w:val="right"/>
              <w:rPr>
                <w:color w:val="000000"/>
              </w:rPr>
            </w:pPr>
            <w:r>
              <w:rPr>
                <w:color w:val="000000"/>
              </w:rPr>
              <w:t>8.25</w:t>
            </w:r>
          </w:p>
        </w:tc>
        <w:tc>
          <w:tcPr>
            <w:tcW w:w="1080" w:type="dxa"/>
            <w:shd w:val="clear" w:color="auto" w:fill="auto"/>
          </w:tcPr>
          <w:p w:rsidRPr="007F620E" w:rsidR="00A92D0B" w:rsidP="00D276B8" w:rsidRDefault="00746FE9" w14:paraId="7FDABF74" w14:textId="49165483">
            <w:pPr>
              <w:spacing w:before="60" w:after="60"/>
              <w:jc w:val="right"/>
              <w:rPr>
                <w:color w:val="000000"/>
              </w:rPr>
            </w:pPr>
            <w:r>
              <w:rPr>
                <w:color w:val="000000"/>
              </w:rPr>
              <w:t>$</w:t>
            </w:r>
            <w:r w:rsidR="0030067D">
              <w:rPr>
                <w:color w:val="000000"/>
              </w:rPr>
              <w:t>425</w:t>
            </w:r>
            <w:r w:rsidR="007953BE">
              <w:rPr>
                <w:color w:val="000000"/>
              </w:rPr>
              <w:t>.00</w:t>
            </w:r>
            <w:r>
              <w:rPr>
                <w:color w:val="000000"/>
              </w:rPr>
              <w:t xml:space="preserve"> [2]</w:t>
            </w:r>
          </w:p>
        </w:tc>
        <w:tc>
          <w:tcPr>
            <w:tcW w:w="1355" w:type="dxa"/>
            <w:shd w:val="clear" w:color="auto" w:fill="auto"/>
          </w:tcPr>
          <w:p w:rsidRPr="007F620E" w:rsidR="00A92D0B" w:rsidP="00D276B8" w:rsidRDefault="0030067D" w14:paraId="05EFCF76" w14:textId="4B5A2095">
            <w:pPr>
              <w:spacing w:before="60" w:after="60"/>
              <w:jc w:val="right"/>
              <w:rPr>
                <w:color w:val="000000"/>
              </w:rPr>
            </w:pPr>
            <w:r>
              <w:rPr>
                <w:color w:val="000000"/>
              </w:rPr>
              <w:t>$</w:t>
            </w:r>
            <w:r w:rsidR="00411D1A">
              <w:rPr>
                <w:color w:val="000000"/>
              </w:rPr>
              <w:t>3</w:t>
            </w:r>
            <w:r w:rsidR="00503AC1">
              <w:rPr>
                <w:color w:val="000000"/>
              </w:rPr>
              <w:t>,</w:t>
            </w:r>
            <w:r>
              <w:rPr>
                <w:color w:val="000000"/>
              </w:rPr>
              <w:t>506.25</w:t>
            </w:r>
          </w:p>
        </w:tc>
      </w:tr>
      <w:tr w:rsidRPr="007F620E" w:rsidR="00A92D0B" w:rsidTr="00D276B8" w14:paraId="38E0B4EA" w14:textId="77777777">
        <w:trPr>
          <w:jc w:val="center"/>
        </w:trPr>
        <w:tc>
          <w:tcPr>
            <w:tcW w:w="1345" w:type="dxa"/>
            <w:shd w:val="clear" w:color="auto" w:fill="auto"/>
            <w:vAlign w:val="center"/>
          </w:tcPr>
          <w:p w:rsidRPr="007F620E" w:rsidR="00A92D0B" w:rsidP="00D276B8" w:rsidRDefault="008914DC" w14:paraId="1F980DF3" w14:textId="6D68656D">
            <w:pPr>
              <w:spacing w:before="60" w:after="60"/>
              <w:jc w:val="right"/>
              <w:rPr>
                <w:color w:val="000000"/>
              </w:rPr>
            </w:pPr>
            <w:r>
              <w:rPr>
                <w:color w:val="000000"/>
              </w:rPr>
              <w:t>Christine Mailloux</w:t>
            </w:r>
          </w:p>
        </w:tc>
        <w:tc>
          <w:tcPr>
            <w:tcW w:w="720" w:type="dxa"/>
            <w:shd w:val="clear" w:color="auto" w:fill="auto"/>
            <w:vAlign w:val="center"/>
          </w:tcPr>
          <w:p w:rsidRPr="007F620E" w:rsidR="00A92D0B" w:rsidP="00D276B8" w:rsidRDefault="008914DC" w14:paraId="275BF57A" w14:textId="5996131F">
            <w:pPr>
              <w:spacing w:before="60" w:after="60"/>
              <w:jc w:val="right"/>
              <w:rPr>
                <w:color w:val="000000"/>
              </w:rPr>
            </w:pPr>
            <w:r>
              <w:rPr>
                <w:color w:val="000000"/>
              </w:rPr>
              <w:t>2021</w:t>
            </w:r>
          </w:p>
        </w:tc>
        <w:tc>
          <w:tcPr>
            <w:tcW w:w="810" w:type="dxa"/>
            <w:gridSpan w:val="2"/>
            <w:shd w:val="clear" w:color="auto" w:fill="auto"/>
            <w:vAlign w:val="center"/>
          </w:tcPr>
          <w:p w:rsidRPr="007F620E" w:rsidR="00A92D0B" w:rsidP="00D276B8" w:rsidRDefault="00B63E2F" w14:paraId="0DE506C4" w14:textId="503B482E">
            <w:pPr>
              <w:spacing w:before="60" w:after="60"/>
              <w:jc w:val="right"/>
              <w:rPr>
                <w:color w:val="000000"/>
              </w:rPr>
            </w:pPr>
            <w:r>
              <w:rPr>
                <w:color w:val="000000"/>
              </w:rPr>
              <w:t>1.5</w:t>
            </w:r>
          </w:p>
        </w:tc>
        <w:tc>
          <w:tcPr>
            <w:tcW w:w="1080" w:type="dxa"/>
            <w:shd w:val="clear" w:color="auto" w:fill="auto"/>
            <w:vAlign w:val="center"/>
          </w:tcPr>
          <w:p w:rsidRPr="007F620E" w:rsidR="00A92D0B" w:rsidP="00D276B8" w:rsidRDefault="00E327A7" w14:paraId="26413E95" w14:textId="12A17FB4">
            <w:pPr>
              <w:spacing w:before="60" w:after="60"/>
              <w:jc w:val="right"/>
              <w:rPr>
                <w:color w:val="000000"/>
              </w:rPr>
            </w:pPr>
            <w:r>
              <w:rPr>
                <w:color w:val="000000"/>
              </w:rPr>
              <w:t>$700.00</w:t>
            </w:r>
          </w:p>
        </w:tc>
        <w:tc>
          <w:tcPr>
            <w:tcW w:w="2610" w:type="dxa"/>
            <w:gridSpan w:val="2"/>
            <w:tcBorders>
              <w:right w:val="single" w:color="auto" w:sz="4" w:space="0"/>
            </w:tcBorders>
            <w:shd w:val="clear" w:color="auto" w:fill="auto"/>
            <w:vAlign w:val="center"/>
          </w:tcPr>
          <w:p w:rsidRPr="007F620E" w:rsidR="00E327A7" w:rsidP="00D276B8" w:rsidRDefault="00E327A7" w14:paraId="300AA881" w14:textId="5BA006CC">
            <w:pPr>
              <w:spacing w:before="60" w:after="60"/>
              <w:jc w:val="right"/>
              <w:rPr>
                <w:color w:val="000000"/>
              </w:rPr>
            </w:pPr>
            <w:r>
              <w:rPr>
                <w:color w:val="000000"/>
              </w:rPr>
              <w:t>D.22-05-026</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A92D0B" w:rsidP="00D276B8" w:rsidRDefault="00B63E2F" w14:paraId="23EF368E" w14:textId="1EDD09B5">
            <w:pPr>
              <w:spacing w:before="60" w:after="60"/>
              <w:jc w:val="right"/>
              <w:rPr>
                <w:color w:val="000000"/>
              </w:rPr>
            </w:pPr>
            <w:r>
              <w:rPr>
                <w:color w:val="000000"/>
              </w:rPr>
              <w:t>$1,050.00</w:t>
            </w:r>
          </w:p>
        </w:tc>
        <w:tc>
          <w:tcPr>
            <w:tcW w:w="810" w:type="dxa"/>
            <w:tcBorders>
              <w:left w:val="single" w:color="auto" w:sz="4" w:space="0"/>
            </w:tcBorders>
            <w:shd w:val="clear" w:color="auto" w:fill="auto"/>
          </w:tcPr>
          <w:p w:rsidRPr="007F620E" w:rsidR="00A92D0B" w:rsidP="00D276B8" w:rsidRDefault="00BF1A49" w14:paraId="2B0CA953" w14:textId="27EB7676">
            <w:pPr>
              <w:spacing w:before="60" w:after="60"/>
              <w:jc w:val="right"/>
              <w:rPr>
                <w:color w:val="000000"/>
              </w:rPr>
            </w:pPr>
            <w:r>
              <w:rPr>
                <w:color w:val="000000"/>
              </w:rPr>
              <w:t>1.5</w:t>
            </w:r>
            <w:r w:rsidR="007953BE">
              <w:rPr>
                <w:color w:val="000000"/>
              </w:rPr>
              <w:t>0</w:t>
            </w:r>
          </w:p>
        </w:tc>
        <w:tc>
          <w:tcPr>
            <w:tcW w:w="1080" w:type="dxa"/>
            <w:shd w:val="clear" w:color="auto" w:fill="auto"/>
          </w:tcPr>
          <w:p w:rsidRPr="007F620E" w:rsidR="00A92D0B" w:rsidP="00D276B8" w:rsidRDefault="004B75E8" w14:paraId="1FC8906C" w14:textId="598B74F9">
            <w:pPr>
              <w:spacing w:before="60" w:after="60"/>
              <w:jc w:val="right"/>
              <w:rPr>
                <w:color w:val="000000"/>
              </w:rPr>
            </w:pPr>
            <w:r>
              <w:rPr>
                <w:color w:val="000000"/>
              </w:rPr>
              <w:t>$700</w:t>
            </w:r>
            <w:r w:rsidR="007953BE">
              <w:rPr>
                <w:color w:val="000000"/>
              </w:rPr>
              <w:t>.00</w:t>
            </w:r>
          </w:p>
        </w:tc>
        <w:tc>
          <w:tcPr>
            <w:tcW w:w="1355" w:type="dxa"/>
            <w:shd w:val="clear" w:color="auto" w:fill="auto"/>
          </w:tcPr>
          <w:p w:rsidRPr="007F620E" w:rsidR="00A92D0B" w:rsidP="00D276B8" w:rsidRDefault="00BF1A49" w14:paraId="6C594CB5" w14:textId="19772006">
            <w:pPr>
              <w:spacing w:before="60" w:after="60"/>
              <w:jc w:val="right"/>
              <w:rPr>
                <w:color w:val="000000"/>
              </w:rPr>
            </w:pPr>
            <w:r>
              <w:rPr>
                <w:color w:val="000000"/>
              </w:rPr>
              <w:t>$1</w:t>
            </w:r>
            <w:r w:rsidR="00503AC1">
              <w:rPr>
                <w:color w:val="000000"/>
              </w:rPr>
              <w:t>,</w:t>
            </w:r>
            <w:r>
              <w:rPr>
                <w:color w:val="000000"/>
              </w:rPr>
              <w:t>050</w:t>
            </w:r>
            <w:r w:rsidR="00503AC1">
              <w:rPr>
                <w:color w:val="000000"/>
              </w:rPr>
              <w:t>.00</w:t>
            </w:r>
          </w:p>
        </w:tc>
      </w:tr>
      <w:tr w:rsidRPr="007F620E" w:rsidR="00E3786F" w:rsidTr="00D276B8" w14:paraId="1B237C11" w14:textId="77777777">
        <w:trPr>
          <w:jc w:val="center"/>
        </w:trPr>
        <w:tc>
          <w:tcPr>
            <w:tcW w:w="7915" w:type="dxa"/>
            <w:gridSpan w:val="9"/>
            <w:tcBorders>
              <w:bottom w:val="single" w:color="auto" w:sz="4" w:space="0"/>
              <w:right w:val="single" w:color="auto" w:sz="24" w:space="0"/>
            </w:tcBorders>
            <w:shd w:val="clear" w:color="auto" w:fill="auto"/>
            <w:vAlign w:val="bottom"/>
          </w:tcPr>
          <w:p w:rsidRPr="00374FD1" w:rsidR="00E3786F" w:rsidP="00D276B8" w:rsidRDefault="00E3786F" w14:paraId="2ECB6744" w14:textId="35F27392">
            <w:pPr>
              <w:tabs>
                <w:tab w:val="left" w:pos="957"/>
              </w:tabs>
              <w:spacing w:before="60" w:after="60"/>
              <w:ind w:right="162"/>
              <w:jc w:val="right"/>
              <w:rPr>
                <w:b/>
                <w:i/>
                <w:color w:val="000000"/>
              </w:rPr>
            </w:pPr>
            <w:r w:rsidRPr="007F620E">
              <w:rPr>
                <w:b/>
                <w:i/>
                <w:color w:val="000000"/>
              </w:rPr>
              <w:t xml:space="preserve">Subtotal: </w:t>
            </w:r>
            <w:r w:rsidRPr="00995EEA">
              <w:t>$</w:t>
            </w:r>
            <w:r w:rsidRPr="00995EEA" w:rsidR="004766BD">
              <w:t>21,</w:t>
            </w:r>
            <w:r w:rsidRPr="00995EEA" w:rsidR="00E67B72">
              <w:t>370</w:t>
            </w:r>
            <w:r w:rsidRPr="00995EEA" w:rsidR="004766BD">
              <w:t>.00</w:t>
            </w:r>
          </w:p>
        </w:tc>
        <w:tc>
          <w:tcPr>
            <w:tcW w:w="3245" w:type="dxa"/>
            <w:gridSpan w:val="3"/>
            <w:tcBorders>
              <w:left w:val="single" w:color="auto" w:sz="24" w:space="0"/>
              <w:bottom w:val="single" w:color="auto" w:sz="4" w:space="0"/>
            </w:tcBorders>
            <w:shd w:val="clear" w:color="auto" w:fill="auto"/>
            <w:vAlign w:val="bottom"/>
          </w:tcPr>
          <w:p w:rsidRPr="00503AC1" w:rsidR="00E3786F" w:rsidP="00D276B8" w:rsidRDefault="00E3786F" w14:paraId="4C4556E5" w14:textId="1B6DD4F4">
            <w:pPr>
              <w:tabs>
                <w:tab w:val="left" w:pos="957"/>
              </w:tabs>
              <w:spacing w:before="60" w:after="60"/>
              <w:ind w:right="162"/>
              <w:jc w:val="right"/>
              <w:rPr>
                <w:bCs/>
                <w:color w:val="000000"/>
              </w:rPr>
            </w:pPr>
            <w:r w:rsidRPr="007F620E">
              <w:rPr>
                <w:b/>
                <w:i/>
                <w:color w:val="000000"/>
              </w:rPr>
              <w:t>Subtotal</w:t>
            </w:r>
            <w:r w:rsidRPr="00411D1A">
              <w:t>: $</w:t>
            </w:r>
            <w:r w:rsidRPr="00411D1A" w:rsidR="00411D1A">
              <w:t>21,040</w:t>
            </w:r>
            <w:r w:rsidR="007953BE">
              <w:t>.00</w:t>
            </w:r>
          </w:p>
        </w:tc>
      </w:tr>
      <w:tr w:rsidRPr="007F620E" w:rsidR="00A92D0B" w:rsidTr="00EC6387" w14:paraId="4F8FAF05"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7F620E" w:rsidR="00A92D0B" w:rsidP="00D276B8" w:rsidRDefault="00A92D0B" w14:paraId="41FE304C" w14:textId="77777777">
            <w:pPr>
              <w:keepNext/>
              <w:spacing w:before="60" w:after="60"/>
              <w:jc w:val="right"/>
              <w:rPr>
                <w:color w:val="000000"/>
              </w:rPr>
            </w:pPr>
            <w:r w:rsidRPr="007F620E">
              <w:rPr>
                <w:b/>
                <w:color w:val="000000"/>
              </w:rPr>
              <w:lastRenderedPageBreak/>
              <w:t xml:space="preserve">INTERVENOR COMPENSATION CLAIM </w:t>
            </w:r>
            <w:proofErr w:type="gramStart"/>
            <w:r w:rsidRPr="007F620E">
              <w:rPr>
                <w:b/>
                <w:color w:val="000000"/>
              </w:rPr>
              <w:t xml:space="preserve">PREPARATION </w:t>
            </w:r>
            <w:r w:rsidRPr="007F620E">
              <w:rPr>
                <w:b/>
                <w:smallCaps/>
                <w:color w:val="000000"/>
              </w:rPr>
              <w:t xml:space="preserve"> *</w:t>
            </w:r>
            <w:proofErr w:type="gramEnd"/>
            <w:r w:rsidRPr="007F620E">
              <w:rPr>
                <w:b/>
                <w:smallCaps/>
                <w:color w:val="000000"/>
              </w:rPr>
              <w:t>*</w:t>
            </w:r>
          </w:p>
        </w:tc>
      </w:tr>
      <w:tr w:rsidRPr="00260518" w:rsidR="00A92D0B" w:rsidTr="00D276B8" w14:paraId="48B3E535" w14:textId="77777777">
        <w:trPr>
          <w:jc w:val="center"/>
        </w:trPr>
        <w:tc>
          <w:tcPr>
            <w:tcW w:w="1345" w:type="dxa"/>
            <w:tcBorders>
              <w:top w:val="single" w:color="auto" w:sz="4" w:space="0"/>
              <w:bottom w:val="single" w:color="auto" w:sz="4" w:space="0"/>
            </w:tcBorders>
            <w:shd w:val="clear" w:color="auto" w:fill="auto"/>
            <w:vAlign w:val="bottom"/>
          </w:tcPr>
          <w:p w:rsidRPr="00260518" w:rsidR="00A92D0B" w:rsidP="00D276B8" w:rsidRDefault="00A92D0B" w14:paraId="563A43BB" w14:textId="77777777">
            <w:pPr>
              <w:keepNext/>
              <w:spacing w:before="60" w:after="60"/>
              <w:jc w:val="right"/>
              <w:rPr>
                <w:b/>
                <w:color w:val="000000"/>
                <w:sz w:val="22"/>
                <w:szCs w:val="22"/>
              </w:rPr>
            </w:pPr>
            <w:r w:rsidRPr="00260518">
              <w:rPr>
                <w:b/>
                <w:color w:val="000000"/>
                <w:sz w:val="22"/>
                <w:szCs w:val="22"/>
              </w:rPr>
              <w:t>Item</w:t>
            </w:r>
          </w:p>
        </w:tc>
        <w:tc>
          <w:tcPr>
            <w:tcW w:w="720" w:type="dxa"/>
            <w:tcBorders>
              <w:top w:val="single" w:color="auto" w:sz="4" w:space="0"/>
              <w:bottom w:val="single" w:color="auto" w:sz="4" w:space="0"/>
            </w:tcBorders>
            <w:shd w:val="clear" w:color="auto" w:fill="auto"/>
            <w:vAlign w:val="bottom"/>
          </w:tcPr>
          <w:p w:rsidRPr="00260518" w:rsidR="00A92D0B" w:rsidP="00D276B8" w:rsidRDefault="00A92D0B" w14:paraId="144552E0" w14:textId="77777777">
            <w:pPr>
              <w:keepNext/>
              <w:spacing w:before="60" w:after="60"/>
              <w:jc w:val="right"/>
              <w:rPr>
                <w:b/>
                <w:color w:val="000000"/>
                <w:sz w:val="22"/>
                <w:szCs w:val="22"/>
              </w:rPr>
            </w:pPr>
            <w:r w:rsidRPr="00260518">
              <w:rPr>
                <w:b/>
                <w:color w:val="000000"/>
                <w:sz w:val="22"/>
                <w:szCs w:val="22"/>
              </w:rPr>
              <w:t>Year</w:t>
            </w:r>
          </w:p>
        </w:tc>
        <w:tc>
          <w:tcPr>
            <w:tcW w:w="810" w:type="dxa"/>
            <w:gridSpan w:val="2"/>
            <w:tcBorders>
              <w:top w:val="single" w:color="auto" w:sz="4" w:space="0"/>
              <w:bottom w:val="single" w:color="auto" w:sz="4" w:space="0"/>
            </w:tcBorders>
            <w:shd w:val="clear" w:color="auto" w:fill="auto"/>
            <w:vAlign w:val="bottom"/>
          </w:tcPr>
          <w:p w:rsidRPr="00260518" w:rsidR="00A92D0B" w:rsidP="00D276B8" w:rsidRDefault="00A92D0B" w14:paraId="42890B1B" w14:textId="77777777">
            <w:pPr>
              <w:keepNext/>
              <w:spacing w:before="60" w:after="60"/>
              <w:jc w:val="right"/>
              <w:rPr>
                <w:b/>
                <w:color w:val="000000"/>
                <w:sz w:val="22"/>
                <w:szCs w:val="22"/>
              </w:rPr>
            </w:pPr>
            <w:r w:rsidRPr="00260518">
              <w:rPr>
                <w:b/>
                <w:color w:val="000000"/>
                <w:sz w:val="22"/>
                <w:szCs w:val="22"/>
              </w:rPr>
              <w:t>Hours</w:t>
            </w:r>
          </w:p>
        </w:tc>
        <w:tc>
          <w:tcPr>
            <w:tcW w:w="1080" w:type="dxa"/>
            <w:tcBorders>
              <w:top w:val="single" w:color="auto" w:sz="4" w:space="0"/>
              <w:bottom w:val="single" w:color="auto" w:sz="4" w:space="0"/>
            </w:tcBorders>
            <w:shd w:val="clear" w:color="auto" w:fill="auto"/>
            <w:vAlign w:val="bottom"/>
          </w:tcPr>
          <w:p w:rsidRPr="00260518" w:rsidR="00A92D0B" w:rsidP="00D276B8" w:rsidRDefault="00A92D0B" w14:paraId="1E7BD956" w14:textId="243077B9">
            <w:pPr>
              <w:keepNext/>
              <w:spacing w:before="60" w:after="60"/>
              <w:jc w:val="right"/>
              <w:rPr>
                <w:b/>
                <w:color w:val="000000"/>
                <w:sz w:val="22"/>
                <w:szCs w:val="22"/>
              </w:rPr>
            </w:pPr>
            <w:r w:rsidRPr="00260518">
              <w:rPr>
                <w:b/>
                <w:color w:val="000000"/>
                <w:sz w:val="22"/>
                <w:szCs w:val="22"/>
              </w:rPr>
              <w:t>Rate</w:t>
            </w:r>
            <w:r w:rsidRPr="00260518" w:rsidR="00380703">
              <w:rPr>
                <w:b/>
                <w:color w:val="000000"/>
                <w:sz w:val="22"/>
                <w:szCs w:val="22"/>
              </w:rPr>
              <w:t xml:space="preserve"> $</w:t>
            </w:r>
          </w:p>
        </w:tc>
        <w:tc>
          <w:tcPr>
            <w:tcW w:w="2610" w:type="dxa"/>
            <w:gridSpan w:val="2"/>
            <w:tcBorders>
              <w:top w:val="single" w:color="auto" w:sz="4" w:space="0"/>
              <w:bottom w:val="single" w:color="auto" w:sz="4" w:space="0"/>
              <w:right w:val="single" w:color="auto" w:sz="4" w:space="0"/>
            </w:tcBorders>
            <w:shd w:val="clear" w:color="auto" w:fill="auto"/>
            <w:vAlign w:val="bottom"/>
          </w:tcPr>
          <w:p w:rsidRPr="00260518" w:rsidR="00A92D0B" w:rsidP="00D276B8" w:rsidRDefault="00A92D0B" w14:paraId="104D7982" w14:textId="77777777">
            <w:pPr>
              <w:keepNext/>
              <w:spacing w:before="60" w:after="60"/>
              <w:jc w:val="right"/>
              <w:rPr>
                <w:b/>
                <w:color w:val="000000"/>
                <w:sz w:val="22"/>
                <w:szCs w:val="22"/>
              </w:rPr>
            </w:pPr>
            <w:r w:rsidRPr="00260518">
              <w:rPr>
                <w:b/>
                <w:color w:val="000000"/>
                <w:sz w:val="22"/>
                <w:szCs w:val="22"/>
              </w:rPr>
              <w:t>Basis for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60518" w:rsidR="00A92D0B" w:rsidP="00D276B8" w:rsidRDefault="00A92D0B" w14:paraId="073B2BB9" w14:textId="77777777">
            <w:pPr>
              <w:keepNext/>
              <w:spacing w:before="60" w:after="60"/>
              <w:jc w:val="right"/>
              <w:rPr>
                <w:b/>
                <w:color w:val="000000"/>
                <w:sz w:val="22"/>
                <w:szCs w:val="22"/>
              </w:rPr>
            </w:pPr>
            <w:r w:rsidRPr="00260518">
              <w:rPr>
                <w:b/>
                <w:color w:val="000000"/>
                <w:sz w:val="22"/>
                <w:szCs w:val="22"/>
              </w:rPr>
              <w:t>Total $</w:t>
            </w:r>
          </w:p>
        </w:tc>
        <w:tc>
          <w:tcPr>
            <w:tcW w:w="810" w:type="dxa"/>
            <w:tcBorders>
              <w:top w:val="single" w:color="auto" w:sz="4" w:space="0"/>
              <w:left w:val="single" w:color="auto" w:sz="4" w:space="0"/>
            </w:tcBorders>
            <w:shd w:val="clear" w:color="auto" w:fill="auto"/>
            <w:vAlign w:val="bottom"/>
          </w:tcPr>
          <w:p w:rsidRPr="00260518" w:rsidR="00A92D0B" w:rsidP="00D276B8" w:rsidRDefault="00A92D0B" w14:paraId="0409143B" w14:textId="77777777">
            <w:pPr>
              <w:keepNext/>
              <w:spacing w:before="60" w:after="60"/>
              <w:jc w:val="right"/>
              <w:rPr>
                <w:b/>
                <w:color w:val="000000"/>
                <w:sz w:val="22"/>
                <w:szCs w:val="22"/>
              </w:rPr>
            </w:pPr>
            <w:r w:rsidRPr="00260518">
              <w:rPr>
                <w:b/>
                <w:color w:val="000000"/>
                <w:sz w:val="22"/>
                <w:szCs w:val="22"/>
              </w:rPr>
              <w:t>Hours</w:t>
            </w:r>
          </w:p>
        </w:tc>
        <w:tc>
          <w:tcPr>
            <w:tcW w:w="1080" w:type="dxa"/>
            <w:tcBorders>
              <w:top w:val="single" w:color="auto" w:sz="4" w:space="0"/>
            </w:tcBorders>
            <w:shd w:val="clear" w:color="auto" w:fill="auto"/>
            <w:vAlign w:val="bottom"/>
          </w:tcPr>
          <w:p w:rsidRPr="00260518" w:rsidR="00A92D0B" w:rsidP="00D276B8" w:rsidRDefault="00A92D0B" w14:paraId="6B59BB80" w14:textId="2C791D8E">
            <w:pPr>
              <w:keepNext/>
              <w:spacing w:before="60" w:after="60"/>
              <w:jc w:val="right"/>
              <w:rPr>
                <w:b/>
                <w:color w:val="000000"/>
                <w:sz w:val="22"/>
                <w:szCs w:val="22"/>
              </w:rPr>
            </w:pPr>
            <w:r w:rsidRPr="00260518">
              <w:rPr>
                <w:b/>
                <w:color w:val="000000"/>
                <w:sz w:val="22"/>
                <w:szCs w:val="22"/>
              </w:rPr>
              <w:t xml:space="preserve">Rate </w:t>
            </w:r>
            <w:r w:rsidR="00B17005">
              <w:rPr>
                <w:b/>
                <w:color w:val="000000"/>
                <w:sz w:val="22"/>
                <w:szCs w:val="22"/>
              </w:rPr>
              <w:t>$</w:t>
            </w:r>
          </w:p>
        </w:tc>
        <w:tc>
          <w:tcPr>
            <w:tcW w:w="1355" w:type="dxa"/>
            <w:tcBorders>
              <w:top w:val="single" w:color="auto" w:sz="4" w:space="0"/>
            </w:tcBorders>
            <w:shd w:val="clear" w:color="auto" w:fill="auto"/>
            <w:vAlign w:val="bottom"/>
          </w:tcPr>
          <w:p w:rsidRPr="00260518" w:rsidR="00A92D0B" w:rsidP="00D276B8" w:rsidRDefault="00A92D0B" w14:paraId="6C7B13CF" w14:textId="77777777">
            <w:pPr>
              <w:keepNext/>
              <w:spacing w:before="60" w:after="60"/>
              <w:jc w:val="right"/>
              <w:rPr>
                <w:b/>
                <w:color w:val="000000"/>
                <w:sz w:val="22"/>
                <w:szCs w:val="22"/>
              </w:rPr>
            </w:pPr>
            <w:r w:rsidRPr="00260518">
              <w:rPr>
                <w:b/>
                <w:color w:val="000000"/>
                <w:sz w:val="22"/>
                <w:szCs w:val="22"/>
              </w:rPr>
              <w:t>Total $</w:t>
            </w:r>
          </w:p>
        </w:tc>
      </w:tr>
      <w:tr w:rsidRPr="007F620E" w:rsidR="00A92D0B" w:rsidTr="00D276B8" w14:paraId="25086E67" w14:textId="77777777">
        <w:trPr>
          <w:jc w:val="center"/>
        </w:trPr>
        <w:tc>
          <w:tcPr>
            <w:tcW w:w="1345" w:type="dxa"/>
            <w:shd w:val="clear" w:color="auto" w:fill="auto"/>
            <w:vAlign w:val="center"/>
          </w:tcPr>
          <w:p w:rsidRPr="007F620E" w:rsidR="00A92D0B" w:rsidP="00D276B8" w:rsidRDefault="008914DC" w14:paraId="386D0995" w14:textId="7FBF531A">
            <w:pPr>
              <w:spacing w:before="60" w:after="60"/>
              <w:jc w:val="right"/>
              <w:rPr>
                <w:color w:val="000000"/>
              </w:rPr>
            </w:pPr>
            <w:r>
              <w:rPr>
                <w:color w:val="000000"/>
              </w:rPr>
              <w:t>Ashley L. Salas</w:t>
            </w:r>
          </w:p>
        </w:tc>
        <w:tc>
          <w:tcPr>
            <w:tcW w:w="720" w:type="dxa"/>
            <w:shd w:val="clear" w:color="auto" w:fill="auto"/>
            <w:vAlign w:val="center"/>
          </w:tcPr>
          <w:p w:rsidRPr="007F620E" w:rsidR="00A92D0B" w:rsidP="00D276B8" w:rsidRDefault="00CB7251" w14:paraId="4A155F1D" w14:textId="7039FE63">
            <w:pPr>
              <w:spacing w:before="60" w:after="60"/>
              <w:jc w:val="right"/>
              <w:rPr>
                <w:color w:val="000000"/>
              </w:rPr>
            </w:pPr>
            <w:r>
              <w:rPr>
                <w:color w:val="000000"/>
              </w:rPr>
              <w:t>2022</w:t>
            </w:r>
          </w:p>
        </w:tc>
        <w:tc>
          <w:tcPr>
            <w:tcW w:w="810" w:type="dxa"/>
            <w:gridSpan w:val="2"/>
            <w:shd w:val="clear" w:color="auto" w:fill="auto"/>
            <w:vAlign w:val="center"/>
          </w:tcPr>
          <w:p w:rsidRPr="007F620E" w:rsidR="00A92D0B" w:rsidP="00D276B8" w:rsidRDefault="00B63E2F" w14:paraId="30EEA80A" w14:textId="7CCBE217">
            <w:pPr>
              <w:spacing w:before="60" w:after="60"/>
              <w:jc w:val="right"/>
              <w:rPr>
                <w:color w:val="000000"/>
              </w:rPr>
            </w:pPr>
            <w:r>
              <w:rPr>
                <w:color w:val="000000"/>
              </w:rPr>
              <w:t>5.50</w:t>
            </w:r>
          </w:p>
        </w:tc>
        <w:tc>
          <w:tcPr>
            <w:tcW w:w="1080" w:type="dxa"/>
            <w:shd w:val="clear" w:color="auto" w:fill="auto"/>
            <w:vAlign w:val="center"/>
          </w:tcPr>
          <w:p w:rsidRPr="007F620E" w:rsidR="00A92D0B" w:rsidP="00D276B8" w:rsidRDefault="00CB7251" w14:paraId="4EB14C91" w14:textId="197D21AF">
            <w:pPr>
              <w:spacing w:before="60" w:after="60"/>
              <w:jc w:val="right"/>
              <w:rPr>
                <w:color w:val="000000"/>
              </w:rPr>
            </w:pPr>
            <w:r>
              <w:rPr>
                <w:color w:val="000000"/>
              </w:rPr>
              <w:t>$207.50</w:t>
            </w:r>
          </w:p>
        </w:tc>
        <w:tc>
          <w:tcPr>
            <w:tcW w:w="2610" w:type="dxa"/>
            <w:gridSpan w:val="2"/>
            <w:tcBorders>
              <w:right w:val="single" w:color="auto" w:sz="4" w:space="0"/>
            </w:tcBorders>
            <w:shd w:val="clear" w:color="auto" w:fill="auto"/>
            <w:vAlign w:val="center"/>
          </w:tcPr>
          <w:p w:rsidRPr="007F620E" w:rsidR="00A92D0B" w:rsidP="00D276B8" w:rsidRDefault="00CB7251" w14:paraId="02D334B7" w14:textId="18574E7F">
            <w:pPr>
              <w:spacing w:before="60" w:after="60"/>
              <w:jc w:val="right"/>
              <w:rPr>
                <w:color w:val="000000"/>
              </w:rPr>
            </w:pPr>
            <w:r>
              <w:rPr>
                <w:color w:val="000000"/>
              </w:rPr>
              <w:t>Half of 2022 Requested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A92D0B" w:rsidP="00D276B8" w:rsidRDefault="00B63E2F" w14:paraId="7B9A0261" w14:textId="533F4920">
            <w:pPr>
              <w:spacing w:before="60" w:after="60"/>
              <w:jc w:val="right"/>
              <w:rPr>
                <w:color w:val="000000"/>
              </w:rPr>
            </w:pPr>
            <w:r>
              <w:rPr>
                <w:color w:val="000000"/>
              </w:rPr>
              <w:t>$</w:t>
            </w:r>
            <w:r w:rsidR="00387ED3">
              <w:rPr>
                <w:color w:val="000000"/>
              </w:rPr>
              <w:t>1,141.25</w:t>
            </w:r>
          </w:p>
        </w:tc>
        <w:tc>
          <w:tcPr>
            <w:tcW w:w="810" w:type="dxa"/>
            <w:tcBorders>
              <w:left w:val="single" w:color="auto" w:sz="4" w:space="0"/>
              <w:right w:val="single" w:color="auto" w:sz="4" w:space="0"/>
            </w:tcBorders>
            <w:shd w:val="clear" w:color="auto" w:fill="auto"/>
          </w:tcPr>
          <w:p w:rsidRPr="007F620E" w:rsidR="00A92D0B" w:rsidP="00D276B8" w:rsidRDefault="0030067D" w14:paraId="5E5A4264" w14:textId="5F8F5AEC">
            <w:pPr>
              <w:spacing w:before="60" w:after="60"/>
              <w:jc w:val="right"/>
              <w:rPr>
                <w:color w:val="000000"/>
              </w:rPr>
            </w:pPr>
            <w:r>
              <w:rPr>
                <w:color w:val="000000"/>
              </w:rPr>
              <w:t>5.5</w:t>
            </w:r>
            <w:r w:rsidR="007953BE">
              <w:rPr>
                <w:color w:val="000000"/>
              </w:rPr>
              <w:t>0</w:t>
            </w:r>
          </w:p>
        </w:tc>
        <w:tc>
          <w:tcPr>
            <w:tcW w:w="1080" w:type="dxa"/>
            <w:tcBorders>
              <w:left w:val="single" w:color="auto" w:sz="4" w:space="0"/>
            </w:tcBorders>
            <w:shd w:val="clear" w:color="auto" w:fill="auto"/>
          </w:tcPr>
          <w:p w:rsidRPr="007F620E" w:rsidR="00A92D0B" w:rsidP="00D276B8" w:rsidRDefault="00C06B54" w14:paraId="47B1F089" w14:textId="7B89B332">
            <w:pPr>
              <w:spacing w:before="60" w:after="60"/>
              <w:jc w:val="right"/>
              <w:rPr>
                <w:color w:val="000000"/>
              </w:rPr>
            </w:pPr>
            <w:r>
              <w:rPr>
                <w:color w:val="000000"/>
              </w:rPr>
              <w:t>$207.50</w:t>
            </w:r>
          </w:p>
        </w:tc>
        <w:tc>
          <w:tcPr>
            <w:tcW w:w="1355" w:type="dxa"/>
            <w:shd w:val="clear" w:color="auto" w:fill="auto"/>
          </w:tcPr>
          <w:p w:rsidRPr="007F620E" w:rsidR="00A92D0B" w:rsidP="00D276B8" w:rsidRDefault="0030067D" w14:paraId="10659B6D" w14:textId="5ADA23FA">
            <w:pPr>
              <w:spacing w:before="60" w:after="60"/>
              <w:jc w:val="right"/>
              <w:rPr>
                <w:color w:val="000000"/>
              </w:rPr>
            </w:pPr>
            <w:r>
              <w:rPr>
                <w:color w:val="000000"/>
              </w:rPr>
              <w:t>$1</w:t>
            </w:r>
            <w:r w:rsidR="00F635D4">
              <w:rPr>
                <w:color w:val="000000"/>
              </w:rPr>
              <w:t>,</w:t>
            </w:r>
            <w:r>
              <w:rPr>
                <w:color w:val="000000"/>
              </w:rPr>
              <w:t>141.25</w:t>
            </w:r>
          </w:p>
        </w:tc>
      </w:tr>
      <w:tr w:rsidRPr="007F620E" w:rsidR="00A92D0B" w:rsidTr="00D276B8" w14:paraId="7AB9EF54" w14:textId="77777777">
        <w:trPr>
          <w:jc w:val="center"/>
        </w:trPr>
        <w:tc>
          <w:tcPr>
            <w:tcW w:w="1345" w:type="dxa"/>
            <w:shd w:val="clear" w:color="auto" w:fill="auto"/>
            <w:vAlign w:val="center"/>
          </w:tcPr>
          <w:p w:rsidRPr="007F620E" w:rsidR="00A92D0B" w:rsidP="00D276B8" w:rsidRDefault="008914DC" w14:paraId="4F803C09" w14:textId="52EF0956">
            <w:pPr>
              <w:spacing w:before="60" w:after="60"/>
              <w:jc w:val="right"/>
              <w:rPr>
                <w:color w:val="000000"/>
              </w:rPr>
            </w:pPr>
            <w:r>
              <w:rPr>
                <w:color w:val="000000"/>
              </w:rPr>
              <w:t>Brenda D. Villanueva</w:t>
            </w:r>
          </w:p>
        </w:tc>
        <w:tc>
          <w:tcPr>
            <w:tcW w:w="720" w:type="dxa"/>
            <w:shd w:val="clear" w:color="auto" w:fill="auto"/>
            <w:vAlign w:val="center"/>
          </w:tcPr>
          <w:p w:rsidRPr="007F620E" w:rsidR="00A92D0B" w:rsidP="00D276B8" w:rsidRDefault="00CB7251" w14:paraId="058BFE37" w14:textId="7CFA0B92">
            <w:pPr>
              <w:spacing w:before="60" w:after="60"/>
              <w:jc w:val="right"/>
              <w:rPr>
                <w:color w:val="000000"/>
              </w:rPr>
            </w:pPr>
            <w:r>
              <w:rPr>
                <w:color w:val="000000"/>
              </w:rPr>
              <w:t>2022</w:t>
            </w:r>
          </w:p>
        </w:tc>
        <w:tc>
          <w:tcPr>
            <w:tcW w:w="810" w:type="dxa"/>
            <w:gridSpan w:val="2"/>
            <w:shd w:val="clear" w:color="auto" w:fill="auto"/>
            <w:vAlign w:val="center"/>
          </w:tcPr>
          <w:p w:rsidRPr="007F620E" w:rsidR="00A92D0B" w:rsidP="00D276B8" w:rsidRDefault="00B63E2F" w14:paraId="66A42865" w14:textId="090464C8">
            <w:pPr>
              <w:spacing w:before="60" w:after="60"/>
              <w:jc w:val="right"/>
              <w:rPr>
                <w:color w:val="000000"/>
              </w:rPr>
            </w:pPr>
            <w:r>
              <w:rPr>
                <w:color w:val="000000"/>
              </w:rPr>
              <w:t>1.00</w:t>
            </w:r>
          </w:p>
        </w:tc>
        <w:tc>
          <w:tcPr>
            <w:tcW w:w="1080" w:type="dxa"/>
            <w:shd w:val="clear" w:color="auto" w:fill="auto"/>
            <w:vAlign w:val="center"/>
          </w:tcPr>
          <w:p w:rsidRPr="007F620E" w:rsidR="00A92D0B" w:rsidP="00D276B8" w:rsidRDefault="00CB7251" w14:paraId="42AE8F2C" w14:textId="06F2C6EA">
            <w:pPr>
              <w:spacing w:before="60" w:after="60"/>
              <w:jc w:val="right"/>
              <w:rPr>
                <w:color w:val="000000"/>
              </w:rPr>
            </w:pPr>
            <w:r>
              <w:rPr>
                <w:color w:val="000000"/>
              </w:rPr>
              <w:t>$2</w:t>
            </w:r>
            <w:r w:rsidR="00A95BEB">
              <w:rPr>
                <w:color w:val="000000"/>
              </w:rPr>
              <w:t>3</w:t>
            </w:r>
            <w:r>
              <w:rPr>
                <w:color w:val="000000"/>
              </w:rPr>
              <w:t>2.50</w:t>
            </w:r>
          </w:p>
        </w:tc>
        <w:tc>
          <w:tcPr>
            <w:tcW w:w="2610" w:type="dxa"/>
            <w:gridSpan w:val="2"/>
            <w:tcBorders>
              <w:right w:val="single" w:color="auto" w:sz="4" w:space="0"/>
            </w:tcBorders>
            <w:shd w:val="clear" w:color="auto" w:fill="auto"/>
            <w:vAlign w:val="center"/>
          </w:tcPr>
          <w:p w:rsidRPr="007F620E" w:rsidR="00A92D0B" w:rsidP="00D276B8" w:rsidRDefault="00CB7251" w14:paraId="3DB754B7" w14:textId="466E4584">
            <w:pPr>
              <w:spacing w:before="60" w:after="60"/>
              <w:jc w:val="right"/>
              <w:rPr>
                <w:color w:val="000000"/>
              </w:rPr>
            </w:pPr>
            <w:r>
              <w:rPr>
                <w:color w:val="000000"/>
              </w:rPr>
              <w:t>Half of 2022 Requested Rate</w:t>
            </w:r>
          </w:p>
        </w:tc>
        <w:tc>
          <w:tcPr>
            <w:tcW w:w="1350" w:type="dxa"/>
            <w:gridSpan w:val="2"/>
            <w:tcBorders>
              <w:top w:val="single" w:color="auto" w:sz="4" w:space="0"/>
              <w:left w:val="single" w:color="auto" w:sz="4" w:space="0"/>
              <w:bottom w:val="single" w:color="auto" w:sz="4" w:space="0"/>
              <w:right w:val="single" w:color="auto" w:sz="24" w:space="0"/>
            </w:tcBorders>
            <w:shd w:val="clear" w:color="auto" w:fill="auto"/>
            <w:vAlign w:val="center"/>
          </w:tcPr>
          <w:p w:rsidRPr="007F620E" w:rsidR="00387ED3" w:rsidP="00D276B8" w:rsidRDefault="00B63E2F" w14:paraId="3D39C021" w14:textId="7E06A916">
            <w:pPr>
              <w:spacing w:before="60" w:after="60"/>
              <w:jc w:val="right"/>
              <w:rPr>
                <w:color w:val="000000"/>
              </w:rPr>
            </w:pPr>
            <w:r>
              <w:rPr>
                <w:color w:val="000000"/>
              </w:rPr>
              <w:t>$</w:t>
            </w:r>
            <w:r w:rsidR="00387ED3">
              <w:rPr>
                <w:color w:val="000000"/>
              </w:rPr>
              <w:t>2</w:t>
            </w:r>
            <w:r w:rsidR="00A95BEB">
              <w:rPr>
                <w:color w:val="000000"/>
              </w:rPr>
              <w:t>3</w:t>
            </w:r>
            <w:r w:rsidR="00387ED3">
              <w:rPr>
                <w:color w:val="000000"/>
              </w:rPr>
              <w:t>2.50</w:t>
            </w:r>
          </w:p>
        </w:tc>
        <w:tc>
          <w:tcPr>
            <w:tcW w:w="810" w:type="dxa"/>
            <w:tcBorders>
              <w:left w:val="single" w:color="auto" w:sz="4" w:space="0"/>
              <w:right w:val="single" w:color="auto" w:sz="4" w:space="0"/>
            </w:tcBorders>
            <w:shd w:val="clear" w:color="auto" w:fill="auto"/>
          </w:tcPr>
          <w:p w:rsidRPr="007F620E" w:rsidR="00A92D0B" w:rsidP="00D276B8" w:rsidRDefault="00A86A36" w14:paraId="6B8C8F0C" w14:textId="38DDB715">
            <w:pPr>
              <w:spacing w:before="60" w:after="60"/>
              <w:jc w:val="right"/>
              <w:rPr>
                <w:color w:val="000000"/>
              </w:rPr>
            </w:pPr>
            <w:r>
              <w:rPr>
                <w:color w:val="000000"/>
              </w:rPr>
              <w:t>1</w:t>
            </w:r>
            <w:r w:rsidR="007953BE">
              <w:rPr>
                <w:color w:val="000000"/>
              </w:rPr>
              <w:t>.00</w:t>
            </w:r>
          </w:p>
        </w:tc>
        <w:tc>
          <w:tcPr>
            <w:tcW w:w="1080" w:type="dxa"/>
            <w:tcBorders>
              <w:left w:val="single" w:color="auto" w:sz="4" w:space="0"/>
            </w:tcBorders>
            <w:shd w:val="clear" w:color="auto" w:fill="auto"/>
          </w:tcPr>
          <w:p w:rsidRPr="007F620E" w:rsidR="00A92D0B" w:rsidP="00D276B8" w:rsidRDefault="00A86A36" w14:paraId="0A58B021" w14:textId="31075457">
            <w:pPr>
              <w:spacing w:before="60" w:after="60"/>
              <w:jc w:val="right"/>
              <w:rPr>
                <w:color w:val="000000"/>
              </w:rPr>
            </w:pPr>
            <w:r>
              <w:rPr>
                <w:color w:val="000000"/>
              </w:rPr>
              <w:t>$212.50</w:t>
            </w:r>
            <w:r w:rsidR="00F635D4">
              <w:rPr>
                <w:color w:val="000000"/>
              </w:rPr>
              <w:t xml:space="preserve"> [2]</w:t>
            </w:r>
          </w:p>
        </w:tc>
        <w:tc>
          <w:tcPr>
            <w:tcW w:w="1355" w:type="dxa"/>
            <w:shd w:val="clear" w:color="auto" w:fill="auto"/>
          </w:tcPr>
          <w:p w:rsidRPr="007F620E" w:rsidR="00A92D0B" w:rsidP="00D276B8" w:rsidRDefault="00A86A36" w14:paraId="0769A3B4" w14:textId="698D0BF2">
            <w:pPr>
              <w:spacing w:before="60" w:after="60"/>
              <w:jc w:val="right"/>
              <w:rPr>
                <w:color w:val="000000"/>
              </w:rPr>
            </w:pPr>
            <w:r>
              <w:rPr>
                <w:color w:val="000000"/>
              </w:rPr>
              <w:t>$212.50</w:t>
            </w:r>
          </w:p>
        </w:tc>
      </w:tr>
      <w:tr w:rsidRPr="007F620E" w:rsidR="00E15DC3" w:rsidTr="00D276B8" w14:paraId="266CEDD5" w14:textId="77777777">
        <w:trPr>
          <w:jc w:val="center"/>
        </w:trPr>
        <w:tc>
          <w:tcPr>
            <w:tcW w:w="7915" w:type="dxa"/>
            <w:gridSpan w:val="9"/>
            <w:tcBorders>
              <w:bottom w:val="single" w:color="auto" w:sz="4" w:space="0"/>
              <w:right w:val="single" w:color="auto" w:sz="24" w:space="0"/>
            </w:tcBorders>
            <w:shd w:val="clear" w:color="auto" w:fill="auto"/>
            <w:vAlign w:val="bottom"/>
          </w:tcPr>
          <w:p w:rsidRPr="007953BE" w:rsidR="00E15DC3" w:rsidP="00D276B8" w:rsidRDefault="00E15DC3" w14:paraId="4A1F5988" w14:textId="46D938D5">
            <w:pPr>
              <w:tabs>
                <w:tab w:val="left" w:pos="957"/>
              </w:tabs>
              <w:spacing w:before="60" w:after="60"/>
              <w:ind w:right="162"/>
              <w:jc w:val="right"/>
              <w:rPr>
                <w:b/>
                <w:i/>
                <w:color w:val="000000"/>
              </w:rPr>
            </w:pPr>
            <w:r w:rsidRPr="007953BE">
              <w:rPr>
                <w:b/>
                <w:i/>
                <w:color w:val="000000"/>
              </w:rPr>
              <w:t xml:space="preserve">Subtotal: </w:t>
            </w:r>
            <w:r w:rsidRPr="007953BE">
              <w:rPr>
                <w:b/>
                <w:i/>
              </w:rPr>
              <w:t>$</w:t>
            </w:r>
            <w:r w:rsidRPr="007953BE" w:rsidR="007F193F">
              <w:rPr>
                <w:b/>
                <w:i/>
              </w:rPr>
              <w:t>1,3</w:t>
            </w:r>
            <w:r w:rsidRPr="007953BE" w:rsidR="00E67B72">
              <w:rPr>
                <w:b/>
                <w:i/>
              </w:rPr>
              <w:t>7</w:t>
            </w:r>
            <w:r w:rsidRPr="007953BE" w:rsidR="007F193F">
              <w:rPr>
                <w:b/>
                <w:i/>
              </w:rPr>
              <w:t>3.75</w:t>
            </w:r>
          </w:p>
        </w:tc>
        <w:tc>
          <w:tcPr>
            <w:tcW w:w="3245" w:type="dxa"/>
            <w:gridSpan w:val="3"/>
            <w:tcBorders>
              <w:left w:val="single" w:color="auto" w:sz="24" w:space="0"/>
              <w:bottom w:val="single" w:color="auto" w:sz="4" w:space="0"/>
            </w:tcBorders>
            <w:shd w:val="clear" w:color="auto" w:fill="auto"/>
            <w:vAlign w:val="bottom"/>
          </w:tcPr>
          <w:p w:rsidRPr="007953BE" w:rsidR="00E15DC3" w:rsidP="00D276B8" w:rsidRDefault="00E15DC3" w14:paraId="2FBAA587" w14:textId="05BC6F60">
            <w:pPr>
              <w:tabs>
                <w:tab w:val="left" w:pos="957"/>
              </w:tabs>
              <w:spacing w:before="60" w:after="60"/>
              <w:ind w:right="162"/>
              <w:jc w:val="right"/>
              <w:rPr>
                <w:b/>
                <w:i/>
                <w:color w:val="000000"/>
              </w:rPr>
            </w:pPr>
            <w:r w:rsidRPr="007953BE">
              <w:rPr>
                <w:b/>
                <w:i/>
                <w:color w:val="000000"/>
              </w:rPr>
              <w:t xml:space="preserve">Subtotal: </w:t>
            </w:r>
            <w:r w:rsidRPr="007953BE">
              <w:rPr>
                <w:b/>
                <w:i/>
              </w:rPr>
              <w:t>$</w:t>
            </w:r>
            <w:r w:rsidRPr="007953BE" w:rsidR="00503AC1">
              <w:rPr>
                <w:b/>
                <w:i/>
                <w:color w:val="000000"/>
              </w:rPr>
              <w:t>1,3</w:t>
            </w:r>
            <w:r w:rsidRPr="007953BE" w:rsidR="00563AF7">
              <w:rPr>
                <w:b/>
                <w:i/>
                <w:color w:val="000000"/>
              </w:rPr>
              <w:t>5</w:t>
            </w:r>
            <w:r w:rsidRPr="007953BE" w:rsidR="00503AC1">
              <w:rPr>
                <w:b/>
                <w:i/>
                <w:color w:val="000000"/>
              </w:rPr>
              <w:t>3.75</w:t>
            </w:r>
          </w:p>
        </w:tc>
      </w:tr>
      <w:tr w:rsidRPr="007F620E" w:rsidR="003B6A1B" w:rsidTr="00D276B8" w14:paraId="06E7371A" w14:textId="77777777">
        <w:trPr>
          <w:jc w:val="center"/>
        </w:trPr>
        <w:tc>
          <w:tcPr>
            <w:tcW w:w="7915" w:type="dxa"/>
            <w:gridSpan w:val="9"/>
            <w:tcBorders>
              <w:top w:val="single" w:color="auto" w:sz="4" w:space="0"/>
              <w:bottom w:val="single" w:color="auto" w:sz="4" w:space="0"/>
              <w:right w:val="single" w:color="auto" w:sz="24" w:space="0"/>
            </w:tcBorders>
            <w:shd w:val="clear" w:color="auto" w:fill="E6E6E6"/>
            <w:vAlign w:val="bottom"/>
          </w:tcPr>
          <w:p w:rsidRPr="007953BE" w:rsidR="003B6A1B" w:rsidP="00D276B8" w:rsidRDefault="003B6A1B" w14:paraId="11B3B704" w14:textId="56BCDF7B">
            <w:pPr>
              <w:tabs>
                <w:tab w:val="left" w:pos="957"/>
              </w:tabs>
              <w:spacing w:before="60" w:after="60"/>
              <w:ind w:right="72"/>
              <w:jc w:val="right"/>
              <w:rPr>
                <w:b/>
                <w:i/>
                <w:color w:val="000000"/>
              </w:rPr>
            </w:pPr>
            <w:r w:rsidRPr="007953BE">
              <w:rPr>
                <w:b/>
                <w:i/>
                <w:color w:val="000000"/>
              </w:rPr>
              <w:t xml:space="preserve">TOTAL REQUEST: </w:t>
            </w:r>
            <w:r w:rsidRPr="007953BE">
              <w:rPr>
                <w:b/>
                <w:i/>
              </w:rPr>
              <w:t>$</w:t>
            </w:r>
            <w:r w:rsidRPr="007953BE" w:rsidR="007F193F">
              <w:rPr>
                <w:b/>
                <w:i/>
              </w:rPr>
              <w:t>22,</w:t>
            </w:r>
            <w:r w:rsidRPr="007953BE" w:rsidR="00E67B72">
              <w:rPr>
                <w:b/>
                <w:i/>
              </w:rPr>
              <w:t>743</w:t>
            </w:r>
            <w:r w:rsidRPr="007953BE" w:rsidR="007F193F">
              <w:rPr>
                <w:b/>
                <w:i/>
              </w:rPr>
              <w:t>.</w:t>
            </w:r>
            <w:r w:rsidRPr="007953BE" w:rsidR="004766BD">
              <w:rPr>
                <w:b/>
                <w:i/>
              </w:rPr>
              <w:t>7</w:t>
            </w:r>
            <w:r w:rsidRPr="007953BE" w:rsidR="007F193F">
              <w:rPr>
                <w:b/>
                <w:i/>
              </w:rPr>
              <w:t>5</w:t>
            </w:r>
          </w:p>
        </w:tc>
        <w:tc>
          <w:tcPr>
            <w:tcW w:w="3245" w:type="dxa"/>
            <w:gridSpan w:val="3"/>
            <w:tcBorders>
              <w:left w:val="single" w:color="auto" w:sz="24" w:space="0"/>
            </w:tcBorders>
            <w:shd w:val="clear" w:color="auto" w:fill="E6E6E6"/>
            <w:vAlign w:val="bottom"/>
          </w:tcPr>
          <w:p w:rsidRPr="007953BE" w:rsidR="003B6A1B" w:rsidP="00D276B8" w:rsidRDefault="003B6A1B" w14:paraId="3680D139" w14:textId="6CFE9004">
            <w:pPr>
              <w:tabs>
                <w:tab w:val="left" w:pos="957"/>
              </w:tabs>
              <w:spacing w:before="60" w:after="60"/>
              <w:ind w:right="72"/>
              <w:jc w:val="right"/>
              <w:rPr>
                <w:b/>
                <w:i/>
              </w:rPr>
            </w:pPr>
            <w:r w:rsidRPr="007953BE">
              <w:rPr>
                <w:b/>
                <w:i/>
                <w:color w:val="000000"/>
              </w:rPr>
              <w:t xml:space="preserve">TOTAL AWARD: </w:t>
            </w:r>
            <w:r w:rsidRPr="007953BE" w:rsidR="00411D1A">
              <w:rPr>
                <w:b/>
                <w:i/>
              </w:rPr>
              <w:t>$22,</w:t>
            </w:r>
            <w:r w:rsidRPr="007953BE" w:rsidR="00563AF7">
              <w:rPr>
                <w:b/>
                <w:i/>
              </w:rPr>
              <w:t>39</w:t>
            </w:r>
            <w:r w:rsidRPr="007953BE" w:rsidR="00411D1A">
              <w:rPr>
                <w:b/>
                <w:i/>
              </w:rPr>
              <w:t>3.75</w:t>
            </w:r>
          </w:p>
        </w:tc>
      </w:tr>
      <w:tr w:rsidRPr="007F620E" w:rsidR="003B6A1B" w:rsidTr="00EC6387" w14:paraId="6A909BC1" w14:textId="77777777">
        <w:trPr>
          <w:jc w:val="center"/>
        </w:trPr>
        <w:tc>
          <w:tcPr>
            <w:tcW w:w="11160" w:type="dxa"/>
            <w:gridSpan w:val="12"/>
            <w:tcBorders>
              <w:top w:val="single" w:color="auto" w:sz="4" w:space="0"/>
              <w:bottom w:val="single" w:color="auto" w:sz="4" w:space="0"/>
            </w:tcBorders>
            <w:shd w:val="clear" w:color="auto" w:fill="auto"/>
          </w:tcPr>
          <w:p w:rsidRPr="007F620E" w:rsidR="003B6A1B" w:rsidP="00D075B1" w:rsidRDefault="003B6A1B" w14:paraId="6F39872E" w14:textId="77777777">
            <w:pPr>
              <w:spacing w:before="60" w:after="60"/>
              <w:rPr>
                <w:color w:val="000000"/>
              </w:rPr>
            </w:pPr>
            <w:r w:rsidRPr="007F620E">
              <w:rPr>
                <w:color w:val="000000"/>
              </w:rPr>
              <w:t xml:space="preserve">  *We remind all intervenors that Commission staff may audit </w:t>
            </w:r>
            <w:r>
              <w:t>the records and books of the intervenors to the extent necessary to verify the basis for the award (§1804(d)).  I</w:t>
            </w:r>
            <w:r w:rsidRPr="007F620E">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w:t>
            </w:r>
            <w:proofErr w:type="gramStart"/>
            <w:r w:rsidRPr="007F620E">
              <w:rPr>
                <w:color w:val="000000"/>
              </w:rPr>
              <w:t>making</w:t>
            </w:r>
            <w:proofErr w:type="gramEnd"/>
            <w:r w:rsidRPr="007F620E">
              <w:rPr>
                <w:color w:val="000000"/>
              </w:rPr>
              <w:t xml:space="preserve"> the award. </w:t>
            </w:r>
          </w:p>
          <w:p w:rsidRPr="007F620E" w:rsidR="003B6A1B" w:rsidP="00963EEF" w:rsidRDefault="003B6A1B" w14:paraId="0D03EC65" w14:textId="77777777">
            <w:pPr>
              <w:spacing w:before="60" w:after="60"/>
              <w:rPr>
                <w:color w:val="000000"/>
              </w:rPr>
            </w:pPr>
            <w:r w:rsidRPr="007F620E">
              <w:rPr>
                <w:color w:val="000000"/>
              </w:rPr>
              <w:t xml:space="preserve">**Travel and Reasonable Claim preparation time </w:t>
            </w:r>
            <w:r>
              <w:rPr>
                <w:color w:val="000000"/>
              </w:rPr>
              <w:t xml:space="preserve">are </w:t>
            </w:r>
            <w:r w:rsidRPr="007F620E">
              <w:rPr>
                <w:color w:val="000000"/>
              </w:rPr>
              <w:t>typically compensated at ½ of preparer’s normal hourly rate</w:t>
            </w:r>
            <w:r w:rsidRPr="007F620E" w:rsidDel="00D075B1">
              <w:rPr>
                <w:color w:val="000000"/>
              </w:rPr>
              <w:t xml:space="preserve"> </w:t>
            </w:r>
          </w:p>
        </w:tc>
      </w:tr>
      <w:tr w:rsidRPr="007F620E" w:rsidR="003B6A1B" w:rsidTr="00EC6387" w14:paraId="458B01A4"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3B6A1B" w:rsidP="004A6FD4" w:rsidRDefault="003B6A1B" w14:paraId="48B43CBD" w14:textId="77777777">
            <w:pPr>
              <w:keepNext/>
              <w:spacing w:before="60" w:after="60"/>
              <w:jc w:val="center"/>
              <w:rPr>
                <w:b/>
                <w:smallCaps/>
                <w:color w:val="000000"/>
              </w:rPr>
            </w:pPr>
            <w:r w:rsidRPr="007F620E">
              <w:rPr>
                <w:b/>
                <w:smallCaps/>
                <w:color w:val="000000"/>
              </w:rPr>
              <w:t>ATTORNEY INFORMATION</w:t>
            </w:r>
          </w:p>
        </w:tc>
      </w:tr>
      <w:tr w:rsidRPr="00C16981" w:rsidR="003B6A1B" w:rsidTr="00EC6387"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C16981" w:rsidR="003B6A1B" w:rsidP="00E775D0" w:rsidRDefault="003B6A1B" w14:paraId="00CAC866" w14:textId="77777777">
            <w:pPr>
              <w:keepNext/>
              <w:keepLines/>
              <w:spacing w:before="60" w:after="60"/>
              <w:jc w:val="center"/>
              <w:rPr>
                <w:b/>
                <w:color w:val="000000"/>
                <w:sz w:val="22"/>
                <w:szCs w:val="22"/>
              </w:rPr>
            </w:pPr>
            <w:r w:rsidRPr="00C16981">
              <w:rPr>
                <w:b/>
                <w:sz w:val="22"/>
                <w:szCs w:val="22"/>
              </w:rPr>
              <w:t>Attorney</w:t>
            </w:r>
          </w:p>
        </w:tc>
        <w:tc>
          <w:tcPr>
            <w:tcW w:w="1909" w:type="dxa"/>
            <w:gridSpan w:val="3"/>
            <w:tcBorders>
              <w:top w:val="single" w:color="auto" w:sz="4" w:space="0"/>
              <w:bottom w:val="single" w:color="auto" w:sz="4" w:space="0"/>
            </w:tcBorders>
            <w:shd w:val="clear" w:color="auto" w:fill="FFFFFF"/>
            <w:vAlign w:val="bottom"/>
          </w:tcPr>
          <w:p w:rsidRPr="00C16981" w:rsidR="003B6A1B" w:rsidP="00E775D0" w:rsidRDefault="003B6A1B" w14:paraId="7E76A008" w14:textId="77777777">
            <w:pPr>
              <w:keepNext/>
              <w:keepLines/>
              <w:spacing w:before="60" w:after="60"/>
              <w:jc w:val="center"/>
              <w:rPr>
                <w:b/>
                <w:color w:val="000000"/>
                <w:sz w:val="22"/>
                <w:szCs w:val="22"/>
              </w:rPr>
            </w:pPr>
            <w:r w:rsidRPr="00C16981">
              <w:rPr>
                <w:b/>
                <w:sz w:val="22"/>
                <w:szCs w:val="22"/>
              </w:rPr>
              <w:t>Date Admitted to CA BAR</w:t>
            </w:r>
            <w:r w:rsidRPr="00C16981">
              <w:rPr>
                <w:rStyle w:val="FootnoteReference"/>
                <w:b/>
                <w:sz w:val="22"/>
                <w:szCs w:val="22"/>
              </w:rPr>
              <w:footnoteReference w:id="8"/>
            </w:r>
          </w:p>
        </w:tc>
        <w:tc>
          <w:tcPr>
            <w:tcW w:w="2291" w:type="dxa"/>
            <w:gridSpan w:val="2"/>
            <w:tcBorders>
              <w:top w:val="single" w:color="auto" w:sz="4" w:space="0"/>
              <w:bottom w:val="single" w:color="auto" w:sz="4" w:space="0"/>
            </w:tcBorders>
            <w:shd w:val="clear" w:color="auto" w:fill="FFFFFF"/>
            <w:vAlign w:val="bottom"/>
          </w:tcPr>
          <w:p w:rsidRPr="00C16981" w:rsidR="003B6A1B" w:rsidP="00E775D0" w:rsidRDefault="003B6A1B" w14:paraId="27E64ED7" w14:textId="77777777">
            <w:pPr>
              <w:keepNext/>
              <w:keepLines/>
              <w:spacing w:before="60" w:after="60"/>
              <w:jc w:val="center"/>
              <w:rPr>
                <w:b/>
                <w:color w:val="000000"/>
                <w:sz w:val="22"/>
                <w:szCs w:val="22"/>
              </w:rPr>
            </w:pPr>
            <w:r w:rsidRPr="00C16981">
              <w:rPr>
                <w:b/>
                <w:sz w:val="22"/>
                <w:szCs w:val="22"/>
              </w:rPr>
              <w:t>Member Number</w:t>
            </w:r>
          </w:p>
        </w:tc>
        <w:tc>
          <w:tcPr>
            <w:tcW w:w="4268" w:type="dxa"/>
            <w:gridSpan w:val="4"/>
            <w:tcBorders>
              <w:top w:val="single" w:color="auto" w:sz="4" w:space="0"/>
              <w:bottom w:val="single" w:color="auto" w:sz="4" w:space="0"/>
            </w:tcBorders>
            <w:shd w:val="clear" w:color="auto" w:fill="FFFFFF"/>
            <w:vAlign w:val="bottom"/>
          </w:tcPr>
          <w:p w:rsidRPr="00C16981" w:rsidR="003B6A1B" w:rsidP="00E775D0" w:rsidRDefault="003B6A1B" w14:paraId="496B5DC1" w14:textId="77777777">
            <w:pPr>
              <w:keepNext/>
              <w:keepLines/>
              <w:spacing w:before="60" w:after="60"/>
              <w:jc w:val="center"/>
              <w:rPr>
                <w:b/>
                <w:sz w:val="22"/>
                <w:szCs w:val="22"/>
              </w:rPr>
            </w:pPr>
            <w:r w:rsidRPr="00C16981">
              <w:rPr>
                <w:b/>
                <w:sz w:val="22"/>
                <w:szCs w:val="22"/>
              </w:rPr>
              <w:t>Actions Affecting Eligibility (Yes/No?)</w:t>
            </w:r>
          </w:p>
          <w:p w:rsidRPr="00C16981" w:rsidR="003B6A1B" w:rsidP="00E775D0" w:rsidRDefault="003B6A1B" w14:paraId="36F8922D" w14:textId="77777777">
            <w:pPr>
              <w:keepNext/>
              <w:keepLines/>
              <w:spacing w:before="60" w:after="60"/>
              <w:jc w:val="center"/>
              <w:rPr>
                <w:b/>
                <w:color w:val="000000"/>
                <w:sz w:val="22"/>
                <w:szCs w:val="22"/>
              </w:rPr>
            </w:pPr>
            <w:r w:rsidRPr="00C16981">
              <w:rPr>
                <w:b/>
                <w:sz w:val="22"/>
                <w:szCs w:val="22"/>
              </w:rPr>
              <w:t>If “Yes”, attach explanation</w:t>
            </w:r>
          </w:p>
        </w:tc>
      </w:tr>
      <w:tr w:rsidRPr="007F620E" w:rsidR="003B6A1B" w:rsidTr="00995EEA" w14:paraId="4DC5EE9B" w14:textId="77777777">
        <w:trPr>
          <w:trHeight w:val="172"/>
          <w:jc w:val="center"/>
        </w:trPr>
        <w:tc>
          <w:tcPr>
            <w:tcW w:w="2692" w:type="dxa"/>
            <w:gridSpan w:val="3"/>
            <w:tcBorders>
              <w:top w:val="single" w:color="auto" w:sz="4" w:space="0"/>
              <w:bottom w:val="single" w:color="auto" w:sz="4" w:space="0"/>
            </w:tcBorders>
            <w:shd w:val="clear" w:color="auto" w:fill="auto"/>
            <w:vAlign w:val="center"/>
          </w:tcPr>
          <w:p w:rsidRPr="007F620E" w:rsidR="003B6A1B" w:rsidP="00BE2D0B" w:rsidRDefault="00CD4ABA" w14:paraId="7266B7BF" w14:textId="60712F03">
            <w:pPr>
              <w:keepLines/>
              <w:spacing w:before="60" w:after="60"/>
              <w:jc w:val="center"/>
              <w:rPr>
                <w:color w:val="000000"/>
              </w:rPr>
            </w:pPr>
            <w:r>
              <w:rPr>
                <w:color w:val="000000"/>
              </w:rPr>
              <w:t>Ashley L. Salas</w:t>
            </w:r>
          </w:p>
        </w:tc>
        <w:tc>
          <w:tcPr>
            <w:tcW w:w="1909" w:type="dxa"/>
            <w:gridSpan w:val="3"/>
            <w:tcBorders>
              <w:top w:val="single" w:color="auto" w:sz="4" w:space="0"/>
              <w:bottom w:val="single" w:color="auto" w:sz="4" w:space="0"/>
            </w:tcBorders>
            <w:shd w:val="clear" w:color="auto" w:fill="auto"/>
            <w:vAlign w:val="center"/>
          </w:tcPr>
          <w:p w:rsidRPr="00FC5AF7" w:rsidR="003B6A1B" w:rsidP="00BE2D0B" w:rsidRDefault="00CD4ABA" w14:paraId="69A41F15" w14:textId="0A63D6E3">
            <w:pPr>
              <w:jc w:val="center"/>
              <w:rPr>
                <w:color w:val="000000"/>
              </w:rPr>
            </w:pPr>
            <w:r w:rsidRPr="00FC5AF7">
              <w:rPr>
                <w:color w:val="000000"/>
              </w:rPr>
              <w:t>December 2015</w:t>
            </w:r>
          </w:p>
        </w:tc>
        <w:tc>
          <w:tcPr>
            <w:tcW w:w="2291" w:type="dxa"/>
            <w:gridSpan w:val="2"/>
            <w:tcBorders>
              <w:top w:val="single" w:color="auto" w:sz="4" w:space="0"/>
              <w:bottom w:val="single" w:color="auto" w:sz="4" w:space="0"/>
            </w:tcBorders>
            <w:shd w:val="clear" w:color="auto" w:fill="auto"/>
            <w:vAlign w:val="center"/>
          </w:tcPr>
          <w:p w:rsidRPr="00FC5AF7" w:rsidR="003B6A1B" w:rsidP="00BE2D0B" w:rsidRDefault="00CD4ABA" w14:paraId="58495CD7" w14:textId="1FFB003F">
            <w:pPr>
              <w:jc w:val="center"/>
              <w:rPr>
                <w:color w:val="000000"/>
              </w:rPr>
            </w:pPr>
            <w:r w:rsidRPr="00FC5AF7">
              <w:rPr>
                <w:color w:val="000000"/>
              </w:rPr>
              <w:t>308374</w:t>
            </w:r>
          </w:p>
        </w:tc>
        <w:tc>
          <w:tcPr>
            <w:tcW w:w="4268" w:type="dxa"/>
            <w:gridSpan w:val="4"/>
            <w:tcBorders>
              <w:top w:val="single" w:color="auto" w:sz="4" w:space="0"/>
              <w:bottom w:val="single" w:color="auto" w:sz="4" w:space="0"/>
            </w:tcBorders>
            <w:shd w:val="clear" w:color="auto" w:fill="auto"/>
            <w:vAlign w:val="center"/>
          </w:tcPr>
          <w:p w:rsidRPr="007F620E" w:rsidR="003B6A1B" w:rsidP="00BE2D0B" w:rsidRDefault="00FC5AF7" w14:paraId="117B99BF" w14:textId="2FA309D4">
            <w:pPr>
              <w:keepLines/>
              <w:spacing w:before="60" w:after="60"/>
              <w:jc w:val="center"/>
              <w:rPr>
                <w:color w:val="000000"/>
              </w:rPr>
            </w:pPr>
            <w:r>
              <w:rPr>
                <w:color w:val="000000"/>
              </w:rPr>
              <w:t>No</w:t>
            </w:r>
          </w:p>
        </w:tc>
      </w:tr>
      <w:tr w:rsidRPr="007F620E" w:rsidR="003B6A1B" w:rsidTr="00995EEA" w14:paraId="5D036E2E" w14:textId="77777777">
        <w:trPr>
          <w:trHeight w:val="172"/>
          <w:jc w:val="center"/>
        </w:trPr>
        <w:tc>
          <w:tcPr>
            <w:tcW w:w="2692" w:type="dxa"/>
            <w:gridSpan w:val="3"/>
            <w:tcBorders>
              <w:top w:val="single" w:color="auto" w:sz="4" w:space="0"/>
              <w:bottom w:val="single" w:color="auto" w:sz="4" w:space="0"/>
            </w:tcBorders>
            <w:shd w:val="clear" w:color="auto" w:fill="auto"/>
            <w:vAlign w:val="center"/>
          </w:tcPr>
          <w:p w:rsidRPr="00FC5AF7" w:rsidR="003B6A1B" w:rsidP="00BE2D0B" w:rsidRDefault="00CD4ABA" w14:paraId="3D5F8F51" w14:textId="129BCB12">
            <w:pPr>
              <w:keepLines/>
              <w:spacing w:before="60" w:after="60"/>
              <w:jc w:val="center"/>
              <w:rPr>
                <w:color w:val="000000"/>
              </w:rPr>
            </w:pPr>
            <w:r w:rsidRPr="00FC5AF7">
              <w:rPr>
                <w:color w:val="000000"/>
              </w:rPr>
              <w:t>Brenda Villanueva</w:t>
            </w:r>
          </w:p>
        </w:tc>
        <w:tc>
          <w:tcPr>
            <w:tcW w:w="1909" w:type="dxa"/>
            <w:gridSpan w:val="3"/>
            <w:tcBorders>
              <w:top w:val="single" w:color="auto" w:sz="4" w:space="0"/>
              <w:bottom w:val="single" w:color="auto" w:sz="4" w:space="0"/>
            </w:tcBorders>
            <w:shd w:val="clear" w:color="auto" w:fill="auto"/>
            <w:vAlign w:val="center"/>
          </w:tcPr>
          <w:p w:rsidRPr="00FC5AF7" w:rsidR="003B6A1B" w:rsidP="00BE2D0B" w:rsidRDefault="00CD4ABA" w14:paraId="1609FC8E" w14:textId="1660AA95">
            <w:pPr>
              <w:keepLines/>
              <w:spacing w:before="60" w:after="60"/>
              <w:jc w:val="center"/>
              <w:rPr>
                <w:color w:val="000000"/>
              </w:rPr>
            </w:pPr>
            <w:r w:rsidRPr="00FC5AF7">
              <w:rPr>
                <w:color w:val="000000"/>
              </w:rPr>
              <w:t>January 2021</w:t>
            </w:r>
          </w:p>
        </w:tc>
        <w:tc>
          <w:tcPr>
            <w:tcW w:w="2291" w:type="dxa"/>
            <w:gridSpan w:val="2"/>
            <w:tcBorders>
              <w:top w:val="single" w:color="auto" w:sz="4" w:space="0"/>
              <w:bottom w:val="single" w:color="auto" w:sz="4" w:space="0"/>
            </w:tcBorders>
            <w:shd w:val="clear" w:color="auto" w:fill="auto"/>
            <w:vAlign w:val="center"/>
          </w:tcPr>
          <w:p w:rsidRPr="00FC5AF7" w:rsidR="003B6A1B" w:rsidP="00BE2D0B" w:rsidRDefault="00FC5AF7" w14:paraId="182A9D2B" w14:textId="65177BCF">
            <w:pPr>
              <w:keepLines/>
              <w:spacing w:before="60" w:after="60"/>
              <w:jc w:val="center"/>
              <w:rPr>
                <w:color w:val="000000"/>
              </w:rPr>
            </w:pPr>
            <w:r w:rsidRPr="00FC5AF7">
              <w:rPr>
                <w:color w:val="000000"/>
              </w:rPr>
              <w:t>334217</w:t>
            </w:r>
          </w:p>
        </w:tc>
        <w:tc>
          <w:tcPr>
            <w:tcW w:w="4268" w:type="dxa"/>
            <w:gridSpan w:val="4"/>
            <w:tcBorders>
              <w:top w:val="single" w:color="auto" w:sz="4" w:space="0"/>
              <w:bottom w:val="single" w:color="auto" w:sz="4" w:space="0"/>
            </w:tcBorders>
            <w:shd w:val="clear" w:color="auto" w:fill="auto"/>
            <w:vAlign w:val="center"/>
          </w:tcPr>
          <w:p w:rsidRPr="007F620E" w:rsidR="003B6A1B" w:rsidP="00BE2D0B" w:rsidRDefault="00FC5AF7" w14:paraId="35DC3C56" w14:textId="6DEA0E1A">
            <w:pPr>
              <w:keepLines/>
              <w:spacing w:before="60" w:after="60"/>
              <w:jc w:val="center"/>
              <w:rPr>
                <w:color w:val="000000"/>
              </w:rPr>
            </w:pPr>
            <w:r>
              <w:rPr>
                <w:color w:val="000000"/>
              </w:rPr>
              <w:t>No</w:t>
            </w:r>
          </w:p>
        </w:tc>
      </w:tr>
      <w:tr w:rsidRPr="007F620E" w:rsidR="00FC5AF7" w:rsidTr="00995EEA" w14:paraId="245FBFEA" w14:textId="77777777">
        <w:trPr>
          <w:trHeight w:val="172"/>
          <w:jc w:val="center"/>
        </w:trPr>
        <w:tc>
          <w:tcPr>
            <w:tcW w:w="2692" w:type="dxa"/>
            <w:gridSpan w:val="3"/>
            <w:tcBorders>
              <w:top w:val="single" w:color="auto" w:sz="4" w:space="0"/>
              <w:bottom w:val="single" w:color="auto" w:sz="4" w:space="0"/>
            </w:tcBorders>
            <w:shd w:val="clear" w:color="auto" w:fill="auto"/>
            <w:vAlign w:val="center"/>
          </w:tcPr>
          <w:p w:rsidRPr="00FC5AF7" w:rsidR="00FC5AF7" w:rsidP="00BE2D0B" w:rsidRDefault="00FC5AF7" w14:paraId="4D751013" w14:textId="3834FA81">
            <w:pPr>
              <w:keepLines/>
              <w:spacing w:before="60" w:after="60"/>
              <w:jc w:val="center"/>
              <w:rPr>
                <w:color w:val="000000"/>
              </w:rPr>
            </w:pPr>
            <w:r w:rsidRPr="00FC5AF7">
              <w:rPr>
                <w:color w:val="000000"/>
              </w:rPr>
              <w:t>Christine Mailloux</w:t>
            </w:r>
          </w:p>
        </w:tc>
        <w:tc>
          <w:tcPr>
            <w:tcW w:w="1909" w:type="dxa"/>
            <w:gridSpan w:val="3"/>
            <w:tcBorders>
              <w:top w:val="single" w:color="auto" w:sz="4" w:space="0"/>
              <w:bottom w:val="single" w:color="auto" w:sz="4" w:space="0"/>
            </w:tcBorders>
            <w:shd w:val="clear" w:color="auto" w:fill="auto"/>
            <w:vAlign w:val="center"/>
          </w:tcPr>
          <w:p w:rsidRPr="00FC5AF7" w:rsidR="00FC5AF7" w:rsidP="00BE2D0B" w:rsidRDefault="00FC5AF7" w14:paraId="1EF690FB" w14:textId="67CFA93E">
            <w:pPr>
              <w:keepLines/>
              <w:spacing w:before="60" w:after="60"/>
              <w:jc w:val="center"/>
              <w:rPr>
                <w:color w:val="000000"/>
              </w:rPr>
            </w:pPr>
            <w:r w:rsidRPr="00FC5AF7">
              <w:rPr>
                <w:color w:val="000000"/>
              </w:rPr>
              <w:t>December 1993</w:t>
            </w:r>
          </w:p>
        </w:tc>
        <w:tc>
          <w:tcPr>
            <w:tcW w:w="2291" w:type="dxa"/>
            <w:gridSpan w:val="2"/>
            <w:tcBorders>
              <w:top w:val="single" w:color="auto" w:sz="4" w:space="0"/>
              <w:bottom w:val="single" w:color="auto" w:sz="4" w:space="0"/>
            </w:tcBorders>
            <w:shd w:val="clear" w:color="auto" w:fill="auto"/>
            <w:vAlign w:val="center"/>
          </w:tcPr>
          <w:p w:rsidRPr="00FC5AF7" w:rsidR="00FC5AF7" w:rsidP="00BE2D0B" w:rsidRDefault="00FC5AF7" w14:paraId="7424AC1F" w14:textId="7B60A991">
            <w:pPr>
              <w:keepLines/>
              <w:spacing w:before="60" w:after="60"/>
              <w:jc w:val="center"/>
              <w:rPr>
                <w:color w:val="000000"/>
              </w:rPr>
            </w:pPr>
            <w:r w:rsidRPr="00FC5AF7">
              <w:rPr>
                <w:color w:val="000000"/>
              </w:rPr>
              <w:t>167918</w:t>
            </w:r>
          </w:p>
        </w:tc>
        <w:tc>
          <w:tcPr>
            <w:tcW w:w="4268" w:type="dxa"/>
            <w:gridSpan w:val="4"/>
            <w:tcBorders>
              <w:top w:val="single" w:color="auto" w:sz="4" w:space="0"/>
              <w:bottom w:val="single" w:color="auto" w:sz="4" w:space="0"/>
            </w:tcBorders>
            <w:shd w:val="clear" w:color="auto" w:fill="auto"/>
            <w:vAlign w:val="center"/>
          </w:tcPr>
          <w:p w:rsidRPr="007F620E" w:rsidR="00FC5AF7" w:rsidP="00BE2D0B" w:rsidRDefault="00FC5AF7" w14:paraId="3DEC1148" w14:textId="79908D05">
            <w:pPr>
              <w:keepLines/>
              <w:spacing w:before="60" w:after="60"/>
              <w:jc w:val="center"/>
              <w:rPr>
                <w:color w:val="000000"/>
              </w:rPr>
            </w:pPr>
            <w:r>
              <w:rPr>
                <w:color w:val="000000"/>
              </w:rPr>
              <w:t>No</w:t>
            </w:r>
          </w:p>
        </w:tc>
      </w:tr>
    </w:tbl>
    <w:p w:rsidR="00411D1A" w:rsidP="00563AF7" w:rsidRDefault="00A92D0B" w14:paraId="7535B8A2" w14:textId="50ABC7AE">
      <w:pPr>
        <w:keepNext/>
        <w:numPr>
          <w:ilvl w:val="0"/>
          <w:numId w:val="9"/>
        </w:numPr>
        <w:spacing w:before="240"/>
        <w:rPr>
          <w:b/>
          <w:color w:val="000000"/>
        </w:rPr>
      </w:pPr>
      <w:r w:rsidRPr="005B5B44">
        <w:rPr>
          <w:b/>
          <w:color w:val="000000"/>
        </w:rPr>
        <w:t>Attachments</w:t>
      </w:r>
      <w:r w:rsidRPr="007F620E">
        <w:rPr>
          <w:b/>
        </w:rPr>
        <w:t xml:space="preserve"> Documenting Specific Claim and Comments on Part III</w:t>
      </w:r>
      <w:r w:rsidR="00C02649">
        <w:rPr>
          <w:b/>
        </w:rPr>
        <w:t>:</w:t>
      </w:r>
    </w:p>
    <w:p w:rsidRPr="00563AF7" w:rsidR="00563AF7" w:rsidP="00563AF7" w:rsidRDefault="00563AF7" w14:paraId="063DEDB3" w14:textId="77777777">
      <w:pPr>
        <w:keepNext/>
        <w:ind w:left="360"/>
        <w:rPr>
          <w:b/>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7F620E" w:rsidR="00A92D0B" w:rsidTr="001A3CF3" w14:paraId="0C2B760A" w14:textId="77777777">
        <w:trPr>
          <w:tblHeader/>
        </w:trPr>
        <w:tc>
          <w:tcPr>
            <w:tcW w:w="1795" w:type="dxa"/>
            <w:shd w:val="clear" w:color="auto" w:fill="D9D9D9" w:themeFill="background1" w:themeFillShade="D9"/>
            <w:vAlign w:val="bottom"/>
          </w:tcPr>
          <w:p w:rsidRPr="007F620E" w:rsidR="00A92D0B" w:rsidP="001A3CF3" w:rsidRDefault="00A92D0B" w14:paraId="42A1D838" w14:textId="77777777">
            <w:pPr>
              <w:tabs>
                <w:tab w:val="left" w:pos="1260"/>
              </w:tabs>
              <w:jc w:val="center"/>
              <w:rPr>
                <w:b/>
                <w:color w:val="000000"/>
              </w:rPr>
            </w:pPr>
            <w:r w:rsidRPr="007F620E">
              <w:rPr>
                <w:b/>
                <w:color w:val="000000"/>
              </w:rPr>
              <w:t xml:space="preserve">Attachment or </w:t>
            </w:r>
            <w:proofErr w:type="gramStart"/>
            <w:r w:rsidRPr="007F620E">
              <w:rPr>
                <w:b/>
                <w:color w:val="000000"/>
              </w:rPr>
              <w:t>Comment  #</w:t>
            </w:r>
            <w:proofErr w:type="gramEnd"/>
          </w:p>
        </w:tc>
        <w:tc>
          <w:tcPr>
            <w:tcW w:w="7565" w:type="dxa"/>
            <w:tcBorders>
              <w:bottom w:val="single" w:color="auto" w:sz="4" w:space="0"/>
            </w:tcBorders>
            <w:shd w:val="clear" w:color="auto" w:fill="D9D9D9" w:themeFill="background1" w:themeFillShade="D9"/>
            <w:vAlign w:val="bottom"/>
          </w:tcPr>
          <w:p w:rsidRPr="007F620E" w:rsidR="00A92D0B" w:rsidP="001A3CF3" w:rsidRDefault="00A92D0B" w14:paraId="55F0A65F" w14:textId="77777777">
            <w:pPr>
              <w:tabs>
                <w:tab w:val="left" w:pos="1260"/>
              </w:tabs>
              <w:jc w:val="center"/>
              <w:rPr>
                <w:b/>
                <w:color w:val="000000"/>
              </w:rPr>
            </w:pPr>
            <w:r w:rsidRPr="007F620E">
              <w:rPr>
                <w:b/>
                <w:color w:val="000000"/>
              </w:rPr>
              <w:t>Description/Comment</w:t>
            </w:r>
          </w:p>
        </w:tc>
      </w:tr>
      <w:tr w:rsidRPr="007F620E" w:rsidR="00BE647E" w:rsidTr="00411D1A" w14:paraId="52CD2D46" w14:textId="77777777">
        <w:tc>
          <w:tcPr>
            <w:tcW w:w="1795" w:type="dxa"/>
            <w:tcBorders>
              <w:bottom w:val="single" w:color="auto" w:sz="4" w:space="0"/>
            </w:tcBorders>
            <w:shd w:val="clear" w:color="auto" w:fill="auto"/>
          </w:tcPr>
          <w:p w:rsidRPr="007F620E" w:rsidR="00BE647E" w:rsidP="001A3CF3" w:rsidRDefault="00BE647E" w14:paraId="3E4AEEA4" w14:textId="5A7DA639">
            <w:pPr>
              <w:tabs>
                <w:tab w:val="left" w:pos="1260"/>
              </w:tabs>
              <w:rPr>
                <w:color w:val="000000"/>
              </w:rPr>
            </w:pPr>
            <w:r>
              <w:rPr>
                <w:color w:val="000000"/>
              </w:rPr>
              <w:t>Comment 1</w:t>
            </w:r>
          </w:p>
        </w:tc>
        <w:tc>
          <w:tcPr>
            <w:tcW w:w="7565" w:type="dxa"/>
            <w:tcBorders>
              <w:bottom w:val="single" w:color="auto" w:sz="4" w:space="0"/>
            </w:tcBorders>
            <w:shd w:val="clear" w:color="auto" w:fill="auto"/>
          </w:tcPr>
          <w:p w:rsidRPr="0015336D" w:rsidR="002E3F11" w:rsidP="0015336D" w:rsidRDefault="002E3F11" w14:paraId="4F525E4D" w14:textId="2FDB26AA">
            <w:pPr>
              <w:pStyle w:val="SubstantialContribution"/>
              <w:rPr>
                <w:b/>
                <w:bCs/>
              </w:rPr>
            </w:pPr>
            <w:r w:rsidRPr="0015336D">
              <w:rPr>
                <w:b/>
                <w:bCs/>
              </w:rPr>
              <w:t>2022 Hourly Rate for Ashley L. Salas</w:t>
            </w:r>
          </w:p>
          <w:p w:rsidRPr="002E3F11" w:rsidR="00BE647E" w:rsidP="0015336D" w:rsidRDefault="002E3F11" w14:paraId="5BB1E5E3" w14:textId="710278BE">
            <w:pPr>
              <w:pStyle w:val="SubstantialContribution"/>
            </w:pPr>
            <w:r>
              <w:t xml:space="preserve">TURN filed an intervenor compensation claim in </w:t>
            </w:r>
            <w:r w:rsidR="001321D9">
              <w:t>R.20-08-021</w:t>
            </w:r>
            <w:r>
              <w:t xml:space="preserve"> on </w:t>
            </w:r>
            <w:r w:rsidR="00DB3574">
              <w:t>April 25, 2022</w:t>
            </w:r>
            <w:r>
              <w:t>, that included a request that the Commission adopt an hourly rate of $4</w:t>
            </w:r>
            <w:r w:rsidR="001321D9">
              <w:t>15</w:t>
            </w:r>
            <w:r>
              <w:t xml:space="preserve"> for TURN Attorney Ashley L. Salas in 202</w:t>
            </w:r>
            <w:r w:rsidR="001321D9">
              <w:t>2</w:t>
            </w:r>
            <w:r>
              <w:t>, based on the Market Rate Study and guidance adopted in Res. ALJ-393.  The Commission has yet to act upon th</w:t>
            </w:r>
            <w:r w:rsidR="001321D9">
              <w:t>at</w:t>
            </w:r>
            <w:r>
              <w:t xml:space="preserve"> intervenor compensation claim.  Rather than repeat the </w:t>
            </w:r>
            <w:r>
              <w:lastRenderedPageBreak/>
              <w:t xml:space="preserve">same showing here for the requested hourly rate for Ms. Salas, TURN refers the Commission to the initial showing TURN presented in </w:t>
            </w:r>
            <w:r w:rsidR="001321D9">
              <w:t>R.20-08-021</w:t>
            </w:r>
            <w:r>
              <w:t>.</w:t>
            </w:r>
          </w:p>
        </w:tc>
      </w:tr>
      <w:tr w:rsidRPr="007F620E" w:rsidR="00BE647E" w:rsidTr="00411D1A" w14:paraId="6DF23CA4" w14:textId="77777777">
        <w:tc>
          <w:tcPr>
            <w:tcW w:w="1795" w:type="dxa"/>
            <w:tcBorders>
              <w:bottom w:val="single" w:color="auto" w:sz="4" w:space="0"/>
            </w:tcBorders>
            <w:shd w:val="clear" w:color="auto" w:fill="auto"/>
          </w:tcPr>
          <w:p w:rsidRPr="007F620E" w:rsidR="00BE647E" w:rsidP="001A3CF3" w:rsidRDefault="00BE647E" w14:paraId="29DA5D8C" w14:textId="2D2C468A">
            <w:pPr>
              <w:tabs>
                <w:tab w:val="left" w:pos="1260"/>
              </w:tabs>
              <w:rPr>
                <w:color w:val="000000"/>
              </w:rPr>
            </w:pPr>
            <w:r>
              <w:rPr>
                <w:color w:val="000000"/>
              </w:rPr>
              <w:lastRenderedPageBreak/>
              <w:t>Comment 2</w:t>
            </w:r>
          </w:p>
        </w:tc>
        <w:tc>
          <w:tcPr>
            <w:tcW w:w="7565" w:type="dxa"/>
            <w:tcBorders>
              <w:bottom w:val="single" w:color="auto" w:sz="4" w:space="0"/>
            </w:tcBorders>
            <w:shd w:val="clear" w:color="auto" w:fill="auto"/>
          </w:tcPr>
          <w:p w:rsidRPr="0015336D" w:rsidR="0015336D" w:rsidP="0015336D" w:rsidRDefault="0015336D" w14:paraId="75EE11F6" w14:textId="77777777">
            <w:pPr>
              <w:pStyle w:val="SubstantialContribution"/>
              <w:rPr>
                <w:b/>
                <w:bCs/>
              </w:rPr>
            </w:pPr>
            <w:r w:rsidRPr="0015336D">
              <w:rPr>
                <w:b/>
                <w:bCs/>
              </w:rPr>
              <w:t>2022 Hourly Rate for Brenda D. Villanueva, Managing Director and Lead Counsel, Telecom</w:t>
            </w:r>
          </w:p>
          <w:p w:rsidR="0015336D" w:rsidP="0015336D" w:rsidRDefault="0015336D" w14:paraId="1BF4B1D5" w14:textId="7C53EFF3">
            <w:pPr>
              <w:pStyle w:val="SubstantialContribution"/>
            </w:pPr>
            <w:r>
              <w:t>Ms. Villanueva joined TURN as a Staff Attorney in October 2020, bringing with her six years of legal experience as a practicing attorney at the FCC, in addition to the telecom policy experience she gained through legal internships at the FCC, and during her nearly six years of working for the U.S. House of Representatives in Congres</w:t>
            </w:r>
            <w:r w:rsidRPr="00DD6AB9">
              <w:t>sman</w:t>
            </w:r>
            <w:r>
              <w:t xml:space="preserve"> Baca’s office.  In D.22-06-038, the Commission agreed with TURN that Mrs. Villanueva should be considered a Level III Attorney under the hourly rate framework adopted in Resolution ALJ-393 and adopted an hourly rate of $410 for her work at TURN in 2021.  The Commission explained, “The hourly rate of $410 places Villanueva midway between the range approved for attorneys with 5-7 years and is justified based on Villanueva’s 6 years of practice as an attorney.  We approve the rate here.  This leaves TURN significant room to justify an increase to Villanueva’s rate over the next four years within this level, as Villanueva’s expertise, tasks, and organizational responsibilities increase.” (D.22-06-038, pp. 59-60</w:t>
            </w:r>
            <w:r w:rsidR="008E7BA2">
              <w:t>.</w:t>
            </w:r>
            <w:r>
              <w:t>)</w:t>
            </w:r>
          </w:p>
          <w:p w:rsidR="0015336D" w:rsidP="0015336D" w:rsidRDefault="0015336D" w14:paraId="44F8E755" w14:textId="22CACD46">
            <w:pPr>
              <w:pStyle w:val="SubstantialContribution"/>
            </w:pPr>
            <w:r>
              <w:t xml:space="preserve">Pursuant to the Commission’s invitation in D.22-06-038, TURN now seeks an increase to Mrs. Villanueva’s hourly rate in 2022 beyond the COLA that otherwise would apply.  </w:t>
            </w:r>
            <w:r w:rsidRPr="004C7633">
              <w:t xml:space="preserve">At the end of 2021, Mrs. </w:t>
            </w:r>
            <w:r>
              <w:t>Villanueva</w:t>
            </w:r>
            <w:r w:rsidRPr="004C7633">
              <w:t xml:space="preserve"> assumed the responsibilities held for many years by TURN Managing Attorney Christine Mailloux, who departed TURN.  As of 2022, Mrs. Villanueva oversees TURN's telecommunications advocacy before the CPUC, FCC, NTIA, California Legislature and U.S. Congress, including sector-wide policy development, legislative and legal strategy, and supervision of TURN's telecommunications advocacy team.  In addition to her own casework, she coordinates case prioritization, external government outreach, assignments, and workload management for TURN's telecommunications attorneys, experts, and analysts.</w:t>
            </w:r>
            <w:r>
              <w:t xml:space="preserve"> </w:t>
            </w:r>
            <w:r w:rsidRPr="004C7633">
              <w:t xml:space="preserve"> She also works with TURN’s Race and Equity Team to provide impactful race impact analysis to all of TURN’s telecommunications advocacy.</w:t>
            </w:r>
          </w:p>
          <w:p w:rsidRPr="001C0DD1" w:rsidR="00BE647E" w:rsidP="0015336D" w:rsidRDefault="0015336D" w14:paraId="39438280" w14:textId="5CD8CDF6">
            <w:pPr>
              <w:pStyle w:val="SubstantialContribution"/>
            </w:pPr>
            <w:r>
              <w:t>Given this significant expansion in Mrs. Villanueva’s expertise, tasks, and organizational responsibilities, TURN submits that a rate of $465 is appropriate for her work in 2022.  The Commission’s 2022 hourly rate range for a Level III Attorney is $319.98 - $536.62 (calculated as the 2021 range of $309.76 - $519.48 adjusted by the 3.3% COLA for 2022).  The requested rate reasonably reflects Mrs. Villanueva’s significantly expanded responsibilities at TURN in 2022.</w:t>
            </w:r>
          </w:p>
        </w:tc>
      </w:tr>
      <w:tr w:rsidRPr="007F620E" w:rsidR="00A92D0B" w:rsidTr="00411D1A" w14:paraId="71F47148" w14:textId="77777777">
        <w:tc>
          <w:tcPr>
            <w:tcW w:w="1795" w:type="dxa"/>
            <w:tcBorders>
              <w:bottom w:val="single" w:color="auto" w:sz="4" w:space="0"/>
            </w:tcBorders>
            <w:shd w:val="clear" w:color="auto" w:fill="auto"/>
          </w:tcPr>
          <w:p w:rsidRPr="007F620E" w:rsidR="00A92D0B" w:rsidP="001A3CF3" w:rsidRDefault="00173CAA" w14:paraId="7A5C03D8" w14:textId="2E13C615">
            <w:pPr>
              <w:tabs>
                <w:tab w:val="left" w:pos="1260"/>
              </w:tabs>
              <w:rPr>
                <w:color w:val="000000"/>
              </w:rPr>
            </w:pPr>
            <w:r>
              <w:rPr>
                <w:color w:val="000000"/>
              </w:rPr>
              <w:lastRenderedPageBreak/>
              <w:t xml:space="preserve">Attachment </w:t>
            </w:r>
            <w:r w:rsidRPr="007F620E" w:rsidR="00A92D0B">
              <w:rPr>
                <w:color w:val="000000"/>
              </w:rPr>
              <w:t>1</w:t>
            </w:r>
          </w:p>
        </w:tc>
        <w:tc>
          <w:tcPr>
            <w:tcW w:w="7565" w:type="dxa"/>
            <w:tcBorders>
              <w:bottom w:val="single" w:color="auto" w:sz="4" w:space="0"/>
            </w:tcBorders>
            <w:shd w:val="clear" w:color="auto" w:fill="auto"/>
          </w:tcPr>
          <w:p w:rsidRPr="001C0DD1" w:rsidR="00A92D0B" w:rsidP="001A3CF3" w:rsidRDefault="00A92D0B" w14:paraId="370C67BC" w14:textId="77777777">
            <w:pPr>
              <w:tabs>
                <w:tab w:val="left" w:pos="1260"/>
              </w:tabs>
              <w:rPr>
                <w:color w:val="000000"/>
              </w:rPr>
            </w:pPr>
            <w:r w:rsidRPr="001C0DD1">
              <w:rPr>
                <w:color w:val="000000"/>
              </w:rPr>
              <w:t>Certificate of Service</w:t>
            </w:r>
          </w:p>
        </w:tc>
      </w:tr>
      <w:tr w:rsidRPr="007F620E" w:rsidR="00A92D0B" w:rsidTr="00411D1A" w14:paraId="72C869B0" w14:textId="77777777">
        <w:tc>
          <w:tcPr>
            <w:tcW w:w="1795" w:type="dxa"/>
            <w:shd w:val="clear" w:color="auto" w:fill="auto"/>
          </w:tcPr>
          <w:p w:rsidRPr="007F620E" w:rsidR="00A92D0B" w:rsidP="001A3CF3" w:rsidRDefault="00173CAA" w14:paraId="49AADD21" w14:textId="0C16658C">
            <w:pPr>
              <w:tabs>
                <w:tab w:val="left" w:pos="1260"/>
              </w:tabs>
              <w:rPr>
                <w:color w:val="000000"/>
              </w:rPr>
            </w:pPr>
            <w:r>
              <w:rPr>
                <w:color w:val="000000"/>
              </w:rPr>
              <w:t xml:space="preserve">Attachment </w:t>
            </w:r>
            <w:r w:rsidR="0022302F">
              <w:rPr>
                <w:color w:val="000000"/>
              </w:rPr>
              <w:t>2</w:t>
            </w:r>
          </w:p>
        </w:tc>
        <w:tc>
          <w:tcPr>
            <w:tcW w:w="7565" w:type="dxa"/>
            <w:shd w:val="clear" w:color="auto" w:fill="auto"/>
          </w:tcPr>
          <w:p w:rsidRPr="007F620E" w:rsidR="00A92D0B" w:rsidP="001A3CF3" w:rsidRDefault="00A819F5" w14:paraId="3AF20C23" w14:textId="04CABEF4">
            <w:pPr>
              <w:tabs>
                <w:tab w:val="left" w:pos="1260"/>
              </w:tabs>
              <w:rPr>
                <w:b/>
                <w:color w:val="000000"/>
              </w:rPr>
            </w:pPr>
            <w:r w:rsidRPr="00A527D8">
              <w:rPr>
                <w:bCs/>
                <w:color w:val="000000"/>
              </w:rPr>
              <w:t>Timesheet for TURN’s Advocates</w:t>
            </w:r>
          </w:p>
        </w:tc>
      </w:tr>
      <w:tr w:rsidRPr="007F620E" w:rsidR="00DA3FF8" w:rsidTr="00411D1A" w14:paraId="72FA4931" w14:textId="77777777">
        <w:tc>
          <w:tcPr>
            <w:tcW w:w="1795" w:type="dxa"/>
            <w:shd w:val="clear" w:color="auto" w:fill="auto"/>
          </w:tcPr>
          <w:p w:rsidR="00DA3FF8" w:rsidP="001A3CF3" w:rsidRDefault="00DD1ECA" w14:paraId="7DB79A56" w14:textId="57CECB80">
            <w:pPr>
              <w:tabs>
                <w:tab w:val="left" w:pos="1260"/>
              </w:tabs>
              <w:rPr>
                <w:color w:val="000000"/>
              </w:rPr>
            </w:pPr>
            <w:r>
              <w:rPr>
                <w:color w:val="000000"/>
              </w:rPr>
              <w:t>Attachment 3</w:t>
            </w:r>
          </w:p>
        </w:tc>
        <w:tc>
          <w:tcPr>
            <w:tcW w:w="7565" w:type="dxa"/>
            <w:shd w:val="clear" w:color="auto" w:fill="auto"/>
          </w:tcPr>
          <w:p w:rsidRPr="00173CAA" w:rsidR="00DA3FF8" w:rsidP="001A3CF3" w:rsidRDefault="00F0017C" w14:paraId="07A8D4D9" w14:textId="6014F58C">
            <w:pPr>
              <w:tabs>
                <w:tab w:val="left" w:pos="1260"/>
              </w:tabs>
              <w:rPr>
                <w:b/>
                <w:color w:val="000000"/>
                <w:highlight w:val="yellow"/>
              </w:rPr>
            </w:pPr>
            <w:r w:rsidRPr="00A527D8">
              <w:rPr>
                <w:bCs/>
                <w:color w:val="000000"/>
              </w:rPr>
              <w:t>TURN Hours Allocated by Issue</w:t>
            </w:r>
          </w:p>
        </w:tc>
      </w:tr>
    </w:tbl>
    <w:p w:rsidRPr="007F620E" w:rsidR="00A92D0B" w:rsidP="005B5B44" w:rsidRDefault="00A92D0B" w14:paraId="0D8B7003" w14:textId="0C0B74DA">
      <w:pPr>
        <w:keepNext/>
        <w:numPr>
          <w:ilvl w:val="0"/>
          <w:numId w:val="9"/>
        </w:numPr>
        <w:spacing w:before="240" w:after="240"/>
        <w:rPr>
          <w:b/>
          <w:color w:val="000000"/>
        </w:rPr>
      </w:pPr>
      <w:r w:rsidRPr="007F620E">
        <w:rPr>
          <w:b/>
          <w:color w:val="000000"/>
        </w:rPr>
        <w:t xml:space="preserve">CPUC </w:t>
      </w:r>
      <w:r w:rsidR="008C09F7">
        <w:rPr>
          <w:b/>
          <w:color w:val="000000"/>
        </w:rPr>
        <w:t xml:space="preserve">Comments, </w:t>
      </w:r>
      <w:r w:rsidRPr="007F620E">
        <w:rPr>
          <w:b/>
          <w:color w:val="000000"/>
        </w:rPr>
        <w:t>Disallowances</w:t>
      </w:r>
      <w:r w:rsidR="008C09F7">
        <w:rPr>
          <w:b/>
          <w:color w:val="000000"/>
        </w:rPr>
        <w:t>,</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Pr>
          <w:b/>
          <w:color w:val="000000"/>
        </w:rPr>
        <w:t xml:space="preserve">Adjustments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543"/>
        <w:gridCol w:w="7817"/>
      </w:tblGrid>
      <w:tr w:rsidRPr="007F620E" w:rsidR="00A92D0B" w:rsidTr="00411D1A" w14:paraId="52CD0603" w14:textId="77777777">
        <w:trPr>
          <w:tblHeader/>
        </w:trPr>
        <w:tc>
          <w:tcPr>
            <w:tcW w:w="1543" w:type="dxa"/>
            <w:shd w:val="pct12" w:color="auto" w:fill="auto"/>
          </w:tcPr>
          <w:p w:rsidRPr="007F620E" w:rsidR="00A92D0B" w:rsidP="00EB64CF" w:rsidRDefault="00072C81" w14:paraId="3954EC4C" w14:textId="77777777">
            <w:pPr>
              <w:tabs>
                <w:tab w:val="left" w:pos="1440"/>
              </w:tabs>
              <w:jc w:val="center"/>
              <w:rPr>
                <w:b/>
                <w:color w:val="000000"/>
              </w:rPr>
            </w:pPr>
            <w:r w:rsidRPr="007F620E">
              <w:rPr>
                <w:b/>
                <w:color w:val="000000"/>
              </w:rPr>
              <w:t>Item</w:t>
            </w:r>
          </w:p>
        </w:tc>
        <w:tc>
          <w:tcPr>
            <w:tcW w:w="7817" w:type="dxa"/>
            <w:shd w:val="pct12" w:color="auto" w:fill="auto"/>
          </w:tcPr>
          <w:p w:rsidRPr="007F620E" w:rsidR="00A92D0B" w:rsidP="00EB64CF" w:rsidRDefault="00A92D0B" w14:paraId="09F9E4D9" w14:textId="77777777">
            <w:pPr>
              <w:tabs>
                <w:tab w:val="left" w:pos="1440"/>
              </w:tabs>
              <w:jc w:val="center"/>
              <w:rPr>
                <w:b/>
                <w:color w:val="000000"/>
              </w:rPr>
            </w:pPr>
            <w:r w:rsidRPr="007F620E">
              <w:rPr>
                <w:b/>
                <w:color w:val="000000"/>
              </w:rPr>
              <w:t>Reason</w:t>
            </w:r>
          </w:p>
        </w:tc>
      </w:tr>
      <w:tr w:rsidRPr="007F620E" w:rsidR="00A92D0B" w:rsidTr="00411D1A" w14:paraId="69DEE01C" w14:textId="77777777">
        <w:tc>
          <w:tcPr>
            <w:tcW w:w="1543" w:type="dxa"/>
            <w:shd w:val="clear" w:color="auto" w:fill="auto"/>
          </w:tcPr>
          <w:p w:rsidRPr="007F620E" w:rsidR="00A92D0B" w:rsidP="00C06B54" w:rsidRDefault="00C06B54" w14:paraId="1E6C8F3D" w14:textId="090D011F">
            <w:pPr>
              <w:tabs>
                <w:tab w:val="left" w:pos="1440"/>
              </w:tabs>
              <w:jc w:val="center"/>
              <w:rPr>
                <w:color w:val="000000"/>
              </w:rPr>
            </w:pPr>
            <w:r>
              <w:rPr>
                <w:color w:val="000000"/>
              </w:rPr>
              <w:t>[1]</w:t>
            </w:r>
          </w:p>
        </w:tc>
        <w:tc>
          <w:tcPr>
            <w:tcW w:w="7817" w:type="dxa"/>
            <w:shd w:val="clear" w:color="auto" w:fill="auto"/>
          </w:tcPr>
          <w:p w:rsidRPr="00AF6CCA" w:rsidR="007F604B" w:rsidP="00EB64CF" w:rsidRDefault="00AF6CCA" w14:paraId="45BFCB16" w14:textId="128E78D0">
            <w:pPr>
              <w:tabs>
                <w:tab w:val="left" w:pos="1440"/>
              </w:tabs>
              <w:rPr>
                <w:color w:val="000000"/>
              </w:rPr>
            </w:pPr>
            <w:r>
              <w:rPr>
                <w:rStyle w:val="cf01"/>
                <w:rFonts w:ascii="Times New Roman" w:hAnsi="Times New Roman" w:cs="Times New Roman"/>
                <w:sz w:val="24"/>
                <w:szCs w:val="24"/>
              </w:rPr>
              <w:t>D</w:t>
            </w:r>
            <w:r w:rsidRPr="00AF6CCA">
              <w:rPr>
                <w:rStyle w:val="cf01"/>
                <w:rFonts w:ascii="Times New Roman" w:hAnsi="Times New Roman" w:cs="Times New Roman"/>
                <w:sz w:val="24"/>
                <w:szCs w:val="24"/>
              </w:rPr>
              <w:t xml:space="preserve">.23-04-020 established a 2022 </w:t>
            </w:r>
            <w:r w:rsidRPr="00AF6CCA" w:rsidR="007953BE">
              <w:rPr>
                <w:rStyle w:val="cf01"/>
                <w:rFonts w:ascii="Times New Roman" w:hAnsi="Times New Roman" w:cs="Times New Roman"/>
                <w:sz w:val="24"/>
                <w:szCs w:val="24"/>
              </w:rPr>
              <w:t xml:space="preserve">rate of </w:t>
            </w:r>
            <w:r w:rsidRPr="00AF6CCA" w:rsidR="007953BE">
              <w:rPr>
                <w:color w:val="000000"/>
              </w:rPr>
              <w:t>$415</w:t>
            </w:r>
            <w:r w:rsidR="007953BE">
              <w:rPr>
                <w:color w:val="000000"/>
              </w:rPr>
              <w:t xml:space="preserve"> </w:t>
            </w:r>
            <w:r w:rsidRPr="00AF6CCA">
              <w:rPr>
                <w:rStyle w:val="cf01"/>
                <w:rFonts w:ascii="Times New Roman" w:hAnsi="Times New Roman" w:cs="Times New Roman"/>
                <w:sz w:val="24"/>
                <w:szCs w:val="24"/>
              </w:rPr>
              <w:t>for Salas</w:t>
            </w:r>
            <w:r w:rsidR="007953BE">
              <w:rPr>
                <w:color w:val="000000"/>
              </w:rPr>
              <w:t>.</w:t>
            </w:r>
          </w:p>
        </w:tc>
      </w:tr>
      <w:tr w:rsidRPr="007F620E" w:rsidR="00A92D0B" w:rsidTr="00411D1A" w14:paraId="52155EFC" w14:textId="77777777">
        <w:tc>
          <w:tcPr>
            <w:tcW w:w="1543" w:type="dxa"/>
            <w:shd w:val="clear" w:color="auto" w:fill="auto"/>
          </w:tcPr>
          <w:p w:rsidRPr="007F620E" w:rsidR="00A92D0B" w:rsidP="00746FE9" w:rsidRDefault="00746FE9" w14:paraId="26487933" w14:textId="57F9A5FC">
            <w:pPr>
              <w:tabs>
                <w:tab w:val="left" w:pos="1440"/>
              </w:tabs>
              <w:jc w:val="center"/>
              <w:rPr>
                <w:color w:val="000000"/>
              </w:rPr>
            </w:pPr>
            <w:r>
              <w:rPr>
                <w:color w:val="000000"/>
              </w:rPr>
              <w:t>[2]</w:t>
            </w:r>
          </w:p>
        </w:tc>
        <w:tc>
          <w:tcPr>
            <w:tcW w:w="7817" w:type="dxa"/>
            <w:shd w:val="clear" w:color="auto" w:fill="auto"/>
          </w:tcPr>
          <w:p w:rsidRPr="007F620E" w:rsidR="003E112E" w:rsidP="00EB64CF" w:rsidRDefault="00664582" w14:paraId="455E6A00" w14:textId="6CD819D7">
            <w:pPr>
              <w:tabs>
                <w:tab w:val="left" w:pos="1440"/>
              </w:tabs>
              <w:rPr>
                <w:color w:val="000000"/>
              </w:rPr>
            </w:pPr>
            <w:r w:rsidRPr="00BE03E1">
              <w:rPr>
                <w:color w:val="000000"/>
              </w:rPr>
              <w:t>D</w:t>
            </w:r>
            <w:r w:rsidRPr="00BE03E1" w:rsidR="00BE03E1">
              <w:rPr>
                <w:color w:val="000000"/>
              </w:rPr>
              <w:t>.</w:t>
            </w:r>
            <w:r w:rsidRPr="00BE03E1">
              <w:rPr>
                <w:color w:val="000000"/>
              </w:rPr>
              <w:t>22</w:t>
            </w:r>
            <w:r w:rsidRPr="00BE03E1" w:rsidR="00BE03E1">
              <w:rPr>
                <w:color w:val="000000"/>
              </w:rPr>
              <w:t>-</w:t>
            </w:r>
            <w:r w:rsidRPr="00BE03E1">
              <w:rPr>
                <w:color w:val="000000"/>
              </w:rPr>
              <w:t>06</w:t>
            </w:r>
            <w:r w:rsidRPr="00BE03E1" w:rsidR="00BE03E1">
              <w:rPr>
                <w:color w:val="000000"/>
              </w:rPr>
              <w:t>-</w:t>
            </w:r>
            <w:r w:rsidRPr="00BE03E1">
              <w:rPr>
                <w:color w:val="000000"/>
              </w:rPr>
              <w:t>038</w:t>
            </w:r>
            <w:r w:rsidR="00746FE9">
              <w:rPr>
                <w:color w:val="000000"/>
              </w:rPr>
              <w:t xml:space="preserve"> </w:t>
            </w:r>
            <w:r>
              <w:rPr>
                <w:color w:val="000000"/>
              </w:rPr>
              <w:t xml:space="preserve">established a </w:t>
            </w:r>
            <w:r w:rsidR="007953BE">
              <w:rPr>
                <w:color w:val="000000"/>
              </w:rPr>
              <w:t xml:space="preserve">2021 </w:t>
            </w:r>
            <w:r>
              <w:rPr>
                <w:color w:val="000000"/>
              </w:rPr>
              <w:t xml:space="preserve">rate of $410 for </w:t>
            </w:r>
            <w:r w:rsidRPr="00746FE9">
              <w:rPr>
                <w:color w:val="000000"/>
              </w:rPr>
              <w:t>Villanueva</w:t>
            </w:r>
            <w:r w:rsidR="007F2D2F">
              <w:rPr>
                <w:color w:val="000000"/>
              </w:rPr>
              <w:t>.</w:t>
            </w:r>
            <w:r>
              <w:rPr>
                <w:color w:val="000000"/>
              </w:rPr>
              <w:t xml:space="preserve"> </w:t>
            </w:r>
            <w:r w:rsidR="00411D1A">
              <w:rPr>
                <w:color w:val="000000"/>
              </w:rPr>
              <w:t xml:space="preserve">D.23-04-020 approved a 2022 rate of $425 for </w:t>
            </w:r>
            <w:r w:rsidR="00BE03E1">
              <w:rPr>
                <w:color w:val="000000"/>
              </w:rPr>
              <w:t>Villanueva</w:t>
            </w:r>
            <w:r w:rsidR="00411D1A">
              <w:rPr>
                <w:color w:val="000000"/>
              </w:rPr>
              <w:t>.</w:t>
            </w:r>
          </w:p>
        </w:tc>
      </w:tr>
    </w:tbl>
    <w:p w:rsidRPr="007F620E" w:rsidR="00A92D0B" w:rsidP="00575494" w:rsidRDefault="00A92D0B" w14:paraId="18E9D359" w14:textId="6CF07914">
      <w:pPr>
        <w:keepNext/>
        <w:tabs>
          <w:tab w:val="left" w:pos="1260"/>
        </w:tabs>
        <w:spacing w:before="480"/>
        <w:jc w:val="center"/>
        <w:rPr>
          <w:b/>
          <w:color w:val="000000"/>
        </w:rPr>
      </w:pPr>
      <w:r w:rsidRPr="007F620E">
        <w:rPr>
          <w:b/>
          <w:color w:val="000000"/>
        </w:rPr>
        <w:t>PART IV:</w:t>
      </w:r>
      <w:r w:rsidR="00D1778A">
        <w:rPr>
          <w:b/>
          <w:color w:val="000000"/>
        </w:rPr>
        <w:t xml:space="preserve">  </w:t>
      </w:r>
      <w:r w:rsidRPr="007F620E">
        <w:rPr>
          <w:b/>
          <w:color w:val="000000"/>
        </w:rPr>
        <w:t>OPPOSITIONS AND COMMENTS</w:t>
      </w:r>
    </w:p>
    <w:p w:rsidR="00D1778A" w:rsidP="00575494" w:rsidRDefault="00A92D0B" w14:paraId="4E460EA0" w14:textId="77777777">
      <w:pPr>
        <w:keepNext/>
        <w:tabs>
          <w:tab w:val="left" w:pos="1260"/>
        </w:tabs>
        <w:ind w:left="1267" w:hanging="1267"/>
        <w:jc w:val="center"/>
        <w:rPr>
          <w:b/>
          <w:color w:val="000000"/>
        </w:rPr>
      </w:pPr>
      <w:r w:rsidRPr="007F620E">
        <w:rPr>
          <w:b/>
          <w:color w:val="000000"/>
        </w:rPr>
        <w:t>Within 30 days after service of this Claim, Commission Staff</w:t>
      </w:r>
    </w:p>
    <w:p w:rsidR="00A92D0B" w:rsidP="00575494" w:rsidRDefault="00F20061" w14:paraId="5D5DC317" w14:textId="6B3AEA94">
      <w:pPr>
        <w:keepNext/>
        <w:tabs>
          <w:tab w:val="left" w:pos="1260"/>
        </w:tabs>
        <w:spacing w:after="240"/>
        <w:ind w:left="1267" w:hanging="1267"/>
        <w:jc w:val="center"/>
        <w:rPr>
          <w:b/>
          <w:color w:val="000000"/>
        </w:rPr>
      </w:pPr>
      <w:r>
        <w:rPr>
          <w:b/>
          <w:color w:val="000000"/>
        </w:rPr>
        <w:t xml:space="preserve"> </w:t>
      </w:r>
      <w:r w:rsidRPr="007F620E" w:rsidR="00A92D0B">
        <w:rPr>
          <w:b/>
          <w:color w:val="000000"/>
        </w:rPr>
        <w:t>or any other party may file a response to the Claim (</w:t>
      </w:r>
      <w:r w:rsidRPr="007F620E" w:rsidR="00A92D0B">
        <w:rPr>
          <w:b/>
          <w:i/>
          <w:color w:val="000000"/>
        </w:rPr>
        <w:t>see</w:t>
      </w:r>
      <w:r w:rsidRPr="007F620E"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7F620E" w:rsidR="007953BE" w:rsidTr="008F42BA" w14:paraId="624D78D0" w14:textId="77777777">
        <w:tc>
          <w:tcPr>
            <w:tcW w:w="7336" w:type="dxa"/>
            <w:tcBorders>
              <w:bottom w:val="single" w:color="auto" w:sz="4" w:space="0"/>
            </w:tcBorders>
            <w:shd w:val="clear" w:color="auto" w:fill="auto"/>
          </w:tcPr>
          <w:p w:rsidRPr="007F620E" w:rsidR="007953BE" w:rsidP="008F42BA" w:rsidRDefault="007953BE" w14:paraId="05F99F14" w14:textId="77777777">
            <w:pPr>
              <w:ind w:left="360" w:hanging="360"/>
              <w:rPr>
                <w:color w:val="000000"/>
              </w:rPr>
            </w:pPr>
            <w:r w:rsidRPr="007F620E">
              <w:rPr>
                <w:b/>
                <w:color w:val="000000"/>
              </w:rPr>
              <w:t>A.</w:t>
            </w:r>
            <w:r>
              <w:rPr>
                <w:b/>
                <w:color w:val="000000"/>
              </w:rPr>
              <w:tab/>
            </w:r>
            <w:r w:rsidRPr="007F620E">
              <w:rPr>
                <w:b/>
                <w:color w:val="000000"/>
              </w:rPr>
              <w:t>Opposition:  Did any party oppose the Claim?</w:t>
            </w:r>
          </w:p>
        </w:tc>
        <w:tc>
          <w:tcPr>
            <w:tcW w:w="2024" w:type="dxa"/>
            <w:tcBorders>
              <w:bottom w:val="single" w:color="auto" w:sz="4" w:space="0"/>
            </w:tcBorders>
            <w:shd w:val="clear" w:color="auto" w:fill="auto"/>
          </w:tcPr>
          <w:p w:rsidRPr="007F620E" w:rsidR="007953BE" w:rsidP="008F42BA" w:rsidRDefault="007953BE" w14:paraId="545880AE" w14:textId="77777777">
            <w:pPr>
              <w:rPr>
                <w:color w:val="000000"/>
              </w:rPr>
            </w:pPr>
            <w:r>
              <w:rPr>
                <w:color w:val="000000"/>
              </w:rPr>
              <w:t>No</w:t>
            </w:r>
          </w:p>
        </w:tc>
      </w:tr>
      <w:tr w:rsidR="007953BE" w:rsidTr="008F42BA" w14:paraId="4266B4B0" w14:textId="77777777">
        <w:tc>
          <w:tcPr>
            <w:tcW w:w="7336" w:type="dxa"/>
            <w:tcBorders>
              <w:top w:val="single" w:color="auto" w:sz="4" w:space="0"/>
              <w:left w:val="nil"/>
              <w:bottom w:val="single" w:color="auto" w:sz="4" w:space="0"/>
              <w:right w:val="nil"/>
            </w:tcBorders>
            <w:shd w:val="clear" w:color="auto" w:fill="auto"/>
          </w:tcPr>
          <w:p w:rsidRPr="007F620E" w:rsidR="007953BE" w:rsidP="008F42BA" w:rsidRDefault="007953BE" w14:paraId="5120A917" w14:textId="77777777">
            <w:pPr>
              <w:ind w:left="360" w:hanging="360"/>
              <w:rPr>
                <w:b/>
                <w:color w:val="000000"/>
              </w:rPr>
            </w:pPr>
          </w:p>
        </w:tc>
        <w:tc>
          <w:tcPr>
            <w:tcW w:w="2024" w:type="dxa"/>
            <w:tcBorders>
              <w:top w:val="single" w:color="auto" w:sz="4" w:space="0"/>
              <w:left w:val="nil"/>
              <w:bottom w:val="single" w:color="auto" w:sz="4" w:space="0"/>
              <w:right w:val="nil"/>
            </w:tcBorders>
            <w:shd w:val="clear" w:color="auto" w:fill="auto"/>
          </w:tcPr>
          <w:p w:rsidR="007953BE" w:rsidP="008F42BA" w:rsidRDefault="007953BE" w14:paraId="6D03B5EA" w14:textId="77777777">
            <w:pPr>
              <w:rPr>
                <w:color w:val="000000"/>
              </w:rPr>
            </w:pPr>
          </w:p>
        </w:tc>
      </w:tr>
      <w:tr w:rsidR="007953BE" w:rsidTr="008F42BA" w14:paraId="1BBE80A8" w14:textId="77777777">
        <w:tc>
          <w:tcPr>
            <w:tcW w:w="7336" w:type="dxa"/>
            <w:tcBorders>
              <w:top w:val="single" w:color="auto" w:sz="4" w:space="0"/>
            </w:tcBorders>
            <w:shd w:val="clear" w:color="auto" w:fill="auto"/>
          </w:tcPr>
          <w:p w:rsidRPr="007F620E" w:rsidR="007953BE" w:rsidP="008F42BA" w:rsidRDefault="007953BE" w14:paraId="792EA651" w14:textId="77777777">
            <w:pPr>
              <w:ind w:left="360" w:hanging="360"/>
              <w:rPr>
                <w:b/>
                <w:color w:val="000000"/>
              </w:rPr>
            </w:pPr>
            <w:r w:rsidRPr="007F620E">
              <w:rPr>
                <w:b/>
                <w:color w:val="000000"/>
              </w:rPr>
              <w:t>B.</w:t>
            </w:r>
            <w:r>
              <w:rPr>
                <w:b/>
                <w:color w:val="000000"/>
              </w:rPr>
              <w:tab/>
            </w:r>
            <w:r w:rsidRPr="007F620E">
              <w:rPr>
                <w:b/>
                <w:color w:val="000000"/>
              </w:rPr>
              <w:t>Comment Period:  Was the 30-day comment period waived (</w:t>
            </w:r>
            <w:r w:rsidRPr="007F620E">
              <w:rPr>
                <w:b/>
                <w:i/>
                <w:color w:val="000000"/>
              </w:rPr>
              <w:t>see</w:t>
            </w:r>
            <w:r>
              <w:rPr>
                <w:b/>
                <w:color w:val="000000"/>
              </w:rPr>
              <w:t> </w:t>
            </w:r>
            <w:r w:rsidRPr="007F620E">
              <w:rPr>
                <w:b/>
                <w:color w:val="000000"/>
              </w:rPr>
              <w:t>Rule 14.6(c)(6))?</w:t>
            </w:r>
          </w:p>
        </w:tc>
        <w:tc>
          <w:tcPr>
            <w:tcW w:w="2024" w:type="dxa"/>
            <w:tcBorders>
              <w:top w:val="single" w:color="auto" w:sz="4" w:space="0"/>
            </w:tcBorders>
            <w:shd w:val="clear" w:color="auto" w:fill="auto"/>
          </w:tcPr>
          <w:p w:rsidR="007953BE" w:rsidP="008F42BA" w:rsidRDefault="007953BE" w14:paraId="0DAF5E3A" w14:textId="77777777">
            <w:pPr>
              <w:rPr>
                <w:color w:val="000000"/>
              </w:rPr>
            </w:pPr>
            <w:r>
              <w:rPr>
                <w:color w:val="000000"/>
              </w:rPr>
              <w:t>Yes</w:t>
            </w:r>
          </w:p>
        </w:tc>
      </w:tr>
    </w:tbl>
    <w:p w:rsidRPr="007F620E" w:rsidR="00A92D0B" w:rsidP="007953BE" w:rsidRDefault="00A92D0B" w14:paraId="186E115A" w14:textId="7C10DD57">
      <w:pPr>
        <w:keepNext/>
        <w:spacing w:before="480" w:after="240"/>
        <w:jc w:val="center"/>
        <w:rPr>
          <w:b/>
          <w:color w:val="000000"/>
          <w:u w:val="single"/>
        </w:rPr>
      </w:pPr>
      <w:r w:rsidRPr="007F620E">
        <w:rPr>
          <w:b/>
          <w:color w:val="000000"/>
          <w:u w:val="single"/>
        </w:rPr>
        <w:t>FINDINGS OF FACT</w:t>
      </w:r>
    </w:p>
    <w:p w:rsidRPr="007F620E" w:rsidR="00A92D0B" w:rsidRDefault="00F0017C" w14:paraId="7772A9DC" w14:textId="33C83D4C">
      <w:pPr>
        <w:numPr>
          <w:ilvl w:val="0"/>
          <w:numId w:val="3"/>
        </w:numPr>
        <w:tabs>
          <w:tab w:val="num" w:pos="540"/>
        </w:tabs>
        <w:ind w:left="540" w:hanging="540"/>
      </w:pPr>
      <w:r w:rsidRPr="00411D1A">
        <w:t>T</w:t>
      </w:r>
      <w:r w:rsidRPr="00411D1A" w:rsidR="007953BE">
        <w:t>he</w:t>
      </w:r>
      <w:r w:rsidRPr="00411D1A">
        <w:t xml:space="preserve"> U</w:t>
      </w:r>
      <w:r w:rsidRPr="00411D1A" w:rsidR="007953BE">
        <w:t>tility</w:t>
      </w:r>
      <w:r w:rsidRPr="00411D1A">
        <w:t xml:space="preserve"> R</w:t>
      </w:r>
      <w:r w:rsidRPr="00411D1A" w:rsidR="007953BE">
        <w:t>eform</w:t>
      </w:r>
      <w:r w:rsidRPr="00411D1A">
        <w:t xml:space="preserve"> N</w:t>
      </w:r>
      <w:r w:rsidRPr="00411D1A" w:rsidR="007953BE">
        <w:t>etwork</w:t>
      </w:r>
      <w:r w:rsidRPr="007F620E" w:rsidR="00FE3BAE">
        <w:t xml:space="preserve"> </w:t>
      </w:r>
      <w:r w:rsidRPr="007F620E" w:rsidR="00A92D0B">
        <w:t>has made a substantia</w:t>
      </w:r>
      <w:r w:rsidRPr="007F620E" w:rsidR="00DE3A5D">
        <w:t>l contribution to D.</w:t>
      </w:r>
      <w:r w:rsidR="00411D1A">
        <w:t>22-</w:t>
      </w:r>
      <w:r w:rsidR="00411D1A">
        <w:rPr>
          <w:bCs/>
          <w:color w:val="000000"/>
        </w:rPr>
        <w:t>05-014</w:t>
      </w:r>
      <w:r w:rsidRPr="007F620E" w:rsidR="00A92D0B">
        <w:t>.</w:t>
      </w:r>
    </w:p>
    <w:p w:rsidRPr="007F620E" w:rsidR="00A92D0B" w:rsidRDefault="00A92D0B" w14:paraId="04EB50FD" w14:textId="3C9F65AA">
      <w:pPr>
        <w:numPr>
          <w:ilvl w:val="0"/>
          <w:numId w:val="3"/>
        </w:numPr>
        <w:tabs>
          <w:tab w:val="num" w:pos="540"/>
        </w:tabs>
        <w:spacing w:before="240"/>
      </w:pPr>
      <w:r w:rsidRPr="007F620E">
        <w:t xml:space="preserve">The requested hourly rates </w:t>
      </w:r>
      <w:r w:rsidRPr="00FF2B80">
        <w:t>for</w:t>
      </w:r>
      <w:r w:rsidRPr="00FF2B80" w:rsidR="003B6A1B">
        <w:t xml:space="preserve"> </w:t>
      </w:r>
      <w:r w:rsidRPr="00FF2B80" w:rsidR="00F0017C">
        <w:t>T</w:t>
      </w:r>
      <w:r w:rsidRPr="00FF2B80" w:rsidR="007953BE">
        <w:t>he</w:t>
      </w:r>
      <w:r w:rsidRPr="00FF2B80" w:rsidR="00F0017C">
        <w:t xml:space="preserve"> U</w:t>
      </w:r>
      <w:r w:rsidRPr="00FF2B80" w:rsidR="007953BE">
        <w:t>tility</w:t>
      </w:r>
      <w:r w:rsidRPr="00FF2B80" w:rsidR="00F0017C">
        <w:t xml:space="preserve"> R</w:t>
      </w:r>
      <w:r w:rsidRPr="00FF2B80" w:rsidR="007953BE">
        <w:t>eform</w:t>
      </w:r>
      <w:r w:rsidRPr="00FF2B80" w:rsidR="00F0017C">
        <w:t xml:space="preserve"> N</w:t>
      </w:r>
      <w:r w:rsidRPr="00FF2B80" w:rsidR="007953BE">
        <w:t>etwork</w:t>
      </w:r>
      <w:r w:rsidRPr="00FF2B80" w:rsidR="005A63D4">
        <w:t xml:space="preserve">’s </w:t>
      </w:r>
      <w:r w:rsidRPr="00FF2B80">
        <w:t>representatives,</w:t>
      </w:r>
      <w:r w:rsidRPr="00FF2B80" w:rsidR="003B5EAC">
        <w:t xml:space="preserve"> </w:t>
      </w:r>
      <w:r w:rsidRPr="00FF2B80">
        <w:t>as adjusted herein, are comparable</w:t>
      </w:r>
      <w:r w:rsidRPr="007F620E">
        <w:t xml:space="preserve"> to market rates paid to experts and advocates having comparable training and experience and offering similar services.</w:t>
      </w:r>
    </w:p>
    <w:p w:rsidRPr="007F620E" w:rsidR="00A92D0B" w:rsidRDefault="00A92D0B" w14:paraId="528EBB52" w14:textId="57067AF7">
      <w:pPr>
        <w:numPr>
          <w:ilvl w:val="0"/>
          <w:numId w:val="3"/>
        </w:numPr>
        <w:tabs>
          <w:tab w:val="num" w:pos="540"/>
        </w:tabs>
        <w:spacing w:before="240"/>
      </w:pPr>
      <w:r w:rsidRPr="007F620E">
        <w:t>The claimed costs and expenses</w:t>
      </w:r>
      <w:r w:rsidR="003B5EAC">
        <w:t xml:space="preserve"> </w:t>
      </w:r>
      <w:r w:rsidRPr="007F620E">
        <w:t xml:space="preserve">are reasonable and commensurate with the work performed. </w:t>
      </w:r>
    </w:p>
    <w:p w:rsidRPr="007F620E" w:rsidR="00A92D0B" w:rsidRDefault="00A92D0B" w14:paraId="48B52895" w14:textId="27DE0858">
      <w:pPr>
        <w:numPr>
          <w:ilvl w:val="0"/>
          <w:numId w:val="3"/>
        </w:numPr>
        <w:tabs>
          <w:tab w:val="num" w:pos="540"/>
        </w:tabs>
        <w:spacing w:before="240"/>
      </w:pPr>
      <w:r w:rsidRPr="007F620E">
        <w:t xml:space="preserve">The total of reasonable </w:t>
      </w:r>
      <w:r w:rsidRPr="007F620E" w:rsidR="003C608A">
        <w:t xml:space="preserve">compensation </w:t>
      </w:r>
      <w:r w:rsidRPr="007F620E">
        <w:t xml:space="preserve">is </w:t>
      </w:r>
      <w:r w:rsidR="00563AF7">
        <w:t>$22,393.75</w:t>
      </w:r>
      <w:r w:rsidRPr="007F620E">
        <w:t>.</w:t>
      </w:r>
    </w:p>
    <w:p w:rsidRPr="007F620E" w:rsidR="00A92D0B" w:rsidP="00CE057B" w:rsidRDefault="00A92D0B" w14:paraId="5C773C3F" w14:textId="77777777">
      <w:pPr>
        <w:keepNext/>
        <w:spacing w:before="480" w:after="240"/>
        <w:jc w:val="center"/>
        <w:rPr>
          <w:b/>
          <w:color w:val="000000"/>
          <w:u w:val="single"/>
        </w:rPr>
      </w:pPr>
      <w:r w:rsidRPr="007F620E">
        <w:rPr>
          <w:b/>
          <w:color w:val="000000"/>
          <w:u w:val="single"/>
        </w:rPr>
        <w:t>CONCLUSION OF LAW</w:t>
      </w:r>
    </w:p>
    <w:p w:rsidRPr="007F620E" w:rsidR="00A92D0B" w:rsidP="00575494" w:rsidRDefault="00A92D0B" w14:paraId="654F2C27" w14:textId="27150455">
      <w:pPr>
        <w:numPr>
          <w:ilvl w:val="0"/>
          <w:numId w:val="10"/>
        </w:numPr>
        <w:spacing w:before="240"/>
        <w:rPr>
          <w:color w:val="000000"/>
        </w:rPr>
      </w:pPr>
      <w:r w:rsidRPr="00575494">
        <w:t>The</w:t>
      </w:r>
      <w:r w:rsidRPr="007F620E">
        <w:rPr>
          <w:color w:val="000000"/>
        </w:rPr>
        <w:t xml:space="preserve"> Claim, with any adjustment set forth above, satisfies</w:t>
      </w:r>
      <w:r w:rsidR="00BE03E1">
        <w:rPr>
          <w:color w:val="000000"/>
        </w:rPr>
        <w:t xml:space="preserve"> </w:t>
      </w:r>
      <w:r w:rsidRPr="007F620E" w:rsidR="00DE3A5D">
        <w:rPr>
          <w:color w:val="000000"/>
        </w:rPr>
        <w:t>all requirements of Pub. Util.</w:t>
      </w:r>
      <w:r w:rsidRPr="007F620E">
        <w:rPr>
          <w:color w:val="000000"/>
        </w:rPr>
        <w:t xml:space="preserve"> Code §§ 1801-1812.</w:t>
      </w:r>
    </w:p>
    <w:p w:rsidRPr="007F620E" w:rsidR="00A92D0B" w:rsidP="00CE057B" w:rsidRDefault="00A92D0B" w14:paraId="0E2503A5" w14:textId="77777777">
      <w:pPr>
        <w:keepNext/>
        <w:spacing w:before="480" w:after="240"/>
        <w:jc w:val="center"/>
        <w:rPr>
          <w:b/>
          <w:color w:val="000000"/>
          <w:u w:val="single"/>
        </w:rPr>
      </w:pPr>
      <w:r w:rsidRPr="007F620E">
        <w:rPr>
          <w:b/>
          <w:color w:val="000000"/>
          <w:u w:val="single"/>
        </w:rPr>
        <w:lastRenderedPageBreak/>
        <w:t>ORDER</w:t>
      </w:r>
    </w:p>
    <w:p w:rsidRPr="007F620E" w:rsidR="00A92D0B" w:rsidP="00CE057B" w:rsidRDefault="00F0017C" w14:paraId="33FB4E15" w14:textId="30904B6C">
      <w:pPr>
        <w:keepNext/>
        <w:numPr>
          <w:ilvl w:val="0"/>
          <w:numId w:val="4"/>
        </w:numPr>
        <w:tabs>
          <w:tab w:val="clear" w:pos="900"/>
          <w:tab w:val="num" w:pos="540"/>
        </w:tabs>
        <w:ind w:left="547" w:hanging="547"/>
        <w:rPr>
          <w:color w:val="000000"/>
        </w:rPr>
      </w:pPr>
      <w:r w:rsidRPr="00563AF7">
        <w:t>T</w:t>
      </w:r>
      <w:r w:rsidRPr="00563AF7" w:rsidR="007953BE">
        <w:t>he</w:t>
      </w:r>
      <w:r w:rsidRPr="00563AF7">
        <w:t xml:space="preserve"> U</w:t>
      </w:r>
      <w:r w:rsidRPr="00563AF7" w:rsidR="007953BE">
        <w:t>tility</w:t>
      </w:r>
      <w:r w:rsidRPr="00563AF7">
        <w:t xml:space="preserve"> R</w:t>
      </w:r>
      <w:r w:rsidRPr="00563AF7" w:rsidR="007953BE">
        <w:t>eform</w:t>
      </w:r>
      <w:r w:rsidRPr="00563AF7">
        <w:t xml:space="preserve"> N</w:t>
      </w:r>
      <w:r w:rsidRPr="00563AF7" w:rsidR="007953BE">
        <w:t>etwork</w:t>
      </w:r>
      <w:r w:rsidRPr="007F620E">
        <w:t xml:space="preserve"> </w:t>
      </w:r>
      <w:r w:rsidR="00831652">
        <w:t>is</w:t>
      </w:r>
      <w:r w:rsidRPr="00FE3BAE" w:rsidR="00FE3BAE">
        <w:t xml:space="preserve"> </w:t>
      </w:r>
      <w:r w:rsidRPr="00FE3BAE" w:rsidR="00A92D0B">
        <w:rPr>
          <w:color w:val="000000"/>
        </w:rPr>
        <w:t xml:space="preserve">awarded </w:t>
      </w:r>
      <w:r w:rsidR="00563AF7">
        <w:t>$22,393.75</w:t>
      </w:r>
      <w:r w:rsidRPr="007F620E" w:rsidR="00A92D0B">
        <w:rPr>
          <w:color w:val="000000"/>
        </w:rPr>
        <w:t>.</w:t>
      </w:r>
    </w:p>
    <w:p w:rsidR="008E20BE" w:rsidP="008E20BE" w:rsidRDefault="008E20BE" w14:paraId="1765FB6E" w14:textId="5EC16EF0">
      <w:pPr>
        <w:numPr>
          <w:ilvl w:val="0"/>
          <w:numId w:val="4"/>
        </w:numPr>
        <w:tabs>
          <w:tab w:val="clear" w:pos="900"/>
          <w:tab w:val="num" w:pos="540"/>
        </w:tabs>
        <w:spacing w:before="240"/>
        <w:ind w:left="547" w:hanging="547"/>
      </w:pPr>
      <w:r w:rsidRPr="007F620E">
        <w:t>W</w:t>
      </w:r>
      <w:r w:rsidRPr="00563AF7">
        <w:t xml:space="preserve">ithin 30 days of the effective date of this decision, </w:t>
      </w:r>
      <w:r w:rsidR="00F635D4">
        <w:t xml:space="preserve">the </w:t>
      </w:r>
      <w:r w:rsidRPr="00563AF7">
        <w:t>California Public Utilities Commission shall pay T</w:t>
      </w:r>
      <w:r w:rsidRPr="00563AF7" w:rsidR="007953BE">
        <w:t>he</w:t>
      </w:r>
      <w:r w:rsidRPr="00563AF7">
        <w:t xml:space="preserve"> U</w:t>
      </w:r>
      <w:r w:rsidRPr="00563AF7" w:rsidR="007953BE">
        <w:t>tility</w:t>
      </w:r>
      <w:r w:rsidRPr="00563AF7">
        <w:t xml:space="preserve"> R</w:t>
      </w:r>
      <w:r w:rsidRPr="00563AF7" w:rsidR="007953BE">
        <w:t>eform</w:t>
      </w:r>
      <w:r w:rsidRPr="00563AF7">
        <w:t xml:space="preserve"> N</w:t>
      </w:r>
      <w:r w:rsidRPr="00563AF7" w:rsidR="007953BE">
        <w:t>etwork</w:t>
      </w:r>
      <w:r w:rsidRPr="00563AF7">
        <w:t xml:space="preserve"> the total award</w:t>
      </w:r>
      <w:r w:rsidRPr="00563AF7" w:rsidR="00FB244A">
        <w:t>.</w:t>
      </w:r>
      <w:r w:rsidRPr="00563AF7">
        <w:t xml:space="preserve"> Payment of the award shall include compound interest at the rate earned on prime, three-month non-financial commercial paper as reported in Federal Reserve Statistical Release H.15, beginning </w:t>
      </w:r>
      <w:r w:rsidR="007953BE">
        <w:t xml:space="preserve">October </w:t>
      </w:r>
      <w:r w:rsidRPr="00563AF7">
        <w:t>5</w:t>
      </w:r>
      <w:r w:rsidR="007953BE">
        <w:t xml:space="preserve">, </w:t>
      </w:r>
      <w:r w:rsidRPr="00563AF7">
        <w:t>20</w:t>
      </w:r>
      <w:r w:rsidRPr="00563AF7" w:rsidR="006F3B4E">
        <w:t>2</w:t>
      </w:r>
      <w:r w:rsidRPr="00563AF7">
        <w:t>2, the 75th day after the filing of T</w:t>
      </w:r>
      <w:r w:rsidRPr="00563AF7" w:rsidR="007953BE">
        <w:t>he</w:t>
      </w:r>
      <w:r w:rsidRPr="00563AF7">
        <w:t xml:space="preserve"> U</w:t>
      </w:r>
      <w:r w:rsidRPr="00563AF7" w:rsidR="007953BE">
        <w:t>tility</w:t>
      </w:r>
      <w:r w:rsidRPr="00563AF7">
        <w:t xml:space="preserve"> R</w:t>
      </w:r>
      <w:r w:rsidRPr="00563AF7" w:rsidR="007953BE">
        <w:t>eform</w:t>
      </w:r>
      <w:r w:rsidRPr="00563AF7">
        <w:t xml:space="preserve"> N</w:t>
      </w:r>
      <w:r w:rsidRPr="00563AF7" w:rsidR="007953BE">
        <w:t>etwork</w:t>
      </w:r>
      <w:r w:rsidRPr="00563AF7">
        <w:t>’s request, and continuing until full payment is made.</w:t>
      </w:r>
    </w:p>
    <w:p w:rsidRPr="007F620E" w:rsidR="00A92D0B" w:rsidP="00DE3A5D" w:rsidRDefault="00A92D0B" w14:paraId="5AD40C95" w14:textId="555B56B8">
      <w:pPr>
        <w:keepNext/>
        <w:keepLines/>
        <w:numPr>
          <w:ilvl w:val="0"/>
          <w:numId w:val="4"/>
        </w:numPr>
        <w:tabs>
          <w:tab w:val="clear" w:pos="900"/>
          <w:tab w:val="num" w:pos="540"/>
        </w:tabs>
        <w:spacing w:before="240"/>
        <w:ind w:left="547" w:hanging="547"/>
      </w:pPr>
      <w:r w:rsidRPr="007F620E">
        <w:t>The comment period for today’s decision is waived.</w:t>
      </w:r>
    </w:p>
    <w:p w:rsidRPr="007F620E" w:rsidR="00A92D0B" w:rsidP="00467E65" w:rsidRDefault="00A92D0B" w14:paraId="13F3A0AD" w14:textId="77777777">
      <w:pPr>
        <w:keepNext/>
        <w:keepLines/>
        <w:spacing w:before="240"/>
        <w:ind w:left="547"/>
        <w:rPr>
          <w:color w:val="000000"/>
        </w:rPr>
      </w:pPr>
      <w:r w:rsidRPr="007F620E">
        <w:rPr>
          <w:color w:val="000000"/>
        </w:rPr>
        <w:t>This decision is effective today.</w:t>
      </w:r>
    </w:p>
    <w:p w:rsidR="00A92D0B" w:rsidP="00357623" w:rsidRDefault="00A92D0B" w14:paraId="0467B995" w14:textId="7F036E58">
      <w:pPr>
        <w:keepNext/>
        <w:keepLines/>
        <w:spacing w:before="240"/>
        <w:ind w:left="547"/>
        <w:rPr>
          <w:color w:val="000000"/>
        </w:rPr>
      </w:pPr>
      <w:proofErr w:type="gramStart"/>
      <w:r w:rsidRPr="007F620E">
        <w:rPr>
          <w:color w:val="000000"/>
        </w:rPr>
        <w:t xml:space="preserve">Dated </w:t>
      </w:r>
      <w:r w:rsidR="001C55F5">
        <w:rPr>
          <w:color w:val="000000"/>
        </w:rPr>
        <w:t>November</w:t>
      </w:r>
      <w:proofErr w:type="gramEnd"/>
      <w:r w:rsidR="001C55F5">
        <w:rPr>
          <w:color w:val="000000"/>
        </w:rPr>
        <w:t xml:space="preserve"> 30, 2023</w:t>
      </w:r>
      <w:r w:rsidRPr="007F620E">
        <w:rPr>
          <w:color w:val="000000"/>
        </w:rPr>
        <w:t xml:space="preserve">, at </w:t>
      </w:r>
      <w:r w:rsidR="007A5300">
        <w:rPr>
          <w:color w:val="000000"/>
        </w:rPr>
        <w:t>Sacramento</w:t>
      </w:r>
      <w:r w:rsidRPr="007F620E">
        <w:rPr>
          <w:color w:val="000000"/>
        </w:rPr>
        <w:t>, California.</w:t>
      </w:r>
    </w:p>
    <w:p w:rsidR="001C55F5" w:rsidP="00357623" w:rsidRDefault="001C55F5" w14:paraId="2CB4DFAE" w14:textId="77777777">
      <w:pPr>
        <w:keepNext/>
        <w:keepLines/>
        <w:spacing w:before="240"/>
        <w:ind w:left="547"/>
        <w:rPr>
          <w:color w:val="000000"/>
        </w:rPr>
      </w:pPr>
    </w:p>
    <w:p w:rsidR="001C55F5" w:rsidP="001C55F5" w:rsidRDefault="001C55F5" w14:paraId="2CBC0F94" w14:textId="77777777">
      <w:pPr>
        <w:keepNext/>
        <w:keepLines/>
        <w:autoSpaceDE w:val="0"/>
        <w:autoSpaceDN w:val="0"/>
        <w:adjustRightInd w:val="0"/>
        <w:ind w:left="5040"/>
        <w:jc w:val="both"/>
      </w:pPr>
      <w:r>
        <w:t>ALICE REYNOLDS</w:t>
      </w:r>
    </w:p>
    <w:p w:rsidR="001C55F5" w:rsidP="001C55F5" w:rsidRDefault="001C55F5" w14:paraId="45AE63E7" w14:textId="77777777">
      <w:pPr>
        <w:keepNext/>
        <w:keepLines/>
        <w:autoSpaceDE w:val="0"/>
        <w:autoSpaceDN w:val="0"/>
        <w:adjustRightInd w:val="0"/>
        <w:ind w:left="5760" w:firstLine="720"/>
        <w:jc w:val="both"/>
      </w:pPr>
      <w:r>
        <w:t>President</w:t>
      </w:r>
    </w:p>
    <w:p w:rsidR="001C55F5" w:rsidP="001C55F5" w:rsidRDefault="001C55F5" w14:paraId="4E3B652A" w14:textId="77777777">
      <w:pPr>
        <w:keepNext/>
        <w:keepLines/>
        <w:autoSpaceDE w:val="0"/>
        <w:autoSpaceDN w:val="0"/>
        <w:adjustRightInd w:val="0"/>
        <w:ind w:left="5040"/>
        <w:jc w:val="both"/>
      </w:pPr>
      <w:r>
        <w:t>GENEVIEVE SHIROMA</w:t>
      </w:r>
    </w:p>
    <w:p w:rsidR="001C55F5" w:rsidP="001C55F5" w:rsidRDefault="001C55F5" w14:paraId="57A4EAB3" w14:textId="77777777">
      <w:pPr>
        <w:keepNext/>
        <w:keepLines/>
        <w:autoSpaceDE w:val="0"/>
        <w:autoSpaceDN w:val="0"/>
        <w:adjustRightInd w:val="0"/>
        <w:ind w:left="5040"/>
        <w:jc w:val="both"/>
      </w:pPr>
      <w:r>
        <w:t>DARCIE L. HOUCK</w:t>
      </w:r>
    </w:p>
    <w:p w:rsidR="001C55F5" w:rsidP="001C55F5" w:rsidRDefault="001C55F5" w14:paraId="6CCCCB30" w14:textId="77777777">
      <w:pPr>
        <w:keepNext/>
        <w:keepLines/>
        <w:autoSpaceDE w:val="0"/>
        <w:autoSpaceDN w:val="0"/>
        <w:adjustRightInd w:val="0"/>
        <w:ind w:left="5040"/>
        <w:jc w:val="both"/>
      </w:pPr>
      <w:r>
        <w:t>JOHN REYNOLDS</w:t>
      </w:r>
    </w:p>
    <w:p w:rsidR="001C55F5" w:rsidP="001C55F5" w:rsidRDefault="001C55F5" w14:paraId="079BDB70" w14:textId="77777777">
      <w:pPr>
        <w:keepNext/>
        <w:keepLines/>
        <w:autoSpaceDE w:val="0"/>
        <w:autoSpaceDN w:val="0"/>
        <w:adjustRightInd w:val="0"/>
        <w:ind w:left="5040"/>
        <w:jc w:val="both"/>
      </w:pPr>
      <w:r>
        <w:t>KAREN DOUGLAS</w:t>
      </w:r>
    </w:p>
    <w:p w:rsidR="001C55F5" w:rsidP="001C55F5" w:rsidRDefault="001C55F5" w14:paraId="013E19DA" w14:textId="77777777">
      <w:pPr>
        <w:keepNext/>
        <w:keepLines/>
        <w:autoSpaceDE w:val="0"/>
        <w:autoSpaceDN w:val="0"/>
        <w:adjustRightInd w:val="0"/>
        <w:ind w:left="5760" w:firstLine="720"/>
        <w:jc w:val="both"/>
      </w:pPr>
      <w:r>
        <w:t>Commissioner</w:t>
      </w:r>
    </w:p>
    <w:p w:rsidRPr="007F620E" w:rsidR="001C55F5" w:rsidP="00357623" w:rsidRDefault="001C55F5" w14:paraId="3E5E0A11" w14:textId="77777777">
      <w:pPr>
        <w:keepNext/>
        <w:keepLines/>
        <w:spacing w:before="240"/>
        <w:ind w:left="547"/>
        <w:rPr>
          <w:color w:val="000000"/>
        </w:rPr>
      </w:pPr>
    </w:p>
    <w:p w:rsidRPr="007F620E" w:rsidR="00A92D0B" w:rsidRDefault="00A92D0B" w14:paraId="1A474D77" w14:textId="77777777"/>
    <w:p w:rsidR="00FE3BAE" w:rsidRDefault="00FE3BAE" w14:paraId="3C739AE2" w14:textId="71F3AFC8"/>
    <w:p w:rsidR="006B7228" w:rsidRDefault="006B7228" w14:paraId="37D74F32" w14:textId="77777777">
      <w:pPr>
        <w:sectPr w:rsidR="006B7228" w:rsidSect="006B7228">
          <w:headerReference w:type="default" r:id="rId8"/>
          <w:footerReference w:type="default" r:id="rId9"/>
          <w:footerReference w:type="first" r:id="rId10"/>
          <w:pgSz w:w="12240" w:h="15840"/>
          <w:pgMar w:top="1440" w:right="1440" w:bottom="1440" w:left="1440" w:header="720" w:footer="720" w:gutter="0"/>
          <w:pgNumType w:fmt="numberInDash" w:start="1"/>
          <w:cols w:space="720"/>
          <w:titlePg/>
          <w:docGrid w:linePitch="360"/>
        </w:sectPr>
      </w:pPr>
    </w:p>
    <w:p w:rsidRPr="00B803D5" w:rsidR="00FE3BAE" w:rsidP="00FE3BAE" w:rsidRDefault="00FE3BAE" w14:paraId="7A1C7043" w14:textId="77777777">
      <w:pPr>
        <w:pStyle w:val="standard"/>
        <w:ind w:firstLine="0"/>
        <w:jc w:val="center"/>
        <w:rPr>
          <w:rFonts w:ascii="Times New Roman" w:hAnsi="Times New Roman"/>
          <w:b/>
          <w:szCs w:val="26"/>
        </w:rPr>
      </w:pPr>
      <w:r w:rsidRPr="00B803D5">
        <w:rPr>
          <w:rFonts w:ascii="Times New Roman" w:hAnsi="Times New Roman"/>
          <w:b/>
          <w:szCs w:val="26"/>
        </w:rPr>
        <w:lastRenderedPageBreak/>
        <w:t>APPENDIX</w:t>
      </w:r>
    </w:p>
    <w:p w:rsidRPr="00F7579D" w:rsidR="00FE3BAE" w:rsidP="00F7579D" w:rsidRDefault="00FE3BAE" w14:paraId="300BB274" w14:textId="77777777">
      <w:pPr>
        <w:pStyle w:val="standard"/>
        <w:ind w:firstLine="0"/>
        <w:jc w:val="center"/>
        <w:rPr>
          <w:rFonts w:ascii="Times New Roman" w:hAnsi="Times New Roman"/>
          <w:b/>
          <w:bCs/>
        </w:rPr>
      </w:pPr>
      <w:r w:rsidRPr="00F7579D">
        <w:rPr>
          <w:rFonts w:ascii="Times New Roman" w:hAnsi="Times New Roman"/>
          <w:b/>
          <w:bCs/>
          <w:sz w:val="28"/>
          <w:szCs w:val="28"/>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B803D5" w:rsidR="00FE3BAE" w:rsidTr="00F862A9"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4BC9C636" w14:textId="77777777">
            <w:pPr>
              <w:rPr>
                <w:b/>
                <w:bCs/>
              </w:rPr>
            </w:pPr>
            <w:r w:rsidRPr="00F7579D">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B803D5" w:rsidR="00FE3BAE" w:rsidP="00A23C17" w:rsidRDefault="001C55F5" w14:paraId="16C5D6B1" w14:textId="1D59B62D">
            <w:r>
              <w:t>D2311117</w:t>
            </w:r>
          </w:p>
        </w:tc>
        <w:tc>
          <w:tcPr>
            <w:tcW w:w="2475" w:type="dxa"/>
            <w:tcBorders>
              <w:top w:val="single" w:color="auto" w:sz="4" w:space="0"/>
              <w:left w:val="single" w:color="auto" w:sz="4" w:space="0"/>
              <w:bottom w:val="single" w:color="auto" w:sz="4" w:space="0"/>
              <w:right w:val="single" w:color="auto" w:sz="4" w:space="0"/>
            </w:tcBorders>
            <w:hideMark/>
          </w:tcPr>
          <w:p w:rsidRPr="006B0BC7" w:rsidR="00FE3BAE" w:rsidP="00A23C17" w:rsidRDefault="00FE3BAE" w14:paraId="3ECA0C4F" w14:textId="77777777">
            <w:pPr>
              <w:rPr>
                <w:b/>
                <w:bCs/>
              </w:rPr>
            </w:pPr>
            <w:r w:rsidRPr="006B0BC7">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B803D5" w:rsidR="00FE3BAE" w:rsidP="00A23C17" w:rsidRDefault="00563AF7" w14:paraId="6846FB87" w14:textId="3F89786C">
            <w:pPr>
              <w:jc w:val="center"/>
            </w:pPr>
            <w:r>
              <w:t>No</w:t>
            </w:r>
          </w:p>
        </w:tc>
      </w:tr>
      <w:tr w:rsidRPr="00B803D5" w:rsidR="00FE3BAE" w:rsidTr="00563AF7" w14:paraId="3E0218AD" w14:textId="77777777">
        <w:trPr>
          <w:trHeight w:val="211"/>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6E65620B" w14:textId="77777777">
            <w:pPr>
              <w:rPr>
                <w:b/>
                <w:bCs/>
              </w:rPr>
            </w:pPr>
            <w:r w:rsidRPr="00F7579D">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F72D5F" w14:paraId="426F2C45" w14:textId="6E217E35">
            <w:r>
              <w:rPr>
                <w:bCs/>
                <w:color w:val="000000"/>
              </w:rPr>
              <w:t>D</w:t>
            </w:r>
            <w:r w:rsidRPr="00653EEE" w:rsidR="00F0017C">
              <w:rPr>
                <w:bCs/>
                <w:color w:val="000000"/>
              </w:rPr>
              <w:t>22</w:t>
            </w:r>
            <w:r w:rsidR="00563AF7">
              <w:rPr>
                <w:bCs/>
                <w:color w:val="000000"/>
              </w:rPr>
              <w:t>05014</w:t>
            </w:r>
          </w:p>
        </w:tc>
      </w:tr>
      <w:tr w:rsidRPr="00B803D5" w:rsidR="00FE3BAE" w:rsidTr="00563AF7"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17974DE" w14:textId="77777777">
            <w:pPr>
              <w:rPr>
                <w:b/>
                <w:bCs/>
              </w:rPr>
            </w:pPr>
            <w:r w:rsidRPr="00F7579D">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B803D5" w:rsidR="00FE3BAE" w:rsidP="00A23C17" w:rsidRDefault="00F72D5F" w14:paraId="5B85688D" w14:textId="29EED89C">
            <w:r>
              <w:t>R2002008</w:t>
            </w:r>
          </w:p>
        </w:tc>
      </w:tr>
      <w:tr w:rsidRPr="00B803D5" w:rsidR="00FE3BAE" w:rsidTr="00F862A9"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738C0A58" w14:textId="77777777">
            <w:pPr>
              <w:rPr>
                <w:b/>
                <w:bCs/>
              </w:rPr>
            </w:pPr>
            <w:r w:rsidRPr="00F7579D">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A23C17" w:rsidRDefault="00563AF7" w14:paraId="5E75C0F0" w14:textId="421E8ACE">
            <w:r>
              <w:t>ALJ Wang</w:t>
            </w:r>
          </w:p>
        </w:tc>
      </w:tr>
      <w:tr w:rsidRPr="00B803D5" w:rsidR="00FE3BAE" w:rsidTr="00F862A9"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F7579D" w:rsidR="00FE3BAE" w:rsidP="00A23C17" w:rsidRDefault="00FE3BAE" w14:paraId="1414CA71" w14:textId="77777777">
            <w:pPr>
              <w:rPr>
                <w:b/>
                <w:bCs/>
              </w:rPr>
            </w:pPr>
            <w:r w:rsidRPr="00F7579D">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B803D5" w:rsidR="00FE3BAE" w:rsidP="00A23C17" w:rsidRDefault="00563AF7" w14:paraId="7CA711B6" w14:textId="30647E04">
            <w:r>
              <w:t>California Public Utilities Commission</w:t>
            </w:r>
          </w:p>
        </w:tc>
      </w:tr>
    </w:tbl>
    <w:p w:rsidRPr="00B803D5" w:rsidR="00FE3BAE" w:rsidP="00CE057B" w:rsidRDefault="00FE3BAE" w14:paraId="7F0236A2" w14:textId="77777777">
      <w:pPr>
        <w:spacing w:before="480" w:after="240"/>
        <w:jc w:val="center"/>
        <w:rPr>
          <w:b/>
          <w:bCs/>
          <w:sz w:val="28"/>
          <w:szCs w:val="28"/>
        </w:rPr>
      </w:pPr>
      <w:r w:rsidRPr="00B803D5">
        <w:rPr>
          <w:b/>
          <w:bCs/>
          <w:sz w:val="28"/>
          <w:szCs w:val="28"/>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66"/>
        <w:gridCol w:w="1529"/>
        <w:gridCol w:w="1351"/>
        <w:gridCol w:w="1588"/>
        <w:gridCol w:w="1405"/>
        <w:gridCol w:w="2501"/>
      </w:tblGrid>
      <w:tr w:rsidRPr="00B803D5" w:rsidR="00FE3BAE" w:rsidTr="004766BD" w14:paraId="6CDB318E" w14:textId="77777777">
        <w:trPr>
          <w:jc w:val="center"/>
        </w:trPr>
        <w:tc>
          <w:tcPr>
            <w:tcW w:w="2066"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2578F35B" w14:textId="77777777">
            <w:pPr>
              <w:jc w:val="center"/>
              <w:rPr>
                <w:b/>
                <w:bCs/>
              </w:rPr>
            </w:pPr>
            <w:r w:rsidRPr="00B803D5">
              <w:rPr>
                <w:b/>
                <w:bCs/>
              </w:rPr>
              <w:t>Intervenor</w:t>
            </w:r>
          </w:p>
        </w:tc>
        <w:tc>
          <w:tcPr>
            <w:tcW w:w="1529"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81626F" w14:paraId="1A2BF295" w14:textId="77777777">
            <w:pPr>
              <w:jc w:val="center"/>
              <w:rPr>
                <w:b/>
                <w:bCs/>
              </w:rPr>
            </w:pPr>
            <w:r w:rsidRPr="00B803D5">
              <w:rPr>
                <w:b/>
                <w:bCs/>
              </w:rPr>
              <w:t>Date</w:t>
            </w:r>
          </w:p>
          <w:p w:rsidRPr="00B803D5" w:rsidR="00FE3BAE" w:rsidP="00CE057B" w:rsidRDefault="0081626F" w14:paraId="2C1C9DC3" w14:textId="2305FDF8">
            <w:pPr>
              <w:jc w:val="center"/>
              <w:rPr>
                <w:b/>
                <w:bCs/>
              </w:rPr>
            </w:pPr>
            <w:r w:rsidRPr="00B803D5">
              <w:rPr>
                <w:b/>
                <w:bCs/>
              </w:rPr>
              <w:t>Claim Filed</w:t>
            </w:r>
          </w:p>
        </w:tc>
        <w:tc>
          <w:tcPr>
            <w:tcW w:w="1351"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60DD020D" w14:textId="77777777">
            <w:pPr>
              <w:jc w:val="center"/>
              <w:rPr>
                <w:b/>
                <w:bCs/>
              </w:rPr>
            </w:pPr>
            <w:r w:rsidRPr="00B803D5">
              <w:rPr>
                <w:b/>
                <w:bCs/>
              </w:rPr>
              <w:t>Amount Requested</w:t>
            </w:r>
          </w:p>
        </w:tc>
        <w:tc>
          <w:tcPr>
            <w:tcW w:w="1588"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19A4A01D" w14:textId="77777777">
            <w:pPr>
              <w:jc w:val="center"/>
              <w:rPr>
                <w:b/>
                <w:bCs/>
              </w:rPr>
            </w:pPr>
            <w:r w:rsidRPr="00B803D5">
              <w:rPr>
                <w:b/>
                <w:bCs/>
              </w:rPr>
              <w:t>Amount Awarded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5B9F47E2" w14:textId="77777777">
            <w:pPr>
              <w:jc w:val="center"/>
              <w:rPr>
                <w:b/>
                <w:bCs/>
              </w:rPr>
            </w:pPr>
            <w:r w:rsidRPr="00B803D5">
              <w:rPr>
                <w:b/>
                <w:bCs/>
              </w:rPr>
              <w:t>Multiplier?</w:t>
            </w:r>
          </w:p>
        </w:tc>
        <w:tc>
          <w:tcPr>
            <w:tcW w:w="2501" w:type="dxa"/>
            <w:tcBorders>
              <w:top w:val="single" w:color="auto" w:sz="4" w:space="0"/>
              <w:left w:val="single" w:color="auto" w:sz="4" w:space="0"/>
              <w:bottom w:val="single" w:color="auto" w:sz="4" w:space="0"/>
              <w:right w:val="single" w:color="auto" w:sz="4" w:space="0"/>
            </w:tcBorders>
            <w:vAlign w:val="bottom"/>
            <w:hideMark/>
          </w:tcPr>
          <w:p w:rsidRPr="00B803D5" w:rsidR="00FE3BAE" w:rsidP="00CE057B" w:rsidRDefault="00FE3BAE" w14:paraId="089590A8" w14:textId="77777777">
            <w:pPr>
              <w:jc w:val="center"/>
              <w:rPr>
                <w:b/>
                <w:bCs/>
              </w:rPr>
            </w:pPr>
            <w:r w:rsidRPr="00B803D5">
              <w:rPr>
                <w:b/>
                <w:bCs/>
              </w:rPr>
              <w:t>Reason Change/Disallowance</w:t>
            </w:r>
          </w:p>
        </w:tc>
      </w:tr>
      <w:tr w:rsidRPr="00B803D5" w:rsidR="00FE3BAE" w:rsidTr="00563AF7" w14:paraId="080524E3" w14:textId="77777777">
        <w:trPr>
          <w:trHeight w:val="872"/>
          <w:jc w:val="center"/>
        </w:trPr>
        <w:tc>
          <w:tcPr>
            <w:tcW w:w="2066" w:type="dxa"/>
            <w:tcBorders>
              <w:top w:val="single" w:color="auto" w:sz="4" w:space="0"/>
              <w:left w:val="single" w:color="auto" w:sz="4" w:space="0"/>
              <w:bottom w:val="single" w:color="auto" w:sz="4" w:space="0"/>
              <w:right w:val="single" w:color="auto" w:sz="4" w:space="0"/>
            </w:tcBorders>
            <w:shd w:val="clear" w:color="auto" w:fill="auto"/>
            <w:hideMark/>
          </w:tcPr>
          <w:p w:rsidRPr="00563AF7" w:rsidR="00FE3BAE" w:rsidP="00A23C17" w:rsidRDefault="00F72D5F" w14:paraId="3008FB17" w14:textId="219DA214">
            <w:pPr>
              <w:jc w:val="center"/>
            </w:pPr>
            <w:r w:rsidRPr="00563AF7">
              <w:t>T</w:t>
            </w:r>
            <w:r w:rsidRPr="00563AF7" w:rsidR="007953BE">
              <w:t>he</w:t>
            </w:r>
            <w:r w:rsidRPr="00563AF7">
              <w:t xml:space="preserve"> U</w:t>
            </w:r>
            <w:r w:rsidRPr="00563AF7" w:rsidR="007953BE">
              <w:t>tility</w:t>
            </w:r>
            <w:r w:rsidRPr="00563AF7">
              <w:t xml:space="preserve"> R</w:t>
            </w:r>
            <w:r w:rsidRPr="00563AF7" w:rsidR="007953BE">
              <w:t>eform</w:t>
            </w:r>
            <w:r w:rsidRPr="00563AF7">
              <w:t xml:space="preserve"> N</w:t>
            </w:r>
            <w:r w:rsidRPr="00563AF7" w:rsidR="007953BE">
              <w:t>etwork</w:t>
            </w:r>
          </w:p>
        </w:tc>
        <w:tc>
          <w:tcPr>
            <w:tcW w:w="1529" w:type="dxa"/>
            <w:tcBorders>
              <w:top w:val="single" w:color="auto" w:sz="4" w:space="0"/>
              <w:left w:val="single" w:color="auto" w:sz="4" w:space="0"/>
              <w:bottom w:val="single" w:color="auto" w:sz="4" w:space="0"/>
              <w:right w:val="single" w:color="auto" w:sz="4" w:space="0"/>
            </w:tcBorders>
            <w:shd w:val="clear" w:color="auto" w:fill="auto"/>
            <w:hideMark/>
          </w:tcPr>
          <w:p w:rsidRPr="00563AF7" w:rsidR="00FE3BAE" w:rsidP="00A23C17" w:rsidRDefault="004766BD" w14:paraId="63956769" w14:textId="2F8FACD9">
            <w:pPr>
              <w:jc w:val="center"/>
            </w:pPr>
            <w:r w:rsidRPr="00563AF7">
              <w:t>July 22, 2022</w:t>
            </w:r>
          </w:p>
        </w:tc>
        <w:tc>
          <w:tcPr>
            <w:tcW w:w="1351" w:type="dxa"/>
            <w:tcBorders>
              <w:top w:val="single" w:color="auto" w:sz="4" w:space="0"/>
              <w:left w:val="single" w:color="auto" w:sz="4" w:space="0"/>
              <w:bottom w:val="single" w:color="auto" w:sz="4" w:space="0"/>
              <w:right w:val="single" w:color="auto" w:sz="4" w:space="0"/>
            </w:tcBorders>
            <w:shd w:val="clear" w:color="auto" w:fill="auto"/>
            <w:hideMark/>
          </w:tcPr>
          <w:p w:rsidRPr="00563AF7" w:rsidR="00FE3BAE" w:rsidP="00A23C17" w:rsidRDefault="004766BD" w14:paraId="75AD20FA" w14:textId="78323079">
            <w:pPr>
              <w:jc w:val="center"/>
            </w:pPr>
            <w:r w:rsidRPr="00563AF7">
              <w:t>$22,</w:t>
            </w:r>
            <w:r w:rsidRPr="00563AF7" w:rsidR="0019306C">
              <w:t>743</w:t>
            </w:r>
            <w:r w:rsidRPr="00563AF7">
              <w:t>.75</w:t>
            </w:r>
          </w:p>
        </w:tc>
        <w:tc>
          <w:tcPr>
            <w:tcW w:w="1588" w:type="dxa"/>
            <w:tcBorders>
              <w:top w:val="single" w:color="auto" w:sz="4" w:space="0"/>
              <w:left w:val="single" w:color="auto" w:sz="4" w:space="0"/>
              <w:bottom w:val="single" w:color="auto" w:sz="4" w:space="0"/>
              <w:right w:val="single" w:color="auto" w:sz="4" w:space="0"/>
            </w:tcBorders>
            <w:hideMark/>
          </w:tcPr>
          <w:p w:rsidRPr="00B803D5" w:rsidR="00FE3BAE" w:rsidP="00A23C17" w:rsidRDefault="00563AF7" w14:paraId="0DD6FE00" w14:textId="1A431D0C">
            <w:pPr>
              <w:jc w:val="center"/>
            </w:pPr>
            <w:r>
              <w:t>$22,393.75</w:t>
            </w:r>
          </w:p>
        </w:tc>
        <w:tc>
          <w:tcPr>
            <w:tcW w:w="1405" w:type="dxa"/>
            <w:tcBorders>
              <w:top w:val="single" w:color="auto" w:sz="4" w:space="0"/>
              <w:left w:val="single" w:color="auto" w:sz="4" w:space="0"/>
              <w:bottom w:val="single" w:color="auto" w:sz="4" w:space="0"/>
              <w:right w:val="single" w:color="auto" w:sz="4" w:space="0"/>
            </w:tcBorders>
            <w:hideMark/>
          </w:tcPr>
          <w:p w:rsidRPr="00B803D5" w:rsidR="00FE3BAE" w:rsidP="00A23C17" w:rsidRDefault="00FE3BAE" w14:paraId="0BDAFE20" w14:textId="77777777">
            <w:pPr>
              <w:jc w:val="center"/>
            </w:pPr>
            <w:r w:rsidRPr="00B803D5">
              <w:t>N/A</w:t>
            </w:r>
          </w:p>
        </w:tc>
        <w:tc>
          <w:tcPr>
            <w:tcW w:w="2501" w:type="dxa"/>
            <w:tcBorders>
              <w:top w:val="single" w:color="auto" w:sz="4" w:space="0"/>
              <w:left w:val="single" w:color="auto" w:sz="4" w:space="0"/>
              <w:bottom w:val="single" w:color="auto" w:sz="4" w:space="0"/>
              <w:right w:val="single" w:color="auto" w:sz="4" w:space="0"/>
            </w:tcBorders>
            <w:hideMark/>
          </w:tcPr>
          <w:p w:rsidRPr="00563AF7" w:rsidR="00FE3BAE" w:rsidP="00563AF7" w:rsidRDefault="00563AF7" w14:paraId="6B53C6F9" w14:textId="60639DAA">
            <w:pPr>
              <w:pStyle w:val="Default"/>
              <w:jc w:val="center"/>
              <w:rPr>
                <w:sz w:val="23"/>
                <w:szCs w:val="23"/>
              </w:rPr>
            </w:pPr>
            <w:r>
              <w:rPr>
                <w:i/>
                <w:iCs/>
                <w:sz w:val="23"/>
                <w:szCs w:val="23"/>
              </w:rPr>
              <w:t xml:space="preserve">See </w:t>
            </w:r>
            <w:r>
              <w:rPr>
                <w:sz w:val="23"/>
                <w:szCs w:val="23"/>
              </w:rPr>
              <w:t xml:space="preserve">Part III.D, CPUC Comments, Disallowances and Adjustments </w:t>
            </w:r>
          </w:p>
        </w:tc>
      </w:tr>
    </w:tbl>
    <w:p w:rsidRPr="00B803D5" w:rsidR="00FE3BAE" w:rsidP="00CE057B" w:rsidRDefault="0022302F" w14:paraId="2841210B" w14:textId="77777777">
      <w:pPr>
        <w:spacing w:before="480" w:after="240"/>
        <w:jc w:val="center"/>
        <w:rPr>
          <w:b/>
          <w:bCs/>
          <w:sz w:val="28"/>
          <w:szCs w:val="28"/>
        </w:rPr>
      </w:pPr>
      <w:r w:rsidRPr="00B803D5">
        <w:rPr>
          <w:b/>
          <w:bCs/>
          <w:sz w:val="28"/>
          <w:szCs w:val="28"/>
        </w:rPr>
        <w:t>Hourly Fee</w:t>
      </w:r>
      <w:r w:rsidRPr="00B803D5" w:rsidR="00FE3BAE">
        <w:rPr>
          <w:b/>
          <w:bCs/>
          <w:sz w:val="28"/>
          <w:szCs w:val="28"/>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B803D5" w:rsidR="00C02649" w:rsidTr="00F32DB4" w14:paraId="7CF2F0C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61500303" w14:textId="77777777">
            <w:pPr>
              <w:jc w:val="center"/>
              <w:rPr>
                <w:b/>
                <w:bCs/>
              </w:rPr>
            </w:pPr>
            <w:r w:rsidRPr="00B803D5">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3B6A1B" w14:paraId="55908486" w14:textId="77777777">
            <w:pPr>
              <w:jc w:val="center"/>
              <w:rPr>
                <w:b/>
                <w:bCs/>
              </w:rPr>
            </w:pPr>
            <w:r w:rsidRPr="00B803D5">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B803D5" w:rsidR="003B6A1B" w:rsidP="00CE057B" w:rsidRDefault="00171EBF" w14:paraId="2438DAE1" w14:textId="77777777">
            <w:pPr>
              <w:ind w:left="12" w:firstLine="12"/>
              <w:jc w:val="center"/>
              <w:rPr>
                <w:b/>
                <w:bCs/>
              </w:rPr>
            </w:pPr>
            <w:r w:rsidRPr="00B803D5">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30FCBD16" w14:textId="77777777">
            <w:pPr>
              <w:jc w:val="center"/>
              <w:rPr>
                <w:b/>
                <w:bCs/>
              </w:rPr>
            </w:pPr>
            <w:r w:rsidRPr="00B803D5">
              <w:rPr>
                <w:b/>
                <w:bCs/>
              </w:rPr>
              <w:t>Hourly</w:t>
            </w:r>
          </w:p>
          <w:p w:rsidRPr="00B803D5" w:rsidR="003B6A1B" w:rsidP="00CE057B" w:rsidRDefault="003B6A1B" w14:paraId="3431A72E" w14:textId="15E5EE89">
            <w:pPr>
              <w:jc w:val="center"/>
              <w:rPr>
                <w:b/>
                <w:bCs/>
              </w:rPr>
            </w:pPr>
            <w:r w:rsidRPr="00B803D5">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27A4F1D1" w14:textId="77777777">
            <w:pPr>
              <w:jc w:val="center"/>
              <w:rPr>
                <w:b/>
                <w:bCs/>
              </w:rPr>
            </w:pPr>
            <w:r w:rsidRPr="00B803D5">
              <w:rPr>
                <w:b/>
                <w:bCs/>
              </w:rPr>
              <w:t>Year Hourly</w:t>
            </w:r>
          </w:p>
          <w:p w:rsidRPr="00B803D5" w:rsidR="003B6A1B" w:rsidP="00CE057B" w:rsidRDefault="003B6A1B" w14:paraId="6FE76773" w14:textId="7DDDAF05">
            <w:pPr>
              <w:jc w:val="center"/>
              <w:rPr>
                <w:b/>
                <w:bCs/>
              </w:rPr>
            </w:pPr>
            <w:r w:rsidRPr="00B803D5">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00B803D5" w:rsidP="00CE057B" w:rsidRDefault="003B6A1B" w14:paraId="08CD8CFB" w14:textId="50A63D11">
            <w:pPr>
              <w:jc w:val="center"/>
              <w:rPr>
                <w:b/>
                <w:bCs/>
              </w:rPr>
            </w:pPr>
            <w:r w:rsidRPr="00B803D5">
              <w:rPr>
                <w:b/>
                <w:bCs/>
              </w:rPr>
              <w:t>Hourly</w:t>
            </w:r>
          </w:p>
          <w:p w:rsidRPr="00B803D5" w:rsidR="003B6A1B" w:rsidP="00CE057B" w:rsidRDefault="003B6A1B" w14:paraId="1B789B85" w14:textId="3C9059B0">
            <w:pPr>
              <w:jc w:val="center"/>
              <w:rPr>
                <w:b/>
                <w:bCs/>
              </w:rPr>
            </w:pPr>
            <w:r w:rsidRPr="00B803D5">
              <w:rPr>
                <w:b/>
                <w:bCs/>
              </w:rPr>
              <w:t>Fee Adopted</w:t>
            </w:r>
          </w:p>
        </w:tc>
      </w:tr>
      <w:tr w:rsidRPr="00B803D5" w:rsidR="00C02649" w:rsidTr="00563AF7" w14:paraId="1211B94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323915" w14:paraId="0F0C6D6C" w14:textId="7103A808">
            <w:pPr>
              <w:jc w:val="center"/>
            </w:pPr>
            <w:r w:rsidRPr="00563AF7">
              <w:t>Ashley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EF637E" w14:paraId="6ACE7B68" w14:textId="065A76BC">
            <w:pPr>
              <w:jc w:val="center"/>
            </w:pPr>
            <w:r w:rsidRPr="00563AF7">
              <w:t>Salas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EF637E" w14:paraId="0E61474F" w14:textId="1E2AE67B">
            <w:pPr>
              <w:jc w:val="center"/>
            </w:pPr>
            <w:r w:rsidRPr="00563AF7">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8C3E30" w14:paraId="44F9655C" w14:textId="49703E72">
            <w:pPr>
              <w:jc w:val="center"/>
            </w:pPr>
            <w:r w:rsidRPr="00563AF7">
              <w:t>$400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323915" w14:paraId="2EB25516" w14:textId="77D0A1E9">
            <w:pPr>
              <w:jc w:val="center"/>
            </w:pPr>
            <w:r w:rsidRPr="00563AF7">
              <w:t>2021</w:t>
            </w:r>
          </w:p>
        </w:tc>
        <w:tc>
          <w:tcPr>
            <w:tcW w:w="1634" w:type="dxa"/>
            <w:tcBorders>
              <w:top w:val="single" w:color="auto" w:sz="4" w:space="0"/>
              <w:left w:val="single" w:color="auto" w:sz="4" w:space="0"/>
              <w:bottom w:val="single" w:color="auto" w:sz="4" w:space="0"/>
              <w:right w:val="single" w:color="auto" w:sz="4" w:space="0"/>
            </w:tcBorders>
          </w:tcPr>
          <w:p w:rsidRPr="00B803D5" w:rsidR="003B6A1B" w:rsidP="00A23C17" w:rsidRDefault="007953BE" w14:paraId="0A76FE98" w14:textId="7AB92B21">
            <w:pPr>
              <w:jc w:val="center"/>
            </w:pPr>
            <w:r>
              <w:t>$</w:t>
            </w:r>
            <w:r w:rsidR="00563AF7">
              <w:t>400</w:t>
            </w:r>
            <w:r>
              <w:t>.00</w:t>
            </w:r>
          </w:p>
        </w:tc>
      </w:tr>
      <w:tr w:rsidRPr="00B803D5" w:rsidR="00C02649" w:rsidTr="00563AF7" w14:paraId="23CC0A9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323915" w14:paraId="4CFDAB24" w14:textId="61352F76">
            <w:pPr>
              <w:jc w:val="center"/>
            </w:pPr>
            <w:r w:rsidRPr="00563AF7">
              <w:t>Ashley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EF637E" w14:paraId="3A9B4F75" w14:textId="6809AA46">
            <w:pPr>
              <w:jc w:val="center"/>
            </w:pPr>
            <w:r w:rsidRPr="00563AF7">
              <w:t>Salas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EF637E" w14:paraId="73440B00" w14:textId="5B57F016">
            <w:pPr>
              <w:jc w:val="center"/>
            </w:pPr>
            <w:r w:rsidRPr="00563AF7">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8C3E30" w14:paraId="1466F47E" w14:textId="16F84173">
            <w:pPr>
              <w:jc w:val="center"/>
            </w:pPr>
            <w:r w:rsidRPr="00563AF7">
              <w:t>$415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323915" w14:paraId="4CBE320E" w14:textId="5F1998E3">
            <w:pPr>
              <w:jc w:val="center"/>
            </w:pPr>
            <w:r w:rsidRPr="00563AF7">
              <w:t>2022</w:t>
            </w:r>
          </w:p>
        </w:tc>
        <w:tc>
          <w:tcPr>
            <w:tcW w:w="1634" w:type="dxa"/>
            <w:tcBorders>
              <w:top w:val="single" w:color="auto" w:sz="4" w:space="0"/>
              <w:left w:val="single" w:color="auto" w:sz="4" w:space="0"/>
              <w:bottom w:val="single" w:color="auto" w:sz="4" w:space="0"/>
              <w:right w:val="single" w:color="auto" w:sz="4" w:space="0"/>
            </w:tcBorders>
          </w:tcPr>
          <w:p w:rsidRPr="00B803D5" w:rsidR="003B6A1B" w:rsidP="00A23C17" w:rsidRDefault="007953BE" w14:paraId="37932A57" w14:textId="348B56BF">
            <w:pPr>
              <w:jc w:val="center"/>
            </w:pPr>
            <w:r>
              <w:t>$</w:t>
            </w:r>
            <w:r w:rsidR="00563AF7">
              <w:t>415</w:t>
            </w:r>
            <w:r>
              <w:t>.00</w:t>
            </w:r>
          </w:p>
        </w:tc>
      </w:tr>
      <w:tr w:rsidRPr="00B803D5" w:rsidR="00C02649" w:rsidTr="00563AF7" w14:paraId="6C04DB40"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323915" w14:paraId="71BF257F" w14:textId="0A8F538E">
            <w:pPr>
              <w:jc w:val="center"/>
            </w:pPr>
            <w:r w:rsidRPr="00563AF7">
              <w:t>Brenda</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EF637E" w14:paraId="4D0E5B24" w14:textId="540C55D5">
            <w:pPr>
              <w:jc w:val="center"/>
            </w:pPr>
            <w:r w:rsidRPr="00563AF7">
              <w:t>Villanueva</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EF637E" w14:paraId="3ACB6465" w14:textId="36AB669F">
            <w:pPr>
              <w:jc w:val="center"/>
            </w:pPr>
            <w:r w:rsidRPr="00563AF7">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036A49" w14:paraId="27D75B3F" w14:textId="1C7A80D5">
            <w:pPr>
              <w:jc w:val="center"/>
            </w:pPr>
            <w:r w:rsidRPr="00563AF7">
              <w:t>$4</w:t>
            </w:r>
            <w:r w:rsidRPr="00563AF7" w:rsidR="005500CC">
              <w:t>6</w:t>
            </w:r>
            <w:r w:rsidRPr="00563AF7">
              <w:t>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323915" w14:paraId="0BD45097" w14:textId="7E74E88E">
            <w:pPr>
              <w:jc w:val="center"/>
            </w:pPr>
            <w:r w:rsidRPr="00563AF7">
              <w:t>2022</w:t>
            </w:r>
          </w:p>
        </w:tc>
        <w:tc>
          <w:tcPr>
            <w:tcW w:w="1634" w:type="dxa"/>
            <w:tcBorders>
              <w:top w:val="single" w:color="auto" w:sz="4" w:space="0"/>
              <w:left w:val="single" w:color="auto" w:sz="4" w:space="0"/>
              <w:bottom w:val="single" w:color="auto" w:sz="4" w:space="0"/>
              <w:right w:val="single" w:color="auto" w:sz="4" w:space="0"/>
            </w:tcBorders>
          </w:tcPr>
          <w:p w:rsidRPr="00B803D5" w:rsidR="003B6A1B" w:rsidP="00A23C17" w:rsidRDefault="007953BE" w14:paraId="6B245605" w14:textId="6C9EE7E3">
            <w:pPr>
              <w:jc w:val="center"/>
            </w:pPr>
            <w:r>
              <w:t>$</w:t>
            </w:r>
            <w:r w:rsidR="00563AF7">
              <w:t>425</w:t>
            </w:r>
            <w:r>
              <w:t>.00</w:t>
            </w:r>
          </w:p>
        </w:tc>
      </w:tr>
      <w:tr w:rsidRPr="00B803D5" w:rsidR="00C02649" w:rsidTr="00563AF7" w14:paraId="474E258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323915" w14:paraId="115C1393" w14:textId="5D9CCFD7">
            <w:pPr>
              <w:jc w:val="center"/>
            </w:pPr>
            <w:r w:rsidRPr="00563AF7">
              <w:t>Christine</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EF637E" w14:paraId="1467A27B" w14:textId="13D067D1">
            <w:pPr>
              <w:jc w:val="center"/>
            </w:pPr>
            <w:r w:rsidRPr="00563AF7">
              <w:t>Mailloux</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EF637E" w14:paraId="66D10560" w14:textId="6100897A">
            <w:pPr>
              <w:jc w:val="center"/>
            </w:pPr>
            <w:r w:rsidRPr="00563AF7">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036A49" w14:paraId="7BC812A8" w14:textId="4A76693D">
            <w:pPr>
              <w:jc w:val="center"/>
            </w:pPr>
            <w:r w:rsidRPr="00563AF7">
              <w:t>$700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563AF7" w:rsidR="003B6A1B" w:rsidP="00A23C17" w:rsidRDefault="00323915" w14:paraId="4580AE9E" w14:textId="17C98EE9">
            <w:pPr>
              <w:jc w:val="center"/>
            </w:pPr>
            <w:r w:rsidRPr="00563AF7">
              <w:t>2021</w:t>
            </w:r>
          </w:p>
        </w:tc>
        <w:tc>
          <w:tcPr>
            <w:tcW w:w="1634" w:type="dxa"/>
            <w:tcBorders>
              <w:top w:val="single" w:color="auto" w:sz="4" w:space="0"/>
              <w:left w:val="single" w:color="auto" w:sz="4" w:space="0"/>
              <w:bottom w:val="single" w:color="auto" w:sz="4" w:space="0"/>
              <w:right w:val="single" w:color="auto" w:sz="4" w:space="0"/>
            </w:tcBorders>
          </w:tcPr>
          <w:p w:rsidRPr="00B803D5" w:rsidR="003B6A1B" w:rsidP="00A23C17" w:rsidRDefault="007953BE" w14:paraId="74B7B957" w14:textId="0596D4F9">
            <w:pPr>
              <w:jc w:val="center"/>
            </w:pPr>
            <w:r>
              <w:t>$</w:t>
            </w:r>
            <w:r w:rsidR="00563AF7">
              <w:t>700</w:t>
            </w:r>
            <w:r>
              <w:t>.00</w:t>
            </w:r>
          </w:p>
        </w:tc>
      </w:tr>
    </w:tbl>
    <w:p w:rsidR="0022302F" w:rsidP="00FE3BAE" w:rsidRDefault="0022302F" w14:paraId="330D3693" w14:textId="77777777">
      <w:pPr>
        <w:spacing w:line="360" w:lineRule="auto"/>
        <w:rPr>
          <w:b/>
        </w:rPr>
      </w:pPr>
    </w:p>
    <w:p w:rsidR="0022302F" w:rsidP="00FE3BAE" w:rsidRDefault="0022302F" w14:paraId="1CF37A00" w14:textId="77777777">
      <w:pPr>
        <w:spacing w:line="360" w:lineRule="auto"/>
        <w:rPr>
          <w:b/>
        </w:rPr>
      </w:pPr>
    </w:p>
    <w:p w:rsidR="0022302F" w:rsidP="00FE3BAE" w:rsidRDefault="0022302F" w14:paraId="439C0840" w14:textId="77777777">
      <w:pPr>
        <w:spacing w:line="360" w:lineRule="auto"/>
        <w:rPr>
          <w:b/>
        </w:rPr>
      </w:pPr>
    </w:p>
    <w:p w:rsidR="003E2E27" w:rsidP="00FE3BAE" w:rsidRDefault="00FE3BAE" w14:paraId="53F54635" w14:textId="7B556B38">
      <w:pPr>
        <w:jc w:val="center"/>
        <w:rPr>
          <w:b/>
        </w:rPr>
      </w:pPr>
      <w:r w:rsidRPr="00B803D5">
        <w:rPr>
          <w:b/>
        </w:rPr>
        <w:t xml:space="preserve">(END OF </w:t>
      </w:r>
      <w:r w:rsidRPr="00B803D5">
        <w:rPr>
          <w:b/>
          <w:szCs w:val="26"/>
        </w:rPr>
        <w:t>APPENDIX</w:t>
      </w:r>
      <w:r w:rsidRPr="00B803D5">
        <w:rPr>
          <w:b/>
        </w:rPr>
        <w:t>)</w:t>
      </w:r>
    </w:p>
    <w:p w:rsidRPr="00563AF7" w:rsidR="00FE3BAE" w:rsidP="00563AF7" w:rsidRDefault="00FE3BAE" w14:paraId="4CF5589D" w14:textId="5EE7FA73">
      <w:pPr>
        <w:rPr>
          <w:b/>
        </w:rPr>
      </w:pPr>
    </w:p>
    <w:sectPr w:rsidRPr="00563AF7" w:rsidR="00FE3BAE" w:rsidSect="006B7228">
      <w:footerReference w:type="default" r:id="rId11"/>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EB5F" w14:textId="77777777" w:rsidR="00B059BE" w:rsidRDefault="00B059BE" w:rsidP="00885956">
      <w:r>
        <w:separator/>
      </w:r>
    </w:p>
  </w:endnote>
  <w:endnote w:type="continuationSeparator" w:id="0">
    <w:p w14:paraId="33692655" w14:textId="77777777" w:rsidR="00B059BE" w:rsidRDefault="00B059BE" w:rsidP="00885956">
      <w:r>
        <w:continuationSeparator/>
      </w:r>
    </w:p>
  </w:endnote>
  <w:endnote w:type="continuationNotice" w:id="1">
    <w:p w14:paraId="1646B02F" w14:textId="77777777" w:rsidR="00B059BE" w:rsidRDefault="00B0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49329"/>
      <w:docPartObj>
        <w:docPartGallery w:val="Page Numbers (Bottom of Page)"/>
        <w:docPartUnique/>
      </w:docPartObj>
    </w:sdtPr>
    <w:sdtEndPr>
      <w:rPr>
        <w:noProof/>
      </w:rPr>
    </w:sdtEndPr>
    <w:sdtContent>
      <w:p w14:paraId="560F7D5D" w14:textId="5EBEBED1" w:rsidR="00CF1129" w:rsidRDefault="005E3D50" w:rsidP="000E4469">
        <w:pPr>
          <w:pStyle w:val="Footer"/>
        </w:pPr>
        <w:r w:rsidRPr="005E3D50">
          <w:rPr>
            <w:sz w:val="16"/>
            <w:szCs w:val="16"/>
          </w:rPr>
          <w:t>521288295</w:t>
        </w:r>
        <w:r w:rsidR="000E4469">
          <w:rPr>
            <w:b/>
            <w:bCs/>
          </w:rPr>
          <w:tab/>
        </w:r>
        <w:r w:rsidR="00CF1129">
          <w:fldChar w:fldCharType="begin"/>
        </w:r>
        <w:r w:rsidR="00CF1129">
          <w:instrText xml:space="preserve"> PAGE   \* MERGEFORMAT </w:instrText>
        </w:r>
        <w:r w:rsidR="00CF1129">
          <w:fldChar w:fldCharType="separate"/>
        </w:r>
        <w:r w:rsidR="002A6C07">
          <w:rPr>
            <w:noProof/>
          </w:rPr>
          <w:t>- 1 -</w:t>
        </w:r>
        <w:r w:rsidR="00CF1129">
          <w:rPr>
            <w:noProof/>
          </w:rPr>
          <w:fldChar w:fldCharType="end"/>
        </w:r>
      </w:p>
    </w:sdtContent>
  </w:sdt>
  <w:p w14:paraId="2B494C2D" w14:textId="77777777" w:rsidR="00CF1129" w:rsidRDefault="00CF1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0637" w14:textId="77777777" w:rsidR="00B059BE" w:rsidRDefault="00B059BE" w:rsidP="00885956">
      <w:r>
        <w:separator/>
      </w:r>
    </w:p>
  </w:footnote>
  <w:footnote w:type="continuationSeparator" w:id="0">
    <w:p w14:paraId="655C9918" w14:textId="77777777" w:rsidR="00B059BE" w:rsidRDefault="00B059BE" w:rsidP="00885956">
      <w:r>
        <w:continuationSeparator/>
      </w:r>
    </w:p>
  </w:footnote>
  <w:footnote w:type="continuationNotice" w:id="1">
    <w:p w14:paraId="7ACAA974" w14:textId="77777777" w:rsidR="00B059BE" w:rsidRDefault="00B059BE"/>
  </w:footnote>
  <w:footnote w:id="2">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3">
    <w:p w14:paraId="47F7A0F4" w14:textId="77777777" w:rsidR="00481623" w:rsidRPr="001D7C81" w:rsidRDefault="00481623" w:rsidP="009F1CE9">
      <w:pPr>
        <w:pStyle w:val="FootnoteText"/>
      </w:pPr>
      <w:r>
        <w:rPr>
          <w:rStyle w:val="FootnoteReference"/>
        </w:rPr>
        <w:footnoteRef/>
      </w:r>
      <w:r>
        <w:t xml:space="preserve"> </w:t>
      </w:r>
      <w:r>
        <w:rPr>
          <w:i/>
          <w:iCs/>
        </w:rPr>
        <w:t xml:space="preserve">See </w:t>
      </w:r>
      <w:r>
        <w:t>comments in Part 1.C. (Additional Comments on Part 1) below.</w:t>
      </w:r>
    </w:p>
  </w:footnote>
  <w:footnote w:id="4">
    <w:p w14:paraId="7AA4F1E5" w14:textId="77777777" w:rsidR="00E56649" w:rsidRDefault="00E56649" w:rsidP="00E56649">
      <w:pPr>
        <w:pStyle w:val="FootnoteText"/>
      </w:pPr>
      <w:r>
        <w:rPr>
          <w:rStyle w:val="FootnoteReference"/>
        </w:rPr>
        <w:footnoteRef/>
      </w:r>
      <w:r>
        <w:t xml:space="preserve"> </w:t>
      </w:r>
      <w:r>
        <w:rPr>
          <w:i/>
          <w:iCs/>
        </w:rPr>
        <w:t xml:space="preserve">See </w:t>
      </w:r>
      <w:r>
        <w:t>comments in Part 1.C. (Additional Comments on Part 1) below.</w:t>
      </w:r>
    </w:p>
  </w:footnote>
  <w:footnote w:id="5">
    <w:p w14:paraId="5DFFCBE2" w14:textId="1531CBD4" w:rsidR="00492E85" w:rsidRDefault="00492E85">
      <w:pPr>
        <w:pStyle w:val="FootnoteText"/>
      </w:pPr>
      <w:r>
        <w:rPr>
          <w:rStyle w:val="FootnoteReference"/>
        </w:rPr>
        <w:footnoteRef/>
      </w:r>
      <w:r>
        <w:t xml:space="preserve"> More than one year has expired between the date of July 27, 2004</w:t>
      </w:r>
      <w:r w:rsidR="001E34BE">
        <w:t xml:space="preserve"> when the ruling finding TURN eligible issued in R.04-04-003 and the commencement of R.06-05-028 (a predecessor to this Rulemaking). Therefore, the rebuttable presumption rule of §1804(b)(1) does not apply. </w:t>
      </w:r>
    </w:p>
  </w:footnote>
  <w:footnote w:id="6">
    <w:p w14:paraId="1B6A74C9" w14:textId="77777777" w:rsidR="0081227C" w:rsidRDefault="0081227C" w:rsidP="0081227C">
      <w:pPr>
        <w:pStyle w:val="FootnoteText"/>
      </w:pPr>
      <w:r>
        <w:rPr>
          <w:rStyle w:val="FootnoteReference"/>
        </w:rPr>
        <w:footnoteRef/>
      </w:r>
      <w:r>
        <w:t xml:space="preserve"> </w:t>
      </w:r>
      <w:r>
        <w:rPr>
          <w:i/>
          <w:iCs/>
        </w:rPr>
        <w:t xml:space="preserve">See </w:t>
      </w:r>
      <w:r>
        <w:t>comments in Part 1.C. (Additional Comments on Part 1) below.</w:t>
      </w:r>
    </w:p>
  </w:footnote>
  <w:footnote w:id="7">
    <w:p w14:paraId="7EBD2743" w14:textId="77777777" w:rsidR="00136031" w:rsidRPr="0045326E" w:rsidRDefault="00136031" w:rsidP="00136031">
      <w:pPr>
        <w:pStyle w:val="FootnoteText"/>
      </w:pPr>
      <w:r w:rsidRPr="0045326E">
        <w:rPr>
          <w:rStyle w:val="FootnoteReference"/>
        </w:rPr>
        <w:footnoteRef/>
      </w:r>
      <w:r w:rsidRPr="0045326E">
        <w:t xml:space="preserve"> </w:t>
      </w:r>
      <w:r w:rsidRPr="0045326E">
        <w:rPr>
          <w:i/>
        </w:rPr>
        <w:t>See, i.e.</w:t>
      </w:r>
      <w:r w:rsidRPr="007D0A2D">
        <w:rPr>
          <w:iCs/>
        </w:rPr>
        <w:t>,</w:t>
      </w:r>
      <w:r w:rsidRPr="0045326E">
        <w:rPr>
          <w:i/>
        </w:rPr>
        <w:t xml:space="preserve"> </w:t>
      </w:r>
      <w:r w:rsidRPr="0045326E">
        <w:t>D.96-08-040 (67 CPUC 2d 562, 575-576.X)</w:t>
      </w:r>
      <w:r>
        <w:t xml:space="preserve"> </w:t>
      </w:r>
      <w:r w:rsidRPr="0045326E">
        <w:t>(</w:t>
      </w:r>
      <w:r>
        <w:t xml:space="preserve">stating </w:t>
      </w:r>
      <w:r w:rsidRPr="0045326E">
        <w:t>“</w:t>
      </w:r>
      <w:r>
        <w:t>b</w:t>
      </w:r>
      <w:r w:rsidRPr="0045326E">
        <w:t>ecause of the extraordinary level of participation required of both parties and intervenors throughout these proceedings, we find that a reduction in the amount awarded to intervenors based on duplication of effort is unwarranted.  Section 1803(b) requires that the awarding of fees to intervenors “be administered in a manner that encourages the effective and efficient participation of all groups that have a stake in the public utility regulation process.”  Each of the intervenor groups clearly has a stake in the process of restructuring California’s electrical services industry and we are grateful for their participation in these proceedings.  Moreover, we rely on them to continue their effective and efficient participation in our proceedings as we move forward with the many implementation tasks ahead. [footnote omitted][¶]  . . . . In a broad, multi-issue proceeding such as this, we expect to see some duplication of contribution.  This duplication does not diminish the value of that contribution to the Commission.  In our view, to deduct from an award of reasonable fees in this case would not encourage the effective and efficient participation of all stakeholders in the spirit of § 1801.3(b).”)</w:t>
      </w:r>
    </w:p>
  </w:footnote>
  <w:footnote w:id="8">
    <w:p w14:paraId="2A44723A" w14:textId="116578A5" w:rsidR="003B6A1B" w:rsidRPr="00DE3A5D" w:rsidRDefault="003B6A1B"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0E36" w14:textId="45BA1C71" w:rsidR="008C271E" w:rsidRDefault="008C271E">
    <w:pPr>
      <w:pStyle w:val="Header"/>
    </w:pPr>
    <w:r>
      <w:t>R.20-02-008 ALJ/SW9/</w:t>
    </w:r>
    <w:proofErr w:type="spellStart"/>
    <w:r>
      <w:t>sgu</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C6F3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7603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424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1EC3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2A6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32D2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CC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0A07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A28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444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16E69"/>
    <w:multiLevelType w:val="hybridMultilevel"/>
    <w:tmpl w:val="E55A3232"/>
    <w:lvl w:ilvl="0" w:tplc="B6B6E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96173"/>
    <w:multiLevelType w:val="hybridMultilevel"/>
    <w:tmpl w:val="5C0ED7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1745661">
    <w:abstractNumId w:val="20"/>
  </w:num>
  <w:num w:numId="2" w16cid:durableId="2138982193">
    <w:abstractNumId w:val="10"/>
  </w:num>
  <w:num w:numId="3" w16cid:durableId="1042288133">
    <w:abstractNumId w:val="21"/>
  </w:num>
  <w:num w:numId="4" w16cid:durableId="498547892">
    <w:abstractNumId w:val="17"/>
  </w:num>
  <w:num w:numId="5" w16cid:durableId="1609772227">
    <w:abstractNumId w:val="15"/>
  </w:num>
  <w:num w:numId="6" w16cid:durableId="2024546665">
    <w:abstractNumId w:val="19"/>
  </w:num>
  <w:num w:numId="7" w16cid:durableId="1158156145">
    <w:abstractNumId w:val="16"/>
  </w:num>
  <w:num w:numId="8" w16cid:durableId="1824351449">
    <w:abstractNumId w:val="18"/>
  </w:num>
  <w:num w:numId="9" w16cid:durableId="1893466809">
    <w:abstractNumId w:val="11"/>
  </w:num>
  <w:num w:numId="10" w16cid:durableId="1837257131">
    <w:abstractNumId w:val="14"/>
  </w:num>
  <w:num w:numId="11" w16cid:durableId="125127519">
    <w:abstractNumId w:val="12"/>
  </w:num>
  <w:num w:numId="12" w16cid:durableId="40791107">
    <w:abstractNumId w:val="0"/>
  </w:num>
  <w:num w:numId="13" w16cid:durableId="1697198950">
    <w:abstractNumId w:val="1"/>
  </w:num>
  <w:num w:numId="14" w16cid:durableId="1890148190">
    <w:abstractNumId w:val="2"/>
  </w:num>
  <w:num w:numId="15" w16cid:durableId="815224090">
    <w:abstractNumId w:val="3"/>
  </w:num>
  <w:num w:numId="16" w16cid:durableId="1111242889">
    <w:abstractNumId w:val="8"/>
  </w:num>
  <w:num w:numId="17" w16cid:durableId="1798136899">
    <w:abstractNumId w:val="4"/>
  </w:num>
  <w:num w:numId="18" w16cid:durableId="2121487873">
    <w:abstractNumId w:val="5"/>
  </w:num>
  <w:num w:numId="19" w16cid:durableId="717317234">
    <w:abstractNumId w:val="6"/>
  </w:num>
  <w:num w:numId="20" w16cid:durableId="222302999">
    <w:abstractNumId w:val="7"/>
  </w:num>
  <w:num w:numId="21" w16cid:durableId="1330716127">
    <w:abstractNumId w:val="9"/>
  </w:num>
  <w:num w:numId="22" w16cid:durableId="1615286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3A49"/>
    <w:rsid w:val="0001028A"/>
    <w:rsid w:val="00010D5E"/>
    <w:rsid w:val="00011D90"/>
    <w:rsid w:val="00013D87"/>
    <w:rsid w:val="00014075"/>
    <w:rsid w:val="00014854"/>
    <w:rsid w:val="000148DB"/>
    <w:rsid w:val="000212F1"/>
    <w:rsid w:val="00026A15"/>
    <w:rsid w:val="00031CA7"/>
    <w:rsid w:val="00032C7B"/>
    <w:rsid w:val="00034492"/>
    <w:rsid w:val="0003633B"/>
    <w:rsid w:val="00036A49"/>
    <w:rsid w:val="00036F54"/>
    <w:rsid w:val="00041ECD"/>
    <w:rsid w:val="00045A2F"/>
    <w:rsid w:val="00052FB5"/>
    <w:rsid w:val="0005538D"/>
    <w:rsid w:val="00055843"/>
    <w:rsid w:val="00064BD9"/>
    <w:rsid w:val="00072C81"/>
    <w:rsid w:val="00073262"/>
    <w:rsid w:val="0007573B"/>
    <w:rsid w:val="00075A99"/>
    <w:rsid w:val="0008348C"/>
    <w:rsid w:val="00086404"/>
    <w:rsid w:val="000906CB"/>
    <w:rsid w:val="00094056"/>
    <w:rsid w:val="000971C0"/>
    <w:rsid w:val="000A4BF8"/>
    <w:rsid w:val="000A5FB4"/>
    <w:rsid w:val="000B0C07"/>
    <w:rsid w:val="000D2782"/>
    <w:rsid w:val="000D66EC"/>
    <w:rsid w:val="000D6CA0"/>
    <w:rsid w:val="000D6DF8"/>
    <w:rsid w:val="000E41D9"/>
    <w:rsid w:val="000E4469"/>
    <w:rsid w:val="000E6183"/>
    <w:rsid w:val="000E6ABD"/>
    <w:rsid w:val="000F0015"/>
    <w:rsid w:val="000F1E26"/>
    <w:rsid w:val="000F595C"/>
    <w:rsid w:val="000F7670"/>
    <w:rsid w:val="001046F1"/>
    <w:rsid w:val="0010480F"/>
    <w:rsid w:val="00110D89"/>
    <w:rsid w:val="00123103"/>
    <w:rsid w:val="0012497E"/>
    <w:rsid w:val="00125492"/>
    <w:rsid w:val="001275A6"/>
    <w:rsid w:val="001321D9"/>
    <w:rsid w:val="001346EB"/>
    <w:rsid w:val="00136031"/>
    <w:rsid w:val="00136CD1"/>
    <w:rsid w:val="001406BA"/>
    <w:rsid w:val="00141A4E"/>
    <w:rsid w:val="001442C9"/>
    <w:rsid w:val="00151AA8"/>
    <w:rsid w:val="00152F94"/>
    <w:rsid w:val="0015336D"/>
    <w:rsid w:val="00156BEC"/>
    <w:rsid w:val="00171EBF"/>
    <w:rsid w:val="00173CAA"/>
    <w:rsid w:val="001749DB"/>
    <w:rsid w:val="00175865"/>
    <w:rsid w:val="001774A2"/>
    <w:rsid w:val="00180E8C"/>
    <w:rsid w:val="00185AFC"/>
    <w:rsid w:val="0019306C"/>
    <w:rsid w:val="00195375"/>
    <w:rsid w:val="001962EB"/>
    <w:rsid w:val="001A1FD3"/>
    <w:rsid w:val="001A377B"/>
    <w:rsid w:val="001A3CF3"/>
    <w:rsid w:val="001A6113"/>
    <w:rsid w:val="001B4565"/>
    <w:rsid w:val="001B5867"/>
    <w:rsid w:val="001B640B"/>
    <w:rsid w:val="001B7CA5"/>
    <w:rsid w:val="001C04DE"/>
    <w:rsid w:val="001C0DD1"/>
    <w:rsid w:val="001C1346"/>
    <w:rsid w:val="001C21AE"/>
    <w:rsid w:val="001C3AA1"/>
    <w:rsid w:val="001C4340"/>
    <w:rsid w:val="001C55F5"/>
    <w:rsid w:val="001D1C19"/>
    <w:rsid w:val="001D2E4E"/>
    <w:rsid w:val="001D3ED2"/>
    <w:rsid w:val="001D5DAB"/>
    <w:rsid w:val="001E34BE"/>
    <w:rsid w:val="001E77CF"/>
    <w:rsid w:val="001E7EE2"/>
    <w:rsid w:val="001F238E"/>
    <w:rsid w:val="001F26C0"/>
    <w:rsid w:val="001F7842"/>
    <w:rsid w:val="001F7AF2"/>
    <w:rsid w:val="002019AC"/>
    <w:rsid w:val="00204E3A"/>
    <w:rsid w:val="00211380"/>
    <w:rsid w:val="002116E8"/>
    <w:rsid w:val="00212E10"/>
    <w:rsid w:val="00214AFB"/>
    <w:rsid w:val="00214B22"/>
    <w:rsid w:val="002154A9"/>
    <w:rsid w:val="00217224"/>
    <w:rsid w:val="0022302F"/>
    <w:rsid w:val="0022776A"/>
    <w:rsid w:val="00230392"/>
    <w:rsid w:val="00231045"/>
    <w:rsid w:val="00232B3B"/>
    <w:rsid w:val="00240280"/>
    <w:rsid w:val="00240D52"/>
    <w:rsid w:val="002415DC"/>
    <w:rsid w:val="002451CB"/>
    <w:rsid w:val="002466F8"/>
    <w:rsid w:val="00256F00"/>
    <w:rsid w:val="00260518"/>
    <w:rsid w:val="00264333"/>
    <w:rsid w:val="00267730"/>
    <w:rsid w:val="00267C63"/>
    <w:rsid w:val="002701B3"/>
    <w:rsid w:val="00270E2E"/>
    <w:rsid w:val="00273208"/>
    <w:rsid w:val="00273D2C"/>
    <w:rsid w:val="00282319"/>
    <w:rsid w:val="002A069C"/>
    <w:rsid w:val="002A6C07"/>
    <w:rsid w:val="002B0AF1"/>
    <w:rsid w:val="002B121F"/>
    <w:rsid w:val="002B16E1"/>
    <w:rsid w:val="002B33EF"/>
    <w:rsid w:val="002B6217"/>
    <w:rsid w:val="002D21CA"/>
    <w:rsid w:val="002D237E"/>
    <w:rsid w:val="002D2CD5"/>
    <w:rsid w:val="002D53AA"/>
    <w:rsid w:val="002E04C3"/>
    <w:rsid w:val="002E3F11"/>
    <w:rsid w:val="002E4418"/>
    <w:rsid w:val="002E58AC"/>
    <w:rsid w:val="002E5F83"/>
    <w:rsid w:val="002E77D8"/>
    <w:rsid w:val="002F6C91"/>
    <w:rsid w:val="002F6FA8"/>
    <w:rsid w:val="002F798B"/>
    <w:rsid w:val="0030067D"/>
    <w:rsid w:val="00301782"/>
    <w:rsid w:val="0030246A"/>
    <w:rsid w:val="00302844"/>
    <w:rsid w:val="00303C2B"/>
    <w:rsid w:val="00303E7F"/>
    <w:rsid w:val="003162F5"/>
    <w:rsid w:val="003235F7"/>
    <w:rsid w:val="00323915"/>
    <w:rsid w:val="00326954"/>
    <w:rsid w:val="00331D98"/>
    <w:rsid w:val="003442E4"/>
    <w:rsid w:val="0034683A"/>
    <w:rsid w:val="003501DD"/>
    <w:rsid w:val="00356358"/>
    <w:rsid w:val="00357623"/>
    <w:rsid w:val="00357F1A"/>
    <w:rsid w:val="003614C3"/>
    <w:rsid w:val="0036788F"/>
    <w:rsid w:val="00371C4F"/>
    <w:rsid w:val="00374FD1"/>
    <w:rsid w:val="00377884"/>
    <w:rsid w:val="00380703"/>
    <w:rsid w:val="00380791"/>
    <w:rsid w:val="0038587D"/>
    <w:rsid w:val="0038614A"/>
    <w:rsid w:val="00387ED3"/>
    <w:rsid w:val="00392470"/>
    <w:rsid w:val="0039589A"/>
    <w:rsid w:val="003A367C"/>
    <w:rsid w:val="003A6394"/>
    <w:rsid w:val="003A65CD"/>
    <w:rsid w:val="003B0B73"/>
    <w:rsid w:val="003B0D74"/>
    <w:rsid w:val="003B1782"/>
    <w:rsid w:val="003B24DF"/>
    <w:rsid w:val="003B449B"/>
    <w:rsid w:val="003B5EAC"/>
    <w:rsid w:val="003B6A1B"/>
    <w:rsid w:val="003B7FB7"/>
    <w:rsid w:val="003C4FFB"/>
    <w:rsid w:val="003C608A"/>
    <w:rsid w:val="003D359B"/>
    <w:rsid w:val="003D3C16"/>
    <w:rsid w:val="003D4455"/>
    <w:rsid w:val="003E112E"/>
    <w:rsid w:val="003E2E27"/>
    <w:rsid w:val="003E34FD"/>
    <w:rsid w:val="003E4564"/>
    <w:rsid w:val="004025D2"/>
    <w:rsid w:val="00406EC2"/>
    <w:rsid w:val="00411D1A"/>
    <w:rsid w:val="00414829"/>
    <w:rsid w:val="0042301C"/>
    <w:rsid w:val="00430302"/>
    <w:rsid w:val="00430715"/>
    <w:rsid w:val="00435C30"/>
    <w:rsid w:val="00443AAE"/>
    <w:rsid w:val="004534E7"/>
    <w:rsid w:val="0045498F"/>
    <w:rsid w:val="00456505"/>
    <w:rsid w:val="00460E25"/>
    <w:rsid w:val="00461A92"/>
    <w:rsid w:val="0046248A"/>
    <w:rsid w:val="00465A9B"/>
    <w:rsid w:val="00467E65"/>
    <w:rsid w:val="00470C43"/>
    <w:rsid w:val="004766BD"/>
    <w:rsid w:val="00480BF6"/>
    <w:rsid w:val="00481623"/>
    <w:rsid w:val="004840D2"/>
    <w:rsid w:val="00484A16"/>
    <w:rsid w:val="00492E85"/>
    <w:rsid w:val="00494926"/>
    <w:rsid w:val="00495E79"/>
    <w:rsid w:val="004965F9"/>
    <w:rsid w:val="00497F9D"/>
    <w:rsid w:val="004A3802"/>
    <w:rsid w:val="004A6867"/>
    <w:rsid w:val="004A6FD4"/>
    <w:rsid w:val="004B5719"/>
    <w:rsid w:val="004B75E8"/>
    <w:rsid w:val="004C0961"/>
    <w:rsid w:val="004C0B1B"/>
    <w:rsid w:val="004C39A1"/>
    <w:rsid w:val="004D1ABD"/>
    <w:rsid w:val="004D4865"/>
    <w:rsid w:val="004D6B6D"/>
    <w:rsid w:val="004D779D"/>
    <w:rsid w:val="004E0395"/>
    <w:rsid w:val="004E3939"/>
    <w:rsid w:val="004E3D93"/>
    <w:rsid w:val="004F5A85"/>
    <w:rsid w:val="00503AC1"/>
    <w:rsid w:val="005049BA"/>
    <w:rsid w:val="005141F1"/>
    <w:rsid w:val="00516CE7"/>
    <w:rsid w:val="005215EF"/>
    <w:rsid w:val="00521B86"/>
    <w:rsid w:val="005250BD"/>
    <w:rsid w:val="00527FDB"/>
    <w:rsid w:val="0053003F"/>
    <w:rsid w:val="00533373"/>
    <w:rsid w:val="00536A6B"/>
    <w:rsid w:val="005454FD"/>
    <w:rsid w:val="00547145"/>
    <w:rsid w:val="00547F68"/>
    <w:rsid w:val="005500CC"/>
    <w:rsid w:val="00551967"/>
    <w:rsid w:val="0055228B"/>
    <w:rsid w:val="00563AF7"/>
    <w:rsid w:val="00564DB7"/>
    <w:rsid w:val="00565A12"/>
    <w:rsid w:val="0057088A"/>
    <w:rsid w:val="00575494"/>
    <w:rsid w:val="0058071D"/>
    <w:rsid w:val="00582B41"/>
    <w:rsid w:val="0058446E"/>
    <w:rsid w:val="00587C51"/>
    <w:rsid w:val="005912FA"/>
    <w:rsid w:val="00591BD6"/>
    <w:rsid w:val="0059289A"/>
    <w:rsid w:val="005968C0"/>
    <w:rsid w:val="0059713C"/>
    <w:rsid w:val="00597719"/>
    <w:rsid w:val="005A027E"/>
    <w:rsid w:val="005A3018"/>
    <w:rsid w:val="005A53F1"/>
    <w:rsid w:val="005A54E4"/>
    <w:rsid w:val="005A63D4"/>
    <w:rsid w:val="005A65C2"/>
    <w:rsid w:val="005B5B44"/>
    <w:rsid w:val="005B710C"/>
    <w:rsid w:val="005C170A"/>
    <w:rsid w:val="005C2C2F"/>
    <w:rsid w:val="005C327F"/>
    <w:rsid w:val="005C4EF4"/>
    <w:rsid w:val="005C710F"/>
    <w:rsid w:val="005D3598"/>
    <w:rsid w:val="005E1927"/>
    <w:rsid w:val="005E3D50"/>
    <w:rsid w:val="005F2013"/>
    <w:rsid w:val="005F4386"/>
    <w:rsid w:val="005F4D82"/>
    <w:rsid w:val="006040F8"/>
    <w:rsid w:val="00611487"/>
    <w:rsid w:val="00615C98"/>
    <w:rsid w:val="00616FAF"/>
    <w:rsid w:val="00621A7C"/>
    <w:rsid w:val="0065087E"/>
    <w:rsid w:val="00652DEA"/>
    <w:rsid w:val="00653DA0"/>
    <w:rsid w:val="00653EC2"/>
    <w:rsid w:val="00653EEE"/>
    <w:rsid w:val="00655827"/>
    <w:rsid w:val="00660D7E"/>
    <w:rsid w:val="00662C56"/>
    <w:rsid w:val="006637D2"/>
    <w:rsid w:val="00664582"/>
    <w:rsid w:val="00673595"/>
    <w:rsid w:val="00673BA1"/>
    <w:rsid w:val="00673EB1"/>
    <w:rsid w:val="00677867"/>
    <w:rsid w:val="006809E5"/>
    <w:rsid w:val="00681ADE"/>
    <w:rsid w:val="00684B55"/>
    <w:rsid w:val="00686259"/>
    <w:rsid w:val="00686C87"/>
    <w:rsid w:val="00686F9C"/>
    <w:rsid w:val="00691528"/>
    <w:rsid w:val="00692738"/>
    <w:rsid w:val="00693ECA"/>
    <w:rsid w:val="006A6B41"/>
    <w:rsid w:val="006A7272"/>
    <w:rsid w:val="006B0B17"/>
    <w:rsid w:val="006B0BC7"/>
    <w:rsid w:val="006B7228"/>
    <w:rsid w:val="006B72C7"/>
    <w:rsid w:val="006B7375"/>
    <w:rsid w:val="006B7909"/>
    <w:rsid w:val="006C47F4"/>
    <w:rsid w:val="006D0B65"/>
    <w:rsid w:val="006D1BE0"/>
    <w:rsid w:val="006D4B0E"/>
    <w:rsid w:val="006D5172"/>
    <w:rsid w:val="006D67C9"/>
    <w:rsid w:val="006E0F0D"/>
    <w:rsid w:val="006E7D80"/>
    <w:rsid w:val="006F08B5"/>
    <w:rsid w:val="006F3B4E"/>
    <w:rsid w:val="006F4BFF"/>
    <w:rsid w:val="00703D5A"/>
    <w:rsid w:val="007056FC"/>
    <w:rsid w:val="00715939"/>
    <w:rsid w:val="00723AE6"/>
    <w:rsid w:val="00724EE5"/>
    <w:rsid w:val="00731D38"/>
    <w:rsid w:val="00736525"/>
    <w:rsid w:val="00740C54"/>
    <w:rsid w:val="0074259F"/>
    <w:rsid w:val="0074620B"/>
    <w:rsid w:val="00746FE9"/>
    <w:rsid w:val="00747ED6"/>
    <w:rsid w:val="00757B44"/>
    <w:rsid w:val="00762E77"/>
    <w:rsid w:val="00763797"/>
    <w:rsid w:val="00770B42"/>
    <w:rsid w:val="00770B60"/>
    <w:rsid w:val="00780C7B"/>
    <w:rsid w:val="00781C9A"/>
    <w:rsid w:val="007823E8"/>
    <w:rsid w:val="00786CAD"/>
    <w:rsid w:val="007877D0"/>
    <w:rsid w:val="0079522F"/>
    <w:rsid w:val="007953BE"/>
    <w:rsid w:val="00796C05"/>
    <w:rsid w:val="007A3FCC"/>
    <w:rsid w:val="007A4044"/>
    <w:rsid w:val="007A5300"/>
    <w:rsid w:val="007B1DBA"/>
    <w:rsid w:val="007B312E"/>
    <w:rsid w:val="007B6D50"/>
    <w:rsid w:val="007C1B69"/>
    <w:rsid w:val="007C2866"/>
    <w:rsid w:val="007E71C3"/>
    <w:rsid w:val="007F0AD2"/>
    <w:rsid w:val="007F193F"/>
    <w:rsid w:val="007F2D2F"/>
    <w:rsid w:val="007F604B"/>
    <w:rsid w:val="007F620E"/>
    <w:rsid w:val="007F6CF5"/>
    <w:rsid w:val="00802101"/>
    <w:rsid w:val="00802701"/>
    <w:rsid w:val="0080325E"/>
    <w:rsid w:val="008103AF"/>
    <w:rsid w:val="00810B5F"/>
    <w:rsid w:val="00811DB1"/>
    <w:rsid w:val="0081227C"/>
    <w:rsid w:val="008125BC"/>
    <w:rsid w:val="00815F1F"/>
    <w:rsid w:val="0081626F"/>
    <w:rsid w:val="0081690F"/>
    <w:rsid w:val="00831652"/>
    <w:rsid w:val="0083350A"/>
    <w:rsid w:val="0083429B"/>
    <w:rsid w:val="008456E8"/>
    <w:rsid w:val="00845AF9"/>
    <w:rsid w:val="0084662A"/>
    <w:rsid w:val="00853EAF"/>
    <w:rsid w:val="00854E60"/>
    <w:rsid w:val="00855706"/>
    <w:rsid w:val="00855FD7"/>
    <w:rsid w:val="008650B5"/>
    <w:rsid w:val="00872B2C"/>
    <w:rsid w:val="00872E1E"/>
    <w:rsid w:val="0087593A"/>
    <w:rsid w:val="008759F4"/>
    <w:rsid w:val="00880855"/>
    <w:rsid w:val="008844B6"/>
    <w:rsid w:val="00885956"/>
    <w:rsid w:val="00886869"/>
    <w:rsid w:val="0089042F"/>
    <w:rsid w:val="008914DC"/>
    <w:rsid w:val="008930D9"/>
    <w:rsid w:val="00893A53"/>
    <w:rsid w:val="008A0FC0"/>
    <w:rsid w:val="008B07E4"/>
    <w:rsid w:val="008B2243"/>
    <w:rsid w:val="008B67E2"/>
    <w:rsid w:val="008C09F7"/>
    <w:rsid w:val="008C119D"/>
    <w:rsid w:val="008C2208"/>
    <w:rsid w:val="008C271E"/>
    <w:rsid w:val="008C2C11"/>
    <w:rsid w:val="008C3E30"/>
    <w:rsid w:val="008D3B5F"/>
    <w:rsid w:val="008E182E"/>
    <w:rsid w:val="008E20BE"/>
    <w:rsid w:val="008E3450"/>
    <w:rsid w:val="008E39F5"/>
    <w:rsid w:val="008E4336"/>
    <w:rsid w:val="008E7BA2"/>
    <w:rsid w:val="008F2750"/>
    <w:rsid w:val="008F5964"/>
    <w:rsid w:val="008F5BAA"/>
    <w:rsid w:val="008F6D22"/>
    <w:rsid w:val="008F7EB8"/>
    <w:rsid w:val="009046A8"/>
    <w:rsid w:val="009054B4"/>
    <w:rsid w:val="00905A9A"/>
    <w:rsid w:val="009078F0"/>
    <w:rsid w:val="00912F25"/>
    <w:rsid w:val="00915118"/>
    <w:rsid w:val="00915951"/>
    <w:rsid w:val="00925FAB"/>
    <w:rsid w:val="00927274"/>
    <w:rsid w:val="00933B7C"/>
    <w:rsid w:val="009479EC"/>
    <w:rsid w:val="00960D3B"/>
    <w:rsid w:val="00963EEF"/>
    <w:rsid w:val="0097008D"/>
    <w:rsid w:val="00974199"/>
    <w:rsid w:val="00974B6D"/>
    <w:rsid w:val="009839FF"/>
    <w:rsid w:val="0099114E"/>
    <w:rsid w:val="00995EEA"/>
    <w:rsid w:val="009A3B08"/>
    <w:rsid w:val="009A62F6"/>
    <w:rsid w:val="009A7F67"/>
    <w:rsid w:val="009B00AE"/>
    <w:rsid w:val="009B6DA7"/>
    <w:rsid w:val="009D36E7"/>
    <w:rsid w:val="009D6D0A"/>
    <w:rsid w:val="009E13AC"/>
    <w:rsid w:val="009E48E4"/>
    <w:rsid w:val="009F10D5"/>
    <w:rsid w:val="009F7995"/>
    <w:rsid w:val="00A037BE"/>
    <w:rsid w:val="00A07A96"/>
    <w:rsid w:val="00A21713"/>
    <w:rsid w:val="00A21F31"/>
    <w:rsid w:val="00A24714"/>
    <w:rsid w:val="00A24E91"/>
    <w:rsid w:val="00A31768"/>
    <w:rsid w:val="00A319DE"/>
    <w:rsid w:val="00A36258"/>
    <w:rsid w:val="00A376E0"/>
    <w:rsid w:val="00A40F27"/>
    <w:rsid w:val="00A42BC9"/>
    <w:rsid w:val="00A434DB"/>
    <w:rsid w:val="00A4611D"/>
    <w:rsid w:val="00A46C08"/>
    <w:rsid w:val="00A60203"/>
    <w:rsid w:val="00A61B67"/>
    <w:rsid w:val="00A67598"/>
    <w:rsid w:val="00A67E89"/>
    <w:rsid w:val="00A704FA"/>
    <w:rsid w:val="00A70812"/>
    <w:rsid w:val="00A75D2D"/>
    <w:rsid w:val="00A819F5"/>
    <w:rsid w:val="00A84FD5"/>
    <w:rsid w:val="00A86489"/>
    <w:rsid w:val="00A86988"/>
    <w:rsid w:val="00A86A36"/>
    <w:rsid w:val="00A90995"/>
    <w:rsid w:val="00A910F1"/>
    <w:rsid w:val="00A92D0B"/>
    <w:rsid w:val="00A95158"/>
    <w:rsid w:val="00A95BEB"/>
    <w:rsid w:val="00AA1740"/>
    <w:rsid w:val="00AA4CDA"/>
    <w:rsid w:val="00AB2F7F"/>
    <w:rsid w:val="00AB3510"/>
    <w:rsid w:val="00AB7CA4"/>
    <w:rsid w:val="00AC5A4B"/>
    <w:rsid w:val="00AD5797"/>
    <w:rsid w:val="00AD742A"/>
    <w:rsid w:val="00AE206A"/>
    <w:rsid w:val="00AE3366"/>
    <w:rsid w:val="00AE429F"/>
    <w:rsid w:val="00AE4D8C"/>
    <w:rsid w:val="00AE6488"/>
    <w:rsid w:val="00AE724E"/>
    <w:rsid w:val="00AE733C"/>
    <w:rsid w:val="00AF61A9"/>
    <w:rsid w:val="00AF6203"/>
    <w:rsid w:val="00AF6CCA"/>
    <w:rsid w:val="00B000C0"/>
    <w:rsid w:val="00B00BCD"/>
    <w:rsid w:val="00B03003"/>
    <w:rsid w:val="00B059BE"/>
    <w:rsid w:val="00B07134"/>
    <w:rsid w:val="00B07F13"/>
    <w:rsid w:val="00B1102C"/>
    <w:rsid w:val="00B13A3D"/>
    <w:rsid w:val="00B14A9D"/>
    <w:rsid w:val="00B1593B"/>
    <w:rsid w:val="00B17005"/>
    <w:rsid w:val="00B20A6A"/>
    <w:rsid w:val="00B2316D"/>
    <w:rsid w:val="00B26EBD"/>
    <w:rsid w:val="00B3083A"/>
    <w:rsid w:val="00B312DA"/>
    <w:rsid w:val="00B31565"/>
    <w:rsid w:val="00B32D01"/>
    <w:rsid w:val="00B37FD3"/>
    <w:rsid w:val="00B46CC8"/>
    <w:rsid w:val="00B50CB8"/>
    <w:rsid w:val="00B51A7E"/>
    <w:rsid w:val="00B51C2B"/>
    <w:rsid w:val="00B51F03"/>
    <w:rsid w:val="00B54991"/>
    <w:rsid w:val="00B55CCD"/>
    <w:rsid w:val="00B55D78"/>
    <w:rsid w:val="00B613A1"/>
    <w:rsid w:val="00B61434"/>
    <w:rsid w:val="00B62A13"/>
    <w:rsid w:val="00B62AC0"/>
    <w:rsid w:val="00B63E2F"/>
    <w:rsid w:val="00B66CF5"/>
    <w:rsid w:val="00B706B2"/>
    <w:rsid w:val="00B803D5"/>
    <w:rsid w:val="00B8269B"/>
    <w:rsid w:val="00B90A00"/>
    <w:rsid w:val="00B93483"/>
    <w:rsid w:val="00B949A4"/>
    <w:rsid w:val="00BA2100"/>
    <w:rsid w:val="00BA2C2F"/>
    <w:rsid w:val="00BA548C"/>
    <w:rsid w:val="00BB49BB"/>
    <w:rsid w:val="00BB5B2D"/>
    <w:rsid w:val="00BB720B"/>
    <w:rsid w:val="00BC524D"/>
    <w:rsid w:val="00BD1F37"/>
    <w:rsid w:val="00BE03E1"/>
    <w:rsid w:val="00BE2D0B"/>
    <w:rsid w:val="00BE45D0"/>
    <w:rsid w:val="00BE54B8"/>
    <w:rsid w:val="00BE647E"/>
    <w:rsid w:val="00BF0F35"/>
    <w:rsid w:val="00BF1A49"/>
    <w:rsid w:val="00BF2F45"/>
    <w:rsid w:val="00BF4AB8"/>
    <w:rsid w:val="00BF7637"/>
    <w:rsid w:val="00C0157B"/>
    <w:rsid w:val="00C02649"/>
    <w:rsid w:val="00C03F0B"/>
    <w:rsid w:val="00C0471D"/>
    <w:rsid w:val="00C06B54"/>
    <w:rsid w:val="00C10A1D"/>
    <w:rsid w:val="00C12B31"/>
    <w:rsid w:val="00C13B3F"/>
    <w:rsid w:val="00C16981"/>
    <w:rsid w:val="00C21EB2"/>
    <w:rsid w:val="00C300C7"/>
    <w:rsid w:val="00C30C7A"/>
    <w:rsid w:val="00C31245"/>
    <w:rsid w:val="00C35717"/>
    <w:rsid w:val="00C372E0"/>
    <w:rsid w:val="00C419FB"/>
    <w:rsid w:val="00C47A2B"/>
    <w:rsid w:val="00C52AA1"/>
    <w:rsid w:val="00C53606"/>
    <w:rsid w:val="00C5683B"/>
    <w:rsid w:val="00C57B0B"/>
    <w:rsid w:val="00C62E1E"/>
    <w:rsid w:val="00C742D7"/>
    <w:rsid w:val="00C765A2"/>
    <w:rsid w:val="00C80771"/>
    <w:rsid w:val="00C840E1"/>
    <w:rsid w:val="00C852F8"/>
    <w:rsid w:val="00C93B2B"/>
    <w:rsid w:val="00CA34B1"/>
    <w:rsid w:val="00CA55FD"/>
    <w:rsid w:val="00CB0415"/>
    <w:rsid w:val="00CB7251"/>
    <w:rsid w:val="00CC020F"/>
    <w:rsid w:val="00CC10AF"/>
    <w:rsid w:val="00CC2B15"/>
    <w:rsid w:val="00CC4B40"/>
    <w:rsid w:val="00CD4ABA"/>
    <w:rsid w:val="00CD6886"/>
    <w:rsid w:val="00CD6C93"/>
    <w:rsid w:val="00CD7D17"/>
    <w:rsid w:val="00CE057B"/>
    <w:rsid w:val="00CE0D14"/>
    <w:rsid w:val="00CE73C0"/>
    <w:rsid w:val="00CF1129"/>
    <w:rsid w:val="00CF1A2C"/>
    <w:rsid w:val="00CF3B70"/>
    <w:rsid w:val="00CF53E9"/>
    <w:rsid w:val="00D01802"/>
    <w:rsid w:val="00D0368A"/>
    <w:rsid w:val="00D075B1"/>
    <w:rsid w:val="00D10372"/>
    <w:rsid w:val="00D12EAC"/>
    <w:rsid w:val="00D15D7A"/>
    <w:rsid w:val="00D16EDA"/>
    <w:rsid w:val="00D1778A"/>
    <w:rsid w:val="00D276B8"/>
    <w:rsid w:val="00D27D5F"/>
    <w:rsid w:val="00D30039"/>
    <w:rsid w:val="00D30181"/>
    <w:rsid w:val="00D30C4F"/>
    <w:rsid w:val="00D341F8"/>
    <w:rsid w:val="00D359BC"/>
    <w:rsid w:val="00D3682D"/>
    <w:rsid w:val="00D36884"/>
    <w:rsid w:val="00D36927"/>
    <w:rsid w:val="00D37255"/>
    <w:rsid w:val="00D418A5"/>
    <w:rsid w:val="00D4277D"/>
    <w:rsid w:val="00D50622"/>
    <w:rsid w:val="00D547A8"/>
    <w:rsid w:val="00D56BCA"/>
    <w:rsid w:val="00D5782B"/>
    <w:rsid w:val="00D60EC9"/>
    <w:rsid w:val="00D615BE"/>
    <w:rsid w:val="00D70E7D"/>
    <w:rsid w:val="00D74F4E"/>
    <w:rsid w:val="00D75107"/>
    <w:rsid w:val="00D805CB"/>
    <w:rsid w:val="00D84F94"/>
    <w:rsid w:val="00D8769E"/>
    <w:rsid w:val="00D92BD0"/>
    <w:rsid w:val="00DA2D29"/>
    <w:rsid w:val="00DA31DA"/>
    <w:rsid w:val="00DA3AEE"/>
    <w:rsid w:val="00DA3FF8"/>
    <w:rsid w:val="00DA7FD6"/>
    <w:rsid w:val="00DB3574"/>
    <w:rsid w:val="00DC2D19"/>
    <w:rsid w:val="00DC31C2"/>
    <w:rsid w:val="00DC3564"/>
    <w:rsid w:val="00DC64BB"/>
    <w:rsid w:val="00DD1ECA"/>
    <w:rsid w:val="00DD52BB"/>
    <w:rsid w:val="00DE3A5D"/>
    <w:rsid w:val="00DE4DF2"/>
    <w:rsid w:val="00DF30F3"/>
    <w:rsid w:val="00E00990"/>
    <w:rsid w:val="00E00FCE"/>
    <w:rsid w:val="00E0316F"/>
    <w:rsid w:val="00E15DC3"/>
    <w:rsid w:val="00E17B34"/>
    <w:rsid w:val="00E21EA5"/>
    <w:rsid w:val="00E25078"/>
    <w:rsid w:val="00E2675E"/>
    <w:rsid w:val="00E327A7"/>
    <w:rsid w:val="00E34620"/>
    <w:rsid w:val="00E353EE"/>
    <w:rsid w:val="00E3786F"/>
    <w:rsid w:val="00E40140"/>
    <w:rsid w:val="00E52992"/>
    <w:rsid w:val="00E55734"/>
    <w:rsid w:val="00E56649"/>
    <w:rsid w:val="00E60942"/>
    <w:rsid w:val="00E61B4C"/>
    <w:rsid w:val="00E66FE7"/>
    <w:rsid w:val="00E67B72"/>
    <w:rsid w:val="00E72BBF"/>
    <w:rsid w:val="00E73D85"/>
    <w:rsid w:val="00E750D0"/>
    <w:rsid w:val="00E75E09"/>
    <w:rsid w:val="00E775D0"/>
    <w:rsid w:val="00E824BF"/>
    <w:rsid w:val="00E83E7F"/>
    <w:rsid w:val="00E926C7"/>
    <w:rsid w:val="00E9366A"/>
    <w:rsid w:val="00E9453C"/>
    <w:rsid w:val="00E959A0"/>
    <w:rsid w:val="00E96C4C"/>
    <w:rsid w:val="00EA0166"/>
    <w:rsid w:val="00EA10B7"/>
    <w:rsid w:val="00EA51DD"/>
    <w:rsid w:val="00EB0DBA"/>
    <w:rsid w:val="00EB1D89"/>
    <w:rsid w:val="00EB24F8"/>
    <w:rsid w:val="00EB258A"/>
    <w:rsid w:val="00EB64CF"/>
    <w:rsid w:val="00EC0904"/>
    <w:rsid w:val="00EC55CD"/>
    <w:rsid w:val="00EC6387"/>
    <w:rsid w:val="00EC7E6F"/>
    <w:rsid w:val="00ED0B59"/>
    <w:rsid w:val="00ED0D4F"/>
    <w:rsid w:val="00ED6B6B"/>
    <w:rsid w:val="00EE1CF5"/>
    <w:rsid w:val="00EE2B17"/>
    <w:rsid w:val="00EF38F1"/>
    <w:rsid w:val="00EF4802"/>
    <w:rsid w:val="00EF637E"/>
    <w:rsid w:val="00EF7291"/>
    <w:rsid w:val="00F0017C"/>
    <w:rsid w:val="00F028C8"/>
    <w:rsid w:val="00F0319F"/>
    <w:rsid w:val="00F04470"/>
    <w:rsid w:val="00F04681"/>
    <w:rsid w:val="00F04904"/>
    <w:rsid w:val="00F20061"/>
    <w:rsid w:val="00F22128"/>
    <w:rsid w:val="00F23A0E"/>
    <w:rsid w:val="00F26371"/>
    <w:rsid w:val="00F2682B"/>
    <w:rsid w:val="00F30DA8"/>
    <w:rsid w:val="00F31871"/>
    <w:rsid w:val="00F32DB4"/>
    <w:rsid w:val="00F34C1F"/>
    <w:rsid w:val="00F35139"/>
    <w:rsid w:val="00F35ED0"/>
    <w:rsid w:val="00F3611E"/>
    <w:rsid w:val="00F36685"/>
    <w:rsid w:val="00F3772B"/>
    <w:rsid w:val="00F41870"/>
    <w:rsid w:val="00F47E87"/>
    <w:rsid w:val="00F62C72"/>
    <w:rsid w:val="00F635D4"/>
    <w:rsid w:val="00F6363B"/>
    <w:rsid w:val="00F63C29"/>
    <w:rsid w:val="00F6450A"/>
    <w:rsid w:val="00F650AE"/>
    <w:rsid w:val="00F658C9"/>
    <w:rsid w:val="00F72D5F"/>
    <w:rsid w:val="00F7579D"/>
    <w:rsid w:val="00F80927"/>
    <w:rsid w:val="00F81778"/>
    <w:rsid w:val="00F8588D"/>
    <w:rsid w:val="00F862A9"/>
    <w:rsid w:val="00F87A1A"/>
    <w:rsid w:val="00FA4732"/>
    <w:rsid w:val="00FB244A"/>
    <w:rsid w:val="00FB7EEF"/>
    <w:rsid w:val="00FC3AF0"/>
    <w:rsid w:val="00FC56CE"/>
    <w:rsid w:val="00FC5A2E"/>
    <w:rsid w:val="00FC5AF7"/>
    <w:rsid w:val="00FC69E8"/>
    <w:rsid w:val="00FC72B7"/>
    <w:rsid w:val="00FD2DD2"/>
    <w:rsid w:val="00FD688E"/>
    <w:rsid w:val="00FE3BAE"/>
    <w:rsid w:val="00FE4838"/>
    <w:rsid w:val="00FF106C"/>
    <w:rsid w:val="00FF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w:basedOn w:val="Normal"/>
    <w:link w:val="FootnoteTextChar"/>
    <w:qFormat/>
    <w:rsid w:val="00A86489"/>
    <w:pPr>
      <w:spacing w:after="12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
    <w:basedOn w:val="DefaultParagraphFont"/>
    <w:link w:val="FootnoteText"/>
    <w:uiPriority w:val="99"/>
    <w:rsid w:val="00A86489"/>
    <w:rPr>
      <w:sz w:val="22"/>
    </w:rPr>
  </w:style>
  <w:style w:type="character" w:styleId="FootnoteReference">
    <w:name w:val="footnote reference"/>
    <w:aliases w:val="o,fr,o1,o2,o3,o4,o5,o6,o11,o21,o7,Style 3,Appel note de bas de p,Style 12,(NECG) Footnote Reference,Style 124,Style 13,FR,Style 17,Style 6,Footnote Reference/,Style 7,Style 4,Style 34,Style 9,Footnote Reference1,o + Times New Roman"/>
    <w:rsid w:val="00885956"/>
    <w:rPr>
      <w:vertAlign w:val="superscript"/>
    </w:rPr>
  </w:style>
  <w:style w:type="paragraph" w:styleId="ListParagraph">
    <w:name w:val="List Paragraph"/>
    <w:basedOn w:val="Normal"/>
    <w:uiPriority w:val="34"/>
    <w:qFormat/>
    <w:rsid w:val="007877D0"/>
    <w:pPr>
      <w:spacing w:after="120"/>
      <w:ind w:left="720"/>
    </w:pPr>
    <w:rPr>
      <w:rFonts w:eastAsia="Calibri"/>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SubstantialContribution">
    <w:name w:val="Substantial Contribution"/>
    <w:basedOn w:val="Normal"/>
    <w:qFormat/>
    <w:rsid w:val="0022776A"/>
    <w:pPr>
      <w:spacing w:before="120" w:after="120"/>
    </w:pPr>
    <w:rPr>
      <w:color w:val="000000"/>
    </w:rPr>
  </w:style>
  <w:style w:type="character" w:styleId="UnresolvedMention">
    <w:name w:val="Unresolved Mention"/>
    <w:basedOn w:val="DefaultParagraphFont"/>
    <w:uiPriority w:val="99"/>
    <w:semiHidden/>
    <w:unhideWhenUsed/>
    <w:rsid w:val="00301782"/>
    <w:rPr>
      <w:color w:val="605E5C"/>
      <w:shd w:val="clear" w:color="auto" w:fill="E1DFDD"/>
    </w:rPr>
  </w:style>
  <w:style w:type="paragraph" w:customStyle="1" w:styleId="pf0">
    <w:name w:val="pf0"/>
    <w:basedOn w:val="Normal"/>
    <w:rsid w:val="001C04DE"/>
    <w:pPr>
      <w:spacing w:before="100" w:beforeAutospacing="1" w:after="100" w:afterAutospacing="1"/>
    </w:pPr>
  </w:style>
  <w:style w:type="character" w:customStyle="1" w:styleId="cf01">
    <w:name w:val="cf01"/>
    <w:basedOn w:val="DefaultParagraphFont"/>
    <w:rsid w:val="001C04DE"/>
    <w:rPr>
      <w:rFonts w:ascii="Segoe UI" w:hAnsi="Segoe UI" w:cs="Segoe UI" w:hint="default"/>
      <w:sz w:val="18"/>
      <w:szCs w:val="18"/>
    </w:rPr>
  </w:style>
  <w:style w:type="paragraph" w:customStyle="1" w:styleId="Default">
    <w:name w:val="Default"/>
    <w:rsid w:val="00D615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946">
      <w:bodyDiv w:val="1"/>
      <w:marLeft w:val="0"/>
      <w:marRight w:val="0"/>
      <w:marTop w:val="0"/>
      <w:marBottom w:val="0"/>
      <w:divBdr>
        <w:top w:val="none" w:sz="0" w:space="0" w:color="auto"/>
        <w:left w:val="none" w:sz="0" w:space="0" w:color="auto"/>
        <w:bottom w:val="none" w:sz="0" w:space="0" w:color="auto"/>
        <w:right w:val="none" w:sz="0" w:space="0" w:color="auto"/>
      </w:divBdr>
    </w:div>
    <w:div w:id="254557320">
      <w:bodyDiv w:val="1"/>
      <w:marLeft w:val="0"/>
      <w:marRight w:val="0"/>
      <w:marTop w:val="0"/>
      <w:marBottom w:val="0"/>
      <w:divBdr>
        <w:top w:val="none" w:sz="0" w:space="0" w:color="auto"/>
        <w:left w:val="none" w:sz="0" w:space="0" w:color="auto"/>
        <w:bottom w:val="none" w:sz="0" w:space="0" w:color="auto"/>
        <w:right w:val="none" w:sz="0" w:space="0" w:color="auto"/>
      </w:divBdr>
    </w:div>
    <w:div w:id="304697534">
      <w:bodyDiv w:val="1"/>
      <w:marLeft w:val="0"/>
      <w:marRight w:val="0"/>
      <w:marTop w:val="0"/>
      <w:marBottom w:val="0"/>
      <w:divBdr>
        <w:top w:val="none" w:sz="0" w:space="0" w:color="auto"/>
        <w:left w:val="none" w:sz="0" w:space="0" w:color="auto"/>
        <w:bottom w:val="none" w:sz="0" w:space="0" w:color="auto"/>
        <w:right w:val="none" w:sz="0" w:space="0" w:color="auto"/>
      </w:divBdr>
    </w:div>
    <w:div w:id="783378795">
      <w:bodyDiv w:val="1"/>
      <w:marLeft w:val="0"/>
      <w:marRight w:val="0"/>
      <w:marTop w:val="0"/>
      <w:marBottom w:val="0"/>
      <w:divBdr>
        <w:top w:val="none" w:sz="0" w:space="0" w:color="auto"/>
        <w:left w:val="none" w:sz="0" w:space="0" w:color="auto"/>
        <w:bottom w:val="none" w:sz="0" w:space="0" w:color="auto"/>
        <w:right w:val="none" w:sz="0" w:space="0" w:color="auto"/>
      </w:divBdr>
    </w:div>
    <w:div w:id="925380881">
      <w:bodyDiv w:val="1"/>
      <w:marLeft w:val="0"/>
      <w:marRight w:val="0"/>
      <w:marTop w:val="0"/>
      <w:marBottom w:val="0"/>
      <w:divBdr>
        <w:top w:val="none" w:sz="0" w:space="0" w:color="auto"/>
        <w:left w:val="none" w:sz="0" w:space="0" w:color="auto"/>
        <w:bottom w:val="none" w:sz="0" w:space="0" w:color="auto"/>
        <w:right w:val="none" w:sz="0" w:space="0" w:color="auto"/>
      </w:divBdr>
    </w:div>
    <w:div w:id="1041901155">
      <w:bodyDiv w:val="1"/>
      <w:marLeft w:val="0"/>
      <w:marRight w:val="0"/>
      <w:marTop w:val="0"/>
      <w:marBottom w:val="0"/>
      <w:divBdr>
        <w:top w:val="none" w:sz="0" w:space="0" w:color="auto"/>
        <w:left w:val="none" w:sz="0" w:space="0" w:color="auto"/>
        <w:bottom w:val="none" w:sz="0" w:space="0" w:color="auto"/>
        <w:right w:val="none" w:sz="0" w:space="0" w:color="auto"/>
      </w:divBdr>
    </w:div>
    <w:div w:id="1646739816">
      <w:bodyDiv w:val="1"/>
      <w:marLeft w:val="0"/>
      <w:marRight w:val="0"/>
      <w:marTop w:val="0"/>
      <w:marBottom w:val="0"/>
      <w:divBdr>
        <w:top w:val="none" w:sz="0" w:space="0" w:color="auto"/>
        <w:left w:val="none" w:sz="0" w:space="0" w:color="auto"/>
        <w:bottom w:val="none" w:sz="0" w:space="0" w:color="auto"/>
        <w:right w:val="none" w:sz="0" w:space="0" w:color="auto"/>
      </w:divBdr>
    </w:div>
    <w:div w:id="1767727532">
      <w:bodyDiv w:val="1"/>
      <w:marLeft w:val="0"/>
      <w:marRight w:val="0"/>
      <w:marTop w:val="0"/>
      <w:marBottom w:val="0"/>
      <w:divBdr>
        <w:top w:val="none" w:sz="0" w:space="0" w:color="auto"/>
        <w:left w:val="none" w:sz="0" w:space="0" w:color="auto"/>
        <w:bottom w:val="none" w:sz="0" w:space="0" w:color="auto"/>
        <w:right w:val="none" w:sz="0" w:space="0" w:color="auto"/>
      </w:divBdr>
    </w:div>
    <w:div w:id="1811825992">
      <w:bodyDiv w:val="1"/>
      <w:marLeft w:val="0"/>
      <w:marRight w:val="0"/>
      <w:marTop w:val="0"/>
      <w:marBottom w:val="0"/>
      <w:divBdr>
        <w:top w:val="none" w:sz="0" w:space="0" w:color="auto"/>
        <w:left w:val="none" w:sz="0" w:space="0" w:color="auto"/>
        <w:bottom w:val="none" w:sz="0" w:space="0" w:color="auto"/>
        <w:right w:val="none" w:sz="0" w:space="0" w:color="auto"/>
      </w:divBdr>
    </w:div>
    <w:div w:id="1838299676">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2127118240">
      <w:bodyDiv w:val="1"/>
      <w:marLeft w:val="0"/>
      <w:marRight w:val="0"/>
      <w:marTop w:val="0"/>
      <w:marBottom w:val="0"/>
      <w:divBdr>
        <w:top w:val="none" w:sz="0" w:space="0" w:color="auto"/>
        <w:left w:val="none" w:sz="0" w:space="0" w:color="auto"/>
        <w:bottom w:val="none" w:sz="0" w:space="0" w:color="auto"/>
        <w:right w:val="none" w:sz="0" w:space="0" w:color="auto"/>
      </w:divBdr>
    </w:div>
    <w:div w:id="21435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17</ap:Pages>
  <ap:Words>4467</ap:Words>
  <ap:Characters>25653</ap:Characters>
  <ap:Application>Microsoft Office Word</ap:Application>
  <ap:DocSecurity>0</ap:DocSecurity>
  <ap:Lines>213</ap:Lines>
  <ap:Paragraphs>60</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LinksUpToDate>false</ap:LinksUpToDate>
  <ap:CharactersWithSpaces>30060</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2023-12-06T10:44:59Z</dcterms:created>
  <dcterms:modified xsi:type="dcterms:W3CDTF">2023-12-06T10:44:59Z</dcterms:modified>
</cp:coreProperties>
</file>