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0421" w:rsidP="007E0FEE" w:rsidRDefault="00230E6D" w14:paraId="3AACD3EC" w14:textId="7ABE2A67">
      <w:pPr>
        <w:tabs>
          <w:tab w:val="center" w:pos="4680"/>
          <w:tab w:val="right" w:pos="9360"/>
        </w:tabs>
        <w:spacing w:line="240" w:lineRule="auto"/>
        <w:ind w:firstLine="0"/>
      </w:pPr>
      <w:r>
        <w:t>A</w:t>
      </w:r>
      <w:r w:rsidR="001D7A45">
        <w:t>LJ/</w:t>
      </w:r>
      <w:r w:rsidR="00153201">
        <w:t>SRM</w:t>
      </w:r>
      <w:r w:rsidR="00A54E87">
        <w:t>/</w:t>
      </w:r>
      <w:proofErr w:type="spellStart"/>
      <w:r w:rsidR="00A54E87">
        <w:t>smt</w:t>
      </w:r>
      <w:proofErr w:type="spellEnd"/>
      <w:r>
        <w:t xml:space="preserve">           </w:t>
      </w:r>
      <w:r w:rsidR="00DA7B5D">
        <w:rPr>
          <w:rFonts w:ascii="Arial" w:hAnsi="Arial" w:cs="Arial"/>
          <w:b/>
          <w:sz w:val="32"/>
          <w:szCs w:val="32"/>
        </w:rPr>
        <w:t>PROPOSED DECISION</w:t>
      </w:r>
      <w:r>
        <w:rPr>
          <w:rFonts w:ascii="Arial" w:hAnsi="Arial" w:cs="Arial"/>
          <w:b/>
          <w:sz w:val="32"/>
          <w:szCs w:val="32"/>
        </w:rPr>
        <w:t xml:space="preserve">    </w:t>
      </w:r>
      <w:r w:rsidRPr="00EE4315" w:rsidR="00DA7B5D">
        <w:rPr>
          <w:b/>
        </w:rPr>
        <w:t>Agenda ID #</w:t>
      </w:r>
      <w:r w:rsidR="00824CA5">
        <w:rPr>
          <w:b/>
        </w:rPr>
        <w:t>2</w:t>
      </w:r>
      <w:r w:rsidR="00153201">
        <w:rPr>
          <w:b/>
        </w:rPr>
        <w:t>2059</w:t>
      </w:r>
      <w:r>
        <w:rPr>
          <w:b/>
        </w:rPr>
        <w:t xml:space="preserve"> (Rev.1)</w:t>
      </w:r>
    </w:p>
    <w:p w:rsidR="00DA7B5D" w:rsidP="00632207" w:rsidRDefault="001D7A45" w14:paraId="134AD62F" w14:textId="362B12E0">
      <w:pPr>
        <w:spacing w:line="240" w:lineRule="auto"/>
        <w:jc w:val="right"/>
        <w:rPr>
          <w:b/>
        </w:rPr>
      </w:pPr>
      <w:proofErr w:type="spellStart"/>
      <w:r>
        <w:rPr>
          <w:b/>
        </w:rPr>
        <w:t>Ratesetting</w:t>
      </w:r>
      <w:proofErr w:type="spellEnd"/>
    </w:p>
    <w:p w:rsidRPr="00EE4315" w:rsidR="00230E6D" w:rsidP="00632207" w:rsidRDefault="00230E6D" w14:paraId="78335594" w14:textId="7C4ED5C8">
      <w:pPr>
        <w:spacing w:line="240" w:lineRule="auto"/>
        <w:jc w:val="right"/>
        <w:rPr>
          <w:b/>
        </w:rPr>
      </w:pPr>
      <w:r>
        <w:rPr>
          <w:b/>
        </w:rPr>
        <w:t>12/14/2023 Item #17</w:t>
      </w:r>
    </w:p>
    <w:p w:rsidR="00DA7B5D" w:rsidP="008F0116" w:rsidRDefault="00DA7B5D" w14:paraId="39078D8F" w14:textId="5C39BF93">
      <w:pPr>
        <w:ind w:firstLine="0"/>
      </w:pPr>
    </w:p>
    <w:p w:rsidR="001D7A45" w:rsidP="008F0116" w:rsidRDefault="001D7A45" w14:paraId="2E775939" w14:textId="77777777">
      <w:pPr>
        <w:ind w:firstLine="0"/>
      </w:pPr>
    </w:p>
    <w:p w:rsidRPr="001D7A45" w:rsidR="00DA7B5D" w:rsidP="0098655A" w:rsidRDefault="00DA7B5D" w14:paraId="71CE8189" w14:textId="2DA609F4">
      <w:pPr>
        <w:ind w:left="1080" w:hanging="1080"/>
      </w:pPr>
      <w:r>
        <w:t xml:space="preserve">Decision </w:t>
      </w:r>
      <w:r w:rsidR="001D7A45">
        <w:rPr>
          <w:b/>
          <w:bCs/>
          <w:u w:val="single"/>
        </w:rPr>
        <w:t xml:space="preserve">PROPOSED DECISION OF ALJ </w:t>
      </w:r>
      <w:r w:rsidR="00153201">
        <w:rPr>
          <w:b/>
          <w:bCs/>
          <w:u w:val="single"/>
        </w:rPr>
        <w:t>MATHEWS</w:t>
      </w:r>
      <w:r w:rsidR="001D7A45">
        <w:t xml:space="preserve">  (Mailed </w:t>
      </w:r>
      <w:r w:rsidR="00153201">
        <w:t>11</w:t>
      </w:r>
      <w:r w:rsidR="00824CA5">
        <w:t>/9/202</w:t>
      </w:r>
      <w:r w:rsidR="00153201">
        <w:t>3</w:t>
      </w:r>
      <w:r w:rsidR="001D7A45">
        <w:t>)</w:t>
      </w:r>
    </w:p>
    <w:p w:rsidR="00DA7B5D" w:rsidP="00A660E4" w:rsidRDefault="00DA7B5D" w14:paraId="1A4C55C4" w14:textId="77777777">
      <w:pPr>
        <w:spacing w:line="240" w:lineRule="auto"/>
        <w:ind w:firstLine="0"/>
        <w:rPr>
          <w:u w:val="single"/>
        </w:rPr>
      </w:pPr>
    </w:p>
    <w:p w:rsidR="00DA7B5D" w:rsidP="00BB0243" w:rsidRDefault="00DA7B5D" w14:paraId="7D82F061"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234CB193"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1DF0114D" w14:textId="77777777">
        <w:trPr>
          <w:jc w:val="center"/>
        </w:trPr>
        <w:tc>
          <w:tcPr>
            <w:tcW w:w="5040" w:type="dxa"/>
            <w:tcBorders>
              <w:top w:val="nil"/>
              <w:left w:val="nil"/>
              <w:bottom w:val="single" w:color="auto" w:sz="4" w:space="0"/>
              <w:right w:val="single" w:color="auto" w:sz="4" w:space="0"/>
            </w:tcBorders>
          </w:tcPr>
          <w:p w:rsidR="00DA7B5D" w:rsidP="00C10B5F" w:rsidRDefault="00153201" w14:paraId="76E818F8" w14:textId="77777777">
            <w:pPr>
              <w:spacing w:line="240" w:lineRule="auto"/>
              <w:ind w:firstLine="0"/>
              <w:rPr>
                <w:rFonts w:cs="Arial"/>
                <w:color w:val="000000"/>
                <w:szCs w:val="26"/>
              </w:rPr>
            </w:pPr>
            <w:r w:rsidRPr="00814B59">
              <w:rPr>
                <w:rFonts w:cs="Arial"/>
                <w:color w:val="000000"/>
                <w:szCs w:val="26"/>
              </w:rPr>
              <w:t xml:space="preserve">Application of the North American Numbering Plan Administrator, on behalf of the California Telecommunications Industry, for Relief of the </w:t>
            </w:r>
            <w:r>
              <w:rPr>
                <w:rFonts w:cs="Arial"/>
                <w:color w:val="000000"/>
                <w:szCs w:val="26"/>
              </w:rPr>
              <w:t xml:space="preserve">559 </w:t>
            </w:r>
            <w:r w:rsidRPr="00814B59">
              <w:rPr>
                <w:rFonts w:cs="Arial"/>
                <w:color w:val="000000"/>
                <w:szCs w:val="26"/>
              </w:rPr>
              <w:t>Numbering Plan Area.</w:t>
            </w:r>
          </w:p>
          <w:p w:rsidRPr="00DA7B5D" w:rsidR="00153201" w:rsidP="00C10B5F" w:rsidRDefault="00153201" w14:paraId="50452373" w14:textId="66824F69">
            <w:pPr>
              <w:spacing w:line="240" w:lineRule="auto"/>
              <w:ind w:firstLine="0"/>
              <w:rPr>
                <w:rFonts w:cs="Arial"/>
                <w:szCs w:val="26"/>
              </w:rPr>
            </w:pPr>
          </w:p>
        </w:tc>
        <w:tc>
          <w:tcPr>
            <w:tcW w:w="5040" w:type="dxa"/>
            <w:tcBorders>
              <w:top w:val="nil"/>
              <w:left w:val="single" w:color="auto" w:sz="4" w:space="0"/>
              <w:bottom w:val="nil"/>
              <w:right w:val="nil"/>
            </w:tcBorders>
            <w:vAlign w:val="center"/>
          </w:tcPr>
          <w:p w:rsidRPr="00DA7B5D" w:rsidR="00DA7B5D" w:rsidP="00412C83" w:rsidRDefault="00C21069" w14:paraId="076DE4D2" w14:textId="220A0213">
            <w:pPr>
              <w:spacing w:line="240" w:lineRule="auto"/>
              <w:ind w:firstLine="0"/>
              <w:jc w:val="center"/>
              <w:rPr>
                <w:rFonts w:cs="Arial"/>
                <w:szCs w:val="26"/>
              </w:rPr>
            </w:pPr>
            <w:r>
              <w:rPr>
                <w:rFonts w:cs="Arial"/>
                <w:szCs w:val="26"/>
              </w:rPr>
              <w:t>Application 2</w:t>
            </w:r>
            <w:r w:rsidR="00153201">
              <w:rPr>
                <w:rFonts w:cs="Arial"/>
                <w:szCs w:val="26"/>
              </w:rPr>
              <w:t>3-01-012</w:t>
            </w:r>
          </w:p>
        </w:tc>
      </w:tr>
    </w:tbl>
    <w:p w:rsidR="00DA7B5D" w:rsidP="008F0116" w:rsidRDefault="00DA7B5D" w14:paraId="1DD4759D" w14:textId="77777777">
      <w:pPr>
        <w:spacing w:line="240" w:lineRule="auto"/>
        <w:ind w:firstLine="0"/>
        <w:rPr>
          <w:rFonts w:ascii="Arial" w:hAnsi="Arial" w:cs="Arial"/>
          <w:sz w:val="24"/>
          <w:szCs w:val="24"/>
        </w:rPr>
      </w:pPr>
    </w:p>
    <w:p w:rsidR="00DA7B5D" w:rsidP="008F0116" w:rsidRDefault="00DA7B5D" w14:paraId="7AB0DC2D" w14:textId="77777777">
      <w:pPr>
        <w:spacing w:line="240" w:lineRule="auto"/>
        <w:ind w:firstLine="0"/>
        <w:rPr>
          <w:rFonts w:ascii="Arial" w:hAnsi="Arial" w:cs="Arial"/>
          <w:sz w:val="24"/>
          <w:szCs w:val="24"/>
        </w:rPr>
      </w:pPr>
    </w:p>
    <w:p w:rsidRPr="0040076F" w:rsidR="00153201" w:rsidP="00153201" w:rsidRDefault="00153201" w14:paraId="254FC3B1" w14:textId="77777777">
      <w:pPr>
        <w:keepNext/>
        <w:keepLines/>
        <w:spacing w:after="120" w:line="240" w:lineRule="auto"/>
        <w:ind w:firstLine="0"/>
        <w:jc w:val="center"/>
        <w:outlineLvl w:val="0"/>
        <w:rPr>
          <w:rFonts w:ascii="Arial" w:hAnsi="Arial" w:cs="Arial"/>
          <w:b/>
          <w:szCs w:val="26"/>
        </w:rPr>
        <w:sectPr w:rsidRPr="0040076F" w:rsidR="00153201" w:rsidSect="00D44DB6">
          <w:headerReference w:type="default" r:id="rId8"/>
          <w:footerReference w:type="default" r:id="rId9"/>
          <w:footerReference w:type="first" r:id="rId10"/>
          <w:pgSz w:w="12240" w:h="15840"/>
          <w:pgMar w:top="1440" w:right="1440" w:bottom="1440" w:left="1440" w:header="720" w:footer="720" w:gutter="0"/>
          <w:cols w:space="720"/>
          <w:titlePg/>
          <w:docGrid w:linePitch="360"/>
        </w:sectPr>
      </w:pPr>
      <w:bookmarkStart w:name="_Toc147919344" w:id="0"/>
      <w:bookmarkStart w:name="_Toc150417473" w:id="1"/>
      <w:r w:rsidRPr="0040076F">
        <w:rPr>
          <w:rFonts w:ascii="Arial" w:hAnsi="Arial" w:cs="Arial"/>
          <w:b/>
          <w:szCs w:val="26"/>
        </w:rPr>
        <w:t>DECISIO</w:t>
      </w:r>
      <w:r>
        <w:rPr>
          <w:rFonts w:ascii="Arial" w:hAnsi="Arial" w:cs="Arial"/>
          <w:b/>
          <w:szCs w:val="26"/>
        </w:rPr>
        <w:t xml:space="preserve">N GRANTING REQUEST FOR AN ALL-SERVICES </w:t>
      </w:r>
      <w:r>
        <w:rPr>
          <w:rFonts w:ascii="Arial" w:hAnsi="Arial" w:cs="Arial"/>
          <w:b/>
          <w:szCs w:val="26"/>
        </w:rPr>
        <w:br/>
        <w:t xml:space="preserve">AREA CODE OVERLAY IN THE 559 </w:t>
      </w:r>
      <w:r>
        <w:rPr>
          <w:rFonts w:ascii="Arial" w:hAnsi="Arial" w:cs="Arial"/>
          <w:b/>
          <w:szCs w:val="26"/>
        </w:rPr>
        <w:br/>
        <w:t>NUMBERING PLAN AREA</w:t>
      </w:r>
      <w:bookmarkEnd w:id="0"/>
      <w:bookmarkEnd w:id="1"/>
    </w:p>
    <w:sdt>
      <w:sdtPr>
        <w:id w:val="-1224440197"/>
        <w:docPartObj>
          <w:docPartGallery w:val="Table of Contents"/>
          <w:docPartUnique/>
        </w:docPartObj>
      </w:sdtPr>
      <w:sdtEndPr>
        <w:rPr>
          <w:rFonts w:eastAsiaTheme="minorHAnsi" w:cstheme="minorBidi"/>
          <w:noProof/>
          <w:szCs w:val="26"/>
        </w:rPr>
      </w:sdtEndPr>
      <w:sdtContent>
        <w:p w:rsidRPr="00153201" w:rsidR="00153201" w:rsidRDefault="008C7413" w14:paraId="7613F4F5" w14:textId="599F4EDF">
          <w:pPr>
            <w:pStyle w:val="TOC1"/>
            <w:tabs>
              <w:tab w:val="right" w:leader="dot" w:pos="9350"/>
            </w:tabs>
            <w:rPr>
              <w:rFonts w:cstheme="minorBidi"/>
              <w:noProof/>
              <w:kern w:val="2"/>
              <w:szCs w:val="26"/>
              <w14:ligatures w14:val="standardContextual"/>
            </w:rPr>
          </w:pPr>
          <w:r w:rsidRPr="00153201">
            <w:rPr>
              <w:szCs w:val="26"/>
            </w:rPr>
            <w:fldChar w:fldCharType="begin"/>
          </w:r>
          <w:r w:rsidRPr="00153201">
            <w:rPr>
              <w:szCs w:val="26"/>
            </w:rPr>
            <w:instrText xml:space="preserve"> TOC \o "1-6" \h \z \u </w:instrText>
          </w:r>
          <w:r w:rsidRPr="00153201">
            <w:rPr>
              <w:szCs w:val="26"/>
            </w:rPr>
            <w:fldChar w:fldCharType="separate"/>
          </w:r>
          <w:hyperlink w:history="1" w:anchor="_Toc150417473">
            <w:r w:rsidRPr="00153201" w:rsidR="00153201">
              <w:rPr>
                <w:rStyle w:val="Hyperlink"/>
                <w:rFonts w:cs="Arial"/>
                <w:noProof/>
                <w:szCs w:val="26"/>
              </w:rPr>
              <w:t>DECISION GRANTING REQUEST FOR AN ALL-SERVICES  AREA CODE OVERLAY IN THE 559  NUMBERING PLAN AREA</w:t>
            </w:r>
            <w:r w:rsidRPr="00153201" w:rsidR="00153201">
              <w:rPr>
                <w:noProof/>
                <w:webHidden/>
                <w:szCs w:val="26"/>
              </w:rPr>
              <w:tab/>
            </w:r>
            <w:r w:rsidRPr="00153201" w:rsidR="00153201">
              <w:rPr>
                <w:noProof/>
                <w:webHidden/>
                <w:szCs w:val="26"/>
              </w:rPr>
              <w:fldChar w:fldCharType="begin"/>
            </w:r>
            <w:r w:rsidRPr="00153201" w:rsidR="00153201">
              <w:rPr>
                <w:noProof/>
                <w:webHidden/>
                <w:szCs w:val="26"/>
              </w:rPr>
              <w:instrText xml:space="preserve"> PAGEREF _Toc150417473 \h </w:instrText>
            </w:r>
            <w:r w:rsidRPr="00153201" w:rsidR="00153201">
              <w:rPr>
                <w:noProof/>
                <w:webHidden/>
                <w:szCs w:val="26"/>
              </w:rPr>
            </w:r>
            <w:r w:rsidRPr="00153201" w:rsidR="00153201">
              <w:rPr>
                <w:noProof/>
                <w:webHidden/>
                <w:szCs w:val="26"/>
              </w:rPr>
              <w:fldChar w:fldCharType="separate"/>
            </w:r>
            <w:r w:rsidR="00C02FD9">
              <w:rPr>
                <w:noProof/>
                <w:webHidden/>
                <w:szCs w:val="26"/>
              </w:rPr>
              <w:t>2</w:t>
            </w:r>
            <w:r w:rsidRPr="00153201" w:rsidR="00153201">
              <w:rPr>
                <w:noProof/>
                <w:webHidden/>
                <w:szCs w:val="26"/>
              </w:rPr>
              <w:fldChar w:fldCharType="end"/>
            </w:r>
          </w:hyperlink>
        </w:p>
        <w:p w:rsidRPr="00153201" w:rsidR="00153201" w:rsidRDefault="00000000" w14:paraId="76A94AA5" w14:textId="439FEE35">
          <w:pPr>
            <w:pStyle w:val="TOC1"/>
            <w:tabs>
              <w:tab w:val="right" w:leader="dot" w:pos="9350"/>
            </w:tabs>
            <w:rPr>
              <w:rFonts w:cstheme="minorBidi"/>
              <w:noProof/>
              <w:kern w:val="2"/>
              <w:szCs w:val="26"/>
              <w14:ligatures w14:val="standardContextual"/>
            </w:rPr>
          </w:pPr>
          <w:hyperlink w:history="1" w:anchor="_Toc150417474">
            <w:r w:rsidRPr="00153201" w:rsidR="00153201">
              <w:rPr>
                <w:rStyle w:val="Hyperlink"/>
                <w:noProof/>
                <w:szCs w:val="26"/>
              </w:rPr>
              <w:t>1.</w:t>
            </w:r>
            <w:r w:rsidRPr="00153201" w:rsidR="00153201">
              <w:rPr>
                <w:rFonts w:cstheme="minorBidi"/>
                <w:noProof/>
                <w:kern w:val="2"/>
                <w:szCs w:val="26"/>
                <w14:ligatures w14:val="standardContextual"/>
              </w:rPr>
              <w:tab/>
            </w:r>
            <w:r w:rsidRPr="00153201" w:rsidR="00153201">
              <w:rPr>
                <w:rStyle w:val="Hyperlink"/>
                <w:noProof/>
                <w:szCs w:val="26"/>
              </w:rPr>
              <w:t>Background</w:t>
            </w:r>
            <w:r w:rsidRPr="00153201" w:rsidR="00153201">
              <w:rPr>
                <w:noProof/>
                <w:webHidden/>
                <w:szCs w:val="26"/>
              </w:rPr>
              <w:tab/>
            </w:r>
            <w:r w:rsidRPr="00153201" w:rsidR="00153201">
              <w:rPr>
                <w:noProof/>
                <w:webHidden/>
                <w:szCs w:val="26"/>
              </w:rPr>
              <w:fldChar w:fldCharType="begin"/>
            </w:r>
            <w:r w:rsidRPr="00153201" w:rsidR="00153201">
              <w:rPr>
                <w:noProof/>
                <w:webHidden/>
                <w:szCs w:val="26"/>
              </w:rPr>
              <w:instrText xml:space="preserve"> PAGEREF _Toc150417474 \h </w:instrText>
            </w:r>
            <w:r w:rsidRPr="00153201" w:rsidR="00153201">
              <w:rPr>
                <w:noProof/>
                <w:webHidden/>
                <w:szCs w:val="26"/>
              </w:rPr>
            </w:r>
            <w:r w:rsidRPr="00153201" w:rsidR="00153201">
              <w:rPr>
                <w:noProof/>
                <w:webHidden/>
                <w:szCs w:val="26"/>
              </w:rPr>
              <w:fldChar w:fldCharType="separate"/>
            </w:r>
            <w:r w:rsidR="00C02FD9">
              <w:rPr>
                <w:noProof/>
                <w:webHidden/>
                <w:szCs w:val="26"/>
              </w:rPr>
              <w:t>3</w:t>
            </w:r>
            <w:r w:rsidRPr="00153201" w:rsidR="00153201">
              <w:rPr>
                <w:noProof/>
                <w:webHidden/>
                <w:szCs w:val="26"/>
              </w:rPr>
              <w:fldChar w:fldCharType="end"/>
            </w:r>
          </w:hyperlink>
        </w:p>
        <w:p w:rsidRPr="00153201" w:rsidR="00153201" w:rsidRDefault="00000000" w14:paraId="57A18EA8" w14:textId="46ABB482">
          <w:pPr>
            <w:pStyle w:val="TOC1"/>
            <w:tabs>
              <w:tab w:val="right" w:leader="dot" w:pos="9350"/>
            </w:tabs>
            <w:rPr>
              <w:rFonts w:cstheme="minorBidi"/>
              <w:noProof/>
              <w:kern w:val="2"/>
              <w:szCs w:val="26"/>
              <w14:ligatures w14:val="standardContextual"/>
            </w:rPr>
          </w:pPr>
          <w:hyperlink w:history="1" w:anchor="_Toc150417475">
            <w:r w:rsidRPr="00153201" w:rsidR="00153201">
              <w:rPr>
                <w:rStyle w:val="Hyperlink"/>
                <w:noProof/>
                <w:szCs w:val="26"/>
              </w:rPr>
              <w:t>2.</w:t>
            </w:r>
            <w:r w:rsidRPr="00153201" w:rsidR="00153201">
              <w:rPr>
                <w:rFonts w:cstheme="minorBidi"/>
                <w:noProof/>
                <w:kern w:val="2"/>
                <w:szCs w:val="26"/>
                <w14:ligatures w14:val="standardContextual"/>
              </w:rPr>
              <w:tab/>
            </w:r>
            <w:r w:rsidRPr="00153201" w:rsidR="00153201">
              <w:rPr>
                <w:rStyle w:val="Hyperlink"/>
                <w:noProof/>
                <w:szCs w:val="26"/>
              </w:rPr>
              <w:t>Jurisdiction</w:t>
            </w:r>
            <w:r w:rsidRPr="00153201" w:rsidR="00153201">
              <w:rPr>
                <w:noProof/>
                <w:webHidden/>
                <w:szCs w:val="26"/>
              </w:rPr>
              <w:tab/>
            </w:r>
            <w:r w:rsidRPr="00153201" w:rsidR="00153201">
              <w:rPr>
                <w:noProof/>
                <w:webHidden/>
                <w:szCs w:val="26"/>
              </w:rPr>
              <w:fldChar w:fldCharType="begin"/>
            </w:r>
            <w:r w:rsidRPr="00153201" w:rsidR="00153201">
              <w:rPr>
                <w:noProof/>
                <w:webHidden/>
                <w:szCs w:val="26"/>
              </w:rPr>
              <w:instrText xml:space="preserve"> PAGEREF _Toc150417475 \h </w:instrText>
            </w:r>
            <w:r w:rsidRPr="00153201" w:rsidR="00153201">
              <w:rPr>
                <w:noProof/>
                <w:webHidden/>
                <w:szCs w:val="26"/>
              </w:rPr>
            </w:r>
            <w:r w:rsidRPr="00153201" w:rsidR="00153201">
              <w:rPr>
                <w:noProof/>
                <w:webHidden/>
                <w:szCs w:val="26"/>
              </w:rPr>
              <w:fldChar w:fldCharType="separate"/>
            </w:r>
            <w:r w:rsidR="00C02FD9">
              <w:rPr>
                <w:noProof/>
                <w:webHidden/>
                <w:szCs w:val="26"/>
              </w:rPr>
              <w:t>4</w:t>
            </w:r>
            <w:r w:rsidRPr="00153201" w:rsidR="00153201">
              <w:rPr>
                <w:noProof/>
                <w:webHidden/>
                <w:szCs w:val="26"/>
              </w:rPr>
              <w:fldChar w:fldCharType="end"/>
            </w:r>
          </w:hyperlink>
        </w:p>
        <w:p w:rsidRPr="00153201" w:rsidR="00153201" w:rsidRDefault="00000000" w14:paraId="6BEAA077" w14:textId="50E0FEAC">
          <w:pPr>
            <w:pStyle w:val="TOC1"/>
            <w:tabs>
              <w:tab w:val="right" w:leader="dot" w:pos="9350"/>
            </w:tabs>
            <w:rPr>
              <w:rFonts w:cstheme="minorBidi"/>
              <w:noProof/>
              <w:kern w:val="2"/>
              <w:szCs w:val="26"/>
              <w14:ligatures w14:val="standardContextual"/>
            </w:rPr>
          </w:pPr>
          <w:hyperlink w:history="1" w:anchor="_Toc150417476">
            <w:r w:rsidRPr="00153201" w:rsidR="00153201">
              <w:rPr>
                <w:rStyle w:val="Hyperlink"/>
                <w:rFonts w:eastAsia="Times New Roman"/>
                <w:noProof/>
                <w:szCs w:val="26"/>
              </w:rPr>
              <w:t>3.</w:t>
            </w:r>
            <w:r w:rsidRPr="00153201" w:rsidR="00153201">
              <w:rPr>
                <w:rFonts w:cstheme="minorBidi"/>
                <w:noProof/>
                <w:kern w:val="2"/>
                <w:szCs w:val="26"/>
                <w14:ligatures w14:val="standardContextual"/>
              </w:rPr>
              <w:tab/>
            </w:r>
            <w:r w:rsidRPr="00153201" w:rsidR="00153201">
              <w:rPr>
                <w:rStyle w:val="Hyperlink"/>
                <w:rFonts w:eastAsia="Times New Roman"/>
                <w:noProof/>
                <w:szCs w:val="26"/>
              </w:rPr>
              <w:t>Process for Determining Need  for a New Area Code</w:t>
            </w:r>
            <w:r w:rsidRPr="00153201" w:rsidR="00153201">
              <w:rPr>
                <w:noProof/>
                <w:webHidden/>
                <w:szCs w:val="26"/>
              </w:rPr>
              <w:tab/>
            </w:r>
            <w:r w:rsidRPr="00153201" w:rsidR="00153201">
              <w:rPr>
                <w:noProof/>
                <w:webHidden/>
                <w:szCs w:val="26"/>
              </w:rPr>
              <w:fldChar w:fldCharType="begin"/>
            </w:r>
            <w:r w:rsidRPr="00153201" w:rsidR="00153201">
              <w:rPr>
                <w:noProof/>
                <w:webHidden/>
                <w:szCs w:val="26"/>
              </w:rPr>
              <w:instrText xml:space="preserve"> PAGEREF _Toc150417476 \h </w:instrText>
            </w:r>
            <w:r w:rsidRPr="00153201" w:rsidR="00153201">
              <w:rPr>
                <w:noProof/>
                <w:webHidden/>
                <w:szCs w:val="26"/>
              </w:rPr>
            </w:r>
            <w:r w:rsidRPr="00153201" w:rsidR="00153201">
              <w:rPr>
                <w:noProof/>
                <w:webHidden/>
                <w:szCs w:val="26"/>
              </w:rPr>
              <w:fldChar w:fldCharType="separate"/>
            </w:r>
            <w:r w:rsidR="00C02FD9">
              <w:rPr>
                <w:noProof/>
                <w:webHidden/>
                <w:szCs w:val="26"/>
              </w:rPr>
              <w:t>5</w:t>
            </w:r>
            <w:r w:rsidRPr="00153201" w:rsidR="00153201">
              <w:rPr>
                <w:noProof/>
                <w:webHidden/>
                <w:szCs w:val="26"/>
              </w:rPr>
              <w:fldChar w:fldCharType="end"/>
            </w:r>
          </w:hyperlink>
        </w:p>
        <w:p w:rsidRPr="00153201" w:rsidR="00153201" w:rsidRDefault="00000000" w14:paraId="231AE27A" w14:textId="53620090">
          <w:pPr>
            <w:pStyle w:val="TOC2"/>
            <w:tabs>
              <w:tab w:val="left" w:pos="1296"/>
              <w:tab w:val="right" w:leader="dot" w:pos="9350"/>
            </w:tabs>
            <w:rPr>
              <w:rFonts w:cstheme="minorBidi"/>
              <w:noProof/>
              <w:kern w:val="2"/>
              <w:szCs w:val="26"/>
              <w14:ligatures w14:val="standardContextual"/>
            </w:rPr>
          </w:pPr>
          <w:hyperlink w:history="1" w:anchor="_Toc150417477">
            <w:r w:rsidRPr="00153201" w:rsidR="00153201">
              <w:rPr>
                <w:rStyle w:val="Hyperlink"/>
                <w:rFonts w:cs="Arial"/>
                <w:noProof/>
                <w:szCs w:val="26"/>
              </w:rPr>
              <w:t>3.1.</w:t>
            </w:r>
            <w:r w:rsidRPr="00153201" w:rsidR="00153201">
              <w:rPr>
                <w:rFonts w:cstheme="minorBidi"/>
                <w:noProof/>
                <w:kern w:val="2"/>
                <w:szCs w:val="26"/>
                <w14:ligatures w14:val="standardContextual"/>
              </w:rPr>
              <w:tab/>
            </w:r>
            <w:r w:rsidRPr="00153201" w:rsidR="00153201">
              <w:rPr>
                <w:rStyle w:val="Hyperlink"/>
                <w:rFonts w:cs="Arial"/>
                <w:noProof/>
                <w:szCs w:val="26"/>
              </w:rPr>
              <w:t>Basics of the Telephone Numbering System</w:t>
            </w:r>
            <w:r w:rsidRPr="00153201" w:rsidR="00153201">
              <w:rPr>
                <w:noProof/>
                <w:webHidden/>
                <w:szCs w:val="26"/>
              </w:rPr>
              <w:tab/>
            </w:r>
            <w:r w:rsidRPr="00153201" w:rsidR="00153201">
              <w:rPr>
                <w:noProof/>
                <w:webHidden/>
                <w:szCs w:val="26"/>
              </w:rPr>
              <w:fldChar w:fldCharType="begin"/>
            </w:r>
            <w:r w:rsidRPr="00153201" w:rsidR="00153201">
              <w:rPr>
                <w:noProof/>
                <w:webHidden/>
                <w:szCs w:val="26"/>
              </w:rPr>
              <w:instrText xml:space="preserve"> PAGEREF _Toc150417477 \h </w:instrText>
            </w:r>
            <w:r w:rsidRPr="00153201" w:rsidR="00153201">
              <w:rPr>
                <w:noProof/>
                <w:webHidden/>
                <w:szCs w:val="26"/>
              </w:rPr>
            </w:r>
            <w:r w:rsidRPr="00153201" w:rsidR="00153201">
              <w:rPr>
                <w:noProof/>
                <w:webHidden/>
                <w:szCs w:val="26"/>
              </w:rPr>
              <w:fldChar w:fldCharType="separate"/>
            </w:r>
            <w:r w:rsidR="00C02FD9">
              <w:rPr>
                <w:noProof/>
                <w:webHidden/>
                <w:szCs w:val="26"/>
              </w:rPr>
              <w:t>7</w:t>
            </w:r>
            <w:r w:rsidRPr="00153201" w:rsidR="00153201">
              <w:rPr>
                <w:noProof/>
                <w:webHidden/>
                <w:szCs w:val="26"/>
              </w:rPr>
              <w:fldChar w:fldCharType="end"/>
            </w:r>
          </w:hyperlink>
        </w:p>
        <w:p w:rsidRPr="00153201" w:rsidR="00153201" w:rsidRDefault="00000000" w14:paraId="596F35DD" w14:textId="66A68B25">
          <w:pPr>
            <w:pStyle w:val="TOC2"/>
            <w:tabs>
              <w:tab w:val="left" w:pos="1296"/>
              <w:tab w:val="right" w:leader="dot" w:pos="9350"/>
            </w:tabs>
            <w:rPr>
              <w:rFonts w:cstheme="minorBidi"/>
              <w:noProof/>
              <w:kern w:val="2"/>
              <w:szCs w:val="26"/>
              <w14:ligatures w14:val="standardContextual"/>
            </w:rPr>
          </w:pPr>
          <w:hyperlink w:history="1" w:anchor="_Toc150417478">
            <w:r w:rsidRPr="00153201" w:rsidR="00153201">
              <w:rPr>
                <w:rStyle w:val="Hyperlink"/>
                <w:rFonts w:cs="Arial"/>
                <w:noProof/>
                <w:szCs w:val="26"/>
              </w:rPr>
              <w:t>3.2.</w:t>
            </w:r>
            <w:r w:rsidRPr="00153201" w:rsidR="00153201">
              <w:rPr>
                <w:rFonts w:cstheme="minorBidi"/>
                <w:noProof/>
                <w:kern w:val="2"/>
                <w:szCs w:val="26"/>
                <w14:ligatures w14:val="standardContextual"/>
              </w:rPr>
              <w:tab/>
            </w:r>
            <w:r w:rsidRPr="00153201" w:rsidR="00153201">
              <w:rPr>
                <w:rStyle w:val="Hyperlink"/>
                <w:rFonts w:cs="Arial"/>
                <w:noProof/>
                <w:szCs w:val="26"/>
              </w:rPr>
              <w:t>The 559 Area Code</w:t>
            </w:r>
            <w:r w:rsidRPr="00153201" w:rsidR="00153201">
              <w:rPr>
                <w:noProof/>
                <w:webHidden/>
                <w:szCs w:val="26"/>
              </w:rPr>
              <w:tab/>
            </w:r>
            <w:r w:rsidRPr="00153201" w:rsidR="00153201">
              <w:rPr>
                <w:noProof/>
                <w:webHidden/>
                <w:szCs w:val="26"/>
              </w:rPr>
              <w:fldChar w:fldCharType="begin"/>
            </w:r>
            <w:r w:rsidRPr="00153201" w:rsidR="00153201">
              <w:rPr>
                <w:noProof/>
                <w:webHidden/>
                <w:szCs w:val="26"/>
              </w:rPr>
              <w:instrText xml:space="preserve"> PAGEREF _Toc150417478 \h </w:instrText>
            </w:r>
            <w:r w:rsidRPr="00153201" w:rsidR="00153201">
              <w:rPr>
                <w:noProof/>
                <w:webHidden/>
                <w:szCs w:val="26"/>
              </w:rPr>
            </w:r>
            <w:r w:rsidRPr="00153201" w:rsidR="00153201">
              <w:rPr>
                <w:noProof/>
                <w:webHidden/>
                <w:szCs w:val="26"/>
              </w:rPr>
              <w:fldChar w:fldCharType="separate"/>
            </w:r>
            <w:r w:rsidR="00C02FD9">
              <w:rPr>
                <w:noProof/>
                <w:webHidden/>
                <w:szCs w:val="26"/>
              </w:rPr>
              <w:t>8</w:t>
            </w:r>
            <w:r w:rsidRPr="00153201" w:rsidR="00153201">
              <w:rPr>
                <w:noProof/>
                <w:webHidden/>
                <w:szCs w:val="26"/>
              </w:rPr>
              <w:fldChar w:fldCharType="end"/>
            </w:r>
          </w:hyperlink>
        </w:p>
        <w:p w:rsidRPr="00153201" w:rsidR="00153201" w:rsidRDefault="00000000" w14:paraId="1A724D6F" w14:textId="72C6BA8B">
          <w:pPr>
            <w:pStyle w:val="TOC1"/>
            <w:tabs>
              <w:tab w:val="right" w:leader="dot" w:pos="9350"/>
            </w:tabs>
            <w:rPr>
              <w:rFonts w:cstheme="minorBidi"/>
              <w:noProof/>
              <w:kern w:val="2"/>
              <w:szCs w:val="26"/>
              <w14:ligatures w14:val="standardContextual"/>
            </w:rPr>
          </w:pPr>
          <w:hyperlink w:history="1" w:anchor="_Toc150417479">
            <w:r w:rsidRPr="00153201" w:rsidR="00153201">
              <w:rPr>
                <w:rStyle w:val="Hyperlink"/>
                <w:rFonts w:eastAsia="Times New Roman"/>
                <w:noProof/>
                <w:szCs w:val="26"/>
              </w:rPr>
              <w:t>4.</w:t>
            </w:r>
            <w:r w:rsidRPr="00153201" w:rsidR="00153201">
              <w:rPr>
                <w:rFonts w:cstheme="minorBidi"/>
                <w:noProof/>
                <w:kern w:val="2"/>
                <w:szCs w:val="26"/>
                <w14:ligatures w14:val="standardContextual"/>
              </w:rPr>
              <w:tab/>
            </w:r>
            <w:r w:rsidRPr="00153201" w:rsidR="00153201">
              <w:rPr>
                <w:rStyle w:val="Hyperlink"/>
                <w:rFonts w:eastAsia="Times New Roman"/>
                <w:noProof/>
                <w:szCs w:val="26"/>
              </w:rPr>
              <w:t>Current Request for a New  Area Code</w:t>
            </w:r>
            <w:r w:rsidRPr="00153201" w:rsidR="00153201">
              <w:rPr>
                <w:noProof/>
                <w:webHidden/>
                <w:szCs w:val="26"/>
              </w:rPr>
              <w:tab/>
            </w:r>
            <w:r w:rsidRPr="00153201" w:rsidR="00153201">
              <w:rPr>
                <w:noProof/>
                <w:webHidden/>
                <w:szCs w:val="26"/>
              </w:rPr>
              <w:fldChar w:fldCharType="begin"/>
            </w:r>
            <w:r w:rsidRPr="00153201" w:rsidR="00153201">
              <w:rPr>
                <w:noProof/>
                <w:webHidden/>
                <w:szCs w:val="26"/>
              </w:rPr>
              <w:instrText xml:space="preserve"> PAGEREF _Toc150417479 \h </w:instrText>
            </w:r>
            <w:r w:rsidRPr="00153201" w:rsidR="00153201">
              <w:rPr>
                <w:noProof/>
                <w:webHidden/>
                <w:szCs w:val="26"/>
              </w:rPr>
            </w:r>
            <w:r w:rsidRPr="00153201" w:rsidR="00153201">
              <w:rPr>
                <w:noProof/>
                <w:webHidden/>
                <w:szCs w:val="26"/>
              </w:rPr>
              <w:fldChar w:fldCharType="separate"/>
            </w:r>
            <w:r w:rsidR="00C02FD9">
              <w:rPr>
                <w:noProof/>
                <w:webHidden/>
                <w:szCs w:val="26"/>
              </w:rPr>
              <w:t>9</w:t>
            </w:r>
            <w:r w:rsidRPr="00153201" w:rsidR="00153201">
              <w:rPr>
                <w:noProof/>
                <w:webHidden/>
                <w:szCs w:val="26"/>
              </w:rPr>
              <w:fldChar w:fldCharType="end"/>
            </w:r>
          </w:hyperlink>
        </w:p>
        <w:p w:rsidRPr="00153201" w:rsidR="00153201" w:rsidRDefault="00000000" w14:paraId="2E114F40" w14:textId="15B704A0">
          <w:pPr>
            <w:pStyle w:val="TOC1"/>
            <w:tabs>
              <w:tab w:val="right" w:leader="dot" w:pos="9350"/>
            </w:tabs>
            <w:rPr>
              <w:rFonts w:cstheme="minorBidi"/>
              <w:noProof/>
              <w:kern w:val="2"/>
              <w:szCs w:val="26"/>
              <w14:ligatures w14:val="standardContextual"/>
            </w:rPr>
          </w:pPr>
          <w:hyperlink w:history="1" w:anchor="_Toc150417480">
            <w:r w:rsidRPr="00153201" w:rsidR="00153201">
              <w:rPr>
                <w:rStyle w:val="Hyperlink"/>
                <w:rFonts w:eastAsia="Times New Roman"/>
                <w:noProof/>
                <w:szCs w:val="26"/>
              </w:rPr>
              <w:t>5.</w:t>
            </w:r>
            <w:r w:rsidRPr="00153201" w:rsidR="00153201">
              <w:rPr>
                <w:rFonts w:cstheme="minorBidi"/>
                <w:noProof/>
                <w:kern w:val="2"/>
                <w:szCs w:val="26"/>
                <w14:ligatures w14:val="standardContextual"/>
              </w:rPr>
              <w:tab/>
            </w:r>
            <w:r w:rsidRPr="00153201" w:rsidR="00153201">
              <w:rPr>
                <w:rStyle w:val="Hyperlink"/>
                <w:rFonts w:eastAsia="Times New Roman"/>
                <w:noProof/>
                <w:szCs w:val="26"/>
              </w:rPr>
              <w:t>Description of Relief Plan</w:t>
            </w:r>
            <w:r w:rsidRPr="00153201" w:rsidR="00153201">
              <w:rPr>
                <w:noProof/>
                <w:webHidden/>
                <w:szCs w:val="26"/>
              </w:rPr>
              <w:tab/>
            </w:r>
            <w:r w:rsidRPr="00153201" w:rsidR="00153201">
              <w:rPr>
                <w:noProof/>
                <w:webHidden/>
                <w:szCs w:val="26"/>
              </w:rPr>
              <w:fldChar w:fldCharType="begin"/>
            </w:r>
            <w:r w:rsidRPr="00153201" w:rsidR="00153201">
              <w:rPr>
                <w:noProof/>
                <w:webHidden/>
                <w:szCs w:val="26"/>
              </w:rPr>
              <w:instrText xml:space="preserve"> PAGEREF _Toc150417480 \h </w:instrText>
            </w:r>
            <w:r w:rsidRPr="00153201" w:rsidR="00153201">
              <w:rPr>
                <w:noProof/>
                <w:webHidden/>
                <w:szCs w:val="26"/>
              </w:rPr>
            </w:r>
            <w:r w:rsidRPr="00153201" w:rsidR="00153201">
              <w:rPr>
                <w:noProof/>
                <w:webHidden/>
                <w:szCs w:val="26"/>
              </w:rPr>
              <w:fldChar w:fldCharType="separate"/>
            </w:r>
            <w:r w:rsidR="00C02FD9">
              <w:rPr>
                <w:noProof/>
                <w:webHidden/>
                <w:szCs w:val="26"/>
              </w:rPr>
              <w:t>10</w:t>
            </w:r>
            <w:r w:rsidRPr="00153201" w:rsidR="00153201">
              <w:rPr>
                <w:noProof/>
                <w:webHidden/>
                <w:szCs w:val="26"/>
              </w:rPr>
              <w:fldChar w:fldCharType="end"/>
            </w:r>
          </w:hyperlink>
        </w:p>
        <w:p w:rsidRPr="00153201" w:rsidR="00153201" w:rsidRDefault="00000000" w14:paraId="691A1F5E" w14:textId="0FC24302">
          <w:pPr>
            <w:pStyle w:val="TOC1"/>
            <w:tabs>
              <w:tab w:val="right" w:leader="dot" w:pos="9350"/>
            </w:tabs>
            <w:rPr>
              <w:rFonts w:cstheme="minorBidi"/>
              <w:noProof/>
              <w:kern w:val="2"/>
              <w:szCs w:val="26"/>
              <w14:ligatures w14:val="standardContextual"/>
            </w:rPr>
          </w:pPr>
          <w:hyperlink w:history="1" w:anchor="_Toc150417481">
            <w:r w:rsidRPr="00153201" w:rsidR="00153201">
              <w:rPr>
                <w:rStyle w:val="Hyperlink"/>
                <w:rFonts w:eastAsia="Times New Roman"/>
                <w:noProof/>
                <w:szCs w:val="26"/>
              </w:rPr>
              <w:t>6.</w:t>
            </w:r>
            <w:r w:rsidRPr="00153201" w:rsidR="00153201">
              <w:rPr>
                <w:rFonts w:cstheme="minorBidi"/>
                <w:noProof/>
                <w:kern w:val="2"/>
                <w:szCs w:val="26"/>
                <w14:ligatures w14:val="standardContextual"/>
              </w:rPr>
              <w:tab/>
            </w:r>
            <w:r w:rsidRPr="00153201" w:rsidR="00153201">
              <w:rPr>
                <w:rStyle w:val="Hyperlink"/>
                <w:rFonts w:eastAsia="Times New Roman"/>
                <w:noProof/>
                <w:szCs w:val="26"/>
              </w:rPr>
              <w:t>Discussion</w:t>
            </w:r>
            <w:r w:rsidRPr="00153201" w:rsidR="00153201">
              <w:rPr>
                <w:noProof/>
                <w:webHidden/>
                <w:szCs w:val="26"/>
              </w:rPr>
              <w:tab/>
            </w:r>
            <w:r w:rsidRPr="00153201" w:rsidR="00153201">
              <w:rPr>
                <w:noProof/>
                <w:webHidden/>
                <w:szCs w:val="26"/>
              </w:rPr>
              <w:fldChar w:fldCharType="begin"/>
            </w:r>
            <w:r w:rsidRPr="00153201" w:rsidR="00153201">
              <w:rPr>
                <w:noProof/>
                <w:webHidden/>
                <w:szCs w:val="26"/>
              </w:rPr>
              <w:instrText xml:space="preserve"> PAGEREF _Toc150417481 \h </w:instrText>
            </w:r>
            <w:r w:rsidRPr="00153201" w:rsidR="00153201">
              <w:rPr>
                <w:noProof/>
                <w:webHidden/>
                <w:szCs w:val="26"/>
              </w:rPr>
            </w:r>
            <w:r w:rsidRPr="00153201" w:rsidR="00153201">
              <w:rPr>
                <w:noProof/>
                <w:webHidden/>
                <w:szCs w:val="26"/>
              </w:rPr>
              <w:fldChar w:fldCharType="separate"/>
            </w:r>
            <w:r w:rsidR="00C02FD9">
              <w:rPr>
                <w:noProof/>
                <w:webHidden/>
                <w:szCs w:val="26"/>
              </w:rPr>
              <w:t>12</w:t>
            </w:r>
            <w:r w:rsidRPr="00153201" w:rsidR="00153201">
              <w:rPr>
                <w:noProof/>
                <w:webHidden/>
                <w:szCs w:val="26"/>
              </w:rPr>
              <w:fldChar w:fldCharType="end"/>
            </w:r>
          </w:hyperlink>
        </w:p>
        <w:p w:rsidRPr="00153201" w:rsidR="00153201" w:rsidRDefault="00000000" w14:paraId="2A32402D" w14:textId="26944300">
          <w:pPr>
            <w:pStyle w:val="TOC1"/>
            <w:tabs>
              <w:tab w:val="right" w:leader="dot" w:pos="9350"/>
            </w:tabs>
            <w:rPr>
              <w:rFonts w:cstheme="minorBidi"/>
              <w:noProof/>
              <w:kern w:val="2"/>
              <w:szCs w:val="26"/>
              <w14:ligatures w14:val="standardContextual"/>
            </w:rPr>
          </w:pPr>
          <w:hyperlink w:history="1" w:anchor="_Toc150417482">
            <w:r w:rsidRPr="00153201" w:rsidR="00153201">
              <w:rPr>
                <w:rStyle w:val="Hyperlink"/>
                <w:rFonts w:eastAsia="Times New Roman"/>
                <w:noProof/>
                <w:szCs w:val="26"/>
              </w:rPr>
              <w:t>7.</w:t>
            </w:r>
            <w:r w:rsidRPr="00153201" w:rsidR="00153201">
              <w:rPr>
                <w:rFonts w:cstheme="minorBidi"/>
                <w:noProof/>
                <w:kern w:val="2"/>
                <w:szCs w:val="26"/>
                <w14:ligatures w14:val="standardContextual"/>
              </w:rPr>
              <w:tab/>
            </w:r>
            <w:r w:rsidRPr="00153201" w:rsidR="00153201">
              <w:rPr>
                <w:rStyle w:val="Hyperlink"/>
                <w:rFonts w:eastAsia="Times New Roman"/>
                <w:noProof/>
                <w:szCs w:val="26"/>
              </w:rPr>
              <w:t>Public Education Program</w:t>
            </w:r>
            <w:r w:rsidRPr="00153201" w:rsidR="00153201">
              <w:rPr>
                <w:noProof/>
                <w:webHidden/>
                <w:szCs w:val="26"/>
              </w:rPr>
              <w:tab/>
            </w:r>
            <w:r w:rsidRPr="00153201" w:rsidR="00153201">
              <w:rPr>
                <w:noProof/>
                <w:webHidden/>
                <w:szCs w:val="26"/>
              </w:rPr>
              <w:fldChar w:fldCharType="begin"/>
            </w:r>
            <w:r w:rsidRPr="00153201" w:rsidR="00153201">
              <w:rPr>
                <w:noProof/>
                <w:webHidden/>
                <w:szCs w:val="26"/>
              </w:rPr>
              <w:instrText xml:space="preserve"> PAGEREF _Toc150417482 \h </w:instrText>
            </w:r>
            <w:r w:rsidRPr="00153201" w:rsidR="00153201">
              <w:rPr>
                <w:noProof/>
                <w:webHidden/>
                <w:szCs w:val="26"/>
              </w:rPr>
            </w:r>
            <w:r w:rsidRPr="00153201" w:rsidR="00153201">
              <w:rPr>
                <w:noProof/>
                <w:webHidden/>
                <w:szCs w:val="26"/>
              </w:rPr>
              <w:fldChar w:fldCharType="separate"/>
            </w:r>
            <w:r w:rsidR="00C02FD9">
              <w:rPr>
                <w:noProof/>
                <w:webHidden/>
                <w:szCs w:val="26"/>
              </w:rPr>
              <w:t>13</w:t>
            </w:r>
            <w:r w:rsidRPr="00153201" w:rsidR="00153201">
              <w:rPr>
                <w:noProof/>
                <w:webHidden/>
                <w:szCs w:val="26"/>
              </w:rPr>
              <w:fldChar w:fldCharType="end"/>
            </w:r>
          </w:hyperlink>
        </w:p>
        <w:p w:rsidRPr="00153201" w:rsidR="00153201" w:rsidRDefault="00000000" w14:paraId="64D4CED2" w14:textId="13665FDC">
          <w:pPr>
            <w:pStyle w:val="TOC2"/>
            <w:tabs>
              <w:tab w:val="left" w:pos="1296"/>
              <w:tab w:val="right" w:leader="dot" w:pos="9350"/>
            </w:tabs>
            <w:rPr>
              <w:rFonts w:cstheme="minorBidi"/>
              <w:noProof/>
              <w:kern w:val="2"/>
              <w:szCs w:val="26"/>
              <w14:ligatures w14:val="standardContextual"/>
            </w:rPr>
          </w:pPr>
          <w:hyperlink w:history="1" w:anchor="_Toc150417483">
            <w:r w:rsidRPr="00153201" w:rsidR="00153201">
              <w:rPr>
                <w:rStyle w:val="Hyperlink"/>
                <w:rFonts w:cs="Arial"/>
                <w:noProof/>
                <w:szCs w:val="26"/>
              </w:rPr>
              <w:t>7.1.</w:t>
            </w:r>
            <w:r w:rsidRPr="00153201" w:rsidR="00153201">
              <w:rPr>
                <w:rFonts w:cstheme="minorBidi"/>
                <w:noProof/>
                <w:kern w:val="2"/>
                <w:szCs w:val="26"/>
                <w14:ligatures w14:val="standardContextual"/>
              </w:rPr>
              <w:tab/>
            </w:r>
            <w:r w:rsidRPr="00153201" w:rsidR="00153201">
              <w:rPr>
                <w:rStyle w:val="Hyperlink"/>
                <w:rFonts w:cs="Arial"/>
                <w:noProof/>
                <w:szCs w:val="26"/>
              </w:rPr>
              <w:t>Historical Overview</w:t>
            </w:r>
            <w:r w:rsidRPr="00153201" w:rsidR="00153201">
              <w:rPr>
                <w:noProof/>
                <w:webHidden/>
                <w:szCs w:val="26"/>
              </w:rPr>
              <w:tab/>
            </w:r>
            <w:r w:rsidRPr="00153201" w:rsidR="00153201">
              <w:rPr>
                <w:noProof/>
                <w:webHidden/>
                <w:szCs w:val="26"/>
              </w:rPr>
              <w:fldChar w:fldCharType="begin"/>
            </w:r>
            <w:r w:rsidRPr="00153201" w:rsidR="00153201">
              <w:rPr>
                <w:noProof/>
                <w:webHidden/>
                <w:szCs w:val="26"/>
              </w:rPr>
              <w:instrText xml:space="preserve"> PAGEREF _Toc150417483 \h </w:instrText>
            </w:r>
            <w:r w:rsidRPr="00153201" w:rsidR="00153201">
              <w:rPr>
                <w:noProof/>
                <w:webHidden/>
                <w:szCs w:val="26"/>
              </w:rPr>
            </w:r>
            <w:r w:rsidRPr="00153201" w:rsidR="00153201">
              <w:rPr>
                <w:noProof/>
                <w:webHidden/>
                <w:szCs w:val="26"/>
              </w:rPr>
              <w:fldChar w:fldCharType="separate"/>
            </w:r>
            <w:r w:rsidR="00C02FD9">
              <w:rPr>
                <w:noProof/>
                <w:webHidden/>
                <w:szCs w:val="26"/>
              </w:rPr>
              <w:t>13</w:t>
            </w:r>
            <w:r w:rsidRPr="00153201" w:rsidR="00153201">
              <w:rPr>
                <w:noProof/>
                <w:webHidden/>
                <w:szCs w:val="26"/>
              </w:rPr>
              <w:fldChar w:fldCharType="end"/>
            </w:r>
          </w:hyperlink>
        </w:p>
        <w:p w:rsidRPr="00153201" w:rsidR="00153201" w:rsidRDefault="00000000" w14:paraId="530F2B46" w14:textId="72CF6E44">
          <w:pPr>
            <w:pStyle w:val="TOC2"/>
            <w:tabs>
              <w:tab w:val="left" w:pos="1296"/>
              <w:tab w:val="right" w:leader="dot" w:pos="9350"/>
            </w:tabs>
            <w:rPr>
              <w:rFonts w:cstheme="minorBidi"/>
              <w:noProof/>
              <w:kern w:val="2"/>
              <w:szCs w:val="26"/>
              <w14:ligatures w14:val="standardContextual"/>
            </w:rPr>
          </w:pPr>
          <w:hyperlink w:history="1" w:anchor="_Toc150417484">
            <w:r w:rsidRPr="00153201" w:rsidR="00153201">
              <w:rPr>
                <w:rStyle w:val="Hyperlink"/>
                <w:rFonts w:cs="Arial"/>
                <w:noProof/>
                <w:szCs w:val="26"/>
              </w:rPr>
              <w:t>7.2.</w:t>
            </w:r>
            <w:r w:rsidRPr="00153201" w:rsidR="00153201">
              <w:rPr>
                <w:rFonts w:cstheme="minorBidi"/>
                <w:noProof/>
                <w:kern w:val="2"/>
                <w:szCs w:val="26"/>
                <w14:ligatures w14:val="standardContextual"/>
              </w:rPr>
              <w:tab/>
            </w:r>
            <w:r w:rsidRPr="00153201" w:rsidR="00153201">
              <w:rPr>
                <w:rStyle w:val="Hyperlink"/>
                <w:rFonts w:cs="Arial"/>
                <w:noProof/>
                <w:szCs w:val="26"/>
              </w:rPr>
              <w:t>Discussion</w:t>
            </w:r>
            <w:r w:rsidRPr="00153201" w:rsidR="00153201">
              <w:rPr>
                <w:noProof/>
                <w:webHidden/>
                <w:szCs w:val="26"/>
              </w:rPr>
              <w:tab/>
            </w:r>
            <w:r w:rsidRPr="00153201" w:rsidR="00153201">
              <w:rPr>
                <w:noProof/>
                <w:webHidden/>
                <w:szCs w:val="26"/>
              </w:rPr>
              <w:fldChar w:fldCharType="begin"/>
            </w:r>
            <w:r w:rsidRPr="00153201" w:rsidR="00153201">
              <w:rPr>
                <w:noProof/>
                <w:webHidden/>
                <w:szCs w:val="26"/>
              </w:rPr>
              <w:instrText xml:space="preserve"> PAGEREF _Toc150417484 \h </w:instrText>
            </w:r>
            <w:r w:rsidRPr="00153201" w:rsidR="00153201">
              <w:rPr>
                <w:noProof/>
                <w:webHidden/>
                <w:szCs w:val="26"/>
              </w:rPr>
            </w:r>
            <w:r w:rsidRPr="00153201" w:rsidR="00153201">
              <w:rPr>
                <w:noProof/>
                <w:webHidden/>
                <w:szCs w:val="26"/>
              </w:rPr>
              <w:fldChar w:fldCharType="separate"/>
            </w:r>
            <w:r w:rsidR="00C02FD9">
              <w:rPr>
                <w:noProof/>
                <w:webHidden/>
                <w:szCs w:val="26"/>
              </w:rPr>
              <w:t>16</w:t>
            </w:r>
            <w:r w:rsidRPr="00153201" w:rsidR="00153201">
              <w:rPr>
                <w:noProof/>
                <w:webHidden/>
                <w:szCs w:val="26"/>
              </w:rPr>
              <w:fldChar w:fldCharType="end"/>
            </w:r>
          </w:hyperlink>
        </w:p>
        <w:p w:rsidRPr="00153201" w:rsidR="00153201" w:rsidRDefault="00000000" w14:paraId="07FC063B" w14:textId="3E81C772">
          <w:pPr>
            <w:pStyle w:val="TOC2"/>
            <w:tabs>
              <w:tab w:val="left" w:pos="1296"/>
              <w:tab w:val="right" w:leader="dot" w:pos="9350"/>
            </w:tabs>
            <w:rPr>
              <w:rFonts w:cstheme="minorBidi"/>
              <w:noProof/>
              <w:kern w:val="2"/>
              <w:szCs w:val="26"/>
              <w14:ligatures w14:val="standardContextual"/>
            </w:rPr>
          </w:pPr>
          <w:hyperlink w:history="1" w:anchor="_Toc150417485">
            <w:r w:rsidRPr="00153201" w:rsidR="00153201">
              <w:rPr>
                <w:rStyle w:val="Hyperlink"/>
                <w:rFonts w:cs="Arial"/>
                <w:noProof/>
                <w:szCs w:val="26"/>
              </w:rPr>
              <w:t>7.3.</w:t>
            </w:r>
            <w:r w:rsidRPr="00153201" w:rsidR="00153201">
              <w:rPr>
                <w:rFonts w:cstheme="minorBidi"/>
                <w:noProof/>
                <w:kern w:val="2"/>
                <w:szCs w:val="26"/>
                <w14:ligatures w14:val="standardContextual"/>
              </w:rPr>
              <w:tab/>
            </w:r>
            <w:r w:rsidRPr="00153201" w:rsidR="00153201">
              <w:rPr>
                <w:rStyle w:val="Hyperlink"/>
                <w:rFonts w:cs="Arial"/>
                <w:noProof/>
                <w:szCs w:val="26"/>
              </w:rPr>
              <w:t>Conclusion</w:t>
            </w:r>
            <w:r w:rsidRPr="00153201" w:rsidR="00153201">
              <w:rPr>
                <w:noProof/>
                <w:webHidden/>
                <w:szCs w:val="26"/>
              </w:rPr>
              <w:tab/>
            </w:r>
            <w:r w:rsidRPr="00153201" w:rsidR="00153201">
              <w:rPr>
                <w:noProof/>
                <w:webHidden/>
                <w:szCs w:val="26"/>
              </w:rPr>
              <w:fldChar w:fldCharType="begin"/>
            </w:r>
            <w:r w:rsidRPr="00153201" w:rsidR="00153201">
              <w:rPr>
                <w:noProof/>
                <w:webHidden/>
                <w:szCs w:val="26"/>
              </w:rPr>
              <w:instrText xml:space="preserve"> PAGEREF _Toc150417485 \h </w:instrText>
            </w:r>
            <w:r w:rsidRPr="00153201" w:rsidR="00153201">
              <w:rPr>
                <w:noProof/>
                <w:webHidden/>
                <w:szCs w:val="26"/>
              </w:rPr>
            </w:r>
            <w:r w:rsidRPr="00153201" w:rsidR="00153201">
              <w:rPr>
                <w:noProof/>
                <w:webHidden/>
                <w:szCs w:val="26"/>
              </w:rPr>
              <w:fldChar w:fldCharType="separate"/>
            </w:r>
            <w:r w:rsidR="00C02FD9">
              <w:rPr>
                <w:noProof/>
                <w:webHidden/>
                <w:szCs w:val="26"/>
              </w:rPr>
              <w:t>21</w:t>
            </w:r>
            <w:r w:rsidRPr="00153201" w:rsidR="00153201">
              <w:rPr>
                <w:noProof/>
                <w:webHidden/>
                <w:szCs w:val="26"/>
              </w:rPr>
              <w:fldChar w:fldCharType="end"/>
            </w:r>
          </w:hyperlink>
        </w:p>
        <w:p w:rsidRPr="00153201" w:rsidR="00153201" w:rsidRDefault="00000000" w14:paraId="6A87CB31" w14:textId="429CC8A8">
          <w:pPr>
            <w:pStyle w:val="TOC1"/>
            <w:tabs>
              <w:tab w:val="right" w:leader="dot" w:pos="9350"/>
            </w:tabs>
            <w:rPr>
              <w:rFonts w:cstheme="minorBidi"/>
              <w:noProof/>
              <w:kern w:val="2"/>
              <w:szCs w:val="26"/>
              <w14:ligatures w14:val="standardContextual"/>
            </w:rPr>
          </w:pPr>
          <w:hyperlink w:history="1" w:anchor="_Toc150417486">
            <w:r w:rsidRPr="00153201" w:rsidR="00153201">
              <w:rPr>
                <w:rStyle w:val="Hyperlink"/>
                <w:rFonts w:eastAsiaTheme="majorEastAsia" w:cstheme="majorBidi"/>
                <w:noProof/>
                <w:szCs w:val="26"/>
              </w:rPr>
              <w:t>8.</w:t>
            </w:r>
            <w:r w:rsidRPr="00153201" w:rsidR="00153201">
              <w:rPr>
                <w:rFonts w:cstheme="minorBidi"/>
                <w:noProof/>
                <w:kern w:val="2"/>
                <w:szCs w:val="26"/>
                <w14:ligatures w14:val="standardContextual"/>
              </w:rPr>
              <w:tab/>
            </w:r>
            <w:r w:rsidRPr="00153201" w:rsidR="00153201">
              <w:rPr>
                <w:rStyle w:val="Hyperlink"/>
                <w:rFonts w:eastAsiaTheme="majorEastAsia" w:cstheme="majorBidi"/>
                <w:noProof/>
                <w:szCs w:val="26"/>
              </w:rPr>
              <w:t>Comments on Proposed Decision</w:t>
            </w:r>
            <w:r w:rsidRPr="00153201" w:rsidR="00153201">
              <w:rPr>
                <w:noProof/>
                <w:webHidden/>
                <w:szCs w:val="26"/>
              </w:rPr>
              <w:tab/>
            </w:r>
            <w:r w:rsidRPr="00153201" w:rsidR="00153201">
              <w:rPr>
                <w:noProof/>
                <w:webHidden/>
                <w:szCs w:val="26"/>
              </w:rPr>
              <w:fldChar w:fldCharType="begin"/>
            </w:r>
            <w:r w:rsidRPr="00153201" w:rsidR="00153201">
              <w:rPr>
                <w:noProof/>
                <w:webHidden/>
                <w:szCs w:val="26"/>
              </w:rPr>
              <w:instrText xml:space="preserve"> PAGEREF _Toc150417486 \h </w:instrText>
            </w:r>
            <w:r w:rsidRPr="00153201" w:rsidR="00153201">
              <w:rPr>
                <w:noProof/>
                <w:webHidden/>
                <w:szCs w:val="26"/>
              </w:rPr>
            </w:r>
            <w:r w:rsidRPr="00153201" w:rsidR="00153201">
              <w:rPr>
                <w:noProof/>
                <w:webHidden/>
                <w:szCs w:val="26"/>
              </w:rPr>
              <w:fldChar w:fldCharType="separate"/>
            </w:r>
            <w:r w:rsidR="00C02FD9">
              <w:rPr>
                <w:noProof/>
                <w:webHidden/>
                <w:szCs w:val="26"/>
              </w:rPr>
              <w:t>22</w:t>
            </w:r>
            <w:r w:rsidRPr="00153201" w:rsidR="00153201">
              <w:rPr>
                <w:noProof/>
                <w:webHidden/>
                <w:szCs w:val="26"/>
              </w:rPr>
              <w:fldChar w:fldCharType="end"/>
            </w:r>
          </w:hyperlink>
        </w:p>
        <w:p w:rsidRPr="00153201" w:rsidR="00153201" w:rsidRDefault="00000000" w14:paraId="768AF4C2" w14:textId="62474B4F">
          <w:pPr>
            <w:pStyle w:val="TOC1"/>
            <w:tabs>
              <w:tab w:val="right" w:leader="dot" w:pos="9350"/>
            </w:tabs>
            <w:rPr>
              <w:rFonts w:cstheme="minorBidi"/>
              <w:noProof/>
              <w:kern w:val="2"/>
              <w:szCs w:val="26"/>
              <w14:ligatures w14:val="standardContextual"/>
            </w:rPr>
          </w:pPr>
          <w:hyperlink w:history="1" w:anchor="_Toc150417487">
            <w:r w:rsidRPr="00153201" w:rsidR="00153201">
              <w:rPr>
                <w:rStyle w:val="Hyperlink"/>
                <w:rFonts w:eastAsiaTheme="majorEastAsia" w:cstheme="majorBidi"/>
                <w:noProof/>
                <w:szCs w:val="26"/>
              </w:rPr>
              <w:t>9.</w:t>
            </w:r>
            <w:r w:rsidRPr="00153201" w:rsidR="00153201">
              <w:rPr>
                <w:rFonts w:cstheme="minorBidi"/>
                <w:noProof/>
                <w:kern w:val="2"/>
                <w:szCs w:val="26"/>
                <w14:ligatures w14:val="standardContextual"/>
              </w:rPr>
              <w:tab/>
            </w:r>
            <w:r w:rsidRPr="00153201" w:rsidR="00153201">
              <w:rPr>
                <w:rStyle w:val="Hyperlink"/>
                <w:rFonts w:eastAsiaTheme="majorEastAsia" w:cstheme="majorBidi"/>
                <w:noProof/>
                <w:szCs w:val="26"/>
              </w:rPr>
              <w:t>Assignment of Proceeding</w:t>
            </w:r>
            <w:r w:rsidRPr="00153201" w:rsidR="00153201">
              <w:rPr>
                <w:noProof/>
                <w:webHidden/>
                <w:szCs w:val="26"/>
              </w:rPr>
              <w:tab/>
            </w:r>
            <w:r w:rsidRPr="00153201" w:rsidR="00153201">
              <w:rPr>
                <w:noProof/>
                <w:webHidden/>
                <w:szCs w:val="26"/>
              </w:rPr>
              <w:fldChar w:fldCharType="begin"/>
            </w:r>
            <w:r w:rsidRPr="00153201" w:rsidR="00153201">
              <w:rPr>
                <w:noProof/>
                <w:webHidden/>
                <w:szCs w:val="26"/>
              </w:rPr>
              <w:instrText xml:space="preserve"> PAGEREF _Toc150417487 \h </w:instrText>
            </w:r>
            <w:r w:rsidRPr="00153201" w:rsidR="00153201">
              <w:rPr>
                <w:noProof/>
                <w:webHidden/>
                <w:szCs w:val="26"/>
              </w:rPr>
            </w:r>
            <w:r w:rsidRPr="00153201" w:rsidR="00153201">
              <w:rPr>
                <w:noProof/>
                <w:webHidden/>
                <w:szCs w:val="26"/>
              </w:rPr>
              <w:fldChar w:fldCharType="separate"/>
            </w:r>
            <w:r w:rsidR="00C02FD9">
              <w:rPr>
                <w:noProof/>
                <w:webHidden/>
                <w:szCs w:val="26"/>
              </w:rPr>
              <w:t>22</w:t>
            </w:r>
            <w:r w:rsidRPr="00153201" w:rsidR="00153201">
              <w:rPr>
                <w:noProof/>
                <w:webHidden/>
                <w:szCs w:val="26"/>
              </w:rPr>
              <w:fldChar w:fldCharType="end"/>
            </w:r>
          </w:hyperlink>
        </w:p>
        <w:p w:rsidR="001417A8" w:rsidP="008C7413" w:rsidRDefault="008C7413" w14:paraId="27612B23" w14:textId="4DE21422">
          <w:pPr>
            <w:pStyle w:val="TOC1"/>
            <w:tabs>
              <w:tab w:val="right" w:leader="dot" w:pos="9350"/>
            </w:tabs>
            <w:rPr>
              <w:szCs w:val="26"/>
            </w:rPr>
          </w:pPr>
          <w:r w:rsidRPr="00153201">
            <w:rPr>
              <w:szCs w:val="26"/>
            </w:rPr>
            <w:fldChar w:fldCharType="end"/>
          </w:r>
          <w:r w:rsidR="001417A8">
            <w:rPr>
              <w:szCs w:val="26"/>
            </w:rPr>
            <w:t>Findings of Fact………………………………………………………………………...24</w:t>
          </w:r>
        </w:p>
        <w:p w:rsidR="001417A8" w:rsidP="001417A8" w:rsidRDefault="001417A8" w14:paraId="5D9FC397" w14:textId="656DD9CE">
          <w:pPr>
            <w:spacing w:line="240" w:lineRule="auto"/>
            <w:ind w:firstLine="0"/>
          </w:pPr>
          <w:r>
            <w:t>Conclusions of Law……………………………………………………………………26</w:t>
          </w:r>
        </w:p>
        <w:p w:rsidRPr="001417A8" w:rsidR="00D82A43" w:rsidP="001417A8" w:rsidRDefault="001417A8" w14:paraId="42E12FD7" w14:textId="5844C622">
          <w:pPr>
            <w:spacing w:line="240" w:lineRule="auto"/>
            <w:ind w:firstLine="0"/>
          </w:pPr>
          <w:r>
            <w:t>Order……………………………………………………………………………………27</w:t>
          </w:r>
        </w:p>
      </w:sdtContent>
    </w:sdt>
    <w:p w:rsidRPr="009A5653" w:rsidR="00D44DB6" w:rsidP="00D44DB6" w:rsidRDefault="00D44DB6" w14:paraId="0BA53A4D" w14:textId="77777777">
      <w:pPr>
        <w:spacing w:line="240" w:lineRule="auto"/>
        <w:ind w:firstLine="0"/>
        <w:rPr>
          <w:rFonts w:cs="Arial"/>
          <w:iCs/>
          <w:szCs w:val="26"/>
        </w:rPr>
      </w:pPr>
    </w:p>
    <w:p w:rsidRPr="009A5653" w:rsidR="009A5653" w:rsidP="00D44DB6" w:rsidRDefault="009A5653" w14:paraId="3E69E68C" w14:textId="624CDEE8">
      <w:pPr>
        <w:spacing w:line="240" w:lineRule="auto"/>
        <w:ind w:firstLine="0"/>
        <w:rPr>
          <w:rFonts w:cs="Arial"/>
          <w:iCs/>
          <w:szCs w:val="26"/>
        </w:rPr>
        <w:sectPr w:rsidRPr="009A5653" w:rsidR="009A5653" w:rsidSect="00D44DB6">
          <w:headerReference w:type="default" r:id="rId11"/>
          <w:footerReference w:type="default" r:id="rId12"/>
          <w:pgSz w:w="12240" w:h="15840"/>
          <w:pgMar w:top="1728" w:right="1440" w:bottom="1440" w:left="1440" w:header="720" w:footer="720" w:gutter="0"/>
          <w:pgNumType w:fmt="lowerRoman" w:start="1"/>
          <w:cols w:space="720"/>
          <w:docGrid w:linePitch="360"/>
        </w:sectPr>
      </w:pPr>
      <w:r w:rsidRPr="009A5653">
        <w:rPr>
          <w:rFonts w:cs="Arial"/>
          <w:iCs/>
          <w:szCs w:val="26"/>
        </w:rPr>
        <w:t>Attachment A -</w:t>
      </w:r>
      <w:r w:rsidRPr="009A5653">
        <w:rPr>
          <w:rFonts w:cs="Arial"/>
          <w:szCs w:val="26"/>
        </w:rPr>
        <w:t xml:space="preserve"> </w:t>
      </w:r>
      <w:r>
        <w:rPr>
          <w:rFonts w:cs="Arial"/>
          <w:szCs w:val="26"/>
        </w:rPr>
        <w:t>Public Education Program for 559 Area Code Relief</w:t>
      </w:r>
    </w:p>
    <w:p w:rsidRPr="00BB32AF" w:rsidR="00153201" w:rsidP="00153201" w:rsidRDefault="00153201" w14:paraId="083A5F30" w14:textId="77777777">
      <w:pPr>
        <w:pStyle w:val="main0"/>
      </w:pPr>
      <w:r w:rsidRPr="00BB32AF">
        <w:lastRenderedPageBreak/>
        <w:t>DECISION GRANTING REQUEST FOR AN ALL</w:t>
      </w:r>
      <w:r w:rsidRPr="00BB32AF">
        <w:noBreakHyphen/>
        <w:t xml:space="preserve">SERVICES </w:t>
      </w:r>
      <w:r>
        <w:br/>
      </w:r>
      <w:r w:rsidRPr="00BB32AF">
        <w:t xml:space="preserve">AREA CODE OVERLAY IN THE 559 </w:t>
      </w:r>
      <w:r>
        <w:br/>
      </w:r>
      <w:r w:rsidRPr="00BB32AF">
        <w:t>NUMBERING PLAN AREA</w:t>
      </w:r>
    </w:p>
    <w:p w:rsidRPr="00BB32AF" w:rsidR="00153201" w:rsidP="00153201" w:rsidRDefault="00153201" w14:paraId="42626B83" w14:textId="77777777">
      <w:pPr>
        <w:keepNext/>
        <w:spacing w:after="120" w:line="240" w:lineRule="auto"/>
        <w:ind w:firstLine="0"/>
        <w:rPr>
          <w:rFonts w:ascii="Arial" w:hAnsi="Arial" w:eastAsia="Times New Roman" w:cs="Times New Roman"/>
          <w:b/>
          <w:szCs w:val="20"/>
        </w:rPr>
      </w:pPr>
      <w:r w:rsidRPr="00BB32AF">
        <w:rPr>
          <w:rFonts w:ascii="Arial" w:hAnsi="Arial" w:eastAsia="Times New Roman" w:cs="Times New Roman"/>
          <w:b/>
          <w:szCs w:val="20"/>
        </w:rPr>
        <w:t>Summary</w:t>
      </w:r>
    </w:p>
    <w:p w:rsidR="00153201" w:rsidP="00153201" w:rsidRDefault="00153201" w14:paraId="54C34779" w14:textId="77777777">
      <w:pPr>
        <w:pStyle w:val="Standard"/>
      </w:pPr>
      <w:r w:rsidRPr="00BB32AF">
        <w:t>By this decision, we approve the request of the North American Numbering Plan Administrator to adopt an all</w:t>
      </w:r>
      <w:r w:rsidRPr="00BB32AF">
        <w:noBreakHyphen/>
        <w:t>services distributed overlay (overlay) to resolve the forecasted exhaustion of numbering resources in the 559 Numbering Plan Area, with a thirteen</w:t>
      </w:r>
      <w:r w:rsidRPr="00BB32AF">
        <w:noBreakHyphen/>
        <w:t>month implementation schedule that will be completed at least six months prior to the projected exhaust</w:t>
      </w:r>
      <w:r>
        <w:t>ion</w:t>
      </w:r>
      <w:r w:rsidRPr="00BB32AF">
        <w:t xml:space="preserve"> of </w:t>
      </w:r>
      <w:r>
        <w:t xml:space="preserve">numbering in </w:t>
      </w:r>
      <w:r w:rsidRPr="00BB32AF">
        <w:t xml:space="preserve">the 559 NPA.  The overlay will provide additional numbering resources to meet the demand for telephone numbers while minimizing customer inconvenience.  </w:t>
      </w:r>
    </w:p>
    <w:p w:rsidRPr="00BB32AF" w:rsidR="00153201" w:rsidP="00153201" w:rsidRDefault="00153201" w14:paraId="6299C05A" w14:textId="77777777">
      <w:pPr>
        <w:pStyle w:val="Standard"/>
      </w:pPr>
      <w:r w:rsidRPr="00BB32AF">
        <w:t xml:space="preserve">We approve the request, but implementation need not commence until exhaustion requires it.  We order a public education program, within the timeframes </w:t>
      </w:r>
      <w:r>
        <w:t>provided by</w:t>
      </w:r>
      <w:r w:rsidRPr="00BB32AF">
        <w:t xml:space="preserve"> this decision, to facilitate implementation of the overlay</w:t>
      </w:r>
      <w:r>
        <w:t>.  We also find that paid advertising is necessary for the overlay requested in this application.</w:t>
      </w:r>
      <w:r w:rsidRPr="00BB32AF">
        <w:t xml:space="preserve"> </w:t>
      </w:r>
    </w:p>
    <w:p w:rsidRPr="00BB32AF" w:rsidR="00153201" w:rsidP="00153201" w:rsidRDefault="00153201" w14:paraId="3F751CE7" w14:textId="77777777">
      <w:pPr>
        <w:pStyle w:val="Standard"/>
      </w:pPr>
      <w:r w:rsidRPr="00BB32AF">
        <w:t xml:space="preserve">No existing customers will be required to change their area code or specific telephone number. </w:t>
      </w:r>
      <w:r>
        <w:t xml:space="preserve"> </w:t>
      </w:r>
      <w:r w:rsidRPr="00BB32AF">
        <w:t xml:space="preserve">After the implementation period, the new overlay area code will be available for new telephone number assignments in the same region as the </w:t>
      </w:r>
      <w:proofErr w:type="gramStart"/>
      <w:r>
        <w:t>559</w:t>
      </w:r>
      <w:r w:rsidRPr="00BB32AF">
        <w:t xml:space="preserve"> area</w:t>
      </w:r>
      <w:proofErr w:type="gramEnd"/>
      <w:r w:rsidRPr="00BB32AF">
        <w:t xml:space="preserve"> code. </w:t>
      </w:r>
      <w:r>
        <w:t xml:space="preserve"> </w:t>
      </w:r>
      <w:r w:rsidRPr="00BB32AF">
        <w:t xml:space="preserve">Consequently, customers must dial the three-digit area code for all calls to and from telephone numbers with the </w:t>
      </w:r>
      <w:r>
        <w:t>559</w:t>
      </w:r>
      <w:r w:rsidRPr="00BB32AF">
        <w:t xml:space="preserve"> and new area codes.</w:t>
      </w:r>
    </w:p>
    <w:p w:rsidRPr="00BB32AF" w:rsidR="00153201" w:rsidP="00153201" w:rsidRDefault="00153201" w14:paraId="0AE2AC74" w14:textId="77777777">
      <w:pPr>
        <w:pStyle w:val="Standard"/>
      </w:pPr>
      <w:r w:rsidRPr="00BB32AF">
        <w:t>Customers may start using the new dialing procedure during the permissive dialing period, beginning six months after the start of the 13</w:t>
      </w:r>
      <w:r>
        <w:t>-month</w:t>
      </w:r>
      <w:r w:rsidRPr="00BB32AF">
        <w:t xml:space="preserve"> implementation schedule.  However, customers must use the new 1+10-digit dialing as described herein, during the mandatory dialing period, beginning </w:t>
      </w:r>
      <w:r>
        <w:br/>
      </w:r>
      <w:r w:rsidRPr="00BB32AF">
        <w:t xml:space="preserve">12 months after the start of the implementation schedule.  New telephone </w:t>
      </w:r>
      <w:r w:rsidRPr="00BB32AF">
        <w:lastRenderedPageBreak/>
        <w:t xml:space="preserve">numbers with the new area code may be issued to customers beginning one </w:t>
      </w:r>
      <w:r>
        <w:br/>
      </w:r>
      <w:r w:rsidRPr="00BB32AF">
        <w:t>month after the start of the mandatory dialing period.</w:t>
      </w:r>
    </w:p>
    <w:p w:rsidRPr="00BB32AF" w:rsidR="00153201" w:rsidP="00153201" w:rsidRDefault="00153201" w14:paraId="34FE8C26" w14:textId="77777777">
      <w:pPr>
        <w:pStyle w:val="Standard"/>
      </w:pPr>
      <w:r w:rsidRPr="00BB32AF">
        <w:t>Application 23-01-012 is closed.</w:t>
      </w:r>
    </w:p>
    <w:p w:rsidRPr="00BB32AF" w:rsidR="00153201" w:rsidP="00153201" w:rsidRDefault="00153201" w14:paraId="24535583" w14:textId="77777777">
      <w:pPr>
        <w:pStyle w:val="Style1"/>
      </w:pPr>
      <w:bookmarkStart w:name="_Toc140494501" w:id="2"/>
      <w:bookmarkStart w:name="_Toc147919345" w:id="3"/>
      <w:bookmarkStart w:name="_Toc150417474" w:id="4"/>
      <w:r w:rsidRPr="00BB32AF">
        <w:t>Background</w:t>
      </w:r>
      <w:bookmarkEnd w:id="2"/>
      <w:bookmarkEnd w:id="3"/>
      <w:bookmarkEnd w:id="4"/>
    </w:p>
    <w:p w:rsidRPr="00BB32AF" w:rsidR="00153201" w:rsidP="00153201" w:rsidRDefault="00153201" w14:paraId="2C0455E9" w14:textId="77777777">
      <w:pPr>
        <w:pStyle w:val="Standard"/>
      </w:pPr>
      <w:r w:rsidRPr="00BB32AF">
        <w:t>The North American Numbering Plan Administrator (NANPA),</w:t>
      </w:r>
      <w:r w:rsidRPr="00BB32AF">
        <w:rPr>
          <w:szCs w:val="26"/>
          <w:vertAlign w:val="superscript"/>
        </w:rPr>
        <w:footnoteReference w:id="2"/>
      </w:r>
      <w:r w:rsidRPr="00BB32AF">
        <w:t xml:space="preserve"> on </w:t>
      </w:r>
      <w:r>
        <w:br/>
      </w:r>
      <w:r w:rsidRPr="00BB32AF">
        <w:t>behalf of the California Telecommunications Industry (</w:t>
      </w:r>
      <w:r>
        <w:t>I</w:t>
      </w:r>
      <w:r w:rsidRPr="00BB32AF">
        <w:t>ndustry),</w:t>
      </w:r>
      <w:r w:rsidRPr="00BB32AF">
        <w:rPr>
          <w:szCs w:val="26"/>
          <w:vertAlign w:val="superscript"/>
        </w:rPr>
        <w:footnoteReference w:id="3"/>
      </w:r>
      <w:r w:rsidRPr="00BB32AF">
        <w:t xml:space="preserve"> filed Application (A.) 23-01-012, requesting relief in the 559 Numbering Plan Area (NPA).</w:t>
      </w:r>
      <w:r w:rsidRPr="00BB32AF">
        <w:rPr>
          <w:szCs w:val="26"/>
          <w:vertAlign w:val="superscript"/>
        </w:rPr>
        <w:footnoteReference w:id="4"/>
      </w:r>
      <w:r w:rsidRPr="00BB32AF">
        <w:t xml:space="preserve">  NANPA alleges that the 559 NPA is projected to exhaust its Central Office codes (often referred to as CO or NXX codes) during the third quarter of 2025, and needs relief.  NANPA argues that absent relief, the supply of </w:t>
      </w:r>
      <w:r w:rsidRPr="00BB32AF">
        <w:br/>
        <w:t xml:space="preserve">CO codes in the 559 NPA is projected to run out during the projected exhaust quarter.  </w:t>
      </w:r>
    </w:p>
    <w:p w:rsidRPr="00BB32AF" w:rsidR="00153201" w:rsidP="00153201" w:rsidRDefault="00153201" w14:paraId="3D60A4E2" w14:textId="77777777">
      <w:pPr>
        <w:pStyle w:val="Standard"/>
      </w:pPr>
      <w:r w:rsidRPr="00BB32AF">
        <w:t xml:space="preserve">No protests were filed </w:t>
      </w:r>
      <w:r>
        <w:t xml:space="preserve">in response </w:t>
      </w:r>
      <w:r w:rsidRPr="00BB32AF">
        <w:t xml:space="preserve">to the application. </w:t>
      </w:r>
    </w:p>
    <w:p w:rsidRPr="00BB32AF" w:rsidR="00153201" w:rsidP="00153201" w:rsidRDefault="00153201" w14:paraId="3FA258C1" w14:textId="77777777">
      <w:pPr>
        <w:pStyle w:val="Standard"/>
      </w:pPr>
      <w:r w:rsidRPr="00BB32AF">
        <w:t>On April 5, 2023, the assigned Administrative Law Judge (ALJ) held a telephonic prehearing conference</w:t>
      </w:r>
      <w:r>
        <w:t xml:space="preserve"> </w:t>
      </w:r>
      <w:r w:rsidRPr="00BB32AF">
        <w:t xml:space="preserve">in this matter to discuss and establish the service list for this proceeding, and to determine the scope of the proceeding.    The assigned Commissioner issued the Scoping Memo and Ruling on </w:t>
      </w:r>
      <w:r w:rsidRPr="00BB32AF">
        <w:br/>
        <w:t xml:space="preserve">May 3, 2023.  </w:t>
      </w:r>
    </w:p>
    <w:p w:rsidRPr="00BB32AF" w:rsidR="00153201" w:rsidP="00153201" w:rsidRDefault="00153201" w14:paraId="5233B81B" w14:textId="77777777">
      <w:r w:rsidRPr="00BB32AF">
        <w:lastRenderedPageBreak/>
        <w:t xml:space="preserve">Effective January 1, 2019, the Federal Communications Commission (FCC) appointed </w:t>
      </w:r>
      <w:proofErr w:type="spellStart"/>
      <w:r w:rsidRPr="00BB32AF">
        <w:t>Somos</w:t>
      </w:r>
      <w:proofErr w:type="spellEnd"/>
      <w:r w:rsidRPr="00BB32AF">
        <w:t>, Inc. (</w:t>
      </w:r>
      <w:proofErr w:type="spellStart"/>
      <w:r w:rsidRPr="00BB32AF">
        <w:t>Somos</w:t>
      </w:r>
      <w:proofErr w:type="spellEnd"/>
      <w:r w:rsidRPr="00BB32AF">
        <w:t>) to replace Neustar, Inc. as the NANPA.</w:t>
      </w:r>
      <w:r w:rsidRPr="00BB32AF">
        <w:rPr>
          <w:szCs w:val="26"/>
          <w:vertAlign w:val="superscript"/>
        </w:rPr>
        <w:footnoteReference w:id="5"/>
      </w:r>
      <w:r w:rsidRPr="00BB32AF">
        <w:t xml:space="preserve"> </w:t>
      </w:r>
    </w:p>
    <w:p w:rsidRPr="00BB32AF" w:rsidR="00153201" w:rsidP="00153201" w:rsidRDefault="00153201" w14:paraId="252AD567" w14:textId="77777777">
      <w:pPr>
        <w:pStyle w:val="Standard"/>
      </w:pPr>
      <w:r w:rsidRPr="00BB32AF">
        <w:t>All rulings issued by the assigned Commissioner and ALJ are affirmed herein.</w:t>
      </w:r>
    </w:p>
    <w:p w:rsidRPr="00BB32AF" w:rsidR="00153201" w:rsidP="00153201" w:rsidRDefault="00153201" w14:paraId="774991FA" w14:textId="77777777">
      <w:pPr>
        <w:pStyle w:val="Style1"/>
      </w:pPr>
      <w:bookmarkStart w:name="_Toc140494502" w:id="5"/>
      <w:bookmarkStart w:name="_Toc147919346" w:id="6"/>
      <w:bookmarkStart w:name="_Toc150417475" w:id="7"/>
      <w:r w:rsidRPr="00BB32AF">
        <w:t>Jurisdiction</w:t>
      </w:r>
      <w:bookmarkEnd w:id="5"/>
      <w:bookmarkEnd w:id="6"/>
      <w:bookmarkEnd w:id="7"/>
    </w:p>
    <w:p w:rsidRPr="00BB32AF" w:rsidR="00153201" w:rsidP="00153201" w:rsidRDefault="00153201" w14:paraId="5C72218C" w14:textId="77777777">
      <w:pPr>
        <w:pStyle w:val="Standard"/>
      </w:pPr>
      <w:r w:rsidRPr="00BB32AF">
        <w:t>The FCC holds full responsibility over all numbering issues but has delegated to the states area code relief responsibilities.</w:t>
      </w:r>
      <w:r w:rsidRPr="00BB32AF">
        <w:rPr>
          <w:vertAlign w:val="superscript"/>
        </w:rPr>
        <w:footnoteReference w:id="6"/>
      </w:r>
      <w:r w:rsidRPr="00BB32AF">
        <w:rPr>
          <w:rFonts w:ascii="Palatino" w:hAnsi="Palatino"/>
          <w:sz w:val="16"/>
          <w:szCs w:val="16"/>
        </w:rPr>
        <w:t xml:space="preserve">   </w:t>
      </w:r>
      <w:r w:rsidRPr="00BB32AF">
        <w:t>On behalf of the State of California, the California Public Utilities Commission (Commission) is responsible for proactively monitoring area code relief planning and overseeing the integrity and competitive neutrality of the telecommunications industry</w:t>
      </w:r>
      <w:r w:rsidRPr="00BB32AF">
        <w:rPr>
          <w:vertAlign w:val="superscript"/>
        </w:rPr>
        <w:footnoteReference w:id="7"/>
      </w:r>
      <w:r w:rsidRPr="00BB32AF">
        <w:t xml:space="preserve"> relief planning process.</w:t>
      </w:r>
      <w:r w:rsidRPr="00BB32AF">
        <w:rPr>
          <w:vertAlign w:val="superscript"/>
        </w:rPr>
        <w:footnoteReference w:id="8"/>
      </w:r>
      <w:r w:rsidRPr="00BB32AF">
        <w:t xml:space="preserve"> </w:t>
      </w:r>
    </w:p>
    <w:p w:rsidRPr="00BB32AF" w:rsidR="00153201" w:rsidP="00153201" w:rsidRDefault="00153201" w14:paraId="217DF045" w14:textId="77777777">
      <w:pPr>
        <w:keepNext/>
        <w:numPr>
          <w:ilvl w:val="0"/>
          <w:numId w:val="26"/>
        </w:numPr>
        <w:spacing w:after="120" w:line="240" w:lineRule="auto"/>
        <w:ind w:left="720" w:hanging="720"/>
        <w:outlineLvl w:val="0"/>
        <w:rPr>
          <w:rFonts w:ascii="Helvetica" w:hAnsi="Helvetica" w:eastAsia="Times New Roman" w:cs="Times New Roman"/>
          <w:b/>
          <w:szCs w:val="20"/>
        </w:rPr>
      </w:pPr>
      <w:bookmarkStart w:name="_Toc140494503" w:id="8"/>
      <w:bookmarkStart w:name="_Toc147919347" w:id="9"/>
      <w:bookmarkStart w:name="_Toc150417476" w:id="10"/>
      <w:r w:rsidRPr="00BB32AF">
        <w:rPr>
          <w:rFonts w:ascii="Helvetica" w:hAnsi="Helvetica" w:eastAsia="Times New Roman" w:cs="Times New Roman"/>
          <w:b/>
          <w:szCs w:val="20"/>
        </w:rPr>
        <w:lastRenderedPageBreak/>
        <w:t xml:space="preserve">Process for Determining Need </w:t>
      </w:r>
      <w:r w:rsidRPr="00BB32AF">
        <w:rPr>
          <w:rFonts w:ascii="Helvetica" w:hAnsi="Helvetica" w:eastAsia="Times New Roman" w:cs="Times New Roman"/>
          <w:b/>
          <w:szCs w:val="20"/>
        </w:rPr>
        <w:br/>
        <w:t>for a New Area Code</w:t>
      </w:r>
      <w:bookmarkEnd w:id="8"/>
      <w:bookmarkEnd w:id="9"/>
      <w:bookmarkEnd w:id="10"/>
    </w:p>
    <w:p w:rsidRPr="00BB32AF" w:rsidR="00153201" w:rsidP="00153201" w:rsidRDefault="00153201" w14:paraId="77775CEE" w14:textId="77777777">
      <w:pPr>
        <w:pStyle w:val="Standard"/>
      </w:pPr>
      <w:r w:rsidRPr="00BB32AF">
        <w:t>NANPA’s primary responsibility is to ensure numbering resources are available to the telecommunications industry in the United States and Canada.</w:t>
      </w:r>
      <w:r w:rsidRPr="00BB32AF">
        <w:rPr>
          <w:vertAlign w:val="superscript"/>
        </w:rPr>
        <w:footnoteReference w:id="9"/>
      </w:r>
      <w:r w:rsidRPr="00BB32AF">
        <w:t xml:space="preserve">  NANPA assigns those resources in the form of area codes and prefixes; tracks their use to ensure effective and efficient utilization; and, on a semi</w:t>
      </w:r>
      <w:r w:rsidRPr="00BB32AF">
        <w:noBreakHyphen/>
        <w:t>annual basis, forecasts which area codes will soon run out of prefixes.</w:t>
      </w:r>
      <w:r w:rsidRPr="00BB32AF">
        <w:rPr>
          <w:vertAlign w:val="superscript"/>
        </w:rPr>
        <w:footnoteReference w:id="10"/>
      </w:r>
      <w:r w:rsidRPr="00BB32AF">
        <w:t xml:space="preserve">  When it determines that an area code is near exhaustion, NANPA, as a neutral third party, initiates and coordinates the planning process for resolving the utilization of available prefixes, which is known as Area Code Relief Planning (relief planning).  Such relief planning, which includes the introduction of a new area code within the existing area code in which the exhaust is forecasted to occur, normally begins three years prior to the forecasted exhaust.</w:t>
      </w:r>
      <w:r w:rsidRPr="00BB32AF">
        <w:rPr>
          <w:vertAlign w:val="superscript"/>
        </w:rPr>
        <w:footnoteReference w:id="11"/>
      </w:r>
    </w:p>
    <w:p w:rsidRPr="00BB32AF" w:rsidR="00153201" w:rsidP="00153201" w:rsidRDefault="00153201" w14:paraId="39351CCF" w14:textId="77777777">
      <w:pPr>
        <w:pStyle w:val="Standard"/>
      </w:pPr>
      <w:r w:rsidRPr="00BB32AF">
        <w:t xml:space="preserve">After informing the Commission of the forecasted exhaust in an area code, NANPA begins the relief planning process by calling a meeting with the </w:t>
      </w:r>
      <w:proofErr w:type="gramStart"/>
      <w:r w:rsidRPr="00BB32AF">
        <w:t>Industry</w:t>
      </w:r>
      <w:proofErr w:type="gramEnd"/>
      <w:r w:rsidRPr="00BB32AF">
        <w:t xml:space="preserve"> to identify viable solutions to the forecasted exhaust.  NANPA and the </w:t>
      </w:r>
      <w:r w:rsidRPr="00BB32AF">
        <w:lastRenderedPageBreak/>
        <w:t>Industry are required to follow regulations established by the FCC and the Commission, as well as telecommunications industry guidelines.</w:t>
      </w:r>
      <w:r w:rsidRPr="00BB32AF">
        <w:rPr>
          <w:vertAlign w:val="superscript"/>
        </w:rPr>
        <w:footnoteReference w:id="12"/>
      </w:r>
      <w:r w:rsidRPr="00BB32AF">
        <w:t xml:space="preserve">  After the Industry develops feasible alternatives, such as an all</w:t>
      </w:r>
      <w:r w:rsidRPr="00BB32AF">
        <w:noBreakHyphen/>
        <w:t>services distributed overlay or a geographic split,</w:t>
      </w:r>
      <w:r w:rsidRPr="00BB32AF">
        <w:rPr>
          <w:vertAlign w:val="superscript"/>
        </w:rPr>
        <w:footnoteReference w:id="13"/>
      </w:r>
      <w:r w:rsidRPr="00BB32AF">
        <w:t xml:space="preserve"> the </w:t>
      </w:r>
      <w:proofErr w:type="gramStart"/>
      <w:r w:rsidRPr="00BB32AF">
        <w:t>Industry</w:t>
      </w:r>
      <w:proofErr w:type="gramEnd"/>
      <w:r w:rsidRPr="00BB32AF">
        <w:t xml:space="preserve"> then strives to reach consensus on the best plan to resolve the forecasted exhaust in the area code in question.</w:t>
      </w:r>
    </w:p>
    <w:p w:rsidRPr="00BB32AF" w:rsidR="00153201" w:rsidP="00153201" w:rsidRDefault="00153201" w14:paraId="459EFEE6" w14:textId="77777777">
      <w:pPr>
        <w:pStyle w:val="Standard"/>
      </w:pPr>
      <w:r w:rsidRPr="00BB32AF">
        <w:t xml:space="preserve">NANPA then submits its application to the Commission seeking relief for the exhausting area code recommending the </w:t>
      </w:r>
      <w:proofErr w:type="gramStart"/>
      <w:r w:rsidRPr="00BB32AF">
        <w:t>Industry’s</w:t>
      </w:r>
      <w:proofErr w:type="gramEnd"/>
      <w:r w:rsidRPr="00BB32AF">
        <w:t xml:space="preserve"> consensus solution.  After the Commission has made its decision on a relief plan, telecommunications service providers are required to implement the relief plan within a specified period adopted in the decision.</w:t>
      </w:r>
    </w:p>
    <w:p w:rsidRPr="00BB32AF" w:rsidR="00153201" w:rsidP="00153201" w:rsidRDefault="00153201" w14:paraId="7FA5A540" w14:textId="77777777">
      <w:pPr>
        <w:pStyle w:val="Standard"/>
      </w:pPr>
      <w:r w:rsidRPr="00BB32AF">
        <w:t>Prior to 2017, Pub. Util. Code Section 7931(e)(2) required Commission staff to conduct at least one public meeting for the local jurisdictions and the public affected by the area code relief activities.  Pub. Util. Code Section 7931(e)(2) was subsequently revised to no longer require public meetings for area code relief.</w:t>
      </w:r>
      <w:r w:rsidRPr="00BB32AF">
        <w:rPr>
          <w:vertAlign w:val="superscript"/>
        </w:rPr>
        <w:footnoteReference w:id="14"/>
      </w:r>
      <w:r w:rsidRPr="00BB32AF">
        <w:t xml:space="preserve">  </w:t>
      </w:r>
      <w:r w:rsidRPr="00BB32AF">
        <w:lastRenderedPageBreak/>
        <w:t xml:space="preserve">Public meetings may be conducted at the discretion of the Commission but are not required.  For the 559 area code relief proceedings, the public meetings that have been held in the past are replaced with a webcast posted on the Commission website.  </w:t>
      </w:r>
    </w:p>
    <w:p w:rsidRPr="00BB32AF" w:rsidR="00153201" w:rsidP="00153201" w:rsidRDefault="00153201" w14:paraId="10C19771" w14:textId="77777777">
      <w:pPr>
        <w:pStyle w:val="Standard"/>
      </w:pPr>
      <w:r w:rsidRPr="00BB32AF">
        <w:t xml:space="preserve">NANPA alleges that absent NPA relief, the supply of CO codes in the </w:t>
      </w:r>
      <w:r w:rsidRPr="00BB32AF">
        <w:br/>
        <w:t>559 NPA is projected to run out during the projected exhaust quarter.  In this Application, the Industry reached consensus to recommend to the Commission an additional all</w:t>
      </w:r>
      <w:r w:rsidRPr="00BB32AF">
        <w:noBreakHyphen/>
        <w:t xml:space="preserve">services distributed overlay plan as its choice of relief for the </w:t>
      </w:r>
      <w:r w:rsidRPr="00BB32AF">
        <w:br/>
        <w:t>559-area code.</w:t>
      </w:r>
    </w:p>
    <w:p w:rsidRPr="00BB32AF" w:rsidR="00153201" w:rsidP="00153201" w:rsidRDefault="00153201" w14:paraId="6DDB8205" w14:textId="77777777">
      <w:pPr>
        <w:keepNext/>
        <w:keepLines/>
        <w:numPr>
          <w:ilvl w:val="1"/>
          <w:numId w:val="32"/>
        </w:numPr>
        <w:spacing w:after="120" w:line="240" w:lineRule="auto"/>
        <w:ind w:right="2160"/>
        <w:outlineLvl w:val="1"/>
        <w:rPr>
          <w:rFonts w:ascii="Arial" w:hAnsi="Arial" w:cs="Arial"/>
          <w:b/>
          <w:szCs w:val="26"/>
        </w:rPr>
      </w:pPr>
      <w:bookmarkStart w:name="_Toc140494504" w:id="11"/>
      <w:bookmarkStart w:name="_Toc147919348" w:id="12"/>
      <w:bookmarkStart w:name="_Toc150417477" w:id="13"/>
      <w:r w:rsidRPr="00BB32AF">
        <w:rPr>
          <w:rFonts w:ascii="Arial" w:hAnsi="Arial" w:cs="Arial"/>
          <w:b/>
          <w:szCs w:val="26"/>
        </w:rPr>
        <w:t>Basics of the Telephone</w:t>
      </w:r>
      <w:r w:rsidRPr="00BB32AF">
        <w:rPr>
          <w:rFonts w:ascii="Arial" w:hAnsi="Arial" w:cs="Arial"/>
          <w:b/>
          <w:szCs w:val="26"/>
        </w:rPr>
        <w:br/>
        <w:t>Numbering System</w:t>
      </w:r>
      <w:bookmarkEnd w:id="11"/>
      <w:bookmarkEnd w:id="12"/>
      <w:bookmarkEnd w:id="13"/>
    </w:p>
    <w:p w:rsidRPr="00BB32AF" w:rsidR="00153201" w:rsidP="00153201" w:rsidRDefault="00153201" w14:paraId="1917EDF5" w14:textId="77777777">
      <w:pPr>
        <w:pStyle w:val="Standard"/>
      </w:pPr>
      <w:r w:rsidRPr="00BB32AF">
        <w:t>In each area code in the United States, telephone numbers are made up of an area code, a three</w:t>
      </w:r>
      <w:r w:rsidRPr="00BB32AF">
        <w:noBreakHyphen/>
        <w:t>digit prefix, and a four</w:t>
      </w:r>
      <w:r w:rsidRPr="00BB32AF">
        <w:noBreakHyphen/>
        <w:t xml:space="preserve">digit line number (for </w:t>
      </w:r>
      <w:r w:rsidRPr="00BB32AF">
        <w:rPr>
          <w:i/>
          <w:iCs/>
        </w:rPr>
        <w:t>example</w:t>
      </w:r>
      <w:r w:rsidRPr="00BB32AF">
        <w:t>, 559</w:t>
      </w:r>
      <w:r w:rsidRPr="00BB32AF">
        <w:noBreakHyphen/>
        <w:t>555</w:t>
      </w:r>
      <w:r w:rsidRPr="00BB32AF">
        <w:noBreakHyphen/>
        <w:t>1234).</w:t>
      </w:r>
      <w:r w:rsidRPr="00BB32AF">
        <w:rPr>
          <w:vertAlign w:val="superscript"/>
        </w:rPr>
        <w:footnoteReference w:id="15"/>
      </w:r>
      <w:r w:rsidRPr="00BB32AF">
        <w:t xml:space="preserve">  Specific geographic areas are assigned an area code, while each individual phone line is assigned a line number.  Each area code is divided up into local serving areas called exchanges; within each exchange is a rate center.  The 559-area code is located in central California in the San Joaquin Valley.  It includes all or portions of Freson, Madera, Mariposa, Merced, Tulare, and Kings counties and serves communities including, but not limited to, Clovis, Coalinga, Freson, Madera, Porterville, Reedley, Selma, and Visalia.  The 559 NPA is bordered to the north by the 209/350 NPA, to the east by the 760/442 NPA, to the south by the 661 NPA, and to the west by the 831 and 805/820 NPAs.  </w:t>
      </w:r>
    </w:p>
    <w:p w:rsidRPr="00BB32AF" w:rsidR="00153201" w:rsidP="00153201" w:rsidRDefault="00153201" w14:paraId="46109876" w14:textId="77777777">
      <w:r w:rsidRPr="00BB32AF">
        <w:t>Originally, telephone numbers were assigned to service providers in 10,000 block groups.  Thousand</w:t>
      </w:r>
      <w:r w:rsidRPr="00BB32AF">
        <w:noBreakHyphen/>
        <w:t xml:space="preserve">block number pooling implemented a new </w:t>
      </w:r>
      <w:r w:rsidRPr="00BB32AF">
        <w:lastRenderedPageBreak/>
        <w:t>resource allocation system to divide a prefix or central office code (NXX code or CO code), which is a group of 10,000 telephone numbers, into 10 sequential blocks or groups of 1,000 telephone numbers allowing the allocation of telephone numbers in blocks of 1,000.  This system allows multiple service providers operating in the same rate center to share the 10,000 numbers in a prefix at the thousand</w:t>
      </w:r>
      <w:r w:rsidRPr="00BB32AF">
        <w:noBreakHyphen/>
        <w:t>block level.</w:t>
      </w:r>
    </w:p>
    <w:p w:rsidRPr="00BB32AF" w:rsidR="00153201" w:rsidP="00153201" w:rsidRDefault="00153201" w14:paraId="05B5B326" w14:textId="77777777">
      <w:pPr>
        <w:pStyle w:val="Standard"/>
      </w:pPr>
      <w:r w:rsidRPr="00BB32AF">
        <w:t xml:space="preserve">Every prefix, which is assigned to a specific rate center, includes </w:t>
      </w:r>
      <w:proofErr w:type="gramStart"/>
      <w:r w:rsidRPr="00BB32AF">
        <w:t>10,000 line</w:t>
      </w:r>
      <w:proofErr w:type="gramEnd"/>
      <w:r w:rsidRPr="00BB32AF">
        <w:t xml:space="preserve"> numbers.  The FCC has set aside certain prefixes such as 958, 959, </w:t>
      </w:r>
      <w:r w:rsidRPr="00BB32AF">
        <w:br/>
        <w:t xml:space="preserve">and 555, as abbreviated dialing patterns dedicated to special uses.  As of </w:t>
      </w:r>
      <w:r w:rsidRPr="00BB32AF">
        <w:br/>
        <w:t>December 20, 2022, the 559-area code has 59 available prefixes remaining.</w:t>
      </w:r>
      <w:r w:rsidRPr="00BB32AF">
        <w:rPr>
          <w:szCs w:val="26"/>
          <w:vertAlign w:val="superscript"/>
        </w:rPr>
        <w:footnoteReference w:id="16"/>
      </w:r>
      <w:r w:rsidRPr="00BB32AF">
        <w:t xml:space="preserve">  </w:t>
      </w:r>
    </w:p>
    <w:p w:rsidRPr="00BB32AF" w:rsidR="00153201" w:rsidP="00153201" w:rsidRDefault="00153201" w14:paraId="26A668D6" w14:textId="77777777">
      <w:pPr>
        <w:pStyle w:val="Standard"/>
      </w:pPr>
      <w:r w:rsidRPr="00BB32AF">
        <w:t>Once all the available prefixes are used, a new area code is necessary.</w:t>
      </w:r>
      <w:r w:rsidRPr="00BB32AF">
        <w:rPr>
          <w:rFonts w:ascii="Palatino" w:hAnsi="Palatino"/>
          <w:sz w:val="16"/>
          <w:szCs w:val="16"/>
        </w:rPr>
        <w:t xml:space="preserve">  </w:t>
      </w:r>
      <w:r w:rsidRPr="00BB32AF">
        <w:t xml:space="preserve"> NANPA initially projected that the 559 NPA was expected to run out of prefixes in the fourth quarter of 2025.</w:t>
      </w:r>
      <w:r w:rsidRPr="00BB32AF">
        <w:rPr>
          <w:szCs w:val="26"/>
          <w:vertAlign w:val="superscript"/>
        </w:rPr>
        <w:footnoteReference w:id="17"/>
      </w:r>
      <w:r w:rsidRPr="00BB32AF">
        <w:t xml:space="preserve">  However, based on its most recent data, NANPA projects the 559 NPA to run out of prefixes in the third quarter of 2025.</w:t>
      </w:r>
      <w:r w:rsidRPr="00BB32AF">
        <w:rPr>
          <w:szCs w:val="26"/>
          <w:vertAlign w:val="superscript"/>
        </w:rPr>
        <w:footnoteReference w:id="18"/>
      </w:r>
      <w:r w:rsidRPr="00BB32AF">
        <w:t xml:space="preserve"> </w:t>
      </w:r>
    </w:p>
    <w:p w:rsidRPr="00BB32AF" w:rsidR="00153201" w:rsidP="00153201" w:rsidRDefault="00153201" w14:paraId="59109DC7" w14:textId="77777777">
      <w:pPr>
        <w:keepNext/>
        <w:keepLines/>
        <w:numPr>
          <w:ilvl w:val="1"/>
          <w:numId w:val="32"/>
        </w:numPr>
        <w:spacing w:after="120" w:line="240" w:lineRule="auto"/>
        <w:ind w:right="2160"/>
        <w:outlineLvl w:val="1"/>
        <w:rPr>
          <w:rFonts w:ascii="Arial" w:hAnsi="Arial" w:cs="Arial"/>
          <w:b/>
          <w:szCs w:val="26"/>
        </w:rPr>
      </w:pPr>
      <w:bookmarkStart w:name="_Toc140494505" w:id="14"/>
      <w:bookmarkStart w:name="_Toc147919349" w:id="15"/>
      <w:bookmarkStart w:name="_Toc150417478" w:id="16"/>
      <w:r w:rsidRPr="00BB32AF">
        <w:rPr>
          <w:rFonts w:ascii="Arial" w:hAnsi="Arial" w:cs="Arial"/>
          <w:b/>
          <w:szCs w:val="26"/>
        </w:rPr>
        <w:t>The 559 Area Code</w:t>
      </w:r>
      <w:bookmarkEnd w:id="14"/>
      <w:bookmarkEnd w:id="15"/>
      <w:bookmarkEnd w:id="16"/>
      <w:r w:rsidRPr="00BB32AF">
        <w:rPr>
          <w:rFonts w:ascii="Arial" w:hAnsi="Arial" w:cs="Arial"/>
          <w:b/>
          <w:szCs w:val="26"/>
        </w:rPr>
        <w:t xml:space="preserve"> </w:t>
      </w:r>
    </w:p>
    <w:p w:rsidRPr="00BB32AF" w:rsidR="00153201" w:rsidP="00153201" w:rsidRDefault="00153201" w14:paraId="6D81B26F" w14:textId="77777777">
      <w:pPr>
        <w:pStyle w:val="Standard"/>
      </w:pPr>
      <w:r w:rsidRPr="00BB32AF">
        <w:t xml:space="preserve">The Commission approved a geographic split of the 209 NPA in 1997 and subsequently introduced the 559 NPA in November 1998.  As previously noted, the 559 NPA is located in central California in the San Joaquin Valley.  It includes all or portions of Fresno, Madera, Mariposa, Merced, Tulare, and Kings counties and serves communities including but not limited to Clovis, Coalinga, Fresno, Madera, Porterville, Reedley, Selma, and Visalia. </w:t>
      </w:r>
    </w:p>
    <w:p w:rsidRPr="00BB32AF" w:rsidR="00153201" w:rsidP="00153201" w:rsidRDefault="00153201" w14:paraId="23A72FAE" w14:textId="77777777">
      <w:pPr>
        <w:keepNext/>
        <w:numPr>
          <w:ilvl w:val="0"/>
          <w:numId w:val="26"/>
        </w:numPr>
        <w:spacing w:after="120" w:line="240" w:lineRule="auto"/>
        <w:ind w:left="720" w:hanging="720"/>
        <w:outlineLvl w:val="0"/>
        <w:rPr>
          <w:rFonts w:ascii="Helvetica" w:hAnsi="Helvetica" w:eastAsia="Times New Roman" w:cs="Times New Roman"/>
          <w:b/>
          <w:szCs w:val="20"/>
        </w:rPr>
      </w:pPr>
      <w:bookmarkStart w:name="_Toc140494506" w:id="17"/>
      <w:bookmarkStart w:name="_Toc147919350" w:id="18"/>
      <w:bookmarkStart w:name="_Toc150417479" w:id="19"/>
      <w:r w:rsidRPr="00BB32AF">
        <w:rPr>
          <w:rFonts w:ascii="Helvetica" w:hAnsi="Helvetica" w:eastAsia="Times New Roman" w:cs="Times New Roman"/>
          <w:b/>
          <w:szCs w:val="20"/>
        </w:rPr>
        <w:lastRenderedPageBreak/>
        <w:t xml:space="preserve">Current Request for a New </w:t>
      </w:r>
      <w:r>
        <w:rPr>
          <w:rFonts w:ascii="Helvetica" w:hAnsi="Helvetica" w:eastAsia="Times New Roman" w:cs="Times New Roman"/>
          <w:b/>
          <w:szCs w:val="20"/>
        </w:rPr>
        <w:br/>
      </w:r>
      <w:r w:rsidRPr="00BB32AF">
        <w:rPr>
          <w:rFonts w:ascii="Helvetica" w:hAnsi="Helvetica" w:eastAsia="Times New Roman" w:cs="Times New Roman"/>
          <w:b/>
          <w:szCs w:val="20"/>
        </w:rPr>
        <w:t>Area Code</w:t>
      </w:r>
      <w:bookmarkEnd w:id="17"/>
      <w:bookmarkEnd w:id="18"/>
      <w:bookmarkEnd w:id="19"/>
    </w:p>
    <w:p w:rsidRPr="00BB32AF" w:rsidR="00153201" w:rsidP="00153201" w:rsidRDefault="00153201" w14:paraId="5FDCFAA7" w14:textId="77777777">
      <w:pPr>
        <w:pStyle w:val="Standard"/>
      </w:pPr>
      <w:r w:rsidRPr="00BB32AF">
        <w:t>As required by the FCC, NANPA collects CO code assignment, utilization, and forecasted demand data to determine the projected need for numbering resources.  NANPA uses this data to project the exhaust date of each area code and publishes the results twice a year.  The NPA Code Relief Planning and Notification Guidelines (NPA Relief Guidelines) direct NANPA to prepare relief options for an NPA prior to the Industry meeting, generally 36 months in advance of the projected exhaust date.</w:t>
      </w:r>
      <w:r w:rsidRPr="00BB32AF">
        <w:rPr>
          <w:vertAlign w:val="superscript"/>
        </w:rPr>
        <w:footnoteReference w:id="19"/>
      </w:r>
      <w:r w:rsidRPr="00BB32AF">
        <w:t xml:space="preserve">  In April 2022, the projected exhaust period for the 559 NPA was determined to be in the fourth quarter of 2025.  However, in October 2022, NANPA published its semi-annual Numbering Resource Utilization</w:t>
      </w:r>
      <w:r>
        <w:t xml:space="preserve"> </w:t>
      </w:r>
      <w:r w:rsidRPr="00BB32AF">
        <w:t>Forecast (NRUF) and NPA Exhaust Analysis (collectively, the October 2022 NRUF Report) which indicated that the 559 NPA would exhaust during the third quarter of 2025.</w:t>
      </w:r>
      <w:r w:rsidRPr="00BB32AF">
        <w:rPr>
          <w:szCs w:val="26"/>
          <w:vertAlign w:val="superscript"/>
        </w:rPr>
        <w:footnoteReference w:id="20"/>
      </w:r>
      <w:r w:rsidRPr="00BB32AF">
        <w:t xml:space="preserve">  </w:t>
      </w:r>
    </w:p>
    <w:p w:rsidRPr="00BB32AF" w:rsidR="00153201" w:rsidP="00153201" w:rsidRDefault="00153201" w14:paraId="3B88CDB5" w14:textId="77777777">
      <w:pPr>
        <w:pStyle w:val="Standard"/>
      </w:pPr>
      <w:r w:rsidRPr="00BB32AF">
        <w:t>NANPA distributed a notice to the Industry on November 23, 20</w:t>
      </w:r>
      <w:r>
        <w:t>22</w:t>
      </w:r>
      <w:r w:rsidRPr="00BB32AF">
        <w:t>, containing an Initial Planning Document (IPD).</w:t>
      </w:r>
      <w:r w:rsidRPr="00BB32AF">
        <w:rPr>
          <w:vertAlign w:val="superscript"/>
        </w:rPr>
        <w:footnoteReference w:id="21"/>
      </w:r>
      <w:r w:rsidRPr="00BB32AF">
        <w:t xml:space="preserve">  The IPD included two alternatives for relief, an all services distributed overlay and a geographic split, for review prior to the relief planning meeting.  The </w:t>
      </w:r>
      <w:proofErr w:type="gramStart"/>
      <w:r w:rsidRPr="00BB32AF">
        <w:t>Industry</w:t>
      </w:r>
      <w:proofErr w:type="gramEnd"/>
      <w:r w:rsidRPr="00BB32AF">
        <w:t xml:space="preserve"> met via web conference on December 21, 2022, and, after a thorough review of the presented relief alternatives, reached consensus to recommend the all-services distributed overlay of the 559 NPA as the preferred relief alternative to meet the NPA Relief Guidelines.  </w:t>
      </w:r>
    </w:p>
    <w:p w:rsidRPr="00BB32AF" w:rsidR="00153201" w:rsidP="00153201" w:rsidRDefault="00153201" w14:paraId="0A4867F5" w14:textId="77777777">
      <w:pPr>
        <w:spacing w:after="120"/>
        <w:contextualSpacing/>
        <w:rPr>
          <w:sz w:val="22"/>
          <w:szCs w:val="20"/>
        </w:rPr>
      </w:pPr>
      <w:r w:rsidRPr="00BB32AF">
        <w:rPr>
          <w:szCs w:val="26"/>
        </w:rPr>
        <w:lastRenderedPageBreak/>
        <w:t>The Industry supported the all-services distributed overlay because it believes it is the most equitable and consumer-friendly alternative.</w:t>
      </w:r>
      <w:r w:rsidRPr="00BB32AF">
        <w:rPr>
          <w:szCs w:val="26"/>
          <w:vertAlign w:val="superscript"/>
        </w:rPr>
        <w:footnoteReference w:id="22"/>
      </w:r>
      <w:r w:rsidRPr="00BB32AF">
        <w:rPr>
          <w:szCs w:val="26"/>
        </w:rPr>
        <w:t xml:space="preserve">  The Industry also believes that the overlay is preferable because: customers will retain their existing NPA and telephone number; customer education, and technical implementation, will be simple and straightforward; and it will take significantly less time to implement the overlay than a geographic split.</w:t>
      </w:r>
      <w:r w:rsidRPr="00BB32AF">
        <w:rPr>
          <w:szCs w:val="26"/>
          <w:vertAlign w:val="superscript"/>
        </w:rPr>
        <w:footnoteReference w:id="23"/>
      </w:r>
      <w:r w:rsidRPr="00BB32AF">
        <w:rPr>
          <w:szCs w:val="26"/>
        </w:rPr>
        <w:t xml:space="preserve">  All customers within and between NPAs would be required to dial 1+10-digits for local calls and toll calls.  </w:t>
      </w:r>
    </w:p>
    <w:p w:rsidRPr="00BB32AF" w:rsidR="00153201" w:rsidP="00153201" w:rsidRDefault="00153201" w14:paraId="16C8D542" w14:textId="77777777">
      <w:pPr>
        <w:keepNext/>
        <w:numPr>
          <w:ilvl w:val="0"/>
          <w:numId w:val="26"/>
        </w:numPr>
        <w:spacing w:after="120" w:line="240" w:lineRule="auto"/>
        <w:ind w:left="720" w:hanging="720"/>
        <w:outlineLvl w:val="0"/>
        <w:rPr>
          <w:rFonts w:ascii="Helvetica" w:hAnsi="Helvetica" w:eastAsia="Times New Roman" w:cs="Times New Roman"/>
          <w:b/>
          <w:szCs w:val="20"/>
        </w:rPr>
      </w:pPr>
      <w:bookmarkStart w:name="_Toc140494507" w:id="20"/>
      <w:bookmarkStart w:name="_Toc147919351" w:id="21"/>
      <w:bookmarkStart w:name="_Toc150417480" w:id="22"/>
      <w:r w:rsidRPr="00BB32AF">
        <w:rPr>
          <w:rFonts w:ascii="Helvetica" w:hAnsi="Helvetica" w:eastAsia="Times New Roman" w:cs="Times New Roman"/>
          <w:b/>
          <w:szCs w:val="20"/>
        </w:rPr>
        <w:t>Description of Relief Plan</w:t>
      </w:r>
      <w:bookmarkEnd w:id="20"/>
      <w:bookmarkEnd w:id="21"/>
      <w:bookmarkEnd w:id="22"/>
    </w:p>
    <w:p w:rsidRPr="00BB32AF" w:rsidR="00153201" w:rsidP="00153201" w:rsidRDefault="00153201" w14:paraId="31AA01BF" w14:textId="77777777">
      <w:pPr>
        <w:pStyle w:val="Standard"/>
      </w:pPr>
      <w:r w:rsidRPr="00BB32AF">
        <w:t xml:space="preserve">Pub. Util. Code Section 7943(a) directs the Commission to provide area code relief using the option that is most convenient for customers.  To approve a new area code under Pub. Util. Code Section 7936 and Section 7943(c), the Commission must get utilization data from NANPA for the area code for which relief is proposed, perform a telephone utilization study, and implement all reasonable telephone number conservation measures.  Implementing a new area code poses challenges, however.  Pub. Util. Code Section 7934(b) acknowledges that new area codes cause unnecessary hardship to people in California, as they lose their existing area codes and longtime telephone numbers.  Pub. Util. Code Sections 7934(c) and (d) state that new area codes increase costs to businesses and individuals, as business cards and letterhead stationery must be replaced to show the new area codes.  In addition, Pub. Util. Code Section 7931(c) directs that rate area boundaries, municipal boundaries, communities of interest, and other appropriate criteria should be considered when evaluating the boundaries </w:t>
      </w:r>
      <w:r w:rsidRPr="00BB32AF">
        <w:lastRenderedPageBreak/>
        <w:t xml:space="preserve">of a new area code.  When there is no reasonable alternative to creating a new area code, the Commission must do so in a way that is the most convenient for customers. </w:t>
      </w:r>
    </w:p>
    <w:p w:rsidRPr="00BB32AF" w:rsidR="00153201" w:rsidP="00153201" w:rsidRDefault="00153201" w14:paraId="6211BBC6" w14:textId="77777777">
      <w:pPr>
        <w:pStyle w:val="Standard"/>
      </w:pPr>
      <w:r w:rsidRPr="00BB32AF">
        <w:t xml:space="preserve">In this case, the preferred alternative to implementing a new area code is an all-services distributed overlay.  The all-services distributed overlay would superimpose a new NPA over the same geographic area covered by the existing 559 NPA.  All existing customers would retain the </w:t>
      </w:r>
      <w:proofErr w:type="gramStart"/>
      <w:r w:rsidRPr="00BB32AF">
        <w:t>559 area</w:t>
      </w:r>
      <w:proofErr w:type="gramEnd"/>
      <w:r w:rsidRPr="00BB32AF">
        <w:t xml:space="preserve"> code and would not have to change their area code or telephone number.  The overlay alternative requires customers to dial 1 + area code + seven-digit telephone number for all calls, including local calls (calls within and between the </w:t>
      </w:r>
      <w:proofErr w:type="gramStart"/>
      <w:r w:rsidRPr="00BB32AF">
        <w:t>559 area</w:t>
      </w:r>
      <w:proofErr w:type="gramEnd"/>
      <w:r w:rsidRPr="00BB32AF">
        <w:t xml:space="preserve"> code and the new area code).</w:t>
      </w:r>
      <w:r w:rsidRPr="00BB32AF">
        <w:rPr>
          <w:vertAlign w:val="superscript"/>
        </w:rPr>
        <w:footnoteReference w:id="24"/>
      </w:r>
      <w:r w:rsidRPr="00BB32AF">
        <w:t xml:space="preserve">  The all-services overlay is projected to last approximately </w:t>
      </w:r>
      <w:r>
        <w:br/>
      </w:r>
      <w:r w:rsidRPr="00BB32AF">
        <w:t>36 years.</w:t>
      </w:r>
      <w:r w:rsidRPr="00BB32AF">
        <w:rPr>
          <w:vertAlign w:val="superscript"/>
        </w:rPr>
        <w:footnoteReference w:id="25"/>
      </w:r>
      <w:r w:rsidRPr="00BB32AF">
        <w:t xml:space="preserve">  </w:t>
      </w:r>
    </w:p>
    <w:p w:rsidRPr="00BB32AF" w:rsidR="00153201" w:rsidP="00153201" w:rsidRDefault="00153201" w14:paraId="5D5D8E65" w14:textId="77777777">
      <w:pPr>
        <w:pStyle w:val="Standard"/>
      </w:pPr>
      <w:r w:rsidRPr="00BB32AF">
        <w:t>CO code assignments will not be made from the new overlay NPA until all remaining available CO codes in the 559 NPA are allocated.</w:t>
      </w:r>
      <w:r w:rsidRPr="00BB32AF">
        <w:rPr>
          <w:vertAlign w:val="superscript"/>
        </w:rPr>
        <w:footnoteReference w:id="26"/>
      </w:r>
      <w:r w:rsidRPr="00BB32AF">
        <w:t xml:space="preserve">  All existing customers would retain their current telephone numbers; however, 10-digit or 1+10-digit local dialing by all customers within and between NPAs in the affected area would be required.</w:t>
      </w:r>
      <w:r w:rsidRPr="00BB32AF">
        <w:rPr>
          <w:vertAlign w:val="superscript"/>
        </w:rPr>
        <w:footnoteReference w:id="27"/>
      </w:r>
      <w:r w:rsidRPr="00BB32AF">
        <w:t xml:space="preserve">  </w:t>
      </w:r>
    </w:p>
    <w:p w:rsidRPr="00BB32AF" w:rsidR="00153201" w:rsidP="00153201" w:rsidRDefault="00153201" w14:paraId="692C8F02" w14:textId="77777777">
      <w:pPr>
        <w:pStyle w:val="Standard"/>
      </w:pPr>
      <w:r w:rsidRPr="00BB32AF">
        <w:t xml:space="preserve">NANPA projected that 559 area code would exhaust in the third quarter </w:t>
      </w:r>
      <w:r w:rsidRPr="00BB32AF">
        <w:br/>
        <w:t>of 2025.</w:t>
      </w:r>
      <w:r w:rsidRPr="00BB32AF">
        <w:rPr>
          <w:vertAlign w:val="superscript"/>
        </w:rPr>
        <w:footnoteReference w:id="28"/>
      </w:r>
      <w:r w:rsidRPr="00BB32AF">
        <w:t xml:space="preserve">  The study and the data therein satisfy the statutory requirements of </w:t>
      </w:r>
      <w:r w:rsidRPr="00BB32AF">
        <w:lastRenderedPageBreak/>
        <w:t>Pub. Util. Code Section 7936 and Section </w:t>
      </w:r>
      <w:proofErr w:type="gramStart"/>
      <w:r w:rsidRPr="00BB32AF">
        <w:t>7943(c), and</w:t>
      </w:r>
      <w:proofErr w:type="gramEnd"/>
      <w:r w:rsidRPr="00BB32AF">
        <w:t xml:space="preserve"> persuade us that the preferred relief alternative for the 559 NPA is the all-services distributed overlay.  </w:t>
      </w:r>
    </w:p>
    <w:p w:rsidRPr="00BB32AF" w:rsidR="00153201" w:rsidP="00153201" w:rsidRDefault="00153201" w14:paraId="6D772327" w14:textId="77777777">
      <w:pPr>
        <w:pStyle w:val="Standard"/>
        <w:rPr>
          <w:szCs w:val="26"/>
        </w:rPr>
      </w:pPr>
      <w:r w:rsidRPr="00BB32AF">
        <w:t xml:space="preserve"> To allow sufficient time for completion of the selected relief plan prior to exhaust of CO codes in the 559-area code, NANPA, and the </w:t>
      </w:r>
      <w:proofErr w:type="gramStart"/>
      <w:r w:rsidRPr="00BB32AF">
        <w:t>Industry</w:t>
      </w:r>
      <w:proofErr w:type="gramEnd"/>
      <w:r w:rsidRPr="00BB32AF">
        <w:t xml:space="preserve"> proposed a public education program (PEP) for customers in the current 559-area code and request that the Commission approve the thirteen</w:t>
      </w:r>
      <w:r w:rsidRPr="00BB32AF">
        <w:noBreakHyphen/>
        <w:t xml:space="preserve">month implementation schedule and PEP program outlined in its application. </w:t>
      </w:r>
    </w:p>
    <w:p w:rsidRPr="00BB32AF" w:rsidR="00153201" w:rsidP="00153201" w:rsidRDefault="00153201" w14:paraId="0E8C90CC" w14:textId="77777777">
      <w:pPr>
        <w:keepNext/>
        <w:numPr>
          <w:ilvl w:val="0"/>
          <w:numId w:val="26"/>
        </w:numPr>
        <w:spacing w:after="120" w:line="240" w:lineRule="auto"/>
        <w:ind w:left="720" w:hanging="720"/>
        <w:outlineLvl w:val="0"/>
        <w:rPr>
          <w:rFonts w:ascii="Helvetica" w:hAnsi="Helvetica" w:eastAsia="Times New Roman" w:cs="Times New Roman"/>
          <w:b/>
          <w:szCs w:val="20"/>
        </w:rPr>
      </w:pPr>
      <w:bookmarkStart w:name="_Toc140494508" w:id="23"/>
      <w:bookmarkStart w:name="_Toc147919352" w:id="24"/>
      <w:bookmarkStart w:name="_Toc150417481" w:id="25"/>
      <w:r w:rsidRPr="00BB32AF">
        <w:rPr>
          <w:rFonts w:ascii="Helvetica" w:hAnsi="Helvetica" w:eastAsia="Times New Roman" w:cs="Times New Roman"/>
          <w:b/>
          <w:szCs w:val="20"/>
        </w:rPr>
        <w:t>Discussion</w:t>
      </w:r>
      <w:bookmarkEnd w:id="23"/>
      <w:bookmarkEnd w:id="24"/>
      <w:bookmarkEnd w:id="25"/>
    </w:p>
    <w:p w:rsidRPr="00BB32AF" w:rsidR="00153201" w:rsidP="00153201" w:rsidRDefault="00153201" w14:paraId="419B9EE0" w14:textId="77777777">
      <w:pPr>
        <w:pStyle w:val="Standard"/>
      </w:pPr>
      <w:r w:rsidRPr="00BB32AF">
        <w:t>The 559-area code is projected to exhaust in the third quarter of 2025, requiring the Commission and NANPA to act before exhaustion occurs.  NANPA utilized data in the NRUF in forecasting the 559-area code exhaustion in accordance with Pub. Util. Code Section 7936.</w:t>
      </w:r>
      <w:r w:rsidRPr="00BB32AF">
        <w:rPr>
          <w:vertAlign w:val="superscript"/>
        </w:rPr>
        <w:footnoteReference w:id="29"/>
      </w:r>
      <w:r w:rsidRPr="00BB32AF">
        <w:t xml:space="preserve">  There is no indication that conservation measures will adequately address this exhaustion as outlined in Pub. Util. Code Section 7943(c).  In this application, NANPA provided two relief options, concluding that the best relief alternative which will meet NPA Relief Guidelines is an overlay.  </w:t>
      </w:r>
    </w:p>
    <w:p w:rsidRPr="00BB32AF" w:rsidR="00153201" w:rsidP="00153201" w:rsidRDefault="00153201" w14:paraId="0A2ADD22" w14:textId="77777777">
      <w:pPr>
        <w:pStyle w:val="Standard"/>
      </w:pPr>
      <w:r w:rsidRPr="00BB32AF">
        <w:t xml:space="preserve">An overlay is less confusing and less costly for existing customers because all customers retain the same area code and telephone number.  An overlay would not require existing residential or business customers to incur the time and expense to inform family, friends, customers, and business associates of a new area code, or incur the cost of reprinting stationery and other materials.  The overlay option is the least inconvenient and most equitable for customers and </w:t>
      </w:r>
      <w:r w:rsidRPr="00BB32AF">
        <w:lastRenderedPageBreak/>
        <w:t xml:space="preserve">has the least impact on local services, including emergency and government services. </w:t>
      </w:r>
    </w:p>
    <w:p w:rsidRPr="00BB32AF" w:rsidR="00153201" w:rsidP="00153201" w:rsidRDefault="00153201" w14:paraId="29720817" w14:textId="77777777">
      <w:pPr>
        <w:pStyle w:val="Standard"/>
      </w:pPr>
      <w:r w:rsidRPr="00BB32AF">
        <w:t xml:space="preserve">Therefore, we adopt an overlay to resolve the forecasted exhaust in the </w:t>
      </w:r>
      <w:r w:rsidRPr="00BB32AF">
        <w:br/>
        <w:t>559-area code.  Therefore, we adopt an overlay to resolve the forecasted exhaust in the 559-area code.  NANPA has requested a 13-month schedule to implement the overlay option.</w:t>
      </w:r>
      <w:r>
        <w:t xml:space="preserve">  </w:t>
      </w:r>
      <w:r w:rsidRPr="00BB32AF">
        <w:t>This implementation length is consistent with the authority granted in recent decisions, including D</w:t>
      </w:r>
      <w:r>
        <w:t xml:space="preserve">ecision (D.) </w:t>
      </w:r>
      <w:r w:rsidRPr="00BB32AF">
        <w:t>16-07-014, D</w:t>
      </w:r>
      <w:r>
        <w:t>.</w:t>
      </w:r>
      <w:r w:rsidRPr="00BB32AF">
        <w:t xml:space="preserve">17-02-010, </w:t>
      </w:r>
      <w:r>
        <w:br/>
      </w:r>
      <w:r w:rsidRPr="00BB32AF">
        <w:t>D.17-05-019, and D.19-06-012.  Accordingly, we adopt the requested 13-month schedule.  Implementation of the overlay shall be completed by the forecasted exhaust date of the 559-area code in the third quarter of 2025.</w:t>
      </w:r>
    </w:p>
    <w:p w:rsidRPr="00BB32AF" w:rsidR="00153201" w:rsidP="00153201" w:rsidRDefault="00153201" w14:paraId="16AD30AD" w14:textId="77777777">
      <w:pPr>
        <w:keepNext/>
        <w:numPr>
          <w:ilvl w:val="0"/>
          <w:numId w:val="26"/>
        </w:numPr>
        <w:spacing w:after="120" w:line="240" w:lineRule="auto"/>
        <w:ind w:left="720" w:hanging="720"/>
        <w:outlineLvl w:val="0"/>
        <w:rPr>
          <w:rFonts w:ascii="Helvetica" w:hAnsi="Helvetica" w:eastAsia="Times New Roman" w:cs="Times New Roman"/>
          <w:b/>
          <w:szCs w:val="20"/>
        </w:rPr>
      </w:pPr>
      <w:bookmarkStart w:name="_Toc140494509" w:id="26"/>
      <w:bookmarkStart w:name="_Toc147919353" w:id="27"/>
      <w:bookmarkStart w:name="_Toc150417482" w:id="28"/>
      <w:r w:rsidRPr="00BB32AF">
        <w:rPr>
          <w:rFonts w:ascii="Helvetica" w:hAnsi="Helvetica" w:eastAsia="Times New Roman" w:cs="Times New Roman"/>
          <w:b/>
          <w:szCs w:val="20"/>
        </w:rPr>
        <w:t>Public Education Program</w:t>
      </w:r>
      <w:bookmarkEnd w:id="26"/>
      <w:bookmarkEnd w:id="27"/>
      <w:bookmarkEnd w:id="28"/>
    </w:p>
    <w:p w:rsidRPr="00BB32AF" w:rsidR="00153201" w:rsidP="00153201" w:rsidRDefault="00153201" w14:paraId="0D3119EB" w14:textId="77777777">
      <w:pPr>
        <w:keepNext/>
        <w:keepLines/>
        <w:numPr>
          <w:ilvl w:val="1"/>
          <w:numId w:val="33"/>
        </w:numPr>
        <w:spacing w:after="120" w:line="240" w:lineRule="auto"/>
        <w:ind w:right="2160"/>
        <w:outlineLvl w:val="1"/>
        <w:rPr>
          <w:rFonts w:ascii="Arial" w:hAnsi="Arial" w:cs="Arial"/>
          <w:b/>
          <w:szCs w:val="26"/>
        </w:rPr>
      </w:pPr>
      <w:bookmarkStart w:name="_Toc140494510" w:id="29"/>
      <w:bookmarkStart w:name="_Toc147919354" w:id="30"/>
      <w:bookmarkStart w:name="_Toc150417483" w:id="31"/>
      <w:r>
        <w:rPr>
          <w:rFonts w:ascii="Arial" w:hAnsi="Arial" w:cs="Arial"/>
          <w:b/>
          <w:szCs w:val="26"/>
        </w:rPr>
        <w:t xml:space="preserve">Historical </w:t>
      </w:r>
      <w:r w:rsidRPr="00BB32AF">
        <w:rPr>
          <w:rFonts w:ascii="Arial" w:hAnsi="Arial" w:cs="Arial"/>
          <w:b/>
          <w:szCs w:val="26"/>
        </w:rPr>
        <w:t>Overview</w:t>
      </w:r>
      <w:bookmarkEnd w:id="29"/>
      <w:bookmarkEnd w:id="30"/>
      <w:bookmarkEnd w:id="31"/>
    </w:p>
    <w:p w:rsidRPr="00BB32AF" w:rsidR="00153201" w:rsidP="00153201" w:rsidRDefault="00153201" w14:paraId="2FBC0146" w14:textId="77777777">
      <w:pPr>
        <w:pStyle w:val="Standard"/>
      </w:pPr>
      <w:r w:rsidRPr="00BB32AF">
        <w:t>In D</w:t>
      </w:r>
      <w:r>
        <w:t>.</w:t>
      </w:r>
      <w:r w:rsidRPr="00BB32AF">
        <w:t>96</w:t>
      </w:r>
      <w:r w:rsidRPr="00BB32AF">
        <w:noBreakHyphen/>
        <w:t>12</w:t>
      </w:r>
      <w:r w:rsidRPr="00BB32AF">
        <w:noBreakHyphen/>
        <w:t>086, as well as in Rulemaking (R.) 95</w:t>
      </w:r>
      <w:r w:rsidRPr="00BB32AF">
        <w:noBreakHyphen/>
        <w:t>04</w:t>
      </w:r>
      <w:r w:rsidRPr="00BB32AF">
        <w:noBreakHyphen/>
        <w:t>043 and Investigation (I.) 95</w:t>
      </w:r>
      <w:r w:rsidRPr="00BB32AF">
        <w:noBreakHyphen/>
        <w:t>04</w:t>
      </w:r>
      <w:r w:rsidRPr="00BB32AF">
        <w:noBreakHyphen/>
        <w:t>044, the Commission decided that an appropriate customer education program was necessary when instituting overlays to explain 1) the concept of an overlay; 2) the fact that the new dialing procedure will not affect the distinction between local and toll calls or the rates charged for the calls; and 3) the mandatory 1+10</w:t>
      </w:r>
      <w:r w:rsidRPr="00BB32AF">
        <w:noBreakHyphen/>
        <w:t>digit dialing instructions on payphones and in directories.</w:t>
      </w:r>
    </w:p>
    <w:p w:rsidRPr="00BB32AF" w:rsidR="00153201" w:rsidP="00153201" w:rsidRDefault="00153201" w14:paraId="5A89970C" w14:textId="77777777">
      <w:r w:rsidRPr="00BB32AF">
        <w:t>In D.98</w:t>
      </w:r>
      <w:r w:rsidRPr="00BB32AF">
        <w:noBreakHyphen/>
        <w:t>05</w:t>
      </w:r>
      <w:r w:rsidRPr="00BB32AF">
        <w:noBreakHyphen/>
        <w:t>021, also in the R.95</w:t>
      </w:r>
      <w:r w:rsidRPr="00BB32AF">
        <w:noBreakHyphen/>
        <w:t>04</w:t>
      </w:r>
      <w:r w:rsidRPr="00BB32AF">
        <w:noBreakHyphen/>
        <w:t>043 and I.95</w:t>
      </w:r>
      <w:r w:rsidRPr="00BB32AF">
        <w:noBreakHyphen/>
        <w:t>04</w:t>
      </w:r>
      <w:r w:rsidRPr="00BB32AF">
        <w:noBreakHyphen/>
        <w:t>044 proceedings, the Commission:</w:t>
      </w:r>
    </w:p>
    <w:p w:rsidRPr="00BB32AF" w:rsidR="00153201" w:rsidP="00153201" w:rsidRDefault="00153201" w14:paraId="6B747F2C" w14:textId="77777777">
      <w:pPr>
        <w:numPr>
          <w:ilvl w:val="0"/>
          <w:numId w:val="27"/>
        </w:numPr>
        <w:spacing w:after="120" w:line="240" w:lineRule="auto"/>
        <w:ind w:left="1080" w:right="1440"/>
        <w:rPr>
          <w:szCs w:val="26"/>
        </w:rPr>
      </w:pPr>
      <w:r w:rsidRPr="00BB32AF">
        <w:rPr>
          <w:szCs w:val="26"/>
        </w:rPr>
        <w:t>Required service providers to institute an instructional announcement directing callers to dial 1+10</w:t>
      </w:r>
      <w:r w:rsidRPr="00BB32AF">
        <w:rPr>
          <w:szCs w:val="26"/>
        </w:rPr>
        <w:noBreakHyphen/>
        <w:t xml:space="preserve">digits indefinitely </w:t>
      </w:r>
      <w:r w:rsidRPr="00BB32AF">
        <w:t>after</w:t>
      </w:r>
      <w:r w:rsidRPr="00BB32AF">
        <w:rPr>
          <w:szCs w:val="26"/>
        </w:rPr>
        <w:t xml:space="preserve"> implementing the overlay;</w:t>
      </w:r>
    </w:p>
    <w:p w:rsidRPr="00BB32AF" w:rsidR="00153201" w:rsidP="00153201" w:rsidRDefault="00153201" w14:paraId="6F3FB6B0" w14:textId="77777777">
      <w:pPr>
        <w:numPr>
          <w:ilvl w:val="0"/>
          <w:numId w:val="27"/>
        </w:numPr>
        <w:spacing w:after="120" w:line="240" w:lineRule="auto"/>
        <w:ind w:left="1080" w:right="1440"/>
        <w:rPr>
          <w:szCs w:val="26"/>
        </w:rPr>
      </w:pPr>
      <w:r w:rsidRPr="00BB32AF">
        <w:rPr>
          <w:szCs w:val="26"/>
        </w:rPr>
        <w:t>Re</w:t>
      </w:r>
      <w:r w:rsidRPr="00BB32AF">
        <w:rPr>
          <w:spacing w:val="-1"/>
          <w:szCs w:val="26"/>
        </w:rPr>
        <w:t>q</w:t>
      </w:r>
      <w:r w:rsidRPr="00BB32AF">
        <w:rPr>
          <w:spacing w:val="2"/>
          <w:szCs w:val="26"/>
        </w:rPr>
        <w:t>u</w:t>
      </w:r>
      <w:r w:rsidRPr="00BB32AF">
        <w:rPr>
          <w:spacing w:val="-1"/>
          <w:szCs w:val="26"/>
        </w:rPr>
        <w:t>i</w:t>
      </w:r>
      <w:r w:rsidRPr="00BB32AF">
        <w:rPr>
          <w:spacing w:val="1"/>
          <w:szCs w:val="26"/>
        </w:rPr>
        <w:t>r</w:t>
      </w:r>
      <w:r w:rsidRPr="00BB32AF">
        <w:rPr>
          <w:szCs w:val="26"/>
        </w:rPr>
        <w:t>ed</w:t>
      </w:r>
      <w:r w:rsidRPr="00BB32AF">
        <w:rPr>
          <w:spacing w:val="-11"/>
          <w:szCs w:val="26"/>
        </w:rPr>
        <w:t xml:space="preserve"> </w:t>
      </w:r>
      <w:r w:rsidRPr="00BB32AF">
        <w:rPr>
          <w:szCs w:val="26"/>
        </w:rPr>
        <w:t>the</w:t>
      </w:r>
      <w:r w:rsidRPr="00BB32AF">
        <w:rPr>
          <w:spacing w:val="-1"/>
          <w:szCs w:val="26"/>
        </w:rPr>
        <w:t xml:space="preserve"> PEP</w:t>
      </w:r>
      <w:r w:rsidRPr="00BB32AF">
        <w:rPr>
          <w:spacing w:val="-4"/>
          <w:szCs w:val="26"/>
        </w:rPr>
        <w:t xml:space="preserve"> </w:t>
      </w:r>
      <w:r w:rsidRPr="00BB32AF">
        <w:rPr>
          <w:szCs w:val="26"/>
        </w:rPr>
        <w:t>to co</w:t>
      </w:r>
      <w:r w:rsidRPr="00BB32AF">
        <w:rPr>
          <w:spacing w:val="2"/>
          <w:szCs w:val="26"/>
        </w:rPr>
        <w:t>m</w:t>
      </w:r>
      <w:r w:rsidRPr="00BB32AF">
        <w:rPr>
          <w:spacing w:val="-1"/>
          <w:szCs w:val="26"/>
        </w:rPr>
        <w:t>m</w:t>
      </w:r>
      <w:r w:rsidRPr="00BB32AF">
        <w:rPr>
          <w:szCs w:val="26"/>
        </w:rPr>
        <w:t>un</w:t>
      </w:r>
      <w:r w:rsidRPr="00BB32AF">
        <w:rPr>
          <w:spacing w:val="1"/>
          <w:szCs w:val="26"/>
        </w:rPr>
        <w:t>i</w:t>
      </w:r>
      <w:r w:rsidRPr="00BB32AF">
        <w:rPr>
          <w:szCs w:val="26"/>
        </w:rPr>
        <w:t>cate</w:t>
      </w:r>
      <w:r w:rsidRPr="00BB32AF">
        <w:rPr>
          <w:spacing w:val="-16"/>
          <w:szCs w:val="26"/>
        </w:rPr>
        <w:t xml:space="preserve"> </w:t>
      </w:r>
      <w:r w:rsidRPr="00BB32AF">
        <w:rPr>
          <w:szCs w:val="26"/>
        </w:rPr>
        <w:t>cha</w:t>
      </w:r>
      <w:r w:rsidRPr="00BB32AF">
        <w:rPr>
          <w:spacing w:val="3"/>
          <w:szCs w:val="26"/>
        </w:rPr>
        <w:t>n</w:t>
      </w:r>
      <w:r w:rsidRPr="00BB32AF">
        <w:rPr>
          <w:szCs w:val="26"/>
        </w:rPr>
        <w:t>g</w:t>
      </w:r>
      <w:r w:rsidRPr="00BB32AF">
        <w:rPr>
          <w:spacing w:val="3"/>
          <w:szCs w:val="26"/>
        </w:rPr>
        <w:t>e</w:t>
      </w:r>
      <w:r w:rsidRPr="00BB32AF">
        <w:rPr>
          <w:szCs w:val="26"/>
        </w:rPr>
        <w:t>s</w:t>
      </w:r>
      <w:r w:rsidRPr="00BB32AF">
        <w:rPr>
          <w:spacing w:val="-9"/>
          <w:szCs w:val="26"/>
        </w:rPr>
        <w:t xml:space="preserve"> </w:t>
      </w:r>
      <w:r w:rsidRPr="00BB32AF">
        <w:rPr>
          <w:szCs w:val="26"/>
        </w:rPr>
        <w:t>a</w:t>
      </w:r>
      <w:r w:rsidRPr="00BB32AF">
        <w:rPr>
          <w:spacing w:val="1"/>
          <w:szCs w:val="26"/>
        </w:rPr>
        <w:t>s</w:t>
      </w:r>
      <w:r w:rsidRPr="00BB32AF">
        <w:rPr>
          <w:szCs w:val="26"/>
        </w:rPr>
        <w:t>socia</w:t>
      </w:r>
      <w:r w:rsidRPr="00BB32AF">
        <w:rPr>
          <w:spacing w:val="-1"/>
          <w:szCs w:val="26"/>
        </w:rPr>
        <w:t>t</w:t>
      </w:r>
      <w:r w:rsidRPr="00BB32AF">
        <w:rPr>
          <w:szCs w:val="26"/>
        </w:rPr>
        <w:t>ed</w:t>
      </w:r>
      <w:r w:rsidRPr="00BB32AF">
        <w:rPr>
          <w:spacing w:val="-9"/>
          <w:szCs w:val="26"/>
        </w:rPr>
        <w:t xml:space="preserve"> </w:t>
      </w:r>
      <w:r w:rsidRPr="00BB32AF">
        <w:rPr>
          <w:szCs w:val="26"/>
        </w:rPr>
        <w:t>w</w:t>
      </w:r>
      <w:r w:rsidRPr="00BB32AF">
        <w:rPr>
          <w:spacing w:val="1"/>
          <w:szCs w:val="26"/>
        </w:rPr>
        <w:t>i</w:t>
      </w:r>
      <w:r w:rsidRPr="00BB32AF">
        <w:rPr>
          <w:szCs w:val="26"/>
        </w:rPr>
        <w:t>th the</w:t>
      </w:r>
      <w:r w:rsidRPr="00BB32AF">
        <w:rPr>
          <w:spacing w:val="-4"/>
          <w:szCs w:val="26"/>
        </w:rPr>
        <w:t xml:space="preserve"> </w:t>
      </w:r>
      <w:r w:rsidRPr="00BB32AF">
        <w:rPr>
          <w:szCs w:val="26"/>
        </w:rPr>
        <w:t>ov</w:t>
      </w:r>
      <w:r w:rsidRPr="00BB32AF">
        <w:rPr>
          <w:spacing w:val="1"/>
          <w:szCs w:val="26"/>
        </w:rPr>
        <w:t>er</w:t>
      </w:r>
      <w:r w:rsidRPr="00BB32AF">
        <w:rPr>
          <w:spacing w:val="-1"/>
          <w:szCs w:val="26"/>
        </w:rPr>
        <w:t>l</w:t>
      </w:r>
      <w:r w:rsidRPr="00BB32AF">
        <w:rPr>
          <w:szCs w:val="26"/>
        </w:rPr>
        <w:t>ay</w:t>
      </w:r>
      <w:r w:rsidRPr="00BB32AF">
        <w:rPr>
          <w:spacing w:val="-7"/>
          <w:szCs w:val="26"/>
        </w:rPr>
        <w:t xml:space="preserve"> </w:t>
      </w:r>
      <w:r w:rsidRPr="00BB32AF">
        <w:rPr>
          <w:szCs w:val="26"/>
        </w:rPr>
        <w:t>to</w:t>
      </w:r>
      <w:r w:rsidRPr="00BB32AF">
        <w:rPr>
          <w:spacing w:val="-2"/>
          <w:szCs w:val="26"/>
        </w:rPr>
        <w:t xml:space="preserve"> </w:t>
      </w:r>
      <w:r w:rsidRPr="00BB32AF">
        <w:rPr>
          <w:szCs w:val="26"/>
        </w:rPr>
        <w:t>c</w:t>
      </w:r>
      <w:r w:rsidRPr="00BB32AF">
        <w:rPr>
          <w:spacing w:val="2"/>
          <w:szCs w:val="26"/>
        </w:rPr>
        <w:t>h</w:t>
      </w:r>
      <w:r w:rsidRPr="00BB32AF">
        <w:rPr>
          <w:spacing w:val="-1"/>
          <w:szCs w:val="26"/>
        </w:rPr>
        <w:t>il</w:t>
      </w:r>
      <w:r w:rsidRPr="00BB32AF">
        <w:rPr>
          <w:szCs w:val="26"/>
        </w:rPr>
        <w:t>d</w:t>
      </w:r>
      <w:r w:rsidRPr="00BB32AF">
        <w:rPr>
          <w:spacing w:val="1"/>
          <w:szCs w:val="26"/>
        </w:rPr>
        <w:t>r</w:t>
      </w:r>
      <w:r w:rsidRPr="00BB32AF">
        <w:rPr>
          <w:spacing w:val="3"/>
          <w:szCs w:val="26"/>
        </w:rPr>
        <w:t>e</w:t>
      </w:r>
      <w:r w:rsidRPr="00BB32AF">
        <w:rPr>
          <w:szCs w:val="26"/>
        </w:rPr>
        <w:t>n,</w:t>
      </w:r>
      <w:r w:rsidRPr="00BB32AF">
        <w:rPr>
          <w:spacing w:val="-10"/>
          <w:szCs w:val="26"/>
        </w:rPr>
        <w:t xml:space="preserve"> </w:t>
      </w:r>
      <w:r w:rsidRPr="00BB32AF">
        <w:rPr>
          <w:szCs w:val="26"/>
        </w:rPr>
        <w:t>the</w:t>
      </w:r>
      <w:r w:rsidRPr="00BB32AF">
        <w:rPr>
          <w:spacing w:val="-4"/>
          <w:szCs w:val="26"/>
        </w:rPr>
        <w:t xml:space="preserve"> </w:t>
      </w:r>
      <w:r w:rsidRPr="00BB32AF">
        <w:rPr>
          <w:szCs w:val="26"/>
        </w:rPr>
        <w:t>elde</w:t>
      </w:r>
      <w:r w:rsidRPr="00BB32AF">
        <w:rPr>
          <w:spacing w:val="1"/>
          <w:szCs w:val="26"/>
        </w:rPr>
        <w:t>rl</w:t>
      </w:r>
      <w:r w:rsidRPr="00BB32AF">
        <w:rPr>
          <w:szCs w:val="26"/>
        </w:rPr>
        <w:t>y,</w:t>
      </w:r>
      <w:r w:rsidRPr="00BB32AF">
        <w:rPr>
          <w:spacing w:val="-9"/>
          <w:szCs w:val="26"/>
        </w:rPr>
        <w:t xml:space="preserve"> </w:t>
      </w:r>
      <w:r w:rsidRPr="00BB32AF">
        <w:rPr>
          <w:szCs w:val="26"/>
        </w:rPr>
        <w:t>the</w:t>
      </w:r>
      <w:r w:rsidRPr="00BB32AF">
        <w:rPr>
          <w:spacing w:val="-4"/>
          <w:szCs w:val="26"/>
        </w:rPr>
        <w:t xml:space="preserve"> </w:t>
      </w:r>
      <w:r w:rsidRPr="00BB32AF">
        <w:rPr>
          <w:spacing w:val="3"/>
          <w:szCs w:val="26"/>
        </w:rPr>
        <w:t>d</w:t>
      </w:r>
      <w:r w:rsidRPr="00BB32AF">
        <w:rPr>
          <w:spacing w:val="-1"/>
          <w:szCs w:val="26"/>
        </w:rPr>
        <w:t>i</w:t>
      </w:r>
      <w:r w:rsidRPr="00BB32AF">
        <w:rPr>
          <w:spacing w:val="3"/>
          <w:szCs w:val="26"/>
        </w:rPr>
        <w:t>s</w:t>
      </w:r>
      <w:r w:rsidRPr="00BB32AF">
        <w:rPr>
          <w:szCs w:val="26"/>
        </w:rPr>
        <w:t>abled co</w:t>
      </w:r>
      <w:r w:rsidRPr="00BB32AF">
        <w:rPr>
          <w:spacing w:val="2"/>
          <w:szCs w:val="26"/>
        </w:rPr>
        <w:t>m</w:t>
      </w:r>
      <w:r w:rsidRPr="00BB32AF">
        <w:rPr>
          <w:spacing w:val="-1"/>
          <w:szCs w:val="26"/>
        </w:rPr>
        <w:t>m</w:t>
      </w:r>
      <w:r w:rsidRPr="00BB32AF">
        <w:rPr>
          <w:szCs w:val="26"/>
        </w:rPr>
        <w:t>un</w:t>
      </w:r>
      <w:r w:rsidRPr="00BB32AF">
        <w:rPr>
          <w:spacing w:val="1"/>
          <w:szCs w:val="26"/>
        </w:rPr>
        <w:t>i</w:t>
      </w:r>
      <w:r w:rsidRPr="00BB32AF">
        <w:rPr>
          <w:szCs w:val="26"/>
        </w:rPr>
        <w:t>ty,</w:t>
      </w:r>
      <w:r w:rsidRPr="00BB32AF">
        <w:rPr>
          <w:spacing w:val="-14"/>
          <w:szCs w:val="26"/>
        </w:rPr>
        <w:t xml:space="preserve"> </w:t>
      </w:r>
      <w:r w:rsidRPr="00BB32AF">
        <w:rPr>
          <w:szCs w:val="26"/>
        </w:rPr>
        <w:t>a</w:t>
      </w:r>
      <w:r w:rsidRPr="00BB32AF">
        <w:rPr>
          <w:spacing w:val="2"/>
          <w:szCs w:val="26"/>
        </w:rPr>
        <w:t>n</w:t>
      </w:r>
      <w:r w:rsidRPr="00BB32AF">
        <w:rPr>
          <w:szCs w:val="26"/>
        </w:rPr>
        <w:t>d</w:t>
      </w:r>
      <w:r w:rsidRPr="00BB32AF">
        <w:rPr>
          <w:spacing w:val="-4"/>
          <w:szCs w:val="26"/>
        </w:rPr>
        <w:t xml:space="preserve"> </w:t>
      </w:r>
      <w:r w:rsidRPr="00BB32AF">
        <w:rPr>
          <w:szCs w:val="26"/>
        </w:rPr>
        <w:t>the</w:t>
      </w:r>
      <w:r w:rsidRPr="00BB32AF">
        <w:rPr>
          <w:spacing w:val="-2"/>
          <w:szCs w:val="26"/>
        </w:rPr>
        <w:t xml:space="preserve"> </w:t>
      </w:r>
      <w:r w:rsidRPr="00BB32AF">
        <w:rPr>
          <w:szCs w:val="26"/>
        </w:rPr>
        <w:t>v</w:t>
      </w:r>
      <w:r w:rsidRPr="00BB32AF">
        <w:rPr>
          <w:spacing w:val="2"/>
          <w:szCs w:val="26"/>
        </w:rPr>
        <w:t>a</w:t>
      </w:r>
      <w:r w:rsidRPr="00BB32AF">
        <w:rPr>
          <w:spacing w:val="1"/>
          <w:szCs w:val="26"/>
        </w:rPr>
        <w:t>r</w:t>
      </w:r>
      <w:r w:rsidRPr="00BB32AF">
        <w:rPr>
          <w:spacing w:val="-1"/>
          <w:szCs w:val="26"/>
        </w:rPr>
        <w:t>i</w:t>
      </w:r>
      <w:r w:rsidRPr="00BB32AF">
        <w:rPr>
          <w:szCs w:val="26"/>
        </w:rPr>
        <w:t>ous</w:t>
      </w:r>
      <w:r w:rsidRPr="00BB32AF">
        <w:rPr>
          <w:spacing w:val="-9"/>
          <w:szCs w:val="26"/>
        </w:rPr>
        <w:t xml:space="preserve"> </w:t>
      </w:r>
      <w:r w:rsidRPr="00BB32AF">
        <w:rPr>
          <w:spacing w:val="1"/>
          <w:szCs w:val="26"/>
        </w:rPr>
        <w:t>e</w:t>
      </w:r>
      <w:r w:rsidRPr="00BB32AF">
        <w:rPr>
          <w:szCs w:val="26"/>
        </w:rPr>
        <w:t>t</w:t>
      </w:r>
      <w:r w:rsidRPr="00BB32AF">
        <w:rPr>
          <w:spacing w:val="2"/>
          <w:szCs w:val="26"/>
        </w:rPr>
        <w:t>h</w:t>
      </w:r>
      <w:r w:rsidRPr="00BB32AF">
        <w:rPr>
          <w:szCs w:val="26"/>
        </w:rPr>
        <w:t>nic</w:t>
      </w:r>
      <w:r w:rsidRPr="00BB32AF">
        <w:rPr>
          <w:spacing w:val="-7"/>
          <w:szCs w:val="26"/>
        </w:rPr>
        <w:t xml:space="preserve"> </w:t>
      </w:r>
      <w:r w:rsidRPr="00BB32AF">
        <w:rPr>
          <w:szCs w:val="26"/>
        </w:rPr>
        <w:t>gr</w:t>
      </w:r>
      <w:r w:rsidRPr="00BB32AF">
        <w:rPr>
          <w:spacing w:val="2"/>
          <w:szCs w:val="26"/>
        </w:rPr>
        <w:t>o</w:t>
      </w:r>
      <w:r w:rsidRPr="00BB32AF">
        <w:rPr>
          <w:szCs w:val="26"/>
        </w:rPr>
        <w:t>u</w:t>
      </w:r>
      <w:r w:rsidRPr="00BB32AF">
        <w:rPr>
          <w:spacing w:val="2"/>
          <w:szCs w:val="26"/>
        </w:rPr>
        <w:t>p</w:t>
      </w:r>
      <w:r w:rsidRPr="00BB32AF">
        <w:rPr>
          <w:szCs w:val="26"/>
        </w:rPr>
        <w:t>s</w:t>
      </w:r>
      <w:r w:rsidRPr="00BB32AF">
        <w:rPr>
          <w:spacing w:val="-8"/>
          <w:szCs w:val="26"/>
        </w:rPr>
        <w:t xml:space="preserve"> </w:t>
      </w:r>
      <w:r w:rsidRPr="00BB32AF">
        <w:rPr>
          <w:szCs w:val="26"/>
        </w:rPr>
        <w:t>in</w:t>
      </w:r>
      <w:r w:rsidRPr="00BB32AF">
        <w:rPr>
          <w:spacing w:val="-2"/>
          <w:szCs w:val="26"/>
        </w:rPr>
        <w:t xml:space="preserve"> </w:t>
      </w:r>
      <w:r w:rsidRPr="00BB32AF">
        <w:rPr>
          <w:szCs w:val="26"/>
        </w:rPr>
        <w:t>the</w:t>
      </w:r>
      <w:r w:rsidRPr="00BB32AF">
        <w:rPr>
          <w:spacing w:val="-4"/>
          <w:szCs w:val="26"/>
        </w:rPr>
        <w:t xml:space="preserve"> </w:t>
      </w:r>
      <w:r w:rsidRPr="00BB32AF">
        <w:rPr>
          <w:spacing w:val="1"/>
          <w:szCs w:val="26"/>
        </w:rPr>
        <w:t>r</w:t>
      </w:r>
      <w:r w:rsidRPr="00BB32AF">
        <w:rPr>
          <w:szCs w:val="26"/>
        </w:rPr>
        <w:t>e</w:t>
      </w:r>
      <w:r w:rsidRPr="00BB32AF">
        <w:rPr>
          <w:spacing w:val="3"/>
          <w:szCs w:val="26"/>
        </w:rPr>
        <w:t>g</w:t>
      </w:r>
      <w:r w:rsidRPr="00BB32AF">
        <w:rPr>
          <w:spacing w:val="-1"/>
          <w:szCs w:val="26"/>
        </w:rPr>
        <w:t>i</w:t>
      </w:r>
      <w:r w:rsidRPr="00BB32AF">
        <w:rPr>
          <w:szCs w:val="26"/>
        </w:rPr>
        <w:t>on;</w:t>
      </w:r>
    </w:p>
    <w:p w:rsidRPr="00BB32AF" w:rsidR="00153201" w:rsidP="00153201" w:rsidRDefault="00153201" w14:paraId="7A5079F1" w14:textId="77777777">
      <w:pPr>
        <w:numPr>
          <w:ilvl w:val="0"/>
          <w:numId w:val="27"/>
        </w:numPr>
        <w:spacing w:after="120" w:line="240" w:lineRule="auto"/>
        <w:ind w:left="1080" w:right="1440"/>
        <w:rPr>
          <w:szCs w:val="26"/>
        </w:rPr>
      </w:pPr>
      <w:r w:rsidRPr="00BB32AF">
        <w:rPr>
          <w:szCs w:val="26"/>
        </w:rPr>
        <w:lastRenderedPageBreak/>
        <w:t>Prior</w:t>
      </w:r>
      <w:r w:rsidRPr="00BB32AF">
        <w:rPr>
          <w:spacing w:val="1"/>
          <w:szCs w:val="26"/>
        </w:rPr>
        <w:t>i</w:t>
      </w:r>
      <w:r w:rsidRPr="00BB32AF">
        <w:rPr>
          <w:szCs w:val="26"/>
        </w:rPr>
        <w:t>t</w:t>
      </w:r>
      <w:r w:rsidRPr="00BB32AF">
        <w:rPr>
          <w:spacing w:val="-2"/>
          <w:szCs w:val="26"/>
        </w:rPr>
        <w:t>i</w:t>
      </w:r>
      <w:r w:rsidRPr="00BB32AF">
        <w:rPr>
          <w:szCs w:val="26"/>
        </w:rPr>
        <w:t>zed</w:t>
      </w:r>
      <w:r w:rsidRPr="00BB32AF">
        <w:rPr>
          <w:spacing w:val="-9"/>
          <w:szCs w:val="26"/>
        </w:rPr>
        <w:t xml:space="preserve"> </w:t>
      </w:r>
      <w:r w:rsidRPr="00BB32AF">
        <w:rPr>
          <w:szCs w:val="26"/>
        </w:rPr>
        <w:t>the</w:t>
      </w:r>
      <w:r w:rsidRPr="00BB32AF">
        <w:rPr>
          <w:spacing w:val="-4"/>
          <w:szCs w:val="26"/>
        </w:rPr>
        <w:t xml:space="preserve"> </w:t>
      </w:r>
      <w:r w:rsidRPr="00BB32AF">
        <w:rPr>
          <w:spacing w:val="1"/>
          <w:szCs w:val="26"/>
        </w:rPr>
        <w:t>e</w:t>
      </w:r>
      <w:r w:rsidRPr="00BB32AF">
        <w:rPr>
          <w:szCs w:val="26"/>
        </w:rPr>
        <w:t>duc</w:t>
      </w:r>
      <w:r w:rsidRPr="00BB32AF">
        <w:rPr>
          <w:spacing w:val="2"/>
          <w:szCs w:val="26"/>
        </w:rPr>
        <w:t>a</w:t>
      </w:r>
      <w:r w:rsidRPr="00BB32AF">
        <w:rPr>
          <w:szCs w:val="26"/>
        </w:rPr>
        <w:t>t</w:t>
      </w:r>
      <w:r w:rsidRPr="00BB32AF">
        <w:rPr>
          <w:spacing w:val="-2"/>
          <w:szCs w:val="26"/>
        </w:rPr>
        <w:t>i</w:t>
      </w:r>
      <w:r w:rsidRPr="00BB32AF">
        <w:rPr>
          <w:szCs w:val="26"/>
        </w:rPr>
        <w:t>on</w:t>
      </w:r>
      <w:r w:rsidRPr="00BB32AF">
        <w:rPr>
          <w:spacing w:val="-11"/>
          <w:szCs w:val="26"/>
        </w:rPr>
        <w:t xml:space="preserve"> </w:t>
      </w:r>
      <w:r w:rsidRPr="00BB32AF">
        <w:rPr>
          <w:szCs w:val="26"/>
        </w:rPr>
        <w:t>of</w:t>
      </w:r>
      <w:r w:rsidRPr="00BB32AF">
        <w:rPr>
          <w:spacing w:val="1"/>
          <w:szCs w:val="26"/>
        </w:rPr>
        <w:t xml:space="preserve"> </w:t>
      </w:r>
      <w:r w:rsidRPr="00BB32AF">
        <w:rPr>
          <w:szCs w:val="26"/>
        </w:rPr>
        <w:t>those</w:t>
      </w:r>
      <w:r w:rsidRPr="00BB32AF">
        <w:rPr>
          <w:spacing w:val="-6"/>
          <w:szCs w:val="26"/>
        </w:rPr>
        <w:t xml:space="preserve"> </w:t>
      </w:r>
      <w:r w:rsidRPr="00BB32AF">
        <w:rPr>
          <w:szCs w:val="26"/>
        </w:rPr>
        <w:t>e</w:t>
      </w:r>
      <w:r w:rsidRPr="00BB32AF">
        <w:rPr>
          <w:spacing w:val="1"/>
          <w:szCs w:val="26"/>
        </w:rPr>
        <w:t>n</w:t>
      </w:r>
      <w:r w:rsidRPr="00BB32AF">
        <w:rPr>
          <w:spacing w:val="2"/>
          <w:szCs w:val="26"/>
        </w:rPr>
        <w:t>t</w:t>
      </w:r>
      <w:r w:rsidRPr="00BB32AF">
        <w:rPr>
          <w:spacing w:val="-1"/>
          <w:szCs w:val="26"/>
        </w:rPr>
        <w:t>i</w:t>
      </w:r>
      <w:r w:rsidRPr="00BB32AF">
        <w:rPr>
          <w:spacing w:val="2"/>
          <w:szCs w:val="26"/>
        </w:rPr>
        <w:t>t</w:t>
      </w:r>
      <w:r w:rsidRPr="00BB32AF">
        <w:rPr>
          <w:spacing w:val="-1"/>
          <w:szCs w:val="26"/>
        </w:rPr>
        <w:t>i</w:t>
      </w:r>
      <w:r w:rsidRPr="00BB32AF">
        <w:rPr>
          <w:szCs w:val="26"/>
        </w:rPr>
        <w:t>es</w:t>
      </w:r>
      <w:r w:rsidRPr="00BB32AF">
        <w:rPr>
          <w:spacing w:val="-8"/>
          <w:szCs w:val="26"/>
        </w:rPr>
        <w:t xml:space="preserve"> </w:t>
      </w:r>
      <w:r w:rsidRPr="00BB32AF">
        <w:rPr>
          <w:szCs w:val="26"/>
        </w:rPr>
        <w:t>that</w:t>
      </w:r>
      <w:r w:rsidRPr="00BB32AF">
        <w:rPr>
          <w:spacing w:val="-4"/>
          <w:szCs w:val="26"/>
        </w:rPr>
        <w:t xml:space="preserve"> </w:t>
      </w:r>
      <w:r w:rsidRPr="00BB32AF">
        <w:rPr>
          <w:spacing w:val="1"/>
          <w:szCs w:val="26"/>
        </w:rPr>
        <w:t>w</w:t>
      </w:r>
      <w:r w:rsidRPr="00BB32AF">
        <w:rPr>
          <w:spacing w:val="-1"/>
          <w:szCs w:val="26"/>
        </w:rPr>
        <w:t>i</w:t>
      </w:r>
      <w:r w:rsidRPr="00BB32AF">
        <w:rPr>
          <w:spacing w:val="1"/>
          <w:szCs w:val="26"/>
        </w:rPr>
        <w:t>l</w:t>
      </w:r>
      <w:r w:rsidRPr="00BB32AF">
        <w:rPr>
          <w:szCs w:val="26"/>
        </w:rPr>
        <w:t>l</w:t>
      </w:r>
      <w:r w:rsidRPr="00BB32AF">
        <w:rPr>
          <w:spacing w:val="-5"/>
          <w:szCs w:val="26"/>
        </w:rPr>
        <w:t xml:space="preserve"> </w:t>
      </w:r>
      <w:r w:rsidRPr="00BB32AF">
        <w:rPr>
          <w:szCs w:val="26"/>
        </w:rPr>
        <w:t>n</w:t>
      </w:r>
      <w:r w:rsidRPr="00BB32AF">
        <w:rPr>
          <w:spacing w:val="1"/>
          <w:szCs w:val="26"/>
        </w:rPr>
        <w:t>e</w:t>
      </w:r>
      <w:r w:rsidRPr="00BB32AF">
        <w:rPr>
          <w:szCs w:val="26"/>
        </w:rPr>
        <w:t>ed</w:t>
      </w:r>
      <w:r w:rsidRPr="00BB32AF">
        <w:rPr>
          <w:spacing w:val="-6"/>
          <w:szCs w:val="26"/>
        </w:rPr>
        <w:t xml:space="preserve"> </w:t>
      </w:r>
      <w:r w:rsidRPr="00BB32AF">
        <w:rPr>
          <w:spacing w:val="2"/>
          <w:szCs w:val="26"/>
        </w:rPr>
        <w:t>t</w:t>
      </w:r>
      <w:r w:rsidRPr="00BB32AF">
        <w:rPr>
          <w:szCs w:val="26"/>
        </w:rPr>
        <w:t xml:space="preserve">o </w:t>
      </w:r>
      <w:r w:rsidRPr="00BB32AF">
        <w:rPr>
          <w:spacing w:val="1"/>
          <w:szCs w:val="26"/>
        </w:rPr>
        <w:t>r</w:t>
      </w:r>
      <w:r w:rsidRPr="00BB32AF">
        <w:rPr>
          <w:szCs w:val="26"/>
        </w:rPr>
        <w:t>ep</w:t>
      </w:r>
      <w:r w:rsidRPr="00BB32AF">
        <w:rPr>
          <w:spacing w:val="1"/>
          <w:szCs w:val="26"/>
        </w:rPr>
        <w:t>r</w:t>
      </w:r>
      <w:r w:rsidRPr="00BB32AF">
        <w:rPr>
          <w:szCs w:val="26"/>
        </w:rPr>
        <w:t>og</w:t>
      </w:r>
      <w:r w:rsidRPr="00BB32AF">
        <w:rPr>
          <w:spacing w:val="1"/>
          <w:szCs w:val="26"/>
        </w:rPr>
        <w:t>r</w:t>
      </w:r>
      <w:r w:rsidRPr="00BB32AF">
        <w:rPr>
          <w:szCs w:val="26"/>
        </w:rPr>
        <w:t>am</w:t>
      </w:r>
      <w:r w:rsidRPr="00BB32AF">
        <w:rPr>
          <w:spacing w:val="-13"/>
          <w:szCs w:val="26"/>
        </w:rPr>
        <w:t xml:space="preserve"> </w:t>
      </w:r>
      <w:r w:rsidRPr="00BB32AF">
        <w:rPr>
          <w:szCs w:val="26"/>
        </w:rPr>
        <w:t>e</w:t>
      </w:r>
      <w:r w:rsidRPr="00BB32AF">
        <w:rPr>
          <w:spacing w:val="2"/>
          <w:szCs w:val="26"/>
        </w:rPr>
        <w:t>q</w:t>
      </w:r>
      <w:r w:rsidRPr="00BB32AF">
        <w:rPr>
          <w:szCs w:val="26"/>
        </w:rPr>
        <w:t>u</w:t>
      </w:r>
      <w:r w:rsidRPr="00BB32AF">
        <w:rPr>
          <w:spacing w:val="-1"/>
          <w:szCs w:val="26"/>
        </w:rPr>
        <w:t>i</w:t>
      </w:r>
      <w:r w:rsidRPr="00BB32AF">
        <w:rPr>
          <w:spacing w:val="2"/>
          <w:szCs w:val="26"/>
        </w:rPr>
        <w:t>p</w:t>
      </w:r>
      <w:r w:rsidRPr="00BB32AF">
        <w:rPr>
          <w:spacing w:val="-1"/>
          <w:szCs w:val="26"/>
        </w:rPr>
        <w:t>m</w:t>
      </w:r>
      <w:r w:rsidRPr="00BB32AF">
        <w:rPr>
          <w:spacing w:val="3"/>
          <w:szCs w:val="26"/>
        </w:rPr>
        <w:t>e</w:t>
      </w:r>
      <w:r w:rsidRPr="00BB32AF">
        <w:rPr>
          <w:szCs w:val="26"/>
        </w:rPr>
        <w:t>nt</w:t>
      </w:r>
      <w:r w:rsidRPr="00BB32AF">
        <w:rPr>
          <w:spacing w:val="-12"/>
          <w:szCs w:val="26"/>
        </w:rPr>
        <w:t xml:space="preserve"> </w:t>
      </w:r>
      <w:r w:rsidRPr="00BB32AF">
        <w:rPr>
          <w:szCs w:val="26"/>
        </w:rPr>
        <w:t>due</w:t>
      </w:r>
      <w:r w:rsidRPr="00BB32AF">
        <w:rPr>
          <w:spacing w:val="-4"/>
          <w:szCs w:val="26"/>
        </w:rPr>
        <w:t xml:space="preserve"> </w:t>
      </w:r>
      <w:r w:rsidRPr="00BB32AF">
        <w:rPr>
          <w:szCs w:val="26"/>
        </w:rPr>
        <w:t>to the</w:t>
      </w:r>
      <w:r w:rsidRPr="00BB32AF">
        <w:rPr>
          <w:spacing w:val="-4"/>
          <w:szCs w:val="26"/>
        </w:rPr>
        <w:t xml:space="preserve"> </w:t>
      </w:r>
      <w:r w:rsidRPr="00BB32AF">
        <w:rPr>
          <w:spacing w:val="1"/>
          <w:szCs w:val="26"/>
        </w:rPr>
        <w:t>n</w:t>
      </w:r>
      <w:r w:rsidRPr="00BB32AF">
        <w:rPr>
          <w:szCs w:val="26"/>
        </w:rPr>
        <w:t>ew</w:t>
      </w:r>
      <w:r w:rsidRPr="00BB32AF">
        <w:rPr>
          <w:spacing w:val="-5"/>
          <w:szCs w:val="26"/>
        </w:rPr>
        <w:t xml:space="preserve"> </w:t>
      </w:r>
      <w:r w:rsidRPr="00BB32AF">
        <w:rPr>
          <w:spacing w:val="3"/>
          <w:szCs w:val="26"/>
        </w:rPr>
        <w:t>d</w:t>
      </w:r>
      <w:r w:rsidRPr="00BB32AF">
        <w:rPr>
          <w:spacing w:val="-1"/>
          <w:szCs w:val="26"/>
        </w:rPr>
        <w:t>i</w:t>
      </w:r>
      <w:r w:rsidRPr="00BB32AF">
        <w:rPr>
          <w:spacing w:val="2"/>
          <w:szCs w:val="26"/>
        </w:rPr>
        <w:t>a</w:t>
      </w:r>
      <w:r w:rsidRPr="00BB32AF">
        <w:rPr>
          <w:spacing w:val="-1"/>
          <w:szCs w:val="26"/>
        </w:rPr>
        <w:t>li</w:t>
      </w:r>
      <w:r w:rsidRPr="00BB32AF">
        <w:rPr>
          <w:szCs w:val="26"/>
        </w:rPr>
        <w:t>ng</w:t>
      </w:r>
      <w:r w:rsidRPr="00BB32AF">
        <w:rPr>
          <w:spacing w:val="-6"/>
          <w:szCs w:val="26"/>
        </w:rPr>
        <w:t xml:space="preserve"> </w:t>
      </w:r>
      <w:r w:rsidRPr="00BB32AF">
        <w:rPr>
          <w:szCs w:val="26"/>
        </w:rPr>
        <w:t>p</w:t>
      </w:r>
      <w:r w:rsidRPr="00BB32AF">
        <w:rPr>
          <w:spacing w:val="1"/>
          <w:szCs w:val="26"/>
        </w:rPr>
        <w:t>r</w:t>
      </w:r>
      <w:r w:rsidRPr="00BB32AF">
        <w:rPr>
          <w:szCs w:val="26"/>
        </w:rPr>
        <w:t>oc</w:t>
      </w:r>
      <w:r w:rsidRPr="00BB32AF">
        <w:rPr>
          <w:spacing w:val="1"/>
          <w:szCs w:val="26"/>
        </w:rPr>
        <w:t>e</w:t>
      </w:r>
      <w:r w:rsidRPr="00BB32AF">
        <w:rPr>
          <w:szCs w:val="26"/>
        </w:rPr>
        <w:t>dur</w:t>
      </w:r>
      <w:r w:rsidRPr="00BB32AF">
        <w:rPr>
          <w:spacing w:val="1"/>
          <w:szCs w:val="26"/>
        </w:rPr>
        <w:t>e</w:t>
      </w:r>
      <w:r w:rsidRPr="00BB32AF">
        <w:rPr>
          <w:szCs w:val="26"/>
        </w:rPr>
        <w:t>, such</w:t>
      </w:r>
      <w:r w:rsidRPr="00BB32AF">
        <w:rPr>
          <w:spacing w:val="-5"/>
          <w:szCs w:val="26"/>
        </w:rPr>
        <w:t xml:space="preserve"> </w:t>
      </w:r>
      <w:r w:rsidRPr="00BB32AF">
        <w:rPr>
          <w:szCs w:val="26"/>
        </w:rPr>
        <w:t>as</w:t>
      </w:r>
      <w:r w:rsidRPr="00BB32AF">
        <w:rPr>
          <w:spacing w:val="-2"/>
          <w:szCs w:val="26"/>
        </w:rPr>
        <w:t xml:space="preserve"> </w:t>
      </w:r>
      <w:r w:rsidRPr="00BB32AF">
        <w:rPr>
          <w:szCs w:val="26"/>
        </w:rPr>
        <w:t>a</w:t>
      </w:r>
      <w:r w:rsidRPr="00BB32AF">
        <w:rPr>
          <w:spacing w:val="1"/>
          <w:szCs w:val="26"/>
        </w:rPr>
        <w:t>l</w:t>
      </w:r>
      <w:r w:rsidRPr="00BB32AF">
        <w:rPr>
          <w:szCs w:val="26"/>
        </w:rPr>
        <w:t>a</w:t>
      </w:r>
      <w:r w:rsidRPr="00BB32AF">
        <w:rPr>
          <w:spacing w:val="1"/>
          <w:szCs w:val="26"/>
        </w:rPr>
        <w:t>r</w:t>
      </w:r>
      <w:r w:rsidRPr="00BB32AF">
        <w:rPr>
          <w:szCs w:val="26"/>
        </w:rPr>
        <w:t>m</w:t>
      </w:r>
      <w:r w:rsidRPr="00BB32AF">
        <w:rPr>
          <w:spacing w:val="-8"/>
          <w:szCs w:val="26"/>
        </w:rPr>
        <w:t xml:space="preserve"> </w:t>
      </w:r>
      <w:r w:rsidRPr="00BB32AF">
        <w:rPr>
          <w:szCs w:val="26"/>
        </w:rPr>
        <w:t>c</w:t>
      </w:r>
      <w:r w:rsidRPr="00BB32AF">
        <w:rPr>
          <w:spacing w:val="2"/>
          <w:szCs w:val="26"/>
        </w:rPr>
        <w:t>o</w:t>
      </w:r>
      <w:r w:rsidRPr="00BB32AF">
        <w:rPr>
          <w:spacing w:val="-1"/>
          <w:szCs w:val="26"/>
        </w:rPr>
        <w:t>m</w:t>
      </w:r>
      <w:r w:rsidRPr="00BB32AF">
        <w:rPr>
          <w:szCs w:val="26"/>
        </w:rPr>
        <w:t>p</w:t>
      </w:r>
      <w:r w:rsidRPr="00BB32AF">
        <w:rPr>
          <w:spacing w:val="2"/>
          <w:szCs w:val="26"/>
        </w:rPr>
        <w:t>a</w:t>
      </w:r>
      <w:r w:rsidRPr="00BB32AF">
        <w:rPr>
          <w:szCs w:val="26"/>
        </w:rPr>
        <w:t>nies;</w:t>
      </w:r>
    </w:p>
    <w:p w:rsidRPr="00BB32AF" w:rsidR="00153201" w:rsidP="00153201" w:rsidRDefault="00153201" w14:paraId="7C630410" w14:textId="77777777">
      <w:pPr>
        <w:numPr>
          <w:ilvl w:val="0"/>
          <w:numId w:val="27"/>
        </w:numPr>
        <w:spacing w:after="120" w:line="240" w:lineRule="auto"/>
        <w:ind w:left="1080" w:right="1440"/>
        <w:rPr>
          <w:szCs w:val="26"/>
        </w:rPr>
      </w:pPr>
      <w:r w:rsidRPr="00BB32AF">
        <w:rPr>
          <w:szCs w:val="26"/>
        </w:rPr>
        <w:t>Re</w:t>
      </w:r>
      <w:r w:rsidRPr="00BB32AF">
        <w:rPr>
          <w:spacing w:val="-1"/>
          <w:szCs w:val="26"/>
        </w:rPr>
        <w:t>q</w:t>
      </w:r>
      <w:r w:rsidRPr="00BB32AF">
        <w:rPr>
          <w:spacing w:val="2"/>
          <w:szCs w:val="26"/>
        </w:rPr>
        <w:t>u</w:t>
      </w:r>
      <w:r w:rsidRPr="00BB32AF">
        <w:rPr>
          <w:spacing w:val="-1"/>
          <w:szCs w:val="26"/>
        </w:rPr>
        <w:t>i</w:t>
      </w:r>
      <w:r w:rsidRPr="00BB32AF">
        <w:rPr>
          <w:spacing w:val="1"/>
          <w:szCs w:val="26"/>
        </w:rPr>
        <w:t>r</w:t>
      </w:r>
      <w:r w:rsidRPr="00BB32AF">
        <w:rPr>
          <w:szCs w:val="26"/>
        </w:rPr>
        <w:t>ed</w:t>
      </w:r>
      <w:r w:rsidRPr="00BB32AF">
        <w:rPr>
          <w:spacing w:val="-11"/>
          <w:szCs w:val="26"/>
        </w:rPr>
        <w:t xml:space="preserve"> </w:t>
      </w:r>
      <w:r w:rsidRPr="00BB32AF">
        <w:rPr>
          <w:szCs w:val="26"/>
        </w:rPr>
        <w:t>the</w:t>
      </w:r>
      <w:r w:rsidRPr="00BB32AF">
        <w:rPr>
          <w:spacing w:val="-1"/>
          <w:szCs w:val="26"/>
        </w:rPr>
        <w:t xml:space="preserve"> </w:t>
      </w:r>
      <w:r w:rsidRPr="00BB32AF">
        <w:rPr>
          <w:szCs w:val="26"/>
        </w:rPr>
        <w:t>PEP</w:t>
      </w:r>
      <w:r w:rsidRPr="00BB32AF">
        <w:rPr>
          <w:spacing w:val="-4"/>
          <w:szCs w:val="26"/>
        </w:rPr>
        <w:t xml:space="preserve"> </w:t>
      </w:r>
      <w:r w:rsidRPr="00BB32AF">
        <w:rPr>
          <w:szCs w:val="26"/>
        </w:rPr>
        <w:t xml:space="preserve">to </w:t>
      </w:r>
      <w:r w:rsidRPr="00BB32AF">
        <w:rPr>
          <w:spacing w:val="-1"/>
          <w:szCs w:val="26"/>
        </w:rPr>
        <w:t>i</w:t>
      </w:r>
      <w:r w:rsidRPr="00BB32AF">
        <w:rPr>
          <w:szCs w:val="26"/>
        </w:rPr>
        <w:t>nfo</w:t>
      </w:r>
      <w:r w:rsidRPr="00BB32AF">
        <w:rPr>
          <w:spacing w:val="1"/>
          <w:szCs w:val="26"/>
        </w:rPr>
        <w:t>r</w:t>
      </w:r>
      <w:r w:rsidRPr="00BB32AF">
        <w:rPr>
          <w:szCs w:val="26"/>
        </w:rPr>
        <w:t>m</w:t>
      </w:r>
      <w:r w:rsidRPr="00BB32AF">
        <w:rPr>
          <w:spacing w:val="-9"/>
          <w:szCs w:val="26"/>
        </w:rPr>
        <w:t xml:space="preserve"> </w:t>
      </w:r>
      <w:r w:rsidRPr="00BB32AF">
        <w:rPr>
          <w:spacing w:val="2"/>
          <w:szCs w:val="26"/>
        </w:rPr>
        <w:t>c</w:t>
      </w:r>
      <w:r w:rsidRPr="00BB32AF">
        <w:rPr>
          <w:szCs w:val="26"/>
        </w:rPr>
        <w:t>ust</w:t>
      </w:r>
      <w:r w:rsidRPr="00BB32AF">
        <w:rPr>
          <w:spacing w:val="2"/>
          <w:szCs w:val="26"/>
        </w:rPr>
        <w:t>o</w:t>
      </w:r>
      <w:r w:rsidRPr="00BB32AF">
        <w:rPr>
          <w:spacing w:val="-1"/>
          <w:szCs w:val="26"/>
        </w:rPr>
        <w:t>m</w:t>
      </w:r>
      <w:r w:rsidRPr="00BB32AF">
        <w:rPr>
          <w:szCs w:val="26"/>
        </w:rPr>
        <w:t>e</w:t>
      </w:r>
      <w:r w:rsidRPr="00BB32AF">
        <w:rPr>
          <w:spacing w:val="1"/>
          <w:szCs w:val="26"/>
        </w:rPr>
        <w:t>r</w:t>
      </w:r>
      <w:r w:rsidRPr="00BB32AF">
        <w:rPr>
          <w:szCs w:val="26"/>
        </w:rPr>
        <w:t>s</w:t>
      </w:r>
      <w:r w:rsidRPr="00BB32AF">
        <w:rPr>
          <w:spacing w:val="-12"/>
          <w:szCs w:val="26"/>
        </w:rPr>
        <w:t xml:space="preserve"> </w:t>
      </w:r>
      <w:r w:rsidRPr="00BB32AF">
        <w:rPr>
          <w:spacing w:val="1"/>
          <w:szCs w:val="26"/>
        </w:rPr>
        <w:t>h</w:t>
      </w:r>
      <w:r w:rsidRPr="00BB32AF">
        <w:rPr>
          <w:spacing w:val="2"/>
          <w:szCs w:val="26"/>
        </w:rPr>
        <w:t>o</w:t>
      </w:r>
      <w:r w:rsidRPr="00BB32AF">
        <w:rPr>
          <w:szCs w:val="26"/>
        </w:rPr>
        <w:t>w</w:t>
      </w:r>
      <w:r w:rsidRPr="00BB32AF">
        <w:rPr>
          <w:spacing w:val="-5"/>
          <w:szCs w:val="26"/>
        </w:rPr>
        <w:t xml:space="preserve"> </w:t>
      </w:r>
      <w:r w:rsidRPr="00BB32AF">
        <w:rPr>
          <w:szCs w:val="26"/>
        </w:rPr>
        <w:t>to</w:t>
      </w:r>
      <w:r w:rsidRPr="00BB32AF">
        <w:rPr>
          <w:spacing w:val="-2"/>
          <w:szCs w:val="26"/>
        </w:rPr>
        <w:t xml:space="preserve"> </w:t>
      </w:r>
      <w:r w:rsidRPr="00BB32AF">
        <w:rPr>
          <w:spacing w:val="2"/>
          <w:szCs w:val="26"/>
        </w:rPr>
        <w:t>d</w:t>
      </w:r>
      <w:r w:rsidRPr="00BB32AF">
        <w:rPr>
          <w:spacing w:val="-1"/>
          <w:szCs w:val="26"/>
        </w:rPr>
        <w:t>i</w:t>
      </w:r>
      <w:r w:rsidRPr="00BB32AF">
        <w:rPr>
          <w:szCs w:val="26"/>
        </w:rPr>
        <w:t>al d</w:t>
      </w:r>
      <w:r w:rsidRPr="00BB32AF">
        <w:rPr>
          <w:spacing w:val="-1"/>
          <w:szCs w:val="26"/>
        </w:rPr>
        <w:t>i</w:t>
      </w:r>
      <w:r w:rsidRPr="00BB32AF">
        <w:rPr>
          <w:spacing w:val="1"/>
          <w:szCs w:val="26"/>
        </w:rPr>
        <w:t>r</w:t>
      </w:r>
      <w:r w:rsidRPr="00BB32AF">
        <w:rPr>
          <w:szCs w:val="26"/>
        </w:rPr>
        <w:t>ecto</w:t>
      </w:r>
      <w:r w:rsidRPr="00BB32AF">
        <w:rPr>
          <w:spacing w:val="1"/>
          <w:szCs w:val="26"/>
        </w:rPr>
        <w:t>r</w:t>
      </w:r>
      <w:r w:rsidRPr="00BB32AF">
        <w:rPr>
          <w:szCs w:val="26"/>
        </w:rPr>
        <w:t>y</w:t>
      </w:r>
      <w:r w:rsidRPr="00BB32AF">
        <w:rPr>
          <w:spacing w:val="-10"/>
          <w:szCs w:val="26"/>
        </w:rPr>
        <w:t xml:space="preserve"> </w:t>
      </w:r>
      <w:r w:rsidRPr="00BB32AF">
        <w:t>as</w:t>
      </w:r>
      <w:r w:rsidRPr="00BB32AF">
        <w:rPr>
          <w:spacing w:val="3"/>
        </w:rPr>
        <w:t>s</w:t>
      </w:r>
      <w:r w:rsidRPr="00BB32AF">
        <w:rPr>
          <w:spacing w:val="-1"/>
        </w:rPr>
        <w:t>i</w:t>
      </w:r>
      <w:r w:rsidRPr="00BB32AF">
        <w:t>stance</w:t>
      </w:r>
      <w:r w:rsidRPr="00BB32AF">
        <w:rPr>
          <w:spacing w:val="-8"/>
          <w:szCs w:val="26"/>
        </w:rPr>
        <w:t xml:space="preserve"> </w:t>
      </w:r>
      <w:r w:rsidRPr="00BB32AF">
        <w:rPr>
          <w:spacing w:val="2"/>
          <w:szCs w:val="26"/>
        </w:rPr>
        <w:t>t</w:t>
      </w:r>
      <w:r w:rsidRPr="00BB32AF">
        <w:rPr>
          <w:szCs w:val="26"/>
        </w:rPr>
        <w:t>o</w:t>
      </w:r>
      <w:r w:rsidRPr="00BB32AF">
        <w:rPr>
          <w:spacing w:val="-2"/>
          <w:szCs w:val="26"/>
        </w:rPr>
        <w:t xml:space="preserve"> </w:t>
      </w:r>
      <w:r w:rsidRPr="00BB32AF">
        <w:rPr>
          <w:spacing w:val="-1"/>
          <w:szCs w:val="26"/>
        </w:rPr>
        <w:t>l</w:t>
      </w:r>
      <w:r w:rsidRPr="00BB32AF">
        <w:rPr>
          <w:szCs w:val="26"/>
        </w:rPr>
        <w:t>ocate</w:t>
      </w:r>
      <w:r w:rsidRPr="00BB32AF">
        <w:rPr>
          <w:spacing w:val="-2"/>
          <w:szCs w:val="26"/>
        </w:rPr>
        <w:t xml:space="preserve"> </w:t>
      </w:r>
      <w:r w:rsidRPr="00BB32AF">
        <w:rPr>
          <w:szCs w:val="26"/>
        </w:rPr>
        <w:t>n</w:t>
      </w:r>
      <w:r w:rsidRPr="00BB32AF">
        <w:rPr>
          <w:spacing w:val="2"/>
          <w:szCs w:val="26"/>
        </w:rPr>
        <w:t>u</w:t>
      </w:r>
      <w:r w:rsidRPr="00BB32AF">
        <w:rPr>
          <w:spacing w:val="-1"/>
          <w:szCs w:val="26"/>
        </w:rPr>
        <w:t>m</w:t>
      </w:r>
      <w:r w:rsidRPr="00BB32AF">
        <w:rPr>
          <w:szCs w:val="26"/>
        </w:rPr>
        <w:t>b</w:t>
      </w:r>
      <w:r w:rsidRPr="00BB32AF">
        <w:rPr>
          <w:spacing w:val="1"/>
          <w:szCs w:val="26"/>
        </w:rPr>
        <w:t>er</w:t>
      </w:r>
      <w:r w:rsidRPr="00BB32AF">
        <w:rPr>
          <w:szCs w:val="26"/>
        </w:rPr>
        <w:t>s</w:t>
      </w:r>
      <w:r w:rsidRPr="00BB32AF">
        <w:rPr>
          <w:spacing w:val="-10"/>
          <w:szCs w:val="26"/>
        </w:rPr>
        <w:t xml:space="preserve"> </w:t>
      </w:r>
      <w:r w:rsidRPr="00BB32AF">
        <w:rPr>
          <w:szCs w:val="26"/>
        </w:rPr>
        <w:t>ap</w:t>
      </w:r>
      <w:r w:rsidRPr="00BB32AF">
        <w:rPr>
          <w:spacing w:val="1"/>
          <w:szCs w:val="26"/>
        </w:rPr>
        <w:t>p</w:t>
      </w:r>
      <w:r w:rsidRPr="00BB32AF">
        <w:rPr>
          <w:spacing w:val="-1"/>
          <w:szCs w:val="26"/>
        </w:rPr>
        <w:t>li</w:t>
      </w:r>
      <w:r w:rsidRPr="00BB32AF">
        <w:rPr>
          <w:szCs w:val="26"/>
        </w:rPr>
        <w:t>ca</w:t>
      </w:r>
      <w:r w:rsidRPr="00BB32AF">
        <w:rPr>
          <w:spacing w:val="3"/>
          <w:szCs w:val="26"/>
        </w:rPr>
        <w:t>b</w:t>
      </w:r>
      <w:r w:rsidRPr="00BB32AF">
        <w:rPr>
          <w:spacing w:val="-1"/>
          <w:szCs w:val="26"/>
        </w:rPr>
        <w:t>l</w:t>
      </w:r>
      <w:r w:rsidRPr="00BB32AF">
        <w:rPr>
          <w:szCs w:val="26"/>
        </w:rPr>
        <w:t>e</w:t>
      </w:r>
      <w:r w:rsidRPr="00BB32AF">
        <w:rPr>
          <w:spacing w:val="-12"/>
          <w:szCs w:val="26"/>
        </w:rPr>
        <w:t xml:space="preserve"> </w:t>
      </w:r>
      <w:r w:rsidRPr="00BB32AF">
        <w:rPr>
          <w:szCs w:val="26"/>
        </w:rPr>
        <w:t>to d</w:t>
      </w:r>
      <w:r w:rsidRPr="00BB32AF">
        <w:rPr>
          <w:spacing w:val="-1"/>
          <w:szCs w:val="26"/>
        </w:rPr>
        <w:t>i</w:t>
      </w:r>
      <w:r w:rsidRPr="00BB32AF">
        <w:rPr>
          <w:szCs w:val="26"/>
        </w:rPr>
        <w:t>ff</w:t>
      </w:r>
      <w:r w:rsidRPr="00BB32AF">
        <w:rPr>
          <w:spacing w:val="1"/>
          <w:szCs w:val="26"/>
        </w:rPr>
        <w:t>er</w:t>
      </w:r>
      <w:r w:rsidRPr="00BB32AF">
        <w:rPr>
          <w:szCs w:val="26"/>
        </w:rPr>
        <w:t>e</w:t>
      </w:r>
      <w:r w:rsidRPr="00BB32AF">
        <w:rPr>
          <w:spacing w:val="1"/>
          <w:szCs w:val="26"/>
        </w:rPr>
        <w:t>n</w:t>
      </w:r>
      <w:r w:rsidRPr="00BB32AF">
        <w:rPr>
          <w:szCs w:val="26"/>
        </w:rPr>
        <w:t>t</w:t>
      </w:r>
      <w:r w:rsidRPr="00BB32AF">
        <w:rPr>
          <w:spacing w:val="-10"/>
          <w:szCs w:val="26"/>
        </w:rPr>
        <w:t xml:space="preserve"> </w:t>
      </w:r>
      <w:r w:rsidRPr="00BB32AF">
        <w:rPr>
          <w:szCs w:val="26"/>
        </w:rPr>
        <w:t>area codes</w:t>
      </w:r>
      <w:r w:rsidRPr="00BB32AF">
        <w:rPr>
          <w:spacing w:val="-4"/>
          <w:szCs w:val="26"/>
        </w:rPr>
        <w:t xml:space="preserve"> </w:t>
      </w:r>
      <w:r w:rsidRPr="00BB32AF">
        <w:rPr>
          <w:szCs w:val="26"/>
        </w:rPr>
        <w:t>w</w:t>
      </w:r>
      <w:r w:rsidRPr="00BB32AF">
        <w:rPr>
          <w:spacing w:val="-1"/>
          <w:szCs w:val="26"/>
        </w:rPr>
        <w:t>i</w:t>
      </w:r>
      <w:r w:rsidRPr="00BB32AF">
        <w:rPr>
          <w:szCs w:val="26"/>
        </w:rPr>
        <w:t>t</w:t>
      </w:r>
      <w:r w:rsidRPr="00BB32AF">
        <w:rPr>
          <w:spacing w:val="2"/>
          <w:szCs w:val="26"/>
        </w:rPr>
        <w:t>h</w:t>
      </w:r>
      <w:r w:rsidRPr="00BB32AF">
        <w:rPr>
          <w:spacing w:val="-1"/>
          <w:szCs w:val="26"/>
        </w:rPr>
        <w:t>i</w:t>
      </w:r>
      <w:r w:rsidRPr="00BB32AF">
        <w:rPr>
          <w:szCs w:val="26"/>
        </w:rPr>
        <w:t>n</w:t>
      </w:r>
      <w:r w:rsidRPr="00BB32AF">
        <w:rPr>
          <w:spacing w:val="-8"/>
          <w:szCs w:val="26"/>
        </w:rPr>
        <w:t xml:space="preserve"> </w:t>
      </w:r>
      <w:r w:rsidRPr="00BB32AF">
        <w:rPr>
          <w:szCs w:val="26"/>
        </w:rPr>
        <w:t>the</w:t>
      </w:r>
      <w:r w:rsidRPr="00BB32AF">
        <w:rPr>
          <w:spacing w:val="-4"/>
          <w:szCs w:val="26"/>
        </w:rPr>
        <w:t xml:space="preserve"> </w:t>
      </w:r>
      <w:r w:rsidRPr="00BB32AF">
        <w:rPr>
          <w:spacing w:val="2"/>
          <w:szCs w:val="26"/>
        </w:rPr>
        <w:t>o</w:t>
      </w:r>
      <w:r w:rsidRPr="00BB32AF">
        <w:rPr>
          <w:szCs w:val="26"/>
        </w:rPr>
        <w:t>ve</w:t>
      </w:r>
      <w:r w:rsidRPr="00BB32AF">
        <w:rPr>
          <w:spacing w:val="1"/>
          <w:szCs w:val="26"/>
        </w:rPr>
        <w:t>r</w:t>
      </w:r>
      <w:r w:rsidRPr="00BB32AF">
        <w:rPr>
          <w:spacing w:val="-1"/>
          <w:szCs w:val="26"/>
        </w:rPr>
        <w:t>l</w:t>
      </w:r>
      <w:r w:rsidRPr="00BB32AF">
        <w:rPr>
          <w:szCs w:val="26"/>
        </w:rPr>
        <w:t>ay</w:t>
      </w:r>
      <w:r w:rsidRPr="00BB32AF">
        <w:rPr>
          <w:spacing w:val="-9"/>
          <w:szCs w:val="26"/>
        </w:rPr>
        <w:t xml:space="preserve"> </w:t>
      </w:r>
      <w:r w:rsidRPr="00BB32AF">
        <w:rPr>
          <w:szCs w:val="26"/>
        </w:rPr>
        <w:t>r</w:t>
      </w:r>
      <w:r w:rsidRPr="00BB32AF">
        <w:rPr>
          <w:spacing w:val="3"/>
          <w:szCs w:val="26"/>
        </w:rPr>
        <w:t>e</w:t>
      </w:r>
      <w:r w:rsidRPr="00BB32AF">
        <w:rPr>
          <w:szCs w:val="26"/>
        </w:rPr>
        <w:t>g</w:t>
      </w:r>
      <w:r w:rsidRPr="00BB32AF">
        <w:rPr>
          <w:spacing w:val="-1"/>
          <w:szCs w:val="26"/>
        </w:rPr>
        <w:t>i</w:t>
      </w:r>
      <w:r w:rsidRPr="00BB32AF">
        <w:rPr>
          <w:szCs w:val="26"/>
        </w:rPr>
        <w:t>on;</w:t>
      </w:r>
    </w:p>
    <w:p w:rsidRPr="00BB32AF" w:rsidR="00153201" w:rsidP="00153201" w:rsidRDefault="00153201" w14:paraId="7D9FE134" w14:textId="77777777">
      <w:pPr>
        <w:numPr>
          <w:ilvl w:val="0"/>
          <w:numId w:val="27"/>
        </w:numPr>
        <w:spacing w:after="120" w:line="240" w:lineRule="auto"/>
        <w:ind w:left="1080" w:right="1440"/>
        <w:rPr>
          <w:szCs w:val="26"/>
        </w:rPr>
      </w:pPr>
      <w:r w:rsidRPr="00BB32AF">
        <w:rPr>
          <w:szCs w:val="26"/>
        </w:rPr>
        <w:t>Re</w:t>
      </w:r>
      <w:r w:rsidRPr="00BB32AF">
        <w:rPr>
          <w:spacing w:val="-1"/>
          <w:szCs w:val="26"/>
        </w:rPr>
        <w:t>q</w:t>
      </w:r>
      <w:r w:rsidRPr="00BB32AF">
        <w:rPr>
          <w:spacing w:val="2"/>
          <w:szCs w:val="26"/>
        </w:rPr>
        <w:t>u</w:t>
      </w:r>
      <w:r w:rsidRPr="00BB32AF">
        <w:rPr>
          <w:spacing w:val="-1"/>
          <w:szCs w:val="26"/>
        </w:rPr>
        <w:t>i</w:t>
      </w:r>
      <w:r w:rsidRPr="00BB32AF">
        <w:rPr>
          <w:spacing w:val="1"/>
          <w:szCs w:val="26"/>
        </w:rPr>
        <w:t>r</w:t>
      </w:r>
      <w:r w:rsidRPr="00BB32AF">
        <w:rPr>
          <w:szCs w:val="26"/>
        </w:rPr>
        <w:t>ed</w:t>
      </w:r>
      <w:r w:rsidRPr="00BB32AF">
        <w:rPr>
          <w:spacing w:val="-11"/>
          <w:szCs w:val="26"/>
        </w:rPr>
        <w:t xml:space="preserve"> </w:t>
      </w:r>
      <w:r w:rsidRPr="00BB32AF">
        <w:rPr>
          <w:szCs w:val="26"/>
        </w:rPr>
        <w:t>the</w:t>
      </w:r>
      <w:r w:rsidRPr="00BB32AF">
        <w:rPr>
          <w:spacing w:val="-4"/>
          <w:szCs w:val="26"/>
        </w:rPr>
        <w:t xml:space="preserve"> </w:t>
      </w:r>
      <w:r w:rsidRPr="00BB32AF">
        <w:rPr>
          <w:szCs w:val="26"/>
        </w:rPr>
        <w:t>use</w:t>
      </w:r>
      <w:r w:rsidRPr="00BB32AF">
        <w:rPr>
          <w:spacing w:val="-2"/>
          <w:szCs w:val="26"/>
        </w:rPr>
        <w:t xml:space="preserve"> </w:t>
      </w:r>
      <w:r w:rsidRPr="00BB32AF">
        <w:rPr>
          <w:szCs w:val="26"/>
        </w:rPr>
        <w:t>of p</w:t>
      </w:r>
      <w:r w:rsidRPr="00BB32AF">
        <w:rPr>
          <w:spacing w:val="1"/>
          <w:szCs w:val="26"/>
        </w:rPr>
        <w:t>r</w:t>
      </w:r>
      <w:r w:rsidRPr="00BB32AF">
        <w:rPr>
          <w:szCs w:val="26"/>
        </w:rPr>
        <w:t>e</w:t>
      </w:r>
      <w:r w:rsidRPr="00BB32AF">
        <w:rPr>
          <w:spacing w:val="1"/>
          <w:szCs w:val="26"/>
        </w:rPr>
        <w:t>s</w:t>
      </w:r>
      <w:r w:rsidRPr="00BB32AF">
        <w:rPr>
          <w:szCs w:val="26"/>
        </w:rPr>
        <w:t>s</w:t>
      </w:r>
      <w:r w:rsidRPr="00BB32AF">
        <w:rPr>
          <w:spacing w:val="-6"/>
          <w:szCs w:val="26"/>
        </w:rPr>
        <w:t xml:space="preserve"> </w:t>
      </w:r>
      <w:r w:rsidRPr="00BB32AF">
        <w:rPr>
          <w:spacing w:val="1"/>
          <w:szCs w:val="26"/>
        </w:rPr>
        <w:t>r</w:t>
      </w:r>
      <w:r w:rsidRPr="00BB32AF">
        <w:rPr>
          <w:szCs w:val="26"/>
        </w:rPr>
        <w:t>eleas</w:t>
      </w:r>
      <w:r w:rsidRPr="00BB32AF">
        <w:rPr>
          <w:spacing w:val="1"/>
          <w:szCs w:val="26"/>
        </w:rPr>
        <w:t>e</w:t>
      </w:r>
      <w:r w:rsidRPr="00BB32AF">
        <w:rPr>
          <w:szCs w:val="26"/>
        </w:rPr>
        <w:t>s,</w:t>
      </w:r>
      <w:r w:rsidRPr="00BB32AF">
        <w:rPr>
          <w:spacing w:val="-10"/>
          <w:szCs w:val="26"/>
        </w:rPr>
        <w:t xml:space="preserve"> </w:t>
      </w:r>
      <w:r w:rsidRPr="00BB32AF">
        <w:rPr>
          <w:szCs w:val="26"/>
        </w:rPr>
        <w:t>telev</w:t>
      </w:r>
      <w:r w:rsidRPr="00BB32AF">
        <w:rPr>
          <w:spacing w:val="-1"/>
          <w:szCs w:val="26"/>
        </w:rPr>
        <w:t>i</w:t>
      </w:r>
      <w:r w:rsidRPr="00BB32AF">
        <w:rPr>
          <w:spacing w:val="3"/>
          <w:szCs w:val="26"/>
        </w:rPr>
        <w:t>s</w:t>
      </w:r>
      <w:r w:rsidRPr="00BB32AF">
        <w:rPr>
          <w:spacing w:val="-1"/>
          <w:szCs w:val="26"/>
        </w:rPr>
        <w:t>i</w:t>
      </w:r>
      <w:r w:rsidRPr="00BB32AF">
        <w:rPr>
          <w:szCs w:val="26"/>
        </w:rPr>
        <w:t>on</w:t>
      </w:r>
      <w:r w:rsidRPr="00BB32AF">
        <w:rPr>
          <w:spacing w:val="-11"/>
          <w:szCs w:val="26"/>
        </w:rPr>
        <w:t xml:space="preserve"> </w:t>
      </w:r>
      <w:r w:rsidRPr="00BB32AF">
        <w:rPr>
          <w:szCs w:val="26"/>
        </w:rPr>
        <w:t>and</w:t>
      </w:r>
      <w:r w:rsidRPr="00BB32AF">
        <w:rPr>
          <w:spacing w:val="-4"/>
          <w:szCs w:val="26"/>
        </w:rPr>
        <w:t xml:space="preserve"> </w:t>
      </w:r>
      <w:r w:rsidRPr="00BB32AF">
        <w:rPr>
          <w:spacing w:val="1"/>
          <w:szCs w:val="26"/>
        </w:rPr>
        <w:t>r</w:t>
      </w:r>
      <w:r w:rsidRPr="00BB32AF">
        <w:rPr>
          <w:szCs w:val="26"/>
        </w:rPr>
        <w:t>a</w:t>
      </w:r>
      <w:r w:rsidRPr="00BB32AF">
        <w:rPr>
          <w:spacing w:val="2"/>
          <w:szCs w:val="26"/>
        </w:rPr>
        <w:t>d</w:t>
      </w:r>
      <w:r w:rsidRPr="00BB32AF">
        <w:rPr>
          <w:spacing w:val="-1"/>
          <w:szCs w:val="26"/>
        </w:rPr>
        <w:t>i</w:t>
      </w:r>
      <w:r w:rsidRPr="00BB32AF">
        <w:rPr>
          <w:szCs w:val="26"/>
        </w:rPr>
        <w:t xml:space="preserve">o </w:t>
      </w:r>
      <w:r w:rsidRPr="00BB32AF">
        <w:t>annou</w:t>
      </w:r>
      <w:r w:rsidRPr="00BB32AF">
        <w:rPr>
          <w:spacing w:val="1"/>
        </w:rPr>
        <w:t>n</w:t>
      </w:r>
      <w:r w:rsidRPr="00BB32AF">
        <w:t>ceme</w:t>
      </w:r>
      <w:r w:rsidRPr="00BB32AF">
        <w:rPr>
          <w:spacing w:val="3"/>
        </w:rPr>
        <w:t>n</w:t>
      </w:r>
      <w:r w:rsidRPr="00BB32AF">
        <w:t>ts</w:t>
      </w:r>
      <w:r w:rsidRPr="00BB32AF">
        <w:rPr>
          <w:szCs w:val="26"/>
        </w:rPr>
        <w:t>,</w:t>
      </w:r>
      <w:r w:rsidRPr="00BB32AF">
        <w:rPr>
          <w:spacing w:val="-19"/>
          <w:szCs w:val="26"/>
        </w:rPr>
        <w:t xml:space="preserve"> </w:t>
      </w:r>
      <w:r w:rsidRPr="00BB32AF">
        <w:rPr>
          <w:szCs w:val="26"/>
        </w:rPr>
        <w:t>b</w:t>
      </w:r>
      <w:r w:rsidRPr="00BB32AF">
        <w:rPr>
          <w:spacing w:val="2"/>
          <w:szCs w:val="26"/>
        </w:rPr>
        <w:t>i</w:t>
      </w:r>
      <w:r w:rsidRPr="00BB32AF">
        <w:rPr>
          <w:spacing w:val="-1"/>
          <w:szCs w:val="26"/>
        </w:rPr>
        <w:t>l</w:t>
      </w:r>
      <w:r w:rsidRPr="00BB32AF">
        <w:rPr>
          <w:spacing w:val="1"/>
          <w:szCs w:val="26"/>
        </w:rPr>
        <w:t>li</w:t>
      </w:r>
      <w:r w:rsidRPr="00BB32AF">
        <w:rPr>
          <w:szCs w:val="26"/>
        </w:rPr>
        <w:t>ng</w:t>
      </w:r>
      <w:r w:rsidRPr="00BB32AF">
        <w:rPr>
          <w:spacing w:val="-7"/>
          <w:szCs w:val="26"/>
        </w:rPr>
        <w:t xml:space="preserve"> </w:t>
      </w:r>
      <w:r w:rsidRPr="00BB32AF">
        <w:rPr>
          <w:spacing w:val="-1"/>
          <w:szCs w:val="26"/>
        </w:rPr>
        <w:t>i</w:t>
      </w:r>
      <w:r w:rsidRPr="00BB32AF">
        <w:rPr>
          <w:szCs w:val="26"/>
        </w:rPr>
        <w:t>n</w:t>
      </w:r>
      <w:r w:rsidRPr="00BB32AF">
        <w:rPr>
          <w:spacing w:val="1"/>
          <w:szCs w:val="26"/>
        </w:rPr>
        <w:t>s</w:t>
      </w:r>
      <w:r w:rsidRPr="00BB32AF">
        <w:rPr>
          <w:szCs w:val="26"/>
        </w:rPr>
        <w:t>e</w:t>
      </w:r>
      <w:r w:rsidRPr="00BB32AF">
        <w:rPr>
          <w:spacing w:val="1"/>
          <w:szCs w:val="26"/>
        </w:rPr>
        <w:t>r</w:t>
      </w:r>
      <w:r w:rsidRPr="00BB32AF">
        <w:rPr>
          <w:szCs w:val="26"/>
        </w:rPr>
        <w:t>ts,</w:t>
      </w:r>
      <w:r w:rsidRPr="00BB32AF">
        <w:rPr>
          <w:spacing w:val="-8"/>
          <w:szCs w:val="26"/>
        </w:rPr>
        <w:t xml:space="preserve"> </w:t>
      </w:r>
      <w:r w:rsidRPr="00BB32AF">
        <w:rPr>
          <w:szCs w:val="26"/>
        </w:rPr>
        <w:t>and</w:t>
      </w:r>
      <w:r w:rsidRPr="00BB32AF">
        <w:rPr>
          <w:spacing w:val="-2"/>
          <w:szCs w:val="26"/>
        </w:rPr>
        <w:t xml:space="preserve"> </w:t>
      </w:r>
      <w:r w:rsidRPr="00BB32AF">
        <w:rPr>
          <w:szCs w:val="26"/>
        </w:rPr>
        <w:t>the</w:t>
      </w:r>
      <w:r w:rsidRPr="00BB32AF">
        <w:rPr>
          <w:spacing w:val="-4"/>
          <w:szCs w:val="26"/>
        </w:rPr>
        <w:t xml:space="preserve"> </w:t>
      </w:r>
      <w:r w:rsidRPr="00BB32AF">
        <w:rPr>
          <w:szCs w:val="26"/>
        </w:rPr>
        <w:t>u</w:t>
      </w:r>
      <w:r w:rsidRPr="00BB32AF">
        <w:rPr>
          <w:spacing w:val="3"/>
          <w:szCs w:val="26"/>
        </w:rPr>
        <w:t>p</w:t>
      </w:r>
      <w:r w:rsidRPr="00BB32AF">
        <w:rPr>
          <w:szCs w:val="26"/>
        </w:rPr>
        <w:t>dat</w:t>
      </w:r>
      <w:r w:rsidRPr="00BB32AF">
        <w:rPr>
          <w:spacing w:val="-2"/>
          <w:szCs w:val="26"/>
        </w:rPr>
        <w:t>i</w:t>
      </w:r>
      <w:r w:rsidRPr="00BB32AF">
        <w:rPr>
          <w:spacing w:val="3"/>
          <w:szCs w:val="26"/>
        </w:rPr>
        <w:t>n</w:t>
      </w:r>
      <w:r w:rsidRPr="00BB32AF">
        <w:rPr>
          <w:szCs w:val="26"/>
        </w:rPr>
        <w:t>g</w:t>
      </w:r>
      <w:r w:rsidRPr="00BB32AF">
        <w:rPr>
          <w:spacing w:val="-11"/>
          <w:szCs w:val="26"/>
        </w:rPr>
        <w:t xml:space="preserve"> </w:t>
      </w:r>
      <w:r w:rsidRPr="00BB32AF">
        <w:rPr>
          <w:szCs w:val="26"/>
        </w:rPr>
        <w:t>of te</w:t>
      </w:r>
      <w:r w:rsidRPr="00BB32AF">
        <w:rPr>
          <w:spacing w:val="-1"/>
          <w:szCs w:val="26"/>
        </w:rPr>
        <w:t>l</w:t>
      </w:r>
      <w:r w:rsidRPr="00BB32AF">
        <w:rPr>
          <w:szCs w:val="26"/>
        </w:rPr>
        <w:t>ephone</w:t>
      </w:r>
      <w:r w:rsidRPr="00BB32AF">
        <w:rPr>
          <w:spacing w:val="-10"/>
          <w:szCs w:val="26"/>
        </w:rPr>
        <w:t xml:space="preserve"> </w:t>
      </w:r>
      <w:r w:rsidRPr="00BB32AF">
        <w:rPr>
          <w:spacing w:val="2"/>
          <w:szCs w:val="26"/>
        </w:rPr>
        <w:t>d</w:t>
      </w:r>
      <w:r w:rsidRPr="00BB32AF">
        <w:rPr>
          <w:spacing w:val="-1"/>
          <w:szCs w:val="26"/>
        </w:rPr>
        <w:t>i</w:t>
      </w:r>
      <w:r w:rsidRPr="00BB32AF">
        <w:rPr>
          <w:spacing w:val="1"/>
          <w:szCs w:val="26"/>
        </w:rPr>
        <w:t>r</w:t>
      </w:r>
      <w:r w:rsidRPr="00BB32AF">
        <w:rPr>
          <w:szCs w:val="26"/>
        </w:rPr>
        <w:t>ecto</w:t>
      </w:r>
      <w:r w:rsidRPr="00BB32AF">
        <w:rPr>
          <w:spacing w:val="1"/>
          <w:szCs w:val="26"/>
        </w:rPr>
        <w:t>r</w:t>
      </w:r>
      <w:r w:rsidRPr="00BB32AF">
        <w:rPr>
          <w:spacing w:val="-1"/>
          <w:szCs w:val="26"/>
        </w:rPr>
        <w:t>i</w:t>
      </w:r>
      <w:r w:rsidRPr="00BB32AF">
        <w:rPr>
          <w:szCs w:val="26"/>
        </w:rPr>
        <w:t>e</w:t>
      </w:r>
      <w:r w:rsidRPr="00BB32AF">
        <w:rPr>
          <w:spacing w:val="3"/>
          <w:szCs w:val="26"/>
        </w:rPr>
        <w:t>s</w:t>
      </w:r>
      <w:r w:rsidRPr="00BB32AF">
        <w:rPr>
          <w:szCs w:val="26"/>
        </w:rPr>
        <w:t>;</w:t>
      </w:r>
      <w:r w:rsidRPr="00BB32AF">
        <w:rPr>
          <w:spacing w:val="-13"/>
          <w:szCs w:val="26"/>
        </w:rPr>
        <w:t xml:space="preserve"> </w:t>
      </w:r>
      <w:r w:rsidRPr="00BB32AF">
        <w:rPr>
          <w:szCs w:val="26"/>
        </w:rPr>
        <w:t>and</w:t>
      </w:r>
    </w:p>
    <w:p w:rsidRPr="00BB32AF" w:rsidR="00153201" w:rsidP="00153201" w:rsidRDefault="00153201" w14:paraId="798F90C8" w14:textId="77777777">
      <w:pPr>
        <w:numPr>
          <w:ilvl w:val="0"/>
          <w:numId w:val="27"/>
        </w:numPr>
        <w:spacing w:after="120" w:line="240" w:lineRule="auto"/>
        <w:ind w:left="1080" w:right="1440"/>
        <w:rPr>
          <w:szCs w:val="26"/>
        </w:rPr>
      </w:pPr>
      <w:r w:rsidRPr="00BB32AF">
        <w:rPr>
          <w:szCs w:val="26"/>
        </w:rPr>
        <w:t>Extend</w:t>
      </w:r>
      <w:r w:rsidRPr="00BB32AF">
        <w:rPr>
          <w:spacing w:val="1"/>
          <w:szCs w:val="26"/>
        </w:rPr>
        <w:t>e</w:t>
      </w:r>
      <w:r w:rsidRPr="00BB32AF">
        <w:rPr>
          <w:szCs w:val="26"/>
        </w:rPr>
        <w:t>d</w:t>
      </w:r>
      <w:r w:rsidRPr="00BB32AF">
        <w:rPr>
          <w:spacing w:val="-11"/>
          <w:szCs w:val="26"/>
        </w:rPr>
        <w:t xml:space="preserve"> </w:t>
      </w:r>
      <w:r w:rsidRPr="00BB32AF">
        <w:rPr>
          <w:szCs w:val="26"/>
        </w:rPr>
        <w:t>the</w:t>
      </w:r>
      <w:r w:rsidRPr="00BB32AF">
        <w:rPr>
          <w:spacing w:val="-4"/>
          <w:szCs w:val="26"/>
        </w:rPr>
        <w:t xml:space="preserve"> </w:t>
      </w:r>
      <w:r w:rsidRPr="00BB32AF">
        <w:rPr>
          <w:szCs w:val="26"/>
        </w:rPr>
        <w:t>c</w:t>
      </w:r>
      <w:r w:rsidRPr="00BB32AF">
        <w:rPr>
          <w:spacing w:val="3"/>
          <w:szCs w:val="26"/>
        </w:rPr>
        <w:t>o</w:t>
      </w:r>
      <w:r w:rsidRPr="00BB32AF">
        <w:rPr>
          <w:szCs w:val="26"/>
        </w:rPr>
        <w:t>ve</w:t>
      </w:r>
      <w:r w:rsidRPr="00BB32AF">
        <w:rPr>
          <w:spacing w:val="1"/>
          <w:szCs w:val="26"/>
        </w:rPr>
        <w:t>r</w:t>
      </w:r>
      <w:r w:rsidRPr="00BB32AF">
        <w:rPr>
          <w:szCs w:val="26"/>
        </w:rPr>
        <w:t>age</w:t>
      </w:r>
      <w:r w:rsidRPr="00BB32AF">
        <w:rPr>
          <w:spacing w:val="-10"/>
          <w:szCs w:val="26"/>
        </w:rPr>
        <w:t xml:space="preserve"> </w:t>
      </w:r>
      <w:r w:rsidRPr="00BB32AF">
        <w:rPr>
          <w:szCs w:val="26"/>
        </w:rPr>
        <w:t>of</w:t>
      </w:r>
      <w:r w:rsidRPr="00BB32AF">
        <w:rPr>
          <w:spacing w:val="-2"/>
          <w:szCs w:val="26"/>
        </w:rPr>
        <w:t xml:space="preserve"> </w:t>
      </w:r>
      <w:r w:rsidRPr="00BB32AF">
        <w:rPr>
          <w:szCs w:val="26"/>
        </w:rPr>
        <w:t>the</w:t>
      </w:r>
      <w:r w:rsidRPr="00BB32AF">
        <w:rPr>
          <w:spacing w:val="-3"/>
          <w:szCs w:val="26"/>
        </w:rPr>
        <w:t xml:space="preserve"> </w:t>
      </w:r>
      <w:r w:rsidRPr="00BB32AF">
        <w:rPr>
          <w:szCs w:val="26"/>
        </w:rPr>
        <w:t>PEP</w:t>
      </w:r>
      <w:r w:rsidRPr="00BB32AF">
        <w:rPr>
          <w:spacing w:val="2"/>
          <w:szCs w:val="26"/>
        </w:rPr>
        <w:t xml:space="preserve"> </w:t>
      </w:r>
      <w:r w:rsidRPr="00BB32AF">
        <w:rPr>
          <w:spacing w:val="1"/>
          <w:szCs w:val="26"/>
        </w:rPr>
        <w:t>t</w:t>
      </w:r>
      <w:r w:rsidRPr="00BB32AF">
        <w:rPr>
          <w:szCs w:val="26"/>
        </w:rPr>
        <w:t>o</w:t>
      </w:r>
      <w:r w:rsidRPr="00BB32AF">
        <w:rPr>
          <w:spacing w:val="-2"/>
          <w:szCs w:val="26"/>
        </w:rPr>
        <w:t xml:space="preserve"> </w:t>
      </w:r>
      <w:r w:rsidRPr="00BB32AF">
        <w:rPr>
          <w:spacing w:val="-1"/>
          <w:szCs w:val="26"/>
        </w:rPr>
        <w:t>i</w:t>
      </w:r>
      <w:r w:rsidRPr="00BB32AF">
        <w:rPr>
          <w:szCs w:val="26"/>
        </w:rPr>
        <w:t>n</w:t>
      </w:r>
      <w:r w:rsidRPr="00BB32AF">
        <w:rPr>
          <w:spacing w:val="3"/>
          <w:szCs w:val="26"/>
        </w:rPr>
        <w:t>c</w:t>
      </w:r>
      <w:r w:rsidRPr="00BB32AF">
        <w:rPr>
          <w:spacing w:val="1"/>
          <w:szCs w:val="26"/>
        </w:rPr>
        <w:t>l</w:t>
      </w:r>
      <w:r w:rsidRPr="00BB32AF">
        <w:rPr>
          <w:szCs w:val="26"/>
        </w:rPr>
        <w:t>ude</w:t>
      </w:r>
      <w:r w:rsidRPr="00BB32AF">
        <w:rPr>
          <w:spacing w:val="-9"/>
          <w:szCs w:val="26"/>
        </w:rPr>
        <w:t xml:space="preserve"> </w:t>
      </w:r>
      <w:r w:rsidRPr="00BB32AF">
        <w:rPr>
          <w:szCs w:val="26"/>
        </w:rPr>
        <w:t>n</w:t>
      </w:r>
      <w:r w:rsidRPr="00BB32AF">
        <w:rPr>
          <w:spacing w:val="1"/>
          <w:szCs w:val="26"/>
        </w:rPr>
        <w:t>o</w:t>
      </w:r>
      <w:r w:rsidRPr="00BB32AF">
        <w:rPr>
          <w:szCs w:val="26"/>
        </w:rPr>
        <w:t>t</w:t>
      </w:r>
      <w:r w:rsidRPr="00BB32AF">
        <w:rPr>
          <w:spacing w:val="-4"/>
          <w:szCs w:val="26"/>
        </w:rPr>
        <w:t xml:space="preserve"> </w:t>
      </w:r>
      <w:r w:rsidRPr="00BB32AF">
        <w:rPr>
          <w:spacing w:val="4"/>
          <w:szCs w:val="26"/>
        </w:rPr>
        <w:t>o</w:t>
      </w:r>
      <w:r w:rsidRPr="00BB32AF">
        <w:rPr>
          <w:spacing w:val="3"/>
          <w:szCs w:val="26"/>
        </w:rPr>
        <w:t>n</w:t>
      </w:r>
      <w:r w:rsidRPr="00BB32AF">
        <w:rPr>
          <w:spacing w:val="-1"/>
          <w:szCs w:val="26"/>
        </w:rPr>
        <w:t>l</w:t>
      </w:r>
      <w:r w:rsidRPr="00BB32AF">
        <w:rPr>
          <w:szCs w:val="26"/>
        </w:rPr>
        <w:t>y</w:t>
      </w:r>
      <w:r w:rsidRPr="00BB32AF">
        <w:rPr>
          <w:spacing w:val="-3"/>
          <w:szCs w:val="26"/>
        </w:rPr>
        <w:t xml:space="preserve"> </w:t>
      </w:r>
      <w:r w:rsidRPr="00BB32AF">
        <w:rPr>
          <w:szCs w:val="26"/>
        </w:rPr>
        <w:t xml:space="preserve">the </w:t>
      </w:r>
      <w:r w:rsidRPr="00BB32AF">
        <w:rPr>
          <w:spacing w:val="1"/>
          <w:szCs w:val="26"/>
        </w:rPr>
        <w:t>r</w:t>
      </w:r>
      <w:r w:rsidRPr="00BB32AF">
        <w:rPr>
          <w:szCs w:val="26"/>
        </w:rPr>
        <w:t>egion</w:t>
      </w:r>
      <w:r w:rsidRPr="00BB32AF">
        <w:rPr>
          <w:spacing w:val="-7"/>
          <w:szCs w:val="26"/>
        </w:rPr>
        <w:t xml:space="preserve"> </w:t>
      </w:r>
      <w:r w:rsidRPr="00BB32AF">
        <w:rPr>
          <w:spacing w:val="-1"/>
          <w:szCs w:val="26"/>
        </w:rPr>
        <w:t>i</w:t>
      </w:r>
      <w:r w:rsidRPr="00BB32AF">
        <w:rPr>
          <w:szCs w:val="26"/>
        </w:rPr>
        <w:t xml:space="preserve">n </w:t>
      </w:r>
      <w:r w:rsidRPr="00BB32AF">
        <w:t>wh</w:t>
      </w:r>
      <w:r w:rsidRPr="00BB32AF">
        <w:rPr>
          <w:spacing w:val="-1"/>
        </w:rPr>
        <w:t>i</w:t>
      </w:r>
      <w:r w:rsidRPr="00BB32AF">
        <w:rPr>
          <w:spacing w:val="2"/>
        </w:rPr>
        <w:t>c</w:t>
      </w:r>
      <w:r w:rsidRPr="00BB32AF">
        <w:t>h</w:t>
      </w:r>
      <w:r w:rsidRPr="00BB32AF">
        <w:rPr>
          <w:spacing w:val="-7"/>
          <w:szCs w:val="26"/>
        </w:rPr>
        <w:t xml:space="preserve"> </w:t>
      </w:r>
      <w:r w:rsidRPr="00BB32AF">
        <w:rPr>
          <w:szCs w:val="26"/>
        </w:rPr>
        <w:t>the</w:t>
      </w:r>
      <w:r w:rsidRPr="00BB32AF">
        <w:rPr>
          <w:spacing w:val="-4"/>
          <w:szCs w:val="26"/>
        </w:rPr>
        <w:t xml:space="preserve"> </w:t>
      </w:r>
      <w:r w:rsidRPr="00BB32AF">
        <w:rPr>
          <w:spacing w:val="2"/>
          <w:szCs w:val="26"/>
        </w:rPr>
        <w:t>o</w:t>
      </w:r>
      <w:r w:rsidRPr="00BB32AF">
        <w:rPr>
          <w:szCs w:val="26"/>
        </w:rPr>
        <w:t>ve</w:t>
      </w:r>
      <w:r w:rsidRPr="00BB32AF">
        <w:rPr>
          <w:spacing w:val="1"/>
          <w:szCs w:val="26"/>
        </w:rPr>
        <w:t>r</w:t>
      </w:r>
      <w:r w:rsidRPr="00BB32AF">
        <w:rPr>
          <w:spacing w:val="-1"/>
          <w:szCs w:val="26"/>
        </w:rPr>
        <w:t>l</w:t>
      </w:r>
      <w:r w:rsidRPr="00BB32AF">
        <w:rPr>
          <w:szCs w:val="26"/>
        </w:rPr>
        <w:t>ay</w:t>
      </w:r>
      <w:r w:rsidRPr="00BB32AF">
        <w:rPr>
          <w:spacing w:val="-9"/>
          <w:szCs w:val="26"/>
        </w:rPr>
        <w:t xml:space="preserve"> </w:t>
      </w:r>
      <w:r w:rsidRPr="00BB32AF">
        <w:rPr>
          <w:spacing w:val="2"/>
          <w:szCs w:val="26"/>
        </w:rPr>
        <w:t>w</w:t>
      </w:r>
      <w:r w:rsidRPr="00BB32AF">
        <w:rPr>
          <w:spacing w:val="-1"/>
          <w:szCs w:val="26"/>
        </w:rPr>
        <w:t>i</w:t>
      </w:r>
      <w:r w:rsidRPr="00BB32AF">
        <w:rPr>
          <w:spacing w:val="1"/>
          <w:szCs w:val="26"/>
        </w:rPr>
        <w:t>l</w:t>
      </w:r>
      <w:r w:rsidRPr="00BB32AF">
        <w:rPr>
          <w:szCs w:val="26"/>
        </w:rPr>
        <w:t>l</w:t>
      </w:r>
      <w:r w:rsidRPr="00BB32AF">
        <w:rPr>
          <w:spacing w:val="-5"/>
          <w:szCs w:val="26"/>
        </w:rPr>
        <w:t xml:space="preserve"> </w:t>
      </w:r>
      <w:r w:rsidRPr="00BB32AF">
        <w:rPr>
          <w:szCs w:val="26"/>
        </w:rPr>
        <w:t>be</w:t>
      </w:r>
      <w:r w:rsidRPr="00BB32AF">
        <w:rPr>
          <w:spacing w:val="-2"/>
          <w:szCs w:val="26"/>
        </w:rPr>
        <w:t xml:space="preserve"> </w:t>
      </w:r>
      <w:r w:rsidRPr="00BB32AF">
        <w:rPr>
          <w:spacing w:val="1"/>
          <w:szCs w:val="26"/>
        </w:rPr>
        <w:t>i</w:t>
      </w:r>
      <w:r w:rsidRPr="00BB32AF">
        <w:rPr>
          <w:spacing w:val="-1"/>
          <w:szCs w:val="26"/>
        </w:rPr>
        <w:t>m</w:t>
      </w:r>
      <w:r w:rsidRPr="00BB32AF">
        <w:rPr>
          <w:spacing w:val="2"/>
          <w:szCs w:val="26"/>
        </w:rPr>
        <w:t>p</w:t>
      </w:r>
      <w:r w:rsidRPr="00BB32AF">
        <w:rPr>
          <w:spacing w:val="-1"/>
          <w:szCs w:val="26"/>
        </w:rPr>
        <w:t>l</w:t>
      </w:r>
      <w:r w:rsidRPr="00BB32AF">
        <w:rPr>
          <w:spacing w:val="3"/>
          <w:szCs w:val="26"/>
        </w:rPr>
        <w:t>e</w:t>
      </w:r>
      <w:r w:rsidRPr="00BB32AF">
        <w:rPr>
          <w:spacing w:val="-1"/>
          <w:szCs w:val="26"/>
        </w:rPr>
        <w:t>m</w:t>
      </w:r>
      <w:r w:rsidRPr="00BB32AF">
        <w:rPr>
          <w:szCs w:val="26"/>
        </w:rPr>
        <w:t>e</w:t>
      </w:r>
      <w:r w:rsidRPr="00BB32AF">
        <w:rPr>
          <w:spacing w:val="1"/>
          <w:szCs w:val="26"/>
        </w:rPr>
        <w:t>n</w:t>
      </w:r>
      <w:r w:rsidRPr="00BB32AF">
        <w:rPr>
          <w:szCs w:val="26"/>
        </w:rPr>
        <w:t>ted,</w:t>
      </w:r>
      <w:r w:rsidRPr="00BB32AF">
        <w:rPr>
          <w:spacing w:val="-14"/>
          <w:szCs w:val="26"/>
        </w:rPr>
        <w:t xml:space="preserve"> </w:t>
      </w:r>
      <w:r w:rsidRPr="00BB32AF">
        <w:rPr>
          <w:szCs w:val="26"/>
        </w:rPr>
        <w:t>wh</w:t>
      </w:r>
      <w:r w:rsidRPr="00BB32AF">
        <w:rPr>
          <w:spacing w:val="-1"/>
          <w:szCs w:val="26"/>
        </w:rPr>
        <w:t>i</w:t>
      </w:r>
      <w:r w:rsidRPr="00BB32AF">
        <w:rPr>
          <w:szCs w:val="26"/>
        </w:rPr>
        <w:t>ch s</w:t>
      </w:r>
      <w:r w:rsidRPr="00BB32AF">
        <w:rPr>
          <w:spacing w:val="1"/>
          <w:szCs w:val="26"/>
        </w:rPr>
        <w:t>h</w:t>
      </w:r>
      <w:r w:rsidRPr="00BB32AF">
        <w:rPr>
          <w:szCs w:val="26"/>
        </w:rPr>
        <w:t>ou</w:t>
      </w:r>
      <w:r w:rsidRPr="00BB32AF">
        <w:rPr>
          <w:spacing w:val="-1"/>
          <w:szCs w:val="26"/>
        </w:rPr>
        <w:t>l</w:t>
      </w:r>
      <w:r w:rsidRPr="00BB32AF">
        <w:rPr>
          <w:szCs w:val="26"/>
        </w:rPr>
        <w:t>d</w:t>
      </w:r>
      <w:r w:rsidRPr="00BB32AF">
        <w:rPr>
          <w:spacing w:val="-8"/>
          <w:szCs w:val="26"/>
        </w:rPr>
        <w:t xml:space="preserve"> </w:t>
      </w:r>
      <w:r w:rsidRPr="00BB32AF">
        <w:rPr>
          <w:szCs w:val="26"/>
        </w:rPr>
        <w:t>be the</w:t>
      </w:r>
      <w:r w:rsidRPr="00BB32AF">
        <w:rPr>
          <w:spacing w:val="-4"/>
          <w:szCs w:val="26"/>
        </w:rPr>
        <w:t xml:space="preserve"> </w:t>
      </w:r>
      <w:r w:rsidRPr="00BB32AF">
        <w:rPr>
          <w:szCs w:val="26"/>
        </w:rPr>
        <w:t>fir</w:t>
      </w:r>
      <w:r w:rsidRPr="00BB32AF">
        <w:rPr>
          <w:spacing w:val="1"/>
          <w:szCs w:val="26"/>
        </w:rPr>
        <w:t>s</w:t>
      </w:r>
      <w:r w:rsidRPr="00BB32AF">
        <w:rPr>
          <w:szCs w:val="26"/>
        </w:rPr>
        <w:t>t</w:t>
      </w:r>
      <w:r w:rsidRPr="00BB32AF">
        <w:rPr>
          <w:spacing w:val="-5"/>
          <w:szCs w:val="26"/>
        </w:rPr>
        <w:t xml:space="preserve"> </w:t>
      </w:r>
      <w:r w:rsidRPr="00BB32AF">
        <w:rPr>
          <w:szCs w:val="26"/>
        </w:rPr>
        <w:t>p</w:t>
      </w:r>
      <w:r w:rsidRPr="00BB32AF">
        <w:rPr>
          <w:spacing w:val="3"/>
          <w:szCs w:val="26"/>
        </w:rPr>
        <w:t>r</w:t>
      </w:r>
      <w:r w:rsidRPr="00BB32AF">
        <w:rPr>
          <w:spacing w:val="-1"/>
          <w:szCs w:val="26"/>
        </w:rPr>
        <w:t>i</w:t>
      </w:r>
      <w:r w:rsidRPr="00BB32AF">
        <w:rPr>
          <w:szCs w:val="26"/>
        </w:rPr>
        <w:t>o</w:t>
      </w:r>
      <w:r w:rsidRPr="00BB32AF">
        <w:rPr>
          <w:spacing w:val="1"/>
          <w:szCs w:val="26"/>
        </w:rPr>
        <w:t>r</w:t>
      </w:r>
      <w:r w:rsidRPr="00BB32AF">
        <w:rPr>
          <w:spacing w:val="-1"/>
          <w:szCs w:val="26"/>
        </w:rPr>
        <w:t>i</w:t>
      </w:r>
      <w:r w:rsidRPr="00BB32AF">
        <w:rPr>
          <w:spacing w:val="2"/>
          <w:szCs w:val="26"/>
        </w:rPr>
        <w:t>t</w:t>
      </w:r>
      <w:r w:rsidRPr="00BB32AF">
        <w:rPr>
          <w:szCs w:val="26"/>
        </w:rPr>
        <w:t>y,</w:t>
      </w:r>
      <w:r w:rsidRPr="00BB32AF">
        <w:rPr>
          <w:spacing w:val="-9"/>
          <w:szCs w:val="26"/>
        </w:rPr>
        <w:t xml:space="preserve"> </w:t>
      </w:r>
      <w:r w:rsidRPr="00BB32AF">
        <w:rPr>
          <w:szCs w:val="26"/>
        </w:rPr>
        <w:t>but</w:t>
      </w:r>
      <w:r w:rsidRPr="00BB32AF">
        <w:rPr>
          <w:spacing w:val="-2"/>
          <w:szCs w:val="26"/>
        </w:rPr>
        <w:t xml:space="preserve"> </w:t>
      </w:r>
      <w:r w:rsidRPr="00BB32AF">
        <w:rPr>
          <w:szCs w:val="26"/>
        </w:rPr>
        <w:t>a</w:t>
      </w:r>
      <w:r w:rsidRPr="00BB32AF">
        <w:rPr>
          <w:spacing w:val="-1"/>
          <w:szCs w:val="26"/>
        </w:rPr>
        <w:t>l</w:t>
      </w:r>
      <w:r w:rsidRPr="00BB32AF">
        <w:rPr>
          <w:szCs w:val="26"/>
        </w:rPr>
        <w:t>so</w:t>
      </w:r>
      <w:r w:rsidRPr="00BB32AF">
        <w:rPr>
          <w:spacing w:val="-3"/>
          <w:szCs w:val="26"/>
        </w:rPr>
        <w:t xml:space="preserve"> </w:t>
      </w:r>
      <w:r w:rsidRPr="00BB32AF">
        <w:rPr>
          <w:szCs w:val="26"/>
        </w:rPr>
        <w:t>the</w:t>
      </w:r>
      <w:r w:rsidRPr="00BB32AF">
        <w:rPr>
          <w:spacing w:val="-4"/>
          <w:szCs w:val="26"/>
        </w:rPr>
        <w:t xml:space="preserve"> </w:t>
      </w:r>
      <w:r w:rsidRPr="00BB32AF">
        <w:rPr>
          <w:szCs w:val="26"/>
        </w:rPr>
        <w:t>a</w:t>
      </w:r>
      <w:r w:rsidRPr="00BB32AF">
        <w:rPr>
          <w:spacing w:val="3"/>
          <w:szCs w:val="26"/>
        </w:rPr>
        <w:t>d</w:t>
      </w:r>
      <w:r w:rsidRPr="00BB32AF">
        <w:rPr>
          <w:szCs w:val="26"/>
        </w:rPr>
        <w:t>jacent</w:t>
      </w:r>
      <w:r w:rsidRPr="00BB32AF">
        <w:rPr>
          <w:spacing w:val="-10"/>
          <w:szCs w:val="26"/>
        </w:rPr>
        <w:t xml:space="preserve"> </w:t>
      </w:r>
      <w:r w:rsidRPr="00BB32AF">
        <w:rPr>
          <w:szCs w:val="26"/>
        </w:rPr>
        <w:t>area codes and,</w:t>
      </w:r>
      <w:r w:rsidRPr="00BB32AF">
        <w:rPr>
          <w:spacing w:val="-5"/>
          <w:szCs w:val="26"/>
        </w:rPr>
        <w:t xml:space="preserve"> </w:t>
      </w:r>
      <w:r w:rsidRPr="00BB32AF">
        <w:rPr>
          <w:szCs w:val="26"/>
        </w:rPr>
        <w:t>to</w:t>
      </w:r>
      <w:r w:rsidRPr="00BB32AF">
        <w:rPr>
          <w:spacing w:val="-2"/>
          <w:szCs w:val="26"/>
        </w:rPr>
        <w:t xml:space="preserve"> </w:t>
      </w:r>
      <w:r w:rsidRPr="00BB32AF">
        <w:rPr>
          <w:szCs w:val="26"/>
        </w:rPr>
        <w:t>a</w:t>
      </w:r>
      <w:r w:rsidRPr="00BB32AF">
        <w:rPr>
          <w:spacing w:val="1"/>
          <w:szCs w:val="26"/>
        </w:rPr>
        <w:t xml:space="preserve"> </w:t>
      </w:r>
      <w:r w:rsidRPr="00BB32AF">
        <w:rPr>
          <w:spacing w:val="-1"/>
          <w:szCs w:val="26"/>
        </w:rPr>
        <w:t>l</w:t>
      </w:r>
      <w:r w:rsidRPr="00BB32AF">
        <w:rPr>
          <w:szCs w:val="26"/>
        </w:rPr>
        <w:t>e</w:t>
      </w:r>
      <w:r w:rsidRPr="00BB32AF">
        <w:rPr>
          <w:spacing w:val="1"/>
          <w:szCs w:val="26"/>
        </w:rPr>
        <w:t>s</w:t>
      </w:r>
      <w:r w:rsidRPr="00BB32AF">
        <w:rPr>
          <w:szCs w:val="26"/>
        </w:rPr>
        <w:t>s</w:t>
      </w:r>
      <w:r w:rsidRPr="00BB32AF">
        <w:rPr>
          <w:spacing w:val="1"/>
          <w:szCs w:val="26"/>
        </w:rPr>
        <w:t>e</w:t>
      </w:r>
      <w:r w:rsidRPr="00BB32AF">
        <w:rPr>
          <w:szCs w:val="26"/>
        </w:rPr>
        <w:t>r</w:t>
      </w:r>
      <w:r w:rsidRPr="00BB32AF">
        <w:rPr>
          <w:spacing w:val="-6"/>
          <w:szCs w:val="26"/>
        </w:rPr>
        <w:t xml:space="preserve"> </w:t>
      </w:r>
      <w:r w:rsidRPr="00BB32AF">
        <w:rPr>
          <w:szCs w:val="26"/>
        </w:rPr>
        <w:t>e</w:t>
      </w:r>
      <w:r w:rsidRPr="00BB32AF">
        <w:rPr>
          <w:spacing w:val="1"/>
          <w:szCs w:val="26"/>
        </w:rPr>
        <w:t>x</w:t>
      </w:r>
      <w:r w:rsidRPr="00BB32AF">
        <w:rPr>
          <w:szCs w:val="26"/>
        </w:rPr>
        <w:t>te</w:t>
      </w:r>
      <w:r w:rsidRPr="00BB32AF">
        <w:rPr>
          <w:spacing w:val="3"/>
          <w:szCs w:val="26"/>
        </w:rPr>
        <w:t>n</w:t>
      </w:r>
      <w:r w:rsidRPr="00BB32AF">
        <w:rPr>
          <w:szCs w:val="26"/>
        </w:rPr>
        <w:t>t,</w:t>
      </w:r>
      <w:r w:rsidRPr="00BB32AF">
        <w:rPr>
          <w:spacing w:val="-8"/>
          <w:szCs w:val="26"/>
        </w:rPr>
        <w:t xml:space="preserve"> </w:t>
      </w:r>
      <w:r w:rsidRPr="00BB32AF">
        <w:rPr>
          <w:spacing w:val="-1"/>
          <w:szCs w:val="26"/>
        </w:rPr>
        <w:t>t</w:t>
      </w:r>
      <w:r w:rsidRPr="00BB32AF">
        <w:rPr>
          <w:szCs w:val="26"/>
        </w:rPr>
        <w:t>he</w:t>
      </w:r>
      <w:r w:rsidRPr="00BB32AF">
        <w:rPr>
          <w:spacing w:val="-4"/>
          <w:szCs w:val="26"/>
        </w:rPr>
        <w:t xml:space="preserve"> </w:t>
      </w:r>
      <w:r w:rsidRPr="00BB32AF">
        <w:rPr>
          <w:szCs w:val="26"/>
        </w:rPr>
        <w:t>wh</w:t>
      </w:r>
      <w:r w:rsidRPr="00BB32AF">
        <w:rPr>
          <w:spacing w:val="2"/>
          <w:szCs w:val="26"/>
        </w:rPr>
        <w:t>o</w:t>
      </w:r>
      <w:r w:rsidRPr="00BB32AF">
        <w:rPr>
          <w:spacing w:val="-1"/>
          <w:szCs w:val="26"/>
        </w:rPr>
        <w:t>l</w:t>
      </w:r>
      <w:r w:rsidRPr="00BB32AF">
        <w:rPr>
          <w:szCs w:val="26"/>
        </w:rPr>
        <w:t>e</w:t>
      </w:r>
      <w:r w:rsidRPr="00BB32AF">
        <w:rPr>
          <w:spacing w:val="-7"/>
          <w:szCs w:val="26"/>
        </w:rPr>
        <w:t xml:space="preserve"> </w:t>
      </w:r>
      <w:r w:rsidRPr="00BB32AF">
        <w:rPr>
          <w:spacing w:val="1"/>
          <w:szCs w:val="26"/>
        </w:rPr>
        <w:t>s</w:t>
      </w:r>
      <w:r w:rsidRPr="00BB32AF">
        <w:rPr>
          <w:szCs w:val="26"/>
        </w:rPr>
        <w:t>t</w:t>
      </w:r>
      <w:r w:rsidRPr="00BB32AF">
        <w:rPr>
          <w:spacing w:val="2"/>
          <w:szCs w:val="26"/>
        </w:rPr>
        <w:t>a</w:t>
      </w:r>
      <w:r w:rsidRPr="00BB32AF">
        <w:rPr>
          <w:szCs w:val="26"/>
        </w:rPr>
        <w:t>te.</w:t>
      </w:r>
    </w:p>
    <w:p w:rsidRPr="00BB32AF" w:rsidR="00153201" w:rsidP="00153201" w:rsidRDefault="00153201" w14:paraId="13B24377" w14:textId="77777777">
      <w:pPr>
        <w:pStyle w:val="Standard"/>
      </w:pPr>
      <w:r w:rsidRPr="00BB32AF">
        <w:t>In D.98</w:t>
      </w:r>
      <w:r w:rsidRPr="00BB32AF">
        <w:noBreakHyphen/>
        <w:t>12</w:t>
      </w:r>
      <w:r w:rsidRPr="00BB32AF">
        <w:noBreakHyphen/>
        <w:t>081 and in the R.95</w:t>
      </w:r>
      <w:r w:rsidRPr="00BB32AF">
        <w:noBreakHyphen/>
        <w:t>04</w:t>
      </w:r>
      <w:r w:rsidRPr="00BB32AF">
        <w:noBreakHyphen/>
        <w:t>043 and I.95</w:t>
      </w:r>
      <w:r w:rsidRPr="00BB32AF">
        <w:noBreakHyphen/>
        <w:t>04</w:t>
      </w:r>
      <w:r w:rsidRPr="00BB32AF">
        <w:noBreakHyphen/>
        <w:t xml:space="preserve">044 proceedings, the Commission set four major objectives for the </w:t>
      </w:r>
      <w:r w:rsidRPr="00BB32AF">
        <w:rPr>
          <w:rFonts w:eastAsia="Book Antiqua" w:cs="Book Antiqua"/>
          <w:szCs w:val="26"/>
        </w:rPr>
        <w:t>PEP</w:t>
      </w:r>
      <w:r w:rsidRPr="00BB32AF">
        <w:t>:</w:t>
      </w:r>
    </w:p>
    <w:p w:rsidRPr="00BB32AF" w:rsidR="00153201" w:rsidP="00153201" w:rsidRDefault="00153201" w14:paraId="38D2FAFB" w14:textId="77777777">
      <w:pPr>
        <w:numPr>
          <w:ilvl w:val="0"/>
          <w:numId w:val="28"/>
        </w:numPr>
        <w:spacing w:after="120" w:line="240" w:lineRule="auto"/>
        <w:ind w:left="1080" w:right="1440"/>
        <w:rPr>
          <w:szCs w:val="26"/>
        </w:rPr>
      </w:pPr>
      <w:r w:rsidRPr="00BB32AF">
        <w:rPr>
          <w:szCs w:val="26"/>
        </w:rPr>
        <w:t xml:space="preserve">Public awareness of the change in dialing patterns and area </w:t>
      </w:r>
      <w:r w:rsidRPr="00BB32AF">
        <w:t>code</w:t>
      </w:r>
      <w:r w:rsidRPr="00BB32AF">
        <w:rPr>
          <w:szCs w:val="26"/>
        </w:rPr>
        <w:t xml:space="preserve"> identification resulting from the implementation of the overlay;</w:t>
      </w:r>
    </w:p>
    <w:p w:rsidRPr="00BB32AF" w:rsidR="00153201" w:rsidP="00153201" w:rsidRDefault="00153201" w14:paraId="10F3455B" w14:textId="77777777">
      <w:pPr>
        <w:numPr>
          <w:ilvl w:val="0"/>
          <w:numId w:val="28"/>
        </w:numPr>
        <w:spacing w:after="120" w:line="240" w:lineRule="auto"/>
        <w:ind w:left="1080" w:right="1440"/>
        <w:rPr>
          <w:szCs w:val="26"/>
        </w:rPr>
      </w:pPr>
      <w:r w:rsidRPr="00BB32AF">
        <w:rPr>
          <w:szCs w:val="26"/>
        </w:rPr>
        <w:t>Public understanding of how they will be affected by the change and the rationale behind the change;</w:t>
      </w:r>
    </w:p>
    <w:p w:rsidRPr="00BB32AF" w:rsidR="00153201" w:rsidP="00153201" w:rsidRDefault="00153201" w14:paraId="5FB86330" w14:textId="77777777">
      <w:pPr>
        <w:numPr>
          <w:ilvl w:val="0"/>
          <w:numId w:val="28"/>
        </w:numPr>
        <w:spacing w:after="120" w:line="240" w:lineRule="auto"/>
        <w:ind w:left="1080" w:right="1440"/>
        <w:rPr>
          <w:szCs w:val="26"/>
        </w:rPr>
      </w:pPr>
      <w:r w:rsidRPr="00BB32AF">
        <w:rPr>
          <w:szCs w:val="26"/>
        </w:rPr>
        <w:t xml:space="preserve">Public assurance that the cost and quality of service will </w:t>
      </w:r>
      <w:r w:rsidRPr="00BB32AF">
        <w:t>not</w:t>
      </w:r>
      <w:r w:rsidRPr="00BB32AF">
        <w:rPr>
          <w:szCs w:val="26"/>
        </w:rPr>
        <w:t xml:space="preserve"> be adversely affected; and </w:t>
      </w:r>
    </w:p>
    <w:p w:rsidRPr="00BB32AF" w:rsidR="00153201" w:rsidP="00153201" w:rsidRDefault="00153201" w14:paraId="3FC20BF1" w14:textId="77777777">
      <w:pPr>
        <w:numPr>
          <w:ilvl w:val="0"/>
          <w:numId w:val="28"/>
        </w:numPr>
        <w:spacing w:after="120" w:line="240" w:lineRule="auto"/>
        <w:ind w:left="1080" w:right="1440"/>
        <w:rPr>
          <w:szCs w:val="26"/>
        </w:rPr>
      </w:pPr>
      <w:r w:rsidRPr="00BB32AF">
        <w:rPr>
          <w:szCs w:val="26"/>
        </w:rPr>
        <w:t xml:space="preserve">Promotion of positive acceptance by customers of the </w:t>
      </w:r>
      <w:r w:rsidRPr="00BB32AF">
        <w:t>change</w:t>
      </w:r>
      <w:r w:rsidRPr="00BB32AF">
        <w:rPr>
          <w:szCs w:val="26"/>
        </w:rPr>
        <w:t>.</w:t>
      </w:r>
    </w:p>
    <w:p w:rsidRPr="00BB32AF" w:rsidR="00153201" w:rsidP="00153201" w:rsidRDefault="00153201" w14:paraId="1250FEC9" w14:textId="77777777">
      <w:pPr>
        <w:keepNext/>
      </w:pPr>
      <w:r w:rsidRPr="00BB32AF">
        <w:t>To achieve those goals, the Commission required:</w:t>
      </w:r>
    </w:p>
    <w:p w:rsidRPr="00BB32AF" w:rsidR="00153201" w:rsidP="00153201" w:rsidRDefault="00153201" w14:paraId="484B1D84" w14:textId="77777777">
      <w:pPr>
        <w:numPr>
          <w:ilvl w:val="0"/>
          <w:numId w:val="30"/>
        </w:numPr>
        <w:spacing w:after="120" w:line="240" w:lineRule="auto"/>
        <w:ind w:right="1440"/>
        <w:rPr>
          <w:szCs w:val="26"/>
        </w:rPr>
      </w:pPr>
      <w:r w:rsidRPr="00BB32AF">
        <w:rPr>
          <w:szCs w:val="26"/>
        </w:rPr>
        <w:t xml:space="preserve">The operation of a call center for consumers to obtain </w:t>
      </w:r>
      <w:r w:rsidRPr="00BB32AF">
        <w:t>information</w:t>
      </w:r>
      <w:r w:rsidRPr="00BB32AF">
        <w:rPr>
          <w:szCs w:val="26"/>
        </w:rPr>
        <w:t xml:space="preserve"> regarding the overlay;</w:t>
      </w:r>
    </w:p>
    <w:p w:rsidRPr="00BB32AF" w:rsidR="00153201" w:rsidP="00153201" w:rsidRDefault="00153201" w14:paraId="04B82926" w14:textId="77777777">
      <w:pPr>
        <w:numPr>
          <w:ilvl w:val="0"/>
          <w:numId w:val="30"/>
        </w:numPr>
        <w:spacing w:after="120" w:line="240" w:lineRule="auto"/>
        <w:ind w:right="1440"/>
        <w:rPr>
          <w:szCs w:val="26"/>
        </w:rPr>
      </w:pPr>
      <w:r w:rsidRPr="00BB32AF">
        <w:t>Targeted</w:t>
      </w:r>
      <w:r w:rsidRPr="00BB32AF">
        <w:rPr>
          <w:szCs w:val="26"/>
        </w:rPr>
        <w:t xml:space="preserve"> paid advertising in the relevant zoned editions of major newspapers as well as newspapers targeted to ethnic communities;</w:t>
      </w:r>
    </w:p>
    <w:p w:rsidRPr="00BB32AF" w:rsidR="00153201" w:rsidP="00153201" w:rsidRDefault="00153201" w14:paraId="280F4244" w14:textId="77777777">
      <w:pPr>
        <w:numPr>
          <w:ilvl w:val="0"/>
          <w:numId w:val="30"/>
        </w:numPr>
        <w:spacing w:after="120" w:line="240" w:lineRule="auto"/>
        <w:ind w:right="1440"/>
        <w:rPr>
          <w:szCs w:val="26"/>
        </w:rPr>
      </w:pPr>
      <w:r w:rsidRPr="00BB32AF">
        <w:t>Bill</w:t>
      </w:r>
      <w:r w:rsidRPr="00BB32AF">
        <w:rPr>
          <w:szCs w:val="26"/>
        </w:rPr>
        <w:t xml:space="preserve"> </w:t>
      </w:r>
      <w:proofErr w:type="gramStart"/>
      <w:r w:rsidRPr="00BB32AF">
        <w:rPr>
          <w:szCs w:val="26"/>
        </w:rPr>
        <w:t>insert</w:t>
      </w:r>
      <w:proofErr w:type="gramEnd"/>
      <w:r w:rsidRPr="00BB32AF">
        <w:rPr>
          <w:szCs w:val="26"/>
        </w:rPr>
        <w:t xml:space="preserve"> notices to the adjacent area codes;</w:t>
      </w:r>
    </w:p>
    <w:p w:rsidRPr="00BB32AF" w:rsidR="00153201" w:rsidP="00153201" w:rsidRDefault="00153201" w14:paraId="6C6DEBAA" w14:textId="77777777">
      <w:pPr>
        <w:numPr>
          <w:ilvl w:val="0"/>
          <w:numId w:val="30"/>
        </w:numPr>
        <w:spacing w:after="120" w:line="240" w:lineRule="auto"/>
        <w:ind w:right="1440"/>
        <w:rPr>
          <w:szCs w:val="26"/>
        </w:rPr>
      </w:pPr>
      <w:r w:rsidRPr="00BB32AF">
        <w:t>Limited</w:t>
      </w:r>
      <w:r w:rsidRPr="00BB32AF">
        <w:rPr>
          <w:szCs w:val="26"/>
        </w:rPr>
        <w:t xml:space="preserve"> use of billboard and radio advertising; and</w:t>
      </w:r>
    </w:p>
    <w:p w:rsidRPr="00BB32AF" w:rsidR="00153201" w:rsidP="00153201" w:rsidRDefault="00153201" w14:paraId="4FF6C51A" w14:textId="77777777">
      <w:pPr>
        <w:numPr>
          <w:ilvl w:val="0"/>
          <w:numId w:val="30"/>
        </w:numPr>
        <w:spacing w:after="120" w:line="240" w:lineRule="auto"/>
        <w:ind w:right="1440"/>
        <w:rPr>
          <w:szCs w:val="26"/>
        </w:rPr>
      </w:pPr>
      <w:r w:rsidRPr="00BB32AF">
        <w:lastRenderedPageBreak/>
        <w:t>Mailing</w:t>
      </w:r>
      <w:r w:rsidRPr="00BB32AF">
        <w:rPr>
          <w:szCs w:val="26"/>
        </w:rPr>
        <w:t xml:space="preserve"> letters, brochures, and collateral materials to local government officials in the overlay and adjacent area codes.</w:t>
      </w:r>
    </w:p>
    <w:p w:rsidRPr="00BB32AF" w:rsidR="00153201" w:rsidP="00153201" w:rsidRDefault="00153201" w14:paraId="48F46976" w14:textId="77777777">
      <w:r w:rsidRPr="00BB32AF">
        <w:t>In D.05</w:t>
      </w:r>
      <w:r w:rsidRPr="00BB32AF">
        <w:noBreakHyphen/>
        <w:t>08</w:t>
      </w:r>
      <w:r w:rsidRPr="00BB32AF">
        <w:noBreakHyphen/>
        <w:t>040, and also in the R.95</w:t>
      </w:r>
      <w:r w:rsidRPr="00BB32AF">
        <w:noBreakHyphen/>
        <w:t>04</w:t>
      </w:r>
      <w:r w:rsidRPr="00BB32AF">
        <w:noBreakHyphen/>
        <w:t>043 and I.95</w:t>
      </w:r>
      <w:r w:rsidRPr="00BB32AF">
        <w:noBreakHyphen/>
        <w:t>04</w:t>
      </w:r>
      <w:r w:rsidRPr="00BB32AF">
        <w:noBreakHyphen/>
        <w:t>044 proceedings, the Commission required:</w:t>
      </w:r>
    </w:p>
    <w:p w:rsidRPr="00BB32AF" w:rsidR="00153201" w:rsidP="00153201" w:rsidRDefault="00153201" w14:paraId="637EA6BC" w14:textId="77777777">
      <w:pPr>
        <w:numPr>
          <w:ilvl w:val="0"/>
          <w:numId w:val="29"/>
        </w:numPr>
        <w:spacing w:after="120" w:line="240" w:lineRule="auto"/>
        <w:ind w:right="1440"/>
        <w:rPr>
          <w:szCs w:val="26"/>
        </w:rPr>
      </w:pPr>
      <w:r w:rsidRPr="00BB32AF">
        <w:rPr>
          <w:szCs w:val="26"/>
        </w:rPr>
        <w:t>The activities and standards previously required for the 310-area code and 408-area code overlay PEPs to achieve at least 70 percent public awareness level;</w:t>
      </w:r>
    </w:p>
    <w:p w:rsidRPr="00BB32AF" w:rsidR="00153201" w:rsidP="00153201" w:rsidRDefault="00153201" w14:paraId="0CCF7675" w14:textId="77777777">
      <w:pPr>
        <w:numPr>
          <w:ilvl w:val="0"/>
          <w:numId w:val="29"/>
        </w:numPr>
        <w:spacing w:after="120" w:line="240" w:lineRule="auto"/>
        <w:ind w:right="1440"/>
        <w:rPr>
          <w:szCs w:val="26"/>
        </w:rPr>
      </w:pPr>
      <w:r w:rsidRPr="00BB32AF">
        <w:rPr>
          <w:szCs w:val="26"/>
        </w:rPr>
        <w:t xml:space="preserve">Outreach to specifically target key governmental agencies, </w:t>
      </w:r>
      <w:r w:rsidRPr="00BB32AF">
        <w:t>community</w:t>
      </w:r>
      <w:r w:rsidRPr="00BB32AF">
        <w:rPr>
          <w:szCs w:val="26"/>
        </w:rPr>
        <w:t xml:space="preserve"> leaders, chambers of commerce, major airports, hospitals, alarm providers, pay telephone providers, and the state coordinator for E</w:t>
      </w:r>
      <w:r w:rsidRPr="00BB32AF">
        <w:rPr>
          <w:szCs w:val="26"/>
        </w:rPr>
        <w:noBreakHyphen/>
        <w:t xml:space="preserve">911; and </w:t>
      </w:r>
    </w:p>
    <w:p w:rsidRPr="00BB32AF" w:rsidR="00153201" w:rsidP="00153201" w:rsidRDefault="00153201" w14:paraId="0E001929" w14:textId="77777777">
      <w:pPr>
        <w:numPr>
          <w:ilvl w:val="0"/>
          <w:numId w:val="29"/>
        </w:numPr>
        <w:spacing w:after="120" w:line="240" w:lineRule="auto"/>
        <w:ind w:right="1440"/>
        <w:rPr>
          <w:szCs w:val="26"/>
        </w:rPr>
      </w:pPr>
      <w:r w:rsidRPr="00BB32AF">
        <w:rPr>
          <w:szCs w:val="26"/>
        </w:rPr>
        <w:t xml:space="preserve">Special </w:t>
      </w:r>
      <w:r w:rsidRPr="00BB32AF">
        <w:t>outreach</w:t>
      </w:r>
      <w:r w:rsidRPr="00BB32AF">
        <w:rPr>
          <w:szCs w:val="26"/>
        </w:rPr>
        <w:t xml:space="preserve"> to senior citizens, children, the disabled, and ethnic minorities including targeted newspaper, billboard, radio, and television advertising.</w:t>
      </w:r>
    </w:p>
    <w:p w:rsidRPr="00BB32AF" w:rsidR="00153201" w:rsidP="00153201" w:rsidRDefault="00153201" w14:paraId="34D1E547" w14:textId="77777777">
      <w:r w:rsidRPr="00BB32AF">
        <w:t>In D.16</w:t>
      </w:r>
      <w:r w:rsidRPr="00BB32AF">
        <w:noBreakHyphen/>
        <w:t>07</w:t>
      </w:r>
      <w:r w:rsidRPr="00BB32AF">
        <w:noBreakHyphen/>
        <w:t>014 and subsequent area code relief decisions, the Commission did not require the Industry to conduct a public awareness survey.</w:t>
      </w:r>
      <w:r w:rsidRPr="00BB32AF">
        <w:rPr>
          <w:vertAlign w:val="superscript"/>
        </w:rPr>
        <w:footnoteReference w:id="30"/>
      </w:r>
      <w:r w:rsidRPr="00BB32AF">
        <w:t xml:space="preserve">  The Commission reasoned that because the content of the adopted program would contain the same activities used in prior PEPs that have met the 70 percent minimum customer awareness requirement established in D.05-08-040, there would be little possibility that the 70 percent threshold would not be met with the same amount of effort put forth by the Industry.  However, the Commission continued to require the </w:t>
      </w:r>
      <w:proofErr w:type="gramStart"/>
      <w:r w:rsidRPr="00BB32AF">
        <w:t>Industry</w:t>
      </w:r>
      <w:proofErr w:type="gramEnd"/>
      <w:r w:rsidRPr="00BB32AF">
        <w:t xml:space="preserve"> to achieve the previously-established </w:t>
      </w:r>
      <w:r>
        <w:br/>
      </w:r>
      <w:r w:rsidRPr="00BB32AF">
        <w:t>70 percent minimum customer awareness requirement.</w:t>
      </w:r>
      <w:r w:rsidRPr="00BB32AF">
        <w:rPr>
          <w:vertAlign w:val="superscript"/>
        </w:rPr>
        <w:footnoteReference w:id="31"/>
      </w:r>
      <w:r w:rsidRPr="00BB32AF">
        <w:t xml:space="preserve">  </w:t>
      </w:r>
    </w:p>
    <w:p w:rsidRPr="00BB32AF" w:rsidR="00153201" w:rsidP="00153201" w:rsidRDefault="00153201" w14:paraId="7355B526" w14:textId="77777777">
      <w:pPr>
        <w:pStyle w:val="Standard"/>
      </w:pPr>
      <w:r w:rsidRPr="00BB32AF">
        <w:lastRenderedPageBreak/>
        <w:t>In D.98-12-081, the Commission required “[t]</w:t>
      </w:r>
      <w:proofErr w:type="spellStart"/>
      <w:r w:rsidRPr="00BB32AF">
        <w:t>argeted</w:t>
      </w:r>
      <w:proofErr w:type="spellEnd"/>
      <w:r w:rsidRPr="00BB32AF">
        <w:t xml:space="preserve"> paid advertising in the relevant zoned editions of major newspapers as well as newspapers targeted to ethnic communities.”  In D.05-08-040</w:t>
      </w:r>
      <w:r w:rsidRPr="00BB32AF">
        <w:rPr>
          <w:vertAlign w:val="superscript"/>
        </w:rPr>
        <w:footnoteReference w:id="32"/>
      </w:r>
      <w:r w:rsidRPr="00BB32AF">
        <w:t xml:space="preserve">, the Commission mandated outreach efforts specifically aimed at key agencies and special groups.  These groups included alarm providers, pay telephone providers, public safety responders, and state E-911 coordinators.  Additionally, outreach was required to be conducted towards senior citizens, children, the disabled, and ethnic minorities </w:t>
      </w:r>
      <w:r>
        <w:t xml:space="preserve">through </w:t>
      </w:r>
      <w:r w:rsidRPr="00BB32AF">
        <w:t xml:space="preserve">targeted newspaper, billboard, radio, and television advertising. </w:t>
      </w:r>
      <w:bookmarkStart w:name="_Hlk138270136" w:id="32"/>
      <w:r w:rsidRPr="00BB32AF">
        <w:t xml:space="preserve"> A PEP that does not include paid advertising activities deviates from previous PEPs for overlays requiring a change in dialing procedure. </w:t>
      </w:r>
      <w:r>
        <w:t xml:space="preserve"> </w:t>
      </w:r>
      <w:r w:rsidRPr="00BB32AF">
        <w:t>These previous PEPs successfully met the requirement of achieving a 70 percent customer awareness requirement.  Furthermore, without the inclusion of a public awareness survey, it becomes impossible to quantifiably assess whether a PEP lacking paid advertisements can reach the minimum customer awareness level of 70 percent.</w:t>
      </w:r>
      <w:bookmarkEnd w:id="32"/>
    </w:p>
    <w:p w:rsidRPr="00BB32AF" w:rsidR="00153201" w:rsidP="00153201" w:rsidRDefault="00153201" w14:paraId="3A136346" w14:textId="77777777">
      <w:pPr>
        <w:keepNext/>
        <w:keepLines/>
        <w:numPr>
          <w:ilvl w:val="1"/>
          <w:numId w:val="33"/>
        </w:numPr>
        <w:spacing w:after="120" w:line="240" w:lineRule="auto"/>
        <w:ind w:right="2160"/>
        <w:outlineLvl w:val="1"/>
        <w:rPr>
          <w:rFonts w:ascii="Arial" w:hAnsi="Arial" w:cs="Arial"/>
          <w:b/>
          <w:szCs w:val="26"/>
        </w:rPr>
      </w:pPr>
      <w:bookmarkStart w:name="_Toc140494511" w:id="33"/>
      <w:bookmarkStart w:name="_Toc147919355" w:id="34"/>
      <w:bookmarkStart w:name="_Toc150417484" w:id="35"/>
      <w:r w:rsidRPr="00BB32AF">
        <w:rPr>
          <w:rFonts w:ascii="Arial" w:hAnsi="Arial" w:cs="Arial"/>
          <w:b/>
          <w:szCs w:val="26"/>
        </w:rPr>
        <w:t>Discussion</w:t>
      </w:r>
      <w:bookmarkEnd w:id="33"/>
      <w:bookmarkEnd w:id="34"/>
      <w:bookmarkEnd w:id="35"/>
    </w:p>
    <w:p w:rsidRPr="00BB32AF" w:rsidR="00153201" w:rsidP="00153201" w:rsidRDefault="00153201" w14:paraId="14D440A2" w14:textId="77777777">
      <w:pPr>
        <w:pStyle w:val="Standard"/>
      </w:pPr>
      <w:r>
        <w:t xml:space="preserve">NANPA asserts more than once that paid advertising is not necessary for the </w:t>
      </w:r>
      <w:proofErr w:type="gramStart"/>
      <w:r>
        <w:t>559 overlay</w:t>
      </w:r>
      <w:proofErr w:type="gramEnd"/>
      <w:r>
        <w:t xml:space="preserve"> requested in the application.  </w:t>
      </w:r>
      <w:r w:rsidRPr="00BB32AF">
        <w:t xml:space="preserve">“Attachment 1” </w:t>
      </w:r>
      <w:r>
        <w:t xml:space="preserve">to the application contains an </w:t>
      </w:r>
      <w:r w:rsidRPr="00BB32AF">
        <w:t>industry statement requesting</w:t>
      </w:r>
      <w:r>
        <w:t xml:space="preserve"> that</w:t>
      </w:r>
      <w:r w:rsidRPr="00BB32AF">
        <w:t xml:space="preserve"> the Commission approve a PEP that does not include paid advertising.</w:t>
      </w:r>
      <w:r>
        <w:t xml:space="preserve">  Specifically, t</w:t>
      </w:r>
      <w:r w:rsidRPr="00BB32AF">
        <w:t>he Industry argues that no paid advertising</w:t>
      </w:r>
      <w:r>
        <w:t xml:space="preserve"> </w:t>
      </w:r>
      <w:r w:rsidRPr="00BB32AF">
        <w:t>to educate customers is necessary for a successful implementation of an overlay to relieve the 559 area code.</w:t>
      </w:r>
      <w:r w:rsidRPr="00BB32AF">
        <w:rPr>
          <w:vertAlign w:val="superscript"/>
        </w:rPr>
        <w:footnoteReference w:id="33"/>
      </w:r>
      <w:r>
        <w:t xml:space="preserve">  Exhibit B to the application, </w:t>
      </w:r>
      <w:r w:rsidRPr="00BB32AF">
        <w:t xml:space="preserve">which includes the final minutes of the December 21, 2022 initial </w:t>
      </w:r>
      <w:r w:rsidRPr="00BB32AF">
        <w:lastRenderedPageBreak/>
        <w:t>relief planning meeting for the 559 NPA</w:t>
      </w:r>
      <w:r w:rsidRPr="00BB32AF">
        <w:rPr>
          <w:vertAlign w:val="superscript"/>
        </w:rPr>
        <w:footnoteReference w:id="34"/>
      </w:r>
      <w:r>
        <w:t xml:space="preserve">, again documents the Industry consensus that the requested implementation of the 559 overlay, and approval of the proposed PEP, should not require paid advertising.  </w:t>
      </w:r>
    </w:p>
    <w:p w:rsidRPr="00BB32AF" w:rsidR="00153201" w:rsidP="00153201" w:rsidRDefault="00153201" w14:paraId="2DC05647" w14:textId="77777777">
      <w:pPr>
        <w:pStyle w:val="Standard"/>
      </w:pPr>
      <w:r w:rsidRPr="00BB32AF">
        <w:t xml:space="preserve">The </w:t>
      </w:r>
      <w:proofErr w:type="gramStart"/>
      <w:r w:rsidRPr="00BB32AF">
        <w:t>Industry</w:t>
      </w:r>
      <w:proofErr w:type="gramEnd"/>
      <w:r w:rsidRPr="00BB32AF">
        <w:t xml:space="preserve"> </w:t>
      </w:r>
      <w:r>
        <w:t xml:space="preserve">also </w:t>
      </w:r>
      <w:r w:rsidRPr="00BB32AF">
        <w:t>argues in A.23-01-012 that paid advertising is not necessary for the following reasons:</w:t>
      </w:r>
    </w:p>
    <w:p w:rsidRPr="00BB32AF" w:rsidR="00153201" w:rsidP="00153201" w:rsidRDefault="00153201" w14:paraId="46BAA9F3" w14:textId="77777777">
      <w:pPr>
        <w:numPr>
          <w:ilvl w:val="0"/>
          <w:numId w:val="31"/>
        </w:numPr>
        <w:spacing w:after="120" w:line="240" w:lineRule="auto"/>
        <w:ind w:right="1440"/>
      </w:pPr>
      <w:r w:rsidRPr="00BB32AF">
        <w:t>Californians are already very familiar with multiple area codes and mandatory 1+10-digit dialing;</w:t>
      </w:r>
    </w:p>
    <w:p w:rsidRPr="00BB32AF" w:rsidR="00153201" w:rsidP="00153201" w:rsidRDefault="00153201" w14:paraId="0216A60C" w14:textId="77777777">
      <w:pPr>
        <w:numPr>
          <w:ilvl w:val="1"/>
          <w:numId w:val="31"/>
        </w:numPr>
        <w:spacing w:after="120" w:line="240" w:lineRule="auto"/>
        <w:ind w:left="1440" w:right="1440"/>
      </w:pPr>
      <w:r w:rsidRPr="00BB32AF">
        <w:t>Mandatory 1+10-digit dialing is the predominant dialing plan in California, required in 35 of 38 area codes once the 707/369 overlay was implemented on February 1, 2023;</w:t>
      </w:r>
    </w:p>
    <w:p w:rsidRPr="00BB32AF" w:rsidR="00153201" w:rsidP="00153201" w:rsidRDefault="00153201" w14:paraId="39ECDAE0" w14:textId="77777777">
      <w:pPr>
        <w:numPr>
          <w:ilvl w:val="0"/>
          <w:numId w:val="31"/>
        </w:numPr>
        <w:spacing w:after="120" w:line="240" w:lineRule="auto"/>
        <w:ind w:right="1440"/>
      </w:pPr>
      <w:r w:rsidRPr="00BB32AF">
        <w:t xml:space="preserve">The </w:t>
      </w:r>
      <w:proofErr w:type="gramStart"/>
      <w:r w:rsidRPr="00BB32AF">
        <w:t>Industry</w:t>
      </w:r>
      <w:proofErr w:type="gramEnd"/>
      <w:r w:rsidRPr="00BB32AF">
        <w:t xml:space="preserve"> is quite experienced in educating customers about mandatory 10-digit dialing (or 1+10-digit dialing where required), having implemented 35 overlays in 25 other states (including the District of Columbia) across the country over the last 10 years.  No paid advertising was used in those 35 overlays;</w:t>
      </w:r>
    </w:p>
    <w:p w:rsidRPr="00BB32AF" w:rsidR="00153201" w:rsidP="00153201" w:rsidRDefault="00153201" w14:paraId="4E9585EA" w14:textId="77777777">
      <w:pPr>
        <w:numPr>
          <w:ilvl w:val="0"/>
          <w:numId w:val="31"/>
        </w:numPr>
        <w:spacing w:after="120" w:line="240" w:lineRule="auto"/>
        <w:ind w:right="1440"/>
      </w:pPr>
      <w:r w:rsidRPr="00BB32AF">
        <w:t xml:space="preserve">The use of news releases, particularly when issued by the CPUC, has been effective in educating the public about the overlay and supplementing individual service provider customer education notices; </w:t>
      </w:r>
    </w:p>
    <w:p w:rsidRPr="00BB32AF" w:rsidR="00153201" w:rsidP="00153201" w:rsidRDefault="00153201" w14:paraId="593F37E0" w14:textId="77777777">
      <w:pPr>
        <w:numPr>
          <w:ilvl w:val="0"/>
          <w:numId w:val="31"/>
        </w:numPr>
        <w:spacing w:after="120" w:line="240" w:lineRule="auto"/>
        <w:ind w:right="1440"/>
      </w:pPr>
      <w:r w:rsidRPr="00BB32AF">
        <w:t>Paid advertising requirements in PEPs create the need for a funding mechanism, and past PEPs demonstrate that the funding mechanism is a burdensome, inefficient</w:t>
      </w:r>
      <w:r>
        <w:t>,</w:t>
      </w:r>
      <w:r w:rsidRPr="00BB32AF">
        <w:t xml:space="preserve"> and unnecessarily complex process shouldered unfairly by a few industry volunteers; and</w:t>
      </w:r>
    </w:p>
    <w:p w:rsidR="00153201" w:rsidP="00153201" w:rsidRDefault="00153201" w14:paraId="694F6C5B" w14:textId="77777777">
      <w:pPr>
        <w:numPr>
          <w:ilvl w:val="0"/>
          <w:numId w:val="31"/>
        </w:numPr>
        <w:spacing w:after="120" w:line="240" w:lineRule="auto"/>
        <w:ind w:right="1440"/>
      </w:pPr>
      <w:r w:rsidRPr="00BB32AF">
        <w:t xml:space="preserve">Educating 559 customers about mandatory 1+10-digit dialing is a familiar exercise for the </w:t>
      </w:r>
      <w:proofErr w:type="gramStart"/>
      <w:r w:rsidRPr="00BB32AF">
        <w:t>Industry</w:t>
      </w:r>
      <w:proofErr w:type="gramEnd"/>
      <w:r w:rsidRPr="00BB32AF">
        <w:t>.  For routine customer education messaging about mandatory 1+10-digit dialing, paid advertising</w:t>
      </w:r>
      <w:r>
        <w:t>,</w:t>
      </w:r>
      <w:r w:rsidRPr="00BB32AF">
        <w:t xml:space="preserve"> and a funded PEP doesn’t make fiscal sense.</w:t>
      </w:r>
    </w:p>
    <w:p w:rsidR="00153201" w:rsidP="00153201" w:rsidRDefault="00153201" w14:paraId="26FCD30D" w14:textId="77777777">
      <w:pPr>
        <w:pStyle w:val="Standard"/>
      </w:pPr>
      <w:r>
        <w:lastRenderedPageBreak/>
        <w:t>T</w:t>
      </w:r>
      <w:r w:rsidRPr="00BB32AF">
        <w:t>he Commission disagrees</w:t>
      </w:r>
      <w:r>
        <w:t xml:space="preserve"> with the </w:t>
      </w:r>
      <w:proofErr w:type="gramStart"/>
      <w:r>
        <w:t>Industry’s</w:t>
      </w:r>
      <w:proofErr w:type="gramEnd"/>
      <w:r>
        <w:t xml:space="preserve"> arguments that paid advertising is not necessary.  We find that paid advertising is necessary for the overlay requested in this application, as further explained below.</w:t>
      </w:r>
    </w:p>
    <w:p w:rsidRPr="00BB32AF" w:rsidR="00153201" w:rsidP="00153201" w:rsidRDefault="00153201" w14:paraId="4C395417" w14:textId="77777777">
      <w:pPr>
        <w:pStyle w:val="Standard"/>
      </w:pPr>
      <w:r>
        <w:t xml:space="preserve">Paid advertising is important for customer notification and education.  Paid advertising is also </w:t>
      </w:r>
      <w:r w:rsidRPr="00BB32AF">
        <w:t xml:space="preserve"> necessary </w:t>
      </w:r>
      <w:r>
        <w:t xml:space="preserve">because equivalent results cannot necessarily be obtained through customer notices, website postings, and social media.  These other methods of customer education target the general public but may not provide special outreach to key organizations, minority groups, and underrepresented populations as required by D.98-12-081 and D.05-08-040.  Television and radio media reach a broader and more diverse audience, including people who are illiterate or have a low literacy level.  Simply relying on customer notices, website postings, and social media alone is of little to no benefit to customers who may be illiterate, lack familiarity with computers, or lack access to the internet or a computer.  </w:t>
      </w:r>
      <w:r w:rsidRPr="00BB32AF">
        <w:t xml:space="preserve">As the Commission explained in </w:t>
      </w:r>
      <w:r>
        <w:br/>
      </w:r>
      <w:r w:rsidRPr="00BB32AF">
        <w:t xml:space="preserve">D.17-05-019, the burdensome process that a </w:t>
      </w:r>
      <w:r w:rsidRPr="00BB32AF">
        <w:rPr>
          <w:rFonts w:eastAsia="Book Antiqua" w:cs="Book Antiqua"/>
          <w:szCs w:val="26"/>
        </w:rPr>
        <w:t>PEP</w:t>
      </w:r>
      <w:r w:rsidRPr="00BB32AF">
        <w:t xml:space="preserve"> with paid advertising creates is outweighed by the broader responsibility of oversight and accountability provided to the people of California.</w:t>
      </w:r>
      <w:r w:rsidRPr="00BB32AF">
        <w:rPr>
          <w:vertAlign w:val="superscript"/>
        </w:rPr>
        <w:footnoteReference w:id="35"/>
      </w:r>
      <w:r>
        <w:t xml:space="preserve"> </w:t>
      </w:r>
    </w:p>
    <w:p w:rsidR="00153201" w:rsidP="00153201" w:rsidRDefault="00153201" w14:paraId="4E5BE34D" w14:textId="77777777">
      <w:pPr>
        <w:pStyle w:val="Standard"/>
        <w:ind w:firstLine="0"/>
      </w:pPr>
      <w:r>
        <w:tab/>
      </w:r>
      <w:r w:rsidRPr="00BB32AF">
        <w:t xml:space="preserve">Therefore, as in D.17-05-019, D.18-06-013, and D.19-06-012, the Commission will require the PEP to include paid advertising to inform the affected customers of the new area code addition and change to the 1+10-digit dialing procedure. </w:t>
      </w:r>
      <w:r>
        <w:t xml:space="preserve"> The Commission recognizes that paid advertising is important for customer notification and education. </w:t>
      </w:r>
    </w:p>
    <w:p w:rsidRPr="00BB32AF" w:rsidR="00153201" w:rsidP="00153201" w:rsidRDefault="00153201" w14:paraId="362BDEDC" w14:textId="77777777">
      <w:pPr>
        <w:pStyle w:val="Standard"/>
      </w:pPr>
      <w:r w:rsidRPr="00BB32AF">
        <w:lastRenderedPageBreak/>
        <w:t>The Commission will also require a Task Force</w:t>
      </w:r>
      <w:r w:rsidRPr="00BB32AF">
        <w:rPr>
          <w:szCs w:val="26"/>
          <w:vertAlign w:val="superscript"/>
        </w:rPr>
        <w:footnoteReference w:id="36"/>
      </w:r>
      <w:r w:rsidRPr="00BB32AF">
        <w:t xml:space="preserve"> to implement the </w:t>
      </w:r>
      <w:r w:rsidRPr="00BB32AF">
        <w:rPr>
          <w:rFonts w:eastAsia="Book Antiqua" w:cs="Book Antiqua"/>
          <w:szCs w:val="26"/>
        </w:rPr>
        <w:t>PEP</w:t>
      </w:r>
      <w:r w:rsidRPr="00BB32AF">
        <w:t xml:space="preserve">.  The Task Force shall consist of representatives from the service providers holding numbering resources in the 559-area code as of the effective date of this decision, as well as Commission staff to oversee the implementation.  All service provider representatives on the Task Force should contribute to the implementation effort and those unwilling to participate </w:t>
      </w:r>
      <w:proofErr w:type="gramStart"/>
      <w:r w:rsidRPr="00BB32AF">
        <w:t>shall</w:t>
      </w:r>
      <w:proofErr w:type="gramEnd"/>
      <w:r w:rsidRPr="00BB32AF">
        <w:t xml:space="preserve"> be reported to the Commission.  The Commission requires the Task Force to develop a reasonable means of delineating the division of responsibility for public education activities to ensure adequate tracking and compliance.</w:t>
      </w:r>
    </w:p>
    <w:p w:rsidRPr="00BB32AF" w:rsidR="00153201" w:rsidP="00153201" w:rsidRDefault="00153201" w14:paraId="4C116840" w14:textId="77777777">
      <w:pPr>
        <w:pStyle w:val="Standard"/>
      </w:pPr>
      <w:r w:rsidRPr="00BB32AF">
        <w:t xml:space="preserve">The Task Force will be responsible for developing the materials and content of the </w:t>
      </w:r>
      <w:r w:rsidRPr="00BB32AF">
        <w:rPr>
          <w:rFonts w:eastAsia="Book Antiqua" w:cs="Book Antiqua"/>
          <w:szCs w:val="26"/>
        </w:rPr>
        <w:t>PEP</w:t>
      </w:r>
      <w:r w:rsidRPr="00BB32AF">
        <w:t>, maximizing the use of prior education efforts, and conforming to the requirements of this order.  The PEP should contain the same activities used in prior programs with paid advertising that have achieved the 70 percent customer awareness requirement to ensure customer awareness, prior to the anticipated exhaust</w:t>
      </w:r>
      <w:r>
        <w:t>ion</w:t>
      </w:r>
      <w:r w:rsidRPr="00BB32AF">
        <w:t xml:space="preserve"> of the </w:t>
      </w:r>
      <w:proofErr w:type="gramStart"/>
      <w:r w:rsidRPr="00BB32AF">
        <w:t>559 area</w:t>
      </w:r>
      <w:proofErr w:type="gramEnd"/>
      <w:r w:rsidRPr="00BB32AF">
        <w:t xml:space="preserve"> code to occur during the third quarter of 2025.</w:t>
      </w:r>
      <w:r>
        <w:t xml:space="preserve"> </w:t>
      </w:r>
      <w:r w:rsidRPr="00BB32AF">
        <w:t xml:space="preserve"> There is no requirement for either the Industry or the Task Force to formally report the 70 percent customer awareness to the Commission.</w:t>
      </w:r>
    </w:p>
    <w:p w:rsidRPr="00BB32AF" w:rsidR="00153201" w:rsidP="00153201" w:rsidRDefault="00153201" w14:paraId="52D94048" w14:textId="77777777">
      <w:pPr>
        <w:pStyle w:val="Standard"/>
      </w:pPr>
      <w:r w:rsidRPr="00BB32AF">
        <w:t xml:space="preserve">Educational, outreach, and advertising materials should explain the type of new area code addition implemented and the new 1+10-digit dialing procedure and explain that the cost and quality of telephone service will not be adversely affected by the change.  The materials should emphasize that all exiting 559 area code customers will keep the same phone number, including the 7-digit phone number and the </w:t>
      </w:r>
      <w:proofErr w:type="gramStart"/>
      <w:r w:rsidRPr="00BB32AF">
        <w:t>559 area</w:t>
      </w:r>
      <w:proofErr w:type="gramEnd"/>
      <w:r w:rsidRPr="00BB32AF">
        <w:t xml:space="preserve"> code. </w:t>
      </w:r>
      <w:r>
        <w:t xml:space="preserve"> </w:t>
      </w:r>
      <w:r w:rsidRPr="00BB32AF">
        <w:t xml:space="preserve">The materials should also address the permissive dialing period, the mandatory dialing period, the tasks consumers </w:t>
      </w:r>
      <w:r w:rsidRPr="00BB32AF">
        <w:lastRenderedPageBreak/>
        <w:t>should do in preparation for the overlay, and the reasons for the area code change.  The Task Force shall submit all public education outreach materials to the Communications Division (CD) Director for review and approval.</w:t>
      </w:r>
    </w:p>
    <w:p w:rsidR="00153201" w:rsidP="00153201" w:rsidRDefault="00153201" w14:paraId="7383EC9C" w14:textId="77777777">
      <w:pPr>
        <w:pStyle w:val="Standard"/>
        <w:ind w:firstLine="0"/>
      </w:pPr>
      <w:r w:rsidRPr="00BB32AF">
        <w:t xml:space="preserve">Telecommunications service providers must develop a detailed PEP that </w:t>
      </w:r>
      <w:r>
        <w:br/>
      </w:r>
      <w:r w:rsidRPr="00BB32AF">
        <w:t>is consistent with those adopted in D.17-05-019.  (</w:t>
      </w:r>
      <w:r w:rsidRPr="00BB32AF">
        <w:rPr>
          <w:i/>
        </w:rPr>
        <w:t xml:space="preserve">See </w:t>
      </w:r>
      <w:r w:rsidRPr="00BB32AF">
        <w:t xml:space="preserve">Attachment A to this decision.)  The CD Director is authorized to oversee the finalization and implementation of the PEP and authorized to take all actions necessary to achieve a 70 percent awareness level of the overlay in all major customer and telephone user groups.  Such actions may include additional educational efforts, obtaining outside professional services, reviewing, and approving all educational materials, </w:t>
      </w:r>
      <w:r>
        <w:t xml:space="preserve">and </w:t>
      </w:r>
      <w:r w:rsidRPr="00BB32AF">
        <w:t>overseeing the customer awareness assessment process.</w:t>
      </w:r>
    </w:p>
    <w:p w:rsidRPr="00BB32AF" w:rsidR="00153201" w:rsidP="00153201" w:rsidRDefault="00153201" w14:paraId="27191070" w14:textId="77777777">
      <w:pPr>
        <w:pStyle w:val="Standard"/>
      </w:pPr>
      <w:r w:rsidRPr="00BB32AF">
        <w:t xml:space="preserve">  In addition to the news release issued by the Commission after the decision herein is issued (which is not considered a PEP news release), the following notifications regarding the 559 overlay shall be issued as follows:  (1) one customer notice will run for two billing cycles; (2) one special outreach notice will be issued; and (3) three news releases will be issued, at the </w:t>
      </w:r>
      <w:r>
        <w:t>two-month</w:t>
      </w:r>
      <w:r w:rsidRPr="00BB32AF">
        <w:t xml:space="preserve"> mark, at the five-and-a-half month mark, and at the eleven</w:t>
      </w:r>
      <w:r w:rsidRPr="00BB32AF">
        <w:noBreakHyphen/>
        <w:t>and</w:t>
      </w:r>
      <w:r w:rsidRPr="00BB32AF">
        <w:noBreakHyphen/>
        <w:t>a</w:t>
      </w:r>
      <w:r w:rsidRPr="00BB32AF">
        <w:noBreakHyphen/>
        <w:t>half</w:t>
      </w:r>
      <w:r w:rsidRPr="00BB32AF">
        <w:noBreakHyphen/>
        <w:t xml:space="preserve">month mark of the </w:t>
      </w:r>
      <w:r>
        <w:t>thirteen-month</w:t>
      </w:r>
      <w:r w:rsidRPr="00BB32AF">
        <w:t xml:space="preserve"> implementation period.</w:t>
      </w:r>
      <w:r>
        <w:t xml:space="preserve"> </w:t>
      </w:r>
      <w:r w:rsidRPr="00BB32AF">
        <w:t xml:space="preserve"> As noted previously, the customer notifications, including the press release, should explain the type of new area code addition being implemented and the new 1+10-digit dialing procedure, and explain that the cost and quality of telephone service will not be adversely affected by the change.  The materials should also address the permissive dialing period, the mandatory dialing period, the tasks consumers should do in preparation for the overlay, and the reasons for the new area code addition and the change in dialing procedure. </w:t>
      </w:r>
    </w:p>
    <w:p w:rsidRPr="00BB32AF" w:rsidR="00153201" w:rsidP="00153201" w:rsidRDefault="00153201" w14:paraId="07986498" w14:textId="77777777">
      <w:pPr>
        <w:pStyle w:val="Standard"/>
      </w:pPr>
      <w:r w:rsidRPr="00BB32AF">
        <w:lastRenderedPageBreak/>
        <w:t xml:space="preserve">All the news releases will reach various media sources such as television stations, which in turn may announce the 559-area code overlay on their respective media platforms. </w:t>
      </w:r>
    </w:p>
    <w:p w:rsidRPr="00BB32AF" w:rsidR="00153201" w:rsidP="00153201" w:rsidRDefault="00153201" w14:paraId="7C57CEC4" w14:textId="77777777">
      <w:pPr>
        <w:pStyle w:val="Standard"/>
      </w:pPr>
      <w:r w:rsidRPr="00BB32AF">
        <w:t xml:space="preserve">To further ensure customer awareness of the overlay, the Commission requires the </w:t>
      </w:r>
      <w:proofErr w:type="gramStart"/>
      <w:r w:rsidRPr="00BB32AF">
        <w:t>Industry</w:t>
      </w:r>
      <w:proofErr w:type="gramEnd"/>
      <w:r w:rsidRPr="00BB32AF">
        <w:t xml:space="preserve"> to provide to the Commission staff confirmation indicating that the above referenced announcements of the overlay are made on the local major broadcast television stations within the 559 area code.  The confirmation shall be either in an e</w:t>
      </w:r>
      <w:r w:rsidRPr="00BB32AF">
        <w:noBreakHyphen/>
        <w:t xml:space="preserve">mail or other written communication from the </w:t>
      </w:r>
      <w:proofErr w:type="gramStart"/>
      <w:r w:rsidRPr="00BB32AF">
        <w:t>Industry</w:t>
      </w:r>
      <w:proofErr w:type="gramEnd"/>
      <w:r w:rsidRPr="00BB32AF">
        <w:t xml:space="preserve">, confirming that local major television stations have </w:t>
      </w:r>
      <w:proofErr w:type="gramStart"/>
      <w:r w:rsidRPr="00BB32AF">
        <w:t>carried</w:t>
      </w:r>
      <w:proofErr w:type="gramEnd"/>
      <w:r w:rsidRPr="00BB32AF">
        <w:t xml:space="preserve"> the announcement of the overlay.  This </w:t>
      </w:r>
      <w:r>
        <w:t>confirmation</w:t>
      </w:r>
      <w:r w:rsidRPr="00BB32AF">
        <w:t xml:space="preserve"> shall be provided to the CD Director.</w:t>
      </w:r>
    </w:p>
    <w:p w:rsidRPr="00BB32AF" w:rsidR="00153201" w:rsidP="00153201" w:rsidRDefault="00153201" w14:paraId="4FA43435" w14:textId="77777777">
      <w:pPr>
        <w:pStyle w:val="Standard"/>
      </w:pPr>
      <w:r w:rsidRPr="00BB32AF">
        <w:t>The Industry does not believe special outreach notices, originally required pursuant to D.05-08-040, are necessary to groups including community-based organizations such as senior, consumer and other advocacy/activist organization; chambers of commerce, city councils, and other key government agencies; and alarm service providers.</w:t>
      </w:r>
      <w:r w:rsidRPr="00BB32AF">
        <w:rPr>
          <w:vertAlign w:val="superscript"/>
        </w:rPr>
        <w:footnoteReference w:id="37"/>
      </w:r>
      <w:r w:rsidRPr="00BB32AF">
        <w:t xml:space="preserve">  Out of an abundance of caution and to ensure the groups listed above are informed of the overlay and change in dialing procedure, the Commission adds this previously authorized requirement for special outreach notices to the Industry’s proposed PEP plan in Exhibit B to </w:t>
      </w:r>
      <w:r>
        <w:br/>
      </w:r>
      <w:r w:rsidRPr="00BB32AF">
        <w:t>A.23-01-012.  The PEP plan adopted herein is attached to this decision as Appendix A.</w:t>
      </w:r>
    </w:p>
    <w:p w:rsidRPr="00BB32AF" w:rsidR="00153201" w:rsidP="00153201" w:rsidRDefault="00153201" w14:paraId="6973AA98" w14:textId="77777777">
      <w:pPr>
        <w:keepNext/>
        <w:keepLines/>
        <w:numPr>
          <w:ilvl w:val="1"/>
          <w:numId w:val="33"/>
        </w:numPr>
        <w:spacing w:after="120" w:line="240" w:lineRule="auto"/>
        <w:ind w:right="2160"/>
        <w:outlineLvl w:val="1"/>
        <w:rPr>
          <w:rFonts w:ascii="Arial" w:hAnsi="Arial" w:cs="Arial"/>
          <w:b/>
          <w:szCs w:val="26"/>
        </w:rPr>
      </w:pPr>
      <w:bookmarkStart w:name="_Toc140494512" w:id="36"/>
      <w:bookmarkStart w:name="_Toc147919356" w:id="37"/>
      <w:bookmarkStart w:name="_Toc150417485" w:id="38"/>
      <w:r w:rsidRPr="00BB32AF">
        <w:rPr>
          <w:rFonts w:ascii="Arial" w:hAnsi="Arial" w:cs="Arial"/>
          <w:b/>
          <w:szCs w:val="26"/>
        </w:rPr>
        <w:t>Conclusion</w:t>
      </w:r>
      <w:bookmarkEnd w:id="36"/>
      <w:bookmarkEnd w:id="37"/>
      <w:bookmarkEnd w:id="38"/>
    </w:p>
    <w:p w:rsidRPr="00BB32AF" w:rsidR="00153201" w:rsidP="00153201" w:rsidRDefault="00153201" w14:paraId="15648527" w14:textId="77777777">
      <w:pPr>
        <w:pStyle w:val="Standard"/>
      </w:pPr>
      <w:r w:rsidRPr="00BB32AF">
        <w:t xml:space="preserve">The Commission finds that the PEP plan attached as Attachment 1 to the Application </w:t>
      </w:r>
      <w:r>
        <w:t xml:space="preserve">must be modified to add 1) the issuance of special outreach notices and 2) paid advertising, as </w:t>
      </w:r>
      <w:r w:rsidRPr="00BB32AF">
        <w:t>discussed above.  Th</w:t>
      </w:r>
      <w:r>
        <w:t xml:space="preserve">e modified PEP plan that shall be </w:t>
      </w:r>
      <w:r>
        <w:lastRenderedPageBreak/>
        <w:t xml:space="preserve">adopted is attached as </w:t>
      </w:r>
      <w:r w:rsidRPr="00BB32AF">
        <w:t xml:space="preserve">Attachment A to this decision.  The completion dates for the activities listed in this plan shall be determined during the NANPA implementation </w:t>
      </w:r>
      <w:r w:rsidRPr="00370385">
        <w:t>meeting and adjusted as needed to accommodate the actual exhaust date.  The Task Force</w:t>
      </w:r>
      <w:r>
        <w:t xml:space="preserve"> shall ensure that the</w:t>
      </w:r>
      <w:r w:rsidRPr="00BB32AF">
        <w:t xml:space="preserve"> overlay </w:t>
      </w:r>
      <w:r>
        <w:t xml:space="preserve">is </w:t>
      </w:r>
      <w:r w:rsidRPr="00BB32AF">
        <w:t>implemented over a thirteen</w:t>
      </w:r>
      <w:r w:rsidRPr="00BB32AF">
        <w:noBreakHyphen/>
        <w:t>month period</w:t>
      </w:r>
      <w:r w:rsidRPr="00BB5209">
        <w:t xml:space="preserve">.  </w:t>
      </w:r>
    </w:p>
    <w:p w:rsidRPr="00BB32AF" w:rsidR="00153201" w:rsidP="00153201" w:rsidRDefault="00153201" w14:paraId="4C54ED47" w14:textId="77777777">
      <w:pPr>
        <w:pStyle w:val="Standard"/>
      </w:pPr>
      <w:r w:rsidRPr="00BB32AF">
        <w:t xml:space="preserve">The notifications discussed above comply with the requirements of a NPA overlay, given the reasons detailed above. </w:t>
      </w:r>
    </w:p>
    <w:p w:rsidRPr="00BB32AF" w:rsidR="00153201" w:rsidP="00153201" w:rsidRDefault="00153201" w14:paraId="711F9AE6" w14:textId="77777777">
      <w:pPr>
        <w:keepNext/>
        <w:numPr>
          <w:ilvl w:val="0"/>
          <w:numId w:val="33"/>
        </w:numPr>
        <w:autoSpaceDE w:val="0"/>
        <w:autoSpaceDN w:val="0"/>
        <w:spacing w:after="120" w:line="240" w:lineRule="auto"/>
        <w:ind w:left="720" w:hanging="720"/>
        <w:outlineLvl w:val="0"/>
        <w:rPr>
          <w:rFonts w:ascii="Arial" w:hAnsi="Arial" w:eastAsiaTheme="majorEastAsia" w:cstheme="majorBidi"/>
          <w:b/>
          <w:szCs w:val="32"/>
        </w:rPr>
      </w:pPr>
      <w:bookmarkStart w:name="_Toc140494514" w:id="39"/>
      <w:bookmarkStart w:name="_Toc147919357" w:id="40"/>
      <w:bookmarkStart w:name="_Toc150417486" w:id="41"/>
      <w:r w:rsidRPr="00BB32AF">
        <w:rPr>
          <w:rFonts w:ascii="Arial" w:hAnsi="Arial" w:eastAsiaTheme="majorEastAsia" w:cstheme="majorBidi"/>
          <w:b/>
          <w:szCs w:val="32"/>
        </w:rPr>
        <w:t>Comments on Proposed Decision</w:t>
      </w:r>
      <w:bookmarkEnd w:id="39"/>
      <w:bookmarkEnd w:id="40"/>
      <w:bookmarkEnd w:id="41"/>
    </w:p>
    <w:p w:rsidR="00153201" w:rsidP="00153201" w:rsidRDefault="00153201" w14:paraId="64866F26" w14:textId="77777777">
      <w:pPr>
        <w:pStyle w:val="Standard"/>
      </w:pPr>
      <w:r w:rsidRPr="00BB32AF">
        <w:t>Rule 14.6(c)(2) of the Commission’s Rules of Practice and Procedure (</w:t>
      </w:r>
      <w:r w:rsidRPr="00BB32AF">
        <w:rPr>
          <w:rFonts w:eastAsia="Times New Roman" w:cs="Times New Roman"/>
          <w:szCs w:val="20"/>
        </w:rPr>
        <w:t>Rules</w:t>
      </w:r>
      <w:r w:rsidRPr="00BB32AF">
        <w:t>) provides that, in a proceeding in which the Proposed Decision grants the relief requested in the application, and there are no protests to the application, the Commission may waive public review or comment.  Although public review is not required for this application, the Commission is mailing this decision for comments by the NANPA, or other interested persons, in accordance with Pub. Util. Code Section 311 and Rule 14.3.</w:t>
      </w:r>
    </w:p>
    <w:p w:rsidR="0007702A" w:rsidP="00153201" w:rsidRDefault="00B70234" w14:paraId="574A1B8F" w14:textId="4200B687">
      <w:pPr>
        <w:pStyle w:val="Standard"/>
      </w:pPr>
      <w:r>
        <w:t xml:space="preserve">Opening Comments were filed and served jointly by AT&amp;T, Cal Broadband and Video Association (Cal Broadband), T-Mobile, and Verizon Wireless (Joint Carriers) on </w:t>
      </w:r>
      <w:r w:rsidR="00A35083">
        <w:t>November 29, 2023.</w:t>
      </w:r>
      <w:r w:rsidR="004C7CA4">
        <w:rPr>
          <w:rStyle w:val="FootnoteReference"/>
        </w:rPr>
        <w:footnoteReference w:id="38"/>
      </w:r>
      <w:r w:rsidR="00A35083">
        <w:t xml:space="preserve">  </w:t>
      </w:r>
      <w:r w:rsidR="004C7CA4">
        <w:t xml:space="preserve">The Joint Carriers </w:t>
      </w:r>
      <w:r>
        <w:t>raised</w:t>
      </w:r>
      <w:r w:rsidR="00A35083">
        <w:t xml:space="preserve"> concerns with the paid advertising requirement in the PEP for th</w:t>
      </w:r>
      <w:r w:rsidR="007C6C40">
        <w:t>e 559</w:t>
      </w:r>
      <w:r w:rsidR="00A35083">
        <w:t xml:space="preserve"> overlay</w:t>
      </w:r>
      <w:r w:rsidR="004C7CA4">
        <w:t xml:space="preserve"> and argued that recent Commission decisions did not require paid advertising.  </w:t>
      </w:r>
    </w:p>
    <w:p w:rsidR="007C6C40" w:rsidP="00F559E8" w:rsidRDefault="00AA20FB" w14:paraId="57DC6DB1" w14:textId="0093CB3D">
      <w:pPr>
        <w:pStyle w:val="Standard"/>
      </w:pPr>
      <w:r>
        <w:t xml:space="preserve">Recent Commission decisions did not require paid advertising because there was no change to the dialing procedure from what was already in place.  In recent decisions such as D.23-06-007, D.23-03-006, and D.22-06-031, mandatory 1+10-digit dialing was already in place and/or underway because of the FCC </w:t>
      </w:r>
      <w:r>
        <w:lastRenderedPageBreak/>
        <w:t>Order approving the designation of 988 as the three-digit abbreviated dialing code for the national suicide prevention and mental health crisis hotline.</w:t>
      </w:r>
      <w:r w:rsidRPr="007C6C40" w:rsidR="007C6C40">
        <w:rPr>
          <w:rStyle w:val="FootnoteReference"/>
        </w:rPr>
        <w:t xml:space="preserve"> </w:t>
      </w:r>
      <w:r w:rsidR="007C6C40">
        <w:rPr>
          <w:rStyle w:val="FootnoteReference"/>
        </w:rPr>
        <w:footnoteReference w:id="39"/>
      </w:r>
      <w:r w:rsidR="003356DB">
        <w:t xml:space="preserve">  Thus, paid advertising was deemed unnecessary in </w:t>
      </w:r>
      <w:r w:rsidR="007C6C40">
        <w:t xml:space="preserve">D.23-06-007, D.23-03-006, and D.22-06-031 </w:t>
      </w:r>
      <w:r w:rsidR="003356DB">
        <w:t>because customers were already familiar with the 1</w:t>
      </w:r>
      <w:r>
        <w:t xml:space="preserve">+10-digit dialing </w:t>
      </w:r>
      <w:r w:rsidR="003356DB">
        <w:t>procedure.</w:t>
      </w:r>
    </w:p>
    <w:p w:rsidR="00062DB2" w:rsidP="00F559E8" w:rsidRDefault="007C6C40" w14:paraId="7931BFA1" w14:textId="32F97EA5">
      <w:pPr>
        <w:pStyle w:val="Standard"/>
      </w:pPr>
      <w:r>
        <w:t xml:space="preserve">In contrast, however, the 559 NPA overlay in the instant application </w:t>
      </w:r>
      <w:r w:rsidRPr="007C6C40">
        <w:t>does</w:t>
      </w:r>
      <w:r>
        <w:t xml:space="preserve"> involve a change</w:t>
      </w:r>
      <w:r w:rsidR="000448AF">
        <w:t xml:space="preserve"> in dialing procedure because the 1+10-digit dialing is not already in place and/or underway in this NPA.  </w:t>
      </w:r>
      <w:r>
        <w:t xml:space="preserve">Customers are not already familiar with the 1+10 digit dialing procedure in the 559 NPA.  </w:t>
      </w:r>
      <w:r w:rsidR="000448AF">
        <w:t xml:space="preserve">Therefore, the </w:t>
      </w:r>
      <w:r w:rsidR="00EA39A8">
        <w:t xml:space="preserve">Commission requires that the </w:t>
      </w:r>
      <w:r w:rsidR="000448AF">
        <w:t xml:space="preserve">PEP for the instant application </w:t>
      </w:r>
      <w:r w:rsidR="00062DB2">
        <w:t>include</w:t>
      </w:r>
      <w:r w:rsidR="00EA39A8">
        <w:t>s</w:t>
      </w:r>
      <w:r w:rsidR="00062DB2">
        <w:t xml:space="preserve"> paid advertising to be consistent with prior programs for overlays requiring a change in dialing procedure</w:t>
      </w:r>
      <w:r w:rsidR="000448AF">
        <w:t>.</w:t>
      </w:r>
    </w:p>
    <w:p w:rsidR="00AA20FB" w:rsidP="00F559E8" w:rsidRDefault="000448AF" w14:paraId="2272D19C" w14:textId="248B30C7">
      <w:pPr>
        <w:pStyle w:val="Standard"/>
      </w:pPr>
      <w:r>
        <w:t>Finally, the Commission is not bound by recent decisions and their PEP requirements.  As</w:t>
      </w:r>
      <w:r w:rsidR="00AA20FB">
        <w:t xml:space="preserve"> </w:t>
      </w:r>
      <w:r>
        <w:t>aptly noted in D.23-03-006</w:t>
      </w:r>
      <w:r w:rsidR="00AA20FB">
        <w:t>:</w:t>
      </w:r>
    </w:p>
    <w:p w:rsidR="00AA20FB" w:rsidP="00DC349D" w:rsidRDefault="000448AF" w14:paraId="3088C514" w14:textId="287C3FDB">
      <w:pPr>
        <w:pStyle w:val="Standard"/>
        <w:jc w:val="both"/>
      </w:pPr>
      <w:r>
        <w:t>“[t]he PEP requirements</w:t>
      </w:r>
      <w:r w:rsidR="007C6C40">
        <w:t xml:space="preserve">, </w:t>
      </w:r>
      <w:r>
        <w:t xml:space="preserve">adopted for the 213/323-overlay implementation </w:t>
      </w:r>
    </w:p>
    <w:p w:rsidR="00AA20FB" w:rsidP="00DC349D" w:rsidRDefault="000448AF" w14:paraId="6EF872B3" w14:textId="77777777">
      <w:pPr>
        <w:pStyle w:val="Standard"/>
        <w:jc w:val="both"/>
      </w:pPr>
      <w:r>
        <w:t xml:space="preserve">do not set a precedent for future area code relief implementations. The </w:t>
      </w:r>
    </w:p>
    <w:p w:rsidR="000448AF" w:rsidP="001417A8" w:rsidRDefault="000448AF" w14:paraId="60D0CB32" w14:textId="688FC7FF">
      <w:pPr>
        <w:pStyle w:val="Standard"/>
        <w:jc w:val="both"/>
      </w:pPr>
      <w:r>
        <w:t>Commission may adopt different PEP requirements for future overlays.”</w:t>
      </w:r>
      <w:r>
        <w:rPr>
          <w:rStyle w:val="FootnoteReference"/>
        </w:rPr>
        <w:footnoteReference w:id="40"/>
      </w:r>
    </w:p>
    <w:p w:rsidR="00062DB2" w:rsidP="00F559E8" w:rsidRDefault="00AA20FB" w14:paraId="3FCA754A" w14:textId="7D280838">
      <w:pPr>
        <w:pStyle w:val="Standard"/>
      </w:pPr>
      <w:r>
        <w:t xml:space="preserve">The Joint Parties’ Opening Comments do not raise any legal or factual errors.  Accordingly, no changes were made in response to their comments. </w:t>
      </w:r>
    </w:p>
    <w:p w:rsidRPr="00BB32AF" w:rsidR="00153201" w:rsidP="00153201" w:rsidRDefault="00153201" w14:paraId="1462FFEA" w14:textId="77777777">
      <w:pPr>
        <w:keepNext/>
        <w:numPr>
          <w:ilvl w:val="0"/>
          <w:numId w:val="33"/>
        </w:numPr>
        <w:autoSpaceDE w:val="0"/>
        <w:autoSpaceDN w:val="0"/>
        <w:spacing w:after="120" w:line="240" w:lineRule="auto"/>
        <w:ind w:left="720" w:hanging="720"/>
        <w:outlineLvl w:val="0"/>
        <w:rPr>
          <w:rFonts w:ascii="Arial" w:hAnsi="Arial" w:eastAsiaTheme="majorEastAsia" w:cstheme="majorBidi"/>
          <w:b/>
          <w:szCs w:val="32"/>
        </w:rPr>
      </w:pPr>
      <w:bookmarkStart w:name="_Toc140494515" w:id="42"/>
      <w:bookmarkStart w:name="_Toc147919358" w:id="43"/>
      <w:bookmarkStart w:name="_Toc150417487" w:id="44"/>
      <w:r w:rsidRPr="00BB32AF">
        <w:rPr>
          <w:rFonts w:ascii="Arial" w:hAnsi="Arial" w:eastAsiaTheme="majorEastAsia" w:cstheme="majorBidi"/>
          <w:b/>
          <w:szCs w:val="32"/>
        </w:rPr>
        <w:t>Assignment of Proceeding</w:t>
      </w:r>
      <w:bookmarkEnd w:id="42"/>
      <w:bookmarkEnd w:id="43"/>
      <w:bookmarkEnd w:id="44"/>
    </w:p>
    <w:p w:rsidRPr="00BB32AF" w:rsidR="00153201" w:rsidP="00153201" w:rsidRDefault="00153201" w14:paraId="35007832" w14:textId="77777777">
      <w:pPr>
        <w:pStyle w:val="Standard"/>
      </w:pPr>
      <w:r w:rsidRPr="00BB32AF">
        <w:t xml:space="preserve">Darcie L. Houck is the assigned Commissioner and Suman Mathews is the assigned ALJ in this proceeding. </w:t>
      </w:r>
    </w:p>
    <w:p w:rsidRPr="00BB32AF" w:rsidR="00153201" w:rsidP="00153201" w:rsidRDefault="00153201" w14:paraId="6E0FD4E0" w14:textId="77777777">
      <w:pPr>
        <w:keepNext/>
        <w:spacing w:after="120" w:line="240" w:lineRule="auto"/>
        <w:ind w:firstLine="0"/>
        <w:rPr>
          <w:rFonts w:ascii="Arial" w:hAnsi="Arial" w:eastAsia="Times New Roman" w:cs="Times New Roman"/>
          <w:b/>
          <w:szCs w:val="20"/>
        </w:rPr>
      </w:pPr>
      <w:r w:rsidRPr="00BB32AF">
        <w:rPr>
          <w:rFonts w:ascii="Arial" w:hAnsi="Arial" w:eastAsia="Times New Roman" w:cs="Times New Roman"/>
          <w:b/>
          <w:szCs w:val="20"/>
        </w:rPr>
        <w:lastRenderedPageBreak/>
        <w:t>Findings of Fact</w:t>
      </w:r>
    </w:p>
    <w:p w:rsidRPr="00BB32AF" w:rsidR="00153201" w:rsidP="00153201" w:rsidRDefault="00153201" w14:paraId="706696D9" w14:textId="77777777">
      <w:pPr>
        <w:numPr>
          <w:ilvl w:val="0"/>
          <w:numId w:val="3"/>
        </w:numPr>
      </w:pPr>
      <w:r w:rsidRPr="00BB32AF">
        <w:t xml:space="preserve">The FCC holds full responsibility over all numbering issues but has delegated responsibilities surrounding area codes to the states.  The Commission is responsible for proactively monitoring area code relief planning and oversees the integrity and competitive neutrality of the </w:t>
      </w:r>
      <w:proofErr w:type="gramStart"/>
      <w:r w:rsidRPr="00BB32AF">
        <w:t>Industry</w:t>
      </w:r>
      <w:proofErr w:type="gramEnd"/>
      <w:r w:rsidRPr="00BB32AF">
        <w:t xml:space="preserve"> relief planning process in California.</w:t>
      </w:r>
    </w:p>
    <w:p w:rsidRPr="00BB32AF" w:rsidR="00153201" w:rsidP="00153201" w:rsidRDefault="00153201" w14:paraId="2AB5FE3E" w14:textId="77777777">
      <w:pPr>
        <w:numPr>
          <w:ilvl w:val="0"/>
          <w:numId w:val="3"/>
        </w:numPr>
      </w:pPr>
      <w:r w:rsidRPr="00BB32AF">
        <w:t xml:space="preserve">Effective January 1, 2019, the FCC appointed </w:t>
      </w:r>
      <w:proofErr w:type="spellStart"/>
      <w:r w:rsidRPr="00BB32AF">
        <w:t>Somos</w:t>
      </w:r>
      <w:proofErr w:type="spellEnd"/>
      <w:r w:rsidRPr="00BB32AF">
        <w:t xml:space="preserve"> to replace Neustar, Inc. as the NANPA. </w:t>
      </w:r>
    </w:p>
    <w:p w:rsidRPr="00BB32AF" w:rsidR="00153201" w:rsidP="00153201" w:rsidRDefault="00153201" w14:paraId="22E74A4C" w14:textId="77777777">
      <w:pPr>
        <w:numPr>
          <w:ilvl w:val="0"/>
          <w:numId w:val="3"/>
        </w:numPr>
      </w:pPr>
      <w:r w:rsidRPr="00BB32AF">
        <w:t>The Commission approved a geographic split of the 209 NPA in 1997, introducing the 559 NPA in November 1998.</w:t>
      </w:r>
    </w:p>
    <w:p w:rsidRPr="00BB32AF" w:rsidR="00153201" w:rsidP="00153201" w:rsidRDefault="00153201" w14:paraId="1E19FAD0" w14:textId="77777777">
      <w:pPr>
        <w:numPr>
          <w:ilvl w:val="0"/>
          <w:numId w:val="3"/>
        </w:numPr>
      </w:pPr>
      <w:r w:rsidRPr="00BB32AF">
        <w:t xml:space="preserve">In </w:t>
      </w:r>
      <w:r>
        <w:t xml:space="preserve">April 2022, NANPA determined the projected exhaust period for the 559 NPA to be in the fourth quarter of 2025. However, NANPA’s October 2022 NRUF Report indicated that the 559 NPA would exhaust during the third quarter of 2025.  </w:t>
      </w:r>
    </w:p>
    <w:p w:rsidRPr="00BB32AF" w:rsidR="00153201" w:rsidP="00153201" w:rsidRDefault="00153201" w14:paraId="65B7AFB0" w14:textId="77777777">
      <w:pPr>
        <w:numPr>
          <w:ilvl w:val="0"/>
          <w:numId w:val="3"/>
        </w:numPr>
      </w:pPr>
      <w:r w:rsidRPr="00BB32AF">
        <w:t>As of December 20, 2022, the 559-area code has 59 available prefixes remaining.</w:t>
      </w:r>
    </w:p>
    <w:p w:rsidRPr="00BB32AF" w:rsidR="00153201" w:rsidP="00153201" w:rsidRDefault="00153201" w14:paraId="52DBE0A2" w14:textId="77777777">
      <w:pPr>
        <w:numPr>
          <w:ilvl w:val="0"/>
          <w:numId w:val="3"/>
        </w:numPr>
      </w:pPr>
      <w:r w:rsidRPr="00BB32AF">
        <w:t>Pub. Util. Code Section 7936 requires the Commission to direct NANPA to obtain utilization data for any area code for which a change is proposed before approving any new area code.</w:t>
      </w:r>
    </w:p>
    <w:p w:rsidRPr="00BB32AF" w:rsidR="00153201" w:rsidP="00153201" w:rsidRDefault="00153201" w14:paraId="58457DB1" w14:textId="77777777">
      <w:pPr>
        <w:numPr>
          <w:ilvl w:val="0"/>
          <w:numId w:val="3"/>
        </w:numPr>
      </w:pPr>
      <w:r w:rsidRPr="00BB32AF">
        <w:t xml:space="preserve">NANPA utilized data from its October 2022 NRUF Report to project that the 559-area code would exhaust during the third quarter of 2025.  </w:t>
      </w:r>
    </w:p>
    <w:p w:rsidRPr="00BB32AF" w:rsidR="00153201" w:rsidP="00153201" w:rsidRDefault="00153201" w14:paraId="7CF3DD24" w14:textId="77777777">
      <w:pPr>
        <w:numPr>
          <w:ilvl w:val="0"/>
          <w:numId w:val="3"/>
        </w:numPr>
      </w:pPr>
      <w:r w:rsidRPr="00BB32AF">
        <w:t>Pub. Util. Code Section 7943(c) requires the Commission to perform a telephone utilization study and implement all reasonable telephone number conservation measures.</w:t>
      </w:r>
    </w:p>
    <w:p w:rsidRPr="00BB32AF" w:rsidR="00153201" w:rsidP="00153201" w:rsidRDefault="00153201" w14:paraId="3277B939" w14:textId="77777777">
      <w:pPr>
        <w:numPr>
          <w:ilvl w:val="0"/>
          <w:numId w:val="3"/>
        </w:numPr>
      </w:pPr>
      <w:r w:rsidRPr="00BB32AF">
        <w:t>NANPA convened a relief planning meeting with the Industry on December 21, 2022, to identify viable solutions to the forecast exhaust.</w:t>
      </w:r>
    </w:p>
    <w:p w:rsidRPr="00D56E9B" w:rsidR="00153201" w:rsidP="00153201" w:rsidRDefault="00153201" w14:paraId="36097F06" w14:textId="77777777">
      <w:pPr>
        <w:numPr>
          <w:ilvl w:val="0"/>
          <w:numId w:val="3"/>
        </w:numPr>
      </w:pPr>
      <w:r w:rsidRPr="00D56E9B">
        <w:lastRenderedPageBreak/>
        <w:t>The additional all</w:t>
      </w:r>
      <w:r w:rsidRPr="00D56E9B">
        <w:noBreakHyphen/>
        <w:t>services distributed area code overlay option is the most equitable and consumer-friendly alternative.</w:t>
      </w:r>
    </w:p>
    <w:p w:rsidRPr="00363DCD" w:rsidR="00153201" w:rsidP="00153201" w:rsidRDefault="00153201" w14:paraId="255ACF51" w14:textId="77777777">
      <w:pPr>
        <w:numPr>
          <w:ilvl w:val="0"/>
          <w:numId w:val="3"/>
        </w:numPr>
      </w:pPr>
      <w:r w:rsidRPr="00363DCD">
        <w:t>A public education program (PEP) is needed to implement the 559-area code overlay.</w:t>
      </w:r>
    </w:p>
    <w:p w:rsidRPr="00B306E7" w:rsidR="00153201" w:rsidP="00153201" w:rsidRDefault="00153201" w14:paraId="27D00A81" w14:textId="77777777">
      <w:pPr>
        <w:numPr>
          <w:ilvl w:val="0"/>
          <w:numId w:val="3"/>
        </w:numPr>
      </w:pPr>
      <w:r w:rsidRPr="00363DCD">
        <w:t xml:space="preserve"> </w:t>
      </w:r>
      <w:r w:rsidRPr="0094372F">
        <w:t>D.05</w:t>
      </w:r>
      <w:r w:rsidRPr="0094372F">
        <w:noBreakHyphen/>
        <w:t>08</w:t>
      </w:r>
      <w:r w:rsidRPr="0094372F">
        <w:noBreakHyphen/>
        <w:t>040, the Commission mandated</w:t>
      </w:r>
      <w:r w:rsidRPr="0094372F">
        <w:rPr>
          <w:szCs w:val="26"/>
        </w:rPr>
        <w:t xml:space="preserve"> </w:t>
      </w:r>
      <w:r w:rsidRPr="0094372F">
        <w:t>outreach efforts specifically aimed at key agencies and special groups.</w:t>
      </w:r>
    </w:p>
    <w:p w:rsidRPr="004677A7" w:rsidR="00153201" w:rsidP="00153201" w:rsidRDefault="00153201" w14:paraId="732FB38D" w14:textId="77777777">
      <w:pPr>
        <w:numPr>
          <w:ilvl w:val="0"/>
          <w:numId w:val="3"/>
        </w:numPr>
      </w:pPr>
      <w:r>
        <w:t xml:space="preserve">  A PEP that lacks paid advertising is inconsistent with prior programs for overlays requiring a change in dialing procedure.  </w:t>
      </w:r>
    </w:p>
    <w:p w:rsidR="00153201" w:rsidP="00153201" w:rsidRDefault="00153201" w14:paraId="08082D60" w14:textId="77777777">
      <w:pPr>
        <w:numPr>
          <w:ilvl w:val="0"/>
          <w:numId w:val="3"/>
        </w:numPr>
      </w:pPr>
      <w:r w:rsidRPr="00BB32AF">
        <w:rPr>
          <w:szCs w:val="26"/>
        </w:rPr>
        <w:t>The</w:t>
      </w:r>
      <w:r w:rsidRPr="00BB32AF">
        <w:t xml:space="preserve"> PEP</w:t>
      </w:r>
      <w:r>
        <w:t xml:space="preserve"> in the current application</w:t>
      </w:r>
      <w:r w:rsidRPr="00BB32AF">
        <w:t xml:space="preserve"> </w:t>
      </w:r>
      <w:r>
        <w:t>is required</w:t>
      </w:r>
      <w:r w:rsidRPr="00BB32AF">
        <w:t xml:space="preserve"> to include paid advertising</w:t>
      </w:r>
      <w:r>
        <w:t xml:space="preserve"> to be consistent with prior programs for</w:t>
      </w:r>
      <w:r w:rsidRPr="00BB32AF">
        <w:t xml:space="preserve"> overlays requiring a change in dialing procedure</w:t>
      </w:r>
      <w:r>
        <w:t xml:space="preserve">. </w:t>
      </w:r>
    </w:p>
    <w:p w:rsidR="00153201" w:rsidP="00153201" w:rsidRDefault="00153201" w14:paraId="3CC166CF" w14:textId="77777777">
      <w:pPr>
        <w:numPr>
          <w:ilvl w:val="0"/>
          <w:numId w:val="3"/>
        </w:numPr>
      </w:pPr>
      <w:r>
        <w:t xml:space="preserve">The PEP in the current application is required to use paid advertising because methods of public education other than paid advertising target the general public but may not provide special outreach to key organizations, minority groups, and underrepresented populations as required by D.98-12-081 and D.05-08-040. </w:t>
      </w:r>
    </w:p>
    <w:p w:rsidR="00153201" w:rsidP="00153201" w:rsidRDefault="00153201" w14:paraId="6291F01C" w14:textId="77777777">
      <w:pPr>
        <w:numPr>
          <w:ilvl w:val="0"/>
          <w:numId w:val="3"/>
        </w:numPr>
      </w:pPr>
      <w:r>
        <w:t>Television and radio media reach a broader and more diverse audience, including people who are illiterate or have a low literacy level.</w:t>
      </w:r>
    </w:p>
    <w:p w:rsidR="00153201" w:rsidP="00153201" w:rsidRDefault="00153201" w14:paraId="13B54501" w14:textId="77777777">
      <w:pPr>
        <w:numPr>
          <w:ilvl w:val="0"/>
          <w:numId w:val="3"/>
        </w:numPr>
      </w:pPr>
      <w:r>
        <w:t xml:space="preserve"> The burdens that a PEP with paid advertising may impose are outweighed by the broader responsibility of oversight and accountability provided to the people of California. </w:t>
      </w:r>
    </w:p>
    <w:p w:rsidRPr="00BB32AF" w:rsidR="00153201" w:rsidP="00153201" w:rsidRDefault="00153201" w14:paraId="2C25013E" w14:textId="77777777">
      <w:pPr>
        <w:numPr>
          <w:ilvl w:val="0"/>
          <w:numId w:val="3"/>
        </w:numPr>
      </w:pPr>
      <w:r>
        <w:t>The PEP adopted herein as Attachment A is a modification of the PEP proposed in this application and includes special outreach notices and paid advertising.</w:t>
      </w:r>
      <w:r w:rsidRPr="00BB32AF">
        <w:t xml:space="preserve"> </w:t>
      </w:r>
    </w:p>
    <w:p w:rsidRPr="00BB32AF" w:rsidR="00153201" w:rsidP="00153201" w:rsidRDefault="00153201" w14:paraId="22AD851C" w14:textId="77777777">
      <w:pPr>
        <w:keepNext/>
        <w:spacing w:after="120" w:line="240" w:lineRule="auto"/>
        <w:ind w:firstLine="0"/>
        <w:rPr>
          <w:rFonts w:ascii="Arial" w:hAnsi="Arial" w:eastAsia="Times New Roman" w:cs="Times New Roman"/>
          <w:b/>
          <w:szCs w:val="20"/>
        </w:rPr>
      </w:pPr>
      <w:r w:rsidRPr="00BB32AF">
        <w:rPr>
          <w:rFonts w:ascii="Arial" w:hAnsi="Arial" w:eastAsia="Times New Roman" w:cs="Times New Roman"/>
          <w:b/>
          <w:szCs w:val="20"/>
        </w:rPr>
        <w:lastRenderedPageBreak/>
        <w:t>Conclusions of Law</w:t>
      </w:r>
    </w:p>
    <w:p w:rsidRPr="00BB32AF" w:rsidR="00153201" w:rsidP="00153201" w:rsidRDefault="00153201" w14:paraId="75D857FD" w14:textId="77777777">
      <w:pPr>
        <w:numPr>
          <w:ilvl w:val="0"/>
          <w:numId w:val="4"/>
        </w:numPr>
        <w:ind w:firstLine="547"/>
      </w:pPr>
      <w:r w:rsidRPr="00BB32AF">
        <w:t>NANPA and the Industry complied with Pub. Util. Code Section 7936 and considered utilization data from the October 2022 NRUF Report</w:t>
      </w:r>
      <w:r>
        <w:t xml:space="preserve"> </w:t>
      </w:r>
      <w:r w:rsidRPr="00BB32AF">
        <w:rPr>
          <w:szCs w:val="26"/>
        </w:rPr>
        <w:t xml:space="preserve">in forecasting the 559-area code exhaustion and determining a consensus alternative to resolve the forecasted exhaust of the 559-area code. </w:t>
      </w:r>
    </w:p>
    <w:p w:rsidRPr="00BB32AF" w:rsidR="00153201" w:rsidP="00153201" w:rsidRDefault="00153201" w14:paraId="07B4766E" w14:textId="77777777">
      <w:pPr>
        <w:numPr>
          <w:ilvl w:val="0"/>
          <w:numId w:val="4"/>
        </w:numPr>
        <w:ind w:firstLine="547"/>
      </w:pPr>
      <w:r w:rsidRPr="00BB32AF">
        <w:t>The all</w:t>
      </w:r>
      <w:r w:rsidRPr="00BB32AF">
        <w:noBreakHyphen/>
        <w:t>services distributed overlay in the 559-area code should be completed by the forecasted exhaust of the 559-area code in the third quarter of 2025.</w:t>
      </w:r>
      <w:r>
        <w:t xml:space="preserve"> However, implementation need not commence until exhaustion requires it.</w:t>
      </w:r>
    </w:p>
    <w:p w:rsidRPr="00BB32AF" w:rsidR="00153201" w:rsidP="00153201" w:rsidRDefault="00153201" w14:paraId="313014A2" w14:textId="77777777">
      <w:pPr>
        <w:numPr>
          <w:ilvl w:val="0"/>
          <w:numId w:val="4"/>
        </w:numPr>
        <w:ind w:firstLine="547"/>
      </w:pPr>
      <w:r w:rsidRPr="00BB32AF">
        <w:t>In accordance with Pub. Util. Code Section 7943(c), NANPA, the Industry, and Commission staff considered all reasonable telephone number conservation and rationing measures in the 559-area code.</w:t>
      </w:r>
    </w:p>
    <w:p w:rsidRPr="00BB32AF" w:rsidR="00153201" w:rsidP="00153201" w:rsidRDefault="00153201" w14:paraId="1C9446F2" w14:textId="77777777">
      <w:pPr>
        <w:numPr>
          <w:ilvl w:val="0"/>
          <w:numId w:val="4"/>
        </w:numPr>
        <w:ind w:firstLine="547"/>
      </w:pPr>
      <w:r w:rsidRPr="00BB32AF">
        <w:t xml:space="preserve">Since the statutory requirements of Pub. Util. Code Section 7936 and Section 7943(c) have been satisfied, the Commission should adopt the overlay option to resolve the forecasted exhaust for the 559-area code. </w:t>
      </w:r>
    </w:p>
    <w:p w:rsidR="00153201" w:rsidP="00153201" w:rsidRDefault="00153201" w14:paraId="7F727F50" w14:textId="77777777">
      <w:pPr>
        <w:numPr>
          <w:ilvl w:val="0"/>
          <w:numId w:val="4"/>
        </w:numPr>
        <w:ind w:firstLine="547"/>
      </w:pPr>
      <w:r w:rsidRPr="00BB32AF">
        <w:t>The PEP plan as modified by this decision is consistent with the program requirements adopted in D.17</w:t>
      </w:r>
      <w:r w:rsidRPr="00BB32AF">
        <w:noBreakHyphen/>
        <w:t>05</w:t>
      </w:r>
      <w:r w:rsidRPr="00BB32AF">
        <w:noBreakHyphen/>
        <w:t>019, D.18-06-013 and D.19-06-012</w:t>
      </w:r>
      <w:r>
        <w:t>.</w:t>
      </w:r>
    </w:p>
    <w:p w:rsidRPr="00BB32AF" w:rsidR="00153201" w:rsidP="00153201" w:rsidRDefault="00153201" w14:paraId="668B1240" w14:textId="77777777">
      <w:pPr>
        <w:numPr>
          <w:ilvl w:val="0"/>
          <w:numId w:val="4"/>
        </w:numPr>
        <w:ind w:firstLine="547"/>
      </w:pPr>
      <w:r>
        <w:t xml:space="preserve"> </w:t>
      </w:r>
      <w:r w:rsidRPr="00BB32AF">
        <w:t>Paid adver</w:t>
      </w:r>
      <w:r>
        <w:t>tising should be required as part of Applicant’s PEP.</w:t>
      </w:r>
    </w:p>
    <w:p w:rsidRPr="00BB32AF" w:rsidR="00153201" w:rsidP="00153201" w:rsidRDefault="00153201" w14:paraId="00481A90" w14:textId="77777777">
      <w:pPr>
        <w:numPr>
          <w:ilvl w:val="0"/>
          <w:numId w:val="4"/>
        </w:numPr>
        <w:ind w:firstLine="547"/>
      </w:pPr>
      <w:r w:rsidRPr="00BB32AF">
        <w:t xml:space="preserve">The PEP attached as Attachment A to this decision should be adopted. </w:t>
      </w:r>
    </w:p>
    <w:p w:rsidR="00153201" w:rsidP="00153201" w:rsidRDefault="00153201" w14:paraId="692FBCB5" w14:textId="77777777">
      <w:pPr>
        <w:numPr>
          <w:ilvl w:val="0"/>
          <w:numId w:val="4"/>
        </w:numPr>
        <w:ind w:firstLine="547"/>
      </w:pPr>
      <w:r w:rsidRPr="00BB32AF">
        <w:t xml:space="preserve">The </w:t>
      </w:r>
      <w:r>
        <w:t xml:space="preserve">CD Director </w:t>
      </w:r>
      <w:r w:rsidRPr="00BB32AF">
        <w:t xml:space="preserve">should be authorized to oversee the finalization and implementation of the PEP and authorized to take all actions necessary, including requiring the </w:t>
      </w:r>
      <w:proofErr w:type="gramStart"/>
      <w:r w:rsidRPr="00BB32AF">
        <w:t>Industry</w:t>
      </w:r>
      <w:proofErr w:type="gramEnd"/>
      <w:r w:rsidRPr="00BB32AF">
        <w:t xml:space="preserve"> to achieve a 70 percent awareness level of the overlay in all major customer and telephone user groups.</w:t>
      </w:r>
    </w:p>
    <w:p w:rsidRPr="00BB32AF" w:rsidR="00153201" w:rsidP="00153201" w:rsidRDefault="00153201" w14:paraId="67676703" w14:textId="77777777">
      <w:pPr>
        <w:numPr>
          <w:ilvl w:val="0"/>
          <w:numId w:val="4"/>
        </w:numPr>
        <w:ind w:firstLine="547"/>
      </w:pPr>
      <w:r>
        <w:t xml:space="preserve">The implementation schedule for the </w:t>
      </w:r>
      <w:r w:rsidRPr="00BB32AF">
        <w:t>all</w:t>
      </w:r>
      <w:r w:rsidRPr="00BB32AF">
        <w:noBreakHyphen/>
        <w:t>services distributed overlay in the 559-area code</w:t>
      </w:r>
      <w:r>
        <w:t xml:space="preserve"> should take place over thirteen months, and the schedule should be completed at least six months prior to the projected exhaust of the 559 NPA.</w:t>
      </w:r>
      <w:r w:rsidRPr="00BB32AF">
        <w:t xml:space="preserve">  </w:t>
      </w:r>
    </w:p>
    <w:p w:rsidRPr="00BB32AF" w:rsidR="00153201" w:rsidP="00153201" w:rsidRDefault="00153201" w14:paraId="04E7BE9A" w14:textId="77777777">
      <w:pPr>
        <w:numPr>
          <w:ilvl w:val="0"/>
          <w:numId w:val="4"/>
        </w:numPr>
        <w:ind w:firstLine="547"/>
      </w:pPr>
      <w:r w:rsidRPr="00BB32AF">
        <w:t>An evidentiary hearing is not necessary.</w:t>
      </w:r>
    </w:p>
    <w:p w:rsidRPr="00BB32AF" w:rsidR="00153201" w:rsidP="00153201" w:rsidRDefault="00153201" w14:paraId="4987CB9F" w14:textId="77777777">
      <w:pPr>
        <w:numPr>
          <w:ilvl w:val="0"/>
          <w:numId w:val="4"/>
        </w:numPr>
        <w:ind w:firstLine="547"/>
      </w:pPr>
      <w:r w:rsidRPr="00BB32AF">
        <w:lastRenderedPageBreak/>
        <w:t>This proceeding should be closed.</w:t>
      </w:r>
    </w:p>
    <w:p w:rsidRPr="00BB32AF" w:rsidR="00153201" w:rsidP="00153201" w:rsidRDefault="00153201" w14:paraId="799B7D02" w14:textId="77777777">
      <w:pPr>
        <w:keepNext/>
        <w:spacing w:before="120"/>
        <w:ind w:firstLine="0"/>
        <w:jc w:val="center"/>
        <w:rPr>
          <w:rFonts w:ascii="Arial" w:hAnsi="Arial" w:eastAsia="Times New Roman" w:cs="Times New Roman"/>
          <w:b/>
          <w:spacing w:val="120"/>
          <w:szCs w:val="20"/>
        </w:rPr>
      </w:pPr>
      <w:r w:rsidRPr="00BB32AF">
        <w:rPr>
          <w:rFonts w:ascii="Arial" w:hAnsi="Arial" w:eastAsia="Times New Roman" w:cs="Times New Roman"/>
          <w:b/>
          <w:spacing w:val="120"/>
          <w:szCs w:val="20"/>
        </w:rPr>
        <w:t>ORDER</w:t>
      </w:r>
    </w:p>
    <w:p w:rsidRPr="00BB32AF" w:rsidR="00153201" w:rsidP="00153201" w:rsidRDefault="00153201" w14:paraId="5D17A54B" w14:textId="77777777">
      <w:pPr>
        <w:keepNext/>
        <w:spacing w:before="120"/>
        <w:rPr>
          <w:rFonts w:eastAsia="Times New Roman" w:cs="Times New Roman"/>
          <w:szCs w:val="20"/>
        </w:rPr>
      </w:pPr>
      <w:r w:rsidRPr="00BB32AF">
        <w:rPr>
          <w:rFonts w:eastAsia="Times New Roman" w:cs="Times New Roman"/>
          <w:b/>
          <w:szCs w:val="20"/>
        </w:rPr>
        <w:t>IT IS ORDERED</w:t>
      </w:r>
      <w:r w:rsidRPr="00BB32AF">
        <w:rPr>
          <w:rFonts w:eastAsia="Times New Roman" w:cs="Times New Roman"/>
          <w:szCs w:val="20"/>
        </w:rPr>
        <w:t xml:space="preserve"> that:</w:t>
      </w:r>
    </w:p>
    <w:p w:rsidR="00153201" w:rsidP="00153201" w:rsidRDefault="00153201" w14:paraId="6F2D19EA" w14:textId="77777777">
      <w:pPr>
        <w:numPr>
          <w:ilvl w:val="0"/>
          <w:numId w:val="5"/>
        </w:numPr>
        <w:ind w:firstLine="547"/>
      </w:pPr>
      <w:r w:rsidRPr="00BB32AF">
        <w:t>The proposed all</w:t>
      </w:r>
      <w:r w:rsidRPr="00BB32AF">
        <w:noBreakHyphen/>
        <w:t>services distributed area code overlay in the 559-area code is adopted.</w:t>
      </w:r>
    </w:p>
    <w:p w:rsidR="00153201" w:rsidP="00153201" w:rsidRDefault="00153201" w14:paraId="304826E3" w14:textId="77777777">
      <w:pPr>
        <w:numPr>
          <w:ilvl w:val="0"/>
          <w:numId w:val="5"/>
        </w:numPr>
      </w:pPr>
      <w:r w:rsidRPr="00BB32AF">
        <w:t>The public education program (PEP), attached herein as Attachment A, is adopted for the all</w:t>
      </w:r>
      <w:r w:rsidRPr="00BB32AF">
        <w:noBreakHyphen/>
        <w:t>services distributed area code overlay for the 559-area code.</w:t>
      </w:r>
      <w:r>
        <w:t xml:space="preserve">  </w:t>
      </w:r>
    </w:p>
    <w:p w:rsidR="00153201" w:rsidP="00153201" w:rsidRDefault="00153201" w14:paraId="5B089620" w14:textId="77777777">
      <w:pPr>
        <w:numPr>
          <w:ilvl w:val="0"/>
          <w:numId w:val="5"/>
        </w:numPr>
      </w:pPr>
      <w:r w:rsidRPr="0055095A">
        <w:t>The Task Force, comprised of California Public Utilities Commission (Commission) staff and representatives from the service providers holding numbering resources in the 559-area code as of the effective date of this decision, shall implement the public education program (PEP), which is attached herein as Attachment A.</w:t>
      </w:r>
    </w:p>
    <w:p w:rsidR="00153201" w:rsidP="00153201" w:rsidRDefault="00153201" w14:paraId="73742449" w14:textId="77777777">
      <w:pPr>
        <w:numPr>
          <w:ilvl w:val="0"/>
          <w:numId w:val="5"/>
        </w:numPr>
      </w:pPr>
      <w:r>
        <w:t xml:space="preserve">The Task Force shall implement a thirteen-month schedule for the all-services distributed overlay in the 559-area code consistent with the public education program (PEP), attached herein as Attachment A, and the schedule shall be completed at least six months prior to the projected exhaust of the 559 NPA. </w:t>
      </w:r>
      <w:r w:rsidRPr="00BB32AF">
        <w:t xml:space="preserve"> </w:t>
      </w:r>
    </w:p>
    <w:p w:rsidRPr="0055095A" w:rsidR="00153201" w:rsidP="00153201" w:rsidRDefault="00153201" w14:paraId="49A0FC7B" w14:textId="77777777">
      <w:pPr>
        <w:numPr>
          <w:ilvl w:val="0"/>
          <w:numId w:val="5"/>
        </w:numPr>
      </w:pPr>
      <w:r>
        <w:t xml:space="preserve">The Task Force shall determine a start date for implementation of the public education program (PEP), attached herein as Attachment A, and implementation shall be completed within thirteen months from this start date.   </w:t>
      </w:r>
      <w:r w:rsidRPr="0055095A">
        <w:t xml:space="preserve">   </w:t>
      </w:r>
    </w:p>
    <w:p w:rsidR="00153201" w:rsidP="00153201" w:rsidRDefault="00153201" w14:paraId="4002CD2E" w14:textId="77777777">
      <w:pPr>
        <w:numPr>
          <w:ilvl w:val="0"/>
          <w:numId w:val="5"/>
        </w:numPr>
      </w:pPr>
      <w:r w:rsidRPr="00BB32AF">
        <w:t>The</w:t>
      </w:r>
      <w:r>
        <w:t xml:space="preserve"> carriers shall complete any network preparation necessary to implement the all-services </w:t>
      </w:r>
      <w:r w:rsidRPr="00BB32AF">
        <w:t xml:space="preserve">distributed area code overlay in the 559-area code by the forecasted exhaust of the </w:t>
      </w:r>
      <w:proofErr w:type="gramStart"/>
      <w:r w:rsidRPr="00BB32AF">
        <w:t>559 area</w:t>
      </w:r>
      <w:proofErr w:type="gramEnd"/>
      <w:r w:rsidRPr="00BB32AF">
        <w:t xml:space="preserve"> code in the third quarter of 2025.</w:t>
      </w:r>
      <w:r>
        <w:t xml:space="preserve"> </w:t>
      </w:r>
    </w:p>
    <w:p w:rsidRPr="00BB32AF" w:rsidR="00153201" w:rsidP="00153201" w:rsidRDefault="00153201" w14:paraId="46863706" w14:textId="77777777">
      <w:pPr>
        <w:numPr>
          <w:ilvl w:val="0"/>
          <w:numId w:val="5"/>
        </w:numPr>
      </w:pPr>
      <w:r w:rsidRPr="00BB32AF">
        <w:t>The Task Force shall submit all public education outreach materials to the California Public Utilities Commission’s Communications Division (CD) Director for review and approval.</w:t>
      </w:r>
      <w:r>
        <w:t xml:space="preserve">  </w:t>
      </w:r>
      <w:r w:rsidRPr="00BB32AF">
        <w:t xml:space="preserve">The </w:t>
      </w:r>
      <w:r>
        <w:t>CD</w:t>
      </w:r>
      <w:r w:rsidRPr="00BB32AF">
        <w:t xml:space="preserve"> Director </w:t>
      </w:r>
      <w:r>
        <w:t xml:space="preserve">shall be </w:t>
      </w:r>
      <w:r w:rsidRPr="00BB32AF">
        <w:t xml:space="preserve">authorized to oversee the </w:t>
      </w:r>
      <w:r w:rsidRPr="00BB32AF">
        <w:lastRenderedPageBreak/>
        <w:t>finalization and implementation of the public education program</w:t>
      </w:r>
      <w:r>
        <w:t xml:space="preserve"> (PEP)</w:t>
      </w:r>
      <w:r w:rsidRPr="00BB32AF">
        <w:t xml:space="preserve"> and authorized to take all actions necessary to achieve a 70 percent awareness level of the overlay in all major customer and telephone user groups.  </w:t>
      </w:r>
    </w:p>
    <w:p w:rsidRPr="00BB32AF" w:rsidR="00153201" w:rsidP="00153201" w:rsidRDefault="00153201" w14:paraId="25F9CECD" w14:textId="77777777">
      <w:pPr>
        <w:keepNext/>
        <w:numPr>
          <w:ilvl w:val="0"/>
          <w:numId w:val="5"/>
        </w:numPr>
      </w:pPr>
      <w:r w:rsidRPr="00BB32AF">
        <w:t>Application 23</w:t>
      </w:r>
      <w:r w:rsidRPr="00BB32AF">
        <w:noBreakHyphen/>
        <w:t>01</w:t>
      </w:r>
      <w:r w:rsidRPr="00BB32AF">
        <w:noBreakHyphen/>
        <w:t>012 is closed.</w:t>
      </w:r>
    </w:p>
    <w:p w:rsidRPr="00BB32AF" w:rsidR="00153201" w:rsidP="00153201" w:rsidRDefault="00153201" w14:paraId="7B7F5E58" w14:textId="77777777">
      <w:pPr>
        <w:keepNext/>
        <w:rPr>
          <w:rFonts w:eastAsia="Times New Roman" w:cs="Times New Roman"/>
          <w:szCs w:val="26"/>
        </w:rPr>
      </w:pPr>
      <w:r w:rsidRPr="00BB32AF">
        <w:rPr>
          <w:rFonts w:eastAsia="Times New Roman" w:cs="Times New Roman"/>
          <w:szCs w:val="26"/>
        </w:rPr>
        <w:t>This order is effective today.</w:t>
      </w:r>
    </w:p>
    <w:p w:rsidR="00153201" w:rsidP="00153201" w:rsidRDefault="00153201" w14:paraId="605347EF" w14:textId="62386003">
      <w:pPr>
        <w:rPr>
          <w:rFonts w:eastAsia="Times New Roman" w:cs="Times New Roman"/>
          <w:szCs w:val="20"/>
        </w:rPr>
      </w:pPr>
      <w:r w:rsidRPr="00BB32AF">
        <w:rPr>
          <w:rFonts w:eastAsia="Times New Roman" w:cs="Times New Roman"/>
          <w:szCs w:val="20"/>
        </w:rPr>
        <w:t>Dated ______________, at Sa</w:t>
      </w:r>
      <w:r>
        <w:rPr>
          <w:rFonts w:eastAsia="Times New Roman" w:cs="Times New Roman"/>
          <w:szCs w:val="20"/>
        </w:rPr>
        <w:t>n Francisco</w:t>
      </w:r>
      <w:r w:rsidRPr="00BB32AF">
        <w:rPr>
          <w:rFonts w:eastAsia="Times New Roman" w:cs="Times New Roman"/>
          <w:szCs w:val="20"/>
        </w:rPr>
        <w:t>, California.</w:t>
      </w:r>
    </w:p>
    <w:p w:rsidR="00230E6D" w:rsidP="00153201" w:rsidRDefault="00230E6D" w14:paraId="410FD60E" w14:textId="77777777">
      <w:pPr>
        <w:rPr>
          <w:rFonts w:eastAsia="Times New Roman" w:cs="Times New Roman"/>
          <w:szCs w:val="20"/>
        </w:rPr>
      </w:pPr>
    </w:p>
    <w:p w:rsidR="00230E6D" w:rsidP="00153201" w:rsidRDefault="00230E6D" w14:paraId="120809E9" w14:textId="77777777">
      <w:pPr>
        <w:rPr>
          <w:rFonts w:eastAsia="Times New Roman" w:cs="Times New Roman"/>
          <w:szCs w:val="20"/>
        </w:rPr>
      </w:pPr>
    </w:p>
    <w:p w:rsidR="00230E6D" w:rsidP="00153201" w:rsidRDefault="00230E6D" w14:paraId="12A4C9C4" w14:textId="77777777">
      <w:pPr>
        <w:rPr>
          <w:rFonts w:eastAsia="Times New Roman" w:cs="Times New Roman"/>
          <w:szCs w:val="20"/>
        </w:rPr>
      </w:pPr>
    </w:p>
    <w:p w:rsidR="00230E6D" w:rsidP="00153201" w:rsidRDefault="00230E6D" w14:paraId="05B0135F" w14:textId="77777777">
      <w:pPr>
        <w:rPr>
          <w:rFonts w:eastAsia="Times New Roman" w:cs="Times New Roman"/>
          <w:szCs w:val="20"/>
        </w:rPr>
      </w:pPr>
    </w:p>
    <w:p w:rsidR="00230E6D" w:rsidP="00153201" w:rsidRDefault="00230E6D" w14:paraId="58A71D07" w14:textId="77777777">
      <w:pPr>
        <w:rPr>
          <w:rFonts w:eastAsia="Times New Roman" w:cs="Times New Roman"/>
          <w:szCs w:val="20"/>
        </w:rPr>
      </w:pPr>
    </w:p>
    <w:p w:rsidR="00230E6D" w:rsidP="00153201" w:rsidRDefault="00230E6D" w14:paraId="6E93112B" w14:textId="77777777">
      <w:pPr>
        <w:rPr>
          <w:rFonts w:eastAsia="Times New Roman" w:cs="Times New Roman"/>
          <w:szCs w:val="20"/>
        </w:rPr>
      </w:pPr>
    </w:p>
    <w:p w:rsidR="00230E6D" w:rsidP="00153201" w:rsidRDefault="00230E6D" w14:paraId="764095BE" w14:textId="77777777">
      <w:pPr>
        <w:rPr>
          <w:rFonts w:eastAsia="Times New Roman" w:cs="Times New Roman"/>
          <w:szCs w:val="20"/>
        </w:rPr>
      </w:pPr>
    </w:p>
    <w:p w:rsidR="00230E6D" w:rsidP="00153201" w:rsidRDefault="00230E6D" w14:paraId="3DFD5B3C" w14:textId="77777777">
      <w:pPr>
        <w:rPr>
          <w:rFonts w:eastAsia="Times New Roman" w:cs="Times New Roman"/>
          <w:szCs w:val="20"/>
        </w:rPr>
      </w:pPr>
    </w:p>
    <w:p w:rsidR="00230E6D" w:rsidP="00153201" w:rsidRDefault="00230E6D" w14:paraId="07B71895" w14:textId="77777777">
      <w:pPr>
        <w:rPr>
          <w:rFonts w:eastAsia="Times New Roman" w:cs="Times New Roman"/>
          <w:szCs w:val="20"/>
        </w:rPr>
      </w:pPr>
    </w:p>
    <w:p w:rsidR="00230E6D" w:rsidP="00153201" w:rsidRDefault="00230E6D" w14:paraId="6478B8E1" w14:textId="77777777">
      <w:pPr>
        <w:rPr>
          <w:rFonts w:eastAsia="Times New Roman" w:cs="Times New Roman"/>
          <w:szCs w:val="20"/>
        </w:rPr>
      </w:pPr>
    </w:p>
    <w:p w:rsidR="00230E6D" w:rsidP="00153201" w:rsidRDefault="00230E6D" w14:paraId="3316B7B1" w14:textId="77777777">
      <w:pPr>
        <w:rPr>
          <w:rFonts w:eastAsia="Times New Roman" w:cs="Times New Roman"/>
          <w:szCs w:val="20"/>
        </w:rPr>
      </w:pPr>
    </w:p>
    <w:p w:rsidR="00230E6D" w:rsidP="00153201" w:rsidRDefault="00230E6D" w14:paraId="73DE0EEF" w14:textId="77777777">
      <w:pPr>
        <w:rPr>
          <w:rFonts w:eastAsia="Times New Roman" w:cs="Times New Roman"/>
          <w:szCs w:val="20"/>
        </w:rPr>
      </w:pPr>
    </w:p>
    <w:p w:rsidR="00230E6D" w:rsidP="00153201" w:rsidRDefault="00230E6D" w14:paraId="0190A332" w14:textId="77777777">
      <w:pPr>
        <w:rPr>
          <w:rFonts w:eastAsia="Times New Roman" w:cs="Times New Roman"/>
          <w:szCs w:val="20"/>
        </w:rPr>
      </w:pPr>
    </w:p>
    <w:p w:rsidR="00230E6D" w:rsidP="00153201" w:rsidRDefault="00230E6D" w14:paraId="0BC9E298" w14:textId="77777777">
      <w:pPr>
        <w:rPr>
          <w:rFonts w:eastAsia="Times New Roman" w:cs="Times New Roman"/>
          <w:szCs w:val="20"/>
        </w:rPr>
      </w:pPr>
    </w:p>
    <w:p w:rsidR="001417A8" w:rsidP="00153201" w:rsidRDefault="001417A8" w14:paraId="68147095" w14:textId="77777777">
      <w:pPr>
        <w:rPr>
          <w:rFonts w:eastAsia="Times New Roman" w:cs="Times New Roman"/>
          <w:szCs w:val="20"/>
        </w:rPr>
      </w:pPr>
    </w:p>
    <w:p w:rsidR="001417A8" w:rsidP="00153201" w:rsidRDefault="001417A8" w14:paraId="138AA968" w14:textId="77777777">
      <w:pPr>
        <w:rPr>
          <w:rFonts w:eastAsia="Times New Roman" w:cs="Times New Roman"/>
          <w:szCs w:val="20"/>
        </w:rPr>
      </w:pPr>
    </w:p>
    <w:p w:rsidR="001417A8" w:rsidP="00153201" w:rsidRDefault="001417A8" w14:paraId="78C4FE62" w14:textId="77777777">
      <w:pPr>
        <w:rPr>
          <w:rFonts w:eastAsia="Times New Roman" w:cs="Times New Roman"/>
          <w:szCs w:val="20"/>
        </w:rPr>
      </w:pPr>
    </w:p>
    <w:p w:rsidRPr="004E7C65" w:rsidR="001417A8" w:rsidP="00153201" w:rsidRDefault="001417A8" w14:paraId="50E4D9EF" w14:textId="77777777">
      <w:pPr>
        <w:rPr>
          <w:rFonts w:eastAsia="Times New Roman" w:cs="Times New Roman"/>
          <w:szCs w:val="20"/>
        </w:rPr>
      </w:pPr>
    </w:p>
    <w:p w:rsidRPr="00BB32AF" w:rsidR="00153201" w:rsidP="00153201" w:rsidRDefault="00153201" w14:paraId="75FB804D" w14:textId="77777777">
      <w:pPr>
        <w:spacing w:line="240" w:lineRule="auto"/>
        <w:jc w:val="center"/>
        <w:rPr>
          <w:rFonts w:eastAsia="Times New Roman" w:cs="Times New Roman"/>
          <w:b/>
          <w:sz w:val="50"/>
          <w:szCs w:val="50"/>
        </w:rPr>
      </w:pPr>
    </w:p>
    <w:p w:rsidRPr="00BB32AF" w:rsidR="00153201" w:rsidP="00153201" w:rsidRDefault="00153201" w14:paraId="4C75FA11" w14:textId="77777777">
      <w:pPr>
        <w:spacing w:line="240" w:lineRule="auto"/>
        <w:jc w:val="center"/>
        <w:rPr>
          <w:rFonts w:eastAsia="Times New Roman" w:cs="Times New Roman"/>
          <w:b/>
          <w:sz w:val="50"/>
          <w:szCs w:val="50"/>
        </w:rPr>
      </w:pPr>
      <w:r w:rsidRPr="00BB32AF">
        <w:rPr>
          <w:rFonts w:eastAsia="Times New Roman" w:cs="Times New Roman"/>
          <w:b/>
          <w:sz w:val="50"/>
          <w:szCs w:val="50"/>
        </w:rPr>
        <w:lastRenderedPageBreak/>
        <w:t>ATTACHMENT A</w:t>
      </w:r>
    </w:p>
    <w:tbl>
      <w:tblPr>
        <w:tblW w:w="9940" w:type="dxa"/>
        <w:tblLook w:val="04A0" w:firstRow="1" w:lastRow="0" w:firstColumn="1" w:lastColumn="0" w:noHBand="0" w:noVBand="1"/>
      </w:tblPr>
      <w:tblGrid>
        <w:gridCol w:w="848"/>
        <w:gridCol w:w="3679"/>
        <w:gridCol w:w="1720"/>
        <w:gridCol w:w="1040"/>
        <w:gridCol w:w="1183"/>
        <w:gridCol w:w="1470"/>
      </w:tblGrid>
      <w:tr w:rsidRPr="00BB32AF" w:rsidR="00153201" w:rsidTr="002439CA" w14:paraId="5F75D4B6" w14:textId="77777777">
        <w:trPr>
          <w:trHeight w:val="1530"/>
        </w:trPr>
        <w:tc>
          <w:tcPr>
            <w:tcW w:w="9940" w:type="dxa"/>
            <w:gridSpan w:val="6"/>
            <w:tcBorders>
              <w:top w:val="nil"/>
              <w:left w:val="nil"/>
              <w:bottom w:val="single" w:color="auto" w:sz="4" w:space="0"/>
              <w:right w:val="nil"/>
            </w:tcBorders>
            <w:shd w:val="clear" w:color="auto" w:fill="auto"/>
            <w:vAlign w:val="center"/>
            <w:hideMark/>
          </w:tcPr>
          <w:p w:rsidRPr="00BB32AF" w:rsidR="00153201" w:rsidP="002439CA" w:rsidRDefault="00153201" w14:paraId="65072DD3" w14:textId="77777777">
            <w:pPr>
              <w:spacing w:line="240" w:lineRule="auto"/>
              <w:ind w:firstLine="0"/>
              <w:jc w:val="center"/>
              <w:rPr>
                <w:rFonts w:ascii="Calibri" w:hAnsi="Calibri" w:eastAsia="Times New Roman" w:cs="Calibri"/>
                <w:b/>
                <w:bCs/>
                <w:sz w:val="24"/>
                <w:szCs w:val="24"/>
              </w:rPr>
            </w:pPr>
            <w:r w:rsidRPr="00BB32AF">
              <w:rPr>
                <w:rFonts w:ascii="Calibri" w:hAnsi="Calibri" w:eastAsia="Times New Roman" w:cs="Calibri"/>
                <w:b/>
                <w:bCs/>
                <w:sz w:val="24"/>
                <w:szCs w:val="24"/>
              </w:rPr>
              <w:t xml:space="preserve">Public Education Program (PEP) for 559 Area Code Overlay </w:t>
            </w:r>
            <w:r w:rsidRPr="00BB32AF">
              <w:rPr>
                <w:rFonts w:ascii="Calibri" w:hAnsi="Calibri" w:eastAsia="Times New Roman" w:cs="Calibri"/>
                <w:b/>
                <w:bCs/>
                <w:sz w:val="24"/>
                <w:szCs w:val="24"/>
              </w:rPr>
              <w:br/>
              <w:t>Thirteen-Month Implementation Plan</w:t>
            </w:r>
            <w:r w:rsidRPr="00BB32AF">
              <w:rPr>
                <w:rFonts w:ascii="Calibri" w:hAnsi="Calibri" w:eastAsia="Times New Roman" w:cs="Calibri"/>
                <w:b/>
                <w:bCs/>
                <w:sz w:val="24"/>
                <w:szCs w:val="24"/>
              </w:rPr>
              <w:br/>
              <w:t xml:space="preserve">(Recommended Due Dates and Completion Dates </w:t>
            </w:r>
            <w:r w:rsidRPr="00BB32AF">
              <w:rPr>
                <w:rFonts w:ascii="Calibri" w:hAnsi="Calibri" w:eastAsia="Times New Roman" w:cs="Calibri"/>
                <w:b/>
                <w:bCs/>
                <w:sz w:val="24"/>
                <w:szCs w:val="24"/>
              </w:rPr>
              <w:br/>
              <w:t>to be determined during the NANPA Implementation Meeting)</w:t>
            </w:r>
          </w:p>
        </w:tc>
      </w:tr>
      <w:tr w:rsidRPr="00BB32AF" w:rsidR="00153201" w:rsidTr="002439CA" w14:paraId="12E24A70" w14:textId="77777777">
        <w:trPr>
          <w:trHeight w:val="1275"/>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466E3AE2" w14:textId="77777777">
            <w:pPr>
              <w:spacing w:line="240" w:lineRule="auto"/>
              <w:ind w:firstLine="0"/>
              <w:jc w:val="center"/>
              <w:rPr>
                <w:rFonts w:ascii="Calibri" w:hAnsi="Calibri" w:eastAsia="Times New Roman" w:cs="Calibri"/>
                <w:b/>
                <w:bCs/>
                <w:sz w:val="20"/>
                <w:szCs w:val="20"/>
              </w:rPr>
            </w:pPr>
            <w:r w:rsidRPr="00BB32AF">
              <w:rPr>
                <w:rFonts w:ascii="Calibri" w:hAnsi="Calibri" w:eastAsia="Times New Roman" w:cs="Calibri"/>
                <w:b/>
                <w:bCs/>
                <w:sz w:val="20"/>
                <w:szCs w:val="20"/>
              </w:rPr>
              <w:t>Activity</w:t>
            </w:r>
          </w:p>
        </w:tc>
        <w:tc>
          <w:tcPr>
            <w:tcW w:w="38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0DD5D81B" w14:textId="77777777">
            <w:pPr>
              <w:spacing w:line="240" w:lineRule="auto"/>
              <w:ind w:firstLine="0"/>
              <w:jc w:val="center"/>
              <w:rPr>
                <w:rFonts w:ascii="Calibri" w:hAnsi="Calibri" w:eastAsia="Times New Roman" w:cs="Calibri"/>
                <w:b/>
                <w:bCs/>
                <w:sz w:val="20"/>
                <w:szCs w:val="20"/>
              </w:rPr>
            </w:pPr>
            <w:r w:rsidRPr="00BB32AF">
              <w:rPr>
                <w:rFonts w:ascii="Calibri" w:hAnsi="Calibri" w:eastAsia="Times New Roman" w:cs="Calibri"/>
                <w:b/>
                <w:bCs/>
                <w:sz w:val="20"/>
                <w:szCs w:val="20"/>
              </w:rPr>
              <w:t>Description</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5FD03BC7" w14:textId="77777777">
            <w:pPr>
              <w:spacing w:line="240" w:lineRule="auto"/>
              <w:ind w:firstLine="0"/>
              <w:jc w:val="center"/>
              <w:rPr>
                <w:rFonts w:ascii="Calibri" w:hAnsi="Calibri" w:eastAsia="Times New Roman" w:cs="Calibri"/>
                <w:b/>
                <w:bCs/>
                <w:sz w:val="20"/>
                <w:szCs w:val="20"/>
              </w:rPr>
            </w:pPr>
            <w:r w:rsidRPr="00BB32AF">
              <w:rPr>
                <w:rFonts w:ascii="Calibri" w:hAnsi="Calibri" w:eastAsia="Times New Roman" w:cs="Calibri"/>
                <w:b/>
                <w:bCs/>
                <w:sz w:val="20"/>
                <w:szCs w:val="20"/>
              </w:rPr>
              <w:t>Target</w:t>
            </w:r>
            <w:r w:rsidRPr="00BB32AF">
              <w:rPr>
                <w:rFonts w:ascii="Calibri" w:hAnsi="Calibri" w:eastAsia="Times New Roman" w:cs="Calibri"/>
                <w:b/>
                <w:bCs/>
                <w:sz w:val="20"/>
                <w:szCs w:val="20"/>
              </w:rPr>
              <w:br/>
              <w:t>Audience</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5292356E" w14:textId="77777777">
            <w:pPr>
              <w:spacing w:line="240" w:lineRule="auto"/>
              <w:ind w:firstLine="0"/>
              <w:jc w:val="center"/>
              <w:rPr>
                <w:rFonts w:ascii="Times New Roman" w:hAnsi="Times New Roman" w:eastAsia="Times New Roman" w:cs="Times New Roman"/>
                <w:color w:val="000000"/>
                <w:sz w:val="20"/>
                <w:szCs w:val="20"/>
              </w:rPr>
            </w:pPr>
            <w:r w:rsidRPr="00BB32AF">
              <w:rPr>
                <w:rFonts w:ascii="Calibri" w:hAnsi="Calibri" w:eastAsia="Times New Roman" w:cs="Calibri"/>
                <w:b/>
                <w:bCs/>
                <w:sz w:val="20"/>
                <w:szCs w:val="20"/>
              </w:rPr>
              <w:t>Shared or Individual Service</w:t>
            </w:r>
            <w:r w:rsidRPr="00BB32AF">
              <w:rPr>
                <w:rFonts w:ascii="Calibri" w:hAnsi="Calibri" w:eastAsia="Times New Roman" w:cs="Calibri"/>
                <w:b/>
                <w:bCs/>
                <w:sz w:val="20"/>
                <w:szCs w:val="20"/>
              </w:rPr>
              <w:br/>
              <w:t>Provider Effort</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4E18ABA1" w14:textId="77777777">
            <w:pPr>
              <w:spacing w:line="240" w:lineRule="auto"/>
              <w:ind w:firstLine="0"/>
              <w:jc w:val="center"/>
              <w:rPr>
                <w:rFonts w:ascii="Calibri" w:hAnsi="Calibri" w:eastAsia="Times New Roman" w:cs="Calibri"/>
                <w:b/>
                <w:bCs/>
                <w:sz w:val="20"/>
                <w:szCs w:val="20"/>
              </w:rPr>
            </w:pPr>
            <w:r w:rsidRPr="00BB32AF">
              <w:rPr>
                <w:rFonts w:ascii="Calibri" w:hAnsi="Calibri" w:eastAsia="Times New Roman" w:cs="Calibri"/>
                <w:b/>
                <w:bCs/>
                <w:sz w:val="20"/>
                <w:szCs w:val="20"/>
              </w:rPr>
              <w:t>Completion Date</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237D2432" w14:textId="77777777">
            <w:pPr>
              <w:spacing w:line="240" w:lineRule="auto"/>
              <w:ind w:firstLine="0"/>
              <w:jc w:val="center"/>
              <w:rPr>
                <w:rFonts w:ascii="Calibri" w:hAnsi="Calibri" w:eastAsia="Times New Roman" w:cs="Calibri"/>
                <w:b/>
                <w:bCs/>
                <w:sz w:val="20"/>
                <w:szCs w:val="20"/>
              </w:rPr>
            </w:pPr>
            <w:r w:rsidRPr="00BB32AF">
              <w:rPr>
                <w:rFonts w:ascii="Calibri" w:hAnsi="Calibri" w:eastAsia="Times New Roman" w:cs="Calibri"/>
                <w:b/>
                <w:bCs/>
                <w:sz w:val="20"/>
                <w:szCs w:val="20"/>
              </w:rPr>
              <w:t>Recommended Due Date</w:t>
            </w:r>
          </w:p>
        </w:tc>
      </w:tr>
      <w:tr w:rsidRPr="00BB32AF" w:rsidR="00153201" w:rsidTr="002439CA" w14:paraId="13E8BAF1" w14:textId="77777777">
        <w:trPr>
          <w:trHeight w:val="1020"/>
        </w:trPr>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B32AF" w:rsidR="00153201" w:rsidP="002439CA" w:rsidRDefault="00153201" w14:paraId="0E4E6DFA" w14:textId="77777777">
            <w:pPr>
              <w:spacing w:line="240" w:lineRule="auto"/>
              <w:ind w:firstLine="0"/>
              <w:jc w:val="center"/>
              <w:rPr>
                <w:rFonts w:ascii="Calibri" w:hAnsi="Calibri" w:eastAsia="Times New Roman" w:cs="Calibri"/>
                <w:color w:val="000000"/>
                <w:sz w:val="20"/>
                <w:szCs w:val="20"/>
              </w:rPr>
            </w:pPr>
            <w:r w:rsidRPr="00BB32AF">
              <w:rPr>
                <w:rFonts w:ascii="Calibri" w:hAnsi="Calibri" w:eastAsia="Times New Roman" w:cs="Calibri"/>
                <w:color w:val="000000"/>
                <w:sz w:val="20"/>
                <w:szCs w:val="20"/>
              </w:rPr>
              <w:t>1</w:t>
            </w:r>
          </w:p>
        </w:tc>
        <w:tc>
          <w:tcPr>
            <w:tcW w:w="38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71DDC7A4" w14:textId="77777777">
            <w:pPr>
              <w:spacing w:line="240" w:lineRule="auto"/>
              <w:ind w:firstLine="0"/>
              <w:rPr>
                <w:rFonts w:ascii="Calibri" w:hAnsi="Calibri" w:eastAsia="Times New Roman" w:cs="Calibri"/>
                <w:sz w:val="20"/>
                <w:szCs w:val="20"/>
              </w:rPr>
            </w:pPr>
            <w:r w:rsidRPr="00BB32AF">
              <w:rPr>
                <w:rFonts w:ascii="Calibri" w:hAnsi="Calibri" w:eastAsia="Times New Roman" w:cs="Calibri"/>
                <w:sz w:val="20"/>
                <w:szCs w:val="20"/>
              </w:rPr>
              <w:t>Effective date of decision approving an overlay area code for relief of the existing 559 area code.</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6440C4C7" w14:textId="77777777">
            <w:pPr>
              <w:spacing w:line="240" w:lineRule="auto"/>
              <w:ind w:firstLine="0"/>
              <w:jc w:val="center"/>
              <w:rPr>
                <w:rFonts w:ascii="Calibri" w:hAnsi="Calibri" w:eastAsia="Times New Roman" w:cs="Calibri"/>
                <w:sz w:val="20"/>
                <w:szCs w:val="20"/>
              </w:rPr>
            </w:pPr>
            <w:r w:rsidRPr="00BB32AF">
              <w:rPr>
                <w:rFonts w:ascii="Calibri" w:hAnsi="Calibri" w:eastAsia="Times New Roman" w:cs="Calibri"/>
                <w:sz w:val="20"/>
                <w:szCs w:val="20"/>
              </w:rPr>
              <w:t>N/A</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23C9FD35" w14:textId="77777777">
            <w:pPr>
              <w:spacing w:line="240" w:lineRule="auto"/>
              <w:ind w:firstLine="0"/>
              <w:jc w:val="center"/>
              <w:rPr>
                <w:rFonts w:ascii="Calibri" w:hAnsi="Calibri" w:eastAsia="Times New Roman" w:cs="Calibri"/>
                <w:sz w:val="20"/>
                <w:szCs w:val="20"/>
              </w:rPr>
            </w:pPr>
            <w:r w:rsidRPr="00BB32AF">
              <w:rPr>
                <w:rFonts w:ascii="Calibri" w:hAnsi="Calibri" w:eastAsia="Times New Roman" w:cs="Calibri"/>
                <w:sz w:val="20"/>
                <w:szCs w:val="20"/>
              </w:rPr>
              <w:t>N/A</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170397D9" w14:textId="77777777">
            <w:pPr>
              <w:spacing w:line="240" w:lineRule="auto"/>
              <w:ind w:firstLine="0"/>
              <w:jc w:val="center"/>
              <w:rPr>
                <w:rFonts w:ascii="Calibri" w:hAnsi="Calibri" w:eastAsia="Times New Roman" w:cs="Calibri"/>
                <w:sz w:val="20"/>
                <w:szCs w:val="20"/>
              </w:rPr>
            </w:pPr>
            <w:r w:rsidRPr="00BB32AF">
              <w:rPr>
                <w:rFonts w:ascii="Calibri" w:hAnsi="Calibri" w:eastAsia="Times New Roman" w:cs="Calibri"/>
                <w:sz w:val="20"/>
                <w:szCs w:val="20"/>
              </w:rPr>
              <w:t>Date of Decision (DOD)</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7FE51F25" w14:textId="77777777">
            <w:pPr>
              <w:spacing w:line="240" w:lineRule="auto"/>
              <w:ind w:firstLine="0"/>
              <w:jc w:val="center"/>
              <w:rPr>
                <w:rFonts w:ascii="Calibri" w:hAnsi="Calibri" w:eastAsia="Times New Roman" w:cs="Calibri"/>
                <w:color w:val="000000"/>
                <w:sz w:val="20"/>
                <w:szCs w:val="20"/>
              </w:rPr>
            </w:pPr>
            <w:r w:rsidRPr="00BB32AF">
              <w:rPr>
                <w:rFonts w:ascii="Calibri" w:hAnsi="Calibri" w:eastAsia="Times New Roman" w:cs="Calibri"/>
                <w:color w:val="000000"/>
                <w:sz w:val="20"/>
                <w:szCs w:val="20"/>
              </w:rPr>
              <w:t> </w:t>
            </w:r>
          </w:p>
        </w:tc>
      </w:tr>
      <w:tr w:rsidRPr="00BB32AF" w:rsidR="00153201" w:rsidTr="002439CA" w14:paraId="797FB55D" w14:textId="77777777">
        <w:trPr>
          <w:trHeight w:val="1530"/>
        </w:trPr>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B32AF" w:rsidR="00153201" w:rsidP="002439CA" w:rsidRDefault="00153201" w14:paraId="625863A0" w14:textId="77777777">
            <w:pPr>
              <w:spacing w:line="240" w:lineRule="auto"/>
              <w:ind w:firstLine="0"/>
              <w:jc w:val="center"/>
              <w:rPr>
                <w:rFonts w:ascii="Calibri" w:hAnsi="Calibri" w:eastAsia="Times New Roman" w:cs="Calibri"/>
                <w:color w:val="000000"/>
                <w:sz w:val="20"/>
                <w:szCs w:val="20"/>
              </w:rPr>
            </w:pPr>
            <w:r w:rsidRPr="00BB32AF">
              <w:rPr>
                <w:rFonts w:ascii="Calibri" w:hAnsi="Calibri" w:eastAsia="Times New Roman" w:cs="Calibri"/>
                <w:color w:val="000000"/>
                <w:sz w:val="20"/>
                <w:szCs w:val="20"/>
              </w:rPr>
              <w:t>2</w:t>
            </w:r>
          </w:p>
        </w:tc>
        <w:tc>
          <w:tcPr>
            <w:tcW w:w="38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73F2D42D" w14:textId="77777777">
            <w:pPr>
              <w:spacing w:line="240" w:lineRule="auto"/>
              <w:ind w:firstLine="0"/>
              <w:rPr>
                <w:rFonts w:ascii="Calibri" w:hAnsi="Calibri" w:eastAsia="Times New Roman" w:cs="Calibri"/>
                <w:sz w:val="20"/>
                <w:szCs w:val="20"/>
              </w:rPr>
            </w:pPr>
            <w:r w:rsidRPr="00BB32AF">
              <w:rPr>
                <w:rFonts w:ascii="Calibri" w:hAnsi="Calibri" w:eastAsia="Times New Roman" w:cs="Calibri"/>
                <w:sz w:val="20"/>
                <w:szCs w:val="20"/>
              </w:rPr>
              <w:t xml:space="preserve">Post-Commission meeting news release announcing the </w:t>
            </w:r>
            <w:proofErr w:type="gramStart"/>
            <w:r w:rsidRPr="00BB32AF">
              <w:rPr>
                <w:rFonts w:ascii="Calibri" w:hAnsi="Calibri" w:eastAsia="Times New Roman" w:cs="Calibri"/>
                <w:sz w:val="20"/>
                <w:szCs w:val="20"/>
              </w:rPr>
              <w:t>559 area</w:t>
            </w:r>
            <w:proofErr w:type="gramEnd"/>
            <w:r w:rsidRPr="00BB32AF">
              <w:rPr>
                <w:rFonts w:ascii="Calibri" w:hAnsi="Calibri" w:eastAsia="Times New Roman" w:cs="Calibri"/>
                <w:sz w:val="20"/>
                <w:szCs w:val="20"/>
              </w:rPr>
              <w:t xml:space="preserve"> code overlay relief plan, and the new overlay area code. Post CPUC news release to CPUC website and social media platforms.</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45C2C77F" w14:textId="77777777">
            <w:pPr>
              <w:spacing w:line="240" w:lineRule="auto"/>
              <w:ind w:firstLine="0"/>
              <w:jc w:val="center"/>
              <w:rPr>
                <w:rFonts w:ascii="Calibri" w:hAnsi="Calibri" w:eastAsia="Times New Roman" w:cs="Calibri"/>
                <w:sz w:val="20"/>
                <w:szCs w:val="20"/>
              </w:rPr>
            </w:pPr>
            <w:r w:rsidRPr="00BB32AF">
              <w:rPr>
                <w:rFonts w:ascii="Calibri" w:hAnsi="Calibri" w:eastAsia="Times New Roman" w:cs="Calibri"/>
                <w:sz w:val="20"/>
                <w:szCs w:val="20"/>
              </w:rPr>
              <w:t>All customers</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5C6C246F" w14:textId="77777777">
            <w:pPr>
              <w:spacing w:line="240" w:lineRule="auto"/>
              <w:ind w:firstLine="0"/>
              <w:jc w:val="center"/>
              <w:rPr>
                <w:rFonts w:ascii="Calibri" w:hAnsi="Calibri" w:eastAsia="Times New Roman" w:cs="Calibri"/>
                <w:sz w:val="20"/>
                <w:szCs w:val="20"/>
              </w:rPr>
            </w:pPr>
            <w:r w:rsidRPr="00BB32AF">
              <w:rPr>
                <w:rFonts w:ascii="Calibri" w:hAnsi="Calibri" w:eastAsia="Times New Roman" w:cs="Calibri"/>
                <w:sz w:val="20"/>
                <w:szCs w:val="20"/>
              </w:rPr>
              <w:t>CPUC</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3BBE933C" w14:textId="77777777">
            <w:pPr>
              <w:spacing w:line="240" w:lineRule="auto"/>
              <w:ind w:firstLine="0"/>
              <w:jc w:val="center"/>
              <w:rPr>
                <w:rFonts w:ascii="Calibri" w:hAnsi="Calibri" w:eastAsia="Times New Roman" w:cs="Calibri"/>
                <w:sz w:val="20"/>
                <w:szCs w:val="20"/>
              </w:rPr>
            </w:pPr>
            <w:r w:rsidRPr="00BB32AF">
              <w:rPr>
                <w:rFonts w:ascii="Calibri" w:hAnsi="Calibri" w:eastAsia="Times New Roman" w:cs="Calibri"/>
                <w:sz w:val="20"/>
                <w:szCs w:val="20"/>
              </w:rPr>
              <w:t>DOD</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192347A1" w14:textId="77777777">
            <w:pPr>
              <w:spacing w:line="240" w:lineRule="auto"/>
              <w:ind w:firstLine="0"/>
              <w:jc w:val="center"/>
              <w:rPr>
                <w:rFonts w:ascii="Calibri" w:hAnsi="Calibri" w:eastAsia="Times New Roman" w:cs="Calibri"/>
                <w:color w:val="000000"/>
                <w:sz w:val="20"/>
                <w:szCs w:val="20"/>
              </w:rPr>
            </w:pPr>
            <w:r w:rsidRPr="00BB32AF">
              <w:rPr>
                <w:rFonts w:ascii="Calibri" w:hAnsi="Calibri" w:eastAsia="Times New Roman" w:cs="Calibri"/>
                <w:color w:val="000000"/>
                <w:sz w:val="20"/>
                <w:szCs w:val="20"/>
              </w:rPr>
              <w:t> </w:t>
            </w:r>
          </w:p>
        </w:tc>
      </w:tr>
      <w:tr w:rsidRPr="00BB32AF" w:rsidR="00153201" w:rsidTr="002439CA" w14:paraId="21E24B79" w14:textId="77777777">
        <w:trPr>
          <w:trHeight w:val="1785"/>
        </w:trPr>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B32AF" w:rsidR="00153201" w:rsidP="002439CA" w:rsidRDefault="00153201" w14:paraId="335DB4BC" w14:textId="77777777">
            <w:pPr>
              <w:spacing w:line="240" w:lineRule="auto"/>
              <w:ind w:firstLine="0"/>
              <w:jc w:val="center"/>
              <w:rPr>
                <w:rFonts w:ascii="Calibri" w:hAnsi="Calibri" w:eastAsia="Times New Roman" w:cs="Calibri"/>
                <w:color w:val="000000"/>
                <w:sz w:val="20"/>
                <w:szCs w:val="20"/>
              </w:rPr>
            </w:pPr>
            <w:r w:rsidRPr="00BB32AF">
              <w:rPr>
                <w:rFonts w:ascii="Calibri" w:hAnsi="Calibri" w:eastAsia="Times New Roman" w:cs="Calibri"/>
                <w:color w:val="000000"/>
                <w:sz w:val="20"/>
                <w:szCs w:val="20"/>
              </w:rPr>
              <w:t>3</w:t>
            </w:r>
          </w:p>
        </w:tc>
        <w:tc>
          <w:tcPr>
            <w:tcW w:w="38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153201" w:rsidP="002439CA" w:rsidRDefault="00153201" w14:paraId="2CEB6531" w14:textId="77777777">
            <w:pPr>
              <w:spacing w:line="240" w:lineRule="auto"/>
              <w:ind w:firstLine="0"/>
              <w:rPr>
                <w:rFonts w:ascii="Calibri" w:hAnsi="Calibri" w:eastAsia="Times New Roman" w:cs="Calibri"/>
                <w:sz w:val="20"/>
                <w:szCs w:val="20"/>
              </w:rPr>
            </w:pPr>
            <w:r w:rsidRPr="00BB32AF">
              <w:rPr>
                <w:rFonts w:ascii="Calibri" w:hAnsi="Calibri" w:eastAsia="Times New Roman" w:cs="Calibri"/>
                <w:sz w:val="20"/>
                <w:szCs w:val="20"/>
              </w:rPr>
              <w:t>NANPA 559 area code overlay implementation meeting, and request for industry participation on Public Education Plan (PEP) task force. Industry forms Task Force Subcommittee. Determination of Implementation Start Date (</w:t>
            </w:r>
          </w:p>
          <w:p w:rsidRPr="00BB32AF" w:rsidR="00153201" w:rsidP="002439CA" w:rsidRDefault="00153201" w14:paraId="5D95DAEC" w14:textId="77777777">
            <w:pPr>
              <w:spacing w:line="240" w:lineRule="auto"/>
              <w:ind w:firstLine="0"/>
              <w:rPr>
                <w:rFonts w:ascii="Calibri" w:hAnsi="Calibri" w:eastAsia="Times New Roman" w:cs="Calibri"/>
                <w:sz w:val="20"/>
                <w:szCs w:val="20"/>
              </w:rPr>
            </w:pPr>
            <w:r w:rsidRPr="00BB32AF">
              <w:rPr>
                <w:rFonts w:ascii="Calibri" w:hAnsi="Calibri" w:eastAsia="Times New Roman" w:cs="Calibri"/>
                <w:sz w:val="20"/>
                <w:szCs w:val="20"/>
              </w:rPr>
              <w:t>).</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58FC6C92" w14:textId="77777777">
            <w:pPr>
              <w:spacing w:line="240" w:lineRule="auto"/>
              <w:ind w:firstLine="0"/>
              <w:jc w:val="center"/>
              <w:rPr>
                <w:rFonts w:ascii="Calibri" w:hAnsi="Calibri" w:eastAsia="Times New Roman" w:cs="Calibri"/>
                <w:sz w:val="20"/>
                <w:szCs w:val="20"/>
              </w:rPr>
            </w:pPr>
            <w:r w:rsidRPr="00BB32AF">
              <w:rPr>
                <w:rFonts w:ascii="Calibri" w:hAnsi="Calibri" w:eastAsia="Times New Roman" w:cs="Calibri"/>
                <w:sz w:val="20"/>
                <w:szCs w:val="20"/>
              </w:rPr>
              <w:t>CPUC staff and industry</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66DDF8E6" w14:textId="77777777">
            <w:pPr>
              <w:spacing w:line="240" w:lineRule="auto"/>
              <w:ind w:firstLine="0"/>
              <w:jc w:val="center"/>
              <w:rPr>
                <w:rFonts w:ascii="Calibri" w:hAnsi="Calibri" w:eastAsia="Times New Roman" w:cs="Calibri"/>
                <w:sz w:val="20"/>
                <w:szCs w:val="20"/>
              </w:rPr>
            </w:pPr>
            <w:r w:rsidRPr="00BB32AF">
              <w:rPr>
                <w:rFonts w:ascii="Calibri" w:hAnsi="Calibri" w:eastAsia="Times New Roman" w:cs="Calibri"/>
                <w:sz w:val="20"/>
                <w:szCs w:val="20"/>
              </w:rPr>
              <w:t>Industry and CPUC staff</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6CA283EA" w14:textId="77777777">
            <w:pPr>
              <w:spacing w:line="240" w:lineRule="auto"/>
              <w:ind w:firstLine="0"/>
              <w:jc w:val="center"/>
              <w:rPr>
                <w:rFonts w:ascii="Calibri" w:hAnsi="Calibri" w:eastAsia="Times New Roman" w:cs="Calibri"/>
                <w:sz w:val="20"/>
                <w:szCs w:val="20"/>
              </w:rPr>
            </w:pPr>
            <w:r w:rsidRPr="00BB32AF">
              <w:rPr>
                <w:rFonts w:ascii="Calibri" w:hAnsi="Calibri" w:eastAsia="Times New Roman" w:cs="Calibri"/>
                <w:sz w:val="20"/>
                <w:szCs w:val="20"/>
              </w:rPr>
              <w:t> </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31ABAB95" w14:textId="77777777">
            <w:pPr>
              <w:spacing w:line="240" w:lineRule="auto"/>
              <w:ind w:firstLine="0"/>
              <w:jc w:val="center"/>
              <w:rPr>
                <w:rFonts w:ascii="Calibri" w:hAnsi="Calibri" w:eastAsia="Times New Roman" w:cs="Calibri"/>
                <w:color w:val="000000"/>
                <w:sz w:val="20"/>
                <w:szCs w:val="20"/>
              </w:rPr>
            </w:pPr>
            <w:r w:rsidRPr="00BB32AF">
              <w:rPr>
                <w:rFonts w:ascii="Calibri" w:hAnsi="Calibri" w:eastAsia="Times New Roman" w:cs="Calibri"/>
                <w:color w:val="000000"/>
                <w:sz w:val="20"/>
                <w:szCs w:val="20"/>
              </w:rPr>
              <w:t> </w:t>
            </w:r>
          </w:p>
        </w:tc>
      </w:tr>
      <w:tr w:rsidRPr="00BB32AF" w:rsidR="00153201" w:rsidTr="002439CA" w14:paraId="08499A6A" w14:textId="77777777">
        <w:trPr>
          <w:trHeight w:val="825"/>
        </w:trPr>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B32AF" w:rsidR="00153201" w:rsidP="002439CA" w:rsidRDefault="00153201" w14:paraId="01761A5B" w14:textId="77777777">
            <w:pPr>
              <w:spacing w:line="240" w:lineRule="auto"/>
              <w:ind w:firstLine="0"/>
              <w:jc w:val="center"/>
              <w:rPr>
                <w:rFonts w:ascii="Calibri" w:hAnsi="Calibri" w:eastAsia="Times New Roman" w:cs="Calibri"/>
                <w:color w:val="000000"/>
                <w:sz w:val="20"/>
                <w:szCs w:val="20"/>
              </w:rPr>
            </w:pPr>
            <w:r w:rsidRPr="00BB32AF">
              <w:rPr>
                <w:rFonts w:ascii="Calibri" w:hAnsi="Calibri" w:eastAsia="Times New Roman" w:cs="Calibri"/>
                <w:color w:val="000000"/>
                <w:sz w:val="20"/>
                <w:szCs w:val="20"/>
              </w:rPr>
              <w:t>4</w:t>
            </w:r>
          </w:p>
        </w:tc>
        <w:tc>
          <w:tcPr>
            <w:tcW w:w="38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2ADDCDC8" w14:textId="77777777">
            <w:pPr>
              <w:spacing w:line="240" w:lineRule="auto"/>
              <w:ind w:firstLine="0"/>
              <w:rPr>
                <w:rFonts w:ascii="Calibri" w:hAnsi="Calibri" w:eastAsia="Times New Roman" w:cs="Calibri"/>
                <w:sz w:val="20"/>
                <w:szCs w:val="20"/>
              </w:rPr>
            </w:pPr>
            <w:r w:rsidRPr="00BB32AF">
              <w:rPr>
                <w:rFonts w:ascii="Calibri" w:hAnsi="Calibri" w:eastAsia="Times New Roman" w:cs="Calibri"/>
                <w:sz w:val="20"/>
                <w:szCs w:val="20"/>
              </w:rPr>
              <w:t>Implementation Start Date (ISD) - Start Implementation</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1A2C3864" w14:textId="77777777">
            <w:pPr>
              <w:spacing w:line="240" w:lineRule="auto"/>
              <w:ind w:firstLine="0"/>
              <w:jc w:val="center"/>
              <w:rPr>
                <w:rFonts w:ascii="Calibri" w:hAnsi="Calibri" w:eastAsia="Times New Roman" w:cs="Calibri"/>
                <w:sz w:val="20"/>
                <w:szCs w:val="20"/>
              </w:rPr>
            </w:pPr>
            <w:r w:rsidRPr="00BB32AF">
              <w:rPr>
                <w:rFonts w:ascii="Calibri" w:hAnsi="Calibri" w:eastAsia="Times New Roman" w:cs="Calibri"/>
                <w:sz w:val="20"/>
                <w:szCs w:val="20"/>
              </w:rPr>
              <w:t>industry</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2D7C254A" w14:textId="77777777">
            <w:pPr>
              <w:spacing w:line="240" w:lineRule="auto"/>
              <w:ind w:firstLine="0"/>
              <w:jc w:val="center"/>
              <w:rPr>
                <w:rFonts w:ascii="Calibri" w:hAnsi="Calibri" w:eastAsia="Times New Roman" w:cs="Calibri"/>
                <w:sz w:val="20"/>
                <w:szCs w:val="20"/>
              </w:rPr>
            </w:pPr>
            <w:r w:rsidRPr="00BB32AF">
              <w:rPr>
                <w:rFonts w:ascii="Calibri" w:hAnsi="Calibri" w:eastAsia="Times New Roman" w:cs="Calibri"/>
                <w:sz w:val="20"/>
                <w:szCs w:val="20"/>
              </w:rPr>
              <w:t>industry</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0EAF589F" w14:textId="77777777">
            <w:pPr>
              <w:spacing w:line="240" w:lineRule="auto"/>
              <w:ind w:firstLine="0"/>
              <w:jc w:val="center"/>
              <w:rPr>
                <w:rFonts w:ascii="Calibri" w:hAnsi="Calibri" w:eastAsia="Times New Roman" w:cs="Calibri"/>
                <w:sz w:val="20"/>
                <w:szCs w:val="20"/>
              </w:rPr>
            </w:pPr>
            <w:r w:rsidRPr="00BB32AF">
              <w:rPr>
                <w:rFonts w:ascii="Calibri" w:hAnsi="Calibri" w:eastAsia="Times New Roman" w:cs="Calibri"/>
                <w:sz w:val="20"/>
                <w:szCs w:val="20"/>
              </w:rPr>
              <w:t> </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77E78797" w14:textId="77777777">
            <w:pPr>
              <w:spacing w:line="240" w:lineRule="auto"/>
              <w:ind w:firstLine="0"/>
              <w:jc w:val="center"/>
              <w:rPr>
                <w:rFonts w:ascii="Calibri" w:hAnsi="Calibri" w:eastAsia="Times New Roman" w:cs="Calibri"/>
                <w:color w:val="000000"/>
                <w:sz w:val="20"/>
                <w:szCs w:val="20"/>
              </w:rPr>
            </w:pPr>
            <w:r w:rsidRPr="00BB32AF">
              <w:rPr>
                <w:rFonts w:ascii="Calibri" w:hAnsi="Calibri" w:eastAsia="Times New Roman" w:cs="Calibri"/>
                <w:color w:val="000000"/>
                <w:sz w:val="20"/>
                <w:szCs w:val="20"/>
              </w:rPr>
              <w:t> </w:t>
            </w:r>
          </w:p>
        </w:tc>
      </w:tr>
      <w:tr w:rsidRPr="00BB32AF" w:rsidR="00153201" w:rsidTr="002439CA" w14:paraId="283844B7" w14:textId="77777777">
        <w:trPr>
          <w:trHeight w:val="1275"/>
        </w:trPr>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B32AF" w:rsidR="00153201" w:rsidP="002439CA" w:rsidRDefault="00153201" w14:paraId="0AB59B9E" w14:textId="77777777">
            <w:pPr>
              <w:spacing w:line="240" w:lineRule="auto"/>
              <w:ind w:firstLine="0"/>
              <w:jc w:val="center"/>
              <w:rPr>
                <w:rFonts w:ascii="Calibri" w:hAnsi="Calibri" w:eastAsia="Times New Roman" w:cs="Calibri"/>
                <w:color w:val="000000"/>
                <w:sz w:val="20"/>
                <w:szCs w:val="20"/>
              </w:rPr>
            </w:pPr>
            <w:r w:rsidRPr="00BB32AF">
              <w:rPr>
                <w:rFonts w:ascii="Calibri" w:hAnsi="Calibri" w:eastAsia="Times New Roman" w:cs="Calibri"/>
                <w:color w:val="000000"/>
                <w:sz w:val="20"/>
                <w:szCs w:val="20"/>
              </w:rPr>
              <w:t>5</w:t>
            </w:r>
          </w:p>
        </w:tc>
        <w:tc>
          <w:tcPr>
            <w:tcW w:w="38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741FBE55" w14:textId="77777777">
            <w:pPr>
              <w:spacing w:line="240" w:lineRule="auto"/>
              <w:ind w:firstLine="0"/>
              <w:rPr>
                <w:rFonts w:ascii="Calibri" w:hAnsi="Calibri" w:eastAsia="Times New Roman" w:cs="Calibri"/>
                <w:sz w:val="20"/>
                <w:szCs w:val="20"/>
              </w:rPr>
            </w:pPr>
            <w:r w:rsidRPr="00BB32AF">
              <w:rPr>
                <w:rFonts w:ascii="Calibri" w:hAnsi="Calibri" w:eastAsia="Times New Roman" w:cs="Calibri"/>
                <w:sz w:val="20"/>
                <w:szCs w:val="20"/>
              </w:rPr>
              <w:t>Task Force Finance Subcommittee to send emails to service providers requesting invoicing information and confirmation of 559 numbering resources in inventory as of DOD.</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00D5BD17" w14:textId="77777777">
            <w:pPr>
              <w:spacing w:line="240" w:lineRule="auto"/>
              <w:ind w:firstLine="0"/>
              <w:jc w:val="center"/>
              <w:rPr>
                <w:rFonts w:ascii="Calibri" w:hAnsi="Calibri" w:eastAsia="Times New Roman" w:cs="Calibri"/>
                <w:sz w:val="20"/>
                <w:szCs w:val="20"/>
              </w:rPr>
            </w:pPr>
            <w:r w:rsidRPr="00BB32AF">
              <w:rPr>
                <w:rFonts w:ascii="Calibri" w:hAnsi="Calibri" w:eastAsia="Times New Roman" w:cs="Calibri"/>
                <w:sz w:val="20"/>
                <w:szCs w:val="20"/>
              </w:rPr>
              <w:t> </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22C3D8B9" w14:textId="77777777">
            <w:pPr>
              <w:spacing w:line="240" w:lineRule="auto"/>
              <w:ind w:firstLine="0"/>
              <w:jc w:val="center"/>
              <w:rPr>
                <w:rFonts w:ascii="Calibri" w:hAnsi="Calibri" w:eastAsia="Times New Roman" w:cs="Calibri"/>
                <w:sz w:val="20"/>
                <w:szCs w:val="20"/>
              </w:rPr>
            </w:pPr>
            <w:r w:rsidRPr="00BB32AF">
              <w:rPr>
                <w:rFonts w:ascii="Calibri" w:hAnsi="Calibri" w:eastAsia="Times New Roman" w:cs="Calibri"/>
                <w:sz w:val="20"/>
                <w:szCs w:val="20"/>
              </w:rPr>
              <w:t> </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4E5E01FB" w14:textId="77777777">
            <w:pPr>
              <w:spacing w:line="240" w:lineRule="auto"/>
              <w:ind w:firstLine="0"/>
              <w:jc w:val="center"/>
              <w:rPr>
                <w:rFonts w:ascii="Calibri" w:hAnsi="Calibri" w:eastAsia="Times New Roman" w:cs="Calibri"/>
                <w:sz w:val="20"/>
                <w:szCs w:val="20"/>
              </w:rPr>
            </w:pPr>
            <w:r w:rsidRPr="00BB32AF">
              <w:rPr>
                <w:rFonts w:ascii="Calibri" w:hAnsi="Calibri" w:eastAsia="Times New Roman" w:cs="Calibri"/>
                <w:sz w:val="20"/>
                <w:szCs w:val="20"/>
              </w:rPr>
              <w:t> </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077ED82F" w14:textId="77777777">
            <w:pPr>
              <w:spacing w:line="240" w:lineRule="auto"/>
              <w:ind w:firstLine="0"/>
              <w:jc w:val="center"/>
              <w:rPr>
                <w:rFonts w:ascii="Calibri" w:hAnsi="Calibri" w:eastAsia="Times New Roman" w:cs="Calibri"/>
                <w:color w:val="000000"/>
                <w:sz w:val="20"/>
                <w:szCs w:val="20"/>
              </w:rPr>
            </w:pPr>
            <w:r w:rsidRPr="00BB32AF">
              <w:rPr>
                <w:rFonts w:ascii="Calibri" w:hAnsi="Calibri" w:eastAsia="Times New Roman" w:cs="Calibri"/>
                <w:color w:val="000000"/>
                <w:sz w:val="20"/>
                <w:szCs w:val="20"/>
              </w:rPr>
              <w:t> </w:t>
            </w:r>
          </w:p>
        </w:tc>
      </w:tr>
      <w:tr w:rsidRPr="00BB32AF" w:rsidR="00153201" w:rsidTr="002439CA" w14:paraId="4574D470" w14:textId="77777777">
        <w:trPr>
          <w:trHeight w:val="765"/>
        </w:trPr>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B32AF" w:rsidR="00153201" w:rsidP="002439CA" w:rsidRDefault="00153201" w14:paraId="11B0D874" w14:textId="77777777">
            <w:pPr>
              <w:spacing w:line="240" w:lineRule="auto"/>
              <w:ind w:firstLine="0"/>
              <w:jc w:val="center"/>
              <w:rPr>
                <w:rFonts w:ascii="Calibri" w:hAnsi="Calibri" w:eastAsia="Times New Roman" w:cs="Calibri"/>
                <w:color w:val="000000"/>
                <w:sz w:val="20"/>
                <w:szCs w:val="20"/>
              </w:rPr>
            </w:pPr>
            <w:r w:rsidRPr="00BB32AF">
              <w:rPr>
                <w:rFonts w:ascii="Calibri" w:hAnsi="Calibri" w:eastAsia="Times New Roman" w:cs="Calibri"/>
                <w:color w:val="000000"/>
                <w:sz w:val="20"/>
                <w:szCs w:val="20"/>
              </w:rPr>
              <w:t>6</w:t>
            </w:r>
          </w:p>
        </w:tc>
        <w:tc>
          <w:tcPr>
            <w:tcW w:w="38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486CA7EA" w14:textId="77777777">
            <w:pPr>
              <w:spacing w:line="240" w:lineRule="auto"/>
              <w:ind w:firstLine="0"/>
              <w:rPr>
                <w:rFonts w:ascii="Calibri" w:hAnsi="Calibri" w:eastAsia="Times New Roman" w:cs="Calibri"/>
                <w:sz w:val="20"/>
                <w:szCs w:val="20"/>
              </w:rPr>
            </w:pPr>
            <w:r w:rsidRPr="00BB32AF">
              <w:rPr>
                <w:rFonts w:ascii="Calibri" w:hAnsi="Calibri" w:eastAsia="Times New Roman" w:cs="Calibri"/>
                <w:sz w:val="20"/>
                <w:szCs w:val="20"/>
              </w:rPr>
              <w:t xml:space="preserve">Respond to Task Force Finance Subcommittee with billing information and confirmation of </w:t>
            </w:r>
            <w:r>
              <w:rPr>
                <w:rFonts w:ascii="Calibri" w:hAnsi="Calibri" w:eastAsia="Times New Roman" w:cs="Calibri"/>
                <w:sz w:val="20"/>
                <w:szCs w:val="20"/>
              </w:rPr>
              <w:t>559</w:t>
            </w:r>
            <w:r w:rsidRPr="00BB32AF">
              <w:rPr>
                <w:rFonts w:ascii="Calibri" w:hAnsi="Calibri" w:eastAsia="Times New Roman" w:cs="Calibri"/>
                <w:sz w:val="20"/>
                <w:szCs w:val="20"/>
              </w:rPr>
              <w:t xml:space="preserve"> numbering resources</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0B72AAAE" w14:textId="77777777">
            <w:pPr>
              <w:spacing w:line="240" w:lineRule="auto"/>
              <w:ind w:firstLine="0"/>
              <w:jc w:val="center"/>
              <w:rPr>
                <w:rFonts w:ascii="Calibri" w:hAnsi="Calibri" w:eastAsia="Times New Roman" w:cs="Calibri"/>
                <w:sz w:val="20"/>
                <w:szCs w:val="20"/>
              </w:rPr>
            </w:pPr>
            <w:r w:rsidRPr="00BB32AF">
              <w:rPr>
                <w:rFonts w:ascii="Calibri" w:hAnsi="Calibri" w:eastAsia="Times New Roman" w:cs="Calibri"/>
                <w:sz w:val="20"/>
                <w:szCs w:val="20"/>
              </w:rPr>
              <w:t> </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490A938D" w14:textId="77777777">
            <w:pPr>
              <w:spacing w:line="240" w:lineRule="auto"/>
              <w:ind w:firstLine="0"/>
              <w:jc w:val="center"/>
              <w:rPr>
                <w:rFonts w:ascii="Calibri" w:hAnsi="Calibri" w:eastAsia="Times New Roman" w:cs="Calibri"/>
                <w:sz w:val="20"/>
                <w:szCs w:val="20"/>
              </w:rPr>
            </w:pPr>
            <w:r w:rsidRPr="00BB32AF">
              <w:rPr>
                <w:rFonts w:ascii="Calibri" w:hAnsi="Calibri" w:eastAsia="Times New Roman" w:cs="Calibri"/>
                <w:sz w:val="20"/>
                <w:szCs w:val="20"/>
              </w:rPr>
              <w:t> </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35CB66DC" w14:textId="77777777">
            <w:pPr>
              <w:spacing w:line="240" w:lineRule="auto"/>
              <w:ind w:firstLine="0"/>
              <w:jc w:val="center"/>
              <w:rPr>
                <w:rFonts w:ascii="Calibri" w:hAnsi="Calibri" w:eastAsia="Times New Roman" w:cs="Calibri"/>
                <w:sz w:val="20"/>
                <w:szCs w:val="20"/>
              </w:rPr>
            </w:pPr>
            <w:r w:rsidRPr="00BB32AF">
              <w:rPr>
                <w:rFonts w:ascii="Calibri" w:hAnsi="Calibri" w:eastAsia="Times New Roman" w:cs="Calibri"/>
                <w:sz w:val="20"/>
                <w:szCs w:val="20"/>
              </w:rPr>
              <w:t> </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5735C935" w14:textId="77777777">
            <w:pPr>
              <w:spacing w:line="240" w:lineRule="auto"/>
              <w:ind w:firstLine="0"/>
              <w:jc w:val="center"/>
              <w:rPr>
                <w:rFonts w:ascii="Calibri" w:hAnsi="Calibri" w:eastAsia="Times New Roman" w:cs="Calibri"/>
                <w:color w:val="000000"/>
                <w:sz w:val="20"/>
                <w:szCs w:val="20"/>
              </w:rPr>
            </w:pPr>
            <w:r w:rsidRPr="00BB32AF">
              <w:rPr>
                <w:rFonts w:ascii="Calibri" w:hAnsi="Calibri" w:eastAsia="Times New Roman" w:cs="Calibri"/>
                <w:color w:val="000000"/>
                <w:sz w:val="20"/>
                <w:szCs w:val="20"/>
              </w:rPr>
              <w:t> </w:t>
            </w:r>
          </w:p>
        </w:tc>
      </w:tr>
      <w:tr w:rsidRPr="00BB32AF" w:rsidR="00153201" w:rsidTr="002439CA" w14:paraId="7E49D4E9" w14:textId="77777777">
        <w:trPr>
          <w:trHeight w:val="765"/>
        </w:trPr>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B32AF" w:rsidR="00153201" w:rsidP="002439CA" w:rsidRDefault="00153201" w14:paraId="2E06B2E4" w14:textId="77777777">
            <w:pPr>
              <w:spacing w:line="240" w:lineRule="auto"/>
              <w:ind w:firstLine="0"/>
              <w:jc w:val="center"/>
              <w:rPr>
                <w:rFonts w:ascii="Calibri" w:hAnsi="Calibri" w:eastAsia="Times New Roman" w:cs="Calibri"/>
                <w:color w:val="000000"/>
                <w:sz w:val="20"/>
                <w:szCs w:val="20"/>
              </w:rPr>
            </w:pPr>
            <w:r w:rsidRPr="00BB32AF">
              <w:rPr>
                <w:rFonts w:ascii="Calibri" w:hAnsi="Calibri" w:eastAsia="Times New Roman" w:cs="Calibri"/>
                <w:color w:val="000000"/>
                <w:sz w:val="20"/>
                <w:szCs w:val="20"/>
              </w:rPr>
              <w:t>7</w:t>
            </w:r>
          </w:p>
        </w:tc>
        <w:tc>
          <w:tcPr>
            <w:tcW w:w="38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5209A560" w14:textId="77777777">
            <w:pPr>
              <w:spacing w:line="240" w:lineRule="auto"/>
              <w:ind w:firstLine="0"/>
              <w:rPr>
                <w:rFonts w:ascii="Calibri" w:hAnsi="Calibri" w:eastAsia="Times New Roman" w:cs="Calibri"/>
                <w:sz w:val="20"/>
                <w:szCs w:val="20"/>
              </w:rPr>
            </w:pPr>
            <w:r w:rsidRPr="00BB32AF">
              <w:rPr>
                <w:rFonts w:ascii="Calibri" w:hAnsi="Calibri" w:eastAsia="Times New Roman" w:cs="Calibri"/>
                <w:sz w:val="20"/>
                <w:szCs w:val="20"/>
              </w:rPr>
              <w:t>Task Force Finance Subcommittee issue invoices for PEP fund payments to service providers holding blocks in 559 as of DOD.</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571A37D4" w14:textId="77777777">
            <w:pPr>
              <w:spacing w:line="240" w:lineRule="auto"/>
              <w:ind w:firstLine="0"/>
              <w:jc w:val="center"/>
              <w:rPr>
                <w:rFonts w:ascii="Calibri" w:hAnsi="Calibri" w:eastAsia="Times New Roman" w:cs="Calibri"/>
                <w:sz w:val="20"/>
                <w:szCs w:val="20"/>
              </w:rPr>
            </w:pPr>
            <w:r w:rsidRPr="00BB32AF">
              <w:rPr>
                <w:rFonts w:ascii="Calibri" w:hAnsi="Calibri" w:eastAsia="Times New Roman" w:cs="Calibri"/>
                <w:sz w:val="20"/>
                <w:szCs w:val="20"/>
              </w:rPr>
              <w:t> </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23DCA5B2" w14:textId="77777777">
            <w:pPr>
              <w:spacing w:line="240" w:lineRule="auto"/>
              <w:ind w:firstLine="0"/>
              <w:jc w:val="center"/>
              <w:rPr>
                <w:rFonts w:ascii="Calibri" w:hAnsi="Calibri" w:eastAsia="Times New Roman" w:cs="Calibri"/>
                <w:sz w:val="20"/>
                <w:szCs w:val="20"/>
              </w:rPr>
            </w:pPr>
            <w:r w:rsidRPr="00BB32AF">
              <w:rPr>
                <w:rFonts w:ascii="Calibri" w:hAnsi="Calibri" w:eastAsia="Times New Roman" w:cs="Calibri"/>
                <w:sz w:val="20"/>
                <w:szCs w:val="20"/>
              </w:rPr>
              <w:t> </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62CD63CC" w14:textId="77777777">
            <w:pPr>
              <w:spacing w:line="240" w:lineRule="auto"/>
              <w:ind w:firstLine="0"/>
              <w:jc w:val="center"/>
              <w:rPr>
                <w:rFonts w:ascii="Calibri" w:hAnsi="Calibri" w:eastAsia="Times New Roman" w:cs="Calibri"/>
                <w:sz w:val="20"/>
                <w:szCs w:val="20"/>
              </w:rPr>
            </w:pPr>
            <w:r w:rsidRPr="00BB32AF">
              <w:rPr>
                <w:rFonts w:ascii="Calibri" w:hAnsi="Calibri" w:eastAsia="Times New Roman" w:cs="Calibri"/>
                <w:sz w:val="20"/>
                <w:szCs w:val="20"/>
              </w:rPr>
              <w:t> </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7C7A638B" w14:textId="77777777">
            <w:pPr>
              <w:spacing w:line="240" w:lineRule="auto"/>
              <w:ind w:firstLine="0"/>
              <w:jc w:val="center"/>
              <w:rPr>
                <w:rFonts w:ascii="Calibri" w:hAnsi="Calibri" w:eastAsia="Times New Roman" w:cs="Calibri"/>
                <w:color w:val="000000"/>
                <w:sz w:val="20"/>
                <w:szCs w:val="20"/>
              </w:rPr>
            </w:pPr>
            <w:r w:rsidRPr="00BB32AF">
              <w:rPr>
                <w:rFonts w:ascii="Calibri" w:hAnsi="Calibri" w:eastAsia="Times New Roman" w:cs="Calibri"/>
                <w:color w:val="000000"/>
                <w:sz w:val="20"/>
                <w:szCs w:val="20"/>
              </w:rPr>
              <w:t> </w:t>
            </w:r>
          </w:p>
        </w:tc>
      </w:tr>
      <w:tr w:rsidRPr="00BB32AF" w:rsidR="00153201" w:rsidTr="002439CA" w14:paraId="595F206B" w14:textId="77777777">
        <w:trPr>
          <w:trHeight w:val="2310"/>
        </w:trPr>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B32AF" w:rsidR="00153201" w:rsidP="002439CA" w:rsidRDefault="00153201" w14:paraId="7179F3F0" w14:textId="77777777">
            <w:pPr>
              <w:spacing w:line="240" w:lineRule="auto"/>
              <w:ind w:firstLine="0"/>
              <w:jc w:val="center"/>
              <w:rPr>
                <w:rFonts w:ascii="Calibri" w:hAnsi="Calibri" w:eastAsia="Times New Roman" w:cs="Calibri"/>
                <w:color w:val="000000"/>
                <w:sz w:val="20"/>
                <w:szCs w:val="20"/>
              </w:rPr>
            </w:pPr>
            <w:r w:rsidRPr="00BB32AF">
              <w:rPr>
                <w:rFonts w:ascii="Calibri" w:hAnsi="Calibri" w:eastAsia="Times New Roman" w:cs="Calibri"/>
                <w:color w:val="000000"/>
                <w:sz w:val="20"/>
                <w:szCs w:val="20"/>
              </w:rPr>
              <w:lastRenderedPageBreak/>
              <w:t>8</w:t>
            </w:r>
          </w:p>
        </w:tc>
        <w:tc>
          <w:tcPr>
            <w:tcW w:w="38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6E9043C8" w14:textId="77777777">
            <w:pPr>
              <w:spacing w:line="240" w:lineRule="auto"/>
              <w:ind w:firstLine="0"/>
              <w:rPr>
                <w:rFonts w:ascii="Calibri" w:hAnsi="Calibri" w:eastAsia="Times New Roman" w:cs="Calibri"/>
                <w:sz w:val="20"/>
                <w:szCs w:val="20"/>
              </w:rPr>
            </w:pPr>
            <w:r w:rsidRPr="00BB32AF">
              <w:rPr>
                <w:rFonts w:ascii="Calibri" w:hAnsi="Calibri" w:eastAsia="Times New Roman" w:cs="Calibri"/>
                <w:sz w:val="20"/>
                <w:szCs w:val="20"/>
              </w:rPr>
              <w:t xml:space="preserve">First news release announcing the </w:t>
            </w:r>
            <w:proofErr w:type="gramStart"/>
            <w:r w:rsidRPr="00BB32AF">
              <w:rPr>
                <w:rFonts w:ascii="Calibri" w:hAnsi="Calibri" w:eastAsia="Times New Roman" w:cs="Calibri"/>
                <w:sz w:val="20"/>
                <w:szCs w:val="20"/>
              </w:rPr>
              <w:t>559 area</w:t>
            </w:r>
            <w:proofErr w:type="gramEnd"/>
            <w:r w:rsidRPr="00BB32AF">
              <w:rPr>
                <w:rFonts w:ascii="Calibri" w:hAnsi="Calibri" w:eastAsia="Times New Roman" w:cs="Calibri"/>
                <w:sz w:val="20"/>
                <w:szCs w:val="20"/>
              </w:rPr>
              <w:t xml:space="preserve"> code relief plan, the 559 area code geographic boundaries, and the new overlay area code for issue within the 559 area code and adjacent area codes, to media and key entities, including chambers of commerce and local governments.  Post news release to CPUC website and social media platforms.</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2F854AC4" w14:textId="77777777">
            <w:pPr>
              <w:spacing w:line="240" w:lineRule="auto"/>
              <w:ind w:firstLine="0"/>
              <w:jc w:val="center"/>
              <w:rPr>
                <w:rFonts w:ascii="Calibri" w:hAnsi="Calibri" w:eastAsia="Times New Roman" w:cs="Calibri"/>
                <w:sz w:val="20"/>
                <w:szCs w:val="20"/>
              </w:rPr>
            </w:pPr>
            <w:r w:rsidRPr="00BB32AF">
              <w:rPr>
                <w:rFonts w:ascii="Calibri" w:hAnsi="Calibri" w:eastAsia="Times New Roman" w:cs="Calibri"/>
                <w:sz w:val="20"/>
                <w:szCs w:val="20"/>
              </w:rPr>
              <w:t>All affected customers</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27920577" w14:textId="77777777">
            <w:pPr>
              <w:spacing w:line="240" w:lineRule="auto"/>
              <w:ind w:firstLine="0"/>
              <w:jc w:val="center"/>
              <w:rPr>
                <w:rFonts w:ascii="Calibri" w:hAnsi="Calibri" w:eastAsia="Times New Roman" w:cs="Calibri"/>
                <w:sz w:val="20"/>
                <w:szCs w:val="20"/>
              </w:rPr>
            </w:pPr>
            <w:r w:rsidRPr="00BB32AF">
              <w:rPr>
                <w:rFonts w:ascii="Calibri" w:hAnsi="Calibri" w:eastAsia="Times New Roman" w:cs="Calibri"/>
                <w:sz w:val="20"/>
                <w:szCs w:val="20"/>
              </w:rPr>
              <w:t>Industry and CPUC staff</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27E86BEA" w14:textId="77777777">
            <w:pPr>
              <w:spacing w:line="240" w:lineRule="auto"/>
              <w:ind w:firstLine="0"/>
              <w:jc w:val="center"/>
              <w:rPr>
                <w:rFonts w:ascii="Calibri" w:hAnsi="Calibri" w:eastAsia="Times New Roman" w:cs="Calibri"/>
                <w:sz w:val="20"/>
                <w:szCs w:val="20"/>
              </w:rPr>
            </w:pPr>
            <w:r w:rsidRPr="00BB32AF">
              <w:rPr>
                <w:rFonts w:ascii="Calibri" w:hAnsi="Calibri" w:eastAsia="Times New Roman" w:cs="Calibri"/>
                <w:sz w:val="20"/>
                <w:szCs w:val="20"/>
              </w:rPr>
              <w:t>2 months after ISD</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1A80C701" w14:textId="77777777">
            <w:pPr>
              <w:spacing w:line="240" w:lineRule="auto"/>
              <w:ind w:firstLine="0"/>
              <w:jc w:val="center"/>
              <w:rPr>
                <w:rFonts w:ascii="Calibri" w:hAnsi="Calibri" w:eastAsia="Times New Roman" w:cs="Calibri"/>
                <w:sz w:val="20"/>
                <w:szCs w:val="20"/>
              </w:rPr>
            </w:pPr>
            <w:r w:rsidRPr="00BB32AF">
              <w:rPr>
                <w:rFonts w:ascii="Calibri" w:hAnsi="Calibri" w:eastAsia="Times New Roman" w:cs="Calibri"/>
                <w:sz w:val="20"/>
                <w:szCs w:val="20"/>
              </w:rPr>
              <w:t> </w:t>
            </w:r>
          </w:p>
        </w:tc>
      </w:tr>
      <w:tr w:rsidRPr="00BB32AF" w:rsidR="00153201" w:rsidTr="002439CA" w14:paraId="18FFB1BB" w14:textId="77777777">
        <w:trPr>
          <w:trHeight w:val="1800"/>
        </w:trPr>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B32AF" w:rsidR="00153201" w:rsidP="002439CA" w:rsidRDefault="00153201" w14:paraId="316B8569" w14:textId="77777777">
            <w:pPr>
              <w:spacing w:line="240" w:lineRule="auto"/>
              <w:ind w:firstLine="0"/>
              <w:jc w:val="center"/>
              <w:rPr>
                <w:rFonts w:ascii="Calibri" w:hAnsi="Calibri" w:eastAsia="Times New Roman" w:cs="Calibri"/>
                <w:color w:val="000000"/>
                <w:sz w:val="20"/>
                <w:szCs w:val="20"/>
              </w:rPr>
            </w:pPr>
            <w:r w:rsidRPr="00BB32AF">
              <w:rPr>
                <w:rFonts w:ascii="Calibri" w:hAnsi="Calibri" w:eastAsia="Times New Roman" w:cs="Calibri"/>
                <w:color w:val="000000"/>
                <w:sz w:val="20"/>
                <w:szCs w:val="20"/>
              </w:rPr>
              <w:t>9</w:t>
            </w:r>
          </w:p>
        </w:tc>
        <w:tc>
          <w:tcPr>
            <w:tcW w:w="38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04E9CD23" w14:textId="77777777">
            <w:pPr>
              <w:spacing w:line="240" w:lineRule="auto"/>
              <w:ind w:firstLine="0"/>
              <w:rPr>
                <w:rFonts w:ascii="Calibri" w:hAnsi="Calibri" w:eastAsia="Times New Roman" w:cs="Calibri"/>
                <w:color w:val="000000"/>
                <w:sz w:val="20"/>
                <w:szCs w:val="20"/>
              </w:rPr>
            </w:pPr>
            <w:r w:rsidRPr="00BB32AF">
              <w:rPr>
                <w:rFonts w:ascii="Calibri" w:hAnsi="Calibri" w:eastAsia="Times New Roman" w:cs="Calibri"/>
                <w:color w:val="000000"/>
                <w:sz w:val="20"/>
                <w:szCs w:val="20"/>
              </w:rPr>
              <w:t xml:space="preserve">Provide to CPUC Communications Division email or written confirmation from the California Telecommunications Industry identifying media coverage (including major local broadcast television stations) of the </w:t>
            </w:r>
            <w:proofErr w:type="gramStart"/>
            <w:r w:rsidRPr="00BB32AF">
              <w:rPr>
                <w:rFonts w:ascii="Calibri" w:hAnsi="Calibri" w:eastAsia="Times New Roman" w:cs="Calibri"/>
                <w:color w:val="000000"/>
                <w:sz w:val="20"/>
                <w:szCs w:val="20"/>
              </w:rPr>
              <w:t>559  area</w:t>
            </w:r>
            <w:proofErr w:type="gramEnd"/>
            <w:r w:rsidRPr="00BB32AF">
              <w:rPr>
                <w:rFonts w:ascii="Calibri" w:hAnsi="Calibri" w:eastAsia="Times New Roman" w:cs="Calibri"/>
                <w:color w:val="000000"/>
                <w:sz w:val="20"/>
                <w:szCs w:val="20"/>
              </w:rPr>
              <w:t xml:space="preserve"> code overlay.</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186F6FD7" w14:textId="77777777">
            <w:pPr>
              <w:spacing w:line="240" w:lineRule="auto"/>
              <w:ind w:firstLine="0"/>
              <w:jc w:val="center"/>
              <w:rPr>
                <w:rFonts w:ascii="Calibri" w:hAnsi="Calibri" w:eastAsia="Times New Roman" w:cs="Calibri"/>
                <w:sz w:val="20"/>
                <w:szCs w:val="20"/>
              </w:rPr>
            </w:pPr>
            <w:r w:rsidRPr="00BB32AF">
              <w:rPr>
                <w:rFonts w:ascii="Calibri" w:hAnsi="Calibri" w:eastAsia="Times New Roman" w:cs="Calibri"/>
                <w:sz w:val="20"/>
                <w:szCs w:val="20"/>
              </w:rPr>
              <w:t>CPUC staff</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06224075" w14:textId="77777777">
            <w:pPr>
              <w:spacing w:line="240" w:lineRule="auto"/>
              <w:ind w:firstLine="0"/>
              <w:jc w:val="center"/>
              <w:rPr>
                <w:rFonts w:ascii="Calibri" w:hAnsi="Calibri" w:eastAsia="Times New Roman" w:cs="Calibri"/>
                <w:sz w:val="20"/>
                <w:szCs w:val="20"/>
              </w:rPr>
            </w:pPr>
            <w:r w:rsidRPr="00BB32AF">
              <w:rPr>
                <w:rFonts w:ascii="Calibri" w:hAnsi="Calibri" w:eastAsia="Times New Roman" w:cs="Calibri"/>
                <w:sz w:val="20"/>
                <w:szCs w:val="20"/>
              </w:rPr>
              <w:t>Industry</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BB32AF" w:rsidR="00153201" w:rsidP="002439CA" w:rsidRDefault="00153201" w14:paraId="6B0F8891" w14:textId="77777777">
            <w:pPr>
              <w:spacing w:line="240" w:lineRule="auto"/>
              <w:ind w:firstLine="0"/>
              <w:jc w:val="center"/>
              <w:rPr>
                <w:rFonts w:ascii="Calibri" w:hAnsi="Calibri" w:eastAsia="Times New Roman" w:cs="Calibri"/>
                <w:color w:val="000000"/>
                <w:sz w:val="22"/>
              </w:rPr>
            </w:pPr>
            <w:r w:rsidRPr="00BB32AF">
              <w:rPr>
                <w:rFonts w:ascii="Calibri" w:hAnsi="Calibri" w:eastAsia="Times New Roman" w:cs="Calibri"/>
                <w:color w:val="000000"/>
                <w:sz w:val="22"/>
              </w:rPr>
              <w:t>3 months after ISD</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rsidRPr="00BB32AF" w:rsidR="00153201" w:rsidP="002439CA" w:rsidRDefault="00153201" w14:paraId="4DF70821" w14:textId="77777777">
            <w:pPr>
              <w:spacing w:line="240" w:lineRule="auto"/>
              <w:ind w:firstLine="0"/>
              <w:jc w:val="center"/>
              <w:rPr>
                <w:rFonts w:ascii="Calibri" w:hAnsi="Calibri" w:eastAsia="Times New Roman" w:cs="Calibri"/>
                <w:b/>
                <w:bCs/>
                <w:color w:val="000000"/>
                <w:sz w:val="22"/>
              </w:rPr>
            </w:pPr>
          </w:p>
        </w:tc>
      </w:tr>
      <w:tr w:rsidRPr="00BB32AF" w:rsidR="00153201" w:rsidTr="002439CA" w14:paraId="77B72FC3" w14:textId="77777777">
        <w:trPr>
          <w:trHeight w:val="1545"/>
        </w:trPr>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B32AF" w:rsidR="00153201" w:rsidP="002439CA" w:rsidRDefault="00153201" w14:paraId="24522150" w14:textId="77777777">
            <w:pPr>
              <w:spacing w:line="240" w:lineRule="auto"/>
              <w:ind w:firstLine="0"/>
              <w:jc w:val="center"/>
              <w:rPr>
                <w:rFonts w:ascii="Calibri" w:hAnsi="Calibri" w:eastAsia="Times New Roman" w:cs="Calibri"/>
                <w:color w:val="000000"/>
                <w:sz w:val="20"/>
                <w:szCs w:val="20"/>
              </w:rPr>
            </w:pPr>
            <w:r w:rsidRPr="00BB32AF">
              <w:rPr>
                <w:rFonts w:ascii="Calibri" w:hAnsi="Calibri" w:eastAsia="Times New Roman" w:cs="Calibri"/>
                <w:color w:val="000000"/>
                <w:sz w:val="20"/>
                <w:szCs w:val="20"/>
              </w:rPr>
              <w:t>10</w:t>
            </w:r>
          </w:p>
        </w:tc>
        <w:tc>
          <w:tcPr>
            <w:tcW w:w="38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7DD4AD63" w14:textId="77777777">
            <w:pPr>
              <w:spacing w:line="240" w:lineRule="auto"/>
              <w:ind w:firstLine="0"/>
              <w:rPr>
                <w:rFonts w:ascii="Calibri" w:hAnsi="Calibri" w:eastAsia="Times New Roman" w:cs="Calibri"/>
                <w:sz w:val="20"/>
                <w:szCs w:val="20"/>
              </w:rPr>
            </w:pPr>
            <w:r w:rsidRPr="00BB32AF">
              <w:rPr>
                <w:rFonts w:ascii="Calibri" w:hAnsi="Calibri" w:eastAsia="Times New Roman" w:cs="Calibri"/>
                <w:sz w:val="20"/>
                <w:szCs w:val="20"/>
              </w:rPr>
              <w:t>559 area code overlay information distributed internally as a job aid for customer service representatives to answer customer questions. Representatives should not need to refer questions to the CPUC.</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630C9910" w14:textId="77777777">
            <w:pPr>
              <w:spacing w:line="240" w:lineRule="auto"/>
              <w:ind w:firstLine="0"/>
              <w:jc w:val="center"/>
              <w:rPr>
                <w:rFonts w:ascii="Calibri" w:hAnsi="Calibri" w:eastAsia="Times New Roman" w:cs="Calibri"/>
                <w:sz w:val="20"/>
                <w:szCs w:val="20"/>
              </w:rPr>
            </w:pPr>
            <w:r w:rsidRPr="00BB32AF">
              <w:rPr>
                <w:rFonts w:ascii="Calibri" w:hAnsi="Calibri" w:eastAsia="Times New Roman" w:cs="Calibri"/>
                <w:sz w:val="20"/>
                <w:szCs w:val="20"/>
              </w:rPr>
              <w:t>Customer service representatives</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7558DC71" w14:textId="77777777">
            <w:pPr>
              <w:spacing w:line="240" w:lineRule="auto"/>
              <w:ind w:firstLine="0"/>
              <w:jc w:val="center"/>
              <w:rPr>
                <w:rFonts w:ascii="Calibri" w:hAnsi="Calibri" w:eastAsia="Times New Roman" w:cs="Calibri"/>
                <w:sz w:val="20"/>
                <w:szCs w:val="20"/>
              </w:rPr>
            </w:pPr>
            <w:r w:rsidRPr="00BB32AF">
              <w:rPr>
                <w:rFonts w:ascii="Calibri" w:hAnsi="Calibri" w:eastAsia="Times New Roman" w:cs="Calibri"/>
                <w:sz w:val="20"/>
                <w:szCs w:val="20"/>
              </w:rPr>
              <w:t>Individual service</w:t>
            </w:r>
            <w:r w:rsidRPr="00BB32AF">
              <w:rPr>
                <w:rFonts w:ascii="Calibri" w:hAnsi="Calibri" w:eastAsia="Times New Roman" w:cs="Calibri"/>
                <w:sz w:val="20"/>
                <w:szCs w:val="20"/>
              </w:rPr>
              <w:br/>
              <w:t>provider</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BB32AF" w:rsidR="00153201" w:rsidP="002439CA" w:rsidRDefault="00153201" w14:paraId="6D0DCEE3" w14:textId="77777777">
            <w:pPr>
              <w:spacing w:line="240" w:lineRule="auto"/>
              <w:ind w:firstLine="0"/>
              <w:jc w:val="center"/>
              <w:rPr>
                <w:rFonts w:ascii="Calibri" w:hAnsi="Calibri" w:eastAsia="Times New Roman" w:cs="Calibri"/>
                <w:color w:val="000000"/>
                <w:sz w:val="22"/>
              </w:rPr>
            </w:pP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rsidRPr="00BB32AF" w:rsidR="00153201" w:rsidP="002439CA" w:rsidRDefault="00153201" w14:paraId="45C6D3C6" w14:textId="77777777">
            <w:pPr>
              <w:spacing w:line="240" w:lineRule="auto"/>
              <w:ind w:firstLine="0"/>
              <w:jc w:val="center"/>
              <w:rPr>
                <w:rFonts w:ascii="Calibri" w:hAnsi="Calibri" w:eastAsia="Times New Roman" w:cs="Calibri"/>
                <w:color w:val="000000"/>
                <w:sz w:val="22"/>
              </w:rPr>
            </w:pPr>
          </w:p>
        </w:tc>
      </w:tr>
      <w:tr w:rsidRPr="00BB32AF" w:rsidR="00153201" w:rsidTr="002439CA" w14:paraId="5BCD9932" w14:textId="77777777">
        <w:trPr>
          <w:trHeight w:val="4350"/>
        </w:trPr>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B32AF" w:rsidR="00153201" w:rsidP="002439CA" w:rsidRDefault="00153201" w14:paraId="49B04E11" w14:textId="77777777">
            <w:pPr>
              <w:spacing w:line="240" w:lineRule="auto"/>
              <w:ind w:firstLine="0"/>
              <w:jc w:val="center"/>
              <w:rPr>
                <w:rFonts w:ascii="Calibri" w:hAnsi="Calibri" w:eastAsia="Times New Roman" w:cs="Calibri"/>
                <w:color w:val="000000"/>
                <w:sz w:val="20"/>
                <w:szCs w:val="20"/>
              </w:rPr>
            </w:pPr>
            <w:r w:rsidRPr="00BB32AF">
              <w:rPr>
                <w:rFonts w:ascii="Calibri" w:hAnsi="Calibri" w:eastAsia="Times New Roman" w:cs="Calibri"/>
                <w:color w:val="000000"/>
                <w:sz w:val="20"/>
                <w:szCs w:val="20"/>
              </w:rPr>
              <w:t>11</w:t>
            </w:r>
          </w:p>
        </w:tc>
        <w:tc>
          <w:tcPr>
            <w:tcW w:w="38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0BAFB054" w14:textId="77777777">
            <w:pPr>
              <w:spacing w:line="240" w:lineRule="auto"/>
              <w:ind w:firstLine="0"/>
              <w:rPr>
                <w:rFonts w:ascii="Calibri" w:hAnsi="Calibri" w:eastAsia="Times New Roman" w:cs="Calibri"/>
                <w:sz w:val="20"/>
                <w:szCs w:val="20"/>
              </w:rPr>
            </w:pPr>
            <w:r w:rsidRPr="00BB32AF">
              <w:rPr>
                <w:rFonts w:ascii="Calibri" w:hAnsi="Calibri" w:eastAsia="Times New Roman" w:cs="Calibri"/>
                <w:sz w:val="20"/>
                <w:szCs w:val="20"/>
              </w:rPr>
              <w:t>Provide by email targeted letters with the information in the Customer Notification, along with PEP Task Force contact information, to (1) community based organizations and key government agencies, including senior, consumer and other advocacy/activist organizations, chambers of commerce, city councils, and other key government agencies, (2) alarm service providers, (3) public safety organizations and PSAPs, providers, (4) telephone directory publishers, and (5) California Relay Services throughout the 559 area code.  Request that these organizations distribute the information to their members.</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6E0C4B4C" w14:textId="77777777">
            <w:pPr>
              <w:spacing w:line="240" w:lineRule="auto"/>
              <w:ind w:firstLine="0"/>
              <w:jc w:val="center"/>
              <w:rPr>
                <w:rFonts w:ascii="Calibri" w:hAnsi="Calibri" w:eastAsia="Times New Roman" w:cs="Calibri"/>
                <w:sz w:val="20"/>
                <w:szCs w:val="20"/>
              </w:rPr>
            </w:pPr>
            <w:r w:rsidRPr="00BB32AF">
              <w:rPr>
                <w:rFonts w:ascii="Calibri" w:hAnsi="Calibri" w:eastAsia="Times New Roman" w:cs="Calibri"/>
                <w:sz w:val="20"/>
                <w:szCs w:val="20"/>
              </w:rPr>
              <w:t xml:space="preserve">Senior, consumer and other advocacy/activist organizations, chambers of commerce, city councils and other key government agencies, alarm service providers, public safety organizations and PSAPs, telephone directory publishers, and California Relay Services </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68B19912" w14:textId="77777777">
            <w:pPr>
              <w:spacing w:line="240" w:lineRule="auto"/>
              <w:ind w:firstLine="0"/>
              <w:jc w:val="center"/>
              <w:rPr>
                <w:rFonts w:ascii="Calibri" w:hAnsi="Calibri" w:eastAsia="Times New Roman" w:cs="Calibri"/>
                <w:sz w:val="20"/>
                <w:szCs w:val="20"/>
              </w:rPr>
            </w:pPr>
            <w:r w:rsidRPr="00BB32AF">
              <w:rPr>
                <w:rFonts w:ascii="Calibri" w:hAnsi="Calibri" w:eastAsia="Times New Roman" w:cs="Calibri"/>
                <w:sz w:val="20"/>
                <w:szCs w:val="20"/>
              </w:rPr>
              <w:t>Industry</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BB32AF" w:rsidR="00153201" w:rsidP="002439CA" w:rsidRDefault="00153201" w14:paraId="004A2820" w14:textId="77777777">
            <w:pPr>
              <w:spacing w:line="240" w:lineRule="auto"/>
              <w:ind w:firstLine="0"/>
              <w:jc w:val="center"/>
              <w:rPr>
                <w:rFonts w:ascii="Calibri" w:hAnsi="Calibri" w:eastAsia="Times New Roman" w:cs="Calibri"/>
                <w:color w:val="000000"/>
                <w:sz w:val="22"/>
              </w:rPr>
            </w:pP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rsidRPr="00BB32AF" w:rsidR="00153201" w:rsidP="002439CA" w:rsidRDefault="00153201" w14:paraId="37F20C46" w14:textId="77777777">
            <w:pPr>
              <w:spacing w:line="240" w:lineRule="auto"/>
              <w:ind w:firstLine="0"/>
              <w:jc w:val="center"/>
              <w:rPr>
                <w:rFonts w:ascii="Calibri" w:hAnsi="Calibri" w:eastAsia="Times New Roman" w:cs="Calibri"/>
                <w:color w:val="000000"/>
                <w:sz w:val="22"/>
              </w:rPr>
            </w:pPr>
          </w:p>
        </w:tc>
      </w:tr>
      <w:tr w:rsidRPr="00BB32AF" w:rsidR="00153201" w:rsidTr="002439CA" w14:paraId="5BD0610D" w14:textId="77777777">
        <w:trPr>
          <w:trHeight w:val="780"/>
        </w:trPr>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B32AF" w:rsidR="00153201" w:rsidP="002439CA" w:rsidRDefault="00153201" w14:paraId="797AEB20" w14:textId="77777777">
            <w:pPr>
              <w:spacing w:line="240" w:lineRule="auto"/>
              <w:ind w:firstLine="0"/>
              <w:jc w:val="center"/>
              <w:rPr>
                <w:rFonts w:ascii="Calibri" w:hAnsi="Calibri" w:eastAsia="Times New Roman" w:cs="Calibri"/>
                <w:color w:val="000000"/>
                <w:sz w:val="20"/>
                <w:szCs w:val="20"/>
              </w:rPr>
            </w:pPr>
            <w:r w:rsidRPr="00BB32AF">
              <w:rPr>
                <w:rFonts w:ascii="Calibri" w:hAnsi="Calibri" w:eastAsia="Times New Roman" w:cs="Calibri"/>
                <w:color w:val="000000"/>
                <w:sz w:val="20"/>
                <w:szCs w:val="20"/>
              </w:rPr>
              <w:t>12</w:t>
            </w:r>
          </w:p>
        </w:tc>
        <w:tc>
          <w:tcPr>
            <w:tcW w:w="38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7B9B3444" w14:textId="77777777">
            <w:pPr>
              <w:spacing w:line="240" w:lineRule="auto"/>
              <w:ind w:firstLine="0"/>
              <w:rPr>
                <w:rFonts w:ascii="Calibri" w:hAnsi="Calibri" w:eastAsia="Times New Roman" w:cs="Calibri"/>
                <w:sz w:val="20"/>
                <w:szCs w:val="20"/>
              </w:rPr>
            </w:pPr>
            <w:r w:rsidRPr="00BB32AF">
              <w:rPr>
                <w:rFonts w:ascii="Calibri" w:hAnsi="Calibri" w:eastAsia="Times New Roman" w:cs="Calibri"/>
                <w:sz w:val="20"/>
                <w:szCs w:val="20"/>
              </w:rPr>
              <w:t>559 area code overlay update to industry websites.</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0C310879" w14:textId="77777777">
            <w:pPr>
              <w:spacing w:line="240" w:lineRule="auto"/>
              <w:ind w:firstLine="0"/>
              <w:jc w:val="center"/>
              <w:rPr>
                <w:rFonts w:ascii="Calibri" w:hAnsi="Calibri" w:eastAsia="Times New Roman" w:cs="Calibri"/>
                <w:sz w:val="20"/>
                <w:szCs w:val="20"/>
              </w:rPr>
            </w:pPr>
            <w:r w:rsidRPr="00BB32AF">
              <w:rPr>
                <w:rFonts w:ascii="Calibri" w:hAnsi="Calibri" w:eastAsia="Times New Roman" w:cs="Calibri"/>
                <w:sz w:val="20"/>
                <w:szCs w:val="20"/>
              </w:rPr>
              <w:t>All affected customers</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501EAF7F" w14:textId="77777777">
            <w:pPr>
              <w:spacing w:line="240" w:lineRule="auto"/>
              <w:ind w:firstLine="0"/>
              <w:jc w:val="center"/>
              <w:rPr>
                <w:rFonts w:ascii="Calibri" w:hAnsi="Calibri" w:eastAsia="Times New Roman" w:cs="Calibri"/>
                <w:sz w:val="20"/>
                <w:szCs w:val="20"/>
              </w:rPr>
            </w:pPr>
            <w:r w:rsidRPr="00BB32AF">
              <w:rPr>
                <w:rFonts w:ascii="Calibri" w:hAnsi="Calibri" w:eastAsia="Times New Roman" w:cs="Calibri"/>
                <w:sz w:val="20"/>
                <w:szCs w:val="20"/>
              </w:rPr>
              <w:t>Individual service</w:t>
            </w:r>
            <w:r w:rsidRPr="00BB32AF">
              <w:rPr>
                <w:rFonts w:ascii="Calibri" w:hAnsi="Calibri" w:eastAsia="Times New Roman" w:cs="Calibri"/>
                <w:sz w:val="20"/>
                <w:szCs w:val="20"/>
              </w:rPr>
              <w:br/>
              <w:t>provider</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443F750D" w14:textId="77777777">
            <w:pPr>
              <w:spacing w:line="240" w:lineRule="auto"/>
              <w:ind w:firstLine="0"/>
              <w:jc w:val="center"/>
              <w:rPr>
                <w:rFonts w:ascii="Calibri" w:hAnsi="Calibri" w:eastAsia="Times New Roman" w:cs="Calibri"/>
                <w:color w:val="000000"/>
                <w:sz w:val="22"/>
              </w:rPr>
            </w:pPr>
            <w:r w:rsidRPr="00BB32AF">
              <w:rPr>
                <w:rFonts w:ascii="Calibri" w:hAnsi="Calibri" w:eastAsia="Times New Roman" w:cs="Calibri"/>
                <w:color w:val="000000"/>
                <w:sz w:val="22"/>
              </w:rPr>
              <w:t>760</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517A4C5D" w14:textId="77777777">
            <w:pPr>
              <w:spacing w:line="240" w:lineRule="auto"/>
              <w:ind w:firstLine="0"/>
              <w:jc w:val="center"/>
              <w:rPr>
                <w:rFonts w:ascii="Calibri" w:hAnsi="Calibri" w:eastAsia="Times New Roman" w:cs="Calibri"/>
                <w:color w:val="000000"/>
                <w:sz w:val="22"/>
              </w:rPr>
            </w:pPr>
            <w:r w:rsidRPr="00BB32AF">
              <w:rPr>
                <w:rFonts w:ascii="Calibri" w:hAnsi="Calibri" w:eastAsia="Times New Roman" w:cs="Calibri"/>
                <w:color w:val="000000"/>
                <w:sz w:val="22"/>
              </w:rPr>
              <w:t>82%</w:t>
            </w:r>
          </w:p>
        </w:tc>
      </w:tr>
      <w:tr w:rsidRPr="00BB32AF" w:rsidR="00153201" w:rsidTr="002439CA" w14:paraId="41F4FF6D" w14:textId="77777777">
        <w:trPr>
          <w:trHeight w:val="2055"/>
        </w:trPr>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B32AF" w:rsidR="00153201" w:rsidP="002439CA" w:rsidRDefault="00153201" w14:paraId="642824AF" w14:textId="77777777">
            <w:pPr>
              <w:spacing w:line="240" w:lineRule="auto"/>
              <w:ind w:firstLine="0"/>
              <w:jc w:val="center"/>
              <w:rPr>
                <w:rFonts w:ascii="Calibri" w:hAnsi="Calibri" w:eastAsia="Times New Roman" w:cs="Calibri"/>
                <w:color w:val="000000"/>
                <w:sz w:val="20"/>
                <w:szCs w:val="20"/>
              </w:rPr>
            </w:pPr>
            <w:r w:rsidRPr="00BB32AF">
              <w:rPr>
                <w:rFonts w:ascii="Calibri" w:hAnsi="Calibri" w:eastAsia="Times New Roman" w:cs="Calibri"/>
                <w:color w:val="000000"/>
                <w:sz w:val="20"/>
                <w:szCs w:val="20"/>
              </w:rPr>
              <w:lastRenderedPageBreak/>
              <w:t>13</w:t>
            </w:r>
          </w:p>
        </w:tc>
        <w:tc>
          <w:tcPr>
            <w:tcW w:w="38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73143C2A" w14:textId="77777777">
            <w:pPr>
              <w:spacing w:line="240" w:lineRule="auto"/>
              <w:ind w:firstLine="0"/>
              <w:rPr>
                <w:rFonts w:ascii="Calibri" w:hAnsi="Calibri" w:eastAsia="Times New Roman" w:cs="Calibri"/>
                <w:sz w:val="20"/>
                <w:szCs w:val="20"/>
              </w:rPr>
            </w:pPr>
            <w:r w:rsidRPr="00BB32AF">
              <w:rPr>
                <w:rFonts w:ascii="Calibri" w:hAnsi="Calibri" w:eastAsia="Times New Roman" w:cs="Calibri"/>
                <w:sz w:val="20"/>
                <w:szCs w:val="20"/>
              </w:rPr>
              <w:t xml:space="preserve">Second news release reminding the public of the </w:t>
            </w:r>
            <w:proofErr w:type="gramStart"/>
            <w:r w:rsidRPr="00BB32AF">
              <w:rPr>
                <w:rFonts w:ascii="Calibri" w:hAnsi="Calibri" w:eastAsia="Times New Roman" w:cs="Calibri"/>
                <w:sz w:val="20"/>
                <w:szCs w:val="20"/>
              </w:rPr>
              <w:t>559 area</w:t>
            </w:r>
            <w:proofErr w:type="gramEnd"/>
            <w:r w:rsidRPr="00BB32AF">
              <w:rPr>
                <w:rFonts w:ascii="Calibri" w:hAnsi="Calibri" w:eastAsia="Times New Roman" w:cs="Calibri"/>
                <w:sz w:val="20"/>
                <w:szCs w:val="20"/>
              </w:rPr>
              <w:t xml:space="preserve"> code relief plan, the 559 area code geographic boundaries, and the new overlay area code for issue within the 559 area code and adjacent area codes. Post CPUC news release to CPUC website and social media platforms.</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6A551B5B" w14:textId="77777777">
            <w:pPr>
              <w:spacing w:line="240" w:lineRule="auto"/>
              <w:ind w:firstLine="0"/>
              <w:jc w:val="center"/>
              <w:rPr>
                <w:rFonts w:ascii="Calibri" w:hAnsi="Calibri" w:eastAsia="Times New Roman" w:cs="Calibri"/>
                <w:sz w:val="20"/>
                <w:szCs w:val="20"/>
              </w:rPr>
            </w:pPr>
            <w:r w:rsidRPr="00BB32AF">
              <w:rPr>
                <w:rFonts w:ascii="Calibri" w:hAnsi="Calibri" w:eastAsia="Times New Roman" w:cs="Calibri"/>
                <w:sz w:val="20"/>
                <w:szCs w:val="20"/>
              </w:rPr>
              <w:t>All customers</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5E0754E3" w14:textId="77777777">
            <w:pPr>
              <w:spacing w:line="240" w:lineRule="auto"/>
              <w:ind w:firstLine="0"/>
              <w:jc w:val="center"/>
              <w:rPr>
                <w:rFonts w:ascii="Calibri" w:hAnsi="Calibri" w:eastAsia="Times New Roman" w:cs="Calibri"/>
                <w:sz w:val="20"/>
                <w:szCs w:val="20"/>
              </w:rPr>
            </w:pPr>
            <w:r w:rsidRPr="00BB32AF">
              <w:rPr>
                <w:rFonts w:ascii="Calibri" w:hAnsi="Calibri" w:eastAsia="Times New Roman" w:cs="Calibri"/>
                <w:sz w:val="20"/>
                <w:szCs w:val="20"/>
              </w:rPr>
              <w:t>Industry</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BB32AF" w:rsidR="00153201" w:rsidP="002439CA" w:rsidRDefault="00153201" w14:paraId="5A5078B5" w14:textId="77777777">
            <w:pPr>
              <w:spacing w:line="240" w:lineRule="auto"/>
              <w:ind w:firstLine="0"/>
              <w:jc w:val="center"/>
              <w:rPr>
                <w:rFonts w:ascii="Calibri" w:hAnsi="Calibri" w:eastAsia="Times New Roman" w:cs="Calibri"/>
                <w:color w:val="000000"/>
                <w:sz w:val="22"/>
              </w:rPr>
            </w:pPr>
            <w:r w:rsidRPr="00BB32AF">
              <w:rPr>
                <w:rFonts w:ascii="Calibri" w:hAnsi="Calibri" w:eastAsia="Times New Roman" w:cs="Calibri"/>
                <w:color w:val="000000"/>
                <w:sz w:val="22"/>
              </w:rPr>
              <w:t>5.5 months after ISD</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rsidRPr="00BB32AF" w:rsidR="00153201" w:rsidP="002439CA" w:rsidRDefault="00153201" w14:paraId="5C339557" w14:textId="77777777">
            <w:pPr>
              <w:spacing w:line="240" w:lineRule="auto"/>
              <w:ind w:firstLine="0"/>
              <w:jc w:val="center"/>
              <w:rPr>
                <w:rFonts w:ascii="Calibri" w:hAnsi="Calibri" w:eastAsia="Times New Roman" w:cs="Calibri"/>
                <w:color w:val="000000"/>
                <w:sz w:val="22"/>
              </w:rPr>
            </w:pPr>
          </w:p>
        </w:tc>
      </w:tr>
      <w:tr w:rsidRPr="00BB32AF" w:rsidR="00153201" w:rsidTr="002439CA" w14:paraId="429025A6" w14:textId="77777777">
        <w:trPr>
          <w:trHeight w:val="1800"/>
        </w:trPr>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B32AF" w:rsidR="00153201" w:rsidP="002439CA" w:rsidRDefault="00153201" w14:paraId="6EF7C3C0" w14:textId="77777777">
            <w:pPr>
              <w:spacing w:line="240" w:lineRule="auto"/>
              <w:ind w:firstLine="0"/>
              <w:jc w:val="center"/>
              <w:rPr>
                <w:rFonts w:ascii="Calibri" w:hAnsi="Calibri" w:eastAsia="Times New Roman" w:cs="Calibri"/>
                <w:color w:val="000000"/>
                <w:sz w:val="20"/>
                <w:szCs w:val="20"/>
              </w:rPr>
            </w:pPr>
            <w:r w:rsidRPr="00BB32AF">
              <w:rPr>
                <w:rFonts w:ascii="Calibri" w:hAnsi="Calibri" w:eastAsia="Times New Roman" w:cs="Calibri"/>
                <w:color w:val="000000"/>
                <w:sz w:val="20"/>
                <w:szCs w:val="20"/>
              </w:rPr>
              <w:t>14</w:t>
            </w:r>
          </w:p>
        </w:tc>
        <w:tc>
          <w:tcPr>
            <w:tcW w:w="38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321D7DB5" w14:textId="77777777">
            <w:pPr>
              <w:spacing w:line="240" w:lineRule="auto"/>
              <w:ind w:firstLine="0"/>
              <w:rPr>
                <w:rFonts w:ascii="Calibri" w:hAnsi="Calibri" w:eastAsia="Times New Roman" w:cs="Calibri"/>
                <w:sz w:val="20"/>
                <w:szCs w:val="20"/>
              </w:rPr>
            </w:pPr>
            <w:r w:rsidRPr="00BB32AF">
              <w:rPr>
                <w:rFonts w:ascii="Calibri" w:hAnsi="Calibri" w:eastAsia="Times New Roman" w:cs="Calibri"/>
                <w:sz w:val="20"/>
                <w:szCs w:val="20"/>
              </w:rPr>
              <w:t xml:space="preserve">Provide to CPUC Communications Division  email or written confirmation from the California Telecommunications Industry identifying media coverage (including major local broadcast television stations) of the </w:t>
            </w:r>
            <w:proofErr w:type="gramStart"/>
            <w:r w:rsidRPr="00BB32AF">
              <w:rPr>
                <w:rFonts w:ascii="Calibri" w:hAnsi="Calibri" w:eastAsia="Times New Roman" w:cs="Calibri"/>
                <w:sz w:val="20"/>
                <w:szCs w:val="20"/>
              </w:rPr>
              <w:t>559  area</w:t>
            </w:r>
            <w:proofErr w:type="gramEnd"/>
            <w:r w:rsidRPr="00BB32AF">
              <w:rPr>
                <w:rFonts w:ascii="Calibri" w:hAnsi="Calibri" w:eastAsia="Times New Roman" w:cs="Calibri"/>
                <w:sz w:val="20"/>
                <w:szCs w:val="20"/>
              </w:rPr>
              <w:t xml:space="preserve"> code overlay.</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306C6464" w14:textId="77777777">
            <w:pPr>
              <w:spacing w:line="240" w:lineRule="auto"/>
              <w:ind w:firstLine="0"/>
              <w:jc w:val="center"/>
              <w:rPr>
                <w:rFonts w:ascii="Calibri" w:hAnsi="Calibri" w:eastAsia="Times New Roman" w:cs="Calibri"/>
                <w:sz w:val="20"/>
                <w:szCs w:val="20"/>
              </w:rPr>
            </w:pPr>
            <w:r w:rsidRPr="00BB32AF">
              <w:rPr>
                <w:rFonts w:ascii="Calibri" w:hAnsi="Calibri" w:eastAsia="Times New Roman" w:cs="Calibri"/>
                <w:sz w:val="20"/>
                <w:szCs w:val="20"/>
              </w:rPr>
              <w:t>Industry</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49542FC9" w14:textId="77777777">
            <w:pPr>
              <w:spacing w:line="240" w:lineRule="auto"/>
              <w:ind w:firstLine="0"/>
              <w:jc w:val="center"/>
              <w:rPr>
                <w:rFonts w:ascii="Calibri" w:hAnsi="Calibri" w:eastAsia="Times New Roman" w:cs="Calibri"/>
                <w:sz w:val="20"/>
                <w:szCs w:val="20"/>
              </w:rPr>
            </w:pPr>
            <w:r w:rsidRPr="00BB32AF">
              <w:rPr>
                <w:rFonts w:ascii="Calibri" w:hAnsi="Calibri" w:eastAsia="Times New Roman" w:cs="Calibri"/>
                <w:sz w:val="20"/>
                <w:szCs w:val="20"/>
              </w:rPr>
              <w:t>Industry</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BB32AF" w:rsidR="00153201" w:rsidP="002439CA" w:rsidRDefault="00153201" w14:paraId="3DBA1B98" w14:textId="77777777">
            <w:pPr>
              <w:spacing w:line="240" w:lineRule="auto"/>
              <w:ind w:firstLine="0"/>
              <w:jc w:val="center"/>
              <w:rPr>
                <w:rFonts w:ascii="Calibri" w:hAnsi="Calibri" w:eastAsia="Times New Roman" w:cs="Calibri"/>
                <w:color w:val="000000"/>
                <w:sz w:val="22"/>
              </w:rPr>
            </w:pPr>
            <w:r w:rsidRPr="00BB32AF">
              <w:rPr>
                <w:rFonts w:ascii="Calibri" w:hAnsi="Calibri" w:eastAsia="Times New Roman" w:cs="Calibri"/>
                <w:color w:val="000000"/>
                <w:sz w:val="22"/>
              </w:rPr>
              <w:t>6.5 months after ISD</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rsidRPr="00BB32AF" w:rsidR="00153201" w:rsidP="002439CA" w:rsidRDefault="00153201" w14:paraId="27C16D70" w14:textId="77777777">
            <w:pPr>
              <w:spacing w:line="240" w:lineRule="auto"/>
              <w:ind w:firstLine="0"/>
              <w:jc w:val="center"/>
              <w:rPr>
                <w:rFonts w:ascii="Calibri" w:hAnsi="Calibri" w:eastAsia="Times New Roman" w:cs="Calibri"/>
                <w:color w:val="000000"/>
                <w:sz w:val="22"/>
              </w:rPr>
            </w:pPr>
          </w:p>
        </w:tc>
      </w:tr>
      <w:tr w:rsidRPr="00BB32AF" w:rsidR="00153201" w:rsidTr="002439CA" w14:paraId="0508E4D4" w14:textId="77777777">
        <w:trPr>
          <w:trHeight w:val="1290"/>
        </w:trPr>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B32AF" w:rsidR="00153201" w:rsidP="002439CA" w:rsidRDefault="00153201" w14:paraId="2F01217B" w14:textId="77777777">
            <w:pPr>
              <w:spacing w:line="240" w:lineRule="auto"/>
              <w:ind w:firstLine="0"/>
              <w:jc w:val="center"/>
              <w:rPr>
                <w:rFonts w:ascii="Calibri" w:hAnsi="Calibri" w:eastAsia="Times New Roman" w:cs="Calibri"/>
                <w:color w:val="000000"/>
                <w:sz w:val="20"/>
                <w:szCs w:val="20"/>
              </w:rPr>
            </w:pPr>
            <w:r w:rsidRPr="00BB32AF">
              <w:rPr>
                <w:rFonts w:ascii="Calibri" w:hAnsi="Calibri" w:eastAsia="Times New Roman" w:cs="Calibri"/>
                <w:color w:val="000000"/>
                <w:sz w:val="20"/>
                <w:szCs w:val="20"/>
              </w:rPr>
              <w:t>15</w:t>
            </w:r>
          </w:p>
        </w:tc>
        <w:tc>
          <w:tcPr>
            <w:tcW w:w="38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596E2CCC" w14:textId="77777777">
            <w:pPr>
              <w:spacing w:line="240" w:lineRule="auto"/>
              <w:ind w:firstLine="0"/>
              <w:rPr>
                <w:rFonts w:ascii="Calibri" w:hAnsi="Calibri" w:eastAsia="Times New Roman" w:cs="Calibri"/>
                <w:sz w:val="20"/>
                <w:szCs w:val="20"/>
              </w:rPr>
            </w:pPr>
            <w:r w:rsidRPr="00BB32AF">
              <w:rPr>
                <w:rFonts w:ascii="Calibri" w:hAnsi="Calibri" w:eastAsia="Times New Roman" w:cs="Calibri"/>
                <w:sz w:val="20"/>
                <w:szCs w:val="20"/>
              </w:rPr>
              <w:t xml:space="preserve">Single customer notification runs for two bill cycles: Announce the </w:t>
            </w:r>
            <w:proofErr w:type="gramStart"/>
            <w:r w:rsidRPr="00BB32AF">
              <w:rPr>
                <w:rFonts w:ascii="Calibri" w:hAnsi="Calibri" w:eastAsia="Times New Roman" w:cs="Calibri"/>
                <w:sz w:val="20"/>
                <w:szCs w:val="20"/>
              </w:rPr>
              <w:t>559 area</w:t>
            </w:r>
            <w:proofErr w:type="gramEnd"/>
            <w:r w:rsidRPr="00BB32AF">
              <w:rPr>
                <w:rFonts w:ascii="Calibri" w:hAnsi="Calibri" w:eastAsia="Times New Roman" w:cs="Calibri"/>
                <w:sz w:val="20"/>
                <w:szCs w:val="20"/>
              </w:rPr>
              <w:t xml:space="preserve"> code overlay, indicate the affected areas, and the new area code effective date.</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72B96207" w14:textId="77777777">
            <w:pPr>
              <w:spacing w:line="240" w:lineRule="auto"/>
              <w:ind w:firstLine="0"/>
              <w:jc w:val="center"/>
              <w:rPr>
                <w:rFonts w:ascii="Calibri" w:hAnsi="Calibri" w:eastAsia="Times New Roman" w:cs="Calibri"/>
                <w:sz w:val="20"/>
                <w:szCs w:val="20"/>
              </w:rPr>
            </w:pPr>
            <w:r w:rsidRPr="00BB32AF">
              <w:rPr>
                <w:rFonts w:ascii="Calibri" w:hAnsi="Calibri" w:eastAsia="Times New Roman" w:cs="Calibri"/>
                <w:sz w:val="20"/>
                <w:szCs w:val="20"/>
              </w:rPr>
              <w:t>All affected customers</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4CF2912A" w14:textId="77777777">
            <w:pPr>
              <w:spacing w:line="240" w:lineRule="auto"/>
              <w:ind w:firstLine="0"/>
              <w:jc w:val="center"/>
              <w:rPr>
                <w:rFonts w:ascii="Calibri" w:hAnsi="Calibri" w:eastAsia="Times New Roman" w:cs="Calibri"/>
                <w:sz w:val="20"/>
                <w:szCs w:val="20"/>
              </w:rPr>
            </w:pPr>
            <w:r w:rsidRPr="00BB32AF">
              <w:rPr>
                <w:rFonts w:ascii="Calibri" w:hAnsi="Calibri" w:eastAsia="Times New Roman" w:cs="Calibri"/>
                <w:sz w:val="20"/>
                <w:szCs w:val="20"/>
              </w:rPr>
              <w:t>Individual service</w:t>
            </w:r>
            <w:r w:rsidRPr="00BB32AF">
              <w:rPr>
                <w:rFonts w:ascii="Calibri" w:hAnsi="Calibri" w:eastAsia="Times New Roman" w:cs="Calibri"/>
                <w:sz w:val="20"/>
                <w:szCs w:val="20"/>
              </w:rPr>
              <w:br/>
              <w:t>provider</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BB32AF" w:rsidR="00153201" w:rsidP="002439CA" w:rsidRDefault="00153201" w14:paraId="10B7E462" w14:textId="77777777">
            <w:pPr>
              <w:spacing w:line="240" w:lineRule="auto"/>
              <w:ind w:firstLine="0"/>
              <w:jc w:val="center"/>
              <w:rPr>
                <w:rFonts w:ascii="Calibri" w:hAnsi="Calibri" w:eastAsia="Times New Roman" w:cs="Calibri"/>
                <w:color w:val="000000"/>
                <w:sz w:val="22"/>
              </w:rPr>
            </w:pP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rsidRPr="00BB32AF" w:rsidR="00153201" w:rsidP="002439CA" w:rsidRDefault="00153201" w14:paraId="79C13B32" w14:textId="77777777">
            <w:pPr>
              <w:spacing w:line="240" w:lineRule="auto"/>
              <w:ind w:firstLine="0"/>
              <w:jc w:val="center"/>
              <w:rPr>
                <w:rFonts w:ascii="Calibri" w:hAnsi="Calibri" w:eastAsia="Times New Roman" w:cs="Calibri"/>
                <w:color w:val="000000"/>
                <w:sz w:val="22"/>
              </w:rPr>
            </w:pPr>
          </w:p>
        </w:tc>
      </w:tr>
      <w:tr w:rsidRPr="00BB32AF" w:rsidR="00153201" w:rsidTr="002439CA" w14:paraId="2C923AD2" w14:textId="77777777">
        <w:trPr>
          <w:trHeight w:val="615"/>
        </w:trPr>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B32AF" w:rsidR="00153201" w:rsidP="002439CA" w:rsidRDefault="00153201" w14:paraId="413F4FA3" w14:textId="77777777">
            <w:pPr>
              <w:spacing w:line="240" w:lineRule="auto"/>
              <w:ind w:firstLine="0"/>
              <w:jc w:val="center"/>
              <w:rPr>
                <w:rFonts w:ascii="Calibri" w:hAnsi="Calibri" w:eastAsia="Times New Roman" w:cs="Calibri"/>
                <w:color w:val="000000"/>
                <w:sz w:val="20"/>
                <w:szCs w:val="20"/>
              </w:rPr>
            </w:pPr>
            <w:r w:rsidRPr="00BB32AF">
              <w:rPr>
                <w:rFonts w:ascii="Calibri" w:hAnsi="Calibri" w:eastAsia="Times New Roman" w:cs="Calibri"/>
                <w:color w:val="000000"/>
                <w:sz w:val="20"/>
                <w:szCs w:val="20"/>
              </w:rPr>
              <w:t>16</w:t>
            </w:r>
          </w:p>
        </w:tc>
        <w:tc>
          <w:tcPr>
            <w:tcW w:w="38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34DF0A04" w14:textId="77777777">
            <w:pPr>
              <w:spacing w:line="240" w:lineRule="auto"/>
              <w:ind w:firstLine="0"/>
              <w:rPr>
                <w:rFonts w:ascii="Calibri" w:hAnsi="Calibri" w:eastAsia="Times New Roman" w:cs="Calibri"/>
                <w:sz w:val="20"/>
                <w:szCs w:val="20"/>
              </w:rPr>
            </w:pPr>
            <w:r w:rsidRPr="00BB32AF">
              <w:rPr>
                <w:rFonts w:ascii="Calibri" w:hAnsi="Calibri" w:eastAsia="Times New Roman" w:cs="Calibri"/>
                <w:sz w:val="20"/>
                <w:szCs w:val="20"/>
              </w:rPr>
              <w:t>Begin Permissive Dialing</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6B900136" w14:textId="77777777">
            <w:pPr>
              <w:spacing w:line="240" w:lineRule="auto"/>
              <w:ind w:firstLine="0"/>
              <w:jc w:val="center"/>
              <w:rPr>
                <w:rFonts w:ascii="Calibri" w:hAnsi="Calibri" w:eastAsia="Times New Roman" w:cs="Calibri"/>
                <w:sz w:val="20"/>
                <w:szCs w:val="20"/>
              </w:rPr>
            </w:pPr>
            <w:r w:rsidRPr="00BB32AF">
              <w:rPr>
                <w:rFonts w:ascii="Calibri" w:hAnsi="Calibri" w:eastAsia="Times New Roman" w:cs="Calibri"/>
                <w:sz w:val="20"/>
                <w:szCs w:val="20"/>
              </w:rPr>
              <w:t> </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0E8B5295" w14:textId="77777777">
            <w:pPr>
              <w:spacing w:line="240" w:lineRule="auto"/>
              <w:ind w:firstLine="0"/>
              <w:jc w:val="center"/>
              <w:rPr>
                <w:rFonts w:ascii="Calibri" w:hAnsi="Calibri" w:eastAsia="Times New Roman" w:cs="Calibri"/>
                <w:sz w:val="20"/>
                <w:szCs w:val="20"/>
              </w:rPr>
            </w:pPr>
            <w:r w:rsidRPr="00BB32AF">
              <w:rPr>
                <w:rFonts w:ascii="Calibri" w:hAnsi="Calibri" w:eastAsia="Times New Roman" w:cs="Calibri"/>
                <w:sz w:val="20"/>
                <w:szCs w:val="20"/>
              </w:rPr>
              <w:t> </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11EBC937" w14:textId="77777777">
            <w:pPr>
              <w:spacing w:line="240" w:lineRule="auto"/>
              <w:ind w:firstLine="0"/>
              <w:jc w:val="center"/>
              <w:rPr>
                <w:rFonts w:ascii="Calibri" w:hAnsi="Calibri" w:eastAsia="Times New Roman" w:cs="Calibri"/>
                <w:sz w:val="20"/>
                <w:szCs w:val="20"/>
              </w:rPr>
            </w:pPr>
            <w:r w:rsidRPr="00BB32AF">
              <w:rPr>
                <w:rFonts w:ascii="Calibri" w:hAnsi="Calibri" w:eastAsia="Times New Roman" w:cs="Calibri"/>
                <w:sz w:val="20"/>
                <w:szCs w:val="20"/>
              </w:rPr>
              <w:t>6 months after ISD</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1D930778" w14:textId="77777777">
            <w:pPr>
              <w:spacing w:line="240" w:lineRule="auto"/>
              <w:ind w:firstLine="0"/>
              <w:jc w:val="center"/>
              <w:rPr>
                <w:rFonts w:ascii="Calibri" w:hAnsi="Calibri" w:eastAsia="Times New Roman" w:cs="Calibri"/>
                <w:color w:val="000000"/>
                <w:sz w:val="20"/>
                <w:szCs w:val="20"/>
              </w:rPr>
            </w:pPr>
            <w:r w:rsidRPr="00BB32AF">
              <w:rPr>
                <w:rFonts w:ascii="Calibri" w:hAnsi="Calibri" w:eastAsia="Times New Roman" w:cs="Calibri"/>
                <w:color w:val="000000"/>
                <w:sz w:val="20"/>
                <w:szCs w:val="20"/>
              </w:rPr>
              <w:t> </w:t>
            </w:r>
          </w:p>
        </w:tc>
      </w:tr>
      <w:tr w:rsidRPr="00BB32AF" w:rsidR="00153201" w:rsidTr="002439CA" w14:paraId="74132F22" w14:textId="77777777">
        <w:trPr>
          <w:trHeight w:val="2040"/>
        </w:trPr>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B32AF" w:rsidR="00153201" w:rsidP="002439CA" w:rsidRDefault="00153201" w14:paraId="00E754EC" w14:textId="77777777">
            <w:pPr>
              <w:spacing w:line="240" w:lineRule="auto"/>
              <w:ind w:firstLine="0"/>
              <w:jc w:val="center"/>
              <w:rPr>
                <w:rFonts w:ascii="Calibri" w:hAnsi="Calibri" w:eastAsia="Times New Roman" w:cs="Calibri"/>
                <w:color w:val="000000"/>
                <w:sz w:val="20"/>
                <w:szCs w:val="20"/>
              </w:rPr>
            </w:pPr>
            <w:r w:rsidRPr="00BB32AF">
              <w:rPr>
                <w:rFonts w:ascii="Calibri" w:hAnsi="Calibri" w:eastAsia="Times New Roman" w:cs="Calibri"/>
                <w:color w:val="000000"/>
                <w:sz w:val="20"/>
                <w:szCs w:val="20"/>
              </w:rPr>
              <w:t>17</w:t>
            </w:r>
          </w:p>
        </w:tc>
        <w:tc>
          <w:tcPr>
            <w:tcW w:w="38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45B191EA" w14:textId="77777777">
            <w:pPr>
              <w:spacing w:line="240" w:lineRule="auto"/>
              <w:ind w:firstLine="0"/>
              <w:rPr>
                <w:rFonts w:ascii="Calibri" w:hAnsi="Calibri" w:eastAsia="Times New Roman" w:cs="Calibri"/>
                <w:sz w:val="20"/>
                <w:szCs w:val="20"/>
              </w:rPr>
            </w:pPr>
            <w:r w:rsidRPr="00BB32AF">
              <w:rPr>
                <w:rFonts w:ascii="Calibri" w:hAnsi="Calibri" w:eastAsia="Times New Roman" w:cs="Calibri"/>
                <w:sz w:val="20"/>
                <w:szCs w:val="20"/>
              </w:rPr>
              <w:t xml:space="preserve">Third news release reminding the public of the </w:t>
            </w:r>
            <w:proofErr w:type="gramStart"/>
            <w:r w:rsidRPr="00BB32AF">
              <w:rPr>
                <w:rFonts w:ascii="Calibri" w:hAnsi="Calibri" w:eastAsia="Times New Roman" w:cs="Calibri"/>
                <w:sz w:val="20"/>
                <w:szCs w:val="20"/>
              </w:rPr>
              <w:t>559 area</w:t>
            </w:r>
            <w:proofErr w:type="gramEnd"/>
            <w:r w:rsidRPr="00BB32AF">
              <w:rPr>
                <w:rFonts w:ascii="Calibri" w:hAnsi="Calibri" w:eastAsia="Times New Roman" w:cs="Calibri"/>
                <w:sz w:val="20"/>
                <w:szCs w:val="20"/>
              </w:rPr>
              <w:t xml:space="preserve"> code relief plan, the 559 area code geographic boundaries, and the new overlay area code for issue within the 559 area code and adjacent area codes. Post CPUC news release to CPUC website and social media platforms.</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48378FFB" w14:textId="77777777">
            <w:pPr>
              <w:spacing w:line="240" w:lineRule="auto"/>
              <w:ind w:firstLine="0"/>
              <w:jc w:val="center"/>
              <w:rPr>
                <w:rFonts w:ascii="Calibri" w:hAnsi="Calibri" w:eastAsia="Times New Roman" w:cs="Calibri"/>
                <w:sz w:val="20"/>
                <w:szCs w:val="20"/>
              </w:rPr>
            </w:pPr>
            <w:r w:rsidRPr="00BB32AF">
              <w:rPr>
                <w:rFonts w:ascii="Calibri" w:hAnsi="Calibri" w:eastAsia="Times New Roman" w:cs="Calibri"/>
                <w:sz w:val="20"/>
                <w:szCs w:val="20"/>
              </w:rPr>
              <w:t>All affected customers</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169B6A8D" w14:textId="77777777">
            <w:pPr>
              <w:spacing w:line="240" w:lineRule="auto"/>
              <w:ind w:firstLine="0"/>
              <w:jc w:val="center"/>
              <w:rPr>
                <w:rFonts w:ascii="Calibri" w:hAnsi="Calibri" w:eastAsia="Times New Roman" w:cs="Calibri"/>
                <w:sz w:val="20"/>
                <w:szCs w:val="20"/>
              </w:rPr>
            </w:pPr>
            <w:r w:rsidRPr="00BB32AF">
              <w:rPr>
                <w:rFonts w:ascii="Calibri" w:hAnsi="Calibri" w:eastAsia="Times New Roman" w:cs="Calibri"/>
                <w:sz w:val="20"/>
                <w:szCs w:val="20"/>
              </w:rPr>
              <w:t>Industry and CPUC staff</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635358F2" w14:textId="77777777">
            <w:pPr>
              <w:spacing w:line="240" w:lineRule="auto"/>
              <w:ind w:firstLine="0"/>
              <w:jc w:val="center"/>
              <w:rPr>
                <w:rFonts w:ascii="Calibri" w:hAnsi="Calibri" w:eastAsia="Times New Roman" w:cs="Calibri"/>
                <w:sz w:val="20"/>
                <w:szCs w:val="20"/>
              </w:rPr>
            </w:pPr>
            <w:r w:rsidRPr="00BB32AF">
              <w:rPr>
                <w:rFonts w:ascii="Calibri" w:hAnsi="Calibri" w:eastAsia="Times New Roman" w:cs="Calibri"/>
                <w:sz w:val="20"/>
                <w:szCs w:val="20"/>
              </w:rPr>
              <w:t>11.5 months after ISD</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0F881ED3" w14:textId="77777777">
            <w:pPr>
              <w:spacing w:line="240" w:lineRule="auto"/>
              <w:ind w:firstLine="0"/>
              <w:jc w:val="center"/>
              <w:rPr>
                <w:rFonts w:ascii="Calibri" w:hAnsi="Calibri" w:eastAsia="Times New Roman" w:cs="Calibri"/>
                <w:color w:val="000000"/>
                <w:sz w:val="20"/>
                <w:szCs w:val="20"/>
              </w:rPr>
            </w:pPr>
            <w:r w:rsidRPr="00BB32AF">
              <w:rPr>
                <w:rFonts w:ascii="Calibri" w:hAnsi="Calibri" w:eastAsia="Times New Roman" w:cs="Calibri"/>
                <w:color w:val="000000"/>
                <w:sz w:val="20"/>
                <w:szCs w:val="20"/>
              </w:rPr>
              <w:t> </w:t>
            </w:r>
          </w:p>
        </w:tc>
      </w:tr>
      <w:tr w:rsidRPr="00BB32AF" w:rsidR="00153201" w:rsidTr="002439CA" w14:paraId="0F620E90" w14:textId="77777777">
        <w:trPr>
          <w:trHeight w:val="1785"/>
        </w:trPr>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B32AF" w:rsidR="00153201" w:rsidP="002439CA" w:rsidRDefault="00153201" w14:paraId="1F042B2E" w14:textId="77777777">
            <w:pPr>
              <w:spacing w:line="240" w:lineRule="auto"/>
              <w:ind w:firstLine="0"/>
              <w:jc w:val="center"/>
              <w:rPr>
                <w:rFonts w:ascii="Calibri" w:hAnsi="Calibri" w:eastAsia="Times New Roman" w:cs="Calibri"/>
                <w:color w:val="000000"/>
                <w:sz w:val="20"/>
                <w:szCs w:val="20"/>
              </w:rPr>
            </w:pPr>
            <w:r w:rsidRPr="00BB32AF">
              <w:rPr>
                <w:rFonts w:ascii="Calibri" w:hAnsi="Calibri" w:eastAsia="Times New Roman" w:cs="Calibri"/>
                <w:color w:val="000000"/>
                <w:sz w:val="20"/>
                <w:szCs w:val="20"/>
              </w:rPr>
              <w:t>18</w:t>
            </w:r>
          </w:p>
        </w:tc>
        <w:tc>
          <w:tcPr>
            <w:tcW w:w="38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7DF9590D" w14:textId="77777777">
            <w:pPr>
              <w:spacing w:line="240" w:lineRule="auto"/>
              <w:ind w:firstLine="0"/>
              <w:rPr>
                <w:rFonts w:ascii="Calibri" w:hAnsi="Calibri" w:eastAsia="Times New Roman" w:cs="Calibri"/>
                <w:sz w:val="20"/>
                <w:szCs w:val="20"/>
              </w:rPr>
            </w:pPr>
            <w:r w:rsidRPr="00BB32AF">
              <w:rPr>
                <w:rFonts w:ascii="Calibri" w:hAnsi="Calibri" w:eastAsia="Times New Roman" w:cs="Calibri"/>
                <w:sz w:val="20"/>
                <w:szCs w:val="20"/>
              </w:rPr>
              <w:t xml:space="preserve">Provide to CPUC Communications Division third email or written confirmation from the California Telecommunications Industry identifying media coverage (including local broadcast television stations) of the </w:t>
            </w:r>
            <w:proofErr w:type="gramStart"/>
            <w:r w:rsidRPr="00BB32AF">
              <w:rPr>
                <w:rFonts w:ascii="Calibri" w:hAnsi="Calibri" w:eastAsia="Times New Roman" w:cs="Calibri"/>
                <w:sz w:val="20"/>
                <w:szCs w:val="20"/>
              </w:rPr>
              <w:t>559 area</w:t>
            </w:r>
            <w:proofErr w:type="gramEnd"/>
            <w:r w:rsidRPr="00BB32AF">
              <w:rPr>
                <w:rFonts w:ascii="Calibri" w:hAnsi="Calibri" w:eastAsia="Times New Roman" w:cs="Calibri"/>
                <w:sz w:val="20"/>
                <w:szCs w:val="20"/>
              </w:rPr>
              <w:t xml:space="preserve"> code overlay.</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61DA43A7" w14:textId="77777777">
            <w:pPr>
              <w:spacing w:line="240" w:lineRule="auto"/>
              <w:ind w:firstLine="0"/>
              <w:jc w:val="center"/>
              <w:rPr>
                <w:rFonts w:ascii="Calibri" w:hAnsi="Calibri" w:eastAsia="Times New Roman" w:cs="Calibri"/>
                <w:sz w:val="20"/>
                <w:szCs w:val="20"/>
              </w:rPr>
            </w:pPr>
            <w:r w:rsidRPr="00BB32AF">
              <w:rPr>
                <w:rFonts w:ascii="Calibri" w:hAnsi="Calibri" w:eastAsia="Times New Roman" w:cs="Calibri"/>
                <w:sz w:val="20"/>
                <w:szCs w:val="20"/>
              </w:rPr>
              <w:t>Industry</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0D62484B" w14:textId="77777777">
            <w:pPr>
              <w:spacing w:line="240" w:lineRule="auto"/>
              <w:ind w:firstLine="0"/>
              <w:jc w:val="center"/>
              <w:rPr>
                <w:rFonts w:ascii="Calibri" w:hAnsi="Calibri" w:eastAsia="Times New Roman" w:cs="Calibri"/>
                <w:sz w:val="20"/>
                <w:szCs w:val="20"/>
              </w:rPr>
            </w:pPr>
            <w:r w:rsidRPr="00BB32AF">
              <w:rPr>
                <w:rFonts w:ascii="Calibri" w:hAnsi="Calibri" w:eastAsia="Times New Roman" w:cs="Calibri"/>
                <w:sz w:val="20"/>
                <w:szCs w:val="20"/>
              </w:rPr>
              <w:t>Industry</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0E7C2AEF" w14:textId="77777777">
            <w:pPr>
              <w:spacing w:line="240" w:lineRule="auto"/>
              <w:ind w:firstLine="0"/>
              <w:jc w:val="center"/>
              <w:rPr>
                <w:rFonts w:ascii="Calibri" w:hAnsi="Calibri" w:eastAsia="Times New Roman" w:cs="Calibri"/>
                <w:sz w:val="20"/>
                <w:szCs w:val="20"/>
              </w:rPr>
            </w:pPr>
            <w:r w:rsidRPr="00BB32AF">
              <w:rPr>
                <w:rFonts w:ascii="Calibri" w:hAnsi="Calibri" w:eastAsia="Times New Roman" w:cs="Calibri"/>
                <w:sz w:val="20"/>
                <w:szCs w:val="20"/>
              </w:rPr>
              <w:t>12.5 months after ISD</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4C87C374" w14:textId="77777777">
            <w:pPr>
              <w:spacing w:line="240" w:lineRule="auto"/>
              <w:ind w:firstLine="0"/>
              <w:jc w:val="center"/>
              <w:rPr>
                <w:rFonts w:ascii="Calibri" w:hAnsi="Calibri" w:eastAsia="Times New Roman" w:cs="Calibri"/>
                <w:color w:val="000000"/>
                <w:sz w:val="20"/>
                <w:szCs w:val="20"/>
              </w:rPr>
            </w:pPr>
            <w:r w:rsidRPr="00BB32AF">
              <w:rPr>
                <w:rFonts w:ascii="Calibri" w:hAnsi="Calibri" w:eastAsia="Times New Roman" w:cs="Calibri"/>
                <w:color w:val="000000"/>
                <w:sz w:val="20"/>
                <w:szCs w:val="20"/>
              </w:rPr>
              <w:t> </w:t>
            </w:r>
          </w:p>
        </w:tc>
      </w:tr>
      <w:tr w:rsidRPr="00BB32AF" w:rsidR="00153201" w:rsidTr="002439CA" w14:paraId="4806BDBD" w14:textId="77777777">
        <w:trPr>
          <w:trHeight w:val="1020"/>
        </w:trPr>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B32AF" w:rsidR="00153201" w:rsidP="002439CA" w:rsidRDefault="00153201" w14:paraId="3FD5607C" w14:textId="77777777">
            <w:pPr>
              <w:spacing w:line="240" w:lineRule="auto"/>
              <w:ind w:firstLine="0"/>
              <w:jc w:val="center"/>
              <w:rPr>
                <w:rFonts w:ascii="Calibri" w:hAnsi="Calibri" w:eastAsia="Times New Roman" w:cs="Calibri"/>
                <w:color w:val="000000"/>
                <w:sz w:val="20"/>
                <w:szCs w:val="20"/>
              </w:rPr>
            </w:pPr>
            <w:r w:rsidRPr="00BB32AF">
              <w:rPr>
                <w:rFonts w:ascii="Calibri" w:hAnsi="Calibri" w:eastAsia="Times New Roman" w:cs="Calibri"/>
                <w:color w:val="000000"/>
                <w:sz w:val="20"/>
                <w:szCs w:val="20"/>
              </w:rPr>
              <w:t>19</w:t>
            </w:r>
          </w:p>
        </w:tc>
        <w:tc>
          <w:tcPr>
            <w:tcW w:w="38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77E35B65" w14:textId="77777777">
            <w:pPr>
              <w:spacing w:line="240" w:lineRule="auto"/>
              <w:ind w:firstLine="0"/>
              <w:rPr>
                <w:rFonts w:ascii="Calibri" w:hAnsi="Calibri" w:eastAsia="Times New Roman" w:cs="Calibri"/>
                <w:sz w:val="20"/>
                <w:szCs w:val="20"/>
              </w:rPr>
            </w:pPr>
            <w:r w:rsidRPr="00BB32AF">
              <w:rPr>
                <w:rFonts w:ascii="Calibri" w:hAnsi="Calibri" w:eastAsia="Times New Roman" w:cs="Calibri"/>
                <w:sz w:val="20"/>
                <w:szCs w:val="20"/>
              </w:rPr>
              <w:t>Published Directories: Add information on cover to alert 559 area code customers about the new overlay area code</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6836368A" w14:textId="77777777">
            <w:pPr>
              <w:spacing w:line="240" w:lineRule="auto"/>
              <w:ind w:firstLine="0"/>
              <w:jc w:val="center"/>
              <w:rPr>
                <w:rFonts w:ascii="Calibri" w:hAnsi="Calibri" w:eastAsia="Times New Roman" w:cs="Calibri"/>
                <w:sz w:val="20"/>
                <w:szCs w:val="20"/>
              </w:rPr>
            </w:pPr>
            <w:r w:rsidRPr="00BB32AF">
              <w:rPr>
                <w:rFonts w:ascii="Calibri" w:hAnsi="Calibri" w:eastAsia="Times New Roman" w:cs="Calibri"/>
                <w:sz w:val="20"/>
                <w:szCs w:val="20"/>
              </w:rPr>
              <w:t>All affected customers</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02D727ED" w14:textId="77777777">
            <w:pPr>
              <w:spacing w:line="240" w:lineRule="auto"/>
              <w:ind w:firstLine="0"/>
              <w:jc w:val="center"/>
              <w:rPr>
                <w:rFonts w:ascii="Calibri" w:hAnsi="Calibri" w:eastAsia="Times New Roman" w:cs="Calibri"/>
                <w:sz w:val="20"/>
                <w:szCs w:val="20"/>
              </w:rPr>
            </w:pPr>
            <w:r w:rsidRPr="00BB32AF">
              <w:rPr>
                <w:rFonts w:ascii="Calibri" w:hAnsi="Calibri" w:eastAsia="Times New Roman" w:cs="Calibri"/>
                <w:sz w:val="20"/>
                <w:szCs w:val="20"/>
              </w:rPr>
              <w:t>Individual service</w:t>
            </w:r>
            <w:r w:rsidRPr="00BB32AF">
              <w:rPr>
                <w:rFonts w:ascii="Calibri" w:hAnsi="Calibri" w:eastAsia="Times New Roman" w:cs="Calibri"/>
                <w:sz w:val="20"/>
                <w:szCs w:val="20"/>
              </w:rPr>
              <w:br/>
              <w:t>provider</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13234FC5" w14:textId="77777777">
            <w:pPr>
              <w:spacing w:line="240" w:lineRule="auto"/>
              <w:ind w:firstLine="0"/>
              <w:jc w:val="center"/>
              <w:rPr>
                <w:rFonts w:ascii="Calibri" w:hAnsi="Calibri" w:eastAsia="Times New Roman" w:cs="Calibri"/>
                <w:sz w:val="20"/>
                <w:szCs w:val="20"/>
              </w:rPr>
            </w:pPr>
            <w:r w:rsidRPr="00BB32AF">
              <w:rPr>
                <w:rFonts w:ascii="Calibri" w:hAnsi="Calibri" w:eastAsia="Times New Roman" w:cs="Calibri"/>
                <w:sz w:val="20"/>
                <w:szCs w:val="20"/>
              </w:rPr>
              <w:t>9 months after ISD</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4CB7F389" w14:textId="77777777">
            <w:pPr>
              <w:spacing w:line="240" w:lineRule="auto"/>
              <w:ind w:firstLine="0"/>
              <w:jc w:val="center"/>
              <w:rPr>
                <w:rFonts w:ascii="Calibri" w:hAnsi="Calibri" w:eastAsia="Times New Roman" w:cs="Calibri"/>
                <w:color w:val="000000"/>
                <w:sz w:val="20"/>
                <w:szCs w:val="20"/>
              </w:rPr>
            </w:pPr>
            <w:r w:rsidRPr="00BB32AF">
              <w:rPr>
                <w:rFonts w:ascii="Calibri" w:hAnsi="Calibri" w:eastAsia="Times New Roman" w:cs="Calibri"/>
                <w:color w:val="000000"/>
                <w:sz w:val="20"/>
                <w:szCs w:val="20"/>
              </w:rPr>
              <w:t> </w:t>
            </w:r>
          </w:p>
        </w:tc>
      </w:tr>
      <w:tr w:rsidRPr="00BB32AF" w:rsidR="00153201" w:rsidTr="002439CA" w14:paraId="49C8A284" w14:textId="77777777">
        <w:trPr>
          <w:trHeight w:val="510"/>
        </w:trPr>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B32AF" w:rsidR="00153201" w:rsidP="002439CA" w:rsidRDefault="00153201" w14:paraId="45A9D5E0" w14:textId="77777777">
            <w:pPr>
              <w:spacing w:line="240" w:lineRule="auto"/>
              <w:ind w:firstLine="0"/>
              <w:jc w:val="center"/>
              <w:rPr>
                <w:rFonts w:ascii="Calibri" w:hAnsi="Calibri" w:eastAsia="Times New Roman" w:cs="Calibri"/>
                <w:color w:val="000000"/>
                <w:sz w:val="20"/>
                <w:szCs w:val="20"/>
              </w:rPr>
            </w:pPr>
            <w:r w:rsidRPr="00BB32AF">
              <w:rPr>
                <w:rFonts w:ascii="Calibri" w:hAnsi="Calibri" w:eastAsia="Times New Roman" w:cs="Calibri"/>
                <w:color w:val="000000"/>
                <w:sz w:val="20"/>
                <w:szCs w:val="20"/>
              </w:rPr>
              <w:t>20</w:t>
            </w:r>
          </w:p>
        </w:tc>
        <w:tc>
          <w:tcPr>
            <w:tcW w:w="38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1F7EC087" w14:textId="77777777">
            <w:pPr>
              <w:spacing w:line="240" w:lineRule="auto"/>
              <w:ind w:firstLine="0"/>
              <w:rPr>
                <w:rFonts w:ascii="Calibri" w:hAnsi="Calibri" w:eastAsia="Times New Roman" w:cs="Calibri"/>
                <w:sz w:val="20"/>
                <w:szCs w:val="20"/>
              </w:rPr>
            </w:pPr>
            <w:r w:rsidRPr="00BB32AF">
              <w:rPr>
                <w:rFonts w:ascii="Calibri" w:hAnsi="Calibri" w:eastAsia="Times New Roman" w:cs="Calibri"/>
                <w:sz w:val="20"/>
                <w:szCs w:val="20"/>
              </w:rPr>
              <w:t>Remit full payment for PEP fund contribution</w:t>
            </w:r>
          </w:p>
        </w:tc>
        <w:tc>
          <w:tcPr>
            <w:tcW w:w="17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B32AF" w:rsidR="00153201" w:rsidP="002439CA" w:rsidRDefault="00153201" w14:paraId="5CACBFD3" w14:textId="77777777">
            <w:pPr>
              <w:spacing w:line="240" w:lineRule="auto"/>
              <w:ind w:firstLine="0"/>
              <w:jc w:val="center"/>
              <w:rPr>
                <w:rFonts w:ascii="Times New Roman" w:hAnsi="Times New Roman" w:eastAsia="Times New Roman" w:cs="Times New Roman"/>
                <w:color w:val="000000"/>
                <w:sz w:val="20"/>
                <w:szCs w:val="20"/>
              </w:rPr>
            </w:pPr>
            <w:r w:rsidRPr="00BB32AF">
              <w:rPr>
                <w:rFonts w:ascii="Times New Roman" w:hAnsi="Times New Roman" w:eastAsia="Times New Roman" w:cs="Times New Roman"/>
                <w:color w:val="000000"/>
                <w:sz w:val="20"/>
                <w:szCs w:val="20"/>
              </w:rPr>
              <w:t>industry </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B32AF" w:rsidR="00153201" w:rsidP="002439CA" w:rsidRDefault="00153201" w14:paraId="6A47F81D" w14:textId="77777777">
            <w:pPr>
              <w:spacing w:line="240" w:lineRule="auto"/>
              <w:ind w:firstLine="0"/>
              <w:jc w:val="center"/>
              <w:rPr>
                <w:rFonts w:ascii="Times New Roman" w:hAnsi="Times New Roman" w:eastAsia="Times New Roman" w:cs="Times New Roman"/>
                <w:color w:val="000000"/>
                <w:sz w:val="20"/>
                <w:szCs w:val="20"/>
              </w:rPr>
            </w:pPr>
            <w:r w:rsidRPr="00BB32AF">
              <w:rPr>
                <w:rFonts w:ascii="Times New Roman" w:hAnsi="Times New Roman" w:eastAsia="Times New Roman" w:cs="Times New Roman"/>
                <w:color w:val="000000"/>
                <w:sz w:val="20"/>
                <w:szCs w:val="20"/>
              </w:rPr>
              <w:t>industry</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B32AF" w:rsidR="00153201" w:rsidP="002439CA" w:rsidRDefault="00153201" w14:paraId="6606510A" w14:textId="77777777">
            <w:pPr>
              <w:spacing w:line="240" w:lineRule="auto"/>
              <w:ind w:firstLine="0"/>
              <w:jc w:val="center"/>
              <w:rPr>
                <w:rFonts w:ascii="Times New Roman" w:hAnsi="Times New Roman" w:eastAsia="Times New Roman" w:cs="Times New Roman"/>
                <w:color w:val="000000"/>
                <w:sz w:val="20"/>
                <w:szCs w:val="20"/>
              </w:rPr>
            </w:pPr>
            <w:r w:rsidRPr="00BB32AF">
              <w:rPr>
                <w:rFonts w:ascii="Times New Roman" w:hAnsi="Times New Roman" w:eastAsia="Times New Roman" w:cs="Times New Roman"/>
                <w:color w:val="000000"/>
                <w:sz w:val="20"/>
                <w:szCs w:val="20"/>
              </w:rPr>
              <w:t> </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1B5FEB0A" w14:textId="77777777">
            <w:pPr>
              <w:spacing w:line="240" w:lineRule="auto"/>
              <w:ind w:firstLine="0"/>
              <w:jc w:val="center"/>
              <w:rPr>
                <w:rFonts w:ascii="Calibri" w:hAnsi="Calibri" w:eastAsia="Times New Roman" w:cs="Calibri"/>
                <w:color w:val="000000"/>
                <w:sz w:val="20"/>
                <w:szCs w:val="20"/>
              </w:rPr>
            </w:pPr>
            <w:r w:rsidRPr="00BB32AF">
              <w:rPr>
                <w:rFonts w:ascii="Calibri" w:hAnsi="Calibri" w:eastAsia="Times New Roman" w:cs="Calibri"/>
                <w:color w:val="000000"/>
                <w:sz w:val="20"/>
                <w:szCs w:val="20"/>
              </w:rPr>
              <w:t> </w:t>
            </w:r>
          </w:p>
        </w:tc>
      </w:tr>
      <w:tr w:rsidRPr="00BB32AF" w:rsidR="00153201" w:rsidTr="002439CA" w14:paraId="0CE3BBDE" w14:textId="77777777">
        <w:trPr>
          <w:trHeight w:val="1785"/>
        </w:trPr>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B32AF" w:rsidR="00153201" w:rsidP="002439CA" w:rsidRDefault="00153201" w14:paraId="310F9186" w14:textId="77777777">
            <w:pPr>
              <w:spacing w:line="240" w:lineRule="auto"/>
              <w:ind w:firstLine="0"/>
              <w:jc w:val="center"/>
              <w:rPr>
                <w:rFonts w:ascii="Calibri" w:hAnsi="Calibri" w:eastAsia="Times New Roman" w:cs="Calibri"/>
                <w:color w:val="000000"/>
                <w:sz w:val="20"/>
                <w:szCs w:val="20"/>
              </w:rPr>
            </w:pPr>
            <w:r w:rsidRPr="00BB32AF">
              <w:rPr>
                <w:rFonts w:ascii="Calibri" w:hAnsi="Calibri" w:eastAsia="Times New Roman" w:cs="Calibri"/>
                <w:color w:val="000000"/>
                <w:sz w:val="20"/>
                <w:szCs w:val="20"/>
              </w:rPr>
              <w:lastRenderedPageBreak/>
              <w:t>21</w:t>
            </w:r>
          </w:p>
        </w:tc>
        <w:tc>
          <w:tcPr>
            <w:tcW w:w="38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3D4E86EA" w14:textId="77777777">
            <w:pPr>
              <w:spacing w:line="240" w:lineRule="auto"/>
              <w:ind w:firstLine="0"/>
              <w:rPr>
                <w:rFonts w:ascii="Calibri" w:hAnsi="Calibri" w:eastAsia="Times New Roman" w:cs="Calibri"/>
                <w:sz w:val="20"/>
                <w:szCs w:val="20"/>
              </w:rPr>
            </w:pPr>
            <w:r w:rsidRPr="00BB32AF">
              <w:rPr>
                <w:rFonts w:ascii="Calibri" w:hAnsi="Calibri" w:eastAsia="Times New Roman" w:cs="Calibri"/>
                <w:sz w:val="20"/>
                <w:szCs w:val="20"/>
              </w:rPr>
              <w:t xml:space="preserve">Disseminate information in relevant zoned editions of major newspapers, ethnic media, </w:t>
            </w:r>
            <w:proofErr w:type="gramStart"/>
            <w:r w:rsidRPr="00BB32AF">
              <w:rPr>
                <w:rFonts w:ascii="Calibri" w:hAnsi="Calibri" w:eastAsia="Times New Roman" w:cs="Calibri"/>
                <w:sz w:val="20"/>
                <w:szCs w:val="20"/>
              </w:rPr>
              <w:t>radio</w:t>
            </w:r>
            <w:proofErr w:type="gramEnd"/>
            <w:r w:rsidRPr="00BB32AF">
              <w:rPr>
                <w:rFonts w:ascii="Calibri" w:hAnsi="Calibri" w:eastAsia="Times New Roman" w:cs="Calibri"/>
                <w:sz w:val="20"/>
                <w:szCs w:val="20"/>
              </w:rPr>
              <w:t xml:space="preserve"> and television through paid advertising. (Note: The bulk of the information should be disseminated in the three weeks preceding the beginning of mandatory </w:t>
            </w:r>
            <w:proofErr w:type="gramStart"/>
            <w:r w:rsidRPr="00BB32AF">
              <w:rPr>
                <w:rFonts w:ascii="Calibri" w:hAnsi="Calibri" w:eastAsia="Times New Roman" w:cs="Calibri"/>
                <w:sz w:val="20"/>
                <w:szCs w:val="20"/>
              </w:rPr>
              <w:t>1+10 digit</w:t>
            </w:r>
            <w:proofErr w:type="gramEnd"/>
            <w:r w:rsidRPr="00BB32AF">
              <w:rPr>
                <w:rFonts w:ascii="Calibri" w:hAnsi="Calibri" w:eastAsia="Times New Roman" w:cs="Calibri"/>
                <w:sz w:val="20"/>
                <w:szCs w:val="20"/>
              </w:rPr>
              <w:t xml:space="preserve"> dialing.)</w:t>
            </w:r>
          </w:p>
        </w:tc>
        <w:tc>
          <w:tcPr>
            <w:tcW w:w="17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B32AF" w:rsidR="00153201" w:rsidP="002439CA" w:rsidRDefault="00153201" w14:paraId="089A928E" w14:textId="77777777">
            <w:pPr>
              <w:spacing w:line="240" w:lineRule="auto"/>
              <w:ind w:firstLine="0"/>
              <w:jc w:val="center"/>
              <w:rPr>
                <w:rFonts w:ascii="Times New Roman" w:hAnsi="Times New Roman" w:eastAsia="Times New Roman" w:cs="Times New Roman"/>
                <w:color w:val="000000"/>
                <w:sz w:val="20"/>
                <w:szCs w:val="20"/>
              </w:rPr>
            </w:pPr>
            <w:r w:rsidRPr="00BB32AF">
              <w:rPr>
                <w:rFonts w:ascii="Times New Roman" w:hAnsi="Times New Roman" w:eastAsia="Times New Roman" w:cs="Times New Roman"/>
                <w:color w:val="000000"/>
                <w:sz w:val="20"/>
                <w:szCs w:val="20"/>
              </w:rPr>
              <w:t>All affected customers </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B32AF" w:rsidR="00153201" w:rsidP="002439CA" w:rsidRDefault="00153201" w14:paraId="2CF5195E" w14:textId="77777777">
            <w:pPr>
              <w:spacing w:line="240" w:lineRule="auto"/>
              <w:ind w:firstLine="0"/>
              <w:jc w:val="center"/>
              <w:rPr>
                <w:rFonts w:ascii="Times New Roman" w:hAnsi="Times New Roman" w:eastAsia="Times New Roman" w:cs="Times New Roman"/>
                <w:color w:val="000000"/>
                <w:sz w:val="20"/>
                <w:szCs w:val="20"/>
              </w:rPr>
            </w:pPr>
            <w:r w:rsidRPr="00BB32AF">
              <w:rPr>
                <w:rFonts w:ascii="Times New Roman" w:hAnsi="Times New Roman" w:eastAsia="Times New Roman" w:cs="Times New Roman"/>
                <w:color w:val="000000"/>
                <w:sz w:val="20"/>
                <w:szCs w:val="20"/>
              </w:rPr>
              <w:t> industry</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B32AF" w:rsidR="00153201" w:rsidP="002439CA" w:rsidRDefault="00153201" w14:paraId="51DB0570" w14:textId="77777777">
            <w:pPr>
              <w:spacing w:line="240" w:lineRule="auto"/>
              <w:ind w:firstLine="0"/>
              <w:jc w:val="center"/>
              <w:rPr>
                <w:rFonts w:ascii="Times New Roman" w:hAnsi="Times New Roman" w:eastAsia="Times New Roman" w:cs="Times New Roman"/>
                <w:color w:val="000000"/>
                <w:sz w:val="20"/>
                <w:szCs w:val="20"/>
              </w:rPr>
            </w:pPr>
            <w:r w:rsidRPr="00BB32AF">
              <w:rPr>
                <w:rFonts w:ascii="Times New Roman" w:hAnsi="Times New Roman" w:eastAsia="Times New Roman" w:cs="Times New Roman"/>
                <w:color w:val="000000"/>
                <w:sz w:val="20"/>
                <w:szCs w:val="20"/>
              </w:rPr>
              <w:t> </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5A6C6ECE" w14:textId="77777777">
            <w:pPr>
              <w:spacing w:line="240" w:lineRule="auto"/>
              <w:ind w:firstLine="0"/>
              <w:jc w:val="center"/>
              <w:rPr>
                <w:rFonts w:ascii="Calibri" w:hAnsi="Calibri" w:eastAsia="Times New Roman" w:cs="Calibri"/>
                <w:color w:val="000000"/>
                <w:sz w:val="20"/>
                <w:szCs w:val="20"/>
              </w:rPr>
            </w:pPr>
            <w:r w:rsidRPr="00BB32AF">
              <w:rPr>
                <w:rFonts w:ascii="Calibri" w:hAnsi="Calibri" w:eastAsia="Times New Roman" w:cs="Calibri"/>
                <w:color w:val="000000"/>
                <w:sz w:val="20"/>
                <w:szCs w:val="20"/>
              </w:rPr>
              <w:t> </w:t>
            </w:r>
          </w:p>
        </w:tc>
      </w:tr>
      <w:tr w:rsidRPr="00BB32AF" w:rsidR="00153201" w:rsidTr="002439CA" w14:paraId="51CBC723" w14:textId="77777777">
        <w:trPr>
          <w:trHeight w:val="510"/>
        </w:trPr>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B32AF" w:rsidR="00153201" w:rsidP="002439CA" w:rsidRDefault="00153201" w14:paraId="17AADDC3" w14:textId="77777777">
            <w:pPr>
              <w:spacing w:line="240" w:lineRule="auto"/>
              <w:ind w:firstLine="0"/>
              <w:jc w:val="center"/>
              <w:rPr>
                <w:rFonts w:ascii="Calibri" w:hAnsi="Calibri" w:eastAsia="Times New Roman" w:cs="Calibri"/>
                <w:color w:val="000000"/>
                <w:sz w:val="20"/>
                <w:szCs w:val="20"/>
              </w:rPr>
            </w:pPr>
            <w:r w:rsidRPr="00BB32AF">
              <w:rPr>
                <w:rFonts w:ascii="Calibri" w:hAnsi="Calibri" w:eastAsia="Times New Roman" w:cs="Calibri"/>
                <w:color w:val="000000"/>
                <w:sz w:val="20"/>
                <w:szCs w:val="20"/>
              </w:rPr>
              <w:t>22</w:t>
            </w:r>
          </w:p>
        </w:tc>
        <w:tc>
          <w:tcPr>
            <w:tcW w:w="38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110A3877" w14:textId="77777777">
            <w:pPr>
              <w:spacing w:line="240" w:lineRule="auto"/>
              <w:ind w:firstLine="0"/>
              <w:rPr>
                <w:rFonts w:ascii="Calibri" w:hAnsi="Calibri" w:eastAsia="Times New Roman" w:cs="Calibri"/>
                <w:sz w:val="20"/>
                <w:szCs w:val="20"/>
              </w:rPr>
            </w:pPr>
            <w:r w:rsidRPr="00BB32AF">
              <w:rPr>
                <w:rFonts w:ascii="Calibri" w:hAnsi="Calibri" w:eastAsia="Times New Roman" w:cs="Calibri"/>
                <w:sz w:val="20"/>
                <w:szCs w:val="20"/>
              </w:rPr>
              <w:t>Complete implementation of recorded message announcing mandatory dialing</w:t>
            </w:r>
          </w:p>
        </w:tc>
        <w:tc>
          <w:tcPr>
            <w:tcW w:w="17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B32AF" w:rsidR="00153201" w:rsidP="002439CA" w:rsidRDefault="00153201" w14:paraId="5024F0AA" w14:textId="77777777">
            <w:pPr>
              <w:spacing w:line="240" w:lineRule="auto"/>
              <w:ind w:firstLine="0"/>
              <w:jc w:val="center"/>
              <w:rPr>
                <w:rFonts w:ascii="Times New Roman" w:hAnsi="Times New Roman" w:eastAsia="Times New Roman" w:cs="Times New Roman"/>
                <w:color w:val="000000"/>
                <w:sz w:val="20"/>
                <w:szCs w:val="20"/>
              </w:rPr>
            </w:pPr>
            <w:r w:rsidRPr="00BB32AF">
              <w:rPr>
                <w:rFonts w:ascii="Times New Roman" w:hAnsi="Times New Roman" w:eastAsia="Times New Roman" w:cs="Times New Roman"/>
                <w:color w:val="000000"/>
                <w:sz w:val="20"/>
                <w:szCs w:val="20"/>
              </w:rPr>
              <w:t> Industry</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B32AF" w:rsidR="00153201" w:rsidP="002439CA" w:rsidRDefault="00153201" w14:paraId="343195E1" w14:textId="77777777">
            <w:pPr>
              <w:spacing w:line="240" w:lineRule="auto"/>
              <w:ind w:firstLine="0"/>
              <w:jc w:val="center"/>
              <w:rPr>
                <w:rFonts w:ascii="Times New Roman" w:hAnsi="Times New Roman" w:eastAsia="Times New Roman" w:cs="Times New Roman"/>
                <w:color w:val="000000"/>
                <w:sz w:val="20"/>
                <w:szCs w:val="20"/>
              </w:rPr>
            </w:pPr>
            <w:r w:rsidRPr="00BB32AF">
              <w:rPr>
                <w:rFonts w:ascii="Times New Roman" w:hAnsi="Times New Roman" w:eastAsia="Times New Roman" w:cs="Times New Roman"/>
                <w:color w:val="000000"/>
                <w:sz w:val="20"/>
                <w:szCs w:val="20"/>
              </w:rPr>
              <w:t>industry</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B32AF" w:rsidR="00153201" w:rsidP="002439CA" w:rsidRDefault="00153201" w14:paraId="6D4FB6B2" w14:textId="77777777">
            <w:pPr>
              <w:spacing w:line="240" w:lineRule="auto"/>
              <w:ind w:firstLine="0"/>
              <w:jc w:val="center"/>
              <w:rPr>
                <w:rFonts w:ascii="Times New Roman" w:hAnsi="Times New Roman" w:eastAsia="Times New Roman" w:cs="Times New Roman"/>
                <w:color w:val="000000"/>
                <w:sz w:val="20"/>
                <w:szCs w:val="20"/>
              </w:rPr>
            </w:pPr>
            <w:r w:rsidRPr="00BB32AF">
              <w:rPr>
                <w:rFonts w:ascii="Times New Roman" w:hAnsi="Times New Roman" w:eastAsia="Times New Roman" w:cs="Times New Roman"/>
                <w:color w:val="000000"/>
                <w:sz w:val="20"/>
                <w:szCs w:val="20"/>
              </w:rPr>
              <w:t> </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2620C254" w14:textId="77777777">
            <w:pPr>
              <w:spacing w:line="240" w:lineRule="auto"/>
              <w:ind w:firstLine="0"/>
              <w:jc w:val="center"/>
              <w:rPr>
                <w:rFonts w:ascii="Calibri" w:hAnsi="Calibri" w:eastAsia="Times New Roman" w:cs="Calibri"/>
                <w:color w:val="000000"/>
                <w:sz w:val="20"/>
                <w:szCs w:val="20"/>
              </w:rPr>
            </w:pPr>
            <w:r w:rsidRPr="00BB32AF">
              <w:rPr>
                <w:rFonts w:ascii="Calibri" w:hAnsi="Calibri" w:eastAsia="Times New Roman" w:cs="Calibri"/>
                <w:color w:val="000000"/>
                <w:sz w:val="20"/>
                <w:szCs w:val="20"/>
              </w:rPr>
              <w:t> </w:t>
            </w:r>
          </w:p>
        </w:tc>
      </w:tr>
      <w:tr w:rsidRPr="00BB32AF" w:rsidR="00153201" w:rsidTr="002439CA" w14:paraId="6EB50202" w14:textId="77777777">
        <w:trPr>
          <w:trHeight w:val="510"/>
        </w:trPr>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B32AF" w:rsidR="00153201" w:rsidP="002439CA" w:rsidRDefault="00153201" w14:paraId="11A37384" w14:textId="77777777">
            <w:pPr>
              <w:spacing w:line="240" w:lineRule="auto"/>
              <w:ind w:firstLine="0"/>
              <w:jc w:val="center"/>
              <w:rPr>
                <w:rFonts w:ascii="Calibri" w:hAnsi="Calibri" w:eastAsia="Times New Roman" w:cs="Calibri"/>
                <w:color w:val="000000"/>
                <w:sz w:val="20"/>
                <w:szCs w:val="20"/>
              </w:rPr>
            </w:pPr>
            <w:r w:rsidRPr="00BB32AF">
              <w:rPr>
                <w:rFonts w:ascii="Calibri" w:hAnsi="Calibri" w:eastAsia="Times New Roman" w:cs="Calibri"/>
                <w:color w:val="000000"/>
                <w:sz w:val="20"/>
                <w:szCs w:val="20"/>
              </w:rPr>
              <w:t>23</w:t>
            </w:r>
          </w:p>
        </w:tc>
        <w:tc>
          <w:tcPr>
            <w:tcW w:w="38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469354B6" w14:textId="77777777">
            <w:pPr>
              <w:spacing w:line="240" w:lineRule="auto"/>
              <w:ind w:firstLine="0"/>
              <w:rPr>
                <w:rFonts w:ascii="Calibri" w:hAnsi="Calibri" w:eastAsia="Times New Roman" w:cs="Calibri"/>
                <w:sz w:val="20"/>
                <w:szCs w:val="20"/>
              </w:rPr>
            </w:pPr>
            <w:r w:rsidRPr="00BB32AF">
              <w:rPr>
                <w:rFonts w:ascii="Calibri" w:hAnsi="Calibri" w:eastAsia="Times New Roman" w:cs="Calibri"/>
                <w:sz w:val="20"/>
                <w:szCs w:val="20"/>
              </w:rPr>
              <w:t>Begin Mandatory Dialing</w:t>
            </w:r>
          </w:p>
        </w:tc>
        <w:tc>
          <w:tcPr>
            <w:tcW w:w="17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B32AF" w:rsidR="00153201" w:rsidP="002439CA" w:rsidRDefault="00153201" w14:paraId="1D25A814" w14:textId="77777777">
            <w:pPr>
              <w:spacing w:line="240" w:lineRule="auto"/>
              <w:ind w:firstLine="0"/>
              <w:jc w:val="center"/>
              <w:rPr>
                <w:rFonts w:ascii="Times New Roman" w:hAnsi="Times New Roman" w:eastAsia="Times New Roman" w:cs="Times New Roman"/>
                <w:color w:val="000000"/>
                <w:sz w:val="20"/>
                <w:szCs w:val="20"/>
              </w:rPr>
            </w:pPr>
            <w:r w:rsidRPr="00BB32AF">
              <w:rPr>
                <w:rFonts w:ascii="Times New Roman" w:hAnsi="Times New Roman" w:eastAsia="Times New Roman" w:cs="Times New Roman"/>
                <w:color w:val="000000"/>
                <w:sz w:val="20"/>
                <w:szCs w:val="20"/>
              </w:rPr>
              <w:t> </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B32AF" w:rsidR="00153201" w:rsidP="002439CA" w:rsidRDefault="00153201" w14:paraId="48ADD890" w14:textId="77777777">
            <w:pPr>
              <w:spacing w:line="240" w:lineRule="auto"/>
              <w:ind w:firstLine="0"/>
              <w:jc w:val="center"/>
              <w:rPr>
                <w:rFonts w:ascii="Times New Roman" w:hAnsi="Times New Roman" w:eastAsia="Times New Roman" w:cs="Times New Roman"/>
                <w:color w:val="000000"/>
                <w:sz w:val="20"/>
                <w:szCs w:val="20"/>
              </w:rPr>
            </w:pPr>
            <w:r w:rsidRPr="00BB32AF">
              <w:rPr>
                <w:rFonts w:ascii="Times New Roman" w:hAnsi="Times New Roman" w:eastAsia="Times New Roman" w:cs="Times New Roman"/>
                <w:color w:val="000000"/>
                <w:sz w:val="20"/>
                <w:szCs w:val="20"/>
              </w:rPr>
              <w:t> </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5059E939" w14:textId="77777777">
            <w:pPr>
              <w:spacing w:line="240" w:lineRule="auto"/>
              <w:ind w:firstLine="0"/>
              <w:jc w:val="center"/>
              <w:rPr>
                <w:rFonts w:ascii="Calibri" w:hAnsi="Calibri" w:eastAsia="Times New Roman" w:cs="Calibri"/>
                <w:sz w:val="20"/>
                <w:szCs w:val="20"/>
              </w:rPr>
            </w:pPr>
            <w:r w:rsidRPr="00BB32AF">
              <w:rPr>
                <w:rFonts w:ascii="Calibri" w:hAnsi="Calibri" w:eastAsia="Times New Roman" w:cs="Calibri"/>
                <w:sz w:val="20"/>
                <w:szCs w:val="20"/>
              </w:rPr>
              <w:t>12 months after ISD</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2455128A" w14:textId="77777777">
            <w:pPr>
              <w:spacing w:line="240" w:lineRule="auto"/>
              <w:ind w:firstLine="0"/>
              <w:jc w:val="center"/>
              <w:rPr>
                <w:rFonts w:ascii="Calibri" w:hAnsi="Calibri" w:eastAsia="Times New Roman" w:cs="Calibri"/>
                <w:color w:val="000000"/>
                <w:sz w:val="20"/>
                <w:szCs w:val="20"/>
              </w:rPr>
            </w:pPr>
            <w:r w:rsidRPr="00BB32AF">
              <w:rPr>
                <w:rFonts w:ascii="Calibri" w:hAnsi="Calibri" w:eastAsia="Times New Roman" w:cs="Calibri"/>
                <w:color w:val="000000"/>
                <w:sz w:val="20"/>
                <w:szCs w:val="20"/>
              </w:rPr>
              <w:t> </w:t>
            </w:r>
          </w:p>
        </w:tc>
      </w:tr>
      <w:tr w:rsidRPr="00BB32AF" w:rsidR="00153201" w:rsidTr="002439CA" w14:paraId="0131E01F" w14:textId="77777777">
        <w:trPr>
          <w:trHeight w:val="1275"/>
        </w:trPr>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B32AF" w:rsidR="00153201" w:rsidP="002439CA" w:rsidRDefault="00153201" w14:paraId="311B0AAD" w14:textId="77777777">
            <w:pPr>
              <w:spacing w:line="240" w:lineRule="auto"/>
              <w:ind w:firstLine="0"/>
              <w:jc w:val="center"/>
              <w:rPr>
                <w:rFonts w:ascii="Calibri" w:hAnsi="Calibri" w:eastAsia="Times New Roman" w:cs="Calibri"/>
                <w:color w:val="000000"/>
                <w:sz w:val="20"/>
                <w:szCs w:val="20"/>
              </w:rPr>
            </w:pPr>
            <w:r w:rsidRPr="00BB32AF">
              <w:rPr>
                <w:rFonts w:ascii="Calibri" w:hAnsi="Calibri" w:eastAsia="Times New Roman" w:cs="Calibri"/>
                <w:color w:val="000000"/>
                <w:sz w:val="20"/>
                <w:szCs w:val="20"/>
              </w:rPr>
              <w:t>24</w:t>
            </w:r>
          </w:p>
        </w:tc>
        <w:tc>
          <w:tcPr>
            <w:tcW w:w="38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757563BD" w14:textId="77777777">
            <w:pPr>
              <w:spacing w:line="240" w:lineRule="auto"/>
              <w:ind w:firstLine="0"/>
              <w:rPr>
                <w:rFonts w:ascii="Calibri" w:hAnsi="Calibri" w:eastAsia="Times New Roman" w:cs="Calibri"/>
                <w:sz w:val="20"/>
                <w:szCs w:val="20"/>
              </w:rPr>
            </w:pPr>
            <w:r w:rsidRPr="00BB32AF">
              <w:rPr>
                <w:rFonts w:ascii="Calibri" w:hAnsi="Calibri" w:eastAsia="Times New Roman" w:cs="Calibri"/>
                <w:sz w:val="20"/>
                <w:szCs w:val="20"/>
              </w:rPr>
              <w:t xml:space="preserve">New Area Code </w:t>
            </w:r>
            <w:proofErr w:type="gramStart"/>
            <w:r w:rsidRPr="00BB32AF">
              <w:rPr>
                <w:rFonts w:ascii="Calibri" w:hAnsi="Calibri" w:eastAsia="Times New Roman" w:cs="Calibri"/>
                <w:sz w:val="20"/>
                <w:szCs w:val="20"/>
              </w:rPr>
              <w:t>assigned</w:t>
            </w:r>
            <w:proofErr w:type="gramEnd"/>
            <w:r w:rsidRPr="00BB32AF">
              <w:rPr>
                <w:rFonts w:ascii="Calibri" w:hAnsi="Calibri" w:eastAsia="Times New Roman" w:cs="Calibri"/>
                <w:sz w:val="20"/>
                <w:szCs w:val="20"/>
              </w:rPr>
              <w:t xml:space="preserve"> and implementation completed</w:t>
            </w:r>
          </w:p>
        </w:tc>
        <w:tc>
          <w:tcPr>
            <w:tcW w:w="17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B32AF" w:rsidR="00153201" w:rsidP="002439CA" w:rsidRDefault="00153201" w14:paraId="33804225" w14:textId="77777777">
            <w:pPr>
              <w:spacing w:line="240" w:lineRule="auto"/>
              <w:ind w:firstLine="0"/>
              <w:jc w:val="center"/>
              <w:rPr>
                <w:rFonts w:ascii="Times New Roman" w:hAnsi="Times New Roman" w:eastAsia="Times New Roman" w:cs="Times New Roman"/>
                <w:color w:val="000000"/>
                <w:sz w:val="20"/>
                <w:szCs w:val="20"/>
              </w:rPr>
            </w:pPr>
            <w:r w:rsidRPr="00BB32AF">
              <w:rPr>
                <w:rFonts w:ascii="Times New Roman" w:hAnsi="Times New Roman" w:eastAsia="Times New Roman" w:cs="Times New Roman"/>
                <w:color w:val="000000"/>
                <w:sz w:val="20"/>
                <w:szCs w:val="20"/>
              </w:rPr>
              <w:t> </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B32AF" w:rsidR="00153201" w:rsidP="002439CA" w:rsidRDefault="00153201" w14:paraId="5A766247" w14:textId="77777777">
            <w:pPr>
              <w:spacing w:line="240" w:lineRule="auto"/>
              <w:ind w:firstLine="0"/>
              <w:jc w:val="center"/>
              <w:rPr>
                <w:rFonts w:ascii="Times New Roman" w:hAnsi="Times New Roman" w:eastAsia="Times New Roman" w:cs="Times New Roman"/>
                <w:color w:val="000000"/>
                <w:sz w:val="20"/>
                <w:szCs w:val="20"/>
              </w:rPr>
            </w:pPr>
            <w:r w:rsidRPr="00BB32AF">
              <w:rPr>
                <w:rFonts w:ascii="Times New Roman" w:hAnsi="Times New Roman" w:eastAsia="Times New Roman" w:cs="Times New Roman"/>
                <w:color w:val="000000"/>
                <w:sz w:val="20"/>
                <w:szCs w:val="20"/>
              </w:rPr>
              <w:t> </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0AA519A9" w14:textId="77777777">
            <w:pPr>
              <w:spacing w:line="240" w:lineRule="auto"/>
              <w:ind w:firstLine="0"/>
              <w:jc w:val="center"/>
              <w:rPr>
                <w:rFonts w:ascii="Calibri" w:hAnsi="Calibri" w:eastAsia="Times New Roman" w:cs="Calibri"/>
                <w:sz w:val="20"/>
                <w:szCs w:val="20"/>
              </w:rPr>
            </w:pPr>
            <w:r w:rsidRPr="00BB32AF">
              <w:rPr>
                <w:rFonts w:ascii="Calibri" w:hAnsi="Calibri" w:eastAsia="Times New Roman" w:cs="Calibri"/>
                <w:sz w:val="20"/>
                <w:szCs w:val="20"/>
              </w:rPr>
              <w:t>13 months after ISD, 1 month after mandatory dialing</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32AF" w:rsidR="00153201" w:rsidP="002439CA" w:rsidRDefault="00153201" w14:paraId="7AD61007" w14:textId="77777777">
            <w:pPr>
              <w:spacing w:line="240" w:lineRule="auto"/>
              <w:ind w:firstLine="0"/>
              <w:jc w:val="center"/>
              <w:rPr>
                <w:rFonts w:ascii="Calibri" w:hAnsi="Calibri" w:eastAsia="Times New Roman" w:cs="Calibri"/>
                <w:color w:val="000000"/>
                <w:sz w:val="20"/>
                <w:szCs w:val="20"/>
              </w:rPr>
            </w:pPr>
            <w:r w:rsidRPr="00BB32AF">
              <w:rPr>
                <w:rFonts w:ascii="Calibri" w:hAnsi="Calibri" w:eastAsia="Times New Roman" w:cs="Calibri"/>
                <w:color w:val="000000"/>
                <w:sz w:val="20"/>
                <w:szCs w:val="20"/>
              </w:rPr>
              <w:t> </w:t>
            </w:r>
          </w:p>
        </w:tc>
      </w:tr>
    </w:tbl>
    <w:p w:rsidRPr="00BB32AF" w:rsidR="00153201" w:rsidP="00153201" w:rsidRDefault="00153201" w14:paraId="716FB73C" w14:textId="77777777"/>
    <w:p w:rsidRPr="00BB32AF" w:rsidR="00153201" w:rsidP="00153201" w:rsidRDefault="00153201" w14:paraId="65D57EEB" w14:textId="77777777">
      <w:pPr>
        <w:adjustRightInd w:val="0"/>
        <w:spacing w:before="240"/>
        <w:jc w:val="center"/>
        <w:rPr>
          <w:b/>
          <w:szCs w:val="28"/>
        </w:rPr>
      </w:pPr>
      <w:r w:rsidRPr="00BB32AF">
        <w:rPr>
          <w:b/>
          <w:szCs w:val="28"/>
        </w:rPr>
        <w:t>(END OF ATTACHMENT A)</w:t>
      </w:r>
    </w:p>
    <w:p w:rsidRPr="00BB32AF" w:rsidR="00153201" w:rsidP="00153201" w:rsidRDefault="00153201" w14:paraId="4A72E7FE" w14:textId="77777777">
      <w:pPr>
        <w:rPr>
          <w:rFonts w:eastAsia="Times New Roman" w:cs="Times New Roman"/>
          <w:szCs w:val="20"/>
        </w:rPr>
      </w:pPr>
    </w:p>
    <w:sectPr w:rsidRPr="00BB32AF" w:rsidR="00153201" w:rsidSect="001E51F7">
      <w:headerReference w:type="default" r:id="rId13"/>
      <w:footerReference w:type="default" r:id="rId14"/>
      <w:pgSz w:w="12240" w:h="15840"/>
      <w:pgMar w:top="1728"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8033F" w14:textId="77777777" w:rsidR="001B7245" w:rsidRDefault="001B7245" w:rsidP="0098138E">
      <w:pPr>
        <w:spacing w:line="240" w:lineRule="auto"/>
      </w:pPr>
      <w:r>
        <w:separator/>
      </w:r>
    </w:p>
  </w:endnote>
  <w:endnote w:type="continuationSeparator" w:id="0">
    <w:p w14:paraId="6D866995" w14:textId="77777777" w:rsidR="001B7245" w:rsidRDefault="001B7245"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C9C6D" w14:textId="77777777" w:rsidR="00153201" w:rsidRDefault="00153201" w:rsidP="007E0FEE">
    <w:pPr>
      <w:ind w:firstLine="0"/>
      <w:jc w:val="center"/>
    </w:pPr>
    <w:r>
      <w:t>-</w:t>
    </w:r>
    <w:sdt>
      <w:sdtPr>
        <w:id w:val="57894454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3BFC" w14:textId="7FC25BB8" w:rsidR="00153201" w:rsidRDefault="009A5653" w:rsidP="007E0FEE">
    <w:pPr>
      <w:tabs>
        <w:tab w:val="center" w:pos="4680"/>
      </w:tabs>
      <w:ind w:firstLine="0"/>
      <w:rPr>
        <w:noProof/>
      </w:rPr>
    </w:pPr>
    <w:r>
      <w:rPr>
        <w:sz w:val="16"/>
        <w:szCs w:val="16"/>
      </w:rPr>
      <w:t>5</w:t>
    </w:r>
    <w:r w:rsidR="001417A8">
      <w:rPr>
        <w:sz w:val="16"/>
        <w:szCs w:val="16"/>
      </w:rPr>
      <w:t>21384095</w:t>
    </w:r>
    <w:sdt>
      <w:sdtPr>
        <w:rPr>
          <w:sz w:val="16"/>
          <w:szCs w:val="16"/>
        </w:rPr>
        <w:id w:val="-1788425084"/>
        <w:docPartObj>
          <w:docPartGallery w:val="Page Numbers (Bottom of Page)"/>
          <w:docPartUnique/>
        </w:docPartObj>
      </w:sdtPr>
      <w:sdtEndPr>
        <w:rPr>
          <w:noProof/>
          <w:sz w:val="26"/>
          <w:szCs w:val="22"/>
        </w:rPr>
      </w:sdtEndPr>
      <w:sdtContent>
        <w:r w:rsidR="00153201">
          <w:rPr>
            <w:rFonts w:ascii="Arial" w:hAnsi="Arial" w:cs="Arial"/>
            <w:sz w:val="16"/>
            <w:szCs w:val="16"/>
          </w:rPr>
          <w:tab/>
        </w:r>
        <w:r w:rsidR="00153201">
          <w:t>- 1</w:t>
        </w:r>
      </w:sdtContent>
    </w:sdt>
    <w:r w:rsidR="00153201">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28D88" w14:textId="5EDC150B" w:rsidR="00E23CBB" w:rsidRDefault="00E23CBB" w:rsidP="007E0FEE">
    <w:pPr>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755D1" w14:textId="145C812A" w:rsidR="00E23CBB" w:rsidRDefault="00E23CBB" w:rsidP="007E0FEE">
    <w:pPr>
      <w:ind w:firstLine="0"/>
      <w:jc w:val="center"/>
    </w:pPr>
    <w:r>
      <w:t>-</w:t>
    </w:r>
    <w:sdt>
      <w:sdtPr>
        <w:id w:val="-1034043401"/>
        <w:docPartObj>
          <w:docPartGallery w:val="Page Numbers (Bottom of Page)"/>
          <w:docPartUnique/>
        </w:docPartObj>
      </w:sdtPr>
      <w:sdtEndPr>
        <w:rPr>
          <w:noProof/>
        </w:rPr>
      </w:sdtEndPr>
      <w:sdtContent>
        <w:r w:rsidR="00EE4315">
          <w:t xml:space="preserve"> </w:t>
        </w:r>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7EEE9" w14:textId="77777777" w:rsidR="001B7245" w:rsidRDefault="001B7245" w:rsidP="00DF58E7">
      <w:pPr>
        <w:spacing w:line="240" w:lineRule="auto"/>
        <w:ind w:firstLine="0"/>
      </w:pPr>
      <w:r>
        <w:separator/>
      </w:r>
    </w:p>
  </w:footnote>
  <w:footnote w:type="continuationSeparator" w:id="0">
    <w:p w14:paraId="54E3CD8F" w14:textId="77777777" w:rsidR="001B7245" w:rsidRDefault="001B7245" w:rsidP="00DF58E7">
      <w:pPr>
        <w:spacing w:line="240" w:lineRule="auto"/>
        <w:ind w:firstLine="0"/>
      </w:pPr>
      <w:r>
        <w:continuationSeparator/>
      </w:r>
    </w:p>
  </w:footnote>
  <w:footnote w:type="continuationNotice" w:id="1">
    <w:p w14:paraId="53F7F731" w14:textId="77777777" w:rsidR="001B7245" w:rsidRPr="00DF58E7" w:rsidRDefault="001B7245" w:rsidP="00DF58E7">
      <w:pPr>
        <w:spacing w:line="240" w:lineRule="auto"/>
        <w:ind w:firstLine="0"/>
        <w:jc w:val="right"/>
        <w:rPr>
          <w:i/>
          <w:sz w:val="22"/>
        </w:rPr>
      </w:pPr>
      <w:r w:rsidRPr="00DF58E7">
        <w:rPr>
          <w:i/>
          <w:sz w:val="22"/>
        </w:rPr>
        <w:t>Footnote continued on next page.</w:t>
      </w:r>
    </w:p>
  </w:footnote>
  <w:footnote w:id="2">
    <w:p w14:paraId="353AE752" w14:textId="77777777" w:rsidR="00153201" w:rsidRPr="003304C9" w:rsidRDefault="00153201" w:rsidP="00153201">
      <w:pPr>
        <w:pStyle w:val="FootnoteText"/>
      </w:pPr>
      <w:r w:rsidRPr="008378FB">
        <w:rPr>
          <w:rStyle w:val="FootnoteReference"/>
        </w:rPr>
        <w:footnoteRef/>
      </w:r>
      <w:r w:rsidRPr="008378FB">
        <w:rPr>
          <w:rStyle w:val="FootnoteReference"/>
        </w:rPr>
        <w:t xml:space="preserve"> </w:t>
      </w:r>
      <w:r w:rsidRPr="003304C9">
        <w:t>As a neutral third</w:t>
      </w:r>
      <w:r>
        <w:noBreakHyphen/>
      </w:r>
      <w:r w:rsidRPr="003304C9">
        <w:t xml:space="preserve">party administrator, NANPA has no independent view regarding the relief option proposed by </w:t>
      </w:r>
      <w:r w:rsidRPr="00CA43AE">
        <w:t>the</w:t>
      </w:r>
      <w:r w:rsidRPr="003304C9">
        <w:t xml:space="preserve"> </w:t>
      </w:r>
      <w:proofErr w:type="gramStart"/>
      <w:r w:rsidRPr="003304C9">
        <w:t>Industry</w:t>
      </w:r>
      <w:proofErr w:type="gramEnd"/>
      <w:r w:rsidRPr="003304C9">
        <w:t xml:space="preserve"> in this application.</w:t>
      </w:r>
      <w:r>
        <w:t xml:space="preserve"> </w:t>
      </w:r>
    </w:p>
  </w:footnote>
  <w:footnote w:id="3">
    <w:p w14:paraId="2FC90BC8" w14:textId="77777777" w:rsidR="00153201" w:rsidRDefault="00153201" w:rsidP="00153201">
      <w:pPr>
        <w:pStyle w:val="FootnoteText"/>
      </w:pPr>
      <w:r>
        <w:rPr>
          <w:rStyle w:val="FootnoteReference"/>
        </w:rPr>
        <w:footnoteRef/>
      </w:r>
      <w:r>
        <w:t xml:space="preserve"> </w:t>
      </w:r>
      <w:r w:rsidRPr="00536503">
        <w:t xml:space="preserve">The </w:t>
      </w:r>
      <w:proofErr w:type="gramStart"/>
      <w:r w:rsidRPr="00536503">
        <w:t>Industry</w:t>
      </w:r>
      <w:proofErr w:type="gramEnd"/>
      <w:r w:rsidRPr="00536503">
        <w:t xml:space="preserve"> is composed of current and prospective telecommunications carriers operating in, or considering operations within, the </w:t>
      </w:r>
      <w:r>
        <w:t xml:space="preserve">559 </w:t>
      </w:r>
      <w:r w:rsidRPr="00BB663B">
        <w:t>Numbering Plan Area</w:t>
      </w:r>
      <w:r w:rsidRPr="00586D7D">
        <w:t xml:space="preserve"> </w:t>
      </w:r>
      <w:r w:rsidRPr="00692E1F">
        <w:t>(</w:t>
      </w:r>
      <w:r w:rsidRPr="00BB663B">
        <w:t>NPA</w:t>
      </w:r>
      <w:r w:rsidRPr="00692E1F">
        <w:t xml:space="preserve"> or </w:t>
      </w:r>
      <w:r w:rsidRPr="00BB663B">
        <w:t>area code</w:t>
      </w:r>
      <w:r w:rsidRPr="00692E1F">
        <w:t>)</w:t>
      </w:r>
      <w:r w:rsidRPr="00536503">
        <w:t>.</w:t>
      </w:r>
      <w:r>
        <w:t xml:space="preserve"> </w:t>
      </w:r>
    </w:p>
  </w:footnote>
  <w:footnote w:id="4">
    <w:p w14:paraId="4ED5CD13" w14:textId="77777777" w:rsidR="00153201" w:rsidRDefault="00153201" w:rsidP="00153201">
      <w:pPr>
        <w:pStyle w:val="FootnoteText"/>
      </w:pPr>
      <w:r>
        <w:rPr>
          <w:rStyle w:val="FootnoteReference"/>
        </w:rPr>
        <w:footnoteRef/>
      </w:r>
      <w:r>
        <w:t xml:space="preserve"> An </w:t>
      </w:r>
      <w:r w:rsidRPr="003304C9">
        <w:t xml:space="preserve">NPA, also known as an </w:t>
      </w:r>
      <w:r>
        <w:t>area code</w:t>
      </w:r>
      <w:r w:rsidRPr="003304C9">
        <w:t xml:space="preserve">, normally represents a geographic area within a state. In the current case, the </w:t>
      </w:r>
      <w:r w:rsidRPr="00586D7D">
        <w:t>NPA</w:t>
      </w:r>
      <w:r w:rsidRPr="003304C9">
        <w:t xml:space="preserve"> is </w:t>
      </w:r>
      <w:r>
        <w:t>559</w:t>
      </w:r>
      <w:r w:rsidRPr="003304C9">
        <w:t xml:space="preserve">. </w:t>
      </w:r>
      <w:r>
        <w:t xml:space="preserve"> </w:t>
      </w:r>
      <w:r w:rsidRPr="003304C9">
        <w:t xml:space="preserve">Throughout this decision, NPA and </w:t>
      </w:r>
      <w:r>
        <w:t>area code</w:t>
      </w:r>
      <w:r w:rsidRPr="003304C9">
        <w:t xml:space="preserve"> are used interchangeably.</w:t>
      </w:r>
    </w:p>
  </w:footnote>
  <w:footnote w:id="5">
    <w:p w14:paraId="7B292E6F" w14:textId="77777777" w:rsidR="00153201" w:rsidRPr="00CC21D9" w:rsidRDefault="00153201" w:rsidP="00153201">
      <w:pPr>
        <w:spacing w:after="120" w:line="240" w:lineRule="auto"/>
        <w:ind w:firstLine="0"/>
        <w:rPr>
          <w:rFonts w:eastAsia="Times New Roman" w:cs="Times New Roman"/>
          <w:sz w:val="22"/>
        </w:rPr>
      </w:pPr>
      <w:r w:rsidRPr="009D3DF7">
        <w:rPr>
          <w:rStyle w:val="FootnoteReference"/>
          <w:sz w:val="22"/>
        </w:rPr>
        <w:footnoteRef/>
      </w:r>
      <w:r w:rsidRPr="009D3DF7">
        <w:rPr>
          <w:sz w:val="22"/>
        </w:rPr>
        <w:t xml:space="preserve"> </w:t>
      </w:r>
      <w:r>
        <w:rPr>
          <w:sz w:val="22"/>
        </w:rPr>
        <w:t xml:space="preserve">Available as of the date of this decision at: </w:t>
      </w:r>
      <w:hyperlink r:id="rId1" w:history="1">
        <w:r w:rsidRPr="00BC13CA">
          <w:rPr>
            <w:rStyle w:val="Hyperlink"/>
            <w:rFonts w:eastAsia="Times New Roman" w:cs="Times New Roman"/>
            <w:sz w:val="22"/>
          </w:rPr>
          <w:t>https://docs.fcc.gov/public/attachments/DOC-368493A1.pdf</w:t>
        </w:r>
      </w:hyperlink>
    </w:p>
    <w:p w14:paraId="75E76509" w14:textId="77777777" w:rsidR="00153201" w:rsidRPr="009D3DF7" w:rsidRDefault="00153201" w:rsidP="00153201">
      <w:pPr>
        <w:ind w:firstLine="630"/>
        <w:rPr>
          <w:sz w:val="22"/>
        </w:rPr>
      </w:pPr>
      <w:r w:rsidRPr="009D3DF7">
        <w:rPr>
          <w:sz w:val="22"/>
        </w:rPr>
        <w:t xml:space="preserve"> </w:t>
      </w:r>
      <w:proofErr w:type="spellStart"/>
      <w:r w:rsidRPr="009D3DF7">
        <w:rPr>
          <w:sz w:val="22"/>
        </w:rPr>
        <w:t>Somos’</w:t>
      </w:r>
      <w:proofErr w:type="spellEnd"/>
      <w:r w:rsidRPr="009D3DF7">
        <w:rPr>
          <w:sz w:val="22"/>
        </w:rPr>
        <w:t xml:space="preserve"> mailing address and counsel </w:t>
      </w:r>
      <w:r>
        <w:rPr>
          <w:sz w:val="22"/>
        </w:rPr>
        <w:t>are</w:t>
      </w:r>
      <w:r w:rsidRPr="009D3DF7">
        <w:rPr>
          <w:sz w:val="22"/>
        </w:rPr>
        <w:t>:</w:t>
      </w:r>
    </w:p>
    <w:p w14:paraId="491C0F44" w14:textId="77777777" w:rsidR="00153201" w:rsidRPr="009D3DF7" w:rsidRDefault="00153201" w:rsidP="00153201">
      <w:pPr>
        <w:pStyle w:val="FootnoteText"/>
        <w:keepNext/>
        <w:spacing w:after="0"/>
        <w:ind w:left="720"/>
        <w:rPr>
          <w:szCs w:val="22"/>
        </w:rPr>
      </w:pPr>
      <w:r w:rsidRPr="009D3DF7">
        <w:rPr>
          <w:szCs w:val="22"/>
        </w:rPr>
        <w:t>Kimberly Miller, Esq.</w:t>
      </w:r>
    </w:p>
    <w:p w14:paraId="54828D6D" w14:textId="77777777" w:rsidR="00153201" w:rsidRPr="009D3DF7" w:rsidRDefault="00153201" w:rsidP="00153201">
      <w:pPr>
        <w:pStyle w:val="FootnoteText"/>
        <w:spacing w:after="0"/>
        <w:ind w:left="720"/>
        <w:rPr>
          <w:color w:val="000000"/>
          <w:szCs w:val="22"/>
        </w:rPr>
      </w:pPr>
      <w:r w:rsidRPr="009D3DF7">
        <w:rPr>
          <w:color w:val="000000"/>
          <w:szCs w:val="22"/>
        </w:rPr>
        <w:t xml:space="preserve">Senior </w:t>
      </w:r>
      <w:r w:rsidRPr="009D3DF7">
        <w:rPr>
          <w:szCs w:val="22"/>
        </w:rPr>
        <w:t>Corporate</w:t>
      </w:r>
      <w:r w:rsidRPr="009D3DF7">
        <w:rPr>
          <w:color w:val="000000"/>
          <w:szCs w:val="22"/>
        </w:rPr>
        <w:t xml:space="preserve"> Counsel</w:t>
      </w:r>
    </w:p>
    <w:p w14:paraId="2F7873C1" w14:textId="77777777" w:rsidR="00153201" w:rsidRPr="009D3DF7" w:rsidRDefault="00153201" w:rsidP="00153201">
      <w:pPr>
        <w:pStyle w:val="FootnoteText"/>
        <w:spacing w:after="0"/>
        <w:ind w:left="720"/>
        <w:rPr>
          <w:color w:val="000000"/>
          <w:szCs w:val="22"/>
        </w:rPr>
      </w:pPr>
      <w:r w:rsidRPr="009D3DF7">
        <w:rPr>
          <w:color w:val="000000"/>
          <w:szCs w:val="22"/>
        </w:rPr>
        <w:t>Counsel for North American Numbering Plan Administrator</w:t>
      </w:r>
    </w:p>
    <w:p w14:paraId="3AFD6ED5" w14:textId="77777777" w:rsidR="00153201" w:rsidRPr="009D3DF7" w:rsidRDefault="00153201" w:rsidP="00153201">
      <w:pPr>
        <w:pStyle w:val="FootnoteText"/>
        <w:spacing w:after="0"/>
        <w:ind w:left="720"/>
        <w:rPr>
          <w:color w:val="000000"/>
          <w:szCs w:val="22"/>
        </w:rPr>
      </w:pPr>
      <w:r w:rsidRPr="009D3DF7">
        <w:rPr>
          <w:color w:val="000000"/>
          <w:szCs w:val="22"/>
        </w:rPr>
        <w:t>2411 Dulles Corner Park, Suite 250</w:t>
      </w:r>
    </w:p>
    <w:p w14:paraId="2791B24E" w14:textId="77777777" w:rsidR="00153201" w:rsidRPr="009D3DF7" w:rsidRDefault="00153201" w:rsidP="00153201">
      <w:pPr>
        <w:pStyle w:val="FootnoteText"/>
        <w:keepNext/>
        <w:spacing w:after="0"/>
        <w:ind w:left="720"/>
        <w:rPr>
          <w:color w:val="000000"/>
          <w:szCs w:val="22"/>
        </w:rPr>
      </w:pPr>
      <w:r w:rsidRPr="009D3DF7">
        <w:rPr>
          <w:color w:val="000000"/>
          <w:szCs w:val="22"/>
        </w:rPr>
        <w:t xml:space="preserve">Herndon, </w:t>
      </w:r>
      <w:r w:rsidRPr="009D3DF7">
        <w:rPr>
          <w:szCs w:val="22"/>
        </w:rPr>
        <w:t>Virginia</w:t>
      </w:r>
      <w:r w:rsidRPr="009D3DF7">
        <w:rPr>
          <w:color w:val="000000"/>
          <w:szCs w:val="22"/>
        </w:rPr>
        <w:t xml:space="preserve"> 20171</w:t>
      </w:r>
    </w:p>
    <w:p w14:paraId="1B721468" w14:textId="77777777" w:rsidR="00153201" w:rsidRPr="009D3DF7" w:rsidRDefault="00153201" w:rsidP="00153201">
      <w:pPr>
        <w:pStyle w:val="FootnoteText"/>
        <w:ind w:left="720"/>
        <w:rPr>
          <w:szCs w:val="22"/>
        </w:rPr>
      </w:pPr>
      <w:r w:rsidRPr="009D3DF7">
        <w:rPr>
          <w:color w:val="000000"/>
          <w:szCs w:val="22"/>
        </w:rPr>
        <w:t>(844) 445</w:t>
      </w:r>
      <w:r w:rsidRPr="009D3DF7">
        <w:rPr>
          <w:color w:val="000000"/>
          <w:szCs w:val="22"/>
        </w:rPr>
        <w:noBreakHyphen/>
      </w:r>
      <w:r w:rsidRPr="009D3DF7">
        <w:rPr>
          <w:szCs w:val="22"/>
        </w:rPr>
        <w:t>4623</w:t>
      </w:r>
    </w:p>
  </w:footnote>
  <w:footnote w:id="6">
    <w:p w14:paraId="0285AADC" w14:textId="77777777" w:rsidR="00153201" w:rsidRPr="00F632BA" w:rsidRDefault="00153201" w:rsidP="00153201">
      <w:pPr>
        <w:pStyle w:val="FootnoteText"/>
      </w:pPr>
      <w:r w:rsidRPr="00F632BA">
        <w:rPr>
          <w:rStyle w:val="FootnoteReference"/>
        </w:rPr>
        <w:footnoteRef/>
      </w:r>
      <w:r>
        <w:t xml:space="preserve"> Available as of the date of this decision at:  </w:t>
      </w:r>
      <w:hyperlink r:id="rId2" w:history="1">
        <w:r w:rsidRPr="00F632BA">
          <w:rPr>
            <w:rStyle w:val="Hyperlink"/>
          </w:rPr>
          <w:t>http://transition.fcc.gov/Bureaus/Common_Carrier/Reports/FCC</w:t>
        </w:r>
        <w:r>
          <w:rPr>
            <w:rStyle w:val="Hyperlink"/>
          </w:rPr>
          <w:noBreakHyphen/>
        </w:r>
        <w:r w:rsidRPr="00F632BA">
          <w:rPr>
            <w:rStyle w:val="Hyperlink"/>
          </w:rPr>
          <w:t>State_Link/IAD/utilizationdec2000.pdf</w:t>
        </w:r>
      </w:hyperlink>
      <w:r>
        <w:rPr>
          <w:szCs w:val="22"/>
        </w:rPr>
        <w:t>.</w:t>
      </w:r>
    </w:p>
  </w:footnote>
  <w:footnote w:id="7">
    <w:p w14:paraId="5CF85B90" w14:textId="77777777" w:rsidR="00153201" w:rsidRDefault="00153201" w:rsidP="00153201">
      <w:pPr>
        <w:pStyle w:val="FootnoteText"/>
      </w:pPr>
      <w:r>
        <w:rPr>
          <w:rStyle w:val="FootnoteReference"/>
        </w:rPr>
        <w:footnoteRef/>
      </w:r>
      <w:r>
        <w:t xml:space="preserve"> Within this decision, the “telecommunications industry” identifies service providers in general throughout the United States and Canada.</w:t>
      </w:r>
    </w:p>
  </w:footnote>
  <w:footnote w:id="8">
    <w:p w14:paraId="3EDD9282" w14:textId="77777777" w:rsidR="00153201" w:rsidRPr="00F632BA" w:rsidRDefault="00153201" w:rsidP="00153201">
      <w:pPr>
        <w:pStyle w:val="FootnoteText"/>
        <w:rPr>
          <w:szCs w:val="22"/>
        </w:rPr>
      </w:pPr>
      <w:r w:rsidRPr="00F632BA">
        <w:rPr>
          <w:rStyle w:val="FootnoteReference"/>
          <w:szCs w:val="22"/>
        </w:rPr>
        <w:footnoteRef/>
      </w:r>
      <w:r w:rsidRPr="00F632BA">
        <w:rPr>
          <w:szCs w:val="22"/>
        </w:rPr>
        <w:t xml:space="preserve"> </w:t>
      </w:r>
      <w:r w:rsidRPr="00BB663B">
        <w:rPr>
          <w:szCs w:val="22"/>
        </w:rPr>
        <w:t>Public Utilities</w:t>
      </w:r>
      <w:r w:rsidRPr="00F632BA">
        <w:rPr>
          <w:szCs w:val="22"/>
        </w:rPr>
        <w:t xml:space="preserve"> (</w:t>
      </w:r>
      <w:r w:rsidRPr="00BB663B">
        <w:rPr>
          <w:szCs w:val="22"/>
        </w:rPr>
        <w:t>Pub. Util.</w:t>
      </w:r>
      <w:r w:rsidRPr="00F632BA">
        <w:rPr>
          <w:szCs w:val="22"/>
        </w:rPr>
        <w:t xml:space="preserve">) </w:t>
      </w:r>
      <w:r>
        <w:rPr>
          <w:szCs w:val="22"/>
        </w:rPr>
        <w:t>Code Section </w:t>
      </w:r>
      <w:r w:rsidRPr="00F632BA">
        <w:rPr>
          <w:szCs w:val="22"/>
        </w:rPr>
        <w:t>7936 states</w:t>
      </w:r>
      <w:r>
        <w:rPr>
          <w:szCs w:val="22"/>
        </w:rPr>
        <w:t xml:space="preserve">, </w:t>
      </w:r>
      <w:r w:rsidRPr="00F632BA">
        <w:rPr>
          <w:szCs w:val="22"/>
        </w:rPr>
        <w:t xml:space="preserve">“The commission shall direct the NANPA to obtain utilization data for any </w:t>
      </w:r>
      <w:r>
        <w:rPr>
          <w:szCs w:val="22"/>
        </w:rPr>
        <w:t>area code</w:t>
      </w:r>
      <w:r w:rsidRPr="00F632BA">
        <w:rPr>
          <w:szCs w:val="22"/>
        </w:rPr>
        <w:t xml:space="preserve"> for which a relief plan is proposed, prior to adopting a plan for, or setting a date for, relief.”</w:t>
      </w:r>
    </w:p>
    <w:p w14:paraId="554A64FC" w14:textId="77777777" w:rsidR="00153201" w:rsidRPr="003304C9" w:rsidRDefault="00153201" w:rsidP="00153201">
      <w:pPr>
        <w:pStyle w:val="FootnoteText"/>
      </w:pPr>
      <w:r>
        <w:t>Pub. Util.</w:t>
      </w:r>
      <w:r w:rsidRPr="003304C9">
        <w:t xml:space="preserve"> </w:t>
      </w:r>
      <w:r>
        <w:t>Code Section </w:t>
      </w:r>
      <w:r w:rsidRPr="003304C9">
        <w:t>7943(a)</w:t>
      </w:r>
      <w:r>
        <w:t xml:space="preserve"> states: </w:t>
      </w:r>
      <w:r w:rsidRPr="003304C9">
        <w:t xml:space="preserve">“It is the intent of the Legislature that when the commission has no reasonable alternative other than to create a new </w:t>
      </w:r>
      <w:r>
        <w:t>area code</w:t>
      </w:r>
      <w:r w:rsidRPr="003304C9">
        <w:t xml:space="preserve">, that the commission do so in a way that creates the least inconvenience for customers.” </w:t>
      </w:r>
      <w:r>
        <w:t xml:space="preserve"> Pub. Util.</w:t>
      </w:r>
      <w:r w:rsidRPr="003304C9">
        <w:t xml:space="preserve"> </w:t>
      </w:r>
      <w:r>
        <w:t>Code Section </w:t>
      </w:r>
      <w:r w:rsidRPr="003304C9">
        <w:t>7943(c)</w:t>
      </w:r>
      <w:r>
        <w:t xml:space="preserve"> states: </w:t>
      </w:r>
      <w:r w:rsidRPr="003304C9">
        <w:t xml:space="preserve">“Before approving any new </w:t>
      </w:r>
      <w:r>
        <w:t>area code</w:t>
      </w:r>
      <w:r w:rsidRPr="003304C9">
        <w:t>, the commission shall first perform a telephone utilization study and implement all reasonable telephone number conservation measures.”</w:t>
      </w:r>
    </w:p>
  </w:footnote>
  <w:footnote w:id="9">
    <w:p w14:paraId="2210F6A2" w14:textId="77777777" w:rsidR="00153201" w:rsidRPr="005D64C4" w:rsidRDefault="00153201" w:rsidP="00153201">
      <w:pPr>
        <w:pStyle w:val="FootnoteText"/>
        <w:rPr>
          <w:szCs w:val="22"/>
        </w:rPr>
      </w:pPr>
      <w:r w:rsidRPr="005D64C4">
        <w:rPr>
          <w:rStyle w:val="FootnoteReference"/>
          <w:szCs w:val="22"/>
        </w:rPr>
        <w:footnoteRef/>
      </w:r>
      <w:r w:rsidRPr="005D64C4">
        <w:rPr>
          <w:szCs w:val="22"/>
        </w:rPr>
        <w:t xml:space="preserve"> When projecting that an </w:t>
      </w:r>
      <w:r>
        <w:rPr>
          <w:szCs w:val="22"/>
        </w:rPr>
        <w:t>area code</w:t>
      </w:r>
      <w:r w:rsidRPr="005D64C4">
        <w:rPr>
          <w:szCs w:val="22"/>
        </w:rPr>
        <w:t xml:space="preserve"> will run out of prefixes, NANPA looks at </w:t>
      </w:r>
      <w:r>
        <w:rPr>
          <w:szCs w:val="22"/>
        </w:rPr>
        <w:t xml:space="preserve">several </w:t>
      </w:r>
      <w:r w:rsidRPr="005D64C4">
        <w:rPr>
          <w:szCs w:val="22"/>
        </w:rPr>
        <w:t>factors, including but not limited to</w:t>
      </w:r>
      <w:r>
        <w:rPr>
          <w:szCs w:val="22"/>
        </w:rPr>
        <w:t xml:space="preserve">:  </w:t>
      </w:r>
      <w:r w:rsidRPr="005D64C4">
        <w:rPr>
          <w:szCs w:val="22"/>
        </w:rPr>
        <w:t>(1</w:t>
      </w:r>
      <w:r>
        <w:rPr>
          <w:szCs w:val="22"/>
        </w:rPr>
        <w:t>) </w:t>
      </w:r>
      <w:r w:rsidRPr="005D64C4">
        <w:rPr>
          <w:szCs w:val="22"/>
        </w:rPr>
        <w:t>the history of code assignments in</w:t>
      </w:r>
      <w:r>
        <w:rPr>
          <w:szCs w:val="22"/>
        </w:rPr>
        <w:t xml:space="preserve"> </w:t>
      </w:r>
      <w:r w:rsidRPr="005D64C4">
        <w:rPr>
          <w:szCs w:val="22"/>
        </w:rPr>
        <w:t xml:space="preserve">the </w:t>
      </w:r>
      <w:r>
        <w:rPr>
          <w:szCs w:val="22"/>
        </w:rPr>
        <w:t>area code</w:t>
      </w:r>
      <w:r w:rsidRPr="005D64C4">
        <w:rPr>
          <w:szCs w:val="22"/>
        </w:rPr>
        <w:t>; (2</w:t>
      </w:r>
      <w:r>
        <w:rPr>
          <w:szCs w:val="22"/>
        </w:rPr>
        <w:t>) </w:t>
      </w:r>
      <w:r w:rsidRPr="005D64C4">
        <w:rPr>
          <w:szCs w:val="22"/>
        </w:rPr>
        <w:t>the</w:t>
      </w:r>
      <w:r>
        <w:rPr>
          <w:szCs w:val="22"/>
        </w:rPr>
        <w:t> </w:t>
      </w:r>
      <w:r w:rsidRPr="005D64C4">
        <w:rPr>
          <w:szCs w:val="22"/>
        </w:rPr>
        <w:t>current growth rate within the telecommunications industry in the NPA; (3</w:t>
      </w:r>
      <w:r>
        <w:rPr>
          <w:szCs w:val="22"/>
        </w:rPr>
        <w:t>) </w:t>
      </w:r>
      <w:r w:rsidRPr="005D64C4">
        <w:rPr>
          <w:szCs w:val="22"/>
        </w:rPr>
        <w:t>five</w:t>
      </w:r>
      <w:r>
        <w:rPr>
          <w:szCs w:val="22"/>
        </w:rPr>
        <w:t xml:space="preserve"> </w:t>
      </w:r>
      <w:r w:rsidRPr="005D64C4">
        <w:rPr>
          <w:szCs w:val="22"/>
        </w:rPr>
        <w:t xml:space="preserve">years of annual code growth in that </w:t>
      </w:r>
      <w:r>
        <w:rPr>
          <w:szCs w:val="22"/>
        </w:rPr>
        <w:t>area code</w:t>
      </w:r>
      <w:r w:rsidRPr="005D64C4">
        <w:rPr>
          <w:szCs w:val="22"/>
        </w:rPr>
        <w:t>; and (4</w:t>
      </w:r>
      <w:r>
        <w:rPr>
          <w:szCs w:val="22"/>
        </w:rPr>
        <w:t>) </w:t>
      </w:r>
      <w:r w:rsidRPr="005D64C4">
        <w:rPr>
          <w:szCs w:val="22"/>
        </w:rPr>
        <w:t>each telecommunications service provider’s semi</w:t>
      </w:r>
      <w:r>
        <w:rPr>
          <w:szCs w:val="22"/>
        </w:rPr>
        <w:noBreakHyphen/>
      </w:r>
      <w:r w:rsidRPr="005D64C4">
        <w:rPr>
          <w:szCs w:val="22"/>
        </w:rPr>
        <w:t xml:space="preserve">annual growth forecast in the </w:t>
      </w:r>
      <w:r>
        <w:rPr>
          <w:szCs w:val="22"/>
        </w:rPr>
        <w:t>area code</w:t>
      </w:r>
      <w:r w:rsidRPr="005D64C4">
        <w:rPr>
          <w:szCs w:val="22"/>
        </w:rPr>
        <w:t xml:space="preserve"> in question to determine future demand for new prefixes. NANPA considers all this information to forecast when an </w:t>
      </w:r>
      <w:r>
        <w:rPr>
          <w:szCs w:val="22"/>
        </w:rPr>
        <w:t>area code</w:t>
      </w:r>
      <w:r w:rsidRPr="005D64C4">
        <w:rPr>
          <w:szCs w:val="22"/>
        </w:rPr>
        <w:t xml:space="preserve"> will run out of, or “exhaust,” all available prefixes.</w:t>
      </w:r>
      <w:r>
        <w:rPr>
          <w:szCs w:val="22"/>
        </w:rPr>
        <w:t xml:space="preserve"> </w:t>
      </w:r>
      <w:r w:rsidRPr="005D64C4">
        <w:rPr>
          <w:szCs w:val="22"/>
        </w:rPr>
        <w:t xml:space="preserve"> This information is also considered in NANPA’s determination of the life expectancy for the relief alternatives being considered. </w:t>
      </w:r>
      <w:r>
        <w:rPr>
          <w:szCs w:val="22"/>
        </w:rPr>
        <w:t xml:space="preserve"> (As of this writing, available at </w:t>
      </w:r>
      <w:hyperlink r:id="rId3" w:history="1">
        <w:r w:rsidRPr="00903978">
          <w:rPr>
            <w:rStyle w:val="Hyperlink"/>
            <w:szCs w:val="22"/>
          </w:rPr>
          <w:t>https://www.nationalnanpa.com/index.html</w:t>
        </w:r>
      </w:hyperlink>
      <w:r>
        <w:rPr>
          <w:szCs w:val="22"/>
        </w:rPr>
        <w:t xml:space="preserve">.) </w:t>
      </w:r>
    </w:p>
  </w:footnote>
  <w:footnote w:id="10">
    <w:p w14:paraId="7FD26B95" w14:textId="77777777" w:rsidR="00153201" w:rsidRPr="005D64C4" w:rsidRDefault="00153201" w:rsidP="00153201">
      <w:pPr>
        <w:pStyle w:val="FootnoteText"/>
        <w:rPr>
          <w:szCs w:val="22"/>
        </w:rPr>
      </w:pPr>
      <w:r w:rsidRPr="005D64C4">
        <w:rPr>
          <w:rStyle w:val="FootnoteReference"/>
          <w:szCs w:val="22"/>
        </w:rPr>
        <w:footnoteRef/>
      </w:r>
      <w:r w:rsidRPr="005D64C4">
        <w:rPr>
          <w:szCs w:val="22"/>
        </w:rPr>
        <w:t xml:space="preserve"> A prefix, also known as a </w:t>
      </w:r>
      <w:r w:rsidRPr="00BB663B">
        <w:rPr>
          <w:szCs w:val="22"/>
        </w:rPr>
        <w:t>central office code</w:t>
      </w:r>
      <w:r w:rsidRPr="005D64C4">
        <w:rPr>
          <w:szCs w:val="22"/>
        </w:rPr>
        <w:t xml:space="preserve"> (</w:t>
      </w:r>
      <w:r w:rsidRPr="00BB663B">
        <w:rPr>
          <w:szCs w:val="22"/>
        </w:rPr>
        <w:t>CO code</w:t>
      </w:r>
      <w:r>
        <w:rPr>
          <w:szCs w:val="22"/>
        </w:rPr>
        <w:t xml:space="preserve">) </w:t>
      </w:r>
      <w:r w:rsidRPr="005D64C4">
        <w:rPr>
          <w:szCs w:val="22"/>
        </w:rPr>
        <w:t xml:space="preserve">is the second set of three digits of a telephone number. </w:t>
      </w:r>
      <w:r>
        <w:rPr>
          <w:szCs w:val="22"/>
        </w:rPr>
        <w:t xml:space="preserve"> </w:t>
      </w:r>
      <w:r w:rsidRPr="005D64C4">
        <w:rPr>
          <w:szCs w:val="22"/>
        </w:rPr>
        <w:t xml:space="preserve">Prefixes are assigned to rate centers within an </w:t>
      </w:r>
      <w:r>
        <w:rPr>
          <w:szCs w:val="22"/>
        </w:rPr>
        <w:t>area code</w:t>
      </w:r>
      <w:r w:rsidRPr="005D64C4">
        <w:rPr>
          <w:szCs w:val="22"/>
        </w:rPr>
        <w:t xml:space="preserve">. </w:t>
      </w:r>
      <w:r>
        <w:rPr>
          <w:szCs w:val="22"/>
        </w:rPr>
        <w:t xml:space="preserve"> </w:t>
      </w:r>
      <w:r w:rsidRPr="005D64C4">
        <w:rPr>
          <w:szCs w:val="22"/>
        </w:rPr>
        <w:t>Each prefix consists of 10,000 line numbers.</w:t>
      </w:r>
    </w:p>
  </w:footnote>
  <w:footnote w:id="11">
    <w:p w14:paraId="46761EF3" w14:textId="77777777" w:rsidR="00153201" w:rsidRPr="005D64C4" w:rsidRDefault="00153201" w:rsidP="00153201">
      <w:pPr>
        <w:pStyle w:val="FootnoteText"/>
        <w:rPr>
          <w:szCs w:val="22"/>
        </w:rPr>
      </w:pPr>
      <w:r w:rsidRPr="005D64C4">
        <w:rPr>
          <w:rStyle w:val="FootnoteReference"/>
          <w:szCs w:val="22"/>
        </w:rPr>
        <w:footnoteRef/>
      </w:r>
      <w:r w:rsidRPr="005D64C4">
        <w:rPr>
          <w:szCs w:val="22"/>
        </w:rPr>
        <w:t xml:space="preserve"> </w:t>
      </w:r>
      <w:r>
        <w:rPr>
          <w:szCs w:val="22"/>
        </w:rPr>
        <w:t>Pub. Util.</w:t>
      </w:r>
      <w:r w:rsidRPr="005D64C4">
        <w:rPr>
          <w:szCs w:val="22"/>
        </w:rPr>
        <w:t xml:space="preserve"> </w:t>
      </w:r>
      <w:r>
        <w:rPr>
          <w:szCs w:val="22"/>
        </w:rPr>
        <w:t>Code Section </w:t>
      </w:r>
      <w:r w:rsidRPr="005D64C4">
        <w:rPr>
          <w:szCs w:val="22"/>
        </w:rPr>
        <w:t>7931(d).</w:t>
      </w:r>
    </w:p>
  </w:footnote>
  <w:footnote w:id="12">
    <w:p w14:paraId="3C8E38CE" w14:textId="77777777" w:rsidR="00153201" w:rsidRPr="005D64C4" w:rsidRDefault="00153201" w:rsidP="00153201">
      <w:pPr>
        <w:pStyle w:val="FootnoteText"/>
        <w:rPr>
          <w:szCs w:val="22"/>
        </w:rPr>
      </w:pPr>
      <w:r w:rsidRPr="005D64C4">
        <w:rPr>
          <w:rStyle w:val="FootnoteReference"/>
          <w:szCs w:val="22"/>
        </w:rPr>
        <w:footnoteRef/>
      </w:r>
      <w:r w:rsidRPr="005D64C4">
        <w:rPr>
          <w:szCs w:val="22"/>
        </w:rPr>
        <w:t xml:space="preserve"> </w:t>
      </w:r>
      <w:r w:rsidRPr="005D64C4">
        <w:t xml:space="preserve">In planning </w:t>
      </w:r>
      <w:r>
        <w:t>area code</w:t>
      </w:r>
      <w:r w:rsidRPr="005D64C4">
        <w:t xml:space="preserve"> relief, </w:t>
      </w:r>
      <w:r>
        <w:t xml:space="preserve">the </w:t>
      </w:r>
      <w:r w:rsidRPr="005D64C4">
        <w:t>Industry</w:t>
      </w:r>
      <w:r>
        <w:t xml:space="preserve">:  </w:t>
      </w:r>
      <w:r w:rsidRPr="005D64C4">
        <w:t>(1)</w:t>
      </w:r>
      <w:r>
        <w:t> </w:t>
      </w:r>
      <w:r w:rsidRPr="005D64C4">
        <w:t>is required to follow rate center boundaries; (2) may not consider certain types of relief, such as service</w:t>
      </w:r>
      <w:r>
        <w:noBreakHyphen/>
      </w:r>
      <w:r w:rsidRPr="005D64C4">
        <w:t xml:space="preserve">specific </w:t>
      </w:r>
      <w:r>
        <w:t>area code</w:t>
      </w:r>
      <w:r w:rsidRPr="005D64C4">
        <w:t>s for cell phones, pagers, or other services, due to current federal regulation; and (3)</w:t>
      </w:r>
      <w:r>
        <w:t> </w:t>
      </w:r>
      <w:r w:rsidRPr="005D64C4">
        <w:t xml:space="preserve">may consider communities of interest, city and county boundaries, and natural dividing lines like mountains or rivers. </w:t>
      </w:r>
      <w:r>
        <w:t xml:space="preserve"> The </w:t>
      </w:r>
      <w:r w:rsidRPr="005D64C4">
        <w:t>Industry then measures these items against established Industry criteria such as minimizing customer confusion, ensuring that relief plans have adequate projected lives, and maintaining competitive neutrality among service providers.</w:t>
      </w:r>
      <w:r>
        <w:t xml:space="preserve"> </w:t>
      </w:r>
      <w:r w:rsidRPr="005D64C4">
        <w:t xml:space="preserve"> ATIS</w:t>
      </w:r>
      <w:r>
        <w:noBreakHyphen/>
      </w:r>
      <w:r w:rsidRPr="005D64C4">
        <w:t xml:space="preserve">0300061–NPA Code Relief Planning and Notification Guidelines at </w:t>
      </w:r>
      <w:r>
        <w:t>Section </w:t>
      </w:r>
      <w:r w:rsidRPr="005D64C4">
        <w:t xml:space="preserve">2.4, </w:t>
      </w:r>
      <w:r>
        <w:t>Section </w:t>
      </w:r>
      <w:r w:rsidRPr="005D64C4">
        <w:t xml:space="preserve">6.1, </w:t>
      </w:r>
      <w:r>
        <w:t>Section </w:t>
      </w:r>
      <w:r w:rsidRPr="005D64C4">
        <w:t>6.3.4,</w:t>
      </w:r>
      <w:r>
        <w:t xml:space="preserve"> </w:t>
      </w:r>
      <w:r w:rsidRPr="005D64C4">
        <w:t>and</w:t>
      </w:r>
      <w:r>
        <w:t xml:space="preserve"> Section </w:t>
      </w:r>
      <w:r w:rsidRPr="005D64C4">
        <w:t>6.4, Alliance for Telecommunications Industry Solutions.</w:t>
      </w:r>
      <w:r>
        <w:t xml:space="preserve">  </w:t>
      </w:r>
      <w:r w:rsidRPr="005D64C4">
        <w:t>(</w:t>
      </w:r>
      <w:r>
        <w:t>FCC </w:t>
      </w:r>
      <w:r w:rsidRPr="005D64C4">
        <w:t>00</w:t>
      </w:r>
      <w:r>
        <w:noBreakHyphen/>
      </w:r>
      <w:r w:rsidRPr="005D64C4">
        <w:t>104</w:t>
      </w:r>
      <w:r>
        <w:t xml:space="preserve"> </w:t>
      </w:r>
      <w:r w:rsidRPr="005D64C4">
        <w:t>at 3.)</w:t>
      </w:r>
    </w:p>
  </w:footnote>
  <w:footnote w:id="13">
    <w:p w14:paraId="3725F939" w14:textId="77777777" w:rsidR="00153201" w:rsidRPr="005D64C4" w:rsidRDefault="00153201" w:rsidP="00153201">
      <w:pPr>
        <w:pStyle w:val="FootnoteText"/>
      </w:pPr>
      <w:r w:rsidRPr="005D64C4">
        <w:rPr>
          <w:rStyle w:val="FootnoteReference"/>
          <w:szCs w:val="22"/>
        </w:rPr>
        <w:footnoteRef/>
      </w:r>
      <w:r w:rsidRPr="005D64C4">
        <w:rPr>
          <w:szCs w:val="22"/>
        </w:rPr>
        <w:t xml:space="preserve"> </w:t>
      </w:r>
      <w:r w:rsidRPr="005D64C4">
        <w:t>An all</w:t>
      </w:r>
      <w:r>
        <w:noBreakHyphen/>
      </w:r>
      <w:r w:rsidRPr="005D64C4">
        <w:t xml:space="preserve">services overlay is a plan in which the original and new </w:t>
      </w:r>
      <w:r>
        <w:t>area code</w:t>
      </w:r>
      <w:r w:rsidRPr="005D64C4">
        <w:t xml:space="preserve">s apply to the same geographic area. </w:t>
      </w:r>
      <w:r>
        <w:t xml:space="preserve"> </w:t>
      </w:r>
      <w:r w:rsidRPr="005D64C4">
        <w:t xml:space="preserve">A geographic split divides an </w:t>
      </w:r>
      <w:r>
        <w:t>area code</w:t>
      </w:r>
      <w:r w:rsidRPr="005D64C4">
        <w:t xml:space="preserve"> into two </w:t>
      </w:r>
      <w:r>
        <w:t>area code</w:t>
      </w:r>
      <w:r w:rsidRPr="005D64C4">
        <w:t>s, each assigned to a specific geographic area</w:t>
      </w:r>
      <w:r>
        <w:t>,</w:t>
      </w:r>
      <w:r w:rsidRPr="005D64C4">
        <w:t xml:space="preserve"> with one area retaining the original </w:t>
      </w:r>
      <w:r>
        <w:t>area code</w:t>
      </w:r>
      <w:r w:rsidRPr="005D64C4">
        <w:t xml:space="preserve"> and the other area</w:t>
      </w:r>
      <w:r>
        <w:t xml:space="preserve"> changing to a new area code</w:t>
      </w:r>
      <w:r w:rsidRPr="005D64C4">
        <w:t>.</w:t>
      </w:r>
      <w:r>
        <w:t xml:space="preserve"> </w:t>
      </w:r>
    </w:p>
  </w:footnote>
  <w:footnote w:id="14">
    <w:p w14:paraId="46D6D700" w14:textId="77777777" w:rsidR="00153201" w:rsidRPr="005D64C4" w:rsidRDefault="00153201" w:rsidP="00153201">
      <w:pPr>
        <w:pStyle w:val="FootnoteText"/>
        <w:rPr>
          <w:szCs w:val="22"/>
        </w:rPr>
      </w:pPr>
      <w:r w:rsidRPr="005D64C4">
        <w:rPr>
          <w:rStyle w:val="FootnoteReference"/>
          <w:szCs w:val="22"/>
        </w:rPr>
        <w:footnoteRef/>
      </w:r>
      <w:r w:rsidRPr="005D64C4">
        <w:rPr>
          <w:szCs w:val="22"/>
        </w:rPr>
        <w:t xml:space="preserve"> In </w:t>
      </w:r>
      <w:r w:rsidRPr="003B7683">
        <w:rPr>
          <w:szCs w:val="22"/>
        </w:rPr>
        <w:t xml:space="preserve">2017, </w:t>
      </w:r>
      <w:hyperlink r:id="rId4" w:history="1">
        <w:r w:rsidRPr="00B306E7">
          <w:rPr>
            <w:rStyle w:val="Hyperlink"/>
            <w:color w:val="auto"/>
            <w:szCs w:val="22"/>
            <w:u w:val="none"/>
          </w:rPr>
          <w:t>Senate Bill 385 (2017</w:t>
        </w:r>
        <w:r w:rsidRPr="00B306E7">
          <w:rPr>
            <w:rStyle w:val="Hyperlink"/>
            <w:color w:val="auto"/>
            <w:szCs w:val="22"/>
            <w:u w:val="none"/>
          </w:rPr>
          <w:noBreakHyphen/>
          <w:t>2018)</w:t>
        </w:r>
      </w:hyperlink>
      <w:r w:rsidRPr="003B7683">
        <w:rPr>
          <w:szCs w:val="22"/>
        </w:rPr>
        <w:t xml:space="preserve"> </w:t>
      </w:r>
      <w:r w:rsidRPr="005D64C4">
        <w:rPr>
          <w:szCs w:val="22"/>
        </w:rPr>
        <w:t xml:space="preserve">revised </w:t>
      </w:r>
      <w:r>
        <w:rPr>
          <w:szCs w:val="22"/>
        </w:rPr>
        <w:t>Pub. Util.</w:t>
      </w:r>
      <w:r w:rsidRPr="005D64C4">
        <w:rPr>
          <w:szCs w:val="22"/>
        </w:rPr>
        <w:t xml:space="preserve"> </w:t>
      </w:r>
      <w:r>
        <w:rPr>
          <w:szCs w:val="22"/>
        </w:rPr>
        <w:t>Code Section 7931(e)(2)</w:t>
      </w:r>
      <w:r w:rsidRPr="005D64C4">
        <w:rPr>
          <w:szCs w:val="22"/>
        </w:rPr>
        <w:t xml:space="preserve"> to require commission staff to notify representatives of local jurisdictions and the public in affected areas, but</w:t>
      </w:r>
      <w:r>
        <w:rPr>
          <w:szCs w:val="22"/>
        </w:rPr>
        <w:t>,</w:t>
      </w:r>
      <w:r w:rsidRPr="005D64C4">
        <w:rPr>
          <w:szCs w:val="22"/>
        </w:rPr>
        <w:t xml:space="preserve"> instead of requiring them</w:t>
      </w:r>
      <w:r>
        <w:rPr>
          <w:szCs w:val="22"/>
        </w:rPr>
        <w:t>,</w:t>
      </w:r>
      <w:r w:rsidRPr="005D64C4">
        <w:rPr>
          <w:szCs w:val="22"/>
        </w:rPr>
        <w:t xml:space="preserve"> would authorize them, at the discretion of the commission, to conduct one or more meetings both for representatives of local jurisdictions and for members of the public in affected geographic areas for those same purposes.</w:t>
      </w:r>
      <w:r>
        <w:rPr>
          <w:szCs w:val="22"/>
        </w:rPr>
        <w:t xml:space="preserve">  </w:t>
      </w:r>
      <w:r w:rsidRPr="005D64C4">
        <w:rPr>
          <w:szCs w:val="22"/>
        </w:rPr>
        <w:t>The purpose of the revision is to “repeal obsolete auditing, reporting, and other similar requirements on the commission.”</w:t>
      </w:r>
    </w:p>
  </w:footnote>
  <w:footnote w:id="15">
    <w:p w14:paraId="3B02E5EE" w14:textId="77777777" w:rsidR="00153201" w:rsidRPr="005D64C4" w:rsidRDefault="00153201" w:rsidP="00153201">
      <w:pPr>
        <w:pStyle w:val="FootnoteText"/>
      </w:pPr>
      <w:r w:rsidRPr="005D64C4">
        <w:rPr>
          <w:rStyle w:val="FootnoteReference"/>
        </w:rPr>
        <w:footnoteRef/>
      </w:r>
      <w:r w:rsidRPr="005D64C4">
        <w:t xml:space="preserve"> A line number, which is the last four digits of a customer’s phone number, is the number assigned to the phone line that an individual customer uses.</w:t>
      </w:r>
    </w:p>
  </w:footnote>
  <w:footnote w:id="16">
    <w:p w14:paraId="793BA783" w14:textId="77777777" w:rsidR="00153201" w:rsidRPr="000507ED" w:rsidRDefault="00153201" w:rsidP="00153201">
      <w:pPr>
        <w:pStyle w:val="FootnoteText"/>
        <w:rPr>
          <w:szCs w:val="22"/>
        </w:rPr>
      </w:pPr>
      <w:r w:rsidRPr="000507ED">
        <w:rPr>
          <w:rStyle w:val="FootnoteReference"/>
          <w:szCs w:val="22"/>
        </w:rPr>
        <w:footnoteRef/>
      </w:r>
      <w:r w:rsidRPr="000507ED">
        <w:rPr>
          <w:szCs w:val="22"/>
        </w:rPr>
        <w:t xml:space="preserve"> </w:t>
      </w:r>
      <w:r>
        <w:rPr>
          <w:szCs w:val="22"/>
        </w:rPr>
        <w:t xml:space="preserve">A.23-01-012, Exhibit B, Attachment 2. </w:t>
      </w:r>
    </w:p>
  </w:footnote>
  <w:footnote w:id="17">
    <w:p w14:paraId="00963472" w14:textId="77777777" w:rsidR="00153201" w:rsidRPr="000507ED" w:rsidRDefault="00153201" w:rsidP="00153201">
      <w:pPr>
        <w:pStyle w:val="FootnoteText"/>
        <w:rPr>
          <w:szCs w:val="22"/>
        </w:rPr>
      </w:pPr>
      <w:r w:rsidRPr="000507ED">
        <w:rPr>
          <w:rStyle w:val="FootnoteReference"/>
          <w:szCs w:val="22"/>
        </w:rPr>
        <w:footnoteRef/>
      </w:r>
      <w:r w:rsidRPr="000507ED">
        <w:rPr>
          <w:szCs w:val="22"/>
        </w:rPr>
        <w:t xml:space="preserve"> </w:t>
      </w:r>
      <w:r>
        <w:rPr>
          <w:szCs w:val="22"/>
        </w:rPr>
        <w:t>A.23-01-012 at 4</w:t>
      </w:r>
      <w:r w:rsidRPr="000507ED">
        <w:rPr>
          <w:szCs w:val="22"/>
        </w:rPr>
        <w:t>.</w:t>
      </w:r>
    </w:p>
  </w:footnote>
  <w:footnote w:id="18">
    <w:p w14:paraId="1D66A39A" w14:textId="77777777" w:rsidR="00153201" w:rsidRPr="000507ED" w:rsidRDefault="00153201" w:rsidP="00153201">
      <w:pPr>
        <w:pStyle w:val="FootnoteText"/>
        <w:rPr>
          <w:szCs w:val="22"/>
        </w:rPr>
      </w:pPr>
      <w:r w:rsidRPr="000507ED">
        <w:rPr>
          <w:rStyle w:val="FootnoteReference"/>
          <w:szCs w:val="22"/>
        </w:rPr>
        <w:footnoteRef/>
      </w:r>
      <w:r w:rsidRPr="000507ED">
        <w:rPr>
          <w:szCs w:val="22"/>
        </w:rPr>
        <w:t xml:space="preserve"> </w:t>
      </w:r>
      <w:r>
        <w:rPr>
          <w:i/>
          <w:iCs/>
          <w:szCs w:val="22"/>
        </w:rPr>
        <w:t>Id</w:t>
      </w:r>
      <w:r>
        <w:rPr>
          <w:szCs w:val="22"/>
        </w:rPr>
        <w:t>.</w:t>
      </w:r>
    </w:p>
  </w:footnote>
  <w:footnote w:id="19">
    <w:p w14:paraId="059F088B" w14:textId="77777777" w:rsidR="00153201" w:rsidRDefault="00153201" w:rsidP="00153201">
      <w:pPr>
        <w:pStyle w:val="FootnoteText"/>
      </w:pPr>
      <w:r>
        <w:rPr>
          <w:rStyle w:val="FootnoteReference"/>
        </w:rPr>
        <w:footnoteRef/>
      </w:r>
      <w:r>
        <w:t xml:space="preserve"> NPA Relief Guidelines, § 5.12.</w:t>
      </w:r>
    </w:p>
  </w:footnote>
  <w:footnote w:id="20">
    <w:p w14:paraId="411760F3" w14:textId="77777777" w:rsidR="00153201" w:rsidRDefault="00153201" w:rsidP="00153201">
      <w:pPr>
        <w:pStyle w:val="FootnoteText"/>
      </w:pPr>
      <w:r>
        <w:rPr>
          <w:rStyle w:val="FootnoteReference"/>
        </w:rPr>
        <w:footnoteRef/>
      </w:r>
      <w:r>
        <w:t xml:space="preserve"> A.23-01-012 at 4.</w:t>
      </w:r>
    </w:p>
  </w:footnote>
  <w:footnote w:id="21">
    <w:p w14:paraId="38EF1F0F" w14:textId="77777777" w:rsidR="00153201" w:rsidRPr="00ED5249" w:rsidRDefault="00153201" w:rsidP="00153201">
      <w:pPr>
        <w:pStyle w:val="FootnoteText"/>
      </w:pPr>
      <w:r>
        <w:rPr>
          <w:rStyle w:val="FootnoteReference"/>
        </w:rPr>
        <w:footnoteRef/>
      </w:r>
      <w:r>
        <w:t xml:space="preserve"> </w:t>
      </w:r>
      <w:r>
        <w:rPr>
          <w:i/>
          <w:iCs/>
        </w:rPr>
        <w:t>Id.</w:t>
      </w:r>
      <w:r>
        <w:t xml:space="preserve">, Exhibit A.  </w:t>
      </w:r>
    </w:p>
  </w:footnote>
  <w:footnote w:id="22">
    <w:p w14:paraId="48875D43" w14:textId="77777777" w:rsidR="00153201" w:rsidRPr="002F4BF1" w:rsidRDefault="00153201" w:rsidP="00153201">
      <w:pPr>
        <w:pStyle w:val="FootnoteText"/>
      </w:pPr>
      <w:r>
        <w:rPr>
          <w:rStyle w:val="FootnoteReference"/>
        </w:rPr>
        <w:footnoteRef/>
      </w:r>
      <w:r>
        <w:t xml:space="preserve"> </w:t>
      </w:r>
      <w:r>
        <w:rPr>
          <w:i/>
          <w:iCs/>
        </w:rPr>
        <w:t>Id.</w:t>
      </w:r>
      <w:r>
        <w:t xml:space="preserve"> at 5.  </w:t>
      </w:r>
    </w:p>
  </w:footnote>
  <w:footnote w:id="23">
    <w:p w14:paraId="0C11B2E0" w14:textId="77777777" w:rsidR="00153201" w:rsidRDefault="00153201" w:rsidP="00153201">
      <w:pPr>
        <w:pStyle w:val="FootnoteText"/>
      </w:pPr>
      <w:r>
        <w:rPr>
          <w:rStyle w:val="FootnoteReference"/>
        </w:rPr>
        <w:footnoteRef/>
      </w:r>
      <w:r>
        <w:t xml:space="preserve"> </w:t>
      </w:r>
      <w:r>
        <w:rPr>
          <w:i/>
          <w:iCs/>
        </w:rPr>
        <w:t>Ibid.</w:t>
      </w:r>
      <w:r>
        <w:t xml:space="preserve"> </w:t>
      </w:r>
    </w:p>
  </w:footnote>
  <w:footnote w:id="24">
    <w:p w14:paraId="1E08058E" w14:textId="77777777" w:rsidR="00153201" w:rsidRDefault="00153201" w:rsidP="00153201">
      <w:pPr>
        <w:pStyle w:val="FootnoteText"/>
      </w:pPr>
      <w:r>
        <w:rPr>
          <w:rStyle w:val="FootnoteReference"/>
        </w:rPr>
        <w:footnoteRef/>
      </w:r>
      <w:r>
        <w:t xml:space="preserve"> 47 Code of Federal Regulations (C.F.R.) § 5219(c)(3)(ii): “No area code overlay may be implemented unless there exists, at the time of implementation, mandatory ten-digit dialing for every telephone call within and between all area codes in the geographic area covered by the overlay area code.”</w:t>
      </w:r>
    </w:p>
  </w:footnote>
  <w:footnote w:id="25">
    <w:p w14:paraId="34C9EBAF" w14:textId="77777777" w:rsidR="00153201" w:rsidRDefault="00153201" w:rsidP="00153201">
      <w:pPr>
        <w:pStyle w:val="FootnoteText"/>
      </w:pPr>
      <w:r>
        <w:rPr>
          <w:rStyle w:val="FootnoteReference"/>
        </w:rPr>
        <w:footnoteRef/>
      </w:r>
      <w:r>
        <w:t xml:space="preserve"> A.23-01-012 at 5. </w:t>
      </w:r>
    </w:p>
  </w:footnote>
  <w:footnote w:id="26">
    <w:p w14:paraId="41635CE9" w14:textId="77777777" w:rsidR="00153201" w:rsidRPr="00F167C7" w:rsidRDefault="00153201" w:rsidP="00153201">
      <w:pPr>
        <w:pStyle w:val="FootnoteText"/>
      </w:pPr>
      <w:r>
        <w:rPr>
          <w:rStyle w:val="FootnoteReference"/>
        </w:rPr>
        <w:footnoteRef/>
      </w:r>
      <w:r>
        <w:t xml:space="preserve"> </w:t>
      </w:r>
      <w:r>
        <w:rPr>
          <w:i/>
          <w:iCs/>
        </w:rPr>
        <w:t>Ibid.</w:t>
      </w:r>
    </w:p>
  </w:footnote>
  <w:footnote w:id="27">
    <w:p w14:paraId="1BF0234C" w14:textId="77777777" w:rsidR="00153201" w:rsidRDefault="00153201" w:rsidP="00153201">
      <w:pPr>
        <w:pStyle w:val="FootnoteText"/>
      </w:pPr>
      <w:r>
        <w:rPr>
          <w:rStyle w:val="FootnoteReference"/>
        </w:rPr>
        <w:footnoteRef/>
      </w:r>
      <w:r>
        <w:t xml:space="preserve"> A.23-01-012 at 5.  </w:t>
      </w:r>
    </w:p>
  </w:footnote>
  <w:footnote w:id="28">
    <w:p w14:paraId="6686ED7A" w14:textId="77777777" w:rsidR="00153201" w:rsidRDefault="00153201" w:rsidP="00153201">
      <w:pPr>
        <w:pStyle w:val="FootnoteText"/>
      </w:pPr>
      <w:r>
        <w:rPr>
          <w:rStyle w:val="FootnoteReference"/>
        </w:rPr>
        <w:footnoteRef/>
      </w:r>
      <w:r>
        <w:t xml:space="preserve"> A.23-01-012 at 4. </w:t>
      </w:r>
    </w:p>
  </w:footnote>
  <w:footnote w:id="29">
    <w:p w14:paraId="61515D7A" w14:textId="77777777" w:rsidR="00153201" w:rsidRPr="003304C9" w:rsidRDefault="00153201" w:rsidP="00153201">
      <w:pPr>
        <w:pStyle w:val="FootnoteText"/>
      </w:pPr>
      <w:r w:rsidRPr="003304C9">
        <w:rPr>
          <w:rStyle w:val="FootnoteReference"/>
        </w:rPr>
        <w:footnoteRef/>
      </w:r>
      <w:r w:rsidRPr="003304C9">
        <w:t xml:space="preserve"> NANPA is required to collect, store, and maintain </w:t>
      </w:r>
      <w:r>
        <w:t xml:space="preserve">NRUF </w:t>
      </w:r>
      <w:r w:rsidRPr="003304C9">
        <w:t>data. In accordance with FCC rules, assignees holding geographic and/or certain non</w:t>
      </w:r>
      <w:r>
        <w:noBreakHyphen/>
      </w:r>
      <w:r w:rsidRPr="003304C9">
        <w:t>geographic (NPA 5XX</w:t>
      </w:r>
      <w:r>
        <w:t xml:space="preserve"> </w:t>
      </w:r>
      <w:r w:rsidRPr="003304C9">
        <w:t>and</w:t>
      </w:r>
      <w:r>
        <w:t xml:space="preserve"> </w:t>
      </w:r>
      <w:r w:rsidRPr="003304C9">
        <w:t xml:space="preserve">900) telephone numbers must report on their holdings </w:t>
      </w:r>
      <w:r>
        <w:t xml:space="preserve">on </w:t>
      </w:r>
      <w:r w:rsidRPr="003304C9">
        <w:t>February 1 and August 1</w:t>
      </w:r>
      <w:r w:rsidRPr="003304C9">
        <w:rPr>
          <w:vertAlign w:val="superscript"/>
        </w:rPr>
        <w:t xml:space="preserve"> </w:t>
      </w:r>
      <w:r w:rsidRPr="003304C9">
        <w:t>of each year.</w:t>
      </w:r>
    </w:p>
  </w:footnote>
  <w:footnote w:id="30">
    <w:p w14:paraId="097BEA57" w14:textId="77777777" w:rsidR="00153201" w:rsidRDefault="00153201" w:rsidP="00153201">
      <w:pPr>
        <w:pStyle w:val="FootnoteText"/>
      </w:pPr>
      <w:r>
        <w:rPr>
          <w:rStyle w:val="FootnoteReference"/>
        </w:rPr>
        <w:footnoteRef/>
      </w:r>
      <w:r>
        <w:t xml:space="preserve"> The Commission’s Communications Division analyzed the results of the public awareness survey conducted by the Industry in prior area code proceedings for overlays requiring a change in dialing procedure (D.05-08-040, D.07-11-030, D.08-04-058, D.08-04-059, D.11-10-031, and D.13-12-055) and found that all achieved an overall awareness level of over 70 percent.</w:t>
      </w:r>
    </w:p>
  </w:footnote>
  <w:footnote w:id="31">
    <w:p w14:paraId="71D9B6FC" w14:textId="77777777" w:rsidR="00153201" w:rsidRDefault="00153201" w:rsidP="00153201">
      <w:pPr>
        <w:pStyle w:val="FootnoteText"/>
      </w:pPr>
      <w:r>
        <w:rPr>
          <w:rStyle w:val="FootnoteReference"/>
        </w:rPr>
        <w:footnoteRef/>
      </w:r>
      <w:r>
        <w:t xml:space="preserve"> </w:t>
      </w:r>
      <w:r>
        <w:rPr>
          <w:i/>
          <w:iCs/>
        </w:rPr>
        <w:t>See</w:t>
      </w:r>
      <w:r>
        <w:t xml:space="preserve"> </w:t>
      </w:r>
      <w:r w:rsidRPr="00B22266">
        <w:t>D</w:t>
      </w:r>
      <w:r>
        <w:t>.16-07-014, approving boundary elimination overlay of 213/323 area codes; D.17-02-010, approving an overlay for the 916 area code; D.17-05-019, approving an overlay for the 805 area code; and D.17-04-027, approving boundary elimination overlay of 619/858 area codes.</w:t>
      </w:r>
    </w:p>
  </w:footnote>
  <w:footnote w:id="32">
    <w:p w14:paraId="484DE845" w14:textId="77777777" w:rsidR="00153201" w:rsidRDefault="00153201" w:rsidP="00153201">
      <w:pPr>
        <w:pStyle w:val="FootnoteText"/>
      </w:pPr>
      <w:r>
        <w:rPr>
          <w:rStyle w:val="FootnoteReference"/>
        </w:rPr>
        <w:footnoteRef/>
      </w:r>
      <w:r>
        <w:t xml:space="preserve"> </w:t>
      </w:r>
      <w:r>
        <w:rPr>
          <w:i/>
          <w:iCs/>
        </w:rPr>
        <w:t>See</w:t>
      </w:r>
      <w:r>
        <w:t xml:space="preserve"> D.05-08-040, adopting an overlay for the 310 area code.</w:t>
      </w:r>
    </w:p>
  </w:footnote>
  <w:footnote w:id="33">
    <w:p w14:paraId="6FD46951" w14:textId="77777777" w:rsidR="00153201" w:rsidRPr="00C2702C" w:rsidRDefault="00153201" w:rsidP="00153201">
      <w:pPr>
        <w:pStyle w:val="FootnoteText"/>
      </w:pPr>
      <w:r>
        <w:rPr>
          <w:rStyle w:val="FootnoteReference"/>
        </w:rPr>
        <w:footnoteRef/>
      </w:r>
      <w:r>
        <w:t xml:space="preserve"> A.23-01-012 at 5, fn. 10; </w:t>
      </w:r>
      <w:r w:rsidRPr="00B1794E">
        <w:rPr>
          <w:i/>
          <w:iCs/>
        </w:rPr>
        <w:t>Se</w:t>
      </w:r>
      <w:r>
        <w:rPr>
          <w:i/>
          <w:iCs/>
        </w:rPr>
        <w:t xml:space="preserve">e also </w:t>
      </w:r>
      <w:r>
        <w:t xml:space="preserve">A.23-01-012, Attachment 1, “California 559 Area Code Relief Industry Statement for the Record and Recommended Public Education Plan for the California 559 Overlay Implementation”.  </w:t>
      </w:r>
    </w:p>
  </w:footnote>
  <w:footnote w:id="34">
    <w:p w14:paraId="42D948DA" w14:textId="77777777" w:rsidR="00153201" w:rsidRDefault="00153201" w:rsidP="00153201">
      <w:pPr>
        <w:pStyle w:val="FootnoteText"/>
      </w:pPr>
      <w:r>
        <w:rPr>
          <w:rStyle w:val="FootnoteReference"/>
        </w:rPr>
        <w:footnoteRef/>
      </w:r>
      <w:r>
        <w:t xml:space="preserve"> A.23-01-012, Exhibit B.</w:t>
      </w:r>
    </w:p>
  </w:footnote>
  <w:footnote w:id="35">
    <w:p w14:paraId="24CCB9ED" w14:textId="77777777" w:rsidR="00153201" w:rsidRPr="00C25CFD" w:rsidRDefault="00153201" w:rsidP="00153201">
      <w:pPr>
        <w:pStyle w:val="FootnoteText"/>
      </w:pPr>
      <w:r w:rsidRPr="003304C9">
        <w:rPr>
          <w:rStyle w:val="FootnoteReference"/>
        </w:rPr>
        <w:footnoteRef/>
      </w:r>
      <w:r w:rsidRPr="003304C9">
        <w:t xml:space="preserve"> </w:t>
      </w:r>
      <w:r>
        <w:rPr>
          <w:i/>
          <w:iCs/>
        </w:rPr>
        <w:t xml:space="preserve">See </w:t>
      </w:r>
      <w:r>
        <w:t>D.17-05-019, at 26-27; D.18-06-013, at 21-22; and D.19-06-012, at 17-18.</w:t>
      </w:r>
    </w:p>
  </w:footnote>
  <w:footnote w:id="36">
    <w:p w14:paraId="5D056DB2" w14:textId="77777777" w:rsidR="00153201" w:rsidRDefault="00153201" w:rsidP="00153201">
      <w:pPr>
        <w:pStyle w:val="FootnoteText"/>
      </w:pPr>
      <w:r>
        <w:rPr>
          <w:rStyle w:val="FootnoteReference"/>
        </w:rPr>
        <w:footnoteRef/>
      </w:r>
      <w:r>
        <w:t xml:space="preserve"> The Task Force is a separate group from the Industry.</w:t>
      </w:r>
    </w:p>
  </w:footnote>
  <w:footnote w:id="37">
    <w:p w14:paraId="344E3323" w14:textId="77777777" w:rsidR="00153201" w:rsidRDefault="00153201" w:rsidP="00153201">
      <w:pPr>
        <w:pStyle w:val="FootnoteText"/>
      </w:pPr>
      <w:r>
        <w:rPr>
          <w:rStyle w:val="FootnoteReference"/>
        </w:rPr>
        <w:footnoteRef/>
      </w:r>
      <w:r>
        <w:t xml:space="preserve"> A.23-01-012, Attachment 1.</w:t>
      </w:r>
    </w:p>
  </w:footnote>
  <w:footnote w:id="38">
    <w:p w14:paraId="35A3EBC5" w14:textId="3FF39608" w:rsidR="004C7CA4" w:rsidRDefault="004C7CA4">
      <w:pPr>
        <w:pStyle w:val="FootnoteText"/>
      </w:pPr>
      <w:r>
        <w:rPr>
          <w:rStyle w:val="FootnoteReference"/>
        </w:rPr>
        <w:footnoteRef/>
      </w:r>
      <w:r>
        <w:t xml:space="preserve"> The Joint Carriers did not file any Reply Comments. </w:t>
      </w:r>
    </w:p>
  </w:footnote>
  <w:footnote w:id="39">
    <w:p w14:paraId="2A7D5D93" w14:textId="77777777" w:rsidR="007C6C40" w:rsidRDefault="007C6C40" w:rsidP="007C6C40">
      <w:pPr>
        <w:pStyle w:val="FootnoteText"/>
      </w:pPr>
      <w:r>
        <w:rPr>
          <w:rStyle w:val="FootnoteReference"/>
        </w:rPr>
        <w:footnoteRef/>
      </w:r>
      <w:r>
        <w:t xml:space="preserve"> Implementation of the National Suicide Hotline Improvement Act of 2018, Report and Order, FCC 20-100 </w:t>
      </w:r>
      <w:proofErr w:type="spellStart"/>
      <w:r>
        <w:t>Irel</w:t>
      </w:r>
      <w:proofErr w:type="spellEnd"/>
      <w:r>
        <w:t>. July 17, 2020).</w:t>
      </w:r>
    </w:p>
  </w:footnote>
  <w:footnote w:id="40">
    <w:p w14:paraId="52979FD8" w14:textId="24CD34BE" w:rsidR="000448AF" w:rsidRDefault="000448AF">
      <w:pPr>
        <w:pStyle w:val="FootnoteText"/>
      </w:pPr>
      <w:r>
        <w:rPr>
          <w:rStyle w:val="FootnoteReference"/>
        </w:rPr>
        <w:footnoteRef/>
      </w:r>
      <w:r>
        <w:t xml:space="preserve"> D.23-03-006</w:t>
      </w:r>
      <w:r w:rsidR="00AA20FB">
        <w:t xml:space="preserve"> at 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0D88" w14:textId="77777777" w:rsidR="00153201" w:rsidRDefault="00153201" w:rsidP="007E0FEE">
    <w:pPr>
      <w:pStyle w:val="Header"/>
      <w:tabs>
        <w:tab w:val="clear" w:pos="4680"/>
      </w:tabs>
      <w:ind w:firstLine="0"/>
      <w:jc w:val="center"/>
      <w:rPr>
        <w:b/>
      </w:rPr>
    </w:pPr>
    <w:r w:rsidRPr="00F92385">
      <w:rPr>
        <w:i/>
        <w:color w:val="FF0000"/>
        <w:sz w:val="20"/>
        <w:szCs w:val="20"/>
      </w:rPr>
      <w:t xml:space="preserve">Internal Review Draft; Subject to </w:t>
    </w:r>
    <w:r w:rsidRPr="00F92385">
      <w:rPr>
        <w:b/>
        <w:i/>
        <w:color w:val="FF0000"/>
        <w:sz w:val="20"/>
        <w:szCs w:val="20"/>
      </w:rPr>
      <w:t>ALJ Division Review</w:t>
    </w:r>
    <w:r w:rsidRPr="00F92385">
      <w:rPr>
        <w:i/>
        <w:color w:val="FF0000"/>
        <w:sz w:val="20"/>
        <w:szCs w:val="20"/>
      </w:rPr>
      <w:t xml:space="preserve"> /</w:t>
    </w:r>
    <w:r w:rsidRPr="00585390">
      <w:rPr>
        <w:color w:val="FF0000"/>
        <w:sz w:val="20"/>
        <w:szCs w:val="20"/>
      </w:rPr>
      <w:t xml:space="preserve"> </w:t>
    </w:r>
    <w:r w:rsidRPr="00F92385">
      <w:rPr>
        <w:b/>
        <w:color w:val="FF0000"/>
        <w:sz w:val="20"/>
        <w:szCs w:val="20"/>
      </w:rPr>
      <w:t>CONFIDENTIA</w:t>
    </w:r>
    <w:r w:rsidRPr="008F0116">
      <w:rPr>
        <w:b/>
        <w:color w:val="FF0000"/>
        <w:sz w:val="20"/>
        <w:szCs w:val="20"/>
      </w:rPr>
      <w:t>L;</w:t>
    </w:r>
    <w:r w:rsidRPr="008F0116">
      <w:rPr>
        <w:color w:val="FF0000"/>
        <w:sz w:val="20"/>
        <w:szCs w:val="20"/>
      </w:rPr>
      <w:t xml:space="preserve"> </w:t>
    </w:r>
    <w:r w:rsidRPr="008F0116">
      <w:rPr>
        <w:i/>
        <w:color w:val="FF0000"/>
        <w:sz w:val="20"/>
        <w:szCs w:val="20"/>
      </w:rPr>
      <w:t>Deliberative Process Privilege</w:t>
    </w:r>
    <w:r w:rsidRPr="008F0116">
      <w:br/>
    </w:r>
    <w:r>
      <w:t>X.XX-XX-XXX  ^^^/^^^/^^^</w:t>
    </w:r>
    <w:r>
      <w:tab/>
    </w:r>
    <w:r>
      <w:rPr>
        <w:b/>
      </w:rPr>
      <w:t>PROPOSED DECISION</w:t>
    </w:r>
  </w:p>
  <w:p w14:paraId="7970EB53" w14:textId="77777777" w:rsidR="00153201" w:rsidRPr="00585390" w:rsidRDefault="00153201" w:rsidP="00F92385">
    <w:pPr>
      <w:pStyle w:val="Header"/>
      <w:ind w:firstLine="0"/>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A2B4C" w14:textId="690C7927" w:rsidR="00E23CBB" w:rsidRDefault="00DD5D30" w:rsidP="00EE4315">
    <w:pPr>
      <w:pStyle w:val="Header"/>
      <w:tabs>
        <w:tab w:val="clear" w:pos="4680"/>
      </w:tabs>
      <w:ind w:firstLine="0"/>
      <w:rPr>
        <w:b/>
      </w:rPr>
    </w:pPr>
    <w:r>
      <w:t>A.</w:t>
    </w:r>
    <w:r w:rsidR="00153201">
      <w:t>23-01-012</w:t>
    </w:r>
    <w:r>
      <w:t xml:space="preserve">  ALJ/</w:t>
    </w:r>
    <w:r w:rsidR="00153201">
      <w:t xml:space="preserve">SRM </w:t>
    </w:r>
    <w:r w:rsidR="00173585">
      <w:t>/</w:t>
    </w:r>
    <w:proofErr w:type="spellStart"/>
    <w:r w:rsidR="00173585">
      <w:t>smt</w:t>
    </w:r>
    <w:proofErr w:type="spellEnd"/>
    <w:r w:rsidR="00E23CBB">
      <w:tab/>
    </w:r>
    <w:r w:rsidR="00E23CBB">
      <w:rPr>
        <w:b/>
      </w:rPr>
      <w:t>PROPOSED DECISION</w:t>
    </w:r>
    <w:r w:rsidR="001417A8">
      <w:rPr>
        <w:b/>
      </w:rPr>
      <w:t xml:space="preserve"> (Rev.1)</w:t>
    </w:r>
  </w:p>
  <w:p w14:paraId="108827E6" w14:textId="526F653D" w:rsidR="00DD5D30" w:rsidRDefault="00DD5D30" w:rsidP="00B3087D">
    <w:pPr>
      <w:pStyle w:val="Header"/>
      <w:tabs>
        <w:tab w:val="clear" w:pos="4680"/>
      </w:tabs>
      <w:ind w:firstLine="0"/>
      <w:rPr>
        <w:i/>
        <w:color w:val="FF0000"/>
      </w:rPr>
    </w:pPr>
  </w:p>
  <w:p w14:paraId="4EB1453B" w14:textId="77777777" w:rsidR="00DD5D30" w:rsidRPr="001E2A62" w:rsidRDefault="00DD5D30" w:rsidP="00DD5D30">
    <w:pPr>
      <w:pStyle w:val="Main"/>
      <w:rPr>
        <w:rFonts w:ascii="Book Antiqua" w:hAnsi="Book Antiqua"/>
      </w:rPr>
    </w:pPr>
    <w:r w:rsidRPr="001E2A62">
      <w:rPr>
        <w:rFonts w:ascii="Book Antiqua" w:hAnsi="Book Antiqua"/>
      </w:rPr>
      <w:t>TABLE OF CONTENTS</w:t>
    </w:r>
  </w:p>
  <w:p w14:paraId="01B9D96E" w14:textId="77777777" w:rsidR="00DD5D30" w:rsidRDefault="00DD5D30" w:rsidP="00DD5D30">
    <w:pPr>
      <w:tabs>
        <w:tab w:val="right" w:pos="9360"/>
      </w:tabs>
      <w:ind w:firstLine="0"/>
      <w:rPr>
        <w:b/>
      </w:rPr>
    </w:pPr>
    <w:r w:rsidRPr="00DD5D30">
      <w:rPr>
        <w:b/>
        <w:u w:val="single"/>
      </w:rPr>
      <w:t>Title</w:t>
    </w:r>
    <w:r>
      <w:tab/>
    </w:r>
    <w:r w:rsidRPr="00DD5D30">
      <w:rPr>
        <w:b/>
        <w:u w:val="single"/>
      </w:rPr>
      <w:t>Page</w:t>
    </w:r>
  </w:p>
  <w:p w14:paraId="51D70124" w14:textId="77777777" w:rsidR="00DD5D30" w:rsidRPr="00D50119" w:rsidRDefault="00DD5D30" w:rsidP="00DD5D30">
    <w:pPr>
      <w:tabs>
        <w:tab w:val="right" w:pos="9360"/>
      </w:tab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611AE" w14:textId="3011A37B" w:rsidR="00FE2351" w:rsidRDefault="00DD5D30" w:rsidP="00EE4315">
    <w:pPr>
      <w:pStyle w:val="Header"/>
      <w:tabs>
        <w:tab w:val="clear" w:pos="4680"/>
      </w:tabs>
      <w:ind w:firstLine="0"/>
      <w:rPr>
        <w:b/>
      </w:rPr>
    </w:pPr>
    <w:r>
      <w:t>A.</w:t>
    </w:r>
    <w:r w:rsidR="00153201">
      <w:t>23-01-012</w:t>
    </w:r>
    <w:r>
      <w:t xml:space="preserve">  ALJ/</w:t>
    </w:r>
    <w:r w:rsidR="00153201">
      <w:t>SRM</w:t>
    </w:r>
    <w:r w:rsidR="00173585">
      <w:t>/</w:t>
    </w:r>
    <w:proofErr w:type="spellStart"/>
    <w:r w:rsidR="00173585">
      <w:t>smt</w:t>
    </w:r>
    <w:proofErr w:type="spellEnd"/>
    <w:r w:rsidR="00FE2351">
      <w:tab/>
    </w:r>
    <w:r w:rsidR="00FE2351">
      <w:rPr>
        <w:b/>
      </w:rPr>
      <w:t>PROPOSED DECISION</w:t>
    </w:r>
    <w:r w:rsidR="00230E6D">
      <w:rPr>
        <w:b/>
      </w:rPr>
      <w:t xml:space="preserve"> (Rev.1)</w:t>
    </w:r>
  </w:p>
  <w:p w14:paraId="79CDC370" w14:textId="5D059DD3" w:rsidR="00FE2351" w:rsidRDefault="00FE2351" w:rsidP="00B3087D">
    <w:pPr>
      <w:pStyle w:val="Header"/>
      <w:tabs>
        <w:tab w:val="clear" w:pos="4680"/>
      </w:tabs>
      <w:ind w:firstLine="0"/>
      <w:rPr>
        <w:i/>
        <w:color w:val="FF0000"/>
      </w:rPr>
    </w:pPr>
  </w:p>
  <w:p w14:paraId="6BF6EEA7" w14:textId="77777777" w:rsidR="00DD5D30" w:rsidRPr="00B3087D" w:rsidRDefault="00DD5D30" w:rsidP="00B3087D">
    <w:pPr>
      <w:pStyle w:val="Header"/>
      <w:tabs>
        <w:tab w:val="clear" w:pos="4680"/>
      </w:tabs>
      <w:ind w:firstLine="0"/>
      <w:rPr>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FE324E"/>
    <w:multiLevelType w:val="multilevel"/>
    <w:tmpl w:val="423698C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2E759EA"/>
    <w:multiLevelType w:val="hybridMultilevel"/>
    <w:tmpl w:val="3C3661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4" w15:restartNumberingAfterBreak="0">
    <w:nsid w:val="15F056CB"/>
    <w:multiLevelType w:val="multilevel"/>
    <w:tmpl w:val="18F4A5AC"/>
    <w:numStyleLink w:val="FoFCoLOP"/>
  </w:abstractNum>
  <w:abstractNum w:abstractNumId="5" w15:restartNumberingAfterBreak="0">
    <w:nsid w:val="19A928C6"/>
    <w:multiLevelType w:val="multilevel"/>
    <w:tmpl w:val="BFA22C38"/>
    <w:lvl w:ilvl="0">
      <w:start w:val="7"/>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70038F"/>
    <w:multiLevelType w:val="multilevel"/>
    <w:tmpl w:val="3C526EDE"/>
    <w:numStyleLink w:val="Headings"/>
  </w:abstractNum>
  <w:abstractNum w:abstractNumId="8" w15:restartNumberingAfterBreak="0">
    <w:nsid w:val="1E2242C9"/>
    <w:multiLevelType w:val="multilevel"/>
    <w:tmpl w:val="3C526EDE"/>
    <w:numStyleLink w:val="Headings"/>
  </w:abstractNum>
  <w:abstractNum w:abstractNumId="9" w15:restartNumberingAfterBreak="0">
    <w:nsid w:val="21FB58FE"/>
    <w:multiLevelType w:val="multilevel"/>
    <w:tmpl w:val="3C526EDE"/>
    <w:numStyleLink w:val="Headings"/>
  </w:abstractNum>
  <w:abstractNum w:abstractNumId="10" w15:restartNumberingAfterBreak="0">
    <w:nsid w:val="243663A0"/>
    <w:multiLevelType w:val="multilevel"/>
    <w:tmpl w:val="3C526EDE"/>
    <w:numStyleLink w:val="Headings"/>
  </w:abstractNum>
  <w:abstractNum w:abstractNumId="11" w15:restartNumberingAfterBreak="0">
    <w:nsid w:val="24E35711"/>
    <w:multiLevelType w:val="multilevel"/>
    <w:tmpl w:val="0409001D"/>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 w15:restartNumberingAfterBreak="0">
    <w:nsid w:val="26A377B5"/>
    <w:multiLevelType w:val="hybridMultilevel"/>
    <w:tmpl w:val="80CEF1B4"/>
    <w:lvl w:ilvl="0" w:tplc="1640EE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8124D7"/>
    <w:multiLevelType w:val="multilevel"/>
    <w:tmpl w:val="3C526EDE"/>
    <w:numStyleLink w:val="Headings"/>
  </w:abstractNum>
  <w:abstractNum w:abstractNumId="14" w15:restartNumberingAfterBreak="0">
    <w:nsid w:val="3033564E"/>
    <w:multiLevelType w:val="hybridMultilevel"/>
    <w:tmpl w:val="767E4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31F6D42"/>
    <w:multiLevelType w:val="multilevel"/>
    <w:tmpl w:val="3C526EDE"/>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6" w15:restartNumberingAfterBreak="0">
    <w:nsid w:val="3AF508C0"/>
    <w:multiLevelType w:val="hybridMultilevel"/>
    <w:tmpl w:val="9F1C99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4E2CC0"/>
    <w:multiLevelType w:val="hybridMultilevel"/>
    <w:tmpl w:val="0FBABE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D355CB0"/>
    <w:multiLevelType w:val="hybridMultilevel"/>
    <w:tmpl w:val="2CF65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54B20F3"/>
    <w:multiLevelType w:val="multilevel"/>
    <w:tmpl w:val="6F8E32B0"/>
    <w:lvl w:ilvl="0">
      <w:start w:val="3"/>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4D5D2246"/>
    <w:multiLevelType w:val="singleLevel"/>
    <w:tmpl w:val="AEE4047A"/>
    <w:lvl w:ilvl="0">
      <w:start w:val="1"/>
      <w:numFmt w:val="decimal"/>
      <w:pStyle w:val="Style1"/>
      <w:lvlText w:val="%1."/>
      <w:lvlJc w:val="left"/>
      <w:pPr>
        <w:tabs>
          <w:tab w:val="num" w:pos="72"/>
        </w:tabs>
        <w:ind w:left="288" w:hanging="288"/>
      </w:pPr>
      <w:rPr>
        <w:rFonts w:hint="default"/>
      </w:rPr>
    </w:lvl>
  </w:abstractNum>
  <w:abstractNum w:abstractNumId="21" w15:restartNumberingAfterBreak="0">
    <w:nsid w:val="564B3A2D"/>
    <w:multiLevelType w:val="hybridMultilevel"/>
    <w:tmpl w:val="0BD8D8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9D042D7"/>
    <w:multiLevelType w:val="multilevel"/>
    <w:tmpl w:val="18F4A5AC"/>
    <w:numStyleLink w:val="FoFCoLOP"/>
  </w:abstractNum>
  <w:abstractNum w:abstractNumId="23" w15:restartNumberingAfterBreak="0">
    <w:nsid w:val="5A9E2171"/>
    <w:multiLevelType w:val="multilevel"/>
    <w:tmpl w:val="3C526EDE"/>
    <w:numStyleLink w:val="Headings"/>
  </w:abstractNum>
  <w:abstractNum w:abstractNumId="24" w15:restartNumberingAfterBreak="0">
    <w:nsid w:val="5DA132BD"/>
    <w:multiLevelType w:val="hybridMultilevel"/>
    <w:tmpl w:val="7A6E43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1A25780"/>
    <w:multiLevelType w:val="multilevel"/>
    <w:tmpl w:val="3C526EDE"/>
    <w:numStyleLink w:val="Headings"/>
  </w:abstractNum>
  <w:abstractNum w:abstractNumId="26" w15:restartNumberingAfterBreak="0">
    <w:nsid w:val="646954E2"/>
    <w:multiLevelType w:val="hybridMultilevel"/>
    <w:tmpl w:val="942CD046"/>
    <w:lvl w:ilvl="0" w:tplc="2E004662">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DC7FEF"/>
    <w:multiLevelType w:val="hybridMultilevel"/>
    <w:tmpl w:val="746849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89A0AFE"/>
    <w:multiLevelType w:val="multilevel"/>
    <w:tmpl w:val="18F4A5AC"/>
    <w:numStyleLink w:val="FoFCoLOP"/>
  </w:abstractNum>
  <w:abstractNum w:abstractNumId="30" w15:restartNumberingAfterBreak="0">
    <w:nsid w:val="7F0A672F"/>
    <w:multiLevelType w:val="hybridMultilevel"/>
    <w:tmpl w:val="6F824970"/>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num w:numId="1" w16cid:durableId="945961844">
    <w:abstractNumId w:val="23"/>
  </w:num>
  <w:num w:numId="2" w16cid:durableId="820655111">
    <w:abstractNumId w:val="3"/>
  </w:num>
  <w:num w:numId="3" w16cid:durableId="413281586">
    <w:abstractNumId w:val="22"/>
  </w:num>
  <w:num w:numId="4" w16cid:durableId="826634333">
    <w:abstractNumId w:val="4"/>
  </w:num>
  <w:num w:numId="5" w16cid:durableId="1927229188">
    <w:abstractNumId w:val="29"/>
  </w:num>
  <w:num w:numId="6" w16cid:durableId="2045787441">
    <w:abstractNumId w:val="15"/>
  </w:num>
  <w:num w:numId="7" w16cid:durableId="2008047409">
    <w:abstractNumId w:val="8"/>
  </w:num>
  <w:num w:numId="8" w16cid:durableId="291181923">
    <w:abstractNumId w:val="28"/>
  </w:num>
  <w:num w:numId="9" w16cid:durableId="1583024760">
    <w:abstractNumId w:val="0"/>
  </w:num>
  <w:num w:numId="10" w16cid:durableId="1860048508">
    <w:abstractNumId w:val="7"/>
  </w:num>
  <w:num w:numId="11" w16cid:durableId="1412658673">
    <w:abstractNumId w:val="9"/>
  </w:num>
  <w:num w:numId="12" w16cid:durableId="1351108432">
    <w:abstractNumId w:val="6"/>
  </w:num>
  <w:num w:numId="13" w16cid:durableId="316224447">
    <w:abstractNumId w:val="10"/>
  </w:num>
  <w:num w:numId="14" w16cid:durableId="515777319">
    <w:abstractNumId w:val="13"/>
  </w:num>
  <w:num w:numId="15" w16cid:durableId="2061173597">
    <w:abstractNumId w:val="25"/>
    <w:lvlOverride w:ilvl="0">
      <w:lvl w:ilvl="0">
        <w:numFmt w:val="decimal"/>
        <w:lvlText w:val=""/>
        <w:lvlJc w:val="left"/>
      </w:lvl>
    </w:lvlOverride>
    <w:lvlOverride w:ilvl="1">
      <w:lvl w:ilvl="1">
        <w:start w:val="1"/>
        <w:numFmt w:val="decimal"/>
        <w:lvlText w:val="%1.%2."/>
        <w:lvlJc w:val="left"/>
        <w:pPr>
          <w:tabs>
            <w:tab w:val="num" w:pos="1080"/>
          </w:tabs>
          <w:ind w:left="1080" w:hanging="720"/>
        </w:pPr>
      </w:lvl>
    </w:lvlOverride>
  </w:num>
  <w:num w:numId="16" w16cid:durableId="1446694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169696">
    <w:abstractNumId w:val="14"/>
  </w:num>
  <w:num w:numId="18" w16cid:durableId="773407398">
    <w:abstractNumId w:val="17"/>
  </w:num>
  <w:num w:numId="19" w16cid:durableId="952976026">
    <w:abstractNumId w:val="11"/>
  </w:num>
  <w:num w:numId="20" w16cid:durableId="667102356">
    <w:abstractNumId w:val="21"/>
  </w:num>
  <w:num w:numId="21" w16cid:durableId="335159044">
    <w:abstractNumId w:val="4"/>
    <w:lvlOverride w:ilvl="0">
      <w:lvl w:ilvl="0">
        <w:start w:val="1"/>
        <w:numFmt w:val="decimal"/>
        <w:pStyle w:val="CoL"/>
        <w:lvlText w:val="%1."/>
        <w:lvlJc w:val="right"/>
        <w:pPr>
          <w:ind w:left="0" w:firstLine="540"/>
        </w:pPr>
        <w:rPr>
          <w:rFonts w:ascii="Book Antiqua" w:hAnsi="Book Antiqua" w:hint="default"/>
        </w:rPr>
      </w:lvl>
    </w:lvlOverride>
  </w:num>
  <w:num w:numId="22" w16cid:durableId="669134888">
    <w:abstractNumId w:val="30"/>
  </w:num>
  <w:num w:numId="23" w16cid:durableId="1315375445">
    <w:abstractNumId w:val="24"/>
  </w:num>
  <w:num w:numId="24" w16cid:durableId="2007392781">
    <w:abstractNumId w:val="26"/>
  </w:num>
  <w:num w:numId="25" w16cid:durableId="2059041622">
    <w:abstractNumId w:val="1"/>
  </w:num>
  <w:num w:numId="26" w16cid:durableId="859583183">
    <w:abstractNumId w:val="20"/>
  </w:num>
  <w:num w:numId="27" w16cid:durableId="1525097673">
    <w:abstractNumId w:val="18"/>
  </w:num>
  <w:num w:numId="28" w16cid:durableId="1852641254">
    <w:abstractNumId w:val="27"/>
  </w:num>
  <w:num w:numId="29" w16cid:durableId="633175222">
    <w:abstractNumId w:val="16"/>
  </w:num>
  <w:num w:numId="30" w16cid:durableId="472792607">
    <w:abstractNumId w:val="2"/>
  </w:num>
  <w:num w:numId="31" w16cid:durableId="1941183091">
    <w:abstractNumId w:val="12"/>
  </w:num>
  <w:num w:numId="32" w16cid:durableId="1599871269">
    <w:abstractNumId w:val="19"/>
  </w:num>
  <w:num w:numId="33" w16cid:durableId="121497231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0F5"/>
    <w:rsid w:val="00000F6A"/>
    <w:rsid w:val="00004941"/>
    <w:rsid w:val="00015C4F"/>
    <w:rsid w:val="00027446"/>
    <w:rsid w:val="000275CF"/>
    <w:rsid w:val="00041A32"/>
    <w:rsid w:val="00044563"/>
    <w:rsid w:val="000448AF"/>
    <w:rsid w:val="00051420"/>
    <w:rsid w:val="00060D8D"/>
    <w:rsid w:val="00062DB2"/>
    <w:rsid w:val="00065DC0"/>
    <w:rsid w:val="0007115A"/>
    <w:rsid w:val="00074856"/>
    <w:rsid w:val="0007702A"/>
    <w:rsid w:val="00092EB4"/>
    <w:rsid w:val="00096C5D"/>
    <w:rsid w:val="000973C8"/>
    <w:rsid w:val="000A0A78"/>
    <w:rsid w:val="000A2AA9"/>
    <w:rsid w:val="000A3009"/>
    <w:rsid w:val="000A39F9"/>
    <w:rsid w:val="000A56F2"/>
    <w:rsid w:val="000A5FF9"/>
    <w:rsid w:val="000A6E05"/>
    <w:rsid w:val="000A7238"/>
    <w:rsid w:val="000A7777"/>
    <w:rsid w:val="000B12FA"/>
    <w:rsid w:val="000B5570"/>
    <w:rsid w:val="000C08BF"/>
    <w:rsid w:val="000C2A18"/>
    <w:rsid w:val="000C3B9A"/>
    <w:rsid w:val="000C55A8"/>
    <w:rsid w:val="000D25A8"/>
    <w:rsid w:val="000E270A"/>
    <w:rsid w:val="000E4C53"/>
    <w:rsid w:val="000F3CA3"/>
    <w:rsid w:val="000F5749"/>
    <w:rsid w:val="001004E3"/>
    <w:rsid w:val="001018E3"/>
    <w:rsid w:val="001031D8"/>
    <w:rsid w:val="00104310"/>
    <w:rsid w:val="0011008F"/>
    <w:rsid w:val="00111B1C"/>
    <w:rsid w:val="00121089"/>
    <w:rsid w:val="00130466"/>
    <w:rsid w:val="001417A8"/>
    <w:rsid w:val="00153201"/>
    <w:rsid w:val="00161D24"/>
    <w:rsid w:val="00164CE8"/>
    <w:rsid w:val="001654D3"/>
    <w:rsid w:val="001662E3"/>
    <w:rsid w:val="0016779D"/>
    <w:rsid w:val="00173585"/>
    <w:rsid w:val="001807D3"/>
    <w:rsid w:val="001824D7"/>
    <w:rsid w:val="00186DDE"/>
    <w:rsid w:val="001B1011"/>
    <w:rsid w:val="001B7245"/>
    <w:rsid w:val="001C1D30"/>
    <w:rsid w:val="001C363F"/>
    <w:rsid w:val="001C6E94"/>
    <w:rsid w:val="001D22F8"/>
    <w:rsid w:val="001D7A45"/>
    <w:rsid w:val="001E2354"/>
    <w:rsid w:val="001E2A62"/>
    <w:rsid w:val="001E4204"/>
    <w:rsid w:val="001E467E"/>
    <w:rsid w:val="001E51F7"/>
    <w:rsid w:val="001E5D9C"/>
    <w:rsid w:val="001F2819"/>
    <w:rsid w:val="001F5A9F"/>
    <w:rsid w:val="001F63A6"/>
    <w:rsid w:val="00203C3B"/>
    <w:rsid w:val="002043EC"/>
    <w:rsid w:val="002152BC"/>
    <w:rsid w:val="002277A2"/>
    <w:rsid w:val="00230E6D"/>
    <w:rsid w:val="00243DC0"/>
    <w:rsid w:val="00244C1C"/>
    <w:rsid w:val="00247477"/>
    <w:rsid w:val="00250CF0"/>
    <w:rsid w:val="00256276"/>
    <w:rsid w:val="002562BF"/>
    <w:rsid w:val="00265C6C"/>
    <w:rsid w:val="00270440"/>
    <w:rsid w:val="00271AFD"/>
    <w:rsid w:val="00272688"/>
    <w:rsid w:val="00273F38"/>
    <w:rsid w:val="00275B30"/>
    <w:rsid w:val="002856E7"/>
    <w:rsid w:val="00287435"/>
    <w:rsid w:val="00287BC5"/>
    <w:rsid w:val="00293DEE"/>
    <w:rsid w:val="00295294"/>
    <w:rsid w:val="002A0B02"/>
    <w:rsid w:val="002A0B5D"/>
    <w:rsid w:val="002B6D56"/>
    <w:rsid w:val="002C7FE9"/>
    <w:rsid w:val="002D0DC5"/>
    <w:rsid w:val="002D4EFD"/>
    <w:rsid w:val="002D70EE"/>
    <w:rsid w:val="002E11EC"/>
    <w:rsid w:val="002E18D0"/>
    <w:rsid w:val="002F2070"/>
    <w:rsid w:val="002F6156"/>
    <w:rsid w:val="003009F3"/>
    <w:rsid w:val="0031017B"/>
    <w:rsid w:val="003127C8"/>
    <w:rsid w:val="00315A97"/>
    <w:rsid w:val="00316071"/>
    <w:rsid w:val="00330CB0"/>
    <w:rsid w:val="003356DB"/>
    <w:rsid w:val="00340509"/>
    <w:rsid w:val="00343E5C"/>
    <w:rsid w:val="00344FB8"/>
    <w:rsid w:val="0035451B"/>
    <w:rsid w:val="0036017B"/>
    <w:rsid w:val="00362755"/>
    <w:rsid w:val="00373B93"/>
    <w:rsid w:val="00380CD1"/>
    <w:rsid w:val="00383089"/>
    <w:rsid w:val="003845F6"/>
    <w:rsid w:val="00391B19"/>
    <w:rsid w:val="003A38F0"/>
    <w:rsid w:val="003B5549"/>
    <w:rsid w:val="003B5642"/>
    <w:rsid w:val="003E55A3"/>
    <w:rsid w:val="003E5FFB"/>
    <w:rsid w:val="003F069A"/>
    <w:rsid w:val="003F08F1"/>
    <w:rsid w:val="003F3B9F"/>
    <w:rsid w:val="003F4329"/>
    <w:rsid w:val="003F7A84"/>
    <w:rsid w:val="004003B8"/>
    <w:rsid w:val="0040478D"/>
    <w:rsid w:val="00410EE5"/>
    <w:rsid w:val="00412534"/>
    <w:rsid w:val="00412C83"/>
    <w:rsid w:val="00420E9B"/>
    <w:rsid w:val="00422385"/>
    <w:rsid w:val="00426014"/>
    <w:rsid w:val="00432D72"/>
    <w:rsid w:val="0044617E"/>
    <w:rsid w:val="0046012D"/>
    <w:rsid w:val="00460B7D"/>
    <w:rsid w:val="004620DE"/>
    <w:rsid w:val="004727E0"/>
    <w:rsid w:val="00472FEA"/>
    <w:rsid w:val="004737B3"/>
    <w:rsid w:val="00475FB6"/>
    <w:rsid w:val="004767D0"/>
    <w:rsid w:val="00480CB0"/>
    <w:rsid w:val="004817C8"/>
    <w:rsid w:val="00494225"/>
    <w:rsid w:val="00495500"/>
    <w:rsid w:val="004A622A"/>
    <w:rsid w:val="004B34EA"/>
    <w:rsid w:val="004B5494"/>
    <w:rsid w:val="004B5B11"/>
    <w:rsid w:val="004C72CE"/>
    <w:rsid w:val="004C7A2B"/>
    <w:rsid w:val="004C7CA4"/>
    <w:rsid w:val="004C7D3A"/>
    <w:rsid w:val="004D3412"/>
    <w:rsid w:val="004E5D03"/>
    <w:rsid w:val="004F1875"/>
    <w:rsid w:val="005003FF"/>
    <w:rsid w:val="005018A8"/>
    <w:rsid w:val="00503A68"/>
    <w:rsid w:val="00504460"/>
    <w:rsid w:val="00505A39"/>
    <w:rsid w:val="005071BA"/>
    <w:rsid w:val="005238AF"/>
    <w:rsid w:val="005240BF"/>
    <w:rsid w:val="00527A57"/>
    <w:rsid w:val="00534D10"/>
    <w:rsid w:val="00542588"/>
    <w:rsid w:val="00543E96"/>
    <w:rsid w:val="0055088F"/>
    <w:rsid w:val="00560F50"/>
    <w:rsid w:val="00565932"/>
    <w:rsid w:val="00571D1B"/>
    <w:rsid w:val="0057387E"/>
    <w:rsid w:val="00574F70"/>
    <w:rsid w:val="00585052"/>
    <w:rsid w:val="00585390"/>
    <w:rsid w:val="00587E0A"/>
    <w:rsid w:val="005939A5"/>
    <w:rsid w:val="005A0570"/>
    <w:rsid w:val="005A148C"/>
    <w:rsid w:val="005A3353"/>
    <w:rsid w:val="005A62FF"/>
    <w:rsid w:val="005B0F9E"/>
    <w:rsid w:val="005B1E55"/>
    <w:rsid w:val="005B7C1C"/>
    <w:rsid w:val="005C58FA"/>
    <w:rsid w:val="005C5D96"/>
    <w:rsid w:val="005D2DAE"/>
    <w:rsid w:val="005D4638"/>
    <w:rsid w:val="005D46BF"/>
    <w:rsid w:val="005E40CD"/>
    <w:rsid w:val="005E4BE9"/>
    <w:rsid w:val="005E76C7"/>
    <w:rsid w:val="005F237D"/>
    <w:rsid w:val="00604434"/>
    <w:rsid w:val="006062A6"/>
    <w:rsid w:val="00607F5E"/>
    <w:rsid w:val="0061061F"/>
    <w:rsid w:val="006132F3"/>
    <w:rsid w:val="006147C0"/>
    <w:rsid w:val="006150DB"/>
    <w:rsid w:val="00615EB1"/>
    <w:rsid w:val="00616DA7"/>
    <w:rsid w:val="00623ABB"/>
    <w:rsid w:val="00632207"/>
    <w:rsid w:val="006341E5"/>
    <w:rsid w:val="0063491C"/>
    <w:rsid w:val="00640224"/>
    <w:rsid w:val="00657C8F"/>
    <w:rsid w:val="00660DA0"/>
    <w:rsid w:val="00661AFE"/>
    <w:rsid w:val="006666CE"/>
    <w:rsid w:val="00680092"/>
    <w:rsid w:val="00680F19"/>
    <w:rsid w:val="00686FA6"/>
    <w:rsid w:val="006929F6"/>
    <w:rsid w:val="006A1183"/>
    <w:rsid w:val="006B3522"/>
    <w:rsid w:val="006C1F10"/>
    <w:rsid w:val="006C2A26"/>
    <w:rsid w:val="006C4B2D"/>
    <w:rsid w:val="006E3B7F"/>
    <w:rsid w:val="006E5E28"/>
    <w:rsid w:val="006E6574"/>
    <w:rsid w:val="006F2381"/>
    <w:rsid w:val="006F72CF"/>
    <w:rsid w:val="00700FF7"/>
    <w:rsid w:val="00705063"/>
    <w:rsid w:val="00705FF5"/>
    <w:rsid w:val="00714CF2"/>
    <w:rsid w:val="007156B9"/>
    <w:rsid w:val="0071590B"/>
    <w:rsid w:val="00720817"/>
    <w:rsid w:val="00722850"/>
    <w:rsid w:val="00724A37"/>
    <w:rsid w:val="0072528A"/>
    <w:rsid w:val="007265E6"/>
    <w:rsid w:val="007332AD"/>
    <w:rsid w:val="0073353F"/>
    <w:rsid w:val="00735A91"/>
    <w:rsid w:val="00735FEA"/>
    <w:rsid w:val="00742E45"/>
    <w:rsid w:val="007447AF"/>
    <w:rsid w:val="00750816"/>
    <w:rsid w:val="00756273"/>
    <w:rsid w:val="0076395A"/>
    <w:rsid w:val="007657C1"/>
    <w:rsid w:val="00770E6C"/>
    <w:rsid w:val="00773715"/>
    <w:rsid w:val="0077755F"/>
    <w:rsid w:val="0078250D"/>
    <w:rsid w:val="00791298"/>
    <w:rsid w:val="00793028"/>
    <w:rsid w:val="007A0151"/>
    <w:rsid w:val="007A03F4"/>
    <w:rsid w:val="007A406D"/>
    <w:rsid w:val="007A62B0"/>
    <w:rsid w:val="007B64A1"/>
    <w:rsid w:val="007B7B42"/>
    <w:rsid w:val="007C331A"/>
    <w:rsid w:val="007C4C34"/>
    <w:rsid w:val="007C5A0C"/>
    <w:rsid w:val="007C6C40"/>
    <w:rsid w:val="007D7D86"/>
    <w:rsid w:val="007D7FED"/>
    <w:rsid w:val="007E0FEE"/>
    <w:rsid w:val="007E6AF9"/>
    <w:rsid w:val="007F2017"/>
    <w:rsid w:val="007F2A05"/>
    <w:rsid w:val="007F45B4"/>
    <w:rsid w:val="007F570B"/>
    <w:rsid w:val="007F5B50"/>
    <w:rsid w:val="007F6AAE"/>
    <w:rsid w:val="008159CF"/>
    <w:rsid w:val="00816E05"/>
    <w:rsid w:val="00817FB5"/>
    <w:rsid w:val="00824CA5"/>
    <w:rsid w:val="00830797"/>
    <w:rsid w:val="008319B7"/>
    <w:rsid w:val="0083398C"/>
    <w:rsid w:val="008339BB"/>
    <w:rsid w:val="00834A14"/>
    <w:rsid w:val="00842C2A"/>
    <w:rsid w:val="00850F66"/>
    <w:rsid w:val="00852AD7"/>
    <w:rsid w:val="00863A8B"/>
    <w:rsid w:val="0086419A"/>
    <w:rsid w:val="00864958"/>
    <w:rsid w:val="00864D07"/>
    <w:rsid w:val="0087023B"/>
    <w:rsid w:val="00871AA3"/>
    <w:rsid w:val="0087477E"/>
    <w:rsid w:val="00882929"/>
    <w:rsid w:val="0088631C"/>
    <w:rsid w:val="0089532E"/>
    <w:rsid w:val="008A179F"/>
    <w:rsid w:val="008A47E6"/>
    <w:rsid w:val="008B01F2"/>
    <w:rsid w:val="008B0864"/>
    <w:rsid w:val="008B2FC8"/>
    <w:rsid w:val="008B3BE0"/>
    <w:rsid w:val="008B42DF"/>
    <w:rsid w:val="008B7871"/>
    <w:rsid w:val="008C4FD6"/>
    <w:rsid w:val="008C7413"/>
    <w:rsid w:val="008D16B7"/>
    <w:rsid w:val="008D734B"/>
    <w:rsid w:val="008E6AE6"/>
    <w:rsid w:val="008F0116"/>
    <w:rsid w:val="008F143D"/>
    <w:rsid w:val="0090013A"/>
    <w:rsid w:val="009070B7"/>
    <w:rsid w:val="009134DD"/>
    <w:rsid w:val="00931DC7"/>
    <w:rsid w:val="00932865"/>
    <w:rsid w:val="0093637D"/>
    <w:rsid w:val="00953611"/>
    <w:rsid w:val="0096388B"/>
    <w:rsid w:val="0097060F"/>
    <w:rsid w:val="00971ABC"/>
    <w:rsid w:val="009732F1"/>
    <w:rsid w:val="009765F8"/>
    <w:rsid w:val="0098138E"/>
    <w:rsid w:val="00985E1B"/>
    <w:rsid w:val="0098655A"/>
    <w:rsid w:val="00993B16"/>
    <w:rsid w:val="00996BE8"/>
    <w:rsid w:val="009A5653"/>
    <w:rsid w:val="009B630B"/>
    <w:rsid w:val="009C02EB"/>
    <w:rsid w:val="009D353B"/>
    <w:rsid w:val="009E6052"/>
    <w:rsid w:val="009E7C7F"/>
    <w:rsid w:val="009E7CBB"/>
    <w:rsid w:val="009F0097"/>
    <w:rsid w:val="00A03107"/>
    <w:rsid w:val="00A14A97"/>
    <w:rsid w:val="00A14C9A"/>
    <w:rsid w:val="00A17CE0"/>
    <w:rsid w:val="00A200EC"/>
    <w:rsid w:val="00A223A3"/>
    <w:rsid w:val="00A23D48"/>
    <w:rsid w:val="00A262FF"/>
    <w:rsid w:val="00A3028E"/>
    <w:rsid w:val="00A31287"/>
    <w:rsid w:val="00A35083"/>
    <w:rsid w:val="00A42306"/>
    <w:rsid w:val="00A44D96"/>
    <w:rsid w:val="00A44E8D"/>
    <w:rsid w:val="00A46EA8"/>
    <w:rsid w:val="00A54E87"/>
    <w:rsid w:val="00A55ACD"/>
    <w:rsid w:val="00A56EBA"/>
    <w:rsid w:val="00A64319"/>
    <w:rsid w:val="00A660E4"/>
    <w:rsid w:val="00A75569"/>
    <w:rsid w:val="00A761D4"/>
    <w:rsid w:val="00A82FAF"/>
    <w:rsid w:val="00A85D27"/>
    <w:rsid w:val="00A910F5"/>
    <w:rsid w:val="00AA057D"/>
    <w:rsid w:val="00AA20FB"/>
    <w:rsid w:val="00AA65B0"/>
    <w:rsid w:val="00AB0BDC"/>
    <w:rsid w:val="00AB3CE9"/>
    <w:rsid w:val="00AB731F"/>
    <w:rsid w:val="00AB7875"/>
    <w:rsid w:val="00AC68EE"/>
    <w:rsid w:val="00AC7E9E"/>
    <w:rsid w:val="00AD44DF"/>
    <w:rsid w:val="00AD5C31"/>
    <w:rsid w:val="00AE0FCD"/>
    <w:rsid w:val="00AF4864"/>
    <w:rsid w:val="00AF6189"/>
    <w:rsid w:val="00AF6413"/>
    <w:rsid w:val="00AF7CC1"/>
    <w:rsid w:val="00B01F7E"/>
    <w:rsid w:val="00B07845"/>
    <w:rsid w:val="00B15795"/>
    <w:rsid w:val="00B16C2A"/>
    <w:rsid w:val="00B229E6"/>
    <w:rsid w:val="00B26EFD"/>
    <w:rsid w:val="00B30581"/>
    <w:rsid w:val="00B3087D"/>
    <w:rsid w:val="00B322DA"/>
    <w:rsid w:val="00B34794"/>
    <w:rsid w:val="00B4648D"/>
    <w:rsid w:val="00B60421"/>
    <w:rsid w:val="00B70234"/>
    <w:rsid w:val="00B80AA6"/>
    <w:rsid w:val="00B81EB6"/>
    <w:rsid w:val="00B83D18"/>
    <w:rsid w:val="00B83F4E"/>
    <w:rsid w:val="00B8769D"/>
    <w:rsid w:val="00B940E8"/>
    <w:rsid w:val="00BA6BAF"/>
    <w:rsid w:val="00BA70FD"/>
    <w:rsid w:val="00BA7C74"/>
    <w:rsid w:val="00BA7E95"/>
    <w:rsid w:val="00BB0243"/>
    <w:rsid w:val="00BD1060"/>
    <w:rsid w:val="00BD4393"/>
    <w:rsid w:val="00BD717F"/>
    <w:rsid w:val="00BE04F7"/>
    <w:rsid w:val="00BE3B1F"/>
    <w:rsid w:val="00BF4E58"/>
    <w:rsid w:val="00C02FD9"/>
    <w:rsid w:val="00C06426"/>
    <w:rsid w:val="00C106B0"/>
    <w:rsid w:val="00C10B5F"/>
    <w:rsid w:val="00C1267D"/>
    <w:rsid w:val="00C21069"/>
    <w:rsid w:val="00C25889"/>
    <w:rsid w:val="00C31260"/>
    <w:rsid w:val="00C31ADB"/>
    <w:rsid w:val="00C36DA1"/>
    <w:rsid w:val="00C40662"/>
    <w:rsid w:val="00C441E8"/>
    <w:rsid w:val="00C45C17"/>
    <w:rsid w:val="00C5428A"/>
    <w:rsid w:val="00C74C58"/>
    <w:rsid w:val="00C76505"/>
    <w:rsid w:val="00C77A6E"/>
    <w:rsid w:val="00C821F9"/>
    <w:rsid w:val="00C86A5B"/>
    <w:rsid w:val="00C878D5"/>
    <w:rsid w:val="00C9033B"/>
    <w:rsid w:val="00C913A1"/>
    <w:rsid w:val="00C92D5F"/>
    <w:rsid w:val="00CA2AE8"/>
    <w:rsid w:val="00CA7933"/>
    <w:rsid w:val="00CB085C"/>
    <w:rsid w:val="00CC6A99"/>
    <w:rsid w:val="00CD6F79"/>
    <w:rsid w:val="00CE60D3"/>
    <w:rsid w:val="00CF3E1A"/>
    <w:rsid w:val="00CF3F45"/>
    <w:rsid w:val="00CF7017"/>
    <w:rsid w:val="00D00AA3"/>
    <w:rsid w:val="00D02396"/>
    <w:rsid w:val="00D02979"/>
    <w:rsid w:val="00D0477E"/>
    <w:rsid w:val="00D0504E"/>
    <w:rsid w:val="00D07F73"/>
    <w:rsid w:val="00D12623"/>
    <w:rsid w:val="00D14844"/>
    <w:rsid w:val="00D2041C"/>
    <w:rsid w:val="00D25ADE"/>
    <w:rsid w:val="00D31B2B"/>
    <w:rsid w:val="00D36B2B"/>
    <w:rsid w:val="00D40CC0"/>
    <w:rsid w:val="00D43297"/>
    <w:rsid w:val="00D44DB6"/>
    <w:rsid w:val="00D47948"/>
    <w:rsid w:val="00D50119"/>
    <w:rsid w:val="00D56516"/>
    <w:rsid w:val="00D641FE"/>
    <w:rsid w:val="00D766FC"/>
    <w:rsid w:val="00D803CF"/>
    <w:rsid w:val="00D82A43"/>
    <w:rsid w:val="00DA2D83"/>
    <w:rsid w:val="00DA7B5D"/>
    <w:rsid w:val="00DB1E1A"/>
    <w:rsid w:val="00DB366C"/>
    <w:rsid w:val="00DB6CA2"/>
    <w:rsid w:val="00DC349D"/>
    <w:rsid w:val="00DC40EC"/>
    <w:rsid w:val="00DD0E45"/>
    <w:rsid w:val="00DD5D30"/>
    <w:rsid w:val="00DD679D"/>
    <w:rsid w:val="00DE6111"/>
    <w:rsid w:val="00DE6CBE"/>
    <w:rsid w:val="00DF23DF"/>
    <w:rsid w:val="00DF58E7"/>
    <w:rsid w:val="00DF6A08"/>
    <w:rsid w:val="00E11876"/>
    <w:rsid w:val="00E20A78"/>
    <w:rsid w:val="00E23CBB"/>
    <w:rsid w:val="00E332CA"/>
    <w:rsid w:val="00E37B59"/>
    <w:rsid w:val="00E45FDD"/>
    <w:rsid w:val="00E47FF5"/>
    <w:rsid w:val="00E5038F"/>
    <w:rsid w:val="00E53438"/>
    <w:rsid w:val="00E53E15"/>
    <w:rsid w:val="00E54C7E"/>
    <w:rsid w:val="00E5705D"/>
    <w:rsid w:val="00E725FC"/>
    <w:rsid w:val="00E908A8"/>
    <w:rsid w:val="00E95463"/>
    <w:rsid w:val="00EA25D5"/>
    <w:rsid w:val="00EA2B08"/>
    <w:rsid w:val="00EA36C6"/>
    <w:rsid w:val="00EA39A8"/>
    <w:rsid w:val="00EA6675"/>
    <w:rsid w:val="00EA6AAD"/>
    <w:rsid w:val="00EA7F70"/>
    <w:rsid w:val="00EB1EB3"/>
    <w:rsid w:val="00EB36FB"/>
    <w:rsid w:val="00EB7873"/>
    <w:rsid w:val="00EC30F9"/>
    <w:rsid w:val="00EC6765"/>
    <w:rsid w:val="00EC6B9C"/>
    <w:rsid w:val="00EC75BC"/>
    <w:rsid w:val="00ED1D85"/>
    <w:rsid w:val="00ED43B7"/>
    <w:rsid w:val="00ED5725"/>
    <w:rsid w:val="00ED7031"/>
    <w:rsid w:val="00EE200D"/>
    <w:rsid w:val="00EE3060"/>
    <w:rsid w:val="00EE4315"/>
    <w:rsid w:val="00EE47B2"/>
    <w:rsid w:val="00EE59E2"/>
    <w:rsid w:val="00EF339C"/>
    <w:rsid w:val="00EF6925"/>
    <w:rsid w:val="00EF74BA"/>
    <w:rsid w:val="00F06858"/>
    <w:rsid w:val="00F06ACA"/>
    <w:rsid w:val="00F06ADF"/>
    <w:rsid w:val="00F10CF1"/>
    <w:rsid w:val="00F11B4A"/>
    <w:rsid w:val="00F145B7"/>
    <w:rsid w:val="00F1665C"/>
    <w:rsid w:val="00F26ED3"/>
    <w:rsid w:val="00F35F4C"/>
    <w:rsid w:val="00F3664F"/>
    <w:rsid w:val="00F51A61"/>
    <w:rsid w:val="00F559E8"/>
    <w:rsid w:val="00F559FA"/>
    <w:rsid w:val="00F568E7"/>
    <w:rsid w:val="00F617B5"/>
    <w:rsid w:val="00F62B7A"/>
    <w:rsid w:val="00F6397D"/>
    <w:rsid w:val="00F72001"/>
    <w:rsid w:val="00F725BD"/>
    <w:rsid w:val="00F7293E"/>
    <w:rsid w:val="00F75D47"/>
    <w:rsid w:val="00F76650"/>
    <w:rsid w:val="00F9187B"/>
    <w:rsid w:val="00F918A1"/>
    <w:rsid w:val="00F92385"/>
    <w:rsid w:val="00F949C0"/>
    <w:rsid w:val="00F95033"/>
    <w:rsid w:val="00F969BD"/>
    <w:rsid w:val="00FA1B4F"/>
    <w:rsid w:val="00FA6EC9"/>
    <w:rsid w:val="00FC47F9"/>
    <w:rsid w:val="00FE2351"/>
    <w:rsid w:val="00FE337D"/>
    <w:rsid w:val="00FE3DFC"/>
    <w:rsid w:val="00FE5580"/>
    <w:rsid w:val="00FE61E5"/>
    <w:rsid w:val="00FF110C"/>
    <w:rsid w:val="00FF14E1"/>
    <w:rsid w:val="00FF6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C38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72528A"/>
    <w:pPr>
      <w:numPr>
        <w:numId w:val="25"/>
      </w:numPr>
      <w:ind w:right="2160" w:hanging="720"/>
    </w:pPr>
    <w:rPr>
      <w:rFonts w:eastAsiaTheme="majorEastAsia" w:cstheme="majorBidi"/>
      <w:szCs w:val="32"/>
    </w:rPr>
  </w:style>
  <w:style w:type="paragraph" w:styleId="Heading2">
    <w:name w:val="heading 2"/>
    <w:basedOn w:val="Dummy"/>
    <w:next w:val="Standard"/>
    <w:link w:val="Heading2Char"/>
    <w:uiPriority w:val="4"/>
    <w:qFormat/>
    <w:rsid w:val="0072528A"/>
    <w:pPr>
      <w:numPr>
        <w:ilvl w:val="1"/>
        <w:numId w:val="25"/>
      </w:numPr>
      <w:ind w:left="1440"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72528A"/>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72528A"/>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n C,Char Char,f"/>
    <w:basedOn w:val="Normal"/>
    <w:link w:val="FootnoteTextChar"/>
    <w:qFormat/>
    <w:rsid w:val="00B01F7E"/>
    <w:pPr>
      <w:spacing w:after="120" w:line="240" w:lineRule="auto"/>
      <w:ind w:firstLine="0"/>
    </w:pPr>
    <w:rPr>
      <w:sz w:val="22"/>
      <w:szCs w:val="20"/>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fn C Char,f Char"/>
    <w:basedOn w:val="DefaultParagraphFont"/>
    <w:link w:val="FootnoteText"/>
    <w:rsid w:val="007657C1"/>
    <w:rPr>
      <w:rFonts w:ascii="Book Antiqua" w:hAnsi="Book Antiqua"/>
      <w:szCs w:val="20"/>
    </w:rPr>
  </w:style>
  <w:style w:type="character" w:styleId="FootnoteReference">
    <w:name w:val="footnote reference"/>
    <w:aliases w:val="o,fr,o1,o2,o3,o4,o5,o6,o11,o21,o7,Style 3,Style 17,Style 13,Appel note de bas de p,Style 12,(NECG) Footnote Reference,Style 124,o + Times New Roman,Style 58,Style 20,fr1,fr2,fr3,FR,Footnote Reference/,Style 6,Footnote Reference1,char"/>
    <w:basedOn w:val="DefaultParagraphFont"/>
    <w:unhideWhenUsed/>
    <w:qFormat/>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paragraph" w:styleId="BodyText">
    <w:name w:val="Body Text"/>
    <w:basedOn w:val="Normal"/>
    <w:link w:val="BodyTextChar"/>
    <w:uiPriority w:val="1"/>
    <w:qFormat/>
    <w:rsid w:val="00C21069"/>
    <w:pPr>
      <w:widowControl w:val="0"/>
      <w:autoSpaceDE w:val="0"/>
      <w:autoSpaceDN w:val="0"/>
      <w:spacing w:line="240" w:lineRule="auto"/>
      <w:ind w:firstLine="0"/>
    </w:pPr>
    <w:rPr>
      <w:rFonts w:eastAsia="Book Antiqua" w:cs="Book Antiqua"/>
      <w:szCs w:val="26"/>
    </w:rPr>
  </w:style>
  <w:style w:type="character" w:customStyle="1" w:styleId="BodyTextChar">
    <w:name w:val="Body Text Char"/>
    <w:basedOn w:val="DefaultParagraphFont"/>
    <w:link w:val="BodyText"/>
    <w:uiPriority w:val="1"/>
    <w:rsid w:val="00C21069"/>
    <w:rPr>
      <w:rFonts w:ascii="Book Antiqua" w:eastAsia="Book Antiqua" w:hAnsi="Book Antiqua" w:cs="Book Antiqua"/>
      <w:sz w:val="26"/>
      <w:szCs w:val="26"/>
    </w:rPr>
  </w:style>
  <w:style w:type="paragraph" w:styleId="ListParagraph">
    <w:name w:val="List Paragraph"/>
    <w:basedOn w:val="Normal"/>
    <w:uiPriority w:val="34"/>
    <w:qFormat/>
    <w:rsid w:val="00C21069"/>
    <w:pPr>
      <w:ind w:left="720"/>
      <w:contextualSpacing/>
    </w:pPr>
  </w:style>
  <w:style w:type="paragraph" w:customStyle="1" w:styleId="ALJBlockQuote">
    <w:name w:val="ALJ Block Quote"/>
    <w:basedOn w:val="Normal"/>
    <w:next w:val="Normal"/>
    <w:link w:val="ALJBlockQuoteChar"/>
    <w:rsid w:val="00CA7933"/>
    <w:pPr>
      <w:spacing w:before="120" w:after="120" w:line="240" w:lineRule="auto"/>
      <w:ind w:left="1440" w:right="1440" w:firstLine="0"/>
    </w:pPr>
    <w:rPr>
      <w:rFonts w:cs="Times New Roman"/>
      <w:szCs w:val="20"/>
    </w:rPr>
  </w:style>
  <w:style w:type="character" w:customStyle="1" w:styleId="ALJBlockQuoteChar">
    <w:name w:val="ALJ Block Quote Char"/>
    <w:basedOn w:val="DefaultParagraphFont"/>
    <w:link w:val="ALJBlockQuote"/>
    <w:rsid w:val="00CA7933"/>
    <w:rPr>
      <w:rFonts w:ascii="Book Antiqua" w:hAnsi="Book Antiqua" w:cs="Times New Roman"/>
      <w:sz w:val="26"/>
      <w:szCs w:val="20"/>
    </w:rPr>
  </w:style>
  <w:style w:type="character" w:styleId="UnresolvedMention">
    <w:name w:val="Unresolved Mention"/>
    <w:basedOn w:val="DefaultParagraphFont"/>
    <w:uiPriority w:val="99"/>
    <w:semiHidden/>
    <w:unhideWhenUsed/>
    <w:rsid w:val="00B229E6"/>
    <w:rPr>
      <w:color w:val="605E5C"/>
      <w:shd w:val="clear" w:color="auto" w:fill="E1DFDD"/>
    </w:rPr>
  </w:style>
  <w:style w:type="paragraph" w:styleId="Revision">
    <w:name w:val="Revision"/>
    <w:hidden/>
    <w:uiPriority w:val="99"/>
    <w:semiHidden/>
    <w:rsid w:val="00FE61E5"/>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4B5B11"/>
    <w:rPr>
      <w:sz w:val="16"/>
      <w:szCs w:val="16"/>
    </w:rPr>
  </w:style>
  <w:style w:type="paragraph" w:styleId="CommentText">
    <w:name w:val="annotation text"/>
    <w:basedOn w:val="Normal"/>
    <w:link w:val="CommentTextChar"/>
    <w:uiPriority w:val="99"/>
    <w:unhideWhenUsed/>
    <w:rsid w:val="004B5B11"/>
    <w:pPr>
      <w:spacing w:line="240" w:lineRule="auto"/>
    </w:pPr>
    <w:rPr>
      <w:sz w:val="20"/>
      <w:szCs w:val="20"/>
    </w:rPr>
  </w:style>
  <w:style w:type="character" w:customStyle="1" w:styleId="CommentTextChar">
    <w:name w:val="Comment Text Char"/>
    <w:basedOn w:val="DefaultParagraphFont"/>
    <w:link w:val="CommentText"/>
    <w:uiPriority w:val="99"/>
    <w:rsid w:val="004B5B11"/>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4B5B11"/>
    <w:rPr>
      <w:b/>
      <w:bCs/>
    </w:rPr>
  </w:style>
  <w:style w:type="character" w:customStyle="1" w:styleId="CommentSubjectChar">
    <w:name w:val="Comment Subject Char"/>
    <w:basedOn w:val="CommentTextChar"/>
    <w:link w:val="CommentSubject"/>
    <w:uiPriority w:val="99"/>
    <w:semiHidden/>
    <w:rsid w:val="004B5B11"/>
    <w:rPr>
      <w:rFonts w:ascii="Book Antiqua" w:hAnsi="Book Antiqua"/>
      <w:b/>
      <w:bCs/>
      <w:sz w:val="20"/>
      <w:szCs w:val="20"/>
    </w:rPr>
  </w:style>
  <w:style w:type="character" w:customStyle="1" w:styleId="cf01">
    <w:name w:val="cf01"/>
    <w:basedOn w:val="DefaultParagraphFont"/>
    <w:rsid w:val="00272688"/>
    <w:rPr>
      <w:rFonts w:ascii="Segoe UI" w:hAnsi="Segoe UI" w:cs="Segoe UI" w:hint="default"/>
      <w:sz w:val="18"/>
      <w:szCs w:val="18"/>
    </w:rPr>
  </w:style>
  <w:style w:type="character" w:styleId="FollowedHyperlink">
    <w:name w:val="FollowedHyperlink"/>
    <w:basedOn w:val="DefaultParagraphFont"/>
    <w:uiPriority w:val="99"/>
    <w:semiHidden/>
    <w:unhideWhenUsed/>
    <w:rsid w:val="006C2A26"/>
    <w:rPr>
      <w:color w:val="954F72" w:themeColor="followedHyperlink"/>
      <w:u w:val="single"/>
    </w:rPr>
  </w:style>
  <w:style w:type="paragraph" w:customStyle="1" w:styleId="main0">
    <w:name w:val="main"/>
    <w:basedOn w:val="Normal"/>
    <w:link w:val="mainChar"/>
    <w:rsid w:val="00153201"/>
    <w:pPr>
      <w:spacing w:line="240" w:lineRule="auto"/>
      <w:ind w:firstLine="0"/>
      <w:jc w:val="center"/>
    </w:pPr>
    <w:rPr>
      <w:rFonts w:ascii="Arial" w:eastAsia="Times New Roman" w:hAnsi="Arial" w:cs="Times New Roman"/>
      <w:b/>
      <w:szCs w:val="20"/>
    </w:rPr>
  </w:style>
  <w:style w:type="character" w:customStyle="1" w:styleId="mainChar">
    <w:name w:val="main Char"/>
    <w:link w:val="main0"/>
    <w:rsid w:val="00153201"/>
    <w:rPr>
      <w:rFonts w:ascii="Arial" w:eastAsia="Times New Roman" w:hAnsi="Arial" w:cs="Times New Roman"/>
      <w:b/>
      <w:sz w:val="26"/>
      <w:szCs w:val="20"/>
    </w:rPr>
  </w:style>
  <w:style w:type="paragraph" w:customStyle="1" w:styleId="Style1">
    <w:name w:val="Style1"/>
    <w:basedOn w:val="Heading1"/>
    <w:link w:val="Style1Char"/>
    <w:autoRedefine/>
    <w:qFormat/>
    <w:rsid w:val="00153201"/>
    <w:pPr>
      <w:keepLines w:val="0"/>
      <w:numPr>
        <w:numId w:val="26"/>
      </w:numPr>
      <w:ind w:left="720" w:right="0" w:hanging="720"/>
    </w:pPr>
    <w:rPr>
      <w:rFonts w:ascii="Helvetica" w:eastAsia="Times New Roman" w:hAnsi="Helvetica" w:cs="Times New Roman"/>
      <w:szCs w:val="20"/>
    </w:rPr>
  </w:style>
  <w:style w:type="character" w:customStyle="1" w:styleId="Style1Char">
    <w:name w:val="Style1 Char"/>
    <w:basedOn w:val="Heading1Char"/>
    <w:link w:val="Style1"/>
    <w:rsid w:val="00153201"/>
    <w:rPr>
      <w:rFonts w:ascii="Helvetica" w:eastAsia="Times New Roman" w:hAnsi="Helvetica" w:cs="Times New Roman"/>
      <w:b/>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361586">
      <w:bodyDiv w:val="1"/>
      <w:marLeft w:val="0"/>
      <w:marRight w:val="0"/>
      <w:marTop w:val="0"/>
      <w:marBottom w:val="0"/>
      <w:divBdr>
        <w:top w:val="none" w:sz="0" w:space="0" w:color="auto"/>
        <w:left w:val="none" w:sz="0" w:space="0" w:color="auto"/>
        <w:bottom w:val="none" w:sz="0" w:space="0" w:color="auto"/>
        <w:right w:val="none" w:sz="0" w:space="0" w:color="auto"/>
      </w:divBdr>
    </w:div>
    <w:div w:id="110415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hyperlink" Target="https://docs.fcc.gov/public/attachments/DOC-368493A1.pdf" TargetMode="External"/><Relationship Id="rId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782EB-4AF1-47AD-8787-2E2FD0D44402}">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33</ap:Pages>
  <ap:Words>7003</ap:Words>
  <ap:Characters>39921</ap:Characters>
  <ap:Application>Microsoft Office Word</ap:Application>
  <ap:DocSecurity>0</ap:DocSecurity>
  <ap:Lines>332</ap:Lines>
  <ap:Paragraphs>93</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46831</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2023-12-11T16:22:04Z</dcterms:created>
  <dcterms:modified xsi:type="dcterms:W3CDTF">2023-12-11T16:22:04Z</dcterms:modified>
</cp:coreProperties>
</file>