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421" w:rsidP="00447323" w:rsidRDefault="00AB3D28" w14:paraId="27E49375" w14:textId="091EB473">
      <w:pPr>
        <w:tabs>
          <w:tab w:val="center" w:pos="4320"/>
          <w:tab w:val="right" w:pos="9360"/>
        </w:tabs>
        <w:spacing w:line="240" w:lineRule="auto"/>
        <w:ind w:firstLine="0"/>
      </w:pPr>
      <w:r>
        <w:t>ALJ/CS8/jnf</w:t>
      </w:r>
      <w:r w:rsidR="007E0FEE">
        <w:tab/>
      </w:r>
      <w:r w:rsidRPr="00447323" w:rsidR="00DA7B5D">
        <w:rPr>
          <w:rFonts w:ascii="Arial" w:hAnsi="Arial" w:cs="Arial"/>
          <w:b/>
          <w:szCs w:val="26"/>
        </w:rPr>
        <w:t>PROPOSED DECISION</w:t>
      </w:r>
      <w:r w:rsidR="00DA7B5D">
        <w:tab/>
      </w:r>
      <w:r w:rsidRPr="00EE4315" w:rsidR="00DA7B5D">
        <w:rPr>
          <w:b/>
        </w:rPr>
        <w:t>Agenda ID #</w:t>
      </w:r>
      <w:r w:rsidR="00651672">
        <w:rPr>
          <w:b/>
        </w:rPr>
        <w:t>22063</w:t>
      </w:r>
      <w:r w:rsidR="00447323">
        <w:rPr>
          <w:b/>
        </w:rPr>
        <w:t xml:space="preserve"> (Rev. 1)</w:t>
      </w:r>
    </w:p>
    <w:p w:rsidRPr="00EE4315" w:rsidR="00DA7B5D" w:rsidP="00632207" w:rsidRDefault="00AB3D28" w14:paraId="06F9C8D2" w14:textId="0D1869C7">
      <w:pPr>
        <w:spacing w:line="240" w:lineRule="auto"/>
        <w:jc w:val="right"/>
        <w:rPr>
          <w:b/>
        </w:rPr>
      </w:pPr>
      <w:r>
        <w:rPr>
          <w:b/>
        </w:rPr>
        <w:t>Ratesetting</w:t>
      </w:r>
    </w:p>
    <w:p w:rsidRPr="00447323" w:rsidR="00DA7B5D" w:rsidP="00447323" w:rsidRDefault="00447323" w14:paraId="3799E78C" w14:textId="6C203FED">
      <w:pPr>
        <w:spacing w:line="480" w:lineRule="auto"/>
        <w:ind w:firstLine="0"/>
        <w:jc w:val="right"/>
        <w:rPr>
          <w:b/>
          <w:bCs/>
        </w:rPr>
      </w:pPr>
      <w:r>
        <w:rPr>
          <w:b/>
          <w:bCs/>
        </w:rPr>
        <w:t>12/14/2023 Item #21</w:t>
      </w:r>
    </w:p>
    <w:p w:rsidRPr="00AB3D28" w:rsidR="00DA7B5D" w:rsidP="0098655A" w:rsidRDefault="00DA7B5D" w14:paraId="2654B5BC" w14:textId="336F295E">
      <w:pPr>
        <w:ind w:left="1080" w:hanging="1080"/>
      </w:pPr>
      <w:r>
        <w:t>Decision</w:t>
      </w:r>
      <w:r w:rsidR="00AB3D28">
        <w:t> </w:t>
      </w:r>
      <w:r w:rsidR="00AB3D28">
        <w:rPr>
          <w:b/>
          <w:bCs/>
          <w:u w:val="single"/>
        </w:rPr>
        <w:t>PROPOSED DECISION OF ALJ SISTO</w:t>
      </w:r>
      <w:r w:rsidR="00AB3D28">
        <w:rPr>
          <w:b/>
          <w:bCs/>
        </w:rPr>
        <w:t xml:space="preserve"> (</w:t>
      </w:r>
      <w:r w:rsidR="0052286B">
        <w:rPr>
          <w:b/>
          <w:bCs/>
        </w:rPr>
        <w:t>M</w:t>
      </w:r>
      <w:r w:rsidR="00AB3D28">
        <w:rPr>
          <w:b/>
          <w:bCs/>
        </w:rPr>
        <w:t>ailed </w:t>
      </w:r>
      <w:r w:rsidR="00651672">
        <w:rPr>
          <w:b/>
          <w:bCs/>
        </w:rPr>
        <w:t>11/9/23</w:t>
      </w:r>
      <w:r w:rsidR="00AB3D28">
        <w:rPr>
          <w:b/>
          <w:bCs/>
        </w:rPr>
        <w:t>)</w:t>
      </w:r>
    </w:p>
    <w:p w:rsidR="00DA7B5D" w:rsidP="00BB0243" w:rsidRDefault="00DA7B5D" w14:paraId="1ACCB8E7" w14:textId="77777777">
      <w:pPr>
        <w:spacing w:line="240" w:lineRule="auto"/>
        <w:jc w:val="center"/>
        <w:rPr>
          <w:u w:val="single"/>
        </w:rPr>
      </w:pPr>
    </w:p>
    <w:p w:rsidR="00DA7B5D" w:rsidP="00BB0243" w:rsidRDefault="00DA7B5D" w14:paraId="3ADE33F6"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97C272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0181BEE"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AB3D28" w14:paraId="2AF5F0C2" w14:textId="60AFE226">
            <w:pPr>
              <w:spacing w:line="240" w:lineRule="auto"/>
              <w:ind w:firstLine="0"/>
              <w:rPr>
                <w:rFonts w:cs="Arial"/>
                <w:szCs w:val="26"/>
              </w:rPr>
            </w:pPr>
            <w:bookmarkStart w:name="_Hlk150416763" w:id="0"/>
            <w:r w:rsidRPr="00AB3D28">
              <w:rPr>
                <w:rFonts w:cs="Arial"/>
                <w:szCs w:val="26"/>
              </w:rPr>
              <w:t>In the Matter of the Application of PACIFICORP (U901E), for an Order Authorizing a General Rate Increase Effective January 1, 2023.</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6E35C4" w14:paraId="38221F50" w14:textId="166D5A79">
            <w:pPr>
              <w:spacing w:line="240" w:lineRule="auto"/>
              <w:ind w:firstLine="0"/>
              <w:jc w:val="center"/>
              <w:rPr>
                <w:rFonts w:cs="Arial"/>
                <w:szCs w:val="26"/>
              </w:rPr>
            </w:pPr>
            <w:r>
              <w:rPr>
                <w:rFonts w:cs="Arial"/>
                <w:szCs w:val="26"/>
              </w:rPr>
              <w:t>Application</w:t>
            </w:r>
            <w:r w:rsidR="00AB3D28">
              <w:rPr>
                <w:rFonts w:cs="Arial"/>
                <w:szCs w:val="26"/>
              </w:rPr>
              <w:t> </w:t>
            </w:r>
            <w:r>
              <w:rPr>
                <w:rFonts w:cs="Arial"/>
                <w:szCs w:val="26"/>
              </w:rPr>
              <w:t>22-05-006</w:t>
            </w:r>
          </w:p>
        </w:tc>
      </w:tr>
      <w:bookmarkEnd w:id="0"/>
    </w:tbl>
    <w:p w:rsidR="00DA7B5D" w:rsidP="008F0116" w:rsidRDefault="00DA7B5D" w14:paraId="07F4211A" w14:textId="77777777">
      <w:pPr>
        <w:spacing w:line="240" w:lineRule="auto"/>
        <w:ind w:firstLine="0"/>
        <w:rPr>
          <w:rFonts w:ascii="Arial" w:hAnsi="Arial" w:cs="Arial"/>
          <w:sz w:val="24"/>
          <w:szCs w:val="24"/>
        </w:rPr>
      </w:pPr>
    </w:p>
    <w:p w:rsidR="00DA7B5D" w:rsidP="008F0116" w:rsidRDefault="00DA7B5D" w14:paraId="3BA6994B" w14:textId="77777777">
      <w:pPr>
        <w:spacing w:line="240" w:lineRule="auto"/>
        <w:ind w:firstLine="0"/>
        <w:rPr>
          <w:rFonts w:ascii="Arial" w:hAnsi="Arial" w:cs="Arial"/>
          <w:sz w:val="24"/>
          <w:szCs w:val="24"/>
        </w:rPr>
      </w:pPr>
    </w:p>
    <w:p w:rsidRPr="00F92385" w:rsidR="00F92385" w:rsidP="00B3087D" w:rsidRDefault="00416311" w14:paraId="0153AA97" w14:textId="0E00C743">
      <w:pPr>
        <w:pStyle w:val="Dummy"/>
        <w:jc w:val="center"/>
        <w:sectPr w:rsidRPr="00F92385" w:rsidR="00F92385" w:rsidSect="006A1B03">
          <w:headerReference w:type="first" r:id="rId8"/>
          <w:footerReference w:type="first" r:id="rId9"/>
          <w:pgSz w:w="12240" w:h="15840"/>
          <w:pgMar w:top="1728" w:right="1440" w:bottom="1440" w:left="1440" w:header="720" w:footer="720" w:gutter="0"/>
          <w:pgNumType w:start="1"/>
          <w:cols w:space="720"/>
          <w:titlePg/>
          <w:docGrid w:linePitch="360"/>
        </w:sectPr>
      </w:pPr>
      <w:bookmarkStart w:name="_Toc153298412" w:id="2"/>
      <w:r>
        <w:t>DECISION ON TEST YEAR 2023</w:t>
      </w:r>
      <w:r w:rsidR="00AB3D28">
        <w:t xml:space="preserve"> </w:t>
      </w:r>
      <w:r>
        <w:t>GENERAL RATE CASE</w:t>
      </w:r>
      <w:r w:rsidR="006A1B03">
        <w:t xml:space="preserve"> FOR</w:t>
      </w:r>
      <w:r w:rsidR="006A1B03">
        <w:br/>
        <w:t xml:space="preserve">PACIFICORP </w:t>
      </w:r>
      <w:r w:rsidR="00AB3D28">
        <w:t>D/B/A PACIFIC POWER</w:t>
      </w:r>
      <w:bookmarkEnd w:id="2"/>
    </w:p>
    <w:p w:rsidRPr="001E2A62" w:rsidR="00D50119" w:rsidP="00F76650" w:rsidRDefault="00D50119" w14:paraId="01C41C41"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5B7CA255" w14:textId="77777777">
      <w:pPr>
        <w:tabs>
          <w:tab w:val="right" w:pos="9360"/>
        </w:tabs>
        <w:ind w:firstLine="0"/>
      </w:pPr>
      <w:r w:rsidRPr="00D50119">
        <w:rPr>
          <w:b/>
        </w:rPr>
        <w:t>Title</w:t>
      </w:r>
      <w:r>
        <w:tab/>
      </w:r>
      <w:r w:rsidRPr="00D50119">
        <w:rPr>
          <w:b/>
        </w:rPr>
        <w:t>Page</w:t>
      </w:r>
    </w:p>
    <w:sdt>
      <w:sdtPr>
        <w:id w:val="675698810"/>
        <w:docPartObj>
          <w:docPartGallery w:val="Table of Contents"/>
          <w:docPartUnique/>
        </w:docPartObj>
      </w:sdtPr>
      <w:sdtEndPr/>
      <w:sdtContent>
        <w:p w:rsidR="00466C42" w:rsidP="00466C42" w:rsidRDefault="2554E4E4" w14:paraId="7B16D16C" w14:textId="27AC279F">
          <w:pPr>
            <w:pStyle w:val="TOC1"/>
            <w:tabs>
              <w:tab w:val="right" w:leader="dot" w:pos="9350"/>
            </w:tabs>
            <w:ind w:left="0" w:firstLine="0"/>
            <w:rPr>
              <w:rFonts w:asciiTheme="minorHAnsi" w:hAnsiTheme="minorHAnsi" w:cstheme="minorBidi"/>
              <w:noProof/>
              <w:kern w:val="2"/>
              <w:sz w:val="22"/>
              <w14:ligatures w14:val="standardContextual"/>
            </w:rPr>
          </w:pPr>
          <w:r>
            <w:fldChar w:fldCharType="begin"/>
          </w:r>
          <w:r w:rsidR="008C7413">
            <w:instrText>TOC \o "1-6" \h \z \u</w:instrText>
          </w:r>
          <w:r>
            <w:fldChar w:fldCharType="separate"/>
          </w:r>
          <w:hyperlink w:history="1" w:anchor="_Toc153298412">
            <w:r w:rsidRPr="008610D7" w:rsidR="00466C42">
              <w:rPr>
                <w:rStyle w:val="Hyperlink"/>
                <w:noProof/>
              </w:rPr>
              <w:t>DECISION ON TEST YEAR 2023 GENERAL RATE CASE FOR PACIFICORP D/B/A PACIFIC POWER</w:t>
            </w:r>
            <w:r w:rsidR="00466C42">
              <w:rPr>
                <w:noProof/>
                <w:webHidden/>
              </w:rPr>
              <w:tab/>
            </w:r>
            <w:r w:rsidR="00466C42">
              <w:rPr>
                <w:noProof/>
                <w:webHidden/>
              </w:rPr>
              <w:fldChar w:fldCharType="begin"/>
            </w:r>
            <w:r w:rsidR="00466C42">
              <w:rPr>
                <w:noProof/>
                <w:webHidden/>
              </w:rPr>
              <w:instrText xml:space="preserve"> PAGEREF _Toc153298412 \h </w:instrText>
            </w:r>
            <w:r w:rsidR="00466C42">
              <w:rPr>
                <w:noProof/>
                <w:webHidden/>
              </w:rPr>
            </w:r>
            <w:r w:rsidR="00466C42">
              <w:rPr>
                <w:noProof/>
                <w:webHidden/>
              </w:rPr>
              <w:fldChar w:fldCharType="separate"/>
            </w:r>
            <w:r w:rsidR="00466C42">
              <w:rPr>
                <w:noProof/>
                <w:webHidden/>
              </w:rPr>
              <w:t>1</w:t>
            </w:r>
            <w:r w:rsidR="00466C42">
              <w:rPr>
                <w:noProof/>
                <w:webHidden/>
              </w:rPr>
              <w:fldChar w:fldCharType="end"/>
            </w:r>
          </w:hyperlink>
        </w:p>
        <w:p w:rsidR="00466C42" w:rsidRDefault="00466C42" w14:paraId="356D098E" w14:textId="571180B0">
          <w:pPr>
            <w:pStyle w:val="TOC1"/>
            <w:tabs>
              <w:tab w:val="right" w:leader="dot" w:pos="9350"/>
            </w:tabs>
            <w:rPr>
              <w:rFonts w:asciiTheme="minorHAnsi" w:hAnsiTheme="minorHAnsi" w:cstheme="minorBidi"/>
              <w:noProof/>
              <w:kern w:val="2"/>
              <w:sz w:val="22"/>
              <w14:ligatures w14:val="standardContextual"/>
            </w:rPr>
          </w:pPr>
          <w:hyperlink w:history="1" w:anchor="_Toc153298413">
            <w:r w:rsidRPr="008610D7">
              <w:rPr>
                <w:rStyle w:val="Hyperlink"/>
                <w:noProof/>
              </w:rPr>
              <w:t>Summary</w:t>
            </w:r>
            <w:r>
              <w:rPr>
                <w:noProof/>
                <w:webHidden/>
              </w:rPr>
              <w:tab/>
            </w:r>
            <w:r>
              <w:rPr>
                <w:noProof/>
                <w:webHidden/>
              </w:rPr>
              <w:fldChar w:fldCharType="begin"/>
            </w:r>
            <w:r>
              <w:rPr>
                <w:noProof/>
                <w:webHidden/>
              </w:rPr>
              <w:instrText xml:space="preserve"> PAGEREF _Toc153298413 \h </w:instrText>
            </w:r>
            <w:r>
              <w:rPr>
                <w:noProof/>
                <w:webHidden/>
              </w:rPr>
            </w:r>
            <w:r>
              <w:rPr>
                <w:noProof/>
                <w:webHidden/>
              </w:rPr>
              <w:fldChar w:fldCharType="separate"/>
            </w:r>
            <w:r>
              <w:rPr>
                <w:noProof/>
                <w:webHidden/>
              </w:rPr>
              <w:t>2</w:t>
            </w:r>
            <w:r>
              <w:rPr>
                <w:noProof/>
                <w:webHidden/>
              </w:rPr>
              <w:fldChar w:fldCharType="end"/>
            </w:r>
          </w:hyperlink>
        </w:p>
        <w:p w:rsidR="00466C42" w:rsidRDefault="00466C42" w14:paraId="33146707" w14:textId="29D6BC9E">
          <w:pPr>
            <w:pStyle w:val="TOC1"/>
            <w:tabs>
              <w:tab w:val="right" w:leader="dot" w:pos="9350"/>
            </w:tabs>
            <w:rPr>
              <w:rFonts w:asciiTheme="minorHAnsi" w:hAnsiTheme="minorHAnsi" w:cstheme="minorBidi"/>
              <w:noProof/>
              <w:kern w:val="2"/>
              <w:sz w:val="22"/>
              <w14:ligatures w14:val="standardContextual"/>
            </w:rPr>
          </w:pPr>
          <w:hyperlink w:history="1" w:anchor="_Toc153298414">
            <w:r w:rsidRPr="008610D7">
              <w:rPr>
                <w:rStyle w:val="Hyperlink"/>
                <w:noProof/>
              </w:rPr>
              <w:t>1.</w:t>
            </w:r>
            <w:r>
              <w:rPr>
                <w:rFonts w:asciiTheme="minorHAnsi" w:hAnsiTheme="minorHAnsi" w:cstheme="minorBidi"/>
                <w:noProof/>
                <w:kern w:val="2"/>
                <w:sz w:val="22"/>
                <w14:ligatures w14:val="standardContextual"/>
              </w:rPr>
              <w:tab/>
            </w:r>
            <w:r w:rsidRPr="008610D7">
              <w:rPr>
                <w:rStyle w:val="Hyperlink"/>
                <w:noProof/>
              </w:rPr>
              <w:t>Background</w:t>
            </w:r>
            <w:r>
              <w:rPr>
                <w:noProof/>
                <w:webHidden/>
              </w:rPr>
              <w:tab/>
            </w:r>
            <w:r>
              <w:rPr>
                <w:noProof/>
                <w:webHidden/>
              </w:rPr>
              <w:fldChar w:fldCharType="begin"/>
            </w:r>
            <w:r>
              <w:rPr>
                <w:noProof/>
                <w:webHidden/>
              </w:rPr>
              <w:instrText xml:space="preserve"> PAGEREF _Toc153298414 \h </w:instrText>
            </w:r>
            <w:r>
              <w:rPr>
                <w:noProof/>
                <w:webHidden/>
              </w:rPr>
            </w:r>
            <w:r>
              <w:rPr>
                <w:noProof/>
                <w:webHidden/>
              </w:rPr>
              <w:fldChar w:fldCharType="separate"/>
            </w:r>
            <w:r>
              <w:rPr>
                <w:noProof/>
                <w:webHidden/>
              </w:rPr>
              <w:t>3</w:t>
            </w:r>
            <w:r>
              <w:rPr>
                <w:noProof/>
                <w:webHidden/>
              </w:rPr>
              <w:fldChar w:fldCharType="end"/>
            </w:r>
          </w:hyperlink>
        </w:p>
        <w:p w:rsidR="00466C42" w:rsidRDefault="00466C42" w14:paraId="30C1343C" w14:textId="3B850122">
          <w:pPr>
            <w:pStyle w:val="TOC1"/>
            <w:tabs>
              <w:tab w:val="right" w:leader="dot" w:pos="9350"/>
            </w:tabs>
            <w:rPr>
              <w:rFonts w:asciiTheme="minorHAnsi" w:hAnsiTheme="minorHAnsi" w:cstheme="minorBidi"/>
              <w:noProof/>
              <w:kern w:val="2"/>
              <w:sz w:val="22"/>
              <w14:ligatures w14:val="standardContextual"/>
            </w:rPr>
          </w:pPr>
          <w:hyperlink w:history="1" w:anchor="_Toc153298415">
            <w:r w:rsidRPr="008610D7">
              <w:rPr>
                <w:rStyle w:val="Hyperlink"/>
                <w:noProof/>
              </w:rPr>
              <w:t>2.</w:t>
            </w:r>
            <w:r>
              <w:rPr>
                <w:rFonts w:asciiTheme="minorHAnsi" w:hAnsiTheme="minorHAnsi" w:cstheme="minorBidi"/>
                <w:noProof/>
                <w:kern w:val="2"/>
                <w:sz w:val="22"/>
                <w14:ligatures w14:val="standardContextual"/>
              </w:rPr>
              <w:tab/>
            </w:r>
            <w:r w:rsidRPr="008610D7">
              <w:rPr>
                <w:rStyle w:val="Hyperlink"/>
                <w:noProof/>
              </w:rPr>
              <w:t>Jurisdiction</w:t>
            </w:r>
            <w:r>
              <w:rPr>
                <w:noProof/>
                <w:webHidden/>
              </w:rPr>
              <w:tab/>
            </w:r>
            <w:r>
              <w:rPr>
                <w:noProof/>
                <w:webHidden/>
              </w:rPr>
              <w:fldChar w:fldCharType="begin"/>
            </w:r>
            <w:r>
              <w:rPr>
                <w:noProof/>
                <w:webHidden/>
              </w:rPr>
              <w:instrText xml:space="preserve"> PAGEREF _Toc153298415 \h </w:instrText>
            </w:r>
            <w:r>
              <w:rPr>
                <w:noProof/>
                <w:webHidden/>
              </w:rPr>
            </w:r>
            <w:r>
              <w:rPr>
                <w:noProof/>
                <w:webHidden/>
              </w:rPr>
              <w:fldChar w:fldCharType="separate"/>
            </w:r>
            <w:r>
              <w:rPr>
                <w:noProof/>
                <w:webHidden/>
              </w:rPr>
              <w:t>6</w:t>
            </w:r>
            <w:r>
              <w:rPr>
                <w:noProof/>
                <w:webHidden/>
              </w:rPr>
              <w:fldChar w:fldCharType="end"/>
            </w:r>
          </w:hyperlink>
        </w:p>
        <w:p w:rsidR="00466C42" w:rsidRDefault="00466C42" w14:paraId="7EFDC094" w14:textId="3E6EF43F">
          <w:pPr>
            <w:pStyle w:val="TOC1"/>
            <w:tabs>
              <w:tab w:val="right" w:leader="dot" w:pos="9350"/>
            </w:tabs>
            <w:rPr>
              <w:rFonts w:asciiTheme="minorHAnsi" w:hAnsiTheme="minorHAnsi" w:cstheme="minorBidi"/>
              <w:noProof/>
              <w:kern w:val="2"/>
              <w:sz w:val="22"/>
              <w14:ligatures w14:val="standardContextual"/>
            </w:rPr>
          </w:pPr>
          <w:hyperlink w:history="1" w:anchor="_Toc153298416">
            <w:r w:rsidRPr="008610D7">
              <w:rPr>
                <w:rStyle w:val="Hyperlink"/>
                <w:noProof/>
              </w:rPr>
              <w:t>3.</w:t>
            </w:r>
            <w:r>
              <w:rPr>
                <w:rFonts w:asciiTheme="minorHAnsi" w:hAnsiTheme="minorHAnsi" w:cstheme="minorBidi"/>
                <w:noProof/>
                <w:kern w:val="2"/>
                <w:sz w:val="22"/>
                <w14:ligatures w14:val="standardContextual"/>
              </w:rPr>
              <w:tab/>
            </w:r>
            <w:r w:rsidRPr="008610D7">
              <w:rPr>
                <w:rStyle w:val="Hyperlink"/>
                <w:noProof/>
              </w:rPr>
              <w:t>Issues Before the Commission</w:t>
            </w:r>
            <w:r>
              <w:rPr>
                <w:noProof/>
                <w:webHidden/>
              </w:rPr>
              <w:tab/>
            </w:r>
            <w:r>
              <w:rPr>
                <w:noProof/>
                <w:webHidden/>
              </w:rPr>
              <w:fldChar w:fldCharType="begin"/>
            </w:r>
            <w:r>
              <w:rPr>
                <w:noProof/>
                <w:webHidden/>
              </w:rPr>
              <w:instrText xml:space="preserve"> PAGEREF _Toc153298416 \h </w:instrText>
            </w:r>
            <w:r>
              <w:rPr>
                <w:noProof/>
                <w:webHidden/>
              </w:rPr>
            </w:r>
            <w:r>
              <w:rPr>
                <w:noProof/>
                <w:webHidden/>
              </w:rPr>
              <w:fldChar w:fldCharType="separate"/>
            </w:r>
            <w:r>
              <w:rPr>
                <w:noProof/>
                <w:webHidden/>
              </w:rPr>
              <w:t>7</w:t>
            </w:r>
            <w:r>
              <w:rPr>
                <w:noProof/>
                <w:webHidden/>
              </w:rPr>
              <w:fldChar w:fldCharType="end"/>
            </w:r>
          </w:hyperlink>
        </w:p>
        <w:p w:rsidR="00466C42" w:rsidRDefault="00466C42" w14:paraId="67D1E559" w14:textId="12B0B1D6">
          <w:pPr>
            <w:pStyle w:val="TOC1"/>
            <w:tabs>
              <w:tab w:val="right" w:leader="dot" w:pos="9350"/>
            </w:tabs>
            <w:rPr>
              <w:rFonts w:asciiTheme="minorHAnsi" w:hAnsiTheme="minorHAnsi" w:cstheme="minorBidi"/>
              <w:noProof/>
              <w:kern w:val="2"/>
              <w:sz w:val="22"/>
              <w14:ligatures w14:val="standardContextual"/>
            </w:rPr>
          </w:pPr>
          <w:hyperlink w:history="1" w:anchor="_Toc153298417">
            <w:r w:rsidRPr="008610D7">
              <w:rPr>
                <w:rStyle w:val="Hyperlink"/>
                <w:noProof/>
              </w:rPr>
              <w:t>4.</w:t>
            </w:r>
            <w:r>
              <w:rPr>
                <w:rFonts w:asciiTheme="minorHAnsi" w:hAnsiTheme="minorHAnsi" w:cstheme="minorBidi"/>
                <w:noProof/>
                <w:kern w:val="2"/>
                <w:sz w:val="22"/>
                <w14:ligatures w14:val="standardContextual"/>
              </w:rPr>
              <w:tab/>
            </w:r>
            <w:r w:rsidRPr="008610D7">
              <w:rPr>
                <w:rStyle w:val="Hyperlink"/>
                <w:noProof/>
              </w:rPr>
              <w:t>Interjurisdictional Cost Allocation Methodology</w:t>
            </w:r>
            <w:r>
              <w:rPr>
                <w:noProof/>
                <w:webHidden/>
              </w:rPr>
              <w:tab/>
            </w:r>
            <w:r>
              <w:rPr>
                <w:noProof/>
                <w:webHidden/>
              </w:rPr>
              <w:fldChar w:fldCharType="begin"/>
            </w:r>
            <w:r>
              <w:rPr>
                <w:noProof/>
                <w:webHidden/>
              </w:rPr>
              <w:instrText xml:space="preserve"> PAGEREF _Toc153298417 \h </w:instrText>
            </w:r>
            <w:r>
              <w:rPr>
                <w:noProof/>
                <w:webHidden/>
              </w:rPr>
            </w:r>
            <w:r>
              <w:rPr>
                <w:noProof/>
                <w:webHidden/>
              </w:rPr>
              <w:fldChar w:fldCharType="separate"/>
            </w:r>
            <w:r>
              <w:rPr>
                <w:noProof/>
                <w:webHidden/>
              </w:rPr>
              <w:t>8</w:t>
            </w:r>
            <w:r>
              <w:rPr>
                <w:noProof/>
                <w:webHidden/>
              </w:rPr>
              <w:fldChar w:fldCharType="end"/>
            </w:r>
          </w:hyperlink>
        </w:p>
        <w:p w:rsidR="00466C42" w:rsidRDefault="00466C42" w14:paraId="7A5883A3" w14:textId="1D67CC6A">
          <w:pPr>
            <w:pStyle w:val="TOC1"/>
            <w:tabs>
              <w:tab w:val="right" w:leader="dot" w:pos="9350"/>
            </w:tabs>
            <w:rPr>
              <w:rFonts w:asciiTheme="minorHAnsi" w:hAnsiTheme="minorHAnsi" w:cstheme="minorBidi"/>
              <w:noProof/>
              <w:kern w:val="2"/>
              <w:sz w:val="22"/>
              <w14:ligatures w14:val="standardContextual"/>
            </w:rPr>
          </w:pPr>
          <w:hyperlink w:history="1" w:anchor="_Toc153298418">
            <w:r w:rsidRPr="008610D7">
              <w:rPr>
                <w:rStyle w:val="Hyperlink"/>
                <w:noProof/>
              </w:rPr>
              <w:t>5.</w:t>
            </w:r>
            <w:r>
              <w:rPr>
                <w:rFonts w:asciiTheme="minorHAnsi" w:hAnsiTheme="minorHAnsi" w:cstheme="minorBidi"/>
                <w:noProof/>
                <w:kern w:val="2"/>
                <w:sz w:val="22"/>
                <w14:ligatures w14:val="standardContextual"/>
              </w:rPr>
              <w:tab/>
            </w:r>
            <w:r w:rsidRPr="008610D7">
              <w:rPr>
                <w:rStyle w:val="Hyperlink"/>
                <w:noProof/>
              </w:rPr>
              <w:t>Policy Testimony</w:t>
            </w:r>
            <w:r>
              <w:rPr>
                <w:noProof/>
                <w:webHidden/>
              </w:rPr>
              <w:tab/>
            </w:r>
            <w:r>
              <w:rPr>
                <w:noProof/>
                <w:webHidden/>
              </w:rPr>
              <w:fldChar w:fldCharType="begin"/>
            </w:r>
            <w:r>
              <w:rPr>
                <w:noProof/>
                <w:webHidden/>
              </w:rPr>
              <w:instrText xml:space="preserve"> PAGEREF _Toc153298418 \h </w:instrText>
            </w:r>
            <w:r>
              <w:rPr>
                <w:noProof/>
                <w:webHidden/>
              </w:rPr>
            </w:r>
            <w:r>
              <w:rPr>
                <w:noProof/>
                <w:webHidden/>
              </w:rPr>
              <w:fldChar w:fldCharType="separate"/>
            </w:r>
            <w:r>
              <w:rPr>
                <w:noProof/>
                <w:webHidden/>
              </w:rPr>
              <w:t>8</w:t>
            </w:r>
            <w:r>
              <w:rPr>
                <w:noProof/>
                <w:webHidden/>
              </w:rPr>
              <w:fldChar w:fldCharType="end"/>
            </w:r>
          </w:hyperlink>
        </w:p>
        <w:p w:rsidR="00466C42" w:rsidRDefault="00466C42" w14:paraId="30BEEB2B" w14:textId="577F727F">
          <w:pPr>
            <w:pStyle w:val="TOC2"/>
            <w:tabs>
              <w:tab w:val="left" w:pos="1123"/>
              <w:tab w:val="right" w:leader="dot" w:pos="9350"/>
            </w:tabs>
            <w:rPr>
              <w:rFonts w:asciiTheme="minorHAnsi" w:hAnsiTheme="minorHAnsi" w:cstheme="minorBidi"/>
              <w:noProof/>
              <w:kern w:val="2"/>
              <w:sz w:val="22"/>
              <w14:ligatures w14:val="standardContextual"/>
            </w:rPr>
          </w:pPr>
          <w:hyperlink w:history="1" w:anchor="_Toc153298419">
            <w:r w:rsidRPr="008610D7">
              <w:rPr>
                <w:rStyle w:val="Hyperlink"/>
                <w:noProof/>
              </w:rPr>
              <w:t>5.1.</w:t>
            </w:r>
            <w:r>
              <w:rPr>
                <w:rFonts w:asciiTheme="minorHAnsi" w:hAnsiTheme="minorHAnsi" w:cstheme="minorBidi"/>
                <w:noProof/>
                <w:kern w:val="2"/>
                <w:sz w:val="22"/>
                <w14:ligatures w14:val="standardContextual"/>
              </w:rPr>
              <w:tab/>
            </w:r>
            <w:r w:rsidRPr="008610D7">
              <w:rPr>
                <w:rStyle w:val="Hyperlink"/>
                <w:noProof/>
              </w:rPr>
              <w:t>Energy Cost Adjustment Clause</w:t>
            </w:r>
            <w:r>
              <w:rPr>
                <w:noProof/>
                <w:webHidden/>
              </w:rPr>
              <w:tab/>
            </w:r>
            <w:r>
              <w:rPr>
                <w:noProof/>
                <w:webHidden/>
              </w:rPr>
              <w:fldChar w:fldCharType="begin"/>
            </w:r>
            <w:r>
              <w:rPr>
                <w:noProof/>
                <w:webHidden/>
              </w:rPr>
              <w:instrText xml:space="preserve"> PAGEREF _Toc153298419 \h </w:instrText>
            </w:r>
            <w:r>
              <w:rPr>
                <w:noProof/>
                <w:webHidden/>
              </w:rPr>
            </w:r>
            <w:r>
              <w:rPr>
                <w:noProof/>
                <w:webHidden/>
              </w:rPr>
              <w:fldChar w:fldCharType="separate"/>
            </w:r>
            <w:r>
              <w:rPr>
                <w:noProof/>
                <w:webHidden/>
              </w:rPr>
              <w:t>9</w:t>
            </w:r>
            <w:r>
              <w:rPr>
                <w:noProof/>
                <w:webHidden/>
              </w:rPr>
              <w:fldChar w:fldCharType="end"/>
            </w:r>
          </w:hyperlink>
        </w:p>
        <w:p w:rsidR="00466C42" w:rsidRDefault="00466C42" w14:paraId="27509A47" w14:textId="1856F6F6">
          <w:pPr>
            <w:pStyle w:val="TOC2"/>
            <w:tabs>
              <w:tab w:val="left" w:pos="1123"/>
              <w:tab w:val="right" w:leader="dot" w:pos="9350"/>
            </w:tabs>
            <w:rPr>
              <w:rFonts w:asciiTheme="minorHAnsi" w:hAnsiTheme="minorHAnsi" w:cstheme="minorBidi"/>
              <w:noProof/>
              <w:kern w:val="2"/>
              <w:sz w:val="22"/>
              <w14:ligatures w14:val="standardContextual"/>
            </w:rPr>
          </w:pPr>
          <w:hyperlink w:history="1" w:anchor="_Toc153298420">
            <w:r w:rsidRPr="008610D7">
              <w:rPr>
                <w:rStyle w:val="Hyperlink"/>
                <w:noProof/>
              </w:rPr>
              <w:t>5.2.</w:t>
            </w:r>
            <w:r>
              <w:rPr>
                <w:rFonts w:asciiTheme="minorHAnsi" w:hAnsiTheme="minorHAnsi" w:cstheme="minorBidi"/>
                <w:noProof/>
                <w:kern w:val="2"/>
                <w:sz w:val="22"/>
                <w14:ligatures w14:val="standardContextual"/>
              </w:rPr>
              <w:tab/>
            </w:r>
            <w:r w:rsidRPr="008610D7">
              <w:rPr>
                <w:rStyle w:val="Hyperlink"/>
                <w:noProof/>
              </w:rPr>
              <w:t>Post-Test Year Adjustment Mechanism and Post-Test Year Adjustment Mechanism Attrition Factor</w:t>
            </w:r>
            <w:r>
              <w:rPr>
                <w:noProof/>
                <w:webHidden/>
              </w:rPr>
              <w:tab/>
            </w:r>
            <w:r>
              <w:rPr>
                <w:noProof/>
                <w:webHidden/>
              </w:rPr>
              <w:fldChar w:fldCharType="begin"/>
            </w:r>
            <w:r>
              <w:rPr>
                <w:noProof/>
                <w:webHidden/>
              </w:rPr>
              <w:instrText xml:space="preserve"> PAGEREF _Toc153298420 \h </w:instrText>
            </w:r>
            <w:r>
              <w:rPr>
                <w:noProof/>
                <w:webHidden/>
              </w:rPr>
            </w:r>
            <w:r>
              <w:rPr>
                <w:noProof/>
                <w:webHidden/>
              </w:rPr>
              <w:fldChar w:fldCharType="separate"/>
            </w:r>
            <w:r>
              <w:rPr>
                <w:noProof/>
                <w:webHidden/>
              </w:rPr>
              <w:t>10</w:t>
            </w:r>
            <w:r>
              <w:rPr>
                <w:noProof/>
                <w:webHidden/>
              </w:rPr>
              <w:fldChar w:fldCharType="end"/>
            </w:r>
          </w:hyperlink>
        </w:p>
        <w:p w:rsidR="00466C42" w:rsidRDefault="00466C42" w14:paraId="5A3B5E79" w14:textId="58720B53">
          <w:pPr>
            <w:pStyle w:val="TOC2"/>
            <w:tabs>
              <w:tab w:val="left" w:pos="1123"/>
              <w:tab w:val="right" w:leader="dot" w:pos="9350"/>
            </w:tabs>
            <w:rPr>
              <w:rFonts w:asciiTheme="minorHAnsi" w:hAnsiTheme="minorHAnsi" w:cstheme="minorBidi"/>
              <w:noProof/>
              <w:kern w:val="2"/>
              <w:sz w:val="22"/>
              <w14:ligatures w14:val="standardContextual"/>
            </w:rPr>
          </w:pPr>
          <w:hyperlink w:history="1" w:anchor="_Toc153298421">
            <w:r w:rsidRPr="008610D7">
              <w:rPr>
                <w:rStyle w:val="Hyperlink"/>
                <w:noProof/>
              </w:rPr>
              <w:t>5.3.</w:t>
            </w:r>
            <w:r>
              <w:rPr>
                <w:rFonts w:asciiTheme="minorHAnsi" w:hAnsiTheme="minorHAnsi" w:cstheme="minorBidi"/>
                <w:noProof/>
                <w:kern w:val="2"/>
                <w:sz w:val="22"/>
                <w14:ligatures w14:val="standardContextual"/>
              </w:rPr>
              <w:tab/>
            </w:r>
            <w:r w:rsidRPr="008610D7">
              <w:rPr>
                <w:rStyle w:val="Hyperlink"/>
                <w:noProof/>
              </w:rPr>
              <w:t>Risk-Based Decision-Making Framework</w:t>
            </w:r>
            <w:r>
              <w:rPr>
                <w:noProof/>
                <w:webHidden/>
              </w:rPr>
              <w:tab/>
            </w:r>
            <w:r>
              <w:rPr>
                <w:noProof/>
                <w:webHidden/>
              </w:rPr>
              <w:fldChar w:fldCharType="begin"/>
            </w:r>
            <w:r>
              <w:rPr>
                <w:noProof/>
                <w:webHidden/>
              </w:rPr>
              <w:instrText xml:space="preserve"> PAGEREF _Toc153298421 \h </w:instrText>
            </w:r>
            <w:r>
              <w:rPr>
                <w:noProof/>
                <w:webHidden/>
              </w:rPr>
            </w:r>
            <w:r>
              <w:rPr>
                <w:noProof/>
                <w:webHidden/>
              </w:rPr>
              <w:fldChar w:fldCharType="separate"/>
            </w:r>
            <w:r>
              <w:rPr>
                <w:noProof/>
                <w:webHidden/>
              </w:rPr>
              <w:t>11</w:t>
            </w:r>
            <w:r>
              <w:rPr>
                <w:noProof/>
                <w:webHidden/>
              </w:rPr>
              <w:fldChar w:fldCharType="end"/>
            </w:r>
          </w:hyperlink>
        </w:p>
        <w:p w:rsidR="00466C42" w:rsidRDefault="00466C42" w14:paraId="32A42924" w14:textId="2970878E">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22">
            <w:r w:rsidRPr="008610D7">
              <w:rPr>
                <w:rStyle w:val="Hyperlink"/>
                <w:noProof/>
              </w:rPr>
              <w:t>5.3.1.</w:t>
            </w:r>
            <w:r>
              <w:rPr>
                <w:rFonts w:asciiTheme="minorHAnsi" w:hAnsiTheme="minorHAnsi" w:cstheme="minorBidi"/>
                <w:noProof/>
                <w:kern w:val="2"/>
                <w:sz w:val="22"/>
                <w14:ligatures w14:val="standardContextual"/>
              </w:rPr>
              <w:tab/>
            </w:r>
            <w:r w:rsidRPr="008610D7">
              <w:rPr>
                <w:rStyle w:val="Hyperlink"/>
                <w:noProof/>
              </w:rPr>
              <w:t>Non-Wildfire-Related Risk Assessment</w:t>
            </w:r>
            <w:r>
              <w:rPr>
                <w:noProof/>
                <w:webHidden/>
              </w:rPr>
              <w:tab/>
            </w:r>
            <w:r>
              <w:rPr>
                <w:noProof/>
                <w:webHidden/>
              </w:rPr>
              <w:fldChar w:fldCharType="begin"/>
            </w:r>
            <w:r>
              <w:rPr>
                <w:noProof/>
                <w:webHidden/>
              </w:rPr>
              <w:instrText xml:space="preserve"> PAGEREF _Toc153298422 \h </w:instrText>
            </w:r>
            <w:r>
              <w:rPr>
                <w:noProof/>
                <w:webHidden/>
              </w:rPr>
            </w:r>
            <w:r>
              <w:rPr>
                <w:noProof/>
                <w:webHidden/>
              </w:rPr>
              <w:fldChar w:fldCharType="separate"/>
            </w:r>
            <w:r>
              <w:rPr>
                <w:noProof/>
                <w:webHidden/>
              </w:rPr>
              <w:t>11</w:t>
            </w:r>
            <w:r>
              <w:rPr>
                <w:noProof/>
                <w:webHidden/>
              </w:rPr>
              <w:fldChar w:fldCharType="end"/>
            </w:r>
          </w:hyperlink>
        </w:p>
        <w:p w:rsidR="00466C42" w:rsidRDefault="00466C42" w14:paraId="5ECB141B" w14:textId="3EA684A5">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23">
            <w:r w:rsidRPr="008610D7">
              <w:rPr>
                <w:rStyle w:val="Hyperlink"/>
                <w:noProof/>
              </w:rPr>
              <w:t>5.3.2.</w:t>
            </w:r>
            <w:r>
              <w:rPr>
                <w:rFonts w:asciiTheme="minorHAnsi" w:hAnsiTheme="minorHAnsi" w:cstheme="minorBidi"/>
                <w:noProof/>
                <w:kern w:val="2"/>
                <w:sz w:val="22"/>
                <w14:ligatures w14:val="standardContextual"/>
              </w:rPr>
              <w:tab/>
            </w:r>
            <w:r w:rsidRPr="008610D7">
              <w:rPr>
                <w:rStyle w:val="Hyperlink"/>
                <w:noProof/>
              </w:rPr>
              <w:t>Wildfire Cost Recovery Mechanism Proposal</w:t>
            </w:r>
            <w:r>
              <w:rPr>
                <w:noProof/>
                <w:webHidden/>
              </w:rPr>
              <w:tab/>
            </w:r>
            <w:r>
              <w:rPr>
                <w:noProof/>
                <w:webHidden/>
              </w:rPr>
              <w:fldChar w:fldCharType="begin"/>
            </w:r>
            <w:r>
              <w:rPr>
                <w:noProof/>
                <w:webHidden/>
              </w:rPr>
              <w:instrText xml:space="preserve"> PAGEREF _Toc153298423 \h </w:instrText>
            </w:r>
            <w:r>
              <w:rPr>
                <w:noProof/>
                <w:webHidden/>
              </w:rPr>
            </w:r>
            <w:r>
              <w:rPr>
                <w:noProof/>
                <w:webHidden/>
              </w:rPr>
              <w:fldChar w:fldCharType="separate"/>
            </w:r>
            <w:r>
              <w:rPr>
                <w:noProof/>
                <w:webHidden/>
              </w:rPr>
              <w:t>14</w:t>
            </w:r>
            <w:r>
              <w:rPr>
                <w:noProof/>
                <w:webHidden/>
              </w:rPr>
              <w:fldChar w:fldCharType="end"/>
            </w:r>
          </w:hyperlink>
        </w:p>
        <w:p w:rsidR="00466C42" w:rsidRDefault="00466C42" w14:paraId="2FCF3B55" w14:textId="587AE5DF">
          <w:pPr>
            <w:pStyle w:val="TOC1"/>
            <w:tabs>
              <w:tab w:val="right" w:leader="dot" w:pos="9350"/>
            </w:tabs>
            <w:rPr>
              <w:rFonts w:asciiTheme="minorHAnsi" w:hAnsiTheme="minorHAnsi" w:cstheme="minorBidi"/>
              <w:noProof/>
              <w:kern w:val="2"/>
              <w:sz w:val="22"/>
              <w14:ligatures w14:val="standardContextual"/>
            </w:rPr>
          </w:pPr>
          <w:hyperlink w:history="1" w:anchor="_Toc153298424">
            <w:r w:rsidRPr="008610D7">
              <w:rPr>
                <w:rStyle w:val="Hyperlink"/>
                <w:noProof/>
              </w:rPr>
              <w:t>6.</w:t>
            </w:r>
            <w:r>
              <w:rPr>
                <w:rFonts w:asciiTheme="minorHAnsi" w:hAnsiTheme="minorHAnsi" w:cstheme="minorBidi"/>
                <w:noProof/>
                <w:kern w:val="2"/>
                <w:sz w:val="22"/>
                <w14:ligatures w14:val="standardContextual"/>
              </w:rPr>
              <w:tab/>
            </w:r>
            <w:r w:rsidRPr="008610D7">
              <w:rPr>
                <w:rStyle w:val="Hyperlink"/>
                <w:noProof/>
              </w:rPr>
              <w:t>Revenue Requirement</w:t>
            </w:r>
            <w:r>
              <w:rPr>
                <w:noProof/>
                <w:webHidden/>
              </w:rPr>
              <w:tab/>
            </w:r>
            <w:r>
              <w:rPr>
                <w:noProof/>
                <w:webHidden/>
              </w:rPr>
              <w:fldChar w:fldCharType="begin"/>
            </w:r>
            <w:r>
              <w:rPr>
                <w:noProof/>
                <w:webHidden/>
              </w:rPr>
              <w:instrText xml:space="preserve"> PAGEREF _Toc153298424 \h </w:instrText>
            </w:r>
            <w:r>
              <w:rPr>
                <w:noProof/>
                <w:webHidden/>
              </w:rPr>
            </w:r>
            <w:r>
              <w:rPr>
                <w:noProof/>
                <w:webHidden/>
              </w:rPr>
              <w:fldChar w:fldCharType="separate"/>
            </w:r>
            <w:r>
              <w:rPr>
                <w:noProof/>
                <w:webHidden/>
              </w:rPr>
              <w:t>16</w:t>
            </w:r>
            <w:r>
              <w:rPr>
                <w:noProof/>
                <w:webHidden/>
              </w:rPr>
              <w:fldChar w:fldCharType="end"/>
            </w:r>
          </w:hyperlink>
        </w:p>
        <w:p w:rsidR="00466C42" w:rsidRDefault="00466C42" w14:paraId="3C23F875" w14:textId="1E5E1AE9">
          <w:pPr>
            <w:pStyle w:val="TOC2"/>
            <w:tabs>
              <w:tab w:val="left" w:pos="1123"/>
              <w:tab w:val="right" w:leader="dot" w:pos="9350"/>
            </w:tabs>
            <w:rPr>
              <w:rFonts w:asciiTheme="minorHAnsi" w:hAnsiTheme="minorHAnsi" w:cstheme="minorBidi"/>
              <w:noProof/>
              <w:kern w:val="2"/>
              <w:sz w:val="22"/>
              <w14:ligatures w14:val="standardContextual"/>
            </w:rPr>
          </w:pPr>
          <w:hyperlink w:history="1" w:anchor="_Toc153298425">
            <w:r w:rsidRPr="008610D7">
              <w:rPr>
                <w:rStyle w:val="Hyperlink"/>
                <w:noProof/>
              </w:rPr>
              <w:t>6.1.</w:t>
            </w:r>
            <w:r>
              <w:rPr>
                <w:rFonts w:asciiTheme="minorHAnsi" w:hAnsiTheme="minorHAnsi" w:cstheme="minorBidi"/>
                <w:noProof/>
                <w:kern w:val="2"/>
                <w:sz w:val="22"/>
                <w14:ligatures w14:val="standardContextual"/>
              </w:rPr>
              <w:tab/>
            </w:r>
            <w:r w:rsidRPr="008610D7">
              <w:rPr>
                <w:rStyle w:val="Hyperlink"/>
                <w:noProof/>
              </w:rPr>
              <w:t>Capital Structure and Rate of Return</w:t>
            </w:r>
            <w:r>
              <w:rPr>
                <w:noProof/>
                <w:webHidden/>
              </w:rPr>
              <w:tab/>
            </w:r>
            <w:r>
              <w:rPr>
                <w:noProof/>
                <w:webHidden/>
              </w:rPr>
              <w:fldChar w:fldCharType="begin"/>
            </w:r>
            <w:r>
              <w:rPr>
                <w:noProof/>
                <w:webHidden/>
              </w:rPr>
              <w:instrText xml:space="preserve"> PAGEREF _Toc153298425 \h </w:instrText>
            </w:r>
            <w:r>
              <w:rPr>
                <w:noProof/>
                <w:webHidden/>
              </w:rPr>
            </w:r>
            <w:r>
              <w:rPr>
                <w:noProof/>
                <w:webHidden/>
              </w:rPr>
              <w:fldChar w:fldCharType="separate"/>
            </w:r>
            <w:r>
              <w:rPr>
                <w:noProof/>
                <w:webHidden/>
              </w:rPr>
              <w:t>18</w:t>
            </w:r>
            <w:r>
              <w:rPr>
                <w:noProof/>
                <w:webHidden/>
              </w:rPr>
              <w:fldChar w:fldCharType="end"/>
            </w:r>
          </w:hyperlink>
        </w:p>
        <w:p w:rsidR="00466C42" w:rsidRDefault="00466C42" w14:paraId="4AFF6C68" w14:textId="251E9DFD">
          <w:pPr>
            <w:pStyle w:val="TOC2"/>
            <w:tabs>
              <w:tab w:val="left" w:pos="1123"/>
              <w:tab w:val="right" w:leader="dot" w:pos="9350"/>
            </w:tabs>
            <w:rPr>
              <w:rFonts w:asciiTheme="minorHAnsi" w:hAnsiTheme="minorHAnsi" w:cstheme="minorBidi"/>
              <w:noProof/>
              <w:kern w:val="2"/>
              <w:sz w:val="22"/>
              <w14:ligatures w14:val="standardContextual"/>
            </w:rPr>
          </w:pPr>
          <w:hyperlink w:history="1" w:anchor="_Toc153298426">
            <w:r w:rsidRPr="008610D7">
              <w:rPr>
                <w:rStyle w:val="Hyperlink"/>
                <w:noProof/>
              </w:rPr>
              <w:t>6.2.</w:t>
            </w:r>
            <w:r>
              <w:rPr>
                <w:rFonts w:asciiTheme="minorHAnsi" w:hAnsiTheme="minorHAnsi" w:cstheme="minorBidi"/>
                <w:noProof/>
                <w:kern w:val="2"/>
                <w:sz w:val="22"/>
                <w14:ligatures w14:val="standardContextual"/>
              </w:rPr>
              <w:tab/>
            </w:r>
            <w:r w:rsidRPr="008610D7">
              <w:rPr>
                <w:rStyle w:val="Hyperlink"/>
                <w:noProof/>
              </w:rPr>
              <w:t>Capital Additions</w:t>
            </w:r>
            <w:r>
              <w:rPr>
                <w:noProof/>
                <w:webHidden/>
              </w:rPr>
              <w:tab/>
            </w:r>
            <w:r>
              <w:rPr>
                <w:noProof/>
                <w:webHidden/>
              </w:rPr>
              <w:fldChar w:fldCharType="begin"/>
            </w:r>
            <w:r>
              <w:rPr>
                <w:noProof/>
                <w:webHidden/>
              </w:rPr>
              <w:instrText xml:space="preserve"> PAGEREF _Toc153298426 \h </w:instrText>
            </w:r>
            <w:r>
              <w:rPr>
                <w:noProof/>
                <w:webHidden/>
              </w:rPr>
            </w:r>
            <w:r>
              <w:rPr>
                <w:noProof/>
                <w:webHidden/>
              </w:rPr>
              <w:fldChar w:fldCharType="separate"/>
            </w:r>
            <w:r>
              <w:rPr>
                <w:noProof/>
                <w:webHidden/>
              </w:rPr>
              <w:t>21</w:t>
            </w:r>
            <w:r>
              <w:rPr>
                <w:noProof/>
                <w:webHidden/>
              </w:rPr>
              <w:fldChar w:fldCharType="end"/>
            </w:r>
          </w:hyperlink>
        </w:p>
        <w:p w:rsidR="00466C42" w:rsidRDefault="00466C42" w14:paraId="43EEABB2" w14:textId="18D8FF66">
          <w:pPr>
            <w:pStyle w:val="TOC2"/>
            <w:tabs>
              <w:tab w:val="left" w:pos="1123"/>
              <w:tab w:val="right" w:leader="dot" w:pos="9350"/>
            </w:tabs>
            <w:rPr>
              <w:rFonts w:asciiTheme="minorHAnsi" w:hAnsiTheme="minorHAnsi" w:cstheme="minorBidi"/>
              <w:noProof/>
              <w:kern w:val="2"/>
              <w:sz w:val="22"/>
              <w14:ligatures w14:val="standardContextual"/>
            </w:rPr>
          </w:pPr>
          <w:hyperlink w:history="1" w:anchor="_Toc153298427">
            <w:r w:rsidRPr="008610D7">
              <w:rPr>
                <w:rStyle w:val="Hyperlink"/>
                <w:noProof/>
              </w:rPr>
              <w:t>6.3.</w:t>
            </w:r>
            <w:r>
              <w:rPr>
                <w:rFonts w:asciiTheme="minorHAnsi" w:hAnsiTheme="minorHAnsi" w:cstheme="minorBidi"/>
                <w:noProof/>
                <w:kern w:val="2"/>
                <w:sz w:val="22"/>
                <w14:ligatures w14:val="standardContextual"/>
              </w:rPr>
              <w:tab/>
            </w:r>
            <w:r w:rsidRPr="008610D7">
              <w:rPr>
                <w:rStyle w:val="Hyperlink"/>
                <w:noProof/>
              </w:rPr>
              <w:t>Wildfire Mitigation Costs</w:t>
            </w:r>
            <w:r>
              <w:rPr>
                <w:noProof/>
                <w:webHidden/>
              </w:rPr>
              <w:tab/>
            </w:r>
            <w:r>
              <w:rPr>
                <w:noProof/>
                <w:webHidden/>
              </w:rPr>
              <w:fldChar w:fldCharType="begin"/>
            </w:r>
            <w:r>
              <w:rPr>
                <w:noProof/>
                <w:webHidden/>
              </w:rPr>
              <w:instrText xml:space="preserve"> PAGEREF _Toc153298427 \h </w:instrText>
            </w:r>
            <w:r>
              <w:rPr>
                <w:noProof/>
                <w:webHidden/>
              </w:rPr>
            </w:r>
            <w:r>
              <w:rPr>
                <w:noProof/>
                <w:webHidden/>
              </w:rPr>
              <w:fldChar w:fldCharType="separate"/>
            </w:r>
            <w:r>
              <w:rPr>
                <w:noProof/>
                <w:webHidden/>
              </w:rPr>
              <w:t>23</w:t>
            </w:r>
            <w:r>
              <w:rPr>
                <w:noProof/>
                <w:webHidden/>
              </w:rPr>
              <w:fldChar w:fldCharType="end"/>
            </w:r>
          </w:hyperlink>
        </w:p>
        <w:p w:rsidR="00466C42" w:rsidRDefault="00466C42" w14:paraId="363DA44E" w14:textId="5AB32084">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28">
            <w:r w:rsidRPr="008610D7">
              <w:rPr>
                <w:rStyle w:val="Hyperlink"/>
                <w:noProof/>
              </w:rPr>
              <w:t>6.3.1.</w:t>
            </w:r>
            <w:r>
              <w:rPr>
                <w:rFonts w:asciiTheme="minorHAnsi" w:hAnsiTheme="minorHAnsi" w:cstheme="minorBidi"/>
                <w:noProof/>
                <w:kern w:val="2"/>
                <w:sz w:val="22"/>
                <w14:ligatures w14:val="standardContextual"/>
              </w:rPr>
              <w:tab/>
            </w:r>
            <w:r w:rsidRPr="008610D7">
              <w:rPr>
                <w:rStyle w:val="Hyperlink"/>
                <w:noProof/>
              </w:rPr>
              <w:t>Wildfire Mitigation Capital Expenditures</w:t>
            </w:r>
            <w:r>
              <w:rPr>
                <w:noProof/>
                <w:webHidden/>
              </w:rPr>
              <w:tab/>
            </w:r>
            <w:r>
              <w:rPr>
                <w:noProof/>
                <w:webHidden/>
              </w:rPr>
              <w:fldChar w:fldCharType="begin"/>
            </w:r>
            <w:r>
              <w:rPr>
                <w:noProof/>
                <w:webHidden/>
              </w:rPr>
              <w:instrText xml:space="preserve"> PAGEREF _Toc153298428 \h </w:instrText>
            </w:r>
            <w:r>
              <w:rPr>
                <w:noProof/>
                <w:webHidden/>
              </w:rPr>
            </w:r>
            <w:r>
              <w:rPr>
                <w:noProof/>
                <w:webHidden/>
              </w:rPr>
              <w:fldChar w:fldCharType="separate"/>
            </w:r>
            <w:r>
              <w:rPr>
                <w:noProof/>
                <w:webHidden/>
              </w:rPr>
              <w:t>23</w:t>
            </w:r>
            <w:r>
              <w:rPr>
                <w:noProof/>
                <w:webHidden/>
              </w:rPr>
              <w:fldChar w:fldCharType="end"/>
            </w:r>
          </w:hyperlink>
        </w:p>
        <w:p w:rsidR="00466C42" w:rsidRDefault="00466C42" w14:paraId="75D5199A" w14:textId="4BE08887">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29">
            <w:r w:rsidRPr="008610D7">
              <w:rPr>
                <w:rStyle w:val="Hyperlink"/>
                <w:noProof/>
              </w:rPr>
              <w:t>6.3.2.</w:t>
            </w:r>
            <w:r>
              <w:rPr>
                <w:rFonts w:asciiTheme="minorHAnsi" w:hAnsiTheme="minorHAnsi" w:cstheme="minorBidi"/>
                <w:noProof/>
                <w:kern w:val="2"/>
                <w:sz w:val="22"/>
                <w14:ligatures w14:val="standardContextual"/>
              </w:rPr>
              <w:tab/>
            </w:r>
            <w:r w:rsidRPr="008610D7">
              <w:rPr>
                <w:rStyle w:val="Hyperlink"/>
                <w:noProof/>
              </w:rPr>
              <w:t>Wildfire Mitigation and Vegetation Management O&amp;M Expenses</w:t>
            </w:r>
            <w:r>
              <w:rPr>
                <w:noProof/>
                <w:webHidden/>
              </w:rPr>
              <w:tab/>
            </w:r>
            <w:r>
              <w:rPr>
                <w:noProof/>
                <w:webHidden/>
              </w:rPr>
              <w:fldChar w:fldCharType="begin"/>
            </w:r>
            <w:r>
              <w:rPr>
                <w:noProof/>
                <w:webHidden/>
              </w:rPr>
              <w:instrText xml:space="preserve"> PAGEREF _Toc153298429 \h </w:instrText>
            </w:r>
            <w:r>
              <w:rPr>
                <w:noProof/>
                <w:webHidden/>
              </w:rPr>
            </w:r>
            <w:r>
              <w:rPr>
                <w:noProof/>
                <w:webHidden/>
              </w:rPr>
              <w:fldChar w:fldCharType="separate"/>
            </w:r>
            <w:r>
              <w:rPr>
                <w:noProof/>
                <w:webHidden/>
              </w:rPr>
              <w:t>25</w:t>
            </w:r>
            <w:r>
              <w:rPr>
                <w:noProof/>
                <w:webHidden/>
              </w:rPr>
              <w:fldChar w:fldCharType="end"/>
            </w:r>
          </w:hyperlink>
        </w:p>
        <w:p w:rsidR="00466C42" w:rsidRDefault="00466C42" w14:paraId="0B441DE9" w14:textId="19A37C98">
          <w:pPr>
            <w:pStyle w:val="TOC2"/>
            <w:tabs>
              <w:tab w:val="left" w:pos="1123"/>
              <w:tab w:val="right" w:leader="dot" w:pos="9350"/>
            </w:tabs>
            <w:rPr>
              <w:rFonts w:asciiTheme="minorHAnsi" w:hAnsiTheme="minorHAnsi" w:cstheme="minorBidi"/>
              <w:noProof/>
              <w:kern w:val="2"/>
              <w:sz w:val="22"/>
              <w14:ligatures w14:val="standardContextual"/>
            </w:rPr>
          </w:pPr>
          <w:hyperlink w:history="1" w:anchor="_Toc153298430">
            <w:r w:rsidRPr="008610D7">
              <w:rPr>
                <w:rStyle w:val="Hyperlink"/>
                <w:noProof/>
              </w:rPr>
              <w:t>6.4.</w:t>
            </w:r>
            <w:r>
              <w:rPr>
                <w:rFonts w:asciiTheme="minorHAnsi" w:hAnsiTheme="minorHAnsi" w:cstheme="minorBidi"/>
                <w:noProof/>
                <w:kern w:val="2"/>
                <w:sz w:val="22"/>
                <w14:ligatures w14:val="standardContextual"/>
              </w:rPr>
              <w:tab/>
            </w:r>
            <w:r w:rsidRPr="008610D7">
              <w:rPr>
                <w:rStyle w:val="Hyperlink"/>
                <w:noProof/>
              </w:rPr>
              <w:t>Uncontested Issues Related to Revenue Requirement</w:t>
            </w:r>
            <w:r>
              <w:rPr>
                <w:noProof/>
                <w:webHidden/>
              </w:rPr>
              <w:tab/>
            </w:r>
            <w:r>
              <w:rPr>
                <w:noProof/>
                <w:webHidden/>
              </w:rPr>
              <w:fldChar w:fldCharType="begin"/>
            </w:r>
            <w:r>
              <w:rPr>
                <w:noProof/>
                <w:webHidden/>
              </w:rPr>
              <w:instrText xml:space="preserve"> PAGEREF _Toc153298430 \h </w:instrText>
            </w:r>
            <w:r>
              <w:rPr>
                <w:noProof/>
                <w:webHidden/>
              </w:rPr>
            </w:r>
            <w:r>
              <w:rPr>
                <w:noProof/>
                <w:webHidden/>
              </w:rPr>
              <w:fldChar w:fldCharType="separate"/>
            </w:r>
            <w:r>
              <w:rPr>
                <w:noProof/>
                <w:webHidden/>
              </w:rPr>
              <w:t>28</w:t>
            </w:r>
            <w:r>
              <w:rPr>
                <w:noProof/>
                <w:webHidden/>
              </w:rPr>
              <w:fldChar w:fldCharType="end"/>
            </w:r>
          </w:hyperlink>
        </w:p>
        <w:p w:rsidR="00466C42" w:rsidRDefault="00466C42" w14:paraId="4F3C3BF3" w14:textId="7390CC6C">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31">
            <w:r w:rsidRPr="008610D7">
              <w:rPr>
                <w:rStyle w:val="Hyperlink"/>
                <w:noProof/>
              </w:rPr>
              <w:t>6.4.1.</w:t>
            </w:r>
            <w:r>
              <w:rPr>
                <w:rFonts w:asciiTheme="minorHAnsi" w:hAnsiTheme="minorHAnsi" w:cstheme="minorBidi"/>
                <w:noProof/>
                <w:kern w:val="2"/>
                <w:sz w:val="22"/>
                <w14:ligatures w14:val="standardContextual"/>
              </w:rPr>
              <w:tab/>
            </w:r>
            <w:r w:rsidRPr="008610D7">
              <w:rPr>
                <w:rStyle w:val="Hyperlink"/>
                <w:noProof/>
              </w:rPr>
              <w:t>Tax Calculations</w:t>
            </w:r>
            <w:r>
              <w:rPr>
                <w:noProof/>
                <w:webHidden/>
              </w:rPr>
              <w:tab/>
            </w:r>
            <w:r>
              <w:rPr>
                <w:noProof/>
                <w:webHidden/>
              </w:rPr>
              <w:fldChar w:fldCharType="begin"/>
            </w:r>
            <w:r>
              <w:rPr>
                <w:noProof/>
                <w:webHidden/>
              </w:rPr>
              <w:instrText xml:space="preserve"> PAGEREF _Toc153298431 \h </w:instrText>
            </w:r>
            <w:r>
              <w:rPr>
                <w:noProof/>
                <w:webHidden/>
              </w:rPr>
            </w:r>
            <w:r>
              <w:rPr>
                <w:noProof/>
                <w:webHidden/>
              </w:rPr>
              <w:fldChar w:fldCharType="separate"/>
            </w:r>
            <w:r>
              <w:rPr>
                <w:noProof/>
                <w:webHidden/>
              </w:rPr>
              <w:t>28</w:t>
            </w:r>
            <w:r>
              <w:rPr>
                <w:noProof/>
                <w:webHidden/>
              </w:rPr>
              <w:fldChar w:fldCharType="end"/>
            </w:r>
          </w:hyperlink>
        </w:p>
        <w:p w:rsidR="00466C42" w:rsidRDefault="00466C42" w14:paraId="54D4BDFB" w14:textId="66D9659F">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32">
            <w:r w:rsidRPr="008610D7">
              <w:rPr>
                <w:rStyle w:val="Hyperlink"/>
                <w:noProof/>
              </w:rPr>
              <w:t>6.4.2.</w:t>
            </w:r>
            <w:r>
              <w:rPr>
                <w:rFonts w:asciiTheme="minorHAnsi" w:hAnsiTheme="minorHAnsi" w:cstheme="minorBidi"/>
                <w:noProof/>
                <w:kern w:val="2"/>
                <w:sz w:val="22"/>
                <w14:ligatures w14:val="standardContextual"/>
              </w:rPr>
              <w:tab/>
            </w:r>
            <w:r w:rsidRPr="008610D7">
              <w:rPr>
                <w:rStyle w:val="Hyperlink"/>
                <w:noProof/>
              </w:rPr>
              <w:t>Cash Working Capital</w:t>
            </w:r>
            <w:r>
              <w:rPr>
                <w:noProof/>
                <w:webHidden/>
              </w:rPr>
              <w:tab/>
            </w:r>
            <w:r>
              <w:rPr>
                <w:noProof/>
                <w:webHidden/>
              </w:rPr>
              <w:fldChar w:fldCharType="begin"/>
            </w:r>
            <w:r>
              <w:rPr>
                <w:noProof/>
                <w:webHidden/>
              </w:rPr>
              <w:instrText xml:space="preserve"> PAGEREF _Toc153298432 \h </w:instrText>
            </w:r>
            <w:r>
              <w:rPr>
                <w:noProof/>
                <w:webHidden/>
              </w:rPr>
            </w:r>
            <w:r>
              <w:rPr>
                <w:noProof/>
                <w:webHidden/>
              </w:rPr>
              <w:fldChar w:fldCharType="separate"/>
            </w:r>
            <w:r>
              <w:rPr>
                <w:noProof/>
                <w:webHidden/>
              </w:rPr>
              <w:t>28</w:t>
            </w:r>
            <w:r>
              <w:rPr>
                <w:noProof/>
                <w:webHidden/>
              </w:rPr>
              <w:fldChar w:fldCharType="end"/>
            </w:r>
          </w:hyperlink>
        </w:p>
        <w:p w:rsidR="00466C42" w:rsidRDefault="00466C42" w14:paraId="008924D2" w14:textId="0A9BEE75">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33">
            <w:r w:rsidRPr="008610D7">
              <w:rPr>
                <w:rStyle w:val="Hyperlink"/>
                <w:noProof/>
              </w:rPr>
              <w:t>6.4.3.</w:t>
            </w:r>
            <w:r>
              <w:rPr>
                <w:rFonts w:asciiTheme="minorHAnsi" w:hAnsiTheme="minorHAnsi" w:cstheme="minorBidi"/>
                <w:noProof/>
                <w:kern w:val="2"/>
                <w:sz w:val="22"/>
                <w14:ligatures w14:val="standardContextual"/>
              </w:rPr>
              <w:tab/>
            </w:r>
            <w:r w:rsidRPr="008610D7">
              <w:rPr>
                <w:rStyle w:val="Hyperlink"/>
                <w:noProof/>
              </w:rPr>
              <w:t>Labor and Non-Labor Escalation Expenses</w:t>
            </w:r>
            <w:r>
              <w:rPr>
                <w:noProof/>
                <w:webHidden/>
              </w:rPr>
              <w:tab/>
            </w:r>
            <w:r>
              <w:rPr>
                <w:noProof/>
                <w:webHidden/>
              </w:rPr>
              <w:fldChar w:fldCharType="begin"/>
            </w:r>
            <w:r>
              <w:rPr>
                <w:noProof/>
                <w:webHidden/>
              </w:rPr>
              <w:instrText xml:space="preserve"> PAGEREF _Toc153298433 \h </w:instrText>
            </w:r>
            <w:r>
              <w:rPr>
                <w:noProof/>
                <w:webHidden/>
              </w:rPr>
            </w:r>
            <w:r>
              <w:rPr>
                <w:noProof/>
                <w:webHidden/>
              </w:rPr>
              <w:fldChar w:fldCharType="separate"/>
            </w:r>
            <w:r>
              <w:rPr>
                <w:noProof/>
                <w:webHidden/>
              </w:rPr>
              <w:t>29</w:t>
            </w:r>
            <w:r>
              <w:rPr>
                <w:noProof/>
                <w:webHidden/>
              </w:rPr>
              <w:fldChar w:fldCharType="end"/>
            </w:r>
          </w:hyperlink>
        </w:p>
        <w:p w:rsidR="00466C42" w:rsidRDefault="00466C42" w14:paraId="28564F94" w14:textId="60A1F82F">
          <w:pPr>
            <w:pStyle w:val="TOC1"/>
            <w:tabs>
              <w:tab w:val="right" w:leader="dot" w:pos="9350"/>
            </w:tabs>
            <w:rPr>
              <w:rFonts w:asciiTheme="minorHAnsi" w:hAnsiTheme="minorHAnsi" w:cstheme="minorBidi"/>
              <w:noProof/>
              <w:kern w:val="2"/>
              <w:sz w:val="22"/>
              <w14:ligatures w14:val="standardContextual"/>
            </w:rPr>
          </w:pPr>
          <w:hyperlink w:history="1" w:anchor="_Toc153298434">
            <w:r w:rsidRPr="008610D7">
              <w:rPr>
                <w:rStyle w:val="Hyperlink"/>
                <w:noProof/>
              </w:rPr>
              <w:t>7.</w:t>
            </w:r>
            <w:r>
              <w:rPr>
                <w:rFonts w:asciiTheme="minorHAnsi" w:hAnsiTheme="minorHAnsi" w:cstheme="minorBidi"/>
                <w:noProof/>
                <w:kern w:val="2"/>
                <w:sz w:val="22"/>
                <w14:ligatures w14:val="standardContextual"/>
              </w:rPr>
              <w:tab/>
            </w:r>
            <w:r w:rsidRPr="008610D7">
              <w:rPr>
                <w:rStyle w:val="Hyperlink"/>
                <w:noProof/>
              </w:rPr>
              <w:t>Depreciation and Amortization of Coal Unit Decommissioning Costs</w:t>
            </w:r>
            <w:r>
              <w:rPr>
                <w:noProof/>
                <w:webHidden/>
              </w:rPr>
              <w:tab/>
            </w:r>
            <w:r>
              <w:rPr>
                <w:noProof/>
                <w:webHidden/>
              </w:rPr>
              <w:fldChar w:fldCharType="begin"/>
            </w:r>
            <w:r>
              <w:rPr>
                <w:noProof/>
                <w:webHidden/>
              </w:rPr>
              <w:instrText xml:space="preserve"> PAGEREF _Toc153298434 \h </w:instrText>
            </w:r>
            <w:r>
              <w:rPr>
                <w:noProof/>
                <w:webHidden/>
              </w:rPr>
            </w:r>
            <w:r>
              <w:rPr>
                <w:noProof/>
                <w:webHidden/>
              </w:rPr>
              <w:fldChar w:fldCharType="separate"/>
            </w:r>
            <w:r>
              <w:rPr>
                <w:noProof/>
                <w:webHidden/>
              </w:rPr>
              <w:t>29</w:t>
            </w:r>
            <w:r>
              <w:rPr>
                <w:noProof/>
                <w:webHidden/>
              </w:rPr>
              <w:fldChar w:fldCharType="end"/>
            </w:r>
          </w:hyperlink>
        </w:p>
        <w:p w:rsidR="00466C42" w:rsidRDefault="00466C42" w14:paraId="12379897" w14:textId="20F69CBC">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35">
            <w:r w:rsidRPr="008610D7">
              <w:rPr>
                <w:rStyle w:val="Hyperlink"/>
                <w:noProof/>
              </w:rPr>
              <w:t>7.1.1.</w:t>
            </w:r>
            <w:r>
              <w:rPr>
                <w:rFonts w:asciiTheme="minorHAnsi" w:hAnsiTheme="minorHAnsi" w:cstheme="minorBidi"/>
                <w:noProof/>
                <w:kern w:val="2"/>
                <w:sz w:val="22"/>
                <w14:ligatures w14:val="standardContextual"/>
              </w:rPr>
              <w:tab/>
            </w:r>
            <w:r w:rsidRPr="008610D7">
              <w:rPr>
                <w:rStyle w:val="Hyperlink"/>
                <w:noProof/>
              </w:rPr>
              <w:t>Depreciation</w:t>
            </w:r>
            <w:r>
              <w:rPr>
                <w:noProof/>
                <w:webHidden/>
              </w:rPr>
              <w:tab/>
            </w:r>
            <w:r>
              <w:rPr>
                <w:noProof/>
                <w:webHidden/>
              </w:rPr>
              <w:fldChar w:fldCharType="begin"/>
            </w:r>
            <w:r>
              <w:rPr>
                <w:noProof/>
                <w:webHidden/>
              </w:rPr>
              <w:instrText xml:space="preserve"> PAGEREF _Toc153298435 \h </w:instrText>
            </w:r>
            <w:r>
              <w:rPr>
                <w:noProof/>
                <w:webHidden/>
              </w:rPr>
            </w:r>
            <w:r>
              <w:rPr>
                <w:noProof/>
                <w:webHidden/>
              </w:rPr>
              <w:fldChar w:fldCharType="separate"/>
            </w:r>
            <w:r>
              <w:rPr>
                <w:noProof/>
                <w:webHidden/>
              </w:rPr>
              <w:t>29</w:t>
            </w:r>
            <w:r>
              <w:rPr>
                <w:noProof/>
                <w:webHidden/>
              </w:rPr>
              <w:fldChar w:fldCharType="end"/>
            </w:r>
          </w:hyperlink>
        </w:p>
        <w:p w:rsidR="00466C42" w:rsidRDefault="00466C42" w14:paraId="79E5A431" w14:textId="7D2436EC">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36">
            <w:r w:rsidRPr="008610D7">
              <w:rPr>
                <w:rStyle w:val="Hyperlink"/>
                <w:noProof/>
              </w:rPr>
              <w:t>7.1.2.</w:t>
            </w:r>
            <w:r>
              <w:rPr>
                <w:rFonts w:asciiTheme="minorHAnsi" w:hAnsiTheme="minorHAnsi" w:cstheme="minorBidi"/>
                <w:noProof/>
                <w:kern w:val="2"/>
                <w:sz w:val="22"/>
                <w14:ligatures w14:val="standardContextual"/>
              </w:rPr>
              <w:tab/>
            </w:r>
            <w:r w:rsidRPr="008610D7">
              <w:rPr>
                <w:rStyle w:val="Hyperlink"/>
                <w:noProof/>
              </w:rPr>
              <w:t>Amortization</w:t>
            </w:r>
            <w:r>
              <w:rPr>
                <w:noProof/>
                <w:webHidden/>
              </w:rPr>
              <w:tab/>
            </w:r>
            <w:r>
              <w:rPr>
                <w:noProof/>
                <w:webHidden/>
              </w:rPr>
              <w:fldChar w:fldCharType="begin"/>
            </w:r>
            <w:r>
              <w:rPr>
                <w:noProof/>
                <w:webHidden/>
              </w:rPr>
              <w:instrText xml:space="preserve"> PAGEREF _Toc153298436 \h </w:instrText>
            </w:r>
            <w:r>
              <w:rPr>
                <w:noProof/>
                <w:webHidden/>
              </w:rPr>
            </w:r>
            <w:r>
              <w:rPr>
                <w:noProof/>
                <w:webHidden/>
              </w:rPr>
              <w:fldChar w:fldCharType="separate"/>
            </w:r>
            <w:r>
              <w:rPr>
                <w:noProof/>
                <w:webHidden/>
              </w:rPr>
              <w:t>31</w:t>
            </w:r>
            <w:r>
              <w:rPr>
                <w:noProof/>
                <w:webHidden/>
              </w:rPr>
              <w:fldChar w:fldCharType="end"/>
            </w:r>
          </w:hyperlink>
        </w:p>
        <w:p w:rsidR="00466C42" w:rsidRDefault="00466C42" w14:paraId="79D8F15B" w14:textId="34F9AB1A">
          <w:pPr>
            <w:pStyle w:val="TOC1"/>
            <w:tabs>
              <w:tab w:val="right" w:leader="dot" w:pos="9350"/>
            </w:tabs>
            <w:rPr>
              <w:rFonts w:asciiTheme="minorHAnsi" w:hAnsiTheme="minorHAnsi" w:cstheme="minorBidi"/>
              <w:noProof/>
              <w:kern w:val="2"/>
              <w:sz w:val="22"/>
              <w14:ligatures w14:val="standardContextual"/>
            </w:rPr>
          </w:pPr>
          <w:hyperlink w:history="1" w:anchor="_Toc153298437">
            <w:r w:rsidRPr="008610D7">
              <w:rPr>
                <w:rStyle w:val="Hyperlink"/>
                <w:noProof/>
              </w:rPr>
              <w:t>8.</w:t>
            </w:r>
            <w:r>
              <w:rPr>
                <w:rFonts w:asciiTheme="minorHAnsi" w:hAnsiTheme="minorHAnsi" w:cstheme="minorBidi"/>
                <w:noProof/>
                <w:kern w:val="2"/>
                <w:sz w:val="22"/>
                <w14:ligatures w14:val="standardContextual"/>
              </w:rPr>
              <w:tab/>
            </w:r>
            <w:r w:rsidRPr="008610D7">
              <w:rPr>
                <w:rStyle w:val="Hyperlink"/>
                <w:noProof/>
              </w:rPr>
              <w:t>Rate Spread and Rate Design</w:t>
            </w:r>
            <w:r>
              <w:rPr>
                <w:noProof/>
                <w:webHidden/>
              </w:rPr>
              <w:tab/>
            </w:r>
            <w:r>
              <w:rPr>
                <w:noProof/>
                <w:webHidden/>
              </w:rPr>
              <w:fldChar w:fldCharType="begin"/>
            </w:r>
            <w:r>
              <w:rPr>
                <w:noProof/>
                <w:webHidden/>
              </w:rPr>
              <w:instrText xml:space="preserve"> PAGEREF _Toc153298437 \h </w:instrText>
            </w:r>
            <w:r>
              <w:rPr>
                <w:noProof/>
                <w:webHidden/>
              </w:rPr>
            </w:r>
            <w:r>
              <w:rPr>
                <w:noProof/>
                <w:webHidden/>
              </w:rPr>
              <w:fldChar w:fldCharType="separate"/>
            </w:r>
            <w:r>
              <w:rPr>
                <w:noProof/>
                <w:webHidden/>
              </w:rPr>
              <w:t>33</w:t>
            </w:r>
            <w:r>
              <w:rPr>
                <w:noProof/>
                <w:webHidden/>
              </w:rPr>
              <w:fldChar w:fldCharType="end"/>
            </w:r>
          </w:hyperlink>
        </w:p>
        <w:p w:rsidR="00466C42" w:rsidRDefault="00466C42" w14:paraId="12B03AE7" w14:textId="27793817">
          <w:pPr>
            <w:pStyle w:val="TOC2"/>
            <w:tabs>
              <w:tab w:val="left" w:pos="1123"/>
              <w:tab w:val="right" w:leader="dot" w:pos="9350"/>
            </w:tabs>
            <w:rPr>
              <w:rFonts w:asciiTheme="minorHAnsi" w:hAnsiTheme="minorHAnsi" w:cstheme="minorBidi"/>
              <w:noProof/>
              <w:kern w:val="2"/>
              <w:sz w:val="22"/>
              <w14:ligatures w14:val="standardContextual"/>
            </w:rPr>
          </w:pPr>
          <w:hyperlink w:history="1" w:anchor="_Toc153298438">
            <w:r w:rsidRPr="008610D7">
              <w:rPr>
                <w:rStyle w:val="Hyperlink"/>
                <w:noProof/>
              </w:rPr>
              <w:t>8.1.</w:t>
            </w:r>
            <w:r>
              <w:rPr>
                <w:rFonts w:asciiTheme="minorHAnsi" w:hAnsiTheme="minorHAnsi" w:cstheme="minorBidi"/>
                <w:noProof/>
                <w:kern w:val="2"/>
                <w:sz w:val="22"/>
                <w14:ligatures w14:val="standardContextual"/>
              </w:rPr>
              <w:tab/>
            </w:r>
            <w:r w:rsidRPr="008610D7">
              <w:rPr>
                <w:rStyle w:val="Hyperlink"/>
                <w:noProof/>
              </w:rPr>
              <w:t>Rate Spread</w:t>
            </w:r>
            <w:r>
              <w:rPr>
                <w:noProof/>
                <w:webHidden/>
              </w:rPr>
              <w:tab/>
            </w:r>
            <w:r>
              <w:rPr>
                <w:noProof/>
                <w:webHidden/>
              </w:rPr>
              <w:fldChar w:fldCharType="begin"/>
            </w:r>
            <w:r>
              <w:rPr>
                <w:noProof/>
                <w:webHidden/>
              </w:rPr>
              <w:instrText xml:space="preserve"> PAGEREF _Toc153298438 \h </w:instrText>
            </w:r>
            <w:r>
              <w:rPr>
                <w:noProof/>
                <w:webHidden/>
              </w:rPr>
            </w:r>
            <w:r>
              <w:rPr>
                <w:noProof/>
                <w:webHidden/>
              </w:rPr>
              <w:fldChar w:fldCharType="separate"/>
            </w:r>
            <w:r>
              <w:rPr>
                <w:noProof/>
                <w:webHidden/>
              </w:rPr>
              <w:t>33</w:t>
            </w:r>
            <w:r>
              <w:rPr>
                <w:noProof/>
                <w:webHidden/>
              </w:rPr>
              <w:fldChar w:fldCharType="end"/>
            </w:r>
          </w:hyperlink>
        </w:p>
        <w:p w:rsidR="00466C42" w:rsidRDefault="00466C42" w14:paraId="0DD079BA" w14:textId="11020FAE">
          <w:pPr>
            <w:pStyle w:val="TOC2"/>
            <w:tabs>
              <w:tab w:val="left" w:pos="1123"/>
              <w:tab w:val="right" w:leader="dot" w:pos="9350"/>
            </w:tabs>
            <w:rPr>
              <w:rFonts w:asciiTheme="minorHAnsi" w:hAnsiTheme="minorHAnsi" w:cstheme="minorBidi"/>
              <w:noProof/>
              <w:kern w:val="2"/>
              <w:sz w:val="22"/>
              <w14:ligatures w14:val="standardContextual"/>
            </w:rPr>
          </w:pPr>
          <w:hyperlink w:history="1" w:anchor="_Toc153298439">
            <w:r w:rsidRPr="008610D7">
              <w:rPr>
                <w:rStyle w:val="Hyperlink"/>
                <w:noProof/>
              </w:rPr>
              <w:t>8.2.</w:t>
            </w:r>
            <w:r>
              <w:rPr>
                <w:rFonts w:asciiTheme="minorHAnsi" w:hAnsiTheme="minorHAnsi" w:cstheme="minorBidi"/>
                <w:noProof/>
                <w:kern w:val="2"/>
                <w:sz w:val="22"/>
                <w14:ligatures w14:val="standardContextual"/>
              </w:rPr>
              <w:tab/>
            </w:r>
            <w:r w:rsidRPr="008610D7">
              <w:rPr>
                <w:rStyle w:val="Hyperlink"/>
                <w:noProof/>
              </w:rPr>
              <w:t>Rate Design</w:t>
            </w:r>
            <w:r>
              <w:rPr>
                <w:noProof/>
                <w:webHidden/>
              </w:rPr>
              <w:tab/>
            </w:r>
            <w:r>
              <w:rPr>
                <w:noProof/>
                <w:webHidden/>
              </w:rPr>
              <w:fldChar w:fldCharType="begin"/>
            </w:r>
            <w:r>
              <w:rPr>
                <w:noProof/>
                <w:webHidden/>
              </w:rPr>
              <w:instrText xml:space="preserve"> PAGEREF _Toc153298439 \h </w:instrText>
            </w:r>
            <w:r>
              <w:rPr>
                <w:noProof/>
                <w:webHidden/>
              </w:rPr>
            </w:r>
            <w:r>
              <w:rPr>
                <w:noProof/>
                <w:webHidden/>
              </w:rPr>
              <w:fldChar w:fldCharType="separate"/>
            </w:r>
            <w:r>
              <w:rPr>
                <w:noProof/>
                <w:webHidden/>
              </w:rPr>
              <w:t>34</w:t>
            </w:r>
            <w:r>
              <w:rPr>
                <w:noProof/>
                <w:webHidden/>
              </w:rPr>
              <w:fldChar w:fldCharType="end"/>
            </w:r>
          </w:hyperlink>
        </w:p>
        <w:p w:rsidR="00466C42" w:rsidRDefault="00466C42" w14:paraId="11DA84D4" w14:textId="3AD1A646">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40">
            <w:r w:rsidRPr="008610D7">
              <w:rPr>
                <w:rStyle w:val="Hyperlink"/>
                <w:noProof/>
              </w:rPr>
              <w:t>8.2.1.</w:t>
            </w:r>
            <w:r>
              <w:rPr>
                <w:rFonts w:asciiTheme="minorHAnsi" w:hAnsiTheme="minorHAnsi" w:cstheme="minorBidi"/>
                <w:noProof/>
                <w:kern w:val="2"/>
                <w:sz w:val="22"/>
                <w14:ligatures w14:val="standardContextual"/>
              </w:rPr>
              <w:tab/>
            </w:r>
            <w:r w:rsidRPr="008610D7">
              <w:rPr>
                <w:rStyle w:val="Hyperlink"/>
                <w:noProof/>
              </w:rPr>
              <w:t>Schedule DT</w:t>
            </w:r>
            <w:r>
              <w:rPr>
                <w:noProof/>
                <w:webHidden/>
              </w:rPr>
              <w:tab/>
            </w:r>
            <w:r>
              <w:rPr>
                <w:noProof/>
                <w:webHidden/>
              </w:rPr>
              <w:fldChar w:fldCharType="begin"/>
            </w:r>
            <w:r>
              <w:rPr>
                <w:noProof/>
                <w:webHidden/>
              </w:rPr>
              <w:instrText xml:space="preserve"> PAGEREF _Toc153298440 \h </w:instrText>
            </w:r>
            <w:r>
              <w:rPr>
                <w:noProof/>
                <w:webHidden/>
              </w:rPr>
            </w:r>
            <w:r>
              <w:rPr>
                <w:noProof/>
                <w:webHidden/>
              </w:rPr>
              <w:fldChar w:fldCharType="separate"/>
            </w:r>
            <w:r>
              <w:rPr>
                <w:noProof/>
                <w:webHidden/>
              </w:rPr>
              <w:t>34</w:t>
            </w:r>
            <w:r>
              <w:rPr>
                <w:noProof/>
                <w:webHidden/>
              </w:rPr>
              <w:fldChar w:fldCharType="end"/>
            </w:r>
          </w:hyperlink>
        </w:p>
        <w:p w:rsidR="00466C42" w:rsidRDefault="00466C42" w14:paraId="07266B99" w14:textId="067BEB03">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41">
            <w:r w:rsidRPr="008610D7">
              <w:rPr>
                <w:rStyle w:val="Hyperlink"/>
                <w:noProof/>
              </w:rPr>
              <w:t>8.2.2.</w:t>
            </w:r>
            <w:r>
              <w:rPr>
                <w:rFonts w:asciiTheme="minorHAnsi" w:hAnsiTheme="minorHAnsi" w:cstheme="minorBidi"/>
                <w:noProof/>
                <w:kern w:val="2"/>
                <w:sz w:val="22"/>
                <w14:ligatures w14:val="standardContextual"/>
              </w:rPr>
              <w:tab/>
            </w:r>
            <w:r w:rsidRPr="008610D7">
              <w:rPr>
                <w:rStyle w:val="Hyperlink"/>
                <w:noProof/>
              </w:rPr>
              <w:t>Schedule AT-29</w:t>
            </w:r>
            <w:r>
              <w:rPr>
                <w:noProof/>
                <w:webHidden/>
              </w:rPr>
              <w:tab/>
            </w:r>
            <w:r>
              <w:rPr>
                <w:noProof/>
                <w:webHidden/>
              </w:rPr>
              <w:fldChar w:fldCharType="begin"/>
            </w:r>
            <w:r>
              <w:rPr>
                <w:noProof/>
                <w:webHidden/>
              </w:rPr>
              <w:instrText xml:space="preserve"> PAGEREF _Toc153298441 \h </w:instrText>
            </w:r>
            <w:r>
              <w:rPr>
                <w:noProof/>
                <w:webHidden/>
              </w:rPr>
            </w:r>
            <w:r>
              <w:rPr>
                <w:noProof/>
                <w:webHidden/>
              </w:rPr>
              <w:fldChar w:fldCharType="separate"/>
            </w:r>
            <w:r>
              <w:rPr>
                <w:noProof/>
                <w:webHidden/>
              </w:rPr>
              <w:t>35</w:t>
            </w:r>
            <w:r>
              <w:rPr>
                <w:noProof/>
                <w:webHidden/>
              </w:rPr>
              <w:fldChar w:fldCharType="end"/>
            </w:r>
          </w:hyperlink>
        </w:p>
        <w:p w:rsidR="00466C42" w:rsidRDefault="00466C42" w14:paraId="67FA70FF" w14:textId="41DA0585">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42">
            <w:r w:rsidRPr="008610D7">
              <w:rPr>
                <w:rStyle w:val="Hyperlink"/>
                <w:noProof/>
              </w:rPr>
              <w:t>8.2.3.</w:t>
            </w:r>
            <w:r>
              <w:rPr>
                <w:rFonts w:asciiTheme="minorHAnsi" w:hAnsiTheme="minorHAnsi" w:cstheme="minorBidi"/>
                <w:noProof/>
                <w:kern w:val="2"/>
                <w:sz w:val="22"/>
                <w14:ligatures w14:val="standardContextual"/>
              </w:rPr>
              <w:tab/>
            </w:r>
            <w:r w:rsidRPr="008610D7">
              <w:rPr>
                <w:rStyle w:val="Hyperlink"/>
                <w:noProof/>
              </w:rPr>
              <w:t>Schedule PA-115</w:t>
            </w:r>
            <w:r>
              <w:rPr>
                <w:noProof/>
                <w:webHidden/>
              </w:rPr>
              <w:tab/>
            </w:r>
            <w:r>
              <w:rPr>
                <w:noProof/>
                <w:webHidden/>
              </w:rPr>
              <w:fldChar w:fldCharType="begin"/>
            </w:r>
            <w:r>
              <w:rPr>
                <w:noProof/>
                <w:webHidden/>
              </w:rPr>
              <w:instrText xml:space="preserve"> PAGEREF _Toc153298442 \h </w:instrText>
            </w:r>
            <w:r>
              <w:rPr>
                <w:noProof/>
                <w:webHidden/>
              </w:rPr>
            </w:r>
            <w:r>
              <w:rPr>
                <w:noProof/>
                <w:webHidden/>
              </w:rPr>
              <w:fldChar w:fldCharType="separate"/>
            </w:r>
            <w:r>
              <w:rPr>
                <w:noProof/>
                <w:webHidden/>
              </w:rPr>
              <w:t>37</w:t>
            </w:r>
            <w:r>
              <w:rPr>
                <w:noProof/>
                <w:webHidden/>
              </w:rPr>
              <w:fldChar w:fldCharType="end"/>
            </w:r>
          </w:hyperlink>
        </w:p>
        <w:p w:rsidR="00466C42" w:rsidRDefault="00466C42" w14:paraId="0DCDCB1E" w14:textId="1CD7F837">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43">
            <w:r w:rsidRPr="008610D7">
              <w:rPr>
                <w:rStyle w:val="Hyperlink"/>
                <w:noProof/>
              </w:rPr>
              <w:t>8.2.4.</w:t>
            </w:r>
            <w:r>
              <w:rPr>
                <w:rFonts w:asciiTheme="minorHAnsi" w:hAnsiTheme="minorHAnsi" w:cstheme="minorBidi"/>
                <w:noProof/>
                <w:kern w:val="2"/>
                <w:sz w:val="22"/>
                <w14:ligatures w14:val="standardContextual"/>
              </w:rPr>
              <w:tab/>
            </w:r>
            <w:r w:rsidRPr="008610D7">
              <w:rPr>
                <w:rStyle w:val="Hyperlink"/>
                <w:noProof/>
              </w:rPr>
              <w:t>Schedules AT-47 and AT-48</w:t>
            </w:r>
            <w:r>
              <w:rPr>
                <w:noProof/>
                <w:webHidden/>
              </w:rPr>
              <w:tab/>
            </w:r>
            <w:r>
              <w:rPr>
                <w:noProof/>
                <w:webHidden/>
              </w:rPr>
              <w:fldChar w:fldCharType="begin"/>
            </w:r>
            <w:r>
              <w:rPr>
                <w:noProof/>
                <w:webHidden/>
              </w:rPr>
              <w:instrText xml:space="preserve"> PAGEREF _Toc153298443 \h </w:instrText>
            </w:r>
            <w:r>
              <w:rPr>
                <w:noProof/>
                <w:webHidden/>
              </w:rPr>
            </w:r>
            <w:r>
              <w:rPr>
                <w:noProof/>
                <w:webHidden/>
              </w:rPr>
              <w:fldChar w:fldCharType="separate"/>
            </w:r>
            <w:r>
              <w:rPr>
                <w:noProof/>
                <w:webHidden/>
              </w:rPr>
              <w:t>38</w:t>
            </w:r>
            <w:r>
              <w:rPr>
                <w:noProof/>
                <w:webHidden/>
              </w:rPr>
              <w:fldChar w:fldCharType="end"/>
            </w:r>
          </w:hyperlink>
        </w:p>
        <w:p w:rsidR="00466C42" w:rsidRDefault="00466C42" w14:paraId="2AF607A1" w14:textId="244AFC65">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44">
            <w:r w:rsidRPr="008610D7">
              <w:rPr>
                <w:rStyle w:val="Hyperlink"/>
                <w:noProof/>
              </w:rPr>
              <w:t>8.2.5.</w:t>
            </w:r>
            <w:r>
              <w:rPr>
                <w:rFonts w:asciiTheme="minorHAnsi" w:hAnsiTheme="minorHAnsi" w:cstheme="minorBidi"/>
                <w:noProof/>
                <w:kern w:val="2"/>
                <w:sz w:val="22"/>
                <w14:ligatures w14:val="standardContextual"/>
              </w:rPr>
              <w:tab/>
            </w:r>
            <w:r w:rsidRPr="008610D7">
              <w:rPr>
                <w:rStyle w:val="Hyperlink"/>
                <w:noProof/>
              </w:rPr>
              <w:t>Street and Area Light Price Re-Design</w:t>
            </w:r>
            <w:r>
              <w:rPr>
                <w:noProof/>
                <w:webHidden/>
              </w:rPr>
              <w:tab/>
            </w:r>
            <w:r>
              <w:rPr>
                <w:noProof/>
                <w:webHidden/>
              </w:rPr>
              <w:fldChar w:fldCharType="begin"/>
            </w:r>
            <w:r>
              <w:rPr>
                <w:noProof/>
                <w:webHidden/>
              </w:rPr>
              <w:instrText xml:space="preserve"> PAGEREF _Toc153298444 \h </w:instrText>
            </w:r>
            <w:r>
              <w:rPr>
                <w:noProof/>
                <w:webHidden/>
              </w:rPr>
            </w:r>
            <w:r>
              <w:rPr>
                <w:noProof/>
                <w:webHidden/>
              </w:rPr>
              <w:fldChar w:fldCharType="separate"/>
            </w:r>
            <w:r>
              <w:rPr>
                <w:noProof/>
                <w:webHidden/>
              </w:rPr>
              <w:t>39</w:t>
            </w:r>
            <w:r>
              <w:rPr>
                <w:noProof/>
                <w:webHidden/>
              </w:rPr>
              <w:fldChar w:fldCharType="end"/>
            </w:r>
          </w:hyperlink>
        </w:p>
        <w:p w:rsidR="00466C42" w:rsidRDefault="00466C42" w14:paraId="3B8F7B23" w14:textId="219512CD">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45">
            <w:r w:rsidRPr="008610D7">
              <w:rPr>
                <w:rStyle w:val="Hyperlink"/>
                <w:noProof/>
              </w:rPr>
              <w:t>8.2.6.</w:t>
            </w:r>
            <w:r>
              <w:rPr>
                <w:rFonts w:asciiTheme="minorHAnsi" w:hAnsiTheme="minorHAnsi" w:cstheme="minorBidi"/>
                <w:noProof/>
                <w:kern w:val="2"/>
                <w:sz w:val="22"/>
                <w14:ligatures w14:val="standardContextual"/>
              </w:rPr>
              <w:tab/>
            </w:r>
            <w:r w:rsidRPr="008610D7">
              <w:rPr>
                <w:rStyle w:val="Hyperlink"/>
                <w:noProof/>
              </w:rPr>
              <w:t>Paperless Bill Credit</w:t>
            </w:r>
            <w:r>
              <w:rPr>
                <w:noProof/>
                <w:webHidden/>
              </w:rPr>
              <w:tab/>
            </w:r>
            <w:r>
              <w:rPr>
                <w:noProof/>
                <w:webHidden/>
              </w:rPr>
              <w:fldChar w:fldCharType="begin"/>
            </w:r>
            <w:r>
              <w:rPr>
                <w:noProof/>
                <w:webHidden/>
              </w:rPr>
              <w:instrText xml:space="preserve"> PAGEREF _Toc153298445 \h </w:instrText>
            </w:r>
            <w:r>
              <w:rPr>
                <w:noProof/>
                <w:webHidden/>
              </w:rPr>
            </w:r>
            <w:r>
              <w:rPr>
                <w:noProof/>
                <w:webHidden/>
              </w:rPr>
              <w:fldChar w:fldCharType="separate"/>
            </w:r>
            <w:r>
              <w:rPr>
                <w:noProof/>
                <w:webHidden/>
              </w:rPr>
              <w:t>41</w:t>
            </w:r>
            <w:r>
              <w:rPr>
                <w:noProof/>
                <w:webHidden/>
              </w:rPr>
              <w:fldChar w:fldCharType="end"/>
            </w:r>
          </w:hyperlink>
        </w:p>
        <w:p w:rsidR="00466C42" w:rsidRDefault="00466C42" w14:paraId="0A73CAC8" w14:textId="43801472">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46">
            <w:r w:rsidRPr="008610D7">
              <w:rPr>
                <w:rStyle w:val="Hyperlink"/>
                <w:noProof/>
              </w:rPr>
              <w:t>8.2.7.</w:t>
            </w:r>
            <w:r>
              <w:rPr>
                <w:rFonts w:asciiTheme="minorHAnsi" w:hAnsiTheme="minorHAnsi" w:cstheme="minorBidi"/>
                <w:noProof/>
                <w:kern w:val="2"/>
                <w:sz w:val="22"/>
                <w14:ligatures w14:val="standardContextual"/>
              </w:rPr>
              <w:tab/>
            </w:r>
            <w:r w:rsidRPr="008610D7">
              <w:rPr>
                <w:rStyle w:val="Hyperlink"/>
                <w:noProof/>
              </w:rPr>
              <w:t>Temporary Service Charge</w:t>
            </w:r>
            <w:r>
              <w:rPr>
                <w:noProof/>
                <w:webHidden/>
              </w:rPr>
              <w:tab/>
            </w:r>
            <w:r>
              <w:rPr>
                <w:noProof/>
                <w:webHidden/>
              </w:rPr>
              <w:fldChar w:fldCharType="begin"/>
            </w:r>
            <w:r>
              <w:rPr>
                <w:noProof/>
                <w:webHidden/>
              </w:rPr>
              <w:instrText xml:space="preserve"> PAGEREF _Toc153298446 \h </w:instrText>
            </w:r>
            <w:r>
              <w:rPr>
                <w:noProof/>
                <w:webHidden/>
              </w:rPr>
            </w:r>
            <w:r>
              <w:rPr>
                <w:noProof/>
                <w:webHidden/>
              </w:rPr>
              <w:fldChar w:fldCharType="separate"/>
            </w:r>
            <w:r>
              <w:rPr>
                <w:noProof/>
                <w:webHidden/>
              </w:rPr>
              <w:t>42</w:t>
            </w:r>
            <w:r>
              <w:rPr>
                <w:noProof/>
                <w:webHidden/>
              </w:rPr>
              <w:fldChar w:fldCharType="end"/>
            </w:r>
          </w:hyperlink>
        </w:p>
        <w:p w:rsidR="00466C42" w:rsidRDefault="00466C42" w14:paraId="1736FEB3" w14:textId="2A51E9A6">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47">
            <w:r w:rsidRPr="008610D7">
              <w:rPr>
                <w:rStyle w:val="Hyperlink"/>
                <w:noProof/>
              </w:rPr>
              <w:t>8.2.8.</w:t>
            </w:r>
            <w:r>
              <w:rPr>
                <w:rFonts w:asciiTheme="minorHAnsi" w:hAnsiTheme="minorHAnsi" w:cstheme="minorBidi"/>
                <w:noProof/>
                <w:kern w:val="2"/>
                <w:sz w:val="22"/>
                <w14:ligatures w14:val="standardContextual"/>
              </w:rPr>
              <w:tab/>
            </w:r>
            <w:r w:rsidRPr="008610D7">
              <w:rPr>
                <w:rStyle w:val="Hyperlink"/>
                <w:noProof/>
              </w:rPr>
              <w:t>Housekeeping Items</w:t>
            </w:r>
            <w:r>
              <w:rPr>
                <w:noProof/>
                <w:webHidden/>
              </w:rPr>
              <w:tab/>
            </w:r>
            <w:r>
              <w:rPr>
                <w:noProof/>
                <w:webHidden/>
              </w:rPr>
              <w:fldChar w:fldCharType="begin"/>
            </w:r>
            <w:r>
              <w:rPr>
                <w:noProof/>
                <w:webHidden/>
              </w:rPr>
              <w:instrText xml:space="preserve"> PAGEREF _Toc153298447 \h </w:instrText>
            </w:r>
            <w:r>
              <w:rPr>
                <w:noProof/>
                <w:webHidden/>
              </w:rPr>
            </w:r>
            <w:r>
              <w:rPr>
                <w:noProof/>
                <w:webHidden/>
              </w:rPr>
              <w:fldChar w:fldCharType="separate"/>
            </w:r>
            <w:r>
              <w:rPr>
                <w:noProof/>
                <w:webHidden/>
              </w:rPr>
              <w:t>42</w:t>
            </w:r>
            <w:r>
              <w:rPr>
                <w:noProof/>
                <w:webHidden/>
              </w:rPr>
              <w:fldChar w:fldCharType="end"/>
            </w:r>
          </w:hyperlink>
        </w:p>
        <w:p w:rsidR="00466C42" w:rsidRDefault="00466C42" w14:paraId="33D5DAAA" w14:textId="264A5589">
          <w:pPr>
            <w:pStyle w:val="TOC3"/>
            <w:tabs>
              <w:tab w:val="left" w:pos="1987"/>
              <w:tab w:val="right" w:leader="dot" w:pos="9350"/>
            </w:tabs>
            <w:rPr>
              <w:rFonts w:asciiTheme="minorHAnsi" w:hAnsiTheme="minorHAnsi" w:cstheme="minorBidi"/>
              <w:noProof/>
              <w:kern w:val="2"/>
              <w:sz w:val="22"/>
              <w14:ligatures w14:val="standardContextual"/>
            </w:rPr>
          </w:pPr>
          <w:hyperlink w:history="1" w:anchor="_Toc153298448">
            <w:r w:rsidRPr="008610D7">
              <w:rPr>
                <w:rStyle w:val="Hyperlink"/>
                <w:noProof/>
              </w:rPr>
              <w:t>8.2.9.</w:t>
            </w:r>
            <w:r>
              <w:rPr>
                <w:rFonts w:asciiTheme="minorHAnsi" w:hAnsiTheme="minorHAnsi" w:cstheme="minorBidi"/>
                <w:noProof/>
                <w:kern w:val="2"/>
                <w:sz w:val="22"/>
                <w14:ligatures w14:val="standardContextual"/>
              </w:rPr>
              <w:tab/>
            </w:r>
            <w:r w:rsidRPr="008610D7">
              <w:rPr>
                <w:rStyle w:val="Hyperlink"/>
                <w:noProof/>
              </w:rPr>
              <w:t>Discussion</w:t>
            </w:r>
            <w:r>
              <w:rPr>
                <w:noProof/>
                <w:webHidden/>
              </w:rPr>
              <w:tab/>
            </w:r>
            <w:r>
              <w:rPr>
                <w:noProof/>
                <w:webHidden/>
              </w:rPr>
              <w:fldChar w:fldCharType="begin"/>
            </w:r>
            <w:r>
              <w:rPr>
                <w:noProof/>
                <w:webHidden/>
              </w:rPr>
              <w:instrText xml:space="preserve"> PAGEREF _Toc153298448 \h </w:instrText>
            </w:r>
            <w:r>
              <w:rPr>
                <w:noProof/>
                <w:webHidden/>
              </w:rPr>
            </w:r>
            <w:r>
              <w:rPr>
                <w:noProof/>
                <w:webHidden/>
              </w:rPr>
              <w:fldChar w:fldCharType="separate"/>
            </w:r>
            <w:r>
              <w:rPr>
                <w:noProof/>
                <w:webHidden/>
              </w:rPr>
              <w:t>43</w:t>
            </w:r>
            <w:r>
              <w:rPr>
                <w:noProof/>
                <w:webHidden/>
              </w:rPr>
              <w:fldChar w:fldCharType="end"/>
            </w:r>
          </w:hyperlink>
        </w:p>
        <w:p w:rsidR="00466C42" w:rsidRDefault="00466C42" w14:paraId="2E328A18" w14:textId="5DE6DA6B">
          <w:pPr>
            <w:pStyle w:val="TOC2"/>
            <w:tabs>
              <w:tab w:val="left" w:pos="1123"/>
              <w:tab w:val="right" w:leader="dot" w:pos="9350"/>
            </w:tabs>
            <w:rPr>
              <w:rFonts w:asciiTheme="minorHAnsi" w:hAnsiTheme="minorHAnsi" w:cstheme="minorBidi"/>
              <w:noProof/>
              <w:kern w:val="2"/>
              <w:sz w:val="22"/>
              <w14:ligatures w14:val="standardContextual"/>
            </w:rPr>
          </w:pPr>
          <w:hyperlink w:history="1" w:anchor="_Toc153298449">
            <w:r w:rsidRPr="008610D7">
              <w:rPr>
                <w:rStyle w:val="Hyperlink"/>
                <w:rFonts w:eastAsia="Calibri"/>
                <w:noProof/>
              </w:rPr>
              <w:t>8.3.</w:t>
            </w:r>
            <w:r>
              <w:rPr>
                <w:rFonts w:asciiTheme="minorHAnsi" w:hAnsiTheme="minorHAnsi" w:cstheme="minorBidi"/>
                <w:noProof/>
                <w:kern w:val="2"/>
                <w:sz w:val="22"/>
                <w14:ligatures w14:val="standardContextual"/>
              </w:rPr>
              <w:tab/>
            </w:r>
            <w:r w:rsidRPr="008610D7">
              <w:rPr>
                <w:rStyle w:val="Hyperlink"/>
                <w:noProof/>
              </w:rPr>
              <w:t>CARE Credit increase</w:t>
            </w:r>
            <w:r>
              <w:rPr>
                <w:noProof/>
                <w:webHidden/>
              </w:rPr>
              <w:tab/>
            </w:r>
            <w:r>
              <w:rPr>
                <w:noProof/>
                <w:webHidden/>
              </w:rPr>
              <w:fldChar w:fldCharType="begin"/>
            </w:r>
            <w:r>
              <w:rPr>
                <w:noProof/>
                <w:webHidden/>
              </w:rPr>
              <w:instrText xml:space="preserve"> PAGEREF _Toc153298449 \h </w:instrText>
            </w:r>
            <w:r>
              <w:rPr>
                <w:noProof/>
                <w:webHidden/>
              </w:rPr>
            </w:r>
            <w:r>
              <w:rPr>
                <w:noProof/>
                <w:webHidden/>
              </w:rPr>
              <w:fldChar w:fldCharType="separate"/>
            </w:r>
            <w:r>
              <w:rPr>
                <w:noProof/>
                <w:webHidden/>
              </w:rPr>
              <w:t>43</w:t>
            </w:r>
            <w:r>
              <w:rPr>
                <w:noProof/>
                <w:webHidden/>
              </w:rPr>
              <w:fldChar w:fldCharType="end"/>
            </w:r>
          </w:hyperlink>
        </w:p>
        <w:p w:rsidR="00466C42" w:rsidRDefault="00466C42" w14:paraId="63E8887E" w14:textId="2BC0221F">
          <w:pPr>
            <w:pStyle w:val="TOC1"/>
            <w:tabs>
              <w:tab w:val="right" w:leader="dot" w:pos="9350"/>
            </w:tabs>
            <w:rPr>
              <w:rFonts w:asciiTheme="minorHAnsi" w:hAnsiTheme="minorHAnsi" w:cstheme="minorBidi"/>
              <w:noProof/>
              <w:kern w:val="2"/>
              <w:sz w:val="22"/>
              <w14:ligatures w14:val="standardContextual"/>
            </w:rPr>
          </w:pPr>
          <w:hyperlink w:history="1" w:anchor="_Toc153298450">
            <w:r w:rsidRPr="008610D7">
              <w:rPr>
                <w:rStyle w:val="Hyperlink"/>
                <w:noProof/>
              </w:rPr>
              <w:t>9.</w:t>
            </w:r>
            <w:r>
              <w:rPr>
                <w:rFonts w:asciiTheme="minorHAnsi" w:hAnsiTheme="minorHAnsi" w:cstheme="minorBidi"/>
                <w:noProof/>
                <w:kern w:val="2"/>
                <w:sz w:val="22"/>
                <w14:ligatures w14:val="standardContextual"/>
              </w:rPr>
              <w:tab/>
            </w:r>
            <w:r w:rsidRPr="008610D7">
              <w:rPr>
                <w:rStyle w:val="Hyperlink"/>
                <w:noProof/>
              </w:rPr>
              <w:t>Future GRC Testimony Requirements</w:t>
            </w:r>
            <w:r>
              <w:rPr>
                <w:noProof/>
                <w:webHidden/>
              </w:rPr>
              <w:tab/>
            </w:r>
            <w:r>
              <w:rPr>
                <w:noProof/>
                <w:webHidden/>
              </w:rPr>
              <w:fldChar w:fldCharType="begin"/>
            </w:r>
            <w:r>
              <w:rPr>
                <w:noProof/>
                <w:webHidden/>
              </w:rPr>
              <w:instrText xml:space="preserve"> PAGEREF _Toc153298450 \h </w:instrText>
            </w:r>
            <w:r>
              <w:rPr>
                <w:noProof/>
                <w:webHidden/>
              </w:rPr>
            </w:r>
            <w:r>
              <w:rPr>
                <w:noProof/>
                <w:webHidden/>
              </w:rPr>
              <w:fldChar w:fldCharType="separate"/>
            </w:r>
            <w:r>
              <w:rPr>
                <w:noProof/>
                <w:webHidden/>
              </w:rPr>
              <w:t>44</w:t>
            </w:r>
            <w:r>
              <w:rPr>
                <w:noProof/>
                <w:webHidden/>
              </w:rPr>
              <w:fldChar w:fldCharType="end"/>
            </w:r>
          </w:hyperlink>
        </w:p>
        <w:p w:rsidR="00466C42" w:rsidRDefault="00466C42" w14:paraId="6AC93871" w14:textId="45ED14F3">
          <w:pPr>
            <w:pStyle w:val="TOC1"/>
            <w:tabs>
              <w:tab w:val="right" w:leader="dot" w:pos="9350"/>
            </w:tabs>
            <w:rPr>
              <w:rFonts w:asciiTheme="minorHAnsi" w:hAnsiTheme="minorHAnsi" w:cstheme="minorBidi"/>
              <w:noProof/>
              <w:kern w:val="2"/>
              <w:sz w:val="22"/>
              <w14:ligatures w14:val="standardContextual"/>
            </w:rPr>
          </w:pPr>
          <w:hyperlink w:history="1" w:anchor="_Toc153298451">
            <w:r w:rsidRPr="008610D7">
              <w:rPr>
                <w:rStyle w:val="Hyperlink"/>
                <w:noProof/>
              </w:rPr>
              <w:t>10.</w:t>
            </w:r>
            <w:r>
              <w:rPr>
                <w:rFonts w:asciiTheme="minorHAnsi" w:hAnsiTheme="minorHAnsi" w:cstheme="minorBidi"/>
                <w:noProof/>
                <w:kern w:val="2"/>
                <w:sz w:val="22"/>
                <w14:ligatures w14:val="standardContextual"/>
              </w:rPr>
              <w:tab/>
            </w:r>
            <w:r w:rsidRPr="008610D7">
              <w:rPr>
                <w:rStyle w:val="Hyperlink"/>
                <w:noProof/>
              </w:rPr>
              <w:t>Summary of Public Comment</w:t>
            </w:r>
            <w:r>
              <w:rPr>
                <w:noProof/>
                <w:webHidden/>
              </w:rPr>
              <w:tab/>
            </w:r>
            <w:r>
              <w:rPr>
                <w:noProof/>
                <w:webHidden/>
              </w:rPr>
              <w:fldChar w:fldCharType="begin"/>
            </w:r>
            <w:r>
              <w:rPr>
                <w:noProof/>
                <w:webHidden/>
              </w:rPr>
              <w:instrText xml:space="preserve"> PAGEREF _Toc153298451 \h </w:instrText>
            </w:r>
            <w:r>
              <w:rPr>
                <w:noProof/>
                <w:webHidden/>
              </w:rPr>
            </w:r>
            <w:r>
              <w:rPr>
                <w:noProof/>
                <w:webHidden/>
              </w:rPr>
              <w:fldChar w:fldCharType="separate"/>
            </w:r>
            <w:r>
              <w:rPr>
                <w:noProof/>
                <w:webHidden/>
              </w:rPr>
              <w:t>45</w:t>
            </w:r>
            <w:r>
              <w:rPr>
                <w:noProof/>
                <w:webHidden/>
              </w:rPr>
              <w:fldChar w:fldCharType="end"/>
            </w:r>
          </w:hyperlink>
        </w:p>
        <w:p w:rsidR="00466C42" w:rsidRDefault="00466C42" w14:paraId="44872BC1" w14:textId="285430BC">
          <w:pPr>
            <w:pStyle w:val="TOC1"/>
            <w:tabs>
              <w:tab w:val="right" w:leader="dot" w:pos="9350"/>
            </w:tabs>
            <w:rPr>
              <w:rFonts w:asciiTheme="minorHAnsi" w:hAnsiTheme="minorHAnsi" w:cstheme="minorBidi"/>
              <w:noProof/>
              <w:kern w:val="2"/>
              <w:sz w:val="22"/>
              <w14:ligatures w14:val="standardContextual"/>
            </w:rPr>
          </w:pPr>
          <w:hyperlink w:history="1" w:anchor="_Toc153298452">
            <w:r w:rsidRPr="008610D7">
              <w:rPr>
                <w:rStyle w:val="Hyperlink"/>
                <w:noProof/>
              </w:rPr>
              <w:t>11.</w:t>
            </w:r>
            <w:r>
              <w:rPr>
                <w:rFonts w:asciiTheme="minorHAnsi" w:hAnsiTheme="minorHAnsi" w:cstheme="minorBidi"/>
                <w:noProof/>
                <w:kern w:val="2"/>
                <w:sz w:val="22"/>
                <w14:ligatures w14:val="standardContextual"/>
              </w:rPr>
              <w:tab/>
            </w:r>
            <w:r w:rsidRPr="008610D7">
              <w:rPr>
                <w:rStyle w:val="Hyperlink"/>
                <w:noProof/>
              </w:rPr>
              <w:t>Conclusion</w:t>
            </w:r>
            <w:r>
              <w:rPr>
                <w:noProof/>
                <w:webHidden/>
              </w:rPr>
              <w:tab/>
            </w:r>
            <w:r>
              <w:rPr>
                <w:noProof/>
                <w:webHidden/>
              </w:rPr>
              <w:fldChar w:fldCharType="begin"/>
            </w:r>
            <w:r>
              <w:rPr>
                <w:noProof/>
                <w:webHidden/>
              </w:rPr>
              <w:instrText xml:space="preserve"> PAGEREF _Toc153298452 \h </w:instrText>
            </w:r>
            <w:r>
              <w:rPr>
                <w:noProof/>
                <w:webHidden/>
              </w:rPr>
            </w:r>
            <w:r>
              <w:rPr>
                <w:noProof/>
                <w:webHidden/>
              </w:rPr>
              <w:fldChar w:fldCharType="separate"/>
            </w:r>
            <w:r>
              <w:rPr>
                <w:noProof/>
                <w:webHidden/>
              </w:rPr>
              <w:t>45</w:t>
            </w:r>
            <w:r>
              <w:rPr>
                <w:noProof/>
                <w:webHidden/>
              </w:rPr>
              <w:fldChar w:fldCharType="end"/>
            </w:r>
          </w:hyperlink>
        </w:p>
        <w:p w:rsidR="00466C42" w:rsidRDefault="00466C42" w14:paraId="10A669C0" w14:textId="494BAFDD">
          <w:pPr>
            <w:pStyle w:val="TOC1"/>
            <w:tabs>
              <w:tab w:val="right" w:leader="dot" w:pos="9350"/>
            </w:tabs>
            <w:rPr>
              <w:rFonts w:asciiTheme="minorHAnsi" w:hAnsiTheme="minorHAnsi" w:cstheme="minorBidi"/>
              <w:noProof/>
              <w:kern w:val="2"/>
              <w:sz w:val="22"/>
              <w14:ligatures w14:val="standardContextual"/>
            </w:rPr>
          </w:pPr>
          <w:hyperlink w:history="1" w:anchor="_Toc153298453">
            <w:r w:rsidRPr="008610D7">
              <w:rPr>
                <w:rStyle w:val="Hyperlink"/>
                <w:noProof/>
              </w:rPr>
              <w:t>12.</w:t>
            </w:r>
            <w:r>
              <w:rPr>
                <w:rFonts w:asciiTheme="minorHAnsi" w:hAnsiTheme="minorHAnsi" w:cstheme="minorBidi"/>
                <w:noProof/>
                <w:kern w:val="2"/>
                <w:sz w:val="22"/>
                <w14:ligatures w14:val="standardContextual"/>
              </w:rPr>
              <w:tab/>
            </w:r>
            <w:r w:rsidRPr="008610D7">
              <w:rPr>
                <w:rStyle w:val="Hyperlink"/>
                <w:noProof/>
              </w:rPr>
              <w:t>Comments on Proposed Decision</w:t>
            </w:r>
            <w:r>
              <w:rPr>
                <w:noProof/>
                <w:webHidden/>
              </w:rPr>
              <w:tab/>
            </w:r>
            <w:r>
              <w:rPr>
                <w:noProof/>
                <w:webHidden/>
              </w:rPr>
              <w:fldChar w:fldCharType="begin"/>
            </w:r>
            <w:r>
              <w:rPr>
                <w:noProof/>
                <w:webHidden/>
              </w:rPr>
              <w:instrText xml:space="preserve"> PAGEREF _Toc153298453 \h </w:instrText>
            </w:r>
            <w:r>
              <w:rPr>
                <w:noProof/>
                <w:webHidden/>
              </w:rPr>
            </w:r>
            <w:r>
              <w:rPr>
                <w:noProof/>
                <w:webHidden/>
              </w:rPr>
              <w:fldChar w:fldCharType="separate"/>
            </w:r>
            <w:r>
              <w:rPr>
                <w:noProof/>
                <w:webHidden/>
              </w:rPr>
              <w:t>47</w:t>
            </w:r>
            <w:r>
              <w:rPr>
                <w:noProof/>
                <w:webHidden/>
              </w:rPr>
              <w:fldChar w:fldCharType="end"/>
            </w:r>
          </w:hyperlink>
        </w:p>
        <w:p w:rsidR="00466C42" w:rsidRDefault="00466C42" w14:paraId="5B33AE09" w14:textId="44899089">
          <w:pPr>
            <w:pStyle w:val="TOC1"/>
            <w:tabs>
              <w:tab w:val="right" w:leader="dot" w:pos="9350"/>
            </w:tabs>
            <w:rPr>
              <w:rFonts w:asciiTheme="minorHAnsi" w:hAnsiTheme="minorHAnsi" w:cstheme="minorBidi"/>
              <w:noProof/>
              <w:kern w:val="2"/>
              <w:sz w:val="22"/>
              <w14:ligatures w14:val="standardContextual"/>
            </w:rPr>
          </w:pPr>
          <w:hyperlink w:history="1" w:anchor="_Toc153298454">
            <w:r w:rsidRPr="008610D7">
              <w:rPr>
                <w:rStyle w:val="Hyperlink"/>
                <w:noProof/>
              </w:rPr>
              <w:t>13.</w:t>
            </w:r>
            <w:r>
              <w:rPr>
                <w:rFonts w:asciiTheme="minorHAnsi" w:hAnsiTheme="minorHAnsi" w:cstheme="minorBidi"/>
                <w:noProof/>
                <w:kern w:val="2"/>
                <w:sz w:val="22"/>
                <w14:ligatures w14:val="standardContextual"/>
              </w:rPr>
              <w:tab/>
            </w:r>
            <w:r w:rsidRPr="008610D7">
              <w:rPr>
                <w:rStyle w:val="Hyperlink"/>
                <w:noProof/>
              </w:rPr>
              <w:t>Assignment of Proceeding</w:t>
            </w:r>
            <w:r>
              <w:rPr>
                <w:noProof/>
                <w:webHidden/>
              </w:rPr>
              <w:tab/>
            </w:r>
            <w:r>
              <w:rPr>
                <w:noProof/>
                <w:webHidden/>
              </w:rPr>
              <w:fldChar w:fldCharType="begin"/>
            </w:r>
            <w:r>
              <w:rPr>
                <w:noProof/>
                <w:webHidden/>
              </w:rPr>
              <w:instrText xml:space="preserve"> PAGEREF _Toc153298454 \h </w:instrText>
            </w:r>
            <w:r>
              <w:rPr>
                <w:noProof/>
                <w:webHidden/>
              </w:rPr>
            </w:r>
            <w:r>
              <w:rPr>
                <w:noProof/>
                <w:webHidden/>
              </w:rPr>
              <w:fldChar w:fldCharType="separate"/>
            </w:r>
            <w:r>
              <w:rPr>
                <w:noProof/>
                <w:webHidden/>
              </w:rPr>
              <w:t>48</w:t>
            </w:r>
            <w:r>
              <w:rPr>
                <w:noProof/>
                <w:webHidden/>
              </w:rPr>
              <w:fldChar w:fldCharType="end"/>
            </w:r>
          </w:hyperlink>
        </w:p>
        <w:p w:rsidR="00466C42" w:rsidRDefault="00466C42" w14:paraId="68A86D74" w14:textId="5E000D0A">
          <w:pPr>
            <w:pStyle w:val="TOC1"/>
            <w:tabs>
              <w:tab w:val="right" w:leader="dot" w:pos="9350"/>
            </w:tabs>
            <w:rPr>
              <w:rFonts w:asciiTheme="minorHAnsi" w:hAnsiTheme="minorHAnsi" w:cstheme="minorBidi"/>
              <w:noProof/>
              <w:kern w:val="2"/>
              <w:sz w:val="22"/>
              <w14:ligatures w14:val="standardContextual"/>
            </w:rPr>
          </w:pPr>
          <w:hyperlink w:history="1" w:anchor="_Toc153298455">
            <w:r w:rsidRPr="008610D7">
              <w:rPr>
                <w:rStyle w:val="Hyperlink"/>
                <w:noProof/>
              </w:rPr>
              <w:t>Findings of Fact</w:t>
            </w:r>
            <w:r>
              <w:rPr>
                <w:noProof/>
                <w:webHidden/>
              </w:rPr>
              <w:tab/>
            </w:r>
            <w:r>
              <w:rPr>
                <w:noProof/>
                <w:webHidden/>
              </w:rPr>
              <w:fldChar w:fldCharType="begin"/>
            </w:r>
            <w:r>
              <w:rPr>
                <w:noProof/>
                <w:webHidden/>
              </w:rPr>
              <w:instrText xml:space="preserve"> PAGEREF _Toc153298455 \h </w:instrText>
            </w:r>
            <w:r>
              <w:rPr>
                <w:noProof/>
                <w:webHidden/>
              </w:rPr>
            </w:r>
            <w:r>
              <w:rPr>
                <w:noProof/>
                <w:webHidden/>
              </w:rPr>
              <w:fldChar w:fldCharType="separate"/>
            </w:r>
            <w:r>
              <w:rPr>
                <w:noProof/>
                <w:webHidden/>
              </w:rPr>
              <w:t>48</w:t>
            </w:r>
            <w:r>
              <w:rPr>
                <w:noProof/>
                <w:webHidden/>
              </w:rPr>
              <w:fldChar w:fldCharType="end"/>
            </w:r>
          </w:hyperlink>
        </w:p>
        <w:p w:rsidR="00466C42" w:rsidRDefault="00466C42" w14:paraId="207BE158" w14:textId="4DF5E8B4">
          <w:pPr>
            <w:pStyle w:val="TOC1"/>
            <w:tabs>
              <w:tab w:val="right" w:leader="dot" w:pos="9350"/>
            </w:tabs>
            <w:rPr>
              <w:rFonts w:asciiTheme="minorHAnsi" w:hAnsiTheme="minorHAnsi" w:cstheme="minorBidi"/>
              <w:noProof/>
              <w:kern w:val="2"/>
              <w:sz w:val="22"/>
              <w14:ligatures w14:val="standardContextual"/>
            </w:rPr>
          </w:pPr>
          <w:hyperlink w:history="1" w:anchor="_Toc153298456">
            <w:r w:rsidRPr="008610D7">
              <w:rPr>
                <w:rStyle w:val="Hyperlink"/>
                <w:noProof/>
              </w:rPr>
              <w:t>Conclusions</w:t>
            </w:r>
            <w:r w:rsidRPr="008610D7">
              <w:rPr>
                <w:rStyle w:val="Hyperlink"/>
                <w:noProof/>
                <w:spacing w:val="-10"/>
              </w:rPr>
              <w:t xml:space="preserve"> </w:t>
            </w:r>
            <w:r w:rsidRPr="008610D7">
              <w:rPr>
                <w:rStyle w:val="Hyperlink"/>
                <w:noProof/>
              </w:rPr>
              <w:t>of</w:t>
            </w:r>
            <w:r w:rsidRPr="008610D7">
              <w:rPr>
                <w:rStyle w:val="Hyperlink"/>
                <w:noProof/>
                <w:spacing w:val="-8"/>
              </w:rPr>
              <w:t xml:space="preserve"> </w:t>
            </w:r>
            <w:r w:rsidRPr="008610D7">
              <w:rPr>
                <w:rStyle w:val="Hyperlink"/>
                <w:noProof/>
                <w:spacing w:val="-5"/>
              </w:rPr>
              <w:t>Law</w:t>
            </w:r>
            <w:r>
              <w:rPr>
                <w:noProof/>
                <w:webHidden/>
              </w:rPr>
              <w:tab/>
            </w:r>
            <w:r>
              <w:rPr>
                <w:noProof/>
                <w:webHidden/>
              </w:rPr>
              <w:fldChar w:fldCharType="begin"/>
            </w:r>
            <w:r>
              <w:rPr>
                <w:noProof/>
                <w:webHidden/>
              </w:rPr>
              <w:instrText xml:space="preserve"> PAGEREF _Toc153298456 \h </w:instrText>
            </w:r>
            <w:r>
              <w:rPr>
                <w:noProof/>
                <w:webHidden/>
              </w:rPr>
            </w:r>
            <w:r>
              <w:rPr>
                <w:noProof/>
                <w:webHidden/>
              </w:rPr>
              <w:fldChar w:fldCharType="separate"/>
            </w:r>
            <w:r>
              <w:rPr>
                <w:noProof/>
                <w:webHidden/>
              </w:rPr>
              <w:t>54</w:t>
            </w:r>
            <w:r>
              <w:rPr>
                <w:noProof/>
                <w:webHidden/>
              </w:rPr>
              <w:fldChar w:fldCharType="end"/>
            </w:r>
          </w:hyperlink>
        </w:p>
        <w:p w:rsidR="00466C42" w:rsidRDefault="00466C42" w14:paraId="4B80BD84" w14:textId="102DC54D">
          <w:pPr>
            <w:pStyle w:val="TOC1"/>
            <w:tabs>
              <w:tab w:val="right" w:leader="dot" w:pos="9350"/>
            </w:tabs>
            <w:rPr>
              <w:rFonts w:asciiTheme="minorHAnsi" w:hAnsiTheme="minorHAnsi" w:cstheme="minorBidi"/>
              <w:noProof/>
              <w:kern w:val="2"/>
              <w:sz w:val="22"/>
              <w14:ligatures w14:val="standardContextual"/>
            </w:rPr>
          </w:pPr>
          <w:hyperlink w:history="1" w:anchor="_Toc153298457">
            <w:r w:rsidRPr="008610D7">
              <w:rPr>
                <w:rStyle w:val="Hyperlink"/>
                <w:noProof/>
              </w:rPr>
              <w:t>ORDER</w:t>
            </w:r>
            <w:r>
              <w:rPr>
                <w:noProof/>
                <w:webHidden/>
              </w:rPr>
              <w:tab/>
            </w:r>
            <w:r>
              <w:rPr>
                <w:noProof/>
                <w:webHidden/>
              </w:rPr>
              <w:fldChar w:fldCharType="begin"/>
            </w:r>
            <w:r>
              <w:rPr>
                <w:noProof/>
                <w:webHidden/>
              </w:rPr>
              <w:instrText xml:space="preserve"> PAGEREF _Toc153298457 \h </w:instrText>
            </w:r>
            <w:r>
              <w:rPr>
                <w:noProof/>
                <w:webHidden/>
              </w:rPr>
            </w:r>
            <w:r>
              <w:rPr>
                <w:noProof/>
                <w:webHidden/>
              </w:rPr>
              <w:fldChar w:fldCharType="separate"/>
            </w:r>
            <w:r>
              <w:rPr>
                <w:noProof/>
                <w:webHidden/>
              </w:rPr>
              <w:t>58</w:t>
            </w:r>
            <w:r>
              <w:rPr>
                <w:noProof/>
                <w:webHidden/>
              </w:rPr>
              <w:fldChar w:fldCharType="end"/>
            </w:r>
          </w:hyperlink>
        </w:p>
        <w:p w:rsidR="2554E4E4" w:rsidP="2554E4E4" w:rsidRDefault="2554E4E4" w14:paraId="0249DA75" w14:textId="24F354E9">
          <w:pPr>
            <w:pStyle w:val="TOC1"/>
            <w:tabs>
              <w:tab w:val="right" w:leader="dot" w:pos="9360"/>
            </w:tabs>
            <w:rPr>
              <w:rStyle w:val="Hyperlink"/>
            </w:rPr>
          </w:pPr>
          <w:r>
            <w:fldChar w:fldCharType="end"/>
          </w:r>
        </w:p>
      </w:sdtContent>
    </w:sdt>
    <w:p w:rsidR="00D44DB6" w:rsidP="00D44DB6" w:rsidRDefault="00D44DB6" w14:paraId="4664D468" w14:textId="77777777">
      <w:pPr>
        <w:spacing w:line="240" w:lineRule="auto"/>
        <w:ind w:firstLine="0"/>
        <w:rPr>
          <w:rFonts w:cs="Arial"/>
          <w:szCs w:val="26"/>
        </w:rPr>
      </w:pPr>
    </w:p>
    <w:p w:rsidRPr="00DD07FA" w:rsidR="00D44DB6" w:rsidP="00D44DB6" w:rsidRDefault="00D44DB6" w14:paraId="253568AF" w14:textId="7E40B484">
      <w:pPr>
        <w:spacing w:line="240" w:lineRule="auto"/>
        <w:ind w:firstLine="0"/>
        <w:rPr>
          <w:rFonts w:cs="Arial"/>
          <w:iCs/>
          <w:szCs w:val="26"/>
        </w:rPr>
        <w:sectPr w:rsidRPr="00DD07FA" w:rsidR="00D44DB6" w:rsidSect="00D44DB6">
          <w:headerReference w:type="default" r:id="rId10"/>
          <w:footerReference w:type="default" r:id="rId11"/>
          <w:pgSz w:w="12240" w:h="15840"/>
          <w:pgMar w:top="1728" w:right="1440" w:bottom="1440" w:left="1440" w:header="720" w:footer="720" w:gutter="0"/>
          <w:pgNumType w:fmt="lowerRoman" w:start="1"/>
          <w:cols w:space="720"/>
          <w:docGrid w:linePitch="360"/>
        </w:sectPr>
      </w:pPr>
    </w:p>
    <w:p w:rsidR="005C0A91" w:rsidP="00964257" w:rsidRDefault="009D0710" w14:paraId="4CCBB5F6" w14:textId="33BBE05F">
      <w:pPr>
        <w:pStyle w:val="Main"/>
        <w:keepNext/>
        <w:spacing w:after="240"/>
      </w:pPr>
      <w:bookmarkStart w:name="_Toc8123714" w:id="4"/>
      <w:r>
        <w:t>DECISION ON TEST YEAR 2023 GENERAL RATE CASE</w:t>
      </w:r>
      <w:r w:rsidR="006A1B03">
        <w:t xml:space="preserve"> </w:t>
      </w:r>
      <w:r>
        <w:t>FOR</w:t>
      </w:r>
      <w:r w:rsidR="006A1B03">
        <w:br/>
      </w:r>
      <w:r>
        <w:t>PACIFICORP D/B/A Pacific Power</w:t>
      </w:r>
    </w:p>
    <w:p w:rsidR="005A148C" w:rsidP="00964257" w:rsidRDefault="005A148C" w14:paraId="7DA153AC" w14:textId="3E1075A9">
      <w:pPr>
        <w:pStyle w:val="Dummy"/>
        <w:keepLines w:val="0"/>
      </w:pPr>
      <w:bookmarkStart w:name="_Toc153298413" w:id="5"/>
      <w:r>
        <w:t>Summary</w:t>
      </w:r>
      <w:bookmarkEnd w:id="4"/>
      <w:bookmarkEnd w:id="5"/>
    </w:p>
    <w:p w:rsidR="00DE7AF5" w:rsidP="00440589" w:rsidRDefault="005A148C" w14:paraId="07E2EE66" w14:textId="2E045BB6">
      <w:pPr>
        <w:pStyle w:val="Standard"/>
      </w:pPr>
      <w:r>
        <w:t>Th</w:t>
      </w:r>
      <w:r w:rsidR="00440589">
        <w:t xml:space="preserve">is decision approves a </w:t>
      </w:r>
      <w:r w:rsidR="00C82EF6">
        <w:t xml:space="preserve">base </w:t>
      </w:r>
      <w:r w:rsidR="00440589">
        <w:t>revenue requirement of $</w:t>
      </w:r>
      <w:r w:rsidR="00DE7AF5">
        <w:t>101,288,005</w:t>
      </w:r>
      <w:r w:rsidR="00730ADE">
        <w:t> </w:t>
      </w:r>
      <w:r w:rsidR="00DE7AF5">
        <w:t xml:space="preserve">which is an increase of $18.989 million </w:t>
      </w:r>
      <w:r w:rsidR="00440589">
        <w:t xml:space="preserve">for PacifiCorp </w:t>
      </w:r>
      <w:r w:rsidR="00F22BAD">
        <w:t>(doing business as</w:t>
      </w:r>
      <w:r w:rsidR="00440589">
        <w:t xml:space="preserve"> Pacific Power</w:t>
      </w:r>
      <w:r w:rsidR="001A13AF">
        <w:t xml:space="preserve">) pursuant to its </w:t>
      </w:r>
      <w:r w:rsidR="004325F4">
        <w:t xml:space="preserve">Test Year </w:t>
      </w:r>
      <w:r w:rsidR="00F32B24">
        <w:t>(TY) </w:t>
      </w:r>
      <w:r w:rsidR="001A13AF">
        <w:t xml:space="preserve">2023 General Rate Case </w:t>
      </w:r>
      <w:r w:rsidR="00A443E6">
        <w:t>a</w:t>
      </w:r>
      <w:r w:rsidR="001A13AF">
        <w:t xml:space="preserve">pplication. </w:t>
      </w:r>
      <w:r w:rsidR="00842579">
        <w:t>Much of</w:t>
      </w:r>
      <w:r w:rsidR="00DE7AF5">
        <w:t xml:space="preserve"> the rate increase is associated with requested funding for PacifiCorp’s vegetation management program and its wildfire mitigation plans for the TY 2023 GRC term. </w:t>
      </w:r>
      <w:r w:rsidR="001A13AF">
        <w:t xml:space="preserve">The approved revenue requirement </w:t>
      </w:r>
      <w:r w:rsidR="00F5249E">
        <w:t xml:space="preserve">increase is </w:t>
      </w:r>
      <w:r w:rsidR="00F22BAD">
        <w:t xml:space="preserve">approximately </w:t>
      </w:r>
      <w:r w:rsidR="00DE7AF5">
        <w:t xml:space="preserve">31.9 percent </w:t>
      </w:r>
      <w:r w:rsidR="00F22BAD">
        <w:t>lower</w:t>
      </w:r>
      <w:r w:rsidR="00F5249E">
        <w:t xml:space="preserve"> than the </w:t>
      </w:r>
      <w:r w:rsidR="00DE7AF5">
        <w:t xml:space="preserve">$27.9 million </w:t>
      </w:r>
      <w:r w:rsidR="00F5249E">
        <w:t xml:space="preserve">increase PacifiCorp </w:t>
      </w:r>
      <w:r w:rsidR="00DE7AF5">
        <w:t xml:space="preserve">originally </w:t>
      </w:r>
      <w:r w:rsidR="00F5249E">
        <w:t>requested</w:t>
      </w:r>
      <w:r w:rsidR="00F22BAD">
        <w:t xml:space="preserve"> in Application 22-05-006</w:t>
      </w:r>
      <w:r w:rsidR="00440868">
        <w:t xml:space="preserve">. </w:t>
      </w:r>
      <w:r w:rsidR="00F5249E">
        <w:t xml:space="preserve">The </w:t>
      </w:r>
      <w:r w:rsidR="00C82EF6">
        <w:t>total TY</w:t>
      </w:r>
      <w:r w:rsidR="00F32B24">
        <w:t> </w:t>
      </w:r>
      <w:r w:rsidR="00C82EF6">
        <w:t xml:space="preserve">2023 base </w:t>
      </w:r>
      <w:r w:rsidR="00F5249E">
        <w:t>revenue requirement</w:t>
      </w:r>
      <w:r w:rsidR="00C82EF6">
        <w:t xml:space="preserve"> </w:t>
      </w:r>
      <w:r w:rsidR="00F5249E">
        <w:t xml:space="preserve">adopted herein will increase PacifiCorp customers’ rates by approximately </w:t>
      </w:r>
      <w:r w:rsidR="00DE7AF5">
        <w:t>17.5 </w:t>
      </w:r>
      <w:r w:rsidR="00730ADE">
        <w:t>percent</w:t>
      </w:r>
      <w:r w:rsidR="00ED74BF">
        <w:t xml:space="preserve"> on average</w:t>
      </w:r>
      <w:r w:rsidR="00F5249E">
        <w:t>,</w:t>
      </w:r>
      <w:r w:rsidR="00F22BAD">
        <w:t xml:space="preserve"> which is</w:t>
      </w:r>
      <w:r w:rsidR="00F5249E">
        <w:t xml:space="preserve"> lower than the 25.7</w:t>
      </w:r>
      <w:r w:rsidR="00730ADE">
        <w:t> percent</w:t>
      </w:r>
      <w:r w:rsidR="00F5249E">
        <w:t xml:space="preserve"> increase </w:t>
      </w:r>
      <w:r w:rsidR="00B16C48">
        <w:t xml:space="preserve">initially </w:t>
      </w:r>
      <w:r w:rsidR="00F5249E">
        <w:t xml:space="preserve">requested by the utility. </w:t>
      </w:r>
      <w:r w:rsidR="009D0710">
        <w:t xml:space="preserve">The reduction is associated with </w:t>
      </w:r>
      <w:r w:rsidR="00D232C1">
        <w:t xml:space="preserve">the amortization of deferred unrecovered </w:t>
      </w:r>
      <w:r w:rsidR="00F806D8">
        <w:t xml:space="preserve">memorandum account </w:t>
      </w:r>
      <w:r w:rsidR="00D232C1">
        <w:t xml:space="preserve">balances; the denial of the capital amount requested for a facility that will not be fully online </w:t>
      </w:r>
      <w:r w:rsidR="00F806D8">
        <w:t>during the majority of</w:t>
      </w:r>
      <w:r w:rsidR="00D232C1">
        <w:t xml:space="preserve"> TY; </w:t>
      </w:r>
      <w:r w:rsidR="005A045D">
        <w:t xml:space="preserve">the denial of PacifiCorp’s requested increase to its return on equity, </w:t>
      </w:r>
      <w:r w:rsidR="00097A6D">
        <w:t>and</w:t>
      </w:r>
      <w:r w:rsidR="00DE7AF5">
        <w:t xml:space="preserve"> the denial of certain requested operations and maintenance expenses. </w:t>
      </w:r>
    </w:p>
    <w:p w:rsidR="00B16C48" w:rsidP="00440589" w:rsidRDefault="00B16C48" w14:paraId="606AC0A4" w14:textId="77D9BE44">
      <w:pPr>
        <w:pStyle w:val="Standard"/>
      </w:pPr>
      <w:r>
        <w:t xml:space="preserve">This decision directs PacifiCorp to delay recovery of costs associated with its Foote Creek II-IV Project </w:t>
      </w:r>
      <w:r w:rsidR="000A588E">
        <w:t>because the</w:t>
      </w:r>
      <w:r>
        <w:t xml:space="preserve"> upgraded facilities </w:t>
      </w:r>
      <w:r w:rsidR="000A588E">
        <w:t xml:space="preserve">were not </w:t>
      </w:r>
      <w:r>
        <w:t xml:space="preserve">operational </w:t>
      </w:r>
      <w:r w:rsidR="000A588E">
        <w:t xml:space="preserve">until November 21, 2023, </w:t>
      </w:r>
      <w:r>
        <w:t xml:space="preserve">and requires PacifiCorp to recover the amortization expenses associated with its Cholla Unit 4 over </w:t>
      </w:r>
      <w:r w:rsidR="000A588E">
        <w:t xml:space="preserve">six </w:t>
      </w:r>
      <w:r>
        <w:t>years.</w:t>
      </w:r>
    </w:p>
    <w:p w:rsidR="00527253" w:rsidP="00440589" w:rsidRDefault="005C3416" w14:paraId="34D91140" w14:textId="2FD567F9">
      <w:pPr>
        <w:pStyle w:val="Standard"/>
      </w:pPr>
      <w:r>
        <w:t xml:space="preserve">This decision also approves PacifiCorp’s proposal to increase its </w:t>
      </w:r>
      <w:r w:rsidR="00F22BAD">
        <w:t>California Alternat</w:t>
      </w:r>
      <w:r w:rsidR="00F71C4E">
        <w:t>e</w:t>
      </w:r>
      <w:r w:rsidR="00F22BAD">
        <w:t xml:space="preserve"> Rates for Energy </w:t>
      </w:r>
      <w:r>
        <w:t>discount from 20</w:t>
      </w:r>
      <w:r w:rsidR="00730ADE">
        <w:t> percent</w:t>
      </w:r>
      <w:r>
        <w:t xml:space="preserve"> to </w:t>
      </w:r>
      <w:r w:rsidR="0038218B">
        <w:t>25 percent and</w:t>
      </w:r>
      <w:r w:rsidR="009418CD">
        <w:t xml:space="preserve"> </w:t>
      </w:r>
      <w:r w:rsidR="00F22BAD">
        <w:t>approves mandatory time-of-use energy pricing for larger general service use customers</w:t>
      </w:r>
      <w:r w:rsidR="001F5952">
        <w:t>.</w:t>
      </w:r>
    </w:p>
    <w:p w:rsidR="005C3416" w:rsidP="00440589" w:rsidRDefault="005C3416" w14:paraId="1050862B" w14:textId="63A16A75">
      <w:pPr>
        <w:pStyle w:val="Standard"/>
      </w:pPr>
      <w:r>
        <w:t xml:space="preserve">Issues related to PacifiCorp’s wildfire mitigation memorandum accounts and </w:t>
      </w:r>
      <w:r w:rsidR="00607D51">
        <w:t>the accounts’</w:t>
      </w:r>
      <w:r w:rsidR="00817244">
        <w:t xml:space="preserve"> deferred </w:t>
      </w:r>
      <w:r>
        <w:t>expenditures will be addressed in Track 2 of this proceeding. Application 22-05-006 remains open to address these unresolved issues.</w:t>
      </w:r>
    </w:p>
    <w:p w:rsidRPr="00121089" w:rsidR="005A148C" w:rsidP="002D228B" w:rsidRDefault="002C7FE9" w14:paraId="2C4EC001" w14:textId="77777777">
      <w:pPr>
        <w:pStyle w:val="Heading1"/>
        <w:numPr>
          <w:ilvl w:val="0"/>
          <w:numId w:val="3"/>
        </w:numPr>
      </w:pPr>
      <w:bookmarkStart w:name="_Toc8123715" w:id="6"/>
      <w:bookmarkStart w:name="_Toc153298414" w:id="7"/>
      <w:r>
        <w:t>Background</w:t>
      </w:r>
      <w:bookmarkEnd w:id="6"/>
      <w:bookmarkEnd w:id="7"/>
    </w:p>
    <w:p w:rsidR="00DE103D" w:rsidP="009F041C" w:rsidRDefault="00DE103D" w14:paraId="299758D1" w14:textId="3D0E6834">
      <w:pPr>
        <w:pStyle w:val="Standard"/>
      </w:pPr>
      <w:bookmarkStart w:name="_Hlk146183972" w:id="8"/>
      <w:r>
        <w:t>PacifiCorp</w:t>
      </w:r>
      <w:r w:rsidR="0038218B">
        <w:t xml:space="preserve">, doing business as </w:t>
      </w:r>
      <w:r>
        <w:t>Pacific Power (PacifiCorp)</w:t>
      </w:r>
      <w:r w:rsidR="0038218B">
        <w:t>,</w:t>
      </w:r>
      <w:r>
        <w:t xml:space="preserve"> is a multi-jurisdictional utility providing retail electric service to customers in California, Idaho, Oregon, Utah, Washington, and Wyoming</w:t>
      </w:r>
      <w:r w:rsidR="0038158D">
        <w:t>. PacifiCorp serves approximately 47,800 customers in California, across more than 11,000 square miles in portions of Del Norte, Modoc, Shasta, and Siskiyou counties.</w:t>
      </w:r>
      <w:r w:rsidR="0038158D">
        <w:rPr>
          <w:rStyle w:val="FootnoteReference"/>
        </w:rPr>
        <w:footnoteReference w:id="2"/>
      </w:r>
    </w:p>
    <w:p w:rsidR="006306FD" w:rsidP="009F041C" w:rsidRDefault="006306FD" w14:paraId="71003810" w14:textId="4E628942">
      <w:pPr>
        <w:pStyle w:val="Standard"/>
      </w:pPr>
      <w:r w:rsidRPr="006306FD">
        <w:t>Through a series of decisions</w:t>
      </w:r>
      <w:r>
        <w:t xml:space="preserve"> issued between </w:t>
      </w:r>
      <w:r w:rsidRPr="006306FD">
        <w:t>2014</w:t>
      </w:r>
      <w:r>
        <w:t xml:space="preserve"> and </w:t>
      </w:r>
      <w:r w:rsidRPr="006306FD">
        <w:t xml:space="preserve">2018, the </w:t>
      </w:r>
      <w:r w:rsidR="00FB4CF9">
        <w:t xml:space="preserve">California Public Utilities </w:t>
      </w:r>
      <w:r w:rsidRPr="006306FD">
        <w:t>C</w:t>
      </w:r>
      <w:r>
        <w:t xml:space="preserve">ommission </w:t>
      </w:r>
      <w:r w:rsidR="00FB4CF9">
        <w:t xml:space="preserve">(Commission) </w:t>
      </w:r>
      <w:r w:rsidRPr="006306FD">
        <w:t xml:space="preserve">granted </w:t>
      </w:r>
      <w:r>
        <w:t xml:space="preserve">several requests from </w:t>
      </w:r>
      <w:r w:rsidRPr="006306FD">
        <w:t xml:space="preserve">PacifiCorp to file Post Test Year </w:t>
      </w:r>
      <w:r w:rsidR="00F32B24">
        <w:t xml:space="preserve">(TY) </w:t>
      </w:r>
      <w:r w:rsidRPr="006306FD">
        <w:t>Adjustment Mechanism Increases and delay</w:t>
      </w:r>
      <w:r>
        <w:t xml:space="preserve"> General Rate Case (GRC)</w:t>
      </w:r>
      <w:r w:rsidRPr="006306FD">
        <w:t xml:space="preserve"> application filings.</w:t>
      </w:r>
      <w:r>
        <w:rPr>
          <w:rStyle w:val="FootnoteReference"/>
        </w:rPr>
        <w:footnoteReference w:id="3"/>
      </w:r>
      <w:r w:rsidRPr="006306FD">
        <w:t xml:space="preserve"> On January 14, 2021, the Commission adopted </w:t>
      </w:r>
      <w:r w:rsidR="00FB4CF9">
        <w:t>Decision (</w:t>
      </w:r>
      <w:r w:rsidRPr="006306FD">
        <w:t>D.</w:t>
      </w:r>
      <w:r w:rsidR="00FB4CF9">
        <w:t>) </w:t>
      </w:r>
      <w:r w:rsidRPr="006306FD">
        <w:t>21</w:t>
      </w:r>
      <w:r w:rsidR="00FB4CF9">
        <w:noBreakHyphen/>
      </w:r>
      <w:r w:rsidRPr="006306FD">
        <w:t>01</w:t>
      </w:r>
      <w:r w:rsidR="00FB4CF9">
        <w:noBreakHyphen/>
      </w:r>
      <w:r w:rsidRPr="006306FD">
        <w:t>006 granting PacifiCorp’s petition to modify D.20-02-025 to extend PacifiCorp’s GRC filing by one year from T</w:t>
      </w:r>
      <w:r w:rsidR="00F32B24">
        <w:t>Y </w:t>
      </w:r>
      <w:r w:rsidRPr="006306FD">
        <w:t>2022 to TY</w:t>
      </w:r>
      <w:r w:rsidR="00F32B24">
        <w:t> </w:t>
      </w:r>
      <w:r w:rsidRPr="006306FD">
        <w:t>2023.</w:t>
      </w:r>
    </w:p>
    <w:p w:rsidR="009F041C" w:rsidP="009F041C" w:rsidRDefault="009F041C" w14:paraId="4E119B6A" w14:textId="08EFE796">
      <w:pPr>
        <w:pStyle w:val="Standard"/>
      </w:pPr>
      <w:r>
        <w:t>On May 5, 2022, PacifiCorp filed its GRC Application (A.)</w:t>
      </w:r>
      <w:r w:rsidR="00A934CD">
        <w:t> </w:t>
      </w:r>
      <w:r>
        <w:t>22</w:t>
      </w:r>
      <w:r>
        <w:noBreakHyphen/>
        <w:t>05</w:t>
      </w:r>
      <w:r>
        <w:noBreakHyphen/>
        <w:t>006 requesting authority to increase its rates for electric service effective January 1, 2023</w:t>
      </w:r>
      <w:r w:rsidR="00730ADE">
        <w:t xml:space="preserve">. </w:t>
      </w:r>
      <w:r>
        <w:t>PacifiCorp filed an amended application on May 13, 2022, with a revised list of testimony and appendices. PacifiCorp request</w:t>
      </w:r>
      <w:r w:rsidR="00527253">
        <w:t>ed</w:t>
      </w:r>
      <w:r>
        <w:t xml:space="preserve"> a </w:t>
      </w:r>
      <w:r w:rsidR="00F32B24">
        <w:t>TY </w:t>
      </w:r>
      <w:r>
        <w:t>2023 base revenue requirement of $110.25</w:t>
      </w:r>
      <w:r w:rsidR="00730ADE">
        <w:t xml:space="preserve"> million. </w:t>
      </w:r>
      <w:r>
        <w:t xml:space="preserve">This </w:t>
      </w:r>
      <w:r w:rsidR="00E15A00">
        <w:t>represents</w:t>
      </w:r>
      <w:r>
        <w:t xml:space="preserve"> a 34</w:t>
      </w:r>
      <w:r w:rsidR="00730ADE">
        <w:t> percent</w:t>
      </w:r>
      <w:r>
        <w:t xml:space="preserve"> increase over its 2022 present base revenue requirement of $82.3</w:t>
      </w:r>
      <w:r w:rsidR="00730ADE">
        <w:t> million</w:t>
      </w:r>
      <w:r>
        <w:t xml:space="preserve">. Approximately three quarters of </w:t>
      </w:r>
      <w:r w:rsidR="00527253">
        <w:t>PacifiCorp’s</w:t>
      </w:r>
      <w:r>
        <w:t xml:space="preserve"> proposed increase </w:t>
      </w:r>
      <w:r w:rsidR="00454861">
        <w:t>was</w:t>
      </w:r>
      <w:r>
        <w:t xml:space="preserve"> attributed to wildfire mitigation and vegetation management costs</w:t>
      </w:r>
      <w:r w:rsidR="00730ADE">
        <w:t xml:space="preserve">. </w:t>
      </w:r>
      <w:r w:rsidR="00527253">
        <w:t>The requested increase would result in a net overall revenue requirement increase of 25.7</w:t>
      </w:r>
      <w:r w:rsidR="00730ADE">
        <w:t> percent</w:t>
      </w:r>
      <w:r w:rsidR="00527253">
        <w:t xml:space="preserve"> when commodity costs and other items not examined during this proceeding are included in the calculation. </w:t>
      </w:r>
    </w:p>
    <w:p w:rsidR="0094776C" w:rsidP="003A4B06" w:rsidRDefault="0094776C" w14:paraId="547A0F8E" w14:textId="2D16AFE6">
      <w:pPr>
        <w:pStyle w:val="Standard"/>
      </w:pPr>
      <w:r>
        <w:t>On May 19, 2022, PacifiCorp filed a motion requesting the Commission authorize a January</w:t>
      </w:r>
      <w:r w:rsidR="00A934CD">
        <w:t> </w:t>
      </w:r>
      <w:r>
        <w:t>1, 2023</w:t>
      </w:r>
      <w:r w:rsidR="009D0710">
        <w:t>,</w:t>
      </w:r>
      <w:r>
        <w:t xml:space="preserve"> effective date for its 2023</w:t>
      </w:r>
      <w:r w:rsidR="00FB6536">
        <w:t> </w:t>
      </w:r>
      <w:r w:rsidR="00F32B24">
        <w:t>TY </w:t>
      </w:r>
      <w:r>
        <w:t xml:space="preserve">GRC revenue requirement as well as a </w:t>
      </w:r>
      <w:bookmarkStart w:name="_Hlk149068131" w:id="9"/>
      <w:r>
        <w:t xml:space="preserve">General Rate Case </w:t>
      </w:r>
      <w:bookmarkStart w:name="_Hlk147133956" w:id="10"/>
      <w:r>
        <w:t xml:space="preserve">Revenue Requirement Memorandum Account </w:t>
      </w:r>
      <w:bookmarkEnd w:id="10"/>
      <w:r>
        <w:t>(GRC RRMA)</w:t>
      </w:r>
      <w:r w:rsidR="00730ADE">
        <w:t xml:space="preserve">. </w:t>
      </w:r>
      <w:bookmarkEnd w:id="9"/>
      <w:r w:rsidR="003A4B06">
        <w:t>No party filed a response in opposition to PacifiCorp’s request.</w:t>
      </w:r>
    </w:p>
    <w:p w:rsidR="009F041C" w:rsidP="009F041C" w:rsidRDefault="009F041C" w14:paraId="14841983" w14:textId="3C8C9103">
      <w:pPr>
        <w:pStyle w:val="Standard"/>
      </w:pPr>
      <w:r>
        <w:t>On June 10, 2022, the Public Advocates Office</w:t>
      </w:r>
      <w:r w:rsidR="004C53F6">
        <w:t xml:space="preserve"> at the California Public Utilities Commission (Cal Advocates)</w:t>
      </w:r>
      <w:r>
        <w:t xml:space="preserve"> and the California Farm Bureau Federation </w:t>
      </w:r>
      <w:r w:rsidR="004C53F6">
        <w:t>(</w:t>
      </w:r>
      <w:r w:rsidR="0019379A">
        <w:t>CFBF</w:t>
      </w:r>
      <w:r w:rsidR="004C53F6">
        <w:t xml:space="preserve">) </w:t>
      </w:r>
      <w:r>
        <w:t xml:space="preserve">filed </w:t>
      </w:r>
      <w:r w:rsidR="009D0710">
        <w:t xml:space="preserve">timely </w:t>
      </w:r>
      <w:r>
        <w:t xml:space="preserve">protests to PacifiCorp’s </w:t>
      </w:r>
      <w:r w:rsidR="00D15935">
        <w:t xml:space="preserve">GRC </w:t>
      </w:r>
      <w:r>
        <w:t>application.</w:t>
      </w:r>
    </w:p>
    <w:p w:rsidR="009F041C" w:rsidP="009F041C" w:rsidRDefault="009F041C" w14:paraId="62BA66F8" w14:textId="42DD8ECE">
      <w:pPr>
        <w:pStyle w:val="Standard"/>
      </w:pPr>
      <w:r>
        <w:t xml:space="preserve">A </w:t>
      </w:r>
      <w:bookmarkStart w:name="_Hlk149068138" w:id="11"/>
      <w:r>
        <w:t xml:space="preserve">prehearing conference (PHC) </w:t>
      </w:r>
      <w:bookmarkEnd w:id="11"/>
      <w:r>
        <w:t>was held on June 30, 2022</w:t>
      </w:r>
      <w:r w:rsidR="004C53F6">
        <w:t>,</w:t>
      </w:r>
      <w:r>
        <w:t xml:space="preserve"> to address the issues of law and fact, determine the need for hearing, set the schedule for resolving the matter, and address other matters as necessary.</w:t>
      </w:r>
    </w:p>
    <w:p w:rsidR="00D17889" w:rsidP="009F041C" w:rsidRDefault="00D17889" w14:paraId="4C4F27C6" w14:textId="0004A56B">
      <w:pPr>
        <w:pStyle w:val="Standard"/>
      </w:pPr>
      <w:r>
        <w:t xml:space="preserve">On August 9, 2022, </w:t>
      </w:r>
      <w:r w:rsidR="00956E55">
        <w:t>the assigned Commissioner issued a Scoping Memo and Ruling</w:t>
      </w:r>
      <w:r w:rsidR="007755C4">
        <w:t>.</w:t>
      </w:r>
    </w:p>
    <w:p w:rsidR="007755C4" w:rsidP="009F041C" w:rsidRDefault="007755C4" w14:paraId="43FA6BBD" w14:textId="6C77C870">
      <w:pPr>
        <w:pStyle w:val="Standard"/>
      </w:pPr>
      <w:r>
        <w:t xml:space="preserve">On November 3, 2022, </w:t>
      </w:r>
      <w:bookmarkStart w:name="_Hlk147133979" w:id="12"/>
      <w:r w:rsidR="00F64994">
        <w:t xml:space="preserve">D.22-11-001 </w:t>
      </w:r>
      <w:bookmarkEnd w:id="12"/>
      <w:r w:rsidR="00F64994">
        <w:t xml:space="preserve">granted PacifiCorp’s request to make </w:t>
      </w:r>
      <w:r w:rsidR="004C3ACD">
        <w:t>its 2023</w:t>
      </w:r>
      <w:r w:rsidR="00FB6536">
        <w:t> </w:t>
      </w:r>
      <w:r w:rsidR="00F32B24">
        <w:t>TY </w:t>
      </w:r>
      <w:r w:rsidR="004C3ACD">
        <w:t xml:space="preserve">GRC revenue requirement effective as of </w:t>
      </w:r>
      <w:r w:rsidR="00F64994">
        <w:t>January 1, 2023</w:t>
      </w:r>
      <w:r w:rsidR="009D0710">
        <w:t>,</w:t>
      </w:r>
      <w:r w:rsidR="00F64994">
        <w:t xml:space="preserve"> </w:t>
      </w:r>
      <w:r w:rsidR="004C3ACD">
        <w:t xml:space="preserve">and </w:t>
      </w:r>
      <w:r w:rsidR="00987AC4">
        <w:t>to establish a GRC RRMA.</w:t>
      </w:r>
      <w:r w:rsidR="006153F7">
        <w:rPr>
          <w:rStyle w:val="FootnoteReference"/>
        </w:rPr>
        <w:footnoteReference w:id="4"/>
      </w:r>
    </w:p>
    <w:p w:rsidR="000D2EEE" w:rsidP="009F041C" w:rsidRDefault="000D2EEE" w14:paraId="70D59315" w14:textId="77777777">
      <w:pPr>
        <w:pStyle w:val="Standard"/>
      </w:pPr>
      <w:r>
        <w:t xml:space="preserve">Two remote public participation hearings were held on November 7, 2022. </w:t>
      </w:r>
    </w:p>
    <w:p w:rsidR="004F4447" w:rsidP="009F041C" w:rsidRDefault="004F4447" w14:paraId="43B8C098" w14:textId="69A96644">
      <w:pPr>
        <w:pStyle w:val="Standard"/>
      </w:pPr>
      <w:r>
        <w:t xml:space="preserve">On December 22, 2022, Cal Advocates and </w:t>
      </w:r>
      <w:r w:rsidR="0019379A">
        <w:t>CFBF</w:t>
      </w:r>
      <w:r>
        <w:t xml:space="preserve"> served direct testimony</w:t>
      </w:r>
      <w:r w:rsidR="00730ADE">
        <w:t xml:space="preserve">. </w:t>
      </w:r>
      <w:r w:rsidR="000D2EEE">
        <w:t>Concurrent rebuttal testimony was served</w:t>
      </w:r>
      <w:r w:rsidR="00564826">
        <w:t xml:space="preserve"> on February 8, 2023</w:t>
      </w:r>
      <w:r w:rsidR="00730ADE">
        <w:t xml:space="preserve">. </w:t>
      </w:r>
      <w:r w:rsidR="00564826">
        <w:t xml:space="preserve">On February 14, 2023, the </w:t>
      </w:r>
      <w:r w:rsidR="00D15935">
        <w:t xml:space="preserve">assigned </w:t>
      </w:r>
      <w:r w:rsidR="00BF10D0">
        <w:t xml:space="preserve">Administrative Law Judge (ALJ) </w:t>
      </w:r>
      <w:r w:rsidR="00564826">
        <w:t xml:space="preserve">took evidentiary hearings for Track 1 off of the procedural schedule. </w:t>
      </w:r>
    </w:p>
    <w:p w:rsidR="00C85C31" w:rsidP="00281B89" w:rsidRDefault="00CF273C" w14:paraId="41D31D69" w14:textId="03DD1E07">
      <w:pPr>
        <w:pStyle w:val="Standard"/>
      </w:pPr>
      <w:bookmarkStart w:name="_Hlk146184537" w:id="13"/>
      <w:r>
        <w:t xml:space="preserve">On March 13, 2023, an </w:t>
      </w:r>
      <w:r w:rsidR="009D0710">
        <w:t>ALJ</w:t>
      </w:r>
      <w:r>
        <w:t xml:space="preserve"> ruling ordered an independent third-party audit of </w:t>
      </w:r>
      <w:r w:rsidR="000F53BF">
        <w:t xml:space="preserve">costs recorded in certain </w:t>
      </w:r>
      <w:r w:rsidR="00AE2B5E">
        <w:t xml:space="preserve">wildfire mitigation </w:t>
      </w:r>
      <w:r w:rsidR="000F53BF">
        <w:t xml:space="preserve">memorandum accounts that were included as part of PacifiCorp’s application and </w:t>
      </w:r>
      <w:r w:rsidR="008E2BC8">
        <w:t xml:space="preserve">established </w:t>
      </w:r>
      <w:r w:rsidR="00AE2B5E">
        <w:t xml:space="preserve">a separate track and schedule for </w:t>
      </w:r>
      <w:r w:rsidR="00F0273B">
        <w:t>consideration of the wildfire mitigation memorandum accounts</w:t>
      </w:r>
      <w:r w:rsidR="00D932EF">
        <w:t xml:space="preserve">. </w:t>
      </w:r>
      <w:bookmarkStart w:name="_Hlk146185202" w:id="14"/>
      <w:r w:rsidR="00A9049A">
        <w:t xml:space="preserve">A.22-05-006 </w:t>
      </w:r>
      <w:r w:rsidR="00454861">
        <w:t>wa</w:t>
      </w:r>
      <w:r w:rsidR="00A9049A">
        <w:t>s the first time PacifiCorp sought recovery of wildfire mitigation-related costs</w:t>
      </w:r>
      <w:r w:rsidR="00730ADE">
        <w:t xml:space="preserve">.  </w:t>
      </w:r>
      <w:r w:rsidR="00A9049A">
        <w:t xml:space="preserve">Because the sum of </w:t>
      </w:r>
      <w:r w:rsidR="00B32AAA">
        <w:t>PacifiCorp’s</w:t>
      </w:r>
      <w:r w:rsidR="00A9049A">
        <w:t xml:space="preserve"> Wildfire Mitigation Memorandum Accounts represent</w:t>
      </w:r>
      <w:r w:rsidR="00454861">
        <w:t>ed</w:t>
      </w:r>
      <w:r w:rsidR="00A9049A">
        <w:t xml:space="preserve"> a large potential rate increase to customers, it is in the public interest to ensure that each memorandum account has recorded appropriate costs, that those costs are not duplicative</w:t>
      </w:r>
      <w:r w:rsidR="00B32AAA">
        <w:t>,</w:t>
      </w:r>
      <w:r w:rsidR="00A9049A">
        <w:t xml:space="preserve"> and </w:t>
      </w:r>
      <w:r w:rsidR="00B32AAA">
        <w:t>each cost is</w:t>
      </w:r>
      <w:r w:rsidR="00A9049A">
        <w:t xml:space="preserve"> incremental</w:t>
      </w:r>
      <w:r w:rsidR="00D932EF">
        <w:t>.</w:t>
      </w:r>
      <w:r w:rsidR="00730ADE">
        <w:t xml:space="preserve"> </w:t>
      </w:r>
      <w:r w:rsidR="00A9049A">
        <w:t>PacifiCorp was directed to hire an independent auditor to review the Wildfire Mitigation Memorandum Accounts that are included as part of its application, to ensure PacifiCorp’s wildfire mitigation costs are properly recorded and reported in PacifiCorp’s application, supported by appropriate documents, incremental to costs previously authorized or requested for recovery, and are consistent with PacifiCorp’s approved Wildfire Mitigation Plans</w:t>
      </w:r>
      <w:r w:rsidR="00D932EF">
        <w:t>.</w:t>
      </w:r>
      <w:r w:rsidR="00730ADE">
        <w:t xml:space="preserve"> </w:t>
      </w:r>
      <w:bookmarkEnd w:id="14"/>
      <w:r w:rsidRPr="00C85C31" w:rsidR="00C85C31">
        <w:t xml:space="preserve">The Wildfire Mitigation Memorandum Accounts referenced above are </w:t>
      </w:r>
      <w:bookmarkStart w:name="_Hlk149068045" w:id="15"/>
      <w:r w:rsidRPr="00C85C31" w:rsidR="00C85C31">
        <w:t>PacifiCorp’s Fire Risk Mitigation Memorandum Account (FRMMA)</w:t>
      </w:r>
      <w:bookmarkEnd w:id="15"/>
      <w:r w:rsidRPr="00C85C31" w:rsidR="00C85C31">
        <w:t xml:space="preserve">; the </w:t>
      </w:r>
      <w:bookmarkStart w:name="_Hlk149068040" w:id="16"/>
      <w:r w:rsidRPr="00C85C31" w:rsidR="00C85C31">
        <w:t xml:space="preserve">Wildfire Mitigation Plan Memorandum Account (WMPMA); </w:t>
      </w:r>
      <w:bookmarkEnd w:id="16"/>
      <w:r w:rsidRPr="00C85C31" w:rsidR="00C85C31">
        <w:t xml:space="preserve">and the </w:t>
      </w:r>
      <w:bookmarkStart w:name="_Hlk149068091" w:id="17"/>
      <w:r w:rsidRPr="00C85C31" w:rsidR="00C85C31">
        <w:t>Fire Hazard Prevention Memorandum Account (FHPMA</w:t>
      </w:r>
      <w:bookmarkEnd w:id="17"/>
      <w:r w:rsidRPr="00C85C31" w:rsidR="00C85C31">
        <w:t>).</w:t>
      </w:r>
      <w:r w:rsidR="00C85C31">
        <w:t xml:space="preserve"> </w:t>
      </w:r>
    </w:p>
    <w:p w:rsidR="00281B89" w:rsidP="00281B89" w:rsidRDefault="00C85C31" w14:paraId="52547AC7" w14:textId="6F08972B">
      <w:pPr>
        <w:pStyle w:val="Standard"/>
      </w:pPr>
      <w:r>
        <w:t>PacifiCorp’s requested recovery of the costs recorded in its Wildfire Mitigation Memorandum A</w:t>
      </w:r>
      <w:r w:rsidR="00A10D68">
        <w:t xml:space="preserve">ccounts </w:t>
      </w:r>
      <w:r w:rsidR="00A9049A">
        <w:t>and the associated audit were moved into Track 2 of this proceeding</w:t>
      </w:r>
      <w:r w:rsidR="00047089">
        <w:t xml:space="preserve"> </w:t>
      </w:r>
      <w:r w:rsidR="00A9049A">
        <w:t>and will therefore be addressed</w:t>
      </w:r>
      <w:r w:rsidR="00A10D68">
        <w:t xml:space="preserve"> in a subsequent decisi</w:t>
      </w:r>
      <w:r w:rsidR="00281B89">
        <w:t xml:space="preserve">on. </w:t>
      </w:r>
    </w:p>
    <w:p w:rsidR="00281B89" w:rsidP="00281B89" w:rsidRDefault="00434994" w14:paraId="6D16F8C7" w14:textId="54D59AC7">
      <w:pPr>
        <w:pStyle w:val="Standard"/>
      </w:pPr>
      <w:bookmarkStart w:name="_Hlk146185440" w:id="18"/>
      <w:r>
        <w:t>On</w:t>
      </w:r>
      <w:r w:rsidR="00281B89">
        <w:t xml:space="preserve"> March 24, 2023, </w:t>
      </w:r>
      <w:r>
        <w:t xml:space="preserve">the ALJ </w:t>
      </w:r>
      <w:r w:rsidR="00281B89">
        <w:t xml:space="preserve">adopted modeling procedures for the results of operations and rates </w:t>
      </w:r>
      <w:r w:rsidR="0082492C">
        <w:t>to ensure a confidential</w:t>
      </w:r>
      <w:r w:rsidR="00281B89">
        <w:t xml:space="preserve"> decision-making</w:t>
      </w:r>
      <w:r w:rsidR="00047089">
        <w:t xml:space="preserve"> </w:t>
      </w:r>
      <w:r w:rsidR="0082492C">
        <w:t>process is</w:t>
      </w:r>
      <w:r w:rsidR="00047089">
        <w:t xml:space="preserve"> applied to both </w:t>
      </w:r>
      <w:r w:rsidR="002A7CC4">
        <w:t>T</w:t>
      </w:r>
      <w:r w:rsidR="00047089">
        <w:t>racks of this proceeding</w:t>
      </w:r>
      <w:r w:rsidR="00281B89">
        <w:t xml:space="preserve">. </w:t>
      </w:r>
    </w:p>
    <w:p w:rsidR="00B466C8" w:rsidP="00281B89" w:rsidRDefault="00B466C8" w14:paraId="5ABD4454" w14:textId="708630CC">
      <w:pPr>
        <w:pStyle w:val="Standard"/>
      </w:pPr>
      <w:r>
        <w:t xml:space="preserve">On April 7, 2023, PacifiCorp filed additional supplemental </w:t>
      </w:r>
      <w:r w:rsidR="00B05539">
        <w:t>testimony regarding its wildfire accounting processes, which will be considered in Track</w:t>
      </w:r>
      <w:r w:rsidR="00CF2AF9">
        <w:t> </w:t>
      </w:r>
      <w:r w:rsidR="00B05539">
        <w:t>2 of this proceeding.</w:t>
      </w:r>
      <w:r>
        <w:t xml:space="preserve"> </w:t>
      </w:r>
    </w:p>
    <w:bookmarkEnd w:id="18"/>
    <w:p w:rsidR="00281B89" w:rsidP="00281B89" w:rsidRDefault="00281B89" w14:paraId="1BF2FF16" w14:textId="10343839">
      <w:pPr>
        <w:pStyle w:val="Standard"/>
      </w:pPr>
      <w:r>
        <w:t xml:space="preserve">On May 2, 2023, PacifiCorp filed a motion seeking to include and recover costs associated with the </w:t>
      </w:r>
      <w:r w:rsidR="00B05539">
        <w:t xml:space="preserve">third-party wildfire accounting </w:t>
      </w:r>
      <w:r>
        <w:t xml:space="preserve">audit directed in the March 13, 2023, ruling in its </w:t>
      </w:r>
      <w:r w:rsidR="00B05539">
        <w:t>GRC</w:t>
      </w:r>
      <w:r>
        <w:t xml:space="preserve"> RRMA</w:t>
      </w:r>
      <w:r w:rsidR="00730ADE">
        <w:t xml:space="preserve">. </w:t>
      </w:r>
      <w:r>
        <w:t>This request was denied by an ALJ ruling issued July 6, 2023</w:t>
      </w:r>
      <w:r w:rsidR="00D932EF">
        <w:t>.</w:t>
      </w:r>
      <w:r w:rsidR="00730ADE">
        <w:t xml:space="preserve"> </w:t>
      </w:r>
      <w:r w:rsidR="00B05539">
        <w:t>The costs associated with the audit are not considered in this proceeding and shall not be recovered through PacifiCorp’s GRC RRMA.</w:t>
      </w:r>
    </w:p>
    <w:p w:rsidR="00281B89" w:rsidP="00281B89" w:rsidRDefault="00281B89" w14:paraId="053CCB9C" w14:textId="0B756349">
      <w:pPr>
        <w:pStyle w:val="Standard"/>
      </w:pPr>
      <w:r>
        <w:t xml:space="preserve">On July 17, 2023, </w:t>
      </w:r>
      <w:r w:rsidR="00434994">
        <w:t xml:space="preserve">PacifiCorp, Cal Advocates, and </w:t>
      </w:r>
      <w:r w:rsidR="0019379A">
        <w:t>CFBF</w:t>
      </w:r>
      <w:r w:rsidR="00434994">
        <w:t xml:space="preserve"> filed </w:t>
      </w:r>
      <w:r>
        <w:t>opening briefs in Track 1 of this proceeding</w:t>
      </w:r>
      <w:r w:rsidR="00D932EF">
        <w:t>.</w:t>
      </w:r>
      <w:r w:rsidR="00730ADE">
        <w:t xml:space="preserve"> </w:t>
      </w:r>
      <w:r w:rsidR="00C9747C">
        <w:t xml:space="preserve">PacifiCorp and </w:t>
      </w:r>
      <w:r w:rsidR="0019379A">
        <w:t>CFBF</w:t>
      </w:r>
      <w:r w:rsidR="00434994">
        <w:t xml:space="preserve"> filed reply briefs</w:t>
      </w:r>
      <w:r w:rsidR="00C9747C">
        <w:t xml:space="preserve"> on August 11, 2023. </w:t>
      </w:r>
      <w:r>
        <w:t xml:space="preserve"> </w:t>
      </w:r>
    </w:p>
    <w:p w:rsidR="006E21EA" w:rsidP="006E21EA" w:rsidRDefault="006E21EA" w14:paraId="01C733BE" w14:textId="1203046E">
      <w:pPr>
        <w:pStyle w:val="Standard"/>
      </w:pPr>
      <w:r>
        <w:t xml:space="preserve">On October 2, 2023, the assigned ALJ directed PacifiCorp to </w:t>
      </w:r>
      <w:r w:rsidR="0038218B">
        <w:t xml:space="preserve">serve </w:t>
      </w:r>
      <w:r>
        <w:t>updated testimony to remove the costs that will be considered in Track 2 of this proceeding from its revenue requirement and associated workpapers</w:t>
      </w:r>
      <w:r w:rsidR="00D932EF">
        <w:t>.</w:t>
      </w:r>
      <w:r w:rsidR="00730ADE">
        <w:t xml:space="preserve"> </w:t>
      </w:r>
      <w:r w:rsidR="00434994">
        <w:t xml:space="preserve">PacifiCorp served this </w:t>
      </w:r>
      <w:r>
        <w:t>updated testimony on October 9, 2023.</w:t>
      </w:r>
      <w:bookmarkStart w:name="_Toc8123719" w:id="19"/>
      <w:bookmarkEnd w:id="8"/>
      <w:bookmarkEnd w:id="13"/>
    </w:p>
    <w:p w:rsidR="00564826" w:rsidP="002D228B" w:rsidRDefault="00564826" w14:paraId="439C731A" w14:textId="641B2E2C">
      <w:pPr>
        <w:pStyle w:val="Heading1"/>
        <w:numPr>
          <w:ilvl w:val="0"/>
          <w:numId w:val="3"/>
        </w:numPr>
      </w:pPr>
      <w:bookmarkStart w:name="_Toc153298415" w:id="20"/>
      <w:r>
        <w:t>Jurisdiction</w:t>
      </w:r>
      <w:bookmarkEnd w:id="20"/>
    </w:p>
    <w:p w:rsidRPr="00564826" w:rsidR="00564826" w:rsidP="00564826" w:rsidRDefault="00564826" w14:paraId="65B700BF" w14:textId="2E3FBFE7">
      <w:pPr>
        <w:pStyle w:val="Standard"/>
      </w:pPr>
      <w:r>
        <w:t>Public Utilities (Pub. Util.</w:t>
      </w:r>
      <w:r w:rsidR="00A934CD">
        <w:t>)</w:t>
      </w:r>
      <w:r>
        <w:t xml:space="preserve"> Code §454 require</w:t>
      </w:r>
      <w:r w:rsidR="000C420A">
        <w:t>s</w:t>
      </w:r>
      <w:r>
        <w:t xml:space="preserve"> the Commission to ensure </w:t>
      </w:r>
      <w:bookmarkStart w:name="_Hlk149068207" w:id="21"/>
      <w:r>
        <w:t xml:space="preserve">investor-owned utility (IOU) </w:t>
      </w:r>
      <w:bookmarkEnd w:id="21"/>
      <w:r>
        <w:t>rates are just and reasonable.</w:t>
      </w:r>
      <w:r>
        <w:rPr>
          <w:rStyle w:val="FootnoteReference"/>
        </w:rPr>
        <w:footnoteReference w:id="5"/>
      </w:r>
      <w:r>
        <w:t xml:space="preserve"> IOUs </w:t>
      </w:r>
      <w:r w:rsidR="000C420A">
        <w:t xml:space="preserve">are required </w:t>
      </w:r>
      <w:r>
        <w:t xml:space="preserve">to prove that new rates are </w:t>
      </w:r>
      <w:r w:rsidR="0045350D">
        <w:t>justified,</w:t>
      </w:r>
      <w:r>
        <w:t xml:space="preserve"> and the Commission</w:t>
      </w:r>
      <w:r w:rsidR="000C420A">
        <w:t xml:space="preserve"> is directed</w:t>
      </w:r>
      <w:r>
        <w:t xml:space="preserve"> to review the evidence presented to determine whether the application meets the statutory requirements. </w:t>
      </w:r>
    </w:p>
    <w:p w:rsidR="005A148C" w:rsidP="002D228B" w:rsidRDefault="005939A5" w14:paraId="7239D6E6" w14:textId="06FA18F7">
      <w:pPr>
        <w:pStyle w:val="Heading1"/>
        <w:numPr>
          <w:ilvl w:val="0"/>
          <w:numId w:val="3"/>
        </w:numPr>
      </w:pPr>
      <w:bookmarkStart w:name="_Toc153298416" w:id="22"/>
      <w:r>
        <w:t>Issues Before the Commission</w:t>
      </w:r>
      <w:bookmarkEnd w:id="19"/>
      <w:bookmarkEnd w:id="22"/>
    </w:p>
    <w:p w:rsidR="00B601B3" w:rsidP="00B601B3" w:rsidRDefault="00B601B3" w14:paraId="74425923" w14:textId="498A030D">
      <w:pPr>
        <w:pStyle w:val="Standard"/>
      </w:pPr>
      <w:r>
        <w:t xml:space="preserve">The issues to be determined or otherwise considered </w:t>
      </w:r>
      <w:r w:rsidR="0045350D">
        <w:t xml:space="preserve">in Track 1 of this proceeding </w:t>
      </w:r>
      <w:r>
        <w:t>are as follows:</w:t>
      </w:r>
    </w:p>
    <w:p w:rsidRPr="001C03E1" w:rsidR="00B601B3" w:rsidP="002D228B" w:rsidRDefault="00B601B3" w14:paraId="30628B14" w14:textId="615F1EF6">
      <w:pPr>
        <w:pStyle w:val="ListNum"/>
        <w:numPr>
          <w:ilvl w:val="6"/>
          <w:numId w:val="9"/>
        </w:numPr>
        <w:ind w:right="1440"/>
      </w:pPr>
      <w:bookmarkStart w:name="_Hlk147723513" w:id="23"/>
      <w:r>
        <w:t xml:space="preserve">Whether PacifiCorp’s request to increase its authorized revenue requirement for electric service inclusive of all operating expenses and capital costs is just and reasonable. This includes, among other items, whether the proposed expenses related </w:t>
      </w:r>
      <w:r w:rsidR="0045350D">
        <w:t>to</w:t>
      </w:r>
      <w:r>
        <w:t xml:space="preserve"> vegetation management are reasonable;</w:t>
      </w:r>
    </w:p>
    <w:p w:rsidRPr="001C03E1" w:rsidR="00B601B3" w:rsidP="002D228B" w:rsidRDefault="00B601B3" w14:paraId="4F7E3F61" w14:textId="6A63D329">
      <w:pPr>
        <w:pStyle w:val="ListNum"/>
        <w:numPr>
          <w:ilvl w:val="6"/>
          <w:numId w:val="9"/>
        </w:numPr>
        <w:ind w:right="1440"/>
      </w:pPr>
      <w:r>
        <w:t>Whether PacifiCorp’s proposed Capital Structure</w:t>
      </w:r>
      <w:r w:rsidR="00CA6EC2">
        <w:t>,</w:t>
      </w:r>
      <w:r w:rsidR="008E2BC8">
        <w:t xml:space="preserve"> </w:t>
      </w:r>
      <w:r>
        <w:t>Rate of Return</w:t>
      </w:r>
      <w:r w:rsidR="00CA6EC2">
        <w:t>,</w:t>
      </w:r>
      <w:r>
        <w:t xml:space="preserve"> and Return on Equity </w:t>
      </w:r>
      <w:r w:rsidR="00F32E0B">
        <w:t>are</w:t>
      </w:r>
      <w:r>
        <w:t xml:space="preserve"> just and reasonable;</w:t>
      </w:r>
    </w:p>
    <w:p w:rsidR="00B601B3" w:rsidP="002D228B" w:rsidRDefault="00B601B3" w14:paraId="39524029" w14:textId="77777777">
      <w:pPr>
        <w:pStyle w:val="ListNum"/>
        <w:numPr>
          <w:ilvl w:val="6"/>
          <w:numId w:val="9"/>
        </w:numPr>
        <w:ind w:right="1440"/>
      </w:pPr>
      <w:r>
        <w:t>Whether PacifiCorp’s proposed retirement plans for its coal generation facilities serving California and the associated proposed changes to the depreciation schedules and decommissioning costs for those plants are reasonable;</w:t>
      </w:r>
    </w:p>
    <w:p w:rsidR="00B601B3" w:rsidP="002D228B" w:rsidRDefault="00B601B3" w14:paraId="23742928" w14:textId="77777777">
      <w:pPr>
        <w:pStyle w:val="ListNum"/>
        <w:numPr>
          <w:ilvl w:val="6"/>
          <w:numId w:val="9"/>
        </w:numPr>
        <w:ind w:right="1440"/>
      </w:pPr>
      <w:r>
        <w:t>Whether PacifiCorp’s proposed cost allocation and rate design is reasonable;</w:t>
      </w:r>
    </w:p>
    <w:p w:rsidR="00B601B3" w:rsidP="002D228B" w:rsidRDefault="00B601B3" w14:paraId="697779F8" w14:textId="77777777">
      <w:pPr>
        <w:pStyle w:val="ListNum"/>
        <w:numPr>
          <w:ilvl w:val="6"/>
          <w:numId w:val="9"/>
        </w:numPr>
        <w:ind w:right="1440"/>
      </w:pPr>
      <w:r>
        <w:t>Whether PacifiCorp should be authorized to continue to use the Post Test</w:t>
      </w:r>
      <w:r>
        <w:noBreakHyphen/>
        <w:t>Year Adjustment Mechanism;</w:t>
      </w:r>
    </w:p>
    <w:p w:rsidR="003274A6" w:rsidP="002D228B" w:rsidRDefault="003274A6" w14:paraId="09D08515" w14:textId="6CF057B0">
      <w:pPr>
        <w:pStyle w:val="ListNum"/>
        <w:numPr>
          <w:ilvl w:val="6"/>
          <w:numId w:val="9"/>
        </w:numPr>
        <w:ind w:right="1440"/>
      </w:pPr>
      <w:r>
        <w:t xml:space="preserve">Whether PacifiCorp’s proposed wildfire mitigation </w:t>
      </w:r>
      <w:r w:rsidR="00CA6EC2">
        <w:t xml:space="preserve">capital investments and expense </w:t>
      </w:r>
      <w:r>
        <w:t xml:space="preserve">forecasts </w:t>
      </w:r>
      <w:r w:rsidR="00CA6EC2">
        <w:t>for</w:t>
      </w:r>
      <w:r w:rsidR="000F4972">
        <w:t xml:space="preserve"> 2023</w:t>
      </w:r>
      <w:r w:rsidR="00FB6536">
        <w:t> </w:t>
      </w:r>
      <w:r w:rsidR="00F32B24">
        <w:t xml:space="preserve">TY </w:t>
      </w:r>
      <w:r>
        <w:t>are reasonable;</w:t>
      </w:r>
    </w:p>
    <w:p w:rsidR="006218AB" w:rsidP="002D228B" w:rsidRDefault="006218AB" w14:paraId="79B0693B" w14:textId="70F18A79">
      <w:pPr>
        <w:pStyle w:val="ListNum"/>
        <w:numPr>
          <w:ilvl w:val="6"/>
          <w:numId w:val="9"/>
        </w:numPr>
        <w:ind w:right="1440"/>
      </w:pPr>
      <w:r>
        <w:t>Whether</w:t>
      </w:r>
      <w:r>
        <w:rPr>
          <w:spacing w:val="-8"/>
        </w:rPr>
        <w:t xml:space="preserve"> </w:t>
      </w:r>
      <w:r>
        <w:t>PacifiCorp’s</w:t>
      </w:r>
      <w:r>
        <w:rPr>
          <w:spacing w:val="-8"/>
        </w:rPr>
        <w:t xml:space="preserve"> </w:t>
      </w:r>
      <w:r>
        <w:t>proposed</w:t>
      </w:r>
      <w:r>
        <w:rPr>
          <w:spacing w:val="-8"/>
        </w:rPr>
        <w:t xml:space="preserve"> </w:t>
      </w:r>
      <w:r>
        <w:t>mechanism</w:t>
      </w:r>
      <w:r>
        <w:rPr>
          <w:spacing w:val="-8"/>
        </w:rPr>
        <w:t xml:space="preserve"> </w:t>
      </w:r>
      <w:r>
        <w:t>to</w:t>
      </w:r>
      <w:r>
        <w:rPr>
          <w:spacing w:val="-8"/>
        </w:rPr>
        <w:t xml:space="preserve"> </w:t>
      </w:r>
      <w:r>
        <w:t xml:space="preserve">recover wildfire mitigation costs between general rate cases is </w:t>
      </w:r>
      <w:r>
        <w:rPr>
          <w:spacing w:val="-2"/>
        </w:rPr>
        <w:t>reasonable</w:t>
      </w:r>
      <w:r w:rsidR="002E3EDA">
        <w:rPr>
          <w:spacing w:val="-2"/>
        </w:rPr>
        <w:t>;</w:t>
      </w:r>
      <w:r w:rsidRPr="00DE1902">
        <w:t xml:space="preserve"> </w:t>
      </w:r>
    </w:p>
    <w:p w:rsidR="00B601B3" w:rsidP="002D228B" w:rsidRDefault="00B601B3" w14:paraId="3806DFEA" w14:textId="77777777">
      <w:pPr>
        <w:pStyle w:val="ListNum"/>
        <w:numPr>
          <w:ilvl w:val="6"/>
          <w:numId w:val="9"/>
        </w:numPr>
        <w:ind w:right="1440"/>
      </w:pPr>
      <w:r>
        <w:t>Whether PacifiCorp’s application has any impact on environmental and social justice communities; and</w:t>
      </w:r>
    </w:p>
    <w:p w:rsidR="005939A5" w:rsidP="002D228B" w:rsidRDefault="00B601B3" w14:paraId="2FF62640" w14:textId="118C7F66">
      <w:pPr>
        <w:pStyle w:val="ListNum"/>
        <w:numPr>
          <w:ilvl w:val="6"/>
          <w:numId w:val="9"/>
        </w:numPr>
        <w:ind w:right="1440"/>
      </w:pPr>
      <w:r>
        <w:t>The impact of the proposed rate increase on affordability.</w:t>
      </w:r>
    </w:p>
    <w:p w:rsidR="00584806" w:rsidP="002D228B" w:rsidRDefault="00584806" w14:paraId="697769EF" w14:textId="20B5DE7D">
      <w:pPr>
        <w:pStyle w:val="Heading1"/>
        <w:numPr>
          <w:ilvl w:val="0"/>
          <w:numId w:val="3"/>
        </w:numPr>
      </w:pPr>
      <w:bookmarkStart w:name="_Toc8123720" w:id="24"/>
      <w:bookmarkStart w:name="_Toc153298417" w:id="25"/>
      <w:bookmarkEnd w:id="23"/>
      <w:r>
        <w:t>Interjurisdictional Cost Allocation Methodology</w:t>
      </w:r>
      <w:bookmarkEnd w:id="25"/>
      <w:r>
        <w:t xml:space="preserve"> </w:t>
      </w:r>
    </w:p>
    <w:p w:rsidR="000926BF" w:rsidP="00584806" w:rsidRDefault="005338D5" w14:paraId="26BBB9D2" w14:textId="27F2D95D">
      <w:pPr>
        <w:pStyle w:val="Standard"/>
      </w:pPr>
      <w:r>
        <w:t xml:space="preserve">PacifiCorp’s application and workpapers used the utility’s </w:t>
      </w:r>
      <w:bookmarkStart w:name="_Hlk149068229" w:id="26"/>
      <w:r>
        <w:t xml:space="preserve">Jurisdictional Allocation Methodology (JAM) </w:t>
      </w:r>
      <w:bookmarkEnd w:id="26"/>
      <w:r>
        <w:t xml:space="preserve">which is based on its 2021 </w:t>
      </w:r>
      <w:bookmarkStart w:name="_Hlk149068237" w:id="27"/>
      <w:r>
        <w:t>Integrated Resource Plan (IRP)</w:t>
      </w:r>
      <w:bookmarkEnd w:id="27"/>
      <w:r>
        <w:t xml:space="preserve">, the </w:t>
      </w:r>
      <w:bookmarkStart w:name="_Hlk149068243" w:id="28"/>
      <w:r>
        <w:t>2020 Interjurisdictional Cost Allocation Protocol</w:t>
      </w:r>
      <w:r w:rsidR="00123BB1">
        <w:t xml:space="preserve"> (2020 Protocol)</w:t>
      </w:r>
      <w:r>
        <w:t xml:space="preserve">, </w:t>
      </w:r>
      <w:bookmarkEnd w:id="28"/>
      <w:r>
        <w:t xml:space="preserve">and the Summary of its </w:t>
      </w:r>
      <w:bookmarkStart w:name="_Hlk149068249" w:id="29"/>
      <w:r>
        <w:t xml:space="preserve">Results of Operations (RO) </w:t>
      </w:r>
      <w:bookmarkEnd w:id="29"/>
      <w:r>
        <w:t>to compile cumulative, quantitative forecasts for its revenue requirement calculations.</w:t>
      </w:r>
      <w:r>
        <w:rPr>
          <w:rStyle w:val="FootnoteReference"/>
        </w:rPr>
        <w:footnoteReference w:id="6"/>
      </w:r>
      <w:r>
        <w:t xml:space="preserve"> PacifiCorp specifically requested to use the 2020 Protocol and its JAM model to allocate its California distribution and generation revenue requirement totals</w:t>
      </w:r>
      <w:r w:rsidR="00D932EF">
        <w:t>.</w:t>
      </w:r>
      <w:r w:rsidR="00730ADE">
        <w:t xml:space="preserve"> </w:t>
      </w:r>
      <w:r w:rsidR="000926BF">
        <w:t>The utility explained that a large reason the 2020 Protocol was adopted was to address requirements associated with the ratemaking treatment of coal-fired power generation units in Oregon and Washington, and Wyoming’s differing requirements regarding coal-fired units.</w:t>
      </w:r>
      <w:r w:rsidR="000926BF">
        <w:rPr>
          <w:rStyle w:val="FootnoteReference"/>
        </w:rPr>
        <w:footnoteReference w:id="7"/>
      </w:r>
      <w:r w:rsidR="000926BF">
        <w:t xml:space="preserve"> </w:t>
      </w:r>
    </w:p>
    <w:p w:rsidRPr="001B0B72" w:rsidR="001B0B72" w:rsidP="001B0B72" w:rsidRDefault="005338D5" w14:paraId="4CC04E8A" w14:textId="7D83639B">
      <w:pPr>
        <w:pStyle w:val="Standard"/>
      </w:pPr>
      <w:r>
        <w:t xml:space="preserve">No party objected to PacifiCorp’s proposed use of the 2020 Protocol </w:t>
      </w:r>
      <w:r w:rsidRPr="001B0B72">
        <w:t>and</w:t>
      </w:r>
      <w:r>
        <w:t xml:space="preserve"> JAM model.</w:t>
      </w:r>
      <w:r>
        <w:rPr>
          <w:rStyle w:val="FootnoteReference"/>
        </w:rPr>
        <w:footnoteReference w:id="8"/>
      </w:r>
      <w:r>
        <w:t xml:space="preserve"> We therefore find that the use of PacifiCorp’s JAM model and 2020</w:t>
      </w:r>
      <w:r w:rsidR="00CF2AF9">
        <w:t> </w:t>
      </w:r>
      <w:r>
        <w:t xml:space="preserve">Protocol are appropriate for calculating </w:t>
      </w:r>
      <w:r w:rsidR="00687C55">
        <w:t>rates</w:t>
      </w:r>
      <w:r>
        <w:t xml:space="preserve"> for PacifiCorp’s California </w:t>
      </w:r>
      <w:r w:rsidR="00687C55">
        <w:t xml:space="preserve">ratepayers and approve their use </w:t>
      </w:r>
      <w:r w:rsidR="00133455">
        <w:t>during this GRC period</w:t>
      </w:r>
      <w:r>
        <w:t xml:space="preserve">. </w:t>
      </w:r>
    </w:p>
    <w:p w:rsidR="00B32AAA" w:rsidP="002D228B" w:rsidRDefault="00B32AAA" w14:paraId="10EE41E2" w14:textId="77777777">
      <w:pPr>
        <w:pStyle w:val="Heading1"/>
        <w:numPr>
          <w:ilvl w:val="0"/>
          <w:numId w:val="3"/>
        </w:numPr>
      </w:pPr>
      <w:bookmarkStart w:name="_Toc153298418" w:id="30"/>
      <w:r>
        <w:t>Policy Testimony</w:t>
      </w:r>
      <w:bookmarkEnd w:id="30"/>
      <w:r>
        <w:t xml:space="preserve"> </w:t>
      </w:r>
    </w:p>
    <w:p w:rsidRPr="00B32AAA" w:rsidR="00B32AAA" w:rsidP="00B32AAA" w:rsidRDefault="00B32AAA" w14:paraId="6133C39F" w14:textId="657F087E">
      <w:pPr>
        <w:pStyle w:val="Standard"/>
      </w:pPr>
      <w:r>
        <w:rPr>
          <w:szCs w:val="26"/>
        </w:rPr>
        <w:t>Three issues encompass the “policy testimony” in this proceeding</w:t>
      </w:r>
      <w:r w:rsidR="00D932EF">
        <w:rPr>
          <w:szCs w:val="26"/>
        </w:rPr>
        <w:t>.</w:t>
      </w:r>
      <w:r w:rsidR="00607C7E">
        <w:rPr>
          <w:szCs w:val="26"/>
        </w:rPr>
        <w:t xml:space="preserve"> </w:t>
      </w:r>
      <w:r>
        <w:rPr>
          <w:szCs w:val="26"/>
        </w:rPr>
        <w:t xml:space="preserve">These are: the </w:t>
      </w:r>
      <w:bookmarkStart w:name="_Hlk149068270" w:id="31"/>
      <w:r>
        <w:rPr>
          <w:szCs w:val="26"/>
        </w:rPr>
        <w:t>Energy Cost Adjustment Clause (ECAC)</w:t>
      </w:r>
      <w:r w:rsidR="0038218B">
        <w:rPr>
          <w:szCs w:val="26"/>
        </w:rPr>
        <w:t>, the</w:t>
      </w:r>
      <w:r>
        <w:rPr>
          <w:szCs w:val="26"/>
        </w:rPr>
        <w:t xml:space="preserve"> Post-Test Year Adjustment Mechanism (PTAM), and the Risk-Based Decision Making (RBD) Framework</w:t>
      </w:r>
      <w:bookmarkEnd w:id="31"/>
      <w:r>
        <w:rPr>
          <w:szCs w:val="26"/>
        </w:rPr>
        <w:t>.</w:t>
      </w:r>
    </w:p>
    <w:p w:rsidR="000C1638" w:rsidP="002D228B" w:rsidRDefault="000C1638" w14:paraId="4D72960D" w14:textId="694ED92B">
      <w:pPr>
        <w:pStyle w:val="Heading2"/>
        <w:numPr>
          <w:ilvl w:val="1"/>
          <w:numId w:val="3"/>
        </w:numPr>
      </w:pPr>
      <w:bookmarkStart w:name="_Toc153298419" w:id="32"/>
      <w:r>
        <w:t>Energy Cost Adjustment Clause</w:t>
      </w:r>
      <w:bookmarkEnd w:id="32"/>
      <w:r>
        <w:t xml:space="preserve"> </w:t>
      </w:r>
    </w:p>
    <w:p w:rsidR="00430DED" w:rsidP="000C1638" w:rsidRDefault="00B32AAA" w14:paraId="1A6B3050" w14:textId="54065E0F">
      <w:pPr>
        <w:pStyle w:val="Standard"/>
      </w:pPr>
      <w:r>
        <w:t xml:space="preserve">PacifiCorp proposed to continue the use of the </w:t>
      </w:r>
      <w:bookmarkStart w:name="_Hlk149068295" w:id="33"/>
      <w:r w:rsidR="00430DED">
        <w:t>E</w:t>
      </w:r>
      <w:r>
        <w:t xml:space="preserve">CAC </w:t>
      </w:r>
      <w:bookmarkEnd w:id="33"/>
      <w:r>
        <w:t xml:space="preserve">Mechanism, as adopted in D.06-12-011, which authorizes the utility to file an annual application to true-up actual net power costs and provide a forecast of net power costs for the following year. </w:t>
      </w:r>
    </w:p>
    <w:p w:rsidR="00430DED" w:rsidP="000C1638" w:rsidRDefault="00F32E0B" w14:paraId="03290BD3" w14:textId="3491375B">
      <w:pPr>
        <w:pStyle w:val="Standard"/>
      </w:pPr>
      <w:r>
        <w:t>CFBF</w:t>
      </w:r>
      <w:r w:rsidR="00430DED">
        <w:t xml:space="preserve"> argued that PacifiCorp’s proposed increase to its annual revenue requirement, in combination with the 2023 ECAC, could result in customers seeing a rate increase of 35.8</w:t>
      </w:r>
      <w:r w:rsidR="00730ADE">
        <w:t> percent</w:t>
      </w:r>
      <w:r w:rsidR="00D932EF">
        <w:t>.</w:t>
      </w:r>
      <w:r w:rsidR="00607C7E">
        <w:t xml:space="preserve"> </w:t>
      </w:r>
      <w:r w:rsidR="008E2BC8">
        <w:t xml:space="preserve">However, </w:t>
      </w:r>
      <w:r w:rsidR="00430DED">
        <w:t>PacifiCorp was granted authority to delay its GRC filing in D.20-02-025 and to continue use of the ECAC in D.22</w:t>
      </w:r>
      <w:r w:rsidR="00964257">
        <w:noBreakHyphen/>
      </w:r>
      <w:r w:rsidR="00430DED">
        <w:t>11</w:t>
      </w:r>
      <w:r w:rsidR="00964257">
        <w:noBreakHyphen/>
      </w:r>
      <w:r w:rsidR="00430DED">
        <w:t>008</w:t>
      </w:r>
      <w:r w:rsidR="008E2BC8">
        <w:t xml:space="preserve">, and Cal Advocates provided </w:t>
      </w:r>
      <w:r w:rsidR="00DB497F">
        <w:t xml:space="preserve">additional information about the revenue requirement request in its testimony </w:t>
      </w:r>
      <w:r w:rsidR="00006E05">
        <w:t>and associated workpapers</w:t>
      </w:r>
      <w:r w:rsidR="00430DED">
        <w:t>.</w:t>
      </w:r>
      <w:r w:rsidR="00DB497F">
        <w:rPr>
          <w:rStyle w:val="FootnoteReference"/>
        </w:rPr>
        <w:footnoteReference w:id="9"/>
      </w:r>
    </w:p>
    <w:p w:rsidRPr="000C1638" w:rsidR="000C1638" w:rsidP="000C1638" w:rsidRDefault="00006E05" w14:paraId="404C8982" w14:textId="42057640">
      <w:pPr>
        <w:pStyle w:val="Standard"/>
      </w:pPr>
      <w:r>
        <w:t xml:space="preserve">Upon review of the testimony and filings from PacifiCorp and Cal Advocates, we agree that </w:t>
      </w:r>
      <w:r w:rsidR="00430DED">
        <w:t>PacifiCorp met the requirements adopted in Ordering Paragraph (OP)</w:t>
      </w:r>
      <w:r w:rsidR="00964257">
        <w:t> </w:t>
      </w:r>
      <w:r w:rsidR="00430DED">
        <w:t xml:space="preserve">9 </w:t>
      </w:r>
      <w:r w:rsidR="0033451B">
        <w:t>of D</w:t>
      </w:r>
      <w:r w:rsidR="004013FD">
        <w:t xml:space="preserve">.22-11-008 </w:t>
      </w:r>
      <w:r w:rsidR="00430DED">
        <w:t>when filing the instant application</w:t>
      </w:r>
      <w:r w:rsidR="00D932EF">
        <w:t>.</w:t>
      </w:r>
      <w:r w:rsidR="0038218B">
        <w:t xml:space="preserve"> As noted in the Summary above, PacifiCorp’s customers can expect an approximately 17.5 percent increase in rates starting in </w:t>
      </w:r>
      <w:r w:rsidR="007E0283">
        <w:t>TY</w:t>
      </w:r>
      <w:r w:rsidR="0038218B">
        <w:t xml:space="preserve"> 2023, on average, far below the 35.8 percent implied by </w:t>
      </w:r>
      <w:r w:rsidR="00F32E0B">
        <w:t>CFBF</w:t>
      </w:r>
      <w:r w:rsidR="0038218B">
        <w:t xml:space="preserve">. </w:t>
      </w:r>
      <w:r w:rsidR="00750668">
        <w:t xml:space="preserve">In comments on the Proposed Decision, </w:t>
      </w:r>
      <w:r w:rsidR="00F32E0B">
        <w:t>CFBF</w:t>
      </w:r>
      <w:r w:rsidR="00750668">
        <w:t xml:space="preserve"> argued that the potential increase associated with the Wildfire Mitigation Memorandum Accounts, which will be considered in Track 2 of this proceeding, and PacifiCorp’s ECAC rate impacts, are not accurately reflected in this Decision. </w:t>
      </w:r>
      <w:r w:rsidR="0038218B">
        <w:t xml:space="preserve">Predicting the rate impacts associated with </w:t>
      </w:r>
      <w:r w:rsidR="00750668">
        <w:t xml:space="preserve">Track 2 of this proceeding and/or </w:t>
      </w:r>
      <w:r w:rsidR="0038218B">
        <w:t>future ECAC filings is not feasible using the evidence admitted in this proceeding</w:t>
      </w:r>
      <w:r w:rsidR="00750668">
        <w:t xml:space="preserve"> to this date</w:t>
      </w:r>
      <w:r w:rsidR="0038218B">
        <w:t>.</w:t>
      </w:r>
      <w:r w:rsidR="00607C7E">
        <w:t xml:space="preserve"> </w:t>
      </w:r>
      <w:r w:rsidR="00430DED">
        <w:t>Therefore</w:t>
      </w:r>
      <w:r w:rsidR="009D7976">
        <w:t xml:space="preserve">, we find </w:t>
      </w:r>
      <w:r w:rsidR="0038218B">
        <w:t xml:space="preserve">PacifiCorp’s </w:t>
      </w:r>
      <w:r w:rsidR="009D7976">
        <w:t xml:space="preserve">request to continue using ECAC to file annual applications to be reasonable and in line with Commission precedent. </w:t>
      </w:r>
      <w:r w:rsidR="001A2F40">
        <w:t xml:space="preserve">Further consideration of </w:t>
      </w:r>
      <w:r w:rsidR="00B64CEE">
        <w:t xml:space="preserve">whether </w:t>
      </w:r>
      <w:r w:rsidR="001A2F40">
        <w:t xml:space="preserve">the balances in PacifiCorp’s Wildfire Mitigation Memorandum Accounts </w:t>
      </w:r>
      <w:r w:rsidR="00B64CEE">
        <w:t xml:space="preserve">are just and reasonable </w:t>
      </w:r>
      <w:r w:rsidR="001A2F40">
        <w:t>will occur in Track 2 of this proceeding.</w:t>
      </w:r>
    </w:p>
    <w:p w:rsidR="00B42929" w:rsidP="002D228B" w:rsidRDefault="00B42929" w14:paraId="5143622D" w14:textId="43A1B467">
      <w:pPr>
        <w:pStyle w:val="Heading2"/>
        <w:numPr>
          <w:ilvl w:val="1"/>
          <w:numId w:val="3"/>
        </w:numPr>
      </w:pPr>
      <w:bookmarkStart w:name="_Toc153298420" w:id="34"/>
      <w:r>
        <w:t>Post-Test Year Adjustment Mechanism</w:t>
      </w:r>
      <w:r w:rsidR="000C1638">
        <w:t xml:space="preserve"> and</w:t>
      </w:r>
      <w:r w:rsidR="00237BF3">
        <w:br/>
      </w:r>
      <w:r w:rsidR="000C1638">
        <w:t>Post-Test Year Adjustment Mechanism Attrition Factor</w:t>
      </w:r>
      <w:bookmarkEnd w:id="34"/>
    </w:p>
    <w:p w:rsidR="004C0909" w:rsidP="00D2402A" w:rsidRDefault="00417AA1" w14:paraId="466622D9" w14:textId="66964712">
      <w:pPr>
        <w:pStyle w:val="Standard"/>
        <w:rPr>
          <w:rFonts w:cs="Times New Roman"/>
          <w:szCs w:val="20"/>
        </w:rPr>
      </w:pPr>
      <w:r w:rsidRPr="00D2402A">
        <w:t>In</w:t>
      </w:r>
      <w:r w:rsidRPr="000C4558">
        <w:rPr>
          <w:rFonts w:cs="Times New Roman"/>
          <w:szCs w:val="20"/>
        </w:rPr>
        <w:t xml:space="preserve"> D.06-12-011</w:t>
      </w:r>
      <w:r w:rsidR="004E623E">
        <w:rPr>
          <w:rFonts w:cs="Times New Roman"/>
          <w:szCs w:val="20"/>
        </w:rPr>
        <w:t xml:space="preserve">, the Commission authorized </w:t>
      </w:r>
      <w:r w:rsidR="009722C6">
        <w:rPr>
          <w:rFonts w:cs="Times New Roman"/>
          <w:szCs w:val="20"/>
        </w:rPr>
        <w:t>a PTAM for major capital additions that allows PacifiCorp to recover the California-allocated share of reasonable costs related to any plant additions greater than $50</w:t>
      </w:r>
      <w:r w:rsidR="00730ADE">
        <w:rPr>
          <w:rFonts w:cs="Times New Roman"/>
          <w:szCs w:val="20"/>
        </w:rPr>
        <w:t> million</w:t>
      </w:r>
      <w:r w:rsidR="009722C6">
        <w:rPr>
          <w:rFonts w:cs="Times New Roman"/>
          <w:szCs w:val="20"/>
        </w:rPr>
        <w:t xml:space="preserve"> on a total company basis.</w:t>
      </w:r>
      <w:r w:rsidR="009722C6">
        <w:rPr>
          <w:rStyle w:val="FootnoteReference"/>
          <w:rFonts w:cs="Times New Roman"/>
          <w:szCs w:val="20"/>
        </w:rPr>
        <w:footnoteReference w:id="10"/>
      </w:r>
      <w:r w:rsidR="009722C6">
        <w:rPr>
          <w:rFonts w:cs="Times New Roman"/>
          <w:szCs w:val="20"/>
        </w:rPr>
        <w:t xml:space="preserve"> D.06-12</w:t>
      </w:r>
      <w:r w:rsidR="00A80C08">
        <w:rPr>
          <w:rFonts w:cs="Times New Roman"/>
          <w:szCs w:val="20"/>
        </w:rPr>
        <w:t xml:space="preserve">-011 also authorized a PTAM Attrition Factor adjustment that </w:t>
      </w:r>
      <w:r w:rsidR="00CE70E7">
        <w:rPr>
          <w:rFonts w:cs="Times New Roman"/>
          <w:szCs w:val="20"/>
        </w:rPr>
        <w:t xml:space="preserve">is effective on January 1 in the years between GRCs that </w:t>
      </w:r>
      <w:r w:rsidR="00A80C08">
        <w:rPr>
          <w:rFonts w:cs="Times New Roman"/>
          <w:szCs w:val="20"/>
        </w:rPr>
        <w:t>allows PacifiCorp to adjust base rates for changes in inflation with an offsetting productivity factor of 0.5</w:t>
      </w:r>
      <w:r w:rsidR="00730ADE">
        <w:rPr>
          <w:rFonts w:cs="Times New Roman"/>
          <w:szCs w:val="20"/>
        </w:rPr>
        <w:t> percent</w:t>
      </w:r>
      <w:r w:rsidR="00A80C08">
        <w:rPr>
          <w:rFonts w:cs="Times New Roman"/>
          <w:szCs w:val="20"/>
        </w:rPr>
        <w:t>.</w:t>
      </w:r>
      <w:r w:rsidR="003A59CA">
        <w:rPr>
          <w:rStyle w:val="FootnoteReference"/>
          <w:rFonts w:cs="Times New Roman"/>
          <w:szCs w:val="20"/>
        </w:rPr>
        <w:footnoteReference w:id="11"/>
      </w:r>
      <w:r w:rsidR="003A59CA">
        <w:rPr>
          <w:rFonts w:cs="Times New Roman"/>
          <w:szCs w:val="20"/>
        </w:rPr>
        <w:t xml:space="preserve"> </w:t>
      </w:r>
      <w:r w:rsidR="000D2EEE">
        <w:rPr>
          <w:rFonts w:cs="Times New Roman"/>
          <w:szCs w:val="20"/>
        </w:rPr>
        <w:t>PacifiCorp’s</w:t>
      </w:r>
      <w:r w:rsidR="003A59CA">
        <w:rPr>
          <w:rFonts w:cs="Times New Roman"/>
          <w:szCs w:val="20"/>
        </w:rPr>
        <w:t xml:space="preserve"> PTAM and the PTAM Attrition Factor were most recently </w:t>
      </w:r>
      <w:r w:rsidR="000625D7">
        <w:rPr>
          <w:rFonts w:cs="Times New Roman"/>
          <w:szCs w:val="20"/>
        </w:rPr>
        <w:t xml:space="preserve">reauthorized in </w:t>
      </w:r>
      <w:r w:rsidR="00D3535A">
        <w:rPr>
          <w:rFonts w:cs="Times New Roman"/>
          <w:szCs w:val="20"/>
        </w:rPr>
        <w:t>D.20-02-025</w:t>
      </w:r>
      <w:r w:rsidR="0045350D">
        <w:rPr>
          <w:rFonts w:cs="Times New Roman"/>
          <w:szCs w:val="20"/>
        </w:rPr>
        <w:t>, and in A.22-05-006, the utility requested to continue its use to adjust rates, when necessary, between general rate cases</w:t>
      </w:r>
      <w:r w:rsidR="00D932EF">
        <w:rPr>
          <w:rFonts w:cs="Times New Roman"/>
          <w:szCs w:val="20"/>
        </w:rPr>
        <w:t>.</w:t>
      </w:r>
      <w:r w:rsidR="00607C7E">
        <w:rPr>
          <w:rFonts w:cs="Times New Roman"/>
          <w:szCs w:val="20"/>
        </w:rPr>
        <w:t xml:space="preserve"> </w:t>
      </w:r>
      <w:r w:rsidR="0045350D">
        <w:rPr>
          <w:rFonts w:cs="Times New Roman"/>
          <w:szCs w:val="20"/>
        </w:rPr>
        <w:t>No party contested the continued use of the PTAM in this proceeding</w:t>
      </w:r>
      <w:r w:rsidR="00D932EF">
        <w:rPr>
          <w:rFonts w:cs="Times New Roman"/>
          <w:szCs w:val="20"/>
        </w:rPr>
        <w:t>.</w:t>
      </w:r>
      <w:r w:rsidR="00607C7E">
        <w:rPr>
          <w:rFonts w:cs="Times New Roman"/>
          <w:szCs w:val="20"/>
        </w:rPr>
        <w:t xml:space="preserve"> </w:t>
      </w:r>
      <w:r w:rsidR="0045350D">
        <w:rPr>
          <w:rFonts w:cs="Times New Roman"/>
          <w:szCs w:val="20"/>
        </w:rPr>
        <w:t>We find that the PTAM is an efficient means to set fair and reasonable rates and authorize PacifiCorp to continue using it</w:t>
      </w:r>
      <w:r w:rsidR="00D932EF">
        <w:rPr>
          <w:rFonts w:cs="Times New Roman"/>
          <w:szCs w:val="20"/>
        </w:rPr>
        <w:t>.</w:t>
      </w:r>
      <w:r w:rsidR="004C0909">
        <w:rPr>
          <w:rFonts w:cs="Times New Roman"/>
          <w:szCs w:val="20"/>
        </w:rPr>
        <w:t xml:space="preserve"> PacifiCorp may use the PTAM for any major capital additions during the rate case period based on California allocated costs, so long as the requested adjustment is based on actual cost data and in-service dates. A PTAM for major capital additions may be filed for 2023 as soon as reasonably feasible following the effective date of this decision, and a PTAM may be filed on October 15, 2024, and in subsequent years during the rate case period. Should PacifiCorp seek to continue its PTAM process after 2025, it should specifically request to do so in its TY 2026 GRC application.</w:t>
      </w:r>
      <w:r w:rsidR="00607C7E">
        <w:rPr>
          <w:rFonts w:cs="Times New Roman"/>
          <w:szCs w:val="20"/>
        </w:rPr>
        <w:t xml:space="preserve"> </w:t>
      </w:r>
    </w:p>
    <w:p w:rsidR="0045350D" w:rsidP="00D2402A" w:rsidRDefault="004C0909" w14:paraId="7D077ECF" w14:textId="4A0A20F7">
      <w:pPr>
        <w:pStyle w:val="Standard"/>
        <w:rPr>
          <w:szCs w:val="26"/>
        </w:rPr>
      </w:pPr>
      <w:r>
        <w:rPr>
          <w:rFonts w:cs="Times New Roman"/>
          <w:szCs w:val="20"/>
        </w:rPr>
        <w:t>C</w:t>
      </w:r>
      <w:r w:rsidR="001A2F40">
        <w:rPr>
          <w:rFonts w:cs="Times New Roman"/>
          <w:szCs w:val="20"/>
        </w:rPr>
        <w:t xml:space="preserve">ontinued use of the PTAM Attrition Factor is </w:t>
      </w:r>
      <w:r>
        <w:rPr>
          <w:rFonts w:cs="Times New Roman"/>
          <w:szCs w:val="20"/>
        </w:rPr>
        <w:t xml:space="preserve">also </w:t>
      </w:r>
      <w:r w:rsidR="001A2F40">
        <w:rPr>
          <w:rFonts w:cs="Times New Roman"/>
          <w:szCs w:val="20"/>
        </w:rPr>
        <w:t>authorized and must be</w:t>
      </w:r>
      <w:r w:rsidR="0045350D">
        <w:rPr>
          <w:rFonts w:cs="Times New Roman"/>
          <w:szCs w:val="20"/>
        </w:rPr>
        <w:t xml:space="preserve">  calculated as the greater of (1) </w:t>
      </w:r>
      <w:r w:rsidR="0045350D">
        <w:rPr>
          <w:szCs w:val="26"/>
        </w:rPr>
        <w:t>the September Global Insight U.S. Economic Outlook forecast of Consumer Price Index with an offsetting productivity factor of 0.5</w:t>
      </w:r>
      <w:r w:rsidR="00730ADE">
        <w:rPr>
          <w:szCs w:val="26"/>
        </w:rPr>
        <w:t> percent</w:t>
      </w:r>
      <w:r w:rsidR="0045350D">
        <w:rPr>
          <w:szCs w:val="26"/>
        </w:rPr>
        <w:t xml:space="preserve">, or (2) zero. </w:t>
      </w:r>
    </w:p>
    <w:p w:rsidR="00417AA1" w:rsidP="00D2402A" w:rsidRDefault="0045350D" w14:paraId="3A5B21EA" w14:textId="156EB0F3">
      <w:pPr>
        <w:pStyle w:val="Standard"/>
        <w:rPr>
          <w:rFonts w:cs="Times New Roman"/>
          <w:szCs w:val="20"/>
        </w:rPr>
      </w:pPr>
      <w:r>
        <w:rPr>
          <w:rFonts w:cs="Times New Roman"/>
          <w:szCs w:val="20"/>
        </w:rPr>
        <w:t xml:space="preserve">Given the effective date of this decision, a PTAM </w:t>
      </w:r>
      <w:r w:rsidR="001A2F40">
        <w:rPr>
          <w:rFonts w:cs="Times New Roman"/>
          <w:szCs w:val="20"/>
        </w:rPr>
        <w:t xml:space="preserve">Attrition Factor </w:t>
      </w:r>
      <w:r>
        <w:rPr>
          <w:rFonts w:cs="Times New Roman"/>
          <w:szCs w:val="20"/>
        </w:rPr>
        <w:t>based on the Consumer Price Index is not found to be reasonable for 2024.</w:t>
      </w:r>
    </w:p>
    <w:p w:rsidR="00717431" w:rsidP="002D228B" w:rsidRDefault="00717431" w14:paraId="68712B2F" w14:textId="15E22161">
      <w:pPr>
        <w:pStyle w:val="Heading2"/>
        <w:numPr>
          <w:ilvl w:val="1"/>
          <w:numId w:val="3"/>
        </w:numPr>
      </w:pPr>
      <w:bookmarkStart w:name="_Toc153298421" w:id="35"/>
      <w:r>
        <w:t>Risk-Based Decision</w:t>
      </w:r>
      <w:r w:rsidR="00286FD9">
        <w:t>-</w:t>
      </w:r>
      <w:r>
        <w:t>Making Framework</w:t>
      </w:r>
      <w:bookmarkEnd w:id="35"/>
    </w:p>
    <w:p w:rsidR="008E623B" w:rsidP="00717431" w:rsidRDefault="00286FD9" w14:paraId="6C4B95FD" w14:textId="10202DA1">
      <w:pPr>
        <w:pStyle w:val="Standard"/>
      </w:pPr>
      <w:r>
        <w:t>Pursuant to Pub. Util. Code §750, the Commission adopted formal procedures to consider safety in each energy utility’s GRC applications. D.14</w:t>
      </w:r>
      <w:r w:rsidR="00964257">
        <w:noBreakHyphen/>
      </w:r>
      <w:r>
        <w:t>12</w:t>
      </w:r>
      <w:r w:rsidR="00964257">
        <w:noBreakHyphen/>
      </w:r>
      <w:r>
        <w:t xml:space="preserve">025 incorporated a </w:t>
      </w:r>
      <w:bookmarkStart w:name="_Hlk149069004" w:id="36"/>
      <w:r>
        <w:t xml:space="preserve">risk-based decision-making framework (RDF) </w:t>
      </w:r>
      <w:bookmarkEnd w:id="36"/>
      <w:r>
        <w:t xml:space="preserve">into the Rate Case Plan requirements for GRCs filed by the larger utilities in California immediately but gave the </w:t>
      </w:r>
      <w:bookmarkStart w:name="_Hlk149069018" w:id="37"/>
      <w:r>
        <w:t>small and/or multijurisdictional utilities</w:t>
      </w:r>
      <w:r w:rsidR="004A3E9B">
        <w:t xml:space="preserve"> (SMJU)</w:t>
      </w:r>
      <w:r>
        <w:t xml:space="preserve"> </w:t>
      </w:r>
      <w:bookmarkEnd w:id="37"/>
      <w:r>
        <w:t>an additional three years to implement the new process</w:t>
      </w:r>
      <w:r w:rsidR="00D932EF">
        <w:t>.</w:t>
      </w:r>
      <w:r w:rsidR="00607C7E">
        <w:t xml:space="preserve"> </w:t>
      </w:r>
      <w:r w:rsidR="004A3E9B">
        <w:t xml:space="preserve">D.14-12-025 also does not require SMJUs to implement a </w:t>
      </w:r>
      <w:bookmarkStart w:name="_Hlk149069043" w:id="38"/>
      <w:r w:rsidR="004A3E9B">
        <w:t>Risk Assessment Mitigation Phase (RAMP)</w:t>
      </w:r>
      <w:r w:rsidR="00D932EF">
        <w:t>.</w:t>
      </w:r>
      <w:bookmarkEnd w:id="38"/>
      <w:r w:rsidR="00607C7E">
        <w:t xml:space="preserve"> </w:t>
      </w:r>
      <w:r>
        <w:t xml:space="preserve">PacifiCorp transitioned to this prescribed RDF in its last GRC, </w:t>
      </w:r>
      <w:bookmarkStart w:name="_Hlk149069055" w:id="39"/>
      <w:r>
        <w:t>A.18</w:t>
      </w:r>
      <w:r w:rsidR="00964257">
        <w:noBreakHyphen/>
      </w:r>
      <w:r>
        <w:t>04</w:t>
      </w:r>
      <w:r w:rsidR="00964257">
        <w:noBreakHyphen/>
      </w:r>
      <w:r>
        <w:t>002 (2019 GRC).</w:t>
      </w:r>
      <w:r>
        <w:rPr>
          <w:rStyle w:val="FootnoteReference"/>
        </w:rPr>
        <w:footnoteReference w:id="12"/>
      </w:r>
      <w:bookmarkEnd w:id="39"/>
    </w:p>
    <w:p w:rsidR="00BA1099" w:rsidP="002D228B" w:rsidRDefault="008E623B" w14:paraId="486E3B9F" w14:textId="43A755CF">
      <w:pPr>
        <w:pStyle w:val="Heading3"/>
        <w:numPr>
          <w:ilvl w:val="2"/>
          <w:numId w:val="3"/>
        </w:numPr>
      </w:pPr>
      <w:bookmarkStart w:name="_Toc153298422" w:id="40"/>
      <w:r>
        <w:t>Non-Wildfire-Related Risk Assessment</w:t>
      </w:r>
      <w:bookmarkEnd w:id="40"/>
      <w:r w:rsidR="00286FD9">
        <w:t xml:space="preserve"> </w:t>
      </w:r>
    </w:p>
    <w:p w:rsidR="00286FD9" w:rsidP="00717431" w:rsidRDefault="00286FD9" w14:paraId="34A9AB46" w14:textId="6C07B569">
      <w:pPr>
        <w:pStyle w:val="Standard"/>
      </w:pPr>
      <w:r>
        <w:t>PacifiCorp largely referenced documents that were filed in A.18</w:t>
      </w:r>
      <w:r w:rsidR="00964257">
        <w:noBreakHyphen/>
      </w:r>
      <w:r>
        <w:t>04</w:t>
      </w:r>
      <w:r w:rsidR="00964257">
        <w:noBreakHyphen/>
      </w:r>
      <w:r>
        <w:t>002 when addressing its RDF in the instant proceeding, specifically Exhibit PAC/1000, which was submitted as part of its 2019 GRC testimony</w:t>
      </w:r>
      <w:r w:rsidR="00D932EF">
        <w:t>.</w:t>
      </w:r>
      <w:r w:rsidR="00607C7E">
        <w:t xml:space="preserve"> </w:t>
      </w:r>
      <w:r>
        <w:t>Its top ten</w:t>
      </w:r>
      <w:r w:rsidR="00964257">
        <w:t> </w:t>
      </w:r>
      <w:r>
        <w:t>risks identified remained unchanged:</w:t>
      </w:r>
    </w:p>
    <w:p w:rsidR="00286FD9" w:rsidP="002D228B" w:rsidRDefault="00286FD9" w14:paraId="5D08AB63" w14:textId="5957987A">
      <w:pPr>
        <w:pStyle w:val="ListNum"/>
        <w:numPr>
          <w:ilvl w:val="6"/>
          <w:numId w:val="3"/>
        </w:numPr>
        <w:ind w:right="1440"/>
      </w:pPr>
      <w:r>
        <w:t>Substation Transformer Failure</w:t>
      </w:r>
    </w:p>
    <w:p w:rsidR="00286FD9" w:rsidP="002D228B" w:rsidRDefault="00286FD9" w14:paraId="4FF92B35" w14:textId="7D6161A0">
      <w:pPr>
        <w:pStyle w:val="ListNum"/>
        <w:numPr>
          <w:ilvl w:val="6"/>
          <w:numId w:val="3"/>
        </w:numPr>
        <w:ind w:right="1440"/>
      </w:pPr>
      <w:r>
        <w:t>Substation Circuit Breaker Failure</w:t>
      </w:r>
    </w:p>
    <w:p w:rsidR="00286FD9" w:rsidP="002D228B" w:rsidRDefault="00286FD9" w14:paraId="29886555" w14:textId="589F920D">
      <w:pPr>
        <w:pStyle w:val="ListNum"/>
        <w:numPr>
          <w:ilvl w:val="6"/>
          <w:numId w:val="3"/>
        </w:numPr>
        <w:ind w:right="1440"/>
      </w:pPr>
      <w:r>
        <w:t>Substation Transformer Bushing Failure</w:t>
      </w:r>
    </w:p>
    <w:p w:rsidR="00286FD9" w:rsidP="002D228B" w:rsidRDefault="00286FD9" w14:paraId="77EEB52A" w14:textId="59BCA351">
      <w:pPr>
        <w:pStyle w:val="ListNum"/>
        <w:numPr>
          <w:ilvl w:val="6"/>
          <w:numId w:val="3"/>
        </w:numPr>
        <w:ind w:right="1440"/>
      </w:pPr>
      <w:r>
        <w:t xml:space="preserve">Substation Circuit Breaker Oil / </w:t>
      </w:r>
      <w:r w:rsidR="007E0283">
        <w:t>Sulfur Hexafluoride (SF6)</w:t>
      </w:r>
      <w:r w:rsidR="00864C0D">
        <w:t xml:space="preserve"> </w:t>
      </w:r>
      <w:r>
        <w:t>Gas Leak</w:t>
      </w:r>
    </w:p>
    <w:p w:rsidR="00286FD9" w:rsidP="002D228B" w:rsidRDefault="00286FD9" w14:paraId="46710CC8" w14:textId="71FAB2D1">
      <w:pPr>
        <w:pStyle w:val="ListNum"/>
        <w:numPr>
          <w:ilvl w:val="6"/>
          <w:numId w:val="3"/>
        </w:numPr>
        <w:ind w:right="1440"/>
      </w:pPr>
      <w:r>
        <w:t>Transformer Radiator Failure</w:t>
      </w:r>
    </w:p>
    <w:p w:rsidR="00286FD9" w:rsidP="002D228B" w:rsidRDefault="00286FD9" w14:paraId="6D1EEC2F" w14:textId="2D5345F0">
      <w:pPr>
        <w:pStyle w:val="ListNum"/>
        <w:numPr>
          <w:ilvl w:val="6"/>
          <w:numId w:val="3"/>
        </w:numPr>
        <w:ind w:right="1440"/>
      </w:pPr>
      <w:r>
        <w:t>Relay Failure or Mis-operation</w:t>
      </w:r>
    </w:p>
    <w:p w:rsidR="00286FD9" w:rsidP="002D228B" w:rsidRDefault="00286FD9" w14:paraId="416D8E67" w14:textId="48FCC339">
      <w:pPr>
        <w:pStyle w:val="ListNum"/>
        <w:numPr>
          <w:ilvl w:val="6"/>
          <w:numId w:val="3"/>
        </w:numPr>
        <w:ind w:right="1440"/>
      </w:pPr>
      <w:r>
        <w:t>Distribution Underground Conductor Failure</w:t>
      </w:r>
    </w:p>
    <w:p w:rsidR="00286FD9" w:rsidP="002D228B" w:rsidRDefault="00286FD9" w14:paraId="42CE1507" w14:textId="30647D34">
      <w:pPr>
        <w:pStyle w:val="ListNum"/>
        <w:numPr>
          <w:ilvl w:val="6"/>
          <w:numId w:val="3"/>
        </w:numPr>
        <w:ind w:right="1440"/>
      </w:pPr>
      <w:r>
        <w:t>Distribution Overheard Pole Failure</w:t>
      </w:r>
    </w:p>
    <w:p w:rsidR="00286FD9" w:rsidP="002D228B" w:rsidRDefault="00286FD9" w14:paraId="7107D4F1" w14:textId="18DFC586">
      <w:pPr>
        <w:pStyle w:val="ListNum"/>
        <w:numPr>
          <w:ilvl w:val="6"/>
          <w:numId w:val="3"/>
        </w:numPr>
        <w:ind w:right="1440"/>
      </w:pPr>
      <w:r>
        <w:t>Distribution Overhead Conductor Failure</w:t>
      </w:r>
    </w:p>
    <w:p w:rsidR="00286FD9" w:rsidP="00F32B24" w:rsidRDefault="00286FD9" w14:paraId="0C8BB129" w14:textId="386852B6">
      <w:pPr>
        <w:pStyle w:val="ListNum"/>
        <w:numPr>
          <w:ilvl w:val="6"/>
          <w:numId w:val="3"/>
        </w:numPr>
        <w:ind w:right="1440" w:hanging="446"/>
      </w:pPr>
      <w:r>
        <w:t>Distribution Overhead Pole Mounted Equipment Failure – Aging Infrastructure</w:t>
      </w:r>
    </w:p>
    <w:p w:rsidR="00286FD9" w:rsidP="00CF2AF9" w:rsidRDefault="00D5298F" w14:paraId="69B74ED6" w14:textId="3FF4C928">
      <w:pPr>
        <w:pStyle w:val="Standard"/>
        <w:spacing w:before="240"/>
      </w:pPr>
      <w:r>
        <w:t xml:space="preserve">PacifiCorp stated that its risk assessment occurred in 2018, and since then, it has “shifted focus to understand and evaluate wildfire risks consistent with the </w:t>
      </w:r>
      <w:bookmarkStart w:name="_Hlk149069103" w:id="41"/>
      <w:r>
        <w:t xml:space="preserve">wildfire mitigation plan (WMP) </w:t>
      </w:r>
      <w:bookmarkEnd w:id="41"/>
      <w:r>
        <w:t>ratemaking and proceedings.”</w:t>
      </w:r>
      <w:r>
        <w:rPr>
          <w:rStyle w:val="FootnoteReference"/>
        </w:rPr>
        <w:footnoteReference w:id="13"/>
      </w:r>
    </w:p>
    <w:p w:rsidR="004A3E9B" w:rsidP="00D5298F" w:rsidRDefault="004A3E9B" w14:paraId="5A1A2B0E" w14:textId="03E1933B">
      <w:pPr>
        <w:pStyle w:val="Standard"/>
      </w:pPr>
      <w:r>
        <w:t xml:space="preserve">D.19-04-020, in part, </w:t>
      </w:r>
      <w:r w:rsidRPr="004A3E9B">
        <w:t xml:space="preserve">established standards for how </w:t>
      </w:r>
      <w:r>
        <w:t>SMJUs</w:t>
      </w:r>
      <w:r w:rsidRPr="004A3E9B">
        <w:t xml:space="preserve"> should demonstrate risk assessment competency and reasonably disclose specifics surrounding their risk mitigation plans and associated costs as a precondition for Commission approval of their GRC applications</w:t>
      </w:r>
      <w:r w:rsidR="00D932EF">
        <w:t>.</w:t>
      </w:r>
      <w:r w:rsidR="00607C7E">
        <w:t xml:space="preserve"> </w:t>
      </w:r>
      <w:r>
        <w:t>D.19-04-020 specifically adopted a Voluntary Agreement establishing RDF standards for SMJUs.</w:t>
      </w:r>
      <w:r>
        <w:rPr>
          <w:rStyle w:val="FootnoteReference"/>
        </w:rPr>
        <w:footnoteReference w:id="14"/>
      </w:r>
      <w:r>
        <w:t xml:space="preserve"> Because this agreement was adopted after PacifiCorp filed its 2019 GRC, the 10</w:t>
      </w:r>
      <w:r w:rsidR="00964257">
        <w:t> </w:t>
      </w:r>
      <w:r>
        <w:t>R</w:t>
      </w:r>
      <w:r w:rsidR="00CE2E8A">
        <w:t>DF</w:t>
      </w:r>
      <w:r>
        <w:t xml:space="preserve"> elements adopted within it were not included in its rate case testimony for that proceeding</w:t>
      </w:r>
      <w:r w:rsidR="00D932EF">
        <w:t>.</w:t>
      </w:r>
      <w:r>
        <w:t xml:space="preserve"> Therefore, A.22-05-006 marks the first time PacifiCorp is bound by D.19-04-020’s RDF standards.</w:t>
      </w:r>
    </w:p>
    <w:p w:rsidR="00E60BDD" w:rsidP="00D5298F" w:rsidRDefault="004A3E9B" w14:paraId="2C24B887" w14:textId="4D8829B0">
      <w:pPr>
        <w:pStyle w:val="Standard"/>
      </w:pPr>
      <w:r>
        <w:t>Instead of focusing on the 10 RAMP elements defined in the 2019 Voluntary Agreement, PacifiCorp only point</w:t>
      </w:r>
      <w:r w:rsidR="00B1485A">
        <w:t>ed</w:t>
      </w:r>
      <w:r>
        <w:t xml:space="preserve"> us back to the documentation filed in its 2019 GRC, which does not adequately address the </w:t>
      </w:r>
      <w:r w:rsidR="00CE2E8A">
        <w:t xml:space="preserve">new elements. </w:t>
      </w:r>
      <w:r w:rsidR="00B466C8">
        <w:t xml:space="preserve">PacifiCorp noted that its prior documentation filed for its 2019 GRC did not include any costs or expenses for non-wildfire mitigation risk-based decision-making, and that it did not have any non-wildfire mitigation </w:t>
      </w:r>
      <w:r w:rsidR="00CA6EC2">
        <w:t xml:space="preserve">risk-based </w:t>
      </w:r>
      <w:r w:rsidR="00B466C8">
        <w:t>costs or expenses in 2020, 2021, or 2022.</w:t>
      </w:r>
      <w:r w:rsidR="00B466C8">
        <w:rPr>
          <w:rStyle w:val="FootnoteReference"/>
        </w:rPr>
        <w:footnoteReference w:id="15"/>
      </w:r>
      <w:r w:rsidR="00B466C8">
        <w:t xml:space="preserve"> It further suggested that only $105,000 in capital costs requested in A.22-05-006 are for non-wildfire risk related improvements in California, and those costs are forecasted only to improve physical security of its substations.</w:t>
      </w:r>
      <w:r w:rsidR="00B466C8">
        <w:rPr>
          <w:rStyle w:val="FootnoteReference"/>
        </w:rPr>
        <w:footnoteReference w:id="16"/>
      </w:r>
    </w:p>
    <w:p w:rsidR="004A3E9B" w:rsidP="00D5298F" w:rsidRDefault="00B466C8" w14:paraId="771E9B22" w14:textId="528717CB">
      <w:pPr>
        <w:pStyle w:val="Standard"/>
      </w:pPr>
      <w:r>
        <w:t>W</w:t>
      </w:r>
      <w:r w:rsidR="00CE2E8A">
        <w:t>e find that PacifiCorp has failed to identify the root cause of the 10</w:t>
      </w:r>
      <w:r w:rsidR="00CF2AF9">
        <w:t> </w:t>
      </w:r>
      <w:r w:rsidR="00CE2E8A">
        <w:t xml:space="preserve">top risks it described in its 2019 GRC, </w:t>
      </w:r>
      <w:r w:rsidR="00000051">
        <w:t>and PacifiCorp</w:t>
      </w:r>
      <w:r w:rsidR="00CE2E8A">
        <w:t xml:space="preserve"> does </w:t>
      </w:r>
      <w:r w:rsidR="001B372A">
        <w:t>not</w:t>
      </w:r>
      <w:r w:rsidR="00CE2E8A">
        <w:t xml:space="preserve"> adequately describe the controls or mitigation measures it has implemented, or intends to implement, to address those top 10 risk factors.</w:t>
      </w:r>
      <w:r w:rsidR="00CE2E8A">
        <w:rPr>
          <w:rStyle w:val="FootnoteReference"/>
        </w:rPr>
        <w:footnoteReference w:id="17"/>
      </w:r>
      <w:r w:rsidR="00CE2E8A">
        <w:t xml:space="preserve"> </w:t>
      </w:r>
      <w:r w:rsidR="00000051">
        <w:t>This includes wildfire- and non-wildfire related risks</w:t>
      </w:r>
      <w:r w:rsidR="00D932EF">
        <w:t>.</w:t>
      </w:r>
      <w:r w:rsidR="00607C7E">
        <w:t xml:space="preserve"> </w:t>
      </w:r>
      <w:r w:rsidR="00CE2E8A">
        <w:t xml:space="preserve">PacifiCorp </w:t>
      </w:r>
      <w:r w:rsidR="00000051">
        <w:t>requested very</w:t>
      </w:r>
      <w:r w:rsidR="001B372A">
        <w:t xml:space="preserve"> little</w:t>
      </w:r>
      <w:r w:rsidR="00CE2E8A">
        <w:t xml:space="preserve"> incremental funding to support additional RAMP or RDF processes,</w:t>
      </w:r>
      <w:r w:rsidR="00000051">
        <w:t xml:space="preserve"> </w:t>
      </w:r>
      <w:r w:rsidR="004C0909">
        <w:t xml:space="preserve">and the funding it requested </w:t>
      </w:r>
      <w:r w:rsidR="007E0283">
        <w:t xml:space="preserve">was </w:t>
      </w:r>
      <w:r w:rsidR="00000051">
        <w:t xml:space="preserve">solely focused on substation security. </w:t>
      </w:r>
      <w:r w:rsidR="00E60BDD">
        <w:t xml:space="preserve"> PacifiCorp </w:t>
      </w:r>
      <w:r w:rsidR="00000051">
        <w:t>has</w:t>
      </w:r>
      <w:r w:rsidR="00E60BDD">
        <w:t xml:space="preserve"> not address</w:t>
      </w:r>
      <w:r w:rsidR="00000051">
        <w:t>ed</w:t>
      </w:r>
      <w:r w:rsidR="00E60BDD">
        <w:t xml:space="preserve"> or mention</w:t>
      </w:r>
      <w:r w:rsidR="00000051">
        <w:t>ed</w:t>
      </w:r>
      <w:r w:rsidR="00E60BDD">
        <w:t xml:space="preserve"> the company’s safety culture, executive engagement, and compensation policies in its testimony, which </w:t>
      </w:r>
      <w:r w:rsidR="00B1485A">
        <w:t>are</w:t>
      </w:r>
      <w:r w:rsidR="00E60BDD">
        <w:t xml:space="preserve"> requirement</w:t>
      </w:r>
      <w:r w:rsidR="00B1485A">
        <w:t>s</w:t>
      </w:r>
      <w:r w:rsidR="00E60BDD">
        <w:t xml:space="preserve"> of the Voluntary Agreement. </w:t>
      </w:r>
    </w:p>
    <w:p w:rsidR="00E60BDD" w:rsidP="00D5298F" w:rsidRDefault="00E60BDD" w14:paraId="061BAC6B" w14:textId="66EC11CD">
      <w:pPr>
        <w:pStyle w:val="Standard"/>
      </w:pPr>
      <w:r>
        <w:t>Given that multiple aspects of the RDF and its associated Voluntary Agreement have not been adequately addressed in PacifiCorp’s testimony and briefs in this proceeding, we direct PacifiCorp to file an updated RDF assessment that full</w:t>
      </w:r>
      <w:r w:rsidR="001B372A">
        <w:t>y</w:t>
      </w:r>
      <w:r>
        <w:t xml:space="preserve"> addresses each of the 10 RAMP elements in its next GRC application. The utility shall not rely on the assessment conducted in 2018 to fulfill this requirement; instead, it shall conduct a fully new assessment and submit information directly addressing each of the 10 RAMP elements adopted in the D.19-04-020 Voluntary Agreement.</w:t>
      </w:r>
    </w:p>
    <w:p w:rsidR="008E623B" w:rsidP="002D228B" w:rsidRDefault="008E623B" w14:paraId="0E7AA57C" w14:textId="1E37DF9A">
      <w:pPr>
        <w:pStyle w:val="Heading3"/>
        <w:numPr>
          <w:ilvl w:val="2"/>
          <w:numId w:val="3"/>
        </w:numPr>
      </w:pPr>
      <w:bookmarkStart w:name="_Toc153298423" w:id="42"/>
      <w:r>
        <w:t xml:space="preserve">Wildfire Cost Recovery </w:t>
      </w:r>
      <w:r w:rsidR="0014788A">
        <w:t xml:space="preserve">Mechanism </w:t>
      </w:r>
      <w:r>
        <w:t>Proposal</w:t>
      </w:r>
      <w:bookmarkEnd w:id="42"/>
    </w:p>
    <w:p w:rsidR="008E623B" w:rsidP="008E623B" w:rsidRDefault="008E623B" w14:paraId="12340087" w14:textId="3B6AB858">
      <w:pPr>
        <w:pStyle w:val="Standard"/>
      </w:pPr>
      <w:bookmarkStart w:name="_Hlk152684594" w:id="43"/>
      <w:r>
        <w:t xml:space="preserve">PacifiCorp proposed to mitigate the potential for rate-shocks associated with its wildfire mitigation costs by recording incremental costs in its Wildfire </w:t>
      </w:r>
      <w:r w:rsidR="001B372A">
        <w:t xml:space="preserve">Mitigation </w:t>
      </w:r>
      <w:r>
        <w:t>Plan Memorandum Account (WMPMA)</w:t>
      </w:r>
      <w:r w:rsidR="009259B0">
        <w:t xml:space="preserve"> and recovering the recorded costs incrementally through annual</w:t>
      </w:r>
      <w:r w:rsidR="001B372A">
        <w:t xml:space="preserve"> advice letter</w:t>
      </w:r>
      <w:r w:rsidR="009259B0">
        <w:t xml:space="preserve"> filings between its GRCs. </w:t>
      </w:r>
      <w:r w:rsidR="00AB482D">
        <w:t>PacifiCorp noted it expects to require a “significant and sustained level of capital spending” to address California policy requirements including wildfire mitigation costs of $290</w:t>
      </w:r>
      <w:r w:rsidR="00730ADE">
        <w:t> million</w:t>
      </w:r>
      <w:r w:rsidR="00AB482D">
        <w:t xml:space="preserve"> during 2022 and 2023.</w:t>
      </w:r>
      <w:r w:rsidR="00AB482D">
        <w:rPr>
          <w:rStyle w:val="FootnoteReference"/>
        </w:rPr>
        <w:footnoteReference w:id="18"/>
      </w:r>
      <w:r w:rsidR="00AB482D">
        <w:t xml:space="preserve">  </w:t>
      </w:r>
      <w:r w:rsidR="00DF0253">
        <w:t xml:space="preserve">PacifiCorp’s </w:t>
      </w:r>
      <w:r w:rsidR="00A43621">
        <w:t>intent f</w:t>
      </w:r>
      <w:r w:rsidR="00DF0253">
        <w:t>or</w:t>
      </w:r>
      <w:r w:rsidR="00A43621">
        <w:t xml:space="preserve"> the annual filings was to spread recover</w:t>
      </w:r>
      <w:r w:rsidR="00541972">
        <w:t>y</w:t>
      </w:r>
      <w:r w:rsidR="00A43621">
        <w:t xml:space="preserve"> of wildfire-related mitigation costs over several years, rather than </w:t>
      </w:r>
      <w:r w:rsidR="001B372A">
        <w:t>having all wildfire-related costs incurred during a three-year GRC cycle added to rates at one time</w:t>
      </w:r>
      <w:r w:rsidR="00A43621">
        <w:t>.</w:t>
      </w:r>
      <w:r w:rsidR="00A43621">
        <w:rPr>
          <w:rStyle w:val="FootnoteReference"/>
        </w:rPr>
        <w:footnoteReference w:id="19"/>
      </w:r>
    </w:p>
    <w:p w:rsidR="00A43621" w:rsidP="008E623B" w:rsidRDefault="00F32E0B" w14:paraId="56CE673B" w14:textId="1194438B">
      <w:pPr>
        <w:pStyle w:val="Standard"/>
      </w:pPr>
      <w:r>
        <w:t>CFBF</w:t>
      </w:r>
      <w:r w:rsidR="00A43621">
        <w:t xml:space="preserve"> argued that PacifiCorp’s proposal to use its WMPMA to track forecasted wildfire mitigation operation and maintenance costs and recover costs in an annual </w:t>
      </w:r>
      <w:r w:rsidR="00806D96">
        <w:t xml:space="preserve">advice letter </w:t>
      </w:r>
      <w:r w:rsidR="00A43621">
        <w:t>filing is “delusional” given the utility’s failure to provide adequate analysis of its wildfire accounting and spending in this proceeding.</w:t>
      </w:r>
      <w:r w:rsidR="00A43621">
        <w:rPr>
          <w:rStyle w:val="FootnoteReference"/>
        </w:rPr>
        <w:footnoteReference w:id="20"/>
      </w:r>
      <w:r w:rsidR="007855F8">
        <w:t xml:space="preserve"> </w:t>
      </w:r>
    </w:p>
    <w:p w:rsidR="00A43621" w:rsidP="008E623B" w:rsidRDefault="000841EB" w14:paraId="588BA6C3" w14:textId="7FEFEBB5">
      <w:pPr>
        <w:pStyle w:val="Standard"/>
      </w:pPr>
      <w:r>
        <w:t>T</w:t>
      </w:r>
      <w:r w:rsidR="00A43621">
        <w:t>he costs associated with PacifiCorp’s wildfire-related mitigation memorandum accounts will be reviewed in significantly more detail in Track 2 of this proceeding.</w:t>
      </w:r>
      <w:r w:rsidR="002530DE">
        <w:rPr>
          <w:rStyle w:val="FootnoteReference"/>
        </w:rPr>
        <w:footnoteReference w:id="21"/>
      </w:r>
      <w:r w:rsidR="00A43621">
        <w:t xml:space="preserve"> </w:t>
      </w:r>
      <w:r w:rsidR="001B372A">
        <w:t xml:space="preserve">Further, the balances in the wildfire mitigation memorandum accounts that are ultimately found just and reasonable in GRCs may </w:t>
      </w:r>
      <w:r w:rsidR="00DF0253">
        <w:t xml:space="preserve">be </w:t>
      </w:r>
      <w:r w:rsidR="001B372A">
        <w:t>amortized over differing time periods, depending on the facts and circumstances associate</w:t>
      </w:r>
      <w:r w:rsidR="00DF0253">
        <w:t>d</w:t>
      </w:r>
      <w:r w:rsidR="001B372A">
        <w:t xml:space="preserve"> with the requested amounts, rather than being added to rates at one time.</w:t>
      </w:r>
    </w:p>
    <w:p w:rsidR="002530DE" w:rsidP="008E623B" w:rsidRDefault="00A43621" w14:paraId="084BE7EE" w14:textId="5FF760EF">
      <w:pPr>
        <w:pStyle w:val="Standard"/>
      </w:pPr>
      <w:r>
        <w:t xml:space="preserve">It </w:t>
      </w:r>
      <w:r w:rsidR="00860D5A">
        <w:t>is not appropriate for an electrical corporation</w:t>
      </w:r>
      <w:r>
        <w:t xml:space="preserve"> to </w:t>
      </w:r>
      <w:r w:rsidR="002733C6">
        <w:t xml:space="preserve">use advice letters to </w:t>
      </w:r>
      <w:r>
        <w:t>add incremental wildfire mitigation costs annually on top of what PacifiCorp reques</w:t>
      </w:r>
      <w:r w:rsidR="00A06274">
        <w:t>ts</w:t>
      </w:r>
      <w:r>
        <w:t xml:space="preserve"> in its GRC application</w:t>
      </w:r>
      <w:r w:rsidR="00A06274">
        <w:t>s</w:t>
      </w:r>
      <w:r w:rsidR="0014788A">
        <w:t xml:space="preserve"> other than PTAM adjustments</w:t>
      </w:r>
      <w:r>
        <w:t>.</w:t>
      </w:r>
      <w:r w:rsidR="002530DE">
        <w:t xml:space="preserve"> </w:t>
      </w:r>
      <w:r w:rsidR="00A06274">
        <w:t xml:space="preserve">As discussed in the RDF, incremental planning should occur in the </w:t>
      </w:r>
      <w:r w:rsidR="007E6FF4">
        <w:t>three</w:t>
      </w:r>
      <w:r w:rsidR="00A06274">
        <w:t xml:space="preserve"> years between each</w:t>
      </w:r>
      <w:r w:rsidR="007E6FF4">
        <w:t xml:space="preserve"> of PacifiCorp’s</w:t>
      </w:r>
      <w:r w:rsidR="00A06274">
        <w:t xml:space="preserve"> GRC filing</w:t>
      </w:r>
      <w:r w:rsidR="00524502">
        <w:t>s</w:t>
      </w:r>
      <w:r w:rsidR="00A06274">
        <w:t>, and appropriate cost recovery and risk management processes should be included in</w:t>
      </w:r>
      <w:r w:rsidR="0014788A">
        <w:t xml:space="preserve"> the forecasts in</w:t>
      </w:r>
      <w:r w:rsidR="00A06274">
        <w:t xml:space="preserve"> each GRC filing.</w:t>
      </w:r>
      <w:r w:rsidR="0098407B">
        <w:rPr>
          <w:rStyle w:val="FootnoteReference"/>
        </w:rPr>
        <w:footnoteReference w:id="22"/>
      </w:r>
      <w:r w:rsidR="007855F8">
        <w:t xml:space="preserve"> We agree with </w:t>
      </w:r>
      <w:r w:rsidR="00F32E0B">
        <w:t>CFBF</w:t>
      </w:r>
      <w:r w:rsidR="007855F8">
        <w:t xml:space="preserve"> that evaluating PacifiCorp’s wildfire mitigation costs “within the GRC allows the ALJ and Commission to see the volume of expenses ratepayers are expected to absorb rather than the yearly blank check PacifiCorp is requesting that not only eliminates ratepayer protection but also obfuscates the cumulative impact these future increases will have.”</w:t>
      </w:r>
      <w:r w:rsidR="007855F8">
        <w:rPr>
          <w:rStyle w:val="FootnoteReference"/>
        </w:rPr>
        <w:footnoteReference w:id="23"/>
      </w:r>
      <w:r w:rsidR="007855F8">
        <w:t xml:space="preserve"> </w:t>
      </w:r>
      <w:r w:rsidR="003251BE">
        <w:t xml:space="preserve">Pursuant to Pub. Util. Code §8386.4(b)(2), PacifiCorp may elect to file an application for </w:t>
      </w:r>
      <w:proofErr w:type="spellStart"/>
      <w:r w:rsidR="003251BE">
        <w:t>recover</w:t>
      </w:r>
      <w:r w:rsidR="00FD4E06">
        <w:t>y</w:t>
      </w:r>
      <w:r w:rsidR="003251BE">
        <w:t>recover</w:t>
      </w:r>
      <w:proofErr w:type="spellEnd"/>
      <w:r w:rsidR="003251BE">
        <w:t xml:space="preserve"> of the cost of implementing its wildfire mitigation plan, as the costs are accounted for in the memorandum account at the conclusion of the time period covered by its approved wildfire mitigation plan. </w:t>
      </w:r>
      <w:r w:rsidR="00773170">
        <w:t xml:space="preserve">Pub. Util. Code §8386.4(b)(3) also requires, in </w:t>
      </w:r>
      <w:r w:rsidR="003251BE">
        <w:t xml:space="preserve">all future GRC applications, the chief executive officer of PacifiCorp </w:t>
      </w:r>
      <w:r w:rsidR="00773170">
        <w:t xml:space="preserve">to </w:t>
      </w:r>
      <w:r w:rsidR="003251BE">
        <w:t>certify that it has not received authorization from the Commission to recover requested wildfire mitigation-related costs in a prior proceeding.</w:t>
      </w:r>
    </w:p>
    <w:p w:rsidR="0014691C" w:rsidP="008E623B" w:rsidRDefault="0014691C" w14:paraId="3BF3AEF2" w14:textId="304E8BB7">
      <w:pPr>
        <w:pStyle w:val="Standard"/>
      </w:pPr>
      <w:r>
        <w:t>Therefore, we find PacifiCorp’s request to file annual</w:t>
      </w:r>
      <w:r w:rsidR="00806D96">
        <w:t xml:space="preserve"> advice letter</w:t>
      </w:r>
      <w:r>
        <w:t xml:space="preserve">s to recover costs that are incremental to this proceeding’s TY 2023 revenue requirement to be unreasonable. </w:t>
      </w:r>
      <w:r w:rsidR="00860D5A">
        <w:t xml:space="preserve">Should PacifiCorp’s forecasted wildfire-mitigation related costs need adjustment during the TY 2023 rate case period, PacifiCorp may file an application to receive authorization from the Commission to recover incremental costs. </w:t>
      </w:r>
      <w:r>
        <w:t>Discussion about the amount of wildfire-related revenue requirement proposed in PacifiCorp’s application, as it relates to TY 2023 and this GRC application, is provided in more detail in Section 6.2 below.</w:t>
      </w:r>
    </w:p>
    <w:p w:rsidR="00A43621" w:rsidP="008E623B" w:rsidRDefault="00A06274" w14:paraId="1F4D6371" w14:textId="37077847">
      <w:pPr>
        <w:pStyle w:val="Standard"/>
      </w:pPr>
      <w:r>
        <w:t>Further</w:t>
      </w:r>
      <w:r w:rsidR="00A43621">
        <w:t xml:space="preserve">, PacifiCorp is directed </w:t>
      </w:r>
      <w:r w:rsidR="0074081A">
        <w:t xml:space="preserve">to </w:t>
      </w:r>
      <w:proofErr w:type="spellStart"/>
      <w:r w:rsidR="00806D96">
        <w:t>provideprovide</w:t>
      </w:r>
      <w:proofErr w:type="spellEnd"/>
      <w:r w:rsidR="00A43621">
        <w:t xml:space="preserve"> a fully updated </w:t>
      </w:r>
      <w:r w:rsidR="002530DE">
        <w:t>RDF analysis</w:t>
      </w:r>
      <w:r w:rsidR="007855F8">
        <w:t xml:space="preserve"> in </w:t>
      </w:r>
      <w:r w:rsidR="00420F9F">
        <w:t>its next</w:t>
      </w:r>
      <w:r w:rsidR="002530DE">
        <w:t xml:space="preserve"> GRC filing</w:t>
      </w:r>
      <w:r w:rsidR="005C4660">
        <w:t xml:space="preserve">, as discussed in Section </w:t>
      </w:r>
      <w:r w:rsidR="00592F59">
        <w:t>9</w:t>
      </w:r>
      <w:r w:rsidR="005C4660">
        <w:t xml:space="preserve"> below</w:t>
      </w:r>
      <w:r w:rsidR="002530DE">
        <w:t xml:space="preserve">. </w:t>
      </w:r>
    </w:p>
    <w:p w:rsidR="00B42929" w:rsidP="002D228B" w:rsidRDefault="00B42929" w14:paraId="0637BC88" w14:textId="5F7D63F9">
      <w:pPr>
        <w:pStyle w:val="Heading1"/>
        <w:numPr>
          <w:ilvl w:val="0"/>
          <w:numId w:val="3"/>
        </w:numPr>
      </w:pPr>
      <w:bookmarkStart w:name="_Toc153298424" w:id="44"/>
      <w:bookmarkEnd w:id="43"/>
      <w:r>
        <w:t>Revenue Requirement</w:t>
      </w:r>
      <w:bookmarkEnd w:id="44"/>
    </w:p>
    <w:p w:rsidR="00CE2A8A" w:rsidP="009171FE" w:rsidRDefault="009171FE" w14:paraId="739BD415" w14:textId="6A05C01D">
      <w:pPr>
        <w:pStyle w:val="Standard"/>
      </w:pPr>
      <w:r>
        <w:t xml:space="preserve">PacifiCorp stated the increased revenue it is requesting is largely associated with higher costs to conduct wildfire and vegetation management programs in its California service territory. As previously noted, the </w:t>
      </w:r>
      <w:r w:rsidR="00DC1D96">
        <w:t>W</w:t>
      </w:r>
      <w:r>
        <w:t xml:space="preserve">ildfire </w:t>
      </w:r>
      <w:r w:rsidR="00DC1D96">
        <w:t>M</w:t>
      </w:r>
      <w:r>
        <w:t xml:space="preserve">itigation </w:t>
      </w:r>
      <w:r w:rsidR="00DC1D96">
        <w:t xml:space="preserve">Memorandum Account </w:t>
      </w:r>
      <w:r>
        <w:t>costs will be address</w:t>
      </w:r>
      <w:r w:rsidR="001C3574">
        <w:t>ed</w:t>
      </w:r>
      <w:r>
        <w:t xml:space="preserve"> in a separate decision in Track 2 of this proceeding. </w:t>
      </w:r>
      <w:r w:rsidR="004A3819">
        <w:t>The following costs are evaluated in this decision:</w:t>
      </w:r>
    </w:p>
    <w:p w:rsidR="004A3819" w:rsidP="002D228B" w:rsidRDefault="004A3819" w14:paraId="7C3B431F" w14:textId="4985A0F5">
      <w:pPr>
        <w:pStyle w:val="ListNum"/>
        <w:numPr>
          <w:ilvl w:val="6"/>
          <w:numId w:val="3"/>
        </w:numPr>
        <w:ind w:right="1440"/>
      </w:pPr>
      <w:r>
        <w:t>Rate base and cash working capital;</w:t>
      </w:r>
    </w:p>
    <w:p w:rsidR="004A3819" w:rsidP="002D228B" w:rsidRDefault="004A3819" w14:paraId="18FDBB9E" w14:textId="435DEE4E">
      <w:pPr>
        <w:pStyle w:val="ListNum"/>
        <w:numPr>
          <w:ilvl w:val="6"/>
          <w:numId w:val="3"/>
        </w:numPr>
        <w:ind w:right="1440"/>
      </w:pPr>
      <w:r>
        <w:t>Cost of capital;</w:t>
      </w:r>
    </w:p>
    <w:p w:rsidR="004A3819" w:rsidP="002D228B" w:rsidRDefault="004A3819" w14:paraId="6506E601" w14:textId="3C4FD3F3">
      <w:pPr>
        <w:pStyle w:val="ListNum"/>
        <w:numPr>
          <w:ilvl w:val="6"/>
          <w:numId w:val="3"/>
        </w:numPr>
        <w:ind w:right="1440"/>
      </w:pPr>
      <w:r>
        <w:t>Depreciation of coal-fired power units;</w:t>
      </w:r>
    </w:p>
    <w:p w:rsidR="004A3819" w:rsidP="002D228B" w:rsidRDefault="004A3819" w14:paraId="51DAE6AD" w14:textId="5013CD3B">
      <w:pPr>
        <w:pStyle w:val="ListNum"/>
        <w:numPr>
          <w:ilvl w:val="6"/>
          <w:numId w:val="3"/>
        </w:numPr>
        <w:ind w:right="1440"/>
      </w:pPr>
      <w:r>
        <w:t>Decommissioning costs associated with coal-fired power units;</w:t>
      </w:r>
    </w:p>
    <w:p w:rsidR="004A3819" w:rsidP="002D228B" w:rsidRDefault="004A3819" w14:paraId="0340670A" w14:textId="760843C0">
      <w:pPr>
        <w:pStyle w:val="ListNum"/>
        <w:numPr>
          <w:ilvl w:val="6"/>
          <w:numId w:val="3"/>
        </w:numPr>
        <w:ind w:right="1440"/>
      </w:pPr>
      <w:r>
        <w:t>Proposed increase in CARE discount from 20</w:t>
      </w:r>
      <w:r w:rsidR="00730ADE">
        <w:t> percent</w:t>
      </w:r>
      <w:r>
        <w:t xml:space="preserve"> to 25</w:t>
      </w:r>
      <w:r w:rsidR="00730ADE">
        <w:t> percent</w:t>
      </w:r>
      <w:r>
        <w:t>;</w:t>
      </w:r>
    </w:p>
    <w:p w:rsidR="004A3819" w:rsidP="002D228B" w:rsidRDefault="004A3819" w14:paraId="1A96B771" w14:textId="591945C2">
      <w:pPr>
        <w:pStyle w:val="ListNum"/>
        <w:numPr>
          <w:ilvl w:val="6"/>
          <w:numId w:val="3"/>
        </w:numPr>
        <w:ind w:right="1440"/>
      </w:pPr>
      <w:r>
        <w:t>California-specific distribution rates;</w:t>
      </w:r>
    </w:p>
    <w:p w:rsidR="004A3819" w:rsidP="002D228B" w:rsidRDefault="004A3819" w14:paraId="4E626D36" w14:textId="1EB9218F">
      <w:pPr>
        <w:pStyle w:val="ListNum"/>
        <w:numPr>
          <w:ilvl w:val="6"/>
          <w:numId w:val="3"/>
        </w:numPr>
        <w:ind w:right="1440"/>
      </w:pPr>
      <w:r>
        <w:t>Cost allocation and rate design changes;</w:t>
      </w:r>
    </w:p>
    <w:p w:rsidR="004A3819" w:rsidP="002D228B" w:rsidRDefault="004A3819" w14:paraId="73210D44" w14:textId="192C6CCF">
      <w:pPr>
        <w:pStyle w:val="ListNum"/>
        <w:numPr>
          <w:ilvl w:val="6"/>
          <w:numId w:val="3"/>
        </w:numPr>
        <w:ind w:right="1440"/>
      </w:pPr>
      <w:r>
        <w:t>Revenues associated with Pryor Mountain Wind Renewable Energy Certificate (REC) sale</w:t>
      </w:r>
      <w:r w:rsidR="00421EC5">
        <w:t>;</w:t>
      </w:r>
    </w:p>
    <w:p w:rsidR="00421EC5" w:rsidP="002D228B" w:rsidRDefault="00F32B24" w14:paraId="7EEB9727" w14:textId="20900A16">
      <w:pPr>
        <w:pStyle w:val="ListNum"/>
        <w:numPr>
          <w:ilvl w:val="6"/>
          <w:numId w:val="3"/>
        </w:numPr>
        <w:ind w:right="1440"/>
      </w:pPr>
      <w:r>
        <w:t>TY </w:t>
      </w:r>
      <w:r w:rsidR="00421EC5">
        <w:t>2023 wildfire</w:t>
      </w:r>
      <w:r w:rsidR="002733C6">
        <w:t xml:space="preserve"> mitigation</w:t>
      </w:r>
      <w:r w:rsidR="00421EC5">
        <w:t>-related capital expenditures; and</w:t>
      </w:r>
    </w:p>
    <w:p w:rsidR="00421EC5" w:rsidP="002D228B" w:rsidRDefault="002733C6" w14:paraId="452D37F0" w14:textId="47C2CE05">
      <w:pPr>
        <w:pStyle w:val="ListNum"/>
        <w:numPr>
          <w:ilvl w:val="6"/>
          <w:numId w:val="3"/>
        </w:numPr>
        <w:ind w:right="1440" w:hanging="450"/>
      </w:pPr>
      <w:r>
        <w:t>T</w:t>
      </w:r>
      <w:r w:rsidR="007E0283">
        <w:t>Y</w:t>
      </w:r>
      <w:r>
        <w:t xml:space="preserve"> </w:t>
      </w:r>
      <w:r w:rsidR="00421EC5">
        <w:t>2023 wildfire</w:t>
      </w:r>
      <w:r>
        <w:t>-related</w:t>
      </w:r>
      <w:r w:rsidR="00421EC5">
        <w:t xml:space="preserve"> operation and maintenance related </w:t>
      </w:r>
      <w:r>
        <w:t>expenses</w:t>
      </w:r>
      <w:r w:rsidR="00421EC5">
        <w:t>.</w:t>
      </w:r>
    </w:p>
    <w:p w:rsidR="00EE1AFE" w:rsidP="00F32B24" w:rsidRDefault="00EE1AFE" w14:paraId="59B410ED" w14:textId="1EA63B51">
      <w:pPr>
        <w:pStyle w:val="Standard"/>
        <w:spacing w:after="120"/>
      </w:pPr>
      <w:r>
        <w:t>PacifiCorp provided updated testimony related to the costs associated with its revenue requirement for Track 1 issues on October 9, 2023. It removed the costs associated with the amortization of the wildfire prevention amounts recorded in</w:t>
      </w:r>
      <w:r w:rsidR="00DD4BBF">
        <w:t xml:space="preserve"> </w:t>
      </w:r>
      <w:r>
        <w:t>the Wildfire Mitigation Plan Memorandum Account (WMPMA), the Fire Hazard</w:t>
      </w:r>
      <w:r w:rsidR="00DD4BBF">
        <w:t xml:space="preserve"> </w:t>
      </w:r>
      <w:r>
        <w:t>Prevention Memorandum Account (FHPMA) and the Fire Risk Mitigation Memorandum Account (FRMMA). The updated requested revenue requirement increase was $21</w:t>
      </w:r>
      <w:r w:rsidR="00DD4BBF">
        <w:t>.9</w:t>
      </w:r>
      <w:r w:rsidR="00730ADE">
        <w:t> million</w:t>
      </w:r>
      <w:r w:rsidR="003970F4">
        <w:t xml:space="preserve"> for TY 2023</w:t>
      </w:r>
      <w:r>
        <w:t>.</w:t>
      </w:r>
      <w:r>
        <w:rPr>
          <w:rStyle w:val="FootnoteReference"/>
        </w:rPr>
        <w:footnoteReference w:id="24"/>
      </w:r>
      <w:r w:rsidR="00A40C36">
        <w:t xml:space="preserve"> This would result in an </w:t>
      </w:r>
      <w:r w:rsidR="00667D2D">
        <w:t xml:space="preserve">average </w:t>
      </w:r>
      <w:r w:rsidR="00A40C36">
        <w:t>overall rate increase of approximately 2</w:t>
      </w:r>
      <w:r w:rsidR="00667D2D">
        <w:t>0.1</w:t>
      </w:r>
      <w:r w:rsidR="00730ADE">
        <w:t> percent</w:t>
      </w:r>
      <w:r w:rsidR="00A40C36">
        <w:t xml:space="preserve"> across all customer classes.</w:t>
      </w:r>
      <w:r w:rsidR="00F24878">
        <w:rPr>
          <w:rStyle w:val="FootnoteReference"/>
        </w:rPr>
        <w:footnoteReference w:id="25"/>
      </w:r>
      <w:r w:rsidR="00A40C36">
        <w:t xml:space="preserve"> </w:t>
      </w:r>
    </w:p>
    <w:tbl>
      <w:tblPr>
        <w:tblStyle w:val="TableGrid"/>
        <w:tblW w:w="7920" w:type="dxa"/>
        <w:jc w:val="center"/>
        <w:tblLook w:val="04A0" w:firstRow="1" w:lastRow="0" w:firstColumn="1" w:lastColumn="0" w:noHBand="0" w:noVBand="1"/>
      </w:tblPr>
      <w:tblGrid>
        <w:gridCol w:w="4131"/>
        <w:gridCol w:w="3789"/>
      </w:tblGrid>
      <w:tr w:rsidRPr="005E7B13" w:rsidR="00667D2D" w:rsidTr="005E7B13" w14:paraId="6D4CF607" w14:textId="77777777">
        <w:trPr>
          <w:tblHeader/>
          <w:jc w:val="center"/>
        </w:trPr>
        <w:tc>
          <w:tcPr>
            <w:tcW w:w="4788" w:type="dxa"/>
          </w:tcPr>
          <w:p w:rsidRPr="005E7B13" w:rsidR="00667D2D" w:rsidP="007A4F4C" w:rsidRDefault="00667D2D" w14:paraId="0514A5BE" w14:textId="4E3CA68D">
            <w:pPr>
              <w:pStyle w:val="Standard"/>
              <w:spacing w:before="40" w:after="40" w:line="240" w:lineRule="auto"/>
              <w:ind w:firstLine="0"/>
              <w:jc w:val="center"/>
              <w:rPr>
                <w:b/>
                <w:bCs/>
                <w:szCs w:val="26"/>
              </w:rPr>
            </w:pPr>
            <w:r w:rsidRPr="005E7B13">
              <w:rPr>
                <w:b/>
                <w:bCs/>
                <w:szCs w:val="26"/>
              </w:rPr>
              <w:t>Rate Schedule</w:t>
            </w:r>
          </w:p>
        </w:tc>
        <w:tc>
          <w:tcPr>
            <w:tcW w:w="4788" w:type="dxa"/>
          </w:tcPr>
          <w:p w:rsidRPr="005E7B13" w:rsidR="00667D2D" w:rsidP="007A4F4C" w:rsidRDefault="00667D2D" w14:paraId="04272898" w14:textId="2BDE4BD7">
            <w:pPr>
              <w:pStyle w:val="Standard"/>
              <w:spacing w:before="40" w:after="40" w:line="240" w:lineRule="auto"/>
              <w:ind w:firstLine="0"/>
              <w:jc w:val="center"/>
              <w:rPr>
                <w:b/>
                <w:bCs/>
                <w:szCs w:val="26"/>
              </w:rPr>
            </w:pPr>
            <w:r w:rsidRPr="005E7B13">
              <w:rPr>
                <w:b/>
                <w:bCs/>
                <w:szCs w:val="26"/>
              </w:rPr>
              <w:t>Proposed Net Rate Increase</w:t>
            </w:r>
          </w:p>
        </w:tc>
      </w:tr>
      <w:tr w:rsidRPr="005E7B13" w:rsidR="00667D2D" w:rsidTr="007A4F4C" w14:paraId="062146AF" w14:textId="77777777">
        <w:trPr>
          <w:jc w:val="center"/>
        </w:trPr>
        <w:tc>
          <w:tcPr>
            <w:tcW w:w="4788" w:type="dxa"/>
          </w:tcPr>
          <w:p w:rsidRPr="005E7B13" w:rsidR="00667D2D" w:rsidP="007A4F4C" w:rsidRDefault="00667D2D" w14:paraId="3C876E31" w14:textId="0E38D828">
            <w:pPr>
              <w:pStyle w:val="Standard"/>
              <w:spacing w:before="40" w:after="40" w:line="240" w:lineRule="auto"/>
              <w:ind w:firstLine="0"/>
              <w:rPr>
                <w:szCs w:val="26"/>
              </w:rPr>
            </w:pPr>
            <w:r w:rsidRPr="005E7B13">
              <w:rPr>
                <w:szCs w:val="26"/>
              </w:rPr>
              <w:t>Residential</w:t>
            </w:r>
          </w:p>
        </w:tc>
        <w:tc>
          <w:tcPr>
            <w:tcW w:w="4788" w:type="dxa"/>
          </w:tcPr>
          <w:p w:rsidRPr="005E7B13" w:rsidR="00667D2D" w:rsidP="007A4F4C" w:rsidRDefault="00667D2D" w14:paraId="329B2D30" w14:textId="447749E8">
            <w:pPr>
              <w:pStyle w:val="Standard"/>
              <w:spacing w:before="40" w:after="40" w:line="240" w:lineRule="auto"/>
              <w:ind w:firstLine="0"/>
              <w:jc w:val="center"/>
              <w:rPr>
                <w:szCs w:val="26"/>
              </w:rPr>
            </w:pPr>
            <w:r w:rsidRPr="005E7B13">
              <w:rPr>
                <w:szCs w:val="26"/>
              </w:rPr>
              <w:t>20.2%</w:t>
            </w:r>
          </w:p>
        </w:tc>
      </w:tr>
      <w:tr w:rsidRPr="005E7B13" w:rsidR="00667D2D" w:rsidTr="007A4F4C" w14:paraId="6EF0E8E4" w14:textId="77777777">
        <w:trPr>
          <w:jc w:val="center"/>
        </w:trPr>
        <w:tc>
          <w:tcPr>
            <w:tcW w:w="4788" w:type="dxa"/>
          </w:tcPr>
          <w:p w:rsidRPr="005E7B13" w:rsidR="00667D2D" w:rsidP="007A4F4C" w:rsidRDefault="00667D2D" w14:paraId="45A15C8C" w14:textId="219D9FAC">
            <w:pPr>
              <w:pStyle w:val="Standard"/>
              <w:spacing w:before="40" w:after="40" w:line="240" w:lineRule="auto"/>
              <w:ind w:firstLine="0"/>
              <w:rPr>
                <w:szCs w:val="26"/>
              </w:rPr>
            </w:pPr>
            <w:r w:rsidRPr="005E7B13">
              <w:rPr>
                <w:szCs w:val="26"/>
              </w:rPr>
              <w:t>General Service</w:t>
            </w:r>
          </w:p>
        </w:tc>
        <w:tc>
          <w:tcPr>
            <w:tcW w:w="4788" w:type="dxa"/>
          </w:tcPr>
          <w:p w:rsidRPr="005E7B13" w:rsidR="00667D2D" w:rsidP="007A4F4C" w:rsidRDefault="00667D2D" w14:paraId="5A6850CF" w14:textId="52BE4365">
            <w:pPr>
              <w:pStyle w:val="Standard"/>
              <w:spacing w:before="40" w:after="40" w:line="240" w:lineRule="auto"/>
              <w:ind w:firstLine="0"/>
              <w:jc w:val="center"/>
              <w:rPr>
                <w:szCs w:val="26"/>
              </w:rPr>
            </w:pPr>
            <w:r w:rsidRPr="005E7B13">
              <w:rPr>
                <w:szCs w:val="26"/>
              </w:rPr>
              <w:t>20.2%</w:t>
            </w:r>
          </w:p>
        </w:tc>
      </w:tr>
      <w:tr w:rsidRPr="005E7B13" w:rsidR="00667D2D" w:rsidTr="007A4F4C" w14:paraId="2A6E062C" w14:textId="77777777">
        <w:trPr>
          <w:jc w:val="center"/>
        </w:trPr>
        <w:tc>
          <w:tcPr>
            <w:tcW w:w="4788" w:type="dxa"/>
          </w:tcPr>
          <w:p w:rsidRPr="005E7B13" w:rsidR="00667D2D" w:rsidP="007A4F4C" w:rsidRDefault="00667D2D" w14:paraId="2B236EE9" w14:textId="3F7E42F1">
            <w:pPr>
              <w:pStyle w:val="Standard"/>
              <w:spacing w:before="40" w:after="40" w:line="240" w:lineRule="auto"/>
              <w:ind w:firstLine="0"/>
              <w:rPr>
                <w:szCs w:val="26"/>
              </w:rPr>
            </w:pPr>
            <w:r w:rsidRPr="005E7B13">
              <w:rPr>
                <w:szCs w:val="26"/>
              </w:rPr>
              <w:t>Schedule A-25</w:t>
            </w:r>
          </w:p>
        </w:tc>
        <w:tc>
          <w:tcPr>
            <w:tcW w:w="4788" w:type="dxa"/>
          </w:tcPr>
          <w:p w:rsidRPr="005E7B13" w:rsidR="00667D2D" w:rsidP="007A4F4C" w:rsidRDefault="00667D2D" w14:paraId="0962B2B2" w14:textId="218A095B">
            <w:pPr>
              <w:pStyle w:val="Standard"/>
              <w:spacing w:before="40" w:after="40" w:line="240" w:lineRule="auto"/>
              <w:ind w:firstLine="0"/>
              <w:jc w:val="center"/>
              <w:rPr>
                <w:szCs w:val="26"/>
              </w:rPr>
            </w:pPr>
            <w:r w:rsidRPr="005E7B13">
              <w:rPr>
                <w:szCs w:val="26"/>
              </w:rPr>
              <w:t>20.1%</w:t>
            </w:r>
          </w:p>
        </w:tc>
      </w:tr>
      <w:tr w:rsidRPr="005E7B13" w:rsidR="00667D2D" w:rsidTr="007A4F4C" w14:paraId="7F1EF38E" w14:textId="77777777">
        <w:trPr>
          <w:jc w:val="center"/>
        </w:trPr>
        <w:tc>
          <w:tcPr>
            <w:tcW w:w="4788" w:type="dxa"/>
          </w:tcPr>
          <w:p w:rsidRPr="005E7B13" w:rsidR="00667D2D" w:rsidP="007A4F4C" w:rsidRDefault="00667D2D" w14:paraId="59EF7F9A" w14:textId="4CBAA13C">
            <w:pPr>
              <w:pStyle w:val="Standard"/>
              <w:spacing w:before="40" w:after="40" w:line="240" w:lineRule="auto"/>
              <w:ind w:firstLine="0"/>
              <w:rPr>
                <w:szCs w:val="26"/>
              </w:rPr>
            </w:pPr>
            <w:r w:rsidRPr="005E7B13">
              <w:rPr>
                <w:szCs w:val="26"/>
              </w:rPr>
              <w:t>Schedule A-32</w:t>
            </w:r>
          </w:p>
        </w:tc>
        <w:tc>
          <w:tcPr>
            <w:tcW w:w="4788" w:type="dxa"/>
          </w:tcPr>
          <w:p w:rsidRPr="005E7B13" w:rsidR="00667D2D" w:rsidP="007A4F4C" w:rsidRDefault="00667D2D" w14:paraId="53FF2AEF" w14:textId="78249E73">
            <w:pPr>
              <w:pStyle w:val="Standard"/>
              <w:spacing w:before="40" w:after="40" w:line="240" w:lineRule="auto"/>
              <w:ind w:firstLine="0"/>
              <w:jc w:val="center"/>
              <w:rPr>
                <w:szCs w:val="26"/>
              </w:rPr>
            </w:pPr>
            <w:r w:rsidRPr="005E7B13">
              <w:rPr>
                <w:szCs w:val="26"/>
              </w:rPr>
              <w:t>20.1%</w:t>
            </w:r>
          </w:p>
        </w:tc>
      </w:tr>
      <w:tr w:rsidRPr="005E7B13" w:rsidR="00667D2D" w:rsidTr="007A4F4C" w14:paraId="323D3D51" w14:textId="77777777">
        <w:trPr>
          <w:jc w:val="center"/>
        </w:trPr>
        <w:tc>
          <w:tcPr>
            <w:tcW w:w="4788" w:type="dxa"/>
          </w:tcPr>
          <w:p w:rsidRPr="005E7B13" w:rsidR="00667D2D" w:rsidP="007A4F4C" w:rsidRDefault="00667D2D" w14:paraId="61727B88" w14:textId="6A17BF57">
            <w:pPr>
              <w:pStyle w:val="Standard"/>
              <w:spacing w:before="40" w:after="40" w:line="240" w:lineRule="auto"/>
              <w:ind w:firstLine="0"/>
              <w:rPr>
                <w:szCs w:val="26"/>
              </w:rPr>
            </w:pPr>
            <w:r w:rsidRPr="005E7B13">
              <w:rPr>
                <w:szCs w:val="26"/>
              </w:rPr>
              <w:t>Schedule A-36</w:t>
            </w:r>
          </w:p>
        </w:tc>
        <w:tc>
          <w:tcPr>
            <w:tcW w:w="4788" w:type="dxa"/>
          </w:tcPr>
          <w:p w:rsidRPr="005E7B13" w:rsidR="00667D2D" w:rsidP="007A4F4C" w:rsidRDefault="00667D2D" w14:paraId="7FF9EE70" w14:textId="153627BC">
            <w:pPr>
              <w:pStyle w:val="Standard"/>
              <w:spacing w:before="40" w:after="40" w:line="240" w:lineRule="auto"/>
              <w:ind w:firstLine="0"/>
              <w:jc w:val="center"/>
              <w:rPr>
                <w:szCs w:val="26"/>
              </w:rPr>
            </w:pPr>
            <w:r w:rsidRPr="005E7B13">
              <w:rPr>
                <w:szCs w:val="26"/>
              </w:rPr>
              <w:t>20.1%</w:t>
            </w:r>
          </w:p>
        </w:tc>
      </w:tr>
      <w:tr w:rsidRPr="005E7B13" w:rsidR="00667D2D" w:rsidTr="007A4F4C" w14:paraId="7E07650F" w14:textId="77777777">
        <w:trPr>
          <w:jc w:val="center"/>
        </w:trPr>
        <w:tc>
          <w:tcPr>
            <w:tcW w:w="4788" w:type="dxa"/>
          </w:tcPr>
          <w:p w:rsidRPr="005E7B13" w:rsidR="00667D2D" w:rsidP="007A4F4C" w:rsidRDefault="00667D2D" w14:paraId="29984095" w14:textId="47A6DEE9">
            <w:pPr>
              <w:pStyle w:val="Standard"/>
              <w:spacing w:before="40" w:after="40" w:line="240" w:lineRule="auto"/>
              <w:ind w:firstLine="0"/>
              <w:rPr>
                <w:szCs w:val="26"/>
              </w:rPr>
            </w:pPr>
            <w:r w:rsidRPr="005E7B13">
              <w:rPr>
                <w:szCs w:val="26"/>
              </w:rPr>
              <w:t>Large General Service/Schedule AT-48</w:t>
            </w:r>
          </w:p>
        </w:tc>
        <w:tc>
          <w:tcPr>
            <w:tcW w:w="4788" w:type="dxa"/>
          </w:tcPr>
          <w:p w:rsidRPr="005E7B13" w:rsidR="00667D2D" w:rsidP="007A4F4C" w:rsidRDefault="00667D2D" w14:paraId="50F26487" w14:textId="679F0E71">
            <w:pPr>
              <w:pStyle w:val="Standard"/>
              <w:spacing w:before="40" w:after="40" w:line="240" w:lineRule="auto"/>
              <w:ind w:firstLine="0"/>
              <w:jc w:val="center"/>
              <w:rPr>
                <w:szCs w:val="26"/>
              </w:rPr>
            </w:pPr>
            <w:r w:rsidRPr="005E7B13">
              <w:rPr>
                <w:szCs w:val="26"/>
              </w:rPr>
              <w:t>20.1%</w:t>
            </w:r>
          </w:p>
        </w:tc>
      </w:tr>
      <w:tr w:rsidRPr="005E7B13" w:rsidR="00667D2D" w:rsidTr="007A4F4C" w14:paraId="6D963DF5" w14:textId="77777777">
        <w:trPr>
          <w:jc w:val="center"/>
        </w:trPr>
        <w:tc>
          <w:tcPr>
            <w:tcW w:w="4788" w:type="dxa"/>
          </w:tcPr>
          <w:p w:rsidRPr="005E7B13" w:rsidR="00667D2D" w:rsidP="007A4F4C" w:rsidRDefault="00667D2D" w14:paraId="477AD33D" w14:textId="407AF084">
            <w:pPr>
              <w:pStyle w:val="Standard"/>
              <w:spacing w:before="40" w:after="40" w:line="240" w:lineRule="auto"/>
              <w:ind w:firstLine="0"/>
              <w:rPr>
                <w:szCs w:val="26"/>
              </w:rPr>
            </w:pPr>
            <w:r w:rsidRPr="005E7B13">
              <w:rPr>
                <w:szCs w:val="26"/>
              </w:rPr>
              <w:t>Irrigation/Schedule PA-20</w:t>
            </w:r>
          </w:p>
        </w:tc>
        <w:tc>
          <w:tcPr>
            <w:tcW w:w="4788" w:type="dxa"/>
          </w:tcPr>
          <w:p w:rsidRPr="005E7B13" w:rsidR="00667D2D" w:rsidP="007A4F4C" w:rsidRDefault="00667D2D" w14:paraId="4E069530" w14:textId="428482B8">
            <w:pPr>
              <w:pStyle w:val="Standard"/>
              <w:spacing w:before="40" w:after="40" w:line="240" w:lineRule="auto"/>
              <w:ind w:firstLine="0"/>
              <w:jc w:val="center"/>
              <w:rPr>
                <w:szCs w:val="26"/>
              </w:rPr>
            </w:pPr>
            <w:r w:rsidRPr="005E7B13">
              <w:rPr>
                <w:szCs w:val="26"/>
              </w:rPr>
              <w:t>20.1%</w:t>
            </w:r>
          </w:p>
        </w:tc>
      </w:tr>
      <w:tr w:rsidRPr="005E7B13" w:rsidR="00667D2D" w:rsidTr="007A4F4C" w14:paraId="4ED5B7B9" w14:textId="77777777">
        <w:trPr>
          <w:jc w:val="center"/>
        </w:trPr>
        <w:tc>
          <w:tcPr>
            <w:tcW w:w="4788" w:type="dxa"/>
          </w:tcPr>
          <w:p w:rsidRPr="005E7B13" w:rsidR="00667D2D" w:rsidP="007A4F4C" w:rsidRDefault="00667D2D" w14:paraId="3E6BA6FB" w14:textId="122558C3">
            <w:pPr>
              <w:pStyle w:val="Standard"/>
              <w:spacing w:before="40" w:after="40" w:line="240" w:lineRule="auto"/>
              <w:ind w:firstLine="0"/>
              <w:rPr>
                <w:szCs w:val="26"/>
              </w:rPr>
            </w:pPr>
            <w:r w:rsidRPr="005E7B13">
              <w:rPr>
                <w:szCs w:val="26"/>
              </w:rPr>
              <w:t>Lighting Class</w:t>
            </w:r>
          </w:p>
        </w:tc>
        <w:tc>
          <w:tcPr>
            <w:tcW w:w="4788" w:type="dxa"/>
          </w:tcPr>
          <w:p w:rsidRPr="005E7B13" w:rsidR="00667D2D" w:rsidP="007A4F4C" w:rsidRDefault="00667D2D" w14:paraId="42F1BC68" w14:textId="5559F55B">
            <w:pPr>
              <w:pStyle w:val="Standard"/>
              <w:spacing w:before="40" w:after="40" w:line="240" w:lineRule="auto"/>
              <w:ind w:firstLine="0"/>
              <w:jc w:val="center"/>
              <w:rPr>
                <w:szCs w:val="26"/>
              </w:rPr>
            </w:pPr>
            <w:r w:rsidRPr="005E7B13">
              <w:rPr>
                <w:szCs w:val="26"/>
              </w:rPr>
              <w:t>16.3%</w:t>
            </w:r>
          </w:p>
        </w:tc>
      </w:tr>
      <w:tr w:rsidRPr="005E7B13" w:rsidR="00667D2D" w:rsidTr="007A4F4C" w14:paraId="7B4B4294" w14:textId="77777777">
        <w:trPr>
          <w:jc w:val="center"/>
        </w:trPr>
        <w:tc>
          <w:tcPr>
            <w:tcW w:w="4788" w:type="dxa"/>
          </w:tcPr>
          <w:p w:rsidRPr="005E7B13" w:rsidR="00667D2D" w:rsidP="007A4F4C" w:rsidRDefault="00667D2D" w14:paraId="59F1DD9F" w14:textId="41124043">
            <w:pPr>
              <w:pStyle w:val="Standard"/>
              <w:spacing w:before="40" w:after="40" w:line="240" w:lineRule="auto"/>
              <w:ind w:firstLine="0"/>
              <w:rPr>
                <w:b/>
                <w:bCs/>
                <w:szCs w:val="26"/>
              </w:rPr>
            </w:pPr>
            <w:r w:rsidRPr="005E7B13">
              <w:rPr>
                <w:b/>
                <w:bCs/>
                <w:szCs w:val="26"/>
              </w:rPr>
              <w:t>Total California</w:t>
            </w:r>
          </w:p>
        </w:tc>
        <w:tc>
          <w:tcPr>
            <w:tcW w:w="4788" w:type="dxa"/>
          </w:tcPr>
          <w:p w:rsidRPr="005E7B13" w:rsidR="00667D2D" w:rsidP="007A4F4C" w:rsidRDefault="00667D2D" w14:paraId="2ECFF734" w14:textId="172E4BEE">
            <w:pPr>
              <w:pStyle w:val="Standard"/>
              <w:spacing w:before="40" w:after="40" w:line="240" w:lineRule="auto"/>
              <w:ind w:firstLine="0"/>
              <w:jc w:val="center"/>
              <w:rPr>
                <w:b/>
                <w:bCs/>
                <w:szCs w:val="26"/>
              </w:rPr>
            </w:pPr>
            <w:r w:rsidRPr="005E7B13">
              <w:rPr>
                <w:b/>
                <w:bCs/>
                <w:szCs w:val="26"/>
              </w:rPr>
              <w:t>20.1%</w:t>
            </w:r>
          </w:p>
        </w:tc>
      </w:tr>
    </w:tbl>
    <w:p w:rsidR="004A3819" w:rsidP="00964257" w:rsidRDefault="004A3819" w14:paraId="60B02F45" w14:textId="69B7DF77">
      <w:pPr>
        <w:pStyle w:val="Standard"/>
        <w:spacing w:before="240"/>
      </w:pPr>
      <w:r>
        <w:t xml:space="preserve">The </w:t>
      </w:r>
      <w:r w:rsidR="00FD73BF">
        <w:t xml:space="preserve">contested </w:t>
      </w:r>
      <w:r>
        <w:t xml:space="preserve">revenue requirement changes considered and adopted in this decision are described in Sections </w:t>
      </w:r>
      <w:r w:rsidR="00A40C36">
        <w:t>6</w:t>
      </w:r>
      <w:r>
        <w:t>.1-</w:t>
      </w:r>
      <w:r w:rsidR="00A40C36">
        <w:t>6.3</w:t>
      </w:r>
      <w:r>
        <w:t xml:space="preserve"> below.</w:t>
      </w:r>
    </w:p>
    <w:p w:rsidR="008C64A0" w:rsidP="002D228B" w:rsidRDefault="00456BD4" w14:paraId="153E1E08" w14:textId="1B014167">
      <w:pPr>
        <w:pStyle w:val="Heading2"/>
        <w:numPr>
          <w:ilvl w:val="1"/>
          <w:numId w:val="14"/>
        </w:numPr>
      </w:pPr>
      <w:bookmarkStart w:name="_Hlk149070394" w:id="45"/>
      <w:bookmarkStart w:name="_Toc153298425" w:id="46"/>
      <w:r>
        <w:t xml:space="preserve">Capital Structure and </w:t>
      </w:r>
      <w:r w:rsidR="00EE3435">
        <w:t xml:space="preserve">Rate of </w:t>
      </w:r>
      <w:r>
        <w:t>Return</w:t>
      </w:r>
      <w:bookmarkEnd w:id="46"/>
      <w:r>
        <w:t xml:space="preserve"> </w:t>
      </w:r>
    </w:p>
    <w:bookmarkEnd w:id="45"/>
    <w:p w:rsidR="00CA1E26" w:rsidP="008C64A0" w:rsidRDefault="007431A2" w14:paraId="509D638A" w14:textId="4401A57A">
      <w:pPr>
        <w:pStyle w:val="Standard"/>
      </w:pPr>
      <w:r>
        <w:t>PacifiCorp proposed an overall rate of return of 7.</w:t>
      </w:r>
      <w:r w:rsidR="00C01032">
        <w:t>59</w:t>
      </w:r>
      <w:r w:rsidR="00730ADE">
        <w:t> percent</w:t>
      </w:r>
      <w:r w:rsidR="00CA1E26">
        <w:t>, consisting of</w:t>
      </w:r>
      <w:r w:rsidR="00EE3435">
        <w:t xml:space="preserve"> the following capital structure and cost components</w:t>
      </w:r>
      <w:r w:rsidR="00CA1E26">
        <w:t>:</w:t>
      </w:r>
    </w:p>
    <w:p w:rsidR="00CA1E26" w:rsidP="002D228B" w:rsidRDefault="00CA1E26" w14:paraId="1BAA2E52" w14:textId="4AE8E4CF">
      <w:pPr>
        <w:pStyle w:val="Standard"/>
        <w:numPr>
          <w:ilvl w:val="0"/>
          <w:numId w:val="16"/>
        </w:numPr>
        <w:spacing w:after="120" w:line="240" w:lineRule="auto"/>
        <w:ind w:left="1080" w:right="1440"/>
      </w:pPr>
      <w:r>
        <w:t>52.25</w:t>
      </w:r>
      <w:r w:rsidR="00730ADE">
        <w:t> percent</w:t>
      </w:r>
      <w:r>
        <w:t xml:space="preserve"> equity</w:t>
      </w:r>
      <w:r w:rsidR="0074081A">
        <w:t>;</w:t>
      </w:r>
      <w:r>
        <w:t xml:space="preserve"> </w:t>
      </w:r>
    </w:p>
    <w:p w:rsidR="00CA1E26" w:rsidP="002D228B" w:rsidRDefault="00CA1E26" w14:paraId="6ABFAD7E" w14:textId="5A4D180B">
      <w:pPr>
        <w:pStyle w:val="Standard"/>
        <w:numPr>
          <w:ilvl w:val="0"/>
          <w:numId w:val="16"/>
        </w:numPr>
        <w:spacing w:after="120" w:line="240" w:lineRule="auto"/>
        <w:ind w:left="1080" w:right="1440"/>
      </w:pPr>
      <w:r>
        <w:t>47.74</w:t>
      </w:r>
      <w:r w:rsidR="00730ADE">
        <w:t> percent</w:t>
      </w:r>
      <w:r>
        <w:t xml:space="preserve"> long-term debt</w:t>
      </w:r>
      <w:r w:rsidR="0074081A">
        <w:t>;</w:t>
      </w:r>
    </w:p>
    <w:p w:rsidR="00CA1E26" w:rsidP="002D228B" w:rsidRDefault="00CA1E26" w14:paraId="566FB355" w14:textId="53FD2B33">
      <w:pPr>
        <w:pStyle w:val="Standard"/>
        <w:numPr>
          <w:ilvl w:val="0"/>
          <w:numId w:val="16"/>
        </w:numPr>
        <w:spacing w:after="120" w:line="240" w:lineRule="auto"/>
        <w:ind w:left="1080" w:right="1440"/>
      </w:pPr>
      <w:r>
        <w:t>0.01</w:t>
      </w:r>
      <w:r w:rsidR="00730ADE">
        <w:t> percent</w:t>
      </w:r>
      <w:r>
        <w:t xml:space="preserve"> preferred stock</w:t>
      </w:r>
      <w:r w:rsidR="0074081A">
        <w:t>;</w:t>
      </w:r>
    </w:p>
    <w:p w:rsidR="00EE3435" w:rsidP="002D228B" w:rsidRDefault="00EE3435" w14:paraId="44FA06DA" w14:textId="349DFAA9">
      <w:pPr>
        <w:pStyle w:val="Standard"/>
        <w:numPr>
          <w:ilvl w:val="0"/>
          <w:numId w:val="16"/>
        </w:numPr>
        <w:spacing w:after="120" w:line="240" w:lineRule="auto"/>
        <w:ind w:left="1080" w:right="1440"/>
      </w:pPr>
      <w:r>
        <w:t>4.</w:t>
      </w:r>
      <w:r w:rsidR="0097214B">
        <w:t>41</w:t>
      </w:r>
      <w:r w:rsidR="00730ADE">
        <w:t> percent</w:t>
      </w:r>
      <w:r>
        <w:t xml:space="preserve"> cost of debt</w:t>
      </w:r>
      <w:r w:rsidR="0074081A">
        <w:t>;</w:t>
      </w:r>
    </w:p>
    <w:p w:rsidR="00EE3435" w:rsidP="002D228B" w:rsidRDefault="0097214B" w14:paraId="1C27C83F" w14:textId="2572F8EB">
      <w:pPr>
        <w:pStyle w:val="Standard"/>
        <w:numPr>
          <w:ilvl w:val="0"/>
          <w:numId w:val="16"/>
        </w:numPr>
        <w:spacing w:after="120" w:line="240" w:lineRule="auto"/>
        <w:ind w:left="1080" w:right="1440"/>
      </w:pPr>
      <w:r>
        <w:t>6.75</w:t>
      </w:r>
      <w:r w:rsidR="00730ADE">
        <w:t> percent</w:t>
      </w:r>
      <w:r w:rsidR="00964257">
        <w:t xml:space="preserve"> </w:t>
      </w:r>
      <w:r w:rsidR="00EE3435">
        <w:t xml:space="preserve">cost of </w:t>
      </w:r>
      <w:r w:rsidR="00A12060">
        <w:t>preferred</w:t>
      </w:r>
      <w:r w:rsidR="00FD73BF">
        <w:t xml:space="preserve"> stock</w:t>
      </w:r>
      <w:r w:rsidR="0074081A">
        <w:t>;</w:t>
      </w:r>
      <w:r w:rsidR="00EE3435">
        <w:t xml:space="preserve"> </w:t>
      </w:r>
    </w:p>
    <w:p w:rsidR="00CA1E26" w:rsidP="002D228B" w:rsidRDefault="00CA1E26" w14:paraId="1B34FAC3" w14:textId="75D5B366">
      <w:pPr>
        <w:pStyle w:val="Standard"/>
        <w:numPr>
          <w:ilvl w:val="0"/>
          <w:numId w:val="16"/>
        </w:numPr>
        <w:spacing w:after="120" w:line="240" w:lineRule="auto"/>
        <w:ind w:left="1080" w:right="1440"/>
      </w:pPr>
      <w:r>
        <w:t>10.5</w:t>
      </w:r>
      <w:r w:rsidR="00730ADE">
        <w:t> percent</w:t>
      </w:r>
      <w:r>
        <w:t xml:space="preserve"> return on equity.</w:t>
      </w:r>
      <w:r w:rsidR="005463D1">
        <w:rPr>
          <w:rStyle w:val="FootnoteReference"/>
        </w:rPr>
        <w:footnoteReference w:id="26"/>
      </w:r>
      <w:r>
        <w:t xml:space="preserve"> </w:t>
      </w:r>
      <w:r w:rsidR="007431A2">
        <w:t xml:space="preserve">  </w:t>
      </w:r>
    </w:p>
    <w:p w:rsidR="0006645A" w:rsidP="00C01032" w:rsidRDefault="00C01032" w14:paraId="7C9A95CF" w14:textId="7AD3CBCC">
      <w:pPr>
        <w:pStyle w:val="Standard"/>
      </w:pPr>
      <w:r>
        <w:t xml:space="preserve">Cal Advocates noted that </w:t>
      </w:r>
      <w:r w:rsidR="00152640">
        <w:t>PacifiCorp’s requested</w:t>
      </w:r>
      <w:r>
        <w:t xml:space="preserve"> common equity ratio of 52.25</w:t>
      </w:r>
      <w:r w:rsidR="00730ADE">
        <w:t> percent</w:t>
      </w:r>
      <w:r>
        <w:t xml:space="preserve"> is in line with those the Commission has approved for other California electric utility companies.</w:t>
      </w:r>
      <w:r w:rsidR="005463D1">
        <w:rPr>
          <w:rStyle w:val="FootnoteReference"/>
        </w:rPr>
        <w:footnoteReference w:id="27"/>
      </w:r>
      <w:r w:rsidR="00CA1E26">
        <w:t xml:space="preserve"> </w:t>
      </w:r>
    </w:p>
    <w:p w:rsidR="00C01032" w:rsidP="0096620E" w:rsidRDefault="00A12060" w14:paraId="69DC170D" w14:textId="4FDFD069">
      <w:pPr>
        <w:pStyle w:val="Standard"/>
      </w:pPr>
      <w:r>
        <w:t>While no party contested PacifiCorp’s requested cost of debt</w:t>
      </w:r>
      <w:r w:rsidR="00E55459">
        <w:t xml:space="preserve"> or preferred stock</w:t>
      </w:r>
      <w:r>
        <w:t xml:space="preserve">, </w:t>
      </w:r>
      <w:r w:rsidR="00C01032">
        <w:t>Cal Advocates, argued that the overall rate of return should be 6.81</w:t>
      </w:r>
      <w:r w:rsidR="00730ADE">
        <w:t> percent</w:t>
      </w:r>
      <w:r w:rsidR="00C01032">
        <w:t>, by recommending that PacifiCorp should collect a 9</w:t>
      </w:r>
      <w:r w:rsidR="00456BD4">
        <w:t>.0</w:t>
      </w:r>
      <w:r w:rsidR="00730ADE">
        <w:t> percent</w:t>
      </w:r>
      <w:r w:rsidR="00C01032">
        <w:t xml:space="preserve"> return on equity (ROE)</w:t>
      </w:r>
      <w:r w:rsidR="00356E6E">
        <w:t xml:space="preserve">, given that the Commission has reduced the </w:t>
      </w:r>
      <w:r>
        <w:t xml:space="preserve">2023 </w:t>
      </w:r>
      <w:r w:rsidR="00356E6E">
        <w:t xml:space="preserve">ROE for other electric utilities in California in recent </w:t>
      </w:r>
      <w:r w:rsidR="00F009FE">
        <w:t>Cost of Capital</w:t>
      </w:r>
      <w:r w:rsidR="00356E6E">
        <w:t xml:space="preserve"> proceedings.</w:t>
      </w:r>
      <w:r w:rsidR="00074BBB">
        <w:rPr>
          <w:rStyle w:val="FootnoteReference"/>
        </w:rPr>
        <w:footnoteReference w:id="28"/>
      </w:r>
      <w:r w:rsidR="002733C6">
        <w:t xml:space="preserve"> Cal Advocates further noted that PacifiCorp’s issuer credit ratings from Standard and Poor (S&amp;P) and Moody’s are A and A3 while the average credit ratings of the two proxy group utilities are BBB+ and Baa1, indicating that PacifiCorp has lower investment risk than other electric utilities.</w:t>
      </w:r>
      <w:r w:rsidR="002733C6">
        <w:rPr>
          <w:rStyle w:val="FootnoteReference"/>
        </w:rPr>
        <w:footnoteReference w:id="29"/>
      </w:r>
      <w:r w:rsidR="002733C6">
        <w:t xml:space="preserve"> </w:t>
      </w:r>
    </w:p>
    <w:p w:rsidR="00EB0322" w:rsidP="009B7415" w:rsidRDefault="00F32E0B" w14:paraId="6BC9C8AD" w14:textId="16C53A6F">
      <w:pPr>
        <w:pStyle w:val="Standard"/>
      </w:pPr>
      <w:r>
        <w:t>CFBF</w:t>
      </w:r>
      <w:r w:rsidR="00C01032">
        <w:t xml:space="preserve"> proposed </w:t>
      </w:r>
      <w:r w:rsidR="00D737E6">
        <w:t>PacifiCorp’s ROE should be 9.5</w:t>
      </w:r>
      <w:r w:rsidR="00730ADE">
        <w:t> percent</w:t>
      </w:r>
      <w:r w:rsidR="00D737E6">
        <w:t xml:space="preserve">, based on </w:t>
      </w:r>
      <w:r w:rsidR="00356E6E">
        <w:t>considerations associated with the other states the utility operates in, and specifically noted that PacifiCorp did not provide adequate justification for why its ROE should be higher in California compared to those states.</w:t>
      </w:r>
      <w:r w:rsidR="00074BBB">
        <w:rPr>
          <w:rStyle w:val="FootnoteReference"/>
        </w:rPr>
        <w:footnoteReference w:id="30"/>
      </w:r>
      <w:r w:rsidR="00356E6E">
        <w:t xml:space="preserve"> </w:t>
      </w:r>
      <w:r w:rsidR="00247AC1">
        <w:t xml:space="preserve">Specifically, </w:t>
      </w:r>
      <w:r>
        <w:t>CFBF</w:t>
      </w:r>
      <w:r w:rsidR="00247AC1">
        <w:t xml:space="preserve"> noted that PacifiCorp’s approved ROEs for Oregon, Washington, and Wyoming are 9.5</w:t>
      </w:r>
      <w:r w:rsidR="00730ADE">
        <w:t> percent</w:t>
      </w:r>
      <w:r w:rsidR="00247AC1">
        <w:t>, its ROE for Utah is 9.65</w:t>
      </w:r>
      <w:r w:rsidR="00730ADE">
        <w:t> percent</w:t>
      </w:r>
      <w:r w:rsidR="00247AC1">
        <w:t>, and its previously-approved ROE for California is 10</w:t>
      </w:r>
      <w:r w:rsidR="00730ADE">
        <w:t> percent</w:t>
      </w:r>
      <w:r w:rsidR="00247AC1">
        <w:t>.</w:t>
      </w:r>
      <w:r w:rsidR="00247AC1">
        <w:rPr>
          <w:rStyle w:val="FootnoteReference"/>
        </w:rPr>
        <w:footnoteReference w:id="31"/>
      </w:r>
      <w:r w:rsidR="009B7415">
        <w:t xml:space="preserve"> </w:t>
      </w:r>
    </w:p>
    <w:p w:rsidR="00C01032" w:rsidP="009B7415" w:rsidRDefault="00F32E0B" w14:paraId="61DA859C" w14:textId="00D28D77">
      <w:pPr>
        <w:pStyle w:val="Standard"/>
      </w:pPr>
      <w:r>
        <w:t>CFBF</w:t>
      </w:r>
      <w:r w:rsidR="009B7415">
        <w:t xml:space="preserve"> did not object to PacifiCorp’s proposed capital structure</w:t>
      </w:r>
      <w:r w:rsidR="002D520D">
        <w:t xml:space="preserve"> itself</w:t>
      </w:r>
      <w:r w:rsidR="009B7415">
        <w:t>, but instead proposed alternative ratios of 49.99</w:t>
      </w:r>
      <w:r w:rsidR="00730ADE">
        <w:t> percent</w:t>
      </w:r>
      <w:r w:rsidR="009B7415">
        <w:t xml:space="preserve"> long-term debt, 0.01</w:t>
      </w:r>
      <w:r w:rsidR="00730ADE">
        <w:t> percent</w:t>
      </w:r>
      <w:r w:rsidR="009B7415">
        <w:t xml:space="preserve"> preferred stock and 50</w:t>
      </w:r>
      <w:r w:rsidR="00730ADE">
        <w:t> percent</w:t>
      </w:r>
      <w:r w:rsidR="009B7415">
        <w:t xml:space="preserve"> common equity.</w:t>
      </w:r>
      <w:r w:rsidR="009B7415">
        <w:rPr>
          <w:rStyle w:val="FootnoteReference"/>
        </w:rPr>
        <w:footnoteReference w:id="32"/>
      </w:r>
      <w:r w:rsidR="00AA5CCC">
        <w:t xml:space="preserve"> PacifiCorp countered that </w:t>
      </w:r>
      <w:r w:rsidR="005F674A">
        <w:t>CFBF</w:t>
      </w:r>
      <w:r w:rsidR="00AA5CCC">
        <w:t xml:space="preserve"> did not adequately account for the differing utility regulations across states, which can impact a utility’s risk and its calculated cost of capital.</w:t>
      </w:r>
      <w:r w:rsidR="00AA5CCC">
        <w:rPr>
          <w:rStyle w:val="FootnoteReference"/>
        </w:rPr>
        <w:footnoteReference w:id="33"/>
      </w:r>
      <w:r w:rsidR="00AA5CCC">
        <w:t xml:space="preserve"> </w:t>
      </w:r>
      <w:r w:rsidR="002733C6">
        <w:t>We find PacifiCorp’s proposed capital structure reasonable given Cal Advocates’ concurrence that the proposed equity ratio is in line with other California electric utility companies, however, 52.25 percent equity ratio is approaching the higher end.</w:t>
      </w:r>
      <w:r w:rsidR="002733C6">
        <w:rPr>
          <w:rStyle w:val="FootnoteReference"/>
        </w:rPr>
        <w:footnoteReference w:id="34"/>
      </w:r>
    </w:p>
    <w:p w:rsidR="005B5313" w:rsidP="00C01032" w:rsidRDefault="005B5313" w14:paraId="3C7B9588" w14:textId="3BECE049">
      <w:pPr>
        <w:pStyle w:val="Standard"/>
      </w:pPr>
      <w:r>
        <w:t>PacifiCorp suggested it faces higher regulatory risks than utilities within its identified proxy group</w:t>
      </w:r>
      <w:r w:rsidR="00802DC8">
        <w:t xml:space="preserve"> reviewed by national risk evaluators</w:t>
      </w:r>
      <w:r>
        <w:t>.</w:t>
      </w:r>
      <w:r>
        <w:rPr>
          <w:rStyle w:val="FootnoteReference"/>
        </w:rPr>
        <w:footnoteReference w:id="35"/>
      </w:r>
      <w:r>
        <w:t xml:space="preserve"> </w:t>
      </w:r>
      <w:r w:rsidR="00F046BF">
        <w:t>PacifiCorp further argued that current market trends following the COVID-19 pandemic and associated political activities to boost government bond interest will create downward pressure on utility stocks.</w:t>
      </w:r>
      <w:r w:rsidR="00F046BF">
        <w:rPr>
          <w:rStyle w:val="FootnoteReference"/>
        </w:rPr>
        <w:footnoteReference w:id="36"/>
      </w:r>
      <w:r w:rsidR="00F046BF">
        <w:t xml:space="preserve"> </w:t>
      </w:r>
    </w:p>
    <w:p w:rsidR="00F046BF" w:rsidP="00C01032" w:rsidRDefault="005B5313" w14:paraId="6C0FED0A" w14:textId="4865E817">
      <w:pPr>
        <w:pStyle w:val="Standard"/>
      </w:pPr>
      <w:r>
        <w:t>We note, however, that PacifiCorp’s requested ROE for its California service territory is nearly 1</w:t>
      </w:r>
      <w:r w:rsidR="00730ADE">
        <w:t> percent</w:t>
      </w:r>
      <w:r>
        <w:t xml:space="preserve"> higher than the average ROEs </w:t>
      </w:r>
      <w:r w:rsidR="00752581">
        <w:t xml:space="preserve">PacifiCorp is authorized to recover </w:t>
      </w:r>
      <w:r>
        <w:t>in Oregon, Utah, Washin</w:t>
      </w:r>
      <w:r w:rsidR="005A045D">
        <w:t>g</w:t>
      </w:r>
      <w:r>
        <w:t xml:space="preserve">ton, and Wyoming. </w:t>
      </w:r>
      <w:r w:rsidR="003D4387">
        <w:t>Further,</w:t>
      </w:r>
      <w:r w:rsidR="001A7616">
        <w:t xml:space="preserve"> </w:t>
      </w:r>
      <w:r w:rsidR="003D4387">
        <w:t xml:space="preserve">macroeconomic </w:t>
      </w:r>
      <w:r w:rsidR="001A7616">
        <w:t>events such as the COVID-19 pandemic and interest rates are not specific to PacifiCorp or California</w:t>
      </w:r>
      <w:r w:rsidR="00D932EF">
        <w:t>.</w:t>
      </w:r>
      <w:r w:rsidR="001A7616">
        <w:t xml:space="preserve"> </w:t>
      </w:r>
      <w:r w:rsidR="009F3B29">
        <w:t>PacifiCorp’s</w:t>
      </w:r>
      <w:r>
        <w:t xml:space="preserve"> requested 10.5</w:t>
      </w:r>
      <w:r w:rsidR="00730ADE">
        <w:t> percent</w:t>
      </w:r>
      <w:r>
        <w:t xml:space="preserve"> ROE </w:t>
      </w:r>
      <w:r w:rsidR="009F3B29">
        <w:t xml:space="preserve">in California </w:t>
      </w:r>
      <w:r>
        <w:t xml:space="preserve">exceeds those approved in D.22-12-031, </w:t>
      </w:r>
      <w:r w:rsidR="001A7616">
        <w:t xml:space="preserve">for </w:t>
      </w:r>
      <w:r w:rsidR="00F32B24">
        <w:t>TY </w:t>
      </w:r>
      <w:r w:rsidR="001A7616">
        <w:t xml:space="preserve">2023 </w:t>
      </w:r>
      <w:r>
        <w:t>as corrected in D.23-01-002 and upheld in D.23-08-024</w:t>
      </w:r>
      <w:r w:rsidR="009F3B29">
        <w:t>, for the four larger energy utilities</w:t>
      </w:r>
      <w:r>
        <w:t>.</w:t>
      </w:r>
      <w:r w:rsidR="009F3B29">
        <w:rPr>
          <w:rStyle w:val="FootnoteReference"/>
        </w:rPr>
        <w:footnoteReference w:id="37"/>
      </w:r>
      <w:r w:rsidR="009F3B29">
        <w:t xml:space="preserve"> </w:t>
      </w:r>
      <w:r w:rsidR="00074BBB">
        <w:t xml:space="preserve">We </w:t>
      </w:r>
      <w:r>
        <w:t xml:space="preserve">therefore </w:t>
      </w:r>
      <w:r w:rsidR="00074BBB">
        <w:t xml:space="preserve">agree with Cal Advocates and </w:t>
      </w:r>
      <w:r w:rsidR="005F674A">
        <w:t>CFBF</w:t>
      </w:r>
      <w:r w:rsidR="00074BBB">
        <w:t xml:space="preserve"> that PacifiCorp’s requested increase in its ROE </w:t>
      </w:r>
      <w:r w:rsidR="00DC3263">
        <w:t>is</w:t>
      </w:r>
      <w:r w:rsidR="00074BBB">
        <w:t xml:space="preserve"> unreasonable</w:t>
      </w:r>
      <w:r w:rsidR="00DC3263">
        <w:t xml:space="preserve">, given the recent downtrend in ROE rates approved </w:t>
      </w:r>
      <w:r w:rsidR="001A7616">
        <w:t xml:space="preserve">for 2023 </w:t>
      </w:r>
      <w:r w:rsidR="00DC3263">
        <w:t>for other, larger electric utilities operating in California</w:t>
      </w:r>
      <w:r w:rsidR="009F3B29">
        <w:t xml:space="preserve"> and the ROE approved in other states in PacifiCorp’s service territory.</w:t>
      </w:r>
      <w:r w:rsidR="00074BBB">
        <w:t xml:space="preserve"> </w:t>
      </w:r>
    </w:p>
    <w:p w:rsidR="00074BBB" w:rsidP="00C01032" w:rsidRDefault="00074BBB" w14:paraId="7EE2D483" w14:textId="7BA98B41">
      <w:pPr>
        <w:pStyle w:val="Standard"/>
      </w:pPr>
      <w:r>
        <w:t xml:space="preserve">We find that </w:t>
      </w:r>
      <w:r w:rsidR="009F3B29">
        <w:t>the</w:t>
      </w:r>
      <w:r>
        <w:t xml:space="preserve"> existing ROE of 10</w:t>
      </w:r>
      <w:r w:rsidR="00730ADE">
        <w:t> percent</w:t>
      </w:r>
      <w:r>
        <w:t xml:space="preserve"> provides PacifiCorp with a sufficient return without requiring additional rate increases. Therefore, PacifiCorp shall calculate a new Cost of Capital that incorporates </w:t>
      </w:r>
      <w:r w:rsidR="003D701A">
        <w:t>its existing</w:t>
      </w:r>
      <w:r>
        <w:t xml:space="preserve"> ROE of 10</w:t>
      </w:r>
      <w:r w:rsidR="00730ADE">
        <w:t> percent</w:t>
      </w:r>
      <w:r>
        <w:t xml:space="preserve">, rather than </w:t>
      </w:r>
      <w:r w:rsidR="003C06F0">
        <w:t xml:space="preserve">the </w:t>
      </w:r>
      <w:r>
        <w:t>10.5</w:t>
      </w:r>
      <w:r w:rsidR="00730ADE">
        <w:t> percent</w:t>
      </w:r>
      <w:r>
        <w:t xml:space="preserve"> </w:t>
      </w:r>
      <w:r w:rsidR="003C06F0">
        <w:t xml:space="preserve">ROE </w:t>
      </w:r>
      <w:r>
        <w:t xml:space="preserve">calculated in its workpapers, when filing its Tier 1 AL implementing the rates associated with </w:t>
      </w:r>
      <w:r w:rsidR="005B5313">
        <w:t xml:space="preserve">the revenue requirement adopted in </w:t>
      </w:r>
      <w:r>
        <w:t>this decision.</w:t>
      </w:r>
      <w:r w:rsidR="00CB1559">
        <w:rPr>
          <w:rStyle w:val="FootnoteReference"/>
        </w:rPr>
        <w:footnoteReference w:id="38"/>
      </w:r>
      <w:r>
        <w:t xml:space="preserve"> </w:t>
      </w:r>
    </w:p>
    <w:p w:rsidR="0018007F" w:rsidP="002D228B" w:rsidRDefault="0018007F" w14:paraId="040FF1B0" w14:textId="77777777">
      <w:pPr>
        <w:pStyle w:val="Heading2"/>
        <w:numPr>
          <w:ilvl w:val="1"/>
          <w:numId w:val="3"/>
        </w:numPr>
      </w:pPr>
      <w:bookmarkStart w:name="_Toc153298426" w:id="47"/>
      <w:r>
        <w:t>Capital Additions</w:t>
      </w:r>
      <w:bookmarkEnd w:id="47"/>
    </w:p>
    <w:p w:rsidR="0018007F" w:rsidP="0018007F" w:rsidRDefault="0018007F" w14:paraId="72B7A85A" w14:textId="3476C588">
      <w:pPr>
        <w:pStyle w:val="Standard"/>
      </w:pPr>
      <w:r>
        <w:t xml:space="preserve">PacifiCorp proposed to </w:t>
      </w:r>
      <w:r w:rsidR="00AD3D94">
        <w:t xml:space="preserve">include </w:t>
      </w:r>
      <w:r>
        <w:t>the $1.125</w:t>
      </w:r>
      <w:r w:rsidR="00730ADE">
        <w:t> million</w:t>
      </w:r>
      <w:r>
        <w:t xml:space="preserve"> </w:t>
      </w:r>
      <w:r w:rsidR="00AD3D94">
        <w:t xml:space="preserve">capital </w:t>
      </w:r>
      <w:r>
        <w:t>costs associated with upgrading the technology at its Foote Creek II-IV wind power facilities. This project</w:t>
      </w:r>
      <w:r w:rsidR="000841EB">
        <w:t xml:space="preserve"> to replace 64 original wind turbines with new generators</w:t>
      </w:r>
      <w:r>
        <w:t xml:space="preserve"> </w:t>
      </w:r>
      <w:r w:rsidR="000841EB">
        <w:t xml:space="preserve">was </w:t>
      </w:r>
      <w:r>
        <w:t>expected to be in service in December 2023.</w:t>
      </w:r>
      <w:r>
        <w:rPr>
          <w:rStyle w:val="FootnoteReference"/>
        </w:rPr>
        <w:footnoteReference w:id="39"/>
      </w:r>
    </w:p>
    <w:p w:rsidR="0018007F" w:rsidP="0018007F" w:rsidRDefault="0018007F" w14:paraId="34313DA9" w14:textId="667DB291">
      <w:pPr>
        <w:pStyle w:val="Standard"/>
      </w:pPr>
      <w:r>
        <w:t>Cal Advocates recommended that the Commission fully reject PacifiCorp’s requested amount for the Foote Creek</w:t>
      </w:r>
      <w:r w:rsidR="00CA6EC2">
        <w:t xml:space="preserve"> II-IV</w:t>
      </w:r>
      <w:r>
        <w:t xml:space="preserve"> Project, because it “would result in a $300,000 increase to the revenue requirement.” Cal Advocates argued that there would be an absence of costs in service for the Foote Creek </w:t>
      </w:r>
      <w:r w:rsidR="00CA6EC2">
        <w:t xml:space="preserve">II-IV </w:t>
      </w:r>
      <w:r>
        <w:t xml:space="preserve">Project “well into the test </w:t>
      </w:r>
      <w:r w:rsidR="002102AB">
        <w:t>period, “and</w:t>
      </w:r>
      <w:r>
        <w:t xml:space="preserve"> that PacifiCorp had failed to indicate (1) associated costs for each milestone and (2) an historical comparable project for cost comparison. </w:t>
      </w:r>
      <w:r w:rsidR="00E43045">
        <w:t xml:space="preserve">Cal Advocates noted that PacifiCorp admitted that it does not expect the Foote Creek </w:t>
      </w:r>
      <w:r w:rsidR="00CA6EC2">
        <w:t xml:space="preserve">II-IV </w:t>
      </w:r>
      <w:r w:rsidR="00E43045">
        <w:t xml:space="preserve">Project to be completed until late 2023, and that the project had already been delayed by nearly six months due to weather conditions. </w:t>
      </w:r>
      <w:r>
        <w:t xml:space="preserve">Cal Advocates suggested PacifiCorp should instead request recovery of the Foote Creek </w:t>
      </w:r>
      <w:r w:rsidR="00CA6EC2">
        <w:t xml:space="preserve">II-IV </w:t>
      </w:r>
      <w:r>
        <w:t>Project through its PTAM after the project is fully operational.</w:t>
      </w:r>
      <w:r>
        <w:rPr>
          <w:rStyle w:val="FootnoteReference"/>
        </w:rPr>
        <w:footnoteReference w:id="40"/>
      </w:r>
      <w:r w:rsidR="002102AB">
        <w:t xml:space="preserve"> Further, Cal Advocates suggested that the Foote Creek Unit I project could potentially be considered as historically comparable.</w:t>
      </w:r>
      <w:r w:rsidR="002102AB">
        <w:rPr>
          <w:rStyle w:val="FootnoteReference"/>
        </w:rPr>
        <w:footnoteReference w:id="41"/>
      </w:r>
    </w:p>
    <w:p w:rsidR="002102AB" w:rsidP="0018007F" w:rsidRDefault="002102AB" w14:paraId="51574668" w14:textId="28B747E8">
      <w:pPr>
        <w:pStyle w:val="Standard"/>
      </w:pPr>
      <w:r>
        <w:t>PacifiCorp countered that Foote Creek I cannot directly be compared to the ongoing Foote Creek II-IV project, largely because it occurred in the early stages of the COVID-19 pandemic, which caused significant schedule delays throughout 2020.</w:t>
      </w:r>
      <w:r>
        <w:rPr>
          <w:rStyle w:val="FootnoteReference"/>
        </w:rPr>
        <w:footnoteReference w:id="42"/>
      </w:r>
    </w:p>
    <w:p w:rsidRPr="007A21FF" w:rsidR="00D73E22" w:rsidP="0018007F" w:rsidRDefault="00EB754D" w14:paraId="3CBD9B54" w14:textId="7781C089">
      <w:pPr>
        <w:pStyle w:val="Standard"/>
      </w:pPr>
      <w:r>
        <w:t xml:space="preserve">In opening comments on the Proposed Decision, </w:t>
      </w:r>
      <w:r w:rsidR="00CF07B0">
        <w:t xml:space="preserve"> PacifiCorp </w:t>
      </w:r>
      <w:r>
        <w:t>noted that the</w:t>
      </w:r>
      <w:r w:rsidR="00D73E22">
        <w:t xml:space="preserve"> Foote Creek </w:t>
      </w:r>
      <w:r w:rsidR="00CA6EC2">
        <w:t xml:space="preserve">II-IV </w:t>
      </w:r>
      <w:r w:rsidR="00D73E22">
        <w:t xml:space="preserve">Project </w:t>
      </w:r>
      <w:r>
        <w:t>became operational on November 21, 2023.</w:t>
      </w:r>
      <w:r>
        <w:rPr>
          <w:rStyle w:val="FootnoteReference"/>
        </w:rPr>
        <w:footnoteReference w:id="43"/>
      </w:r>
      <w:r>
        <w:t xml:space="preserve"> PacifiCorp suggested that requiring a PTAM for this major capital addition after approval of this GRC application would result in multiple rate increases for its customers. While that may occur, we do not find it reasonable to incorporate the full cost of the Foote Creek capital costs in PacifiCorp’s TY 2023 revenue requirement, given that the upgraded facilities will only have been operational for less than two months of </w:t>
      </w:r>
      <w:r w:rsidR="00752581">
        <w:t>TY 2023</w:t>
      </w:r>
      <w:r>
        <w:t xml:space="preserve">. </w:t>
      </w:r>
      <w:r w:rsidR="00FF074C">
        <w:t xml:space="preserve">Further, we do not have accurate cost data </w:t>
      </w:r>
      <w:r w:rsidR="006B1BBB">
        <w:t xml:space="preserve">for the Foote Creek Project </w:t>
      </w:r>
      <w:r w:rsidR="00FF074C">
        <w:t xml:space="preserve">or </w:t>
      </w:r>
      <w:r w:rsidR="006B1BBB">
        <w:t xml:space="preserve">any </w:t>
      </w:r>
      <w:r w:rsidR="00FF074C">
        <w:t>historical costs to compare it to on the record of this proceeding, as noted by Cal Advocates.</w:t>
      </w:r>
      <w:r w:rsidR="00FF074C">
        <w:rPr>
          <w:rStyle w:val="FootnoteReference"/>
        </w:rPr>
        <w:footnoteReference w:id="44"/>
      </w:r>
      <w:r w:rsidR="00FF074C">
        <w:t xml:space="preserve"> </w:t>
      </w:r>
      <w:r>
        <w:t>Therefore</w:t>
      </w:r>
      <w:r w:rsidR="00D73E22">
        <w:t xml:space="preserve">, we agree with Cal Advocates that the appropriate mechanism to request recovery of the project is through its PTAM. As noted in Section 4.2 above, </w:t>
      </w:r>
      <w:r w:rsidR="00D73E22">
        <w:rPr>
          <w:rFonts w:cs="Times New Roman"/>
          <w:szCs w:val="20"/>
        </w:rPr>
        <w:t>any major capital additions in 2023 and 2024 can be sought through PacifiCorp’s PTAM, so long as the requested adjustment is based on actual cost data and in-service dates and reflect</w:t>
      </w:r>
      <w:r w:rsidR="00CF07B0">
        <w:rPr>
          <w:rFonts w:cs="Times New Roman"/>
          <w:szCs w:val="20"/>
        </w:rPr>
        <w:t>s</w:t>
      </w:r>
      <w:r w:rsidR="00D73E22">
        <w:rPr>
          <w:rFonts w:cs="Times New Roman"/>
          <w:szCs w:val="20"/>
        </w:rPr>
        <w:t xml:space="preserve"> the appropriate allocation to California ratepayers. A PTAM for major capital additions </w:t>
      </w:r>
      <w:r w:rsidR="004A3A49">
        <w:rPr>
          <w:rFonts w:cs="Times New Roman"/>
          <w:szCs w:val="20"/>
        </w:rPr>
        <w:t>incurred in</w:t>
      </w:r>
      <w:r w:rsidR="00D73E22">
        <w:rPr>
          <w:rFonts w:cs="Times New Roman"/>
          <w:szCs w:val="20"/>
        </w:rPr>
        <w:t xml:space="preserve"> 2023 </w:t>
      </w:r>
      <w:r w:rsidR="004A3A49">
        <w:rPr>
          <w:rFonts w:cs="Times New Roman"/>
          <w:szCs w:val="20"/>
        </w:rPr>
        <w:t xml:space="preserve">may be filed </w:t>
      </w:r>
      <w:r w:rsidR="00D73E22">
        <w:rPr>
          <w:rFonts w:cs="Times New Roman"/>
          <w:szCs w:val="20"/>
        </w:rPr>
        <w:t>as soon as reasonably feasible following the effective date of this decision, and a PTAM for</w:t>
      </w:r>
      <w:r w:rsidR="005F4E43">
        <w:rPr>
          <w:rFonts w:cs="Times New Roman"/>
          <w:szCs w:val="20"/>
        </w:rPr>
        <w:t xml:space="preserve"> </w:t>
      </w:r>
      <w:r w:rsidR="004A3A49">
        <w:rPr>
          <w:rFonts w:cs="Times New Roman"/>
          <w:szCs w:val="20"/>
        </w:rPr>
        <w:t xml:space="preserve">costs of </w:t>
      </w:r>
      <w:r w:rsidR="00D73E22">
        <w:rPr>
          <w:rFonts w:cs="Times New Roman"/>
          <w:szCs w:val="20"/>
        </w:rPr>
        <w:t xml:space="preserve">major capital additions </w:t>
      </w:r>
      <w:r w:rsidR="004A3A49">
        <w:rPr>
          <w:rFonts w:cs="Times New Roman"/>
          <w:szCs w:val="20"/>
        </w:rPr>
        <w:t xml:space="preserve">incurred in 2024 </w:t>
      </w:r>
      <w:r w:rsidR="00D73E22">
        <w:rPr>
          <w:rFonts w:cs="Times New Roman"/>
          <w:szCs w:val="20"/>
        </w:rPr>
        <w:t>may be filed October 15, 2024.</w:t>
      </w:r>
    </w:p>
    <w:p w:rsidR="00955EC9" w:rsidP="002D228B" w:rsidRDefault="00955EC9" w14:paraId="5F1D1F2E" w14:textId="0ECABC94">
      <w:pPr>
        <w:pStyle w:val="Heading2"/>
        <w:numPr>
          <w:ilvl w:val="1"/>
          <w:numId w:val="3"/>
        </w:numPr>
      </w:pPr>
      <w:bookmarkStart w:name="_Toc153298427" w:id="48"/>
      <w:r>
        <w:t>Wildfire Mitigation Costs</w:t>
      </w:r>
      <w:bookmarkEnd w:id="48"/>
    </w:p>
    <w:p w:rsidRPr="00DD6BED" w:rsidR="00DD6BED" w:rsidP="00DD6BED" w:rsidRDefault="00DD6BED" w14:paraId="21CF6583" w14:textId="4B12B641">
      <w:pPr>
        <w:pStyle w:val="Standard"/>
      </w:pPr>
      <w:r>
        <w:t>PacifiCorp requested specific revenue requirements associated with wildfire mitigation capital expenditures</w:t>
      </w:r>
      <w:r w:rsidR="00C80F98">
        <w:t xml:space="preserve"> associated with</w:t>
      </w:r>
      <w:r>
        <w:t xml:space="preserve"> infrastructure improvements and additional operation</w:t>
      </w:r>
      <w:r w:rsidR="00C0088A">
        <w:t>s</w:t>
      </w:r>
      <w:r>
        <w:t xml:space="preserve"> and </w:t>
      </w:r>
      <w:r w:rsidR="00C0088A">
        <w:t xml:space="preserve">maintenance </w:t>
      </w:r>
      <w:r>
        <w:t>expenses</w:t>
      </w:r>
      <w:r w:rsidR="00C80F98">
        <w:t xml:space="preserve"> related</w:t>
      </w:r>
      <w:r>
        <w:t xml:space="preserve"> largely to planning for future grid hardening and vegetation management improvements. The proposed </w:t>
      </w:r>
      <w:r w:rsidR="00C0088A">
        <w:t xml:space="preserve">wildfire mitigation </w:t>
      </w:r>
      <w:r>
        <w:t xml:space="preserve">capital costs and operations and </w:t>
      </w:r>
      <w:r w:rsidR="00FC66A1">
        <w:t>maintenance expenses</w:t>
      </w:r>
      <w:r>
        <w:t xml:space="preserve"> are discussed in more detail below.</w:t>
      </w:r>
    </w:p>
    <w:p w:rsidR="00B96436" w:rsidP="00524502" w:rsidRDefault="00B96436" w14:paraId="13A19958" w14:textId="50961402">
      <w:pPr>
        <w:pStyle w:val="Heading3"/>
      </w:pPr>
      <w:bookmarkStart w:name="_Toc153298428" w:id="49"/>
      <w:r>
        <w:t xml:space="preserve">Wildfire </w:t>
      </w:r>
      <w:r w:rsidR="00CA0D7F">
        <w:t xml:space="preserve">Mitigation </w:t>
      </w:r>
      <w:r>
        <w:t>C</w:t>
      </w:r>
      <w:r w:rsidR="00CA0D7F">
        <w:t>apital Expenditures</w:t>
      </w:r>
      <w:bookmarkEnd w:id="49"/>
      <w:r>
        <w:t xml:space="preserve"> </w:t>
      </w:r>
    </w:p>
    <w:p w:rsidR="00B96436" w:rsidP="00B96436" w:rsidRDefault="0044581C" w14:paraId="7A886E2A" w14:textId="2709BAA0">
      <w:pPr>
        <w:pStyle w:val="Standard"/>
      </w:pPr>
      <w:r>
        <w:t xml:space="preserve">PacifiCorp requested to </w:t>
      </w:r>
      <w:r w:rsidR="00CA0D7F">
        <w:t>add</w:t>
      </w:r>
      <w:r>
        <w:t xml:space="preserve"> $77.1</w:t>
      </w:r>
      <w:r w:rsidR="00730ADE">
        <w:t> million</w:t>
      </w:r>
      <w:r>
        <w:t xml:space="preserve"> </w:t>
      </w:r>
      <w:r w:rsidR="00CA0D7F">
        <w:t>to rate base</w:t>
      </w:r>
      <w:r>
        <w:t xml:space="preserve"> for wildfire mitigation </w:t>
      </w:r>
      <w:r w:rsidR="00CA0D7F">
        <w:t>capital expenditures that w</w:t>
      </w:r>
      <w:r w:rsidR="00C0088A">
        <w:t>ere</w:t>
      </w:r>
      <w:r w:rsidR="00CA0D7F">
        <w:t xml:space="preserve"> forecasted to be placed in service between 2022 and 2023</w:t>
      </w:r>
      <w:r>
        <w:t>.</w:t>
      </w:r>
      <w:r>
        <w:rPr>
          <w:rStyle w:val="FootnoteReference"/>
        </w:rPr>
        <w:footnoteReference w:id="45"/>
      </w:r>
      <w:r w:rsidR="00252479">
        <w:t xml:space="preserve"> </w:t>
      </w:r>
      <w:r w:rsidR="00CA0D7F">
        <w:t xml:space="preserve">Cal Advocates </w:t>
      </w:r>
      <w:r w:rsidR="001E221E">
        <w:t>recommended approving $47.42</w:t>
      </w:r>
      <w:r w:rsidR="00730ADE">
        <w:t> million</w:t>
      </w:r>
      <w:r w:rsidR="001E221E">
        <w:t xml:space="preserve"> of incremental wildfire mitigation capital expenditures based on a method that</w:t>
      </w:r>
      <w:r w:rsidR="007F3D7C">
        <w:t xml:space="preserve"> examined supporting documentation provided by PacifiCorp and</w:t>
      </w:r>
      <w:r w:rsidR="001E221E">
        <w:t xml:space="preserve"> uses recorded data from July</w:t>
      </w:r>
      <w:r w:rsidR="00CF2AF9">
        <w:t> </w:t>
      </w:r>
      <w:r w:rsidR="001E221E">
        <w:t>2021 through October</w:t>
      </w:r>
      <w:r w:rsidR="00CF2AF9">
        <w:t> </w:t>
      </w:r>
      <w:r w:rsidR="001E221E">
        <w:t>2022 totaling $23.58</w:t>
      </w:r>
      <w:r w:rsidR="00730ADE">
        <w:t> million</w:t>
      </w:r>
      <w:r w:rsidR="001E221E">
        <w:t xml:space="preserve"> and then applies an average monthly spending amount of $1.7</w:t>
      </w:r>
      <w:r w:rsidR="00730ADE">
        <w:t> million</w:t>
      </w:r>
      <w:r w:rsidR="001E221E">
        <w:t xml:space="preserve"> for the months November</w:t>
      </w:r>
      <w:r w:rsidR="00CF2AF9">
        <w:t> </w:t>
      </w:r>
      <w:r w:rsidR="001E221E">
        <w:t>2022 through December</w:t>
      </w:r>
      <w:r w:rsidR="00CF2AF9">
        <w:t> </w:t>
      </w:r>
      <w:r w:rsidR="001E221E">
        <w:t xml:space="preserve">2023. </w:t>
      </w:r>
      <w:r w:rsidR="007F3D7C">
        <w:t>Cal Advocates specifically noted that the supporting documentation provided by PacifiCorp was adequate for it to conduct is additional review of the proposed wildfire mitigation capital expenditures.</w:t>
      </w:r>
    </w:p>
    <w:p w:rsidR="001E221E" w:rsidP="00B96436" w:rsidRDefault="00196562" w14:paraId="7087658B" w14:textId="3CE29AC8">
      <w:pPr>
        <w:pStyle w:val="Standard"/>
      </w:pPr>
      <w:r>
        <w:t xml:space="preserve">Specifically, </w:t>
      </w:r>
      <w:r w:rsidR="001E221E">
        <w:t xml:space="preserve">Cal Advocates explained that its recommendation was reasonable due to what it described as </w:t>
      </w:r>
      <w:r w:rsidR="001833C4">
        <w:t>“</w:t>
      </w:r>
      <w:r w:rsidR="001E221E">
        <w:t>steep monthly fluctuations of costs in service</w:t>
      </w:r>
      <w:r w:rsidR="001833C4">
        <w:t>”</w:t>
      </w:r>
      <w:r w:rsidR="001833C4">
        <w:rPr>
          <w:rStyle w:val="FootnoteReference"/>
        </w:rPr>
        <w:footnoteReference w:id="46"/>
      </w:r>
      <w:r w:rsidR="001E221E">
        <w:t xml:space="preserve"> while </w:t>
      </w:r>
      <w:r w:rsidR="001833C4">
        <w:t>Cal Advocates testimony originally</w:t>
      </w:r>
      <w:r w:rsidR="001E221E">
        <w:t xml:space="preserve"> assert</w:t>
      </w:r>
      <w:r w:rsidR="001833C4">
        <w:t>ed</w:t>
      </w:r>
      <w:r w:rsidR="001E221E">
        <w:t xml:space="preserve"> </w:t>
      </w:r>
      <w:r w:rsidR="00BC2F44">
        <w:t xml:space="preserve">its reasoning was based on </w:t>
      </w:r>
      <w:r w:rsidR="001E221E">
        <w:t xml:space="preserve">PacifiCorp </w:t>
      </w:r>
      <w:r w:rsidR="00BC2F44">
        <w:t>being unable</w:t>
      </w:r>
      <w:r w:rsidR="001E221E">
        <w:t xml:space="preserve"> to </w:t>
      </w:r>
      <w:r w:rsidR="00BC2F44">
        <w:t xml:space="preserve">entirely </w:t>
      </w:r>
      <w:r w:rsidR="001E221E">
        <w:t>meet its requested total cost</w:t>
      </w:r>
      <w:r w:rsidR="00BC2F44">
        <w:t>s in service</w:t>
      </w:r>
      <w:r w:rsidR="001E221E">
        <w:t xml:space="preserve"> of $37.1</w:t>
      </w:r>
      <w:r w:rsidR="00730ADE">
        <w:t> million</w:t>
      </w:r>
      <w:r w:rsidR="001E221E">
        <w:t xml:space="preserve"> for 2022</w:t>
      </w:r>
      <w:r w:rsidR="00BC2F44">
        <w:t xml:space="preserve"> and $37.1</w:t>
      </w:r>
      <w:r w:rsidR="00730ADE">
        <w:t> million</w:t>
      </w:r>
      <w:r w:rsidR="00BC2F44">
        <w:t xml:space="preserve"> [for] 2023</w:t>
      </w:r>
      <w:r w:rsidR="001E221E">
        <w:t>.</w:t>
      </w:r>
      <w:r w:rsidR="001833C4">
        <w:rPr>
          <w:rStyle w:val="FootnoteReference"/>
        </w:rPr>
        <w:footnoteReference w:id="47"/>
      </w:r>
      <w:r w:rsidR="001E221E">
        <w:t xml:space="preserve"> </w:t>
      </w:r>
    </w:p>
    <w:p w:rsidR="00BC2F44" w:rsidP="00B96436" w:rsidRDefault="00BC2F44" w14:paraId="46F8A9CB" w14:textId="27E6AF4F">
      <w:pPr>
        <w:pStyle w:val="Standard"/>
      </w:pPr>
      <w:r>
        <w:t xml:space="preserve">PacifiCorp responded that Cal Advocates’ method is inappropriate because it does not </w:t>
      </w:r>
      <w:r w:rsidR="00752581">
        <w:t>consider</w:t>
      </w:r>
      <w:r>
        <w:t xml:space="preserve"> that wildfire mitigation investments are “ramping up in response to increased risk in PacifiCorp’s service territory and correlate to the Company’s Wildfire Mitigation Plan.”</w:t>
      </w:r>
      <w:r>
        <w:rPr>
          <w:rStyle w:val="FootnoteReference"/>
        </w:rPr>
        <w:footnoteReference w:id="48"/>
      </w:r>
      <w:r>
        <w:t xml:space="preserve"> PacifiCorp further explained that capital costs are not pl</w:t>
      </w:r>
      <w:r w:rsidR="005A4597">
        <w:t>aced in service on a uniform average monthly basis because more construction is accomplished in the 3</w:t>
      </w:r>
      <w:r w:rsidRPr="00524502" w:rsidR="005A4597">
        <w:rPr>
          <w:vertAlign w:val="superscript"/>
        </w:rPr>
        <w:t>rd</w:t>
      </w:r>
      <w:r w:rsidR="005A4597">
        <w:t xml:space="preserve"> and 4</w:t>
      </w:r>
      <w:r w:rsidRPr="00524502" w:rsidR="005A4597">
        <w:rPr>
          <w:vertAlign w:val="superscript"/>
        </w:rPr>
        <w:t>th</w:t>
      </w:r>
      <w:r w:rsidR="005A4597">
        <w:t xml:space="preserve"> quarters due to more favorable weather conditions.</w:t>
      </w:r>
      <w:r w:rsidR="005A4597">
        <w:rPr>
          <w:rStyle w:val="FootnoteReference"/>
        </w:rPr>
        <w:footnoteReference w:id="49"/>
      </w:r>
      <w:r w:rsidR="008C35C6">
        <w:t xml:space="preserve">  PacifiCorp argue</w:t>
      </w:r>
      <w:r w:rsidR="00DD6BED">
        <w:t>d</w:t>
      </w:r>
      <w:r w:rsidR="008C35C6">
        <w:t xml:space="preserve"> that</w:t>
      </w:r>
      <w:r w:rsidR="000F52A3">
        <w:t>,</w:t>
      </w:r>
      <w:r w:rsidR="008C35C6">
        <w:t xml:space="preserve"> contrary to Cal Advocates’ assertion regarding 2022, PacifiCorp actually exceeded the $37.1</w:t>
      </w:r>
      <w:r w:rsidR="00730ADE">
        <w:t> million</w:t>
      </w:r>
      <w:r w:rsidR="008C35C6">
        <w:t xml:space="preserve"> forecast, with the final 2022 wildfire mitigation capital costs placed in service totaling $44.6</w:t>
      </w:r>
      <w:r w:rsidR="00730ADE">
        <w:t> million</w:t>
      </w:r>
      <w:r w:rsidR="008C35C6">
        <w:t>.</w:t>
      </w:r>
      <w:r w:rsidR="008C35C6">
        <w:rPr>
          <w:rStyle w:val="FootnoteReference"/>
        </w:rPr>
        <w:footnoteReference w:id="50"/>
      </w:r>
    </w:p>
    <w:p w:rsidR="001D4CA7" w:rsidP="00B96436" w:rsidRDefault="00A04B2C" w14:paraId="0EC6889B" w14:textId="4B9BB63D">
      <w:pPr>
        <w:pStyle w:val="Standard"/>
      </w:pPr>
      <w:r>
        <w:t xml:space="preserve">PacifiCorp’s assertion that its expenditures exceeded its wildfire mitigation-related capital cost forecast for 2022 was not refuted by Cal Advocates. </w:t>
      </w:r>
      <w:r w:rsidR="001D4CA7">
        <w:t>We find PacifiCorp’s forecast for wildfire mitigation capital expenditures reasonable. PacifiCorp has had little, if any, wildfire mitigation capital expenditures prior to this GRC cycle and is implementing new wildfire mitigation programs, so a ramp up period is not unexpected</w:t>
      </w:r>
      <w:r w:rsidR="00D932EF">
        <w:t>.</w:t>
      </w:r>
      <w:r w:rsidR="001D4CA7">
        <w:t xml:space="preserve"> </w:t>
      </w:r>
    </w:p>
    <w:p w:rsidR="00825DA7" w:rsidP="00524502" w:rsidRDefault="00825DA7" w14:paraId="27B3A4BF" w14:textId="2258E3D1">
      <w:pPr>
        <w:pStyle w:val="Heading3"/>
      </w:pPr>
      <w:bookmarkStart w:name="_Toc153298429" w:id="50"/>
      <w:r w:rsidRPr="00955EC9">
        <w:t>Wildfire Mitigation</w:t>
      </w:r>
      <w:r w:rsidR="00D6569C">
        <w:t xml:space="preserve"> and Vegetation Management</w:t>
      </w:r>
      <w:r w:rsidRPr="00955EC9">
        <w:t xml:space="preserve"> O&amp;M</w:t>
      </w:r>
      <w:r w:rsidR="00F7237C">
        <w:t xml:space="preserve"> Expenses</w:t>
      </w:r>
      <w:bookmarkEnd w:id="50"/>
      <w:r>
        <w:t xml:space="preserve"> </w:t>
      </w:r>
    </w:p>
    <w:p w:rsidR="00935426" w:rsidP="00B96436" w:rsidRDefault="00D6569C" w14:paraId="15657D90" w14:textId="6C01D236">
      <w:pPr>
        <w:pStyle w:val="Standard"/>
      </w:pPr>
      <w:r>
        <w:t xml:space="preserve">For </w:t>
      </w:r>
      <w:r w:rsidR="00F32B24">
        <w:t>TY </w:t>
      </w:r>
      <w:r>
        <w:t>2023 PacifiCorp forecasted an increase of $8.367</w:t>
      </w:r>
      <w:r w:rsidR="00730ADE">
        <w:t> million</w:t>
      </w:r>
      <w:r>
        <w:t xml:space="preserve"> above the recorded 2022 amount for vegetation management expenses</w:t>
      </w:r>
      <w:r w:rsidR="00D932EF">
        <w:t>.</w:t>
      </w:r>
      <w:r>
        <w:t xml:space="preserve"> </w:t>
      </w:r>
      <w:r w:rsidR="0044581C">
        <w:t xml:space="preserve">Cal Advocates </w:t>
      </w:r>
      <w:r>
        <w:t xml:space="preserve">stated it </w:t>
      </w:r>
      <w:r w:rsidR="0044581C">
        <w:t xml:space="preserve">did not oppose PacifiCorp’s forecasts for vegetation management </w:t>
      </w:r>
      <w:r>
        <w:t>based on historic expenses and PacifiCorp’s annualized estimated costs for 2022 Vegetation Management Programs</w:t>
      </w:r>
      <w:r w:rsidR="00D932EF">
        <w:t xml:space="preserve">. </w:t>
      </w:r>
      <w:r>
        <w:t xml:space="preserve">We </w:t>
      </w:r>
      <w:r w:rsidR="00F7237C">
        <w:t>therefore find PacifiCorp’s vegetation management forecasts reasonable for TY</w:t>
      </w:r>
      <w:r w:rsidR="00FB6536">
        <w:t> </w:t>
      </w:r>
      <w:r w:rsidR="00F7237C">
        <w:t>2023.</w:t>
      </w:r>
      <w:r w:rsidR="0020563A">
        <w:t xml:space="preserve"> </w:t>
      </w:r>
    </w:p>
    <w:p w:rsidR="0044581C" w:rsidP="00B96436" w:rsidRDefault="00935426" w14:paraId="4366F93B" w14:textId="28F1BCD6">
      <w:pPr>
        <w:pStyle w:val="Standard"/>
      </w:pPr>
      <w:r>
        <w:t xml:space="preserve">Regarding wildfire mitigation </w:t>
      </w:r>
      <w:r w:rsidR="00F7237C">
        <w:t xml:space="preserve">operations </w:t>
      </w:r>
      <w:r>
        <w:t>&amp;</w:t>
      </w:r>
      <w:r w:rsidR="00FF3CE8">
        <w:t xml:space="preserve"> </w:t>
      </w:r>
      <w:r w:rsidR="00F7237C">
        <w:t>maintenance (O&amp;M)</w:t>
      </w:r>
      <w:r>
        <w:t xml:space="preserve"> expenses, </w:t>
      </w:r>
      <w:r w:rsidR="00F7237C">
        <w:t>Cal Advocates</w:t>
      </w:r>
      <w:r w:rsidR="0044581C">
        <w:t xml:space="preserve"> recommended decreasing PacifiCorp’s proposed wildfire mitigation </w:t>
      </w:r>
      <w:r w:rsidR="00E22582">
        <w:t>O&amp;M</w:t>
      </w:r>
      <w:r w:rsidR="0044581C">
        <w:t xml:space="preserve"> expenses from </w:t>
      </w:r>
      <w:r w:rsidR="00F7237C">
        <w:t xml:space="preserve">the original application amount </w:t>
      </w:r>
      <w:r w:rsidR="0044581C">
        <w:t>$2,346,721 to $1,297,172.</w:t>
      </w:r>
      <w:r w:rsidR="0044581C">
        <w:rPr>
          <w:rStyle w:val="FootnoteReference"/>
        </w:rPr>
        <w:footnoteReference w:id="51"/>
      </w:r>
      <w:r w:rsidR="0044581C">
        <w:t xml:space="preserve"> Cal Advocates noted that PacifiCorp revised its wildfire mitigation operations and maintenance forecasts three time</w:t>
      </w:r>
      <w:r>
        <w:t>s</w:t>
      </w:r>
      <w:r w:rsidR="0044581C">
        <w:t xml:space="preserve"> in this proceeding</w:t>
      </w:r>
      <w:r w:rsidR="00252479">
        <w:t xml:space="preserve">. </w:t>
      </w:r>
    </w:p>
    <w:p w:rsidR="00252479" w:rsidP="00B96436" w:rsidRDefault="00252479" w14:paraId="4D2D553D" w14:textId="4C0AF92D">
      <w:pPr>
        <w:pStyle w:val="Standard"/>
      </w:pPr>
      <w:r>
        <w:t xml:space="preserve">Cal Advocates did not oppose PacifiCorp’s requests for the following wildfire mitigation </w:t>
      </w:r>
      <w:r w:rsidR="00D6569C">
        <w:t>O&amp;M expenses</w:t>
      </w:r>
      <w:r>
        <w:t xml:space="preserve"> for TY</w:t>
      </w:r>
      <w:r w:rsidR="00FB6536">
        <w:t> </w:t>
      </w:r>
      <w:r>
        <w:t>2023:</w:t>
      </w:r>
    </w:p>
    <w:p w:rsidR="00252479" w:rsidP="00964257" w:rsidRDefault="00252479" w14:paraId="2877180F" w14:textId="468C1FDB">
      <w:pPr>
        <w:pStyle w:val="ListNum"/>
        <w:ind w:right="1440"/>
      </w:pPr>
      <w:r>
        <w:t>Grid Design and System Hardening</w:t>
      </w:r>
      <w:r w:rsidR="00CF2AF9">
        <w:t> </w:t>
      </w:r>
      <w:r>
        <w:t>($150,000)</w:t>
      </w:r>
    </w:p>
    <w:p w:rsidR="00252479" w:rsidP="00964257" w:rsidRDefault="00252479" w14:paraId="3D7BBEAD" w14:textId="3C8BF33E">
      <w:pPr>
        <w:pStyle w:val="ListNum"/>
        <w:ind w:right="1440"/>
      </w:pPr>
      <w:r>
        <w:t>Vegetation Analytics and Mapping</w:t>
      </w:r>
      <w:r w:rsidR="00CF2AF9">
        <w:t> </w:t>
      </w:r>
      <w:r>
        <w:t>($44,000)</w:t>
      </w:r>
    </w:p>
    <w:p w:rsidR="00252479" w:rsidP="00964257" w:rsidRDefault="00252479" w14:paraId="63806BD5" w14:textId="61E101D2">
      <w:pPr>
        <w:pStyle w:val="ListNum"/>
        <w:ind w:right="1440"/>
      </w:pPr>
      <w:r>
        <w:t>Grid Operations and Protocols</w:t>
      </w:r>
      <w:r w:rsidR="00CF2AF9">
        <w:t> </w:t>
      </w:r>
      <w:r>
        <w:t>($0)</w:t>
      </w:r>
    </w:p>
    <w:p w:rsidR="00252479" w:rsidP="00964257" w:rsidRDefault="00252479" w14:paraId="752D8EC8" w14:textId="48C9281A">
      <w:pPr>
        <w:pStyle w:val="ListNum"/>
        <w:ind w:right="1440"/>
      </w:pPr>
      <w:r>
        <w:t>Data Governance</w:t>
      </w:r>
      <w:r w:rsidR="00CF2AF9">
        <w:t> </w:t>
      </w:r>
      <w:r>
        <w:t>($0)</w:t>
      </w:r>
    </w:p>
    <w:p w:rsidR="00252479" w:rsidP="00964257" w:rsidRDefault="00252479" w14:paraId="5EE1539C" w14:textId="6ED1383D">
      <w:pPr>
        <w:pStyle w:val="ListNum"/>
        <w:ind w:right="1440"/>
      </w:pPr>
      <w:r>
        <w:t>Resource Allocation</w:t>
      </w:r>
      <w:r w:rsidR="00CF2AF9">
        <w:t> </w:t>
      </w:r>
      <w:r>
        <w:t>($440,000)</w:t>
      </w:r>
    </w:p>
    <w:p w:rsidR="00252479" w:rsidP="00252479" w:rsidRDefault="00252479" w14:paraId="78DA9D79" w14:textId="28440509">
      <w:pPr>
        <w:pStyle w:val="Standard"/>
      </w:pPr>
      <w:r>
        <w:t xml:space="preserve">In its rebuttal testimony, PacifiCorp removed its request for $80,000 for asset management and inspections and did not dispute Cal Advocates’ </w:t>
      </w:r>
      <w:r w:rsidR="00C20268">
        <w:t>recommendation</w:t>
      </w:r>
      <w:r>
        <w:t xml:space="preserve"> to reduce its risk assessment and mapping costs by $4,302, to $181,698.</w:t>
      </w:r>
      <w:r w:rsidR="00595115">
        <w:rPr>
          <w:rStyle w:val="FootnoteReference"/>
        </w:rPr>
        <w:footnoteReference w:id="52"/>
      </w:r>
      <w:r w:rsidR="00C20268">
        <w:t xml:space="preserve"> Further, PacifiCorp did not contest Cal Advocates’ recommendation to reduce its transmission costs associated with wildfire mitigation </w:t>
      </w:r>
      <w:r w:rsidR="00E22582">
        <w:t>O&amp;M</w:t>
      </w:r>
      <w:r w:rsidR="00C20268">
        <w:t xml:space="preserve"> to $862</w:t>
      </w:r>
      <w:r w:rsidR="00964257">
        <w:t> </w:t>
      </w:r>
      <w:r w:rsidR="00C20268">
        <w:t>per year.</w:t>
      </w:r>
      <w:r w:rsidR="00C20268">
        <w:rPr>
          <w:rStyle w:val="FootnoteReference"/>
        </w:rPr>
        <w:footnoteReference w:id="53"/>
      </w:r>
    </w:p>
    <w:p w:rsidR="00C20268" w:rsidP="00252479" w:rsidRDefault="00C20268" w14:paraId="4543E3DA" w14:textId="246628BB">
      <w:pPr>
        <w:pStyle w:val="Standard"/>
      </w:pPr>
      <w:r>
        <w:t>Cal Advocates further suggested the Commission should use historical costs recorded for its situational awareness and forecasting, which for the period of 2019-2021 averaged to $255,120 annually</w:t>
      </w:r>
      <w:r w:rsidR="00EB2DA7">
        <w:t>.</w:t>
      </w:r>
      <w:r>
        <w:t xml:space="preserve"> PacifiCorp did not agree with Cal Advocates’ proposal to use historical recorded </w:t>
      </w:r>
      <w:r w:rsidR="007855F8">
        <w:t>costs but</w:t>
      </w:r>
      <w:r>
        <w:t xml:space="preserve"> revised its TY</w:t>
      </w:r>
      <w:r w:rsidR="00F32B24">
        <w:t> </w:t>
      </w:r>
      <w:r>
        <w:t>2023</w:t>
      </w:r>
      <w:r w:rsidR="00F32B24">
        <w:t xml:space="preserve"> </w:t>
      </w:r>
      <w:r>
        <w:t>forecast for situational awareness and forecasting to $531,829, which is $645,131 lower than what it originally requested.</w:t>
      </w:r>
      <w:r>
        <w:rPr>
          <w:rStyle w:val="FootnoteReference"/>
        </w:rPr>
        <w:footnoteReference w:id="54"/>
      </w:r>
    </w:p>
    <w:p w:rsidR="007855F8" w:rsidP="00252479" w:rsidRDefault="005F674A" w14:paraId="500F97F1" w14:textId="60164F55">
      <w:pPr>
        <w:pStyle w:val="Standard"/>
      </w:pPr>
      <w:r>
        <w:t>CFBF</w:t>
      </w:r>
      <w:r w:rsidR="007855F8">
        <w:t xml:space="preserve"> suggested that none of the </w:t>
      </w:r>
      <w:r w:rsidR="00752581">
        <w:t>wildfire mitigation-related expenses</w:t>
      </w:r>
      <w:r w:rsidR="00600E01">
        <w:t xml:space="preserve"> requested by PacifiCorp were adequately supported by a cost-benefit analysis that could be fully reviewed in this proceeding. </w:t>
      </w:r>
      <w:r>
        <w:t>CFBF</w:t>
      </w:r>
      <w:r w:rsidR="00A04B2C">
        <w:t xml:space="preserve"> argued that</w:t>
      </w:r>
      <w:r w:rsidR="00600E01">
        <w:t xml:space="preserve"> fully evaluat</w:t>
      </w:r>
      <w:r w:rsidR="00A04B2C">
        <w:t>ing</w:t>
      </w:r>
      <w:r w:rsidR="00600E01">
        <w:t xml:space="preserve"> the appropriate costs for PacifiCorp’s California-based customers, </w:t>
      </w:r>
      <w:r w:rsidR="00A04B2C">
        <w:t>would require PacifiCorp to</w:t>
      </w:r>
      <w:r w:rsidR="00600E01">
        <w:t xml:space="preserve"> provide information about the costs associated with undergrounding, which may provide a higher safety score, but may be overly expensive when compared to other options that still provide significant risk reduction at a much lower cost.</w:t>
      </w:r>
      <w:r w:rsidR="00600E01">
        <w:rPr>
          <w:rStyle w:val="FootnoteReference"/>
        </w:rPr>
        <w:footnoteReference w:id="55"/>
      </w:r>
    </w:p>
    <w:p w:rsidR="00593B0A" w:rsidP="00252479" w:rsidRDefault="00AC1C93" w14:paraId="6CCEC125" w14:textId="52EE50EA">
      <w:pPr>
        <w:pStyle w:val="Standard"/>
      </w:pPr>
      <w:r>
        <w:t xml:space="preserve">We agree with Cal Advocates and </w:t>
      </w:r>
      <w:r w:rsidR="005F674A">
        <w:t>CFBF</w:t>
      </w:r>
      <w:r>
        <w:t xml:space="preserve"> that PacifiCorp’s analysis filed in this proceeding was lacking accuracy and should have reflected more detailed consideration of historical costs. </w:t>
      </w:r>
      <w:r w:rsidR="00593B0A">
        <w:t>However, we find that overall PacifiCorp has provided enough support to make a reasonableness finding for purposes of adopting a TY</w:t>
      </w:r>
      <w:r w:rsidR="00F32B24">
        <w:t> </w:t>
      </w:r>
      <w:r w:rsidR="00593B0A">
        <w:t>2023 revenue requirement</w:t>
      </w:r>
      <w:r w:rsidR="001B1C88">
        <w:t xml:space="preserve"> for wildfire mitigation expenses</w:t>
      </w:r>
      <w:r w:rsidR="00593B0A">
        <w:t xml:space="preserve"> in this proceeding. </w:t>
      </w:r>
      <w:r w:rsidR="001B1C88">
        <w:t>In Section</w:t>
      </w:r>
      <w:r w:rsidR="00CF2AF9">
        <w:t> </w:t>
      </w:r>
      <w:r w:rsidR="001B1C88">
        <w:t>9, below,</w:t>
      </w:r>
      <w:r w:rsidR="00D709EC">
        <w:t xml:space="preserve"> we require PacifiCorp to make a more </w:t>
      </w:r>
      <w:r w:rsidR="005F4F87">
        <w:t xml:space="preserve">substantial and </w:t>
      </w:r>
      <w:r w:rsidR="00D709EC">
        <w:t>detailed showing</w:t>
      </w:r>
      <w:r w:rsidR="005F4F87">
        <w:t xml:space="preserve"> for its wildfire mitigation costs and expenses</w:t>
      </w:r>
      <w:r w:rsidR="00D709EC">
        <w:t xml:space="preserve"> in its next GRC. </w:t>
      </w:r>
    </w:p>
    <w:p w:rsidR="00502BFB" w:rsidP="00252479" w:rsidRDefault="00AC1C93" w14:paraId="10A2D7D2" w14:textId="53AF5AE3">
      <w:pPr>
        <w:pStyle w:val="Standard"/>
      </w:pPr>
      <w:r>
        <w:t>Upon review, we find the adjusted amounts Cal Advocates recommended for the TY</w:t>
      </w:r>
      <w:r w:rsidR="00F32B24">
        <w:t> </w:t>
      </w:r>
      <w:r>
        <w:t xml:space="preserve">2023 </w:t>
      </w:r>
      <w:r w:rsidR="005F4F87">
        <w:t>wildfire mitigation O&amp;M</w:t>
      </w:r>
      <w:r>
        <w:t xml:space="preserve">, to be </w:t>
      </w:r>
      <w:r w:rsidR="00E22582">
        <w:t xml:space="preserve">reasonable for </w:t>
      </w:r>
      <w:r>
        <w:t>incorporat</w:t>
      </w:r>
      <w:r w:rsidR="00E22582">
        <w:t>ion</w:t>
      </w:r>
      <w:r>
        <w:t xml:space="preserve"> in </w:t>
      </w:r>
      <w:r w:rsidR="00E22582">
        <w:t xml:space="preserve">the rates approved in </w:t>
      </w:r>
      <w:r>
        <w:t xml:space="preserve">this GRC. </w:t>
      </w:r>
      <w:r w:rsidR="005F4F87">
        <w:t xml:space="preserve">We agree with Cal Advocates that </w:t>
      </w:r>
      <w:r w:rsidR="00502BFB">
        <w:t>PacifiCorp did not adequately identify the “mix of factors” used to develop its forecasts, nor did it appropriately define the historical costs for types of work or projects that are included in the forecasted costs.</w:t>
      </w:r>
      <w:r w:rsidR="00502BFB">
        <w:rPr>
          <w:rStyle w:val="FootnoteReference"/>
        </w:rPr>
        <w:footnoteReference w:id="56"/>
      </w:r>
      <w:r w:rsidR="00502BFB">
        <w:t xml:space="preserve"> </w:t>
      </w:r>
    </w:p>
    <w:p w:rsidR="00AC1C93" w:rsidP="00252479" w:rsidRDefault="00E22582" w14:paraId="79C9A84F" w14:textId="3D26B2B6">
      <w:pPr>
        <w:pStyle w:val="Standard"/>
      </w:pPr>
      <w:r>
        <w:t>The approved wildfire mitigation and operation and management expenses to be recovered in rates are as follows:</w:t>
      </w:r>
    </w:p>
    <w:p w:rsidRPr="00524502" w:rsidR="00E22582" w:rsidP="002D228B" w:rsidRDefault="00E22582" w14:paraId="13941BBB" w14:textId="578281C6">
      <w:pPr>
        <w:pStyle w:val="ListNum"/>
        <w:numPr>
          <w:ilvl w:val="6"/>
          <w:numId w:val="13"/>
        </w:numPr>
        <w:ind w:right="1440"/>
      </w:pPr>
      <w:r w:rsidRPr="00524502">
        <w:t>Grid Design and System Hardening: $150,000</w:t>
      </w:r>
    </w:p>
    <w:p w:rsidRPr="00524502" w:rsidR="00E22582" w:rsidP="002D228B" w:rsidRDefault="00E22582" w14:paraId="5BFAA9ED" w14:textId="678798E7">
      <w:pPr>
        <w:pStyle w:val="ListNum"/>
        <w:numPr>
          <w:ilvl w:val="6"/>
          <w:numId w:val="13"/>
        </w:numPr>
        <w:ind w:right="1440"/>
      </w:pPr>
      <w:r w:rsidRPr="00524502">
        <w:t>Vegetation Analytics and Mapping: $44,000</w:t>
      </w:r>
    </w:p>
    <w:p w:rsidRPr="00524502" w:rsidR="00E22582" w:rsidP="002D228B" w:rsidRDefault="00E22582" w14:paraId="60A4182C" w14:textId="21B63A50">
      <w:pPr>
        <w:pStyle w:val="ListNum"/>
        <w:numPr>
          <w:ilvl w:val="6"/>
          <w:numId w:val="13"/>
        </w:numPr>
        <w:ind w:right="1440"/>
      </w:pPr>
      <w:r w:rsidRPr="00524502">
        <w:t>Resource Allocation: $440,000</w:t>
      </w:r>
    </w:p>
    <w:p w:rsidRPr="00524502" w:rsidR="00E22582" w:rsidP="002D228B" w:rsidRDefault="00E22582" w14:paraId="5FC54B5A" w14:textId="10E2CAB7">
      <w:pPr>
        <w:pStyle w:val="ListNum"/>
        <w:numPr>
          <w:ilvl w:val="6"/>
          <w:numId w:val="13"/>
        </w:numPr>
        <w:ind w:right="1440"/>
      </w:pPr>
      <w:r w:rsidRPr="00524502">
        <w:t>Risk Assessment and Mapping: $181,698</w:t>
      </w:r>
    </w:p>
    <w:p w:rsidRPr="00524502" w:rsidR="00E22582" w:rsidP="002D228B" w:rsidRDefault="00E22582" w14:paraId="2D1E7175" w14:textId="2436F6F0">
      <w:pPr>
        <w:pStyle w:val="ListNum"/>
        <w:numPr>
          <w:ilvl w:val="6"/>
          <w:numId w:val="13"/>
        </w:numPr>
        <w:ind w:right="1440"/>
      </w:pPr>
      <w:r w:rsidRPr="00524502">
        <w:t>Transmission: $862</w:t>
      </w:r>
    </w:p>
    <w:p w:rsidRPr="00524502" w:rsidR="00E22582" w:rsidP="002D228B" w:rsidRDefault="00E22582" w14:paraId="4E98FB71" w14:textId="5D86B47C">
      <w:pPr>
        <w:pStyle w:val="ListNum"/>
        <w:numPr>
          <w:ilvl w:val="6"/>
          <w:numId w:val="13"/>
        </w:numPr>
        <w:ind w:right="1440"/>
      </w:pPr>
      <w:r w:rsidRPr="00524502">
        <w:t xml:space="preserve">Situational Awareness and Forecasting: </w:t>
      </w:r>
      <w:r w:rsidRPr="00524502" w:rsidR="009B712A">
        <w:t>$255,120</w:t>
      </w:r>
    </w:p>
    <w:p w:rsidRPr="00524502" w:rsidR="009B712A" w:rsidP="002D228B" w:rsidRDefault="009B712A" w14:paraId="2A17F15D" w14:textId="2166DA6F">
      <w:pPr>
        <w:pStyle w:val="ListNum"/>
        <w:numPr>
          <w:ilvl w:val="6"/>
          <w:numId w:val="13"/>
        </w:numPr>
        <w:ind w:right="1440"/>
      </w:pPr>
      <w:r w:rsidRPr="00524502">
        <w:t>Emergency Planning and Preparedness: $35,432</w:t>
      </w:r>
    </w:p>
    <w:p w:rsidRPr="00524502" w:rsidR="009B712A" w:rsidP="002D228B" w:rsidRDefault="009B712A" w14:paraId="1B1D078F" w14:textId="33C349E7">
      <w:pPr>
        <w:pStyle w:val="ListNum"/>
        <w:numPr>
          <w:ilvl w:val="6"/>
          <w:numId w:val="13"/>
        </w:numPr>
        <w:ind w:right="1440"/>
      </w:pPr>
      <w:r w:rsidRPr="00524502">
        <w:t>Stakeholder Cooperation and Community Engagement: $123,205</w:t>
      </w:r>
    </w:p>
    <w:p w:rsidRPr="00252479" w:rsidR="00E22582" w:rsidP="00D2402A" w:rsidRDefault="00502BFB" w14:paraId="225EED07" w14:textId="28E61F53">
      <w:pPr>
        <w:pStyle w:val="Standard"/>
      </w:pPr>
      <w:r w:rsidRPr="00524502">
        <w:t xml:space="preserve">These amounts total </w:t>
      </w:r>
      <w:r w:rsidRPr="00524502" w:rsidR="007442A2">
        <w:t>$</w:t>
      </w:r>
      <w:r w:rsidRPr="00524502">
        <w:t>1,230,317</w:t>
      </w:r>
      <w:r w:rsidR="00730ADE">
        <w:t> million</w:t>
      </w:r>
      <w:r>
        <w:t xml:space="preserve"> annually for PacifiCorp’s 2023</w:t>
      </w:r>
      <w:r w:rsidR="00FB6536">
        <w:t> </w:t>
      </w:r>
      <w:r>
        <w:t>TY</w:t>
      </w:r>
      <w:r w:rsidR="00F32B24">
        <w:t xml:space="preserve"> </w:t>
      </w:r>
      <w:r>
        <w:t>2023 GRC period.</w:t>
      </w:r>
    </w:p>
    <w:p w:rsidR="00C91997" w:rsidP="002D228B" w:rsidRDefault="00C91997" w14:paraId="09F8EAE6" w14:textId="3CBC01E6">
      <w:pPr>
        <w:pStyle w:val="Heading2"/>
        <w:numPr>
          <w:ilvl w:val="1"/>
          <w:numId w:val="3"/>
        </w:numPr>
      </w:pPr>
      <w:bookmarkStart w:name="_Toc153298430" w:id="51"/>
      <w:r>
        <w:t>Uncontested Issues Related to Revenue Requirement</w:t>
      </w:r>
      <w:bookmarkEnd w:id="51"/>
      <w:r>
        <w:t xml:space="preserve"> </w:t>
      </w:r>
    </w:p>
    <w:p w:rsidRPr="00DD6BED" w:rsidR="00DD6BED" w:rsidP="00DD6BED" w:rsidRDefault="00DD6BED" w14:paraId="1B4E7AC1" w14:textId="4443D055">
      <w:pPr>
        <w:pStyle w:val="Standard"/>
      </w:pPr>
      <w:r>
        <w:t>The items discussed below (tax calculations, cash working capital, and labor/non-labor escalation expenses) were not disputed by parties to this proceeding.</w:t>
      </w:r>
    </w:p>
    <w:p w:rsidR="00B730D1" w:rsidP="002D228B" w:rsidRDefault="00B730D1" w14:paraId="034C4E6F" w14:textId="7DCCC5E2">
      <w:pPr>
        <w:pStyle w:val="Heading3"/>
        <w:numPr>
          <w:ilvl w:val="2"/>
          <w:numId w:val="3"/>
        </w:numPr>
      </w:pPr>
      <w:bookmarkStart w:name="_Toc153298431" w:id="52"/>
      <w:r>
        <w:t>Tax Calculations</w:t>
      </w:r>
      <w:bookmarkEnd w:id="52"/>
    </w:p>
    <w:p w:rsidR="00E10B0F" w:rsidP="00E10B0F" w:rsidRDefault="00C91997" w14:paraId="0CF20BD4" w14:textId="1BA2F41B">
      <w:pPr>
        <w:pStyle w:val="Standard"/>
      </w:pPr>
      <w:r>
        <w:t>Cal Advocates specifically noted</w:t>
      </w:r>
      <w:r w:rsidR="00E10B0F">
        <w:t xml:space="preserve"> that after independently reviewing PacifiCorp’s documentation,</w:t>
      </w:r>
      <w:r>
        <w:t xml:space="preserve"> it had no objections to PacifiCorp’s tax calculations.</w:t>
      </w:r>
      <w:r w:rsidR="00E10B0F">
        <w:rPr>
          <w:rStyle w:val="FootnoteReference"/>
        </w:rPr>
        <w:footnoteReference w:id="57"/>
      </w:r>
      <w:r>
        <w:t xml:space="preserve"> </w:t>
      </w:r>
      <w:r w:rsidR="005F674A">
        <w:t>CFBF</w:t>
      </w:r>
      <w:r>
        <w:t xml:space="preserve"> did not address PacifiCorp’s tax calculations. </w:t>
      </w:r>
    </w:p>
    <w:p w:rsidR="00C91997" w:rsidP="00E10B0F" w:rsidRDefault="006530C1" w14:paraId="2EC08B73" w14:textId="1C89E104">
      <w:pPr>
        <w:pStyle w:val="Standard"/>
      </w:pPr>
      <w:r>
        <w:t xml:space="preserve">Upon review, </w:t>
      </w:r>
      <w:r w:rsidR="00D92000">
        <w:t xml:space="preserve">and because no parties raised issues, </w:t>
      </w:r>
      <w:r>
        <w:t xml:space="preserve">we find </w:t>
      </w:r>
      <w:r w:rsidR="00834825">
        <w:t xml:space="preserve">PacifiCorp’s tax calculations, as described in its </w:t>
      </w:r>
      <w:r w:rsidR="00E10B0F">
        <w:t xml:space="preserve">application, </w:t>
      </w:r>
      <w:r w:rsidR="00834825">
        <w:t>testimony, briefs, and workpapers, to be reasonable</w:t>
      </w:r>
      <w:r w:rsidR="00D92000">
        <w:t xml:space="preserve"> for this GRC.</w:t>
      </w:r>
    </w:p>
    <w:p w:rsidR="00B730D1" w:rsidP="002D228B" w:rsidRDefault="00B730D1" w14:paraId="5D3CA13D" w14:textId="282199AE">
      <w:pPr>
        <w:pStyle w:val="Heading3"/>
        <w:numPr>
          <w:ilvl w:val="2"/>
          <w:numId w:val="3"/>
        </w:numPr>
      </w:pPr>
      <w:bookmarkStart w:name="_Toc153298432" w:id="53"/>
      <w:r>
        <w:t>Cash Working Capital</w:t>
      </w:r>
      <w:bookmarkEnd w:id="53"/>
    </w:p>
    <w:p w:rsidR="00B730D1" w:rsidP="00B730D1" w:rsidRDefault="00B730D1" w14:paraId="31CBA06D" w14:textId="77777777">
      <w:pPr>
        <w:pStyle w:val="Standard"/>
      </w:pPr>
      <w:r>
        <w:t xml:space="preserve">Cal Advocates initially opposed the Cash Working Capital (CWC) calculations PacifiCorp included in its application. Specifically, Cal Advocates requested to exclude federal and state income taxes, and taxes other than income from PacifiCorp’s CWC calculations, citing </w:t>
      </w:r>
      <w:r w:rsidRPr="00AA6388">
        <w:t>Standard Practice U-16-W</w:t>
      </w:r>
      <w:r>
        <w:t>. Cal Advocates’ proposed calculation, which would also slightly reduce PacifiCorp’s total working capital, would reduce PacifiCorp’s proposed CWC by $6,955.</w:t>
      </w:r>
      <w:r>
        <w:rPr>
          <w:rStyle w:val="FootnoteReference"/>
        </w:rPr>
        <w:footnoteReference w:id="58"/>
      </w:r>
    </w:p>
    <w:p w:rsidR="00B730D1" w:rsidP="00B730D1" w:rsidRDefault="00B730D1" w14:paraId="6BD65308" w14:textId="77777777">
      <w:pPr>
        <w:pStyle w:val="Standard"/>
      </w:pPr>
      <w:r>
        <w:t>However, in its opening brief, Cal Advocates stated it does not oppose PacifiCorp’s calculations for its California CWC, given the utility’s use of a Lead-Lag method to calculate its CWC on a Detailed Basis.</w:t>
      </w:r>
      <w:r>
        <w:rPr>
          <w:rStyle w:val="FootnoteReference"/>
        </w:rPr>
        <w:footnoteReference w:id="59"/>
      </w:r>
    </w:p>
    <w:p w:rsidR="00B730D1" w:rsidP="00B730D1" w:rsidRDefault="005F674A" w14:paraId="183C4728" w14:textId="557B7424">
      <w:pPr>
        <w:pStyle w:val="Standard"/>
      </w:pPr>
      <w:r>
        <w:t>CFBF</w:t>
      </w:r>
      <w:r w:rsidR="00B730D1">
        <w:t xml:space="preserve"> did not address PacifiCorp’s CWC calculations in testimony or briefs. </w:t>
      </w:r>
    </w:p>
    <w:p w:rsidR="00B730D1" w:rsidP="00B730D1" w:rsidRDefault="00B730D1" w14:paraId="5B8276B6" w14:textId="77777777">
      <w:pPr>
        <w:pStyle w:val="Standard"/>
      </w:pPr>
      <w:r>
        <w:t>Upon review, we find PacifiCorp’s CWC calculations to be reasonable and they are therefore approved in this decision.</w:t>
      </w:r>
    </w:p>
    <w:p w:rsidR="00B730D1" w:rsidP="002D228B" w:rsidRDefault="00B730D1" w14:paraId="32924E1E" w14:textId="57158153">
      <w:pPr>
        <w:pStyle w:val="Heading3"/>
        <w:numPr>
          <w:ilvl w:val="2"/>
          <w:numId w:val="3"/>
        </w:numPr>
      </w:pPr>
      <w:bookmarkStart w:name="_Toc153298433" w:id="54"/>
      <w:r>
        <w:t>Labor and Non-Labor Escalation Expenses</w:t>
      </w:r>
      <w:bookmarkEnd w:id="54"/>
    </w:p>
    <w:p w:rsidR="003D4387" w:rsidP="003D4387" w:rsidRDefault="00B730D1" w14:paraId="6559564D" w14:textId="7C237C17">
      <w:pPr>
        <w:pStyle w:val="Standard"/>
      </w:pPr>
      <w:r>
        <w:t>PacifiCorp requested an incremental increase in labor and non-labor expenses to be recovered from its California ratepayers.</w:t>
      </w:r>
      <w:r>
        <w:rPr>
          <w:rStyle w:val="FootnoteReference"/>
        </w:rPr>
        <w:footnoteReference w:id="60"/>
      </w:r>
      <w:r>
        <w:t xml:space="preserve"> </w:t>
      </w:r>
      <w:r w:rsidR="003D4387">
        <w:t>Cal Advocates also testified that it does not oppose PacifiCorp’s request for incremental expenses for Labor &amp; Non-Labor Escalation Expenses of $1,484,394.</w:t>
      </w:r>
      <w:r w:rsidR="003D4387">
        <w:rPr>
          <w:rStyle w:val="FootnoteReference"/>
        </w:rPr>
        <w:footnoteReference w:id="61"/>
      </w:r>
      <w:r w:rsidR="003D4387">
        <w:t xml:space="preserve"> </w:t>
      </w:r>
      <w:r w:rsidR="005F674A">
        <w:t>CFBF</w:t>
      </w:r>
      <w:r w:rsidR="00566060">
        <w:t xml:space="preserve"> </w:t>
      </w:r>
      <w:r w:rsidR="003D4387">
        <w:t xml:space="preserve">did not address this expense in its testimony. </w:t>
      </w:r>
    </w:p>
    <w:p w:rsidRPr="00B730D1" w:rsidR="00B730D1" w:rsidP="00B730D1" w:rsidRDefault="00B730D1" w14:paraId="3745C2AF" w14:textId="2F50A70F">
      <w:pPr>
        <w:pStyle w:val="Standard"/>
      </w:pPr>
      <w:r>
        <w:t>Upon review, we find this incremental increase to be reasonable and it is therefore approved.</w:t>
      </w:r>
    </w:p>
    <w:p w:rsidR="00D02D46" w:rsidP="002D228B" w:rsidRDefault="00EE61E1" w14:paraId="64C7E5C6" w14:textId="609978DE">
      <w:pPr>
        <w:pStyle w:val="Heading1"/>
        <w:numPr>
          <w:ilvl w:val="0"/>
          <w:numId w:val="3"/>
        </w:numPr>
      </w:pPr>
      <w:bookmarkStart w:name="_Toc153298434" w:id="55"/>
      <w:r>
        <w:t xml:space="preserve">Depreciation </w:t>
      </w:r>
      <w:r w:rsidR="008122C4">
        <w:t xml:space="preserve">and </w:t>
      </w:r>
      <w:r w:rsidR="00D02D46">
        <w:t xml:space="preserve">Amortization of Coal Unit </w:t>
      </w:r>
      <w:r w:rsidR="008122C4">
        <w:t>Decommissioning Costs</w:t>
      </w:r>
      <w:bookmarkEnd w:id="55"/>
      <w:r w:rsidR="008122C4">
        <w:t xml:space="preserve"> </w:t>
      </w:r>
    </w:p>
    <w:p w:rsidR="00D02D46" w:rsidP="002D228B" w:rsidRDefault="00D02D46" w14:paraId="0A382140" w14:textId="16D80F1B">
      <w:pPr>
        <w:pStyle w:val="Heading3"/>
        <w:numPr>
          <w:ilvl w:val="2"/>
          <w:numId w:val="3"/>
        </w:numPr>
      </w:pPr>
      <w:bookmarkStart w:name="_Toc153298435" w:id="56"/>
      <w:r>
        <w:t>Depreciation</w:t>
      </w:r>
      <w:bookmarkEnd w:id="56"/>
    </w:p>
    <w:p w:rsidR="00EE61E1" w:rsidP="00D02D46" w:rsidRDefault="008122C4" w14:paraId="115C9233" w14:textId="3601772F">
      <w:pPr>
        <w:pStyle w:val="Standard"/>
      </w:pPr>
      <w:r>
        <w:t>PacifiCorp proposed the following modifications to the depreciable lives of its existing coal-fired power generation units:</w:t>
      </w:r>
    </w:p>
    <w:p w:rsidR="008122C4" w:rsidP="002D228B" w:rsidRDefault="008122C4" w14:paraId="16E26B81" w14:textId="785C7796">
      <w:pPr>
        <w:pStyle w:val="ListNum"/>
        <w:numPr>
          <w:ilvl w:val="6"/>
          <w:numId w:val="3"/>
        </w:numPr>
        <w:ind w:right="1440"/>
      </w:pPr>
      <w:r>
        <w:t>Colstrip Units 3 and 4 (decreased from 2027 to 2025)</w:t>
      </w:r>
      <w:r w:rsidR="00C91990">
        <w:t>;</w:t>
      </w:r>
    </w:p>
    <w:p w:rsidR="008122C4" w:rsidP="002D228B" w:rsidRDefault="008122C4" w14:paraId="2FCF6CA7" w14:textId="0E64B1CD">
      <w:pPr>
        <w:pStyle w:val="ListNum"/>
        <w:numPr>
          <w:ilvl w:val="6"/>
          <w:numId w:val="3"/>
        </w:numPr>
        <w:ind w:right="1440"/>
      </w:pPr>
      <w:r>
        <w:t>Craig Unit 2 (increased from 2026 to 2028)</w:t>
      </w:r>
      <w:r w:rsidR="00C91990">
        <w:t>;</w:t>
      </w:r>
    </w:p>
    <w:p w:rsidR="008122C4" w:rsidP="002D228B" w:rsidRDefault="008122C4" w14:paraId="575055F1" w14:textId="4805C623">
      <w:pPr>
        <w:pStyle w:val="ListNum"/>
        <w:numPr>
          <w:ilvl w:val="6"/>
          <w:numId w:val="3"/>
        </w:numPr>
        <w:ind w:right="1440"/>
      </w:pPr>
      <w:r>
        <w:t>Hyden Unit 1 (decreased from 2030 to 2028)</w:t>
      </w:r>
      <w:r w:rsidR="00C91990">
        <w:t>;</w:t>
      </w:r>
    </w:p>
    <w:p w:rsidR="008122C4" w:rsidP="002D228B" w:rsidRDefault="008122C4" w14:paraId="45A64DF5" w14:textId="208EFD31">
      <w:pPr>
        <w:pStyle w:val="ListNum"/>
        <w:numPr>
          <w:ilvl w:val="6"/>
          <w:numId w:val="3"/>
        </w:numPr>
        <w:ind w:right="1440"/>
      </w:pPr>
      <w:r>
        <w:t>Hyden Unit 2 (decreased from 2030 to 2027)</w:t>
      </w:r>
      <w:r w:rsidR="00C91990">
        <w:t>;</w:t>
      </w:r>
    </w:p>
    <w:p w:rsidR="008122C4" w:rsidP="002D228B" w:rsidRDefault="008122C4" w14:paraId="1652BBE5" w14:textId="3FD7C642">
      <w:pPr>
        <w:pStyle w:val="ListNum"/>
        <w:numPr>
          <w:ilvl w:val="6"/>
          <w:numId w:val="3"/>
        </w:numPr>
        <w:ind w:right="1440"/>
      </w:pPr>
      <w:r>
        <w:t>Naughton Units 1 and 2 (decreased from 2029 to 2025).</w:t>
      </w:r>
    </w:p>
    <w:p w:rsidR="008122C4" w:rsidP="008122C4" w:rsidRDefault="008122C4" w14:paraId="797729B5" w14:textId="53469695">
      <w:pPr>
        <w:pStyle w:val="Standard"/>
      </w:pPr>
      <w:r>
        <w:t>PacifiCorp noted that these adjustments were included and adopted in its 2021 IRP.</w:t>
      </w:r>
      <w:r w:rsidR="00C2542D">
        <w:rPr>
          <w:rStyle w:val="FootnoteReference"/>
        </w:rPr>
        <w:footnoteReference w:id="62"/>
      </w:r>
      <w:r>
        <w:t xml:space="preserve"> </w:t>
      </w:r>
    </w:p>
    <w:p w:rsidR="0012349F" w:rsidP="008122C4" w:rsidRDefault="0012349F" w14:paraId="61292310" w14:textId="371FBE7A">
      <w:pPr>
        <w:pStyle w:val="Standard"/>
      </w:pPr>
      <w:r>
        <w:t>The purpose of depreciation is to allow a utility to recover the original cost of the asset, as well as the net salvage value (salvage minus cost of removal), over the life of the asset. This ensures assets are paid for by the customers who benefit from the use of the asset and the shareholders who provided the capital invested in the assets are repaid for their investment. To meet these objectives, the Commission uses the Straight-line Remaining Life depreciation method described by Standard Practice U-4.</w:t>
      </w:r>
    </w:p>
    <w:p w:rsidR="0012349F" w:rsidP="008122C4" w:rsidRDefault="0012349F" w14:paraId="0DDCDBDB" w14:textId="1755D576">
      <w:pPr>
        <w:pStyle w:val="Standard"/>
      </w:pPr>
      <w:r>
        <w:t>Under the straight-line remaining life depreciation method, the undepreciated asset amount (original cost less accumulated depreciation plus the estimated net salvage) is depreciated over the remaining life of the asset. The net salvage includes the cost of removal of the asset at the end of its useful life as well as any salvage value the asset may have at that time. Currently, for California (and Utah, Idaho, and Wyoming) the asset lives of PacifiCorp’s coal burning power plants in the instant application are based on a 2018 depreciation study that would accelerate the depreciation for its existing coal plants to occur between 2025 and 2028, rather than between 2023 and 2029, as approved in D.20</w:t>
      </w:r>
      <w:r w:rsidR="00033F39">
        <w:noBreakHyphen/>
      </w:r>
      <w:r>
        <w:t>02</w:t>
      </w:r>
      <w:r w:rsidR="00033F39">
        <w:noBreakHyphen/>
      </w:r>
      <w:r>
        <w:t xml:space="preserve">025. </w:t>
      </w:r>
    </w:p>
    <w:p w:rsidR="00403676" w:rsidP="008122C4" w:rsidRDefault="00403676" w14:paraId="1BEDF069" w14:textId="47A103A6">
      <w:pPr>
        <w:pStyle w:val="Standard"/>
      </w:pPr>
      <w:r>
        <w:rPr>
          <w:szCs w:val="26"/>
        </w:rPr>
        <w:t xml:space="preserve">In this application, PacifiCorp requested to recover $4,131,795 annually in depreciation expenses beginning in TY 2023. PacifiCorp’s incremental </w:t>
      </w:r>
      <w:r w:rsidR="006524F3">
        <w:rPr>
          <w:szCs w:val="26"/>
        </w:rPr>
        <w:t xml:space="preserve">decommissioning </w:t>
      </w:r>
      <w:r>
        <w:rPr>
          <w:szCs w:val="26"/>
        </w:rPr>
        <w:t xml:space="preserve">costs associated with the Kiewit Decommissioning Studies used to forecast its coal plant depreciation rates accounted for $1,218,447 of this </w:t>
      </w:r>
      <w:r w:rsidR="00752581">
        <w:rPr>
          <w:szCs w:val="26"/>
        </w:rPr>
        <w:t xml:space="preserve">forecasted </w:t>
      </w:r>
      <w:r>
        <w:rPr>
          <w:szCs w:val="26"/>
        </w:rPr>
        <w:t>annual expense</w:t>
      </w:r>
      <w:r w:rsidR="006524F3">
        <w:rPr>
          <w:szCs w:val="26"/>
        </w:rPr>
        <w:t>.</w:t>
      </w:r>
      <w:r>
        <w:rPr>
          <w:szCs w:val="26"/>
        </w:rPr>
        <w:t xml:space="preserve"> PacifiCorp proposed to collect </w:t>
      </w:r>
      <w:r w:rsidR="006524F3">
        <w:rPr>
          <w:szCs w:val="26"/>
        </w:rPr>
        <w:t xml:space="preserve">these incremental decommissioning costs </w:t>
      </w:r>
      <w:r>
        <w:rPr>
          <w:szCs w:val="26"/>
        </w:rPr>
        <w:t>over the remaining lives of each respective plant.</w:t>
      </w:r>
      <w:r>
        <w:rPr>
          <w:rStyle w:val="FootnoteReference"/>
          <w:szCs w:val="26"/>
        </w:rPr>
        <w:footnoteReference w:id="63"/>
      </w:r>
    </w:p>
    <w:p w:rsidRPr="00403676" w:rsidR="0012349F" w:rsidP="00403676" w:rsidRDefault="0012349F" w14:paraId="0942421E" w14:textId="74A29992">
      <w:pPr>
        <w:pStyle w:val="Standard"/>
        <w:rPr>
          <w:szCs w:val="26"/>
        </w:rPr>
      </w:pPr>
      <w:r>
        <w:t xml:space="preserve">No party </w:t>
      </w:r>
      <w:r w:rsidR="000739E3">
        <w:t xml:space="preserve">to this proceeding </w:t>
      </w:r>
      <w:r>
        <w:t xml:space="preserve">specifically opposed PacifiCorp’s modest increase in its depreciation rates, depreciation expense calculations, nor its proposed </w:t>
      </w:r>
      <w:r w:rsidR="000739E3">
        <w:t xml:space="preserve">accelerated </w:t>
      </w:r>
      <w:r>
        <w:t>coal plant retirement dates.</w:t>
      </w:r>
      <w:r>
        <w:rPr>
          <w:rStyle w:val="FootnoteReference"/>
        </w:rPr>
        <w:footnoteReference w:id="64"/>
      </w:r>
      <w:r>
        <w:t xml:space="preserve"> </w:t>
      </w:r>
      <w:r w:rsidR="000739E3">
        <w:t>Upon review of its testimony and the supporting information provided in its 2021 IRP, we</w:t>
      </w:r>
      <w:r w:rsidR="00DA2B72">
        <w:t xml:space="preserve"> find PacifiCorp’s proposed expedited depreciation rates to be reasonable, given the shift in nearby state policies and California regulations.</w:t>
      </w:r>
      <w:r w:rsidRPr="00403676" w:rsidR="00403676">
        <w:rPr>
          <w:szCs w:val="26"/>
        </w:rPr>
        <w:t xml:space="preserve"> </w:t>
      </w:r>
    </w:p>
    <w:p w:rsidR="00EE61E1" w:rsidP="002D228B" w:rsidRDefault="00D02D46" w14:paraId="659F7F33" w14:textId="2C356FDD">
      <w:pPr>
        <w:pStyle w:val="Heading3"/>
        <w:numPr>
          <w:ilvl w:val="2"/>
          <w:numId w:val="3"/>
        </w:numPr>
      </w:pPr>
      <w:bookmarkStart w:name="_Toc153298436" w:id="57"/>
      <w:r>
        <w:t>Amortization</w:t>
      </w:r>
      <w:bookmarkEnd w:id="57"/>
    </w:p>
    <w:p w:rsidR="00C2542D" w:rsidP="00C2542D" w:rsidRDefault="00C2542D" w14:paraId="3140E296" w14:textId="05C238E2">
      <w:pPr>
        <w:pStyle w:val="Standard"/>
        <w:rPr>
          <w:szCs w:val="26"/>
        </w:rPr>
      </w:pPr>
      <w:r>
        <w:rPr>
          <w:szCs w:val="26"/>
        </w:rPr>
        <w:t>PacifiCorp requested to amortize deferred, unrecovered plant balance; closure costs; and estimated decommissioning costs from the December</w:t>
      </w:r>
      <w:r w:rsidR="00FD11EB">
        <w:rPr>
          <w:szCs w:val="26"/>
        </w:rPr>
        <w:t> </w:t>
      </w:r>
      <w:r>
        <w:rPr>
          <w:szCs w:val="26"/>
        </w:rPr>
        <w:t xml:space="preserve">2020 closure of the Cholla Unit 4 facilities. PacifiCorp filed for and was granted approval to establish a memorandum account to defer all costs associated with this closure to a future proceeding. </w:t>
      </w:r>
    </w:p>
    <w:p w:rsidR="00C2542D" w:rsidP="00C2542D" w:rsidRDefault="00C2542D" w14:paraId="6180032B" w14:textId="17CDE8E5">
      <w:pPr>
        <w:pStyle w:val="Standard"/>
        <w:rPr>
          <w:szCs w:val="26"/>
        </w:rPr>
      </w:pPr>
      <w:r w:rsidRPr="00D2402A">
        <w:t>In</w:t>
      </w:r>
      <w:r>
        <w:rPr>
          <w:szCs w:val="26"/>
        </w:rPr>
        <w:t xml:space="preserve"> </w:t>
      </w:r>
      <w:r w:rsidR="00752581">
        <w:rPr>
          <w:szCs w:val="26"/>
        </w:rPr>
        <w:t xml:space="preserve">this </w:t>
      </w:r>
      <w:r>
        <w:rPr>
          <w:szCs w:val="26"/>
        </w:rPr>
        <w:t>GRC</w:t>
      </w:r>
      <w:r w:rsidR="00752581">
        <w:rPr>
          <w:szCs w:val="26"/>
        </w:rPr>
        <w:t xml:space="preserve"> application</w:t>
      </w:r>
      <w:r>
        <w:rPr>
          <w:szCs w:val="26"/>
        </w:rPr>
        <w:t xml:space="preserve">, PacifiCorp sought to recover $5,149,809 in amortization expenses resulting from the Cholla Unit 4 closure over a three-year period, which is an additional annual amortization expense of $1,716,603, on top of the </w:t>
      </w:r>
      <w:r w:rsidR="00403676">
        <w:rPr>
          <w:szCs w:val="26"/>
        </w:rPr>
        <w:t xml:space="preserve">depreciation </w:t>
      </w:r>
      <w:r>
        <w:rPr>
          <w:szCs w:val="26"/>
        </w:rPr>
        <w:t>expenses it seeks for its other accelerated coal plant retirements described above.</w:t>
      </w:r>
    </w:p>
    <w:p w:rsidR="00CE7D51" w:rsidP="00C2542D" w:rsidRDefault="00CE7D51" w14:paraId="1844F9E4" w14:textId="301E5DC1">
      <w:pPr>
        <w:pStyle w:val="Standard"/>
        <w:rPr>
          <w:szCs w:val="26"/>
        </w:rPr>
      </w:pPr>
      <w:r>
        <w:rPr>
          <w:szCs w:val="26"/>
        </w:rPr>
        <w:t>Cal Advocates opposed PacifiCorp’s proposal to recover the $5,149,809 in amortization expenses associated with the closure of Cholla Unit</w:t>
      </w:r>
      <w:r w:rsidR="00FD11EB">
        <w:rPr>
          <w:szCs w:val="26"/>
        </w:rPr>
        <w:t> </w:t>
      </w:r>
      <w:r>
        <w:rPr>
          <w:szCs w:val="26"/>
        </w:rPr>
        <w:t xml:space="preserve">4 over a three-year period. Cal Advocates noted that </w:t>
      </w:r>
      <w:r w:rsidR="006808FA">
        <w:rPr>
          <w:szCs w:val="26"/>
        </w:rPr>
        <w:t>the rate impacts to customers would be significantly lower if the Cholla Unit 4-related amortization expenses were recovered over eight years.</w:t>
      </w:r>
      <w:r w:rsidR="00167491">
        <w:rPr>
          <w:szCs w:val="26"/>
        </w:rPr>
        <w:t xml:space="preserve"> Specifically, Cal Advocates noted that recovering the Cholla Unit 4 closure costs over eight years would result in $643,726 collected annually over eight years instead of $1,716,603 annually over three years. According to Cal Advocates, extending the Cholla Unit 4 memorandum account’s amortization period “will provide assurance to PacifiCorp on the recoverability of the total closure cost while mitigating the increased economic pressure on ratepayers.”</w:t>
      </w:r>
      <w:r w:rsidR="00167491">
        <w:rPr>
          <w:rStyle w:val="FootnoteReference"/>
          <w:szCs w:val="26"/>
        </w:rPr>
        <w:footnoteReference w:id="65"/>
      </w:r>
    </w:p>
    <w:p w:rsidR="00167491" w:rsidP="00C2542D" w:rsidRDefault="00167491" w14:paraId="67155AD4" w14:textId="0F9CF71E">
      <w:pPr>
        <w:pStyle w:val="Standard"/>
        <w:rPr>
          <w:szCs w:val="26"/>
        </w:rPr>
      </w:pPr>
      <w:r w:rsidRPr="00D2402A">
        <w:t>PacifiCorp</w:t>
      </w:r>
      <w:r>
        <w:rPr>
          <w:szCs w:val="26"/>
        </w:rPr>
        <w:t xml:space="preserve"> argued that its three-year amortization period for the Cholla Unit 4 memorandum account was based on its current GRC cycle, and that extend</w:t>
      </w:r>
      <w:r w:rsidR="000D47ED">
        <w:rPr>
          <w:szCs w:val="26"/>
        </w:rPr>
        <w:t>ing</w:t>
      </w:r>
      <w:r>
        <w:rPr>
          <w:szCs w:val="26"/>
        </w:rPr>
        <w:t xml:space="preserve"> the amortization period could result in ratepayers that never benefitted from the operations of that facility paying costs associated with its closure.</w:t>
      </w:r>
      <w:r>
        <w:rPr>
          <w:rStyle w:val="FootnoteReference"/>
          <w:szCs w:val="26"/>
        </w:rPr>
        <w:footnoteReference w:id="66"/>
      </w:r>
      <w:r>
        <w:rPr>
          <w:szCs w:val="26"/>
        </w:rPr>
        <w:t xml:space="preserve"> </w:t>
      </w:r>
    </w:p>
    <w:p w:rsidR="00194C42" w:rsidP="00194C42" w:rsidRDefault="00194C42" w14:paraId="61125805" w14:textId="32909163">
      <w:pPr>
        <w:pStyle w:val="Standard"/>
        <w:rPr>
          <w:szCs w:val="26"/>
        </w:rPr>
      </w:pPr>
      <w:r>
        <w:rPr>
          <w:szCs w:val="26"/>
        </w:rPr>
        <w:t>W</w:t>
      </w:r>
      <w:r w:rsidR="00E27250">
        <w:rPr>
          <w:szCs w:val="26"/>
        </w:rPr>
        <w:t>e agree with PacifiCorp that</w:t>
      </w:r>
      <w:r w:rsidR="00842579">
        <w:rPr>
          <w:szCs w:val="26"/>
        </w:rPr>
        <w:t xml:space="preserve"> some of</w:t>
      </w:r>
      <w:r w:rsidR="00E27250">
        <w:rPr>
          <w:szCs w:val="26"/>
        </w:rPr>
        <w:t xml:space="preserve"> the customers affected by this GRC may not have received the benefit of Cholla Unit 4’s operations.</w:t>
      </w:r>
      <w:r>
        <w:rPr>
          <w:szCs w:val="26"/>
        </w:rPr>
        <w:t xml:space="preserve"> However, the rate impacts associated with its amortization expenses would be significantly lower if the cost recovery occurs over a longer period.</w:t>
      </w:r>
      <w:r w:rsidR="00E27250">
        <w:rPr>
          <w:szCs w:val="26"/>
        </w:rPr>
        <w:t xml:space="preserve"> </w:t>
      </w:r>
      <w:r>
        <w:rPr>
          <w:szCs w:val="26"/>
        </w:rPr>
        <w:t>We therefore agree with Cal Advocates that the amortization costs associated with Cholla Unit 4 should be</w:t>
      </w:r>
      <w:r w:rsidR="007B2540">
        <w:rPr>
          <w:szCs w:val="26"/>
        </w:rPr>
        <w:t xml:space="preserve"> extended and direct PacifiCorp to</w:t>
      </w:r>
      <w:r>
        <w:rPr>
          <w:szCs w:val="26"/>
        </w:rPr>
        <w:t xml:space="preserve"> collect</w:t>
      </w:r>
      <w:r w:rsidR="007B2540">
        <w:rPr>
          <w:szCs w:val="26"/>
        </w:rPr>
        <w:t xml:space="preserve"> its proposed $5,149,809 in amortization expenses associated with the closure of Cholla Unit 4 over a six-year period</w:t>
      </w:r>
      <w:r w:rsidR="00AF7803">
        <w:rPr>
          <w:szCs w:val="26"/>
        </w:rPr>
        <w:t>, or two GRC cycles,</w:t>
      </w:r>
      <w:r w:rsidR="007B2540">
        <w:rPr>
          <w:szCs w:val="26"/>
        </w:rPr>
        <w:t xml:space="preserve"> </w:t>
      </w:r>
      <w:r>
        <w:rPr>
          <w:szCs w:val="26"/>
        </w:rPr>
        <w:t xml:space="preserve">to result in a lower rate increase for customers in the </w:t>
      </w:r>
      <w:r w:rsidR="00842579">
        <w:rPr>
          <w:szCs w:val="26"/>
        </w:rPr>
        <w:t xml:space="preserve">TY </w:t>
      </w:r>
      <w:r>
        <w:rPr>
          <w:szCs w:val="26"/>
        </w:rPr>
        <w:t>2023</w:t>
      </w:r>
      <w:r w:rsidR="00842579">
        <w:rPr>
          <w:szCs w:val="26"/>
        </w:rPr>
        <w:t xml:space="preserve"> </w:t>
      </w:r>
      <w:r>
        <w:rPr>
          <w:szCs w:val="26"/>
        </w:rPr>
        <w:t>GRC period.</w:t>
      </w:r>
      <w:r w:rsidR="00A04B2C">
        <w:rPr>
          <w:rStyle w:val="FootnoteReference"/>
          <w:szCs w:val="26"/>
        </w:rPr>
        <w:footnoteReference w:id="67"/>
      </w:r>
    </w:p>
    <w:p w:rsidRPr="00C2542D" w:rsidR="00E27250" w:rsidP="00C2542D" w:rsidRDefault="00194C42" w14:paraId="2F8A1C17" w14:textId="489A0E80">
      <w:pPr>
        <w:pStyle w:val="Standard"/>
      </w:pPr>
      <w:r>
        <w:rPr>
          <w:szCs w:val="26"/>
        </w:rPr>
        <w:t>PacifiCorp is authorized</w:t>
      </w:r>
      <w:r w:rsidR="00E27250">
        <w:rPr>
          <w:szCs w:val="26"/>
        </w:rPr>
        <w:t xml:space="preserve"> to recover the </w:t>
      </w:r>
      <w:r w:rsidR="00993FAD">
        <w:rPr>
          <w:szCs w:val="26"/>
        </w:rPr>
        <w:t xml:space="preserve">$5,149,809 </w:t>
      </w:r>
      <w:r w:rsidR="00E27250">
        <w:rPr>
          <w:szCs w:val="26"/>
        </w:rPr>
        <w:t>in amortization expenses associated with the closure of Cholla Unit 4 over a</w:t>
      </w:r>
      <w:r>
        <w:rPr>
          <w:szCs w:val="26"/>
        </w:rPr>
        <w:t xml:space="preserve"> </w:t>
      </w:r>
      <w:r w:rsidR="007B2540">
        <w:rPr>
          <w:szCs w:val="26"/>
        </w:rPr>
        <w:t>six</w:t>
      </w:r>
      <w:r w:rsidR="00E27250">
        <w:rPr>
          <w:szCs w:val="26"/>
        </w:rPr>
        <w:t xml:space="preserve">-year period, which will result in a </w:t>
      </w:r>
      <w:r w:rsidR="00842579">
        <w:rPr>
          <w:szCs w:val="26"/>
        </w:rPr>
        <w:t xml:space="preserve">TY 2023 </w:t>
      </w:r>
      <w:r w:rsidR="007B2540">
        <w:rPr>
          <w:szCs w:val="26"/>
        </w:rPr>
        <w:t xml:space="preserve">base </w:t>
      </w:r>
      <w:r w:rsidR="00E27250">
        <w:rPr>
          <w:szCs w:val="26"/>
        </w:rPr>
        <w:t>r</w:t>
      </w:r>
      <w:r w:rsidR="00341704">
        <w:rPr>
          <w:szCs w:val="26"/>
        </w:rPr>
        <w:t>evenue requirement</w:t>
      </w:r>
      <w:r w:rsidR="00E27250">
        <w:rPr>
          <w:szCs w:val="26"/>
        </w:rPr>
        <w:t xml:space="preserve"> increase of $</w:t>
      </w:r>
      <w:r w:rsidR="007B2540">
        <w:rPr>
          <w:szCs w:val="26"/>
        </w:rPr>
        <w:t>858,301.50</w:t>
      </w:r>
      <w:r w:rsidR="00E27250">
        <w:rPr>
          <w:szCs w:val="26"/>
        </w:rPr>
        <w:t xml:space="preserve">. </w:t>
      </w:r>
      <w:r>
        <w:rPr>
          <w:szCs w:val="26"/>
        </w:rPr>
        <w:t xml:space="preserve">PacifiCorp shall update the amortization rate for Cholla Unit 4 in its </w:t>
      </w:r>
      <w:r w:rsidR="00C12BFF">
        <w:rPr>
          <w:szCs w:val="26"/>
        </w:rPr>
        <w:t xml:space="preserve">Tier 1 </w:t>
      </w:r>
      <w:r w:rsidR="007A2AF7">
        <w:rPr>
          <w:szCs w:val="26"/>
        </w:rPr>
        <w:t xml:space="preserve">Advice Letter </w:t>
      </w:r>
      <w:r>
        <w:rPr>
          <w:szCs w:val="26"/>
        </w:rPr>
        <w:t xml:space="preserve">implementing this decision. </w:t>
      </w:r>
    </w:p>
    <w:p w:rsidR="00EE61E1" w:rsidP="002D228B" w:rsidRDefault="00EE61E1" w14:paraId="6712C073" w14:textId="54480982">
      <w:pPr>
        <w:pStyle w:val="Heading1"/>
        <w:numPr>
          <w:ilvl w:val="0"/>
          <w:numId w:val="3"/>
        </w:numPr>
      </w:pPr>
      <w:bookmarkStart w:name="_Toc153298437" w:id="58"/>
      <w:r>
        <w:t>Rate Spread and Rate Design</w:t>
      </w:r>
      <w:bookmarkEnd w:id="58"/>
    </w:p>
    <w:p w:rsidRPr="00DD6BED" w:rsidR="00DD6BED" w:rsidP="00DD6BED" w:rsidRDefault="00DD6BED" w14:paraId="1AA5A596" w14:textId="09583522">
      <w:pPr>
        <w:pStyle w:val="Standard"/>
      </w:pPr>
      <w:r>
        <w:t>PacifiCorp proposed to spread its rate increase equitably across customer classes and to implement several new time-of-use (TOU) rates for different types of customers in this application. This section discusses the impacts to customers and the party responses to each proposal.</w:t>
      </w:r>
    </w:p>
    <w:p w:rsidR="00C040E4" w:rsidP="002D228B" w:rsidRDefault="00C040E4" w14:paraId="51BF12B2" w14:textId="1B4A94BC">
      <w:pPr>
        <w:pStyle w:val="Heading2"/>
        <w:numPr>
          <w:ilvl w:val="1"/>
          <w:numId w:val="3"/>
        </w:numPr>
      </w:pPr>
      <w:bookmarkStart w:name="_Toc153298438" w:id="59"/>
      <w:r>
        <w:t>Rate Spread</w:t>
      </w:r>
      <w:bookmarkEnd w:id="59"/>
    </w:p>
    <w:p w:rsidR="00EE61E1" w:rsidP="00C040E4" w:rsidRDefault="007B19CE" w14:paraId="2CB59CAE" w14:textId="7638DDA9">
      <w:pPr>
        <w:pStyle w:val="Standard"/>
      </w:pPr>
      <w:r>
        <w:t>PacifiCorp conducted an analysis to determine its revenue allocation across customer classes, which was based on equal</w:t>
      </w:r>
      <w:r w:rsidR="00730ADE">
        <w:t> percent</w:t>
      </w:r>
      <w:r>
        <w:t>age marginal costs (EPMC)</w:t>
      </w:r>
      <w:r w:rsidR="00C20B61">
        <w:t>.</w:t>
      </w:r>
      <w:r>
        <w:t xml:space="preserve"> This analysis resulted in a rate increase for all customer classes but would have hit agricultural customers with a rate increase of more than 60</w:t>
      </w:r>
      <w:r w:rsidR="00730ADE">
        <w:t> percent</w:t>
      </w:r>
      <w:r>
        <w:t>. To mitigate the impact to agricultural customers, PacifiCorp proposed to spread the overall rate increase equally across customer classes, rather than base the rate increase on EPMC. This would</w:t>
      </w:r>
      <w:r w:rsidR="00054376">
        <w:t xml:space="preserve"> have</w:t>
      </w:r>
      <w:r>
        <w:t xml:space="preserve"> result</w:t>
      </w:r>
      <w:r w:rsidR="00054376">
        <w:t>ed</w:t>
      </w:r>
      <w:r>
        <w:t xml:space="preserve"> in an increase of approximately 25</w:t>
      </w:r>
      <w:r w:rsidR="00730ADE">
        <w:t> percent</w:t>
      </w:r>
      <w:r>
        <w:t xml:space="preserve"> for each customer class.</w:t>
      </w:r>
      <w:r>
        <w:rPr>
          <w:rStyle w:val="FootnoteReference"/>
        </w:rPr>
        <w:footnoteReference w:id="68"/>
      </w:r>
      <w:r>
        <w:t xml:space="preserve"> </w:t>
      </w:r>
    </w:p>
    <w:p w:rsidR="00054376" w:rsidP="00054376" w:rsidRDefault="00A04B2C" w14:paraId="2A517694" w14:textId="6438184C">
      <w:pPr>
        <w:pStyle w:val="Standard"/>
      </w:pPr>
      <w:r>
        <w:t>T</w:t>
      </w:r>
      <w:r w:rsidR="007B19CE">
        <w:t xml:space="preserve">he </w:t>
      </w:r>
      <w:r w:rsidR="00054376">
        <w:t>projected</w:t>
      </w:r>
      <w:r w:rsidR="007B19CE">
        <w:t xml:space="preserve"> </w:t>
      </w:r>
      <w:r w:rsidR="00054376">
        <w:t>rate</w:t>
      </w:r>
      <w:r w:rsidR="007B19CE">
        <w:t xml:space="preserve"> increase for residential customers</w:t>
      </w:r>
      <w:r w:rsidR="00054376">
        <w:t xml:space="preserve"> under the equal</w:t>
      </w:r>
      <w:r w:rsidR="00730ADE">
        <w:t> percent</w:t>
      </w:r>
      <w:r w:rsidR="00054376">
        <w:t>age rate spread proposal</w:t>
      </w:r>
      <w:r w:rsidR="007B19CE">
        <w:t xml:space="preserve"> is relatively equivalent to the rate impacts that would occur under EPMC. Cal Advocates did not provide specific opposition to PacifiCorp’s proposed revenue allocation. </w:t>
      </w:r>
      <w:r w:rsidR="005F674A">
        <w:t>CFBF</w:t>
      </w:r>
      <w:r w:rsidR="007B19CE">
        <w:t xml:space="preserve"> </w:t>
      </w:r>
      <w:r w:rsidR="00303D5F">
        <w:t>supported PacifiCorp’s equal</w:t>
      </w:r>
      <w:r w:rsidR="00730ADE">
        <w:t> percent</w:t>
      </w:r>
      <w:r w:rsidR="00303D5F">
        <w:t>age rate spread proposal, despite opposing the total rate increase.</w:t>
      </w:r>
      <w:r w:rsidR="00303D5F">
        <w:rPr>
          <w:rStyle w:val="FootnoteReference"/>
        </w:rPr>
        <w:footnoteReference w:id="69"/>
      </w:r>
      <w:r w:rsidR="00BB5BD5">
        <w:t xml:space="preserve"> No party directly opposed PacifiCorp’s proposal to spread the anticipated rate increases equally across customer classes.</w:t>
      </w:r>
    </w:p>
    <w:p w:rsidR="00054376" w:rsidP="00054376" w:rsidRDefault="00054376" w14:paraId="726C2B5A" w14:textId="086C5913">
      <w:pPr>
        <w:pStyle w:val="Standard"/>
      </w:pPr>
      <w:r>
        <w:t>PacifiCorp submitted</w:t>
      </w:r>
      <w:r w:rsidRPr="00DD4BBF">
        <w:t xml:space="preserve"> an updated set of testimony</w:t>
      </w:r>
      <w:r>
        <w:t xml:space="preserve"> on October 9, 2023,</w:t>
      </w:r>
      <w:r w:rsidRPr="00DD4BBF">
        <w:t xml:space="preserve"> that describes the revenue requirement without the proposed recovery of the Wildfire Mitigation Memorandum Accounts </w:t>
      </w:r>
      <w:r w:rsidR="00A04B2C">
        <w:t>that are under consideration in Track 2 of this proceeding</w:t>
      </w:r>
      <w:r w:rsidRPr="00DD4BBF">
        <w:t>.</w:t>
      </w:r>
      <w:r w:rsidR="00A04B2C">
        <w:rPr>
          <w:rStyle w:val="FootnoteReference"/>
        </w:rPr>
        <w:footnoteReference w:id="70"/>
      </w:r>
      <w:r>
        <w:t xml:space="preserve"> Its October 9, 2023, testimony maintained the equal</w:t>
      </w:r>
      <w:r w:rsidR="00730ADE">
        <w:t> percent</w:t>
      </w:r>
      <w:r>
        <w:t>age rate spread proposal, while resulting in a lower overall</w:t>
      </w:r>
      <w:r w:rsidR="00730ADE">
        <w:t> percent</w:t>
      </w:r>
      <w:r>
        <w:t>age increase of approximately 20.1</w:t>
      </w:r>
      <w:r w:rsidR="00730ADE">
        <w:t> percent</w:t>
      </w:r>
      <w:r>
        <w:t xml:space="preserve"> across the customer classes.</w:t>
      </w:r>
    </w:p>
    <w:p w:rsidR="00054376" w:rsidP="00EE61E1" w:rsidRDefault="00054376" w14:paraId="02C1658E" w14:textId="08C12FBE">
      <w:pPr>
        <w:pStyle w:val="Standard"/>
      </w:pPr>
      <w:r>
        <w:t>Upon review of the testimony, party briefs, and updated workpapers filed in October 2023, we find PacifiCorp’s proposal to spread its rate increases equally across customer classes, rather than using the EPMC calculations, to be reasonable because it mitigates the potential adverse impacts to larger customer classes while still maintaining a relatively equal cost-of-service burden on its smaller customer classes.</w:t>
      </w:r>
    </w:p>
    <w:p w:rsidR="00C040E4" w:rsidP="002D228B" w:rsidRDefault="00C040E4" w14:paraId="31C503D6" w14:textId="5D84879D">
      <w:pPr>
        <w:pStyle w:val="Heading2"/>
        <w:numPr>
          <w:ilvl w:val="1"/>
          <w:numId w:val="3"/>
        </w:numPr>
      </w:pPr>
      <w:bookmarkStart w:name="_Toc153298439" w:id="60"/>
      <w:r>
        <w:t>Rate Design</w:t>
      </w:r>
      <w:bookmarkEnd w:id="60"/>
    </w:p>
    <w:p w:rsidR="00C040E4" w:rsidP="00C040E4" w:rsidRDefault="00C040E4" w14:paraId="440862B4" w14:textId="2CB016B6">
      <w:pPr>
        <w:pStyle w:val="Standard"/>
      </w:pPr>
      <w:r>
        <w:t xml:space="preserve">PacifiCorp proposed TOU rate options for its residential customer class in California and </w:t>
      </w:r>
      <w:r w:rsidR="00DD6BED">
        <w:t xml:space="preserve">its </w:t>
      </w:r>
      <w:r>
        <w:t xml:space="preserve">non-residential general use customers in California. </w:t>
      </w:r>
    </w:p>
    <w:p w:rsidR="00C040E4" w:rsidP="0A9A644B" w:rsidRDefault="134DFA3B" w14:paraId="1B0912DF" w14:textId="2CCCACAE">
      <w:pPr>
        <w:pStyle w:val="Heading3"/>
      </w:pPr>
      <w:bookmarkStart w:name="_Toc153298440" w:id="61"/>
      <w:r>
        <w:t>Schedule DT</w:t>
      </w:r>
      <w:bookmarkEnd w:id="61"/>
    </w:p>
    <w:p w:rsidR="00C040E4" w:rsidP="00C040E4" w:rsidRDefault="00DD6BED" w14:paraId="5D84A7A9" w14:textId="7334D726">
      <w:pPr>
        <w:pStyle w:val="Standard"/>
      </w:pPr>
      <w:r>
        <w:t>PacifiCorp’s proposed</w:t>
      </w:r>
      <w:r w:rsidR="4C891798">
        <w:t xml:space="preserve"> residential TOU proposal, Schedule DT, is </w:t>
      </w:r>
      <w:r w:rsidR="00C040E4">
        <w:t xml:space="preserve">in line with those approved for other California utilities. </w:t>
      </w:r>
      <w:r w:rsidR="2BDB8A31">
        <w:t>The proposed on-peak period would be 5:00</w:t>
      </w:r>
      <w:r w:rsidR="00FD11EB">
        <w:t> </w:t>
      </w:r>
      <w:r w:rsidR="2BDB8A31">
        <w:t>p.m. to 9:00</w:t>
      </w:r>
      <w:r w:rsidR="00FD11EB">
        <w:t> </w:t>
      </w:r>
      <w:r w:rsidR="2BDB8A31">
        <w:t>p.m. each day, and off-peak hours would be any other hour of each day</w:t>
      </w:r>
      <w:r w:rsidR="00EB2DA7">
        <w:t>.</w:t>
      </w:r>
      <w:r w:rsidR="00FD11EB">
        <w:t xml:space="preserve"> </w:t>
      </w:r>
      <w:r w:rsidR="2BDB8A31">
        <w:t xml:space="preserve">PacifiCorp proposed to charge </w:t>
      </w:r>
      <w:r w:rsidR="4FB5463D">
        <w:t>customers enrolled in Schedule DT an adder of 6.900</w:t>
      </w:r>
      <w:r w:rsidR="00FD11EB">
        <w:t> cents </w:t>
      </w:r>
      <w:r w:rsidR="4FB5463D">
        <w:t>per</w:t>
      </w:r>
      <w:r w:rsidR="00FD11EB">
        <w:t> </w:t>
      </w:r>
      <w:r w:rsidR="4FB5463D">
        <w:t>kilowatt hour (kWh) during peak hours and provide a credit of –1.747</w:t>
      </w:r>
      <w:r w:rsidR="00FD11EB">
        <w:t> cents</w:t>
      </w:r>
      <w:r w:rsidR="561BDCA1">
        <w:t xml:space="preserve"> per kWh during off-peak hours</w:t>
      </w:r>
      <w:r w:rsidR="00EB2DA7">
        <w:t>.</w:t>
      </w:r>
      <w:r w:rsidR="00FD11EB">
        <w:t xml:space="preserve"> </w:t>
      </w:r>
      <w:r w:rsidR="561BDCA1">
        <w:t xml:space="preserve">PacifiCorp estimated this would result in total </w:t>
      </w:r>
      <w:r w:rsidR="14C0C1D3">
        <w:t xml:space="preserve">baseline </w:t>
      </w:r>
      <w:r w:rsidR="561BDCA1">
        <w:t>energy rates of 22.434</w:t>
      </w:r>
      <w:r w:rsidR="00FD11EB">
        <w:t> cents</w:t>
      </w:r>
      <w:r w:rsidR="561BDCA1">
        <w:t xml:space="preserve"> per kWh on-peak, and 13.787</w:t>
      </w:r>
      <w:r w:rsidR="00FD11EB">
        <w:t> cents</w:t>
      </w:r>
      <w:r w:rsidR="561BDCA1">
        <w:t xml:space="preserve"> per k</w:t>
      </w:r>
      <w:r w:rsidR="4EF9855A">
        <w:t>Wh off-peak</w:t>
      </w:r>
      <w:r w:rsidR="00EB2DA7">
        <w:t>.</w:t>
      </w:r>
      <w:r w:rsidR="00FD11EB">
        <w:t xml:space="preserve"> </w:t>
      </w:r>
      <w:r w:rsidR="3DBA08AE">
        <w:t xml:space="preserve">This compares to an </w:t>
      </w:r>
      <w:r w:rsidR="00A04B2C">
        <w:t>average of</w:t>
      </w:r>
      <w:r w:rsidR="3DBA08AE">
        <w:t xml:space="preserve"> 15.534</w:t>
      </w:r>
      <w:r w:rsidR="00FD11EB">
        <w:t> cents</w:t>
      </w:r>
      <w:r w:rsidR="3DBA08AE">
        <w:t xml:space="preserve"> per baseline kWh for standard Schedule D customers. Participation in Schedule DT would be optional.</w:t>
      </w:r>
      <w:r w:rsidRPr="0A9A644B" w:rsidR="00C040E4">
        <w:rPr>
          <w:rStyle w:val="FootnoteReference"/>
        </w:rPr>
        <w:footnoteReference w:id="71"/>
      </w:r>
      <w:r w:rsidR="00FD11EB">
        <w:t xml:space="preserve"> </w:t>
      </w:r>
      <w:r w:rsidR="44AFB99C">
        <w:t xml:space="preserve">To develop the price of the on-peak adder and off-peak credits, the company compared the hourly prices from the Energy Imbalance Market </w:t>
      </w:r>
      <w:r w:rsidR="7262840F">
        <w:t xml:space="preserve">(EIM) </w:t>
      </w:r>
      <w:r w:rsidR="44AFB99C">
        <w:t xml:space="preserve">for </w:t>
      </w:r>
      <w:r w:rsidR="42FAB7E5">
        <w:t>the PAC-W, PAC-E, and Malin nodes for the 36</w:t>
      </w:r>
      <w:r w:rsidR="00033F39">
        <w:noBreakHyphen/>
      </w:r>
      <w:r w:rsidR="42FAB7E5">
        <w:t>month period ending June 2021. It found the average hourly price between 5:00</w:t>
      </w:r>
      <w:r w:rsidR="00033F39">
        <w:t> </w:t>
      </w:r>
      <w:r w:rsidR="42FAB7E5">
        <w:t>p.m. and 9:00</w:t>
      </w:r>
      <w:r w:rsidR="00FD11EB">
        <w:t> </w:t>
      </w:r>
      <w:r w:rsidR="42FAB7E5">
        <w:t>p.m. to be 1</w:t>
      </w:r>
      <w:r w:rsidR="6EF00C0C">
        <w:t>58</w:t>
      </w:r>
      <w:r w:rsidR="00730ADE">
        <w:t> percent</w:t>
      </w:r>
      <w:r w:rsidR="6EF00C0C">
        <w:t xml:space="preserve"> of the average for the other 20</w:t>
      </w:r>
      <w:r w:rsidR="00FD11EB">
        <w:t> </w:t>
      </w:r>
      <w:r w:rsidR="6EF00C0C">
        <w:t>hours of the day</w:t>
      </w:r>
      <w:r w:rsidR="00EB2DA7">
        <w:t>.</w:t>
      </w:r>
      <w:r w:rsidR="00FD11EB">
        <w:t xml:space="preserve"> </w:t>
      </w:r>
      <w:r w:rsidR="6EF00C0C">
        <w:t>The adder represents approximately 158</w:t>
      </w:r>
      <w:r w:rsidR="00730ADE">
        <w:t> percent</w:t>
      </w:r>
      <w:r w:rsidR="6EF00C0C">
        <w:t xml:space="preserve"> of the off-peak hours price</w:t>
      </w:r>
      <w:r w:rsidR="60F20FAF">
        <w:t xml:space="preserve"> </w:t>
      </w:r>
      <w:r w:rsidR="6EF00C0C">
        <w:t xml:space="preserve">and applies only to hours where PacifiCorp’s grid faces the most need for customers to </w:t>
      </w:r>
      <w:r w:rsidR="1215C484">
        <w:t>reduce or better manage energy use. PacifiCorp</w:t>
      </w:r>
      <w:r w:rsidR="397C2F0A">
        <w:t xml:space="preserve"> also proposed that the energy charge that is time-differentiated should be recovered in base ECAC rates on a revenue neutral basis. </w:t>
      </w:r>
    </w:p>
    <w:p w:rsidR="00C040E4" w:rsidP="0A9A644B" w:rsidRDefault="72A06CD3" w14:paraId="6F3043FD" w14:textId="527E3146">
      <w:pPr>
        <w:pStyle w:val="Heading3"/>
      </w:pPr>
      <w:bookmarkStart w:name="_Toc153298441" w:id="62"/>
      <w:r>
        <w:t>Schedule AT-29</w:t>
      </w:r>
      <w:bookmarkEnd w:id="62"/>
    </w:p>
    <w:p w:rsidR="00C040E4" w:rsidP="00C040E4" w:rsidRDefault="00C040E4" w14:paraId="6F45013D" w14:textId="4D2EAFB6">
      <w:pPr>
        <w:pStyle w:val="Standard"/>
      </w:pPr>
      <w:r>
        <w:t xml:space="preserve">PacifiCorp </w:t>
      </w:r>
      <w:r w:rsidR="5365A704">
        <w:t xml:space="preserve">also </w:t>
      </w:r>
      <w:r>
        <w:t xml:space="preserve">proposed to offer its non-residential customers </w:t>
      </w:r>
      <w:r w:rsidR="0408CFB4">
        <w:t>whose loads are less than 500 kilowatts (kW)</w:t>
      </w:r>
      <w:r>
        <w:t xml:space="preserve"> an option to </w:t>
      </w:r>
      <w:r w:rsidR="43DE6A2A">
        <w:t>enroll in a TOU rate with peak hours in line with those proposed in Schedule DT (5:00</w:t>
      </w:r>
      <w:r w:rsidR="00FD11EB">
        <w:t xml:space="preserve"> p.m. </w:t>
      </w:r>
      <w:r w:rsidR="43DE6A2A">
        <w:t>to 9:00</w:t>
      </w:r>
      <w:r w:rsidR="00033F39">
        <w:t> </w:t>
      </w:r>
      <w:r w:rsidR="43DE6A2A">
        <w:t>p.m.). Under its proposed Schedule AT-29, customer</w:t>
      </w:r>
      <w:r w:rsidR="00DD6BED">
        <w:t>s</w:t>
      </w:r>
      <w:r w:rsidR="43DE6A2A">
        <w:t xml:space="preserve"> that would other</w:t>
      </w:r>
      <w:r w:rsidR="2F79D769">
        <w:t>wise qualify to enroll in PacifiCorp’s Schedules A-25, A-32, or A-36, could opt to be charged higher rates during peak hours, but pay a declining kWh/</w:t>
      </w:r>
      <w:r w:rsidR="7A67B740">
        <w:t>kW energy charge. PacifiCorp stated that this proposed rate design allows it to charge customers an average energy price that declines as</w:t>
      </w:r>
      <w:r w:rsidR="00DD6BED">
        <w:t xml:space="preserve"> a customer’s</w:t>
      </w:r>
      <w:r w:rsidR="7A67B740">
        <w:t xml:space="preserve"> load factor increases</w:t>
      </w:r>
      <w:r w:rsidR="00DD6BED">
        <w:t xml:space="preserve">. This modified average energy price </w:t>
      </w:r>
      <w:r w:rsidR="00BB5BD5">
        <w:t xml:space="preserve">is intended to </w:t>
      </w:r>
      <w:r w:rsidR="00DD6BED">
        <w:t>function</w:t>
      </w:r>
      <w:r w:rsidR="7A67B740">
        <w:t xml:space="preserve"> </w:t>
      </w:r>
      <w:r w:rsidR="59BA29D9">
        <w:t xml:space="preserve">like a conventional demand charge but </w:t>
      </w:r>
      <w:r w:rsidR="00BB5BD5">
        <w:t xml:space="preserve">would </w:t>
      </w:r>
      <w:r w:rsidR="59BA29D9">
        <w:t>cap how high the average kWh/kW energy cost would be for customers with lower load factors.</w:t>
      </w:r>
      <w:r w:rsidR="44DF0C5C">
        <w:t xml:space="preserve"> PacifiCorp proposed this tariff option largely to address the demand charges faced </w:t>
      </w:r>
      <w:r w:rsidR="27B3C40B">
        <w:t xml:space="preserve">when certain </w:t>
      </w:r>
      <w:r w:rsidR="00C52FE8">
        <w:t xml:space="preserve">commercially- or privately-operated </w:t>
      </w:r>
      <w:r w:rsidR="3B3F63D6">
        <w:t xml:space="preserve">electric </w:t>
      </w:r>
      <w:r w:rsidR="27B3C40B">
        <w:t xml:space="preserve">vehicle </w:t>
      </w:r>
      <w:r w:rsidR="5808E055">
        <w:t xml:space="preserve">(EV) </w:t>
      </w:r>
      <w:r w:rsidR="27B3C40B">
        <w:t xml:space="preserve">battery charging stations have low utilization. The infrastructure </w:t>
      </w:r>
      <w:r w:rsidR="00C52FE8">
        <w:t>for EV battery charging is frequently designed to</w:t>
      </w:r>
      <w:r w:rsidR="27B3C40B">
        <w:t xml:space="preserve"> support high utilization for the f</w:t>
      </w:r>
      <w:r w:rsidR="0DB23A8B">
        <w:t xml:space="preserve">uture, when more EVs </w:t>
      </w:r>
      <w:r w:rsidR="0123D262">
        <w:t>will be driving through PacifiCorp’s service territory.</w:t>
      </w:r>
      <w:r w:rsidR="00C52FE8">
        <w:t xml:space="preserve"> In many remote locations, or at fleet hubs where the transition to EVs is only just beginning, however, the usage of that new infrastructure has a low load factor.</w:t>
      </w:r>
    </w:p>
    <w:p w:rsidR="00C040E4" w:rsidP="00C040E4" w:rsidRDefault="00C52FE8" w14:paraId="69B02DC1" w14:textId="4650F6E4">
      <w:pPr>
        <w:pStyle w:val="Standard"/>
      </w:pPr>
      <w:r>
        <w:t>C</w:t>
      </w:r>
      <w:r w:rsidR="0123D262">
        <w:t xml:space="preserve">ustomers that are enrolled in PacifiCorp’s smaller general service rates, such as </w:t>
      </w:r>
      <w:r>
        <w:t xml:space="preserve">EV service providers, </w:t>
      </w:r>
      <w:r w:rsidR="0123D262">
        <w:t>bus system</w:t>
      </w:r>
      <w:r>
        <w:t>,</w:t>
      </w:r>
      <w:r w:rsidR="0123D262">
        <w:t xml:space="preserve"> or fleet operators, could participate in Schedule AT-29, as off-peak charging and the declining average</w:t>
      </w:r>
      <w:r w:rsidR="3C0F6AD3">
        <w:t xml:space="preserve"> energy price for increased load factors could reduce their overall electric costs.</w:t>
      </w:r>
      <w:r w:rsidRPr="0A9A644B" w:rsidR="00C040E4">
        <w:rPr>
          <w:rStyle w:val="FootnoteReference"/>
        </w:rPr>
        <w:footnoteReference w:id="72"/>
      </w:r>
    </w:p>
    <w:p w:rsidR="00C040E4" w:rsidP="00C040E4" w:rsidRDefault="7352E248" w14:paraId="6E001D3A" w14:textId="3648AB22">
      <w:pPr>
        <w:pStyle w:val="Standard"/>
      </w:pPr>
      <w:r>
        <w:t>PacifiCorp suggested that customers enrolled in its proposed Schedule AT</w:t>
      </w:r>
      <w:r w:rsidR="00033F39">
        <w:noBreakHyphen/>
      </w:r>
      <w:r>
        <w:t>29 with low l</w:t>
      </w:r>
      <w:r w:rsidR="0AE3A3AF">
        <w:t xml:space="preserve">oad factors will still pay a higher price than those with higher load factors, but the rate design will </w:t>
      </w:r>
      <w:r w:rsidR="07A93BF0">
        <w:t xml:space="preserve">effectively </w:t>
      </w:r>
      <w:r w:rsidR="0AE3A3AF">
        <w:t>cap their average demand and energy charges</w:t>
      </w:r>
      <w:r w:rsidR="3BA35430">
        <w:t xml:space="preserve">. </w:t>
      </w:r>
      <w:r>
        <w:t xml:space="preserve"> </w:t>
      </w:r>
    </w:p>
    <w:p w:rsidR="00C040E4" w:rsidP="00C040E4" w:rsidRDefault="27DB2E0E" w14:paraId="07B949FC" w14:textId="3941F96F">
      <w:pPr>
        <w:pStyle w:val="Standard"/>
      </w:pPr>
      <w:r>
        <w:t>PacifiCorp’s proposed off-peak credit for Schedule AT</w:t>
      </w:r>
      <w:r w:rsidR="00237BF3">
        <w:noBreakHyphen/>
      </w:r>
      <w:r>
        <w:t xml:space="preserve">29 was set at </w:t>
      </w:r>
      <w:r w:rsidR="00237BF3">
        <w:noBreakHyphen/>
      </w:r>
      <w:r>
        <w:t>1.581</w:t>
      </w:r>
      <w:r w:rsidR="00FD11EB">
        <w:t> cents</w:t>
      </w:r>
      <w:r>
        <w:t xml:space="preserve"> per kWh, and the on-peak </w:t>
      </w:r>
      <w:r w:rsidR="00337C4E">
        <w:t xml:space="preserve">adder </w:t>
      </w:r>
      <w:r>
        <w:t>was set to 8.000</w:t>
      </w:r>
      <w:r w:rsidR="00FD11EB">
        <w:t> cents</w:t>
      </w:r>
      <w:r>
        <w:t xml:space="preserve"> per kWh.</w:t>
      </w:r>
      <w:r w:rsidR="677FE0AA">
        <w:t xml:space="preserve"> Like Schedule DT discussed above, the on-peak adder reflects approximately 158</w:t>
      </w:r>
      <w:r w:rsidR="00730ADE">
        <w:t> percent</w:t>
      </w:r>
      <w:r w:rsidR="677FE0AA">
        <w:t xml:space="preserve"> of the nodal EIM prices during off-peak hours.</w:t>
      </w:r>
      <w:r>
        <w:t xml:space="preserve"> The prices proposed for Schedule AT-29 are based on Schedule A-32, using revenue-neutral on- and off-peak adders to the Schedule ECAC-94 energy rates.</w:t>
      </w:r>
    </w:p>
    <w:p w:rsidR="00C040E4" w:rsidP="00C040E4" w:rsidRDefault="47FABAED" w14:paraId="329B2088" w14:textId="1317A9F8">
      <w:pPr>
        <w:pStyle w:val="Standard"/>
      </w:pPr>
      <w:r>
        <w:t xml:space="preserve">PacifiCorp also plotted the average energy cost of 50 kW Schedule </w:t>
      </w:r>
      <w:r w:rsidR="003A23F4">
        <w:t>A-</w:t>
      </w:r>
      <w:r>
        <w:t>32 customers using the proposed $</w:t>
      </w:r>
      <w:r w:rsidR="0096620E">
        <w:t>7</w:t>
      </w:r>
      <w:r w:rsidR="00842579">
        <w:t>.</w:t>
      </w:r>
      <w:r>
        <w:t>07 per kW cost for demand and facilities charges and the proposed 12.748</w:t>
      </w:r>
      <w:r w:rsidR="00FD11EB">
        <w:t> cents</w:t>
      </w:r>
      <w:r>
        <w:t xml:space="preserve"> per kWh energy charge agains</w:t>
      </w:r>
      <w:r w:rsidR="692C7A76">
        <w:t xml:space="preserve">t load factors, </w:t>
      </w:r>
      <w:r w:rsidR="00CB337A">
        <w:t>to</w:t>
      </w:r>
      <w:r w:rsidR="692C7A76">
        <w:t xml:space="preserve"> better understand the relationship between average energy cost and load factors. PacifiCorp stated its Schedule AT-29 rate</w:t>
      </w:r>
      <w:r w:rsidR="50723453">
        <w:t xml:space="preserve"> proposal, at 21.831</w:t>
      </w:r>
      <w:r w:rsidR="00FD11EB">
        <w:t> cents</w:t>
      </w:r>
      <w:r w:rsidR="50723453">
        <w:t xml:space="preserve"> for the first 50 kWh/kW and 15.334</w:t>
      </w:r>
      <w:r w:rsidR="00FD11EB">
        <w:t> cents</w:t>
      </w:r>
      <w:r w:rsidR="50723453">
        <w:t xml:space="preserve"> for all additional kWh resulted in a “very similar average cost... for all customers with</w:t>
      </w:r>
      <w:r w:rsidR="3C0DA192">
        <w:t xml:space="preserve"> load factors greater than about 20</w:t>
      </w:r>
      <w:r w:rsidR="00730ADE">
        <w:t> percent</w:t>
      </w:r>
      <w:r w:rsidR="3C0DA192">
        <w:t>.”</w:t>
      </w:r>
      <w:r w:rsidR="6AEE7765">
        <w:t xml:space="preserve"> PacifiCorp’s calculations suggested that the average energy and demand costs for customers </w:t>
      </w:r>
      <w:r w:rsidR="1B112E18">
        <w:t>with load factors less than 20</w:t>
      </w:r>
      <w:r w:rsidR="00730ADE">
        <w:t> percent</w:t>
      </w:r>
      <w:r w:rsidR="1B112E18">
        <w:t xml:space="preserve"> </w:t>
      </w:r>
      <w:r w:rsidR="6AEE7765">
        <w:t>enrolled in Schedule AT-29 would be, on</w:t>
      </w:r>
      <w:r w:rsidR="5689E4A4">
        <w:t xml:space="preserve"> average, </w:t>
      </w:r>
      <w:r w:rsidR="1C940DA1">
        <w:t>between 25.000 and 20.000</w:t>
      </w:r>
      <w:r w:rsidR="00FD11EB">
        <w:t> cents</w:t>
      </w:r>
      <w:r w:rsidR="1C940DA1">
        <w:t xml:space="preserve"> per kWh, rather than the more than $1.00/kWh charges they would incur on Schedule A-32.</w:t>
      </w:r>
      <w:r w:rsidRPr="0A9A644B" w:rsidR="00C040E4">
        <w:rPr>
          <w:rStyle w:val="FootnoteReference"/>
        </w:rPr>
        <w:footnoteReference w:id="73"/>
      </w:r>
      <w:r w:rsidR="1C940DA1">
        <w:t xml:space="preserve"> </w:t>
      </w:r>
    </w:p>
    <w:p w:rsidR="00C040E4" w:rsidP="0A9A644B" w:rsidRDefault="685CB82A" w14:paraId="1CE08921" w14:textId="474B9486">
      <w:pPr>
        <w:pStyle w:val="Heading3"/>
      </w:pPr>
      <w:bookmarkStart w:name="_Toc153298442" w:id="63"/>
      <w:r>
        <w:t>Schedule PA-115</w:t>
      </w:r>
      <w:bookmarkEnd w:id="63"/>
    </w:p>
    <w:p w:rsidR="00C040E4" w:rsidP="0A9A644B" w:rsidRDefault="685CB82A" w14:paraId="7F80C863" w14:textId="273CA5C6">
      <w:pPr>
        <w:pStyle w:val="Standard"/>
      </w:pPr>
      <w:r>
        <w:t>PacifiCorp has an existing pilot tariff, Schedule PA-115, that is only available for up to 25 irrigation customers in the Tule Lake area, which provides an on-peak period of 2:00</w:t>
      </w:r>
      <w:r w:rsidR="00FD11EB">
        <w:t> </w:t>
      </w:r>
      <w:r>
        <w:t>p.m. through 6:00</w:t>
      </w:r>
      <w:r w:rsidR="00237BF3">
        <w:t> </w:t>
      </w:r>
      <w:r w:rsidR="27019D5C">
        <w:t>p.m.</w:t>
      </w:r>
      <w:r w:rsidR="129D0A9B">
        <w:t>, Monday</w:t>
      </w:r>
      <w:r>
        <w:t xml:space="preserve"> through Friday</w:t>
      </w:r>
      <w:r w:rsidR="5FB9F4F7">
        <w:t xml:space="preserve"> during June, July and August, excluding the Independence Day holiday</w:t>
      </w:r>
      <w:r w:rsidR="00EB2DA7">
        <w:t>.</w:t>
      </w:r>
      <w:r w:rsidR="00FD11EB">
        <w:t xml:space="preserve"> </w:t>
      </w:r>
      <w:r w:rsidR="5FB9F4F7">
        <w:t>During the on-peak hours, the customers enrolled</w:t>
      </w:r>
      <w:r w:rsidR="77D26DA5">
        <w:t xml:space="preserve"> in Schedule PA-115 are charged 30.022</w:t>
      </w:r>
      <w:r w:rsidR="00FD11EB">
        <w:t> cents</w:t>
      </w:r>
      <w:r w:rsidR="77D26DA5">
        <w:t xml:space="preserve"> per kWh</w:t>
      </w:r>
      <w:r w:rsidR="00EB2DA7">
        <w:t>.</w:t>
      </w:r>
      <w:r w:rsidR="00FD11EB">
        <w:t xml:space="preserve"> </w:t>
      </w:r>
      <w:r w:rsidR="77D26DA5">
        <w:t>The same customers receive a 4.254</w:t>
      </w:r>
      <w:r w:rsidR="00033F39">
        <w:t> </w:t>
      </w:r>
      <w:r w:rsidR="77D26DA5">
        <w:t xml:space="preserve">cent per kWh credit </w:t>
      </w:r>
      <w:r w:rsidR="6C0D18F1">
        <w:t xml:space="preserve">for off-peak usage. </w:t>
      </w:r>
    </w:p>
    <w:p w:rsidR="00C040E4" w:rsidP="0A9A644B" w:rsidRDefault="6C0D18F1" w14:paraId="0C7E119F" w14:textId="5CB060E3">
      <w:pPr>
        <w:pStyle w:val="Standard"/>
      </w:pPr>
      <w:r>
        <w:t>PacifiCorp proposed to make this TOU rate available to all agricultural pumping service customers that are otherwise eligible for Schedule PA</w:t>
      </w:r>
      <w:r w:rsidR="00033F39">
        <w:noBreakHyphen/>
      </w:r>
      <w:r>
        <w:t xml:space="preserve">20. It also proposed to allow customers enrolled in Schedule PA-115 to </w:t>
      </w:r>
      <w:r w:rsidR="00C040E4">
        <w:t>select peak hours of 2:00</w:t>
      </w:r>
      <w:r w:rsidR="00033F39">
        <w:t> p.m.</w:t>
      </w:r>
      <w:r w:rsidR="00C040E4">
        <w:t xml:space="preserve"> to 6:00</w:t>
      </w:r>
      <w:r w:rsidR="00033F39">
        <w:t> </w:t>
      </w:r>
      <w:r w:rsidR="00C040E4">
        <w:t>p.m. or 6:00</w:t>
      </w:r>
      <w:r w:rsidR="00033F39">
        <w:t xml:space="preserve"> p.m. to </w:t>
      </w:r>
      <w:r w:rsidR="00C040E4">
        <w:t>10:00</w:t>
      </w:r>
      <w:r w:rsidR="00033F39">
        <w:t> </w:t>
      </w:r>
      <w:r w:rsidR="00C040E4">
        <w:t>p.m</w:t>
      </w:r>
      <w:r w:rsidR="751BABD8">
        <w:t>. during the summer months of July through September</w:t>
      </w:r>
      <w:r w:rsidR="00C040E4">
        <w:t xml:space="preserve">. The options are based on a </w:t>
      </w:r>
      <w:r w:rsidR="6F394796">
        <w:t>previously completed</w:t>
      </w:r>
      <w:r w:rsidR="00C040E4">
        <w:t xml:space="preserve"> pilot </w:t>
      </w:r>
      <w:r w:rsidR="6EFA8D35">
        <w:t xml:space="preserve">through which PacifiCorp learned that irrigators need flexibility </w:t>
      </w:r>
      <w:r w:rsidR="4460D27B">
        <w:t>to stagger the schedules for their customers that irrigate from canal water systems.</w:t>
      </w:r>
      <w:r w:rsidRPr="0A9A644B" w:rsidR="00C040E4">
        <w:rPr>
          <w:rStyle w:val="FootnoteReference"/>
        </w:rPr>
        <w:footnoteReference w:id="74"/>
      </w:r>
      <w:r w:rsidR="78F42F01">
        <w:t xml:space="preserve"> PacifiCorp proposed that the adder for on-peak hours be set at 4.570</w:t>
      </w:r>
      <w:r w:rsidR="00FD11EB">
        <w:t> cents</w:t>
      </w:r>
      <w:r w:rsidR="78F42F01">
        <w:t xml:space="preserve"> per kWh</w:t>
      </w:r>
      <w:r w:rsidR="31327DCF">
        <w:t>, resulting a total on-peak energy rate of 16.352</w:t>
      </w:r>
      <w:r w:rsidR="00FD11EB">
        <w:t> cents</w:t>
      </w:r>
      <w:r w:rsidR="31327DCF">
        <w:t xml:space="preserve"> per kWh. T</w:t>
      </w:r>
      <w:r w:rsidR="78F42F01">
        <w:t xml:space="preserve">he credit for off-peak usage </w:t>
      </w:r>
      <w:r w:rsidR="37991433">
        <w:t xml:space="preserve">would </w:t>
      </w:r>
      <w:r w:rsidR="78F42F01">
        <w:t>be set at 0.9</w:t>
      </w:r>
      <w:r w:rsidR="4438827F">
        <w:t>23</w:t>
      </w:r>
      <w:r w:rsidR="00FD11EB">
        <w:t> cents</w:t>
      </w:r>
      <w:r w:rsidR="4438827F">
        <w:t xml:space="preserve"> per kWh, resulting </w:t>
      </w:r>
      <w:r w:rsidR="6F345F7B">
        <w:t>in a total off-peak rate of 10.859</w:t>
      </w:r>
      <w:r w:rsidR="00FD11EB">
        <w:t> cents</w:t>
      </w:r>
      <w:r w:rsidR="6F345F7B">
        <w:t xml:space="preserve"> per kWh. </w:t>
      </w:r>
      <w:r w:rsidR="56C1F4E8">
        <w:t xml:space="preserve">PacifiCorp also proposed to maintain its PA-20 TOU option’s total energy charge differential. </w:t>
      </w:r>
      <w:r w:rsidR="6F345F7B">
        <w:t>PacifiCorp explained that the proposed TOU periods are the same as those it provides to TOU irrigation customers in neighboring Oregon, and that making its seasons a</w:t>
      </w:r>
      <w:r w:rsidR="3E6C5467">
        <w:t>nd TOU periods consistent across the border will reduce confusion for customers that operate on both sides of the states’ border.</w:t>
      </w:r>
      <w:r w:rsidRPr="0A9A644B" w:rsidR="00C040E4">
        <w:rPr>
          <w:rStyle w:val="FootnoteReference"/>
        </w:rPr>
        <w:footnoteReference w:id="75"/>
      </w:r>
      <w:r w:rsidR="36146781">
        <w:t xml:space="preserve"> Further, PacifiCorp requested to recover the time-differentiated energy charges in its proposed Schedule PA-115 within base ECAC rates on a revenue neutral basis.</w:t>
      </w:r>
      <w:r w:rsidRPr="0A9A644B" w:rsidR="00C040E4">
        <w:rPr>
          <w:rStyle w:val="FootnoteReference"/>
        </w:rPr>
        <w:footnoteReference w:id="76"/>
      </w:r>
    </w:p>
    <w:p w:rsidR="69471641" w:rsidP="0A9A644B" w:rsidRDefault="69471641" w14:paraId="33DEC68C" w14:textId="564598D6">
      <w:pPr>
        <w:pStyle w:val="Standard"/>
      </w:pPr>
      <w:r>
        <w:t>PacifiCorp also explained that TOU participants will still be eligible to enroll in its net billing program (Schedule NB-136) for customer-generators, but that the export pr</w:t>
      </w:r>
      <w:r w:rsidR="3C508E34">
        <w:t xml:space="preserve">ices would be a flat </w:t>
      </w:r>
      <w:r w:rsidR="073E6E0C">
        <w:t>rate to resolve metering constraints and reduce complexity for customers across state lines.</w:t>
      </w:r>
      <w:r w:rsidRPr="0A9A644B">
        <w:rPr>
          <w:rStyle w:val="FootnoteReference"/>
        </w:rPr>
        <w:footnoteReference w:id="77"/>
      </w:r>
      <w:r w:rsidR="073E6E0C">
        <w:t xml:space="preserve"> Any customer generators enrolled in the net billing program and Schedule AT-48 would also be</w:t>
      </w:r>
      <w:r w:rsidR="60AE7C62">
        <w:t xml:space="preserve"> compensated for exported energy at the flat export credit price, as discussed in more detail below.</w:t>
      </w:r>
    </w:p>
    <w:p w:rsidR="60AE7C62" w:rsidP="0A9A644B" w:rsidRDefault="60AE7C62" w14:paraId="7E621B9D" w14:textId="57D44107">
      <w:pPr>
        <w:pStyle w:val="Heading3"/>
      </w:pPr>
      <w:bookmarkStart w:name="_Toc153298443" w:id="64"/>
      <w:r>
        <w:t>Schedules AT-4</w:t>
      </w:r>
      <w:r w:rsidR="77678A77">
        <w:t>7 and AT-48</w:t>
      </w:r>
      <w:bookmarkEnd w:id="64"/>
    </w:p>
    <w:p w:rsidR="338C7537" w:rsidP="0A9A644B" w:rsidRDefault="338C7537" w14:paraId="43CDA9A4" w14:textId="78D5CF7E">
      <w:pPr>
        <w:pStyle w:val="Standard"/>
      </w:pPr>
      <w:r>
        <w:t xml:space="preserve">PacifiCorp proposed to modify the energy charges for its existing Schedules AT-48 and AT-47, for which large general service customers (500kW and greater) are eligible. </w:t>
      </w:r>
      <w:r w:rsidR="294A33B8">
        <w:t>PacifiCorp notes that the adjusted prices proposed for its Schedules AT-48 and AT-47 would “achieve the target functionalized revenue requirement changes, but with energy charges modified so they would vary by time of use.”</w:t>
      </w:r>
      <w:r w:rsidRPr="0A9A644B">
        <w:rPr>
          <w:rStyle w:val="FootnoteReference"/>
        </w:rPr>
        <w:footnoteReference w:id="78"/>
      </w:r>
      <w:r w:rsidR="294A33B8">
        <w:t xml:space="preserve"> </w:t>
      </w:r>
    </w:p>
    <w:p w:rsidR="338C7537" w:rsidP="0A9A644B" w:rsidRDefault="338C7537" w14:paraId="2AF9C695" w14:textId="511D3F40">
      <w:pPr>
        <w:pStyle w:val="Standard"/>
      </w:pPr>
      <w:r>
        <w:t>The proposed TOU period</w:t>
      </w:r>
      <w:r w:rsidR="1F27E276">
        <w:t>s would be 5:00</w:t>
      </w:r>
      <w:r w:rsidR="00033F39">
        <w:t> </w:t>
      </w:r>
      <w:r w:rsidR="1F27E276">
        <w:t>p.m. to 9:00</w:t>
      </w:r>
      <w:r w:rsidR="00033F39">
        <w:t> </w:t>
      </w:r>
      <w:r w:rsidR="1F27E276">
        <w:t>p.m., like Schedules DT and AT-29 described above.</w:t>
      </w:r>
      <w:r>
        <w:t xml:space="preserve"> </w:t>
      </w:r>
      <w:r w:rsidR="72315A68">
        <w:t>However, rather than using the 158</w:t>
      </w:r>
      <w:r w:rsidR="00730ADE">
        <w:t> percent</w:t>
      </w:r>
      <w:r w:rsidR="72315A68">
        <w:t xml:space="preserve"> price differential based on EIM hourly pricing, PacifiCorp proposed that the differential between </w:t>
      </w:r>
      <w:r w:rsidR="38CB4FA1">
        <w:t>on- and off-peak energy charges be set at the market-based differential of 1.029</w:t>
      </w:r>
      <w:r w:rsidR="00FD11EB">
        <w:t> cents</w:t>
      </w:r>
      <w:r w:rsidR="38CB4FA1">
        <w:t xml:space="preserve"> per kWh, as shown in Exhibit PAC/1104 and Exhibit</w:t>
      </w:r>
      <w:r w:rsidR="00033F39">
        <w:t> </w:t>
      </w:r>
      <w:r w:rsidR="38CB4FA1">
        <w:t>PAC/1103.</w:t>
      </w:r>
    </w:p>
    <w:p w:rsidR="0D1CF106" w:rsidP="0A9A644B" w:rsidRDefault="0D1CF106" w14:paraId="52C3C593" w14:textId="500D3081">
      <w:pPr>
        <w:pStyle w:val="Heading3"/>
      </w:pPr>
      <w:bookmarkStart w:name="_Toc153298444" w:id="65"/>
      <w:r>
        <w:t>Street and Area Light Price Re-Design</w:t>
      </w:r>
      <w:bookmarkEnd w:id="65"/>
    </w:p>
    <w:p w:rsidR="0D1CF106" w:rsidP="0A9A644B" w:rsidRDefault="0D1CF106" w14:paraId="2B6180BF" w14:textId="282235D3">
      <w:pPr>
        <w:pStyle w:val="Standard"/>
      </w:pPr>
      <w:r>
        <w:t xml:space="preserve">PacifiCorp proposed to change the prices charged for company-owned </w:t>
      </w:r>
      <w:r w:rsidR="2AA58026">
        <w:t>streetlights</w:t>
      </w:r>
      <w:r>
        <w:t xml:space="preserve"> and other area lights to be based on the level of lighting service provided, rather than on the bulb-type or other technology differentials.</w:t>
      </w:r>
      <w:r w:rsidR="210BB261">
        <w:t xml:space="preserve"> The rates for streetlights are provided to</w:t>
      </w:r>
      <w:r w:rsidR="253914EC">
        <w:t xml:space="preserve"> entities, including PacifiCorp, to</w:t>
      </w:r>
      <w:r w:rsidR="210BB261">
        <w:t xml:space="preserve"> illuminate public streets and highways, while</w:t>
      </w:r>
      <w:r w:rsidR="4CBC0161">
        <w:t xml:space="preserve"> the rates for</w:t>
      </w:r>
      <w:r w:rsidR="210BB261">
        <w:t xml:space="preserve"> area lights are provided to residential and </w:t>
      </w:r>
      <w:r w:rsidR="5FB6608C">
        <w:t xml:space="preserve">commercial customers that need to illuminate driveways or alleys. </w:t>
      </w:r>
    </w:p>
    <w:p w:rsidR="5D92A389" w:rsidP="0A9A644B" w:rsidRDefault="5D92A389" w14:paraId="5DDA4CE4" w14:textId="552A86EC">
      <w:pPr>
        <w:pStyle w:val="Standard"/>
      </w:pPr>
      <w:r>
        <w:t>PacifiCorp currently offers four tariffs for company and customer-owned lights:</w:t>
      </w:r>
    </w:p>
    <w:p w:rsidR="5D92A389" w:rsidP="002D228B" w:rsidRDefault="5D92A389" w14:paraId="65507169" w14:textId="1671072C">
      <w:pPr>
        <w:pStyle w:val="Standard"/>
        <w:numPr>
          <w:ilvl w:val="1"/>
          <w:numId w:val="2"/>
        </w:numPr>
        <w:spacing w:after="120" w:line="240" w:lineRule="auto"/>
        <w:ind w:left="1080" w:right="1440"/>
      </w:pPr>
      <w:r>
        <w:t>Schedule OL-15 – Outdoor Area Lighting – No New Service</w:t>
      </w:r>
    </w:p>
    <w:p w:rsidR="5D92A389" w:rsidP="002D228B" w:rsidRDefault="5D92A389" w14:paraId="55521A3A" w14:textId="43A5087D">
      <w:pPr>
        <w:pStyle w:val="Standard"/>
        <w:numPr>
          <w:ilvl w:val="1"/>
          <w:numId w:val="2"/>
        </w:numPr>
        <w:spacing w:after="120" w:line="240" w:lineRule="auto"/>
        <w:ind w:left="1080" w:right="1440"/>
        <w:rPr>
          <w:rFonts w:eastAsia="Calibri"/>
          <w:szCs w:val="26"/>
        </w:rPr>
      </w:pPr>
      <w:r w:rsidRPr="0A9A644B">
        <w:rPr>
          <w:rFonts w:eastAsia="Calibri"/>
          <w:szCs w:val="26"/>
        </w:rPr>
        <w:t>Schedule LS-51 – Street and Highway Lighting Service Utility Owned Syst</w:t>
      </w:r>
      <w:r w:rsidR="00033F39">
        <w:rPr>
          <w:rFonts w:eastAsia="Calibri"/>
          <w:szCs w:val="26"/>
        </w:rPr>
        <w:t>e</w:t>
      </w:r>
      <w:r w:rsidRPr="0A9A644B">
        <w:rPr>
          <w:rFonts w:eastAsia="Calibri"/>
          <w:szCs w:val="26"/>
        </w:rPr>
        <w:t>m</w:t>
      </w:r>
    </w:p>
    <w:p w:rsidR="5D92A389" w:rsidP="002D228B" w:rsidRDefault="5D92A389" w14:paraId="6F79A792" w14:textId="40E6A67A">
      <w:pPr>
        <w:pStyle w:val="Standard"/>
        <w:numPr>
          <w:ilvl w:val="1"/>
          <w:numId w:val="2"/>
        </w:numPr>
        <w:spacing w:after="120" w:line="240" w:lineRule="auto"/>
        <w:ind w:left="1080" w:right="1440"/>
        <w:rPr>
          <w:rFonts w:eastAsia="Calibri"/>
          <w:szCs w:val="26"/>
        </w:rPr>
      </w:pPr>
      <w:r w:rsidRPr="0A9A644B">
        <w:rPr>
          <w:rFonts w:eastAsia="Calibri"/>
          <w:szCs w:val="26"/>
        </w:rPr>
        <w:t>Schedule LS-53 – Special Street and Highway Lighting Service Customer Owned System Energy Only Service</w:t>
      </w:r>
    </w:p>
    <w:p w:rsidR="5D92A389" w:rsidP="002D228B" w:rsidRDefault="5D92A389" w14:paraId="7C58014D" w14:textId="628C0611">
      <w:pPr>
        <w:pStyle w:val="Standard"/>
        <w:numPr>
          <w:ilvl w:val="1"/>
          <w:numId w:val="2"/>
        </w:numPr>
        <w:spacing w:after="120" w:line="240" w:lineRule="auto"/>
        <w:ind w:left="1080" w:right="1440"/>
        <w:rPr>
          <w:rFonts w:eastAsia="Calibri"/>
          <w:szCs w:val="26"/>
        </w:rPr>
      </w:pPr>
      <w:r w:rsidRPr="0A9A644B">
        <w:rPr>
          <w:rFonts w:eastAsia="Calibri"/>
          <w:szCs w:val="26"/>
        </w:rPr>
        <w:t>Schedule 58 – Street and Highway Lighting Service Customer Owned System No New Service</w:t>
      </w:r>
    </w:p>
    <w:p w:rsidR="3CC9D652" w:rsidP="0A9A644B" w:rsidRDefault="3CC9D652" w14:paraId="21CF7857" w14:textId="6407249A">
      <w:pPr>
        <w:pStyle w:val="Standard"/>
      </w:pPr>
      <w:r>
        <w:t xml:space="preserve">The current pricing PacifiCorp offers for company-owned street and area lights is based on </w:t>
      </w:r>
      <w:r w:rsidR="758C5741">
        <w:t>technology</w:t>
      </w:r>
      <w:r>
        <w:t xml:space="preserve"> and lamp types</w:t>
      </w:r>
      <w:r w:rsidR="21AB4A31">
        <w:t>, which the utility suggested can be complicated for lights that are not metered, or not metered separately from the other more standard customer usage rates</w:t>
      </w:r>
      <w:r>
        <w:t>.</w:t>
      </w:r>
      <w:r w:rsidRPr="0A9A644B">
        <w:rPr>
          <w:rStyle w:val="FootnoteReference"/>
        </w:rPr>
        <w:footnoteReference w:id="79"/>
      </w:r>
    </w:p>
    <w:p w:rsidR="1DE65E03" w:rsidP="0A9A644B" w:rsidRDefault="1DE65E03" w14:paraId="02626433" w14:textId="78C37BA3">
      <w:pPr>
        <w:pStyle w:val="Standard"/>
      </w:pPr>
      <w:r>
        <w:t xml:space="preserve">PacifiCorp proposed to charge the level of lighting service based on ranges of </w:t>
      </w:r>
      <w:r w:rsidR="00BB5BD5">
        <w:t xml:space="preserve">light-emitting diode (LED) </w:t>
      </w:r>
      <w:r>
        <w:t>equivalent lumens, regardless of which lamp type is currently in place. Under this proposal, all bulb types would be charged a</w:t>
      </w:r>
      <w:r w:rsidR="35771F69">
        <w:t>t the same price for street and area lights.</w:t>
      </w:r>
      <w:r w:rsidRPr="0A9A644B">
        <w:rPr>
          <w:rStyle w:val="FootnoteReference"/>
        </w:rPr>
        <w:footnoteReference w:id="80"/>
      </w:r>
    </w:p>
    <w:p w:rsidR="4D07E0CF" w:rsidP="0A9A644B" w:rsidRDefault="4D07E0CF" w14:paraId="3B3F0B44" w14:textId="79AD5495">
      <w:pPr>
        <w:pStyle w:val="Standard"/>
      </w:pPr>
      <w:r>
        <w:t xml:space="preserve">PacifiCorp noted that, because LED has emerged as the dominant lighting technology for street and area lighting, it is reasonable to adjust its rates to remove the current </w:t>
      </w:r>
      <w:r w:rsidR="59CA58DB">
        <w:t>differential</w:t>
      </w:r>
      <w:r>
        <w:t>, which has, to d</w:t>
      </w:r>
      <w:r w:rsidR="38A34E0E">
        <w:t xml:space="preserve">ate, disincentivized PacifiCorp from converting its lights to LED. </w:t>
      </w:r>
    </w:p>
    <w:p w:rsidR="3CC9D652" w:rsidP="0A9A644B" w:rsidRDefault="3CC9D652" w14:paraId="0472CD52" w14:textId="36375456">
      <w:pPr>
        <w:pStyle w:val="Standard"/>
      </w:pPr>
      <w:r>
        <w:t>PacifiCorp also requested to create a new customer-funded option that would, in part, recover costs associated with converting PacifiCorp-owned streetlights to LED bulbs.</w:t>
      </w:r>
      <w:r w:rsidRPr="0A9A644B">
        <w:rPr>
          <w:rStyle w:val="FootnoteReference"/>
        </w:rPr>
        <w:footnoteReference w:id="81"/>
      </w:r>
      <w:r w:rsidR="0BFA181B">
        <w:t xml:space="preserve"> According to PacifiCorp, streetlight customers can currently save on rates by requesting the company-</w:t>
      </w:r>
      <w:r w:rsidR="78AFE25E">
        <w:t>owned lights they pay for be converted to LED. Because this lower</w:t>
      </w:r>
      <w:r w:rsidR="00842579">
        <w:t>s</w:t>
      </w:r>
      <w:r w:rsidR="78AFE25E">
        <w:t xml:space="preserve"> PacifiCorp’s revenue, the customers requesting LED conversion </w:t>
      </w:r>
      <w:r w:rsidR="00842579">
        <w:t>d</w:t>
      </w:r>
      <w:r w:rsidR="78AFE25E">
        <w:t>o not current</w:t>
      </w:r>
      <w:r w:rsidR="00842579">
        <w:t>ly</w:t>
      </w:r>
      <w:r w:rsidR="78AFE25E">
        <w:t xml:space="preserve"> receive a line extension allowance, </w:t>
      </w:r>
      <w:r w:rsidR="00842579">
        <w:t xml:space="preserve">and </w:t>
      </w:r>
      <w:r w:rsidR="78AFE25E">
        <w:t>therefore</w:t>
      </w:r>
      <w:r w:rsidR="2A46C62D">
        <w:t xml:space="preserve"> must pay for the full conversion costs. The</w:t>
      </w:r>
      <w:r w:rsidR="3CF65737">
        <w:t xml:space="preserve"> LED customer-funded program</w:t>
      </w:r>
      <w:r w:rsidR="2A46C62D">
        <w:t xml:space="preserve"> proposal is intended </w:t>
      </w:r>
      <w:r w:rsidR="00842579">
        <w:t xml:space="preserve">to </w:t>
      </w:r>
      <w:r w:rsidR="017DA0AB">
        <w:t xml:space="preserve">provide the same customers an opportunity to pay for only </w:t>
      </w:r>
      <w:r w:rsidR="07E4370F">
        <w:t>a portion of the conversion. The proposal aims to ensure that early adopters that have already paid for LED conversions are not adversely impact</w:t>
      </w:r>
      <w:r w:rsidR="00842579">
        <w:t>ed</w:t>
      </w:r>
      <w:r w:rsidR="07E4370F">
        <w:t>. It would provide customers o</w:t>
      </w:r>
      <w:r w:rsidR="132BFDCF">
        <w:t xml:space="preserve">pting to enroll in the </w:t>
      </w:r>
      <w:r w:rsidR="00842579">
        <w:t>“</w:t>
      </w:r>
      <w:r w:rsidR="132BFDCF">
        <w:t>customer-funded conversion” program lower overall street light prices</w:t>
      </w:r>
      <w:r w:rsidR="0DA3B215">
        <w:t>, while still incentivizing customers to convert to LED technology, given its energy savings.</w:t>
      </w:r>
      <w:r w:rsidRPr="2554E4E4">
        <w:rPr>
          <w:rStyle w:val="FootnoteReference"/>
        </w:rPr>
        <w:footnoteReference w:id="82"/>
      </w:r>
    </w:p>
    <w:p w:rsidR="6DA85A5A" w:rsidP="2554E4E4" w:rsidRDefault="6DA85A5A" w14:paraId="670049D9" w14:textId="149C5056">
      <w:pPr>
        <w:pStyle w:val="Standard"/>
      </w:pPr>
      <w:r>
        <w:t xml:space="preserve">Separately, PacifiCorp proposed to reopen Schedule OL-15 to new customers, because it provides an option for customers that need external </w:t>
      </w:r>
      <w:r w:rsidR="199DAE82">
        <w:t>illumination that is farther from the existing meter than the distribution line(s). To prevent added costs to such customers, PacifiCorp offered to own and maintain new area</w:t>
      </w:r>
      <w:r w:rsidR="0B9FB225">
        <w:t xml:space="preserve"> lights so long as they can be connected to existing </w:t>
      </w:r>
      <w:r w:rsidR="4A449756">
        <w:t>distribution</w:t>
      </w:r>
      <w:r w:rsidR="0B9FB225">
        <w:t xml:space="preserve"> poles.</w:t>
      </w:r>
      <w:r w:rsidR="4135CB5C">
        <w:t xml:space="preserve"> </w:t>
      </w:r>
    </w:p>
    <w:p w:rsidR="4135CB5C" w:rsidP="2554E4E4" w:rsidRDefault="4135CB5C" w14:paraId="10C71B1F" w14:textId="246DB25F">
      <w:pPr>
        <w:pStyle w:val="Standard"/>
      </w:pPr>
      <w:r>
        <w:t>PacifiCorp further</w:t>
      </w:r>
      <w:r w:rsidR="61D558BC">
        <w:t xml:space="preserve"> proposed</w:t>
      </w:r>
      <w:r>
        <w:t xml:space="preserve"> to transfer customers on Schedule LS-58 to Schedule LS-53 for energy-only service, because the prior parameters of </w:t>
      </w:r>
      <w:r w:rsidR="5DC29146">
        <w:t>Schedule</w:t>
      </w:r>
      <w:r w:rsidR="15990FD2">
        <w:t xml:space="preserve"> LS-58 do not align with </w:t>
      </w:r>
      <w:r w:rsidR="5EEC1D1E">
        <w:t xml:space="preserve">its proposed level of service for company-owned street and area lights. </w:t>
      </w:r>
      <w:r w:rsidR="1E410A15">
        <w:t>The</w:t>
      </w:r>
      <w:r w:rsidR="5EEC1D1E">
        <w:t xml:space="preserve"> utility noted that customers that are currently on Schedule LS-58 would be notified of this change.</w:t>
      </w:r>
    </w:p>
    <w:p w:rsidR="7B101E54" w:rsidP="2554E4E4" w:rsidRDefault="7B101E54" w14:paraId="1D5DCDD4" w14:textId="4A9034F7">
      <w:pPr>
        <w:pStyle w:val="Heading3"/>
      </w:pPr>
      <w:bookmarkStart w:name="_Toc153298445" w:id="66"/>
      <w:r>
        <w:t>Paperless Bill Credit</w:t>
      </w:r>
      <w:bookmarkEnd w:id="66"/>
    </w:p>
    <w:p w:rsidR="7B101E54" w:rsidP="2554E4E4" w:rsidRDefault="7B101E54" w14:paraId="70F98370" w14:textId="58492DA5">
      <w:pPr>
        <w:pStyle w:val="Standard"/>
      </w:pPr>
      <w:r>
        <w:t>PacifiCorp proposed to add a monthly $0.50</w:t>
      </w:r>
      <w:r w:rsidR="00FD11EB">
        <w:t> </w:t>
      </w:r>
      <w:r>
        <w:t>credit to Schedule 300 and Rule 9 customers that have enrolled in paperless billing. The amount of this credit is associated with the savings of no</w:t>
      </w:r>
      <w:r w:rsidR="063346EB">
        <w:t>t sending paper bills via mail, which is approximately $0.49 per mailing. Any customer that has or will enroll in paperless billing would be eligible for this credit.</w:t>
      </w:r>
      <w:r w:rsidRPr="2554E4E4">
        <w:rPr>
          <w:rStyle w:val="FootnoteReference"/>
        </w:rPr>
        <w:footnoteReference w:id="83"/>
      </w:r>
      <w:r w:rsidR="063346EB">
        <w:t xml:space="preserve"> </w:t>
      </w:r>
      <w:r w:rsidR="00C52FE8">
        <w:t>We find the credit amount to be reasonable, given its alignment with the mailing costs to individual customers, and support PacifiCorp’s effort to reduce resource usage by encouraging customers to enroll in paperless billing.</w:t>
      </w:r>
    </w:p>
    <w:p w:rsidR="5EACD617" w:rsidP="2554E4E4" w:rsidRDefault="5EACD617" w14:paraId="6B317092" w14:textId="6E0E67B1">
      <w:pPr>
        <w:pStyle w:val="Heading3"/>
      </w:pPr>
      <w:bookmarkStart w:name="_Toc153298446" w:id="67"/>
      <w:r>
        <w:t>Temporary Service Charge</w:t>
      </w:r>
      <w:bookmarkEnd w:id="67"/>
    </w:p>
    <w:p w:rsidR="5EACD617" w:rsidP="2554E4E4" w:rsidRDefault="5EACD617" w14:paraId="0A26BE7D" w14:textId="7AE3AD99">
      <w:pPr>
        <w:pStyle w:val="Standard"/>
      </w:pPr>
      <w:r>
        <w:t xml:space="preserve">PacifiCorp proposed to increase its temporary service charges from $58 for single-phase and $115 for three-phase service to $167 for all temporary service installations, based on the current rate for one </w:t>
      </w:r>
      <w:r w:rsidR="0217C97A">
        <w:t xml:space="preserve">hour of journeyman time. This methodology aligns with that used when the temporary service charge was initially calculated by PacifiCorp in 1982. PacifiCorp </w:t>
      </w:r>
      <w:r w:rsidR="40BCAEAB">
        <w:t>stated that this charge has not been modified since its inception and does not reflect the current costs associated with providing temporary service.</w:t>
      </w:r>
      <w:r w:rsidRPr="2554E4E4">
        <w:rPr>
          <w:rStyle w:val="FootnoteReference"/>
        </w:rPr>
        <w:footnoteReference w:id="84"/>
      </w:r>
      <w:r w:rsidR="00C52FE8">
        <w:t xml:space="preserve"> Upon review of PacifiCorp’s testimony and workpapers we find this proposed adjustment to be reasonable to reflect to cost of an hour of journeyman time and to also simplify the temporary service charges for customers by consolidating the single- and three-phase costs into one cost structure. </w:t>
      </w:r>
    </w:p>
    <w:p w:rsidR="5AE8AF3C" w:rsidP="001B1EC1" w:rsidRDefault="5AE8AF3C" w14:paraId="1233AE1C" w14:textId="3755053C">
      <w:pPr>
        <w:pStyle w:val="Heading3"/>
      </w:pPr>
      <w:bookmarkStart w:name="_Toc153298447" w:id="68"/>
      <w:r>
        <w:t xml:space="preserve">Housekeeping </w:t>
      </w:r>
      <w:r w:rsidR="77B9977B">
        <w:t>It</w:t>
      </w:r>
      <w:r>
        <w:t>ems</w:t>
      </w:r>
      <w:bookmarkEnd w:id="68"/>
    </w:p>
    <w:p w:rsidR="1BF1BD59" w:rsidP="2554E4E4" w:rsidRDefault="1BF1BD59" w14:paraId="1EB1D0A6" w14:textId="66DA1B1B">
      <w:pPr>
        <w:pStyle w:val="Standard"/>
      </w:pPr>
      <w:r>
        <w:t>PacifiCorp proposed changes to two sheets in Schedule 300, Sheet Nos.</w:t>
      </w:r>
      <w:r w:rsidR="005E7B13">
        <w:t> </w:t>
      </w:r>
      <w:r>
        <w:t xml:space="preserve">4733-E and 3953-E, to correct </w:t>
      </w:r>
      <w:r w:rsidR="198D946E">
        <w:t>inaccurate</w:t>
      </w:r>
      <w:r>
        <w:t xml:space="preserve"> references to other sheets in the tariff.</w:t>
      </w:r>
      <w:r w:rsidR="7CBF596A">
        <w:t xml:space="preserve"> It also proposed to add back the charges for field visits and unauthorized reconnections to Sheet 3953-E, which were inadvertently deleted</w:t>
      </w:r>
      <w:r w:rsidR="6F3F08E3">
        <w:t xml:space="preserve">. </w:t>
      </w:r>
    </w:p>
    <w:p w:rsidR="6F3F08E3" w:rsidP="2554E4E4" w:rsidRDefault="6F3F08E3" w14:paraId="182C1B3C" w14:textId="04C77584">
      <w:pPr>
        <w:pStyle w:val="Standard"/>
      </w:pPr>
      <w:r>
        <w:t>For its general service rate customers, PacifiCorp proposed to add the primary metering discount to Schedule A-25, as it is already specifically listed for other non-residential schedules.</w:t>
      </w:r>
    </w:p>
    <w:p w:rsidR="6F3F08E3" w:rsidP="2554E4E4" w:rsidRDefault="6F3F08E3" w14:paraId="30A0E868" w14:textId="2FE542BD">
      <w:pPr>
        <w:pStyle w:val="Standard"/>
      </w:pPr>
      <w:r>
        <w:t>Finally, PacifiCorp proposed to remove references to pre-2005 Daylight Savings Time definitions.</w:t>
      </w:r>
    </w:p>
    <w:p w:rsidR="7E42BD08" w:rsidP="001B1EC1" w:rsidRDefault="7E42BD08" w14:paraId="3D62D285" w14:textId="135B2BE5">
      <w:pPr>
        <w:pStyle w:val="Heading3"/>
      </w:pPr>
      <w:bookmarkStart w:name="_Toc153298448" w:id="69"/>
      <w:r>
        <w:t>Discussion</w:t>
      </w:r>
      <w:bookmarkEnd w:id="69"/>
    </w:p>
    <w:p w:rsidR="00C040E4" w:rsidP="2554E4E4" w:rsidRDefault="0DA3B215" w14:paraId="6B1451EA" w14:textId="78BA8A85">
      <w:pPr>
        <w:pStyle w:val="Standard"/>
      </w:pPr>
      <w:r>
        <w:t>No parties directly</w:t>
      </w:r>
      <w:r w:rsidR="6660CC72">
        <w:t xml:space="preserve"> responded to the rate design changes described in Section 8.2</w:t>
      </w:r>
      <w:r w:rsidR="6C664649">
        <w:t>.1-8.2.</w:t>
      </w:r>
      <w:r w:rsidR="00CE0144">
        <w:t xml:space="preserve">7 </w:t>
      </w:r>
      <w:r w:rsidR="6660CC72">
        <w:t xml:space="preserve">above. </w:t>
      </w:r>
      <w:r w:rsidR="2FFB5304">
        <w:t xml:space="preserve">According to the updated workpapers filed </w:t>
      </w:r>
      <w:r w:rsidR="04A9536D">
        <w:t xml:space="preserve">by PacifiCorp on </w:t>
      </w:r>
      <w:r w:rsidR="2FFB5304">
        <w:t>October 9, 2023, the average non-CARE residential customer using 850 kWh per month will see an average monthly bill increase of $26.09</w:t>
      </w:r>
      <w:r w:rsidR="00FD11EB">
        <w:t> </w:t>
      </w:r>
      <w:r w:rsidR="2FFB5304">
        <w:t xml:space="preserve">per month. </w:t>
      </w:r>
    </w:p>
    <w:p w:rsidR="00C040E4" w:rsidP="2554E4E4" w:rsidRDefault="6660CC72" w14:paraId="66C546CC" w14:textId="420EB15D">
      <w:pPr>
        <w:pStyle w:val="Standard"/>
        <w:rPr>
          <w:rStyle w:val="BodyTextChar"/>
        </w:rPr>
      </w:pPr>
      <w:r w:rsidRPr="2554E4E4">
        <w:rPr>
          <w:rFonts w:eastAsia="Calibri"/>
          <w:szCs w:val="26"/>
        </w:rPr>
        <w:t>U</w:t>
      </w:r>
      <w:r w:rsidRPr="2554E4E4">
        <w:rPr>
          <w:rStyle w:val="BodyTextChar"/>
        </w:rPr>
        <w:t>pon review of PacifiCorp’s testimony and workpapers we find the proposed</w:t>
      </w:r>
      <w:r w:rsidRPr="2554E4E4" w:rsidR="7D49EEB9">
        <w:rPr>
          <w:rStyle w:val="BodyTextChar"/>
        </w:rPr>
        <w:t xml:space="preserve"> Schedules DT, AT-23, PA-11</w:t>
      </w:r>
      <w:r w:rsidR="00DA63BF">
        <w:rPr>
          <w:rStyle w:val="BodyTextChar"/>
        </w:rPr>
        <w:t>5</w:t>
      </w:r>
      <w:r w:rsidRPr="2554E4E4" w:rsidR="7D49EEB9">
        <w:rPr>
          <w:rStyle w:val="BodyTextChar"/>
        </w:rPr>
        <w:t>, AT-4</w:t>
      </w:r>
      <w:r w:rsidRPr="2554E4E4" w:rsidR="7DCE20DB">
        <w:rPr>
          <w:rStyle w:val="BodyTextChar"/>
        </w:rPr>
        <w:t xml:space="preserve">7 </w:t>
      </w:r>
      <w:r w:rsidRPr="2554E4E4" w:rsidR="7D49EEB9">
        <w:rPr>
          <w:rStyle w:val="BodyTextChar"/>
        </w:rPr>
        <w:t xml:space="preserve">and </w:t>
      </w:r>
      <w:r w:rsidRPr="2554E4E4" w:rsidR="73554FFC">
        <w:rPr>
          <w:rStyle w:val="BodyTextChar"/>
        </w:rPr>
        <w:t xml:space="preserve">AT-48, and PacifiCorp’s proposed </w:t>
      </w:r>
      <w:r w:rsidRPr="2554E4E4" w:rsidR="42556A4F">
        <w:rPr>
          <w:rStyle w:val="BodyTextChar"/>
        </w:rPr>
        <w:t>street and area light tariff re-design proposals to be reasonable.</w:t>
      </w:r>
      <w:r w:rsidRPr="2554E4E4" w:rsidR="6F66D2EB">
        <w:rPr>
          <w:rStyle w:val="BodyTextChar"/>
        </w:rPr>
        <w:t xml:space="preserve"> </w:t>
      </w:r>
      <w:r w:rsidR="00D6231A">
        <w:rPr>
          <w:rStyle w:val="BodyTextChar"/>
        </w:rPr>
        <w:t>Further, we find it reasonable to authorize PacifiCorp to offer its paperless bill credit and to update its temporary service charge</w:t>
      </w:r>
      <w:r w:rsidR="006A42C3">
        <w:rPr>
          <w:rStyle w:val="BodyTextChar"/>
        </w:rPr>
        <w:t xml:space="preserve">, given the costs the utility provided to send paper documents and temporary service connections. </w:t>
      </w:r>
    </w:p>
    <w:p w:rsidRPr="006A42C3" w:rsidR="006A42C3" w:rsidP="006A42C3" w:rsidRDefault="006A42C3" w14:paraId="19F4C172" w14:textId="11BB767B">
      <w:pPr>
        <w:pStyle w:val="Standard"/>
      </w:pPr>
      <w:r>
        <w:rPr>
          <w:rStyle w:val="BodyTextChar"/>
        </w:rPr>
        <w:t>Finally, we agree that PacifiCorp’s tariff sheets would be clarified with the implementation of the housekeeping items described in Section</w:t>
      </w:r>
      <w:r w:rsidR="00FD11EB">
        <w:rPr>
          <w:rStyle w:val="BodyTextChar"/>
        </w:rPr>
        <w:t> </w:t>
      </w:r>
      <w:r>
        <w:rPr>
          <w:rStyle w:val="BodyTextChar"/>
        </w:rPr>
        <w:t>8.3 above</w:t>
      </w:r>
      <w:r w:rsidR="00EB2DA7">
        <w:rPr>
          <w:rStyle w:val="BodyTextChar"/>
        </w:rPr>
        <w:t>.</w:t>
      </w:r>
      <w:r w:rsidR="00FD11EB">
        <w:rPr>
          <w:rStyle w:val="BodyTextChar"/>
        </w:rPr>
        <w:t xml:space="preserve"> </w:t>
      </w:r>
      <w:r>
        <w:t xml:space="preserve">Upon review of Exhibit PAC/1100 and Exhibit PAC/1102, we find these proposed housekeeping changes to be reasonable. </w:t>
      </w:r>
    </w:p>
    <w:p w:rsidR="00C040E4" w:rsidP="2554E4E4" w:rsidRDefault="00C040E4" w14:paraId="5DC28680" w14:textId="36246117">
      <w:pPr>
        <w:pStyle w:val="Heading2"/>
        <w:rPr>
          <w:rFonts w:ascii="Book Antiqua" w:hAnsi="Book Antiqua" w:eastAsia="Calibri"/>
        </w:rPr>
      </w:pPr>
      <w:bookmarkStart w:name="_Toc153298449" w:id="70"/>
      <w:r>
        <w:t>CARE Credit increase</w:t>
      </w:r>
      <w:bookmarkEnd w:id="70"/>
      <w:r>
        <w:t xml:space="preserve"> </w:t>
      </w:r>
    </w:p>
    <w:p w:rsidR="00C040E4" w:rsidP="00C040E4" w:rsidRDefault="00C53FD5" w14:paraId="7377FF67" w14:textId="0300EF32">
      <w:pPr>
        <w:pStyle w:val="Standard"/>
      </w:pPr>
      <w:r>
        <w:t>The California Alternat</w:t>
      </w:r>
      <w:r w:rsidR="00F71C4E">
        <w:t>e</w:t>
      </w:r>
      <w:r>
        <w:t xml:space="preserve"> Rates for Energy (CARE) discount is intend</w:t>
      </w:r>
      <w:r w:rsidR="00EA0E29">
        <w:t>ed to reduce the cost of electric service to customers that meet specific thresholds. PacifiCorp identified the magnitude of the rate impact requested in this case</w:t>
      </w:r>
      <w:r w:rsidR="17622346">
        <w:t xml:space="preserve"> </w:t>
      </w:r>
      <w:r w:rsidR="00EA0E29">
        <w:t>and requested to increase its CARE discount from the previously approved 20</w:t>
      </w:r>
      <w:r w:rsidR="00730ADE">
        <w:t> percent</w:t>
      </w:r>
      <w:r w:rsidR="00EA0E29">
        <w:t xml:space="preserve"> to 25</w:t>
      </w:r>
      <w:r w:rsidR="00730ADE">
        <w:t> percent</w:t>
      </w:r>
      <w:r w:rsidR="00EA0E29">
        <w:t xml:space="preserve">, </w:t>
      </w:r>
      <w:r w:rsidR="320D94B7">
        <w:t>to</w:t>
      </w:r>
      <w:r w:rsidR="00EA0E29">
        <w:t xml:space="preserve"> protect customers that may otherwise be more adversely impacted by the rate changes authorized in this decision.</w:t>
      </w:r>
      <w:r w:rsidR="00EA0E29">
        <w:rPr>
          <w:rStyle w:val="FootnoteReference"/>
        </w:rPr>
        <w:footnoteReference w:id="85"/>
      </w:r>
    </w:p>
    <w:p w:rsidR="003D701A" w:rsidP="00EE61E1" w:rsidRDefault="00EA0E29" w14:paraId="5A3C3EF4" w14:textId="6FDBC0A7">
      <w:pPr>
        <w:pStyle w:val="Standard"/>
      </w:pPr>
      <w:r>
        <w:t>No party contested PacifiCorp’s request to increase its CARE discount. We find it, in part, addresses issue 8 identified in Section</w:t>
      </w:r>
      <w:r w:rsidR="00FD11EB">
        <w:t> </w:t>
      </w:r>
      <w:r>
        <w:t>3 above, by assisting otherwise vulnerable customers</w:t>
      </w:r>
      <w:r w:rsidR="00EB2DA7">
        <w:t>.</w:t>
      </w:r>
      <w:r w:rsidR="00FD11EB">
        <w:t xml:space="preserve"> </w:t>
      </w:r>
      <w:r>
        <w:t>Therefore, PacifiCorp’s request to increase its CARE discount to 25</w:t>
      </w:r>
      <w:r w:rsidR="00730ADE">
        <w:t> percent</w:t>
      </w:r>
      <w:r>
        <w:t xml:space="preserve"> for its California tariff schedules is approved.</w:t>
      </w:r>
    </w:p>
    <w:p w:rsidR="00EE61E1" w:rsidP="002D228B" w:rsidRDefault="00EE61E1" w14:paraId="0F275813" w14:textId="4DBAFEFB">
      <w:pPr>
        <w:pStyle w:val="Heading1"/>
        <w:numPr>
          <w:ilvl w:val="0"/>
          <w:numId w:val="3"/>
        </w:numPr>
      </w:pPr>
      <w:bookmarkStart w:name="_Toc153298450" w:id="71"/>
      <w:r>
        <w:t>Future GRC Testimony Requirements</w:t>
      </w:r>
      <w:bookmarkEnd w:id="71"/>
    </w:p>
    <w:p w:rsidR="00CE2A8A" w:rsidP="00EE61E1" w:rsidRDefault="00CE2A8A" w14:paraId="7B959707" w14:textId="78216C8B">
      <w:pPr>
        <w:pStyle w:val="Standard"/>
      </w:pPr>
      <w:r>
        <w:t>As discussed in Section 4.3 above, PacifiCorp must conduct a new</w:t>
      </w:r>
      <w:r w:rsidR="00005002">
        <w:t>,</w:t>
      </w:r>
      <w:r>
        <w:t xml:space="preserve"> </w:t>
      </w:r>
      <w:r w:rsidR="00005002">
        <w:t>thorough</w:t>
      </w:r>
      <w:r>
        <w:t xml:space="preserve"> RDF assessment for each GRC cycle, that, at a minimum, addresses each of the 10</w:t>
      </w:r>
      <w:r w:rsidR="00FD11EB">
        <w:t> </w:t>
      </w:r>
      <w:r>
        <w:t>RAMP elements described in the Voluntary Agreement adopted in D.19-04-020.</w:t>
      </w:r>
      <w:r w:rsidR="007431A2">
        <w:t xml:space="preserve"> </w:t>
      </w:r>
    </w:p>
    <w:p w:rsidR="00EC44AB" w:rsidP="00383D6B" w:rsidRDefault="008407F4" w14:paraId="6E4511A6" w14:textId="421F248C">
      <w:pPr>
        <w:pStyle w:val="Standard"/>
      </w:pPr>
      <w:r>
        <w:t xml:space="preserve">Separately, Track 2 of this proceeding </w:t>
      </w:r>
      <w:r w:rsidR="541739B3">
        <w:t xml:space="preserve">will </w:t>
      </w:r>
      <w:r>
        <w:t>address PacifiCorp’s wildfire mitigation</w:t>
      </w:r>
      <w:r w:rsidR="00842579">
        <w:t xml:space="preserve"> memorandum account deferred</w:t>
      </w:r>
      <w:r>
        <w:t xml:space="preserve"> cost accounting more thoroughly</w:t>
      </w:r>
      <w:r w:rsidR="00EB2DA7">
        <w:t>.</w:t>
      </w:r>
      <w:r w:rsidR="00FD11EB">
        <w:t xml:space="preserve"> </w:t>
      </w:r>
      <w:r>
        <w:t xml:space="preserve">The </w:t>
      </w:r>
      <w:r w:rsidR="002C30BA">
        <w:t>independent</w:t>
      </w:r>
      <w:r>
        <w:t xml:space="preserve"> audit</w:t>
      </w:r>
      <w:r w:rsidR="4E34D571">
        <w:t xml:space="preserve">, which was </w:t>
      </w:r>
      <w:r w:rsidR="39D042B0">
        <w:t>necessary</w:t>
      </w:r>
      <w:r w:rsidR="4E34D571">
        <w:t xml:space="preserve"> to ensure transparency regarding PacifiCorp’s WMP cost recovery and accounting </w:t>
      </w:r>
      <w:r w:rsidR="0A37873A">
        <w:t>requests</w:t>
      </w:r>
      <w:r w:rsidR="4E34D571">
        <w:t>,</w:t>
      </w:r>
      <w:r>
        <w:t xml:space="preserve"> and</w:t>
      </w:r>
      <w:r w:rsidR="48F381F4">
        <w:t xml:space="preserve"> the</w:t>
      </w:r>
      <w:r>
        <w:t xml:space="preserve"> associated procedural processes will likely delay cost recovery of the </w:t>
      </w:r>
      <w:r w:rsidR="002C30BA">
        <w:t xml:space="preserve">Wildfire Mitigation Memorandum Account recorded </w:t>
      </w:r>
      <w:r>
        <w:t>costs being evaluated in Track 2</w:t>
      </w:r>
      <w:r w:rsidR="00EB2DA7">
        <w:t>.</w:t>
      </w:r>
      <w:r w:rsidR="00FD11EB">
        <w:t xml:space="preserve"> </w:t>
      </w:r>
      <w:r>
        <w:t xml:space="preserve">To avoid similar delays in </w:t>
      </w:r>
      <w:r w:rsidR="6C2C2D3B">
        <w:t>the future</w:t>
      </w:r>
      <w:r>
        <w:t xml:space="preserve">, </w:t>
      </w:r>
      <w:r w:rsidR="00EC44AB">
        <w:t xml:space="preserve">we direct PacifiCorp to include </w:t>
      </w:r>
      <w:r w:rsidR="00B762CF">
        <w:t xml:space="preserve">more </w:t>
      </w:r>
      <w:r w:rsidR="00EC44AB">
        <w:t xml:space="preserve">specific </w:t>
      </w:r>
      <w:r w:rsidR="006A62CB">
        <w:t xml:space="preserve">revenue requirement </w:t>
      </w:r>
      <w:r w:rsidR="00EC44AB">
        <w:t>forecasts</w:t>
      </w:r>
      <w:r w:rsidR="00B762CF">
        <w:t xml:space="preserve"> for each program authorized in its most recent WMP</w:t>
      </w:r>
      <w:r w:rsidR="00DD1FED">
        <w:t xml:space="preserve"> </w:t>
      </w:r>
      <w:r w:rsidR="00EC44AB">
        <w:t xml:space="preserve"> </w:t>
      </w:r>
      <w:r w:rsidR="00B762CF">
        <w:t>its next</w:t>
      </w:r>
      <w:r w:rsidR="00EC44AB">
        <w:t xml:space="preserve"> GRC</w:t>
      </w:r>
      <w:r w:rsidR="00EB2DA7">
        <w:t>.</w:t>
      </w:r>
      <w:r w:rsidR="00FD11EB">
        <w:t xml:space="preserve"> </w:t>
      </w:r>
      <w:r w:rsidR="00EC44AB">
        <w:t xml:space="preserve">More details regarding </w:t>
      </w:r>
      <w:r w:rsidR="007431A2">
        <w:t>PacifiCorp’s</w:t>
      </w:r>
      <w:r w:rsidR="00EC44AB">
        <w:t xml:space="preserve"> </w:t>
      </w:r>
      <w:r w:rsidR="00B762CF">
        <w:t>deferred Wildfire Mitigation Memorandum Account</w:t>
      </w:r>
      <w:r w:rsidDel="00B762CF" w:rsidR="00B762CF">
        <w:t xml:space="preserve"> </w:t>
      </w:r>
      <w:r w:rsidR="00B762CF">
        <w:t xml:space="preserve">balances </w:t>
      </w:r>
      <w:r w:rsidR="00EC44AB">
        <w:t>will be addressed in a separate decision in Track 2 of this proceeding.</w:t>
      </w:r>
    </w:p>
    <w:p w:rsidR="00914AC2" w:rsidP="00914AC2" w:rsidRDefault="00914AC2" w14:paraId="66472E19" w14:textId="5496A6DF">
      <w:pPr>
        <w:pStyle w:val="Standard"/>
      </w:pPr>
      <w:r>
        <w:t xml:space="preserve">Additionally, we find it necessary to set specific requirements for PacifiCorp to, in </w:t>
      </w:r>
      <w:r w:rsidR="00842579">
        <w:t>its next</w:t>
      </w:r>
      <w:r>
        <w:t xml:space="preserve"> GRC application:</w:t>
      </w:r>
    </w:p>
    <w:p w:rsidR="00914AC2" w:rsidP="002D228B" w:rsidRDefault="00914AC2" w14:paraId="3160312E" w14:textId="3D05D22D">
      <w:pPr>
        <w:pStyle w:val="ListNum"/>
        <w:numPr>
          <w:ilvl w:val="6"/>
          <w:numId w:val="3"/>
        </w:numPr>
        <w:ind w:right="1440"/>
      </w:pPr>
      <w:bookmarkStart w:name="_Hlk147912543" w:id="72"/>
      <w:r>
        <w:t xml:space="preserve">Produce </w:t>
      </w:r>
      <w:r w:rsidR="007F1881">
        <w:t xml:space="preserve">any </w:t>
      </w:r>
      <w:r>
        <w:t xml:space="preserve">additional </w:t>
      </w:r>
      <w:r w:rsidR="007F1881">
        <w:t xml:space="preserve">spending and accrual </w:t>
      </w:r>
      <w:r>
        <w:t xml:space="preserve">data for the years between the </w:t>
      </w:r>
      <w:r w:rsidR="007F1881">
        <w:t xml:space="preserve">year of its most recent depreciation </w:t>
      </w:r>
      <w:r>
        <w:t>study and the GRC base year</w:t>
      </w:r>
      <w:r w:rsidR="007F1881">
        <w:t xml:space="preserve"> that may not be reflected in its most recent depreciation study</w:t>
      </w:r>
      <w:r>
        <w:t xml:space="preserve">; </w:t>
      </w:r>
      <w:r w:rsidR="00130015">
        <w:t>and</w:t>
      </w:r>
    </w:p>
    <w:p w:rsidR="00130015" w:rsidP="002D228B" w:rsidRDefault="00914AC2" w14:paraId="7DA2C544" w14:textId="3BF10D89">
      <w:pPr>
        <w:pStyle w:val="ListNum"/>
        <w:numPr>
          <w:ilvl w:val="6"/>
          <w:numId w:val="3"/>
        </w:numPr>
        <w:ind w:right="1440"/>
      </w:pPr>
      <w:r>
        <w:t xml:space="preserve">Provide detailed documentation </w:t>
      </w:r>
      <w:r w:rsidR="007F1881">
        <w:t xml:space="preserve">of the inputs, including the modeling and functionality studies, used in its most recent IRP to develop its forecasts of </w:t>
      </w:r>
      <w:r w:rsidR="00130015">
        <w:t xml:space="preserve">the timing of and costs of its </w:t>
      </w:r>
      <w:r>
        <w:t>retirement plans for all coal facilities serving California customers</w:t>
      </w:r>
      <w:r w:rsidR="00130015">
        <w:t>.</w:t>
      </w:r>
    </w:p>
    <w:p w:rsidR="001A1FF1" w:rsidP="001A1FF1" w:rsidRDefault="001A1FF1" w14:paraId="3230273C" w14:textId="77777777">
      <w:pPr>
        <w:pStyle w:val="Heading1"/>
      </w:pPr>
      <w:bookmarkStart w:name="_Toc8123721" w:id="73"/>
      <w:bookmarkStart w:name="_Toc153298451" w:id="74"/>
      <w:bookmarkEnd w:id="24"/>
      <w:bookmarkEnd w:id="72"/>
      <w:r>
        <w:t>Summary of Public Comment</w:t>
      </w:r>
      <w:bookmarkEnd w:id="74"/>
    </w:p>
    <w:p w:rsidR="001A1FF1" w:rsidP="001A1FF1" w:rsidRDefault="001A1FF1" w14:paraId="307E142B" w14:textId="7C5DED0E">
      <w:pPr>
        <w:pStyle w:val="Standard"/>
      </w:pPr>
      <w:r>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00971F72" w:rsidP="000A588E" w:rsidRDefault="00971F72" w14:paraId="2056A3DA" w14:textId="246A64CC">
      <w:pPr>
        <w:pStyle w:val="Standard"/>
      </w:pPr>
      <w:r>
        <w:t xml:space="preserve">There were 62 public comments filed on the A.22-05-006 docket. Several of them were not relevant as they related to cellular telephone service or other utility-related proceedings. The remainder opposed the proposed rate increase and raised concerns about the cost of PacifiCorp’s proposed wildfire mitigation and vegetation management programs. </w:t>
      </w:r>
    </w:p>
    <w:p w:rsidR="00FA1B4F" w:rsidP="002D228B" w:rsidRDefault="005939A5" w14:paraId="537842A5" w14:textId="59C9DF08">
      <w:pPr>
        <w:pStyle w:val="Heading1"/>
        <w:numPr>
          <w:ilvl w:val="0"/>
          <w:numId w:val="3"/>
        </w:numPr>
      </w:pPr>
      <w:bookmarkStart w:name="_Toc153298452" w:id="75"/>
      <w:r>
        <w:t>Conclusion</w:t>
      </w:r>
      <w:bookmarkEnd w:id="73"/>
      <w:bookmarkEnd w:id="75"/>
    </w:p>
    <w:p w:rsidR="00343E5C" w:rsidP="2554E4E4" w:rsidRDefault="005C4660" w14:paraId="76DF5746" w14:textId="178CEFE6">
      <w:pPr>
        <w:pStyle w:val="Standard"/>
      </w:pPr>
      <w:r>
        <w:t xml:space="preserve">This decision modifies and approves PacifiCorp’s amended requested revenue requirement, as </w:t>
      </w:r>
      <w:r w:rsidR="00F71C4E">
        <w:t xml:space="preserve">served in testimony </w:t>
      </w:r>
      <w:r>
        <w:t xml:space="preserve">on October 9, 2023, that removed the request for </w:t>
      </w:r>
      <w:r w:rsidR="006A62CB">
        <w:t xml:space="preserve">amortization of </w:t>
      </w:r>
      <w:r>
        <w:t xml:space="preserve">specific </w:t>
      </w:r>
      <w:r w:rsidR="006A62CB">
        <w:t>deferred W</w:t>
      </w:r>
      <w:r>
        <w:t xml:space="preserve">ildfire </w:t>
      </w:r>
      <w:r w:rsidR="006A62CB">
        <w:t>M</w:t>
      </w:r>
      <w:r>
        <w:t xml:space="preserve">itigation </w:t>
      </w:r>
      <w:r w:rsidR="006A62CB">
        <w:t xml:space="preserve">Memorandum Account </w:t>
      </w:r>
      <w:r>
        <w:t>costs</w:t>
      </w:r>
      <w:r w:rsidR="006A62CB">
        <w:t>, which will be considered in Track 2</w:t>
      </w:r>
      <w:r>
        <w:t>.</w:t>
      </w:r>
      <w:r w:rsidR="00630532">
        <w:t xml:space="preserve"> </w:t>
      </w:r>
      <w:r w:rsidR="01F18547">
        <w:t>It authorizes a</w:t>
      </w:r>
      <w:r w:rsidR="00842579">
        <w:t xml:space="preserve"> base </w:t>
      </w:r>
      <w:r w:rsidR="01F18547">
        <w:t>revenue requirement of $</w:t>
      </w:r>
      <w:r w:rsidR="00842579">
        <w:t>101,288,005</w:t>
      </w:r>
      <w:r w:rsidR="00730ADE">
        <w:t> </w:t>
      </w:r>
      <w:r w:rsidR="01F18547">
        <w:t>for PacifiCorp (doing business as Pacific Power) pursuant to A.22-05-006</w:t>
      </w:r>
      <w:r w:rsidR="00842579">
        <w:t>, which is an increase of $18.9</w:t>
      </w:r>
      <w:r w:rsidR="00F71C4E">
        <w:t>9</w:t>
      </w:r>
      <w:r w:rsidR="00842579">
        <w:t xml:space="preserve"> million</w:t>
      </w:r>
      <w:r w:rsidR="00EB2DA7">
        <w:t>.</w:t>
      </w:r>
      <w:r w:rsidR="00FD11EB">
        <w:t xml:space="preserve"> </w:t>
      </w:r>
      <w:r w:rsidR="01F18547">
        <w:t xml:space="preserve">The revenue requirement adopted herein will increase PacifiCorp customers’ rates by approximately </w:t>
      </w:r>
      <w:r w:rsidR="001E1CC3">
        <w:t>17.5</w:t>
      </w:r>
      <w:r w:rsidR="00730ADE">
        <w:t> percent</w:t>
      </w:r>
      <w:r w:rsidR="001E1CC3">
        <w:t xml:space="preserve"> on average</w:t>
      </w:r>
      <w:r w:rsidR="01F18547">
        <w:t xml:space="preserve">, which is </w:t>
      </w:r>
      <w:r w:rsidR="001E1CC3">
        <w:t>31.9</w:t>
      </w:r>
      <w:r w:rsidR="00730ADE">
        <w:t> percent</w:t>
      </w:r>
      <w:r w:rsidR="01F18547">
        <w:t xml:space="preserve"> lower than the 25.7</w:t>
      </w:r>
      <w:r w:rsidR="00730ADE">
        <w:t> percent</w:t>
      </w:r>
      <w:r w:rsidR="01F18547">
        <w:t xml:space="preserve"> increase initially requested by the utility. </w:t>
      </w:r>
      <w:r w:rsidR="00B762CF">
        <w:t>The revenue requirement increase authorized by this decision will largely provide for the funding of PacifiCorp’s wildfire mitigation p</w:t>
      </w:r>
      <w:r w:rsidR="00C77224">
        <w:t>rograms</w:t>
      </w:r>
      <w:r w:rsidR="00B762CF">
        <w:t>.</w:t>
      </w:r>
    </w:p>
    <w:p w:rsidR="00343E5C" w:rsidP="2554E4E4" w:rsidRDefault="01F18547" w14:paraId="47A18324" w14:textId="09E6F1FC">
      <w:pPr>
        <w:pStyle w:val="Standard"/>
      </w:pPr>
      <w:r>
        <w:t xml:space="preserve">This decision </w:t>
      </w:r>
      <w:r w:rsidR="00630532">
        <w:t>adopts PacifiCorp’s Interjurisdictional Cost Allocation Methodology and its proposal to continue its use of its ECAC and PTAM to true-up costs annually.</w:t>
      </w:r>
      <w:r w:rsidR="00EA0E29">
        <w:t xml:space="preserve"> It authorizes PacifiCorp to increase its CARE discount to 25</w:t>
      </w:r>
      <w:r w:rsidR="00730ADE">
        <w:t> percent</w:t>
      </w:r>
      <w:r w:rsidR="00EA0E29">
        <w:t xml:space="preserve"> and adopts its modified TOU tariffs, including the new mandatory TOU requirements for certain general service customers. </w:t>
      </w:r>
    </w:p>
    <w:p w:rsidR="00F43AD0" w:rsidP="00FD11EB" w:rsidRDefault="005C4660" w14:paraId="6E2790C9" w14:textId="14A4959B">
      <w:pPr>
        <w:pStyle w:val="Standard"/>
        <w:spacing w:after="120"/>
      </w:pPr>
      <w:r>
        <w:t xml:space="preserve">It </w:t>
      </w:r>
      <w:r w:rsidR="00174E03">
        <w:t xml:space="preserve">adopts </w:t>
      </w:r>
      <w:r>
        <w:t>PacifiCorp</w:t>
      </w:r>
      <w:r w:rsidR="00174E03">
        <w:t xml:space="preserve">’s proposed </w:t>
      </w:r>
      <w:r>
        <w:t>capital structure</w:t>
      </w:r>
      <w:r w:rsidR="00174E03">
        <w:t>, its uncontested cost of debt</w:t>
      </w:r>
      <w:r w:rsidR="000A3CEC">
        <w:t xml:space="preserve"> and preferred stock</w:t>
      </w:r>
      <w:r w:rsidR="00174E03">
        <w:t>, and directs PacifiCorp to retain</w:t>
      </w:r>
      <w:r>
        <w:t xml:space="preserve"> its existing 10</w:t>
      </w:r>
      <w:r w:rsidR="00730ADE">
        <w:t> percent</w:t>
      </w:r>
      <w:r>
        <w:t xml:space="preserve"> ROE, rather than its proposed 10.5</w:t>
      </w:r>
      <w:r w:rsidR="00730ADE">
        <w:t> percent</w:t>
      </w:r>
      <w:r>
        <w:t xml:space="preserve"> ROE</w:t>
      </w:r>
      <w:r w:rsidR="00EA0E29">
        <w:t>, when implementing the rate increase adopted in this decision</w:t>
      </w:r>
      <w:r w:rsidR="00EB2DA7">
        <w:t>.</w:t>
      </w:r>
      <w:r w:rsidR="00174E03">
        <w:t xml:space="preserve"> As a result, PacifiCorp’s adopted rate of return is 7.</w:t>
      </w:r>
      <w:r w:rsidR="00AE6E6D">
        <w:t>3</w:t>
      </w:r>
      <w:r w:rsidR="001E1CC3">
        <w:t>4 percent</w:t>
      </w:r>
      <w:r w:rsidR="00F43AD0">
        <w:t>:</w:t>
      </w:r>
    </w:p>
    <w:tbl>
      <w:tblPr>
        <w:tblStyle w:val="TableGrid"/>
        <w:tblW w:w="8640" w:type="dxa"/>
        <w:jc w:val="center"/>
        <w:tblLayout w:type="fixed"/>
        <w:tblLook w:val="04A0" w:firstRow="1" w:lastRow="0" w:firstColumn="1" w:lastColumn="0" w:noHBand="0" w:noVBand="1"/>
      </w:tblPr>
      <w:tblGrid>
        <w:gridCol w:w="3055"/>
        <w:gridCol w:w="1800"/>
        <w:gridCol w:w="2070"/>
        <w:gridCol w:w="1715"/>
      </w:tblGrid>
      <w:tr w:rsidRPr="003D3AF7" w:rsidR="00F43AD0" w:rsidTr="00FD11EB" w14:paraId="642F355A" w14:textId="77777777">
        <w:trPr>
          <w:cantSplit/>
          <w:trHeight w:val="300"/>
          <w:tblHeader/>
          <w:jc w:val="center"/>
        </w:trPr>
        <w:tc>
          <w:tcPr>
            <w:tcW w:w="3055" w:type="dxa"/>
            <w:noWrap/>
            <w:hideMark/>
          </w:tcPr>
          <w:p w:rsidRPr="003D3AF7" w:rsidR="00F43AD0" w:rsidP="00FD11EB" w:rsidRDefault="00F43AD0" w14:paraId="08C0DAED" w14:textId="0938177D">
            <w:pPr>
              <w:pStyle w:val="Standard"/>
              <w:keepNext/>
              <w:spacing w:before="40" w:after="40" w:line="240" w:lineRule="auto"/>
              <w:ind w:firstLine="0"/>
              <w:rPr>
                <w:sz w:val="23"/>
                <w:szCs w:val="23"/>
              </w:rPr>
            </w:pPr>
          </w:p>
        </w:tc>
        <w:tc>
          <w:tcPr>
            <w:tcW w:w="1800" w:type="dxa"/>
            <w:noWrap/>
            <w:hideMark/>
          </w:tcPr>
          <w:p w:rsidRPr="003D3AF7" w:rsidR="00F43AD0" w:rsidP="00FD11EB" w:rsidRDefault="00F43AD0" w14:paraId="699B7C01" w14:textId="77777777">
            <w:pPr>
              <w:pStyle w:val="Standard"/>
              <w:keepNext/>
              <w:spacing w:before="40" w:after="40" w:line="240" w:lineRule="auto"/>
              <w:ind w:firstLine="0"/>
              <w:jc w:val="center"/>
              <w:rPr>
                <w:b/>
                <w:bCs/>
                <w:sz w:val="23"/>
                <w:szCs w:val="23"/>
              </w:rPr>
            </w:pPr>
            <w:r w:rsidRPr="003D3AF7">
              <w:rPr>
                <w:b/>
                <w:bCs/>
                <w:sz w:val="23"/>
                <w:szCs w:val="23"/>
              </w:rPr>
              <w:t>Cost Factor</w:t>
            </w:r>
          </w:p>
        </w:tc>
        <w:tc>
          <w:tcPr>
            <w:tcW w:w="2070" w:type="dxa"/>
            <w:hideMark/>
          </w:tcPr>
          <w:p w:rsidRPr="003D3AF7" w:rsidR="00F43AD0" w:rsidP="00FD11EB" w:rsidRDefault="00F43AD0" w14:paraId="0CF11E43" w14:textId="3044CCBA">
            <w:pPr>
              <w:pStyle w:val="Standard"/>
              <w:keepNext/>
              <w:spacing w:before="40" w:after="40" w:line="240" w:lineRule="auto"/>
              <w:ind w:firstLine="0"/>
              <w:jc w:val="center"/>
              <w:rPr>
                <w:b/>
                <w:bCs/>
                <w:sz w:val="23"/>
                <w:szCs w:val="23"/>
              </w:rPr>
            </w:pPr>
            <w:r w:rsidRPr="003D3AF7">
              <w:rPr>
                <w:b/>
                <w:bCs/>
                <w:sz w:val="23"/>
                <w:szCs w:val="23"/>
              </w:rPr>
              <w:t>Capital Structure</w:t>
            </w:r>
            <w:r w:rsidRPr="003D3AF7" w:rsidR="00033F39">
              <w:rPr>
                <w:b/>
                <w:bCs/>
                <w:sz w:val="23"/>
                <w:szCs w:val="23"/>
              </w:rPr>
              <w:t xml:space="preserve"> </w:t>
            </w:r>
            <w:r w:rsidRPr="003D3AF7">
              <w:rPr>
                <w:b/>
                <w:bCs/>
                <w:sz w:val="23"/>
                <w:szCs w:val="23"/>
              </w:rPr>
              <w:t>Weight</w:t>
            </w:r>
          </w:p>
        </w:tc>
        <w:tc>
          <w:tcPr>
            <w:tcW w:w="1715" w:type="dxa"/>
            <w:noWrap/>
            <w:hideMark/>
          </w:tcPr>
          <w:p w:rsidRPr="003D3AF7" w:rsidR="00F43AD0" w:rsidP="00FD11EB" w:rsidRDefault="00F43AD0" w14:paraId="1922B966" w14:textId="77777777">
            <w:pPr>
              <w:pStyle w:val="Standard"/>
              <w:keepNext/>
              <w:spacing w:before="40" w:after="40" w:line="240" w:lineRule="auto"/>
              <w:ind w:firstLine="0"/>
              <w:jc w:val="center"/>
              <w:rPr>
                <w:b/>
                <w:bCs/>
                <w:sz w:val="23"/>
                <w:szCs w:val="23"/>
              </w:rPr>
            </w:pPr>
            <w:r w:rsidRPr="003D3AF7">
              <w:rPr>
                <w:b/>
                <w:bCs/>
                <w:sz w:val="23"/>
                <w:szCs w:val="23"/>
              </w:rPr>
              <w:t>Weighted Cost</w:t>
            </w:r>
          </w:p>
        </w:tc>
      </w:tr>
      <w:tr w:rsidRPr="003D3AF7" w:rsidR="00F43AD0" w:rsidTr="00FD11EB" w14:paraId="67AE7C6F" w14:textId="77777777">
        <w:trPr>
          <w:cantSplit/>
          <w:trHeight w:val="288"/>
          <w:jc w:val="center"/>
        </w:trPr>
        <w:tc>
          <w:tcPr>
            <w:tcW w:w="3055" w:type="dxa"/>
            <w:noWrap/>
            <w:hideMark/>
          </w:tcPr>
          <w:p w:rsidRPr="003D3AF7" w:rsidR="00F43AD0" w:rsidP="00FD11EB" w:rsidRDefault="00F43AD0" w14:paraId="021E997D" w14:textId="77777777">
            <w:pPr>
              <w:pStyle w:val="Standard"/>
              <w:spacing w:before="40" w:after="40" w:line="240" w:lineRule="auto"/>
              <w:ind w:firstLine="0"/>
              <w:rPr>
                <w:sz w:val="23"/>
                <w:szCs w:val="23"/>
              </w:rPr>
            </w:pPr>
            <w:r w:rsidRPr="003D3AF7">
              <w:rPr>
                <w:sz w:val="23"/>
                <w:szCs w:val="23"/>
              </w:rPr>
              <w:t>Return on Long-Term Debt</w:t>
            </w:r>
          </w:p>
        </w:tc>
        <w:tc>
          <w:tcPr>
            <w:tcW w:w="1800" w:type="dxa"/>
            <w:noWrap/>
            <w:hideMark/>
          </w:tcPr>
          <w:p w:rsidRPr="003D3AF7" w:rsidR="00F43AD0" w:rsidP="00FD11EB" w:rsidRDefault="00F43AD0" w14:paraId="6AF2F114" w14:textId="77777777">
            <w:pPr>
              <w:pStyle w:val="Standard"/>
              <w:spacing w:before="40" w:after="40" w:line="240" w:lineRule="auto"/>
              <w:ind w:firstLine="0"/>
              <w:jc w:val="center"/>
              <w:rPr>
                <w:sz w:val="23"/>
                <w:szCs w:val="23"/>
              </w:rPr>
            </w:pPr>
            <w:r w:rsidRPr="003D3AF7">
              <w:rPr>
                <w:sz w:val="23"/>
                <w:szCs w:val="23"/>
              </w:rPr>
              <w:t>4.41%</w:t>
            </w:r>
          </w:p>
        </w:tc>
        <w:tc>
          <w:tcPr>
            <w:tcW w:w="2070" w:type="dxa"/>
            <w:noWrap/>
            <w:hideMark/>
          </w:tcPr>
          <w:p w:rsidRPr="003D3AF7" w:rsidR="00F43AD0" w:rsidP="00FD11EB" w:rsidRDefault="00F43AD0" w14:paraId="05176D9B" w14:textId="77777777">
            <w:pPr>
              <w:pStyle w:val="Standard"/>
              <w:spacing w:before="40" w:after="40" w:line="240" w:lineRule="auto"/>
              <w:ind w:firstLine="0"/>
              <w:jc w:val="center"/>
              <w:rPr>
                <w:sz w:val="23"/>
                <w:szCs w:val="23"/>
              </w:rPr>
            </w:pPr>
            <w:r w:rsidRPr="003D3AF7">
              <w:rPr>
                <w:sz w:val="23"/>
                <w:szCs w:val="23"/>
              </w:rPr>
              <w:t>47.74%</w:t>
            </w:r>
          </w:p>
        </w:tc>
        <w:tc>
          <w:tcPr>
            <w:tcW w:w="1715" w:type="dxa"/>
            <w:noWrap/>
            <w:hideMark/>
          </w:tcPr>
          <w:p w:rsidRPr="003D3AF7" w:rsidR="00F43AD0" w:rsidP="00FD11EB" w:rsidRDefault="00F43AD0" w14:paraId="6ED4758C" w14:textId="77777777">
            <w:pPr>
              <w:pStyle w:val="Standard"/>
              <w:spacing w:before="40" w:after="40" w:line="240" w:lineRule="auto"/>
              <w:ind w:firstLine="0"/>
              <w:jc w:val="center"/>
              <w:rPr>
                <w:sz w:val="23"/>
                <w:szCs w:val="23"/>
              </w:rPr>
            </w:pPr>
            <w:r w:rsidRPr="003D3AF7">
              <w:rPr>
                <w:sz w:val="23"/>
                <w:szCs w:val="23"/>
              </w:rPr>
              <w:t>2.10%</w:t>
            </w:r>
          </w:p>
        </w:tc>
      </w:tr>
      <w:tr w:rsidRPr="003D3AF7" w:rsidR="00F43AD0" w:rsidTr="00FD11EB" w14:paraId="49DFDE59" w14:textId="77777777">
        <w:trPr>
          <w:cantSplit/>
          <w:trHeight w:val="288"/>
          <w:jc w:val="center"/>
        </w:trPr>
        <w:tc>
          <w:tcPr>
            <w:tcW w:w="3055" w:type="dxa"/>
            <w:noWrap/>
            <w:hideMark/>
          </w:tcPr>
          <w:p w:rsidRPr="003D3AF7" w:rsidR="00F43AD0" w:rsidP="00FD11EB" w:rsidRDefault="00F43AD0" w14:paraId="2BE8A2D7" w14:textId="77777777">
            <w:pPr>
              <w:pStyle w:val="Standard"/>
              <w:spacing w:before="40" w:after="40" w:line="240" w:lineRule="auto"/>
              <w:ind w:firstLine="0"/>
              <w:rPr>
                <w:sz w:val="23"/>
                <w:szCs w:val="23"/>
              </w:rPr>
            </w:pPr>
            <w:r w:rsidRPr="003D3AF7">
              <w:rPr>
                <w:sz w:val="23"/>
                <w:szCs w:val="23"/>
              </w:rPr>
              <w:t>Return on Preferred Stock</w:t>
            </w:r>
          </w:p>
        </w:tc>
        <w:tc>
          <w:tcPr>
            <w:tcW w:w="1800" w:type="dxa"/>
            <w:noWrap/>
            <w:hideMark/>
          </w:tcPr>
          <w:p w:rsidRPr="003D3AF7" w:rsidR="00F43AD0" w:rsidP="00FD11EB" w:rsidRDefault="00F43AD0" w14:paraId="16BBD6E4" w14:textId="77777777">
            <w:pPr>
              <w:pStyle w:val="Standard"/>
              <w:spacing w:before="40" w:after="40" w:line="240" w:lineRule="auto"/>
              <w:ind w:firstLine="0"/>
              <w:jc w:val="center"/>
              <w:rPr>
                <w:sz w:val="23"/>
                <w:szCs w:val="23"/>
              </w:rPr>
            </w:pPr>
            <w:r w:rsidRPr="003D3AF7">
              <w:rPr>
                <w:sz w:val="23"/>
                <w:szCs w:val="23"/>
              </w:rPr>
              <w:t>6.75%</w:t>
            </w:r>
          </w:p>
        </w:tc>
        <w:tc>
          <w:tcPr>
            <w:tcW w:w="2070" w:type="dxa"/>
            <w:noWrap/>
            <w:hideMark/>
          </w:tcPr>
          <w:p w:rsidRPr="003D3AF7" w:rsidR="00F43AD0" w:rsidP="00FD11EB" w:rsidRDefault="00F43AD0" w14:paraId="3F2FB8ED" w14:textId="77777777">
            <w:pPr>
              <w:pStyle w:val="Standard"/>
              <w:spacing w:before="40" w:after="40" w:line="240" w:lineRule="auto"/>
              <w:ind w:firstLine="0"/>
              <w:jc w:val="center"/>
              <w:rPr>
                <w:sz w:val="23"/>
                <w:szCs w:val="23"/>
              </w:rPr>
            </w:pPr>
            <w:r w:rsidRPr="003D3AF7">
              <w:rPr>
                <w:sz w:val="23"/>
                <w:szCs w:val="23"/>
              </w:rPr>
              <w:t>0.01%</w:t>
            </w:r>
          </w:p>
        </w:tc>
        <w:tc>
          <w:tcPr>
            <w:tcW w:w="1715" w:type="dxa"/>
            <w:noWrap/>
            <w:hideMark/>
          </w:tcPr>
          <w:p w:rsidRPr="003D3AF7" w:rsidR="00F43AD0" w:rsidP="00FD11EB" w:rsidRDefault="00F43AD0" w14:paraId="24D63C9B" w14:textId="77777777">
            <w:pPr>
              <w:pStyle w:val="Standard"/>
              <w:spacing w:before="40" w:after="40" w:line="240" w:lineRule="auto"/>
              <w:ind w:firstLine="0"/>
              <w:jc w:val="center"/>
              <w:rPr>
                <w:sz w:val="23"/>
                <w:szCs w:val="23"/>
              </w:rPr>
            </w:pPr>
            <w:r w:rsidRPr="003D3AF7">
              <w:rPr>
                <w:sz w:val="23"/>
                <w:szCs w:val="23"/>
              </w:rPr>
              <w:t>0.00%</w:t>
            </w:r>
          </w:p>
        </w:tc>
      </w:tr>
      <w:tr w:rsidRPr="003D3AF7" w:rsidR="00F43AD0" w:rsidTr="00FD11EB" w14:paraId="60781A6E" w14:textId="77777777">
        <w:trPr>
          <w:cantSplit/>
          <w:trHeight w:val="288"/>
          <w:jc w:val="center"/>
        </w:trPr>
        <w:tc>
          <w:tcPr>
            <w:tcW w:w="3055" w:type="dxa"/>
            <w:noWrap/>
            <w:hideMark/>
          </w:tcPr>
          <w:p w:rsidRPr="003D3AF7" w:rsidR="00F43AD0" w:rsidP="00FD11EB" w:rsidRDefault="00F43AD0" w14:paraId="2C61E695" w14:textId="77777777">
            <w:pPr>
              <w:pStyle w:val="Standard"/>
              <w:spacing w:before="40" w:after="40" w:line="240" w:lineRule="auto"/>
              <w:ind w:firstLine="0"/>
              <w:rPr>
                <w:sz w:val="23"/>
                <w:szCs w:val="23"/>
              </w:rPr>
            </w:pPr>
            <w:r w:rsidRPr="003D3AF7">
              <w:rPr>
                <w:sz w:val="23"/>
                <w:szCs w:val="23"/>
              </w:rPr>
              <w:t>Return on Equity</w:t>
            </w:r>
          </w:p>
        </w:tc>
        <w:tc>
          <w:tcPr>
            <w:tcW w:w="1800" w:type="dxa"/>
            <w:noWrap/>
            <w:hideMark/>
          </w:tcPr>
          <w:p w:rsidRPr="003D3AF7" w:rsidR="00F43AD0" w:rsidP="00FD11EB" w:rsidRDefault="00F43AD0" w14:paraId="42D7AB56" w14:textId="77777777">
            <w:pPr>
              <w:pStyle w:val="Standard"/>
              <w:spacing w:before="40" w:after="40" w:line="240" w:lineRule="auto"/>
              <w:ind w:firstLine="0"/>
              <w:jc w:val="center"/>
              <w:rPr>
                <w:sz w:val="23"/>
                <w:szCs w:val="23"/>
              </w:rPr>
            </w:pPr>
            <w:r w:rsidRPr="003D3AF7">
              <w:rPr>
                <w:sz w:val="23"/>
                <w:szCs w:val="23"/>
              </w:rPr>
              <w:t>10.00%</w:t>
            </w:r>
          </w:p>
        </w:tc>
        <w:tc>
          <w:tcPr>
            <w:tcW w:w="2070" w:type="dxa"/>
            <w:noWrap/>
            <w:hideMark/>
          </w:tcPr>
          <w:p w:rsidRPr="003D3AF7" w:rsidR="00F43AD0" w:rsidP="00FD11EB" w:rsidRDefault="00F43AD0" w14:paraId="66D4C779" w14:textId="77777777">
            <w:pPr>
              <w:pStyle w:val="Standard"/>
              <w:spacing w:before="40" w:after="40" w:line="240" w:lineRule="auto"/>
              <w:ind w:firstLine="0"/>
              <w:jc w:val="center"/>
              <w:rPr>
                <w:sz w:val="23"/>
                <w:szCs w:val="23"/>
              </w:rPr>
            </w:pPr>
            <w:r w:rsidRPr="003D3AF7">
              <w:rPr>
                <w:sz w:val="23"/>
                <w:szCs w:val="23"/>
              </w:rPr>
              <w:t>52.25%</w:t>
            </w:r>
          </w:p>
        </w:tc>
        <w:tc>
          <w:tcPr>
            <w:tcW w:w="1715" w:type="dxa"/>
            <w:noWrap/>
            <w:hideMark/>
          </w:tcPr>
          <w:p w:rsidRPr="003D3AF7" w:rsidR="00F43AD0" w:rsidP="00FD11EB" w:rsidRDefault="00F43AD0" w14:paraId="0BF566DE" w14:textId="77777777">
            <w:pPr>
              <w:pStyle w:val="Standard"/>
              <w:spacing w:before="40" w:after="40" w:line="240" w:lineRule="auto"/>
              <w:ind w:firstLine="0"/>
              <w:jc w:val="center"/>
              <w:rPr>
                <w:sz w:val="23"/>
                <w:szCs w:val="23"/>
              </w:rPr>
            </w:pPr>
            <w:r w:rsidRPr="003D3AF7">
              <w:rPr>
                <w:sz w:val="23"/>
                <w:szCs w:val="23"/>
              </w:rPr>
              <w:t>5.23%</w:t>
            </w:r>
          </w:p>
        </w:tc>
      </w:tr>
      <w:tr w:rsidRPr="003D3AF7" w:rsidR="00F43AD0" w:rsidTr="00FD11EB" w14:paraId="3EF9F447" w14:textId="77777777">
        <w:trPr>
          <w:cantSplit/>
          <w:trHeight w:val="300"/>
          <w:jc w:val="center"/>
        </w:trPr>
        <w:tc>
          <w:tcPr>
            <w:tcW w:w="3055" w:type="dxa"/>
            <w:noWrap/>
            <w:hideMark/>
          </w:tcPr>
          <w:p w:rsidRPr="003D3AF7" w:rsidR="00F43AD0" w:rsidP="00FD11EB" w:rsidRDefault="00F43AD0" w14:paraId="7A9AC83F" w14:textId="77777777">
            <w:pPr>
              <w:pStyle w:val="Standard"/>
              <w:spacing w:before="40" w:after="40" w:line="240" w:lineRule="auto"/>
              <w:ind w:firstLine="0"/>
              <w:rPr>
                <w:sz w:val="23"/>
                <w:szCs w:val="23"/>
              </w:rPr>
            </w:pPr>
            <w:r w:rsidRPr="003D3AF7">
              <w:rPr>
                <w:sz w:val="23"/>
                <w:szCs w:val="23"/>
              </w:rPr>
              <w:t>Rate of Return on Rate Base</w:t>
            </w:r>
          </w:p>
        </w:tc>
        <w:tc>
          <w:tcPr>
            <w:tcW w:w="1800" w:type="dxa"/>
            <w:noWrap/>
            <w:hideMark/>
          </w:tcPr>
          <w:p w:rsidRPr="003D3AF7" w:rsidR="00F43AD0" w:rsidP="00FD11EB" w:rsidRDefault="00F43AD0" w14:paraId="1F01145F" w14:textId="32BC97E7">
            <w:pPr>
              <w:pStyle w:val="Standard"/>
              <w:spacing w:before="40" w:after="40" w:line="240" w:lineRule="auto"/>
              <w:ind w:firstLine="0"/>
              <w:jc w:val="center"/>
              <w:rPr>
                <w:sz w:val="23"/>
                <w:szCs w:val="23"/>
              </w:rPr>
            </w:pPr>
          </w:p>
        </w:tc>
        <w:tc>
          <w:tcPr>
            <w:tcW w:w="2070" w:type="dxa"/>
            <w:noWrap/>
            <w:hideMark/>
          </w:tcPr>
          <w:p w:rsidRPr="003D3AF7" w:rsidR="00F43AD0" w:rsidP="00FD11EB" w:rsidRDefault="00F43AD0" w14:paraId="0777412E" w14:textId="081C542F">
            <w:pPr>
              <w:pStyle w:val="Standard"/>
              <w:spacing w:before="40" w:after="40" w:line="240" w:lineRule="auto"/>
              <w:ind w:firstLine="0"/>
              <w:jc w:val="center"/>
              <w:rPr>
                <w:sz w:val="23"/>
                <w:szCs w:val="23"/>
              </w:rPr>
            </w:pPr>
          </w:p>
        </w:tc>
        <w:tc>
          <w:tcPr>
            <w:tcW w:w="1715" w:type="dxa"/>
            <w:noWrap/>
            <w:hideMark/>
          </w:tcPr>
          <w:p w:rsidRPr="003D3AF7" w:rsidR="00F43AD0" w:rsidP="00FD11EB" w:rsidRDefault="00F43AD0" w14:paraId="050C2BD3" w14:textId="0E44CF71">
            <w:pPr>
              <w:pStyle w:val="Standard"/>
              <w:spacing w:before="40" w:after="40" w:line="240" w:lineRule="auto"/>
              <w:ind w:firstLine="0"/>
              <w:jc w:val="center"/>
              <w:rPr>
                <w:b/>
                <w:bCs/>
                <w:sz w:val="23"/>
                <w:szCs w:val="23"/>
              </w:rPr>
            </w:pPr>
            <w:r w:rsidRPr="003D3AF7">
              <w:rPr>
                <w:b/>
                <w:bCs/>
                <w:sz w:val="23"/>
                <w:szCs w:val="23"/>
              </w:rPr>
              <w:t>7.3</w:t>
            </w:r>
            <w:r w:rsidR="001E1CC3">
              <w:rPr>
                <w:b/>
                <w:bCs/>
                <w:sz w:val="23"/>
                <w:szCs w:val="23"/>
              </w:rPr>
              <w:t>4</w:t>
            </w:r>
            <w:r w:rsidRPr="003D3AF7">
              <w:rPr>
                <w:b/>
                <w:bCs/>
                <w:sz w:val="23"/>
                <w:szCs w:val="23"/>
              </w:rPr>
              <w:t>%</w:t>
            </w:r>
          </w:p>
        </w:tc>
      </w:tr>
    </w:tbl>
    <w:p w:rsidR="005C4660" w:rsidP="00033F39" w:rsidRDefault="00F43AD0" w14:paraId="6B618E0A" w14:textId="14DBFFE8">
      <w:pPr>
        <w:pStyle w:val="Standard"/>
        <w:spacing w:before="240"/>
      </w:pPr>
      <w:r>
        <w:t xml:space="preserve">This decision </w:t>
      </w:r>
      <w:r w:rsidR="00630532">
        <w:t xml:space="preserve">also directs PacifiCorp to remove the capital addition costs associated with its Foote Creek </w:t>
      </w:r>
      <w:r w:rsidR="00CA6EC2">
        <w:t xml:space="preserve">II-IV </w:t>
      </w:r>
      <w:r w:rsidR="00630532">
        <w:t>Project</w:t>
      </w:r>
      <w:r w:rsidR="00B762CF">
        <w:t xml:space="preserve"> from its base revenue requirement for TY 2023,</w:t>
      </w:r>
      <w:r w:rsidR="00630532">
        <w:t xml:space="preserve"> and instead seek recovery of them </w:t>
      </w:r>
      <w:r w:rsidR="00B762CF">
        <w:t xml:space="preserve">through </w:t>
      </w:r>
      <w:r w:rsidR="00630532">
        <w:t xml:space="preserve">a PTAM filing in 2024. </w:t>
      </w:r>
    </w:p>
    <w:p w:rsidR="001E1CC3" w:rsidP="001E1CC3" w:rsidRDefault="00630532" w14:paraId="2BB9B41B" w14:textId="56F52758">
      <w:pPr>
        <w:pStyle w:val="Standard"/>
      </w:pPr>
      <w:r>
        <w:t xml:space="preserve">Finally, it directs PacifiCorp to spread recovery of the amortization expenses associated with its Cholla Unit 4 decommissioning over </w:t>
      </w:r>
      <w:r w:rsidR="00F22ACC">
        <w:t>six</w:t>
      </w:r>
      <w:r>
        <w:t xml:space="preserve"> years</w:t>
      </w:r>
      <w:r w:rsidR="001E1CC3">
        <w:t>,</w:t>
      </w:r>
      <w:r w:rsidR="0096620E">
        <w:t xml:space="preserve"> </w:t>
      </w:r>
      <w:r>
        <w:t xml:space="preserve">rather than over </w:t>
      </w:r>
      <w:r w:rsidR="00EA0E29">
        <w:t>three</w:t>
      </w:r>
      <w:r>
        <w:t xml:space="preserve"> years, to mitigate the rate impacts to California electric customers.</w:t>
      </w:r>
      <w:r w:rsidR="001E1CC3">
        <w:t xml:space="preserve">  </w:t>
      </w:r>
    </w:p>
    <w:p w:rsidR="001E1CC3" w:rsidP="001E1CC3" w:rsidRDefault="001E1CC3" w14:paraId="5F8450E9" w14:textId="44F2FE11">
      <w:pPr>
        <w:pStyle w:val="Standard"/>
      </w:pPr>
      <w:r>
        <w:t>Therefore, PacifiCorp’s approved increases for T</w:t>
      </w:r>
      <w:r w:rsidR="007E0283">
        <w:t>Y</w:t>
      </w:r>
      <w:r>
        <w:t xml:space="preserve"> 2023 are:</w:t>
      </w:r>
    </w:p>
    <w:tbl>
      <w:tblPr>
        <w:tblStyle w:val="TableGrid"/>
        <w:tblW w:w="0" w:type="auto"/>
        <w:tblInd w:w="-185" w:type="dxa"/>
        <w:tblLook w:val="04A0" w:firstRow="1" w:lastRow="0" w:firstColumn="1" w:lastColumn="0" w:noHBand="0" w:noVBand="1"/>
      </w:tblPr>
      <w:tblGrid>
        <w:gridCol w:w="2700"/>
        <w:gridCol w:w="1725"/>
        <w:gridCol w:w="2325"/>
        <w:gridCol w:w="2610"/>
      </w:tblGrid>
      <w:tr w:rsidRPr="00F43AD0" w:rsidR="001E1CC3" w:rsidTr="00777F20" w14:paraId="72008D41" w14:textId="77777777">
        <w:trPr>
          <w:trHeight w:val="300"/>
        </w:trPr>
        <w:tc>
          <w:tcPr>
            <w:tcW w:w="2700" w:type="dxa"/>
            <w:noWrap/>
            <w:hideMark/>
          </w:tcPr>
          <w:p w:rsidRPr="00F43AD0" w:rsidR="001E1CC3" w:rsidP="00777F20" w:rsidRDefault="001E1CC3" w14:paraId="7220E485" w14:textId="77777777">
            <w:pPr>
              <w:pStyle w:val="Standard"/>
              <w:ind w:firstLine="0"/>
            </w:pPr>
          </w:p>
        </w:tc>
        <w:tc>
          <w:tcPr>
            <w:tcW w:w="1725" w:type="dxa"/>
            <w:noWrap/>
          </w:tcPr>
          <w:p w:rsidR="001E1CC3" w:rsidP="00777F20" w:rsidRDefault="001E1CC3" w14:paraId="72EBA60B" w14:textId="77777777">
            <w:pPr>
              <w:pStyle w:val="Standard"/>
              <w:ind w:firstLine="0"/>
              <w:jc w:val="center"/>
              <w:rPr>
                <w:b/>
                <w:bCs/>
              </w:rPr>
            </w:pPr>
            <w:r>
              <w:rPr>
                <w:b/>
                <w:bCs/>
              </w:rPr>
              <w:t>Requested</w:t>
            </w:r>
          </w:p>
          <w:p w:rsidRPr="00F43AD0" w:rsidR="001E1CC3" w:rsidP="00777F20" w:rsidRDefault="001E1CC3" w14:paraId="554DEB35" w14:textId="77777777">
            <w:pPr>
              <w:pStyle w:val="Standard"/>
              <w:ind w:firstLine="0"/>
              <w:jc w:val="center"/>
              <w:rPr>
                <w:b/>
                <w:bCs/>
              </w:rPr>
            </w:pPr>
            <w:r>
              <w:rPr>
                <w:b/>
                <w:bCs/>
              </w:rPr>
              <w:t>($ millions)</w:t>
            </w:r>
          </w:p>
        </w:tc>
        <w:tc>
          <w:tcPr>
            <w:tcW w:w="2325" w:type="dxa"/>
          </w:tcPr>
          <w:p w:rsidR="001E1CC3" w:rsidP="00777F20" w:rsidRDefault="001E1CC3" w14:paraId="294529CC" w14:textId="77777777">
            <w:pPr>
              <w:pStyle w:val="Standard"/>
              <w:ind w:firstLine="0"/>
              <w:jc w:val="center"/>
              <w:rPr>
                <w:b/>
                <w:bCs/>
              </w:rPr>
            </w:pPr>
            <w:r>
              <w:rPr>
                <w:b/>
                <w:bCs/>
              </w:rPr>
              <w:t>Approved</w:t>
            </w:r>
          </w:p>
          <w:p w:rsidRPr="00F43AD0" w:rsidR="001E1CC3" w:rsidP="00777F20" w:rsidRDefault="001E1CC3" w14:paraId="5D612CE8" w14:textId="77777777">
            <w:pPr>
              <w:pStyle w:val="Standard"/>
              <w:ind w:firstLine="0"/>
              <w:jc w:val="center"/>
              <w:rPr>
                <w:b/>
                <w:bCs/>
              </w:rPr>
            </w:pPr>
            <w:r>
              <w:rPr>
                <w:b/>
                <w:bCs/>
              </w:rPr>
              <w:t>($ millions)</w:t>
            </w:r>
          </w:p>
        </w:tc>
        <w:tc>
          <w:tcPr>
            <w:tcW w:w="2610" w:type="dxa"/>
            <w:noWrap/>
          </w:tcPr>
          <w:p w:rsidRPr="00F43AD0" w:rsidR="001E1CC3" w:rsidP="00777F20" w:rsidRDefault="001E1CC3" w14:paraId="7404AA27" w14:textId="77777777">
            <w:pPr>
              <w:pStyle w:val="Standard"/>
              <w:ind w:firstLine="0"/>
              <w:jc w:val="center"/>
              <w:rPr>
                <w:b/>
                <w:bCs/>
              </w:rPr>
            </w:pPr>
            <w:r>
              <w:rPr>
                <w:b/>
                <w:bCs/>
              </w:rPr>
              <w:t>% Difference</w:t>
            </w:r>
          </w:p>
        </w:tc>
      </w:tr>
      <w:tr w:rsidRPr="00F43AD0" w:rsidR="001E1CC3" w:rsidTr="00777F20" w14:paraId="6A44F658" w14:textId="77777777">
        <w:trPr>
          <w:trHeight w:val="288"/>
        </w:trPr>
        <w:tc>
          <w:tcPr>
            <w:tcW w:w="2700" w:type="dxa"/>
            <w:noWrap/>
          </w:tcPr>
          <w:p w:rsidRPr="00F43AD0" w:rsidR="001E1CC3" w:rsidP="00777F20" w:rsidRDefault="001E1CC3" w14:paraId="1A37F6D1" w14:textId="77777777">
            <w:pPr>
              <w:pStyle w:val="Standard"/>
              <w:ind w:firstLine="0"/>
            </w:pPr>
            <w:r>
              <w:t>Vegetation O&amp;M</w:t>
            </w:r>
          </w:p>
        </w:tc>
        <w:tc>
          <w:tcPr>
            <w:tcW w:w="1725" w:type="dxa"/>
            <w:noWrap/>
          </w:tcPr>
          <w:p w:rsidRPr="00F43AD0" w:rsidR="001E1CC3" w:rsidP="00777F20" w:rsidRDefault="001E1CC3" w14:paraId="700481AC" w14:textId="77777777">
            <w:pPr>
              <w:pStyle w:val="Standard"/>
            </w:pPr>
            <w:r>
              <w:t>8.5</w:t>
            </w:r>
          </w:p>
        </w:tc>
        <w:tc>
          <w:tcPr>
            <w:tcW w:w="2325" w:type="dxa"/>
            <w:noWrap/>
          </w:tcPr>
          <w:p w:rsidRPr="00F43AD0" w:rsidR="001E1CC3" w:rsidP="00777F20" w:rsidRDefault="001E1CC3" w14:paraId="77EF83D7" w14:textId="77777777">
            <w:pPr>
              <w:pStyle w:val="Standard"/>
            </w:pPr>
            <w:r>
              <w:t>8.5</w:t>
            </w:r>
          </w:p>
        </w:tc>
        <w:tc>
          <w:tcPr>
            <w:tcW w:w="2610" w:type="dxa"/>
            <w:noWrap/>
          </w:tcPr>
          <w:p w:rsidRPr="00F43AD0" w:rsidR="001E1CC3" w:rsidP="00777F20" w:rsidRDefault="001E1CC3" w14:paraId="3AA1BFB9" w14:textId="77777777">
            <w:pPr>
              <w:pStyle w:val="Standard"/>
            </w:pPr>
            <w:r>
              <w:t>0%</w:t>
            </w:r>
          </w:p>
        </w:tc>
      </w:tr>
      <w:tr w:rsidRPr="00F43AD0" w:rsidR="001E1CC3" w:rsidTr="00777F20" w14:paraId="3BEC03A2" w14:textId="77777777">
        <w:trPr>
          <w:trHeight w:val="288"/>
        </w:trPr>
        <w:tc>
          <w:tcPr>
            <w:tcW w:w="2700" w:type="dxa"/>
            <w:noWrap/>
          </w:tcPr>
          <w:p w:rsidRPr="00F43AD0" w:rsidR="001E1CC3" w:rsidP="00777F20" w:rsidRDefault="001E1CC3" w14:paraId="72AB7B83" w14:textId="77777777">
            <w:pPr>
              <w:pStyle w:val="Standard"/>
              <w:spacing w:line="240" w:lineRule="auto"/>
              <w:ind w:firstLine="0"/>
            </w:pPr>
            <w:r>
              <w:t>Wildfire Mitigation O&amp;M Costs</w:t>
            </w:r>
          </w:p>
        </w:tc>
        <w:tc>
          <w:tcPr>
            <w:tcW w:w="1725" w:type="dxa"/>
            <w:noWrap/>
          </w:tcPr>
          <w:p w:rsidRPr="00F43AD0" w:rsidR="001E1CC3" w:rsidP="00777F20" w:rsidRDefault="001E1CC3" w14:paraId="37AE3FDC" w14:textId="77777777">
            <w:pPr>
              <w:pStyle w:val="Standard"/>
            </w:pPr>
            <w:r>
              <w:t>2.4</w:t>
            </w:r>
          </w:p>
        </w:tc>
        <w:tc>
          <w:tcPr>
            <w:tcW w:w="2325" w:type="dxa"/>
            <w:noWrap/>
          </w:tcPr>
          <w:p w:rsidRPr="00F43AD0" w:rsidR="001E1CC3" w:rsidP="00777F20" w:rsidRDefault="001E1CC3" w14:paraId="32D4AAB9" w14:textId="77777777">
            <w:pPr>
              <w:pStyle w:val="Standard"/>
            </w:pPr>
            <w:r>
              <w:t>1.2</w:t>
            </w:r>
          </w:p>
        </w:tc>
        <w:tc>
          <w:tcPr>
            <w:tcW w:w="2610" w:type="dxa"/>
            <w:noWrap/>
          </w:tcPr>
          <w:p w:rsidRPr="00F43AD0" w:rsidR="001E1CC3" w:rsidP="00777F20" w:rsidRDefault="001E1CC3" w14:paraId="23A63FD8" w14:textId="77777777">
            <w:pPr>
              <w:pStyle w:val="Standard"/>
            </w:pPr>
            <w:r>
              <w:t>50%</w:t>
            </w:r>
          </w:p>
        </w:tc>
      </w:tr>
      <w:tr w:rsidRPr="00F43AD0" w:rsidR="001E1CC3" w:rsidTr="00777F20" w14:paraId="7B76AAB4" w14:textId="77777777">
        <w:trPr>
          <w:trHeight w:val="288"/>
        </w:trPr>
        <w:tc>
          <w:tcPr>
            <w:tcW w:w="2700" w:type="dxa"/>
            <w:noWrap/>
          </w:tcPr>
          <w:p w:rsidRPr="00F43AD0" w:rsidR="001E1CC3" w:rsidP="00777F20" w:rsidRDefault="001E1CC3" w14:paraId="6854203C" w14:textId="77777777">
            <w:pPr>
              <w:pStyle w:val="Standard"/>
              <w:spacing w:line="240" w:lineRule="auto"/>
              <w:ind w:firstLine="0"/>
            </w:pPr>
            <w:r>
              <w:t>Incremental Wildfire Mitigation Capital</w:t>
            </w:r>
          </w:p>
        </w:tc>
        <w:tc>
          <w:tcPr>
            <w:tcW w:w="1725" w:type="dxa"/>
            <w:noWrap/>
          </w:tcPr>
          <w:p w:rsidRPr="00F43AD0" w:rsidR="001E1CC3" w:rsidP="00777F20" w:rsidRDefault="001E1CC3" w14:paraId="7E659B73" w14:textId="77777777">
            <w:pPr>
              <w:pStyle w:val="Standard"/>
            </w:pPr>
            <w:r>
              <w:t>6.1</w:t>
            </w:r>
          </w:p>
        </w:tc>
        <w:tc>
          <w:tcPr>
            <w:tcW w:w="2325" w:type="dxa"/>
            <w:noWrap/>
          </w:tcPr>
          <w:p w:rsidRPr="00F43AD0" w:rsidR="001E1CC3" w:rsidP="00777F20" w:rsidRDefault="001E1CC3" w14:paraId="1B097C12" w14:textId="77777777">
            <w:pPr>
              <w:pStyle w:val="Standard"/>
            </w:pPr>
            <w:r>
              <w:t>6.1</w:t>
            </w:r>
          </w:p>
        </w:tc>
        <w:tc>
          <w:tcPr>
            <w:tcW w:w="2610" w:type="dxa"/>
            <w:noWrap/>
          </w:tcPr>
          <w:p w:rsidRPr="00F43AD0" w:rsidR="001E1CC3" w:rsidP="00777F20" w:rsidRDefault="001E1CC3" w14:paraId="55E98A97" w14:textId="77777777">
            <w:pPr>
              <w:pStyle w:val="Standard"/>
            </w:pPr>
            <w:r>
              <w:t>0%</w:t>
            </w:r>
          </w:p>
        </w:tc>
      </w:tr>
      <w:tr w:rsidRPr="00F43AD0" w:rsidR="001E1CC3" w:rsidTr="00777F20" w14:paraId="5E38ED80" w14:textId="77777777">
        <w:trPr>
          <w:trHeight w:val="300"/>
        </w:trPr>
        <w:tc>
          <w:tcPr>
            <w:tcW w:w="2700" w:type="dxa"/>
            <w:noWrap/>
          </w:tcPr>
          <w:p w:rsidRPr="00F43AD0" w:rsidR="001E1CC3" w:rsidP="00777F20" w:rsidRDefault="001E1CC3" w14:paraId="127FB228" w14:textId="77777777">
            <w:pPr>
              <w:pStyle w:val="Standard"/>
              <w:spacing w:line="240" w:lineRule="auto"/>
              <w:ind w:firstLine="0"/>
            </w:pPr>
            <w:r>
              <w:t>Labor &amp; Non-Labor Escalation</w:t>
            </w:r>
          </w:p>
        </w:tc>
        <w:tc>
          <w:tcPr>
            <w:tcW w:w="1725" w:type="dxa"/>
            <w:noWrap/>
          </w:tcPr>
          <w:p w:rsidRPr="00F43AD0" w:rsidR="001E1CC3" w:rsidP="00777F20" w:rsidRDefault="001E1CC3" w14:paraId="47E25843" w14:textId="77777777">
            <w:pPr>
              <w:pStyle w:val="Standard"/>
            </w:pPr>
            <w:r>
              <w:t>1.5</w:t>
            </w:r>
          </w:p>
        </w:tc>
        <w:tc>
          <w:tcPr>
            <w:tcW w:w="2325" w:type="dxa"/>
            <w:noWrap/>
          </w:tcPr>
          <w:p w:rsidRPr="00F43AD0" w:rsidR="001E1CC3" w:rsidP="00777F20" w:rsidRDefault="001E1CC3" w14:paraId="5160D0DD" w14:textId="77777777">
            <w:pPr>
              <w:pStyle w:val="Standard"/>
            </w:pPr>
            <w:r>
              <w:t>1.5</w:t>
            </w:r>
          </w:p>
        </w:tc>
        <w:tc>
          <w:tcPr>
            <w:tcW w:w="2610" w:type="dxa"/>
            <w:noWrap/>
          </w:tcPr>
          <w:p w:rsidRPr="00F43AD0" w:rsidR="001E1CC3" w:rsidP="00777F20" w:rsidRDefault="001E1CC3" w14:paraId="0A3995EA" w14:textId="77777777">
            <w:pPr>
              <w:pStyle w:val="Standard"/>
              <w:rPr>
                <w:b/>
                <w:bCs/>
              </w:rPr>
            </w:pPr>
            <w:r>
              <w:rPr>
                <w:b/>
                <w:bCs/>
              </w:rPr>
              <w:t>0%</w:t>
            </w:r>
          </w:p>
        </w:tc>
      </w:tr>
      <w:tr w:rsidRPr="00F43AD0" w:rsidR="001E1CC3" w:rsidTr="00777F20" w14:paraId="19956FF1" w14:textId="77777777">
        <w:trPr>
          <w:trHeight w:val="300"/>
        </w:trPr>
        <w:tc>
          <w:tcPr>
            <w:tcW w:w="2700" w:type="dxa"/>
            <w:noWrap/>
          </w:tcPr>
          <w:p w:rsidRPr="00F43AD0" w:rsidR="001E1CC3" w:rsidP="00777F20" w:rsidRDefault="001E1CC3" w14:paraId="48FC29E1" w14:textId="77777777">
            <w:pPr>
              <w:pStyle w:val="Standard"/>
              <w:spacing w:line="240" w:lineRule="auto"/>
              <w:ind w:firstLine="0"/>
            </w:pPr>
            <w:r>
              <w:t xml:space="preserve">Incremental Decommissioning </w:t>
            </w:r>
          </w:p>
        </w:tc>
        <w:tc>
          <w:tcPr>
            <w:tcW w:w="1725" w:type="dxa"/>
            <w:noWrap/>
          </w:tcPr>
          <w:p w:rsidRPr="00F43AD0" w:rsidR="001E1CC3" w:rsidP="00777F20" w:rsidRDefault="001E1CC3" w14:paraId="0CDF898A" w14:textId="77777777">
            <w:pPr>
              <w:pStyle w:val="Standard"/>
            </w:pPr>
            <w:r>
              <w:t>1.2</w:t>
            </w:r>
          </w:p>
        </w:tc>
        <w:tc>
          <w:tcPr>
            <w:tcW w:w="2325" w:type="dxa"/>
            <w:noWrap/>
          </w:tcPr>
          <w:p w:rsidRPr="00F43AD0" w:rsidR="001E1CC3" w:rsidP="00777F20" w:rsidRDefault="001E1CC3" w14:paraId="76AC1CB7" w14:textId="77777777">
            <w:pPr>
              <w:pStyle w:val="Standard"/>
            </w:pPr>
            <w:r>
              <w:t>1.2</w:t>
            </w:r>
          </w:p>
        </w:tc>
        <w:tc>
          <w:tcPr>
            <w:tcW w:w="2610" w:type="dxa"/>
            <w:noWrap/>
          </w:tcPr>
          <w:p w:rsidRPr="00F43AD0" w:rsidR="001E1CC3" w:rsidP="00777F20" w:rsidRDefault="001E1CC3" w14:paraId="43D6916A" w14:textId="77777777">
            <w:pPr>
              <w:pStyle w:val="Standard"/>
              <w:rPr>
                <w:b/>
                <w:bCs/>
              </w:rPr>
            </w:pPr>
            <w:r>
              <w:rPr>
                <w:b/>
                <w:bCs/>
              </w:rPr>
              <w:t>0%</w:t>
            </w:r>
          </w:p>
        </w:tc>
      </w:tr>
      <w:tr w:rsidRPr="00F43AD0" w:rsidR="001E1CC3" w:rsidTr="00777F20" w14:paraId="5CB0D82A" w14:textId="77777777">
        <w:trPr>
          <w:trHeight w:val="300"/>
        </w:trPr>
        <w:tc>
          <w:tcPr>
            <w:tcW w:w="2700" w:type="dxa"/>
            <w:noWrap/>
          </w:tcPr>
          <w:p w:rsidRPr="00F43AD0" w:rsidR="001E1CC3" w:rsidP="00777F20" w:rsidRDefault="001E1CC3" w14:paraId="14F441A0" w14:textId="77777777">
            <w:pPr>
              <w:pStyle w:val="Standard"/>
              <w:spacing w:line="240" w:lineRule="auto"/>
              <w:ind w:firstLine="0"/>
            </w:pPr>
            <w:r>
              <w:t>Cholla Unit 4</w:t>
            </w:r>
          </w:p>
        </w:tc>
        <w:tc>
          <w:tcPr>
            <w:tcW w:w="1725" w:type="dxa"/>
            <w:noWrap/>
          </w:tcPr>
          <w:p w:rsidRPr="00F43AD0" w:rsidR="001E1CC3" w:rsidP="00777F20" w:rsidRDefault="001E1CC3" w14:paraId="79865F21" w14:textId="77777777">
            <w:pPr>
              <w:pStyle w:val="Standard"/>
            </w:pPr>
            <w:r>
              <w:t>1.7</w:t>
            </w:r>
          </w:p>
        </w:tc>
        <w:tc>
          <w:tcPr>
            <w:tcW w:w="2325" w:type="dxa"/>
            <w:noWrap/>
          </w:tcPr>
          <w:p w:rsidRPr="00F43AD0" w:rsidR="001E1CC3" w:rsidP="00777F20" w:rsidRDefault="001E1CC3" w14:paraId="32FC642F" w14:textId="77777777">
            <w:pPr>
              <w:pStyle w:val="Standard"/>
            </w:pPr>
            <w:r>
              <w:t>0.6</w:t>
            </w:r>
          </w:p>
        </w:tc>
        <w:tc>
          <w:tcPr>
            <w:tcW w:w="2610" w:type="dxa"/>
            <w:noWrap/>
          </w:tcPr>
          <w:p w:rsidRPr="00F43AD0" w:rsidR="001E1CC3" w:rsidP="00777F20" w:rsidRDefault="001E1CC3" w14:paraId="179C27D5" w14:textId="77777777">
            <w:pPr>
              <w:pStyle w:val="Standard"/>
              <w:rPr>
                <w:b/>
                <w:bCs/>
              </w:rPr>
            </w:pPr>
            <w:r>
              <w:rPr>
                <w:b/>
                <w:bCs/>
              </w:rPr>
              <w:t>64.7%</w:t>
            </w:r>
          </w:p>
        </w:tc>
      </w:tr>
      <w:tr w:rsidRPr="00F43AD0" w:rsidR="001E1CC3" w:rsidTr="00777F20" w14:paraId="536993E1" w14:textId="77777777">
        <w:trPr>
          <w:trHeight w:val="300"/>
        </w:trPr>
        <w:tc>
          <w:tcPr>
            <w:tcW w:w="2700" w:type="dxa"/>
            <w:noWrap/>
          </w:tcPr>
          <w:p w:rsidR="001E1CC3" w:rsidP="00777F20" w:rsidRDefault="001E1CC3" w14:paraId="0761AF88" w14:textId="77777777">
            <w:pPr>
              <w:pStyle w:val="Standard"/>
              <w:spacing w:line="240" w:lineRule="auto"/>
              <w:ind w:firstLine="0"/>
            </w:pPr>
            <w:r>
              <w:t>Foote Creek II-IV</w:t>
            </w:r>
          </w:p>
        </w:tc>
        <w:tc>
          <w:tcPr>
            <w:tcW w:w="1725" w:type="dxa"/>
            <w:noWrap/>
          </w:tcPr>
          <w:p w:rsidR="001E1CC3" w:rsidP="00777F20" w:rsidRDefault="001E1CC3" w14:paraId="4997B9F0" w14:textId="77777777">
            <w:pPr>
              <w:pStyle w:val="Standard"/>
            </w:pPr>
            <w:r>
              <w:t>.145</w:t>
            </w:r>
          </w:p>
        </w:tc>
        <w:tc>
          <w:tcPr>
            <w:tcW w:w="2325" w:type="dxa"/>
            <w:noWrap/>
          </w:tcPr>
          <w:p w:rsidRPr="00F43AD0" w:rsidR="001E1CC3" w:rsidP="00777F20" w:rsidRDefault="001E1CC3" w14:paraId="5CC51B9B" w14:textId="77777777">
            <w:pPr>
              <w:pStyle w:val="Standard"/>
            </w:pPr>
            <w:r>
              <w:t>0</w:t>
            </w:r>
          </w:p>
        </w:tc>
        <w:tc>
          <w:tcPr>
            <w:tcW w:w="2610" w:type="dxa"/>
            <w:noWrap/>
          </w:tcPr>
          <w:p w:rsidRPr="00F43AD0" w:rsidR="001E1CC3" w:rsidP="00777F20" w:rsidRDefault="001E1CC3" w14:paraId="10C0E6F9" w14:textId="77777777">
            <w:pPr>
              <w:pStyle w:val="Standard"/>
              <w:rPr>
                <w:b/>
                <w:bCs/>
              </w:rPr>
            </w:pPr>
            <w:r>
              <w:rPr>
                <w:b/>
                <w:bCs/>
              </w:rPr>
              <w:t>100%</w:t>
            </w:r>
          </w:p>
        </w:tc>
      </w:tr>
      <w:tr w:rsidRPr="00F43AD0" w:rsidR="001E1CC3" w:rsidTr="00777F20" w14:paraId="57185ED5" w14:textId="77777777">
        <w:trPr>
          <w:trHeight w:val="300"/>
        </w:trPr>
        <w:tc>
          <w:tcPr>
            <w:tcW w:w="2700" w:type="dxa"/>
            <w:noWrap/>
          </w:tcPr>
          <w:p w:rsidRPr="00F43AD0" w:rsidR="001E1CC3" w:rsidP="00777F20" w:rsidRDefault="001E1CC3" w14:paraId="145B0C23" w14:textId="77777777">
            <w:pPr>
              <w:pStyle w:val="Standard"/>
              <w:spacing w:line="240" w:lineRule="auto"/>
              <w:ind w:firstLine="0"/>
            </w:pPr>
            <w:r>
              <w:t>Return on Equity and Capital Structure</w:t>
            </w:r>
          </w:p>
        </w:tc>
        <w:tc>
          <w:tcPr>
            <w:tcW w:w="1725" w:type="dxa"/>
            <w:noWrap/>
          </w:tcPr>
          <w:p w:rsidRPr="00F43AD0" w:rsidR="001E1CC3" w:rsidP="00777F20" w:rsidRDefault="001E1CC3" w14:paraId="03ED55B0" w14:textId="77777777">
            <w:pPr>
              <w:pStyle w:val="Standard"/>
            </w:pPr>
            <w:r>
              <w:t>1.3</w:t>
            </w:r>
          </w:p>
        </w:tc>
        <w:tc>
          <w:tcPr>
            <w:tcW w:w="2325" w:type="dxa"/>
            <w:noWrap/>
          </w:tcPr>
          <w:p w:rsidRPr="00F43AD0" w:rsidR="001E1CC3" w:rsidP="00777F20" w:rsidRDefault="001E1CC3" w14:paraId="42FCF28A" w14:textId="77777777">
            <w:pPr>
              <w:pStyle w:val="Standard"/>
            </w:pPr>
            <w:r>
              <w:t>0</w:t>
            </w:r>
          </w:p>
        </w:tc>
        <w:tc>
          <w:tcPr>
            <w:tcW w:w="2610" w:type="dxa"/>
            <w:noWrap/>
          </w:tcPr>
          <w:p w:rsidRPr="00F43AD0" w:rsidR="001E1CC3" w:rsidP="00777F20" w:rsidRDefault="001E1CC3" w14:paraId="7CF17B69" w14:textId="77777777">
            <w:pPr>
              <w:pStyle w:val="Standard"/>
              <w:rPr>
                <w:b/>
                <w:bCs/>
              </w:rPr>
            </w:pPr>
            <w:r>
              <w:rPr>
                <w:b/>
                <w:bCs/>
              </w:rPr>
              <w:t>100%</w:t>
            </w:r>
          </w:p>
        </w:tc>
      </w:tr>
      <w:tr w:rsidRPr="00F43AD0" w:rsidR="001E1CC3" w:rsidTr="00777F20" w14:paraId="42950D06" w14:textId="77777777">
        <w:trPr>
          <w:trHeight w:val="300"/>
        </w:trPr>
        <w:tc>
          <w:tcPr>
            <w:tcW w:w="2700" w:type="dxa"/>
            <w:noWrap/>
          </w:tcPr>
          <w:p w:rsidR="001E1CC3" w:rsidP="00777F20" w:rsidRDefault="001E1CC3" w14:paraId="5CFAFC9A" w14:textId="77777777">
            <w:pPr>
              <w:pStyle w:val="Standard"/>
              <w:spacing w:line="240" w:lineRule="auto"/>
              <w:ind w:firstLine="0"/>
            </w:pPr>
            <w:r>
              <w:t>Total</w:t>
            </w:r>
          </w:p>
        </w:tc>
        <w:tc>
          <w:tcPr>
            <w:tcW w:w="1725" w:type="dxa"/>
            <w:noWrap/>
          </w:tcPr>
          <w:p w:rsidR="001E1CC3" w:rsidP="00777F20" w:rsidRDefault="001E1CC3" w14:paraId="23B97704" w14:textId="77777777">
            <w:pPr>
              <w:pStyle w:val="Standard"/>
            </w:pPr>
            <w:r>
              <w:t>22.8</w:t>
            </w:r>
          </w:p>
        </w:tc>
        <w:tc>
          <w:tcPr>
            <w:tcW w:w="2325" w:type="dxa"/>
            <w:noWrap/>
          </w:tcPr>
          <w:p w:rsidRPr="00F43AD0" w:rsidR="001E1CC3" w:rsidP="00777F20" w:rsidRDefault="001E1CC3" w14:paraId="1D178A7B" w14:textId="3E2D7B4D">
            <w:pPr>
              <w:pStyle w:val="Standard"/>
            </w:pPr>
            <w:r>
              <w:t>19.1</w:t>
            </w:r>
            <w:r w:rsidR="00E70FFA">
              <w:rPr>
                <w:rStyle w:val="FootnoteReference"/>
              </w:rPr>
              <w:footnoteReference w:id="86"/>
            </w:r>
          </w:p>
        </w:tc>
        <w:tc>
          <w:tcPr>
            <w:tcW w:w="2610" w:type="dxa"/>
            <w:noWrap/>
          </w:tcPr>
          <w:p w:rsidRPr="00F43AD0" w:rsidR="001E1CC3" w:rsidP="00777F20" w:rsidRDefault="001E1CC3" w14:paraId="2B2842BD" w14:textId="77777777">
            <w:pPr>
              <w:pStyle w:val="Standard"/>
              <w:rPr>
                <w:b/>
                <w:bCs/>
              </w:rPr>
            </w:pPr>
            <w:r>
              <w:rPr>
                <w:b/>
                <w:bCs/>
              </w:rPr>
              <w:t>16.2%</w:t>
            </w:r>
          </w:p>
        </w:tc>
      </w:tr>
    </w:tbl>
    <w:p w:rsidRPr="00343E5C" w:rsidR="00EA0E29" w:rsidP="003D3AF7" w:rsidRDefault="00EA0E29" w14:paraId="5724FB86" w14:textId="35B1D456">
      <w:pPr>
        <w:pStyle w:val="Standard"/>
        <w:spacing w:before="360"/>
      </w:pPr>
      <w:r>
        <w:t xml:space="preserve">Continued consideration of PacifiCorp’s </w:t>
      </w:r>
      <w:r w:rsidR="00BB0257">
        <w:t>W</w:t>
      </w:r>
      <w:r>
        <w:t xml:space="preserve">ildfire </w:t>
      </w:r>
      <w:r w:rsidR="00BB0257">
        <w:t>M</w:t>
      </w:r>
      <w:r>
        <w:t>itigation</w:t>
      </w:r>
      <w:r w:rsidR="00BB0257">
        <w:t xml:space="preserve"> Memorandum Account balances and</w:t>
      </w:r>
      <w:r>
        <w:t xml:space="preserve"> cost accounting </w:t>
      </w:r>
      <w:r w:rsidR="00BB0257">
        <w:t xml:space="preserve">practices </w:t>
      </w:r>
      <w:r>
        <w:t>will occur in Track 2 of this proceeding.</w:t>
      </w:r>
    </w:p>
    <w:p w:rsidR="005939A5" w:rsidP="002D228B" w:rsidRDefault="005939A5" w14:paraId="1A30D5B2" w14:textId="77777777">
      <w:pPr>
        <w:pStyle w:val="Heading1"/>
        <w:numPr>
          <w:ilvl w:val="0"/>
          <w:numId w:val="3"/>
        </w:numPr>
      </w:pPr>
      <w:bookmarkStart w:name="_Toc8123723" w:id="76"/>
      <w:bookmarkStart w:name="_Toc153298453" w:id="77"/>
      <w:r>
        <w:t>Comments on Proposed Decision</w:t>
      </w:r>
      <w:bookmarkEnd w:id="76"/>
      <w:bookmarkEnd w:id="77"/>
    </w:p>
    <w:p w:rsidR="005939A5" w:rsidP="005C58FA" w:rsidRDefault="009C4A04" w14:paraId="5A9CC3B6" w14:textId="2A641C79">
      <w:pPr>
        <w:pStyle w:val="Standard"/>
      </w:pPr>
      <w:r>
        <w:t xml:space="preserve">The proposed decision of ALJ </w:t>
      </w:r>
      <w:r w:rsidR="006626A8">
        <w:t xml:space="preserve">Carloyn </w:t>
      </w:r>
      <w:r>
        <w:t xml:space="preserve">Sisto </w:t>
      </w:r>
      <w:r w:rsidR="005C58FA">
        <w:t>in this matter was mailed to the parties in accordance with Section 311 of the Public Utilities Code and comments were allowed under Rule 14.3 of the Commission’s Rules of Practice and Procedure</w:t>
      </w:r>
      <w:r w:rsidR="00EB2DA7">
        <w:t>.</w:t>
      </w:r>
      <w:r w:rsidR="005C58FA">
        <w:t xml:space="preserve"> Comments were filed on </w:t>
      </w:r>
      <w:r w:rsidR="003826C0">
        <w:t xml:space="preserve">November 29, 2023, by </w:t>
      </w:r>
      <w:r w:rsidR="005F674A">
        <w:t xml:space="preserve">CFBF </w:t>
      </w:r>
      <w:r w:rsidR="003826C0">
        <w:t xml:space="preserve">and PacifiCorp, </w:t>
      </w:r>
      <w:r w:rsidR="005C58FA">
        <w:t xml:space="preserve">and reply comments were filed on </w:t>
      </w:r>
      <w:r w:rsidR="003826C0">
        <w:t xml:space="preserve">December 4, 2023, </w:t>
      </w:r>
      <w:r w:rsidR="005C58FA">
        <w:t xml:space="preserve">by </w:t>
      </w:r>
      <w:r w:rsidR="003826C0">
        <w:t>Cal Advocates and PacifiCorp.</w:t>
      </w:r>
      <w:r w:rsidRPr="00C878D5" w:rsidR="003826C0">
        <w:t xml:space="preserve"> </w:t>
      </w:r>
      <w:r w:rsidR="009460D1">
        <w:t xml:space="preserve">Clarifying edits were made throughout the decision to address the comments received. Further, the amortization period for Cholla Unit 4-related costs was decreased from eight to six years to reflect the span of two </w:t>
      </w:r>
      <w:r w:rsidR="00FB1BA7">
        <w:t xml:space="preserve">three-year </w:t>
      </w:r>
      <w:r w:rsidR="009460D1">
        <w:t xml:space="preserve">GRC cycles. The Decision now </w:t>
      </w:r>
      <w:r w:rsidR="00FB1BA7">
        <w:t xml:space="preserve">cites Pub. Util. Code §8386.4, which allows electrical corporations, such as </w:t>
      </w:r>
      <w:r w:rsidR="009460D1">
        <w:t>PacifiCorp</w:t>
      </w:r>
      <w:r w:rsidR="00FB1BA7">
        <w:t>,</w:t>
      </w:r>
      <w:r w:rsidR="009460D1">
        <w:t xml:space="preserve"> </w:t>
      </w:r>
      <w:r w:rsidR="00FB1BA7">
        <w:t>to</w:t>
      </w:r>
      <w:r w:rsidR="009460D1">
        <w:t xml:space="preserve"> file applications to seek </w:t>
      </w:r>
      <w:r w:rsidR="00FB1BA7">
        <w:t>recovery of wildfire mitigation costs either in a GRC filing or a separate application</w:t>
      </w:r>
      <w:r w:rsidR="009460D1">
        <w:t xml:space="preserve">. Finally, details regarding PacifiCorp’s recovery of its GRC RRMA balance </w:t>
      </w:r>
      <w:r w:rsidR="00BA2C80">
        <w:t>were</w:t>
      </w:r>
      <w:r w:rsidR="009460D1">
        <w:t xml:space="preserve"> added into the Findings of Fact, Conclusions of Law, and Ordering Paragraphs below.</w:t>
      </w:r>
      <w:r w:rsidR="003826C0">
        <w:t xml:space="preserve"> </w:t>
      </w:r>
    </w:p>
    <w:p w:rsidR="005939A5" w:rsidP="002D228B" w:rsidRDefault="005939A5" w14:paraId="4B0D1095" w14:textId="77777777">
      <w:pPr>
        <w:pStyle w:val="Heading1"/>
        <w:numPr>
          <w:ilvl w:val="0"/>
          <w:numId w:val="3"/>
        </w:numPr>
      </w:pPr>
      <w:bookmarkStart w:name="_Toc8123724" w:id="78"/>
      <w:bookmarkStart w:name="_Toc153298454" w:id="79"/>
      <w:r>
        <w:t>Assignment of Proceeding</w:t>
      </w:r>
      <w:bookmarkEnd w:id="78"/>
      <w:bookmarkEnd w:id="79"/>
    </w:p>
    <w:p w:rsidR="005939A5" w:rsidP="006E6574" w:rsidRDefault="006A0503" w14:paraId="4F41FA72" w14:textId="75FF8A54">
      <w:pPr>
        <w:pStyle w:val="Standard"/>
      </w:pPr>
      <w:r>
        <w:t>President Alice Reynolds</w:t>
      </w:r>
      <w:r w:rsidR="005939A5">
        <w:t xml:space="preserve"> is the assigned Commissioner and </w:t>
      </w:r>
      <w:r>
        <w:t>Carolyn Sisto</w:t>
      </w:r>
      <w:r w:rsidR="005939A5">
        <w:t xml:space="preserve"> is the assigned Administrative Law Judge in this proceeding.</w:t>
      </w:r>
    </w:p>
    <w:p w:rsidR="005939A5" w:rsidP="00466C42" w:rsidRDefault="005939A5" w14:paraId="3131CAD8" w14:textId="77777777">
      <w:pPr>
        <w:pStyle w:val="Heading1"/>
        <w:numPr>
          <w:ilvl w:val="0"/>
          <w:numId w:val="0"/>
        </w:numPr>
        <w:ind w:left="720" w:hanging="720"/>
      </w:pPr>
      <w:bookmarkStart w:name="_Toc8123725" w:id="80"/>
      <w:bookmarkStart w:name="_Toc153298455" w:id="81"/>
      <w:r>
        <w:t>Findings of Fact</w:t>
      </w:r>
      <w:bookmarkEnd w:id="80"/>
      <w:bookmarkEnd w:id="81"/>
    </w:p>
    <w:p w:rsidR="00FB03FD" w:rsidP="006A1B03" w:rsidRDefault="00FB03FD" w14:paraId="601D8A73" w14:textId="6144AE66">
      <w:pPr>
        <w:pStyle w:val="FoF"/>
        <w:rPr>
          <w:rFonts w:eastAsia="Calibri"/>
        </w:rPr>
      </w:pPr>
      <w:r w:rsidRPr="2554E4E4">
        <w:t>With</w:t>
      </w:r>
      <w:r w:rsidRPr="2554E4E4">
        <w:rPr>
          <w:spacing w:val="-5"/>
        </w:rPr>
        <w:t xml:space="preserve"> </w:t>
      </w:r>
      <w:r w:rsidRPr="2554E4E4">
        <w:t>respect</w:t>
      </w:r>
      <w:r w:rsidRPr="2554E4E4">
        <w:rPr>
          <w:spacing w:val="-3"/>
        </w:rPr>
        <w:t xml:space="preserve"> </w:t>
      </w:r>
      <w:r w:rsidRPr="2554E4E4">
        <w:t>to</w:t>
      </w:r>
      <w:r w:rsidRPr="2554E4E4">
        <w:rPr>
          <w:spacing w:val="-3"/>
        </w:rPr>
        <w:t xml:space="preserve"> </w:t>
      </w:r>
      <w:r w:rsidR="003942CC">
        <w:t>the</w:t>
      </w:r>
      <w:r w:rsidRPr="2554E4E4" w:rsidR="003942CC">
        <w:rPr>
          <w:spacing w:val="-6"/>
        </w:rPr>
        <w:t xml:space="preserve"> </w:t>
      </w:r>
      <w:r w:rsidRPr="2554E4E4">
        <w:t>uncontested</w:t>
      </w:r>
      <w:r w:rsidRPr="2554E4E4">
        <w:rPr>
          <w:spacing w:val="-2"/>
        </w:rPr>
        <w:t xml:space="preserve"> </w:t>
      </w:r>
      <w:r w:rsidRPr="2554E4E4">
        <w:t>issues</w:t>
      </w:r>
      <w:r w:rsidRPr="2554E4E4">
        <w:rPr>
          <w:spacing w:val="-4"/>
        </w:rPr>
        <w:t xml:space="preserve"> </w:t>
      </w:r>
      <w:r w:rsidRPr="2554E4E4">
        <w:t>in</w:t>
      </w:r>
      <w:r w:rsidRPr="2554E4E4">
        <w:rPr>
          <w:spacing w:val="-5"/>
        </w:rPr>
        <w:t xml:space="preserve"> </w:t>
      </w:r>
      <w:r w:rsidRPr="2554E4E4">
        <w:t>this</w:t>
      </w:r>
      <w:r w:rsidRPr="2554E4E4">
        <w:rPr>
          <w:spacing w:val="-5"/>
        </w:rPr>
        <w:t xml:space="preserve"> </w:t>
      </w:r>
      <w:r w:rsidRPr="2554E4E4">
        <w:t>proceeding,</w:t>
      </w:r>
      <w:r w:rsidRPr="2554E4E4">
        <w:rPr>
          <w:spacing w:val="-5"/>
        </w:rPr>
        <w:t xml:space="preserve"> </w:t>
      </w:r>
      <w:r w:rsidRPr="2554E4E4">
        <w:t>we</w:t>
      </w:r>
      <w:r w:rsidRPr="2554E4E4">
        <w:rPr>
          <w:spacing w:val="-5"/>
        </w:rPr>
        <w:t xml:space="preserve"> </w:t>
      </w:r>
      <w:r w:rsidRPr="2554E4E4">
        <w:t xml:space="preserve">find that PacifiCorp has </w:t>
      </w:r>
      <w:r w:rsidR="003942CC">
        <w:t>proven its requests are just</w:t>
      </w:r>
      <w:r w:rsidRPr="2554E4E4">
        <w:t xml:space="preserve"> and reasonable showing, unless otherwise stated in this decision.</w:t>
      </w:r>
    </w:p>
    <w:p w:rsidRPr="00466C42" w:rsidR="00FB03FD" w:rsidP="006A1B03" w:rsidRDefault="25650E8B" w14:paraId="7A3D1667" w14:textId="200745F7">
      <w:pPr>
        <w:pStyle w:val="FoF"/>
        <w:rPr>
          <w:rFonts w:eastAsia="Calibri"/>
          <w:szCs w:val="26"/>
        </w:rPr>
      </w:pPr>
      <w:r w:rsidRPr="006A1B03">
        <w:t>PacifiCorp’s</w:t>
      </w:r>
      <w:r w:rsidRPr="2554E4E4">
        <w:rPr>
          <w:szCs w:val="26"/>
        </w:rPr>
        <w:t xml:space="preserve"> revenue requirement will increase by $</w:t>
      </w:r>
      <w:r w:rsidR="001E1CC3">
        <w:rPr>
          <w:szCs w:val="26"/>
        </w:rPr>
        <w:t>18.989</w:t>
      </w:r>
      <w:r w:rsidR="00730ADE">
        <w:rPr>
          <w:szCs w:val="26"/>
        </w:rPr>
        <w:t> million</w:t>
      </w:r>
      <w:r w:rsidRPr="2554E4E4">
        <w:rPr>
          <w:szCs w:val="26"/>
        </w:rPr>
        <w:t xml:space="preserve"> to recover the</w:t>
      </w:r>
      <w:r w:rsidR="001E1CC3">
        <w:rPr>
          <w:szCs w:val="26"/>
        </w:rPr>
        <w:t xml:space="preserve"> approved</w:t>
      </w:r>
      <w:r w:rsidRPr="2554E4E4">
        <w:rPr>
          <w:szCs w:val="26"/>
        </w:rPr>
        <w:t xml:space="preserve"> </w:t>
      </w:r>
      <w:r w:rsidR="00E70FFA">
        <w:rPr>
          <w:szCs w:val="26"/>
        </w:rPr>
        <w:t xml:space="preserve">Track 1 </w:t>
      </w:r>
      <w:r w:rsidRPr="2554E4E4">
        <w:rPr>
          <w:szCs w:val="26"/>
        </w:rPr>
        <w:t>costs proposed in A.22-05-006.</w:t>
      </w:r>
    </w:p>
    <w:p w:rsidR="000C7F41" w:rsidP="006A1B03" w:rsidRDefault="000C7F41" w14:paraId="473274C4" w14:textId="678E9F30">
      <w:pPr>
        <w:pStyle w:val="FoF"/>
        <w:rPr>
          <w:rFonts w:eastAsia="Calibri"/>
          <w:szCs w:val="26"/>
        </w:rPr>
      </w:pPr>
      <w:r>
        <w:rPr>
          <w:szCs w:val="26"/>
        </w:rPr>
        <w:t>D.22-11-001 authorized PacifiCorp to establish a GRC RRMA</w:t>
      </w:r>
      <w:r w:rsidR="00C83C9E">
        <w:rPr>
          <w:szCs w:val="26"/>
        </w:rPr>
        <w:t xml:space="preserve"> and to accrue interest on its balance using the three-month commercial paper rate published in the Federal Reserve Statistical Release H.15 or its successor as the interest rate</w:t>
      </w:r>
      <w:r>
        <w:rPr>
          <w:szCs w:val="26"/>
        </w:rPr>
        <w:t>.</w:t>
      </w:r>
    </w:p>
    <w:p w:rsidR="00FB03FD" w:rsidP="006A1B03" w:rsidRDefault="00FB03FD" w14:paraId="3F6B1EA4" w14:textId="0BE68EED">
      <w:pPr>
        <w:pStyle w:val="FoF"/>
        <w:ind w:firstLine="547"/>
      </w:pPr>
      <w:r w:rsidRPr="2554E4E4">
        <w:rPr>
          <w:szCs w:val="26"/>
        </w:rPr>
        <w:t>The</w:t>
      </w:r>
      <w:r w:rsidRPr="2554E4E4">
        <w:rPr>
          <w:spacing w:val="-5"/>
          <w:szCs w:val="26"/>
        </w:rPr>
        <w:t xml:space="preserve"> </w:t>
      </w:r>
      <w:r w:rsidRPr="2554E4E4">
        <w:rPr>
          <w:szCs w:val="26"/>
        </w:rPr>
        <w:t>PTAM</w:t>
      </w:r>
      <w:r w:rsidRPr="2554E4E4">
        <w:rPr>
          <w:spacing w:val="-5"/>
          <w:szCs w:val="26"/>
        </w:rPr>
        <w:t xml:space="preserve"> </w:t>
      </w:r>
      <w:r w:rsidRPr="2554E4E4">
        <w:rPr>
          <w:szCs w:val="26"/>
        </w:rPr>
        <w:t>allows</w:t>
      </w:r>
      <w:r w:rsidRPr="2554E4E4">
        <w:rPr>
          <w:spacing w:val="-5"/>
          <w:szCs w:val="26"/>
        </w:rPr>
        <w:t xml:space="preserve"> </w:t>
      </w:r>
      <w:r w:rsidRPr="2554E4E4">
        <w:rPr>
          <w:szCs w:val="26"/>
        </w:rPr>
        <w:t>PacifiCorp</w:t>
      </w:r>
      <w:r w:rsidRPr="2554E4E4">
        <w:rPr>
          <w:spacing w:val="-2"/>
          <w:szCs w:val="26"/>
        </w:rPr>
        <w:t xml:space="preserve"> </w:t>
      </w:r>
      <w:r w:rsidRPr="2554E4E4">
        <w:rPr>
          <w:szCs w:val="26"/>
        </w:rPr>
        <w:t>to</w:t>
      </w:r>
      <w:r w:rsidRPr="2554E4E4">
        <w:rPr>
          <w:spacing w:val="-5"/>
          <w:szCs w:val="26"/>
        </w:rPr>
        <w:t xml:space="preserve"> </w:t>
      </w:r>
      <w:r w:rsidRPr="2554E4E4">
        <w:rPr>
          <w:szCs w:val="26"/>
        </w:rPr>
        <w:t>adjust</w:t>
      </w:r>
      <w:r w:rsidRPr="2554E4E4">
        <w:rPr>
          <w:spacing w:val="-5"/>
          <w:szCs w:val="26"/>
        </w:rPr>
        <w:t xml:space="preserve"> </w:t>
      </w:r>
      <w:r w:rsidRPr="2554E4E4">
        <w:rPr>
          <w:szCs w:val="26"/>
        </w:rPr>
        <w:t>base</w:t>
      </w:r>
      <w:r w:rsidRPr="2554E4E4">
        <w:rPr>
          <w:spacing w:val="-5"/>
          <w:szCs w:val="26"/>
        </w:rPr>
        <w:t xml:space="preserve"> </w:t>
      </w:r>
      <w:r w:rsidRPr="2554E4E4">
        <w:rPr>
          <w:szCs w:val="26"/>
        </w:rPr>
        <w:t>rates</w:t>
      </w:r>
      <w:r w:rsidRPr="2554E4E4">
        <w:rPr>
          <w:spacing w:val="-5"/>
          <w:szCs w:val="26"/>
        </w:rPr>
        <w:t xml:space="preserve"> </w:t>
      </w:r>
      <w:r w:rsidRPr="2554E4E4">
        <w:rPr>
          <w:szCs w:val="26"/>
        </w:rPr>
        <w:t>for</w:t>
      </w:r>
      <w:r w:rsidRPr="2554E4E4">
        <w:rPr>
          <w:spacing w:val="-4"/>
          <w:szCs w:val="26"/>
        </w:rPr>
        <w:t xml:space="preserve"> </w:t>
      </w:r>
      <w:r w:rsidRPr="2554E4E4">
        <w:rPr>
          <w:szCs w:val="26"/>
        </w:rPr>
        <w:t>changes</w:t>
      </w:r>
      <w:r w:rsidRPr="2554E4E4">
        <w:rPr>
          <w:spacing w:val="-4"/>
          <w:szCs w:val="26"/>
        </w:rPr>
        <w:t xml:space="preserve"> </w:t>
      </w:r>
      <w:r w:rsidRPr="2554E4E4">
        <w:rPr>
          <w:szCs w:val="26"/>
        </w:rPr>
        <w:t>in</w:t>
      </w:r>
      <w:r w:rsidRPr="2554E4E4">
        <w:rPr>
          <w:spacing w:val="-2"/>
          <w:szCs w:val="26"/>
        </w:rPr>
        <w:t xml:space="preserve"> </w:t>
      </w:r>
      <w:r w:rsidRPr="2554E4E4">
        <w:rPr>
          <w:szCs w:val="26"/>
        </w:rPr>
        <w:t>inflation calculated as the greater of:</w:t>
      </w:r>
      <w:r w:rsidRPr="2554E4E4">
        <w:rPr>
          <w:spacing w:val="40"/>
          <w:szCs w:val="26"/>
        </w:rPr>
        <w:t xml:space="preserve"> </w:t>
      </w:r>
      <w:r w:rsidRPr="2554E4E4">
        <w:rPr>
          <w:szCs w:val="26"/>
        </w:rPr>
        <w:t>(</w:t>
      </w:r>
      <w:r w:rsidR="005A1123">
        <w:rPr>
          <w:szCs w:val="26"/>
        </w:rPr>
        <w:t>1</w:t>
      </w:r>
      <w:r w:rsidRPr="2554E4E4">
        <w:rPr>
          <w:szCs w:val="26"/>
        </w:rPr>
        <w:t>) the September Global Insight U.S.</w:t>
      </w:r>
      <w:r w:rsidR="00FD11EB">
        <w:rPr>
          <w:szCs w:val="26"/>
        </w:rPr>
        <w:t> </w:t>
      </w:r>
      <w:r w:rsidRPr="2554E4E4">
        <w:rPr>
          <w:szCs w:val="26"/>
        </w:rPr>
        <w:t>Economic Outlook</w:t>
      </w:r>
      <w:r w:rsidRPr="2554E4E4">
        <w:rPr>
          <w:spacing w:val="-4"/>
          <w:szCs w:val="26"/>
        </w:rPr>
        <w:t xml:space="preserve"> </w:t>
      </w:r>
      <w:r w:rsidRPr="2554E4E4">
        <w:rPr>
          <w:szCs w:val="26"/>
        </w:rPr>
        <w:t>forecast</w:t>
      </w:r>
      <w:r w:rsidRPr="2554E4E4">
        <w:rPr>
          <w:spacing w:val="-2"/>
          <w:szCs w:val="26"/>
        </w:rPr>
        <w:t xml:space="preserve"> </w:t>
      </w:r>
      <w:r w:rsidRPr="2554E4E4">
        <w:rPr>
          <w:szCs w:val="26"/>
        </w:rPr>
        <w:t>of</w:t>
      </w:r>
      <w:r w:rsidRPr="2554E4E4">
        <w:rPr>
          <w:spacing w:val="-4"/>
          <w:szCs w:val="26"/>
        </w:rPr>
        <w:t xml:space="preserve"> </w:t>
      </w:r>
      <w:r w:rsidRPr="2554E4E4">
        <w:rPr>
          <w:szCs w:val="26"/>
        </w:rPr>
        <w:t>Consumer</w:t>
      </w:r>
      <w:r w:rsidRPr="2554E4E4">
        <w:rPr>
          <w:spacing w:val="-2"/>
          <w:szCs w:val="26"/>
        </w:rPr>
        <w:t xml:space="preserve"> </w:t>
      </w:r>
      <w:r w:rsidRPr="2554E4E4">
        <w:rPr>
          <w:szCs w:val="26"/>
        </w:rPr>
        <w:t>Price</w:t>
      </w:r>
      <w:r w:rsidRPr="2554E4E4">
        <w:rPr>
          <w:spacing w:val="-4"/>
          <w:szCs w:val="26"/>
        </w:rPr>
        <w:t xml:space="preserve"> </w:t>
      </w:r>
      <w:r w:rsidRPr="2554E4E4">
        <w:rPr>
          <w:szCs w:val="26"/>
        </w:rPr>
        <w:t>Index</w:t>
      </w:r>
      <w:r w:rsidRPr="2554E4E4">
        <w:rPr>
          <w:spacing w:val="-1"/>
          <w:szCs w:val="26"/>
        </w:rPr>
        <w:t xml:space="preserve"> </w:t>
      </w:r>
      <w:r w:rsidRPr="2554E4E4">
        <w:rPr>
          <w:szCs w:val="26"/>
        </w:rPr>
        <w:t>for</w:t>
      </w:r>
      <w:r w:rsidRPr="2554E4E4">
        <w:rPr>
          <w:spacing w:val="-3"/>
          <w:szCs w:val="26"/>
        </w:rPr>
        <w:t xml:space="preserve"> </w:t>
      </w:r>
      <w:r w:rsidRPr="2554E4E4">
        <w:rPr>
          <w:szCs w:val="26"/>
        </w:rPr>
        <w:t>the</w:t>
      </w:r>
      <w:r w:rsidRPr="2554E4E4">
        <w:rPr>
          <w:spacing w:val="-4"/>
          <w:szCs w:val="26"/>
        </w:rPr>
        <w:t xml:space="preserve"> </w:t>
      </w:r>
      <w:r w:rsidRPr="2554E4E4">
        <w:rPr>
          <w:szCs w:val="26"/>
        </w:rPr>
        <w:t>following</w:t>
      </w:r>
      <w:r w:rsidRPr="2554E4E4">
        <w:rPr>
          <w:spacing w:val="-4"/>
          <w:szCs w:val="26"/>
        </w:rPr>
        <w:t xml:space="preserve"> </w:t>
      </w:r>
      <w:r w:rsidRPr="2554E4E4">
        <w:rPr>
          <w:szCs w:val="26"/>
        </w:rPr>
        <w:t>calendar</w:t>
      </w:r>
      <w:r w:rsidRPr="2554E4E4">
        <w:rPr>
          <w:spacing w:val="-3"/>
          <w:szCs w:val="26"/>
        </w:rPr>
        <w:t xml:space="preserve"> </w:t>
      </w:r>
      <w:r w:rsidRPr="2554E4E4">
        <w:rPr>
          <w:szCs w:val="26"/>
        </w:rPr>
        <w:t>year</w:t>
      </w:r>
      <w:r w:rsidRPr="2554E4E4">
        <w:rPr>
          <w:spacing w:val="-3"/>
          <w:szCs w:val="26"/>
        </w:rPr>
        <w:t xml:space="preserve"> </w:t>
      </w:r>
      <w:r w:rsidRPr="2554E4E4">
        <w:rPr>
          <w:szCs w:val="26"/>
        </w:rPr>
        <w:t>with an offsetting productivity factor of 0.5</w:t>
      </w:r>
      <w:r w:rsidR="00730ADE">
        <w:rPr>
          <w:szCs w:val="26"/>
        </w:rPr>
        <w:t> percent</w:t>
      </w:r>
      <w:r w:rsidRPr="2554E4E4">
        <w:rPr>
          <w:szCs w:val="26"/>
        </w:rPr>
        <w:t>; or (</w:t>
      </w:r>
      <w:r w:rsidR="005A1123">
        <w:rPr>
          <w:szCs w:val="26"/>
        </w:rPr>
        <w:t>2</w:t>
      </w:r>
      <w:r w:rsidRPr="2554E4E4">
        <w:rPr>
          <w:szCs w:val="26"/>
        </w:rPr>
        <w:t>) zero.</w:t>
      </w:r>
    </w:p>
    <w:p w:rsidR="00FB03FD" w:rsidP="006A1B03" w:rsidRDefault="00FB03FD" w14:paraId="0B834363" w14:textId="7B89D4EF">
      <w:pPr>
        <w:pStyle w:val="FoF"/>
        <w:ind w:firstLine="547"/>
      </w:pPr>
      <w:r w:rsidRPr="2554E4E4">
        <w:rPr>
          <w:szCs w:val="26"/>
        </w:rPr>
        <w:t>The</w:t>
      </w:r>
      <w:r w:rsidRPr="2554E4E4">
        <w:rPr>
          <w:spacing w:val="-5"/>
          <w:szCs w:val="26"/>
        </w:rPr>
        <w:t xml:space="preserve"> </w:t>
      </w:r>
      <w:r w:rsidRPr="006A1B03">
        <w:t>ECAC</w:t>
      </w:r>
      <w:r w:rsidRPr="2554E4E4">
        <w:rPr>
          <w:spacing w:val="-4"/>
          <w:szCs w:val="26"/>
        </w:rPr>
        <w:t xml:space="preserve"> </w:t>
      </w:r>
      <w:r w:rsidRPr="2554E4E4">
        <w:rPr>
          <w:szCs w:val="26"/>
        </w:rPr>
        <w:t>and</w:t>
      </w:r>
      <w:r w:rsidRPr="2554E4E4">
        <w:rPr>
          <w:spacing w:val="-2"/>
          <w:szCs w:val="26"/>
        </w:rPr>
        <w:t xml:space="preserve"> </w:t>
      </w:r>
      <w:r w:rsidRPr="2554E4E4">
        <w:rPr>
          <w:szCs w:val="26"/>
        </w:rPr>
        <w:t>PTAM</w:t>
      </w:r>
      <w:r w:rsidRPr="2554E4E4">
        <w:rPr>
          <w:spacing w:val="-5"/>
          <w:szCs w:val="26"/>
        </w:rPr>
        <w:t xml:space="preserve"> </w:t>
      </w:r>
      <w:r w:rsidRPr="2554E4E4">
        <w:rPr>
          <w:szCs w:val="26"/>
        </w:rPr>
        <w:t>are</w:t>
      </w:r>
      <w:r w:rsidRPr="2554E4E4">
        <w:rPr>
          <w:spacing w:val="-4"/>
          <w:szCs w:val="26"/>
        </w:rPr>
        <w:t xml:space="preserve"> </w:t>
      </w:r>
      <w:r w:rsidRPr="2554E4E4" w:rsidR="00C24E0E">
        <w:rPr>
          <w:szCs w:val="26"/>
        </w:rPr>
        <w:t>efficient</w:t>
      </w:r>
      <w:r w:rsidRPr="2554E4E4">
        <w:rPr>
          <w:spacing w:val="-3"/>
          <w:szCs w:val="26"/>
        </w:rPr>
        <w:t xml:space="preserve"> </w:t>
      </w:r>
      <w:r w:rsidRPr="2554E4E4">
        <w:rPr>
          <w:szCs w:val="26"/>
        </w:rPr>
        <w:t>means</w:t>
      </w:r>
      <w:r w:rsidRPr="2554E4E4">
        <w:rPr>
          <w:spacing w:val="-4"/>
          <w:szCs w:val="26"/>
        </w:rPr>
        <w:t xml:space="preserve"> </w:t>
      </w:r>
      <w:r w:rsidRPr="2554E4E4">
        <w:rPr>
          <w:szCs w:val="26"/>
        </w:rPr>
        <w:t>for</w:t>
      </w:r>
      <w:r w:rsidRPr="2554E4E4">
        <w:rPr>
          <w:spacing w:val="-4"/>
          <w:szCs w:val="26"/>
        </w:rPr>
        <w:t xml:space="preserve"> </w:t>
      </w:r>
      <w:r w:rsidRPr="2554E4E4">
        <w:rPr>
          <w:szCs w:val="26"/>
        </w:rPr>
        <w:t>setting</w:t>
      </w:r>
      <w:r w:rsidRPr="2554E4E4">
        <w:rPr>
          <w:spacing w:val="-5"/>
          <w:szCs w:val="26"/>
        </w:rPr>
        <w:t xml:space="preserve"> </w:t>
      </w:r>
      <w:r w:rsidRPr="2554E4E4">
        <w:rPr>
          <w:szCs w:val="26"/>
        </w:rPr>
        <w:t>fair</w:t>
      </w:r>
      <w:r w:rsidRPr="2554E4E4">
        <w:rPr>
          <w:spacing w:val="-4"/>
          <w:szCs w:val="26"/>
        </w:rPr>
        <w:t xml:space="preserve"> </w:t>
      </w:r>
      <w:r w:rsidRPr="2554E4E4">
        <w:rPr>
          <w:szCs w:val="26"/>
        </w:rPr>
        <w:t>and</w:t>
      </w:r>
      <w:r w:rsidRPr="2554E4E4">
        <w:rPr>
          <w:spacing w:val="-5"/>
          <w:szCs w:val="26"/>
        </w:rPr>
        <w:t xml:space="preserve"> </w:t>
      </w:r>
      <w:r w:rsidRPr="2554E4E4">
        <w:rPr>
          <w:szCs w:val="26"/>
        </w:rPr>
        <w:t xml:space="preserve">reasonable </w:t>
      </w:r>
      <w:r w:rsidRPr="2554E4E4">
        <w:rPr>
          <w:spacing w:val="-2"/>
          <w:szCs w:val="26"/>
        </w:rPr>
        <w:t>rates.</w:t>
      </w:r>
    </w:p>
    <w:p w:rsidR="00C24E0E" w:rsidP="006A1B03" w:rsidRDefault="00FB03FD" w14:paraId="2466E8A0" w14:textId="509D8BCC">
      <w:pPr>
        <w:pStyle w:val="FoF"/>
        <w:ind w:firstLine="547"/>
      </w:pPr>
      <w:r w:rsidRPr="00FB03FD">
        <w:rPr>
          <w:szCs w:val="26"/>
        </w:rPr>
        <w:t xml:space="preserve">The </w:t>
      </w:r>
      <w:r w:rsidRPr="006A1B03">
        <w:t>Jurisdictional</w:t>
      </w:r>
      <w:r w:rsidRPr="00FB03FD">
        <w:rPr>
          <w:szCs w:val="26"/>
        </w:rPr>
        <w:t xml:space="preserve"> Allocation Methodology proposed by PacifiCorp was uncontested and </w:t>
      </w:r>
      <w:r w:rsidRPr="2554E4E4">
        <w:rPr>
          <w:szCs w:val="26"/>
        </w:rPr>
        <w:t>results</w:t>
      </w:r>
      <w:r w:rsidRPr="2554E4E4">
        <w:rPr>
          <w:spacing w:val="-5"/>
          <w:szCs w:val="26"/>
        </w:rPr>
        <w:t xml:space="preserve"> </w:t>
      </w:r>
      <w:r w:rsidRPr="2554E4E4">
        <w:rPr>
          <w:szCs w:val="26"/>
        </w:rPr>
        <w:t>in</w:t>
      </w:r>
      <w:r w:rsidRPr="2554E4E4">
        <w:rPr>
          <w:spacing w:val="-5"/>
          <w:szCs w:val="26"/>
        </w:rPr>
        <w:t xml:space="preserve"> </w:t>
      </w:r>
      <w:r w:rsidRPr="2554E4E4">
        <w:rPr>
          <w:szCs w:val="26"/>
        </w:rPr>
        <w:t>California</w:t>
      </w:r>
      <w:r w:rsidRPr="2554E4E4">
        <w:rPr>
          <w:spacing w:val="-5"/>
          <w:szCs w:val="26"/>
        </w:rPr>
        <w:t xml:space="preserve"> </w:t>
      </w:r>
      <w:r w:rsidRPr="2554E4E4">
        <w:rPr>
          <w:szCs w:val="26"/>
        </w:rPr>
        <w:t>ratepayers</w:t>
      </w:r>
      <w:r w:rsidRPr="2554E4E4">
        <w:rPr>
          <w:spacing w:val="-2"/>
          <w:szCs w:val="26"/>
        </w:rPr>
        <w:t xml:space="preserve"> </w:t>
      </w:r>
      <w:r w:rsidRPr="2554E4E4">
        <w:rPr>
          <w:szCs w:val="26"/>
        </w:rPr>
        <w:t>paying</w:t>
      </w:r>
      <w:r w:rsidRPr="2554E4E4">
        <w:rPr>
          <w:spacing w:val="-2"/>
          <w:szCs w:val="26"/>
        </w:rPr>
        <w:t xml:space="preserve"> </w:t>
      </w:r>
      <w:r w:rsidRPr="2554E4E4">
        <w:rPr>
          <w:szCs w:val="26"/>
        </w:rPr>
        <w:t>an</w:t>
      </w:r>
      <w:r w:rsidRPr="2554E4E4">
        <w:rPr>
          <w:spacing w:val="-5"/>
          <w:szCs w:val="26"/>
        </w:rPr>
        <w:t xml:space="preserve"> </w:t>
      </w:r>
      <w:r w:rsidRPr="2554E4E4">
        <w:rPr>
          <w:szCs w:val="26"/>
        </w:rPr>
        <w:t>appropriate</w:t>
      </w:r>
      <w:r w:rsidRPr="2554E4E4">
        <w:rPr>
          <w:spacing w:val="-5"/>
          <w:szCs w:val="26"/>
        </w:rPr>
        <w:t xml:space="preserve"> </w:t>
      </w:r>
      <w:r w:rsidRPr="2554E4E4">
        <w:rPr>
          <w:szCs w:val="26"/>
        </w:rPr>
        <w:t>share</w:t>
      </w:r>
      <w:r w:rsidRPr="2554E4E4">
        <w:rPr>
          <w:spacing w:val="-5"/>
          <w:szCs w:val="26"/>
        </w:rPr>
        <w:t xml:space="preserve"> </w:t>
      </w:r>
      <w:r w:rsidRPr="2554E4E4">
        <w:rPr>
          <w:szCs w:val="26"/>
        </w:rPr>
        <w:t>of</w:t>
      </w:r>
      <w:r w:rsidRPr="2554E4E4">
        <w:rPr>
          <w:spacing w:val="-4"/>
          <w:szCs w:val="26"/>
        </w:rPr>
        <w:t xml:space="preserve"> </w:t>
      </w:r>
      <w:r w:rsidRPr="2554E4E4">
        <w:rPr>
          <w:szCs w:val="26"/>
        </w:rPr>
        <w:t>system- wide costs and just and reasonable rates</w:t>
      </w:r>
      <w:r w:rsidR="00C064AA">
        <w:rPr>
          <w:szCs w:val="26"/>
        </w:rPr>
        <w:t xml:space="preserve"> during this GRC period</w:t>
      </w:r>
      <w:r w:rsidRPr="2554E4E4">
        <w:rPr>
          <w:szCs w:val="26"/>
        </w:rPr>
        <w:t>.</w:t>
      </w:r>
    </w:p>
    <w:p w:rsidR="00C24E0E" w:rsidP="006A1B03" w:rsidRDefault="00C24E0E" w14:paraId="4DCC19BA" w14:textId="77777777">
      <w:pPr>
        <w:pStyle w:val="FoF"/>
        <w:ind w:firstLine="547"/>
      </w:pPr>
      <w:r w:rsidRPr="2554E4E4">
        <w:rPr>
          <w:szCs w:val="26"/>
        </w:rPr>
        <w:t xml:space="preserve">The 2020 </w:t>
      </w:r>
      <w:r w:rsidRPr="006A1B03">
        <w:t>Interjurisdictional</w:t>
      </w:r>
      <w:r w:rsidRPr="2554E4E4">
        <w:rPr>
          <w:szCs w:val="26"/>
        </w:rPr>
        <w:t xml:space="preserve"> Cost Allocation Protocol (2020 Protocol) provides for just and reasonable rates for California ratepayers.</w:t>
      </w:r>
    </w:p>
    <w:p w:rsidRPr="00AC5455" w:rsidR="00AC5455" w:rsidP="006A1B03" w:rsidRDefault="00C24E0E" w14:paraId="036A5B3E" w14:textId="77777777">
      <w:pPr>
        <w:pStyle w:val="FoF"/>
        <w:ind w:firstLine="547"/>
        <w:rPr>
          <w:szCs w:val="26"/>
        </w:rPr>
      </w:pPr>
      <w:r w:rsidRPr="2554E4E4">
        <w:rPr>
          <w:szCs w:val="26"/>
        </w:rPr>
        <w:t xml:space="preserve">The </w:t>
      </w:r>
      <w:r w:rsidRPr="006A1B03">
        <w:t>2020</w:t>
      </w:r>
      <w:r w:rsidRPr="2554E4E4">
        <w:rPr>
          <w:szCs w:val="26"/>
        </w:rPr>
        <w:t xml:space="preserve"> Protocol reflects differing regulations of coal-fired units across California, Washington, Oregon, and Wyoming.</w:t>
      </w:r>
    </w:p>
    <w:p w:rsidR="00BD7EEA" w:rsidP="00242BB4" w:rsidRDefault="00A17BE5" w14:paraId="436EC246" w14:textId="0F57D511">
      <w:pPr>
        <w:pStyle w:val="FoF"/>
        <w:ind w:firstLine="547"/>
        <w:rPr>
          <w:szCs w:val="26"/>
        </w:rPr>
      </w:pPr>
      <w:r w:rsidRPr="2554E4E4">
        <w:rPr>
          <w:szCs w:val="26"/>
        </w:rPr>
        <w:t xml:space="preserve">The </w:t>
      </w:r>
      <w:r w:rsidRPr="006A1B03">
        <w:t>Commission</w:t>
      </w:r>
      <w:r w:rsidRPr="2554E4E4">
        <w:rPr>
          <w:szCs w:val="26"/>
        </w:rPr>
        <w:t xml:space="preserve"> recently reduced the return on equity the large </w:t>
      </w:r>
      <w:r w:rsidRPr="2554E4E4" w:rsidR="00BD7EEA">
        <w:rPr>
          <w:szCs w:val="26"/>
        </w:rPr>
        <w:t xml:space="preserve">energy </w:t>
      </w:r>
      <w:r w:rsidRPr="2554E4E4">
        <w:rPr>
          <w:szCs w:val="26"/>
        </w:rPr>
        <w:t>IOUs may collect</w:t>
      </w:r>
      <w:r w:rsidR="001E1CC3">
        <w:rPr>
          <w:szCs w:val="26"/>
        </w:rPr>
        <w:t xml:space="preserve"> for 2023</w:t>
      </w:r>
      <w:r w:rsidRPr="2554E4E4">
        <w:rPr>
          <w:szCs w:val="26"/>
        </w:rPr>
        <w:t xml:space="preserve"> in D.</w:t>
      </w:r>
      <w:r w:rsidRPr="2554E4E4" w:rsidR="00BD7EEA">
        <w:rPr>
          <w:szCs w:val="26"/>
        </w:rPr>
        <w:t>22-12-031, as corrected in D.23-01-002 and upheld in D.23</w:t>
      </w:r>
      <w:r w:rsidR="00CF2AF9">
        <w:rPr>
          <w:szCs w:val="26"/>
        </w:rPr>
        <w:noBreakHyphen/>
      </w:r>
      <w:r w:rsidRPr="2554E4E4" w:rsidR="00BD7EEA">
        <w:rPr>
          <w:szCs w:val="26"/>
        </w:rPr>
        <w:t>08-028.</w:t>
      </w:r>
      <w:r w:rsidRPr="2554E4E4">
        <w:rPr>
          <w:szCs w:val="26"/>
        </w:rPr>
        <w:t xml:space="preserve"> </w:t>
      </w:r>
    </w:p>
    <w:p w:rsidRPr="00037765" w:rsidR="00FB03FD" w:rsidP="006A1B03" w:rsidRDefault="00C24E0E" w14:paraId="628FDF29" w14:textId="27109688">
      <w:pPr>
        <w:pStyle w:val="FoF"/>
        <w:ind w:firstLine="547"/>
        <w:rPr>
          <w:szCs w:val="26"/>
        </w:rPr>
      </w:pPr>
      <w:r w:rsidRPr="006A1B03">
        <w:t>PacifiCorp’s</w:t>
      </w:r>
      <w:r>
        <w:rPr>
          <w:szCs w:val="26"/>
        </w:rPr>
        <w:t xml:space="preserve"> current </w:t>
      </w:r>
      <w:r w:rsidRPr="00FB03FD" w:rsidR="00FB03FD">
        <w:rPr>
          <w:szCs w:val="26"/>
        </w:rPr>
        <w:t>10</w:t>
      </w:r>
      <w:r w:rsidR="00730ADE">
        <w:rPr>
          <w:szCs w:val="26"/>
        </w:rPr>
        <w:t> percent</w:t>
      </w:r>
      <w:r w:rsidRPr="00FB03FD" w:rsidR="00FB03FD">
        <w:rPr>
          <w:szCs w:val="26"/>
        </w:rPr>
        <w:t xml:space="preserve"> return on equity,</w:t>
      </w:r>
      <w:r>
        <w:rPr>
          <w:szCs w:val="26"/>
        </w:rPr>
        <w:t xml:space="preserve"> as adopted in D.</w:t>
      </w:r>
      <w:r w:rsidRPr="00FB03FD" w:rsidR="00FB03FD">
        <w:rPr>
          <w:szCs w:val="26"/>
        </w:rPr>
        <w:t>20</w:t>
      </w:r>
      <w:r w:rsidR="00F74933">
        <w:rPr>
          <w:szCs w:val="26"/>
        </w:rPr>
        <w:noBreakHyphen/>
      </w:r>
      <w:r w:rsidRPr="00FB03FD" w:rsidR="00FB03FD">
        <w:rPr>
          <w:szCs w:val="26"/>
        </w:rPr>
        <w:t>02</w:t>
      </w:r>
      <w:r w:rsidR="00F74933">
        <w:rPr>
          <w:szCs w:val="26"/>
        </w:rPr>
        <w:noBreakHyphen/>
      </w:r>
      <w:r w:rsidRPr="00FB03FD" w:rsidR="00FB03FD">
        <w:rPr>
          <w:szCs w:val="26"/>
        </w:rPr>
        <w:t>025</w:t>
      </w:r>
      <w:r>
        <w:rPr>
          <w:szCs w:val="26"/>
        </w:rPr>
        <w:t>, is reasonable</w:t>
      </w:r>
      <w:r w:rsidR="00BD7EEA">
        <w:rPr>
          <w:szCs w:val="26"/>
        </w:rPr>
        <w:t xml:space="preserve"> and in line with those recently adopted by the Commission for the large energy IOUs</w:t>
      </w:r>
      <w:r w:rsidR="001E1CC3">
        <w:rPr>
          <w:szCs w:val="26"/>
        </w:rPr>
        <w:t xml:space="preserve"> for 2023</w:t>
      </w:r>
      <w:r w:rsidRPr="00FB03FD" w:rsidR="00FB03FD">
        <w:rPr>
          <w:spacing w:val="-2"/>
          <w:szCs w:val="26"/>
        </w:rPr>
        <w:t>.</w:t>
      </w:r>
    </w:p>
    <w:p w:rsidR="00037765" w:rsidP="006A1B03" w:rsidRDefault="00037765" w14:paraId="38FB1E19" w14:textId="77777777">
      <w:pPr>
        <w:pStyle w:val="FoF"/>
        <w:ind w:firstLine="547"/>
      </w:pPr>
      <w:r w:rsidRPr="2554E4E4">
        <w:rPr>
          <w:szCs w:val="26"/>
        </w:rPr>
        <w:t>The</w:t>
      </w:r>
      <w:r w:rsidRPr="2554E4E4">
        <w:rPr>
          <w:spacing w:val="-6"/>
          <w:szCs w:val="26"/>
        </w:rPr>
        <w:t xml:space="preserve"> </w:t>
      </w:r>
      <w:r w:rsidRPr="006A1B03">
        <w:t>following</w:t>
      </w:r>
      <w:r w:rsidRPr="2554E4E4">
        <w:rPr>
          <w:spacing w:val="-6"/>
          <w:szCs w:val="26"/>
        </w:rPr>
        <w:t xml:space="preserve"> </w:t>
      </w:r>
      <w:r w:rsidRPr="2554E4E4">
        <w:rPr>
          <w:szCs w:val="26"/>
        </w:rPr>
        <w:t>elements</w:t>
      </w:r>
      <w:r w:rsidRPr="2554E4E4">
        <w:rPr>
          <w:spacing w:val="-6"/>
          <w:szCs w:val="26"/>
        </w:rPr>
        <w:t xml:space="preserve"> </w:t>
      </w:r>
      <w:r w:rsidRPr="2554E4E4">
        <w:rPr>
          <w:szCs w:val="26"/>
        </w:rPr>
        <w:t>of</w:t>
      </w:r>
      <w:r w:rsidRPr="2554E4E4">
        <w:rPr>
          <w:spacing w:val="-6"/>
          <w:szCs w:val="26"/>
        </w:rPr>
        <w:t xml:space="preserve"> </w:t>
      </w:r>
      <w:r w:rsidRPr="2554E4E4">
        <w:rPr>
          <w:szCs w:val="26"/>
        </w:rPr>
        <w:t>PacifiCorp’s</w:t>
      </w:r>
      <w:r w:rsidRPr="2554E4E4">
        <w:rPr>
          <w:spacing w:val="-6"/>
          <w:szCs w:val="26"/>
        </w:rPr>
        <w:t xml:space="preserve"> </w:t>
      </w:r>
      <w:r w:rsidRPr="2554E4E4">
        <w:rPr>
          <w:szCs w:val="26"/>
        </w:rPr>
        <w:t>revenue</w:t>
      </w:r>
      <w:r w:rsidRPr="2554E4E4">
        <w:rPr>
          <w:spacing w:val="-6"/>
          <w:szCs w:val="26"/>
        </w:rPr>
        <w:t xml:space="preserve"> </w:t>
      </w:r>
      <w:r w:rsidRPr="2554E4E4">
        <w:rPr>
          <w:szCs w:val="26"/>
        </w:rPr>
        <w:t>requirement</w:t>
      </w:r>
      <w:r w:rsidRPr="2554E4E4">
        <w:rPr>
          <w:spacing w:val="-3"/>
          <w:szCs w:val="26"/>
        </w:rPr>
        <w:t xml:space="preserve"> </w:t>
      </w:r>
      <w:r w:rsidRPr="2554E4E4">
        <w:rPr>
          <w:szCs w:val="26"/>
        </w:rPr>
        <w:t>are</w:t>
      </w:r>
      <w:r w:rsidRPr="2554E4E4">
        <w:rPr>
          <w:spacing w:val="-6"/>
          <w:szCs w:val="26"/>
        </w:rPr>
        <w:t xml:space="preserve"> </w:t>
      </w:r>
      <w:r w:rsidRPr="2554E4E4">
        <w:rPr>
          <w:szCs w:val="26"/>
        </w:rPr>
        <w:t xml:space="preserve">not </w:t>
      </w:r>
      <w:r w:rsidRPr="2554E4E4">
        <w:rPr>
          <w:spacing w:val="-2"/>
          <w:szCs w:val="26"/>
        </w:rPr>
        <w:t>contested:</w:t>
      </w:r>
    </w:p>
    <w:p w:rsidR="00037765" w:rsidP="00CF2AF9" w:rsidRDefault="00037765" w14:paraId="14BE7778" w14:textId="77777777">
      <w:pPr>
        <w:pStyle w:val="ListParagraph"/>
        <w:numPr>
          <w:ilvl w:val="1"/>
          <w:numId w:val="11"/>
        </w:numPr>
        <w:tabs>
          <w:tab w:val="left" w:pos="1300"/>
        </w:tabs>
        <w:spacing w:after="120"/>
        <w:ind w:left="1080" w:right="1440"/>
        <w:rPr>
          <w:sz w:val="26"/>
        </w:rPr>
      </w:pPr>
      <w:r w:rsidRPr="0A9A644B">
        <w:rPr>
          <w:sz w:val="26"/>
          <w:szCs w:val="26"/>
        </w:rPr>
        <w:t>Methodologies</w:t>
      </w:r>
      <w:r w:rsidRPr="0A9A644B">
        <w:rPr>
          <w:spacing w:val="-11"/>
          <w:sz w:val="26"/>
          <w:szCs w:val="26"/>
        </w:rPr>
        <w:t xml:space="preserve"> </w:t>
      </w:r>
      <w:r w:rsidRPr="0A9A644B">
        <w:rPr>
          <w:sz w:val="26"/>
          <w:szCs w:val="26"/>
        </w:rPr>
        <w:t>for</w:t>
      </w:r>
      <w:r w:rsidRPr="0A9A644B">
        <w:rPr>
          <w:spacing w:val="-11"/>
          <w:sz w:val="26"/>
          <w:szCs w:val="26"/>
        </w:rPr>
        <w:t xml:space="preserve"> </w:t>
      </w:r>
      <w:r w:rsidRPr="0A9A644B">
        <w:rPr>
          <w:sz w:val="26"/>
          <w:szCs w:val="26"/>
        </w:rPr>
        <w:t>computing</w:t>
      </w:r>
      <w:r w:rsidRPr="0A9A644B">
        <w:rPr>
          <w:spacing w:val="-8"/>
          <w:sz w:val="26"/>
          <w:szCs w:val="26"/>
        </w:rPr>
        <w:t xml:space="preserve"> </w:t>
      </w:r>
      <w:r w:rsidRPr="0A9A644B">
        <w:rPr>
          <w:sz w:val="26"/>
          <w:szCs w:val="26"/>
        </w:rPr>
        <w:t>and</w:t>
      </w:r>
      <w:r w:rsidRPr="0A9A644B">
        <w:rPr>
          <w:spacing w:val="-12"/>
          <w:sz w:val="26"/>
          <w:szCs w:val="26"/>
        </w:rPr>
        <w:t xml:space="preserve"> </w:t>
      </w:r>
      <w:r w:rsidRPr="0A9A644B">
        <w:rPr>
          <w:sz w:val="26"/>
          <w:szCs w:val="26"/>
        </w:rPr>
        <w:t>forecasting</w:t>
      </w:r>
      <w:r w:rsidRPr="0A9A644B">
        <w:rPr>
          <w:spacing w:val="-9"/>
          <w:sz w:val="26"/>
          <w:szCs w:val="26"/>
        </w:rPr>
        <w:t xml:space="preserve"> </w:t>
      </w:r>
      <w:r w:rsidRPr="0A9A644B">
        <w:rPr>
          <w:spacing w:val="-2"/>
          <w:sz w:val="26"/>
          <w:szCs w:val="26"/>
        </w:rPr>
        <w:t>taxes;</w:t>
      </w:r>
    </w:p>
    <w:p w:rsidR="00037765" w:rsidP="00CF2AF9" w:rsidRDefault="00037765" w14:paraId="69F9F23C" w14:textId="77777777">
      <w:pPr>
        <w:pStyle w:val="ListParagraph"/>
        <w:numPr>
          <w:ilvl w:val="1"/>
          <w:numId w:val="11"/>
        </w:numPr>
        <w:tabs>
          <w:tab w:val="left" w:pos="1300"/>
        </w:tabs>
        <w:spacing w:after="120"/>
        <w:ind w:left="1080" w:right="1440"/>
        <w:rPr>
          <w:sz w:val="26"/>
        </w:rPr>
      </w:pPr>
      <w:r w:rsidRPr="2554E4E4">
        <w:rPr>
          <w:sz w:val="26"/>
          <w:szCs w:val="26"/>
        </w:rPr>
        <w:t>Cash working capital calculations; and</w:t>
      </w:r>
    </w:p>
    <w:p w:rsidRPr="00CF2AF9" w:rsidR="00037765" w:rsidP="00812371" w:rsidRDefault="00037765" w14:paraId="239F7FEB" w14:textId="2FE4321B">
      <w:pPr>
        <w:pStyle w:val="ListParagraph"/>
        <w:keepLines/>
        <w:numPr>
          <w:ilvl w:val="1"/>
          <w:numId w:val="11"/>
        </w:numPr>
        <w:tabs>
          <w:tab w:val="left" w:pos="1300"/>
        </w:tabs>
        <w:spacing w:after="120"/>
        <w:ind w:left="1080" w:right="1440"/>
        <w:rPr>
          <w:sz w:val="26"/>
        </w:rPr>
      </w:pPr>
      <w:r w:rsidRPr="00CF2AF9">
        <w:rPr>
          <w:sz w:val="26"/>
          <w:szCs w:val="26"/>
        </w:rPr>
        <w:t>Labor</w:t>
      </w:r>
      <w:r w:rsidRPr="00CF2AF9">
        <w:rPr>
          <w:spacing w:val="-4"/>
          <w:sz w:val="26"/>
          <w:szCs w:val="26"/>
        </w:rPr>
        <w:t xml:space="preserve"> </w:t>
      </w:r>
      <w:r w:rsidRPr="00CF2AF9">
        <w:rPr>
          <w:sz w:val="26"/>
          <w:szCs w:val="26"/>
        </w:rPr>
        <w:t>(based</w:t>
      </w:r>
      <w:r w:rsidRPr="00CF2AF9">
        <w:rPr>
          <w:spacing w:val="-6"/>
          <w:sz w:val="26"/>
          <w:szCs w:val="26"/>
        </w:rPr>
        <w:t xml:space="preserve"> </w:t>
      </w:r>
      <w:r w:rsidRPr="00CF2AF9">
        <w:rPr>
          <w:sz w:val="26"/>
          <w:szCs w:val="26"/>
        </w:rPr>
        <w:t>on</w:t>
      </w:r>
      <w:r w:rsidRPr="00CF2AF9">
        <w:rPr>
          <w:spacing w:val="-5"/>
          <w:sz w:val="26"/>
          <w:szCs w:val="26"/>
        </w:rPr>
        <w:t xml:space="preserve"> </w:t>
      </w:r>
      <w:r w:rsidRPr="00CF2AF9">
        <w:rPr>
          <w:sz w:val="26"/>
          <w:szCs w:val="26"/>
        </w:rPr>
        <w:t>actual</w:t>
      </w:r>
      <w:r w:rsidRPr="00CF2AF9">
        <w:rPr>
          <w:spacing w:val="-7"/>
          <w:sz w:val="26"/>
          <w:szCs w:val="26"/>
        </w:rPr>
        <w:t xml:space="preserve"> </w:t>
      </w:r>
      <w:r w:rsidRPr="00CF2AF9">
        <w:rPr>
          <w:sz w:val="26"/>
          <w:szCs w:val="26"/>
        </w:rPr>
        <w:t>contracts</w:t>
      </w:r>
      <w:r w:rsidRPr="00CF2AF9">
        <w:rPr>
          <w:spacing w:val="-6"/>
          <w:sz w:val="26"/>
          <w:szCs w:val="26"/>
        </w:rPr>
        <w:t xml:space="preserve"> </w:t>
      </w:r>
      <w:r w:rsidRPr="00CF2AF9">
        <w:rPr>
          <w:sz w:val="26"/>
          <w:szCs w:val="26"/>
        </w:rPr>
        <w:t>and</w:t>
      </w:r>
      <w:r w:rsidRPr="00CF2AF9">
        <w:rPr>
          <w:spacing w:val="-6"/>
          <w:sz w:val="26"/>
          <w:szCs w:val="26"/>
        </w:rPr>
        <w:t xml:space="preserve"> </w:t>
      </w:r>
      <w:r w:rsidRPr="00CF2AF9">
        <w:rPr>
          <w:sz w:val="26"/>
          <w:szCs w:val="26"/>
        </w:rPr>
        <w:t>budgeting)</w:t>
      </w:r>
      <w:r w:rsidRPr="00CF2AF9">
        <w:rPr>
          <w:spacing w:val="-3"/>
          <w:sz w:val="26"/>
          <w:szCs w:val="26"/>
        </w:rPr>
        <w:t xml:space="preserve"> </w:t>
      </w:r>
      <w:r w:rsidRPr="00CF2AF9">
        <w:rPr>
          <w:sz w:val="26"/>
          <w:szCs w:val="26"/>
        </w:rPr>
        <w:t>and</w:t>
      </w:r>
      <w:r w:rsidR="00CF2AF9">
        <w:rPr>
          <w:sz w:val="26"/>
          <w:szCs w:val="26"/>
        </w:rPr>
        <w:t xml:space="preserve"> </w:t>
      </w:r>
      <w:r w:rsidRPr="00CF2AF9">
        <w:rPr>
          <w:sz w:val="26"/>
          <w:szCs w:val="26"/>
        </w:rPr>
        <w:t>Nonlabor (based on Global Insight indices) escalation.</w:t>
      </w:r>
    </w:p>
    <w:p w:rsidRPr="00037765" w:rsidR="00E401C8" w:rsidP="00CF2AF9" w:rsidRDefault="00E401C8" w14:paraId="723ACBFE" w14:textId="426B9701">
      <w:pPr>
        <w:pStyle w:val="FoF"/>
        <w:spacing w:before="240"/>
        <w:ind w:firstLine="547"/>
        <w:rPr>
          <w:szCs w:val="26"/>
        </w:rPr>
      </w:pPr>
      <w:r w:rsidRPr="006A1B03">
        <w:t>PacifiCorp’s</w:t>
      </w:r>
      <w:r>
        <w:rPr>
          <w:spacing w:val="-2"/>
          <w:szCs w:val="26"/>
        </w:rPr>
        <w:t xml:space="preserve"> Foote Creek</w:t>
      </w:r>
      <w:r w:rsidR="00CA6EC2">
        <w:rPr>
          <w:spacing w:val="-2"/>
          <w:szCs w:val="26"/>
        </w:rPr>
        <w:t xml:space="preserve"> II-IV</w:t>
      </w:r>
      <w:r>
        <w:rPr>
          <w:spacing w:val="-2"/>
          <w:szCs w:val="26"/>
        </w:rPr>
        <w:t xml:space="preserve"> Project </w:t>
      </w:r>
      <w:r w:rsidR="00DC081A">
        <w:rPr>
          <w:spacing w:val="-2"/>
          <w:szCs w:val="26"/>
        </w:rPr>
        <w:t>came online on November 21, 2023, providing service to customers for approximately six weeks of TY 2023</w:t>
      </w:r>
      <w:r>
        <w:rPr>
          <w:spacing w:val="-2"/>
          <w:szCs w:val="26"/>
        </w:rPr>
        <w:t>.</w:t>
      </w:r>
    </w:p>
    <w:p w:rsidRPr="00037765" w:rsidR="00037765" w:rsidP="006A1B03" w:rsidRDefault="00037765" w14:paraId="2CCD5A89" w14:textId="0D2ED00E">
      <w:pPr>
        <w:pStyle w:val="FoF"/>
        <w:ind w:firstLine="547"/>
        <w:rPr>
          <w:szCs w:val="26"/>
        </w:rPr>
      </w:pPr>
      <w:r w:rsidRPr="006A1B03">
        <w:t>PacifiCorp</w:t>
      </w:r>
      <w:r>
        <w:rPr>
          <w:spacing w:val="-2"/>
          <w:szCs w:val="26"/>
        </w:rPr>
        <w:t xml:space="preserve"> requested to </w:t>
      </w:r>
      <w:r w:rsidR="001E1CC3">
        <w:rPr>
          <w:spacing w:val="-2"/>
          <w:szCs w:val="26"/>
        </w:rPr>
        <w:t xml:space="preserve">include </w:t>
      </w:r>
      <w:r>
        <w:rPr>
          <w:spacing w:val="-2"/>
          <w:szCs w:val="26"/>
        </w:rPr>
        <w:t>$1.125</w:t>
      </w:r>
      <w:r w:rsidR="00730ADE">
        <w:rPr>
          <w:spacing w:val="-2"/>
          <w:szCs w:val="26"/>
        </w:rPr>
        <w:t> million</w:t>
      </w:r>
      <w:r>
        <w:rPr>
          <w:spacing w:val="-2"/>
          <w:szCs w:val="26"/>
        </w:rPr>
        <w:t xml:space="preserve"> </w:t>
      </w:r>
      <w:r w:rsidR="001E1CC3">
        <w:rPr>
          <w:spacing w:val="-2"/>
          <w:szCs w:val="26"/>
        </w:rPr>
        <w:t xml:space="preserve">in capital costs </w:t>
      </w:r>
      <w:r>
        <w:rPr>
          <w:spacing w:val="-2"/>
          <w:szCs w:val="26"/>
        </w:rPr>
        <w:t>associated with the Foote</w:t>
      </w:r>
      <w:r w:rsidR="00812371">
        <w:rPr>
          <w:spacing w:val="-2"/>
          <w:szCs w:val="26"/>
        </w:rPr>
        <w:t> </w:t>
      </w:r>
      <w:r>
        <w:rPr>
          <w:spacing w:val="-2"/>
          <w:szCs w:val="26"/>
        </w:rPr>
        <w:t>Creek II-IV project in rates.</w:t>
      </w:r>
    </w:p>
    <w:p w:rsidRPr="002E4918" w:rsidR="00E401C8" w:rsidP="006A1B03" w:rsidRDefault="00E401C8" w14:paraId="4BAFF25E" w14:textId="44E22479">
      <w:pPr>
        <w:pStyle w:val="FoF"/>
        <w:ind w:firstLine="547"/>
        <w:rPr>
          <w:szCs w:val="26"/>
        </w:rPr>
      </w:pPr>
      <w:r>
        <w:rPr>
          <w:spacing w:val="-2"/>
          <w:szCs w:val="26"/>
        </w:rPr>
        <w:t xml:space="preserve">The </w:t>
      </w:r>
      <w:r w:rsidRPr="006A1B03">
        <w:t>PTAM</w:t>
      </w:r>
      <w:r>
        <w:rPr>
          <w:spacing w:val="-2"/>
          <w:szCs w:val="26"/>
        </w:rPr>
        <w:t xml:space="preserve"> provides an efficient mechanism for new capital additions to be added to PacifiCorp’s revenue requirement, so long as </w:t>
      </w:r>
      <w:r w:rsidRPr="00E401C8">
        <w:rPr>
          <w:spacing w:val="-2"/>
          <w:szCs w:val="26"/>
        </w:rPr>
        <w:t xml:space="preserve">the requested adjustment is based on actual cost data and in-service dates </w:t>
      </w:r>
      <w:r>
        <w:rPr>
          <w:spacing w:val="-2"/>
          <w:szCs w:val="26"/>
        </w:rPr>
        <w:t>and the costs allocated to California ratepayers are appropriate.</w:t>
      </w:r>
    </w:p>
    <w:p w:rsidRPr="00C24E0E" w:rsidR="00C24E0E" w:rsidP="006A1B03" w:rsidRDefault="00C24E0E" w14:paraId="0CC563CB" w14:textId="6B016ED0">
      <w:pPr>
        <w:pStyle w:val="FoF"/>
        <w:ind w:firstLine="547"/>
        <w:rPr>
          <w:szCs w:val="26"/>
        </w:rPr>
      </w:pPr>
      <w:r>
        <w:rPr>
          <w:spacing w:val="-2"/>
          <w:szCs w:val="26"/>
        </w:rPr>
        <w:t xml:space="preserve">The </w:t>
      </w:r>
      <w:r w:rsidRPr="006A1B03">
        <w:t>Commission</w:t>
      </w:r>
      <w:r>
        <w:rPr>
          <w:spacing w:val="-2"/>
          <w:szCs w:val="26"/>
        </w:rPr>
        <w:t xml:space="preserve"> uses the Straight-line Remining Life depreciation method described by Standard Practice U-4.</w:t>
      </w:r>
    </w:p>
    <w:p w:rsidRPr="00CD7987" w:rsidR="00C24E0E" w:rsidP="006A1B03" w:rsidRDefault="00C24E0E" w14:paraId="28C2BDDB" w14:textId="6FA235F1">
      <w:pPr>
        <w:pStyle w:val="FoF"/>
        <w:ind w:firstLine="547"/>
        <w:rPr>
          <w:szCs w:val="26"/>
        </w:rPr>
      </w:pPr>
      <w:r>
        <w:rPr>
          <w:spacing w:val="-2"/>
          <w:szCs w:val="26"/>
        </w:rPr>
        <w:t xml:space="preserve">The asset lives </w:t>
      </w:r>
      <w:r w:rsidR="00266DE6">
        <w:rPr>
          <w:spacing w:val="-2"/>
          <w:szCs w:val="26"/>
        </w:rPr>
        <w:t>of</w:t>
      </w:r>
      <w:r>
        <w:rPr>
          <w:spacing w:val="-2"/>
          <w:szCs w:val="26"/>
        </w:rPr>
        <w:t xml:space="preserve"> PacifiCorp’s coal burning power plants are based on a</w:t>
      </w:r>
      <w:r w:rsidR="00CD7987">
        <w:rPr>
          <w:spacing w:val="-2"/>
          <w:szCs w:val="26"/>
        </w:rPr>
        <w:t xml:space="preserve"> 2018 Depreciation Study that was used to develop the utility’s 2021 IRP.</w:t>
      </w:r>
    </w:p>
    <w:p w:rsidRPr="00CD7987" w:rsidR="00CD7987" w:rsidP="006A1B03" w:rsidRDefault="00CD7987" w14:paraId="5C80855D" w14:textId="73C05DFE">
      <w:pPr>
        <w:pStyle w:val="FoF"/>
        <w:ind w:firstLine="547"/>
        <w:rPr>
          <w:szCs w:val="26"/>
        </w:rPr>
      </w:pPr>
      <w:r w:rsidRPr="006A1B03">
        <w:t>PacifiCorp’s</w:t>
      </w:r>
      <w:r w:rsidRPr="2554E4E4">
        <w:rPr>
          <w:szCs w:val="26"/>
        </w:rPr>
        <w:t xml:space="preserve"> 2021 IRP reflects that its system operates on an integrated basis across its entire six-state</w:t>
      </w:r>
      <w:r w:rsidRPr="2554E4E4">
        <w:rPr>
          <w:spacing w:val="-3"/>
          <w:szCs w:val="26"/>
        </w:rPr>
        <w:t xml:space="preserve"> </w:t>
      </w:r>
      <w:r w:rsidRPr="2554E4E4">
        <w:rPr>
          <w:szCs w:val="26"/>
        </w:rPr>
        <w:t>territory</w:t>
      </w:r>
      <w:r w:rsidRPr="2554E4E4">
        <w:rPr>
          <w:spacing w:val="-5"/>
          <w:szCs w:val="26"/>
        </w:rPr>
        <w:t xml:space="preserve"> </w:t>
      </w:r>
      <w:r w:rsidRPr="2554E4E4">
        <w:rPr>
          <w:szCs w:val="26"/>
        </w:rPr>
        <w:t>and</w:t>
      </w:r>
      <w:r w:rsidRPr="2554E4E4">
        <w:rPr>
          <w:spacing w:val="-5"/>
          <w:szCs w:val="26"/>
        </w:rPr>
        <w:t xml:space="preserve"> </w:t>
      </w:r>
      <w:r w:rsidRPr="2554E4E4">
        <w:rPr>
          <w:szCs w:val="26"/>
        </w:rPr>
        <w:t>engages</w:t>
      </w:r>
      <w:r w:rsidRPr="2554E4E4">
        <w:rPr>
          <w:spacing w:val="-4"/>
          <w:szCs w:val="26"/>
        </w:rPr>
        <w:t xml:space="preserve"> </w:t>
      </w:r>
      <w:r w:rsidRPr="2554E4E4">
        <w:rPr>
          <w:szCs w:val="26"/>
        </w:rPr>
        <w:t>in</w:t>
      </w:r>
      <w:r w:rsidRPr="2554E4E4">
        <w:rPr>
          <w:spacing w:val="-3"/>
          <w:szCs w:val="26"/>
        </w:rPr>
        <w:t xml:space="preserve"> </w:t>
      </w:r>
      <w:r w:rsidRPr="2554E4E4">
        <w:rPr>
          <w:szCs w:val="26"/>
        </w:rPr>
        <w:t>least-cost</w:t>
      </w:r>
      <w:r w:rsidRPr="2554E4E4">
        <w:rPr>
          <w:spacing w:val="-5"/>
          <w:szCs w:val="26"/>
        </w:rPr>
        <w:t xml:space="preserve"> </w:t>
      </w:r>
      <w:r w:rsidRPr="2554E4E4">
        <w:rPr>
          <w:szCs w:val="26"/>
        </w:rPr>
        <w:t>planning</w:t>
      </w:r>
      <w:r w:rsidRPr="2554E4E4">
        <w:rPr>
          <w:spacing w:val="-5"/>
          <w:szCs w:val="26"/>
        </w:rPr>
        <w:t xml:space="preserve"> </w:t>
      </w:r>
      <w:r w:rsidRPr="2554E4E4">
        <w:rPr>
          <w:szCs w:val="26"/>
        </w:rPr>
        <w:t>on</w:t>
      </w:r>
      <w:r w:rsidRPr="2554E4E4">
        <w:rPr>
          <w:spacing w:val="-3"/>
          <w:szCs w:val="26"/>
        </w:rPr>
        <w:t xml:space="preserve"> </w:t>
      </w:r>
      <w:r w:rsidRPr="2554E4E4">
        <w:rPr>
          <w:szCs w:val="26"/>
        </w:rPr>
        <w:t>a</w:t>
      </w:r>
      <w:r w:rsidRPr="2554E4E4">
        <w:rPr>
          <w:spacing w:val="-5"/>
          <w:szCs w:val="26"/>
        </w:rPr>
        <w:t xml:space="preserve"> </w:t>
      </w:r>
      <w:r w:rsidRPr="2554E4E4">
        <w:rPr>
          <w:szCs w:val="26"/>
        </w:rPr>
        <w:t>system-wide</w:t>
      </w:r>
      <w:r w:rsidRPr="2554E4E4">
        <w:rPr>
          <w:spacing w:val="-5"/>
          <w:szCs w:val="26"/>
        </w:rPr>
        <w:t xml:space="preserve"> </w:t>
      </w:r>
      <w:r w:rsidRPr="2554E4E4">
        <w:rPr>
          <w:szCs w:val="26"/>
        </w:rPr>
        <w:t>basis.</w:t>
      </w:r>
    </w:p>
    <w:p w:rsidRPr="00CD7987" w:rsidR="00CD7987" w:rsidP="006A1B03" w:rsidRDefault="00A52B81" w14:paraId="6E24718D" w14:textId="09422AE1">
      <w:pPr>
        <w:pStyle w:val="FoF"/>
        <w:ind w:firstLine="547"/>
        <w:rPr>
          <w:szCs w:val="26"/>
        </w:rPr>
      </w:pPr>
      <w:r>
        <w:rPr>
          <w:spacing w:val="-2"/>
          <w:szCs w:val="26"/>
        </w:rPr>
        <w:t>PacifiCorp’s</w:t>
      </w:r>
      <w:r w:rsidDel="00A52B81">
        <w:rPr>
          <w:spacing w:val="-2"/>
          <w:szCs w:val="26"/>
        </w:rPr>
        <w:t xml:space="preserve"> </w:t>
      </w:r>
      <w:r w:rsidRPr="006A1B03" w:rsidR="00CD7987">
        <w:t>2021</w:t>
      </w:r>
      <w:r w:rsidR="00CD7987">
        <w:rPr>
          <w:spacing w:val="-2"/>
          <w:szCs w:val="26"/>
        </w:rPr>
        <w:t xml:space="preserve"> IRP reference</w:t>
      </w:r>
      <w:r>
        <w:rPr>
          <w:spacing w:val="-2"/>
          <w:szCs w:val="26"/>
        </w:rPr>
        <w:t>d</w:t>
      </w:r>
      <w:r w:rsidR="00CD7987">
        <w:rPr>
          <w:spacing w:val="-2"/>
          <w:szCs w:val="26"/>
        </w:rPr>
        <w:t xml:space="preserve"> in this proceeding sees </w:t>
      </w:r>
      <w:r w:rsidR="000D7BE3">
        <w:rPr>
          <w:spacing w:val="-2"/>
          <w:szCs w:val="26"/>
        </w:rPr>
        <w:t>depreciation of its coal plants</w:t>
      </w:r>
      <w:r w:rsidR="00CD7987">
        <w:rPr>
          <w:spacing w:val="-2"/>
          <w:szCs w:val="26"/>
        </w:rPr>
        <w:t xml:space="preserve"> occurring between 2025 and 2028. </w:t>
      </w:r>
    </w:p>
    <w:p w:rsidRPr="00CD7987" w:rsidR="00CD7987" w:rsidP="006A1B03" w:rsidRDefault="00CD7987" w14:paraId="784427B0" w14:textId="612249E7">
      <w:pPr>
        <w:pStyle w:val="FoF"/>
        <w:ind w:firstLine="547"/>
        <w:rPr>
          <w:szCs w:val="26"/>
        </w:rPr>
      </w:pPr>
      <w:r>
        <w:rPr>
          <w:spacing w:val="-2"/>
          <w:szCs w:val="26"/>
        </w:rPr>
        <w:t xml:space="preserve">The </w:t>
      </w:r>
      <w:r w:rsidRPr="006A1B03">
        <w:t>accelerated</w:t>
      </w:r>
      <w:r>
        <w:rPr>
          <w:spacing w:val="-2"/>
          <w:szCs w:val="26"/>
        </w:rPr>
        <w:t xml:space="preserve"> depreciation is due to</w:t>
      </w:r>
      <w:r w:rsidR="000D7BE3">
        <w:rPr>
          <w:spacing w:val="-2"/>
          <w:szCs w:val="26"/>
        </w:rPr>
        <w:t xml:space="preserve"> state-specific</w:t>
      </w:r>
      <w:r>
        <w:rPr>
          <w:spacing w:val="-2"/>
          <w:szCs w:val="26"/>
        </w:rPr>
        <w:t xml:space="preserve"> policy changes </w:t>
      </w:r>
      <w:r w:rsidR="000D7BE3">
        <w:rPr>
          <w:spacing w:val="-2"/>
          <w:szCs w:val="26"/>
        </w:rPr>
        <w:t>in</w:t>
      </w:r>
      <w:r>
        <w:rPr>
          <w:spacing w:val="-2"/>
          <w:szCs w:val="26"/>
        </w:rPr>
        <w:t xml:space="preserve"> PacifiCorp’s service territory.</w:t>
      </w:r>
    </w:p>
    <w:p w:rsidRPr="00D84253" w:rsidR="000D7BE3" w:rsidP="006A1B03" w:rsidRDefault="000D7BE3" w14:paraId="3D9EE8FE" w14:textId="348CD2A9">
      <w:pPr>
        <w:pStyle w:val="FoF"/>
        <w:ind w:firstLine="547"/>
      </w:pPr>
      <w:r w:rsidRPr="006A1B03">
        <w:t>PacifiCorp</w:t>
      </w:r>
      <w:r w:rsidRPr="2554E4E4" w:rsidR="00037765">
        <w:rPr>
          <w:szCs w:val="26"/>
        </w:rPr>
        <w:t xml:space="preserve"> requested to recover </w:t>
      </w:r>
      <w:r w:rsidRPr="2554E4E4">
        <w:rPr>
          <w:szCs w:val="26"/>
        </w:rPr>
        <w:t xml:space="preserve">$1,218,447 annually in </w:t>
      </w:r>
      <w:r w:rsidR="00DC081A">
        <w:rPr>
          <w:szCs w:val="26"/>
        </w:rPr>
        <w:t xml:space="preserve">incremental decommissioning </w:t>
      </w:r>
      <w:r w:rsidRPr="2554E4E4">
        <w:rPr>
          <w:szCs w:val="26"/>
        </w:rPr>
        <w:t xml:space="preserve"> expenses associated with the accelerated retirement of its coal plants.</w:t>
      </w:r>
    </w:p>
    <w:p w:rsidR="00D84253" w:rsidP="006A1B03" w:rsidRDefault="00D84253" w14:paraId="3832B9A8" w14:textId="5CCB7E0E">
      <w:pPr>
        <w:pStyle w:val="FoF"/>
        <w:ind w:firstLine="547"/>
      </w:pPr>
      <w:r w:rsidRPr="006A1B03">
        <w:t>PacifiCorp</w:t>
      </w:r>
      <w:r w:rsidRPr="2554E4E4">
        <w:rPr>
          <w:szCs w:val="26"/>
        </w:rPr>
        <w:t xml:space="preserve"> is required to meet various states’ requirements associated with reducing its baseload of fossil fueled generation.</w:t>
      </w:r>
    </w:p>
    <w:p w:rsidR="00CD7987" w:rsidP="006A1B03" w:rsidRDefault="000D7BE3" w14:paraId="365E0801" w14:textId="197A7A4F">
      <w:pPr>
        <w:pStyle w:val="FoF"/>
        <w:ind w:firstLine="547"/>
      </w:pPr>
      <w:r w:rsidRPr="2554E4E4">
        <w:rPr>
          <w:szCs w:val="26"/>
        </w:rPr>
        <w:t xml:space="preserve">The </w:t>
      </w:r>
      <w:r w:rsidRPr="006A1B03">
        <w:t>rate</w:t>
      </w:r>
      <w:r w:rsidRPr="2554E4E4">
        <w:rPr>
          <w:szCs w:val="26"/>
        </w:rPr>
        <w:t xml:space="preserve"> impacts to California customers would be significantly lower if the Cholla Unit 4-related expenses were recovered over </w:t>
      </w:r>
      <w:r w:rsidR="00595CE7">
        <w:rPr>
          <w:szCs w:val="26"/>
        </w:rPr>
        <w:t>six</w:t>
      </w:r>
      <w:r w:rsidRPr="2554E4E4" w:rsidR="00595CE7">
        <w:rPr>
          <w:szCs w:val="26"/>
        </w:rPr>
        <w:t xml:space="preserve"> </w:t>
      </w:r>
      <w:r w:rsidRPr="2554E4E4">
        <w:rPr>
          <w:szCs w:val="26"/>
        </w:rPr>
        <w:t>years.</w:t>
      </w:r>
    </w:p>
    <w:p w:rsidRPr="003F61CE" w:rsidR="00FB03FD" w:rsidP="006A1B03" w:rsidRDefault="00595CE7" w14:paraId="4244ADF7" w14:textId="7B4A2B2C">
      <w:pPr>
        <w:pStyle w:val="FoF"/>
        <w:ind w:firstLine="547"/>
      </w:pPr>
      <w:bookmarkStart w:name="_Hlk152770730" w:id="82"/>
      <w:r>
        <w:rPr>
          <w:szCs w:val="26"/>
        </w:rPr>
        <w:t xml:space="preserve">The </w:t>
      </w:r>
      <w:r w:rsidRPr="2554E4E4" w:rsidR="000D7BE3">
        <w:rPr>
          <w:szCs w:val="26"/>
        </w:rPr>
        <w:t xml:space="preserve">Cholla Unit 4-related expenses </w:t>
      </w:r>
      <w:r>
        <w:rPr>
          <w:szCs w:val="26"/>
        </w:rPr>
        <w:t>could be collected as</w:t>
      </w:r>
      <w:r w:rsidRPr="2554E4E4" w:rsidR="000D7BE3">
        <w:rPr>
          <w:szCs w:val="26"/>
        </w:rPr>
        <w:t xml:space="preserve"> $</w:t>
      </w:r>
      <w:r w:rsidR="006524F3">
        <w:rPr>
          <w:szCs w:val="26"/>
        </w:rPr>
        <w:t>858,30</w:t>
      </w:r>
      <w:r w:rsidR="009022CA">
        <w:rPr>
          <w:szCs w:val="26"/>
        </w:rPr>
        <w:t>2</w:t>
      </w:r>
      <w:r w:rsidR="00876DAA">
        <w:rPr>
          <w:szCs w:val="26"/>
        </w:rPr>
        <w:t xml:space="preserve"> </w:t>
      </w:r>
      <w:r>
        <w:rPr>
          <w:szCs w:val="26"/>
        </w:rPr>
        <w:t>annually</w:t>
      </w:r>
      <w:r w:rsidRPr="2554E4E4" w:rsidR="000D7BE3">
        <w:rPr>
          <w:szCs w:val="26"/>
        </w:rPr>
        <w:t xml:space="preserve"> over </w:t>
      </w:r>
      <w:r w:rsidR="006524F3">
        <w:rPr>
          <w:szCs w:val="26"/>
        </w:rPr>
        <w:t xml:space="preserve">six </w:t>
      </w:r>
      <w:r w:rsidRPr="2554E4E4" w:rsidR="000D7BE3">
        <w:rPr>
          <w:szCs w:val="26"/>
        </w:rPr>
        <w:t>years, rather than $1,</w:t>
      </w:r>
      <w:r w:rsidR="001E1CC3">
        <w:rPr>
          <w:szCs w:val="26"/>
        </w:rPr>
        <w:t>716,603</w:t>
      </w:r>
      <w:r w:rsidRPr="2554E4E4" w:rsidR="000D7BE3">
        <w:rPr>
          <w:szCs w:val="26"/>
        </w:rPr>
        <w:t xml:space="preserve"> per year over </w:t>
      </w:r>
      <w:r w:rsidR="00F43AD0">
        <w:rPr>
          <w:szCs w:val="26"/>
        </w:rPr>
        <w:t>three</w:t>
      </w:r>
      <w:r w:rsidRPr="2554E4E4" w:rsidR="00F43AD0">
        <w:rPr>
          <w:szCs w:val="26"/>
        </w:rPr>
        <w:t xml:space="preserve"> </w:t>
      </w:r>
      <w:r w:rsidRPr="2554E4E4" w:rsidR="000D7BE3">
        <w:rPr>
          <w:szCs w:val="26"/>
        </w:rPr>
        <w:t>years.</w:t>
      </w:r>
    </w:p>
    <w:bookmarkEnd w:id="82"/>
    <w:p w:rsidRPr="00F71C4E" w:rsidR="00037765" w:rsidP="006A1B03" w:rsidRDefault="00037765" w14:paraId="06ED03E3" w14:textId="6744D285">
      <w:pPr>
        <w:pStyle w:val="FoF"/>
        <w:ind w:firstLine="547"/>
      </w:pPr>
      <w:r w:rsidRPr="2554E4E4">
        <w:rPr>
          <w:szCs w:val="26"/>
        </w:rPr>
        <w:t>Decision 19-04-020 in A.15-05-002 approved a voluntary agreement between</w:t>
      </w:r>
      <w:r w:rsidRPr="2554E4E4">
        <w:rPr>
          <w:spacing w:val="-5"/>
          <w:szCs w:val="26"/>
        </w:rPr>
        <w:t xml:space="preserve"> </w:t>
      </w:r>
      <w:r w:rsidRPr="2554E4E4">
        <w:rPr>
          <w:szCs w:val="26"/>
        </w:rPr>
        <w:t>the</w:t>
      </w:r>
      <w:r w:rsidRPr="2554E4E4">
        <w:rPr>
          <w:spacing w:val="-6"/>
          <w:szCs w:val="26"/>
        </w:rPr>
        <w:t xml:space="preserve"> </w:t>
      </w:r>
      <w:r w:rsidRPr="2554E4E4">
        <w:rPr>
          <w:szCs w:val="26"/>
        </w:rPr>
        <w:t>Commission’s</w:t>
      </w:r>
      <w:r w:rsidRPr="2554E4E4">
        <w:rPr>
          <w:spacing w:val="-6"/>
          <w:szCs w:val="26"/>
        </w:rPr>
        <w:t xml:space="preserve"> </w:t>
      </w:r>
      <w:r w:rsidRPr="2554E4E4">
        <w:rPr>
          <w:szCs w:val="26"/>
        </w:rPr>
        <w:t>Safety</w:t>
      </w:r>
      <w:r w:rsidRPr="2554E4E4">
        <w:rPr>
          <w:spacing w:val="-3"/>
          <w:szCs w:val="26"/>
        </w:rPr>
        <w:t xml:space="preserve"> </w:t>
      </w:r>
      <w:r w:rsidRPr="2554E4E4">
        <w:rPr>
          <w:szCs w:val="26"/>
        </w:rPr>
        <w:t>Enforcement</w:t>
      </w:r>
      <w:r w:rsidRPr="2554E4E4">
        <w:rPr>
          <w:spacing w:val="-6"/>
          <w:szCs w:val="26"/>
        </w:rPr>
        <w:t xml:space="preserve"> </w:t>
      </w:r>
      <w:r w:rsidRPr="2554E4E4">
        <w:rPr>
          <w:szCs w:val="26"/>
        </w:rPr>
        <w:t>Division</w:t>
      </w:r>
      <w:r w:rsidRPr="2554E4E4">
        <w:rPr>
          <w:spacing w:val="-6"/>
          <w:szCs w:val="26"/>
        </w:rPr>
        <w:t xml:space="preserve"> </w:t>
      </w:r>
      <w:r w:rsidRPr="2554E4E4">
        <w:rPr>
          <w:szCs w:val="26"/>
        </w:rPr>
        <w:t>and</w:t>
      </w:r>
      <w:r w:rsidRPr="2554E4E4">
        <w:rPr>
          <w:spacing w:val="-3"/>
          <w:szCs w:val="26"/>
        </w:rPr>
        <w:t xml:space="preserve"> </w:t>
      </w:r>
      <w:r w:rsidRPr="2554E4E4">
        <w:rPr>
          <w:szCs w:val="26"/>
        </w:rPr>
        <w:t>the SMJU,</w:t>
      </w:r>
      <w:r w:rsidRPr="2554E4E4">
        <w:rPr>
          <w:spacing w:val="-6"/>
          <w:szCs w:val="26"/>
        </w:rPr>
        <w:t xml:space="preserve"> </w:t>
      </w:r>
      <w:r w:rsidRPr="2554E4E4">
        <w:rPr>
          <w:szCs w:val="26"/>
        </w:rPr>
        <w:t>including PacifiCorp</w:t>
      </w:r>
      <w:r w:rsidR="00EB2DA7">
        <w:rPr>
          <w:szCs w:val="26"/>
        </w:rPr>
        <w:t xml:space="preserve">. </w:t>
      </w:r>
      <w:r w:rsidRPr="2554E4E4">
        <w:rPr>
          <w:szCs w:val="26"/>
        </w:rPr>
        <w:t>The agreement provide</w:t>
      </w:r>
      <w:r w:rsidRPr="2554E4E4" w:rsidR="00A50254">
        <w:rPr>
          <w:szCs w:val="26"/>
        </w:rPr>
        <w:t>d</w:t>
      </w:r>
      <w:r w:rsidRPr="2554E4E4">
        <w:rPr>
          <w:szCs w:val="26"/>
        </w:rPr>
        <w:t xml:space="preserve"> a framework for the risk-based decision- making components of PacifiCorp’s </w:t>
      </w:r>
      <w:r w:rsidRPr="2554E4E4" w:rsidR="00A50254">
        <w:rPr>
          <w:szCs w:val="26"/>
        </w:rPr>
        <w:t>instant and future</w:t>
      </w:r>
      <w:r w:rsidRPr="2554E4E4">
        <w:rPr>
          <w:szCs w:val="26"/>
        </w:rPr>
        <w:t xml:space="preserve"> GRC filing</w:t>
      </w:r>
      <w:r w:rsidRPr="2554E4E4" w:rsidR="00A50254">
        <w:rPr>
          <w:szCs w:val="26"/>
        </w:rPr>
        <w:t>s</w:t>
      </w:r>
      <w:r w:rsidRPr="2554E4E4">
        <w:rPr>
          <w:szCs w:val="26"/>
        </w:rPr>
        <w:t>.</w:t>
      </w:r>
    </w:p>
    <w:p w:rsidR="00F71C4E" w:rsidP="001B1EC1" w:rsidRDefault="00F71C4E" w14:paraId="2FB7A10D" w14:textId="796A4006">
      <w:pPr>
        <w:pStyle w:val="FoF"/>
        <w:ind w:firstLine="547"/>
      </w:pPr>
      <w:r>
        <w:t>PacifiCorp did not provide an adequate RDF analysis that projected the risks and expected mitigation costs as described in the Voluntary Agreement adopted in D.19-04-020.</w:t>
      </w:r>
    </w:p>
    <w:p w:rsidR="00FB03FD" w:rsidP="006A1B03" w:rsidRDefault="00FB03FD" w14:paraId="7D1627EB" w14:textId="3BA66A5E">
      <w:pPr>
        <w:pStyle w:val="FoF"/>
        <w:ind w:firstLine="547"/>
      </w:pPr>
      <w:r w:rsidRPr="2554E4E4">
        <w:rPr>
          <w:szCs w:val="26"/>
        </w:rPr>
        <w:t>PacifiCorp’s</w:t>
      </w:r>
      <w:r w:rsidRPr="2554E4E4">
        <w:rPr>
          <w:spacing w:val="-6"/>
          <w:szCs w:val="26"/>
        </w:rPr>
        <w:t xml:space="preserve"> </w:t>
      </w:r>
      <w:r w:rsidRPr="2554E4E4">
        <w:rPr>
          <w:szCs w:val="26"/>
        </w:rPr>
        <w:t>marginal</w:t>
      </w:r>
      <w:r w:rsidRPr="2554E4E4">
        <w:rPr>
          <w:spacing w:val="-7"/>
          <w:szCs w:val="26"/>
        </w:rPr>
        <w:t xml:space="preserve"> </w:t>
      </w:r>
      <w:r w:rsidRPr="2554E4E4">
        <w:rPr>
          <w:szCs w:val="26"/>
        </w:rPr>
        <w:t>cost</w:t>
      </w:r>
      <w:r w:rsidRPr="2554E4E4">
        <w:rPr>
          <w:spacing w:val="-6"/>
          <w:szCs w:val="26"/>
        </w:rPr>
        <w:t xml:space="preserve"> </w:t>
      </w:r>
      <w:r w:rsidRPr="2554E4E4">
        <w:rPr>
          <w:szCs w:val="26"/>
        </w:rPr>
        <w:t>of</w:t>
      </w:r>
      <w:r w:rsidRPr="2554E4E4">
        <w:rPr>
          <w:spacing w:val="-6"/>
          <w:szCs w:val="26"/>
        </w:rPr>
        <w:t xml:space="preserve"> </w:t>
      </w:r>
      <w:r w:rsidRPr="2554E4E4">
        <w:rPr>
          <w:szCs w:val="26"/>
        </w:rPr>
        <w:t>service</w:t>
      </w:r>
      <w:r w:rsidRPr="2554E4E4">
        <w:rPr>
          <w:spacing w:val="-6"/>
          <w:szCs w:val="26"/>
        </w:rPr>
        <w:t xml:space="preserve"> </w:t>
      </w:r>
      <w:r w:rsidRPr="2554E4E4">
        <w:rPr>
          <w:szCs w:val="26"/>
        </w:rPr>
        <w:t>stud</w:t>
      </w:r>
      <w:r w:rsidRPr="2554E4E4" w:rsidR="00A50254">
        <w:rPr>
          <w:szCs w:val="26"/>
        </w:rPr>
        <w:t>y</w:t>
      </w:r>
      <w:r w:rsidRPr="2554E4E4">
        <w:rPr>
          <w:spacing w:val="-6"/>
          <w:szCs w:val="26"/>
        </w:rPr>
        <w:t xml:space="preserve"> </w:t>
      </w:r>
      <w:r w:rsidRPr="2554E4E4">
        <w:rPr>
          <w:szCs w:val="26"/>
        </w:rPr>
        <w:t>supports</w:t>
      </w:r>
      <w:r w:rsidRPr="2554E4E4">
        <w:rPr>
          <w:spacing w:val="-6"/>
          <w:szCs w:val="26"/>
        </w:rPr>
        <w:t xml:space="preserve"> </w:t>
      </w:r>
      <w:r w:rsidRPr="2554E4E4">
        <w:rPr>
          <w:szCs w:val="26"/>
        </w:rPr>
        <w:t>the</w:t>
      </w:r>
      <w:r w:rsidRPr="2554E4E4">
        <w:rPr>
          <w:spacing w:val="-5"/>
          <w:szCs w:val="26"/>
        </w:rPr>
        <w:t xml:space="preserve"> </w:t>
      </w:r>
      <w:r w:rsidRPr="2554E4E4">
        <w:rPr>
          <w:szCs w:val="26"/>
        </w:rPr>
        <w:t xml:space="preserve">company’s </w:t>
      </w:r>
      <w:r w:rsidRPr="006A1B03">
        <w:t>proposed</w:t>
      </w:r>
      <w:r w:rsidRPr="2554E4E4">
        <w:rPr>
          <w:szCs w:val="26"/>
        </w:rPr>
        <w:t xml:space="preserve"> rate spread and rate design.</w:t>
      </w:r>
    </w:p>
    <w:p w:rsidR="00FB03FD" w:rsidP="006A1B03" w:rsidRDefault="00FB03FD" w14:paraId="69C71D19" w14:textId="47B11495">
      <w:pPr>
        <w:pStyle w:val="FoF"/>
        <w:ind w:firstLine="547"/>
        <w:rPr>
          <w:szCs w:val="26"/>
        </w:rPr>
      </w:pPr>
      <w:r w:rsidRPr="2554E4E4">
        <w:rPr>
          <w:szCs w:val="26"/>
        </w:rPr>
        <w:t>PacifiCorp’s</w:t>
      </w:r>
      <w:r w:rsidRPr="2554E4E4">
        <w:rPr>
          <w:spacing w:val="-3"/>
          <w:szCs w:val="26"/>
        </w:rPr>
        <w:t xml:space="preserve"> </w:t>
      </w:r>
      <w:r w:rsidRPr="2554E4E4" w:rsidR="00A50254">
        <w:rPr>
          <w:szCs w:val="26"/>
        </w:rPr>
        <w:t>proposed equal</w:t>
      </w:r>
      <w:r w:rsidRPr="2554E4E4">
        <w:rPr>
          <w:spacing w:val="-6"/>
          <w:szCs w:val="26"/>
        </w:rPr>
        <w:t xml:space="preserve"> </w:t>
      </w:r>
      <w:r w:rsidRPr="2554E4E4">
        <w:rPr>
          <w:szCs w:val="26"/>
        </w:rPr>
        <w:t>rate</w:t>
      </w:r>
      <w:r w:rsidRPr="2554E4E4">
        <w:rPr>
          <w:spacing w:val="-6"/>
          <w:szCs w:val="26"/>
        </w:rPr>
        <w:t xml:space="preserve"> </w:t>
      </w:r>
      <w:r w:rsidRPr="2554E4E4">
        <w:rPr>
          <w:szCs w:val="26"/>
        </w:rPr>
        <w:t>spread</w:t>
      </w:r>
      <w:r w:rsidRPr="2554E4E4">
        <w:rPr>
          <w:spacing w:val="-3"/>
          <w:szCs w:val="26"/>
        </w:rPr>
        <w:t xml:space="preserve"> </w:t>
      </w:r>
      <w:r w:rsidRPr="2554E4E4">
        <w:rPr>
          <w:szCs w:val="26"/>
        </w:rPr>
        <w:t>brings</w:t>
      </w:r>
      <w:r w:rsidRPr="2554E4E4">
        <w:rPr>
          <w:spacing w:val="-6"/>
          <w:szCs w:val="26"/>
        </w:rPr>
        <w:t xml:space="preserve"> </w:t>
      </w:r>
      <w:r w:rsidRPr="2554E4E4">
        <w:rPr>
          <w:szCs w:val="26"/>
        </w:rPr>
        <w:t>rates</w:t>
      </w:r>
      <w:r w:rsidRPr="2554E4E4">
        <w:rPr>
          <w:spacing w:val="-6"/>
          <w:szCs w:val="26"/>
        </w:rPr>
        <w:t xml:space="preserve"> </w:t>
      </w:r>
      <w:r w:rsidRPr="2554E4E4">
        <w:rPr>
          <w:szCs w:val="26"/>
        </w:rPr>
        <w:t>for</w:t>
      </w:r>
      <w:r w:rsidRPr="2554E4E4">
        <w:rPr>
          <w:spacing w:val="-5"/>
          <w:szCs w:val="26"/>
        </w:rPr>
        <w:t xml:space="preserve"> </w:t>
      </w:r>
      <w:r w:rsidRPr="2554E4E4">
        <w:rPr>
          <w:szCs w:val="26"/>
        </w:rPr>
        <w:t>each</w:t>
      </w:r>
      <w:r w:rsidRPr="2554E4E4">
        <w:rPr>
          <w:spacing w:val="-3"/>
          <w:szCs w:val="26"/>
        </w:rPr>
        <w:t xml:space="preserve"> </w:t>
      </w:r>
      <w:r w:rsidRPr="2554E4E4">
        <w:rPr>
          <w:szCs w:val="26"/>
        </w:rPr>
        <w:t xml:space="preserve">customer </w:t>
      </w:r>
      <w:r w:rsidRPr="006A1B03">
        <w:t>category</w:t>
      </w:r>
      <w:r w:rsidRPr="2554E4E4">
        <w:rPr>
          <w:szCs w:val="26"/>
        </w:rPr>
        <w:t xml:space="preserve"> closer to reflecting the cost of service for those rate schedules, while mitigating rate impacts to </w:t>
      </w:r>
      <w:r w:rsidRPr="2554E4E4" w:rsidR="007B13BC">
        <w:rPr>
          <w:szCs w:val="26"/>
        </w:rPr>
        <w:t xml:space="preserve">agricultural </w:t>
      </w:r>
      <w:r w:rsidRPr="2554E4E4">
        <w:rPr>
          <w:szCs w:val="26"/>
        </w:rPr>
        <w:t>customers.</w:t>
      </w:r>
    </w:p>
    <w:p w:rsidRPr="007B13BC" w:rsidR="007B13BC" w:rsidP="006A1B03" w:rsidRDefault="02A7C286" w14:paraId="74DA179B" w14:textId="28B8D82B">
      <w:pPr>
        <w:pStyle w:val="FoF"/>
        <w:ind w:firstLine="547"/>
        <w:rPr>
          <w:rFonts w:eastAsia="Calibri"/>
          <w:szCs w:val="26"/>
        </w:rPr>
      </w:pPr>
      <w:r w:rsidRPr="2554E4E4">
        <w:rPr>
          <w:szCs w:val="26"/>
        </w:rPr>
        <w:t>PacifiCorp’s proposed Schedule DT provide</w:t>
      </w:r>
      <w:r w:rsidR="002A79E9">
        <w:rPr>
          <w:szCs w:val="26"/>
        </w:rPr>
        <w:t>s</w:t>
      </w:r>
      <w:r w:rsidRPr="2554E4E4">
        <w:rPr>
          <w:szCs w:val="26"/>
        </w:rPr>
        <w:t xml:space="preserve"> residential customers </w:t>
      </w:r>
      <w:r w:rsidRPr="006A1B03">
        <w:t>the</w:t>
      </w:r>
      <w:r w:rsidRPr="2554E4E4">
        <w:rPr>
          <w:szCs w:val="26"/>
        </w:rPr>
        <w:t xml:space="preserve"> option to enroll in a TOU rate designed to mitigate demand during on-peak hours. </w:t>
      </w:r>
    </w:p>
    <w:p w:rsidRPr="007B13BC" w:rsidR="007B13BC" w:rsidP="006A1B03" w:rsidRDefault="5F52DDF6" w14:paraId="6ACB79BE" w14:textId="6A36508D">
      <w:pPr>
        <w:pStyle w:val="FoF"/>
        <w:ind w:firstLine="547"/>
        <w:rPr>
          <w:rFonts w:eastAsia="Calibri"/>
          <w:szCs w:val="26"/>
        </w:rPr>
      </w:pPr>
      <w:r w:rsidRPr="2554E4E4">
        <w:rPr>
          <w:rFonts w:eastAsia="Calibri"/>
          <w:szCs w:val="26"/>
        </w:rPr>
        <w:t xml:space="preserve">PacifiCorp’s proposed Schedule AT-29 provides an option for non-residential </w:t>
      </w:r>
      <w:r w:rsidRPr="006A1B03">
        <w:t>customers</w:t>
      </w:r>
      <w:r w:rsidRPr="2554E4E4">
        <w:rPr>
          <w:rFonts w:eastAsia="Calibri"/>
          <w:szCs w:val="26"/>
        </w:rPr>
        <w:t xml:space="preserve"> with low load factors to enroll in a TOU rate that includes a declining</w:t>
      </w:r>
      <w:r w:rsidRPr="2554E4E4" w:rsidR="3349E91A">
        <w:rPr>
          <w:rFonts w:eastAsia="Calibri"/>
          <w:szCs w:val="26"/>
        </w:rPr>
        <w:t xml:space="preserve"> kWh-per-kW energy charge that could reduce the burden of customers providing electric vehicle charging stations for public or small fleet use.</w:t>
      </w:r>
    </w:p>
    <w:p w:rsidRPr="007B13BC" w:rsidR="007B13BC" w:rsidP="006A1B03" w:rsidRDefault="23C686B5" w14:paraId="0E02E50E" w14:textId="662129DC">
      <w:pPr>
        <w:pStyle w:val="FoF"/>
        <w:ind w:firstLine="547"/>
        <w:rPr>
          <w:rFonts w:eastAsia="Calibri"/>
          <w:szCs w:val="26"/>
        </w:rPr>
      </w:pPr>
      <w:r w:rsidRPr="2554E4E4">
        <w:rPr>
          <w:rFonts w:eastAsia="Calibri"/>
          <w:szCs w:val="26"/>
        </w:rPr>
        <w:t xml:space="preserve">PacifiCorp’s proposal to expand its Schedule PA-115 TOU rate </w:t>
      </w:r>
      <w:r w:rsidRPr="2554E4E4" w:rsidR="26F2B55A">
        <w:rPr>
          <w:rFonts w:eastAsia="Calibri"/>
          <w:szCs w:val="26"/>
        </w:rPr>
        <w:t>would open</w:t>
      </w:r>
      <w:r w:rsidRPr="2554E4E4">
        <w:rPr>
          <w:rFonts w:eastAsia="Calibri"/>
          <w:szCs w:val="26"/>
        </w:rPr>
        <w:t xml:space="preserve"> the schedule as optional for a</w:t>
      </w:r>
      <w:r w:rsidRPr="2554E4E4" w:rsidR="678D4A0E">
        <w:rPr>
          <w:rFonts w:eastAsia="Calibri"/>
          <w:szCs w:val="26"/>
        </w:rPr>
        <w:t xml:space="preserve">ny </w:t>
      </w:r>
      <w:r w:rsidRPr="2554E4E4">
        <w:rPr>
          <w:rFonts w:eastAsia="Calibri"/>
          <w:szCs w:val="26"/>
        </w:rPr>
        <w:t xml:space="preserve">agricultural pumping </w:t>
      </w:r>
      <w:r w:rsidRPr="2554E4E4" w:rsidR="064527F3">
        <w:rPr>
          <w:rFonts w:eastAsia="Calibri"/>
          <w:szCs w:val="26"/>
        </w:rPr>
        <w:t xml:space="preserve">service </w:t>
      </w:r>
      <w:r w:rsidRPr="2554E4E4">
        <w:rPr>
          <w:rFonts w:eastAsia="Calibri"/>
          <w:szCs w:val="26"/>
        </w:rPr>
        <w:t xml:space="preserve">customers </w:t>
      </w:r>
      <w:r w:rsidRPr="2554E4E4" w:rsidR="403F996A">
        <w:rPr>
          <w:rFonts w:eastAsia="Calibri"/>
          <w:szCs w:val="26"/>
        </w:rPr>
        <w:t xml:space="preserve">to </w:t>
      </w:r>
      <w:r w:rsidRPr="2554E4E4" w:rsidR="2A102B06">
        <w:rPr>
          <w:rFonts w:eastAsia="Calibri"/>
          <w:szCs w:val="26"/>
        </w:rPr>
        <w:t>enroll and</w:t>
      </w:r>
      <w:r w:rsidRPr="2554E4E4">
        <w:rPr>
          <w:rFonts w:eastAsia="Calibri"/>
          <w:szCs w:val="26"/>
        </w:rPr>
        <w:t xml:space="preserve"> provid</w:t>
      </w:r>
      <w:r w:rsidRPr="2554E4E4" w:rsidR="613AE4F5">
        <w:rPr>
          <w:rFonts w:eastAsia="Calibri"/>
          <w:szCs w:val="26"/>
        </w:rPr>
        <w:t>e</w:t>
      </w:r>
      <w:r w:rsidR="002A79E9">
        <w:rPr>
          <w:rFonts w:eastAsia="Calibri"/>
          <w:szCs w:val="26"/>
        </w:rPr>
        <w:t>s</w:t>
      </w:r>
      <w:r w:rsidRPr="2554E4E4">
        <w:rPr>
          <w:rFonts w:eastAsia="Calibri"/>
          <w:szCs w:val="26"/>
        </w:rPr>
        <w:t xml:space="preserve"> a second peak-hour pricing </w:t>
      </w:r>
      <w:r w:rsidRPr="2554E4E4" w:rsidR="63C9C080">
        <w:rPr>
          <w:rFonts w:eastAsia="Calibri"/>
          <w:szCs w:val="26"/>
        </w:rPr>
        <w:t>option.</w:t>
      </w:r>
    </w:p>
    <w:p w:rsidRPr="007B13BC" w:rsidR="007B13BC" w:rsidP="006A1B03" w:rsidRDefault="63C9C080" w14:paraId="3F61A4AC" w14:textId="5AD4809B">
      <w:pPr>
        <w:pStyle w:val="FoF"/>
        <w:ind w:firstLine="547"/>
        <w:rPr>
          <w:rFonts w:eastAsia="Calibri"/>
          <w:szCs w:val="26"/>
        </w:rPr>
      </w:pPr>
      <w:r w:rsidRPr="2554E4E4">
        <w:rPr>
          <w:rFonts w:eastAsia="Calibri"/>
          <w:szCs w:val="26"/>
        </w:rPr>
        <w:t>PacifiCorp’s proposal to continue its Net Billing program schedule (Schedule NB-</w:t>
      </w:r>
      <w:r w:rsidRPr="006A1B03">
        <w:t>136</w:t>
      </w:r>
      <w:r w:rsidRPr="2554E4E4">
        <w:rPr>
          <w:rFonts w:eastAsia="Calibri"/>
          <w:szCs w:val="26"/>
        </w:rPr>
        <w:t xml:space="preserve">) for customer generators </w:t>
      </w:r>
      <w:r w:rsidRPr="2554E4E4" w:rsidR="36EC10C7">
        <w:rPr>
          <w:rFonts w:eastAsia="Calibri"/>
          <w:szCs w:val="26"/>
        </w:rPr>
        <w:t>create</w:t>
      </w:r>
      <w:r w:rsidR="002A79E9">
        <w:rPr>
          <w:rFonts w:eastAsia="Calibri"/>
          <w:szCs w:val="26"/>
        </w:rPr>
        <w:t>s</w:t>
      </w:r>
      <w:r w:rsidRPr="2554E4E4" w:rsidR="36EC10C7">
        <w:rPr>
          <w:rFonts w:eastAsia="Calibri"/>
          <w:szCs w:val="26"/>
        </w:rPr>
        <w:t xml:space="preserve"> a flat export credit price that is less complex for all eligible customers.</w:t>
      </w:r>
    </w:p>
    <w:p w:rsidRPr="007B13BC" w:rsidR="007B13BC" w:rsidP="006A1B03" w:rsidRDefault="36EC10C7" w14:paraId="69C5F068" w14:textId="2BE442EC">
      <w:pPr>
        <w:pStyle w:val="FoF"/>
        <w:ind w:firstLine="547"/>
        <w:rPr>
          <w:rFonts w:eastAsia="Calibri"/>
          <w:szCs w:val="26"/>
        </w:rPr>
      </w:pPr>
      <w:r w:rsidRPr="2554E4E4">
        <w:rPr>
          <w:rFonts w:eastAsia="Calibri"/>
          <w:szCs w:val="26"/>
        </w:rPr>
        <w:t>PacifiCorp’s proposal to modify the energy charges for its Schedules AT-47 and AT-4</w:t>
      </w:r>
      <w:r w:rsidRPr="2554E4E4" w:rsidR="6947FB52">
        <w:rPr>
          <w:rFonts w:eastAsia="Calibri"/>
          <w:szCs w:val="26"/>
        </w:rPr>
        <w:t>8</w:t>
      </w:r>
      <w:r w:rsidRPr="2554E4E4">
        <w:rPr>
          <w:rFonts w:eastAsia="Calibri"/>
          <w:szCs w:val="26"/>
        </w:rPr>
        <w:t xml:space="preserve"> to vary by time of use aligns with the TOU periods proposed for its </w:t>
      </w:r>
      <w:r w:rsidRPr="2554E4E4" w:rsidR="219A6CD8">
        <w:rPr>
          <w:rFonts w:eastAsia="Calibri"/>
          <w:szCs w:val="26"/>
        </w:rPr>
        <w:t>residential and smaller general service use customers.</w:t>
      </w:r>
    </w:p>
    <w:p w:rsidRPr="007B13BC" w:rsidR="007B13BC" w:rsidP="006A1B03" w:rsidRDefault="219A6CD8" w14:paraId="52017746" w14:textId="79D647B6">
      <w:pPr>
        <w:pStyle w:val="FoF"/>
        <w:ind w:firstLine="547"/>
        <w:rPr>
          <w:rFonts w:eastAsia="Calibri"/>
          <w:szCs w:val="26"/>
        </w:rPr>
      </w:pPr>
      <w:r w:rsidRPr="2554E4E4">
        <w:rPr>
          <w:rFonts w:eastAsia="Calibri"/>
          <w:szCs w:val="26"/>
        </w:rPr>
        <w:t xml:space="preserve">PacifiCorp’s proposal to modify its seasonal on-peak demand charge to a flat </w:t>
      </w:r>
      <w:r w:rsidRPr="006A1B03">
        <w:t>demand</w:t>
      </w:r>
      <w:r w:rsidRPr="2554E4E4">
        <w:rPr>
          <w:rFonts w:eastAsia="Calibri"/>
          <w:szCs w:val="26"/>
        </w:rPr>
        <w:t xml:space="preserve"> charge for Schedules AT-47 and AT-48 prov</w:t>
      </w:r>
      <w:r w:rsidRPr="2554E4E4" w:rsidR="3D21071C">
        <w:rPr>
          <w:rFonts w:eastAsia="Calibri"/>
          <w:szCs w:val="26"/>
        </w:rPr>
        <w:t>ide</w:t>
      </w:r>
      <w:r w:rsidR="002A79E9">
        <w:rPr>
          <w:rFonts w:eastAsia="Calibri"/>
          <w:szCs w:val="26"/>
        </w:rPr>
        <w:t>s</w:t>
      </w:r>
      <w:r w:rsidRPr="2554E4E4" w:rsidR="3D21071C">
        <w:rPr>
          <w:rFonts w:eastAsia="Calibri"/>
          <w:szCs w:val="26"/>
        </w:rPr>
        <w:t xml:space="preserve"> a shorter on-peak TOU window for larger non-residential customers.</w:t>
      </w:r>
    </w:p>
    <w:p w:rsidRPr="007B13BC" w:rsidR="007B13BC" w:rsidP="006A1B03" w:rsidRDefault="3D21071C" w14:paraId="3B37E714" w14:textId="410F0B26">
      <w:pPr>
        <w:pStyle w:val="FoF"/>
        <w:ind w:firstLine="547"/>
        <w:rPr>
          <w:rFonts w:eastAsia="Calibri"/>
          <w:szCs w:val="26"/>
        </w:rPr>
      </w:pPr>
      <w:r w:rsidRPr="006A1B03">
        <w:t>PacifiCorp’s</w:t>
      </w:r>
      <w:r w:rsidRPr="2554E4E4">
        <w:rPr>
          <w:rFonts w:eastAsia="Calibri"/>
          <w:szCs w:val="26"/>
        </w:rPr>
        <w:t xml:space="preserve"> proposed changes to its street and area lighting schedules (Schedules OL-15, LS-51, LS-53, and </w:t>
      </w:r>
      <w:r w:rsidRPr="2554E4E4" w:rsidR="392F1191">
        <w:rPr>
          <w:rFonts w:eastAsia="Calibri"/>
          <w:szCs w:val="26"/>
        </w:rPr>
        <w:t>LS-</w:t>
      </w:r>
      <w:r w:rsidRPr="2554E4E4">
        <w:rPr>
          <w:rFonts w:eastAsia="Calibri"/>
          <w:szCs w:val="26"/>
        </w:rPr>
        <w:t>58) base</w:t>
      </w:r>
      <w:r w:rsidR="002A79E9">
        <w:rPr>
          <w:rFonts w:eastAsia="Calibri"/>
          <w:szCs w:val="26"/>
        </w:rPr>
        <w:t>s</w:t>
      </w:r>
      <w:r w:rsidRPr="2554E4E4">
        <w:rPr>
          <w:rFonts w:eastAsia="Calibri"/>
          <w:szCs w:val="26"/>
        </w:rPr>
        <w:t xml:space="preserve"> pricing on </w:t>
      </w:r>
      <w:r w:rsidRPr="2554E4E4" w:rsidR="080EE6F4">
        <w:rPr>
          <w:rFonts w:eastAsia="Calibri"/>
          <w:szCs w:val="26"/>
        </w:rPr>
        <w:t xml:space="preserve">the level of service, rather than on the specific technology and lamp type deployed by the </w:t>
      </w:r>
      <w:r w:rsidRPr="2554E4E4" w:rsidR="19BD4418">
        <w:rPr>
          <w:rFonts w:eastAsia="Calibri"/>
          <w:szCs w:val="26"/>
        </w:rPr>
        <w:t>customer and</w:t>
      </w:r>
      <w:r w:rsidRPr="2554E4E4" w:rsidR="46B3CC25">
        <w:rPr>
          <w:rFonts w:eastAsia="Calibri"/>
          <w:szCs w:val="26"/>
        </w:rPr>
        <w:t xml:space="preserve"> c</w:t>
      </w:r>
      <w:r w:rsidRPr="2554E4E4" w:rsidR="080EE6F4">
        <w:rPr>
          <w:rFonts w:eastAsia="Calibri"/>
          <w:szCs w:val="26"/>
        </w:rPr>
        <w:t xml:space="preserve">ould encourage a broader shift to LED </w:t>
      </w:r>
      <w:r w:rsidRPr="2554E4E4" w:rsidR="6699944D">
        <w:rPr>
          <w:rFonts w:eastAsia="Calibri"/>
          <w:szCs w:val="26"/>
        </w:rPr>
        <w:t>technology</w:t>
      </w:r>
      <w:r w:rsidRPr="2554E4E4" w:rsidR="459828CE">
        <w:rPr>
          <w:rFonts w:eastAsia="Calibri"/>
          <w:szCs w:val="26"/>
        </w:rPr>
        <w:t>.</w:t>
      </w:r>
    </w:p>
    <w:p w:rsidRPr="007B13BC" w:rsidR="007B13BC" w:rsidP="006A1B03" w:rsidRDefault="43796466" w14:paraId="13705B5B" w14:textId="65A251CB">
      <w:pPr>
        <w:pStyle w:val="FoF"/>
        <w:ind w:firstLine="547"/>
        <w:rPr>
          <w:rFonts w:eastAsia="Calibri"/>
          <w:szCs w:val="26"/>
        </w:rPr>
      </w:pPr>
      <w:r w:rsidRPr="006A1B03">
        <w:t>PacifiCorp’s</w:t>
      </w:r>
      <w:r w:rsidRPr="2554E4E4">
        <w:rPr>
          <w:rFonts w:eastAsia="Calibri"/>
          <w:szCs w:val="26"/>
        </w:rPr>
        <w:t xml:space="preserve"> proposed Customer-Funded LED Conversion option provide</w:t>
      </w:r>
      <w:r w:rsidR="002A79E9">
        <w:rPr>
          <w:rFonts w:eastAsia="Calibri"/>
          <w:szCs w:val="26"/>
        </w:rPr>
        <w:t>s</w:t>
      </w:r>
      <w:r w:rsidRPr="2554E4E4">
        <w:rPr>
          <w:rFonts w:eastAsia="Calibri"/>
          <w:szCs w:val="26"/>
        </w:rPr>
        <w:t xml:space="preserve"> lower prices to customers that pay for the conversion of streetlights to LED, to provide fairness for early adop</w:t>
      </w:r>
      <w:r w:rsidRPr="2554E4E4" w:rsidR="22CBD6FF">
        <w:rPr>
          <w:rFonts w:eastAsia="Calibri"/>
          <w:szCs w:val="26"/>
        </w:rPr>
        <w:t>ters that have already paid for LED conversions and to continue incentivizing customers to pay for LED conversions themselves, when it is feasible.</w:t>
      </w:r>
      <w:r w:rsidRPr="2554E4E4" w:rsidR="68DBCF3B">
        <w:rPr>
          <w:rFonts w:eastAsia="Calibri"/>
          <w:szCs w:val="26"/>
        </w:rPr>
        <w:t xml:space="preserve"> </w:t>
      </w:r>
    </w:p>
    <w:p w:rsidRPr="007B13BC" w:rsidR="007B13BC" w:rsidP="006A1B03" w:rsidRDefault="68DBCF3B" w14:paraId="40605CFA" w14:textId="19817609">
      <w:pPr>
        <w:pStyle w:val="FoF"/>
        <w:ind w:firstLine="547"/>
        <w:rPr>
          <w:rFonts w:eastAsia="Calibri"/>
          <w:szCs w:val="26"/>
        </w:rPr>
      </w:pPr>
      <w:r w:rsidRPr="006A1B03">
        <w:t>PacifiCorp’s</w:t>
      </w:r>
      <w:r w:rsidRPr="2554E4E4">
        <w:rPr>
          <w:rFonts w:eastAsia="Calibri"/>
          <w:szCs w:val="26"/>
        </w:rPr>
        <w:t xml:space="preserve"> proposal to re-open Schedule OL-15 reflects the lower cost to install and maintain LED lights on exi</w:t>
      </w:r>
      <w:r w:rsidRPr="2554E4E4" w:rsidR="1B37B9C7">
        <w:rPr>
          <w:rFonts w:eastAsia="Calibri"/>
          <w:szCs w:val="26"/>
        </w:rPr>
        <w:t>sting distribution poles</w:t>
      </w:r>
      <w:r w:rsidRPr="2554E4E4" w:rsidR="6795962E">
        <w:rPr>
          <w:rFonts w:eastAsia="Calibri"/>
          <w:szCs w:val="26"/>
        </w:rPr>
        <w:t xml:space="preserve"> while ensuring the company can easily access the newly installed LED lamps.</w:t>
      </w:r>
    </w:p>
    <w:p w:rsidRPr="007B13BC" w:rsidR="007B13BC" w:rsidP="006A1B03" w:rsidRDefault="6F181B53" w14:paraId="5BA3A888" w14:textId="3D6C7820">
      <w:pPr>
        <w:pStyle w:val="FoF"/>
        <w:ind w:firstLine="547"/>
        <w:rPr>
          <w:rFonts w:eastAsia="Calibri"/>
          <w:szCs w:val="26"/>
        </w:rPr>
      </w:pPr>
      <w:r w:rsidRPr="2554E4E4">
        <w:rPr>
          <w:rFonts w:eastAsia="Calibri"/>
          <w:szCs w:val="26"/>
        </w:rPr>
        <w:t xml:space="preserve">PacifiCorp’s proposal to close Schedule LS-58 and transition customers </w:t>
      </w:r>
      <w:r w:rsidRPr="006A1B03">
        <w:t>to</w:t>
      </w:r>
      <w:r w:rsidRPr="2554E4E4">
        <w:rPr>
          <w:rFonts w:eastAsia="Calibri"/>
          <w:szCs w:val="26"/>
        </w:rPr>
        <w:t xml:space="preserve"> Schedule LS-53 for energy service only reflect</w:t>
      </w:r>
      <w:r w:rsidR="002A79E9">
        <w:rPr>
          <w:rFonts w:eastAsia="Calibri"/>
          <w:szCs w:val="26"/>
        </w:rPr>
        <w:t>s</w:t>
      </w:r>
      <w:r w:rsidRPr="2554E4E4">
        <w:rPr>
          <w:rFonts w:eastAsia="Calibri"/>
          <w:szCs w:val="26"/>
        </w:rPr>
        <w:t xml:space="preserve"> that the company is responsible for </w:t>
      </w:r>
      <w:r w:rsidRPr="2554E4E4" w:rsidR="377A0FDA">
        <w:rPr>
          <w:rFonts w:eastAsia="Calibri"/>
          <w:szCs w:val="26"/>
        </w:rPr>
        <w:t>replacing the bulbs.</w:t>
      </w:r>
    </w:p>
    <w:p w:rsidRPr="007B13BC" w:rsidR="007B13BC" w:rsidP="006A1B03" w:rsidRDefault="377A0FDA" w14:paraId="698BA501" w14:textId="738BAD4A">
      <w:pPr>
        <w:pStyle w:val="FoF"/>
        <w:ind w:firstLine="547"/>
        <w:rPr>
          <w:rFonts w:eastAsia="Calibri"/>
          <w:szCs w:val="26"/>
        </w:rPr>
      </w:pPr>
      <w:r w:rsidRPr="006A1B03">
        <w:t>PacifiCorp’s</w:t>
      </w:r>
      <w:r w:rsidRPr="2554E4E4">
        <w:rPr>
          <w:rFonts w:eastAsia="Calibri"/>
          <w:szCs w:val="26"/>
        </w:rPr>
        <w:t xml:space="preserve"> proposed paperless bill credit aligns with the cost of mailing individual customer bills through the US Postal Service and provides customers the option to choose a less </w:t>
      </w:r>
      <w:r w:rsidRPr="2554E4E4" w:rsidR="761EF50B">
        <w:rPr>
          <w:rFonts w:eastAsia="Calibri"/>
          <w:szCs w:val="26"/>
        </w:rPr>
        <w:t>resource</w:t>
      </w:r>
      <w:r w:rsidRPr="2554E4E4">
        <w:rPr>
          <w:rFonts w:eastAsia="Calibri"/>
          <w:szCs w:val="26"/>
        </w:rPr>
        <w:t>-intensive option for receiving the</w:t>
      </w:r>
      <w:r w:rsidRPr="2554E4E4" w:rsidR="0CC7CAA4">
        <w:rPr>
          <w:rFonts w:eastAsia="Calibri"/>
          <w:szCs w:val="26"/>
        </w:rPr>
        <w:t>ir bills.</w:t>
      </w:r>
    </w:p>
    <w:p w:rsidRPr="007B13BC" w:rsidR="007B13BC" w:rsidP="006A1B03" w:rsidRDefault="557167A4" w14:paraId="023ACF8B" w14:textId="729FA89B">
      <w:pPr>
        <w:pStyle w:val="FoF"/>
        <w:ind w:firstLine="547"/>
        <w:rPr>
          <w:rFonts w:eastAsia="Calibri"/>
          <w:szCs w:val="26"/>
        </w:rPr>
      </w:pPr>
      <w:r w:rsidRPr="2554E4E4">
        <w:rPr>
          <w:rFonts w:eastAsia="Calibri"/>
          <w:szCs w:val="26"/>
        </w:rPr>
        <w:t>PacifiCorp’s temporary service charge was established in 1982 based on the loaded rate for one hour of journeyman time.</w:t>
      </w:r>
    </w:p>
    <w:p w:rsidRPr="007B13BC" w:rsidR="007B13BC" w:rsidP="006A1B03" w:rsidRDefault="557167A4" w14:paraId="26E34495" w14:textId="19FC24BA">
      <w:pPr>
        <w:pStyle w:val="FoF"/>
        <w:ind w:firstLine="547"/>
        <w:rPr>
          <w:rFonts w:eastAsia="Calibri"/>
          <w:szCs w:val="26"/>
        </w:rPr>
      </w:pPr>
      <w:r w:rsidRPr="006A1B03">
        <w:t>PacifiCorp’s</w:t>
      </w:r>
      <w:r w:rsidRPr="2554E4E4">
        <w:rPr>
          <w:rFonts w:eastAsia="Calibri"/>
          <w:szCs w:val="26"/>
        </w:rPr>
        <w:t xml:space="preserve"> proposed increase in its temporary service installation charges combine</w:t>
      </w:r>
      <w:r w:rsidR="002A79E9">
        <w:rPr>
          <w:rFonts w:eastAsia="Calibri"/>
          <w:szCs w:val="26"/>
        </w:rPr>
        <w:t>s</w:t>
      </w:r>
      <w:r w:rsidRPr="2554E4E4">
        <w:rPr>
          <w:rFonts w:eastAsia="Calibri"/>
          <w:szCs w:val="26"/>
        </w:rPr>
        <w:t xml:space="preserve"> single- and three-phases into one </w:t>
      </w:r>
      <w:r w:rsidRPr="2554E4E4" w:rsidR="51867AD5">
        <w:rPr>
          <w:rFonts w:eastAsia="Calibri"/>
          <w:szCs w:val="26"/>
        </w:rPr>
        <w:t>charge and</w:t>
      </w:r>
      <w:r w:rsidRPr="2554E4E4">
        <w:rPr>
          <w:rFonts w:eastAsia="Calibri"/>
          <w:szCs w:val="26"/>
        </w:rPr>
        <w:t xml:space="preserve"> update the fee to the current loaded rate for one hour of journeyman time.</w:t>
      </w:r>
    </w:p>
    <w:p w:rsidRPr="007B13BC" w:rsidR="007B13BC" w:rsidP="006A1B03" w:rsidRDefault="5DF57903" w14:paraId="21E61C5D" w14:textId="15D7DE86">
      <w:pPr>
        <w:pStyle w:val="FoF"/>
        <w:ind w:firstLine="547"/>
        <w:rPr>
          <w:rFonts w:eastAsia="Calibri"/>
          <w:szCs w:val="26"/>
        </w:rPr>
      </w:pPr>
      <w:r w:rsidRPr="2554E4E4">
        <w:rPr>
          <w:rFonts w:eastAsia="Calibri"/>
          <w:szCs w:val="26"/>
        </w:rPr>
        <w:t>PacifiCorp’s proposed housekeeping items amend inadvertent</w:t>
      </w:r>
      <w:r w:rsidRPr="2554E4E4" w:rsidR="6FA3D627">
        <w:rPr>
          <w:rFonts w:eastAsia="Calibri"/>
          <w:szCs w:val="26"/>
        </w:rPr>
        <w:t xml:space="preserve"> </w:t>
      </w:r>
      <w:r w:rsidRPr="2554E4E4">
        <w:rPr>
          <w:rFonts w:eastAsia="Calibri"/>
          <w:szCs w:val="26"/>
        </w:rPr>
        <w:t>changes</w:t>
      </w:r>
      <w:r w:rsidRPr="2554E4E4" w:rsidR="75863A69">
        <w:rPr>
          <w:rFonts w:eastAsia="Calibri"/>
          <w:szCs w:val="26"/>
        </w:rPr>
        <w:t xml:space="preserve"> and mistakes</w:t>
      </w:r>
      <w:r w:rsidRPr="2554E4E4">
        <w:rPr>
          <w:rFonts w:eastAsia="Calibri"/>
          <w:szCs w:val="26"/>
        </w:rPr>
        <w:t xml:space="preserve"> to its Schedule 300, add the primary metering discount </w:t>
      </w:r>
      <w:r w:rsidRPr="006A1B03">
        <w:t>available</w:t>
      </w:r>
      <w:r w:rsidRPr="2554E4E4">
        <w:rPr>
          <w:rFonts w:eastAsia="Calibri"/>
          <w:szCs w:val="26"/>
        </w:rPr>
        <w:t xml:space="preserve"> to other general service rate schedules to Schedule A-25, and remove </w:t>
      </w:r>
      <w:r w:rsidRPr="2554E4E4" w:rsidR="70A4408B">
        <w:rPr>
          <w:rFonts w:eastAsia="Calibri"/>
          <w:szCs w:val="26"/>
        </w:rPr>
        <w:t>outdated references to pre-2005 Daylight Savings Time hours.</w:t>
      </w:r>
    </w:p>
    <w:p w:rsidR="007B13BC" w:rsidP="006A1B03" w:rsidRDefault="460A85D1" w14:paraId="4C812D7B" w14:textId="58E7C389">
      <w:pPr>
        <w:pStyle w:val="FoF"/>
        <w:ind w:firstLine="547"/>
        <w:rPr>
          <w:rFonts w:eastAsia="Calibri"/>
          <w:szCs w:val="26"/>
        </w:rPr>
      </w:pPr>
      <w:r w:rsidRPr="006A1B03">
        <w:t>PacifiCorp’s</w:t>
      </w:r>
      <w:r w:rsidRPr="2554E4E4">
        <w:rPr>
          <w:rFonts w:eastAsia="Calibri"/>
          <w:szCs w:val="26"/>
        </w:rPr>
        <w:t xml:space="preserve"> proposed increase in its CARE discount could mitigate the impact of the rate increases associated with this proceeding for </w:t>
      </w:r>
      <w:r w:rsidRPr="2554E4E4" w:rsidR="13197E46">
        <w:rPr>
          <w:rFonts w:eastAsia="Calibri"/>
          <w:szCs w:val="26"/>
        </w:rPr>
        <w:t>CARE-eligible customers.</w:t>
      </w:r>
    </w:p>
    <w:p w:rsidR="005B0ED9" w:rsidP="005B0ED9" w:rsidRDefault="005B0ED9" w14:paraId="484DDFC3" w14:textId="77777777">
      <w:pPr>
        <w:pStyle w:val="FoF"/>
      </w:pPr>
      <w:r>
        <w:t>PacifiCorp’s cost of service and proposed rate allocation is reasonable.</w:t>
      </w:r>
    </w:p>
    <w:p w:rsidR="005B0ED9" w:rsidP="005B0ED9" w:rsidRDefault="005B0ED9" w14:paraId="6E8E1EAB" w14:textId="77777777">
      <w:pPr>
        <w:pStyle w:val="FoF"/>
      </w:pPr>
      <w:r>
        <w:t xml:space="preserve">PacifiCorp’s proposal to equally spread the rate impacts of its requests across customer classes would reduce the otherwise unreasonable increase to agricultural customers in its California service territory. </w:t>
      </w:r>
    </w:p>
    <w:p w:rsidR="005B0ED9" w:rsidP="005B0ED9" w:rsidRDefault="005B0ED9" w14:paraId="5D3B765D" w14:textId="0458724D">
      <w:pPr>
        <w:pStyle w:val="FoF"/>
      </w:pPr>
      <w:r>
        <w:t>PacifiCorp’s proposed TOU time periods for Schedule DT, Schedule AT</w:t>
      </w:r>
      <w:r>
        <w:noBreakHyphen/>
        <w:t xml:space="preserve">29, and Schedules AT-47 and AT-48 align with the on-peak hours adopted in other California IOU </w:t>
      </w:r>
      <w:r w:rsidR="00A7312B">
        <w:t>GRCs</w:t>
      </w:r>
      <w:r>
        <w:t>.</w:t>
      </w:r>
    </w:p>
    <w:p w:rsidR="005B0ED9" w:rsidP="005B0ED9" w:rsidRDefault="005B0ED9" w14:paraId="4D38AB85" w14:textId="77777777">
      <w:pPr>
        <w:pStyle w:val="FoF"/>
      </w:pPr>
      <w:r>
        <w:t>PacifiCorp’s proposal to provide all agricultural pumping service customers optional TOU rates is reasonable and should reduce complexity of service for customers that span the Oregon and California border.</w:t>
      </w:r>
    </w:p>
    <w:p w:rsidR="005B0ED9" w:rsidP="005B0ED9" w:rsidRDefault="005B0ED9" w14:paraId="1218F013" w14:textId="77777777">
      <w:pPr>
        <w:pStyle w:val="FoF"/>
      </w:pPr>
      <w:r>
        <w:t>PacifiCorp’s proposed changes to its street and area lighting schedules will incentivize the company to convert older lamps to new LED technology while still providing an incentive for customer-paid conversion to LED lamps.</w:t>
      </w:r>
    </w:p>
    <w:p w:rsidR="005B0ED9" w:rsidP="005B0ED9" w:rsidRDefault="005B0ED9" w14:paraId="61BECBD0" w14:textId="77777777">
      <w:pPr>
        <w:pStyle w:val="FoF"/>
      </w:pPr>
      <w:r>
        <w:t xml:space="preserve">PacifiCorp’s proposed paperless bill credit will incentivize customers to adopt less resource-intensive methods to receive their monthly statements, and the cost of the credit is in line with the costs PacifiCorp pays to process and send paper bills to individual customers. </w:t>
      </w:r>
    </w:p>
    <w:p w:rsidR="005B0ED9" w:rsidP="005B0ED9" w:rsidRDefault="005B0ED9" w14:paraId="6F9DCC44" w14:textId="77777777">
      <w:pPr>
        <w:pStyle w:val="FoF"/>
      </w:pPr>
      <w:r>
        <w:t>PacifiCorp’s proposed increase to its temporary service installation charge aligns with the current rate for one hour of journeyman work.</w:t>
      </w:r>
    </w:p>
    <w:p w:rsidR="005B0ED9" w:rsidP="005B0ED9" w:rsidRDefault="005B0ED9" w14:paraId="13B24783" w14:textId="77777777">
      <w:pPr>
        <w:pStyle w:val="FoF"/>
      </w:pPr>
      <w:r>
        <w:t>PacifiCorp’s housekeeping items will clarify existing requirements for Schedule 300, provide a consistent primary metering discount across its general service customer schedules, and remove outdated references to pre-2005 Daylight Savings Time hours.</w:t>
      </w:r>
    </w:p>
    <w:p w:rsidR="005B0ED9" w:rsidP="005B0ED9" w:rsidRDefault="005B0ED9" w14:paraId="396E3B57" w14:textId="77777777">
      <w:pPr>
        <w:pStyle w:val="FoF"/>
      </w:pPr>
      <w:r>
        <w:t>PacifiCorp’s proposed increase to its CARE Credit will mitigate some of the rate impacts associated with this GRC for its CARE-eligible customers.</w:t>
      </w:r>
    </w:p>
    <w:p w:rsidR="005B0ED9" w:rsidP="005B0ED9" w:rsidRDefault="005B0ED9" w14:paraId="54E74EC6" w14:textId="77777777">
      <w:pPr>
        <w:pStyle w:val="FoF"/>
      </w:pPr>
      <w:r>
        <w:t>In its next GRC application, PacifiCorp should conduct a fully new RDF analysis that helps it forecast future wildfire and non-wildfire risk-related costs for the full GRC period. The updated RDF analysis should, at a minimum, address all 10 of the RAMP elements adopted in the Voluntary Agreement in D.19-04-020.</w:t>
      </w:r>
    </w:p>
    <w:p w:rsidRPr="00C27D61" w:rsidR="00C27D61" w:rsidP="00C27D61" w:rsidRDefault="003942CC" w14:paraId="0BAFFD1C" w14:textId="6598E690">
      <w:pPr>
        <w:pStyle w:val="FoF"/>
      </w:pPr>
      <w:r w:rsidRPr="00C27D61">
        <w:t>In its next GRC application, PacifiCorp should (1) provide any additional spending and accrual data for the years between the year of its most recent depreciation study and the GRC base year that may not be reflected in its most recent depreciation study; and (2) provide detailed documentation of the inputs, including the modeling and functionality studies, used in its most recent IRP to develop its forecasts of the timing of and costs of its retirement plans for all coal facilities serving California customers.</w:t>
      </w:r>
    </w:p>
    <w:p w:rsidR="00FB03FD" w:rsidP="00466C42" w:rsidRDefault="00FB03FD" w14:paraId="7609D80F" w14:textId="7C7F6187">
      <w:pPr>
        <w:pStyle w:val="Heading1"/>
        <w:numPr>
          <w:ilvl w:val="0"/>
          <w:numId w:val="0"/>
        </w:numPr>
        <w:ind w:left="720" w:hanging="720"/>
      </w:pPr>
      <w:bookmarkStart w:name="_bookmark51" w:id="83"/>
      <w:bookmarkStart w:name="_Toc153298456" w:id="84"/>
      <w:bookmarkEnd w:id="83"/>
      <w:r>
        <w:t>Conclusions</w:t>
      </w:r>
      <w:r w:rsidRPr="00DC081A">
        <w:rPr>
          <w:spacing w:val="-10"/>
        </w:rPr>
        <w:t xml:space="preserve"> </w:t>
      </w:r>
      <w:r>
        <w:t>of</w:t>
      </w:r>
      <w:r w:rsidRPr="00DC081A">
        <w:rPr>
          <w:spacing w:val="-8"/>
        </w:rPr>
        <w:t xml:space="preserve"> </w:t>
      </w:r>
      <w:r w:rsidRPr="00DC081A">
        <w:rPr>
          <w:spacing w:val="-5"/>
        </w:rPr>
        <w:t>Law</w:t>
      </w:r>
      <w:bookmarkEnd w:id="84"/>
    </w:p>
    <w:p w:rsidRPr="008E22E6" w:rsidR="00B320DF" w:rsidP="002D228B" w:rsidRDefault="00F71C4E" w14:paraId="4A9D6FE8" w14:textId="77777777">
      <w:pPr>
        <w:pStyle w:val="CoL"/>
        <w:numPr>
          <w:ilvl w:val="0"/>
          <w:numId w:val="15"/>
        </w:numPr>
      </w:pPr>
      <w:r w:rsidRPr="00F71C4E">
        <w:t>Applicants for rate increases are required to establish their requests are just and reasonable by the preponderance of the evidence.</w:t>
      </w:r>
      <w:r>
        <w:t xml:space="preserve"> </w:t>
      </w:r>
      <w:r w:rsidRPr="006A1B03" w:rsidR="00FB03FD">
        <w:t>PacifiCorp</w:t>
      </w:r>
      <w:r w:rsidR="00FB03FD">
        <w:rPr>
          <w:spacing w:val="-5"/>
        </w:rPr>
        <w:t xml:space="preserve"> </w:t>
      </w:r>
      <w:r w:rsidR="00FB03FD">
        <w:t>bears</w:t>
      </w:r>
      <w:r w:rsidR="00FB03FD">
        <w:rPr>
          <w:spacing w:val="-5"/>
        </w:rPr>
        <w:t xml:space="preserve"> </w:t>
      </w:r>
      <w:r w:rsidR="00FB03FD">
        <w:t>the</w:t>
      </w:r>
      <w:r w:rsidR="00FB03FD">
        <w:rPr>
          <w:spacing w:val="-2"/>
        </w:rPr>
        <w:t xml:space="preserve"> </w:t>
      </w:r>
      <w:r w:rsidR="00FB03FD">
        <w:t>burden</w:t>
      </w:r>
      <w:r w:rsidR="00FB03FD">
        <w:rPr>
          <w:spacing w:val="-4"/>
        </w:rPr>
        <w:t xml:space="preserve"> </w:t>
      </w:r>
      <w:r w:rsidR="007B13BC">
        <w:t>of establishing</w:t>
      </w:r>
      <w:r w:rsidR="00FB03FD">
        <w:rPr>
          <w:spacing w:val="-2"/>
        </w:rPr>
        <w:t xml:space="preserve"> </w:t>
      </w:r>
      <w:r w:rsidR="00FB03FD">
        <w:t>that</w:t>
      </w:r>
      <w:r w:rsidR="00FB03FD">
        <w:rPr>
          <w:spacing w:val="-5"/>
        </w:rPr>
        <w:t xml:space="preserve"> </w:t>
      </w:r>
      <w:r w:rsidR="00FB03FD">
        <w:t>its</w:t>
      </w:r>
      <w:r w:rsidR="00FB03FD">
        <w:rPr>
          <w:spacing w:val="-5"/>
        </w:rPr>
        <w:t xml:space="preserve"> </w:t>
      </w:r>
      <w:r w:rsidR="00FB03FD">
        <w:t>requests</w:t>
      </w:r>
      <w:r w:rsidR="00FB03FD">
        <w:rPr>
          <w:spacing w:val="-3"/>
        </w:rPr>
        <w:t xml:space="preserve"> </w:t>
      </w:r>
      <w:r w:rsidR="00FB03FD">
        <w:t>are</w:t>
      </w:r>
      <w:r w:rsidR="00FB03FD">
        <w:rPr>
          <w:spacing w:val="-5"/>
        </w:rPr>
        <w:t xml:space="preserve"> </w:t>
      </w:r>
      <w:r w:rsidR="00FB03FD">
        <w:t>just</w:t>
      </w:r>
      <w:r w:rsidR="00FB03FD">
        <w:rPr>
          <w:spacing w:val="-5"/>
        </w:rPr>
        <w:t xml:space="preserve"> </w:t>
      </w:r>
      <w:r w:rsidR="00FB03FD">
        <w:t xml:space="preserve">and </w:t>
      </w:r>
      <w:r w:rsidR="00FB03FD">
        <w:rPr>
          <w:spacing w:val="-2"/>
        </w:rPr>
        <w:t>reasonable</w:t>
      </w:r>
      <w:r w:rsidR="00A736A1">
        <w:rPr>
          <w:spacing w:val="-2"/>
        </w:rPr>
        <w:t xml:space="preserve"> pursuant to Pub. Util. Code § 451.</w:t>
      </w:r>
    </w:p>
    <w:p w:rsidR="000C7F41" w:rsidP="002D228B" w:rsidRDefault="000C7F41" w14:paraId="2AE2E4D6" w14:textId="0B05F5BC">
      <w:pPr>
        <w:pStyle w:val="CoL"/>
        <w:numPr>
          <w:ilvl w:val="0"/>
          <w:numId w:val="15"/>
        </w:numPr>
      </w:pPr>
      <w:r>
        <w:t>PacifiCorp should recover the balance accrued in its GRC RRMA over the TY 2023 rate case period, including the interest as calculated using the Federal Reserve three-month commercial paper rate, pursuant to D.22-11-001.</w:t>
      </w:r>
    </w:p>
    <w:p w:rsidR="00FB03FD" w:rsidP="002D228B" w:rsidRDefault="008E22E6" w14:paraId="31314BFA" w14:textId="7EFD54B6">
      <w:pPr>
        <w:pStyle w:val="CoL"/>
        <w:numPr>
          <w:ilvl w:val="0"/>
          <w:numId w:val="15"/>
        </w:numPr>
      </w:pPr>
      <w:r>
        <w:t>PacifiCorp’s continued</w:t>
      </w:r>
      <w:r w:rsidRPr="2554E4E4">
        <w:t xml:space="preserve"> </w:t>
      </w:r>
      <w:r w:rsidRPr="2554E4E4" w:rsidR="00FB03FD">
        <w:t xml:space="preserve">use of the ECAC should be </w:t>
      </w:r>
      <w:r w:rsidRPr="2554E4E4" w:rsidR="00FB03FD">
        <w:rPr>
          <w:spacing w:val="-2"/>
        </w:rPr>
        <w:t>authorized.</w:t>
      </w:r>
    </w:p>
    <w:p w:rsidR="00FB03FD" w:rsidP="002D228B" w:rsidRDefault="00FB03FD" w14:paraId="4B3C725D" w14:textId="08C126FC">
      <w:pPr>
        <w:pStyle w:val="CoL"/>
        <w:numPr>
          <w:ilvl w:val="0"/>
          <w:numId w:val="15"/>
        </w:numPr>
      </w:pPr>
      <w:r>
        <w:t>The</w:t>
      </w:r>
      <w:r>
        <w:rPr>
          <w:spacing w:val="-5"/>
        </w:rPr>
        <w:t xml:space="preserve"> </w:t>
      </w:r>
      <w:r>
        <w:t>PTAM</w:t>
      </w:r>
      <w:r>
        <w:rPr>
          <w:spacing w:val="-6"/>
        </w:rPr>
        <w:t xml:space="preserve"> </w:t>
      </w:r>
      <w:r w:rsidR="007B2540">
        <w:t>should be authorized for use during the GRC period</w:t>
      </w:r>
      <w:r>
        <w:rPr>
          <w:spacing w:val="-2"/>
        </w:rPr>
        <w:t>.</w:t>
      </w:r>
      <w:r w:rsidR="001E1CC3">
        <w:rPr>
          <w:spacing w:val="-2"/>
        </w:rPr>
        <w:t xml:space="preserve"> </w:t>
      </w:r>
      <w:r w:rsidR="007B2540">
        <w:rPr>
          <w:spacing w:val="-2"/>
        </w:rPr>
        <w:t xml:space="preserve">PacifiCorp is authorized to file a PTAM for major capital additions for projects that come into service in 2024 but is not authorized to file a PTAM attrition factor rate adjustment for 2024. </w:t>
      </w:r>
    </w:p>
    <w:p w:rsidR="00FB03FD" w:rsidP="002D228B" w:rsidRDefault="00FB03FD" w14:paraId="68FC2AA1" w14:textId="4C714C79">
      <w:pPr>
        <w:pStyle w:val="CoL"/>
        <w:numPr>
          <w:ilvl w:val="0"/>
          <w:numId w:val="15"/>
        </w:numPr>
      </w:pPr>
      <w:r w:rsidRPr="2554E4E4">
        <w:t>The</w:t>
      </w:r>
      <w:r w:rsidRPr="2554E4E4">
        <w:rPr>
          <w:spacing w:val="-4"/>
        </w:rPr>
        <w:t xml:space="preserve"> </w:t>
      </w:r>
      <w:r w:rsidRPr="2554E4E4">
        <w:t>PTAM</w:t>
      </w:r>
      <w:r w:rsidRPr="2554E4E4">
        <w:rPr>
          <w:spacing w:val="-4"/>
        </w:rPr>
        <w:t xml:space="preserve"> </w:t>
      </w:r>
      <w:r w:rsidR="009E1C84">
        <w:t xml:space="preserve">Attrition Factor </w:t>
      </w:r>
      <w:r w:rsidRPr="2554E4E4">
        <w:t>may</w:t>
      </w:r>
      <w:r w:rsidRPr="2554E4E4">
        <w:rPr>
          <w:spacing w:val="-3"/>
        </w:rPr>
        <w:t xml:space="preserve"> </w:t>
      </w:r>
      <w:r w:rsidRPr="2554E4E4">
        <w:t>continue</w:t>
      </w:r>
      <w:r w:rsidRPr="2554E4E4">
        <w:rPr>
          <w:spacing w:val="-4"/>
        </w:rPr>
        <w:t xml:space="preserve"> </w:t>
      </w:r>
      <w:r w:rsidRPr="2554E4E4">
        <w:t>to</w:t>
      </w:r>
      <w:r w:rsidRPr="2554E4E4">
        <w:rPr>
          <w:spacing w:val="-4"/>
        </w:rPr>
        <w:t xml:space="preserve"> </w:t>
      </w:r>
      <w:r w:rsidRPr="2554E4E4">
        <w:t>be</w:t>
      </w:r>
      <w:r w:rsidRPr="2554E4E4">
        <w:rPr>
          <w:spacing w:val="-4"/>
        </w:rPr>
        <w:t xml:space="preserve"> </w:t>
      </w:r>
      <w:r w:rsidRPr="2554E4E4">
        <w:t>filed</w:t>
      </w:r>
      <w:r w:rsidRPr="2554E4E4">
        <w:rPr>
          <w:spacing w:val="-2"/>
        </w:rPr>
        <w:t xml:space="preserve"> </w:t>
      </w:r>
      <w:r w:rsidRPr="2554E4E4">
        <w:t>on</w:t>
      </w:r>
      <w:r w:rsidRPr="2554E4E4">
        <w:rPr>
          <w:spacing w:val="-4"/>
        </w:rPr>
        <w:t xml:space="preserve"> </w:t>
      </w:r>
      <w:r w:rsidRPr="2554E4E4">
        <w:t>October</w:t>
      </w:r>
      <w:r w:rsidRPr="2554E4E4">
        <w:rPr>
          <w:spacing w:val="-3"/>
        </w:rPr>
        <w:t xml:space="preserve"> </w:t>
      </w:r>
      <w:r w:rsidRPr="2554E4E4">
        <w:t>15</w:t>
      </w:r>
      <w:r w:rsidRPr="2554E4E4" w:rsidR="007F26BB">
        <w:t>,</w:t>
      </w:r>
      <w:r w:rsidRPr="2554E4E4">
        <w:rPr>
          <w:spacing w:val="40"/>
        </w:rPr>
        <w:t xml:space="preserve"> </w:t>
      </w:r>
      <w:r w:rsidRPr="2554E4E4">
        <w:t>as</w:t>
      </w:r>
      <w:r w:rsidRPr="2554E4E4">
        <w:rPr>
          <w:spacing w:val="-3"/>
        </w:rPr>
        <w:t xml:space="preserve"> </w:t>
      </w:r>
      <w:r w:rsidRPr="2554E4E4">
        <w:t>a</w:t>
      </w:r>
      <w:r w:rsidRPr="2554E4E4">
        <w:rPr>
          <w:spacing w:val="-4"/>
        </w:rPr>
        <w:t xml:space="preserve"> </w:t>
      </w:r>
      <w:r w:rsidRPr="2554E4E4">
        <w:t>Tier</w:t>
      </w:r>
      <w:r w:rsidRPr="2554E4E4">
        <w:rPr>
          <w:spacing w:val="-2"/>
        </w:rPr>
        <w:t xml:space="preserve"> </w:t>
      </w:r>
      <w:r w:rsidRPr="2554E4E4">
        <w:t xml:space="preserve">2 </w:t>
      </w:r>
      <w:r w:rsidR="00930A51">
        <w:t>AL</w:t>
      </w:r>
      <w:r w:rsidRPr="2554E4E4">
        <w:t>, with rates effective January 1</w:t>
      </w:r>
      <w:r w:rsidRPr="2554E4E4" w:rsidR="007F26BB">
        <w:t xml:space="preserve"> of the year following approval of PacifiCorp’s request</w:t>
      </w:r>
      <w:r w:rsidRPr="2554E4E4">
        <w:t>.</w:t>
      </w:r>
    </w:p>
    <w:p w:rsidRPr="00C27BBA" w:rsidR="00C27BBA" w:rsidP="00466C42" w:rsidRDefault="00FB03FD" w14:paraId="34B533C4" w14:textId="0A607600">
      <w:pPr>
        <w:pStyle w:val="CoL"/>
        <w:numPr>
          <w:ilvl w:val="0"/>
          <w:numId w:val="15"/>
        </w:numPr>
      </w:pPr>
      <w:r>
        <w:t>PacifiCorp should be authorized to continue to use the PTAM</w:t>
      </w:r>
      <w:r>
        <w:rPr>
          <w:spacing w:val="-5"/>
        </w:rPr>
        <w:t xml:space="preserve"> </w:t>
      </w:r>
      <w:r w:rsidR="007B2540">
        <w:t>during</w:t>
      </w:r>
      <w:r w:rsidR="00A7312B">
        <w:t xml:space="preserve"> </w:t>
      </w:r>
      <w:proofErr w:type="spellStart"/>
      <w:r w:rsidR="007B2540">
        <w:t>during</w:t>
      </w:r>
      <w:proofErr w:type="spellEnd"/>
      <w:r w:rsidR="007B2540">
        <w:t xml:space="preserve"> the GRC period</w:t>
      </w:r>
      <w:r w:rsidR="007B13BC">
        <w:t>, so long as the requested costs are</w:t>
      </w:r>
      <w:r>
        <w:rPr>
          <w:spacing w:val="-4"/>
        </w:rPr>
        <w:t xml:space="preserve"> </w:t>
      </w:r>
      <w:r>
        <w:t>based</w:t>
      </w:r>
      <w:r>
        <w:rPr>
          <w:spacing w:val="-2"/>
        </w:rPr>
        <w:t xml:space="preserve"> </w:t>
      </w:r>
      <w:r>
        <w:t>on</w:t>
      </w:r>
      <w:r>
        <w:rPr>
          <w:spacing w:val="-5"/>
        </w:rPr>
        <w:t xml:space="preserve"> </w:t>
      </w:r>
      <w:r>
        <w:t>California</w:t>
      </w:r>
      <w:r w:rsidR="007B13BC">
        <w:t xml:space="preserve">’s allocation and </w:t>
      </w:r>
      <w:r>
        <w:t>on actual cost data and in-service dates.</w:t>
      </w:r>
    </w:p>
    <w:p w:rsidRPr="00C27BBA" w:rsidR="00C27BBA" w:rsidP="002D228B" w:rsidRDefault="1738EE30" w14:paraId="3956CCD8" w14:textId="713BD77E">
      <w:pPr>
        <w:pStyle w:val="CoL"/>
        <w:numPr>
          <w:ilvl w:val="0"/>
          <w:numId w:val="15"/>
        </w:numPr>
      </w:pPr>
      <w:r w:rsidRPr="2554E4E4">
        <w:t xml:space="preserve">The PTAM Tier 2 </w:t>
      </w:r>
      <w:r w:rsidR="00930A51">
        <w:t>AL</w:t>
      </w:r>
      <w:r w:rsidRPr="2554E4E4">
        <w:t xml:space="preserve"> for Major Capital Additions in 2023 </w:t>
      </w:r>
      <w:r w:rsidRPr="2554E4E4" w:rsidR="00FB03FD">
        <w:t>may be filed</w:t>
      </w:r>
      <w:r w:rsidRPr="2554E4E4" w:rsidR="00FB03FD">
        <w:rPr>
          <w:spacing w:val="-4"/>
        </w:rPr>
        <w:t xml:space="preserve"> </w:t>
      </w:r>
      <w:r w:rsidRPr="2554E4E4" w:rsidR="00FB03FD">
        <w:t>as</w:t>
      </w:r>
      <w:r w:rsidRPr="2554E4E4" w:rsidR="00FB03FD">
        <w:rPr>
          <w:spacing w:val="-3"/>
        </w:rPr>
        <w:t xml:space="preserve"> </w:t>
      </w:r>
      <w:r w:rsidRPr="2554E4E4" w:rsidR="00FB03FD">
        <w:t>soon</w:t>
      </w:r>
      <w:r w:rsidRPr="2554E4E4" w:rsidR="00FB03FD">
        <w:rPr>
          <w:spacing w:val="-4"/>
        </w:rPr>
        <w:t xml:space="preserve"> </w:t>
      </w:r>
      <w:r w:rsidRPr="2554E4E4" w:rsidR="00FB03FD">
        <w:t>as</w:t>
      </w:r>
      <w:r w:rsidRPr="2554E4E4" w:rsidR="00FB03FD">
        <w:rPr>
          <w:spacing w:val="-3"/>
        </w:rPr>
        <w:t xml:space="preserve"> </w:t>
      </w:r>
      <w:r w:rsidRPr="2554E4E4" w:rsidR="00FB03FD">
        <w:t>reasonably</w:t>
      </w:r>
      <w:r w:rsidRPr="2554E4E4" w:rsidR="00FB03FD">
        <w:rPr>
          <w:spacing w:val="-4"/>
        </w:rPr>
        <w:t xml:space="preserve"> </w:t>
      </w:r>
      <w:r w:rsidRPr="2554E4E4" w:rsidR="00FB03FD">
        <w:t>feasible</w:t>
      </w:r>
      <w:r w:rsidRPr="2554E4E4" w:rsidR="00FB03FD">
        <w:rPr>
          <w:spacing w:val="-4"/>
        </w:rPr>
        <w:t xml:space="preserve"> </w:t>
      </w:r>
      <w:r w:rsidRPr="2554E4E4" w:rsidR="00FB03FD">
        <w:t>with</w:t>
      </w:r>
      <w:r w:rsidRPr="2554E4E4" w:rsidR="00FB03FD">
        <w:rPr>
          <w:spacing w:val="-4"/>
        </w:rPr>
        <w:t xml:space="preserve"> </w:t>
      </w:r>
      <w:r w:rsidRPr="2554E4E4" w:rsidR="00FB03FD">
        <w:t>rates</w:t>
      </w:r>
      <w:r w:rsidRPr="2554E4E4" w:rsidR="00FB03FD">
        <w:rPr>
          <w:spacing w:val="-4"/>
        </w:rPr>
        <w:t xml:space="preserve"> </w:t>
      </w:r>
      <w:r w:rsidRPr="2554E4E4" w:rsidR="00FB03FD">
        <w:t>effective within</w:t>
      </w:r>
      <w:r w:rsidRPr="2554E4E4" w:rsidR="00FB03FD">
        <w:rPr>
          <w:spacing w:val="-4"/>
        </w:rPr>
        <w:t xml:space="preserve"> </w:t>
      </w:r>
      <w:r w:rsidRPr="2554E4E4" w:rsidR="00FB03FD">
        <w:t>30</w:t>
      </w:r>
      <w:r w:rsidR="00FB4CF9">
        <w:rPr>
          <w:spacing w:val="-1"/>
        </w:rPr>
        <w:t> days</w:t>
      </w:r>
      <w:r w:rsidRPr="2554E4E4" w:rsidR="00FB03FD">
        <w:t xml:space="preserve"> </w:t>
      </w:r>
      <w:r w:rsidRPr="2554E4E4" w:rsidR="00FB03FD">
        <w:rPr>
          <w:spacing w:val="-2"/>
        </w:rPr>
        <w:t>thereafter.</w:t>
      </w:r>
    </w:p>
    <w:p w:rsidRPr="00C27BBA" w:rsidR="00C27BBA" w:rsidP="002D228B" w:rsidRDefault="00FB03FD" w14:paraId="6DF9D269" w14:textId="5873CF55">
      <w:pPr>
        <w:pStyle w:val="CoL"/>
        <w:numPr>
          <w:ilvl w:val="0"/>
          <w:numId w:val="15"/>
        </w:numPr>
      </w:pPr>
      <w:r w:rsidRPr="00C27BBA">
        <w:t>We</w:t>
      </w:r>
      <w:r w:rsidRPr="00C27BBA">
        <w:rPr>
          <w:spacing w:val="-6"/>
        </w:rPr>
        <w:t xml:space="preserve"> </w:t>
      </w:r>
      <w:r w:rsidRPr="00C27BBA">
        <w:t>should</w:t>
      </w:r>
      <w:r w:rsidRPr="00C27BBA">
        <w:rPr>
          <w:spacing w:val="-4"/>
        </w:rPr>
        <w:t xml:space="preserve"> </w:t>
      </w:r>
      <w:r w:rsidRPr="00C27BBA">
        <w:t>approve</w:t>
      </w:r>
      <w:r w:rsidRPr="00C27BBA">
        <w:rPr>
          <w:spacing w:val="-3"/>
        </w:rPr>
        <w:t xml:space="preserve"> </w:t>
      </w:r>
      <w:r w:rsidRPr="00C27BBA">
        <w:t>use</w:t>
      </w:r>
      <w:r w:rsidRPr="00C27BBA">
        <w:rPr>
          <w:spacing w:val="-5"/>
        </w:rPr>
        <w:t xml:space="preserve"> </w:t>
      </w:r>
      <w:r w:rsidRPr="00C27BBA">
        <w:t>of</w:t>
      </w:r>
      <w:r w:rsidRPr="00C27BBA">
        <w:rPr>
          <w:spacing w:val="-6"/>
        </w:rPr>
        <w:t xml:space="preserve"> </w:t>
      </w:r>
      <w:r w:rsidRPr="00C27BBA">
        <w:t>the</w:t>
      </w:r>
      <w:r w:rsidRPr="00C27BBA">
        <w:rPr>
          <w:spacing w:val="-6"/>
        </w:rPr>
        <w:t xml:space="preserve"> </w:t>
      </w:r>
      <w:r w:rsidRPr="00C27BBA">
        <w:t>20</w:t>
      </w:r>
      <w:r w:rsidRPr="00C27BBA" w:rsidR="007F26BB">
        <w:t>20</w:t>
      </w:r>
      <w:r w:rsidRPr="00C27BBA">
        <w:rPr>
          <w:spacing w:val="-6"/>
        </w:rPr>
        <w:t xml:space="preserve"> </w:t>
      </w:r>
      <w:r w:rsidRPr="00C27BBA">
        <w:rPr>
          <w:spacing w:val="-2"/>
        </w:rPr>
        <w:t>Protocol</w:t>
      </w:r>
      <w:r w:rsidRPr="00C27BBA" w:rsidR="007F26BB">
        <w:rPr>
          <w:spacing w:val="-2"/>
        </w:rPr>
        <w:t xml:space="preserve"> and the JAM proposed by PacifiCorp</w:t>
      </w:r>
      <w:r w:rsidR="00773170">
        <w:rPr>
          <w:spacing w:val="-2"/>
        </w:rPr>
        <w:t xml:space="preserve"> for this GRC period</w:t>
      </w:r>
      <w:r w:rsidRPr="00C27BBA" w:rsidR="007F26BB">
        <w:rPr>
          <w:spacing w:val="-2"/>
        </w:rPr>
        <w:t xml:space="preserve">, as it was </w:t>
      </w:r>
      <w:r w:rsidRPr="006A1B03" w:rsidR="007F26BB">
        <w:t>uncontested</w:t>
      </w:r>
      <w:r w:rsidRPr="00C27BBA" w:rsidR="007F26BB">
        <w:rPr>
          <w:spacing w:val="-2"/>
        </w:rPr>
        <w:t xml:space="preserve"> in this proceeding</w:t>
      </w:r>
      <w:r w:rsidRPr="00C27BBA">
        <w:rPr>
          <w:spacing w:val="-2"/>
        </w:rPr>
        <w:t>.</w:t>
      </w:r>
    </w:p>
    <w:p w:rsidRPr="00C27BBA" w:rsidR="00C27BBA" w:rsidP="002D228B" w:rsidRDefault="00FB03FD" w14:paraId="19654DFB" w14:textId="77777777">
      <w:pPr>
        <w:pStyle w:val="CoL"/>
        <w:numPr>
          <w:ilvl w:val="0"/>
          <w:numId w:val="15"/>
        </w:numPr>
      </w:pPr>
      <w:r w:rsidRPr="00C27BBA">
        <w:t>The</w:t>
      </w:r>
      <w:r w:rsidRPr="00C27BBA">
        <w:rPr>
          <w:spacing w:val="-9"/>
        </w:rPr>
        <w:t xml:space="preserve"> </w:t>
      </w:r>
      <w:r w:rsidRPr="00C27BBA">
        <w:t>proposed</w:t>
      </w:r>
      <w:r w:rsidRPr="00C27BBA">
        <w:rPr>
          <w:spacing w:val="-8"/>
        </w:rPr>
        <w:t xml:space="preserve"> </w:t>
      </w:r>
      <w:r w:rsidRPr="00C27BBA">
        <w:t>capital</w:t>
      </w:r>
      <w:r w:rsidRPr="00C27BBA">
        <w:rPr>
          <w:spacing w:val="-8"/>
        </w:rPr>
        <w:t xml:space="preserve"> </w:t>
      </w:r>
      <w:r w:rsidRPr="00C27BBA">
        <w:t>structure</w:t>
      </w:r>
      <w:r w:rsidRPr="00C27BBA">
        <w:rPr>
          <w:spacing w:val="-8"/>
        </w:rPr>
        <w:t xml:space="preserve"> </w:t>
      </w:r>
      <w:r w:rsidRPr="00C27BBA">
        <w:t>should</w:t>
      </w:r>
      <w:r w:rsidRPr="00C27BBA">
        <w:rPr>
          <w:spacing w:val="-9"/>
        </w:rPr>
        <w:t xml:space="preserve"> </w:t>
      </w:r>
      <w:r w:rsidRPr="00C27BBA">
        <w:t>be</w:t>
      </w:r>
      <w:r w:rsidRPr="00C27BBA">
        <w:rPr>
          <w:spacing w:val="-5"/>
        </w:rPr>
        <w:t xml:space="preserve"> </w:t>
      </w:r>
      <w:r w:rsidRPr="00C27BBA">
        <w:rPr>
          <w:spacing w:val="-2"/>
        </w:rPr>
        <w:t>adopted.</w:t>
      </w:r>
    </w:p>
    <w:p w:rsidRPr="00C27BBA" w:rsidR="00C27BBA" w:rsidP="002D228B" w:rsidRDefault="00C27BBA" w14:paraId="046A34F8" w14:textId="5AA38183">
      <w:pPr>
        <w:pStyle w:val="CoL"/>
        <w:numPr>
          <w:ilvl w:val="0"/>
          <w:numId w:val="15"/>
        </w:numPr>
      </w:pPr>
      <w:r>
        <w:rPr>
          <w:spacing w:val="-2"/>
        </w:rPr>
        <w:t xml:space="preserve">We should </w:t>
      </w:r>
      <w:r w:rsidRPr="006A1B03">
        <w:t>authorize</w:t>
      </w:r>
      <w:r>
        <w:rPr>
          <w:spacing w:val="-2"/>
        </w:rPr>
        <w:t xml:space="preserve"> a return on equity of 10</w:t>
      </w:r>
      <w:r w:rsidR="00730ADE">
        <w:rPr>
          <w:spacing w:val="-2"/>
        </w:rPr>
        <w:t> percent</w:t>
      </w:r>
      <w:r>
        <w:rPr>
          <w:spacing w:val="-2"/>
        </w:rPr>
        <w:t>.</w:t>
      </w:r>
    </w:p>
    <w:p w:rsidRPr="00C27BBA" w:rsidR="00FB03FD" w:rsidP="002D228B" w:rsidRDefault="00FB03FD" w14:paraId="6C7F54E6" w14:textId="797EBF78">
      <w:pPr>
        <w:pStyle w:val="CoL"/>
        <w:numPr>
          <w:ilvl w:val="0"/>
          <w:numId w:val="15"/>
        </w:numPr>
      </w:pPr>
      <w:r w:rsidRPr="00C27BBA">
        <w:t>We</w:t>
      </w:r>
      <w:r w:rsidRPr="00C27BBA">
        <w:rPr>
          <w:spacing w:val="-6"/>
        </w:rPr>
        <w:t xml:space="preserve"> </w:t>
      </w:r>
      <w:r w:rsidRPr="00C27BBA">
        <w:t>should</w:t>
      </w:r>
      <w:r w:rsidRPr="00C27BBA">
        <w:rPr>
          <w:spacing w:val="-5"/>
        </w:rPr>
        <w:t xml:space="preserve"> </w:t>
      </w:r>
      <w:r w:rsidRPr="00C27BBA">
        <w:t>approve</w:t>
      </w:r>
      <w:r w:rsidRPr="00C27BBA">
        <w:rPr>
          <w:spacing w:val="-6"/>
        </w:rPr>
        <w:t xml:space="preserve"> </w:t>
      </w:r>
      <w:r w:rsidRPr="00C27BBA">
        <w:t>accelerated</w:t>
      </w:r>
      <w:r w:rsidRPr="00C27BBA">
        <w:rPr>
          <w:spacing w:val="-4"/>
        </w:rPr>
        <w:t xml:space="preserve"> </w:t>
      </w:r>
      <w:r w:rsidRPr="00C27BBA">
        <w:t>depreciation</w:t>
      </w:r>
      <w:r w:rsidRPr="00C27BBA">
        <w:rPr>
          <w:spacing w:val="-6"/>
        </w:rPr>
        <w:t xml:space="preserve"> </w:t>
      </w:r>
      <w:r w:rsidRPr="00C27BBA">
        <w:t>for</w:t>
      </w:r>
      <w:r w:rsidRPr="00C27BBA">
        <w:rPr>
          <w:spacing w:val="-5"/>
        </w:rPr>
        <w:t xml:space="preserve"> </w:t>
      </w:r>
      <w:r w:rsidRPr="00C27BBA">
        <w:t>PacifiCorp’s</w:t>
      </w:r>
      <w:r w:rsidRPr="00C27BBA">
        <w:rPr>
          <w:spacing w:val="-6"/>
        </w:rPr>
        <w:t xml:space="preserve"> </w:t>
      </w:r>
      <w:r w:rsidRPr="00C27BBA">
        <w:t>coal burning plants.</w:t>
      </w:r>
    </w:p>
    <w:p w:rsidR="00FB03FD" w:rsidP="002D228B" w:rsidRDefault="00FB03FD" w14:paraId="60D61843" w14:textId="680A615E">
      <w:pPr>
        <w:pStyle w:val="CoL"/>
        <w:numPr>
          <w:ilvl w:val="0"/>
          <w:numId w:val="15"/>
        </w:numPr>
      </w:pPr>
      <w:r w:rsidRPr="2554E4E4">
        <w:t>We</w:t>
      </w:r>
      <w:r w:rsidRPr="2554E4E4">
        <w:rPr>
          <w:spacing w:val="-6"/>
        </w:rPr>
        <w:t xml:space="preserve"> </w:t>
      </w:r>
      <w:r w:rsidRPr="2554E4E4">
        <w:t>should</w:t>
      </w:r>
      <w:r w:rsidRPr="2554E4E4">
        <w:rPr>
          <w:spacing w:val="-4"/>
        </w:rPr>
        <w:t xml:space="preserve"> </w:t>
      </w:r>
      <w:r w:rsidRPr="2554E4E4">
        <w:t>defer</w:t>
      </w:r>
      <w:r w:rsidRPr="2554E4E4">
        <w:rPr>
          <w:spacing w:val="-5"/>
        </w:rPr>
        <w:t xml:space="preserve"> </w:t>
      </w:r>
      <w:r w:rsidRPr="2554E4E4">
        <w:t>to</w:t>
      </w:r>
      <w:r w:rsidRPr="2554E4E4">
        <w:rPr>
          <w:spacing w:val="-6"/>
        </w:rPr>
        <w:t xml:space="preserve"> </w:t>
      </w:r>
      <w:r w:rsidRPr="2554E4E4">
        <w:t>the</w:t>
      </w:r>
      <w:r w:rsidRPr="2554E4E4">
        <w:rPr>
          <w:spacing w:val="-5"/>
        </w:rPr>
        <w:t xml:space="preserve"> </w:t>
      </w:r>
      <w:r w:rsidR="002E3EDA">
        <w:t>IRP</w:t>
      </w:r>
      <w:r w:rsidRPr="2554E4E4">
        <w:rPr>
          <w:spacing w:val="-6"/>
        </w:rPr>
        <w:t xml:space="preserve"> </w:t>
      </w:r>
      <w:r w:rsidRPr="2554E4E4">
        <w:t>proceeding</w:t>
      </w:r>
      <w:r w:rsidRPr="2554E4E4">
        <w:rPr>
          <w:spacing w:val="-6"/>
        </w:rPr>
        <w:t xml:space="preserve"> </w:t>
      </w:r>
      <w:r w:rsidRPr="2554E4E4">
        <w:t>to consider the best mix of generation resources for PacifiCorp.</w:t>
      </w:r>
    </w:p>
    <w:p w:rsidR="00D84253" w:rsidP="002D228B" w:rsidRDefault="00FB03FD" w14:paraId="56F37BD2" w14:textId="77777777">
      <w:pPr>
        <w:pStyle w:val="CoL"/>
        <w:numPr>
          <w:ilvl w:val="0"/>
          <w:numId w:val="15"/>
        </w:numPr>
      </w:pPr>
      <w:r w:rsidRPr="2554E4E4">
        <w:t>Expenditures</w:t>
      </w:r>
      <w:r w:rsidRPr="2554E4E4">
        <w:rPr>
          <w:spacing w:val="-5"/>
        </w:rPr>
        <w:t xml:space="preserve"> </w:t>
      </w:r>
      <w:r w:rsidRPr="2554E4E4">
        <w:t>outside</w:t>
      </w:r>
      <w:r w:rsidRPr="2554E4E4">
        <w:rPr>
          <w:spacing w:val="-5"/>
        </w:rPr>
        <w:t xml:space="preserve"> </w:t>
      </w:r>
      <w:r w:rsidRPr="2554E4E4">
        <w:t>of</w:t>
      </w:r>
      <w:r w:rsidRPr="2554E4E4">
        <w:rPr>
          <w:spacing w:val="-4"/>
        </w:rPr>
        <w:t xml:space="preserve"> </w:t>
      </w:r>
      <w:r w:rsidRPr="2554E4E4">
        <w:t>PacifiCorp’s</w:t>
      </w:r>
      <w:r w:rsidRPr="2554E4E4">
        <w:rPr>
          <w:spacing w:val="-5"/>
        </w:rPr>
        <w:t xml:space="preserve"> </w:t>
      </w:r>
      <w:r w:rsidRPr="2554E4E4">
        <w:t>application</w:t>
      </w:r>
      <w:r w:rsidRPr="2554E4E4">
        <w:rPr>
          <w:spacing w:val="-3"/>
        </w:rPr>
        <w:t xml:space="preserve"> </w:t>
      </w:r>
      <w:r w:rsidRPr="2554E4E4">
        <w:t>which</w:t>
      </w:r>
      <w:r w:rsidRPr="2554E4E4">
        <w:rPr>
          <w:spacing w:val="-5"/>
        </w:rPr>
        <w:t xml:space="preserve"> </w:t>
      </w:r>
      <w:r w:rsidRPr="2554E4E4">
        <w:t>are</w:t>
      </w:r>
      <w:r w:rsidRPr="2554E4E4">
        <w:rPr>
          <w:spacing w:val="-5"/>
        </w:rPr>
        <w:t xml:space="preserve"> </w:t>
      </w:r>
      <w:r w:rsidRPr="2554E4E4">
        <w:t>already</w:t>
      </w:r>
      <w:r w:rsidRPr="2554E4E4">
        <w:rPr>
          <w:spacing w:val="-5"/>
        </w:rPr>
        <w:t xml:space="preserve"> </w:t>
      </w:r>
      <w:r w:rsidRPr="2554E4E4">
        <w:t>in</w:t>
      </w:r>
      <w:r w:rsidRPr="2554E4E4">
        <w:rPr>
          <w:spacing w:val="-5"/>
        </w:rPr>
        <w:t xml:space="preserve"> </w:t>
      </w:r>
      <w:r w:rsidRPr="2554E4E4">
        <w:t>rate base are not properly before us; we will not engage in a retroactive review.</w:t>
      </w:r>
    </w:p>
    <w:p w:rsidRPr="00D84253" w:rsidR="00D84253" w:rsidP="002D228B" w:rsidRDefault="002A79E9" w14:paraId="070E1919" w14:textId="531E8F37">
      <w:pPr>
        <w:pStyle w:val="CoL"/>
        <w:numPr>
          <w:ilvl w:val="0"/>
          <w:numId w:val="15"/>
        </w:numPr>
      </w:pPr>
      <w:r w:rsidRPr="00D84253">
        <w:t>We</w:t>
      </w:r>
      <w:r w:rsidRPr="00D84253">
        <w:rPr>
          <w:spacing w:val="-6"/>
        </w:rPr>
        <w:t xml:space="preserve"> </w:t>
      </w:r>
      <w:r w:rsidRPr="00D84253">
        <w:t>should</w:t>
      </w:r>
      <w:r w:rsidRPr="00D84253">
        <w:rPr>
          <w:spacing w:val="-6"/>
        </w:rPr>
        <w:t xml:space="preserve"> </w:t>
      </w:r>
      <w:r w:rsidRPr="00D84253">
        <w:t>defer</w:t>
      </w:r>
      <w:r w:rsidRPr="00D84253">
        <w:rPr>
          <w:spacing w:val="-4"/>
        </w:rPr>
        <w:t xml:space="preserve"> </w:t>
      </w:r>
      <w:r w:rsidRPr="00D84253">
        <w:t xml:space="preserve">to </w:t>
      </w:r>
      <w:r w:rsidRPr="00D84253" w:rsidR="00FB03FD">
        <w:t>D</w:t>
      </w:r>
      <w:r>
        <w:t>.</w:t>
      </w:r>
      <w:r w:rsidRPr="00D84253" w:rsidR="00FB03FD">
        <w:t xml:space="preserve">19-04-020 in A.15-05-002 </w:t>
      </w:r>
      <w:r>
        <w:t xml:space="preserve">which </w:t>
      </w:r>
      <w:r w:rsidRPr="00D84253" w:rsidR="00FB03FD">
        <w:t>approved a voluntary agreement between</w:t>
      </w:r>
      <w:r w:rsidRPr="00D84253" w:rsidR="00FB03FD">
        <w:rPr>
          <w:spacing w:val="-5"/>
        </w:rPr>
        <w:t xml:space="preserve"> </w:t>
      </w:r>
      <w:r w:rsidRPr="00D84253" w:rsidR="00FB03FD">
        <w:t>the</w:t>
      </w:r>
      <w:r w:rsidRPr="00D84253" w:rsidR="00FB03FD">
        <w:rPr>
          <w:spacing w:val="-6"/>
        </w:rPr>
        <w:t xml:space="preserve"> </w:t>
      </w:r>
      <w:r w:rsidRPr="00D84253" w:rsidR="00FB03FD">
        <w:t>Commission’s</w:t>
      </w:r>
      <w:r w:rsidRPr="00D84253" w:rsidR="00FB03FD">
        <w:rPr>
          <w:spacing w:val="-6"/>
        </w:rPr>
        <w:t xml:space="preserve"> </w:t>
      </w:r>
      <w:r w:rsidRPr="00D84253" w:rsidR="00FB03FD">
        <w:t>Safety</w:t>
      </w:r>
      <w:r w:rsidRPr="00D84253" w:rsidR="00FB03FD">
        <w:rPr>
          <w:spacing w:val="-3"/>
        </w:rPr>
        <w:t xml:space="preserve"> </w:t>
      </w:r>
      <w:r w:rsidRPr="00D84253" w:rsidR="00FB03FD">
        <w:t>Enforcement</w:t>
      </w:r>
      <w:r w:rsidRPr="00D84253" w:rsidR="00FB03FD">
        <w:rPr>
          <w:spacing w:val="-6"/>
        </w:rPr>
        <w:t xml:space="preserve"> </w:t>
      </w:r>
      <w:r w:rsidRPr="00D84253" w:rsidR="00FB03FD">
        <w:t>Division</w:t>
      </w:r>
      <w:r w:rsidRPr="00D84253" w:rsidR="00FB03FD">
        <w:rPr>
          <w:spacing w:val="-6"/>
        </w:rPr>
        <w:t xml:space="preserve"> </w:t>
      </w:r>
      <w:r w:rsidRPr="00D84253" w:rsidR="00FB03FD">
        <w:t>and</w:t>
      </w:r>
      <w:r w:rsidRPr="00D84253" w:rsidR="00FB03FD">
        <w:rPr>
          <w:spacing w:val="-3"/>
        </w:rPr>
        <w:t xml:space="preserve"> </w:t>
      </w:r>
      <w:r w:rsidRPr="00D84253" w:rsidR="00FB03FD">
        <w:t>the SMJU,</w:t>
      </w:r>
      <w:r w:rsidRPr="00D84253" w:rsidR="00FB03FD">
        <w:rPr>
          <w:spacing w:val="-6"/>
        </w:rPr>
        <w:t xml:space="preserve"> </w:t>
      </w:r>
      <w:r w:rsidRPr="00D84253" w:rsidR="00FB03FD">
        <w:t>including PacifiCorp. The agreement provides a framework for the risk-based</w:t>
      </w:r>
      <w:r w:rsidRPr="00D84253" w:rsidR="00D84253">
        <w:t xml:space="preserve"> </w:t>
      </w:r>
      <w:r w:rsidRPr="00D84253" w:rsidR="00FB03FD">
        <w:t>decision-making</w:t>
      </w:r>
      <w:r w:rsidRPr="00D84253" w:rsidR="00FB03FD">
        <w:rPr>
          <w:spacing w:val="-3"/>
        </w:rPr>
        <w:t xml:space="preserve"> </w:t>
      </w:r>
      <w:r w:rsidRPr="00D84253" w:rsidR="00FB03FD">
        <w:t>components</w:t>
      </w:r>
      <w:r w:rsidRPr="00D84253" w:rsidR="00FB03FD">
        <w:rPr>
          <w:spacing w:val="-6"/>
        </w:rPr>
        <w:t xml:space="preserve"> </w:t>
      </w:r>
      <w:r w:rsidRPr="00D84253" w:rsidR="00FB03FD">
        <w:t>of</w:t>
      </w:r>
      <w:r w:rsidRPr="00D84253" w:rsidR="00FB03FD">
        <w:rPr>
          <w:spacing w:val="-3"/>
        </w:rPr>
        <w:t xml:space="preserve"> </w:t>
      </w:r>
      <w:r w:rsidRPr="00D84253" w:rsidR="00FB03FD">
        <w:t>PacifiCorp’s</w:t>
      </w:r>
      <w:r w:rsidRPr="00D84253" w:rsidR="00FB03FD">
        <w:rPr>
          <w:spacing w:val="-6"/>
        </w:rPr>
        <w:t xml:space="preserve"> </w:t>
      </w:r>
      <w:r w:rsidRPr="00D84253" w:rsidR="00FB03FD">
        <w:t>next</w:t>
      </w:r>
      <w:r w:rsidRPr="00D84253" w:rsidR="00FB03FD">
        <w:rPr>
          <w:spacing w:val="-6"/>
        </w:rPr>
        <w:t xml:space="preserve"> </w:t>
      </w:r>
      <w:r w:rsidRPr="00D84253" w:rsidR="00FB03FD">
        <w:t>GRC</w:t>
      </w:r>
      <w:r w:rsidRPr="00D84253" w:rsidR="00FB03FD">
        <w:rPr>
          <w:spacing w:val="-6"/>
        </w:rPr>
        <w:t xml:space="preserve"> </w:t>
      </w:r>
      <w:r w:rsidRPr="00D84253" w:rsidR="00FB03FD">
        <w:t>filing.</w:t>
      </w:r>
      <w:r w:rsidRPr="00D84253" w:rsidR="00FB03FD">
        <w:rPr>
          <w:spacing w:val="-6"/>
        </w:rPr>
        <w:t xml:space="preserve"> </w:t>
      </w:r>
    </w:p>
    <w:p w:rsidRPr="00D84253" w:rsidR="00FB03FD" w:rsidP="002D228B" w:rsidRDefault="00FB03FD" w14:paraId="5CA56D56" w14:textId="00E5B2EF">
      <w:pPr>
        <w:pStyle w:val="CoL"/>
        <w:numPr>
          <w:ilvl w:val="0"/>
          <w:numId w:val="15"/>
        </w:numPr>
      </w:pPr>
      <w:r w:rsidRPr="00D84253">
        <w:t>The following elements of PacifiCorp’s revenue requirement are not contested,</w:t>
      </w:r>
      <w:r w:rsidRPr="00D84253">
        <w:rPr>
          <w:spacing w:val="-5"/>
        </w:rPr>
        <w:t xml:space="preserve"> </w:t>
      </w:r>
      <w:r w:rsidRPr="00D84253">
        <w:t>except</w:t>
      </w:r>
      <w:r w:rsidRPr="00D84253">
        <w:rPr>
          <w:spacing w:val="-3"/>
        </w:rPr>
        <w:t xml:space="preserve"> </w:t>
      </w:r>
      <w:r w:rsidRPr="00D84253">
        <w:t>accelerated</w:t>
      </w:r>
      <w:r w:rsidRPr="00D84253">
        <w:rPr>
          <w:spacing w:val="-5"/>
        </w:rPr>
        <w:t xml:space="preserve"> </w:t>
      </w:r>
      <w:r w:rsidRPr="00D84253" w:rsidR="73C0555F">
        <w:t xml:space="preserve">amortization of its Cholla Unit 4 </w:t>
      </w:r>
      <w:r w:rsidRPr="00D84253">
        <w:t>coal</w:t>
      </w:r>
      <w:r w:rsidRPr="00D84253">
        <w:rPr>
          <w:spacing w:val="-3"/>
        </w:rPr>
        <w:t xml:space="preserve"> </w:t>
      </w:r>
      <w:r w:rsidRPr="00D84253">
        <w:t>unit,</w:t>
      </w:r>
      <w:r w:rsidRPr="00D84253">
        <w:rPr>
          <w:spacing w:val="-5"/>
        </w:rPr>
        <w:t xml:space="preserve"> </w:t>
      </w:r>
      <w:r w:rsidRPr="00D84253">
        <w:t>and</w:t>
      </w:r>
      <w:r w:rsidRPr="00D84253">
        <w:rPr>
          <w:spacing w:val="-5"/>
        </w:rPr>
        <w:t xml:space="preserve"> </w:t>
      </w:r>
      <w:r w:rsidRPr="00D84253">
        <w:t>should</w:t>
      </w:r>
      <w:r w:rsidRPr="00D84253">
        <w:rPr>
          <w:spacing w:val="-5"/>
        </w:rPr>
        <w:t xml:space="preserve"> </w:t>
      </w:r>
      <w:r w:rsidRPr="00D84253">
        <w:t>be</w:t>
      </w:r>
      <w:r w:rsidRPr="00D84253">
        <w:rPr>
          <w:spacing w:val="-4"/>
        </w:rPr>
        <w:t xml:space="preserve"> </w:t>
      </w:r>
      <w:r w:rsidRPr="00D84253">
        <w:t>approved:</w:t>
      </w:r>
    </w:p>
    <w:p w:rsidRPr="00D84253" w:rsidR="00C27BBA" w:rsidP="002D228B" w:rsidRDefault="00C27BBA" w14:paraId="3EEEC499" w14:textId="77777777">
      <w:pPr>
        <w:pStyle w:val="ListParagraph"/>
        <w:numPr>
          <w:ilvl w:val="1"/>
          <w:numId w:val="10"/>
        </w:numPr>
        <w:tabs>
          <w:tab w:val="left" w:pos="1300"/>
        </w:tabs>
        <w:spacing w:after="120"/>
        <w:ind w:left="1080" w:right="1440"/>
        <w:rPr>
          <w:sz w:val="26"/>
          <w:szCs w:val="26"/>
        </w:rPr>
      </w:pPr>
      <w:r w:rsidRPr="00D84253">
        <w:rPr>
          <w:sz w:val="26"/>
          <w:szCs w:val="26"/>
        </w:rPr>
        <w:t>Methodologies</w:t>
      </w:r>
      <w:r w:rsidRPr="00D84253">
        <w:rPr>
          <w:spacing w:val="-11"/>
          <w:sz w:val="26"/>
          <w:szCs w:val="26"/>
        </w:rPr>
        <w:t xml:space="preserve"> </w:t>
      </w:r>
      <w:r w:rsidRPr="00D84253">
        <w:rPr>
          <w:sz w:val="26"/>
          <w:szCs w:val="26"/>
        </w:rPr>
        <w:t>for</w:t>
      </w:r>
      <w:r w:rsidRPr="00D84253">
        <w:rPr>
          <w:spacing w:val="-11"/>
          <w:sz w:val="26"/>
          <w:szCs w:val="26"/>
        </w:rPr>
        <w:t xml:space="preserve"> </w:t>
      </w:r>
      <w:r w:rsidRPr="00D84253">
        <w:rPr>
          <w:sz w:val="26"/>
          <w:szCs w:val="26"/>
        </w:rPr>
        <w:t>computing</w:t>
      </w:r>
      <w:r w:rsidRPr="00D84253">
        <w:rPr>
          <w:spacing w:val="-8"/>
          <w:sz w:val="26"/>
          <w:szCs w:val="26"/>
        </w:rPr>
        <w:t xml:space="preserve"> </w:t>
      </w:r>
      <w:r w:rsidRPr="00D84253">
        <w:rPr>
          <w:sz w:val="26"/>
          <w:szCs w:val="26"/>
        </w:rPr>
        <w:t>and</w:t>
      </w:r>
      <w:r w:rsidRPr="00D84253">
        <w:rPr>
          <w:spacing w:val="-12"/>
          <w:sz w:val="26"/>
          <w:szCs w:val="26"/>
        </w:rPr>
        <w:t xml:space="preserve"> </w:t>
      </w:r>
      <w:r w:rsidRPr="00D84253">
        <w:rPr>
          <w:sz w:val="26"/>
          <w:szCs w:val="26"/>
        </w:rPr>
        <w:t>forecasting</w:t>
      </w:r>
      <w:r w:rsidRPr="00D84253">
        <w:rPr>
          <w:spacing w:val="-9"/>
          <w:sz w:val="26"/>
          <w:szCs w:val="26"/>
        </w:rPr>
        <w:t xml:space="preserve"> </w:t>
      </w:r>
      <w:r w:rsidRPr="00D84253">
        <w:rPr>
          <w:spacing w:val="-2"/>
          <w:sz w:val="26"/>
          <w:szCs w:val="26"/>
        </w:rPr>
        <w:t>taxes;</w:t>
      </w:r>
    </w:p>
    <w:p w:rsidRPr="00D84253" w:rsidR="00C27BBA" w:rsidP="002D228B" w:rsidRDefault="00C27BBA" w14:paraId="68F8EF0E" w14:textId="77777777">
      <w:pPr>
        <w:pStyle w:val="ListParagraph"/>
        <w:numPr>
          <w:ilvl w:val="1"/>
          <w:numId w:val="10"/>
        </w:numPr>
        <w:tabs>
          <w:tab w:val="left" w:pos="1300"/>
        </w:tabs>
        <w:spacing w:after="120"/>
        <w:ind w:left="1080" w:right="1440"/>
        <w:rPr>
          <w:sz w:val="26"/>
          <w:szCs w:val="26"/>
        </w:rPr>
      </w:pPr>
      <w:r w:rsidRPr="00D84253">
        <w:rPr>
          <w:sz w:val="26"/>
          <w:szCs w:val="26"/>
        </w:rPr>
        <w:t>Cash working capital calculations; and</w:t>
      </w:r>
    </w:p>
    <w:p w:rsidRPr="00D84253" w:rsidR="00C27BBA" w:rsidP="002D228B" w:rsidRDefault="00C27BBA" w14:paraId="30F7E53F" w14:textId="77777777">
      <w:pPr>
        <w:pStyle w:val="ListParagraph"/>
        <w:numPr>
          <w:ilvl w:val="1"/>
          <w:numId w:val="10"/>
        </w:numPr>
        <w:tabs>
          <w:tab w:val="left" w:pos="1300"/>
        </w:tabs>
        <w:spacing w:after="120"/>
        <w:ind w:left="1080" w:right="1440"/>
        <w:rPr>
          <w:sz w:val="26"/>
          <w:szCs w:val="26"/>
        </w:rPr>
      </w:pPr>
      <w:r w:rsidRPr="00D84253">
        <w:rPr>
          <w:sz w:val="26"/>
          <w:szCs w:val="26"/>
        </w:rPr>
        <w:t>Labor</w:t>
      </w:r>
      <w:r w:rsidRPr="00D84253">
        <w:rPr>
          <w:spacing w:val="-4"/>
          <w:sz w:val="26"/>
          <w:szCs w:val="26"/>
        </w:rPr>
        <w:t xml:space="preserve"> </w:t>
      </w:r>
      <w:r w:rsidRPr="00D84253">
        <w:rPr>
          <w:sz w:val="26"/>
          <w:szCs w:val="26"/>
        </w:rPr>
        <w:t>(based</w:t>
      </w:r>
      <w:r w:rsidRPr="00D84253">
        <w:rPr>
          <w:spacing w:val="-6"/>
          <w:sz w:val="26"/>
          <w:szCs w:val="26"/>
        </w:rPr>
        <w:t xml:space="preserve"> </w:t>
      </w:r>
      <w:r w:rsidRPr="00D84253">
        <w:rPr>
          <w:sz w:val="26"/>
          <w:szCs w:val="26"/>
        </w:rPr>
        <w:t>on</w:t>
      </w:r>
      <w:r w:rsidRPr="00D84253">
        <w:rPr>
          <w:spacing w:val="-5"/>
          <w:sz w:val="26"/>
          <w:szCs w:val="26"/>
        </w:rPr>
        <w:t xml:space="preserve"> </w:t>
      </w:r>
      <w:r w:rsidRPr="00D84253">
        <w:rPr>
          <w:sz w:val="26"/>
          <w:szCs w:val="26"/>
        </w:rPr>
        <w:t>actual</w:t>
      </w:r>
      <w:r w:rsidRPr="00D84253">
        <w:rPr>
          <w:spacing w:val="-7"/>
          <w:sz w:val="26"/>
          <w:szCs w:val="26"/>
        </w:rPr>
        <w:t xml:space="preserve"> </w:t>
      </w:r>
      <w:r w:rsidRPr="00D84253">
        <w:rPr>
          <w:sz w:val="26"/>
          <w:szCs w:val="26"/>
        </w:rPr>
        <w:t>contracts</w:t>
      </w:r>
      <w:r w:rsidRPr="00D84253">
        <w:rPr>
          <w:spacing w:val="-6"/>
          <w:sz w:val="26"/>
          <w:szCs w:val="26"/>
        </w:rPr>
        <w:t xml:space="preserve"> </w:t>
      </w:r>
      <w:r w:rsidRPr="00D84253">
        <w:rPr>
          <w:sz w:val="26"/>
          <w:szCs w:val="26"/>
        </w:rPr>
        <w:t>and</w:t>
      </w:r>
      <w:r w:rsidRPr="00D84253">
        <w:rPr>
          <w:spacing w:val="-6"/>
          <w:sz w:val="26"/>
          <w:szCs w:val="26"/>
        </w:rPr>
        <w:t xml:space="preserve"> </w:t>
      </w:r>
      <w:r w:rsidRPr="00D84253">
        <w:rPr>
          <w:sz w:val="26"/>
          <w:szCs w:val="26"/>
        </w:rPr>
        <w:t>budgeting)</w:t>
      </w:r>
      <w:r w:rsidRPr="00D84253">
        <w:rPr>
          <w:spacing w:val="-3"/>
          <w:sz w:val="26"/>
          <w:szCs w:val="26"/>
        </w:rPr>
        <w:t xml:space="preserve"> </w:t>
      </w:r>
      <w:r w:rsidRPr="00D84253">
        <w:rPr>
          <w:sz w:val="26"/>
          <w:szCs w:val="26"/>
        </w:rPr>
        <w:t>and</w:t>
      </w:r>
      <w:r w:rsidRPr="00D84253">
        <w:rPr>
          <w:spacing w:val="-6"/>
          <w:sz w:val="26"/>
          <w:szCs w:val="26"/>
        </w:rPr>
        <w:t xml:space="preserve"> </w:t>
      </w:r>
      <w:r w:rsidRPr="00D84253">
        <w:rPr>
          <w:sz w:val="26"/>
          <w:szCs w:val="26"/>
        </w:rPr>
        <w:t>Nonlabor (based on Global Insight indices) escalation.</w:t>
      </w:r>
    </w:p>
    <w:p w:rsidR="00D84253" w:rsidP="002D228B" w:rsidRDefault="00FB03FD" w14:paraId="1D1FE75B" w14:textId="07658799">
      <w:pPr>
        <w:pStyle w:val="CoL"/>
        <w:numPr>
          <w:ilvl w:val="0"/>
          <w:numId w:val="15"/>
        </w:numPr>
        <w:ind w:firstLine="547"/>
        <w:rPr>
          <w:spacing w:val="-2"/>
        </w:rPr>
      </w:pPr>
      <w:r w:rsidRPr="00D84253">
        <w:t>PacifiCorp’s</w:t>
      </w:r>
      <w:r w:rsidRPr="00D84253">
        <w:rPr>
          <w:spacing w:val="-6"/>
        </w:rPr>
        <w:t xml:space="preserve"> </w:t>
      </w:r>
      <w:r w:rsidRPr="00D84253">
        <w:t>revised</w:t>
      </w:r>
      <w:r w:rsidRPr="00D84253">
        <w:rPr>
          <w:spacing w:val="-3"/>
        </w:rPr>
        <w:t xml:space="preserve"> </w:t>
      </w:r>
      <w:r w:rsidRPr="00D84253">
        <w:t>proposal</w:t>
      </w:r>
      <w:r w:rsidR="00381BAC">
        <w:t>s</w:t>
      </w:r>
      <w:r w:rsidRPr="00D84253">
        <w:rPr>
          <w:spacing w:val="-7"/>
        </w:rPr>
        <w:t xml:space="preserve"> </w:t>
      </w:r>
      <w:r w:rsidRPr="00D84253">
        <w:t>for</w:t>
      </w:r>
      <w:r w:rsidRPr="00D84253">
        <w:rPr>
          <w:spacing w:val="-5"/>
        </w:rPr>
        <w:t xml:space="preserve"> </w:t>
      </w:r>
      <w:r w:rsidRPr="00D84253">
        <w:t>rate</w:t>
      </w:r>
      <w:r w:rsidRPr="00D84253">
        <w:rPr>
          <w:spacing w:val="-6"/>
        </w:rPr>
        <w:t xml:space="preserve"> </w:t>
      </w:r>
      <w:r w:rsidRPr="00D84253">
        <w:t>spread</w:t>
      </w:r>
      <w:r w:rsidRPr="00D84253">
        <w:rPr>
          <w:spacing w:val="-6"/>
        </w:rPr>
        <w:t xml:space="preserve"> </w:t>
      </w:r>
      <w:r w:rsidRPr="00D84253">
        <w:t>and</w:t>
      </w:r>
      <w:r w:rsidRPr="00D84253">
        <w:rPr>
          <w:spacing w:val="-6"/>
        </w:rPr>
        <w:t xml:space="preserve"> </w:t>
      </w:r>
      <w:r w:rsidRPr="00D84253">
        <w:t>rat</w:t>
      </w:r>
      <w:r w:rsidRPr="00D84253" w:rsidR="00D84253">
        <w:t xml:space="preserve">e </w:t>
      </w:r>
      <w:r w:rsidRPr="00D84253">
        <w:rPr>
          <w:spacing w:val="-2"/>
        </w:rPr>
        <w:t>design</w:t>
      </w:r>
      <w:r w:rsidR="0042705D">
        <w:rPr>
          <w:spacing w:val="-2"/>
        </w:rPr>
        <w:t xml:space="preserve"> are appropriate and should be approved</w:t>
      </w:r>
      <w:r w:rsidRPr="00D84253">
        <w:rPr>
          <w:spacing w:val="-2"/>
        </w:rPr>
        <w:t>.</w:t>
      </w:r>
    </w:p>
    <w:p w:rsidR="00D84253" w:rsidP="002D228B" w:rsidRDefault="00C27BBA" w14:paraId="18CB1530" w14:textId="58F73DFA">
      <w:pPr>
        <w:pStyle w:val="CoL"/>
        <w:numPr>
          <w:ilvl w:val="0"/>
          <w:numId w:val="15"/>
        </w:numPr>
      </w:pPr>
      <w:r>
        <w:t>PacifiCorp should develop new RDF analyses for each GRC going forward that include updated analyses of its risks and proposed mitigation measures.</w:t>
      </w:r>
    </w:p>
    <w:p w:rsidR="00FA6ADA" w:rsidP="00B43CFD" w:rsidRDefault="00FA6ADA" w14:paraId="53642777" w14:textId="4915C09E">
      <w:pPr>
        <w:pStyle w:val="FoF"/>
        <w:numPr>
          <w:ilvl w:val="0"/>
          <w:numId w:val="15"/>
        </w:numPr>
      </w:pPr>
      <w:bookmarkStart w:name="_Hlk152756073" w:id="85"/>
      <w:r>
        <w:t>Pub. Util. Code §8386.4 governs how electric corporations may seek recovery of wildfire related costs.</w:t>
      </w:r>
    </w:p>
    <w:p w:rsidR="00D84253" w:rsidP="002D228B" w:rsidRDefault="00FB03FD" w14:paraId="32872882" w14:textId="38E39E96">
      <w:pPr>
        <w:pStyle w:val="CoL"/>
        <w:numPr>
          <w:ilvl w:val="0"/>
          <w:numId w:val="15"/>
        </w:numPr>
      </w:pPr>
      <w:r w:rsidRPr="00D84253">
        <w:t>We</w:t>
      </w:r>
      <w:r w:rsidRPr="00D84253">
        <w:rPr>
          <w:spacing w:val="-6"/>
        </w:rPr>
        <w:t xml:space="preserve"> </w:t>
      </w:r>
      <w:r w:rsidRPr="00D84253">
        <w:t>should</w:t>
      </w:r>
      <w:r w:rsidRPr="00D84253">
        <w:rPr>
          <w:spacing w:val="-4"/>
        </w:rPr>
        <w:t xml:space="preserve"> </w:t>
      </w:r>
      <w:r w:rsidRPr="00D84253">
        <w:t>review</w:t>
      </w:r>
      <w:r w:rsidRPr="00D84253">
        <w:rPr>
          <w:spacing w:val="-4"/>
        </w:rPr>
        <w:t xml:space="preserve"> </w:t>
      </w:r>
      <w:r w:rsidRPr="00D84253">
        <w:t>PacifiCorp’s</w:t>
      </w:r>
      <w:r w:rsidRPr="00D84253">
        <w:rPr>
          <w:spacing w:val="-4"/>
        </w:rPr>
        <w:t xml:space="preserve"> </w:t>
      </w:r>
      <w:r w:rsidRPr="00D84253">
        <w:t>investments</w:t>
      </w:r>
      <w:r w:rsidRPr="00D84253">
        <w:rPr>
          <w:spacing w:val="-6"/>
        </w:rPr>
        <w:t xml:space="preserve"> </w:t>
      </w:r>
      <w:r w:rsidRPr="00D84253">
        <w:t>in</w:t>
      </w:r>
      <w:r w:rsidRPr="00D84253" w:rsidR="00C27BBA">
        <w:t xml:space="preserve"> wildfire mitigation strategies as necessary in </w:t>
      </w:r>
      <w:r w:rsidR="00993FAD">
        <w:t xml:space="preserve">its </w:t>
      </w:r>
      <w:r w:rsidRPr="00D84253" w:rsidR="00C27BBA">
        <w:t>GRC</w:t>
      </w:r>
      <w:r w:rsidR="00993FAD">
        <w:t xml:space="preserve"> applications</w:t>
      </w:r>
      <w:r w:rsidRPr="00D84253" w:rsidR="00C27BBA">
        <w:t xml:space="preserve"> </w:t>
      </w:r>
      <w:r w:rsidR="007B2540">
        <w:t>or separate cost-recovery applications</w:t>
      </w:r>
      <w:r w:rsidRPr="00D84253" w:rsidR="00C27BBA">
        <w:t>.</w:t>
      </w:r>
      <w:bookmarkEnd w:id="85"/>
    </w:p>
    <w:p w:rsidRPr="00D84253" w:rsidR="002B3402" w:rsidP="002D228B" w:rsidRDefault="002B3402" w14:paraId="06180E18" w14:textId="6F2EF99B">
      <w:pPr>
        <w:pStyle w:val="CoL"/>
        <w:numPr>
          <w:ilvl w:val="0"/>
          <w:numId w:val="15"/>
        </w:numPr>
      </w:pPr>
      <w:r w:rsidRPr="00D84253">
        <w:t>PacifiCorp should recover the costs associated with accelerated depreciation of its coal-fired power units over three years, given the policy requirements necessitating the accelerated decommissioning of those assets.</w:t>
      </w:r>
    </w:p>
    <w:p w:rsidR="00F62B7A" w:rsidP="002D228B" w:rsidRDefault="009F6ECE" w14:paraId="044A0169" w14:textId="7208EEAC">
      <w:pPr>
        <w:pStyle w:val="CoL"/>
        <w:numPr>
          <w:ilvl w:val="0"/>
          <w:numId w:val="15"/>
        </w:numPr>
      </w:pPr>
      <w:r>
        <w:t xml:space="preserve">PacifiCorp should spread the amortization costs associated with the accelerated closure of its Cholla Unit 4 coal-fired power unit over </w:t>
      </w:r>
      <w:r w:rsidR="007B2540">
        <w:t xml:space="preserve">six </w:t>
      </w:r>
      <w:r>
        <w:t>years</w:t>
      </w:r>
      <w:r w:rsidR="00D84253">
        <w:t>,</w:t>
      </w:r>
      <w:r>
        <w:t xml:space="preserve"> to decrease the rate impacts to California customers.</w:t>
      </w:r>
    </w:p>
    <w:p w:rsidR="00F62B7A" w:rsidP="002D228B" w:rsidRDefault="00D84253" w14:paraId="5E3F9BBB" w14:textId="5BB9398A">
      <w:pPr>
        <w:pStyle w:val="CoL"/>
        <w:numPr>
          <w:ilvl w:val="0"/>
          <w:numId w:val="15"/>
        </w:numPr>
      </w:pPr>
      <w:r>
        <w:t xml:space="preserve">Costs associated with the Foote Creek II-IV Project upgrades should not be recovered </w:t>
      </w:r>
      <w:r w:rsidR="007B2540">
        <w:t xml:space="preserve">in PacifiCorp’s TY 2023 base revenue requirement because the facilities were not operational until November 2023, providing service for approximately six weeks of TY 2023. </w:t>
      </w:r>
    </w:p>
    <w:p w:rsidR="00B11F07" w:rsidP="002D228B" w:rsidRDefault="00B11F07" w14:paraId="370E679C" w14:textId="65E4413D">
      <w:pPr>
        <w:pStyle w:val="CoL"/>
        <w:numPr>
          <w:ilvl w:val="0"/>
          <w:numId w:val="15"/>
        </w:numPr>
      </w:pPr>
      <w:r>
        <w:t xml:space="preserve">PacifiCorp should request recovery of the </w:t>
      </w:r>
      <w:r w:rsidR="00646519">
        <w:t xml:space="preserve">capital costs for the </w:t>
      </w:r>
      <w:r>
        <w:t xml:space="preserve">turbine upgrades at the Foote Creek II-IV facilities </w:t>
      </w:r>
      <w:r w:rsidR="001A1FF1">
        <w:t>through its PTAM Major Capital Additions filing</w:t>
      </w:r>
      <w:r>
        <w:t>.</w:t>
      </w:r>
    </w:p>
    <w:p w:rsidR="00B11F07" w:rsidP="002D228B" w:rsidRDefault="00B11F07" w14:paraId="1D9BF32D" w14:textId="7C027DDE">
      <w:pPr>
        <w:pStyle w:val="CoL"/>
        <w:numPr>
          <w:ilvl w:val="0"/>
          <w:numId w:val="15"/>
        </w:numPr>
      </w:pPr>
      <w:r>
        <w:t>PacifiCorp’s cost of service and proposed rate allocation is reasonable.</w:t>
      </w:r>
    </w:p>
    <w:p w:rsidR="00B11F07" w:rsidP="002D228B" w:rsidRDefault="00B11F07" w14:paraId="0884EC69" w14:textId="1D585CC1">
      <w:pPr>
        <w:pStyle w:val="CoL"/>
        <w:numPr>
          <w:ilvl w:val="0"/>
          <w:numId w:val="15"/>
        </w:numPr>
      </w:pPr>
      <w:r>
        <w:t>PacifiCorp’s proposal to equally spread the rate impacts of its requests across customer classes reduce</w:t>
      </w:r>
      <w:r w:rsidR="00050B2A">
        <w:t>s</w:t>
      </w:r>
      <w:r>
        <w:t xml:space="preserve"> the otherwise unreasonable increase to agricultural customers in its California service territory</w:t>
      </w:r>
      <w:r w:rsidR="00050B2A">
        <w:t xml:space="preserve"> and should be adopted</w:t>
      </w:r>
      <w:r>
        <w:t xml:space="preserve">. </w:t>
      </w:r>
    </w:p>
    <w:p w:rsidR="036E5D3C" w:rsidP="002D228B" w:rsidRDefault="2456029C" w14:paraId="42A8B0EF" w14:textId="3E16A571">
      <w:pPr>
        <w:pStyle w:val="CoL"/>
        <w:numPr>
          <w:ilvl w:val="0"/>
          <w:numId w:val="15"/>
        </w:numPr>
      </w:pPr>
      <w:r>
        <w:t>PacifiCorp’s proposed TOU time periods for Schedule DT, Schedule AT</w:t>
      </w:r>
      <w:r w:rsidR="00CF2358">
        <w:noBreakHyphen/>
      </w:r>
      <w:r>
        <w:t>29, and Schedules AT-47 and AT-48</w:t>
      </w:r>
      <w:r w:rsidR="2D3A3C79">
        <w:t xml:space="preserve"> align with the on-peak hours adopted in other California IOU </w:t>
      </w:r>
      <w:r w:rsidR="00FC2F72">
        <w:t xml:space="preserve">GRCs </w:t>
      </w:r>
      <w:r w:rsidR="006B226E">
        <w:t>and should be adopted</w:t>
      </w:r>
      <w:r w:rsidR="2D3A3C79">
        <w:t>.</w:t>
      </w:r>
    </w:p>
    <w:p w:rsidR="2D3A3C79" w:rsidP="002D228B" w:rsidRDefault="2D3A3C79" w14:paraId="2298E24A" w14:textId="1A937726">
      <w:pPr>
        <w:pStyle w:val="CoL"/>
        <w:numPr>
          <w:ilvl w:val="0"/>
          <w:numId w:val="15"/>
        </w:numPr>
      </w:pPr>
      <w:r>
        <w:t xml:space="preserve">PacifiCorp’s proposal to provide all agricultural pumping service customers optional TOU rates is reasonable and should </w:t>
      </w:r>
      <w:r w:rsidR="006B226E">
        <w:t xml:space="preserve">be adopted to </w:t>
      </w:r>
      <w:r>
        <w:t>reduce complexity of service for customers that span the Oregon and California border.</w:t>
      </w:r>
    </w:p>
    <w:p w:rsidR="2D3A3C79" w:rsidP="002D228B" w:rsidRDefault="2D3A3C79" w14:paraId="10100887" w14:textId="36984647">
      <w:pPr>
        <w:pStyle w:val="CoL"/>
        <w:numPr>
          <w:ilvl w:val="0"/>
          <w:numId w:val="15"/>
        </w:numPr>
      </w:pPr>
      <w:r>
        <w:t xml:space="preserve">PacifiCorp’s proposed changes to its street and area lighting schedules </w:t>
      </w:r>
      <w:r w:rsidR="006B226E">
        <w:t xml:space="preserve">should be adopted to </w:t>
      </w:r>
      <w:r>
        <w:t>incentivize the company to convert older lamps to new LED technology while still providing an incentive for customer-paid conversion to LED lamps.</w:t>
      </w:r>
    </w:p>
    <w:p w:rsidR="241D7078" w:rsidP="002D228B" w:rsidRDefault="241D7078" w14:paraId="79826620" w14:textId="1054CF80">
      <w:pPr>
        <w:pStyle w:val="CoL"/>
        <w:numPr>
          <w:ilvl w:val="0"/>
          <w:numId w:val="15"/>
        </w:numPr>
      </w:pPr>
      <w:r>
        <w:t xml:space="preserve">PacifiCorp’s proposed paperless bill credit </w:t>
      </w:r>
      <w:r w:rsidR="005B0ED9">
        <w:t xml:space="preserve">should be adopted to </w:t>
      </w:r>
      <w:r>
        <w:t xml:space="preserve">incentivize customers to adopt less resource-intensive methods to receive </w:t>
      </w:r>
      <w:r w:rsidR="3BAE31DE">
        <w:t>their monthly statements, and the cost of the credit is in line with the costs PacifiCorp pays to process and send paper bills to individual customers.</w:t>
      </w:r>
      <w:r w:rsidR="2456029C">
        <w:t xml:space="preserve"> </w:t>
      </w:r>
    </w:p>
    <w:p w:rsidR="21673ADB" w:rsidP="002D228B" w:rsidRDefault="21673ADB" w14:paraId="3825B34F" w14:textId="564F3E9E">
      <w:pPr>
        <w:pStyle w:val="CoL"/>
        <w:numPr>
          <w:ilvl w:val="0"/>
          <w:numId w:val="15"/>
        </w:numPr>
      </w:pPr>
      <w:r>
        <w:t>PacifiCorp’s proposed increase to its temporary service installation charge</w:t>
      </w:r>
      <w:r w:rsidR="005B0ED9">
        <w:t xml:space="preserve"> should be adopted to</w:t>
      </w:r>
      <w:r>
        <w:t xml:space="preserve"> </w:t>
      </w:r>
      <w:r w:rsidR="005B0ED9">
        <w:t>reflect</w:t>
      </w:r>
      <w:r>
        <w:t xml:space="preserve"> the current rate for one hour of journeyman work.</w:t>
      </w:r>
    </w:p>
    <w:p w:rsidR="00B9AD74" w:rsidP="002D228B" w:rsidRDefault="00B9AD74" w14:paraId="2D65E692" w14:textId="7B257BE0">
      <w:pPr>
        <w:pStyle w:val="CoL"/>
        <w:numPr>
          <w:ilvl w:val="0"/>
          <w:numId w:val="15"/>
        </w:numPr>
      </w:pPr>
      <w:r>
        <w:t xml:space="preserve">PacifiCorp’s housekeeping items </w:t>
      </w:r>
      <w:r w:rsidR="005B0ED9">
        <w:t xml:space="preserve">should be adopted to </w:t>
      </w:r>
      <w:r>
        <w:t>clarify existing requirements for Schedule 300, provide a consistent primary metering discount acr</w:t>
      </w:r>
      <w:r w:rsidR="09C8405B">
        <w:t>oss its general service customer schedules, and remove outdated references to pre-2005 Daylight Savings Time hours.</w:t>
      </w:r>
    </w:p>
    <w:p w:rsidR="09C8405B" w:rsidP="002D228B" w:rsidRDefault="09C8405B" w14:paraId="42CE50C9" w14:textId="0D1D0B37">
      <w:pPr>
        <w:pStyle w:val="CoL"/>
        <w:numPr>
          <w:ilvl w:val="0"/>
          <w:numId w:val="15"/>
        </w:numPr>
      </w:pPr>
      <w:r>
        <w:t xml:space="preserve">PacifiCorp’s proposed increase to its CARE Credit </w:t>
      </w:r>
      <w:r w:rsidR="005B0ED9">
        <w:t xml:space="preserve">should be adopted to </w:t>
      </w:r>
      <w:r>
        <w:t>mitigate some of the rate impacts associated with this GRC for its CARE-eligible customers.</w:t>
      </w:r>
    </w:p>
    <w:p w:rsidR="09C8405B" w:rsidP="002D228B" w:rsidRDefault="00646519" w14:paraId="23E78860" w14:textId="3D10F8B1">
      <w:pPr>
        <w:pStyle w:val="CoL"/>
        <w:numPr>
          <w:ilvl w:val="0"/>
          <w:numId w:val="15"/>
        </w:numPr>
      </w:pPr>
      <w:r>
        <w:t>In its next GRC application</w:t>
      </w:r>
      <w:r w:rsidR="0D6107BB">
        <w:t>, PacifiCorp should conduct a fully new RDF analysis that helps it forecast future wildfire and non-wildfire risk-related costs for the full GRC period.</w:t>
      </w:r>
      <w:r w:rsidR="1D826EFD">
        <w:t xml:space="preserve"> The updated RDF analysis should, at a minimum, address all 10 of the RAMP elements adopted in the Voluntary Agreement in D.19-04-020.</w:t>
      </w:r>
    </w:p>
    <w:p w:rsidRPr="007B13BC" w:rsidR="00F71C4E" w:rsidP="00F71C4E" w:rsidRDefault="00F71C4E" w14:paraId="3848EB8D" w14:textId="77777777">
      <w:pPr>
        <w:pStyle w:val="FoF"/>
        <w:numPr>
          <w:ilvl w:val="0"/>
          <w:numId w:val="15"/>
        </w:numPr>
        <w:rPr>
          <w:rFonts w:eastAsia="Calibri"/>
          <w:szCs w:val="26"/>
        </w:rPr>
      </w:pPr>
      <w:r w:rsidRPr="2554E4E4">
        <w:rPr>
          <w:szCs w:val="26"/>
        </w:rPr>
        <w:t xml:space="preserve">In </w:t>
      </w:r>
      <w:r>
        <w:rPr>
          <w:szCs w:val="26"/>
        </w:rPr>
        <w:t>its next</w:t>
      </w:r>
      <w:r w:rsidRPr="2554E4E4">
        <w:rPr>
          <w:szCs w:val="26"/>
        </w:rPr>
        <w:t xml:space="preserve"> GRC application, PacifiCorp</w:t>
      </w:r>
      <w:r w:rsidRPr="2554E4E4">
        <w:rPr>
          <w:spacing w:val="-5"/>
          <w:szCs w:val="26"/>
        </w:rPr>
        <w:t xml:space="preserve"> </w:t>
      </w:r>
      <w:r w:rsidRPr="2554E4E4">
        <w:rPr>
          <w:szCs w:val="26"/>
        </w:rPr>
        <w:t>should</w:t>
      </w:r>
      <w:r w:rsidRPr="2554E4E4">
        <w:rPr>
          <w:spacing w:val="-5"/>
          <w:szCs w:val="26"/>
        </w:rPr>
        <w:t xml:space="preserve"> </w:t>
      </w:r>
      <w:r w:rsidRPr="2554E4E4">
        <w:rPr>
          <w:szCs w:val="26"/>
        </w:rPr>
        <w:t xml:space="preserve">provide an updated RDF </w:t>
      </w:r>
      <w:r w:rsidRPr="006A1B03">
        <w:t>analysis</w:t>
      </w:r>
      <w:r w:rsidRPr="2554E4E4">
        <w:rPr>
          <w:szCs w:val="26"/>
        </w:rPr>
        <w:t xml:space="preserve"> that thoroughly addresses the 10 RAMP requirements established in D.19-04-020</w:t>
      </w:r>
      <w:r>
        <w:t>.</w:t>
      </w:r>
    </w:p>
    <w:p w:rsidR="1D826EFD" w:rsidP="002D228B" w:rsidRDefault="1D826EFD" w14:paraId="7AA56C2F" w14:textId="36831454">
      <w:pPr>
        <w:pStyle w:val="CoL"/>
        <w:numPr>
          <w:ilvl w:val="0"/>
          <w:numId w:val="15"/>
        </w:numPr>
      </w:pPr>
      <w:r>
        <w:t xml:space="preserve">In </w:t>
      </w:r>
      <w:r w:rsidR="00FB6223">
        <w:t>its next</w:t>
      </w:r>
      <w:r>
        <w:t xml:space="preserve"> GRC application, PacifiCorp should (1)</w:t>
      </w:r>
      <w:r w:rsidRPr="2554E4E4" w:rsidR="00C12BFF">
        <w:rPr>
          <w:rFonts w:eastAsia="Book Antiqua" w:cs="Book Antiqua"/>
        </w:rPr>
        <w:t xml:space="preserve"> </w:t>
      </w:r>
      <w:r w:rsidR="00C12BFF">
        <w:rPr>
          <w:rFonts w:eastAsia="Book Antiqua" w:cs="Book Antiqua"/>
        </w:rPr>
        <w:t>p</w:t>
      </w:r>
      <w:r w:rsidR="00C12BFF">
        <w:t>roduce any additional spending and accrual data for any of the elapsed years between the year of its most recent depreciation study and the GRC base year that may not be reflected in its most recent depreciation study</w:t>
      </w:r>
      <w:r>
        <w:t xml:space="preserve">; and (2) </w:t>
      </w:r>
      <w:r w:rsidR="00702F6A">
        <w:t>provide detailed documentation to support the timing of and costs of its retirement plans for all coal facilities serving California customers consistent with its most recent IRP</w:t>
      </w:r>
      <w:r>
        <w:t>.</w:t>
      </w:r>
    </w:p>
    <w:p w:rsidR="00BB0243" w:rsidP="003D3AF7" w:rsidRDefault="005939A5" w14:paraId="72FCEBB5" w14:textId="77777777">
      <w:pPr>
        <w:pStyle w:val="Mainex"/>
        <w:spacing w:before="120" w:after="120" w:line="240" w:lineRule="auto"/>
      </w:pPr>
      <w:bookmarkStart w:name="_Toc153298457" w:id="86"/>
      <w:r>
        <w:t>O</w:t>
      </w:r>
      <w:r w:rsidR="00722850">
        <w:t>RDER</w:t>
      </w:r>
      <w:bookmarkEnd w:id="86"/>
    </w:p>
    <w:p w:rsidRPr="0019076B" w:rsidR="0019076B" w:rsidP="00876DAA" w:rsidRDefault="00BB0243" w14:paraId="6A9CC64D" w14:textId="11174A48">
      <w:pPr>
        <w:keepNext/>
        <w:rPr>
          <w:szCs w:val="26"/>
        </w:rPr>
      </w:pPr>
      <w:r w:rsidRPr="00876DAA">
        <w:rPr>
          <w:b/>
          <w:bCs/>
        </w:rPr>
        <w:t>IT IS ORDERED</w:t>
      </w:r>
      <w:r>
        <w:t xml:space="preserve"> that:</w:t>
      </w:r>
      <w:r w:rsidR="00F22BAD">
        <w:t xml:space="preserve"> </w:t>
      </w:r>
    </w:p>
    <w:p w:rsidRPr="00876DAA" w:rsidR="00FD75BA" w:rsidP="00DC081A" w:rsidRDefault="00FD75BA" w14:paraId="4730D68F" w14:textId="27B6C720">
      <w:pPr>
        <w:pStyle w:val="FoF"/>
        <w:numPr>
          <w:ilvl w:val="0"/>
          <w:numId w:val="21"/>
        </w:numPr>
      </w:pPr>
      <w:bookmarkStart w:name="_Hlk150244414" w:id="87"/>
      <w:r w:rsidRPr="00FD75BA">
        <w:t>Application</w:t>
      </w:r>
      <w:r w:rsidR="00CF2358">
        <w:t> </w:t>
      </w:r>
      <w:r w:rsidR="00876DAA">
        <w:t>22-05-006</w:t>
      </w:r>
      <w:r w:rsidRPr="00FD75BA">
        <w:t xml:space="preserve"> is granted to the extent set forth in this Decision. </w:t>
      </w:r>
      <w:r w:rsidRPr="00876DAA">
        <w:t>PacifiCorp</w:t>
      </w:r>
      <w:r w:rsidR="00876DAA">
        <w:t>, doing business as Pacific Power</w:t>
      </w:r>
      <w:r w:rsidR="001B1EC1">
        <w:t xml:space="preserve"> (PacifiCorp)</w:t>
      </w:r>
      <w:r w:rsidR="00876DAA">
        <w:t>,</w:t>
      </w:r>
      <w:r w:rsidRPr="00876DAA">
        <w:t xml:space="preserve"> is authorized to collect, through rates and through authorized ratemaking accounting mechanisms, the base revenue requirement </w:t>
      </w:r>
      <w:r w:rsidR="0060673D">
        <w:t xml:space="preserve">set forth in </w:t>
      </w:r>
      <w:r w:rsidR="001B1EC1">
        <w:t>this Decision</w:t>
      </w:r>
      <w:r w:rsidRPr="00876DAA">
        <w:t>.</w:t>
      </w:r>
    </w:p>
    <w:p w:rsidR="00C12BFF" w:rsidP="00466C42" w:rsidRDefault="00955EC9" w14:paraId="58D8CD98" w14:textId="77777777">
      <w:pPr>
        <w:pStyle w:val="FoF"/>
        <w:rPr>
          <w:szCs w:val="26"/>
        </w:rPr>
      </w:pPr>
      <w:r w:rsidRPr="00955EC9">
        <w:rPr>
          <w:szCs w:val="26"/>
        </w:rPr>
        <w:t>PacifiCorp</w:t>
      </w:r>
      <w:r>
        <w:rPr>
          <w:szCs w:val="26"/>
        </w:rPr>
        <w:t>, doing business as Pacific</w:t>
      </w:r>
      <w:r w:rsidR="00876DAA">
        <w:rPr>
          <w:szCs w:val="26"/>
        </w:rPr>
        <w:t xml:space="preserve"> </w:t>
      </w:r>
      <w:r>
        <w:rPr>
          <w:szCs w:val="26"/>
        </w:rPr>
        <w:t>Power</w:t>
      </w:r>
      <w:r w:rsidR="0051309E">
        <w:rPr>
          <w:szCs w:val="26"/>
        </w:rPr>
        <w:t xml:space="preserve"> (PacifiCorp)</w:t>
      </w:r>
      <w:r>
        <w:rPr>
          <w:szCs w:val="26"/>
        </w:rPr>
        <w:t>,</w:t>
      </w:r>
      <w:r w:rsidRPr="00955EC9">
        <w:rPr>
          <w:szCs w:val="26"/>
        </w:rPr>
        <w:t xml:space="preserve"> shall file a Tier 1 Advice Letter within 30</w:t>
      </w:r>
      <w:r w:rsidR="00FB4CF9">
        <w:rPr>
          <w:szCs w:val="26"/>
        </w:rPr>
        <w:t> days</w:t>
      </w:r>
      <w:r w:rsidRPr="00955EC9">
        <w:rPr>
          <w:szCs w:val="26"/>
        </w:rPr>
        <w:t xml:space="preserve"> of issuance of </w:t>
      </w:r>
      <w:r w:rsidR="00FD75BA">
        <w:rPr>
          <w:szCs w:val="26"/>
        </w:rPr>
        <w:t>t</w:t>
      </w:r>
      <w:r w:rsidRPr="00876DAA">
        <w:rPr>
          <w:szCs w:val="26"/>
        </w:rPr>
        <w:t xml:space="preserve">his decision to implement the revenue requirement and ratemaking adopted herein. The revenue requirement and revised tariff sheets will be effective as of the date of </w:t>
      </w:r>
      <w:r w:rsidR="0051309E">
        <w:rPr>
          <w:szCs w:val="26"/>
        </w:rPr>
        <w:t>PacifiCorp’s Tier 1 Advice Letter</w:t>
      </w:r>
      <w:r w:rsidR="001B1EC1">
        <w:rPr>
          <w:szCs w:val="26"/>
        </w:rPr>
        <w:t xml:space="preserve"> implementing this Decision</w:t>
      </w:r>
      <w:r w:rsidRPr="00876DAA">
        <w:rPr>
          <w:szCs w:val="26"/>
        </w:rPr>
        <w:t>.</w:t>
      </w:r>
    </w:p>
    <w:p w:rsidRPr="00876DAA" w:rsidR="00BB0243" w:rsidP="00466C42" w:rsidRDefault="00DC081A" w14:paraId="5E4D243E" w14:textId="4B9FEC63">
      <w:pPr>
        <w:pStyle w:val="FoF"/>
        <w:rPr>
          <w:szCs w:val="26"/>
        </w:rPr>
      </w:pPr>
      <w:r>
        <w:rPr>
          <w:szCs w:val="26"/>
        </w:rPr>
        <w:t xml:space="preserve">PacifiCorp, doing business as Pacific Power (PacifiCorp) shall </w:t>
      </w:r>
      <w:r w:rsidR="001A1FF1">
        <w:rPr>
          <w:szCs w:val="26"/>
        </w:rPr>
        <w:t>provide</w:t>
      </w:r>
      <w:r>
        <w:rPr>
          <w:szCs w:val="26"/>
        </w:rPr>
        <w:t xml:space="preserve"> the </w:t>
      </w:r>
      <w:r w:rsidR="001A1FF1">
        <w:rPr>
          <w:szCs w:val="26"/>
        </w:rPr>
        <w:t xml:space="preserve">full </w:t>
      </w:r>
      <w:r>
        <w:rPr>
          <w:szCs w:val="26"/>
        </w:rPr>
        <w:t>balance of</w:t>
      </w:r>
      <w:r w:rsidR="0060673D">
        <w:rPr>
          <w:szCs w:val="26"/>
        </w:rPr>
        <w:t xml:space="preserve"> PacifiCorp’s General Rate Case Revenue Requirement Memorandum Account</w:t>
      </w:r>
      <w:r>
        <w:rPr>
          <w:szCs w:val="26"/>
        </w:rPr>
        <w:t xml:space="preserve"> (GRC RRMA)</w:t>
      </w:r>
      <w:r w:rsidR="001A1FF1">
        <w:rPr>
          <w:szCs w:val="26"/>
        </w:rPr>
        <w:t>, including interest</w:t>
      </w:r>
      <w:r w:rsidR="009E1C84">
        <w:rPr>
          <w:szCs w:val="26"/>
        </w:rPr>
        <w:t xml:space="preserve"> accrued since January 1, 2023</w:t>
      </w:r>
      <w:r w:rsidR="001A1FF1">
        <w:rPr>
          <w:szCs w:val="26"/>
        </w:rPr>
        <w:t>,</w:t>
      </w:r>
      <w:r>
        <w:rPr>
          <w:szCs w:val="26"/>
        </w:rPr>
        <w:t xml:space="preserve"> when filing</w:t>
      </w:r>
      <w:r w:rsidR="008B7FFC">
        <w:rPr>
          <w:szCs w:val="26"/>
        </w:rPr>
        <w:t xml:space="preserve"> the</w:t>
      </w:r>
      <w:r>
        <w:rPr>
          <w:szCs w:val="26"/>
        </w:rPr>
        <w:t xml:space="preserve"> Tier 1 advice letter </w:t>
      </w:r>
      <w:r w:rsidR="008B7FFC">
        <w:rPr>
          <w:szCs w:val="26"/>
        </w:rPr>
        <w:t>implementing</w:t>
      </w:r>
      <w:r>
        <w:rPr>
          <w:szCs w:val="26"/>
        </w:rPr>
        <w:t xml:space="preserve"> this decision. The balance of </w:t>
      </w:r>
      <w:r w:rsidR="009E1C84">
        <w:rPr>
          <w:szCs w:val="26"/>
        </w:rPr>
        <w:t>PacifiCorp’s</w:t>
      </w:r>
      <w:r>
        <w:rPr>
          <w:szCs w:val="26"/>
        </w:rPr>
        <w:t xml:space="preserve"> GRC RRMA </w:t>
      </w:r>
      <w:r w:rsidR="0060673D">
        <w:rPr>
          <w:szCs w:val="26"/>
        </w:rPr>
        <w:t xml:space="preserve">shall be amortized in rates over </w:t>
      </w:r>
      <w:r>
        <w:rPr>
          <w:szCs w:val="26"/>
        </w:rPr>
        <w:t xml:space="preserve">the three-year </w:t>
      </w:r>
      <w:r w:rsidR="00FC2F72">
        <w:rPr>
          <w:szCs w:val="26"/>
        </w:rPr>
        <w:t>General Rate Case</w:t>
      </w:r>
      <w:r>
        <w:rPr>
          <w:szCs w:val="26"/>
        </w:rPr>
        <w:t xml:space="preserve"> period</w:t>
      </w:r>
      <w:r w:rsidR="0060673D">
        <w:rPr>
          <w:szCs w:val="26"/>
        </w:rPr>
        <w:t>.</w:t>
      </w:r>
    </w:p>
    <w:bookmarkEnd w:id="87"/>
    <w:p w:rsidRPr="005E7B13" w:rsidR="4ED597DC" w:rsidP="00466C42" w:rsidRDefault="4ED597DC" w14:paraId="47DED021" w14:textId="7CBC7184">
      <w:pPr>
        <w:pStyle w:val="FoF"/>
        <w:rPr>
          <w:rFonts w:eastAsia="Book Antiqua" w:cs="Book Antiqua"/>
          <w:szCs w:val="26"/>
        </w:rPr>
      </w:pPr>
      <w:r w:rsidRPr="00D2402A">
        <w:t>PacifiCorp</w:t>
      </w:r>
      <w:r w:rsidRPr="2554E4E4">
        <w:t xml:space="preserve">, doing business as Pacific Power, is authorized to implement </w:t>
      </w:r>
      <w:r w:rsidR="00A736A1">
        <w:t>an overall rate of return of 7.</w:t>
      </w:r>
      <w:r w:rsidR="0051309E">
        <w:t>34</w:t>
      </w:r>
      <w:r w:rsidR="00A736A1">
        <w:t xml:space="preserve"> percent</w:t>
      </w:r>
      <w:r w:rsidR="0051309E">
        <w:t>.</w:t>
      </w:r>
    </w:p>
    <w:p w:rsidR="4ED597DC" w:rsidP="00466C42" w:rsidRDefault="4ED597DC" w14:paraId="4FD47C3B" w14:textId="5A1045D2">
      <w:pPr>
        <w:pStyle w:val="FoF"/>
      </w:pPr>
      <w:r w:rsidRPr="2554E4E4">
        <w:rPr>
          <w:szCs w:val="26"/>
        </w:rPr>
        <w:t xml:space="preserve">PacifiCorp, doing business as Pacific Power, may continue the use of the Energy Cost </w:t>
      </w:r>
      <w:r w:rsidRPr="00D2402A">
        <w:t>Adjustment</w:t>
      </w:r>
      <w:r w:rsidRPr="2554E4E4">
        <w:rPr>
          <w:szCs w:val="26"/>
        </w:rPr>
        <w:t xml:space="preserve"> Clause and Post-Test Year Adjustment Mechanism for the years 2023-202</w:t>
      </w:r>
      <w:r w:rsidR="00FD75BA">
        <w:rPr>
          <w:szCs w:val="26"/>
        </w:rPr>
        <w:t>5</w:t>
      </w:r>
      <w:r w:rsidRPr="2554E4E4">
        <w:rPr>
          <w:szCs w:val="26"/>
        </w:rPr>
        <w:t>.</w:t>
      </w:r>
    </w:p>
    <w:p w:rsidR="4ED597DC" w:rsidP="00466C42" w:rsidRDefault="4ED597DC" w14:paraId="60E4A0CF" w14:textId="6CB419A6">
      <w:pPr>
        <w:pStyle w:val="FoF"/>
        <w:rPr>
          <w:rFonts w:eastAsia="Book Antiqua" w:cs="Book Antiqua"/>
          <w:szCs w:val="26"/>
        </w:rPr>
      </w:pPr>
      <w:r w:rsidRPr="2554E4E4">
        <w:rPr>
          <w:rFonts w:eastAsia="Book Antiqua" w:cs="Book Antiqua"/>
          <w:szCs w:val="26"/>
        </w:rPr>
        <w:t xml:space="preserve">PacifiCorp, </w:t>
      </w:r>
      <w:r w:rsidRPr="00D2402A">
        <w:t>doing</w:t>
      </w:r>
      <w:r w:rsidRPr="2554E4E4">
        <w:rPr>
          <w:rFonts w:eastAsia="Book Antiqua" w:cs="Book Antiqua"/>
          <w:szCs w:val="26"/>
        </w:rPr>
        <w:t xml:space="preserve"> business as Pacific Power, shall remove $1.125</w:t>
      </w:r>
      <w:r w:rsidR="00730ADE">
        <w:rPr>
          <w:rFonts w:eastAsia="Book Antiqua" w:cs="Book Antiqua"/>
          <w:szCs w:val="26"/>
        </w:rPr>
        <w:t> million</w:t>
      </w:r>
      <w:r w:rsidRPr="2554E4E4">
        <w:rPr>
          <w:rFonts w:eastAsia="Book Antiqua" w:cs="Book Antiqua"/>
          <w:szCs w:val="26"/>
        </w:rPr>
        <w:t xml:space="preserve"> in capital addition costs associated with its Foote Creek II-IV wind power facilities from the revenue requirement when filing the Tier 1 Advice Letter implementing the cost recovery authorized in this decision.</w:t>
      </w:r>
    </w:p>
    <w:p w:rsidR="4ED597DC" w:rsidP="00466C42" w:rsidRDefault="4ED597DC" w14:paraId="33BE9549" w14:textId="03681EFB">
      <w:pPr>
        <w:pStyle w:val="FoF"/>
        <w:rPr>
          <w:rFonts w:eastAsia="Book Antiqua" w:cs="Book Antiqua"/>
          <w:szCs w:val="26"/>
        </w:rPr>
      </w:pPr>
      <w:r w:rsidRPr="2554E4E4">
        <w:rPr>
          <w:rFonts w:eastAsia="Book Antiqua" w:cs="Book Antiqua"/>
          <w:szCs w:val="26"/>
        </w:rPr>
        <w:t xml:space="preserve">PacifiCorp, doing business as Pacific Power, shall </w:t>
      </w:r>
      <w:r w:rsidR="007704C3">
        <w:rPr>
          <w:rFonts w:eastAsia="Book Antiqua" w:cs="Book Antiqua"/>
          <w:szCs w:val="26"/>
        </w:rPr>
        <w:t>utilize</w:t>
      </w:r>
      <w:r w:rsidRPr="2554E4E4" w:rsidR="007704C3">
        <w:rPr>
          <w:rFonts w:eastAsia="Book Antiqua" w:cs="Book Antiqua"/>
          <w:szCs w:val="26"/>
        </w:rPr>
        <w:t xml:space="preserve"> </w:t>
      </w:r>
      <w:r w:rsidRPr="2554E4E4">
        <w:rPr>
          <w:rFonts w:eastAsia="Book Antiqua" w:cs="Book Antiqua"/>
          <w:szCs w:val="26"/>
        </w:rPr>
        <w:t xml:space="preserve">the depreciable lives of the </w:t>
      </w:r>
      <w:r w:rsidRPr="00D2402A">
        <w:t>following</w:t>
      </w:r>
      <w:r w:rsidRPr="2554E4E4">
        <w:rPr>
          <w:rFonts w:eastAsia="Book Antiqua" w:cs="Book Antiqua"/>
          <w:szCs w:val="26"/>
        </w:rPr>
        <w:t xml:space="preserve"> coal-fired units </w:t>
      </w:r>
      <w:r w:rsidR="007704C3">
        <w:rPr>
          <w:rFonts w:eastAsia="Book Antiqua" w:cs="Book Antiqua"/>
          <w:szCs w:val="26"/>
        </w:rPr>
        <w:t>consistent</w:t>
      </w:r>
      <w:r w:rsidRPr="2554E4E4">
        <w:rPr>
          <w:rFonts w:eastAsia="Book Antiqua" w:cs="Book Antiqua"/>
          <w:szCs w:val="26"/>
        </w:rPr>
        <w:t xml:space="preserve"> with its 2021 Integrated Resource Plan:</w:t>
      </w:r>
    </w:p>
    <w:p w:rsidR="4ED597DC" w:rsidP="00CF2358" w:rsidRDefault="4ED597DC" w14:paraId="3D27E6C7" w14:textId="0DB3C1C3">
      <w:pPr>
        <w:pStyle w:val="OP"/>
        <w:numPr>
          <w:ilvl w:val="0"/>
          <w:numId w:val="1"/>
        </w:numPr>
        <w:spacing w:after="120" w:line="240" w:lineRule="auto"/>
        <w:ind w:left="1080" w:right="1440"/>
        <w:rPr>
          <w:rFonts w:eastAsia="Book Antiqua" w:cs="Book Antiqua"/>
          <w:szCs w:val="26"/>
        </w:rPr>
      </w:pPr>
      <w:r w:rsidRPr="2554E4E4">
        <w:rPr>
          <w:rFonts w:eastAsia="Book Antiqua" w:cs="Book Antiqua"/>
          <w:szCs w:val="26"/>
        </w:rPr>
        <w:t>Colstrip Units 3 and 4 (decreased from 2027 to 2025)</w:t>
      </w:r>
      <w:r w:rsidR="00ED256C">
        <w:rPr>
          <w:rFonts w:eastAsia="Book Antiqua" w:cs="Book Antiqua"/>
          <w:szCs w:val="26"/>
        </w:rPr>
        <w:t>;</w:t>
      </w:r>
      <w:r w:rsidRPr="2554E4E4">
        <w:rPr>
          <w:rFonts w:eastAsia="Book Antiqua" w:cs="Book Antiqua"/>
          <w:szCs w:val="26"/>
        </w:rPr>
        <w:t xml:space="preserve"> </w:t>
      </w:r>
    </w:p>
    <w:p w:rsidR="4ED597DC" w:rsidP="00CF2358" w:rsidRDefault="4ED597DC" w14:paraId="36989136" w14:textId="2A5CCA31">
      <w:pPr>
        <w:pStyle w:val="OP"/>
        <w:numPr>
          <w:ilvl w:val="0"/>
          <w:numId w:val="1"/>
        </w:numPr>
        <w:spacing w:after="120" w:line="240" w:lineRule="auto"/>
        <w:ind w:left="1080" w:right="1440"/>
        <w:rPr>
          <w:rFonts w:eastAsia="Book Antiqua" w:cs="Book Antiqua"/>
          <w:szCs w:val="26"/>
        </w:rPr>
      </w:pPr>
      <w:r w:rsidRPr="2554E4E4">
        <w:rPr>
          <w:rFonts w:eastAsia="Book Antiqua" w:cs="Book Antiqua"/>
          <w:szCs w:val="26"/>
        </w:rPr>
        <w:t>Craig Unit 2 (increased from 2026 to 2028)</w:t>
      </w:r>
      <w:r w:rsidR="00ED256C">
        <w:rPr>
          <w:rFonts w:eastAsia="Book Antiqua" w:cs="Book Antiqua"/>
          <w:szCs w:val="26"/>
        </w:rPr>
        <w:t>;</w:t>
      </w:r>
    </w:p>
    <w:p w:rsidR="4ED597DC" w:rsidP="00CF2358" w:rsidRDefault="4ED597DC" w14:paraId="5D163BFC" w14:textId="44C58B06">
      <w:pPr>
        <w:pStyle w:val="OP"/>
        <w:numPr>
          <w:ilvl w:val="0"/>
          <w:numId w:val="1"/>
        </w:numPr>
        <w:spacing w:after="120" w:line="240" w:lineRule="auto"/>
        <w:ind w:left="1080" w:right="1440"/>
        <w:rPr>
          <w:rFonts w:eastAsia="Book Antiqua" w:cs="Book Antiqua"/>
          <w:szCs w:val="26"/>
        </w:rPr>
      </w:pPr>
      <w:r w:rsidRPr="2554E4E4">
        <w:rPr>
          <w:rFonts w:eastAsia="Book Antiqua" w:cs="Book Antiqua"/>
          <w:szCs w:val="26"/>
        </w:rPr>
        <w:t>Hyden Unit 1 (decreased from 2030 to 2028)</w:t>
      </w:r>
      <w:r w:rsidR="00ED256C">
        <w:rPr>
          <w:rFonts w:eastAsia="Book Antiqua" w:cs="Book Antiqua"/>
          <w:szCs w:val="26"/>
        </w:rPr>
        <w:t>;</w:t>
      </w:r>
      <w:r w:rsidRPr="2554E4E4">
        <w:rPr>
          <w:rFonts w:eastAsia="Book Antiqua" w:cs="Book Antiqua"/>
          <w:szCs w:val="26"/>
        </w:rPr>
        <w:t xml:space="preserve"> </w:t>
      </w:r>
    </w:p>
    <w:p w:rsidR="4ED597DC" w:rsidP="00CF2358" w:rsidRDefault="4ED597DC" w14:paraId="50D54A13" w14:textId="69733B1F">
      <w:pPr>
        <w:pStyle w:val="OP"/>
        <w:numPr>
          <w:ilvl w:val="0"/>
          <w:numId w:val="1"/>
        </w:numPr>
        <w:spacing w:after="120" w:line="240" w:lineRule="auto"/>
        <w:ind w:left="1080" w:right="1440"/>
        <w:rPr>
          <w:rFonts w:eastAsia="Book Antiqua" w:cs="Book Antiqua"/>
          <w:szCs w:val="26"/>
        </w:rPr>
      </w:pPr>
      <w:r w:rsidRPr="2554E4E4">
        <w:rPr>
          <w:rFonts w:eastAsia="Book Antiqua" w:cs="Book Antiqua"/>
          <w:szCs w:val="26"/>
        </w:rPr>
        <w:t>Hyden Unit 2 (decreased from 2030 to 2027)</w:t>
      </w:r>
      <w:r w:rsidR="00ED256C">
        <w:rPr>
          <w:rFonts w:eastAsia="Book Antiqua" w:cs="Book Antiqua"/>
          <w:szCs w:val="26"/>
        </w:rPr>
        <w:t>;</w:t>
      </w:r>
      <w:r w:rsidRPr="2554E4E4">
        <w:rPr>
          <w:rFonts w:eastAsia="Book Antiqua" w:cs="Book Antiqua"/>
          <w:szCs w:val="26"/>
        </w:rPr>
        <w:t xml:space="preserve"> </w:t>
      </w:r>
    </w:p>
    <w:p w:rsidR="4ED597DC" w:rsidP="005E7B13" w:rsidRDefault="4ED597DC" w14:paraId="62466B5B" w14:textId="0E672A4C">
      <w:pPr>
        <w:pStyle w:val="OP"/>
        <w:numPr>
          <w:ilvl w:val="0"/>
          <w:numId w:val="1"/>
        </w:numPr>
        <w:spacing w:after="120" w:line="240" w:lineRule="auto"/>
        <w:ind w:left="1080" w:right="1440"/>
        <w:rPr>
          <w:rFonts w:eastAsia="Book Antiqua" w:cs="Book Antiqua"/>
          <w:szCs w:val="26"/>
        </w:rPr>
      </w:pPr>
      <w:r w:rsidRPr="2554E4E4">
        <w:rPr>
          <w:rFonts w:eastAsia="Book Antiqua" w:cs="Book Antiqua"/>
          <w:szCs w:val="26"/>
        </w:rPr>
        <w:t xml:space="preserve">Naughton Units 1 and 2 (decreased from 2029 to 2025). </w:t>
      </w:r>
    </w:p>
    <w:p w:rsidR="4ED597DC" w:rsidP="00466C42" w:rsidRDefault="4ED597DC" w14:paraId="32C8C697" w14:textId="6A0D0EC4">
      <w:pPr>
        <w:pStyle w:val="FoF"/>
        <w:rPr>
          <w:rFonts w:eastAsia="Book Antiqua" w:cs="Book Antiqua"/>
          <w:szCs w:val="26"/>
        </w:rPr>
      </w:pPr>
      <w:r w:rsidRPr="2554E4E4">
        <w:rPr>
          <w:rFonts w:eastAsia="Book Antiqua" w:cs="Book Antiqua"/>
          <w:szCs w:val="26"/>
        </w:rPr>
        <w:t xml:space="preserve">PacifiCorp, doing business as Pacific Power, shall recover $1,218,447 annually to </w:t>
      </w:r>
      <w:r w:rsidRPr="00D2402A">
        <w:t>recover</w:t>
      </w:r>
      <w:r w:rsidRPr="2554E4E4">
        <w:rPr>
          <w:rFonts w:eastAsia="Book Antiqua" w:cs="Book Antiqua"/>
          <w:szCs w:val="26"/>
        </w:rPr>
        <w:t xml:space="preserve"> the </w:t>
      </w:r>
      <w:r w:rsidR="001A1FF1">
        <w:rPr>
          <w:rFonts w:eastAsia="Book Antiqua" w:cs="Book Antiqua"/>
          <w:szCs w:val="26"/>
        </w:rPr>
        <w:t xml:space="preserve">incremental decommissioning </w:t>
      </w:r>
      <w:r w:rsidRPr="2554E4E4">
        <w:rPr>
          <w:rFonts w:eastAsia="Book Antiqua" w:cs="Book Antiqua"/>
          <w:szCs w:val="26"/>
        </w:rPr>
        <w:t>costs associated with the coal-fired units described in Ordering Paragraph</w:t>
      </w:r>
      <w:r w:rsidR="00CF2358">
        <w:rPr>
          <w:rFonts w:eastAsia="Book Antiqua" w:cs="Book Antiqua"/>
          <w:szCs w:val="26"/>
        </w:rPr>
        <w:t> </w:t>
      </w:r>
      <w:r w:rsidRPr="2554E4E4">
        <w:rPr>
          <w:rFonts w:eastAsia="Book Antiqua" w:cs="Book Antiqua"/>
          <w:szCs w:val="26"/>
        </w:rPr>
        <w:t>7 above.</w:t>
      </w:r>
    </w:p>
    <w:p w:rsidR="4ED597DC" w:rsidP="00466C42" w:rsidRDefault="4ED597DC" w14:paraId="1340E29E" w14:textId="6E45367C">
      <w:pPr>
        <w:pStyle w:val="FoF"/>
        <w:rPr>
          <w:rFonts w:eastAsia="Book Antiqua" w:cs="Book Antiqua"/>
          <w:szCs w:val="26"/>
        </w:rPr>
      </w:pPr>
      <w:r w:rsidRPr="2554E4E4">
        <w:rPr>
          <w:rFonts w:eastAsia="Book Antiqua" w:cs="Book Antiqua"/>
          <w:szCs w:val="26"/>
        </w:rPr>
        <w:t>PacifiCorp, doing business as Pacific Power, shall recover $</w:t>
      </w:r>
      <w:r w:rsidR="001A1FF1">
        <w:rPr>
          <w:szCs w:val="26"/>
        </w:rPr>
        <w:t>858,305.50</w:t>
      </w:r>
      <w:r w:rsidR="00BD1D41">
        <w:rPr>
          <w:szCs w:val="26"/>
        </w:rPr>
        <w:t xml:space="preserve"> </w:t>
      </w:r>
      <w:r w:rsidR="00130CD6">
        <w:rPr>
          <w:rFonts w:eastAsia="Book Antiqua" w:cs="Book Antiqua"/>
          <w:szCs w:val="26"/>
        </w:rPr>
        <w:t>in</w:t>
      </w:r>
      <w:r w:rsidRPr="2554E4E4">
        <w:rPr>
          <w:rFonts w:eastAsia="Book Antiqua" w:cs="Book Antiqua"/>
          <w:szCs w:val="26"/>
        </w:rPr>
        <w:t xml:space="preserve"> costs </w:t>
      </w:r>
      <w:r w:rsidR="00130CD6">
        <w:rPr>
          <w:rFonts w:eastAsia="Book Antiqua" w:cs="Book Antiqua"/>
          <w:szCs w:val="26"/>
        </w:rPr>
        <w:t>associated with</w:t>
      </w:r>
      <w:r w:rsidRPr="2554E4E4">
        <w:rPr>
          <w:rFonts w:eastAsia="Book Antiqua" w:cs="Book Antiqua"/>
          <w:szCs w:val="26"/>
        </w:rPr>
        <w:t xml:space="preserve"> its Cholla Unit</w:t>
      </w:r>
      <w:r w:rsidR="00CF2358">
        <w:rPr>
          <w:rFonts w:eastAsia="Book Antiqua" w:cs="Book Antiqua"/>
          <w:szCs w:val="26"/>
        </w:rPr>
        <w:t> </w:t>
      </w:r>
      <w:r w:rsidRPr="2554E4E4">
        <w:rPr>
          <w:rFonts w:eastAsia="Book Antiqua" w:cs="Book Antiqua"/>
          <w:szCs w:val="26"/>
        </w:rPr>
        <w:t xml:space="preserve">4 coal-fired unit annually for </w:t>
      </w:r>
      <w:r w:rsidR="001A1FF1">
        <w:rPr>
          <w:rFonts w:eastAsia="Book Antiqua" w:cs="Book Antiqua"/>
          <w:szCs w:val="26"/>
        </w:rPr>
        <w:t xml:space="preserve">six </w:t>
      </w:r>
      <w:r w:rsidRPr="2554E4E4">
        <w:rPr>
          <w:rFonts w:eastAsia="Book Antiqua" w:cs="Book Antiqua"/>
          <w:szCs w:val="26"/>
        </w:rPr>
        <w:t>years.</w:t>
      </w:r>
    </w:p>
    <w:p w:rsidR="4ED597DC" w:rsidP="00466C42" w:rsidRDefault="4ED597DC" w14:paraId="3623C8CB" w14:textId="52D63DD5">
      <w:pPr>
        <w:pStyle w:val="FoF"/>
        <w:rPr>
          <w:rFonts w:eastAsia="Book Antiqua" w:cs="Book Antiqua"/>
          <w:szCs w:val="26"/>
        </w:rPr>
      </w:pPr>
      <w:r w:rsidRPr="2554E4E4">
        <w:rPr>
          <w:rFonts w:eastAsia="Book Antiqua" w:cs="Book Antiqua"/>
          <w:szCs w:val="26"/>
        </w:rPr>
        <w:t>PacifiCorp, doing business as Pacific Power, shall implement an equal</w:t>
      </w:r>
      <w:r w:rsidR="00730ADE">
        <w:rPr>
          <w:rFonts w:eastAsia="Book Antiqua" w:cs="Book Antiqua"/>
          <w:szCs w:val="26"/>
        </w:rPr>
        <w:t> percent</w:t>
      </w:r>
      <w:r w:rsidRPr="2554E4E4">
        <w:rPr>
          <w:rFonts w:eastAsia="Book Antiqua" w:cs="Book Antiqua"/>
          <w:szCs w:val="26"/>
        </w:rPr>
        <w:t xml:space="preserve">age rate </w:t>
      </w:r>
      <w:r w:rsidRPr="00D2402A">
        <w:t>spread</w:t>
      </w:r>
      <w:r w:rsidRPr="2554E4E4">
        <w:rPr>
          <w:rFonts w:eastAsia="Book Antiqua" w:cs="Book Antiqua"/>
          <w:szCs w:val="26"/>
        </w:rPr>
        <w:t xml:space="preserve"> across all customer classes when implementing the increase in rates approved in this decision.</w:t>
      </w:r>
    </w:p>
    <w:p w:rsidR="4ED597DC" w:rsidP="00466C42" w:rsidRDefault="4ED597DC" w14:paraId="1790D9FD" w14:textId="00E9E9D1">
      <w:pPr>
        <w:pStyle w:val="FoF"/>
        <w:rPr>
          <w:rFonts w:eastAsia="Book Antiqua" w:cs="Book Antiqua"/>
          <w:szCs w:val="26"/>
        </w:rPr>
      </w:pPr>
      <w:r w:rsidRPr="2554E4E4">
        <w:rPr>
          <w:rFonts w:eastAsia="Book Antiqua" w:cs="Book Antiqua"/>
          <w:szCs w:val="26"/>
        </w:rPr>
        <w:t>PacifiCorp, doing business as Pacific Power, is authorized to implement the new, optional, time-of-use residential Schedule DT.</w:t>
      </w:r>
    </w:p>
    <w:p w:rsidR="4ED597DC" w:rsidP="00466C42" w:rsidRDefault="4ED597DC" w14:paraId="3291F598" w14:textId="066F1794">
      <w:pPr>
        <w:pStyle w:val="FoF"/>
        <w:rPr>
          <w:rFonts w:eastAsia="Book Antiqua" w:cs="Book Antiqua"/>
          <w:szCs w:val="26"/>
        </w:rPr>
      </w:pPr>
      <w:r w:rsidRPr="2554E4E4">
        <w:rPr>
          <w:rFonts w:eastAsia="Book Antiqua" w:cs="Book Antiqua"/>
          <w:szCs w:val="26"/>
        </w:rPr>
        <w:t>PacifiCorp, doing business as Pacific Power, is authorized to provide new time-of-use rates for its general service, non-residential customers under Schedule AT-29, Schedule PA-20, and Schedules AT-47/48.</w:t>
      </w:r>
    </w:p>
    <w:p w:rsidR="4ED597DC" w:rsidP="00466C42" w:rsidRDefault="4ED597DC" w14:paraId="3D50780C" w14:textId="33345B81">
      <w:pPr>
        <w:pStyle w:val="FoF"/>
        <w:rPr>
          <w:rFonts w:eastAsia="Book Antiqua" w:cs="Book Antiqua"/>
          <w:szCs w:val="26"/>
        </w:rPr>
      </w:pPr>
      <w:r w:rsidRPr="2554E4E4">
        <w:rPr>
          <w:rFonts w:eastAsia="Book Antiqua" w:cs="Book Antiqua"/>
          <w:szCs w:val="26"/>
        </w:rPr>
        <w:t xml:space="preserve">PacifiCorp, </w:t>
      </w:r>
      <w:r w:rsidRPr="00D2402A">
        <w:t>doing</w:t>
      </w:r>
      <w:r w:rsidRPr="2554E4E4">
        <w:rPr>
          <w:rFonts w:eastAsia="Book Antiqua" w:cs="Book Antiqua"/>
          <w:szCs w:val="26"/>
        </w:rPr>
        <w:t xml:space="preserve"> business as Pacific Power, is authorized to modify its street and area lighting tariffs to reflect the level of service rather than specific technology or lamp bulb type.</w:t>
      </w:r>
    </w:p>
    <w:p w:rsidR="4ED597DC" w:rsidP="00466C42" w:rsidRDefault="4ED597DC" w14:paraId="62292CED" w14:textId="6A46C54A">
      <w:pPr>
        <w:pStyle w:val="FoF"/>
        <w:rPr>
          <w:rFonts w:eastAsia="Book Antiqua" w:cs="Book Antiqua"/>
          <w:szCs w:val="26"/>
        </w:rPr>
      </w:pPr>
      <w:r w:rsidRPr="2554E4E4">
        <w:rPr>
          <w:rFonts w:eastAsia="Book Antiqua" w:cs="Book Antiqua"/>
          <w:szCs w:val="26"/>
        </w:rPr>
        <w:t>PacifiCorp, doing business as Pacific Power, is authorized to implement a Customer-</w:t>
      </w:r>
      <w:r w:rsidRPr="00D2402A">
        <w:t>Funded</w:t>
      </w:r>
      <w:r w:rsidRPr="2554E4E4">
        <w:rPr>
          <w:rFonts w:eastAsia="Book Antiqua" w:cs="Book Antiqua"/>
          <w:szCs w:val="26"/>
        </w:rPr>
        <w:t xml:space="preserve"> Conversion option for its street and area lighting tariffs that incentivizes customers to continue paying for upgrades to Light-Emitting Diode lamps. This option shall charge customers that upgrade their own lamps less for energy service than those that rely on Pacific Power to </w:t>
      </w:r>
      <w:r w:rsidR="00C80C6F">
        <w:rPr>
          <w:rFonts w:eastAsia="Book Antiqua" w:cs="Book Antiqua"/>
          <w:szCs w:val="26"/>
        </w:rPr>
        <w:t>install</w:t>
      </w:r>
      <w:r w:rsidRPr="2554E4E4">
        <w:rPr>
          <w:rFonts w:eastAsia="Book Antiqua" w:cs="Book Antiqua"/>
          <w:szCs w:val="26"/>
        </w:rPr>
        <w:t xml:space="preserve"> the technology and bulb upgrades.</w:t>
      </w:r>
    </w:p>
    <w:p w:rsidR="4ED597DC" w:rsidP="00466C42" w:rsidRDefault="4ED597DC" w14:paraId="034A0740" w14:textId="0175056A">
      <w:pPr>
        <w:pStyle w:val="FoF"/>
        <w:rPr>
          <w:rFonts w:eastAsia="Book Antiqua" w:cs="Book Antiqua"/>
          <w:szCs w:val="26"/>
        </w:rPr>
      </w:pPr>
      <w:r w:rsidRPr="2554E4E4">
        <w:rPr>
          <w:rFonts w:eastAsia="Book Antiqua" w:cs="Book Antiqua"/>
          <w:szCs w:val="26"/>
        </w:rPr>
        <w:t xml:space="preserve">PacifiCorp, doing business as Pacific Power, shall transfer customers on Schedule LS-58 to Schedule LS-53 for energy-only service. Pacific Power shall provide at least </w:t>
      </w:r>
      <w:r w:rsidRPr="2554E4E4" w:rsidR="00FB6223">
        <w:rPr>
          <w:rFonts w:eastAsia="Book Antiqua" w:cs="Book Antiqua"/>
          <w:szCs w:val="26"/>
        </w:rPr>
        <w:t>60 days</w:t>
      </w:r>
      <w:r w:rsidR="00FB6223">
        <w:rPr>
          <w:rFonts w:eastAsia="Book Antiqua" w:cs="Book Antiqua"/>
          <w:szCs w:val="26"/>
        </w:rPr>
        <w:t>’</w:t>
      </w:r>
      <w:r w:rsidRPr="2554E4E4" w:rsidR="00FB6223">
        <w:rPr>
          <w:rFonts w:eastAsia="Book Antiqua" w:cs="Book Antiqua"/>
          <w:szCs w:val="26"/>
        </w:rPr>
        <w:t xml:space="preserve"> notice</w:t>
      </w:r>
      <w:r w:rsidRPr="2554E4E4">
        <w:rPr>
          <w:rFonts w:eastAsia="Book Antiqua" w:cs="Book Antiqua"/>
          <w:szCs w:val="26"/>
        </w:rPr>
        <w:t xml:space="preserve"> to affected customers and shall continue replacing the bulbs for the affected customers’ lamps.</w:t>
      </w:r>
    </w:p>
    <w:p w:rsidR="4ED597DC" w:rsidP="00466C42" w:rsidRDefault="4ED597DC" w14:paraId="55753DFE" w14:textId="6C9F555D">
      <w:pPr>
        <w:pStyle w:val="FoF"/>
        <w:rPr>
          <w:rFonts w:eastAsia="Book Antiqua" w:cs="Book Antiqua"/>
          <w:szCs w:val="26"/>
        </w:rPr>
      </w:pPr>
      <w:r w:rsidRPr="2554E4E4">
        <w:rPr>
          <w:rFonts w:eastAsia="Book Antiqua" w:cs="Book Antiqua"/>
          <w:szCs w:val="26"/>
        </w:rPr>
        <w:t>PacifiCorp, doing business as Pacific Power, is authorized to offer a paperless bill credit of $0.50 per month.</w:t>
      </w:r>
    </w:p>
    <w:p w:rsidR="4ED597DC" w:rsidP="00466C42" w:rsidRDefault="4ED597DC" w14:paraId="7D0F31B0" w14:textId="2C5501FF">
      <w:pPr>
        <w:pStyle w:val="FoF"/>
        <w:rPr>
          <w:rFonts w:eastAsia="Book Antiqua" w:cs="Book Antiqua"/>
          <w:szCs w:val="26"/>
        </w:rPr>
      </w:pPr>
      <w:r w:rsidRPr="2554E4E4">
        <w:rPr>
          <w:rFonts w:eastAsia="Book Antiqua" w:cs="Book Antiqua"/>
          <w:szCs w:val="26"/>
        </w:rPr>
        <w:t>PacifiCorp, doing business as Pacific Power, is authorized to charge $167 for all temporary service installations, based on the current rate for one hour of journeyman time.</w:t>
      </w:r>
    </w:p>
    <w:p w:rsidR="4ED597DC" w:rsidP="00466C42" w:rsidRDefault="4ED597DC" w14:paraId="547B82EA" w14:textId="69EB0CD0">
      <w:pPr>
        <w:pStyle w:val="FoF"/>
        <w:rPr>
          <w:rFonts w:eastAsia="Book Antiqua" w:cs="Book Antiqua"/>
          <w:szCs w:val="26"/>
        </w:rPr>
      </w:pPr>
      <w:r w:rsidRPr="2554E4E4">
        <w:rPr>
          <w:rFonts w:eastAsia="Book Antiqua" w:cs="Book Antiqua"/>
          <w:szCs w:val="26"/>
        </w:rPr>
        <w:t>PacifiCorp, doing business as Pacific Power, is authorized to correct inaccurate references in its Schedule 300 tariff sheet and add</w:t>
      </w:r>
      <w:r w:rsidR="00FB6223">
        <w:rPr>
          <w:rFonts w:eastAsia="Book Antiqua" w:cs="Book Antiqua"/>
          <w:szCs w:val="26"/>
        </w:rPr>
        <w:t xml:space="preserve"> back the inadvertently deleted</w:t>
      </w:r>
      <w:r w:rsidRPr="2554E4E4">
        <w:rPr>
          <w:rFonts w:eastAsia="Book Antiqua" w:cs="Book Antiqua"/>
          <w:szCs w:val="26"/>
        </w:rPr>
        <w:t xml:space="preserve"> charges for field visits and unauthorized reconnections.</w:t>
      </w:r>
    </w:p>
    <w:p w:rsidR="4ED597DC" w:rsidP="00466C42" w:rsidRDefault="4ED597DC" w14:paraId="63BD1F89" w14:textId="720F3538">
      <w:pPr>
        <w:pStyle w:val="FoF"/>
        <w:rPr>
          <w:rFonts w:eastAsia="Book Antiqua" w:cs="Book Antiqua"/>
          <w:szCs w:val="26"/>
        </w:rPr>
      </w:pPr>
      <w:r w:rsidRPr="2554E4E4">
        <w:rPr>
          <w:rFonts w:eastAsia="Book Antiqua" w:cs="Book Antiqua"/>
          <w:szCs w:val="26"/>
        </w:rPr>
        <w:t xml:space="preserve">PacifiCorp, doing business as Pacific Power, is authorized to add a primary metering </w:t>
      </w:r>
      <w:r w:rsidRPr="00D2402A">
        <w:t>discount</w:t>
      </w:r>
      <w:r w:rsidRPr="2554E4E4">
        <w:rPr>
          <w:rFonts w:eastAsia="Book Antiqua" w:cs="Book Antiqua"/>
          <w:szCs w:val="26"/>
        </w:rPr>
        <w:t xml:space="preserve"> to Schedule A-25 that aligns with the primary metering discount available to other general service customer schedules. </w:t>
      </w:r>
    </w:p>
    <w:p w:rsidR="4ED597DC" w:rsidP="00466C42" w:rsidRDefault="4ED597DC" w14:paraId="7DF17C04" w14:textId="49EB9D56">
      <w:pPr>
        <w:pStyle w:val="FoF"/>
        <w:rPr>
          <w:rFonts w:eastAsia="Book Antiqua" w:cs="Book Antiqua"/>
          <w:szCs w:val="26"/>
        </w:rPr>
      </w:pPr>
      <w:r w:rsidRPr="2554E4E4">
        <w:rPr>
          <w:rFonts w:eastAsia="Book Antiqua" w:cs="Book Antiqua"/>
          <w:szCs w:val="26"/>
        </w:rPr>
        <w:t xml:space="preserve">PacifiCorp, </w:t>
      </w:r>
      <w:r w:rsidRPr="00D2402A">
        <w:t>doing</w:t>
      </w:r>
      <w:r w:rsidRPr="2554E4E4">
        <w:rPr>
          <w:rFonts w:eastAsia="Book Antiqua" w:cs="Book Antiqua"/>
          <w:szCs w:val="26"/>
        </w:rPr>
        <w:t xml:space="preserve"> business as Pacific Power, is authorized to remove references to prior-2005</w:t>
      </w:r>
      <w:r w:rsidR="00FB4CF9">
        <w:rPr>
          <w:rFonts w:eastAsia="Book Antiqua" w:cs="Book Antiqua"/>
          <w:szCs w:val="26"/>
        </w:rPr>
        <w:t> </w:t>
      </w:r>
      <w:r w:rsidRPr="2554E4E4">
        <w:rPr>
          <w:rFonts w:eastAsia="Book Antiqua" w:cs="Book Antiqua"/>
          <w:szCs w:val="26"/>
        </w:rPr>
        <w:t xml:space="preserve">Daylight Savings Time hours from its tariffs. </w:t>
      </w:r>
    </w:p>
    <w:p w:rsidR="4ED597DC" w:rsidP="00466C42" w:rsidRDefault="4ED597DC" w14:paraId="27C5C757" w14:textId="4F86F6A2">
      <w:pPr>
        <w:pStyle w:val="FoF"/>
        <w:rPr>
          <w:rFonts w:eastAsia="Book Antiqua" w:cs="Book Antiqua"/>
          <w:szCs w:val="26"/>
        </w:rPr>
      </w:pPr>
      <w:r w:rsidRPr="2554E4E4">
        <w:rPr>
          <w:rFonts w:eastAsia="Book Antiqua" w:cs="Book Antiqua"/>
          <w:szCs w:val="26"/>
        </w:rPr>
        <w:t xml:space="preserve">PacifiCorp, </w:t>
      </w:r>
      <w:r w:rsidRPr="00D2402A">
        <w:t>doing</w:t>
      </w:r>
      <w:r w:rsidRPr="2554E4E4">
        <w:rPr>
          <w:rFonts w:eastAsia="Book Antiqua" w:cs="Book Antiqua"/>
          <w:szCs w:val="26"/>
        </w:rPr>
        <w:t xml:space="preserve"> business as Pacific Power, is authorized to increase its California Alternative Rates for Energy </w:t>
      </w:r>
      <w:r w:rsidR="00646519">
        <w:rPr>
          <w:rFonts w:eastAsia="Book Antiqua" w:cs="Book Antiqua"/>
          <w:szCs w:val="26"/>
        </w:rPr>
        <w:t xml:space="preserve">discount </w:t>
      </w:r>
      <w:r w:rsidRPr="2554E4E4">
        <w:rPr>
          <w:rFonts w:eastAsia="Book Antiqua" w:cs="Book Antiqua"/>
          <w:szCs w:val="26"/>
        </w:rPr>
        <w:t>from 20</w:t>
      </w:r>
      <w:r w:rsidR="00730ADE">
        <w:rPr>
          <w:rFonts w:eastAsia="Book Antiqua" w:cs="Book Antiqua"/>
          <w:szCs w:val="26"/>
        </w:rPr>
        <w:t> percent</w:t>
      </w:r>
      <w:r w:rsidRPr="2554E4E4">
        <w:rPr>
          <w:rFonts w:eastAsia="Book Antiqua" w:cs="Book Antiqua"/>
          <w:szCs w:val="26"/>
        </w:rPr>
        <w:t xml:space="preserve"> to 25</w:t>
      </w:r>
      <w:r w:rsidR="00730ADE">
        <w:rPr>
          <w:rFonts w:eastAsia="Book Antiqua" w:cs="Book Antiqua"/>
          <w:szCs w:val="26"/>
        </w:rPr>
        <w:t> percent</w:t>
      </w:r>
      <w:r w:rsidRPr="2554E4E4">
        <w:rPr>
          <w:rFonts w:eastAsia="Book Antiqua" w:cs="Book Antiqua"/>
          <w:szCs w:val="26"/>
        </w:rPr>
        <w:t xml:space="preserve"> during this </w:t>
      </w:r>
      <w:r w:rsidR="00995043">
        <w:rPr>
          <w:rFonts w:eastAsia="Book Antiqua" w:cs="Book Antiqua"/>
          <w:szCs w:val="26"/>
        </w:rPr>
        <w:t>g</w:t>
      </w:r>
      <w:r w:rsidRPr="2554E4E4">
        <w:rPr>
          <w:rFonts w:eastAsia="Book Antiqua" w:cs="Book Antiqua"/>
          <w:szCs w:val="26"/>
        </w:rPr>
        <w:t xml:space="preserve">eneral </w:t>
      </w:r>
      <w:r w:rsidR="00995043">
        <w:rPr>
          <w:rFonts w:eastAsia="Book Antiqua" w:cs="Book Antiqua"/>
          <w:szCs w:val="26"/>
        </w:rPr>
        <w:t>r</w:t>
      </w:r>
      <w:r w:rsidRPr="2554E4E4">
        <w:rPr>
          <w:rFonts w:eastAsia="Book Antiqua" w:cs="Book Antiqua"/>
          <w:szCs w:val="26"/>
        </w:rPr>
        <w:t xml:space="preserve">ate </w:t>
      </w:r>
      <w:r w:rsidR="00995043">
        <w:rPr>
          <w:rFonts w:eastAsia="Book Antiqua" w:cs="Book Antiqua"/>
          <w:szCs w:val="26"/>
        </w:rPr>
        <w:t>c</w:t>
      </w:r>
      <w:r w:rsidRPr="2554E4E4">
        <w:rPr>
          <w:rFonts w:eastAsia="Book Antiqua" w:cs="Book Antiqua"/>
          <w:szCs w:val="26"/>
        </w:rPr>
        <w:t>ase cycle.</w:t>
      </w:r>
    </w:p>
    <w:p w:rsidR="4ED597DC" w:rsidP="00466C42" w:rsidRDefault="4ED597DC" w14:paraId="4892C614" w14:textId="2DEE7E87">
      <w:pPr>
        <w:pStyle w:val="FoF"/>
        <w:rPr>
          <w:rFonts w:eastAsia="Book Antiqua" w:cs="Book Antiqua"/>
          <w:szCs w:val="26"/>
        </w:rPr>
      </w:pPr>
      <w:r w:rsidRPr="2554E4E4">
        <w:rPr>
          <w:rFonts w:eastAsia="Book Antiqua" w:cs="Book Antiqua"/>
          <w:szCs w:val="26"/>
        </w:rPr>
        <w:t xml:space="preserve">In </w:t>
      </w:r>
      <w:r w:rsidR="00646519">
        <w:rPr>
          <w:rFonts w:eastAsia="Book Antiqua" w:cs="Book Antiqua"/>
          <w:szCs w:val="26"/>
        </w:rPr>
        <w:t>its next</w:t>
      </w:r>
      <w:r w:rsidRPr="2554E4E4">
        <w:rPr>
          <w:rFonts w:eastAsia="Book Antiqua" w:cs="Book Antiqua"/>
          <w:szCs w:val="26"/>
        </w:rPr>
        <w:t xml:space="preserve"> </w:t>
      </w:r>
      <w:r w:rsidR="00646519">
        <w:rPr>
          <w:rFonts w:eastAsia="Book Antiqua" w:cs="Book Antiqua"/>
          <w:szCs w:val="26"/>
        </w:rPr>
        <w:t>G</w:t>
      </w:r>
      <w:r w:rsidRPr="2554E4E4">
        <w:rPr>
          <w:rFonts w:eastAsia="Book Antiqua" w:cs="Book Antiqua"/>
          <w:szCs w:val="26"/>
        </w:rPr>
        <w:t xml:space="preserve">eneral </w:t>
      </w:r>
      <w:r w:rsidR="00646519">
        <w:rPr>
          <w:rFonts w:eastAsia="Book Antiqua" w:cs="Book Antiqua"/>
          <w:szCs w:val="26"/>
        </w:rPr>
        <w:t>R</w:t>
      </w:r>
      <w:r w:rsidRPr="2554E4E4">
        <w:rPr>
          <w:rFonts w:eastAsia="Book Antiqua" w:cs="Book Antiqua"/>
          <w:szCs w:val="26"/>
        </w:rPr>
        <w:t xml:space="preserve">ate </w:t>
      </w:r>
      <w:r w:rsidR="00646519">
        <w:rPr>
          <w:rFonts w:eastAsia="Book Antiqua" w:cs="Book Antiqua"/>
          <w:szCs w:val="26"/>
        </w:rPr>
        <w:t>C</w:t>
      </w:r>
      <w:r w:rsidRPr="2554E4E4">
        <w:rPr>
          <w:rFonts w:eastAsia="Book Antiqua" w:cs="Book Antiqua"/>
          <w:szCs w:val="26"/>
        </w:rPr>
        <w:t xml:space="preserve">ase Application, PacifiCorp, doing business as Pacific Power, shall provide the results of a new Risk-Based Decision-Making Framework </w:t>
      </w:r>
      <w:r w:rsidRPr="00D2402A">
        <w:t>analysis</w:t>
      </w:r>
      <w:r w:rsidRPr="2554E4E4">
        <w:rPr>
          <w:rFonts w:eastAsia="Book Antiqua" w:cs="Book Antiqua"/>
          <w:szCs w:val="26"/>
        </w:rPr>
        <w:t xml:space="preserve"> that addresses each of the 10</w:t>
      </w:r>
      <w:r w:rsidR="00CF2358">
        <w:rPr>
          <w:rFonts w:eastAsia="Book Antiqua" w:cs="Book Antiqua"/>
          <w:szCs w:val="26"/>
        </w:rPr>
        <w:t> </w:t>
      </w:r>
      <w:r w:rsidRPr="2554E4E4">
        <w:rPr>
          <w:rFonts w:eastAsia="Book Antiqua" w:cs="Book Antiqua"/>
          <w:szCs w:val="26"/>
        </w:rPr>
        <w:t>Risk Assessment Mitigation Phase elements defined in the Voluntary Agreement adopted in Decision</w:t>
      </w:r>
      <w:r w:rsidR="00CF2358">
        <w:rPr>
          <w:rFonts w:eastAsia="Book Antiqua" w:cs="Book Antiqua"/>
          <w:szCs w:val="26"/>
        </w:rPr>
        <w:t> </w:t>
      </w:r>
      <w:r w:rsidRPr="2554E4E4">
        <w:rPr>
          <w:rFonts w:eastAsia="Book Antiqua" w:cs="Book Antiqua"/>
          <w:szCs w:val="26"/>
        </w:rPr>
        <w:t>19</w:t>
      </w:r>
      <w:r w:rsidR="00CF2358">
        <w:rPr>
          <w:rFonts w:eastAsia="Book Antiqua" w:cs="Book Antiqua"/>
          <w:szCs w:val="26"/>
        </w:rPr>
        <w:noBreakHyphen/>
      </w:r>
      <w:r w:rsidRPr="2554E4E4">
        <w:rPr>
          <w:rFonts w:eastAsia="Book Antiqua" w:cs="Book Antiqua"/>
          <w:szCs w:val="26"/>
        </w:rPr>
        <w:t>04</w:t>
      </w:r>
      <w:r w:rsidR="00CF2358">
        <w:rPr>
          <w:rFonts w:eastAsia="Book Antiqua" w:cs="Book Antiqua"/>
          <w:szCs w:val="26"/>
        </w:rPr>
        <w:noBreakHyphen/>
      </w:r>
      <w:r w:rsidRPr="2554E4E4">
        <w:rPr>
          <w:rFonts w:eastAsia="Book Antiqua" w:cs="Book Antiqua"/>
          <w:szCs w:val="26"/>
        </w:rPr>
        <w:t>020.</w:t>
      </w:r>
    </w:p>
    <w:p w:rsidR="4ED597DC" w:rsidP="00466C42" w:rsidRDefault="4ED597DC" w14:paraId="1E4EBE39" w14:textId="6D524E4B">
      <w:pPr>
        <w:pStyle w:val="FoF"/>
        <w:rPr>
          <w:rFonts w:eastAsia="Book Antiqua" w:cs="Book Antiqua"/>
          <w:szCs w:val="26"/>
        </w:rPr>
      </w:pPr>
      <w:r w:rsidRPr="2554E4E4">
        <w:rPr>
          <w:rFonts w:eastAsia="Book Antiqua" w:cs="Book Antiqua"/>
          <w:szCs w:val="26"/>
        </w:rPr>
        <w:t xml:space="preserve">In </w:t>
      </w:r>
      <w:r w:rsidR="00646519">
        <w:rPr>
          <w:rFonts w:eastAsia="Book Antiqua" w:cs="Book Antiqua"/>
          <w:szCs w:val="26"/>
        </w:rPr>
        <w:t>its next</w:t>
      </w:r>
      <w:r w:rsidRPr="2554E4E4">
        <w:rPr>
          <w:rFonts w:eastAsia="Book Antiqua" w:cs="Book Antiqua"/>
          <w:szCs w:val="26"/>
        </w:rPr>
        <w:t xml:space="preserve"> </w:t>
      </w:r>
      <w:r w:rsidR="00646519">
        <w:rPr>
          <w:rFonts w:eastAsia="Book Antiqua" w:cs="Book Antiqua"/>
          <w:szCs w:val="26"/>
        </w:rPr>
        <w:t>G</w:t>
      </w:r>
      <w:r w:rsidRPr="2554E4E4">
        <w:rPr>
          <w:rFonts w:eastAsia="Book Antiqua" w:cs="Book Antiqua"/>
          <w:szCs w:val="26"/>
        </w:rPr>
        <w:t xml:space="preserve">eneral </w:t>
      </w:r>
      <w:r w:rsidR="00646519">
        <w:rPr>
          <w:rFonts w:eastAsia="Book Antiqua" w:cs="Book Antiqua"/>
          <w:szCs w:val="26"/>
        </w:rPr>
        <w:t>R</w:t>
      </w:r>
      <w:r w:rsidRPr="2554E4E4">
        <w:rPr>
          <w:rFonts w:eastAsia="Book Antiqua" w:cs="Book Antiqua"/>
          <w:szCs w:val="26"/>
        </w:rPr>
        <w:t xml:space="preserve">ate </w:t>
      </w:r>
      <w:r w:rsidR="00646519">
        <w:rPr>
          <w:rFonts w:eastAsia="Book Antiqua" w:cs="Book Antiqua"/>
          <w:szCs w:val="26"/>
        </w:rPr>
        <w:t>C</w:t>
      </w:r>
      <w:r w:rsidRPr="2554E4E4">
        <w:rPr>
          <w:rFonts w:eastAsia="Book Antiqua" w:cs="Book Antiqua"/>
          <w:szCs w:val="26"/>
        </w:rPr>
        <w:t>ase</w:t>
      </w:r>
      <w:r w:rsidR="007704C3">
        <w:rPr>
          <w:rFonts w:eastAsia="Book Antiqua" w:cs="Book Antiqua"/>
          <w:szCs w:val="26"/>
        </w:rPr>
        <w:t xml:space="preserve"> (GRC)</w:t>
      </w:r>
      <w:r w:rsidRPr="2554E4E4">
        <w:rPr>
          <w:rFonts w:eastAsia="Book Antiqua" w:cs="Book Antiqua"/>
          <w:szCs w:val="26"/>
        </w:rPr>
        <w:t xml:space="preserve"> Application, PacifiCorp, doing business as Pacific Power, shall include specific cost </w:t>
      </w:r>
      <w:r w:rsidR="000C7F41">
        <w:rPr>
          <w:rFonts w:eastAsia="Book Antiqua" w:cs="Book Antiqua"/>
          <w:szCs w:val="26"/>
        </w:rPr>
        <w:t xml:space="preserve">forecasts </w:t>
      </w:r>
      <w:r w:rsidRPr="2554E4E4">
        <w:rPr>
          <w:rFonts w:eastAsia="Book Antiqua" w:cs="Book Antiqua"/>
          <w:szCs w:val="26"/>
        </w:rPr>
        <w:t xml:space="preserve">associated with </w:t>
      </w:r>
      <w:r w:rsidR="000C7F41">
        <w:rPr>
          <w:rFonts w:eastAsia="Book Antiqua" w:cs="Book Antiqua"/>
          <w:szCs w:val="26"/>
        </w:rPr>
        <w:t xml:space="preserve">the programs in </w:t>
      </w:r>
      <w:r w:rsidRPr="2554E4E4">
        <w:rPr>
          <w:rFonts w:eastAsia="Book Antiqua" w:cs="Book Antiqua"/>
          <w:szCs w:val="26"/>
        </w:rPr>
        <w:t>its</w:t>
      </w:r>
      <w:r w:rsidR="000C7F41">
        <w:rPr>
          <w:rFonts w:eastAsia="Book Antiqua" w:cs="Book Antiqua"/>
          <w:szCs w:val="26"/>
        </w:rPr>
        <w:t xml:space="preserve"> most recent W</w:t>
      </w:r>
      <w:r w:rsidRPr="2554E4E4">
        <w:rPr>
          <w:rFonts w:eastAsia="Book Antiqua" w:cs="Book Antiqua"/>
          <w:szCs w:val="26"/>
        </w:rPr>
        <w:t xml:space="preserve">ildfire </w:t>
      </w:r>
      <w:r w:rsidR="000C7F41">
        <w:rPr>
          <w:rFonts w:eastAsia="Book Antiqua" w:cs="Book Antiqua"/>
          <w:szCs w:val="26"/>
        </w:rPr>
        <w:t>M</w:t>
      </w:r>
      <w:r w:rsidRPr="2554E4E4">
        <w:rPr>
          <w:rFonts w:eastAsia="Book Antiqua" w:cs="Book Antiqua"/>
          <w:szCs w:val="26"/>
        </w:rPr>
        <w:t xml:space="preserve">itigation </w:t>
      </w:r>
      <w:r w:rsidR="000C7F41">
        <w:rPr>
          <w:rFonts w:eastAsia="Book Antiqua" w:cs="Book Antiqua"/>
          <w:szCs w:val="26"/>
        </w:rPr>
        <w:t>P</w:t>
      </w:r>
      <w:r w:rsidRPr="2554E4E4">
        <w:rPr>
          <w:rFonts w:eastAsia="Book Antiqua" w:cs="Book Antiqua"/>
          <w:szCs w:val="26"/>
        </w:rPr>
        <w:t xml:space="preserve">lan for </w:t>
      </w:r>
      <w:r w:rsidR="000C7F41">
        <w:rPr>
          <w:rFonts w:eastAsia="Book Antiqua" w:cs="Book Antiqua"/>
          <w:szCs w:val="26"/>
        </w:rPr>
        <w:t xml:space="preserve"> the full</w:t>
      </w:r>
      <w:r w:rsidRPr="2554E4E4">
        <w:rPr>
          <w:rFonts w:eastAsia="Book Antiqua" w:cs="Book Antiqua"/>
          <w:szCs w:val="26"/>
        </w:rPr>
        <w:t xml:space="preserve"> GRC period. </w:t>
      </w:r>
    </w:p>
    <w:p w:rsidR="00C12BFF" w:rsidP="001A1FF1" w:rsidRDefault="00C12BFF" w14:paraId="0B91C3FF" w14:textId="78E01648">
      <w:pPr>
        <w:pStyle w:val="FoF"/>
      </w:pPr>
      <w:r w:rsidRPr="2554E4E4">
        <w:rPr>
          <w:rFonts w:eastAsia="Book Antiqua" w:cs="Book Antiqua"/>
          <w:szCs w:val="26"/>
        </w:rPr>
        <w:t xml:space="preserve">In </w:t>
      </w:r>
      <w:r>
        <w:rPr>
          <w:rFonts w:eastAsia="Book Antiqua" w:cs="Book Antiqua"/>
          <w:szCs w:val="26"/>
        </w:rPr>
        <w:t>its next</w:t>
      </w:r>
      <w:r w:rsidRPr="2554E4E4">
        <w:rPr>
          <w:rFonts w:eastAsia="Book Antiqua" w:cs="Book Antiqua"/>
          <w:szCs w:val="26"/>
        </w:rPr>
        <w:t xml:space="preserve"> </w:t>
      </w:r>
      <w:r>
        <w:rPr>
          <w:rFonts w:eastAsia="Book Antiqua" w:cs="Book Antiqua"/>
          <w:szCs w:val="26"/>
        </w:rPr>
        <w:t>G</w:t>
      </w:r>
      <w:r w:rsidRPr="2554E4E4">
        <w:rPr>
          <w:rFonts w:eastAsia="Book Antiqua" w:cs="Book Antiqua"/>
          <w:szCs w:val="26"/>
        </w:rPr>
        <w:t xml:space="preserve">eneral </w:t>
      </w:r>
      <w:r>
        <w:rPr>
          <w:rFonts w:eastAsia="Book Antiqua" w:cs="Book Antiqua"/>
          <w:szCs w:val="26"/>
        </w:rPr>
        <w:t>R</w:t>
      </w:r>
      <w:r w:rsidRPr="2554E4E4">
        <w:rPr>
          <w:rFonts w:eastAsia="Book Antiqua" w:cs="Book Antiqua"/>
          <w:szCs w:val="26"/>
        </w:rPr>
        <w:t xml:space="preserve">ate </w:t>
      </w:r>
      <w:r>
        <w:rPr>
          <w:rFonts w:eastAsia="Book Antiqua" w:cs="Book Antiqua"/>
          <w:szCs w:val="26"/>
        </w:rPr>
        <w:t>C</w:t>
      </w:r>
      <w:r w:rsidRPr="2554E4E4">
        <w:rPr>
          <w:rFonts w:eastAsia="Book Antiqua" w:cs="Book Antiqua"/>
          <w:szCs w:val="26"/>
        </w:rPr>
        <w:t>ase</w:t>
      </w:r>
      <w:r>
        <w:rPr>
          <w:rFonts w:eastAsia="Book Antiqua" w:cs="Book Antiqua"/>
          <w:szCs w:val="26"/>
        </w:rPr>
        <w:t xml:space="preserve"> (GRC)</w:t>
      </w:r>
      <w:r w:rsidRPr="2554E4E4">
        <w:rPr>
          <w:rFonts w:eastAsia="Book Antiqua" w:cs="Book Antiqua"/>
          <w:szCs w:val="26"/>
        </w:rPr>
        <w:t xml:space="preserve"> Application, PacifiCorp, doing business as Pacific Power, shall </w:t>
      </w:r>
      <w:r>
        <w:rPr>
          <w:rFonts w:eastAsia="Book Antiqua" w:cs="Book Antiqua"/>
          <w:szCs w:val="26"/>
        </w:rPr>
        <w:t>p</w:t>
      </w:r>
      <w:r>
        <w:t>roduce any additional spending and accrual data for any of the elapsed years between the year of its most recent depreciation study and the GRC base year that may not be reflected in its most recent depreciation study.</w:t>
      </w:r>
    </w:p>
    <w:p w:rsidR="4ED597DC" w:rsidP="001A1FF1" w:rsidRDefault="4ED597DC" w14:paraId="32A5239A" w14:textId="01416120">
      <w:pPr>
        <w:pStyle w:val="FoF"/>
        <w:rPr>
          <w:rFonts w:eastAsia="Book Antiqua" w:cs="Book Antiqua"/>
          <w:szCs w:val="26"/>
        </w:rPr>
      </w:pPr>
      <w:r w:rsidRPr="2554E4E4">
        <w:rPr>
          <w:rFonts w:eastAsia="Book Antiqua" w:cs="Book Antiqua"/>
          <w:szCs w:val="26"/>
        </w:rPr>
        <w:t xml:space="preserve">In </w:t>
      </w:r>
      <w:r w:rsidR="005C01B3">
        <w:rPr>
          <w:rFonts w:eastAsia="Book Antiqua" w:cs="Book Antiqua"/>
          <w:szCs w:val="26"/>
        </w:rPr>
        <w:t xml:space="preserve">its next General Rate Case </w:t>
      </w:r>
      <w:r w:rsidRPr="2554E4E4">
        <w:rPr>
          <w:rFonts w:eastAsia="Book Antiqua" w:cs="Book Antiqua"/>
          <w:szCs w:val="26"/>
        </w:rPr>
        <w:t>Application, PacifiCorp, doing business as Pacific Power, shall provide detailed documentation</w:t>
      </w:r>
      <w:r w:rsidR="001A1FF1">
        <w:rPr>
          <w:rFonts w:eastAsia="Book Antiqua" w:cs="Book Antiqua"/>
          <w:szCs w:val="26"/>
        </w:rPr>
        <w:t xml:space="preserve"> of its inputs and modeling functionality that underlies its forecasted</w:t>
      </w:r>
      <w:r w:rsidRPr="2554E4E4">
        <w:rPr>
          <w:rFonts w:eastAsia="Book Antiqua" w:cs="Book Antiqua"/>
          <w:szCs w:val="26"/>
        </w:rPr>
        <w:t xml:space="preserve"> timing and costs of its retirement plans for all coal facilities serving California customers.</w:t>
      </w:r>
    </w:p>
    <w:p w:rsidR="4ED597DC" w:rsidP="001A1FF1" w:rsidRDefault="4ED597DC" w14:paraId="71F83B00" w14:textId="2412DE4C">
      <w:pPr>
        <w:pStyle w:val="FoF"/>
        <w:rPr>
          <w:rFonts w:eastAsia="Book Antiqua" w:cs="Book Antiqua"/>
          <w:szCs w:val="26"/>
        </w:rPr>
      </w:pPr>
      <w:r w:rsidRPr="2554E4E4">
        <w:rPr>
          <w:rFonts w:eastAsia="Book Antiqua" w:cs="Book Antiqua"/>
          <w:szCs w:val="26"/>
        </w:rPr>
        <w:t>Application</w:t>
      </w:r>
      <w:r w:rsidR="00CF2358">
        <w:rPr>
          <w:rFonts w:eastAsia="Book Antiqua" w:cs="Book Antiqua"/>
          <w:szCs w:val="26"/>
        </w:rPr>
        <w:t> </w:t>
      </w:r>
      <w:r w:rsidRPr="2554E4E4">
        <w:rPr>
          <w:rFonts w:eastAsia="Book Antiqua" w:cs="Book Antiqua"/>
          <w:szCs w:val="26"/>
        </w:rPr>
        <w:t>22-05-006</w:t>
      </w:r>
      <w:r w:rsidRPr="2554E4E4">
        <w:t xml:space="preserve"> remains open to address Track 2 </w:t>
      </w:r>
      <w:r w:rsidR="006524F3">
        <w:t>the Wildfire Mitigation Memorandum Account-related</w:t>
      </w:r>
      <w:r w:rsidRPr="2554E4E4">
        <w:t xml:space="preserve"> issues defined in the Amended Scoping Memo and Ruling issued on October</w:t>
      </w:r>
      <w:r w:rsidR="00CF2358">
        <w:t> </w:t>
      </w:r>
      <w:r w:rsidRPr="2554E4E4">
        <w:t>5, 2023.</w:t>
      </w:r>
    </w:p>
    <w:p w:rsidR="008F0116" w:rsidP="00D2402A" w:rsidRDefault="008F0116" w14:paraId="381E8238" w14:textId="77777777">
      <w:pPr>
        <w:pStyle w:val="Standard"/>
        <w:keepNext/>
      </w:pPr>
      <w:r>
        <w:t>This order is effective today.</w:t>
      </w:r>
    </w:p>
    <w:p w:rsidR="00714CF2" w:rsidP="00D2402A" w:rsidRDefault="008F0116" w14:paraId="0576763D" w14:textId="0FD37FBA">
      <w:pPr>
        <w:pStyle w:val="Standard"/>
        <w:keepNext/>
      </w:pPr>
      <w:r>
        <w:t xml:space="preserve">Dated </w:t>
      </w:r>
      <w:r>
        <w:rPr>
          <w:u w:val="single"/>
        </w:rPr>
        <w:tab/>
      </w:r>
      <w:r>
        <w:rPr>
          <w:u w:val="single"/>
        </w:rPr>
        <w:tab/>
      </w:r>
      <w:r>
        <w:rPr>
          <w:u w:val="single"/>
        </w:rPr>
        <w:tab/>
      </w:r>
      <w:r>
        <w:rPr>
          <w:u w:val="single"/>
        </w:rPr>
        <w:tab/>
      </w:r>
      <w:r>
        <w:rPr>
          <w:u w:val="single"/>
        </w:rPr>
        <w:tab/>
      </w:r>
      <w:r>
        <w:t>, at San Francisco, California</w:t>
      </w:r>
      <w:r w:rsidR="00D2402A">
        <w:t>.</w:t>
      </w:r>
    </w:p>
    <w:p w:rsidR="00D2402A" w:rsidP="00D2402A" w:rsidRDefault="00D2402A" w14:paraId="177332D0" w14:textId="77777777">
      <w:pPr>
        <w:pStyle w:val="Standard"/>
        <w:keepNext/>
      </w:pPr>
    </w:p>
    <w:p w:rsidR="00D2402A" w:rsidP="00D2402A" w:rsidRDefault="00D2402A" w14:paraId="41B0C814" w14:textId="77777777">
      <w:pPr>
        <w:pStyle w:val="Standard"/>
        <w:keepNext/>
      </w:pPr>
    </w:p>
    <w:p w:rsidR="00D2402A" w:rsidP="00D2402A" w:rsidRDefault="00D2402A" w14:paraId="1A7AAF1A" w14:textId="77777777">
      <w:pPr>
        <w:pStyle w:val="Standard"/>
        <w:keepNext/>
      </w:pPr>
    </w:p>
    <w:sectPr w:rsidR="00D2402A" w:rsidSect="006A1B03">
      <w:headerReference w:type="default" r:id="rId12"/>
      <w:footerReference w:type="default" r:id="rId13"/>
      <w:pgSz w:w="12240" w:h="15840"/>
      <w:pgMar w:top="1728" w:right="1440" w:bottom="1440" w:left="1440" w:header="720" w:footer="720" w:gutter="0"/>
      <w:pgNumType w:start="2"/>
      <w:cols w:space="720"/>
      <w:docGrid w:linePitch="360"/>
    </w:sectPr>
    <w:p>
      <w:r>
        <w:t xml:space="preserve"/>
      </w:r>
    </w:p>
    <w:p>
      <w:r>
        <w:t xml:space="preserve">Attachment 1: </w:t>
      </w:r>
    </w:p>
    <w:p>
      <w:hyperlink w:history="true" r:id="R3fdb6521547e4074">
        <w:r w:rsidRPr="00CB1292">
          <w:rPr>
            <w:rStyle w:val="Hyperlink"/>
            <w:color w:val="2E74B5" w:themeColor="accent1" w:themeShade="BF"/>
            <w:u w:val="single"/>
          </w:rPr>
          <w:t>A2205006 Sisto PD Rev. 1 (redlined version)</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9022" w14:textId="77777777" w:rsidR="00335EC5" w:rsidRDefault="00335EC5" w:rsidP="0098138E">
      <w:pPr>
        <w:spacing w:line="240" w:lineRule="auto"/>
      </w:pPr>
      <w:r>
        <w:separator/>
      </w:r>
    </w:p>
  </w:endnote>
  <w:endnote w:type="continuationSeparator" w:id="0">
    <w:p w14:paraId="60191817" w14:textId="77777777" w:rsidR="00335EC5" w:rsidRDefault="00335EC5" w:rsidP="0098138E">
      <w:pPr>
        <w:spacing w:line="240" w:lineRule="auto"/>
      </w:pPr>
      <w:r>
        <w:continuationSeparator/>
      </w:r>
    </w:p>
  </w:endnote>
  <w:endnote w:type="continuationNotice" w:id="1">
    <w:p w14:paraId="40C76067" w14:textId="77777777" w:rsidR="00335EC5" w:rsidRDefault="00335E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7615" w14:textId="03D147F4" w:rsidR="006A1B03" w:rsidRPr="006A1B03" w:rsidRDefault="00A473E4" w:rsidP="00AB3D28">
    <w:pPr>
      <w:tabs>
        <w:tab w:val="center" w:pos="4680"/>
      </w:tabs>
      <w:spacing w:line="240" w:lineRule="auto"/>
      <w:ind w:firstLine="0"/>
      <w:rPr>
        <w:noProof/>
      </w:rPr>
    </w:pPr>
    <w:bookmarkStart w:id="1" w:name="_Hlk150415730"/>
    <w:r w:rsidRPr="00A473E4">
      <w:rPr>
        <w:sz w:val="16"/>
        <w:szCs w:val="16"/>
      </w:rPr>
      <w:t>521422496</w:t>
    </w:r>
    <w:bookmarkEnd w:id="1"/>
    <w:sdt>
      <w:sdtPr>
        <w:id w:val="-1352874971"/>
        <w:docPartObj>
          <w:docPartGallery w:val="Page Numbers (Bottom of Page)"/>
          <w:docPartUnique/>
        </w:docPartObj>
      </w:sdtPr>
      <w:sdtEndPr>
        <w:rPr>
          <w:noProof/>
        </w:rPr>
      </w:sdtEndPr>
      <w:sdtContent>
        <w:r w:rsidR="006A1B03">
          <w:rPr>
            <w:rFonts w:ascii="Arial" w:hAnsi="Arial" w:cs="Arial"/>
            <w:sz w:val="16"/>
            <w:szCs w:val="16"/>
          </w:rPr>
          <w:tab/>
        </w:r>
        <w:r w:rsidR="006A1B03">
          <w:t xml:space="preserve">- </w:t>
        </w:r>
        <w:r w:rsidR="006A1B03">
          <w:fldChar w:fldCharType="begin"/>
        </w:r>
        <w:r w:rsidR="006A1B03">
          <w:instrText xml:space="preserve"> PAGE   \* MERGEFORMAT </w:instrText>
        </w:r>
        <w:r w:rsidR="006A1B03">
          <w:fldChar w:fldCharType="separate"/>
        </w:r>
        <w:r w:rsidR="006A1B03">
          <w:t>1</w:t>
        </w:r>
        <w:r w:rsidR="006A1B03">
          <w:rPr>
            <w:noProof/>
          </w:rPr>
          <w:fldChar w:fldCharType="end"/>
        </w:r>
      </w:sdtContent>
    </w:sdt>
    <w:r w:rsidR="006A1B03">
      <w:rPr>
        <w:noProof/>
      </w:rPr>
      <w:t xml:space="preserve"> -</w:t>
    </w:r>
    <w:r w:rsidR="006A1B03" w:rsidRPr="006A1B03">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05BC" w14:textId="77777777" w:rsidR="00E23CBB" w:rsidRDefault="00E23CBB" w:rsidP="00AB3D28">
    <w:pPr>
      <w:spacing w:line="240" w:lineRule="auto"/>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C11F" w14:textId="065049F8" w:rsidR="006E7905" w:rsidRDefault="00E23CBB" w:rsidP="006A1B03">
    <w:pPr>
      <w:spacing w:line="240" w:lineRule="auto"/>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2C9BD" w14:textId="77777777" w:rsidR="00335EC5" w:rsidRDefault="00335EC5" w:rsidP="00DF58E7">
      <w:pPr>
        <w:spacing w:line="240" w:lineRule="auto"/>
        <w:ind w:firstLine="0"/>
      </w:pPr>
      <w:r>
        <w:separator/>
      </w:r>
    </w:p>
  </w:footnote>
  <w:footnote w:type="continuationSeparator" w:id="0">
    <w:p w14:paraId="42E55942" w14:textId="77777777" w:rsidR="00335EC5" w:rsidRDefault="00335EC5" w:rsidP="00DF58E7">
      <w:pPr>
        <w:spacing w:line="240" w:lineRule="auto"/>
        <w:ind w:firstLine="0"/>
      </w:pPr>
      <w:r>
        <w:continuationSeparator/>
      </w:r>
    </w:p>
  </w:footnote>
  <w:footnote w:type="continuationNotice" w:id="1">
    <w:p w14:paraId="12308E82" w14:textId="77777777" w:rsidR="00335EC5" w:rsidRPr="00DF58E7" w:rsidRDefault="00335EC5" w:rsidP="00DF58E7">
      <w:pPr>
        <w:spacing w:line="240" w:lineRule="auto"/>
        <w:ind w:firstLine="0"/>
        <w:jc w:val="right"/>
        <w:rPr>
          <w:i/>
          <w:sz w:val="22"/>
        </w:rPr>
      </w:pPr>
      <w:r w:rsidRPr="00DF58E7">
        <w:rPr>
          <w:i/>
          <w:sz w:val="22"/>
        </w:rPr>
        <w:t>Footnote continued on next page.</w:t>
      </w:r>
    </w:p>
  </w:footnote>
  <w:footnote w:id="2">
    <w:p w14:paraId="5AA339FD" w14:textId="020DD526" w:rsidR="0038158D" w:rsidRDefault="0038158D">
      <w:pPr>
        <w:pStyle w:val="FootnoteText"/>
      </w:pPr>
      <w:r>
        <w:rPr>
          <w:rStyle w:val="FootnoteReference"/>
        </w:rPr>
        <w:footnoteRef/>
      </w:r>
      <w:r>
        <w:t xml:space="preserve"> PacifiCorp Amended Application at 2.</w:t>
      </w:r>
    </w:p>
  </w:footnote>
  <w:footnote w:id="3">
    <w:p w14:paraId="6188B68C" w14:textId="335EACC6" w:rsidR="006306FD" w:rsidRDefault="006306FD">
      <w:pPr>
        <w:pStyle w:val="FootnoteText"/>
      </w:pPr>
      <w:r>
        <w:rPr>
          <w:rStyle w:val="FootnoteReference"/>
        </w:rPr>
        <w:footnoteRef/>
      </w:r>
      <w:r>
        <w:t xml:space="preserve"> </w:t>
      </w:r>
      <w:r w:rsidRPr="00241E3D">
        <w:rPr>
          <w:i/>
          <w:iCs/>
        </w:rPr>
        <w:t>See</w:t>
      </w:r>
      <w:r w:rsidRPr="006306FD">
        <w:t xml:space="preserve"> </w:t>
      </w:r>
      <w:r w:rsidR="0074081A">
        <w:t>D</w:t>
      </w:r>
      <w:r w:rsidRPr="006306FD">
        <w:t>ecisions</w:t>
      </w:r>
      <w:r>
        <w:t xml:space="preserve"> (D.)</w:t>
      </w:r>
      <w:r w:rsidRPr="006306FD">
        <w:t xml:space="preserve"> D.12-10-006, D.13-07-026, D.14-06-018, D.15-12-018, D.16-09-046</w:t>
      </w:r>
      <w:r w:rsidR="00454861">
        <w:t>, and D.20</w:t>
      </w:r>
      <w:r w:rsidR="00241E3D">
        <w:noBreakHyphen/>
      </w:r>
      <w:r w:rsidR="00454861">
        <w:t>02</w:t>
      </w:r>
      <w:r w:rsidR="00241E3D">
        <w:noBreakHyphen/>
      </w:r>
      <w:r w:rsidR="00454861">
        <w:t>025</w:t>
      </w:r>
      <w:r w:rsidRPr="006306FD">
        <w:t>.</w:t>
      </w:r>
    </w:p>
  </w:footnote>
  <w:footnote w:id="4">
    <w:p w14:paraId="05BA06D0" w14:textId="1DA255C4" w:rsidR="006153F7" w:rsidRDefault="006153F7">
      <w:pPr>
        <w:pStyle w:val="FootnoteText"/>
      </w:pPr>
      <w:r>
        <w:rPr>
          <w:rStyle w:val="FootnoteReference"/>
        </w:rPr>
        <w:footnoteRef/>
      </w:r>
      <w:r>
        <w:t xml:space="preserve"> D.22-11-001 </w:t>
      </w:r>
      <w:r w:rsidRPr="006153F7">
        <w:t>grant</w:t>
      </w:r>
      <w:r>
        <w:t>ed</w:t>
      </w:r>
      <w:r w:rsidRPr="006153F7">
        <w:t xml:space="preserve"> PacifiCorp’s request to implement the GRC RRMA via a Tier 1 </w:t>
      </w:r>
      <w:r w:rsidR="00A934CD">
        <w:t xml:space="preserve">AL </w:t>
      </w:r>
      <w:r w:rsidRPr="006153F7">
        <w:t xml:space="preserve"> specify</w:t>
      </w:r>
      <w:r>
        <w:t>ing</w:t>
      </w:r>
      <w:r w:rsidRPr="006153F7">
        <w:t xml:space="preserve"> its accounting methodology, </w:t>
      </w:r>
      <w:r>
        <w:t xml:space="preserve">and directed </w:t>
      </w:r>
      <w:r w:rsidRPr="006153F7">
        <w:t>PacifiCorp is to use the Federal Reserve three-month commercial paper rate to accrue interest on any balance beginning January</w:t>
      </w:r>
      <w:r w:rsidR="00964257">
        <w:t> </w:t>
      </w:r>
      <w:r w:rsidRPr="006153F7">
        <w:t>1, 2023</w:t>
      </w:r>
      <w:r>
        <w:t>,</w:t>
      </w:r>
      <w:r w:rsidRPr="006153F7">
        <w:t xml:space="preserve"> in its GRC RRMA. </w:t>
      </w:r>
      <w:r w:rsidRPr="006153F7">
        <w:rPr>
          <w:i/>
          <w:iCs/>
        </w:rPr>
        <w:t>See</w:t>
      </w:r>
      <w:r w:rsidRPr="006153F7">
        <w:t xml:space="preserve"> Federal Reserve three-month Commercial Paper Rate – Non-Financing, </w:t>
      </w:r>
      <w:r>
        <w:t>as issued by t</w:t>
      </w:r>
      <w:r w:rsidRPr="006153F7">
        <w:t>he Federal Reserve Statistical Release H.15 or its successor.</w:t>
      </w:r>
    </w:p>
  </w:footnote>
  <w:footnote w:id="5">
    <w:p w14:paraId="5B209647" w14:textId="0F0898B5" w:rsidR="00564826" w:rsidRDefault="00564826">
      <w:pPr>
        <w:pStyle w:val="FootnoteText"/>
      </w:pPr>
      <w:r>
        <w:rPr>
          <w:rStyle w:val="FootnoteReference"/>
        </w:rPr>
        <w:footnoteRef/>
      </w:r>
      <w:r>
        <w:t xml:space="preserve"> All references to code herein refer to the California Public Utilities Code</w:t>
      </w:r>
      <w:r w:rsidR="000C420A">
        <w:t>. §454 states, in part, that “</w:t>
      </w:r>
      <w:r w:rsidR="000C420A" w:rsidRPr="000C420A">
        <w:t>public utility shall not change any rate or so alter any classification, contract, practice or rule as to the result in any new rate, except upon a showing before the Commission and a finding by the Commission that the new rate is justified</w:t>
      </w:r>
      <w:r w:rsidR="000C420A">
        <w:t>.”</w:t>
      </w:r>
    </w:p>
  </w:footnote>
  <w:footnote w:id="6">
    <w:p w14:paraId="3C3A2AF5" w14:textId="29E00F3F" w:rsidR="005338D5" w:rsidRDefault="005338D5">
      <w:pPr>
        <w:pStyle w:val="FootnoteText"/>
      </w:pPr>
      <w:r>
        <w:rPr>
          <w:rStyle w:val="FootnoteReference"/>
        </w:rPr>
        <w:footnoteRef/>
      </w:r>
      <w:r>
        <w:t xml:space="preserve"> PacifiCorp Results of Operations Model, “CA GRC JAM Dec 2023 Test Period,” and Exhibit</w:t>
      </w:r>
      <w:r w:rsidR="00964257">
        <w:t> </w:t>
      </w:r>
      <w:r>
        <w:t>PAC/900 at 4.</w:t>
      </w:r>
    </w:p>
  </w:footnote>
  <w:footnote w:id="7">
    <w:p w14:paraId="152B9BDB" w14:textId="5EA36316" w:rsidR="000926BF" w:rsidRDefault="000926BF">
      <w:pPr>
        <w:pStyle w:val="FootnoteText"/>
      </w:pPr>
      <w:r>
        <w:rPr>
          <w:rStyle w:val="FootnoteReference"/>
        </w:rPr>
        <w:footnoteRef/>
      </w:r>
      <w:r>
        <w:t xml:space="preserve"> Exhibit PAC/900 at 11.</w:t>
      </w:r>
    </w:p>
  </w:footnote>
  <w:footnote w:id="8">
    <w:p w14:paraId="3698B6AD" w14:textId="3C13D8DC" w:rsidR="005338D5" w:rsidRDefault="005338D5">
      <w:pPr>
        <w:pStyle w:val="FootnoteText"/>
      </w:pPr>
      <w:r>
        <w:rPr>
          <w:rStyle w:val="FootnoteReference"/>
        </w:rPr>
        <w:footnoteRef/>
      </w:r>
      <w:r>
        <w:t xml:space="preserve"> </w:t>
      </w:r>
      <w:r w:rsidR="00F3082E">
        <w:t>Exhibit Cal Advocates-03 at 3</w:t>
      </w:r>
      <w:r w:rsidR="000926BF">
        <w:t>.</w:t>
      </w:r>
    </w:p>
  </w:footnote>
  <w:footnote w:id="9">
    <w:p w14:paraId="775AC6AC" w14:textId="688569C9" w:rsidR="00DB497F" w:rsidRDefault="00DB497F">
      <w:pPr>
        <w:pStyle w:val="FootnoteText"/>
      </w:pPr>
      <w:r>
        <w:rPr>
          <w:rStyle w:val="FootnoteReference"/>
        </w:rPr>
        <w:footnoteRef/>
      </w:r>
      <w:r>
        <w:t xml:space="preserve"> Exhibit CA-03 and CA-03-WP.</w:t>
      </w:r>
    </w:p>
  </w:footnote>
  <w:footnote w:id="10">
    <w:p w14:paraId="6068FED1" w14:textId="26A5BD23" w:rsidR="009722C6" w:rsidRDefault="009722C6">
      <w:pPr>
        <w:pStyle w:val="FootnoteText"/>
      </w:pPr>
      <w:r>
        <w:rPr>
          <w:rStyle w:val="FootnoteReference"/>
        </w:rPr>
        <w:footnoteRef/>
      </w:r>
      <w:r>
        <w:t xml:space="preserve"> </w:t>
      </w:r>
      <w:r w:rsidR="00D5298F">
        <w:t xml:space="preserve">Exhibit </w:t>
      </w:r>
      <w:r>
        <w:t>PAC/100 at 16.</w:t>
      </w:r>
    </w:p>
  </w:footnote>
  <w:footnote w:id="11">
    <w:p w14:paraId="7FF43F46" w14:textId="68E2E6D2" w:rsidR="003A59CA" w:rsidRDefault="003A59CA">
      <w:pPr>
        <w:pStyle w:val="FootnoteText"/>
      </w:pPr>
      <w:r>
        <w:rPr>
          <w:rStyle w:val="FootnoteReference"/>
        </w:rPr>
        <w:footnoteRef/>
      </w:r>
      <w:r>
        <w:t xml:space="preserve"> </w:t>
      </w:r>
      <w:r w:rsidR="00D5298F">
        <w:t xml:space="preserve">Exhibit </w:t>
      </w:r>
      <w:r>
        <w:t>PAC/100 at 16.</w:t>
      </w:r>
    </w:p>
  </w:footnote>
  <w:footnote w:id="12">
    <w:p w14:paraId="077CC78F" w14:textId="2D532D48" w:rsidR="00286FD9" w:rsidRDefault="00286FD9">
      <w:pPr>
        <w:pStyle w:val="FootnoteText"/>
      </w:pPr>
      <w:r>
        <w:rPr>
          <w:rStyle w:val="FootnoteReference"/>
        </w:rPr>
        <w:footnoteRef/>
      </w:r>
      <w:r>
        <w:t xml:space="preserve"> </w:t>
      </w:r>
      <w:r w:rsidR="00D5298F">
        <w:t xml:space="preserve">Exhibit </w:t>
      </w:r>
      <w:r>
        <w:t>PAC/1200 at 1-2.</w:t>
      </w:r>
    </w:p>
  </w:footnote>
  <w:footnote w:id="13">
    <w:p w14:paraId="2CD5D97A" w14:textId="7CE94877" w:rsidR="00D5298F" w:rsidRDefault="00D5298F">
      <w:pPr>
        <w:pStyle w:val="FootnoteText"/>
      </w:pPr>
      <w:r>
        <w:rPr>
          <w:rStyle w:val="FootnoteReference"/>
        </w:rPr>
        <w:footnoteRef/>
      </w:r>
      <w:r>
        <w:t xml:space="preserve"> Exhibit PAC/1200 at 5</w:t>
      </w:r>
      <w:r w:rsidR="0074081A">
        <w:t>.</w:t>
      </w:r>
    </w:p>
  </w:footnote>
  <w:footnote w:id="14">
    <w:p w14:paraId="6592EBF8" w14:textId="76154FDA" w:rsidR="004A3E9B" w:rsidRDefault="004A3E9B">
      <w:pPr>
        <w:pStyle w:val="FootnoteText"/>
      </w:pPr>
      <w:r>
        <w:rPr>
          <w:rStyle w:val="FootnoteReference"/>
        </w:rPr>
        <w:footnoteRef/>
      </w:r>
      <w:r>
        <w:t xml:space="preserve"> D.19-04-020 Attachment B</w:t>
      </w:r>
      <w:r w:rsidR="0074081A">
        <w:t>.</w:t>
      </w:r>
    </w:p>
  </w:footnote>
  <w:footnote w:id="15">
    <w:p w14:paraId="0BCE2E7F" w14:textId="2AA54227" w:rsidR="00B466C8" w:rsidRDefault="00B466C8">
      <w:pPr>
        <w:pStyle w:val="FootnoteText"/>
      </w:pPr>
      <w:r>
        <w:rPr>
          <w:rStyle w:val="FootnoteReference"/>
        </w:rPr>
        <w:footnoteRef/>
      </w:r>
      <w:r>
        <w:t xml:space="preserve"> Exhibit PAC/1900 at 2</w:t>
      </w:r>
      <w:r w:rsidR="0074081A">
        <w:t>.</w:t>
      </w:r>
    </w:p>
  </w:footnote>
  <w:footnote w:id="16">
    <w:p w14:paraId="4DCCE057" w14:textId="63D50DD7" w:rsidR="00B466C8" w:rsidRDefault="00B466C8">
      <w:pPr>
        <w:pStyle w:val="FootnoteText"/>
      </w:pPr>
      <w:r>
        <w:rPr>
          <w:rStyle w:val="FootnoteReference"/>
        </w:rPr>
        <w:footnoteRef/>
      </w:r>
      <w:r>
        <w:t xml:space="preserve"> Exhibit PAC/1900 at 2</w:t>
      </w:r>
      <w:r w:rsidR="0074081A">
        <w:t>.</w:t>
      </w:r>
    </w:p>
  </w:footnote>
  <w:footnote w:id="17">
    <w:p w14:paraId="3DE7C285" w14:textId="20E791A2" w:rsidR="00CE2E8A" w:rsidRDefault="00CE2E8A">
      <w:pPr>
        <w:pStyle w:val="FootnoteText"/>
      </w:pPr>
      <w:r>
        <w:rPr>
          <w:rStyle w:val="FootnoteReference"/>
        </w:rPr>
        <w:footnoteRef/>
      </w:r>
      <w:r>
        <w:t xml:space="preserve"> Exhibit PAC/1200 at 11</w:t>
      </w:r>
      <w:r w:rsidR="0074081A">
        <w:t>.</w:t>
      </w:r>
    </w:p>
  </w:footnote>
  <w:footnote w:id="18">
    <w:p w14:paraId="6BEE95FA" w14:textId="36267806" w:rsidR="00AB482D" w:rsidRDefault="00AB482D">
      <w:pPr>
        <w:pStyle w:val="FootnoteText"/>
      </w:pPr>
      <w:r>
        <w:rPr>
          <w:rStyle w:val="FootnoteReference"/>
        </w:rPr>
        <w:footnoteRef/>
      </w:r>
      <w:r>
        <w:t xml:space="preserve"> Exhibit PAC/300C at 3-4.</w:t>
      </w:r>
    </w:p>
  </w:footnote>
  <w:footnote w:id="19">
    <w:p w14:paraId="33BE42F2" w14:textId="7741E621" w:rsidR="00A43621" w:rsidRDefault="00A43621">
      <w:pPr>
        <w:pStyle w:val="FootnoteText"/>
      </w:pPr>
      <w:r w:rsidRPr="001B372A">
        <w:rPr>
          <w:rStyle w:val="FootnoteReference"/>
        </w:rPr>
        <w:footnoteRef/>
      </w:r>
      <w:r w:rsidRPr="001B372A">
        <w:t xml:space="preserve"> </w:t>
      </w:r>
      <w:r w:rsidRPr="0096620E">
        <w:t>PacifiCorp Reply at 43.</w:t>
      </w:r>
    </w:p>
  </w:footnote>
  <w:footnote w:id="20">
    <w:p w14:paraId="5704C59E" w14:textId="6AD69BE6" w:rsidR="00A43621" w:rsidRDefault="00A43621">
      <w:pPr>
        <w:pStyle w:val="FootnoteText"/>
      </w:pPr>
      <w:r>
        <w:rPr>
          <w:rStyle w:val="FootnoteReference"/>
        </w:rPr>
        <w:footnoteRef/>
      </w:r>
      <w:r>
        <w:t xml:space="preserve"> </w:t>
      </w:r>
      <w:r w:rsidR="00524502">
        <w:t>CFBF Reply Brief</w:t>
      </w:r>
      <w:r>
        <w:t xml:space="preserve"> at 7.</w:t>
      </w:r>
    </w:p>
  </w:footnote>
  <w:footnote w:id="21">
    <w:p w14:paraId="1293CFC1" w14:textId="52170238" w:rsidR="002530DE" w:rsidRDefault="002530DE">
      <w:pPr>
        <w:pStyle w:val="FootnoteText"/>
      </w:pPr>
      <w:r>
        <w:rPr>
          <w:rStyle w:val="FootnoteReference"/>
        </w:rPr>
        <w:footnoteRef/>
      </w:r>
      <w:r>
        <w:t xml:space="preserve"> The </w:t>
      </w:r>
      <w:r w:rsidR="002F0A8F">
        <w:t xml:space="preserve">balances of PacifiCorp’s </w:t>
      </w:r>
      <w:r>
        <w:t xml:space="preserve">Wildfire Mitigation Memorandum Accounts to be more fully addressed in Track 2 are </w:t>
      </w:r>
      <w:r w:rsidR="002F0A8F">
        <w:t xml:space="preserve">tracked in </w:t>
      </w:r>
      <w:r>
        <w:t>PacifiCorp’s Fire Risk Mitigation Memorandum Account (FRMMA), the Wildfire Mitigation</w:t>
      </w:r>
      <w:r>
        <w:rPr>
          <w:spacing w:val="-5"/>
        </w:rPr>
        <w:t xml:space="preserve"> </w:t>
      </w:r>
      <w:r>
        <w:t>Plan</w:t>
      </w:r>
      <w:r>
        <w:rPr>
          <w:spacing w:val="-6"/>
        </w:rPr>
        <w:t xml:space="preserve"> </w:t>
      </w:r>
      <w:r>
        <w:t>Memorandum</w:t>
      </w:r>
      <w:r>
        <w:rPr>
          <w:spacing w:val="-5"/>
        </w:rPr>
        <w:t xml:space="preserve"> </w:t>
      </w:r>
      <w:r>
        <w:t>Account</w:t>
      </w:r>
      <w:r>
        <w:rPr>
          <w:spacing w:val="-6"/>
        </w:rPr>
        <w:t xml:space="preserve"> </w:t>
      </w:r>
      <w:r>
        <w:t>(WMPMA),</w:t>
      </w:r>
      <w:r>
        <w:rPr>
          <w:spacing w:val="-5"/>
        </w:rPr>
        <w:t xml:space="preserve"> </w:t>
      </w:r>
      <w:r>
        <w:t>and</w:t>
      </w:r>
      <w:r>
        <w:rPr>
          <w:spacing w:val="-5"/>
        </w:rPr>
        <w:t xml:space="preserve"> </w:t>
      </w:r>
      <w:r>
        <w:t>the</w:t>
      </w:r>
      <w:r>
        <w:rPr>
          <w:spacing w:val="-5"/>
        </w:rPr>
        <w:t xml:space="preserve"> </w:t>
      </w:r>
      <w:r>
        <w:t>Fire</w:t>
      </w:r>
      <w:r>
        <w:rPr>
          <w:spacing w:val="-6"/>
        </w:rPr>
        <w:t xml:space="preserve"> </w:t>
      </w:r>
      <w:r>
        <w:t>Hazard Prevention Memorandum Account (FHPMA).</w:t>
      </w:r>
    </w:p>
  </w:footnote>
  <w:footnote w:id="22">
    <w:p w14:paraId="12BAC2E9" w14:textId="3450FF60" w:rsidR="0098407B" w:rsidRDefault="0098407B">
      <w:pPr>
        <w:pStyle w:val="FootnoteText"/>
      </w:pPr>
      <w:r>
        <w:rPr>
          <w:rStyle w:val="FootnoteReference"/>
        </w:rPr>
        <w:footnoteRef/>
      </w:r>
      <w:r>
        <w:t xml:space="preserve"> The Commission directed PacifiCorp to file a GRC every three years in D.07-07-004.</w:t>
      </w:r>
    </w:p>
  </w:footnote>
  <w:footnote w:id="23">
    <w:p w14:paraId="5EE9A9B7" w14:textId="57BCF376" w:rsidR="007855F8" w:rsidRDefault="007855F8">
      <w:pPr>
        <w:pStyle w:val="FootnoteText"/>
      </w:pPr>
      <w:r>
        <w:rPr>
          <w:rStyle w:val="FootnoteReference"/>
        </w:rPr>
        <w:footnoteRef/>
      </w:r>
      <w:r>
        <w:t xml:space="preserve"> </w:t>
      </w:r>
      <w:r w:rsidR="0060673D">
        <w:t>CFBF</w:t>
      </w:r>
      <w:r>
        <w:t xml:space="preserve"> Opening Brief at 18.</w:t>
      </w:r>
    </w:p>
  </w:footnote>
  <w:footnote w:id="24">
    <w:p w14:paraId="22886E09" w14:textId="51732FD7" w:rsidR="00EE1AFE" w:rsidRDefault="00EE1AFE">
      <w:pPr>
        <w:pStyle w:val="FootnoteText"/>
      </w:pPr>
      <w:r>
        <w:rPr>
          <w:rStyle w:val="FootnoteReference"/>
        </w:rPr>
        <w:footnoteRef/>
      </w:r>
      <w:r>
        <w:t xml:space="preserve"> Exhibit</w:t>
      </w:r>
      <w:r w:rsidR="00F24878">
        <w:t>s</w:t>
      </w:r>
      <w:r>
        <w:t xml:space="preserve"> PAC/2000 at 2 and</w:t>
      </w:r>
      <w:r w:rsidR="00B146A6">
        <w:t xml:space="preserve"> PAC/</w:t>
      </w:r>
      <w:r>
        <w:t>2</w:t>
      </w:r>
      <w:r w:rsidR="00DD4BBF">
        <w:t>100-2101</w:t>
      </w:r>
      <w:r>
        <w:t>.</w:t>
      </w:r>
    </w:p>
  </w:footnote>
  <w:footnote w:id="25">
    <w:p w14:paraId="0DE0701C" w14:textId="0F75023B" w:rsidR="00F24878" w:rsidRDefault="00F24878">
      <w:pPr>
        <w:pStyle w:val="FootnoteText"/>
      </w:pPr>
      <w:r>
        <w:rPr>
          <w:rStyle w:val="FootnoteReference"/>
        </w:rPr>
        <w:footnoteRef/>
      </w:r>
      <w:r>
        <w:t xml:space="preserve"> Exhibits PAC/2200 at 2 and 2201-2205.</w:t>
      </w:r>
    </w:p>
  </w:footnote>
  <w:footnote w:id="26">
    <w:p w14:paraId="2EA9D81D" w14:textId="2818EE53" w:rsidR="005463D1" w:rsidRDefault="005463D1">
      <w:pPr>
        <w:pStyle w:val="FootnoteText"/>
      </w:pPr>
      <w:r>
        <w:rPr>
          <w:rStyle w:val="FootnoteReference"/>
        </w:rPr>
        <w:footnoteRef/>
      </w:r>
      <w:r>
        <w:t xml:space="preserve"> </w:t>
      </w:r>
      <w:r>
        <w:rPr>
          <w:szCs w:val="22"/>
        </w:rPr>
        <w:t>Exhibit PAC/1300 at 2</w:t>
      </w:r>
      <w:r w:rsidR="00C01032">
        <w:rPr>
          <w:szCs w:val="22"/>
        </w:rPr>
        <w:t xml:space="preserve"> and </w:t>
      </w:r>
      <w:r w:rsidR="00C01032" w:rsidRPr="00C01032">
        <w:rPr>
          <w:szCs w:val="22"/>
        </w:rPr>
        <w:t xml:space="preserve">Exhibit JRW-1 </w:t>
      </w:r>
      <w:r w:rsidR="00C01032">
        <w:rPr>
          <w:szCs w:val="22"/>
        </w:rPr>
        <w:t>at</w:t>
      </w:r>
      <w:r w:rsidR="00C01032" w:rsidRPr="00C01032">
        <w:rPr>
          <w:szCs w:val="22"/>
        </w:rPr>
        <w:t xml:space="preserve"> 3</w:t>
      </w:r>
      <w:r w:rsidR="00C01032">
        <w:rPr>
          <w:szCs w:val="22"/>
        </w:rPr>
        <w:t>.</w:t>
      </w:r>
    </w:p>
  </w:footnote>
  <w:footnote w:id="27">
    <w:p w14:paraId="6918FE39" w14:textId="2F2B0DAA" w:rsidR="005463D1" w:rsidRDefault="005463D1">
      <w:pPr>
        <w:pStyle w:val="FootnoteText"/>
      </w:pPr>
      <w:r>
        <w:rPr>
          <w:rStyle w:val="FootnoteReference"/>
        </w:rPr>
        <w:footnoteRef/>
      </w:r>
      <w:r>
        <w:t xml:space="preserve"> </w:t>
      </w:r>
      <w:r w:rsidR="00C01032">
        <w:t xml:space="preserve">Exhibit </w:t>
      </w:r>
      <w:r w:rsidR="00524502">
        <w:t>CA-02</w:t>
      </w:r>
      <w:r w:rsidR="0074081A">
        <w:t xml:space="preserve"> </w:t>
      </w:r>
      <w:r w:rsidR="00C01032">
        <w:t>at 90</w:t>
      </w:r>
      <w:r w:rsidR="00876DAA">
        <w:t>.</w:t>
      </w:r>
    </w:p>
  </w:footnote>
  <w:footnote w:id="28">
    <w:p w14:paraId="7B86C5DE" w14:textId="24587D5F" w:rsidR="00074BBB" w:rsidRDefault="00074BBB">
      <w:pPr>
        <w:pStyle w:val="FootnoteText"/>
      </w:pPr>
      <w:r>
        <w:rPr>
          <w:rStyle w:val="FootnoteReference"/>
        </w:rPr>
        <w:footnoteRef/>
      </w:r>
      <w:r>
        <w:t xml:space="preserve"> </w:t>
      </w:r>
      <w:r w:rsidR="008122C4">
        <w:t>The Commission has recently reduced the ROEs for the large electric IOUs in TY</w:t>
      </w:r>
      <w:r w:rsidR="00FB6536">
        <w:t> </w:t>
      </w:r>
      <w:r w:rsidR="008122C4">
        <w:t>2023</w:t>
      </w:r>
      <w:r w:rsidR="00CF2AF9">
        <w:t>.</w:t>
      </w:r>
      <w:r w:rsidR="008122C4">
        <w:t xml:space="preserve"> </w:t>
      </w:r>
      <w:r w:rsidR="00CF2AF9">
        <w:t xml:space="preserve"> </w:t>
      </w:r>
      <w:r w:rsidR="008122C4">
        <w:rPr>
          <w:i/>
          <w:iCs/>
        </w:rPr>
        <w:t xml:space="preserve">See </w:t>
      </w:r>
      <w:r w:rsidR="008122C4">
        <w:t>D.22-12-031, as corrected by D.23-01-002</w:t>
      </w:r>
      <w:r w:rsidR="00802DC8">
        <w:t xml:space="preserve"> and upheld by D.23-08-024</w:t>
      </w:r>
      <w:r w:rsidR="008122C4">
        <w:t>. For example, PG&amp;E</w:t>
      </w:r>
      <w:r w:rsidR="002733C6">
        <w:t>’s ROE</w:t>
      </w:r>
      <w:r w:rsidR="008122C4">
        <w:t xml:space="preserve"> is 10.0</w:t>
      </w:r>
      <w:r w:rsidR="00730ADE">
        <w:t> percent</w:t>
      </w:r>
      <w:r w:rsidR="008122C4">
        <w:t xml:space="preserve"> for TY</w:t>
      </w:r>
      <w:r w:rsidR="00CF2AF9">
        <w:t> </w:t>
      </w:r>
      <w:r w:rsidR="008122C4">
        <w:t>2023, down from 10.</w:t>
      </w:r>
      <w:r w:rsidR="002733C6">
        <w:t>2</w:t>
      </w:r>
      <w:r w:rsidR="008122C4">
        <w:t>5</w:t>
      </w:r>
      <w:r w:rsidR="00730ADE">
        <w:t> percent</w:t>
      </w:r>
      <w:r w:rsidR="002733C6">
        <w:t xml:space="preserve"> in 2022</w:t>
      </w:r>
      <w:r w:rsidR="008122C4">
        <w:t>.</w:t>
      </w:r>
    </w:p>
  </w:footnote>
  <w:footnote w:id="29">
    <w:p w14:paraId="70FE0B60" w14:textId="77777777" w:rsidR="002733C6" w:rsidRDefault="002733C6" w:rsidP="002733C6">
      <w:pPr>
        <w:pStyle w:val="FootnoteText"/>
      </w:pPr>
      <w:r>
        <w:rPr>
          <w:rStyle w:val="FootnoteReference"/>
        </w:rPr>
        <w:footnoteRef/>
      </w:r>
      <w:r>
        <w:t xml:space="preserve"> Cal Advocates Opening Brief at 22.</w:t>
      </w:r>
    </w:p>
  </w:footnote>
  <w:footnote w:id="30">
    <w:p w14:paraId="3E86CD20" w14:textId="21B80FBF" w:rsidR="00074BBB" w:rsidRDefault="00074BBB">
      <w:pPr>
        <w:pStyle w:val="FootnoteText"/>
      </w:pPr>
      <w:r>
        <w:rPr>
          <w:rStyle w:val="FootnoteReference"/>
        </w:rPr>
        <w:footnoteRef/>
      </w:r>
      <w:r>
        <w:t xml:space="preserve"> CFBF</w:t>
      </w:r>
      <w:r w:rsidR="00524502">
        <w:t xml:space="preserve"> Opening Brief</w:t>
      </w:r>
      <w:r>
        <w:t xml:space="preserve"> at 4</w:t>
      </w:r>
      <w:r w:rsidR="00AF616C">
        <w:t xml:space="preserve"> and CFBF Opening Comments on the Proposed Decision at 4-5.</w:t>
      </w:r>
    </w:p>
  </w:footnote>
  <w:footnote w:id="31">
    <w:p w14:paraId="43062085" w14:textId="0C98A473" w:rsidR="00247AC1" w:rsidRDefault="00247AC1">
      <w:pPr>
        <w:pStyle w:val="FootnoteText"/>
      </w:pPr>
      <w:r>
        <w:rPr>
          <w:rStyle w:val="FootnoteReference"/>
        </w:rPr>
        <w:footnoteRef/>
      </w:r>
      <w:r>
        <w:t xml:space="preserve"> CFBF</w:t>
      </w:r>
      <w:r w:rsidR="00524502">
        <w:t xml:space="preserve"> Opening Brief</w:t>
      </w:r>
      <w:r>
        <w:t xml:space="preserve"> at 4-6.</w:t>
      </w:r>
    </w:p>
  </w:footnote>
  <w:footnote w:id="32">
    <w:p w14:paraId="79504FC7" w14:textId="2D40D5D3" w:rsidR="009B7415" w:rsidRDefault="009B7415">
      <w:pPr>
        <w:pStyle w:val="FootnoteText"/>
      </w:pPr>
      <w:r>
        <w:rPr>
          <w:rStyle w:val="FootnoteReference"/>
        </w:rPr>
        <w:footnoteRef/>
      </w:r>
      <w:r>
        <w:t xml:space="preserve"> Exhibit CFB</w:t>
      </w:r>
      <w:r w:rsidR="0060673D">
        <w:t>F</w:t>
      </w:r>
      <w:r w:rsidR="00524502">
        <w:t>/</w:t>
      </w:r>
      <w:r>
        <w:t>100 at 5-10.</w:t>
      </w:r>
    </w:p>
  </w:footnote>
  <w:footnote w:id="33">
    <w:p w14:paraId="39433A14" w14:textId="5A9FC1D4" w:rsidR="00AA5CCC" w:rsidRDefault="00AA5CCC">
      <w:pPr>
        <w:pStyle w:val="FootnoteText"/>
      </w:pPr>
      <w:r>
        <w:rPr>
          <w:rStyle w:val="FootnoteReference"/>
        </w:rPr>
        <w:footnoteRef/>
      </w:r>
      <w:r>
        <w:t xml:space="preserve"> PAC</w:t>
      </w:r>
      <w:r w:rsidR="002733C6">
        <w:t xml:space="preserve"> Opening Brief</w:t>
      </w:r>
      <w:r>
        <w:t xml:space="preserve"> at 15-16.</w:t>
      </w:r>
    </w:p>
  </w:footnote>
  <w:footnote w:id="34">
    <w:p w14:paraId="01F7BF97" w14:textId="6CF3A394" w:rsidR="002733C6" w:rsidRDefault="002733C6" w:rsidP="002733C6">
      <w:pPr>
        <w:pStyle w:val="FootnoteText"/>
      </w:pPr>
      <w:r>
        <w:rPr>
          <w:rStyle w:val="FootnoteReference"/>
        </w:rPr>
        <w:footnoteRef/>
      </w:r>
      <w:r>
        <w:t xml:space="preserve"> The Commission recently adopted equity ratios of 52 percent for the large electric IOUs in TY 2023. </w:t>
      </w:r>
      <w:r>
        <w:rPr>
          <w:i/>
          <w:iCs/>
        </w:rPr>
        <w:t xml:space="preserve">See </w:t>
      </w:r>
      <w:r>
        <w:t>D.22-12-031, as corrected by D.23-01-002 and upheld by D.23-08-024.</w:t>
      </w:r>
    </w:p>
  </w:footnote>
  <w:footnote w:id="35">
    <w:p w14:paraId="3C455D9B" w14:textId="07FEE2B9" w:rsidR="005B5313" w:rsidRDefault="005B5313" w:rsidP="005B5313">
      <w:pPr>
        <w:pStyle w:val="FootnoteText"/>
      </w:pPr>
      <w:r>
        <w:rPr>
          <w:rStyle w:val="FootnoteReference"/>
        </w:rPr>
        <w:footnoteRef/>
      </w:r>
      <w:r>
        <w:t xml:space="preserve"> Exhibit PAC/200 at 52 and </w:t>
      </w:r>
      <w:r w:rsidR="00752581">
        <w:t>PacifiCorp O</w:t>
      </w:r>
      <w:r>
        <w:t xml:space="preserve">pening </w:t>
      </w:r>
      <w:r w:rsidR="00752581">
        <w:t>B</w:t>
      </w:r>
      <w:r>
        <w:t>rief at 24-25.</w:t>
      </w:r>
    </w:p>
  </w:footnote>
  <w:footnote w:id="36">
    <w:p w14:paraId="66E8C058" w14:textId="32481332" w:rsidR="00F046BF" w:rsidRDefault="00F046BF">
      <w:pPr>
        <w:pStyle w:val="FootnoteText"/>
      </w:pPr>
      <w:r>
        <w:rPr>
          <w:rStyle w:val="FootnoteReference"/>
        </w:rPr>
        <w:footnoteRef/>
      </w:r>
      <w:r>
        <w:t xml:space="preserve"> Exhibit PAC /200 at 10-26 and </w:t>
      </w:r>
      <w:r w:rsidR="00752581">
        <w:t>PacifiCorp O</w:t>
      </w:r>
      <w:r>
        <w:t xml:space="preserve">pening </w:t>
      </w:r>
      <w:r w:rsidR="00752581">
        <w:t>B</w:t>
      </w:r>
      <w:r>
        <w:t>rief at 20-26.</w:t>
      </w:r>
    </w:p>
  </w:footnote>
  <w:footnote w:id="37">
    <w:p w14:paraId="3ECF0C69" w14:textId="77777777" w:rsidR="009F3B29" w:rsidRPr="00114923" w:rsidRDefault="009F3B29" w:rsidP="009F3B29">
      <w:pPr>
        <w:pStyle w:val="FootnoteText"/>
      </w:pPr>
      <w:r>
        <w:rPr>
          <w:rStyle w:val="FootnoteReference"/>
        </w:rPr>
        <w:footnoteRef/>
      </w:r>
      <w:r>
        <w:t xml:space="preserve"> </w:t>
      </w:r>
      <w:r>
        <w:rPr>
          <w:i/>
          <w:iCs/>
        </w:rPr>
        <w:t xml:space="preserve">See </w:t>
      </w:r>
      <w:r>
        <w:t>D.22-12-031 at 35-37.</w:t>
      </w:r>
    </w:p>
  </w:footnote>
  <w:footnote w:id="38">
    <w:p w14:paraId="32CC07D9" w14:textId="5340C595" w:rsidR="00CB1559" w:rsidRDefault="00CB1559">
      <w:pPr>
        <w:pStyle w:val="FootnoteText"/>
      </w:pPr>
      <w:r>
        <w:rPr>
          <w:rStyle w:val="FootnoteReference"/>
        </w:rPr>
        <w:footnoteRef/>
      </w:r>
      <w:r>
        <w:t xml:space="preserve"> We note that Commission regulation does not guarantee utilities will earn either the authorized rate of return (ROR) or ROE that are adopted and used by the Commission in setting just and reasonable rates. Rather, a utility's actual or recorded ROR or ROE may be higher or lower than what the Commission used in setting rates depending on how the utility manages its costs. If the utility's actual costs end up lower (or higher) than the costs adopted in the authorized revenue requirement, then its recorded ROR could be higher (or lower) than the authorized ROR, and the earned ROE might be higher (or lower) than that used in setting the rates authorized in this decision.</w:t>
      </w:r>
      <w:r w:rsidR="003278D2">
        <w:t xml:space="preserve"> We further note the legal standard for setting the fair ROE has been established by the United States Supreme Court in two cases</w:t>
      </w:r>
      <w:r w:rsidR="00EB7C58">
        <w:t>: t</w:t>
      </w:r>
      <w:r w:rsidR="003278D2">
        <w:t xml:space="preserve">he </w:t>
      </w:r>
      <w:r w:rsidR="003278D2" w:rsidRPr="00466C42">
        <w:rPr>
          <w:i/>
        </w:rPr>
        <w:t>Federal Power Commission v. Hope Natural Gas Company</w:t>
      </w:r>
      <w:r w:rsidR="003278D2">
        <w:t xml:space="preserve">, 320 U.S. 591 (1944) and </w:t>
      </w:r>
      <w:r w:rsidR="003278D2" w:rsidRPr="00466C42">
        <w:rPr>
          <w:i/>
        </w:rPr>
        <w:t>Bluefield Water Works &amp; Improvement Company v. Public Service Commission of the State of Virginia</w:t>
      </w:r>
      <w:r w:rsidR="003278D2">
        <w:t>, 262 U.S. 679 (1923).</w:t>
      </w:r>
    </w:p>
  </w:footnote>
  <w:footnote w:id="39">
    <w:p w14:paraId="0AC2867A" w14:textId="12153856" w:rsidR="0018007F" w:rsidRPr="00667AC8" w:rsidRDefault="0018007F" w:rsidP="0018007F">
      <w:pPr>
        <w:pStyle w:val="FootnoteText"/>
        <w:rPr>
          <w:highlight w:val="yellow"/>
        </w:rPr>
      </w:pPr>
      <w:r w:rsidRPr="00C0088A">
        <w:rPr>
          <w:rStyle w:val="FootnoteReference"/>
        </w:rPr>
        <w:footnoteRef/>
      </w:r>
      <w:r w:rsidRPr="00C0088A">
        <w:t xml:space="preserve"> </w:t>
      </w:r>
      <w:r w:rsidRPr="0096620E">
        <w:t xml:space="preserve">PacifiCorp Reply </w:t>
      </w:r>
      <w:r w:rsidR="000841EB">
        <w:t xml:space="preserve">Brief </w:t>
      </w:r>
      <w:r w:rsidRPr="0096620E">
        <w:t>at 33-34</w:t>
      </w:r>
      <w:r w:rsidR="000841EB">
        <w:t xml:space="preserve"> and Exhibit PAC/1500 at 2-4.</w:t>
      </w:r>
    </w:p>
  </w:footnote>
  <w:footnote w:id="40">
    <w:p w14:paraId="5D729C25" w14:textId="531F068B" w:rsidR="0018007F" w:rsidRDefault="0018007F">
      <w:pPr>
        <w:pStyle w:val="FootnoteText"/>
      </w:pPr>
      <w:r>
        <w:rPr>
          <w:rStyle w:val="FootnoteReference"/>
        </w:rPr>
        <w:footnoteRef/>
      </w:r>
      <w:r>
        <w:t xml:space="preserve"> Cal Advocates Opening Brief at 8-10</w:t>
      </w:r>
      <w:r w:rsidR="00F417FC">
        <w:t xml:space="preserve"> and Cal Advocates Reply Comments on the Proposed Decision dated December 4, 2023.</w:t>
      </w:r>
    </w:p>
  </w:footnote>
  <w:footnote w:id="41">
    <w:p w14:paraId="3966225D" w14:textId="1E1B5C93" w:rsidR="002102AB" w:rsidRDefault="002102AB">
      <w:pPr>
        <w:pStyle w:val="FootnoteText"/>
      </w:pPr>
      <w:r>
        <w:rPr>
          <w:rStyle w:val="FootnoteReference"/>
        </w:rPr>
        <w:footnoteRef/>
      </w:r>
      <w:r>
        <w:t xml:space="preserve"> </w:t>
      </w:r>
      <w:r w:rsidR="00F417FC">
        <w:t>Exhibit</w:t>
      </w:r>
      <w:r>
        <w:t xml:space="preserve"> C</w:t>
      </w:r>
      <w:r w:rsidR="00752581">
        <w:t>A</w:t>
      </w:r>
      <w:r>
        <w:t>-04 at 6.</w:t>
      </w:r>
    </w:p>
  </w:footnote>
  <w:footnote w:id="42">
    <w:p w14:paraId="1A4E4768" w14:textId="68D0C1DD" w:rsidR="002102AB" w:rsidRDefault="002102AB">
      <w:pPr>
        <w:pStyle w:val="FootnoteText"/>
      </w:pPr>
      <w:r>
        <w:rPr>
          <w:rStyle w:val="FootnoteReference"/>
        </w:rPr>
        <w:footnoteRef/>
      </w:r>
      <w:r>
        <w:t xml:space="preserve"> Exhibit PAC/1500 at 3.</w:t>
      </w:r>
    </w:p>
  </w:footnote>
  <w:footnote w:id="43">
    <w:p w14:paraId="00A130BC" w14:textId="72793912" w:rsidR="00EB754D" w:rsidRDefault="00EB754D">
      <w:pPr>
        <w:pStyle w:val="FootnoteText"/>
      </w:pPr>
      <w:r>
        <w:rPr>
          <w:rStyle w:val="FootnoteReference"/>
        </w:rPr>
        <w:footnoteRef/>
      </w:r>
      <w:r>
        <w:t xml:space="preserve"> PacifiCorp Opening Comments on the Proposed Decision dated November 29, 2023, at 6.</w:t>
      </w:r>
    </w:p>
  </w:footnote>
  <w:footnote w:id="44">
    <w:p w14:paraId="7482F365" w14:textId="41FE8EE2" w:rsidR="00FF074C" w:rsidRDefault="00FF074C">
      <w:pPr>
        <w:pStyle w:val="FootnoteText"/>
      </w:pPr>
      <w:r>
        <w:rPr>
          <w:rStyle w:val="FootnoteReference"/>
        </w:rPr>
        <w:footnoteRef/>
      </w:r>
      <w:r>
        <w:t xml:space="preserve"> Cal Advocates Opening Brief at 8-10 and Cal Advocates Reply Comments on the Proposed Decision dated December 4, 2023.</w:t>
      </w:r>
    </w:p>
  </w:footnote>
  <w:footnote w:id="45">
    <w:p w14:paraId="6B96E0C1" w14:textId="1B025E2C" w:rsidR="0044581C" w:rsidRDefault="0044581C">
      <w:pPr>
        <w:pStyle w:val="FootnoteText"/>
      </w:pPr>
      <w:r>
        <w:rPr>
          <w:rStyle w:val="FootnoteReference"/>
        </w:rPr>
        <w:footnoteRef/>
      </w:r>
      <w:r>
        <w:t xml:space="preserve"> Exhibit PAC/1200 at 18, Table-5; Exhibit PAC/1200 at 19, Table-5, Exhibit PAC/800 at 28 and Table-4; and PAC 1600 at 13.</w:t>
      </w:r>
      <w:r w:rsidR="007E0283">
        <w:t xml:space="preserve"> As previously noted, the costs accrued in PacifiCorp’s Wildfire Mitigation Memorandum Accounts will be considered in a separate decision in Track 2 of this proceeding.</w:t>
      </w:r>
    </w:p>
  </w:footnote>
  <w:footnote w:id="46">
    <w:p w14:paraId="0702E465" w14:textId="147C1BBB" w:rsidR="001833C4" w:rsidRDefault="001833C4">
      <w:pPr>
        <w:pStyle w:val="FootnoteText"/>
      </w:pPr>
      <w:r>
        <w:rPr>
          <w:rStyle w:val="FootnoteReference"/>
        </w:rPr>
        <w:footnoteRef/>
      </w:r>
      <w:r>
        <w:t xml:space="preserve"> Cal Advocates Opening Brief at 11.</w:t>
      </w:r>
    </w:p>
  </w:footnote>
  <w:footnote w:id="47">
    <w:p w14:paraId="0D38C84D" w14:textId="1ABB45AD" w:rsidR="001833C4" w:rsidRDefault="001833C4">
      <w:pPr>
        <w:pStyle w:val="FootnoteText"/>
      </w:pPr>
      <w:r>
        <w:rPr>
          <w:rStyle w:val="FootnoteReference"/>
        </w:rPr>
        <w:footnoteRef/>
      </w:r>
      <w:r>
        <w:t xml:space="preserve"> Exhibit C</w:t>
      </w:r>
      <w:r w:rsidR="004335BB">
        <w:t>A</w:t>
      </w:r>
      <w:r>
        <w:t>-04 at 11.</w:t>
      </w:r>
    </w:p>
  </w:footnote>
  <w:footnote w:id="48">
    <w:p w14:paraId="02D23E42" w14:textId="4E722434" w:rsidR="00BC2F44" w:rsidRDefault="00BC2F44">
      <w:pPr>
        <w:pStyle w:val="FootnoteText"/>
      </w:pPr>
      <w:r>
        <w:rPr>
          <w:rStyle w:val="FootnoteReference"/>
        </w:rPr>
        <w:footnoteRef/>
      </w:r>
      <w:r>
        <w:t xml:space="preserve"> Exhibit PAC 1700/McCoy Rebuttal at 13.</w:t>
      </w:r>
    </w:p>
  </w:footnote>
  <w:footnote w:id="49">
    <w:p w14:paraId="7418111F" w14:textId="669B5172" w:rsidR="005A4597" w:rsidRDefault="005A4597">
      <w:pPr>
        <w:pStyle w:val="FootnoteText"/>
      </w:pPr>
      <w:r>
        <w:rPr>
          <w:rStyle w:val="FootnoteReference"/>
        </w:rPr>
        <w:footnoteRef/>
      </w:r>
      <w:r>
        <w:t xml:space="preserve"> PacifiCorp Opening Brief at 39.</w:t>
      </w:r>
    </w:p>
  </w:footnote>
  <w:footnote w:id="50">
    <w:p w14:paraId="4A82AB03" w14:textId="60997250" w:rsidR="008C35C6" w:rsidRDefault="008C35C6">
      <w:pPr>
        <w:pStyle w:val="FootnoteText"/>
      </w:pPr>
      <w:r>
        <w:rPr>
          <w:rStyle w:val="FootnoteReference"/>
        </w:rPr>
        <w:footnoteRef/>
      </w:r>
      <w:r>
        <w:t xml:space="preserve"> PacifiCorp Opening Brief at 39.</w:t>
      </w:r>
    </w:p>
  </w:footnote>
  <w:footnote w:id="51">
    <w:p w14:paraId="1919D863" w14:textId="29FB7887" w:rsidR="0044581C" w:rsidRDefault="0044581C">
      <w:pPr>
        <w:pStyle w:val="FootnoteText"/>
      </w:pPr>
      <w:r>
        <w:rPr>
          <w:rStyle w:val="FootnoteReference"/>
        </w:rPr>
        <w:footnoteRef/>
      </w:r>
      <w:r>
        <w:t xml:space="preserve"> Cal Advocates Opening Brief at 13. </w:t>
      </w:r>
    </w:p>
  </w:footnote>
  <w:footnote w:id="52">
    <w:p w14:paraId="003AAF31" w14:textId="14C8CCC6" w:rsidR="00595115" w:rsidRDefault="00595115">
      <w:pPr>
        <w:pStyle w:val="FootnoteText"/>
      </w:pPr>
      <w:r>
        <w:rPr>
          <w:rStyle w:val="FootnoteReference"/>
        </w:rPr>
        <w:footnoteRef/>
      </w:r>
      <w:r>
        <w:t xml:space="preserve"> Exhibit PAC/1600 at 2; Cal Advocates Opening Brief at 14.</w:t>
      </w:r>
    </w:p>
  </w:footnote>
  <w:footnote w:id="53">
    <w:p w14:paraId="441B2A20" w14:textId="42D0745A" w:rsidR="00C20268" w:rsidRDefault="00C20268">
      <w:pPr>
        <w:pStyle w:val="FootnoteText"/>
      </w:pPr>
      <w:r>
        <w:rPr>
          <w:rStyle w:val="FootnoteReference"/>
        </w:rPr>
        <w:footnoteRef/>
      </w:r>
      <w:r>
        <w:t xml:space="preserve"> Exhibit PAC/1600 at 2.</w:t>
      </w:r>
    </w:p>
  </w:footnote>
  <w:footnote w:id="54">
    <w:p w14:paraId="1EAC5A3A" w14:textId="398CA2E4" w:rsidR="00C20268" w:rsidRDefault="00C20268">
      <w:pPr>
        <w:pStyle w:val="FootnoteText"/>
      </w:pPr>
      <w:r>
        <w:rPr>
          <w:rStyle w:val="FootnoteReference"/>
        </w:rPr>
        <w:footnoteRef/>
      </w:r>
      <w:r>
        <w:t xml:space="preserve"> Exhibit PAC/800.</w:t>
      </w:r>
    </w:p>
  </w:footnote>
  <w:footnote w:id="55">
    <w:p w14:paraId="78B30AE3" w14:textId="1D6CC242" w:rsidR="00600E01" w:rsidRDefault="00600E01">
      <w:pPr>
        <w:pStyle w:val="FootnoteText"/>
      </w:pPr>
      <w:r>
        <w:rPr>
          <w:rStyle w:val="FootnoteReference"/>
        </w:rPr>
        <w:footnoteRef/>
      </w:r>
      <w:r>
        <w:t xml:space="preserve"> </w:t>
      </w:r>
      <w:r w:rsidR="004335BB">
        <w:t>CFBF</w:t>
      </w:r>
      <w:r>
        <w:t xml:space="preserve"> Opening Brief at 16-17.</w:t>
      </w:r>
    </w:p>
  </w:footnote>
  <w:footnote w:id="56">
    <w:p w14:paraId="440F5471" w14:textId="1F298374" w:rsidR="00502BFB" w:rsidRDefault="00502BFB">
      <w:pPr>
        <w:pStyle w:val="FootnoteText"/>
      </w:pPr>
      <w:r>
        <w:rPr>
          <w:rStyle w:val="FootnoteReference"/>
        </w:rPr>
        <w:footnoteRef/>
      </w:r>
      <w:r>
        <w:t xml:space="preserve"> Exhibit PAC/800; Cal Advocates – PacifiCorp-021-FNZ at Question 20 b; and Cal Advocates Opening Brief at 14-15.</w:t>
      </w:r>
    </w:p>
  </w:footnote>
  <w:footnote w:id="57">
    <w:p w14:paraId="7DA7D17E" w14:textId="24E0EF88" w:rsidR="00E10B0F" w:rsidRDefault="00E10B0F">
      <w:pPr>
        <w:pStyle w:val="FootnoteText"/>
      </w:pPr>
      <w:r>
        <w:rPr>
          <w:rStyle w:val="FootnoteReference"/>
        </w:rPr>
        <w:footnoteRef/>
      </w:r>
      <w:r>
        <w:t xml:space="preserve"> Exhibit Cal Advocates-02 at 7.</w:t>
      </w:r>
    </w:p>
  </w:footnote>
  <w:footnote w:id="58">
    <w:p w14:paraId="37111243" w14:textId="77777777" w:rsidR="00B730D1" w:rsidRDefault="00B730D1" w:rsidP="00B730D1">
      <w:pPr>
        <w:pStyle w:val="FootnoteText"/>
      </w:pPr>
      <w:r>
        <w:rPr>
          <w:rStyle w:val="FootnoteReference"/>
        </w:rPr>
        <w:footnoteRef/>
      </w:r>
      <w:r>
        <w:t xml:space="preserve"> Exhibit Cal Advocates-02 at 6-7.</w:t>
      </w:r>
    </w:p>
  </w:footnote>
  <w:footnote w:id="59">
    <w:p w14:paraId="24F66EA1" w14:textId="2A293924" w:rsidR="00B730D1" w:rsidRDefault="00B730D1" w:rsidP="00B730D1">
      <w:pPr>
        <w:pStyle w:val="FootnoteText"/>
      </w:pPr>
      <w:r>
        <w:rPr>
          <w:rStyle w:val="FootnoteReference"/>
        </w:rPr>
        <w:footnoteRef/>
      </w:r>
      <w:r>
        <w:t xml:space="preserve"> Cal Advocates</w:t>
      </w:r>
      <w:r w:rsidR="00C824AB">
        <w:t xml:space="preserve"> O</w:t>
      </w:r>
      <w:r>
        <w:t xml:space="preserve">pening </w:t>
      </w:r>
      <w:r w:rsidR="00C824AB">
        <w:t>B</w:t>
      </w:r>
      <w:r>
        <w:t>rief at iii and 6.</w:t>
      </w:r>
    </w:p>
  </w:footnote>
  <w:footnote w:id="60">
    <w:p w14:paraId="29E6E168" w14:textId="1ECDD19B" w:rsidR="00B730D1" w:rsidRDefault="00B730D1">
      <w:pPr>
        <w:pStyle w:val="FootnoteText"/>
      </w:pPr>
      <w:r>
        <w:rPr>
          <w:rStyle w:val="FootnoteReference"/>
        </w:rPr>
        <w:footnoteRef/>
      </w:r>
      <w:r>
        <w:t xml:space="preserve"> Exhibit PAC/903</w:t>
      </w:r>
      <w:r w:rsidR="00C824AB">
        <w:t>C</w:t>
      </w:r>
      <w:r>
        <w:t xml:space="preserve"> – Labor Escalators</w:t>
      </w:r>
      <w:r w:rsidR="005177C8">
        <w:t>.</w:t>
      </w:r>
    </w:p>
  </w:footnote>
  <w:footnote w:id="61">
    <w:p w14:paraId="750B1D88" w14:textId="77777777" w:rsidR="003D4387" w:rsidRDefault="003D4387" w:rsidP="003D4387">
      <w:pPr>
        <w:pStyle w:val="FootnoteText"/>
      </w:pPr>
      <w:r>
        <w:rPr>
          <w:rStyle w:val="FootnoteReference"/>
        </w:rPr>
        <w:footnoteRef/>
      </w:r>
      <w:r>
        <w:t xml:space="preserve"> Exhibit Cal Advocates-03 at 2.</w:t>
      </w:r>
    </w:p>
  </w:footnote>
  <w:footnote w:id="62">
    <w:p w14:paraId="62227EF2" w14:textId="44957DA2" w:rsidR="00C2542D" w:rsidRDefault="00C2542D">
      <w:pPr>
        <w:pStyle w:val="FootnoteText"/>
      </w:pPr>
      <w:r>
        <w:rPr>
          <w:rStyle w:val="FootnoteReference"/>
        </w:rPr>
        <w:footnoteRef/>
      </w:r>
      <w:r>
        <w:t xml:space="preserve"> Exhibit PAC/</w:t>
      </w:r>
      <w:r w:rsidR="00762B4B">
        <w:t>400 at 6-8.</w:t>
      </w:r>
    </w:p>
  </w:footnote>
  <w:footnote w:id="63">
    <w:p w14:paraId="4CD136B4" w14:textId="0725A9C3" w:rsidR="00403676" w:rsidRDefault="00403676" w:rsidP="00403676">
      <w:pPr>
        <w:pStyle w:val="FootnoteText"/>
      </w:pPr>
      <w:r>
        <w:rPr>
          <w:rStyle w:val="FootnoteReference"/>
        </w:rPr>
        <w:footnoteRef/>
      </w:r>
      <w:r>
        <w:t xml:space="preserve"> Exhibit PAC/1700 at 7-8 and PacifiCorp Opening Comments on the Proposed Decision dated November 29, 2023, at 7.</w:t>
      </w:r>
    </w:p>
  </w:footnote>
  <w:footnote w:id="64">
    <w:p w14:paraId="7C92A819" w14:textId="621581B6" w:rsidR="0012349F" w:rsidRDefault="0012349F">
      <w:pPr>
        <w:pStyle w:val="FootnoteText"/>
      </w:pPr>
      <w:r>
        <w:rPr>
          <w:rStyle w:val="FootnoteReference"/>
        </w:rPr>
        <w:footnoteRef/>
      </w:r>
      <w:r>
        <w:t xml:space="preserve"> </w:t>
      </w:r>
      <w:r w:rsidR="00C2542D">
        <w:rPr>
          <w:szCs w:val="22"/>
        </w:rPr>
        <w:t xml:space="preserve">Cal Advocates-02 at 11 and Cal Advocates-03C at 4 </w:t>
      </w:r>
      <w:r w:rsidR="00C2542D">
        <w:t xml:space="preserve"> </w:t>
      </w:r>
    </w:p>
  </w:footnote>
  <w:footnote w:id="65">
    <w:p w14:paraId="59AC208A" w14:textId="70653198" w:rsidR="00167491" w:rsidRDefault="00167491">
      <w:pPr>
        <w:pStyle w:val="FootnoteText"/>
      </w:pPr>
      <w:r>
        <w:rPr>
          <w:rStyle w:val="FootnoteReference"/>
        </w:rPr>
        <w:footnoteRef/>
      </w:r>
      <w:r>
        <w:t xml:space="preserve"> Exhibit </w:t>
      </w:r>
      <w:r w:rsidR="00EC3440">
        <w:t>CA</w:t>
      </w:r>
      <w:r>
        <w:t>-03C at 5</w:t>
      </w:r>
    </w:p>
  </w:footnote>
  <w:footnote w:id="66">
    <w:p w14:paraId="0F70376F" w14:textId="752C8954" w:rsidR="00167491" w:rsidRDefault="00167491">
      <w:pPr>
        <w:pStyle w:val="FootnoteText"/>
      </w:pPr>
      <w:r>
        <w:rPr>
          <w:rStyle w:val="FootnoteReference"/>
        </w:rPr>
        <w:footnoteRef/>
      </w:r>
      <w:r>
        <w:t xml:space="preserve"> </w:t>
      </w:r>
      <w:r w:rsidR="001E26F6">
        <w:t>Exhibit PAC/1700 at 18-20</w:t>
      </w:r>
      <w:r w:rsidR="00EC3440">
        <w:t xml:space="preserve"> and PacifiCorp Opening Comments on the Proposed Decision dated November 29, 2023</w:t>
      </w:r>
      <w:r w:rsidR="00403676">
        <w:t>, at 7-8</w:t>
      </w:r>
      <w:r w:rsidR="00EC3440">
        <w:t>.</w:t>
      </w:r>
    </w:p>
  </w:footnote>
  <w:footnote w:id="67">
    <w:p w14:paraId="0D9DAF32" w14:textId="016FCA27" w:rsidR="00A04B2C" w:rsidRDefault="00A04B2C" w:rsidP="00A04B2C">
      <w:pPr>
        <w:pStyle w:val="FootnoteText"/>
      </w:pPr>
      <w:r>
        <w:rPr>
          <w:rStyle w:val="FootnoteReference"/>
        </w:rPr>
        <w:footnoteRef/>
      </w:r>
      <w:r>
        <w:t xml:space="preserve"> PacifiCorp’s GRCs cover three, not four years. The larger investor-owned utilities in California currently have four-year GRC cycles.</w:t>
      </w:r>
      <w:r w:rsidR="006B1056">
        <w:t xml:space="preserve"> Although PacifiCorp </w:t>
      </w:r>
      <w:r w:rsidR="00A327D0">
        <w:t xml:space="preserve">sought and received approval to delay its </w:t>
      </w:r>
      <w:r w:rsidR="006B1056">
        <w:t xml:space="preserve">GRC filing in recent </w:t>
      </w:r>
      <w:r w:rsidR="00206E42">
        <w:t>GRC cycles</w:t>
      </w:r>
      <w:r w:rsidR="006B1056">
        <w:t>, th</w:t>
      </w:r>
      <w:r w:rsidR="00A327D0">
        <w:t>ree years</w:t>
      </w:r>
      <w:r w:rsidR="006B1056">
        <w:t xml:space="preserve"> is still the expected term of its GRC period.</w:t>
      </w:r>
    </w:p>
  </w:footnote>
  <w:footnote w:id="68">
    <w:p w14:paraId="35AC3F2A" w14:textId="33C51B85" w:rsidR="007B19CE" w:rsidRDefault="007B19CE">
      <w:pPr>
        <w:pStyle w:val="FootnoteText"/>
      </w:pPr>
      <w:r>
        <w:rPr>
          <w:rStyle w:val="FootnoteReference"/>
        </w:rPr>
        <w:footnoteRef/>
      </w:r>
      <w:r>
        <w:t xml:space="preserve"> Exhibit PAC/1800 at 14 and Exhibit PAC/1100 at 2-4.</w:t>
      </w:r>
    </w:p>
  </w:footnote>
  <w:footnote w:id="69">
    <w:p w14:paraId="1A7D6F78" w14:textId="45CDF4ED" w:rsidR="00303D5F" w:rsidRDefault="00303D5F">
      <w:pPr>
        <w:pStyle w:val="FootnoteText"/>
      </w:pPr>
      <w:r>
        <w:rPr>
          <w:rStyle w:val="FootnoteReference"/>
        </w:rPr>
        <w:footnoteRef/>
      </w:r>
      <w:r>
        <w:t xml:space="preserve"> </w:t>
      </w:r>
      <w:r w:rsidR="00ED74BF">
        <w:t xml:space="preserve">CFBF </w:t>
      </w:r>
      <w:r>
        <w:t>Opening Brief</w:t>
      </w:r>
      <w:r w:rsidR="00ED74BF">
        <w:t xml:space="preserve"> at 19.</w:t>
      </w:r>
    </w:p>
  </w:footnote>
  <w:footnote w:id="70">
    <w:p w14:paraId="413633EF" w14:textId="62D0857E" w:rsidR="00A04B2C" w:rsidRDefault="00A04B2C">
      <w:pPr>
        <w:pStyle w:val="FootnoteText"/>
      </w:pPr>
      <w:r>
        <w:rPr>
          <w:rStyle w:val="FootnoteReference"/>
        </w:rPr>
        <w:footnoteRef/>
      </w:r>
      <w:r>
        <w:t xml:space="preserve"> Any rate </w:t>
      </w:r>
      <w:r w:rsidR="004367E4">
        <w:t>changes</w:t>
      </w:r>
      <w:r>
        <w:t xml:space="preserve"> related to the costs accrued in PacifiCorp’s Wildfire Mitigation Memorandum Accounts will be addressed in Track 2 of this proceeding.</w:t>
      </w:r>
    </w:p>
  </w:footnote>
  <w:footnote w:id="71">
    <w:p w14:paraId="119C64CA" w14:textId="4946CA30" w:rsidR="0A9A644B" w:rsidRDefault="0A9A644B" w:rsidP="0A9A644B">
      <w:pPr>
        <w:pStyle w:val="FootnoteText"/>
      </w:pPr>
      <w:r w:rsidRPr="0A9A644B">
        <w:rPr>
          <w:rStyle w:val="FootnoteReference"/>
        </w:rPr>
        <w:footnoteRef/>
      </w:r>
      <w:r>
        <w:t xml:space="preserve"> Exhibit PAC/1100 at 7-9, Exhibit PAC/1104 at 1, and Exhibit PAC/1105 at 1.</w:t>
      </w:r>
    </w:p>
  </w:footnote>
  <w:footnote w:id="72">
    <w:p w14:paraId="75D0A91C" w14:textId="274FA42E" w:rsidR="0A9A644B" w:rsidRDefault="0A9A644B" w:rsidP="0A9A644B">
      <w:pPr>
        <w:pStyle w:val="FootnoteText"/>
      </w:pPr>
      <w:r w:rsidRPr="0A9A644B">
        <w:rPr>
          <w:rStyle w:val="FootnoteReference"/>
        </w:rPr>
        <w:footnoteRef/>
      </w:r>
      <w:r>
        <w:t xml:space="preserve"> Exhibit PAC/1100 at 9-14.</w:t>
      </w:r>
    </w:p>
  </w:footnote>
  <w:footnote w:id="73">
    <w:p w14:paraId="5F591EC5" w14:textId="2990A8CC" w:rsidR="0A9A644B" w:rsidRDefault="0A9A644B" w:rsidP="0A9A644B">
      <w:pPr>
        <w:pStyle w:val="FootnoteText"/>
      </w:pPr>
      <w:r w:rsidRPr="0A9A644B">
        <w:rPr>
          <w:rStyle w:val="FootnoteReference"/>
        </w:rPr>
        <w:footnoteRef/>
      </w:r>
      <w:r>
        <w:t xml:space="preserve"> Exhibit PAC/1100 at 12-14 and Exhibit PAC/1105 at 2.</w:t>
      </w:r>
    </w:p>
  </w:footnote>
  <w:footnote w:id="74">
    <w:p w14:paraId="3A549F3F" w14:textId="5425492D" w:rsidR="0A9A644B" w:rsidRDefault="0A9A644B" w:rsidP="0A9A644B">
      <w:pPr>
        <w:pStyle w:val="FootnoteText"/>
      </w:pPr>
      <w:r w:rsidRPr="0A9A644B">
        <w:rPr>
          <w:rStyle w:val="FootnoteReference"/>
        </w:rPr>
        <w:footnoteRef/>
      </w:r>
      <w:r>
        <w:t xml:space="preserve"> Exhibit PAC/1100 at 14-15.</w:t>
      </w:r>
    </w:p>
  </w:footnote>
  <w:footnote w:id="75">
    <w:p w14:paraId="0FE8A1EF" w14:textId="49BC16CC" w:rsidR="0A9A644B" w:rsidRDefault="0A9A644B" w:rsidP="0A9A644B">
      <w:pPr>
        <w:pStyle w:val="FootnoteText"/>
      </w:pPr>
      <w:r w:rsidRPr="0A9A644B">
        <w:rPr>
          <w:rStyle w:val="FootnoteReference"/>
        </w:rPr>
        <w:footnoteRef/>
      </w:r>
      <w:r>
        <w:t xml:space="preserve"> Exhibit PAC/1100 at 16, Exhibit PAC/1104 at 2, and Exhibit PAC/1103.</w:t>
      </w:r>
    </w:p>
  </w:footnote>
  <w:footnote w:id="76">
    <w:p w14:paraId="7ED489FD" w14:textId="7BC67B03" w:rsidR="0A9A644B" w:rsidRDefault="0A9A644B" w:rsidP="0A9A644B">
      <w:pPr>
        <w:pStyle w:val="FootnoteText"/>
      </w:pPr>
      <w:r w:rsidRPr="0A9A644B">
        <w:rPr>
          <w:rStyle w:val="FootnoteReference"/>
        </w:rPr>
        <w:footnoteRef/>
      </w:r>
      <w:r>
        <w:t xml:space="preserve"> Exhibit PAC/1100 at 16 and Exhibit PAC/1103.</w:t>
      </w:r>
    </w:p>
  </w:footnote>
  <w:footnote w:id="77">
    <w:p w14:paraId="77792D72" w14:textId="54D71DFC" w:rsidR="0A9A644B" w:rsidRDefault="0A9A644B" w:rsidP="0A9A644B">
      <w:pPr>
        <w:pStyle w:val="FootnoteText"/>
      </w:pPr>
      <w:r w:rsidRPr="0A9A644B">
        <w:rPr>
          <w:rStyle w:val="FootnoteReference"/>
        </w:rPr>
        <w:footnoteRef/>
      </w:r>
      <w:r>
        <w:t xml:space="preserve"> Exhibit PAC/1100 at 16-17 and Exhibit PAC/1102.</w:t>
      </w:r>
    </w:p>
  </w:footnote>
  <w:footnote w:id="78">
    <w:p w14:paraId="4C9AAB4B" w14:textId="6CFBC136" w:rsidR="0A9A644B" w:rsidRDefault="0A9A644B" w:rsidP="0A9A644B">
      <w:pPr>
        <w:pStyle w:val="FootnoteText"/>
      </w:pPr>
      <w:r w:rsidRPr="0A9A644B">
        <w:rPr>
          <w:rStyle w:val="FootnoteReference"/>
        </w:rPr>
        <w:footnoteRef/>
      </w:r>
      <w:r>
        <w:t xml:space="preserve"> Exhibit PAC/1100 at 17.</w:t>
      </w:r>
    </w:p>
  </w:footnote>
  <w:footnote w:id="79">
    <w:p w14:paraId="579F5F23" w14:textId="0954D854" w:rsidR="0A9A644B" w:rsidRDefault="0A9A644B" w:rsidP="0A9A644B">
      <w:pPr>
        <w:pStyle w:val="FootnoteText"/>
      </w:pPr>
      <w:r w:rsidRPr="0A9A644B">
        <w:rPr>
          <w:rStyle w:val="FootnoteReference"/>
        </w:rPr>
        <w:footnoteRef/>
      </w:r>
      <w:r>
        <w:t xml:space="preserve"> Exhibit PAC/1100 at 18. For example, a 7,000 lumen mercury vapor area light is $17.48/month, while a 4,000 lumen </w:t>
      </w:r>
      <w:r w:rsidR="00F71C4E">
        <w:t xml:space="preserve">light-emitting diode (LED) </w:t>
      </w:r>
      <w:r>
        <w:t>streetlight is $10.31. Pacificorp also noted that it already converts company-owned lights to LED, rather than fixing non-LED equipment when it fails.</w:t>
      </w:r>
    </w:p>
  </w:footnote>
  <w:footnote w:id="80">
    <w:p w14:paraId="5AC4AB49" w14:textId="27C2E7F4" w:rsidR="0A9A644B" w:rsidRDefault="0A9A644B" w:rsidP="0A9A644B">
      <w:pPr>
        <w:pStyle w:val="FootnoteText"/>
      </w:pPr>
      <w:r w:rsidRPr="0A9A644B">
        <w:rPr>
          <w:rStyle w:val="FootnoteReference"/>
        </w:rPr>
        <w:footnoteRef/>
      </w:r>
      <w:r>
        <w:t xml:space="preserve"> Exhibit PAC/1100 at 19-20.</w:t>
      </w:r>
    </w:p>
  </w:footnote>
  <w:footnote w:id="81">
    <w:p w14:paraId="2581C44B" w14:textId="168CE38E" w:rsidR="0A9A644B" w:rsidRDefault="0A9A644B" w:rsidP="0A9A644B">
      <w:pPr>
        <w:pStyle w:val="FootnoteText"/>
      </w:pPr>
      <w:r w:rsidRPr="0A9A644B">
        <w:rPr>
          <w:rStyle w:val="FootnoteReference"/>
        </w:rPr>
        <w:footnoteRef/>
      </w:r>
      <w:r>
        <w:t xml:space="preserve"> Exhibit PAC/1100 at 19-20.</w:t>
      </w:r>
    </w:p>
  </w:footnote>
  <w:footnote w:id="82">
    <w:p w14:paraId="1D8EE7C7" w14:textId="41237F09" w:rsidR="2554E4E4" w:rsidRDefault="2554E4E4" w:rsidP="2554E4E4">
      <w:pPr>
        <w:pStyle w:val="FootnoteText"/>
      </w:pPr>
      <w:r w:rsidRPr="2554E4E4">
        <w:rPr>
          <w:rStyle w:val="FootnoteReference"/>
        </w:rPr>
        <w:footnoteRef/>
      </w:r>
      <w:r>
        <w:t xml:space="preserve"> Exhibit/1100 at 20-23 and Exhibit PAC/1106.</w:t>
      </w:r>
    </w:p>
  </w:footnote>
  <w:footnote w:id="83">
    <w:p w14:paraId="1261FE0D" w14:textId="3B5C3FA2" w:rsidR="2554E4E4" w:rsidRDefault="2554E4E4" w:rsidP="2554E4E4">
      <w:pPr>
        <w:pStyle w:val="FootnoteText"/>
      </w:pPr>
      <w:r w:rsidRPr="2554E4E4">
        <w:rPr>
          <w:rStyle w:val="FootnoteReference"/>
        </w:rPr>
        <w:footnoteRef/>
      </w:r>
      <w:r>
        <w:t xml:space="preserve"> Exhibit PAC/1100 at 24 and Exhibit PAC/1107.</w:t>
      </w:r>
    </w:p>
  </w:footnote>
  <w:footnote w:id="84">
    <w:p w14:paraId="25BAFA84" w14:textId="4645C516" w:rsidR="2554E4E4" w:rsidRDefault="2554E4E4" w:rsidP="2554E4E4">
      <w:pPr>
        <w:pStyle w:val="FootnoteText"/>
      </w:pPr>
      <w:r w:rsidRPr="2554E4E4">
        <w:rPr>
          <w:rStyle w:val="FootnoteReference"/>
        </w:rPr>
        <w:footnoteRef/>
      </w:r>
      <w:r>
        <w:t xml:space="preserve"> Exhibit PAC/1100 at 25 and Exhibit PAC/1108.</w:t>
      </w:r>
    </w:p>
  </w:footnote>
  <w:footnote w:id="85">
    <w:p w14:paraId="20ACCF0D" w14:textId="04698B7D" w:rsidR="00EA0E29" w:rsidRDefault="00EA0E29">
      <w:pPr>
        <w:pStyle w:val="FootnoteText"/>
      </w:pPr>
      <w:r>
        <w:rPr>
          <w:rStyle w:val="FootnoteReference"/>
        </w:rPr>
        <w:footnoteRef/>
      </w:r>
      <w:r>
        <w:t xml:space="preserve"> Exhibit PAC/1100 at 6-7 and PAC/1102. </w:t>
      </w:r>
    </w:p>
  </w:footnote>
  <w:footnote w:id="86">
    <w:p w14:paraId="71E00CAA" w14:textId="77777777" w:rsidR="00E70FFA" w:rsidRDefault="00E70FFA" w:rsidP="00E70FFA">
      <w:pPr>
        <w:pStyle w:val="FootnoteText"/>
      </w:pPr>
      <w:r>
        <w:rPr>
          <w:rStyle w:val="FootnoteReference"/>
        </w:rPr>
        <w:footnoteRef/>
      </w:r>
      <w:r>
        <w:t xml:space="preserve"> Totals may not reconcile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B883" w14:textId="3A46F7F1" w:rsidR="00AB3D28" w:rsidRPr="00F92385" w:rsidRDefault="00AB3D28"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CF48" w14:textId="0B472F51" w:rsidR="00E23CBB" w:rsidRDefault="00AB3D28" w:rsidP="00EE4315">
    <w:pPr>
      <w:pStyle w:val="Header"/>
      <w:tabs>
        <w:tab w:val="clear" w:pos="4680"/>
      </w:tabs>
      <w:ind w:firstLine="0"/>
      <w:rPr>
        <w:b/>
      </w:rPr>
    </w:pPr>
    <w:bookmarkStart w:id="3" w:name="_Hlk150416784"/>
    <w:r>
      <w:t>A.22-05-006  ALJ/CS8/jnf</w:t>
    </w:r>
    <w:bookmarkEnd w:id="3"/>
    <w:r w:rsidR="00E23CBB">
      <w:tab/>
    </w:r>
    <w:r w:rsidR="00E23CBB">
      <w:rPr>
        <w:b/>
      </w:rPr>
      <w:t>PROPOSED DECISION</w:t>
    </w:r>
    <w:r w:rsidR="00447323">
      <w:rPr>
        <w:b/>
      </w:rPr>
      <w:t xml:space="preserve"> (Rev. 1)</w:t>
    </w:r>
  </w:p>
  <w:p w14:paraId="57FEC79F" w14:textId="77777777" w:rsidR="005E7B13" w:rsidRPr="00B3087D" w:rsidRDefault="005E7B13" w:rsidP="00AB3D28">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DC35" w14:textId="7CCD56B5" w:rsidR="00AB3D28" w:rsidRDefault="00AB3D28" w:rsidP="00AB3D28">
    <w:pPr>
      <w:pStyle w:val="Header"/>
      <w:tabs>
        <w:tab w:val="clear" w:pos="4680"/>
      </w:tabs>
      <w:ind w:firstLine="0"/>
      <w:rPr>
        <w:b/>
      </w:rPr>
    </w:pPr>
    <w:r>
      <w:t>A.22-05-006  ALJ/CS8/jnf</w:t>
    </w:r>
    <w:r>
      <w:tab/>
    </w:r>
    <w:r>
      <w:rPr>
        <w:b/>
      </w:rPr>
      <w:t>PROPOSED DECISION</w:t>
    </w:r>
    <w:r w:rsidR="00447323">
      <w:rPr>
        <w:b/>
      </w:rPr>
      <w:t xml:space="preserve"> (Rev. 1)</w:t>
    </w:r>
  </w:p>
  <w:p w14:paraId="159AD545" w14:textId="77777777" w:rsidR="005E7B13" w:rsidRPr="00AB3D28" w:rsidRDefault="005E7B13" w:rsidP="00AB3D28">
    <w:pPr>
      <w:pStyle w:val="Header"/>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6F914D5"/>
    <w:multiLevelType w:val="hybridMultilevel"/>
    <w:tmpl w:val="C51E8A22"/>
    <w:lvl w:ilvl="0" w:tplc="FFFFFFFF">
      <w:start w:val="1"/>
      <w:numFmt w:val="decimal"/>
      <w:lvlText w:val="%1."/>
      <w:lvlJc w:val="left"/>
      <w:pPr>
        <w:ind w:left="220" w:hanging="360"/>
        <w:jc w:val="right"/>
      </w:pPr>
      <w:rPr>
        <w:b w:val="0"/>
        <w:bCs w:val="0"/>
        <w:i w:val="0"/>
        <w:iCs w:val="0"/>
        <w:spacing w:val="0"/>
        <w:w w:val="99"/>
        <w:sz w:val="26"/>
        <w:szCs w:val="26"/>
        <w:lang w:val="en-US" w:eastAsia="en-US" w:bidi="ar-SA"/>
      </w:rPr>
    </w:lvl>
    <w:lvl w:ilvl="1" w:tplc="9D7AC3F0">
      <w:numFmt w:val="bullet"/>
      <w:lvlText w:val=""/>
      <w:lvlJc w:val="left"/>
      <w:pPr>
        <w:ind w:left="1300" w:hanging="360"/>
      </w:pPr>
      <w:rPr>
        <w:rFonts w:ascii="Symbol" w:eastAsia="Symbol" w:hAnsi="Symbol" w:cs="Symbol" w:hint="default"/>
        <w:b w:val="0"/>
        <w:bCs w:val="0"/>
        <w:i w:val="0"/>
        <w:iCs w:val="0"/>
        <w:spacing w:val="0"/>
        <w:w w:val="99"/>
        <w:sz w:val="26"/>
        <w:szCs w:val="26"/>
        <w:lang w:val="en-US" w:eastAsia="en-US" w:bidi="ar-SA"/>
      </w:rPr>
    </w:lvl>
    <w:lvl w:ilvl="2" w:tplc="69DCBDE6">
      <w:numFmt w:val="bullet"/>
      <w:lvlText w:val="•"/>
      <w:lvlJc w:val="left"/>
      <w:pPr>
        <w:ind w:left="2257" w:hanging="360"/>
      </w:pPr>
      <w:rPr>
        <w:rFonts w:hint="default"/>
        <w:lang w:val="en-US" w:eastAsia="en-US" w:bidi="ar-SA"/>
      </w:rPr>
    </w:lvl>
    <w:lvl w:ilvl="3" w:tplc="B9E2A0A2">
      <w:numFmt w:val="bullet"/>
      <w:lvlText w:val="•"/>
      <w:lvlJc w:val="left"/>
      <w:pPr>
        <w:ind w:left="3215" w:hanging="360"/>
      </w:pPr>
      <w:rPr>
        <w:rFonts w:hint="default"/>
        <w:lang w:val="en-US" w:eastAsia="en-US" w:bidi="ar-SA"/>
      </w:rPr>
    </w:lvl>
    <w:lvl w:ilvl="4" w:tplc="FF1A518E">
      <w:numFmt w:val="bullet"/>
      <w:lvlText w:val="•"/>
      <w:lvlJc w:val="left"/>
      <w:pPr>
        <w:ind w:left="4173" w:hanging="360"/>
      </w:pPr>
      <w:rPr>
        <w:rFonts w:hint="default"/>
        <w:lang w:val="en-US" w:eastAsia="en-US" w:bidi="ar-SA"/>
      </w:rPr>
    </w:lvl>
    <w:lvl w:ilvl="5" w:tplc="2DF0CCF2">
      <w:numFmt w:val="bullet"/>
      <w:lvlText w:val="•"/>
      <w:lvlJc w:val="left"/>
      <w:pPr>
        <w:ind w:left="5131" w:hanging="360"/>
      </w:pPr>
      <w:rPr>
        <w:rFonts w:hint="default"/>
        <w:lang w:val="en-US" w:eastAsia="en-US" w:bidi="ar-SA"/>
      </w:rPr>
    </w:lvl>
    <w:lvl w:ilvl="6" w:tplc="15082EC0">
      <w:numFmt w:val="bullet"/>
      <w:lvlText w:val="•"/>
      <w:lvlJc w:val="left"/>
      <w:pPr>
        <w:ind w:left="6088" w:hanging="360"/>
      </w:pPr>
      <w:rPr>
        <w:rFonts w:hint="default"/>
        <w:lang w:val="en-US" w:eastAsia="en-US" w:bidi="ar-SA"/>
      </w:rPr>
    </w:lvl>
    <w:lvl w:ilvl="7" w:tplc="C9345AE0">
      <w:numFmt w:val="bullet"/>
      <w:lvlText w:val="•"/>
      <w:lvlJc w:val="left"/>
      <w:pPr>
        <w:ind w:left="7046" w:hanging="360"/>
      </w:pPr>
      <w:rPr>
        <w:rFonts w:hint="default"/>
        <w:lang w:val="en-US" w:eastAsia="en-US" w:bidi="ar-SA"/>
      </w:rPr>
    </w:lvl>
    <w:lvl w:ilvl="8" w:tplc="D5C813E2">
      <w:numFmt w:val="bullet"/>
      <w:lvlText w:val="•"/>
      <w:lvlJc w:val="left"/>
      <w:pPr>
        <w:ind w:left="8004" w:hanging="360"/>
      </w:pPr>
      <w:rPr>
        <w:rFonts w:hint="default"/>
        <w:lang w:val="en-US" w:eastAsia="en-US" w:bidi="ar-SA"/>
      </w:rPr>
    </w:lvl>
  </w:abstractNum>
  <w:abstractNum w:abstractNumId="4" w15:restartNumberingAfterBreak="0">
    <w:nsid w:val="28BF71AC"/>
    <w:multiLevelType w:val="multilevel"/>
    <w:tmpl w:val="3C526EDE"/>
    <w:numStyleLink w:val="Headings"/>
  </w:abstractNum>
  <w:abstractNum w:abstractNumId="5"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6" w15:restartNumberingAfterBreak="0">
    <w:nsid w:val="427886C4"/>
    <w:multiLevelType w:val="hybridMultilevel"/>
    <w:tmpl w:val="821281F4"/>
    <w:lvl w:ilvl="0" w:tplc="0B9CCFF4">
      <w:start w:val="1"/>
      <w:numFmt w:val="bullet"/>
      <w:lvlText w:val=""/>
      <w:lvlJc w:val="left"/>
      <w:pPr>
        <w:ind w:left="720" w:hanging="360"/>
      </w:pPr>
      <w:rPr>
        <w:rFonts w:ascii="Symbol" w:hAnsi="Symbol" w:hint="default"/>
      </w:rPr>
    </w:lvl>
    <w:lvl w:ilvl="1" w:tplc="425655E8">
      <w:start w:val="1"/>
      <w:numFmt w:val="bullet"/>
      <w:lvlText w:val="o"/>
      <w:lvlJc w:val="left"/>
      <w:pPr>
        <w:ind w:left="1440" w:hanging="360"/>
      </w:pPr>
      <w:rPr>
        <w:rFonts w:ascii="Courier New" w:hAnsi="Courier New" w:hint="default"/>
      </w:rPr>
    </w:lvl>
    <w:lvl w:ilvl="2" w:tplc="0E8E9BDC">
      <w:start w:val="1"/>
      <w:numFmt w:val="bullet"/>
      <w:lvlText w:val=""/>
      <w:lvlJc w:val="left"/>
      <w:pPr>
        <w:ind w:left="2160" w:hanging="360"/>
      </w:pPr>
      <w:rPr>
        <w:rFonts w:ascii="Wingdings" w:hAnsi="Wingdings" w:hint="default"/>
      </w:rPr>
    </w:lvl>
    <w:lvl w:ilvl="3" w:tplc="E928594C">
      <w:start w:val="1"/>
      <w:numFmt w:val="bullet"/>
      <w:lvlText w:val=""/>
      <w:lvlJc w:val="left"/>
      <w:pPr>
        <w:ind w:left="2880" w:hanging="360"/>
      </w:pPr>
      <w:rPr>
        <w:rFonts w:ascii="Symbol" w:hAnsi="Symbol" w:hint="default"/>
      </w:rPr>
    </w:lvl>
    <w:lvl w:ilvl="4" w:tplc="4DD2D622">
      <w:start w:val="1"/>
      <w:numFmt w:val="bullet"/>
      <w:lvlText w:val="o"/>
      <w:lvlJc w:val="left"/>
      <w:pPr>
        <w:ind w:left="3600" w:hanging="360"/>
      </w:pPr>
      <w:rPr>
        <w:rFonts w:ascii="Courier New" w:hAnsi="Courier New" w:hint="default"/>
      </w:rPr>
    </w:lvl>
    <w:lvl w:ilvl="5" w:tplc="961AE720">
      <w:start w:val="1"/>
      <w:numFmt w:val="bullet"/>
      <w:lvlText w:val=""/>
      <w:lvlJc w:val="left"/>
      <w:pPr>
        <w:ind w:left="4320" w:hanging="360"/>
      </w:pPr>
      <w:rPr>
        <w:rFonts w:ascii="Wingdings" w:hAnsi="Wingdings" w:hint="default"/>
      </w:rPr>
    </w:lvl>
    <w:lvl w:ilvl="6" w:tplc="774E76BC">
      <w:start w:val="1"/>
      <w:numFmt w:val="bullet"/>
      <w:lvlText w:val=""/>
      <w:lvlJc w:val="left"/>
      <w:pPr>
        <w:ind w:left="5040" w:hanging="360"/>
      </w:pPr>
      <w:rPr>
        <w:rFonts w:ascii="Symbol" w:hAnsi="Symbol" w:hint="default"/>
      </w:rPr>
    </w:lvl>
    <w:lvl w:ilvl="7" w:tplc="A90A81AE">
      <w:start w:val="1"/>
      <w:numFmt w:val="bullet"/>
      <w:lvlText w:val="o"/>
      <w:lvlJc w:val="left"/>
      <w:pPr>
        <w:ind w:left="5760" w:hanging="360"/>
      </w:pPr>
      <w:rPr>
        <w:rFonts w:ascii="Courier New" w:hAnsi="Courier New" w:hint="default"/>
      </w:rPr>
    </w:lvl>
    <w:lvl w:ilvl="8" w:tplc="94D653AA">
      <w:start w:val="1"/>
      <w:numFmt w:val="bullet"/>
      <w:lvlText w:val=""/>
      <w:lvlJc w:val="left"/>
      <w:pPr>
        <w:ind w:left="6480" w:hanging="360"/>
      </w:pPr>
      <w:rPr>
        <w:rFonts w:ascii="Wingdings" w:hAnsi="Wingdings" w:hint="default"/>
      </w:rPr>
    </w:lvl>
  </w:abstractNum>
  <w:abstractNum w:abstractNumId="7" w15:restartNumberingAfterBreak="0">
    <w:nsid w:val="50DE25A0"/>
    <w:multiLevelType w:val="hybridMultilevel"/>
    <w:tmpl w:val="457E85DA"/>
    <w:lvl w:ilvl="0" w:tplc="CF4C0B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D042D7"/>
    <w:multiLevelType w:val="multilevel"/>
    <w:tmpl w:val="18F4A5AC"/>
    <w:numStyleLink w:val="FoFCoLOP"/>
  </w:abstractNum>
  <w:abstractNum w:abstractNumId="9" w15:restartNumberingAfterBreak="0">
    <w:nsid w:val="5A18B440"/>
    <w:multiLevelType w:val="hybridMultilevel"/>
    <w:tmpl w:val="6E947B86"/>
    <w:lvl w:ilvl="0" w:tplc="368281E0">
      <w:start w:val="1"/>
      <w:numFmt w:val="bullet"/>
      <w:lvlText w:val=""/>
      <w:lvlJc w:val="left"/>
      <w:pPr>
        <w:ind w:left="720" w:hanging="360"/>
      </w:pPr>
      <w:rPr>
        <w:rFonts w:ascii="Symbol" w:hAnsi="Symbol" w:hint="default"/>
      </w:rPr>
    </w:lvl>
    <w:lvl w:ilvl="1" w:tplc="EC843128">
      <w:start w:val="1"/>
      <w:numFmt w:val="bullet"/>
      <w:lvlText w:val=""/>
      <w:lvlJc w:val="left"/>
      <w:pPr>
        <w:ind w:left="1440" w:hanging="360"/>
      </w:pPr>
      <w:rPr>
        <w:rFonts w:ascii="Symbol" w:hAnsi="Symbol" w:hint="default"/>
      </w:rPr>
    </w:lvl>
    <w:lvl w:ilvl="2" w:tplc="471EB9A4">
      <w:start w:val="1"/>
      <w:numFmt w:val="bullet"/>
      <w:lvlText w:val=""/>
      <w:lvlJc w:val="left"/>
      <w:pPr>
        <w:ind w:left="2160" w:hanging="360"/>
      </w:pPr>
      <w:rPr>
        <w:rFonts w:ascii="Wingdings" w:hAnsi="Wingdings" w:hint="default"/>
      </w:rPr>
    </w:lvl>
    <w:lvl w:ilvl="3" w:tplc="637854F6">
      <w:start w:val="1"/>
      <w:numFmt w:val="bullet"/>
      <w:lvlText w:val=""/>
      <w:lvlJc w:val="left"/>
      <w:pPr>
        <w:ind w:left="2880" w:hanging="360"/>
      </w:pPr>
      <w:rPr>
        <w:rFonts w:ascii="Symbol" w:hAnsi="Symbol" w:hint="default"/>
      </w:rPr>
    </w:lvl>
    <w:lvl w:ilvl="4" w:tplc="FB4E7584">
      <w:start w:val="1"/>
      <w:numFmt w:val="bullet"/>
      <w:lvlText w:val="o"/>
      <w:lvlJc w:val="left"/>
      <w:pPr>
        <w:ind w:left="3600" w:hanging="360"/>
      </w:pPr>
      <w:rPr>
        <w:rFonts w:ascii="Courier New" w:hAnsi="Courier New" w:hint="default"/>
      </w:rPr>
    </w:lvl>
    <w:lvl w:ilvl="5" w:tplc="EED89EE0">
      <w:start w:val="1"/>
      <w:numFmt w:val="bullet"/>
      <w:lvlText w:val=""/>
      <w:lvlJc w:val="left"/>
      <w:pPr>
        <w:ind w:left="4320" w:hanging="360"/>
      </w:pPr>
      <w:rPr>
        <w:rFonts w:ascii="Wingdings" w:hAnsi="Wingdings" w:hint="default"/>
      </w:rPr>
    </w:lvl>
    <w:lvl w:ilvl="6" w:tplc="7AEE79AC">
      <w:start w:val="1"/>
      <w:numFmt w:val="bullet"/>
      <w:lvlText w:val=""/>
      <w:lvlJc w:val="left"/>
      <w:pPr>
        <w:ind w:left="5040" w:hanging="360"/>
      </w:pPr>
      <w:rPr>
        <w:rFonts w:ascii="Symbol" w:hAnsi="Symbol" w:hint="default"/>
      </w:rPr>
    </w:lvl>
    <w:lvl w:ilvl="7" w:tplc="3DF689FA">
      <w:start w:val="1"/>
      <w:numFmt w:val="bullet"/>
      <w:lvlText w:val="o"/>
      <w:lvlJc w:val="left"/>
      <w:pPr>
        <w:ind w:left="5760" w:hanging="360"/>
      </w:pPr>
      <w:rPr>
        <w:rFonts w:ascii="Courier New" w:hAnsi="Courier New" w:hint="default"/>
      </w:rPr>
    </w:lvl>
    <w:lvl w:ilvl="8" w:tplc="AE72F6A2">
      <w:start w:val="1"/>
      <w:numFmt w:val="bullet"/>
      <w:lvlText w:val=""/>
      <w:lvlJc w:val="left"/>
      <w:pPr>
        <w:ind w:left="6480" w:hanging="360"/>
      </w:pPr>
      <w:rPr>
        <w:rFonts w:ascii="Wingdings" w:hAnsi="Wingdings" w:hint="default"/>
      </w:rPr>
    </w:lvl>
  </w:abstractNum>
  <w:abstractNum w:abstractNumId="10" w15:restartNumberingAfterBreak="0">
    <w:nsid w:val="5A9E2171"/>
    <w:multiLevelType w:val="multilevel"/>
    <w:tmpl w:val="3C526EDE"/>
    <w:numStyleLink w:val="Headings"/>
  </w:abstractNum>
  <w:abstractNum w:abstractNumId="11" w15:restartNumberingAfterBreak="0">
    <w:nsid w:val="5B6E66D3"/>
    <w:multiLevelType w:val="multilevel"/>
    <w:tmpl w:val="5748C9D2"/>
    <w:lvl w:ilvl="0">
      <w:start w:val="1"/>
      <w:numFmt w:val="decimal"/>
      <w:lvlText w:val="%1."/>
      <w:lvlJc w:val="right"/>
      <w:pPr>
        <w:ind w:left="0" w:firstLine="540"/>
      </w:p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2" w15:restartNumberingAfterBreak="0">
    <w:nsid w:val="68AD79D9"/>
    <w:multiLevelType w:val="hybridMultilevel"/>
    <w:tmpl w:val="7E865354"/>
    <w:lvl w:ilvl="0" w:tplc="1D4434AE">
      <w:start w:val="27"/>
      <w:numFmt w:val="decimal"/>
      <w:lvlText w:val="%1."/>
      <w:lvlJc w:val="left"/>
      <w:pPr>
        <w:ind w:left="220" w:hanging="449"/>
      </w:pPr>
      <w:rPr>
        <w:rFonts w:ascii="Book Antiqua" w:eastAsia="Book Antiqua" w:hAnsi="Book Antiqua" w:cs="Book Antiqua" w:hint="default"/>
        <w:b w:val="0"/>
        <w:bCs w:val="0"/>
        <w:i w:val="0"/>
        <w:iCs w:val="0"/>
        <w:spacing w:val="0"/>
        <w:w w:val="99"/>
        <w:sz w:val="26"/>
        <w:szCs w:val="26"/>
        <w:lang w:val="en-US" w:eastAsia="en-US" w:bidi="ar-SA"/>
      </w:rPr>
    </w:lvl>
    <w:lvl w:ilvl="1" w:tplc="5FBE86CA">
      <w:numFmt w:val="bullet"/>
      <w:lvlText w:val="•"/>
      <w:lvlJc w:val="left"/>
      <w:pPr>
        <w:ind w:left="1300" w:hanging="360"/>
      </w:pPr>
      <w:rPr>
        <w:rFonts w:ascii="Book Antiqua" w:eastAsia="Book Antiqua" w:hAnsi="Book Antiqua" w:cs="Book Antiqua" w:hint="default"/>
        <w:b w:val="0"/>
        <w:bCs w:val="0"/>
        <w:i w:val="0"/>
        <w:iCs w:val="0"/>
        <w:spacing w:val="0"/>
        <w:w w:val="99"/>
        <w:sz w:val="26"/>
        <w:szCs w:val="26"/>
        <w:lang w:val="en-US" w:eastAsia="en-US" w:bidi="ar-SA"/>
      </w:rPr>
    </w:lvl>
    <w:lvl w:ilvl="2" w:tplc="78C47792">
      <w:numFmt w:val="bullet"/>
      <w:lvlText w:val="•"/>
      <w:lvlJc w:val="left"/>
      <w:pPr>
        <w:ind w:left="2257" w:hanging="360"/>
      </w:pPr>
      <w:rPr>
        <w:rFonts w:hint="default"/>
        <w:lang w:val="en-US" w:eastAsia="en-US" w:bidi="ar-SA"/>
      </w:rPr>
    </w:lvl>
    <w:lvl w:ilvl="3" w:tplc="98767A84">
      <w:numFmt w:val="bullet"/>
      <w:lvlText w:val="•"/>
      <w:lvlJc w:val="left"/>
      <w:pPr>
        <w:ind w:left="3215" w:hanging="360"/>
      </w:pPr>
      <w:rPr>
        <w:rFonts w:hint="default"/>
        <w:lang w:val="en-US" w:eastAsia="en-US" w:bidi="ar-SA"/>
      </w:rPr>
    </w:lvl>
    <w:lvl w:ilvl="4" w:tplc="98E63E5C">
      <w:numFmt w:val="bullet"/>
      <w:lvlText w:val="•"/>
      <w:lvlJc w:val="left"/>
      <w:pPr>
        <w:ind w:left="4173" w:hanging="360"/>
      </w:pPr>
      <w:rPr>
        <w:rFonts w:hint="default"/>
        <w:lang w:val="en-US" w:eastAsia="en-US" w:bidi="ar-SA"/>
      </w:rPr>
    </w:lvl>
    <w:lvl w:ilvl="5" w:tplc="9D764428">
      <w:numFmt w:val="bullet"/>
      <w:lvlText w:val="•"/>
      <w:lvlJc w:val="left"/>
      <w:pPr>
        <w:ind w:left="5131" w:hanging="360"/>
      </w:pPr>
      <w:rPr>
        <w:rFonts w:hint="default"/>
        <w:lang w:val="en-US" w:eastAsia="en-US" w:bidi="ar-SA"/>
      </w:rPr>
    </w:lvl>
    <w:lvl w:ilvl="6" w:tplc="29CA9778">
      <w:numFmt w:val="bullet"/>
      <w:lvlText w:val="•"/>
      <w:lvlJc w:val="left"/>
      <w:pPr>
        <w:ind w:left="6088" w:hanging="360"/>
      </w:pPr>
      <w:rPr>
        <w:rFonts w:hint="default"/>
        <w:lang w:val="en-US" w:eastAsia="en-US" w:bidi="ar-SA"/>
      </w:rPr>
    </w:lvl>
    <w:lvl w:ilvl="7" w:tplc="55923E98">
      <w:numFmt w:val="bullet"/>
      <w:lvlText w:val="•"/>
      <w:lvlJc w:val="left"/>
      <w:pPr>
        <w:ind w:left="7046" w:hanging="360"/>
      </w:pPr>
      <w:rPr>
        <w:rFonts w:hint="default"/>
        <w:lang w:val="en-US" w:eastAsia="en-US" w:bidi="ar-SA"/>
      </w:rPr>
    </w:lvl>
    <w:lvl w:ilvl="8" w:tplc="D54C46E2">
      <w:numFmt w:val="bullet"/>
      <w:lvlText w:val="•"/>
      <w:lvlJc w:val="left"/>
      <w:pPr>
        <w:ind w:left="8004" w:hanging="360"/>
      </w:pPr>
      <w:rPr>
        <w:rFonts w:hint="default"/>
        <w:lang w:val="en-US" w:eastAsia="en-US" w:bidi="ar-SA"/>
      </w:rPr>
    </w:lvl>
  </w:abstractNum>
  <w:num w:numId="1" w16cid:durableId="797990077">
    <w:abstractNumId w:val="6"/>
  </w:num>
  <w:num w:numId="2" w16cid:durableId="372507438">
    <w:abstractNumId w:val="9"/>
  </w:num>
  <w:num w:numId="3" w16cid:durableId="46533041">
    <w:abstractNumId w:val="10"/>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num>
  <w:num w:numId="4" w16cid:durableId="365064725">
    <w:abstractNumId w:val="1"/>
  </w:num>
  <w:num w:numId="5" w16cid:durableId="760418565">
    <w:abstractNumId w:val="8"/>
  </w:num>
  <w:num w:numId="6" w16cid:durableId="319846440">
    <w:abstractNumId w:val="2"/>
  </w:num>
  <w:num w:numId="7" w16cid:durableId="707484515">
    <w:abstractNumId w:val="5"/>
  </w:num>
  <w:num w:numId="8" w16cid:durableId="929240592">
    <w:abstractNumId w:val="0"/>
  </w:num>
  <w:num w:numId="9" w16cid:durableId="962073138">
    <w:abstractNumId w:val="4"/>
    <w:lvlOverride w:ilvl="0">
      <w:lvl w:ilvl="0">
        <w:start w:val="1"/>
        <w:numFmt w:val="decimal"/>
        <w:lvlText w:val="%1."/>
        <w:lvlJc w:val="left"/>
        <w:pPr>
          <w:tabs>
            <w:tab w:val="num" w:pos="2790"/>
          </w:tabs>
          <w:ind w:left="279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num>
  <w:num w:numId="10" w16cid:durableId="1802266117">
    <w:abstractNumId w:val="12"/>
  </w:num>
  <w:num w:numId="11" w16cid:durableId="1389568553">
    <w:abstractNumId w:val="3"/>
  </w:num>
  <w:num w:numId="12" w16cid:durableId="276135448">
    <w:abstractNumId w:val="10"/>
    <w:lvlOverride w:ilvl="1">
      <w:lvl w:ilvl="1">
        <w:start w:val="1"/>
        <w:numFmt w:val="decimal"/>
        <w:pStyle w:val="Heading2"/>
        <w:lvlText w:val="%1.%2."/>
        <w:lvlJc w:val="left"/>
        <w:pPr>
          <w:tabs>
            <w:tab w:val="num" w:pos="1080"/>
          </w:tabs>
          <w:ind w:left="1080" w:hanging="720"/>
        </w:pPr>
        <w:rPr>
          <w:rFonts w:ascii="Arial" w:hAnsi="Arial" w:cs="Arial" w:hint="default"/>
          <w:b/>
          <w:i w:val="0"/>
          <w:caps w:val="0"/>
          <w:strike w:val="0"/>
          <w:dstrike w:val="0"/>
          <w:vanish w:val="0"/>
          <w:color w:val="auto"/>
          <w:kern w:val="0"/>
          <w:sz w:val="26"/>
          <w:u w:val="none"/>
          <w:vertAlign w:val="baseline"/>
          <w14:cntxtAlts w14:val="0"/>
        </w:rPr>
      </w:lvl>
    </w:lvlOverride>
  </w:num>
  <w:num w:numId="13" w16cid:durableId="8240563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4526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3761513">
    <w:abstractNumId w:val="11"/>
  </w:num>
  <w:num w:numId="16" w16cid:durableId="1110466418">
    <w:abstractNumId w:val="7"/>
  </w:num>
  <w:num w:numId="17" w16cid:durableId="420300706">
    <w:abstractNumId w:val="2"/>
  </w:num>
  <w:num w:numId="18" w16cid:durableId="743449208">
    <w:abstractNumId w:val="2"/>
  </w:num>
  <w:num w:numId="19" w16cid:durableId="904989744">
    <w:abstractNumId w:val="2"/>
  </w:num>
  <w:num w:numId="20" w16cid:durableId="1170562611">
    <w:abstractNumId w:val="2"/>
  </w:num>
  <w:num w:numId="21" w16cid:durableId="1918856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45"/>
    <w:rsid w:val="00000051"/>
    <w:rsid w:val="00000F6A"/>
    <w:rsid w:val="00001247"/>
    <w:rsid w:val="00005002"/>
    <w:rsid w:val="00006E05"/>
    <w:rsid w:val="0001047D"/>
    <w:rsid w:val="00032367"/>
    <w:rsid w:val="00033F39"/>
    <w:rsid w:val="00034A0A"/>
    <w:rsid w:val="00037765"/>
    <w:rsid w:val="000379F4"/>
    <w:rsid w:val="00046854"/>
    <w:rsid w:val="00047089"/>
    <w:rsid w:val="00050B2A"/>
    <w:rsid w:val="00051CF4"/>
    <w:rsid w:val="00054376"/>
    <w:rsid w:val="000625D7"/>
    <w:rsid w:val="00065B66"/>
    <w:rsid w:val="0006645A"/>
    <w:rsid w:val="0007009C"/>
    <w:rsid w:val="000706E4"/>
    <w:rsid w:val="0007115A"/>
    <w:rsid w:val="000739E3"/>
    <w:rsid w:val="00074BBB"/>
    <w:rsid w:val="00074DC8"/>
    <w:rsid w:val="00083705"/>
    <w:rsid w:val="000841EB"/>
    <w:rsid w:val="000926BF"/>
    <w:rsid w:val="000973C8"/>
    <w:rsid w:val="00097A6D"/>
    <w:rsid w:val="000A2AA9"/>
    <w:rsid w:val="000A3CEC"/>
    <w:rsid w:val="000A56F2"/>
    <w:rsid w:val="000A588E"/>
    <w:rsid w:val="000A6E05"/>
    <w:rsid w:val="000A746B"/>
    <w:rsid w:val="000B12FA"/>
    <w:rsid w:val="000C08BF"/>
    <w:rsid w:val="000C1638"/>
    <w:rsid w:val="000C3B9A"/>
    <w:rsid w:val="000C420A"/>
    <w:rsid w:val="000C7F41"/>
    <w:rsid w:val="000D25A8"/>
    <w:rsid w:val="000D2EEE"/>
    <w:rsid w:val="000D47ED"/>
    <w:rsid w:val="000D485B"/>
    <w:rsid w:val="000D53E7"/>
    <w:rsid w:val="000D7BE3"/>
    <w:rsid w:val="000E270A"/>
    <w:rsid w:val="000E3E7C"/>
    <w:rsid w:val="000E4C53"/>
    <w:rsid w:val="000F1345"/>
    <w:rsid w:val="000F4972"/>
    <w:rsid w:val="000F52A3"/>
    <w:rsid w:val="000F53BF"/>
    <w:rsid w:val="00100D50"/>
    <w:rsid w:val="001024D6"/>
    <w:rsid w:val="00114923"/>
    <w:rsid w:val="00121089"/>
    <w:rsid w:val="0012349F"/>
    <w:rsid w:val="00123BB1"/>
    <w:rsid w:val="00127E05"/>
    <w:rsid w:val="00130015"/>
    <w:rsid w:val="00130CD6"/>
    <w:rsid w:val="00133455"/>
    <w:rsid w:val="0014691C"/>
    <w:rsid w:val="0014788A"/>
    <w:rsid w:val="00150848"/>
    <w:rsid w:val="00151418"/>
    <w:rsid w:val="00152640"/>
    <w:rsid w:val="001539F1"/>
    <w:rsid w:val="00156FDE"/>
    <w:rsid w:val="00167491"/>
    <w:rsid w:val="001748D7"/>
    <w:rsid w:val="00174E03"/>
    <w:rsid w:val="0018007F"/>
    <w:rsid w:val="001833C4"/>
    <w:rsid w:val="00185102"/>
    <w:rsid w:val="0019076B"/>
    <w:rsid w:val="0019379A"/>
    <w:rsid w:val="00194C42"/>
    <w:rsid w:val="00196562"/>
    <w:rsid w:val="001A01ED"/>
    <w:rsid w:val="001A13AF"/>
    <w:rsid w:val="001A1FF1"/>
    <w:rsid w:val="001A27C1"/>
    <w:rsid w:val="001A2F40"/>
    <w:rsid w:val="001A39AB"/>
    <w:rsid w:val="001A7616"/>
    <w:rsid w:val="001B0B72"/>
    <w:rsid w:val="001B1C88"/>
    <w:rsid w:val="001B1EC1"/>
    <w:rsid w:val="001B372A"/>
    <w:rsid w:val="001B45B8"/>
    <w:rsid w:val="001C3574"/>
    <w:rsid w:val="001C363F"/>
    <w:rsid w:val="001C59B1"/>
    <w:rsid w:val="001D19FA"/>
    <w:rsid w:val="001D4CA7"/>
    <w:rsid w:val="001E1CC3"/>
    <w:rsid w:val="001E221E"/>
    <w:rsid w:val="001E26F6"/>
    <w:rsid w:val="001E2A62"/>
    <w:rsid w:val="001F2819"/>
    <w:rsid w:val="001F5952"/>
    <w:rsid w:val="002043EC"/>
    <w:rsid w:val="0020563A"/>
    <w:rsid w:val="00206E42"/>
    <w:rsid w:val="002102AB"/>
    <w:rsid w:val="00213B0C"/>
    <w:rsid w:val="00217E1B"/>
    <w:rsid w:val="0022430D"/>
    <w:rsid w:val="00224ADA"/>
    <w:rsid w:val="0022664B"/>
    <w:rsid w:val="00226698"/>
    <w:rsid w:val="002311AC"/>
    <w:rsid w:val="00237BF3"/>
    <w:rsid w:val="00241E3D"/>
    <w:rsid w:val="00242BB4"/>
    <w:rsid w:val="00243DC0"/>
    <w:rsid w:val="00246799"/>
    <w:rsid w:val="00247477"/>
    <w:rsid w:val="00247AC1"/>
    <w:rsid w:val="00250DDA"/>
    <w:rsid w:val="00252479"/>
    <w:rsid w:val="002530DE"/>
    <w:rsid w:val="00254BE8"/>
    <w:rsid w:val="00266DE6"/>
    <w:rsid w:val="00270440"/>
    <w:rsid w:val="002733C6"/>
    <w:rsid w:val="00277540"/>
    <w:rsid w:val="00277AC9"/>
    <w:rsid w:val="00281B89"/>
    <w:rsid w:val="00286FD9"/>
    <w:rsid w:val="00287BC5"/>
    <w:rsid w:val="00293DEE"/>
    <w:rsid w:val="00297CAC"/>
    <w:rsid w:val="002A0B5D"/>
    <w:rsid w:val="002A1963"/>
    <w:rsid w:val="002A79E9"/>
    <w:rsid w:val="002A7CC4"/>
    <w:rsid w:val="002B07FE"/>
    <w:rsid w:val="002B3402"/>
    <w:rsid w:val="002B5888"/>
    <w:rsid w:val="002B6B79"/>
    <w:rsid w:val="002C30BA"/>
    <w:rsid w:val="002C7FE9"/>
    <w:rsid w:val="002D0DC5"/>
    <w:rsid w:val="002D228B"/>
    <w:rsid w:val="002D4EFD"/>
    <w:rsid w:val="002D520D"/>
    <w:rsid w:val="002E3EDA"/>
    <w:rsid w:val="002E4918"/>
    <w:rsid w:val="002E7B88"/>
    <w:rsid w:val="002F0A8F"/>
    <w:rsid w:val="0030189B"/>
    <w:rsid w:val="00303D5F"/>
    <w:rsid w:val="00304555"/>
    <w:rsid w:val="003057FE"/>
    <w:rsid w:val="00315A97"/>
    <w:rsid w:val="00316071"/>
    <w:rsid w:val="003251BE"/>
    <w:rsid w:val="003274A6"/>
    <w:rsid w:val="003278D2"/>
    <w:rsid w:val="0033451B"/>
    <w:rsid w:val="00335EC5"/>
    <w:rsid w:val="00337C4E"/>
    <w:rsid w:val="00341704"/>
    <w:rsid w:val="003419E4"/>
    <w:rsid w:val="00343E5C"/>
    <w:rsid w:val="00344FB8"/>
    <w:rsid w:val="00355E20"/>
    <w:rsid w:val="00356E6E"/>
    <w:rsid w:val="0036017B"/>
    <w:rsid w:val="00362755"/>
    <w:rsid w:val="003628C6"/>
    <w:rsid w:val="003663B8"/>
    <w:rsid w:val="00373B93"/>
    <w:rsid w:val="00380CD1"/>
    <w:rsid w:val="0038158D"/>
    <w:rsid w:val="00381BAC"/>
    <w:rsid w:val="0038218B"/>
    <w:rsid w:val="003826C0"/>
    <w:rsid w:val="00383D6B"/>
    <w:rsid w:val="003942CC"/>
    <w:rsid w:val="003960A7"/>
    <w:rsid w:val="003970F4"/>
    <w:rsid w:val="003A23F4"/>
    <w:rsid w:val="003A38F0"/>
    <w:rsid w:val="003A4B06"/>
    <w:rsid w:val="003A59CA"/>
    <w:rsid w:val="003B0C6E"/>
    <w:rsid w:val="003B3247"/>
    <w:rsid w:val="003C06F0"/>
    <w:rsid w:val="003C61AD"/>
    <w:rsid w:val="003D3AF7"/>
    <w:rsid w:val="003D4387"/>
    <w:rsid w:val="003D701A"/>
    <w:rsid w:val="003D7EE0"/>
    <w:rsid w:val="003E4FB5"/>
    <w:rsid w:val="003F069A"/>
    <w:rsid w:val="003F4329"/>
    <w:rsid w:val="003F61CE"/>
    <w:rsid w:val="004013FD"/>
    <w:rsid w:val="00403676"/>
    <w:rsid w:val="00412534"/>
    <w:rsid w:val="00412C83"/>
    <w:rsid w:val="00412CF9"/>
    <w:rsid w:val="00416311"/>
    <w:rsid w:val="00417AA1"/>
    <w:rsid w:val="00420F9F"/>
    <w:rsid w:val="00421EC5"/>
    <w:rsid w:val="00426014"/>
    <w:rsid w:val="0042705D"/>
    <w:rsid w:val="00430DED"/>
    <w:rsid w:val="004325F4"/>
    <w:rsid w:val="004335BB"/>
    <w:rsid w:val="00434476"/>
    <w:rsid w:val="00434994"/>
    <w:rsid w:val="004367E4"/>
    <w:rsid w:val="00440589"/>
    <w:rsid w:val="00440868"/>
    <w:rsid w:val="004416FA"/>
    <w:rsid w:val="004424BA"/>
    <w:rsid w:val="0044581C"/>
    <w:rsid w:val="0044617E"/>
    <w:rsid w:val="00447323"/>
    <w:rsid w:val="00451815"/>
    <w:rsid w:val="0045350D"/>
    <w:rsid w:val="00454861"/>
    <w:rsid w:val="00456BD4"/>
    <w:rsid w:val="00460B7D"/>
    <w:rsid w:val="00466C42"/>
    <w:rsid w:val="004753D9"/>
    <w:rsid w:val="00475F43"/>
    <w:rsid w:val="00480CB0"/>
    <w:rsid w:val="00486216"/>
    <w:rsid w:val="004A3819"/>
    <w:rsid w:val="004A3A49"/>
    <w:rsid w:val="004A3E9B"/>
    <w:rsid w:val="004A5172"/>
    <w:rsid w:val="004A6AAC"/>
    <w:rsid w:val="004B34EA"/>
    <w:rsid w:val="004B5494"/>
    <w:rsid w:val="004C0909"/>
    <w:rsid w:val="004C3ACD"/>
    <w:rsid w:val="004C53F6"/>
    <w:rsid w:val="004C7A2B"/>
    <w:rsid w:val="004C7D3A"/>
    <w:rsid w:val="004E623E"/>
    <w:rsid w:val="004F4447"/>
    <w:rsid w:val="005018A8"/>
    <w:rsid w:val="00502BFB"/>
    <w:rsid w:val="00505A39"/>
    <w:rsid w:val="0051309E"/>
    <w:rsid w:val="005177C8"/>
    <w:rsid w:val="0052286B"/>
    <w:rsid w:val="005240BF"/>
    <w:rsid w:val="00524502"/>
    <w:rsid w:val="00527253"/>
    <w:rsid w:val="005338D5"/>
    <w:rsid w:val="00535EC3"/>
    <w:rsid w:val="00536645"/>
    <w:rsid w:val="00541972"/>
    <w:rsid w:val="005463D1"/>
    <w:rsid w:val="00564826"/>
    <w:rsid w:val="00566060"/>
    <w:rsid w:val="00570580"/>
    <w:rsid w:val="005833E9"/>
    <w:rsid w:val="00584806"/>
    <w:rsid w:val="00585390"/>
    <w:rsid w:val="005865F1"/>
    <w:rsid w:val="00591DA2"/>
    <w:rsid w:val="0059212B"/>
    <w:rsid w:val="00592ED7"/>
    <w:rsid w:val="00592F59"/>
    <w:rsid w:val="005939A5"/>
    <w:rsid w:val="00593B0A"/>
    <w:rsid w:val="00595115"/>
    <w:rsid w:val="00595CE7"/>
    <w:rsid w:val="005A045D"/>
    <w:rsid w:val="005A1123"/>
    <w:rsid w:val="005A148C"/>
    <w:rsid w:val="005A37C0"/>
    <w:rsid w:val="005A4597"/>
    <w:rsid w:val="005B0ED9"/>
    <w:rsid w:val="005B25B9"/>
    <w:rsid w:val="005B5313"/>
    <w:rsid w:val="005C01B3"/>
    <w:rsid w:val="005C0A91"/>
    <w:rsid w:val="005C3416"/>
    <w:rsid w:val="005C4660"/>
    <w:rsid w:val="005C58FA"/>
    <w:rsid w:val="005C5FE7"/>
    <w:rsid w:val="005C7773"/>
    <w:rsid w:val="005D0F02"/>
    <w:rsid w:val="005E003F"/>
    <w:rsid w:val="005E73CF"/>
    <w:rsid w:val="005E7B13"/>
    <w:rsid w:val="005F1501"/>
    <w:rsid w:val="005F4E43"/>
    <w:rsid w:val="005F4F87"/>
    <w:rsid w:val="005F674A"/>
    <w:rsid w:val="00600E01"/>
    <w:rsid w:val="006046E4"/>
    <w:rsid w:val="0060673D"/>
    <w:rsid w:val="00607C7E"/>
    <w:rsid w:val="00607D51"/>
    <w:rsid w:val="006153F7"/>
    <w:rsid w:val="006218AB"/>
    <w:rsid w:val="00630532"/>
    <w:rsid w:val="006306FD"/>
    <w:rsid w:val="00632207"/>
    <w:rsid w:val="0063491C"/>
    <w:rsid w:val="006378F6"/>
    <w:rsid w:val="006433ED"/>
    <w:rsid w:val="00646519"/>
    <w:rsid w:val="00651672"/>
    <w:rsid w:val="006524F3"/>
    <w:rsid w:val="006530C1"/>
    <w:rsid w:val="00655CA7"/>
    <w:rsid w:val="00661AFE"/>
    <w:rsid w:val="006626A8"/>
    <w:rsid w:val="00667AC8"/>
    <w:rsid w:val="00667D2D"/>
    <w:rsid w:val="006808FA"/>
    <w:rsid w:val="00680F19"/>
    <w:rsid w:val="00682B41"/>
    <w:rsid w:val="00686CE4"/>
    <w:rsid w:val="00687C55"/>
    <w:rsid w:val="006A0364"/>
    <w:rsid w:val="006A0503"/>
    <w:rsid w:val="006A1B03"/>
    <w:rsid w:val="006A29C3"/>
    <w:rsid w:val="006A42C3"/>
    <w:rsid w:val="006A62CB"/>
    <w:rsid w:val="006B1056"/>
    <w:rsid w:val="006B1BBB"/>
    <w:rsid w:val="006B226E"/>
    <w:rsid w:val="006B6E63"/>
    <w:rsid w:val="006C1F10"/>
    <w:rsid w:val="006C6A49"/>
    <w:rsid w:val="006C8209"/>
    <w:rsid w:val="006D13B4"/>
    <w:rsid w:val="006D48D8"/>
    <w:rsid w:val="006D5403"/>
    <w:rsid w:val="006D74B5"/>
    <w:rsid w:val="006D7540"/>
    <w:rsid w:val="006E21EA"/>
    <w:rsid w:val="006E35C4"/>
    <w:rsid w:val="006E5E28"/>
    <w:rsid w:val="006E6574"/>
    <w:rsid w:val="006E7905"/>
    <w:rsid w:val="006F0C7E"/>
    <w:rsid w:val="006F558A"/>
    <w:rsid w:val="006F5F45"/>
    <w:rsid w:val="00702F6A"/>
    <w:rsid w:val="00703F2A"/>
    <w:rsid w:val="00714CF2"/>
    <w:rsid w:val="007156B9"/>
    <w:rsid w:val="007172A4"/>
    <w:rsid w:val="00717431"/>
    <w:rsid w:val="00720817"/>
    <w:rsid w:val="00722850"/>
    <w:rsid w:val="007239B9"/>
    <w:rsid w:val="00730ADE"/>
    <w:rsid w:val="0073353F"/>
    <w:rsid w:val="00735A91"/>
    <w:rsid w:val="0074081A"/>
    <w:rsid w:val="007416D5"/>
    <w:rsid w:val="00742E45"/>
    <w:rsid w:val="007431A2"/>
    <w:rsid w:val="007442A2"/>
    <w:rsid w:val="007447AF"/>
    <w:rsid w:val="0074605D"/>
    <w:rsid w:val="00750668"/>
    <w:rsid w:val="00750816"/>
    <w:rsid w:val="00752581"/>
    <w:rsid w:val="00756EA6"/>
    <w:rsid w:val="00762429"/>
    <w:rsid w:val="00762B4B"/>
    <w:rsid w:val="007657C1"/>
    <w:rsid w:val="007704C3"/>
    <w:rsid w:val="00773170"/>
    <w:rsid w:val="007755C4"/>
    <w:rsid w:val="0077755F"/>
    <w:rsid w:val="00777F20"/>
    <w:rsid w:val="007855F8"/>
    <w:rsid w:val="00785E50"/>
    <w:rsid w:val="007933E6"/>
    <w:rsid w:val="00796A6A"/>
    <w:rsid w:val="007A21FF"/>
    <w:rsid w:val="007A2AF7"/>
    <w:rsid w:val="007A406D"/>
    <w:rsid w:val="007A4F4C"/>
    <w:rsid w:val="007A5CED"/>
    <w:rsid w:val="007A62B0"/>
    <w:rsid w:val="007A64DC"/>
    <w:rsid w:val="007B13BC"/>
    <w:rsid w:val="007B19CE"/>
    <w:rsid w:val="007B2540"/>
    <w:rsid w:val="007B6F67"/>
    <w:rsid w:val="007C16C8"/>
    <w:rsid w:val="007C2747"/>
    <w:rsid w:val="007C5A0C"/>
    <w:rsid w:val="007C7DE2"/>
    <w:rsid w:val="007E0283"/>
    <w:rsid w:val="007E0FEE"/>
    <w:rsid w:val="007E4A67"/>
    <w:rsid w:val="007E6FF4"/>
    <w:rsid w:val="007F1881"/>
    <w:rsid w:val="007F2017"/>
    <w:rsid w:val="007F26BB"/>
    <w:rsid w:val="007F3D7C"/>
    <w:rsid w:val="007F5E9B"/>
    <w:rsid w:val="00802DC8"/>
    <w:rsid w:val="00803314"/>
    <w:rsid w:val="00806D96"/>
    <w:rsid w:val="008122C4"/>
    <w:rsid w:val="00812371"/>
    <w:rsid w:val="008159CF"/>
    <w:rsid w:val="00816E05"/>
    <w:rsid w:val="00817244"/>
    <w:rsid w:val="0082492C"/>
    <w:rsid w:val="00825DA7"/>
    <w:rsid w:val="00832D73"/>
    <w:rsid w:val="008339BB"/>
    <w:rsid w:val="00834825"/>
    <w:rsid w:val="00836EA9"/>
    <w:rsid w:val="008407F4"/>
    <w:rsid w:val="00842579"/>
    <w:rsid w:val="00845182"/>
    <w:rsid w:val="0085378D"/>
    <w:rsid w:val="00860D5A"/>
    <w:rsid w:val="00860FD8"/>
    <w:rsid w:val="0086419A"/>
    <w:rsid w:val="00864C0D"/>
    <w:rsid w:val="0087023B"/>
    <w:rsid w:val="008716B6"/>
    <w:rsid w:val="008736E2"/>
    <w:rsid w:val="0087457C"/>
    <w:rsid w:val="00876D93"/>
    <w:rsid w:val="00876DAA"/>
    <w:rsid w:val="00883F4F"/>
    <w:rsid w:val="008952EE"/>
    <w:rsid w:val="008977FC"/>
    <w:rsid w:val="008A179F"/>
    <w:rsid w:val="008A7329"/>
    <w:rsid w:val="008B0716"/>
    <w:rsid w:val="008B0864"/>
    <w:rsid w:val="008B7FFC"/>
    <w:rsid w:val="008C35C6"/>
    <w:rsid w:val="008C64A0"/>
    <w:rsid w:val="008C7093"/>
    <w:rsid w:val="008C7413"/>
    <w:rsid w:val="008D16B7"/>
    <w:rsid w:val="008E22E6"/>
    <w:rsid w:val="008E2BC8"/>
    <w:rsid w:val="008E623B"/>
    <w:rsid w:val="008E6AE6"/>
    <w:rsid w:val="008F0116"/>
    <w:rsid w:val="008F143D"/>
    <w:rsid w:val="00900274"/>
    <w:rsid w:val="00901A9F"/>
    <w:rsid w:val="009022CA"/>
    <w:rsid w:val="00914AC2"/>
    <w:rsid w:val="009171FE"/>
    <w:rsid w:val="00917A32"/>
    <w:rsid w:val="00921B80"/>
    <w:rsid w:val="0092227D"/>
    <w:rsid w:val="00924078"/>
    <w:rsid w:val="009259B0"/>
    <w:rsid w:val="0092CA6D"/>
    <w:rsid w:val="00930A51"/>
    <w:rsid w:val="00932865"/>
    <w:rsid w:val="00935426"/>
    <w:rsid w:val="009418CD"/>
    <w:rsid w:val="00941EC9"/>
    <w:rsid w:val="00943164"/>
    <w:rsid w:val="00945D41"/>
    <w:rsid w:val="009460D1"/>
    <w:rsid w:val="0094776C"/>
    <w:rsid w:val="00955EC9"/>
    <w:rsid w:val="00956E55"/>
    <w:rsid w:val="00964257"/>
    <w:rsid w:val="0096620E"/>
    <w:rsid w:val="00971F72"/>
    <w:rsid w:val="0097214B"/>
    <w:rsid w:val="009722C6"/>
    <w:rsid w:val="00974CEB"/>
    <w:rsid w:val="0098138E"/>
    <w:rsid w:val="0098407B"/>
    <w:rsid w:val="0098655A"/>
    <w:rsid w:val="00987AC4"/>
    <w:rsid w:val="009907FE"/>
    <w:rsid w:val="00993FAD"/>
    <w:rsid w:val="00995043"/>
    <w:rsid w:val="009B712A"/>
    <w:rsid w:val="009B7415"/>
    <w:rsid w:val="009B7C26"/>
    <w:rsid w:val="009C4A04"/>
    <w:rsid w:val="009D0710"/>
    <w:rsid w:val="009D4042"/>
    <w:rsid w:val="009D7976"/>
    <w:rsid w:val="009E1C84"/>
    <w:rsid w:val="009E6052"/>
    <w:rsid w:val="009E7C7F"/>
    <w:rsid w:val="009F041C"/>
    <w:rsid w:val="009F3B29"/>
    <w:rsid w:val="009F5A18"/>
    <w:rsid w:val="009F6ECE"/>
    <w:rsid w:val="00A04B2C"/>
    <w:rsid w:val="00A06274"/>
    <w:rsid w:val="00A10D68"/>
    <w:rsid w:val="00A11288"/>
    <w:rsid w:val="00A12060"/>
    <w:rsid w:val="00A17BE5"/>
    <w:rsid w:val="00A17CE0"/>
    <w:rsid w:val="00A23D48"/>
    <w:rsid w:val="00A2613B"/>
    <w:rsid w:val="00A327D0"/>
    <w:rsid w:val="00A3308F"/>
    <w:rsid w:val="00A40C36"/>
    <w:rsid w:val="00A42306"/>
    <w:rsid w:val="00A43621"/>
    <w:rsid w:val="00A443E6"/>
    <w:rsid w:val="00A44E8D"/>
    <w:rsid w:val="00A45110"/>
    <w:rsid w:val="00A46EA8"/>
    <w:rsid w:val="00A473E4"/>
    <w:rsid w:val="00A50254"/>
    <w:rsid w:val="00A52B81"/>
    <w:rsid w:val="00A558FF"/>
    <w:rsid w:val="00A55ACD"/>
    <w:rsid w:val="00A63EBC"/>
    <w:rsid w:val="00A64157"/>
    <w:rsid w:val="00A64516"/>
    <w:rsid w:val="00A65AFC"/>
    <w:rsid w:val="00A671E1"/>
    <w:rsid w:val="00A7312B"/>
    <w:rsid w:val="00A736A1"/>
    <w:rsid w:val="00A80C08"/>
    <w:rsid w:val="00A83BCB"/>
    <w:rsid w:val="00A85D27"/>
    <w:rsid w:val="00A87370"/>
    <w:rsid w:val="00A9049A"/>
    <w:rsid w:val="00A934CD"/>
    <w:rsid w:val="00AA5CCC"/>
    <w:rsid w:val="00AA6388"/>
    <w:rsid w:val="00AB0E72"/>
    <w:rsid w:val="00AB317F"/>
    <w:rsid w:val="00AB3D28"/>
    <w:rsid w:val="00AB482D"/>
    <w:rsid w:val="00AB7875"/>
    <w:rsid w:val="00AC1C93"/>
    <w:rsid w:val="00AC5455"/>
    <w:rsid w:val="00AC68EE"/>
    <w:rsid w:val="00AC7E62"/>
    <w:rsid w:val="00AD3D94"/>
    <w:rsid w:val="00AD6106"/>
    <w:rsid w:val="00AE2B5E"/>
    <w:rsid w:val="00AE6E6D"/>
    <w:rsid w:val="00AF616C"/>
    <w:rsid w:val="00AF7803"/>
    <w:rsid w:val="00B01F7E"/>
    <w:rsid w:val="00B023B0"/>
    <w:rsid w:val="00B05539"/>
    <w:rsid w:val="00B1143B"/>
    <w:rsid w:val="00B11F07"/>
    <w:rsid w:val="00B13323"/>
    <w:rsid w:val="00B146A6"/>
    <w:rsid w:val="00B1485A"/>
    <w:rsid w:val="00B16C2A"/>
    <w:rsid w:val="00B16C48"/>
    <w:rsid w:val="00B217AF"/>
    <w:rsid w:val="00B3087D"/>
    <w:rsid w:val="00B320DF"/>
    <w:rsid w:val="00B32AAA"/>
    <w:rsid w:val="00B34794"/>
    <w:rsid w:val="00B42929"/>
    <w:rsid w:val="00B43CFD"/>
    <w:rsid w:val="00B466C8"/>
    <w:rsid w:val="00B476CC"/>
    <w:rsid w:val="00B601B3"/>
    <w:rsid w:val="00B60421"/>
    <w:rsid w:val="00B6180C"/>
    <w:rsid w:val="00B64CEE"/>
    <w:rsid w:val="00B730D1"/>
    <w:rsid w:val="00B762CF"/>
    <w:rsid w:val="00B81EB6"/>
    <w:rsid w:val="00B96436"/>
    <w:rsid w:val="00B9773B"/>
    <w:rsid w:val="00B9AD74"/>
    <w:rsid w:val="00BA1099"/>
    <w:rsid w:val="00BA2C80"/>
    <w:rsid w:val="00BB0243"/>
    <w:rsid w:val="00BB0257"/>
    <w:rsid w:val="00BB5BD5"/>
    <w:rsid w:val="00BB7C3B"/>
    <w:rsid w:val="00BC2F44"/>
    <w:rsid w:val="00BD198A"/>
    <w:rsid w:val="00BD1D41"/>
    <w:rsid w:val="00BD7EEA"/>
    <w:rsid w:val="00BE5ED2"/>
    <w:rsid w:val="00BF10D0"/>
    <w:rsid w:val="00C0088A"/>
    <w:rsid w:val="00C01032"/>
    <w:rsid w:val="00C040E4"/>
    <w:rsid w:val="00C064AA"/>
    <w:rsid w:val="00C0B630"/>
    <w:rsid w:val="00C10B5F"/>
    <w:rsid w:val="00C12BFF"/>
    <w:rsid w:val="00C20268"/>
    <w:rsid w:val="00C20B61"/>
    <w:rsid w:val="00C24E0E"/>
    <w:rsid w:val="00C2542D"/>
    <w:rsid w:val="00C27BBA"/>
    <w:rsid w:val="00C27D61"/>
    <w:rsid w:val="00C44950"/>
    <w:rsid w:val="00C52FE8"/>
    <w:rsid w:val="00C539D0"/>
    <w:rsid w:val="00C53FD5"/>
    <w:rsid w:val="00C56F79"/>
    <w:rsid w:val="00C60EB4"/>
    <w:rsid w:val="00C7582E"/>
    <w:rsid w:val="00C77224"/>
    <w:rsid w:val="00C80C6F"/>
    <w:rsid w:val="00C80F98"/>
    <w:rsid w:val="00C824AB"/>
    <w:rsid w:val="00C82EF6"/>
    <w:rsid w:val="00C83C9E"/>
    <w:rsid w:val="00C85C31"/>
    <w:rsid w:val="00C878D5"/>
    <w:rsid w:val="00C9033B"/>
    <w:rsid w:val="00C913A1"/>
    <w:rsid w:val="00C91990"/>
    <w:rsid w:val="00C91997"/>
    <w:rsid w:val="00C9747C"/>
    <w:rsid w:val="00CA0D7F"/>
    <w:rsid w:val="00CA1E26"/>
    <w:rsid w:val="00CA345E"/>
    <w:rsid w:val="00CA6EC2"/>
    <w:rsid w:val="00CB1559"/>
    <w:rsid w:val="00CB337A"/>
    <w:rsid w:val="00CC02A7"/>
    <w:rsid w:val="00CC6A99"/>
    <w:rsid w:val="00CD48FD"/>
    <w:rsid w:val="00CD7987"/>
    <w:rsid w:val="00CE0144"/>
    <w:rsid w:val="00CE2009"/>
    <w:rsid w:val="00CE2A8A"/>
    <w:rsid w:val="00CE2E8A"/>
    <w:rsid w:val="00CE70E7"/>
    <w:rsid w:val="00CE7D51"/>
    <w:rsid w:val="00CF07B0"/>
    <w:rsid w:val="00CF098F"/>
    <w:rsid w:val="00CF2358"/>
    <w:rsid w:val="00CF273C"/>
    <w:rsid w:val="00CF2AF9"/>
    <w:rsid w:val="00CF67CE"/>
    <w:rsid w:val="00D00AA3"/>
    <w:rsid w:val="00D02D46"/>
    <w:rsid w:val="00D0504E"/>
    <w:rsid w:val="00D07F73"/>
    <w:rsid w:val="00D11B92"/>
    <w:rsid w:val="00D14844"/>
    <w:rsid w:val="00D15480"/>
    <w:rsid w:val="00D15935"/>
    <w:rsid w:val="00D16C4F"/>
    <w:rsid w:val="00D17889"/>
    <w:rsid w:val="00D2041C"/>
    <w:rsid w:val="00D21CA5"/>
    <w:rsid w:val="00D232C1"/>
    <w:rsid w:val="00D2402A"/>
    <w:rsid w:val="00D25ADE"/>
    <w:rsid w:val="00D262B9"/>
    <w:rsid w:val="00D3535A"/>
    <w:rsid w:val="00D43297"/>
    <w:rsid w:val="00D44DB6"/>
    <w:rsid w:val="00D50119"/>
    <w:rsid w:val="00D5298F"/>
    <w:rsid w:val="00D6231A"/>
    <w:rsid w:val="00D6569C"/>
    <w:rsid w:val="00D709EC"/>
    <w:rsid w:val="00D737E6"/>
    <w:rsid w:val="00D73E22"/>
    <w:rsid w:val="00D7664C"/>
    <w:rsid w:val="00D76A55"/>
    <w:rsid w:val="00D82A43"/>
    <w:rsid w:val="00D833D2"/>
    <w:rsid w:val="00D84253"/>
    <w:rsid w:val="00D92000"/>
    <w:rsid w:val="00D932EF"/>
    <w:rsid w:val="00DA22AC"/>
    <w:rsid w:val="00DA2B72"/>
    <w:rsid w:val="00DA5A5A"/>
    <w:rsid w:val="00DA63BF"/>
    <w:rsid w:val="00DA7B5D"/>
    <w:rsid w:val="00DB497F"/>
    <w:rsid w:val="00DC081A"/>
    <w:rsid w:val="00DC1D96"/>
    <w:rsid w:val="00DC1FB7"/>
    <w:rsid w:val="00DC3263"/>
    <w:rsid w:val="00DD07FA"/>
    <w:rsid w:val="00DD1FED"/>
    <w:rsid w:val="00DD4BBF"/>
    <w:rsid w:val="00DD6BED"/>
    <w:rsid w:val="00DD763D"/>
    <w:rsid w:val="00DD7AC1"/>
    <w:rsid w:val="00DE103D"/>
    <w:rsid w:val="00DE2B69"/>
    <w:rsid w:val="00DE7AF5"/>
    <w:rsid w:val="00DE7FD4"/>
    <w:rsid w:val="00DF0253"/>
    <w:rsid w:val="00DF3557"/>
    <w:rsid w:val="00DF58E7"/>
    <w:rsid w:val="00E0391E"/>
    <w:rsid w:val="00E10B0F"/>
    <w:rsid w:val="00E11876"/>
    <w:rsid w:val="00E15A00"/>
    <w:rsid w:val="00E22582"/>
    <w:rsid w:val="00E22B30"/>
    <w:rsid w:val="00E23CBB"/>
    <w:rsid w:val="00E26966"/>
    <w:rsid w:val="00E27250"/>
    <w:rsid w:val="00E37B59"/>
    <w:rsid w:val="00E401C8"/>
    <w:rsid w:val="00E43045"/>
    <w:rsid w:val="00E4675F"/>
    <w:rsid w:val="00E47FF5"/>
    <w:rsid w:val="00E53438"/>
    <w:rsid w:val="00E53E69"/>
    <w:rsid w:val="00E55459"/>
    <w:rsid w:val="00E60BDD"/>
    <w:rsid w:val="00E646D2"/>
    <w:rsid w:val="00E70FFA"/>
    <w:rsid w:val="00E725FC"/>
    <w:rsid w:val="00E7560C"/>
    <w:rsid w:val="00E80FFD"/>
    <w:rsid w:val="00E819DF"/>
    <w:rsid w:val="00E81FA7"/>
    <w:rsid w:val="00EA0E29"/>
    <w:rsid w:val="00EA36C6"/>
    <w:rsid w:val="00EB0322"/>
    <w:rsid w:val="00EB2DA7"/>
    <w:rsid w:val="00EB4DE2"/>
    <w:rsid w:val="00EB754D"/>
    <w:rsid w:val="00EB7C58"/>
    <w:rsid w:val="00EC30F9"/>
    <w:rsid w:val="00EC3440"/>
    <w:rsid w:val="00EC3AE6"/>
    <w:rsid w:val="00EC44AB"/>
    <w:rsid w:val="00ED256C"/>
    <w:rsid w:val="00ED5725"/>
    <w:rsid w:val="00ED7031"/>
    <w:rsid w:val="00ED74BF"/>
    <w:rsid w:val="00EE1AFE"/>
    <w:rsid w:val="00EE3060"/>
    <w:rsid w:val="00EE3435"/>
    <w:rsid w:val="00EE4315"/>
    <w:rsid w:val="00EE61E1"/>
    <w:rsid w:val="00EF2D75"/>
    <w:rsid w:val="00EF6925"/>
    <w:rsid w:val="00F009FE"/>
    <w:rsid w:val="00F0273B"/>
    <w:rsid w:val="00F046BF"/>
    <w:rsid w:val="00F05D82"/>
    <w:rsid w:val="00F12B9E"/>
    <w:rsid w:val="00F21DCC"/>
    <w:rsid w:val="00F22ACC"/>
    <w:rsid w:val="00F22BAD"/>
    <w:rsid w:val="00F24878"/>
    <w:rsid w:val="00F26ED3"/>
    <w:rsid w:val="00F3082E"/>
    <w:rsid w:val="00F318FF"/>
    <w:rsid w:val="00F32B24"/>
    <w:rsid w:val="00F32E0B"/>
    <w:rsid w:val="00F35A03"/>
    <w:rsid w:val="00F417FC"/>
    <w:rsid w:val="00F43AD0"/>
    <w:rsid w:val="00F5249E"/>
    <w:rsid w:val="00F55E1C"/>
    <w:rsid w:val="00F62B7A"/>
    <w:rsid w:val="00F6397D"/>
    <w:rsid w:val="00F64994"/>
    <w:rsid w:val="00F70315"/>
    <w:rsid w:val="00F71C4E"/>
    <w:rsid w:val="00F7237C"/>
    <w:rsid w:val="00F7293E"/>
    <w:rsid w:val="00F74933"/>
    <w:rsid w:val="00F76650"/>
    <w:rsid w:val="00F806D8"/>
    <w:rsid w:val="00F9187B"/>
    <w:rsid w:val="00F92385"/>
    <w:rsid w:val="00F97A68"/>
    <w:rsid w:val="00FA07BF"/>
    <w:rsid w:val="00FA1B4F"/>
    <w:rsid w:val="00FA5721"/>
    <w:rsid w:val="00FA675A"/>
    <w:rsid w:val="00FA6ADA"/>
    <w:rsid w:val="00FB03FD"/>
    <w:rsid w:val="00FB1BA7"/>
    <w:rsid w:val="00FB4759"/>
    <w:rsid w:val="00FB4CF9"/>
    <w:rsid w:val="00FB6223"/>
    <w:rsid w:val="00FB6536"/>
    <w:rsid w:val="00FC2F72"/>
    <w:rsid w:val="00FC47F9"/>
    <w:rsid w:val="00FC66A1"/>
    <w:rsid w:val="00FD11EB"/>
    <w:rsid w:val="00FD4E06"/>
    <w:rsid w:val="00FD73BF"/>
    <w:rsid w:val="00FD75BA"/>
    <w:rsid w:val="00FE2351"/>
    <w:rsid w:val="00FE337D"/>
    <w:rsid w:val="00FE3BD9"/>
    <w:rsid w:val="00FE5580"/>
    <w:rsid w:val="00FF074C"/>
    <w:rsid w:val="00FF1109"/>
    <w:rsid w:val="00FF110C"/>
    <w:rsid w:val="00FF3CE8"/>
    <w:rsid w:val="0123D262"/>
    <w:rsid w:val="0150F505"/>
    <w:rsid w:val="016DB695"/>
    <w:rsid w:val="017DA0AB"/>
    <w:rsid w:val="019D11F7"/>
    <w:rsid w:val="01F18547"/>
    <w:rsid w:val="0217C97A"/>
    <w:rsid w:val="021F7101"/>
    <w:rsid w:val="02A7C286"/>
    <w:rsid w:val="02C34947"/>
    <w:rsid w:val="0343B7C5"/>
    <w:rsid w:val="036E5D3C"/>
    <w:rsid w:val="03D8A711"/>
    <w:rsid w:val="03E99512"/>
    <w:rsid w:val="0408CFB4"/>
    <w:rsid w:val="04A9536D"/>
    <w:rsid w:val="0570E225"/>
    <w:rsid w:val="05D1BD08"/>
    <w:rsid w:val="05DE593A"/>
    <w:rsid w:val="063346EB"/>
    <w:rsid w:val="064527F3"/>
    <w:rsid w:val="073E6E0C"/>
    <w:rsid w:val="07465BD9"/>
    <w:rsid w:val="075A76FA"/>
    <w:rsid w:val="077A299B"/>
    <w:rsid w:val="07A93BF0"/>
    <w:rsid w:val="07E4370F"/>
    <w:rsid w:val="080EE6F4"/>
    <w:rsid w:val="081D885D"/>
    <w:rsid w:val="0896A00B"/>
    <w:rsid w:val="08ACC2DA"/>
    <w:rsid w:val="090A4592"/>
    <w:rsid w:val="091E173D"/>
    <w:rsid w:val="09C8146C"/>
    <w:rsid w:val="09C8405B"/>
    <w:rsid w:val="0A03B277"/>
    <w:rsid w:val="0A37873A"/>
    <w:rsid w:val="0A9A644B"/>
    <w:rsid w:val="0AE3A3AF"/>
    <w:rsid w:val="0AEBEB82"/>
    <w:rsid w:val="0B9FB225"/>
    <w:rsid w:val="0BC41282"/>
    <w:rsid w:val="0BFA181B"/>
    <w:rsid w:val="0C55B7FF"/>
    <w:rsid w:val="0C669B68"/>
    <w:rsid w:val="0CBF01D8"/>
    <w:rsid w:val="0CC7CAA4"/>
    <w:rsid w:val="0CD9BAA3"/>
    <w:rsid w:val="0D1CF106"/>
    <w:rsid w:val="0D6107BB"/>
    <w:rsid w:val="0DA3B215"/>
    <w:rsid w:val="0DB23A8B"/>
    <w:rsid w:val="0DF18860"/>
    <w:rsid w:val="0E3CBE3E"/>
    <w:rsid w:val="0F853B80"/>
    <w:rsid w:val="10883B17"/>
    <w:rsid w:val="10C55C83"/>
    <w:rsid w:val="11210BE1"/>
    <w:rsid w:val="118F3D8F"/>
    <w:rsid w:val="1215C484"/>
    <w:rsid w:val="123F3883"/>
    <w:rsid w:val="129D0A9B"/>
    <w:rsid w:val="13197E46"/>
    <w:rsid w:val="132BFDCF"/>
    <w:rsid w:val="134DFA3B"/>
    <w:rsid w:val="1412EC66"/>
    <w:rsid w:val="1426CDA4"/>
    <w:rsid w:val="146E76E4"/>
    <w:rsid w:val="14AC48C6"/>
    <w:rsid w:val="14C0C1D3"/>
    <w:rsid w:val="14C5D024"/>
    <w:rsid w:val="14E3C281"/>
    <w:rsid w:val="14F735D2"/>
    <w:rsid w:val="15990FD2"/>
    <w:rsid w:val="163AAD7B"/>
    <w:rsid w:val="163B40D6"/>
    <w:rsid w:val="169B7556"/>
    <w:rsid w:val="170C5547"/>
    <w:rsid w:val="1738EE30"/>
    <w:rsid w:val="17622346"/>
    <w:rsid w:val="17A617A6"/>
    <w:rsid w:val="17D67DDC"/>
    <w:rsid w:val="17ED81A5"/>
    <w:rsid w:val="18AEE2CB"/>
    <w:rsid w:val="18C9D710"/>
    <w:rsid w:val="1941E807"/>
    <w:rsid w:val="197AD8BB"/>
    <w:rsid w:val="198D946E"/>
    <w:rsid w:val="199DAE82"/>
    <w:rsid w:val="19BD4418"/>
    <w:rsid w:val="19FADAE0"/>
    <w:rsid w:val="1A65A771"/>
    <w:rsid w:val="1B0BFA0A"/>
    <w:rsid w:val="1B112E18"/>
    <w:rsid w:val="1B37B9C7"/>
    <w:rsid w:val="1BBE1992"/>
    <w:rsid w:val="1BD26A0F"/>
    <w:rsid w:val="1BF1BD59"/>
    <w:rsid w:val="1C020F4A"/>
    <w:rsid w:val="1C0D9384"/>
    <w:rsid w:val="1C940DA1"/>
    <w:rsid w:val="1CA7CA6B"/>
    <w:rsid w:val="1CD0E209"/>
    <w:rsid w:val="1CEB7B62"/>
    <w:rsid w:val="1D07FCC3"/>
    <w:rsid w:val="1D31BCEC"/>
    <w:rsid w:val="1D826EFD"/>
    <w:rsid w:val="1DE65E03"/>
    <w:rsid w:val="1E410A15"/>
    <w:rsid w:val="1E4B04EA"/>
    <w:rsid w:val="1EA3CD24"/>
    <w:rsid w:val="1F27E276"/>
    <w:rsid w:val="1FAB6A11"/>
    <w:rsid w:val="1FF050DB"/>
    <w:rsid w:val="2053431F"/>
    <w:rsid w:val="208461A3"/>
    <w:rsid w:val="208F6621"/>
    <w:rsid w:val="210BB261"/>
    <w:rsid w:val="2163B25B"/>
    <w:rsid w:val="21673ADB"/>
    <w:rsid w:val="21895F6D"/>
    <w:rsid w:val="219A6CD8"/>
    <w:rsid w:val="21AB4A31"/>
    <w:rsid w:val="21C7A94E"/>
    <w:rsid w:val="223F7BE1"/>
    <w:rsid w:val="22CBD6FF"/>
    <w:rsid w:val="2363261B"/>
    <w:rsid w:val="2392A025"/>
    <w:rsid w:val="23C686B5"/>
    <w:rsid w:val="241D7078"/>
    <w:rsid w:val="2456029C"/>
    <w:rsid w:val="245988FA"/>
    <w:rsid w:val="249B531D"/>
    <w:rsid w:val="24B0E8B5"/>
    <w:rsid w:val="253914EC"/>
    <w:rsid w:val="2554E4E4"/>
    <w:rsid w:val="25650E8B"/>
    <w:rsid w:val="2637237E"/>
    <w:rsid w:val="26AB8067"/>
    <w:rsid w:val="26BE1CFF"/>
    <w:rsid w:val="26D1FB9C"/>
    <w:rsid w:val="26F2B55A"/>
    <w:rsid w:val="27019D5C"/>
    <w:rsid w:val="273DD628"/>
    <w:rsid w:val="27756173"/>
    <w:rsid w:val="27B3C40B"/>
    <w:rsid w:val="27D2F3DF"/>
    <w:rsid w:val="27DB2E0E"/>
    <w:rsid w:val="28759E83"/>
    <w:rsid w:val="2907C1E8"/>
    <w:rsid w:val="294A33B8"/>
    <w:rsid w:val="299ADBCE"/>
    <w:rsid w:val="29BA3C5C"/>
    <w:rsid w:val="29D3A96E"/>
    <w:rsid w:val="2A102B06"/>
    <w:rsid w:val="2A46C62D"/>
    <w:rsid w:val="2A54AAFE"/>
    <w:rsid w:val="2AA58026"/>
    <w:rsid w:val="2B36AC2F"/>
    <w:rsid w:val="2B5322F8"/>
    <w:rsid w:val="2BDB8A31"/>
    <w:rsid w:val="2C1F8922"/>
    <w:rsid w:val="2C89E3A1"/>
    <w:rsid w:val="2CD522F7"/>
    <w:rsid w:val="2CDDC3A0"/>
    <w:rsid w:val="2D3A3C79"/>
    <w:rsid w:val="2D6344AF"/>
    <w:rsid w:val="2DE742E3"/>
    <w:rsid w:val="2E18B2A3"/>
    <w:rsid w:val="2E34E070"/>
    <w:rsid w:val="2EADE01B"/>
    <w:rsid w:val="2EB214F0"/>
    <w:rsid w:val="2F06178A"/>
    <w:rsid w:val="2F57C15C"/>
    <w:rsid w:val="2F79D769"/>
    <w:rsid w:val="2FFB5304"/>
    <w:rsid w:val="30857A63"/>
    <w:rsid w:val="30B6BA2A"/>
    <w:rsid w:val="310D753B"/>
    <w:rsid w:val="31327DCF"/>
    <w:rsid w:val="31C63ECD"/>
    <w:rsid w:val="320D94B7"/>
    <w:rsid w:val="3275B874"/>
    <w:rsid w:val="32BAB406"/>
    <w:rsid w:val="32CC2C46"/>
    <w:rsid w:val="3349E91A"/>
    <w:rsid w:val="338C7537"/>
    <w:rsid w:val="3453E47B"/>
    <w:rsid w:val="3459B62D"/>
    <w:rsid w:val="35148771"/>
    <w:rsid w:val="3548927A"/>
    <w:rsid w:val="35771F69"/>
    <w:rsid w:val="35A5BF44"/>
    <w:rsid w:val="35ED46E6"/>
    <w:rsid w:val="35F0027B"/>
    <w:rsid w:val="36146781"/>
    <w:rsid w:val="368EF848"/>
    <w:rsid w:val="36A4C6A6"/>
    <w:rsid w:val="36EC10C7"/>
    <w:rsid w:val="373B29FE"/>
    <w:rsid w:val="376B1360"/>
    <w:rsid w:val="377A0FDA"/>
    <w:rsid w:val="37991433"/>
    <w:rsid w:val="37EA4699"/>
    <w:rsid w:val="3803AB64"/>
    <w:rsid w:val="38069AC7"/>
    <w:rsid w:val="3816EB1F"/>
    <w:rsid w:val="38A05D18"/>
    <w:rsid w:val="38A34E0E"/>
    <w:rsid w:val="38CB4FA1"/>
    <w:rsid w:val="38DD6006"/>
    <w:rsid w:val="392F1191"/>
    <w:rsid w:val="397C2F0A"/>
    <w:rsid w:val="39D042B0"/>
    <w:rsid w:val="3A3AED76"/>
    <w:rsid w:val="3A793067"/>
    <w:rsid w:val="3AA91F24"/>
    <w:rsid w:val="3AC325FF"/>
    <w:rsid w:val="3ACB1385"/>
    <w:rsid w:val="3B3F63D6"/>
    <w:rsid w:val="3B5152DE"/>
    <w:rsid w:val="3BA35430"/>
    <w:rsid w:val="3BAE31DE"/>
    <w:rsid w:val="3BD6BDD7"/>
    <w:rsid w:val="3BF93C02"/>
    <w:rsid w:val="3C0A3596"/>
    <w:rsid w:val="3C0DA192"/>
    <w:rsid w:val="3C0F6AD3"/>
    <w:rsid w:val="3C1500C8"/>
    <w:rsid w:val="3C268FB9"/>
    <w:rsid w:val="3C508E34"/>
    <w:rsid w:val="3C9862E1"/>
    <w:rsid w:val="3CA2BE5F"/>
    <w:rsid w:val="3CC9D652"/>
    <w:rsid w:val="3CF65737"/>
    <w:rsid w:val="3D21071C"/>
    <w:rsid w:val="3D61831C"/>
    <w:rsid w:val="3DB0D129"/>
    <w:rsid w:val="3DBA08AE"/>
    <w:rsid w:val="3E2D5F7C"/>
    <w:rsid w:val="3E6C5467"/>
    <w:rsid w:val="3F9E84A8"/>
    <w:rsid w:val="3FB29CD4"/>
    <w:rsid w:val="3FFC1714"/>
    <w:rsid w:val="4011ACAC"/>
    <w:rsid w:val="4027CF7B"/>
    <w:rsid w:val="403F996A"/>
    <w:rsid w:val="40BCAEAB"/>
    <w:rsid w:val="40CCAD25"/>
    <w:rsid w:val="41309008"/>
    <w:rsid w:val="4135CB5C"/>
    <w:rsid w:val="4143210D"/>
    <w:rsid w:val="414E6D35"/>
    <w:rsid w:val="41D79D3A"/>
    <w:rsid w:val="41F1886A"/>
    <w:rsid w:val="42211A45"/>
    <w:rsid w:val="42556A4F"/>
    <w:rsid w:val="42687D86"/>
    <w:rsid w:val="42FAB7E5"/>
    <w:rsid w:val="43796466"/>
    <w:rsid w:val="43CB0324"/>
    <w:rsid w:val="43DE6A2A"/>
    <w:rsid w:val="44044DE7"/>
    <w:rsid w:val="4431A19E"/>
    <w:rsid w:val="4438827F"/>
    <w:rsid w:val="4460D27B"/>
    <w:rsid w:val="44860DF7"/>
    <w:rsid w:val="44AFB99C"/>
    <w:rsid w:val="44DF0C5C"/>
    <w:rsid w:val="459828CE"/>
    <w:rsid w:val="460A85D1"/>
    <w:rsid w:val="4612DD02"/>
    <w:rsid w:val="4617E85E"/>
    <w:rsid w:val="46B3CC25"/>
    <w:rsid w:val="47A4865C"/>
    <w:rsid w:val="47FABAED"/>
    <w:rsid w:val="48B05349"/>
    <w:rsid w:val="48F157AE"/>
    <w:rsid w:val="48F381F4"/>
    <w:rsid w:val="490A4A30"/>
    <w:rsid w:val="492C3E91"/>
    <w:rsid w:val="4A449756"/>
    <w:rsid w:val="4A4C23AA"/>
    <w:rsid w:val="4A8A18A5"/>
    <w:rsid w:val="4BA988E1"/>
    <w:rsid w:val="4C30ED84"/>
    <w:rsid w:val="4C331218"/>
    <w:rsid w:val="4C7C7F73"/>
    <w:rsid w:val="4C891798"/>
    <w:rsid w:val="4C97EEFF"/>
    <w:rsid w:val="4CBC0161"/>
    <w:rsid w:val="4CDE352C"/>
    <w:rsid w:val="4CFF5981"/>
    <w:rsid w:val="4D07E0CF"/>
    <w:rsid w:val="4D52C3A1"/>
    <w:rsid w:val="4D58BD0D"/>
    <w:rsid w:val="4DAB302D"/>
    <w:rsid w:val="4E34D571"/>
    <w:rsid w:val="4EB6E315"/>
    <w:rsid w:val="4ED597DC"/>
    <w:rsid w:val="4EF9855A"/>
    <w:rsid w:val="4F47008E"/>
    <w:rsid w:val="4F5D89C8"/>
    <w:rsid w:val="4FB5463D"/>
    <w:rsid w:val="5015D5EE"/>
    <w:rsid w:val="50723453"/>
    <w:rsid w:val="507CFA04"/>
    <w:rsid w:val="5081661F"/>
    <w:rsid w:val="5087A321"/>
    <w:rsid w:val="51144DE8"/>
    <w:rsid w:val="5163F3E9"/>
    <w:rsid w:val="51867AD5"/>
    <w:rsid w:val="51E4937B"/>
    <w:rsid w:val="5218CA65"/>
    <w:rsid w:val="52850BD3"/>
    <w:rsid w:val="52868ED6"/>
    <w:rsid w:val="52952A8A"/>
    <w:rsid w:val="5365A704"/>
    <w:rsid w:val="537D818D"/>
    <w:rsid w:val="539FB7FA"/>
    <w:rsid w:val="53B49AC6"/>
    <w:rsid w:val="53CA2E22"/>
    <w:rsid w:val="541739B3"/>
    <w:rsid w:val="543A0BCE"/>
    <w:rsid w:val="54ACC98D"/>
    <w:rsid w:val="54B965BF"/>
    <w:rsid w:val="54F14309"/>
    <w:rsid w:val="551C343D"/>
    <w:rsid w:val="553B885B"/>
    <w:rsid w:val="557167A4"/>
    <w:rsid w:val="561BDCA1"/>
    <w:rsid w:val="56553620"/>
    <w:rsid w:val="5689E4A4"/>
    <w:rsid w:val="56BE305F"/>
    <w:rsid w:val="56C1F4E8"/>
    <w:rsid w:val="5771AC90"/>
    <w:rsid w:val="5783E97B"/>
    <w:rsid w:val="5808E055"/>
    <w:rsid w:val="585A00C0"/>
    <w:rsid w:val="588453BE"/>
    <w:rsid w:val="58D32A7C"/>
    <w:rsid w:val="58DE1CEC"/>
    <w:rsid w:val="59742040"/>
    <w:rsid w:val="59BA29D9"/>
    <w:rsid w:val="59BBC980"/>
    <w:rsid w:val="59CA58DB"/>
    <w:rsid w:val="59ECC311"/>
    <w:rsid w:val="59F5D121"/>
    <w:rsid w:val="5A2BC9D0"/>
    <w:rsid w:val="5A91A0BB"/>
    <w:rsid w:val="5AE8AF3C"/>
    <w:rsid w:val="5B91A182"/>
    <w:rsid w:val="5C5B4082"/>
    <w:rsid w:val="5C9A4741"/>
    <w:rsid w:val="5D55EA6F"/>
    <w:rsid w:val="5D68B5DF"/>
    <w:rsid w:val="5D92A389"/>
    <w:rsid w:val="5DC29146"/>
    <w:rsid w:val="5DE0EE14"/>
    <w:rsid w:val="5DED1BA1"/>
    <w:rsid w:val="5DF57903"/>
    <w:rsid w:val="5E15D37E"/>
    <w:rsid w:val="5EACD617"/>
    <w:rsid w:val="5EEC1D1E"/>
    <w:rsid w:val="5F034CB8"/>
    <w:rsid w:val="5F0C365D"/>
    <w:rsid w:val="5F1DAE9D"/>
    <w:rsid w:val="5F52DDF6"/>
    <w:rsid w:val="5F7CBE75"/>
    <w:rsid w:val="5FB6608C"/>
    <w:rsid w:val="5FB9F4F7"/>
    <w:rsid w:val="5FD1E803"/>
    <w:rsid w:val="60AE7C62"/>
    <w:rsid w:val="60F20FAF"/>
    <w:rsid w:val="6100E23F"/>
    <w:rsid w:val="6104282E"/>
    <w:rsid w:val="61176B79"/>
    <w:rsid w:val="61188ED6"/>
    <w:rsid w:val="613AE4F5"/>
    <w:rsid w:val="616DB864"/>
    <w:rsid w:val="61D558BC"/>
    <w:rsid w:val="61EC345D"/>
    <w:rsid w:val="61F7419B"/>
    <w:rsid w:val="621E34A5"/>
    <w:rsid w:val="6285A142"/>
    <w:rsid w:val="631DD59A"/>
    <w:rsid w:val="63C9C080"/>
    <w:rsid w:val="643BC8F0"/>
    <w:rsid w:val="64502F98"/>
    <w:rsid w:val="64B9A5FB"/>
    <w:rsid w:val="64D0CF1D"/>
    <w:rsid w:val="64E3C450"/>
    <w:rsid w:val="656E12B8"/>
    <w:rsid w:val="6578D7F5"/>
    <w:rsid w:val="65D4E162"/>
    <w:rsid w:val="65EADC9C"/>
    <w:rsid w:val="6614922D"/>
    <w:rsid w:val="66412987"/>
    <w:rsid w:val="6660CC72"/>
    <w:rsid w:val="667F94B1"/>
    <w:rsid w:val="6699944D"/>
    <w:rsid w:val="670F9825"/>
    <w:rsid w:val="6714A856"/>
    <w:rsid w:val="677FE0AA"/>
    <w:rsid w:val="6787D05A"/>
    <w:rsid w:val="678CCE7D"/>
    <w:rsid w:val="678D4A0E"/>
    <w:rsid w:val="6795962E"/>
    <w:rsid w:val="67C4A34A"/>
    <w:rsid w:val="685CB82A"/>
    <w:rsid w:val="68626AF0"/>
    <w:rsid w:val="6897505A"/>
    <w:rsid w:val="68DBCF3B"/>
    <w:rsid w:val="692C7A76"/>
    <w:rsid w:val="69471641"/>
    <w:rsid w:val="6947FB52"/>
    <w:rsid w:val="6A01D9A5"/>
    <w:rsid w:val="6AEE7765"/>
    <w:rsid w:val="6B746A33"/>
    <w:rsid w:val="6B84FB84"/>
    <w:rsid w:val="6C0D18F1"/>
    <w:rsid w:val="6C2C2D3B"/>
    <w:rsid w:val="6C664649"/>
    <w:rsid w:val="6CEAA635"/>
    <w:rsid w:val="6D1E2F7C"/>
    <w:rsid w:val="6D2CCB30"/>
    <w:rsid w:val="6D4C5E09"/>
    <w:rsid w:val="6D6B0F1C"/>
    <w:rsid w:val="6D7ED9A9"/>
    <w:rsid w:val="6DA85A5A"/>
    <w:rsid w:val="6EACE28E"/>
    <w:rsid w:val="6EC89B91"/>
    <w:rsid w:val="6ED1AC74"/>
    <w:rsid w:val="6EF00C0C"/>
    <w:rsid w:val="6EFA8D35"/>
    <w:rsid w:val="6F181B53"/>
    <w:rsid w:val="6F345F7B"/>
    <w:rsid w:val="6F394796"/>
    <w:rsid w:val="6F3F08E3"/>
    <w:rsid w:val="6F66D2EB"/>
    <w:rsid w:val="6F6FD8D8"/>
    <w:rsid w:val="6F7AF465"/>
    <w:rsid w:val="6FA3D627"/>
    <w:rsid w:val="701A29B6"/>
    <w:rsid w:val="70646BF2"/>
    <w:rsid w:val="7086A532"/>
    <w:rsid w:val="70A4408B"/>
    <w:rsid w:val="70D241EB"/>
    <w:rsid w:val="7141A5AB"/>
    <w:rsid w:val="71F98292"/>
    <w:rsid w:val="72003C53"/>
    <w:rsid w:val="72315A68"/>
    <w:rsid w:val="72506F34"/>
    <w:rsid w:val="7262840F"/>
    <w:rsid w:val="72A06CD3"/>
    <w:rsid w:val="7334957F"/>
    <w:rsid w:val="7352E248"/>
    <w:rsid w:val="73554FFC"/>
    <w:rsid w:val="73C0555F"/>
    <w:rsid w:val="73F608B3"/>
    <w:rsid w:val="748463B7"/>
    <w:rsid w:val="751BABD8"/>
    <w:rsid w:val="75294161"/>
    <w:rsid w:val="75398019"/>
    <w:rsid w:val="753C1D08"/>
    <w:rsid w:val="755ABE5A"/>
    <w:rsid w:val="755BCC87"/>
    <w:rsid w:val="75863A69"/>
    <w:rsid w:val="758C5741"/>
    <w:rsid w:val="759C001B"/>
    <w:rsid w:val="76113F1E"/>
    <w:rsid w:val="761EF50B"/>
    <w:rsid w:val="76DB9AFC"/>
    <w:rsid w:val="76F68EBB"/>
    <w:rsid w:val="77678A77"/>
    <w:rsid w:val="77B9977B"/>
    <w:rsid w:val="77D26DA5"/>
    <w:rsid w:val="77FB0B38"/>
    <w:rsid w:val="780566B6"/>
    <w:rsid w:val="7891B717"/>
    <w:rsid w:val="78925F1C"/>
    <w:rsid w:val="78AFE25E"/>
    <w:rsid w:val="78C609AC"/>
    <w:rsid w:val="78F42F01"/>
    <w:rsid w:val="7A143A1B"/>
    <w:rsid w:val="7A2E2F7D"/>
    <w:rsid w:val="7A311942"/>
    <w:rsid w:val="7A51320B"/>
    <w:rsid w:val="7A61DA0D"/>
    <w:rsid w:val="7A67B740"/>
    <w:rsid w:val="7ADE2A71"/>
    <w:rsid w:val="7B101E54"/>
    <w:rsid w:val="7B9BC8D4"/>
    <w:rsid w:val="7BBA109D"/>
    <w:rsid w:val="7BE33D6B"/>
    <w:rsid w:val="7BED026C"/>
    <w:rsid w:val="7CBF596A"/>
    <w:rsid w:val="7CC24F68"/>
    <w:rsid w:val="7D00C087"/>
    <w:rsid w:val="7D49EEB9"/>
    <w:rsid w:val="7D55E0FE"/>
    <w:rsid w:val="7DCE20DB"/>
    <w:rsid w:val="7E40062E"/>
    <w:rsid w:val="7E42BD08"/>
    <w:rsid w:val="7EE33814"/>
    <w:rsid w:val="7F4FC7F2"/>
    <w:rsid w:val="7F884012"/>
    <w:rsid w:val="7F9EF907"/>
    <w:rsid w:val="7FC2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0CB8F"/>
  <w15:docId w15:val="{5F0A9803-F479-46DD-B7C0-98BC2C1EA21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9"/>
    <w:qFormat/>
    <w:rsid w:val="000E270A"/>
    <w:pPr>
      <w:numPr>
        <w:numId w:val="12"/>
      </w:numPr>
      <w:ind w:right="2160"/>
    </w:pPr>
    <w:rPr>
      <w:rFonts w:eastAsiaTheme="majorEastAsia" w:cstheme="majorBidi"/>
      <w:szCs w:val="32"/>
    </w:rPr>
  </w:style>
  <w:style w:type="paragraph" w:styleId="Heading2">
    <w:name w:val="heading 2"/>
    <w:basedOn w:val="Dummy"/>
    <w:next w:val="Standard"/>
    <w:link w:val="Heading2Char"/>
    <w:uiPriority w:val="9"/>
    <w:qFormat/>
    <w:rsid w:val="000E270A"/>
    <w:pPr>
      <w:numPr>
        <w:ilvl w:val="1"/>
        <w:numId w:val="12"/>
      </w:numPr>
      <w:ind w:right="2160"/>
      <w:outlineLvl w:val="1"/>
    </w:pPr>
  </w:style>
  <w:style w:type="paragraph" w:styleId="Heading3">
    <w:name w:val="heading 3"/>
    <w:basedOn w:val="Dummy"/>
    <w:next w:val="Standard"/>
    <w:link w:val="Heading3Char"/>
    <w:uiPriority w:val="4"/>
    <w:qFormat/>
    <w:rsid w:val="000E270A"/>
    <w:pPr>
      <w:numPr>
        <w:ilvl w:val="2"/>
        <w:numId w:val="12"/>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2"/>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2"/>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2"/>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9"/>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qFormat/>
    <w:rsid w:val="006A1B03"/>
    <w:pPr>
      <w:spacing w:line="240" w:lineRule="auto"/>
      <w:ind w:left="1123" w:right="720" w:hanging="648"/>
    </w:pPr>
    <w:rPr>
      <w:rFonts w:eastAsiaTheme="minorEastAsia" w:cs="Times New Roman"/>
    </w:rPr>
  </w:style>
  <w:style w:type="paragraph" w:styleId="TOC1">
    <w:name w:val="toc 1"/>
    <w:basedOn w:val="Normal"/>
    <w:next w:val="Normal"/>
    <w:uiPriority w:val="39"/>
    <w:unhideWhenUsed/>
    <w:qFormat/>
    <w:rsid w:val="006A1B03"/>
    <w:pPr>
      <w:spacing w:line="240" w:lineRule="auto"/>
      <w:ind w:left="475" w:right="720" w:hanging="475"/>
    </w:pPr>
    <w:rPr>
      <w:rFonts w:eastAsiaTheme="minorEastAsia" w:cs="Times New Roman"/>
    </w:rPr>
  </w:style>
  <w:style w:type="paragraph" w:styleId="TOC3">
    <w:name w:val="toc 3"/>
    <w:basedOn w:val="Normal"/>
    <w:next w:val="Normal"/>
    <w:uiPriority w:val="39"/>
    <w:unhideWhenUsed/>
    <w:qFormat/>
    <w:rsid w:val="006A1B03"/>
    <w:pPr>
      <w:spacing w:line="240" w:lineRule="auto"/>
      <w:ind w:left="1987"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4"/>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5"/>
      </w:numPr>
    </w:pPr>
  </w:style>
  <w:style w:type="paragraph" w:customStyle="1" w:styleId="CoL">
    <w:name w:val="CoL"/>
    <w:basedOn w:val="FoF"/>
    <w:uiPriority w:val="7"/>
    <w:qFormat/>
    <w:rsid w:val="006A1B03"/>
    <w:rPr>
      <w:szCs w:val="26"/>
    </w:r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6"/>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7"/>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2"/>
      </w:numPr>
      <w:spacing w:after="120" w:line="240" w:lineRule="auto"/>
    </w:pPr>
  </w:style>
  <w:style w:type="paragraph" w:styleId="ListBullet">
    <w:name w:val="List Bullet"/>
    <w:basedOn w:val="Standard"/>
    <w:uiPriority w:val="4"/>
    <w:qFormat/>
    <w:rsid w:val="001F2819"/>
    <w:pPr>
      <w:numPr>
        <w:numId w:val="8"/>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6A1B03"/>
    <w:pPr>
      <w:spacing w:line="240" w:lineRule="auto"/>
      <w:ind w:left="3974" w:right="720" w:hanging="1987"/>
    </w:pPr>
  </w:style>
  <w:style w:type="paragraph" w:styleId="TOC5">
    <w:name w:val="toc 5"/>
    <w:basedOn w:val="Normal"/>
    <w:next w:val="Normal"/>
    <w:autoRedefine/>
    <w:uiPriority w:val="39"/>
    <w:unhideWhenUsed/>
    <w:rsid w:val="006A1B03"/>
    <w:pPr>
      <w:spacing w:line="240" w:lineRule="auto"/>
      <w:ind w:left="4291" w:right="720" w:hanging="1296"/>
    </w:pPr>
  </w:style>
  <w:style w:type="paragraph" w:styleId="TOC6">
    <w:name w:val="toc 6"/>
    <w:basedOn w:val="Normal"/>
    <w:next w:val="Normal"/>
    <w:autoRedefine/>
    <w:uiPriority w:val="39"/>
    <w:unhideWhenUsed/>
    <w:rsid w:val="006A1B03"/>
    <w:pPr>
      <w:spacing w:line="240" w:lineRule="auto"/>
      <w:ind w:left="5731" w:right="720" w:hanging="1440"/>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2"/>
      </w:numPr>
      <w:spacing w:after="120" w:line="240" w:lineRule="auto"/>
    </w:pPr>
  </w:style>
  <w:style w:type="character" w:styleId="CommentReference">
    <w:name w:val="annotation reference"/>
    <w:basedOn w:val="DefaultParagraphFont"/>
    <w:uiPriority w:val="99"/>
    <w:semiHidden/>
    <w:unhideWhenUsed/>
    <w:rsid w:val="003419E4"/>
    <w:rPr>
      <w:sz w:val="16"/>
      <w:szCs w:val="16"/>
    </w:rPr>
  </w:style>
  <w:style w:type="paragraph" w:styleId="CommentText">
    <w:name w:val="annotation text"/>
    <w:basedOn w:val="Normal"/>
    <w:link w:val="CommentTextChar"/>
    <w:uiPriority w:val="99"/>
    <w:unhideWhenUsed/>
    <w:rsid w:val="003419E4"/>
    <w:pPr>
      <w:spacing w:line="240" w:lineRule="auto"/>
    </w:pPr>
    <w:rPr>
      <w:sz w:val="20"/>
      <w:szCs w:val="20"/>
    </w:rPr>
  </w:style>
  <w:style w:type="character" w:customStyle="1" w:styleId="CommentTextChar">
    <w:name w:val="Comment Text Char"/>
    <w:basedOn w:val="DefaultParagraphFont"/>
    <w:link w:val="CommentText"/>
    <w:uiPriority w:val="99"/>
    <w:rsid w:val="003419E4"/>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3419E4"/>
    <w:rPr>
      <w:b/>
      <w:bCs/>
    </w:rPr>
  </w:style>
  <w:style w:type="character" w:customStyle="1" w:styleId="CommentSubjectChar">
    <w:name w:val="Comment Subject Char"/>
    <w:basedOn w:val="CommentTextChar"/>
    <w:link w:val="CommentSubject"/>
    <w:uiPriority w:val="99"/>
    <w:semiHidden/>
    <w:rsid w:val="003419E4"/>
    <w:rPr>
      <w:rFonts w:ascii="Book Antiqua" w:hAnsi="Book Antiqua"/>
      <w:b/>
      <w:bCs/>
      <w:sz w:val="20"/>
      <w:szCs w:val="20"/>
    </w:rPr>
  </w:style>
  <w:style w:type="paragraph" w:styleId="BodyText">
    <w:name w:val="Body Text"/>
    <w:basedOn w:val="Normal"/>
    <w:link w:val="BodyTextChar"/>
    <w:uiPriority w:val="1"/>
    <w:qFormat/>
    <w:rsid w:val="00FB03FD"/>
    <w:pPr>
      <w:widowControl w:val="0"/>
      <w:autoSpaceDE w:val="0"/>
      <w:autoSpaceDN w:val="0"/>
      <w:spacing w:line="240" w:lineRule="auto"/>
      <w:ind w:left="220" w:firstLine="0"/>
    </w:pPr>
    <w:rPr>
      <w:rFonts w:eastAsia="Book Antiqua" w:cs="Book Antiqua"/>
      <w:szCs w:val="26"/>
    </w:rPr>
  </w:style>
  <w:style w:type="character" w:customStyle="1" w:styleId="BodyTextChar">
    <w:name w:val="Body Text Char"/>
    <w:basedOn w:val="DefaultParagraphFont"/>
    <w:link w:val="BodyText"/>
    <w:uiPriority w:val="1"/>
    <w:rsid w:val="00FB03FD"/>
    <w:rPr>
      <w:rFonts w:ascii="Book Antiqua" w:eastAsia="Book Antiqua" w:hAnsi="Book Antiqua" w:cs="Book Antiqua"/>
      <w:sz w:val="26"/>
      <w:szCs w:val="26"/>
    </w:rPr>
  </w:style>
  <w:style w:type="paragraph" w:styleId="ListParagraph">
    <w:name w:val="List Paragraph"/>
    <w:basedOn w:val="Normal"/>
    <w:uiPriority w:val="1"/>
    <w:qFormat/>
    <w:rsid w:val="00FB03FD"/>
    <w:pPr>
      <w:widowControl w:val="0"/>
      <w:autoSpaceDE w:val="0"/>
      <w:autoSpaceDN w:val="0"/>
      <w:spacing w:line="240" w:lineRule="auto"/>
      <w:ind w:left="220" w:firstLine="271"/>
    </w:pPr>
    <w:rPr>
      <w:rFonts w:eastAsia="Book Antiqua" w:cs="Book Antiqua"/>
      <w:sz w:val="22"/>
    </w:rPr>
  </w:style>
  <w:style w:type="paragraph" w:customStyle="1" w:styleId="TableParagraph">
    <w:name w:val="Table Paragraph"/>
    <w:basedOn w:val="Normal"/>
    <w:uiPriority w:val="1"/>
    <w:qFormat/>
    <w:rsid w:val="00FB03FD"/>
    <w:pPr>
      <w:widowControl w:val="0"/>
      <w:autoSpaceDE w:val="0"/>
      <w:autoSpaceDN w:val="0"/>
      <w:spacing w:line="240" w:lineRule="auto"/>
      <w:ind w:firstLine="0"/>
    </w:pPr>
    <w:rPr>
      <w:rFonts w:eastAsia="Book Antiqua" w:cs="Book Antiqua"/>
      <w:sz w:val="22"/>
    </w:rPr>
  </w:style>
  <w:style w:type="paragraph" w:styleId="Revision">
    <w:name w:val="Revision"/>
    <w:hidden/>
    <w:uiPriority w:val="99"/>
    <w:semiHidden/>
    <w:rsid w:val="00C82EF6"/>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22713">
      <w:bodyDiv w:val="1"/>
      <w:marLeft w:val="0"/>
      <w:marRight w:val="0"/>
      <w:marTop w:val="0"/>
      <w:marBottom w:val="0"/>
      <w:divBdr>
        <w:top w:val="none" w:sz="0" w:space="0" w:color="auto"/>
        <w:left w:val="none" w:sz="0" w:space="0" w:color="auto"/>
        <w:bottom w:val="none" w:sz="0" w:space="0" w:color="auto"/>
        <w:right w:val="none" w:sz="0" w:space="0" w:color="auto"/>
      </w:divBdr>
    </w:div>
    <w:div w:id="1725830632">
      <w:bodyDiv w:val="1"/>
      <w:marLeft w:val="0"/>
      <w:marRight w:val="0"/>
      <w:marTop w:val="0"/>
      <w:marBottom w:val="0"/>
      <w:divBdr>
        <w:top w:val="none" w:sz="0" w:space="0" w:color="auto"/>
        <w:left w:val="none" w:sz="0" w:space="0" w:color="auto"/>
        <w:bottom w:val="none" w:sz="0" w:space="0" w:color="auto"/>
        <w:right w:val="none" w:sz="0" w:space="0" w:color="auto"/>
      </w:divBdr>
    </w:div>
    <w:div w:id="172629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hyperlink" Target="http://docs.cpuc.ca.gov/PublishedDocs/Published/G000/M521/K448/521448386.pdf" TargetMode="External" Id="R3fdb6521547e40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64</ap:Pages>
  <ap:Words>14598</ap:Words>
  <ap:Characters>83211</ap:Characters>
  <ap:Application>Microsoft Office Word</ap:Application>
  <ap:DocSecurity>0</ap:DocSecurity>
  <ap:Lines>693</ap:Lines>
  <ap:Paragraphs>195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97614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2023-12-13T02:30:00Z</cp:lastPrinted>
  <dcterms:created xsi:type="dcterms:W3CDTF">2023-12-12T20:12:02Z</dcterms:created>
  <dcterms:modified xsi:type="dcterms:W3CDTF">2023-12-12T20:12:02Z</dcterms:modified>
</cp:coreProperties>
</file>