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168" w:rsidP="00F31610" w:rsidRDefault="009C2168" w14:paraId="34DC97D3" w14:textId="0A91F55E">
      <w:pPr>
        <w:pStyle w:val="Header"/>
        <w:tabs>
          <w:tab w:val="clear" w:pos="4320"/>
          <w:tab w:val="clear" w:pos="8640"/>
          <w:tab w:val="center" w:pos="4680"/>
          <w:tab w:val="right" w:pos="9360"/>
        </w:tabs>
        <w:rPr>
          <w:b/>
          <w:szCs w:val="26"/>
        </w:rPr>
      </w:pPr>
      <w:r>
        <w:t>ALJ/EC2/</w:t>
      </w:r>
      <w:proofErr w:type="spellStart"/>
      <w:r w:rsidR="000465A1">
        <w:t>sgu</w:t>
      </w:r>
      <w:proofErr w:type="spellEnd"/>
      <w:r w:rsidRPr="00270AB9">
        <w:rPr>
          <w:szCs w:val="26"/>
        </w:rPr>
        <w:tab/>
      </w:r>
      <w:r w:rsidR="00F31610">
        <w:rPr>
          <w:szCs w:val="26"/>
        </w:rPr>
        <w:tab/>
      </w:r>
      <w:r w:rsidR="00F31610">
        <w:rPr>
          <w:b/>
          <w:szCs w:val="26"/>
        </w:rPr>
        <w:t>Date of Issuance 12/20/2023</w:t>
      </w:r>
    </w:p>
    <w:p w:rsidRPr="00270AB9" w:rsidR="00F31610" w:rsidP="00F31610" w:rsidRDefault="00F31610" w14:paraId="3DC5E1E4" w14:textId="77777777">
      <w:pPr>
        <w:pStyle w:val="Header"/>
        <w:tabs>
          <w:tab w:val="clear" w:pos="4320"/>
          <w:tab w:val="clear" w:pos="8640"/>
          <w:tab w:val="center" w:pos="4680"/>
          <w:tab w:val="right" w:pos="9360"/>
        </w:tabs>
        <w:rPr>
          <w:szCs w:val="26"/>
        </w:rPr>
      </w:pPr>
    </w:p>
    <w:p w:rsidRPr="00270AB9" w:rsidR="009C2168" w:rsidP="009C2168" w:rsidRDefault="009C2168" w14:paraId="0DB946E8" w14:textId="77777777">
      <w:pPr>
        <w:tabs>
          <w:tab w:val="center" w:pos="4680"/>
          <w:tab w:val="right" w:pos="9360"/>
        </w:tabs>
        <w:rPr>
          <w:szCs w:val="26"/>
        </w:rPr>
      </w:pPr>
    </w:p>
    <w:p w:rsidRPr="00270AB9" w:rsidR="009C2168" w:rsidP="009C2168" w:rsidRDefault="009C2168" w14:paraId="17E1F02D" w14:textId="319F1125">
      <w:pPr>
        <w:suppressAutoHyphens/>
        <w:rPr>
          <w:szCs w:val="26"/>
        </w:rPr>
      </w:pPr>
      <w:r w:rsidRPr="00270AB9">
        <w:rPr>
          <w:szCs w:val="26"/>
        </w:rPr>
        <w:t xml:space="preserve">Decision </w:t>
      </w:r>
      <w:r w:rsidR="00F31610">
        <w:rPr>
          <w:szCs w:val="26"/>
        </w:rPr>
        <w:t>23-12-025 December 14, 2023</w:t>
      </w:r>
    </w:p>
    <w:p w:rsidR="009C2168" w:rsidP="009C2168" w:rsidRDefault="009C2168" w14:paraId="51C7A32C"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009C2168" w:rsidTr="00B6075A" w14:paraId="1B6AFD65" w14:textId="77777777">
        <w:tc>
          <w:tcPr>
            <w:tcW w:w="4860" w:type="dxa"/>
            <w:tcBorders>
              <w:bottom w:val="single" w:color="auto" w:sz="6" w:space="0"/>
              <w:right w:val="single" w:color="auto" w:sz="6" w:space="0"/>
            </w:tcBorders>
            <w:shd w:val="clear" w:color="auto" w:fill="auto"/>
          </w:tcPr>
          <w:p w:rsidR="005825F8" w:rsidP="005825F8" w:rsidRDefault="005825F8" w14:paraId="3BA81A0E" w14:textId="77777777">
            <w:r>
              <w:t xml:space="preserve">Application of San Diego Gas &amp; Electric </w:t>
            </w:r>
          </w:p>
          <w:p w:rsidR="005825F8" w:rsidP="005825F8" w:rsidRDefault="005825F8" w14:paraId="23EBDFF3" w14:textId="4E86512F">
            <w:r>
              <w:t xml:space="preserve">Company (U 902-E) for Approval of: (i) Contract Administration, Least-Cost Dispatch and Power Procurement Activities in 2020, (ii) Costs Related </w:t>
            </w:r>
          </w:p>
          <w:p w:rsidR="005825F8" w:rsidP="005825F8" w:rsidRDefault="005825F8" w14:paraId="3A269C0E" w14:textId="777EFF01">
            <w:r>
              <w:t xml:space="preserve">to those Activities Recorded to the Energy Resource Recovery Account, Portfolio Allocation Balancing Account, Power Charge Indifference Adjustment </w:t>
            </w:r>
            <w:proofErr w:type="spellStart"/>
            <w:r>
              <w:t>Undercollection</w:t>
            </w:r>
            <w:proofErr w:type="spellEnd"/>
            <w:r>
              <w:t xml:space="preserve"> Balancing Account, </w:t>
            </w:r>
          </w:p>
          <w:p w:rsidRPr="00825448" w:rsidR="00B6075A" w:rsidP="005825F8" w:rsidRDefault="005825F8" w14:paraId="199D557A" w14:textId="4EA95C73">
            <w:r>
              <w:t>Transition Cost Balancing Account, and Local Generating Balancing Account in 2020, and (iii) Costs Recorded in Related Regulatory Accounts in 2020</w:t>
            </w:r>
          </w:p>
        </w:tc>
        <w:tc>
          <w:tcPr>
            <w:tcW w:w="4860" w:type="dxa"/>
            <w:tcBorders>
              <w:left w:val="nil"/>
            </w:tcBorders>
            <w:shd w:val="clear" w:color="auto" w:fill="auto"/>
          </w:tcPr>
          <w:p w:rsidR="009C2168" w:rsidP="00DE3C55" w:rsidRDefault="009C2168" w14:paraId="43E4D78D" w14:textId="77777777">
            <w:pPr>
              <w:jc w:val="center"/>
            </w:pPr>
          </w:p>
          <w:p w:rsidR="009C2168" w:rsidP="00DE3C55" w:rsidRDefault="009C2168" w14:paraId="3D2E18D6" w14:textId="77777777">
            <w:pPr>
              <w:jc w:val="center"/>
            </w:pPr>
          </w:p>
          <w:p w:rsidR="006B0D6F" w:rsidP="00DE3C55" w:rsidRDefault="006B0D6F" w14:paraId="5DDEDFEB" w14:textId="77777777">
            <w:pPr>
              <w:jc w:val="center"/>
            </w:pPr>
          </w:p>
          <w:p w:rsidR="006B0D6F" w:rsidP="00DE3C55" w:rsidRDefault="006B0D6F" w14:paraId="401B317C" w14:textId="77777777">
            <w:pPr>
              <w:jc w:val="center"/>
            </w:pPr>
          </w:p>
          <w:p w:rsidR="00B6075A" w:rsidP="00DE3C55" w:rsidRDefault="00B6075A" w14:paraId="50D6473B" w14:textId="77777777">
            <w:pPr>
              <w:jc w:val="center"/>
            </w:pPr>
          </w:p>
          <w:p w:rsidR="009C2168" w:rsidP="00DE3C55" w:rsidRDefault="009C2168" w14:paraId="2C7B90B3" w14:textId="096BBC7D">
            <w:pPr>
              <w:jc w:val="center"/>
            </w:pPr>
            <w:r>
              <w:t xml:space="preserve">Application </w:t>
            </w:r>
            <w:r w:rsidR="00805497">
              <w:t>21-</w:t>
            </w:r>
            <w:r w:rsidR="005825F8">
              <w:t>06-004</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9C2168" w:rsidRDefault="009C2168" w14:paraId="178FF587" w14:textId="77777777">
      <w:pPr>
        <w:keepNext/>
        <w:tabs>
          <w:tab w:val="center" w:pos="4680"/>
        </w:tabs>
        <w:spacing w:before="120" w:after="240"/>
        <w:outlineLvl w:val="0"/>
        <w:rPr>
          <w:rFonts w:ascii="Arial" w:hAnsi="Arial" w:cs="Arial"/>
          <w:b/>
        </w:rPr>
      </w:pPr>
      <w:bookmarkStart w:name="_Toc370798910" w:id="1"/>
      <w:bookmarkEnd w:id="0"/>
      <w:r w:rsidRPr="00E304D2">
        <w:rPr>
          <w:rFonts w:ascii="Arial" w:hAnsi="Arial" w:cs="Arial"/>
          <w:b/>
        </w:rPr>
        <w:t>Summary</w:t>
      </w:r>
    </w:p>
    <w:p w:rsidRPr="003A3FFB" w:rsidR="009C2168" w:rsidP="009C2168" w:rsidRDefault="009C2168" w14:paraId="08CAEAE0" w14:textId="4E9D7B89">
      <w:pPr>
        <w:spacing w:line="360" w:lineRule="auto"/>
        <w:ind w:firstLine="720"/>
      </w:pPr>
      <w:r w:rsidRPr="0007271A">
        <w:t xml:space="preserve">This decision extends the statutory deadline in this proceeding to </w:t>
      </w:r>
      <w:r w:rsidR="00183605">
        <w:t>March 1, 2024</w:t>
      </w:r>
      <w:r w:rsidR="00BC0292">
        <w:t>.</w:t>
      </w:r>
    </w:p>
    <w:p w:rsidRPr="00E304D2" w:rsidR="009C2168" w:rsidP="000465A1" w:rsidRDefault="009C2168" w14:paraId="6BA15B01" w14:textId="77777777">
      <w:pPr>
        <w:pStyle w:val="ListParagraph"/>
        <w:keepNext/>
        <w:numPr>
          <w:ilvl w:val="0"/>
          <w:numId w:val="8"/>
        </w:numPr>
        <w:spacing w:before="120" w:after="120"/>
        <w:ind w:hanging="720"/>
        <w:outlineLvl w:val="0"/>
        <w:rPr>
          <w:rFonts w:ascii="Arial" w:hAnsi="Arial" w:cs="Arial"/>
          <w:b/>
        </w:rPr>
      </w:pPr>
      <w:r w:rsidRPr="00E304D2">
        <w:rPr>
          <w:rFonts w:ascii="Arial" w:hAnsi="Arial" w:cs="Arial"/>
          <w:b/>
        </w:rPr>
        <w:t>Background</w:t>
      </w:r>
      <w:bookmarkEnd w:id="1"/>
    </w:p>
    <w:p w:rsidR="009C2168" w:rsidP="009C2168" w:rsidRDefault="009C2168" w14:paraId="282D2815" w14:textId="372A092C">
      <w:pPr>
        <w:spacing w:line="360" w:lineRule="auto"/>
        <w:ind w:firstLine="720"/>
        <w:rPr>
          <w:szCs w:val="26"/>
        </w:rPr>
      </w:pPr>
      <w:bookmarkStart w:name="_Hlk34737369" w:id="2"/>
      <w:r w:rsidRPr="0001254D">
        <w:rPr>
          <w:szCs w:val="26"/>
        </w:rPr>
        <w:t xml:space="preserve">Public Utilities Code (Pub. Util. Code) Section 1701.5(a) provides that the Commission shall resolve the issues raised in the scoping memo of a </w:t>
      </w:r>
      <w:proofErr w:type="spellStart"/>
      <w:r w:rsidRPr="0001254D">
        <w:rPr>
          <w:szCs w:val="26"/>
        </w:rPr>
        <w:t>ratesetting</w:t>
      </w:r>
      <w:proofErr w:type="spellEnd"/>
      <w:r w:rsidRPr="0001254D">
        <w:rPr>
          <w:szCs w:val="26"/>
        </w:rPr>
        <w:t xml:space="preserve"> proceeding within 18 months of the date the proceeding is initiated, unless the Commission makes a written determination that the deadline cannot be met and issues an order extending that deadline. </w:t>
      </w:r>
      <w:r>
        <w:rPr>
          <w:szCs w:val="26"/>
        </w:rPr>
        <w:t xml:space="preserve"> The </w:t>
      </w:r>
      <w:r w:rsidR="00BC0292">
        <w:rPr>
          <w:szCs w:val="26"/>
        </w:rPr>
        <w:t xml:space="preserve">current </w:t>
      </w:r>
      <w:r>
        <w:rPr>
          <w:szCs w:val="26"/>
        </w:rPr>
        <w:t xml:space="preserve">statutory deadline for </w:t>
      </w:r>
      <w:r w:rsidRPr="0001254D">
        <w:rPr>
          <w:szCs w:val="26"/>
        </w:rPr>
        <w:t xml:space="preserve">resolving this application </w:t>
      </w:r>
      <w:r>
        <w:rPr>
          <w:szCs w:val="26"/>
        </w:rPr>
        <w:t>is</w:t>
      </w:r>
      <w:r w:rsidRPr="0001254D">
        <w:rPr>
          <w:szCs w:val="26"/>
        </w:rPr>
        <w:t xml:space="preserve"> </w:t>
      </w:r>
      <w:r w:rsidR="005825F8">
        <w:rPr>
          <w:szCs w:val="26"/>
        </w:rPr>
        <w:t>Decem</w:t>
      </w:r>
      <w:r w:rsidR="00BC0292">
        <w:rPr>
          <w:szCs w:val="26"/>
        </w:rPr>
        <w:t xml:space="preserve">ber </w:t>
      </w:r>
      <w:r w:rsidR="00183605">
        <w:rPr>
          <w:szCs w:val="26"/>
        </w:rPr>
        <w:t>3</w:t>
      </w:r>
      <w:r w:rsidR="00BC0292">
        <w:rPr>
          <w:szCs w:val="26"/>
        </w:rPr>
        <w:t>1</w:t>
      </w:r>
      <w:r>
        <w:rPr>
          <w:szCs w:val="26"/>
        </w:rPr>
        <w:t>, 202</w:t>
      </w:r>
      <w:bookmarkStart w:name="_Hlk83721507" w:id="3"/>
      <w:r w:rsidR="00183605">
        <w:rPr>
          <w:szCs w:val="26"/>
        </w:rPr>
        <w:t>3</w:t>
      </w:r>
      <w:r w:rsidRPr="0001254D">
        <w:rPr>
          <w:szCs w:val="26"/>
        </w:rPr>
        <w:t>.</w:t>
      </w:r>
      <w:bookmarkStart w:name="_Hlk56520884" w:id="4"/>
      <w:r>
        <w:rPr>
          <w:szCs w:val="26"/>
        </w:rPr>
        <w:t xml:space="preserve">  </w:t>
      </w:r>
      <w:bookmarkEnd w:id="3"/>
      <w:bookmarkEnd w:id="4"/>
    </w:p>
    <w:p w:rsidR="009C2168" w:rsidP="009C2168" w:rsidRDefault="009C2168" w14:paraId="676764B3" w14:textId="62CD5784">
      <w:pPr>
        <w:spacing w:line="360" w:lineRule="auto"/>
        <w:ind w:firstLine="720"/>
        <w:rPr>
          <w:szCs w:val="26"/>
        </w:rPr>
      </w:pPr>
      <w:r w:rsidRPr="0001254D">
        <w:rPr>
          <w:szCs w:val="26"/>
        </w:rPr>
        <w:lastRenderedPageBreak/>
        <w:t xml:space="preserve">On </w:t>
      </w:r>
      <w:r w:rsidR="005825F8">
        <w:rPr>
          <w:szCs w:val="26"/>
        </w:rPr>
        <w:t>June</w:t>
      </w:r>
      <w:r w:rsidR="00BC0292">
        <w:rPr>
          <w:szCs w:val="26"/>
        </w:rPr>
        <w:t xml:space="preserve"> 1, 2021</w:t>
      </w:r>
      <w:r w:rsidRPr="0001254D">
        <w:rPr>
          <w:szCs w:val="26"/>
        </w:rPr>
        <w:t xml:space="preserve">, </w:t>
      </w:r>
      <w:r w:rsidR="005825F8">
        <w:rPr>
          <w:szCs w:val="26"/>
        </w:rPr>
        <w:t>San Diego</w:t>
      </w:r>
      <w:r>
        <w:rPr>
          <w:szCs w:val="26"/>
        </w:rPr>
        <w:t xml:space="preserve"> Gas and Electric Company (</w:t>
      </w:r>
      <w:r w:rsidR="005825F8">
        <w:rPr>
          <w:szCs w:val="26"/>
        </w:rPr>
        <w:t>SD</w:t>
      </w:r>
      <w:r>
        <w:rPr>
          <w:szCs w:val="26"/>
        </w:rPr>
        <w:t xml:space="preserve">G&amp;E) </w:t>
      </w:r>
      <w:r w:rsidRPr="00AD774C">
        <w:rPr>
          <w:szCs w:val="26"/>
        </w:rPr>
        <w:t>filed this application</w:t>
      </w:r>
      <w:r w:rsidRPr="00AD774C">
        <w:t>.</w:t>
      </w:r>
      <w:r>
        <w:rPr>
          <w:szCs w:val="26"/>
        </w:rPr>
        <w:t xml:space="preserve">  </w:t>
      </w:r>
    </w:p>
    <w:p w:rsidR="000D07E8" w:rsidP="009C2168" w:rsidRDefault="009C2168" w14:paraId="56A2946C" w14:textId="605EAA67">
      <w:pPr>
        <w:pStyle w:val="standard"/>
      </w:pPr>
      <w:r>
        <w:t>A p</w:t>
      </w:r>
      <w:r w:rsidRPr="00106905">
        <w:t xml:space="preserve">rehearing </w:t>
      </w:r>
      <w:r>
        <w:t>c</w:t>
      </w:r>
      <w:r w:rsidRPr="00106905">
        <w:t>onference</w:t>
      </w:r>
      <w:r w:rsidR="00B94B9D">
        <w:t xml:space="preserve"> </w:t>
      </w:r>
      <w:r w:rsidRPr="00106905">
        <w:t>w</w:t>
      </w:r>
      <w:r>
        <w:t>as</w:t>
      </w:r>
      <w:r w:rsidRPr="00106905">
        <w:t xml:space="preserve"> held on </w:t>
      </w:r>
      <w:r w:rsidR="005825F8">
        <w:t>August 4</w:t>
      </w:r>
      <w:r w:rsidR="000D07E8">
        <w:t>, 2021</w:t>
      </w:r>
      <w:r w:rsidRPr="00106905">
        <w:t xml:space="preserve">, to discuss the issues of law and fact and to determine the need for hearing and schedule for resolving the matter.  </w:t>
      </w:r>
    </w:p>
    <w:p w:rsidR="00B94B9D" w:rsidP="009C2168" w:rsidRDefault="009C2168" w14:paraId="53AB1E67" w14:textId="5C2D61AD">
      <w:pPr>
        <w:pStyle w:val="standard"/>
      </w:pPr>
      <w:r w:rsidRPr="00106905">
        <w:t xml:space="preserve">The </w:t>
      </w:r>
      <w:r w:rsidR="00D1203B">
        <w:t>a</w:t>
      </w:r>
      <w:r w:rsidRPr="00106905">
        <w:t>ssigned Commissioner issue</w:t>
      </w:r>
      <w:r>
        <w:t>d</w:t>
      </w:r>
      <w:r w:rsidRPr="00106905">
        <w:t xml:space="preserve"> </w:t>
      </w:r>
      <w:r>
        <w:t xml:space="preserve">the </w:t>
      </w:r>
      <w:r w:rsidRPr="00106905">
        <w:t xml:space="preserve">Scoping Memo and Ruling on </w:t>
      </w:r>
    </w:p>
    <w:p w:rsidR="009C0D02" w:rsidP="00B94B9D" w:rsidRDefault="005825F8" w14:paraId="5A85E079" w14:textId="63326B92">
      <w:pPr>
        <w:pStyle w:val="standard"/>
        <w:ind w:firstLine="0"/>
      </w:pPr>
      <w:r>
        <w:t>August 13</w:t>
      </w:r>
      <w:r w:rsidR="000D07E8">
        <w:t>, 2021</w:t>
      </w:r>
      <w:r w:rsidR="009C0D02">
        <w:t>, which bifurcated the proceeding into two phases.  Each phase of the proceeding addresses a different set of issues.</w:t>
      </w:r>
    </w:p>
    <w:p w:rsidR="009C2168" w:rsidP="009C2168" w:rsidRDefault="00751E67" w14:paraId="048F1447" w14:textId="32B344BB">
      <w:pPr>
        <w:pStyle w:val="standard"/>
      </w:pPr>
      <w:r>
        <w:t xml:space="preserve">On </w:t>
      </w:r>
      <w:r w:rsidR="005825F8">
        <w:t>May 5</w:t>
      </w:r>
      <w:r>
        <w:t>, 2022, Decision (D.) 22-0</w:t>
      </w:r>
      <w:r w:rsidR="005825F8">
        <w:t>5-006</w:t>
      </w:r>
      <w:r>
        <w:t xml:space="preserve"> resolved the issues in Phase One of the proceeding.</w:t>
      </w:r>
      <w:r w:rsidR="002141B8">
        <w:t xml:space="preserve">  </w:t>
      </w:r>
    </w:p>
    <w:p w:rsidR="005105A8" w:rsidP="009C2168" w:rsidRDefault="005105A8" w14:paraId="3EB0AAA8" w14:textId="0E65B2D9">
      <w:pPr>
        <w:pStyle w:val="standard"/>
      </w:pPr>
      <w:r>
        <w:t xml:space="preserve">On September 15, 2022, D.22-09-014 extended the statutory deadline of this proceeding to December 31, 2023. </w:t>
      </w:r>
    </w:p>
    <w:p w:rsidR="009C2168" w:rsidP="00751E67" w:rsidRDefault="00751E67" w14:paraId="1AD4D475" w14:textId="2C699E01">
      <w:pPr>
        <w:pStyle w:val="standard"/>
      </w:pPr>
      <w:r>
        <w:t xml:space="preserve">The proceeding remains open to address issues in Phase Two.  </w:t>
      </w:r>
      <w:r w:rsidR="002141B8">
        <w:t xml:space="preserve">  </w:t>
      </w:r>
    </w:p>
    <w:p w:rsidRPr="006D3F30" w:rsidR="009C2168" w:rsidP="000465A1" w:rsidRDefault="009C2168" w14:paraId="71E7482A" w14:textId="77777777">
      <w:pPr>
        <w:pStyle w:val="Heading1"/>
        <w:numPr>
          <w:ilvl w:val="0"/>
          <w:numId w:val="8"/>
        </w:numPr>
        <w:spacing w:before="0"/>
        <w:ind w:hanging="720"/>
        <w:rPr>
          <w:rFonts w:ascii="Arial" w:hAnsi="Arial" w:cs="Arial"/>
        </w:rPr>
      </w:pPr>
      <w:bookmarkStart w:name="_Hlk106722601" w:id="5"/>
      <w:r w:rsidRPr="006D3F30">
        <w:rPr>
          <w:rFonts w:ascii="Arial" w:hAnsi="Arial" w:cs="Arial"/>
        </w:rPr>
        <w:t xml:space="preserve">Extension of Statutory Deadline is </w:t>
      </w:r>
      <w:r>
        <w:rPr>
          <w:rFonts w:ascii="Arial" w:hAnsi="Arial" w:cs="Arial"/>
        </w:rPr>
        <w:t>Appropriate</w:t>
      </w:r>
    </w:p>
    <w:p w:rsidRPr="005F3DD1" w:rsidR="009C2168" w:rsidP="00B51628" w:rsidRDefault="00DF6828" w14:paraId="50C85BB5" w14:textId="3E89B2A8">
      <w:pPr>
        <w:pStyle w:val="standard"/>
      </w:pPr>
      <w:r>
        <w:t xml:space="preserve">Phase Two of this proceeding addresses issues related to unrealized sales and revenues resulting from </w:t>
      </w:r>
      <w:r w:rsidR="005825F8">
        <w:t>SD</w:t>
      </w:r>
      <w:r>
        <w:t>G&amp;E’s Public Safety Power Shutoff (PSPS) events in 2020.</w:t>
      </w:r>
      <w:r w:rsidR="009721E8">
        <w:t xml:space="preserve">  Phase Two of this proceeding has not yet begun</w:t>
      </w:r>
      <w:r w:rsidR="005E45BC">
        <w:t xml:space="preserve">.  </w:t>
      </w:r>
      <w:r w:rsidR="00B22D60">
        <w:t>A</w:t>
      </w:r>
      <w:r w:rsidR="00ED6608">
        <w:t>n</w:t>
      </w:r>
      <w:r w:rsidRPr="00B34F74" w:rsidR="009C2168">
        <w:t xml:space="preserve"> extension of the statutory deadline </w:t>
      </w:r>
      <w:r w:rsidR="00ED6608">
        <w:t>to</w:t>
      </w:r>
      <w:r w:rsidR="007046B2">
        <w:t xml:space="preserve"> March </w:t>
      </w:r>
      <w:r w:rsidR="000A2D64">
        <w:t>1</w:t>
      </w:r>
      <w:r w:rsidR="00B94B9D">
        <w:t>, 202</w:t>
      </w:r>
      <w:r w:rsidR="002D5DDC">
        <w:t>4,</w:t>
      </w:r>
      <w:r w:rsidRPr="00B34F74" w:rsidR="009C2168">
        <w:t xml:space="preserve"> is</w:t>
      </w:r>
      <w:r w:rsidR="009C2168">
        <w:t xml:space="preserve"> appropriate to allow the Commission sufficient time </w:t>
      </w:r>
      <w:r w:rsidR="005D1991">
        <w:t xml:space="preserve">to </w:t>
      </w:r>
      <w:r w:rsidR="000A2D64">
        <w:t>resolve</w:t>
      </w:r>
      <w:r w:rsidR="00482D40">
        <w:t xml:space="preserve"> this proceeding</w:t>
      </w:r>
      <w:r w:rsidRPr="00B34F74" w:rsidR="009C2168">
        <w:t xml:space="preserve">. </w:t>
      </w:r>
    </w:p>
    <w:bookmarkEnd w:id="2"/>
    <w:bookmarkEnd w:id="5"/>
    <w:p w:rsidRPr="00B34F74" w:rsidR="009C2168" w:rsidP="000465A1" w:rsidRDefault="009C2168" w14:paraId="317310B0" w14:textId="77777777">
      <w:pPr>
        <w:pStyle w:val="Heading1"/>
        <w:numPr>
          <w:ilvl w:val="0"/>
          <w:numId w:val="8"/>
        </w:numPr>
        <w:spacing w:before="0"/>
        <w:ind w:hanging="720"/>
        <w:rPr>
          <w:rFonts w:ascii="Arial" w:hAnsi="Arial" w:cs="Arial"/>
        </w:rPr>
      </w:pPr>
      <w:r w:rsidRPr="00B34F74">
        <w:rPr>
          <w:rFonts w:ascii="Arial" w:hAnsi="Arial" w:cs="Arial"/>
        </w:rPr>
        <w:t>Waiver of Comment Period</w:t>
      </w:r>
    </w:p>
    <w:p w:rsidR="009C2168" w:rsidP="009C2168" w:rsidRDefault="009C2168" w14:paraId="2653F2ED" w14:textId="77777777">
      <w:pPr>
        <w:pStyle w:val="standard"/>
      </w:pPr>
      <w:r w:rsidRPr="00FC6677">
        <w:t xml:space="preserve">Under Rule 14.6(c)(4) of the Commission’s Rules of Practice and Procedure, the Commission may reduce or waive the period for public review and comment on the proposed decisions extending the deadline for resolving </w:t>
      </w:r>
      <w:proofErr w:type="spellStart"/>
      <w:r w:rsidRPr="00FC6677">
        <w:t>ratesetting</w:t>
      </w:r>
      <w:proofErr w:type="spellEnd"/>
      <w:r w:rsidRPr="00FC6677">
        <w:t xml:space="preserve"> proceedings.  Accordingly, the otherwise applicable period for public review and comment is being waived</w:t>
      </w:r>
      <w:r w:rsidRPr="00C8610C">
        <w:t>.</w:t>
      </w:r>
    </w:p>
    <w:p w:rsidRPr="00E304D2" w:rsidR="009C2168" w:rsidP="000465A1" w:rsidRDefault="009C2168" w14:paraId="7D9B3068" w14:textId="77777777">
      <w:pPr>
        <w:pStyle w:val="Heading1"/>
        <w:numPr>
          <w:ilvl w:val="0"/>
          <w:numId w:val="8"/>
        </w:numPr>
        <w:spacing w:before="0"/>
        <w:ind w:hanging="720"/>
        <w:rPr>
          <w:rFonts w:ascii="Arial" w:hAnsi="Arial" w:cs="Arial"/>
        </w:rPr>
      </w:pPr>
      <w:r w:rsidRPr="00E304D2">
        <w:rPr>
          <w:rFonts w:ascii="Arial" w:hAnsi="Arial" w:cs="Arial"/>
        </w:rPr>
        <w:lastRenderedPageBreak/>
        <w:t>Assignment of Proceeding</w:t>
      </w:r>
    </w:p>
    <w:p w:rsidRPr="00530498" w:rsidR="009C2168" w:rsidP="009C2168" w:rsidRDefault="009C2168" w14:paraId="459CFC78" w14:textId="55FAEE7B">
      <w:pPr>
        <w:pStyle w:val="standard"/>
      </w:pPr>
      <w:r>
        <w:t xml:space="preserve">John Reynolds </w:t>
      </w:r>
      <w:r w:rsidRPr="00FC6677">
        <w:t xml:space="preserve">is the assigned Commissioner and </w:t>
      </w:r>
      <w:r>
        <w:t>Elaine Lau</w:t>
      </w:r>
      <w:r w:rsidRPr="00FC6677">
        <w:t xml:space="preserve"> is the assigned </w:t>
      </w:r>
      <w:r w:rsidR="00966C6F">
        <w:t>Administrative Law Ju</w:t>
      </w:r>
      <w:r w:rsidR="00DE2547">
        <w:t>d</w:t>
      </w:r>
      <w:r w:rsidR="00966C6F">
        <w:t>ge</w:t>
      </w:r>
      <w:r w:rsidRPr="00FC6677" w:rsidR="00966C6F">
        <w:t xml:space="preserve"> </w:t>
      </w:r>
      <w:r w:rsidRPr="00FC6677">
        <w:t>in this proceeding</w:t>
      </w:r>
      <w:r w:rsidRPr="00530498">
        <w:t>.</w:t>
      </w:r>
    </w:p>
    <w:p w:rsidRPr="00E304D2" w:rsidR="009C2168" w:rsidP="009C2168" w:rsidRDefault="009C2168" w14:paraId="328E56A5" w14:textId="77777777">
      <w:pPr>
        <w:pStyle w:val="dummy"/>
        <w:tabs>
          <w:tab w:val="left" w:pos="6973"/>
        </w:tabs>
        <w:spacing w:before="0" w:after="0" w:line="360" w:lineRule="auto"/>
        <w:rPr>
          <w:rFonts w:ascii="Arial" w:hAnsi="Arial" w:cs="Arial"/>
        </w:rPr>
      </w:pPr>
      <w:bookmarkStart w:name="_Toc370798913" w:id="6"/>
      <w:r w:rsidRPr="00E304D2">
        <w:rPr>
          <w:rFonts w:ascii="Arial" w:hAnsi="Arial" w:cs="Arial"/>
        </w:rPr>
        <w:t>Findings of Fact</w:t>
      </w:r>
    </w:p>
    <w:p w:rsidR="009C2168" w:rsidP="009C2168" w:rsidRDefault="009C2168" w14:paraId="199EC39F" w14:textId="198AAE12">
      <w:pPr>
        <w:pStyle w:val="num1"/>
        <w:numPr>
          <w:ilvl w:val="0"/>
          <w:numId w:val="5"/>
        </w:numPr>
      </w:pPr>
      <w:r>
        <w:t xml:space="preserve">This application was filed by </w:t>
      </w:r>
      <w:r w:rsidR="005825F8">
        <w:t>SD</w:t>
      </w:r>
      <w:r>
        <w:t xml:space="preserve">G&amp;E on </w:t>
      </w:r>
      <w:r w:rsidR="005825F8">
        <w:t>June</w:t>
      </w:r>
      <w:r w:rsidR="00FE3E54">
        <w:t xml:space="preserve"> 1, 2021</w:t>
      </w:r>
      <w:r>
        <w:t>.</w:t>
      </w:r>
    </w:p>
    <w:p w:rsidR="009C2168" w:rsidP="009C2168" w:rsidRDefault="009C2168" w14:paraId="7AC36FC4" w14:textId="670AC968">
      <w:pPr>
        <w:pStyle w:val="num1"/>
        <w:numPr>
          <w:ilvl w:val="0"/>
          <w:numId w:val="5"/>
        </w:numPr>
      </w:pPr>
      <w:r>
        <w:t xml:space="preserve">A </w:t>
      </w:r>
      <w:r w:rsidR="00B94B9D">
        <w:t>prehearing conference</w:t>
      </w:r>
      <w:r>
        <w:t xml:space="preserve"> was held on </w:t>
      </w:r>
      <w:r w:rsidR="00FE3E54">
        <w:t>A</w:t>
      </w:r>
      <w:r w:rsidR="005825F8">
        <w:t>ugust 4</w:t>
      </w:r>
      <w:r w:rsidR="00FE3E54">
        <w:t>, 2021</w:t>
      </w:r>
      <w:r>
        <w:t>.</w:t>
      </w:r>
    </w:p>
    <w:p w:rsidRPr="002C2CBF" w:rsidR="009C2168" w:rsidP="009C2168" w:rsidRDefault="009C2168" w14:paraId="36A3BD92" w14:textId="2A13CD42">
      <w:pPr>
        <w:pStyle w:val="num1"/>
        <w:numPr>
          <w:ilvl w:val="0"/>
          <w:numId w:val="5"/>
        </w:numPr>
      </w:pPr>
      <w:r w:rsidRPr="002C2CBF">
        <w:t xml:space="preserve">On </w:t>
      </w:r>
      <w:r w:rsidR="005825F8">
        <w:t>August 13</w:t>
      </w:r>
      <w:r w:rsidR="00FE3E54">
        <w:t>, 2021</w:t>
      </w:r>
      <w:r w:rsidRPr="002C2CBF">
        <w:t xml:space="preserve">, the </w:t>
      </w:r>
      <w:r>
        <w:t>S</w:t>
      </w:r>
      <w:r w:rsidRPr="002C2CBF">
        <w:t xml:space="preserve">coping </w:t>
      </w:r>
      <w:r>
        <w:t>M</w:t>
      </w:r>
      <w:r w:rsidRPr="002C2CBF">
        <w:t xml:space="preserve">emo and </w:t>
      </w:r>
      <w:r>
        <w:t>R</w:t>
      </w:r>
      <w:r w:rsidRPr="002C2CBF">
        <w:t>uling was issued.</w:t>
      </w:r>
    </w:p>
    <w:bookmarkEnd w:id="6"/>
    <w:p w:rsidR="00FE3E54" w:rsidP="009C2168" w:rsidRDefault="00FE3E54" w14:paraId="5367E1FC" w14:textId="03B19693">
      <w:pPr>
        <w:pStyle w:val="num1"/>
        <w:numPr>
          <w:ilvl w:val="0"/>
          <w:numId w:val="5"/>
        </w:numPr>
      </w:pPr>
      <w:r w:rsidRPr="00FE3E54">
        <w:t xml:space="preserve">On </w:t>
      </w:r>
      <w:r w:rsidR="00011AE5">
        <w:t>May 5</w:t>
      </w:r>
      <w:r w:rsidRPr="00FE3E54">
        <w:t>, 2022, D.22-0</w:t>
      </w:r>
      <w:r w:rsidR="00011AE5">
        <w:t>5-006</w:t>
      </w:r>
      <w:r w:rsidRPr="00FE3E54">
        <w:t xml:space="preserve"> resolved the issues in Phase One of the proceeding.  </w:t>
      </w:r>
    </w:p>
    <w:p w:rsidR="00A40EBF" w:rsidP="009C2168" w:rsidRDefault="005105A8" w14:paraId="520EE0D2" w14:textId="76B1ADF9">
      <w:pPr>
        <w:pStyle w:val="num1"/>
        <w:numPr>
          <w:ilvl w:val="0"/>
          <w:numId w:val="5"/>
        </w:numPr>
      </w:pPr>
      <w:r>
        <w:t>D.22-09-014 extended the statutory deadline of this proceeding to December 31, 2023.</w:t>
      </w:r>
    </w:p>
    <w:p w:rsidR="00FE3E54" w:rsidP="009C2168" w:rsidRDefault="00FE3E54" w14:paraId="15FE57CD" w14:textId="426C5BE9">
      <w:pPr>
        <w:pStyle w:val="num1"/>
        <w:numPr>
          <w:ilvl w:val="0"/>
          <w:numId w:val="5"/>
        </w:numPr>
      </w:pPr>
      <w:r>
        <w:t xml:space="preserve">This proceeding remains open to address issues in </w:t>
      </w:r>
      <w:r w:rsidRPr="00FE3E54">
        <w:t xml:space="preserve">Phase Two.  </w:t>
      </w:r>
    </w:p>
    <w:p w:rsidR="00177FE2" w:rsidP="00B755C9" w:rsidRDefault="00177FE2" w14:paraId="16ED84AD" w14:textId="48C0EAEF">
      <w:pPr>
        <w:pStyle w:val="num1"/>
        <w:numPr>
          <w:ilvl w:val="0"/>
          <w:numId w:val="5"/>
        </w:numPr>
      </w:pPr>
      <w:r>
        <w:t>Phase Two of this proceeding has not yet begun</w:t>
      </w:r>
      <w:r w:rsidR="00843381">
        <w:t xml:space="preserve">.  </w:t>
      </w:r>
    </w:p>
    <w:p w:rsidRPr="001F4397" w:rsidR="009C2168" w:rsidP="009C2168" w:rsidRDefault="00A14C1D" w14:paraId="35DFCB6B" w14:textId="65892F6E">
      <w:pPr>
        <w:pStyle w:val="num1"/>
        <w:numPr>
          <w:ilvl w:val="0"/>
          <w:numId w:val="5"/>
        </w:numPr>
        <w:rPr>
          <w:rFonts w:ascii="Arial" w:hAnsi="Arial" w:cs="Arial"/>
          <w:kern w:val="28"/>
        </w:rPr>
      </w:pPr>
      <w:r>
        <w:t>An</w:t>
      </w:r>
      <w:r w:rsidRPr="001F4397" w:rsidR="009C2168">
        <w:t xml:space="preserve"> extension of the statutory deadline </w:t>
      </w:r>
      <w:r w:rsidR="00177FE2">
        <w:t xml:space="preserve">to </w:t>
      </w:r>
      <w:r w:rsidR="00755C4D">
        <w:t>March 1, 2024</w:t>
      </w:r>
      <w:r w:rsidR="009C2168">
        <w:t xml:space="preserve">, is appropriate to allow the Commission sufficient time </w:t>
      </w:r>
      <w:r w:rsidR="008256EA">
        <w:t>to</w:t>
      </w:r>
      <w:r w:rsidR="001B51FA">
        <w:t xml:space="preserve"> resolve this proceeding</w:t>
      </w:r>
      <w:r w:rsidRPr="001F4397" w:rsidR="009C2168">
        <w:t>.</w:t>
      </w:r>
    </w:p>
    <w:p w:rsidRPr="00D059E8" w:rsidR="009C2168" w:rsidP="009C2168" w:rsidRDefault="009C2168" w14:paraId="658B8DA1" w14:textId="77777777">
      <w:pPr>
        <w:pStyle w:val="dummy"/>
        <w:keepNext w:val="0"/>
        <w:spacing w:before="0"/>
        <w:rPr>
          <w:rFonts w:ascii="Arial" w:hAnsi="Arial" w:cs="Arial"/>
        </w:rPr>
      </w:pPr>
      <w:r w:rsidRPr="00D059E8">
        <w:rPr>
          <w:rFonts w:ascii="Arial" w:hAnsi="Arial" w:cs="Arial"/>
        </w:rPr>
        <w:t>Conclusion of Law</w:t>
      </w:r>
    </w:p>
    <w:p w:rsidR="009C2168" w:rsidP="000465A1" w:rsidRDefault="009C2168" w14:paraId="35C53773" w14:textId="4B78EB3F">
      <w:pPr>
        <w:pStyle w:val="standard"/>
        <w:numPr>
          <w:ilvl w:val="0"/>
          <w:numId w:val="13"/>
        </w:numPr>
        <w:ind w:left="0" w:firstLine="360"/>
      </w:pPr>
      <w:r w:rsidRPr="00FC6677">
        <w:t xml:space="preserve">Pursuant to the authority granted to the Commission under Pub. Util. Code § 1701.5(a), the statutory deadline in this proceeding should be extended to </w:t>
      </w:r>
      <w:r w:rsidR="0004660B">
        <w:t>March 1, 2024.</w:t>
      </w:r>
      <w:r w:rsidR="00F31610">
        <w:br/>
      </w:r>
      <w:r w:rsidR="00F31610">
        <w:br/>
      </w:r>
      <w:r w:rsidR="00F31610">
        <w:br/>
      </w:r>
      <w:r w:rsidR="00F31610">
        <w:br/>
      </w:r>
      <w:r w:rsidR="00F31610">
        <w:br/>
      </w:r>
      <w:r w:rsidR="00F31610">
        <w:br/>
      </w:r>
    </w:p>
    <w:p w:rsidRPr="00C32098" w:rsidR="009C2168" w:rsidP="009C2168" w:rsidRDefault="009C2168" w14:paraId="69ED0813" w14:textId="14970072">
      <w:pPr>
        <w:pStyle w:val="standard"/>
        <w:spacing w:before="120"/>
      </w:pPr>
      <w:r w:rsidRPr="0012748A">
        <w:rPr>
          <w:rFonts w:cs="Arial"/>
          <w:b/>
        </w:rPr>
        <w:lastRenderedPageBreak/>
        <w:t>IT IS ORDERED</w:t>
      </w:r>
      <w:r w:rsidRPr="0012748A">
        <w:t xml:space="preserve"> that the statutory deadline in this proceeding is extended until </w:t>
      </w:r>
      <w:r w:rsidR="0004660B">
        <w:t>March 1, 2024</w:t>
      </w:r>
      <w:r w:rsidRPr="0012748A">
        <w:t>.</w:t>
      </w:r>
    </w:p>
    <w:p w:rsidR="009C2168" w:rsidP="009C2168" w:rsidRDefault="009C2168" w14:paraId="455B9DD0" w14:textId="77777777">
      <w:pPr>
        <w:pStyle w:val="standard"/>
      </w:pPr>
      <w:r>
        <w:t>This order is effective today.</w:t>
      </w:r>
    </w:p>
    <w:p w:rsidR="00F31610" w:rsidP="00F31610" w:rsidRDefault="009C2168" w14:paraId="38D8D57F" w14:textId="4652257C">
      <w:pPr>
        <w:pStyle w:val="standard"/>
        <w:keepNext/>
        <w:keepLines/>
        <w:spacing w:after="120"/>
      </w:pPr>
      <w:bookmarkStart w:name="_Hlk17215919" w:id="7"/>
      <w:r w:rsidRPr="00476CCE">
        <w:rPr>
          <w:rFonts w:eastAsia="Calibri"/>
          <w:szCs w:val="22"/>
        </w:rPr>
        <w:t xml:space="preserve">Dated </w:t>
      </w:r>
      <w:r w:rsidR="00F31610">
        <w:rPr>
          <w:rFonts w:eastAsia="Calibri"/>
          <w:szCs w:val="22"/>
        </w:rPr>
        <w:t>December 14, 2023</w:t>
      </w:r>
      <w:r w:rsidRPr="00476CCE">
        <w:rPr>
          <w:rFonts w:eastAsia="Calibri"/>
          <w:szCs w:val="22"/>
        </w:rPr>
        <w:t xml:space="preserve">, </w:t>
      </w:r>
      <w:bookmarkEnd w:id="7"/>
      <w:r w:rsidRPr="003F77D8" w:rsidR="00F31610">
        <w:t xml:space="preserve">at </w:t>
      </w:r>
      <w:r w:rsidR="00F31610">
        <w:t>San Francisco</w:t>
      </w:r>
      <w:r w:rsidRPr="00740B05" w:rsidR="00F31610">
        <w:t>,</w:t>
      </w:r>
      <w:r w:rsidRPr="003F77D8" w:rsidR="00F31610">
        <w:t xml:space="preserve"> California.</w:t>
      </w:r>
    </w:p>
    <w:p w:rsidRPr="00C5040D" w:rsidR="00F31610" w:rsidP="00F31610" w:rsidRDefault="00F31610" w14:paraId="7183387C" w14:textId="77777777">
      <w:pPr>
        <w:autoSpaceDE w:val="0"/>
        <w:autoSpaceDN w:val="0"/>
        <w:adjustRightInd w:val="0"/>
        <w:ind w:left="4320"/>
        <w:jc w:val="both"/>
        <w:rPr>
          <w:szCs w:val="26"/>
        </w:rPr>
      </w:pPr>
      <w:r w:rsidRPr="00C5040D">
        <w:rPr>
          <w:szCs w:val="26"/>
        </w:rPr>
        <w:t>ALICE REYNOLDS</w:t>
      </w:r>
    </w:p>
    <w:p w:rsidRPr="00C5040D" w:rsidR="00F31610" w:rsidP="00F31610" w:rsidRDefault="00F31610" w14:paraId="521AE010" w14:textId="77777777">
      <w:pPr>
        <w:autoSpaceDE w:val="0"/>
        <w:autoSpaceDN w:val="0"/>
        <w:adjustRightInd w:val="0"/>
        <w:jc w:val="both"/>
        <w:rPr>
          <w:szCs w:val="26"/>
        </w:rPr>
      </w:pPr>
      <w:r w:rsidRPr="00C5040D">
        <w:rPr>
          <w:szCs w:val="26"/>
        </w:rPr>
        <w:tab/>
      </w:r>
      <w:r w:rsidRPr="00C5040D">
        <w:rPr>
          <w:szCs w:val="26"/>
        </w:rPr>
        <w:tab/>
      </w:r>
      <w:r w:rsidRPr="00C5040D">
        <w:rPr>
          <w:szCs w:val="26"/>
        </w:rPr>
        <w:tab/>
      </w:r>
      <w:r w:rsidRPr="00C5040D">
        <w:rPr>
          <w:szCs w:val="26"/>
        </w:rPr>
        <w:tab/>
      </w:r>
      <w:r w:rsidRPr="00C5040D">
        <w:rPr>
          <w:szCs w:val="26"/>
        </w:rPr>
        <w:tab/>
        <w:t xml:space="preserve">                       President</w:t>
      </w:r>
    </w:p>
    <w:p w:rsidRPr="00C5040D" w:rsidR="00F31610" w:rsidP="00F31610" w:rsidRDefault="00F31610" w14:paraId="6C1298C1" w14:textId="77777777">
      <w:pPr>
        <w:keepNext/>
        <w:keepLines/>
        <w:autoSpaceDE w:val="0"/>
        <w:autoSpaceDN w:val="0"/>
        <w:adjustRightInd w:val="0"/>
        <w:ind w:left="3600"/>
        <w:jc w:val="both"/>
      </w:pPr>
      <w:r w:rsidRPr="00C5040D">
        <w:t>DARCIE L. HOUCK</w:t>
      </w:r>
    </w:p>
    <w:p w:rsidRPr="00C5040D" w:rsidR="00F31610" w:rsidP="00F31610" w:rsidRDefault="00F31610" w14:paraId="207B273D" w14:textId="77777777">
      <w:pPr>
        <w:autoSpaceDE w:val="0"/>
        <w:autoSpaceDN w:val="0"/>
        <w:adjustRightInd w:val="0"/>
        <w:ind w:left="3600"/>
        <w:jc w:val="both"/>
        <w:rPr>
          <w:szCs w:val="26"/>
        </w:rPr>
      </w:pPr>
      <w:r w:rsidRPr="00C5040D">
        <w:rPr>
          <w:szCs w:val="26"/>
        </w:rPr>
        <w:t>JOHN REYNOLDS</w:t>
      </w:r>
    </w:p>
    <w:p w:rsidRPr="00C5040D" w:rsidR="00F31610" w:rsidP="00F31610" w:rsidRDefault="00F31610" w14:paraId="2F9D2435" w14:textId="77777777">
      <w:pPr>
        <w:autoSpaceDE w:val="0"/>
        <w:autoSpaceDN w:val="0"/>
        <w:adjustRightInd w:val="0"/>
        <w:ind w:left="3600"/>
        <w:jc w:val="both"/>
        <w:rPr>
          <w:szCs w:val="26"/>
        </w:rPr>
      </w:pPr>
      <w:r w:rsidRPr="00C5040D">
        <w:rPr>
          <w:color w:val="000000"/>
          <w:szCs w:val="26"/>
        </w:rPr>
        <w:t>KAREN DOUGLAS</w:t>
      </w:r>
    </w:p>
    <w:p w:rsidR="00F31610" w:rsidP="00F31610" w:rsidRDefault="00F31610" w14:paraId="3A82BEF3" w14:textId="77777777">
      <w:pPr>
        <w:autoSpaceDE w:val="0"/>
        <w:autoSpaceDN w:val="0"/>
        <w:adjustRightInd w:val="0"/>
        <w:ind w:left="4320"/>
        <w:jc w:val="both"/>
        <w:rPr>
          <w:szCs w:val="26"/>
        </w:rPr>
      </w:pPr>
      <w:r>
        <w:rPr>
          <w:szCs w:val="26"/>
        </w:rPr>
        <w:t xml:space="preserve">            Commissioners</w:t>
      </w:r>
    </w:p>
    <w:p w:rsidR="00F31610" w:rsidP="00F31610" w:rsidRDefault="00F31610" w14:paraId="44E444DF" w14:textId="77777777">
      <w:pPr>
        <w:autoSpaceDE w:val="0"/>
        <w:autoSpaceDN w:val="0"/>
        <w:adjustRightInd w:val="0"/>
        <w:ind w:left="4320"/>
        <w:jc w:val="both"/>
        <w:rPr>
          <w:szCs w:val="26"/>
        </w:rPr>
      </w:pPr>
    </w:p>
    <w:p w:rsidRPr="00556920" w:rsidR="00F31610" w:rsidP="00F31610" w:rsidRDefault="00F31610" w14:paraId="0432FBA1" w14:textId="77777777">
      <w:pPr>
        <w:autoSpaceDE w:val="0"/>
        <w:autoSpaceDN w:val="0"/>
        <w:adjustRightInd w:val="0"/>
        <w:ind w:left="2880" w:right="1350"/>
        <w:rPr>
          <w:szCs w:val="26"/>
        </w:rPr>
      </w:pPr>
      <w:r>
        <w:rPr>
          <w:szCs w:val="26"/>
        </w:rPr>
        <w:t xml:space="preserve">Commissioner Genevieve Shiroma, being necessarily absent, did not participate in the vote </w:t>
      </w:r>
      <w:proofErr w:type="gramStart"/>
      <w:r>
        <w:rPr>
          <w:szCs w:val="26"/>
        </w:rPr>
        <w:t>of</w:t>
      </w:r>
      <w:proofErr w:type="gramEnd"/>
      <w:r>
        <w:rPr>
          <w:szCs w:val="26"/>
        </w:rPr>
        <w:t xml:space="preserve"> this item.</w:t>
      </w:r>
    </w:p>
    <w:p w:rsidRPr="009C2168" w:rsidR="00F31610" w:rsidP="00B94B9D" w:rsidRDefault="00F31610" w14:paraId="010BB2D9" w14:textId="77777777">
      <w:pPr>
        <w:pStyle w:val="standard"/>
        <w:keepNext/>
        <w:keepLines/>
        <w:spacing w:after="120"/>
        <w:rPr>
          <w:szCs w:val="26"/>
        </w:rPr>
      </w:pPr>
    </w:p>
    <w:sectPr w:rsidRPr="009C2168" w:rsidR="00F31610">
      <w:headerReference w:type="default" r:id="rId8"/>
      <w:footerReference w:type="default" r:id="rId9"/>
      <w:headerReference w:type="first" r:id="rId10"/>
      <w:footerReference w:type="first" r:id="rId11"/>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DD72" w14:textId="77777777" w:rsidR="00916492" w:rsidRDefault="00916492">
      <w:r>
        <w:separator/>
      </w:r>
    </w:p>
  </w:endnote>
  <w:endnote w:type="continuationSeparator" w:id="0">
    <w:p w14:paraId="3689098B" w14:textId="77777777" w:rsidR="00916492" w:rsidRDefault="0091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313A" w14:textId="78D16C19" w:rsidR="00101F4F" w:rsidRPr="00586B57" w:rsidRDefault="00F31610" w:rsidP="00FD568F">
    <w:pPr>
      <w:pStyle w:val="Footer"/>
      <w:tabs>
        <w:tab w:val="clear" w:pos="4320"/>
        <w:tab w:val="center" w:pos="4680"/>
      </w:tabs>
      <w:jc w:val="left"/>
      <w:rPr>
        <w:rStyle w:val="PageNumber"/>
        <w:sz w:val="24"/>
        <w:szCs w:val="24"/>
      </w:rPr>
    </w:pPr>
    <w:r w:rsidRPr="00F31610">
      <w:rPr>
        <w:rFonts w:eastAsiaTheme="majorEastAsia" w:cstheme="majorBidi"/>
        <w:sz w:val="16"/>
        <w:szCs w:val="16"/>
      </w:rPr>
      <w:t>521872966</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CF63" w14:textId="77777777" w:rsidR="00916492" w:rsidRDefault="00916492">
      <w:r>
        <w:separator/>
      </w:r>
    </w:p>
  </w:footnote>
  <w:footnote w:type="continuationSeparator" w:id="0">
    <w:p w14:paraId="3156D2F9" w14:textId="77777777" w:rsidR="00916492" w:rsidRDefault="00916492">
      <w:r>
        <w:continuationSeparator/>
      </w:r>
    </w:p>
  </w:footnote>
  <w:footnote w:type="continuationNotice" w:id="1">
    <w:p w14:paraId="72A2BAB3" w14:textId="77777777" w:rsidR="00916492" w:rsidRDefault="00916492">
      <w:pPr>
        <w:rPr>
          <w:sz w:val="22"/>
        </w:rPr>
      </w:pPr>
    </w:p>
    <w:p w14:paraId="67E16BD2" w14:textId="77777777" w:rsidR="00916492" w:rsidRDefault="00916492">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9776" w14:textId="034F3986" w:rsidR="00F73A97" w:rsidRPr="00B56D1F" w:rsidRDefault="008A51FA" w:rsidP="00F73A97">
    <w:pPr>
      <w:pStyle w:val="Header"/>
      <w:tabs>
        <w:tab w:val="center" w:pos="4680"/>
        <w:tab w:val="right" w:pos="9360"/>
      </w:tabs>
      <w:rPr>
        <w:iCs/>
        <w:szCs w:val="26"/>
      </w:rPr>
    </w:pPr>
    <w:r>
      <w:t>A.</w:t>
    </w:r>
    <w:r w:rsidR="00612A9A">
      <w:t>21-</w:t>
    </w:r>
    <w:r w:rsidR="000465A1">
      <w:t>06-</w:t>
    </w:r>
    <w:proofErr w:type="gramStart"/>
    <w:r w:rsidR="000465A1">
      <w:t>004</w:t>
    </w:r>
    <w:r w:rsidR="00101F4F" w:rsidRPr="008C572C">
      <w:t xml:space="preserve"> </w:t>
    </w:r>
    <w:r w:rsidR="00B6075A">
      <w:t xml:space="preserve"> </w:t>
    </w:r>
    <w:r w:rsidR="00101F4F" w:rsidRPr="008C572C">
      <w:t>ALJ</w:t>
    </w:r>
    <w:proofErr w:type="gramEnd"/>
    <w:r w:rsidR="00101F4F" w:rsidRPr="008C572C">
      <w:t>/</w:t>
    </w:r>
    <w:r w:rsidR="0043565A">
      <w:t>EC2</w:t>
    </w:r>
    <w:r w:rsidR="00101F4F" w:rsidRPr="008C572C">
      <w:t>/</w:t>
    </w:r>
    <w:proofErr w:type="spellStart"/>
    <w:r w:rsidR="000465A1">
      <w:t>sgu</w:t>
    </w:r>
    <w:proofErr w:type="spellEnd"/>
    <w:r w:rsidR="00F73A97" w:rsidRPr="00B56D1F">
      <w:rPr>
        <w:iCs/>
        <w:szCs w:val="26"/>
      </w:rPr>
      <w:tab/>
    </w:r>
    <w:r w:rsidR="00F73A97">
      <w:rPr>
        <w:iCs/>
        <w:szCs w:val="26"/>
      </w:rPr>
      <w:tab/>
    </w:r>
    <w:r w:rsidR="00F73A97" w:rsidRPr="00B56D1F">
      <w:rPr>
        <w:b/>
        <w:bCs/>
        <w:iCs/>
        <w:szCs w:val="26"/>
      </w:rPr>
      <w:tab/>
    </w:r>
  </w:p>
  <w:p w14:paraId="3453776E" w14:textId="12A3F913" w:rsidR="0022424E" w:rsidRPr="0031771E" w:rsidRDefault="007059A3" w:rsidP="00F73A97">
    <w:pPr>
      <w:pStyle w:val="Header"/>
      <w:tabs>
        <w:tab w:val="clear" w:pos="8640"/>
        <w:tab w:val="right" w:pos="9360"/>
      </w:tabs>
      <w:rPr>
        <w:rFonts w:eastAsiaTheme="minorHAnsi" w:cstheme="minorBidi"/>
        <w:i/>
        <w:color w:val="FF0000"/>
        <w:szCs w:val="22"/>
      </w:rPr>
    </w:pPr>
    <w:r w:rsidRPr="0031771E">
      <w:rPr>
        <w:rFonts w:eastAsiaTheme="minorHAnsi" w:cstheme="minorBidi"/>
        <w:i/>
        <w:color w:val="FF0000"/>
        <w:szCs w:val="22"/>
      </w:rPr>
      <w:tab/>
    </w:r>
  </w:p>
  <w:p w14:paraId="7AA8ED07" w14:textId="31A59DA5" w:rsidR="00DE6874" w:rsidRDefault="00DE6874" w:rsidP="00131E5E">
    <w:pPr>
      <w:pStyle w:val="Header"/>
      <w:tabs>
        <w:tab w:val="clear" w:pos="4320"/>
        <w:tab w:val="clear" w:pos="8640"/>
        <w:tab w:val="center" w:pos="4680"/>
        <w:tab w:val="right" w:pos="9360"/>
      </w:tabs>
      <w:rPr>
        <w:rFonts w:eastAsiaTheme="minorHAnsi" w:cstheme="minorBidi"/>
        <w:i/>
        <w:color w:val="FF0000"/>
        <w:szCs w:val="22"/>
      </w:rPr>
    </w:pPr>
  </w:p>
  <w:p w14:paraId="399D8B79" w14:textId="77777777" w:rsidR="0031771E" w:rsidRPr="0031771E" w:rsidRDefault="0031771E" w:rsidP="00131E5E">
    <w:pPr>
      <w:pStyle w:val="Header"/>
      <w:tabs>
        <w:tab w:val="clear" w:pos="4320"/>
        <w:tab w:val="clear" w:pos="8640"/>
        <w:tab w:val="center" w:pos="4680"/>
        <w:tab w:val="right" w:pos="9360"/>
      </w:tabs>
      <w:rPr>
        <w:rFonts w:eastAsiaTheme="minorHAnsi" w:cstheme="minorBidi"/>
        <w:i/>
        <w:color w:val="FF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5070" w14:textId="77777777" w:rsidR="0031771E" w:rsidRPr="0031771E" w:rsidRDefault="0031771E" w:rsidP="00AE6A2D">
    <w:pPr>
      <w:pStyle w:val="Header"/>
      <w:rPr>
        <w:rFonts w:eastAsiaTheme="minorHAnsi" w:cstheme="minorBidi"/>
        <w:i/>
        <w:color w:val="FF0000"/>
        <w:szCs w:val="22"/>
      </w:rPr>
    </w:pPr>
  </w:p>
  <w:p w14:paraId="27910A0B" w14:textId="77777777" w:rsidR="00AE6A2D" w:rsidRPr="0031771E" w:rsidRDefault="00AE6A2D">
    <w:pPr>
      <w:pStyle w:val="Header"/>
      <w:rPr>
        <w:rFonts w:eastAsiaTheme="minorHAnsi" w:cstheme="minorBidi"/>
        <w:i/>
        <w:color w:val="FF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381E"/>
    <w:multiLevelType w:val="singleLevel"/>
    <w:tmpl w:val="2FB6A734"/>
    <w:lvl w:ilvl="0">
      <w:start w:val="1"/>
      <w:numFmt w:val="decimal"/>
      <w:lvlText w:val="%1."/>
      <w:legacy w:legacy="1" w:legacySpace="144" w:legacyIndent="0"/>
      <w:lvlJc w:val="left"/>
    </w:lvl>
  </w:abstractNum>
  <w:abstractNum w:abstractNumId="1"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46003"/>
    <w:multiLevelType w:val="singleLevel"/>
    <w:tmpl w:val="2FB6A734"/>
    <w:lvl w:ilvl="0">
      <w:start w:val="1"/>
      <w:numFmt w:val="decimal"/>
      <w:lvlText w:val="%1."/>
      <w:legacy w:legacy="1" w:legacySpace="144" w:legacyIndent="0"/>
      <w:lvlJc w:val="left"/>
    </w:lvl>
  </w:abstractNum>
  <w:abstractNum w:abstractNumId="4" w15:restartNumberingAfterBreak="0">
    <w:nsid w:val="2EAF2916"/>
    <w:multiLevelType w:val="hybridMultilevel"/>
    <w:tmpl w:val="1B3659AC"/>
    <w:lvl w:ilvl="0" w:tplc="1CEAA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6B0A06"/>
    <w:multiLevelType w:val="singleLevel"/>
    <w:tmpl w:val="21AE8D44"/>
    <w:lvl w:ilvl="0">
      <w:start w:val="1"/>
      <w:numFmt w:val="decimal"/>
      <w:lvlText w:val="%1."/>
      <w:legacy w:legacy="1" w:legacySpace="0" w:legacyIndent="360"/>
      <w:lvlJc w:val="left"/>
    </w:lvl>
  </w:abstractNum>
  <w:abstractNum w:abstractNumId="10"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C30FD"/>
    <w:multiLevelType w:val="singleLevel"/>
    <w:tmpl w:val="2FB6A734"/>
    <w:lvl w:ilvl="0">
      <w:start w:val="1"/>
      <w:numFmt w:val="decimal"/>
      <w:lvlText w:val="%1."/>
      <w:legacy w:legacy="1" w:legacySpace="144" w:legacyIndent="0"/>
      <w:lvlJc w:val="left"/>
    </w:lvl>
  </w:abstractNum>
  <w:abstractNum w:abstractNumId="12" w15:restartNumberingAfterBreak="0">
    <w:nsid w:val="7D905FC4"/>
    <w:multiLevelType w:val="hybridMultilevel"/>
    <w:tmpl w:val="838ADA28"/>
    <w:lvl w:ilvl="0" w:tplc="CE900E40">
      <w:start w:val="1"/>
      <w:numFmt w:val="decimal"/>
      <w:lvlText w:val="%1."/>
      <w:legacy w:legacy="1" w:legacySpace="144" w:legacyIndent="0"/>
      <w:lvlJc w:val="left"/>
      <w:rPr>
        <w:rFonts w:ascii="Book Antiqua" w:hAnsi="Book Antiqua"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3"/>
  </w:num>
  <w:num w:numId="2" w16cid:durableId="950092796">
    <w:abstractNumId w:val="0"/>
  </w:num>
  <w:num w:numId="3" w16cid:durableId="944070542">
    <w:abstractNumId w:val="11"/>
  </w:num>
  <w:num w:numId="4" w16cid:durableId="1359503668">
    <w:abstractNumId w:val="9"/>
  </w:num>
  <w:num w:numId="5" w16cid:durableId="1336960078">
    <w:abstractNumId w:val="12"/>
  </w:num>
  <w:num w:numId="6" w16cid:durableId="1922181054">
    <w:abstractNumId w:val="8"/>
  </w:num>
  <w:num w:numId="7" w16cid:durableId="220555123">
    <w:abstractNumId w:val="5"/>
  </w:num>
  <w:num w:numId="8" w16cid:durableId="1399982580">
    <w:abstractNumId w:val="7"/>
  </w:num>
  <w:num w:numId="9" w16cid:durableId="1254633593">
    <w:abstractNumId w:val="10"/>
  </w:num>
  <w:num w:numId="10" w16cid:durableId="1961258765">
    <w:abstractNumId w:val="6"/>
  </w:num>
  <w:num w:numId="11" w16cid:durableId="1226604016">
    <w:abstractNumId w:val="1"/>
  </w:num>
  <w:num w:numId="12" w16cid:durableId="388453881">
    <w:abstractNumId w:val="2"/>
  </w:num>
  <w:num w:numId="13" w16cid:durableId="1265990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5274"/>
    <w:rsid w:val="000328ED"/>
    <w:rsid w:val="00037C38"/>
    <w:rsid w:val="000407B4"/>
    <w:rsid w:val="00042A5D"/>
    <w:rsid w:val="000465A1"/>
    <w:rsid w:val="0004660B"/>
    <w:rsid w:val="00051447"/>
    <w:rsid w:val="000537D4"/>
    <w:rsid w:val="0005385E"/>
    <w:rsid w:val="000567E0"/>
    <w:rsid w:val="00057AD7"/>
    <w:rsid w:val="00061C1D"/>
    <w:rsid w:val="00061CE8"/>
    <w:rsid w:val="00062D17"/>
    <w:rsid w:val="00066AEE"/>
    <w:rsid w:val="000707D2"/>
    <w:rsid w:val="000735A5"/>
    <w:rsid w:val="00074C89"/>
    <w:rsid w:val="00082269"/>
    <w:rsid w:val="00087148"/>
    <w:rsid w:val="0009205E"/>
    <w:rsid w:val="000925BF"/>
    <w:rsid w:val="00092B9D"/>
    <w:rsid w:val="00094579"/>
    <w:rsid w:val="00096E5D"/>
    <w:rsid w:val="000A2583"/>
    <w:rsid w:val="000A2D64"/>
    <w:rsid w:val="000A387B"/>
    <w:rsid w:val="000A502E"/>
    <w:rsid w:val="000C4701"/>
    <w:rsid w:val="000D07E8"/>
    <w:rsid w:val="000D4AE9"/>
    <w:rsid w:val="000D55BD"/>
    <w:rsid w:val="000E284B"/>
    <w:rsid w:val="000E479E"/>
    <w:rsid w:val="000E5FF4"/>
    <w:rsid w:val="000E678C"/>
    <w:rsid w:val="000F13F5"/>
    <w:rsid w:val="000F1F94"/>
    <w:rsid w:val="000F41FC"/>
    <w:rsid w:val="000F4E90"/>
    <w:rsid w:val="001005B8"/>
    <w:rsid w:val="00101E24"/>
    <w:rsid w:val="00101F4F"/>
    <w:rsid w:val="00104ACC"/>
    <w:rsid w:val="00105F5C"/>
    <w:rsid w:val="00107949"/>
    <w:rsid w:val="00110C8E"/>
    <w:rsid w:val="001139A6"/>
    <w:rsid w:val="00120C53"/>
    <w:rsid w:val="00122A64"/>
    <w:rsid w:val="0012748A"/>
    <w:rsid w:val="00130693"/>
    <w:rsid w:val="00131406"/>
    <w:rsid w:val="00131E5E"/>
    <w:rsid w:val="00132D4F"/>
    <w:rsid w:val="00134C4F"/>
    <w:rsid w:val="0013508E"/>
    <w:rsid w:val="00135903"/>
    <w:rsid w:val="00136843"/>
    <w:rsid w:val="00136FC2"/>
    <w:rsid w:val="0013757F"/>
    <w:rsid w:val="001401B6"/>
    <w:rsid w:val="0014247A"/>
    <w:rsid w:val="0014760F"/>
    <w:rsid w:val="0015125F"/>
    <w:rsid w:val="00155678"/>
    <w:rsid w:val="0016169F"/>
    <w:rsid w:val="0016171E"/>
    <w:rsid w:val="0017399C"/>
    <w:rsid w:val="00173E34"/>
    <w:rsid w:val="00175B9B"/>
    <w:rsid w:val="00177FE2"/>
    <w:rsid w:val="00183605"/>
    <w:rsid w:val="001851A1"/>
    <w:rsid w:val="00185645"/>
    <w:rsid w:val="00186E96"/>
    <w:rsid w:val="00193C8B"/>
    <w:rsid w:val="001949BB"/>
    <w:rsid w:val="00195C02"/>
    <w:rsid w:val="001A11FD"/>
    <w:rsid w:val="001A2B2B"/>
    <w:rsid w:val="001A4DA6"/>
    <w:rsid w:val="001B51FA"/>
    <w:rsid w:val="001C418A"/>
    <w:rsid w:val="001C4BD2"/>
    <w:rsid w:val="001D1BD0"/>
    <w:rsid w:val="001E011F"/>
    <w:rsid w:val="001F1740"/>
    <w:rsid w:val="001F290E"/>
    <w:rsid w:val="001F4397"/>
    <w:rsid w:val="002025B6"/>
    <w:rsid w:val="00206782"/>
    <w:rsid w:val="002076A2"/>
    <w:rsid w:val="00210D3B"/>
    <w:rsid w:val="00210F9F"/>
    <w:rsid w:val="002141B8"/>
    <w:rsid w:val="00215C8F"/>
    <w:rsid w:val="00220160"/>
    <w:rsid w:val="00222429"/>
    <w:rsid w:val="0022424E"/>
    <w:rsid w:val="00226EA9"/>
    <w:rsid w:val="00232128"/>
    <w:rsid w:val="0023415A"/>
    <w:rsid w:val="00234684"/>
    <w:rsid w:val="002346BE"/>
    <w:rsid w:val="002356BA"/>
    <w:rsid w:val="00240543"/>
    <w:rsid w:val="00244513"/>
    <w:rsid w:val="002527A5"/>
    <w:rsid w:val="002527E9"/>
    <w:rsid w:val="00253EE7"/>
    <w:rsid w:val="0025408A"/>
    <w:rsid w:val="00256B33"/>
    <w:rsid w:val="00257C94"/>
    <w:rsid w:val="00260923"/>
    <w:rsid w:val="00261799"/>
    <w:rsid w:val="00262344"/>
    <w:rsid w:val="00271F0C"/>
    <w:rsid w:val="0027328D"/>
    <w:rsid w:val="002839B4"/>
    <w:rsid w:val="002870D2"/>
    <w:rsid w:val="002915AB"/>
    <w:rsid w:val="002A2AFF"/>
    <w:rsid w:val="002A7212"/>
    <w:rsid w:val="002A7E4C"/>
    <w:rsid w:val="002C0607"/>
    <w:rsid w:val="002C0C14"/>
    <w:rsid w:val="002C2CBF"/>
    <w:rsid w:val="002C7106"/>
    <w:rsid w:val="002C7D21"/>
    <w:rsid w:val="002D0E69"/>
    <w:rsid w:val="002D1498"/>
    <w:rsid w:val="002D46C4"/>
    <w:rsid w:val="002D5DDC"/>
    <w:rsid w:val="002E7228"/>
    <w:rsid w:val="002F0258"/>
    <w:rsid w:val="002F1043"/>
    <w:rsid w:val="002F17CD"/>
    <w:rsid w:val="002F21CE"/>
    <w:rsid w:val="002F4EC8"/>
    <w:rsid w:val="002F625C"/>
    <w:rsid w:val="002F6BD1"/>
    <w:rsid w:val="002F7853"/>
    <w:rsid w:val="00301449"/>
    <w:rsid w:val="00304495"/>
    <w:rsid w:val="0030460C"/>
    <w:rsid w:val="00304CE2"/>
    <w:rsid w:val="003067E6"/>
    <w:rsid w:val="003108AF"/>
    <w:rsid w:val="00314534"/>
    <w:rsid w:val="0031653E"/>
    <w:rsid w:val="0031771E"/>
    <w:rsid w:val="003225E9"/>
    <w:rsid w:val="00322E9A"/>
    <w:rsid w:val="0032368B"/>
    <w:rsid w:val="00323EF8"/>
    <w:rsid w:val="00330349"/>
    <w:rsid w:val="003346EE"/>
    <w:rsid w:val="00334C52"/>
    <w:rsid w:val="0034018D"/>
    <w:rsid w:val="00340309"/>
    <w:rsid w:val="00340CAF"/>
    <w:rsid w:val="00341908"/>
    <w:rsid w:val="00342A76"/>
    <w:rsid w:val="00342D73"/>
    <w:rsid w:val="00343778"/>
    <w:rsid w:val="003462B8"/>
    <w:rsid w:val="00354DF4"/>
    <w:rsid w:val="00362FEC"/>
    <w:rsid w:val="00377DAF"/>
    <w:rsid w:val="003855F1"/>
    <w:rsid w:val="003910CB"/>
    <w:rsid w:val="0039260C"/>
    <w:rsid w:val="003941C4"/>
    <w:rsid w:val="003975E4"/>
    <w:rsid w:val="00397725"/>
    <w:rsid w:val="003A28F6"/>
    <w:rsid w:val="003A3FFB"/>
    <w:rsid w:val="003A6C30"/>
    <w:rsid w:val="003B3693"/>
    <w:rsid w:val="003D2753"/>
    <w:rsid w:val="003D293C"/>
    <w:rsid w:val="003D314E"/>
    <w:rsid w:val="003D45D5"/>
    <w:rsid w:val="003D76EC"/>
    <w:rsid w:val="003D7A1A"/>
    <w:rsid w:val="003E1580"/>
    <w:rsid w:val="003E1FAB"/>
    <w:rsid w:val="003E6DFD"/>
    <w:rsid w:val="003F1AAA"/>
    <w:rsid w:val="003F29AF"/>
    <w:rsid w:val="003F3DDF"/>
    <w:rsid w:val="003F62BE"/>
    <w:rsid w:val="00404A80"/>
    <w:rsid w:val="00406E09"/>
    <w:rsid w:val="00406F05"/>
    <w:rsid w:val="00410098"/>
    <w:rsid w:val="00421D42"/>
    <w:rsid w:val="00422F47"/>
    <w:rsid w:val="00424493"/>
    <w:rsid w:val="00424843"/>
    <w:rsid w:val="00425893"/>
    <w:rsid w:val="00432A22"/>
    <w:rsid w:val="00434D52"/>
    <w:rsid w:val="00434F77"/>
    <w:rsid w:val="0043565A"/>
    <w:rsid w:val="00440CDB"/>
    <w:rsid w:val="00443117"/>
    <w:rsid w:val="00447572"/>
    <w:rsid w:val="00450831"/>
    <w:rsid w:val="00452F5B"/>
    <w:rsid w:val="004538E6"/>
    <w:rsid w:val="00463006"/>
    <w:rsid w:val="00465037"/>
    <w:rsid w:val="00465654"/>
    <w:rsid w:val="00466696"/>
    <w:rsid w:val="004724A7"/>
    <w:rsid w:val="00474BED"/>
    <w:rsid w:val="004811C8"/>
    <w:rsid w:val="00482D40"/>
    <w:rsid w:val="004860F2"/>
    <w:rsid w:val="004923AE"/>
    <w:rsid w:val="00495F20"/>
    <w:rsid w:val="004A48F7"/>
    <w:rsid w:val="004A59B5"/>
    <w:rsid w:val="004A75C0"/>
    <w:rsid w:val="004A79DE"/>
    <w:rsid w:val="004B10B1"/>
    <w:rsid w:val="004B5B56"/>
    <w:rsid w:val="004B5B63"/>
    <w:rsid w:val="004D101F"/>
    <w:rsid w:val="004D767B"/>
    <w:rsid w:val="004E3CE8"/>
    <w:rsid w:val="004E4B15"/>
    <w:rsid w:val="004E51D1"/>
    <w:rsid w:val="004E6B2C"/>
    <w:rsid w:val="004F1D45"/>
    <w:rsid w:val="004F6398"/>
    <w:rsid w:val="005004A5"/>
    <w:rsid w:val="00503589"/>
    <w:rsid w:val="0050422A"/>
    <w:rsid w:val="00505391"/>
    <w:rsid w:val="00507746"/>
    <w:rsid w:val="005105A8"/>
    <w:rsid w:val="00512357"/>
    <w:rsid w:val="00513E80"/>
    <w:rsid w:val="00515B43"/>
    <w:rsid w:val="0051774C"/>
    <w:rsid w:val="00517BEF"/>
    <w:rsid w:val="00517EAF"/>
    <w:rsid w:val="00522066"/>
    <w:rsid w:val="00522D3D"/>
    <w:rsid w:val="00530498"/>
    <w:rsid w:val="005330B4"/>
    <w:rsid w:val="005343F3"/>
    <w:rsid w:val="00540B67"/>
    <w:rsid w:val="005413B2"/>
    <w:rsid w:val="00550CD4"/>
    <w:rsid w:val="00552330"/>
    <w:rsid w:val="00553B36"/>
    <w:rsid w:val="00554B56"/>
    <w:rsid w:val="00566EB6"/>
    <w:rsid w:val="00580035"/>
    <w:rsid w:val="005825F8"/>
    <w:rsid w:val="00586B57"/>
    <w:rsid w:val="005906BB"/>
    <w:rsid w:val="0059642F"/>
    <w:rsid w:val="00597A9E"/>
    <w:rsid w:val="005A19D9"/>
    <w:rsid w:val="005A6278"/>
    <w:rsid w:val="005B5E0F"/>
    <w:rsid w:val="005B619A"/>
    <w:rsid w:val="005B78AE"/>
    <w:rsid w:val="005C2D36"/>
    <w:rsid w:val="005C52D2"/>
    <w:rsid w:val="005D1991"/>
    <w:rsid w:val="005D3B61"/>
    <w:rsid w:val="005D6082"/>
    <w:rsid w:val="005E1B52"/>
    <w:rsid w:val="005E2FD8"/>
    <w:rsid w:val="005E45BC"/>
    <w:rsid w:val="005F2F4A"/>
    <w:rsid w:val="005F3DD1"/>
    <w:rsid w:val="005F4AC7"/>
    <w:rsid w:val="005F579C"/>
    <w:rsid w:val="005F589A"/>
    <w:rsid w:val="005F6E68"/>
    <w:rsid w:val="00600EF8"/>
    <w:rsid w:val="0060208A"/>
    <w:rsid w:val="00604D3A"/>
    <w:rsid w:val="00606509"/>
    <w:rsid w:val="00607F12"/>
    <w:rsid w:val="006100B9"/>
    <w:rsid w:val="00610969"/>
    <w:rsid w:val="00610FA5"/>
    <w:rsid w:val="00612A9A"/>
    <w:rsid w:val="00614CA6"/>
    <w:rsid w:val="006214B8"/>
    <w:rsid w:val="0062281C"/>
    <w:rsid w:val="0062368C"/>
    <w:rsid w:val="00625BDB"/>
    <w:rsid w:val="0062664B"/>
    <w:rsid w:val="0062674D"/>
    <w:rsid w:val="00627411"/>
    <w:rsid w:val="00630BA0"/>
    <w:rsid w:val="00630C8D"/>
    <w:rsid w:val="00642AB4"/>
    <w:rsid w:val="00654214"/>
    <w:rsid w:val="00655970"/>
    <w:rsid w:val="00660256"/>
    <w:rsid w:val="0066057F"/>
    <w:rsid w:val="0066390F"/>
    <w:rsid w:val="0067542A"/>
    <w:rsid w:val="00675E14"/>
    <w:rsid w:val="0067623F"/>
    <w:rsid w:val="00681294"/>
    <w:rsid w:val="006A1B2E"/>
    <w:rsid w:val="006A2927"/>
    <w:rsid w:val="006A2C2A"/>
    <w:rsid w:val="006A3F7B"/>
    <w:rsid w:val="006A7E18"/>
    <w:rsid w:val="006B0D6F"/>
    <w:rsid w:val="006B37D8"/>
    <w:rsid w:val="006B473B"/>
    <w:rsid w:val="006B5192"/>
    <w:rsid w:val="006B5C09"/>
    <w:rsid w:val="006B6D82"/>
    <w:rsid w:val="006B700C"/>
    <w:rsid w:val="006B7465"/>
    <w:rsid w:val="006C11E7"/>
    <w:rsid w:val="006C1344"/>
    <w:rsid w:val="006C157F"/>
    <w:rsid w:val="006C1BC4"/>
    <w:rsid w:val="006C259F"/>
    <w:rsid w:val="006C2CA6"/>
    <w:rsid w:val="006C502C"/>
    <w:rsid w:val="006C50E8"/>
    <w:rsid w:val="006D06DB"/>
    <w:rsid w:val="006D3F30"/>
    <w:rsid w:val="006D74B1"/>
    <w:rsid w:val="006E14A8"/>
    <w:rsid w:val="006E315E"/>
    <w:rsid w:val="006E3718"/>
    <w:rsid w:val="006E41B5"/>
    <w:rsid w:val="006E61DD"/>
    <w:rsid w:val="006E754F"/>
    <w:rsid w:val="006F3296"/>
    <w:rsid w:val="006F5823"/>
    <w:rsid w:val="00703294"/>
    <w:rsid w:val="00703FDC"/>
    <w:rsid w:val="007046B2"/>
    <w:rsid w:val="007059A3"/>
    <w:rsid w:val="007108E0"/>
    <w:rsid w:val="0071492B"/>
    <w:rsid w:val="00715DE4"/>
    <w:rsid w:val="007178BA"/>
    <w:rsid w:val="00727FF5"/>
    <w:rsid w:val="0073081C"/>
    <w:rsid w:val="00730AEB"/>
    <w:rsid w:val="00730E29"/>
    <w:rsid w:val="00733616"/>
    <w:rsid w:val="00733CB1"/>
    <w:rsid w:val="00735246"/>
    <w:rsid w:val="00740AE3"/>
    <w:rsid w:val="00751E67"/>
    <w:rsid w:val="00755C4D"/>
    <w:rsid w:val="00756331"/>
    <w:rsid w:val="00757033"/>
    <w:rsid w:val="00757CFE"/>
    <w:rsid w:val="00760A7E"/>
    <w:rsid w:val="00760BBA"/>
    <w:rsid w:val="00763165"/>
    <w:rsid w:val="00763F27"/>
    <w:rsid w:val="00765C22"/>
    <w:rsid w:val="0077376F"/>
    <w:rsid w:val="0077607E"/>
    <w:rsid w:val="00780122"/>
    <w:rsid w:val="00783368"/>
    <w:rsid w:val="007873B3"/>
    <w:rsid w:val="007938C2"/>
    <w:rsid w:val="00796FA5"/>
    <w:rsid w:val="007A4A8A"/>
    <w:rsid w:val="007A5E8A"/>
    <w:rsid w:val="007A6B7B"/>
    <w:rsid w:val="007B05D0"/>
    <w:rsid w:val="007B1401"/>
    <w:rsid w:val="007B4E6F"/>
    <w:rsid w:val="007B5FEE"/>
    <w:rsid w:val="007C256A"/>
    <w:rsid w:val="007C3941"/>
    <w:rsid w:val="007C3C63"/>
    <w:rsid w:val="007D0F17"/>
    <w:rsid w:val="007E271A"/>
    <w:rsid w:val="007E2869"/>
    <w:rsid w:val="007E3861"/>
    <w:rsid w:val="007E3A7B"/>
    <w:rsid w:val="007E448B"/>
    <w:rsid w:val="007E51E1"/>
    <w:rsid w:val="007E6897"/>
    <w:rsid w:val="007E7B14"/>
    <w:rsid w:val="007F3737"/>
    <w:rsid w:val="007F45AD"/>
    <w:rsid w:val="007F63A9"/>
    <w:rsid w:val="00801D2B"/>
    <w:rsid w:val="00803238"/>
    <w:rsid w:val="00803F45"/>
    <w:rsid w:val="008047A2"/>
    <w:rsid w:val="00804CB2"/>
    <w:rsid w:val="00805497"/>
    <w:rsid w:val="0080650C"/>
    <w:rsid w:val="00820AB0"/>
    <w:rsid w:val="008256EA"/>
    <w:rsid w:val="00826873"/>
    <w:rsid w:val="008279F6"/>
    <w:rsid w:val="008307A3"/>
    <w:rsid w:val="00831599"/>
    <w:rsid w:val="00832AFE"/>
    <w:rsid w:val="00835FFA"/>
    <w:rsid w:val="0083699C"/>
    <w:rsid w:val="0083777F"/>
    <w:rsid w:val="00837CC2"/>
    <w:rsid w:val="00841B13"/>
    <w:rsid w:val="00843381"/>
    <w:rsid w:val="008449F5"/>
    <w:rsid w:val="0085193D"/>
    <w:rsid w:val="00852C40"/>
    <w:rsid w:val="00861094"/>
    <w:rsid w:val="008621C7"/>
    <w:rsid w:val="008650F1"/>
    <w:rsid w:val="0087177D"/>
    <w:rsid w:val="00873D62"/>
    <w:rsid w:val="0087504A"/>
    <w:rsid w:val="008801D8"/>
    <w:rsid w:val="0089195D"/>
    <w:rsid w:val="00892D2C"/>
    <w:rsid w:val="008950C0"/>
    <w:rsid w:val="008954D2"/>
    <w:rsid w:val="008A19B5"/>
    <w:rsid w:val="008A51FA"/>
    <w:rsid w:val="008A7141"/>
    <w:rsid w:val="008B0907"/>
    <w:rsid w:val="008B44A1"/>
    <w:rsid w:val="008B74D6"/>
    <w:rsid w:val="008C4179"/>
    <w:rsid w:val="008C4825"/>
    <w:rsid w:val="008C4881"/>
    <w:rsid w:val="008C572C"/>
    <w:rsid w:val="008C6949"/>
    <w:rsid w:val="008C7E55"/>
    <w:rsid w:val="008D04ED"/>
    <w:rsid w:val="008D0DDB"/>
    <w:rsid w:val="008D32EF"/>
    <w:rsid w:val="008D351D"/>
    <w:rsid w:val="008D5B7A"/>
    <w:rsid w:val="008E071B"/>
    <w:rsid w:val="008E1AAD"/>
    <w:rsid w:val="008F2E4B"/>
    <w:rsid w:val="008F6067"/>
    <w:rsid w:val="00901AE0"/>
    <w:rsid w:val="0090244F"/>
    <w:rsid w:val="00904A77"/>
    <w:rsid w:val="009126CA"/>
    <w:rsid w:val="00916492"/>
    <w:rsid w:val="00922F40"/>
    <w:rsid w:val="0092571A"/>
    <w:rsid w:val="00927A42"/>
    <w:rsid w:val="00932552"/>
    <w:rsid w:val="00932ECF"/>
    <w:rsid w:val="00934EF8"/>
    <w:rsid w:val="009362C1"/>
    <w:rsid w:val="009429BA"/>
    <w:rsid w:val="00950C51"/>
    <w:rsid w:val="00956B9D"/>
    <w:rsid w:val="00960C1A"/>
    <w:rsid w:val="00964994"/>
    <w:rsid w:val="009653C8"/>
    <w:rsid w:val="00966C6F"/>
    <w:rsid w:val="00971649"/>
    <w:rsid w:val="009721E8"/>
    <w:rsid w:val="00972D20"/>
    <w:rsid w:val="00975976"/>
    <w:rsid w:val="00976E36"/>
    <w:rsid w:val="009772DE"/>
    <w:rsid w:val="00977FA3"/>
    <w:rsid w:val="00984A45"/>
    <w:rsid w:val="009851FB"/>
    <w:rsid w:val="00986A6C"/>
    <w:rsid w:val="009906D4"/>
    <w:rsid w:val="00994A7E"/>
    <w:rsid w:val="00996C01"/>
    <w:rsid w:val="009A1097"/>
    <w:rsid w:val="009A4DF8"/>
    <w:rsid w:val="009B3BEE"/>
    <w:rsid w:val="009B666F"/>
    <w:rsid w:val="009B6CF5"/>
    <w:rsid w:val="009C0D02"/>
    <w:rsid w:val="009C2168"/>
    <w:rsid w:val="009D0404"/>
    <w:rsid w:val="009D18E9"/>
    <w:rsid w:val="009D65AD"/>
    <w:rsid w:val="009D6F4E"/>
    <w:rsid w:val="009E2DB4"/>
    <w:rsid w:val="009E3647"/>
    <w:rsid w:val="009E459F"/>
    <w:rsid w:val="009E5EC3"/>
    <w:rsid w:val="009E7FAD"/>
    <w:rsid w:val="009F342C"/>
    <w:rsid w:val="009F58A6"/>
    <w:rsid w:val="009F75F2"/>
    <w:rsid w:val="00A032BB"/>
    <w:rsid w:val="00A06A43"/>
    <w:rsid w:val="00A13543"/>
    <w:rsid w:val="00A137FC"/>
    <w:rsid w:val="00A14C1D"/>
    <w:rsid w:val="00A15184"/>
    <w:rsid w:val="00A151EB"/>
    <w:rsid w:val="00A154C8"/>
    <w:rsid w:val="00A202E2"/>
    <w:rsid w:val="00A234EA"/>
    <w:rsid w:val="00A349DB"/>
    <w:rsid w:val="00A34AD4"/>
    <w:rsid w:val="00A40EBF"/>
    <w:rsid w:val="00A43AAA"/>
    <w:rsid w:val="00A43F24"/>
    <w:rsid w:val="00A44D0F"/>
    <w:rsid w:val="00A47E7B"/>
    <w:rsid w:val="00A606B2"/>
    <w:rsid w:val="00A61055"/>
    <w:rsid w:val="00A6132C"/>
    <w:rsid w:val="00A63D5A"/>
    <w:rsid w:val="00A66FEE"/>
    <w:rsid w:val="00A67AE2"/>
    <w:rsid w:val="00A710E6"/>
    <w:rsid w:val="00A7444D"/>
    <w:rsid w:val="00A77338"/>
    <w:rsid w:val="00A773CB"/>
    <w:rsid w:val="00A8417F"/>
    <w:rsid w:val="00A85340"/>
    <w:rsid w:val="00A907C1"/>
    <w:rsid w:val="00A92E72"/>
    <w:rsid w:val="00A937AE"/>
    <w:rsid w:val="00AA0B83"/>
    <w:rsid w:val="00AA4AF9"/>
    <w:rsid w:val="00AA6D92"/>
    <w:rsid w:val="00AA7609"/>
    <w:rsid w:val="00AB19EA"/>
    <w:rsid w:val="00AB2068"/>
    <w:rsid w:val="00AB4D07"/>
    <w:rsid w:val="00AC22A7"/>
    <w:rsid w:val="00AD387C"/>
    <w:rsid w:val="00AD580D"/>
    <w:rsid w:val="00AD774C"/>
    <w:rsid w:val="00AE1676"/>
    <w:rsid w:val="00AE4F8A"/>
    <w:rsid w:val="00AE6A2D"/>
    <w:rsid w:val="00AE7D6C"/>
    <w:rsid w:val="00AF4AE0"/>
    <w:rsid w:val="00AF7ABB"/>
    <w:rsid w:val="00B01B73"/>
    <w:rsid w:val="00B074AC"/>
    <w:rsid w:val="00B10965"/>
    <w:rsid w:val="00B11850"/>
    <w:rsid w:val="00B1300D"/>
    <w:rsid w:val="00B1451B"/>
    <w:rsid w:val="00B16C20"/>
    <w:rsid w:val="00B20BD9"/>
    <w:rsid w:val="00B22B31"/>
    <w:rsid w:val="00B22D60"/>
    <w:rsid w:val="00B24AA2"/>
    <w:rsid w:val="00B26F0F"/>
    <w:rsid w:val="00B27D1E"/>
    <w:rsid w:val="00B32B8D"/>
    <w:rsid w:val="00B34F74"/>
    <w:rsid w:val="00B37F87"/>
    <w:rsid w:val="00B43AC3"/>
    <w:rsid w:val="00B46D2B"/>
    <w:rsid w:val="00B51628"/>
    <w:rsid w:val="00B5247A"/>
    <w:rsid w:val="00B60541"/>
    <w:rsid w:val="00B6075A"/>
    <w:rsid w:val="00B618AF"/>
    <w:rsid w:val="00B669BB"/>
    <w:rsid w:val="00B67803"/>
    <w:rsid w:val="00B74C6A"/>
    <w:rsid w:val="00B755C9"/>
    <w:rsid w:val="00B81FCE"/>
    <w:rsid w:val="00B84D59"/>
    <w:rsid w:val="00B91922"/>
    <w:rsid w:val="00B94B9D"/>
    <w:rsid w:val="00BA0468"/>
    <w:rsid w:val="00BA5503"/>
    <w:rsid w:val="00BB44ED"/>
    <w:rsid w:val="00BB6F20"/>
    <w:rsid w:val="00BB73D0"/>
    <w:rsid w:val="00BC0292"/>
    <w:rsid w:val="00BC614B"/>
    <w:rsid w:val="00BD198E"/>
    <w:rsid w:val="00BD3A7D"/>
    <w:rsid w:val="00BD4C49"/>
    <w:rsid w:val="00BE024E"/>
    <w:rsid w:val="00BE5331"/>
    <w:rsid w:val="00BF1D58"/>
    <w:rsid w:val="00BF29BD"/>
    <w:rsid w:val="00BF5098"/>
    <w:rsid w:val="00BF55ED"/>
    <w:rsid w:val="00C00C91"/>
    <w:rsid w:val="00C01E77"/>
    <w:rsid w:val="00C10B88"/>
    <w:rsid w:val="00C1545C"/>
    <w:rsid w:val="00C15B7D"/>
    <w:rsid w:val="00C16E68"/>
    <w:rsid w:val="00C23D9E"/>
    <w:rsid w:val="00C24AB7"/>
    <w:rsid w:val="00C257B8"/>
    <w:rsid w:val="00C36CA6"/>
    <w:rsid w:val="00C41D06"/>
    <w:rsid w:val="00C46371"/>
    <w:rsid w:val="00C465F8"/>
    <w:rsid w:val="00C47AFA"/>
    <w:rsid w:val="00C53620"/>
    <w:rsid w:val="00C61182"/>
    <w:rsid w:val="00C61421"/>
    <w:rsid w:val="00C61499"/>
    <w:rsid w:val="00C64C08"/>
    <w:rsid w:val="00C64F42"/>
    <w:rsid w:val="00C669E7"/>
    <w:rsid w:val="00C6728B"/>
    <w:rsid w:val="00C84781"/>
    <w:rsid w:val="00C8610C"/>
    <w:rsid w:val="00C92116"/>
    <w:rsid w:val="00C92C19"/>
    <w:rsid w:val="00C92DF5"/>
    <w:rsid w:val="00C93A54"/>
    <w:rsid w:val="00C96143"/>
    <w:rsid w:val="00C96CA3"/>
    <w:rsid w:val="00CA0A6C"/>
    <w:rsid w:val="00CA0CE4"/>
    <w:rsid w:val="00CA0FC1"/>
    <w:rsid w:val="00CA1880"/>
    <w:rsid w:val="00CA590F"/>
    <w:rsid w:val="00CB1745"/>
    <w:rsid w:val="00CC42AE"/>
    <w:rsid w:val="00CD223B"/>
    <w:rsid w:val="00CD3E32"/>
    <w:rsid w:val="00CD7C25"/>
    <w:rsid w:val="00CE0BC8"/>
    <w:rsid w:val="00CE2133"/>
    <w:rsid w:val="00CE2CE7"/>
    <w:rsid w:val="00CE3AD8"/>
    <w:rsid w:val="00CE4C23"/>
    <w:rsid w:val="00CF15EF"/>
    <w:rsid w:val="00CF2FAE"/>
    <w:rsid w:val="00CF6206"/>
    <w:rsid w:val="00CF637C"/>
    <w:rsid w:val="00CF7328"/>
    <w:rsid w:val="00D0297D"/>
    <w:rsid w:val="00D059E8"/>
    <w:rsid w:val="00D1025D"/>
    <w:rsid w:val="00D11EB2"/>
    <w:rsid w:val="00D1203B"/>
    <w:rsid w:val="00D16326"/>
    <w:rsid w:val="00D23CCF"/>
    <w:rsid w:val="00D2565F"/>
    <w:rsid w:val="00D318AB"/>
    <w:rsid w:val="00D4121E"/>
    <w:rsid w:val="00D41724"/>
    <w:rsid w:val="00D42567"/>
    <w:rsid w:val="00D45AEF"/>
    <w:rsid w:val="00D46182"/>
    <w:rsid w:val="00D4645A"/>
    <w:rsid w:val="00D46888"/>
    <w:rsid w:val="00D50D61"/>
    <w:rsid w:val="00D5267C"/>
    <w:rsid w:val="00D57386"/>
    <w:rsid w:val="00D61598"/>
    <w:rsid w:val="00D667B1"/>
    <w:rsid w:val="00D707CD"/>
    <w:rsid w:val="00D760A1"/>
    <w:rsid w:val="00D86F4A"/>
    <w:rsid w:val="00D91F13"/>
    <w:rsid w:val="00DA219C"/>
    <w:rsid w:val="00DA50F7"/>
    <w:rsid w:val="00DB5F3F"/>
    <w:rsid w:val="00DB7725"/>
    <w:rsid w:val="00DC1094"/>
    <w:rsid w:val="00DC27FD"/>
    <w:rsid w:val="00DC6726"/>
    <w:rsid w:val="00DC67C5"/>
    <w:rsid w:val="00DC7DD7"/>
    <w:rsid w:val="00DD0A38"/>
    <w:rsid w:val="00DD1176"/>
    <w:rsid w:val="00DD6095"/>
    <w:rsid w:val="00DD7717"/>
    <w:rsid w:val="00DE1BDF"/>
    <w:rsid w:val="00DE2547"/>
    <w:rsid w:val="00DE29E5"/>
    <w:rsid w:val="00DE2A82"/>
    <w:rsid w:val="00DE3439"/>
    <w:rsid w:val="00DE6874"/>
    <w:rsid w:val="00DE762C"/>
    <w:rsid w:val="00DE78BF"/>
    <w:rsid w:val="00DF34C6"/>
    <w:rsid w:val="00DF6828"/>
    <w:rsid w:val="00E077E5"/>
    <w:rsid w:val="00E12A50"/>
    <w:rsid w:val="00E1456B"/>
    <w:rsid w:val="00E20F97"/>
    <w:rsid w:val="00E2131A"/>
    <w:rsid w:val="00E21CD4"/>
    <w:rsid w:val="00E21E5A"/>
    <w:rsid w:val="00E222A3"/>
    <w:rsid w:val="00E23751"/>
    <w:rsid w:val="00E2406A"/>
    <w:rsid w:val="00E304D2"/>
    <w:rsid w:val="00E34BDE"/>
    <w:rsid w:val="00E45E77"/>
    <w:rsid w:val="00E51FDB"/>
    <w:rsid w:val="00E56E48"/>
    <w:rsid w:val="00E56F14"/>
    <w:rsid w:val="00E57A55"/>
    <w:rsid w:val="00E60EBA"/>
    <w:rsid w:val="00E6252E"/>
    <w:rsid w:val="00E75E91"/>
    <w:rsid w:val="00E76383"/>
    <w:rsid w:val="00E808DE"/>
    <w:rsid w:val="00E81113"/>
    <w:rsid w:val="00E8152E"/>
    <w:rsid w:val="00E85745"/>
    <w:rsid w:val="00E85954"/>
    <w:rsid w:val="00E91C5E"/>
    <w:rsid w:val="00E92284"/>
    <w:rsid w:val="00E93F4E"/>
    <w:rsid w:val="00E94A58"/>
    <w:rsid w:val="00E952D7"/>
    <w:rsid w:val="00E96632"/>
    <w:rsid w:val="00E974AA"/>
    <w:rsid w:val="00E97EF2"/>
    <w:rsid w:val="00EA04D2"/>
    <w:rsid w:val="00EA27F8"/>
    <w:rsid w:val="00EA2808"/>
    <w:rsid w:val="00EA3681"/>
    <w:rsid w:val="00EA39F7"/>
    <w:rsid w:val="00EB269F"/>
    <w:rsid w:val="00EB3821"/>
    <w:rsid w:val="00EB755F"/>
    <w:rsid w:val="00EC3677"/>
    <w:rsid w:val="00EC51E7"/>
    <w:rsid w:val="00EC6F5D"/>
    <w:rsid w:val="00EC757F"/>
    <w:rsid w:val="00ED039D"/>
    <w:rsid w:val="00ED471A"/>
    <w:rsid w:val="00ED50DC"/>
    <w:rsid w:val="00ED6608"/>
    <w:rsid w:val="00EE2327"/>
    <w:rsid w:val="00EE2CA8"/>
    <w:rsid w:val="00EE49C4"/>
    <w:rsid w:val="00EE6CFE"/>
    <w:rsid w:val="00EE7773"/>
    <w:rsid w:val="00EF12D5"/>
    <w:rsid w:val="00EF572C"/>
    <w:rsid w:val="00F01EFE"/>
    <w:rsid w:val="00F04812"/>
    <w:rsid w:val="00F05623"/>
    <w:rsid w:val="00F1271A"/>
    <w:rsid w:val="00F16256"/>
    <w:rsid w:val="00F22F07"/>
    <w:rsid w:val="00F30959"/>
    <w:rsid w:val="00F31610"/>
    <w:rsid w:val="00F32788"/>
    <w:rsid w:val="00F37AA9"/>
    <w:rsid w:val="00F40C05"/>
    <w:rsid w:val="00F41819"/>
    <w:rsid w:val="00F43589"/>
    <w:rsid w:val="00F4498F"/>
    <w:rsid w:val="00F55348"/>
    <w:rsid w:val="00F60909"/>
    <w:rsid w:val="00F62153"/>
    <w:rsid w:val="00F62162"/>
    <w:rsid w:val="00F63717"/>
    <w:rsid w:val="00F73A97"/>
    <w:rsid w:val="00F74A51"/>
    <w:rsid w:val="00F83166"/>
    <w:rsid w:val="00F90B38"/>
    <w:rsid w:val="00F9128F"/>
    <w:rsid w:val="00F94675"/>
    <w:rsid w:val="00F94CB9"/>
    <w:rsid w:val="00F977D9"/>
    <w:rsid w:val="00FA1DAF"/>
    <w:rsid w:val="00FA471C"/>
    <w:rsid w:val="00FA72C3"/>
    <w:rsid w:val="00FC078C"/>
    <w:rsid w:val="00FC0B07"/>
    <w:rsid w:val="00FC0EB6"/>
    <w:rsid w:val="00FC0FA5"/>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CD5"/>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character" w:styleId="CommentReference">
    <w:name w:val="annotation reference"/>
    <w:basedOn w:val="DefaultParagraphFont"/>
    <w:semiHidden/>
    <w:unhideWhenUsed/>
    <w:rsid w:val="00A40EBF"/>
    <w:rPr>
      <w:sz w:val="16"/>
      <w:szCs w:val="16"/>
    </w:rPr>
  </w:style>
  <w:style w:type="paragraph" w:styleId="CommentText">
    <w:name w:val="annotation text"/>
    <w:basedOn w:val="Normal"/>
    <w:link w:val="CommentTextChar"/>
    <w:unhideWhenUsed/>
    <w:rsid w:val="00A40EBF"/>
    <w:rPr>
      <w:sz w:val="20"/>
    </w:rPr>
  </w:style>
  <w:style w:type="character" w:customStyle="1" w:styleId="CommentTextChar">
    <w:name w:val="Comment Text Char"/>
    <w:basedOn w:val="DefaultParagraphFont"/>
    <w:link w:val="CommentText"/>
    <w:rsid w:val="00A40EBF"/>
    <w:rPr>
      <w:rFonts w:ascii="Book Antiqua" w:hAnsi="Book Antiqua"/>
    </w:rPr>
  </w:style>
  <w:style w:type="paragraph" w:styleId="CommentSubject">
    <w:name w:val="annotation subject"/>
    <w:basedOn w:val="CommentText"/>
    <w:next w:val="CommentText"/>
    <w:link w:val="CommentSubjectChar"/>
    <w:semiHidden/>
    <w:unhideWhenUsed/>
    <w:rsid w:val="00A40EBF"/>
    <w:rPr>
      <w:b/>
      <w:bCs/>
    </w:rPr>
  </w:style>
  <w:style w:type="character" w:customStyle="1" w:styleId="CommentSubjectChar">
    <w:name w:val="Comment Subject Char"/>
    <w:basedOn w:val="CommentTextChar"/>
    <w:link w:val="CommentSubject"/>
    <w:semiHidden/>
    <w:rsid w:val="00A40EBF"/>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626</ap:Words>
  <ap:Characters>3467</ap:Characters>
  <ap:Application>Microsoft Office Word</ap:Application>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4085</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2023-12-20T12:17:18Z</dcterms:created>
  <dcterms:modified xsi:type="dcterms:W3CDTF">2023-12-20T12:17:18Z</dcterms:modified>
</cp:coreProperties>
</file>