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7D2E" w:rsidR="00B60421" w:rsidP="0090395D" w:rsidRDefault="0090395D" w14:paraId="467895CE" w14:textId="71D83291">
      <w:pPr>
        <w:tabs>
          <w:tab w:val="center" w:pos="4680"/>
          <w:tab w:val="right" w:pos="9360"/>
        </w:tabs>
        <w:spacing w:line="240" w:lineRule="auto"/>
        <w:ind w:firstLine="0"/>
        <w:rPr>
          <w:szCs w:val="26"/>
        </w:rPr>
      </w:pPr>
      <w:r w:rsidRPr="00837D2E">
        <w:rPr>
          <w:szCs w:val="26"/>
        </w:rPr>
        <w:t>ALJ/KWZ/</w:t>
      </w:r>
      <w:r w:rsidRPr="00837D2E" w:rsidR="00837D2E">
        <w:rPr>
          <w:szCs w:val="26"/>
        </w:rPr>
        <w:t>hma</w:t>
      </w:r>
      <w:r w:rsidRPr="00837D2E" w:rsidR="007E0FEE">
        <w:rPr>
          <w:szCs w:val="26"/>
        </w:rPr>
        <w:tab/>
      </w:r>
      <w:r w:rsidRPr="00837D2E" w:rsidR="00DA7B5D">
        <w:rPr>
          <w:rFonts w:cs="Arial"/>
          <w:b/>
          <w:szCs w:val="26"/>
        </w:rPr>
        <w:t>PROPOSED DECISION</w:t>
      </w:r>
      <w:r w:rsidRPr="00837D2E" w:rsidR="00DA7B5D">
        <w:rPr>
          <w:szCs w:val="26"/>
        </w:rPr>
        <w:tab/>
      </w:r>
      <w:r w:rsidRPr="00837D2E" w:rsidR="00DA7B5D">
        <w:rPr>
          <w:b/>
          <w:szCs w:val="26"/>
        </w:rPr>
        <w:t>Agenda ID #</w:t>
      </w:r>
      <w:r w:rsidRPr="00DF221D" w:rsidR="00DF221D">
        <w:rPr>
          <w:b/>
          <w:szCs w:val="26"/>
        </w:rPr>
        <w:t>22325</w:t>
      </w:r>
      <w:r w:rsidR="000C56E4">
        <w:rPr>
          <w:b/>
          <w:szCs w:val="26"/>
        </w:rPr>
        <w:t xml:space="preserve"> (Rev. 1)</w:t>
      </w:r>
    </w:p>
    <w:p w:rsidRPr="00837D2E" w:rsidR="00DA7B5D" w:rsidP="0090395D" w:rsidRDefault="0090395D" w14:paraId="1B17E5C8" w14:textId="7EF23461">
      <w:pPr>
        <w:spacing w:line="240" w:lineRule="auto"/>
        <w:jc w:val="right"/>
        <w:rPr>
          <w:b/>
          <w:szCs w:val="26"/>
        </w:rPr>
      </w:pPr>
      <w:r w:rsidRPr="00837D2E">
        <w:rPr>
          <w:b/>
          <w:szCs w:val="26"/>
        </w:rPr>
        <w:t>Ratesetting</w:t>
      </w:r>
    </w:p>
    <w:p w:rsidRPr="000C56E4" w:rsidR="00DA7B5D" w:rsidP="0090395D" w:rsidRDefault="000C56E4" w14:paraId="7ED6DCFB" w14:textId="2E6CAB03">
      <w:pPr>
        <w:spacing w:line="240" w:lineRule="auto"/>
        <w:ind w:firstLine="0"/>
        <w:jc w:val="right"/>
        <w:rPr>
          <w:b/>
          <w:bCs/>
          <w:szCs w:val="26"/>
        </w:rPr>
      </w:pPr>
      <w:r w:rsidRPr="000C56E4">
        <w:rPr>
          <w:b/>
          <w:bCs/>
          <w:szCs w:val="26"/>
        </w:rPr>
        <w:t>3/7/24 Item #14</w:t>
      </w:r>
    </w:p>
    <w:p w:rsidRPr="00837D2E" w:rsidR="00837D2E" w:rsidP="0090395D" w:rsidRDefault="00837D2E" w14:paraId="2A5F333C" w14:textId="77777777">
      <w:pPr>
        <w:spacing w:line="240" w:lineRule="auto"/>
        <w:ind w:firstLine="0"/>
        <w:jc w:val="right"/>
        <w:rPr>
          <w:szCs w:val="26"/>
        </w:rPr>
      </w:pPr>
    </w:p>
    <w:p w:rsidRPr="00837D2E" w:rsidR="00DA7B5D" w:rsidP="0090395D" w:rsidRDefault="00DA7B5D" w14:paraId="579B72C9" w14:textId="248D7ABA">
      <w:pPr>
        <w:spacing w:line="240" w:lineRule="auto"/>
        <w:ind w:left="1080" w:hanging="1080"/>
        <w:rPr>
          <w:b/>
          <w:bCs/>
          <w:szCs w:val="26"/>
        </w:rPr>
      </w:pPr>
      <w:r w:rsidRPr="00837D2E">
        <w:rPr>
          <w:szCs w:val="26"/>
        </w:rPr>
        <w:t xml:space="preserve">Decision </w:t>
      </w:r>
      <w:r w:rsidRPr="00837D2E" w:rsidR="0090395D">
        <w:rPr>
          <w:b/>
          <w:bCs/>
          <w:szCs w:val="26"/>
          <w:u w:val="single"/>
        </w:rPr>
        <w:t xml:space="preserve">PROPOSED DECISION OF ALJ WATTS-ZAGHA </w:t>
      </w:r>
      <w:r w:rsidRPr="00837D2E" w:rsidR="0090395D">
        <w:rPr>
          <w:b/>
          <w:bCs/>
          <w:szCs w:val="26"/>
        </w:rPr>
        <w:t>(</w:t>
      </w:r>
      <w:r w:rsidRPr="002F129A" w:rsidR="0090395D">
        <w:rPr>
          <w:b/>
          <w:bCs/>
          <w:szCs w:val="26"/>
        </w:rPr>
        <w:t xml:space="preserve">Mailed </w:t>
      </w:r>
      <w:r w:rsidRPr="00A562FA" w:rsidR="00A35180">
        <w:rPr>
          <w:b/>
          <w:bCs/>
          <w:szCs w:val="26"/>
        </w:rPr>
        <w:t>2/1/24</w:t>
      </w:r>
      <w:r w:rsidRPr="002F129A" w:rsidR="0090395D">
        <w:rPr>
          <w:b/>
          <w:bCs/>
          <w:szCs w:val="26"/>
        </w:rPr>
        <w:t>)</w:t>
      </w:r>
    </w:p>
    <w:p w:rsidR="0090395D" w:rsidP="0090395D" w:rsidRDefault="0090395D" w14:paraId="5569C3DF" w14:textId="77777777">
      <w:pPr>
        <w:spacing w:line="240" w:lineRule="auto"/>
        <w:ind w:left="1080" w:hanging="1080"/>
        <w:rPr>
          <w:u w:val="single"/>
        </w:rPr>
      </w:pPr>
    </w:p>
    <w:p w:rsidR="00DA7B5D" w:rsidP="00BB0243" w:rsidRDefault="00DA7B5D" w14:paraId="018F7CDD"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78B5D6B7"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90395D" w14:paraId="7E692181" w14:textId="77777777">
        <w:trPr>
          <w:jc w:val="center"/>
        </w:trPr>
        <w:tc>
          <w:tcPr>
            <w:tcW w:w="5040" w:type="dxa"/>
            <w:tcBorders>
              <w:top w:val="nil"/>
              <w:left w:val="nil"/>
              <w:bottom w:val="single" w:color="auto" w:sz="4" w:space="0"/>
              <w:right w:val="single" w:color="auto" w:sz="4" w:space="0"/>
            </w:tcBorders>
            <w:vAlign w:val="center"/>
          </w:tcPr>
          <w:p w:rsidR="00DA7B5D" w:rsidP="00C10B5F" w:rsidRDefault="0090395D" w14:paraId="49A32EFD" w14:textId="77777777">
            <w:pPr>
              <w:spacing w:line="240" w:lineRule="auto"/>
              <w:ind w:firstLine="0"/>
              <w:rPr>
                <w:rFonts w:cs="Arial"/>
                <w:szCs w:val="26"/>
              </w:rPr>
            </w:pPr>
            <w:r w:rsidRPr="0090395D">
              <w:rPr>
                <w:rFonts w:cs="Arial"/>
                <w:szCs w:val="26"/>
              </w:rPr>
              <w:t xml:space="preserve">Application of Pacific Gas and Electric Company for Recovery of Recorded Expenditures Related to Wildfire Mitigation, Catastrophic Events, and Other Recorded Costs. </w:t>
            </w:r>
            <w:r>
              <w:rPr>
                <w:rFonts w:cs="Arial"/>
                <w:szCs w:val="26"/>
              </w:rPr>
              <w:t xml:space="preserve"> </w:t>
            </w:r>
            <w:r w:rsidRPr="0090395D">
              <w:rPr>
                <w:rFonts w:cs="Arial"/>
                <w:szCs w:val="26"/>
              </w:rPr>
              <w:t>(U39M</w:t>
            </w:r>
            <w:r>
              <w:rPr>
                <w:rFonts w:cs="Arial"/>
                <w:szCs w:val="26"/>
              </w:rPr>
              <w:t>.</w:t>
            </w:r>
            <w:r w:rsidRPr="0090395D">
              <w:rPr>
                <w:rFonts w:cs="Arial"/>
                <w:szCs w:val="26"/>
              </w:rPr>
              <w:t>)</w:t>
            </w:r>
          </w:p>
          <w:p w:rsidRPr="00DA7B5D" w:rsidR="0090395D" w:rsidP="00C10B5F" w:rsidRDefault="0090395D" w14:paraId="72FB1FAB" w14:textId="70A01DC6">
            <w:pPr>
              <w:spacing w:line="240" w:lineRule="auto"/>
              <w:ind w:firstLine="0"/>
              <w:rPr>
                <w:rFonts w:cs="Arial"/>
                <w:szCs w:val="26"/>
              </w:rPr>
            </w:pPr>
          </w:p>
        </w:tc>
        <w:tc>
          <w:tcPr>
            <w:tcW w:w="5040" w:type="dxa"/>
            <w:tcBorders>
              <w:top w:val="nil"/>
              <w:left w:val="single" w:color="auto" w:sz="4" w:space="0"/>
              <w:bottom w:val="nil"/>
              <w:right w:val="nil"/>
            </w:tcBorders>
            <w:vAlign w:val="center"/>
          </w:tcPr>
          <w:p w:rsidRPr="00DA7B5D" w:rsidR="00DA7B5D" w:rsidP="00412C83" w:rsidRDefault="009E33F7" w14:paraId="26FACBCC" w14:textId="579CFAC3">
            <w:pPr>
              <w:spacing w:line="240" w:lineRule="auto"/>
              <w:ind w:firstLine="0"/>
              <w:jc w:val="center"/>
              <w:rPr>
                <w:rFonts w:cs="Arial"/>
                <w:szCs w:val="26"/>
              </w:rPr>
            </w:pPr>
            <w:r>
              <w:rPr>
                <w:rFonts w:cs="Arial"/>
                <w:szCs w:val="26"/>
              </w:rPr>
              <w:t>Application 2</w:t>
            </w:r>
            <w:r w:rsidR="00E22160">
              <w:rPr>
                <w:rFonts w:cs="Arial"/>
                <w:szCs w:val="26"/>
              </w:rPr>
              <w:t>3-06-008</w:t>
            </w:r>
          </w:p>
        </w:tc>
      </w:tr>
    </w:tbl>
    <w:p w:rsidR="00DA7B5D" w:rsidP="008F0116" w:rsidRDefault="00DA7B5D" w14:paraId="22374E3F" w14:textId="77777777">
      <w:pPr>
        <w:spacing w:line="240" w:lineRule="auto"/>
        <w:ind w:firstLine="0"/>
        <w:rPr>
          <w:rFonts w:ascii="Arial" w:hAnsi="Arial" w:cs="Arial"/>
          <w:sz w:val="24"/>
          <w:szCs w:val="24"/>
        </w:rPr>
      </w:pPr>
    </w:p>
    <w:p w:rsidR="00DA7B5D" w:rsidP="008F0116" w:rsidRDefault="00DA7B5D" w14:paraId="3EC18E72" w14:textId="77777777">
      <w:pPr>
        <w:spacing w:line="240" w:lineRule="auto"/>
        <w:ind w:firstLine="0"/>
        <w:rPr>
          <w:rFonts w:ascii="Arial" w:hAnsi="Arial" w:cs="Arial"/>
          <w:sz w:val="24"/>
          <w:szCs w:val="24"/>
        </w:rPr>
      </w:pPr>
    </w:p>
    <w:p w:rsidR="00F92385" w:rsidP="00B3087D" w:rsidRDefault="00672038" w14:paraId="296FBA6C" w14:textId="4DAC1098">
      <w:pPr>
        <w:pStyle w:val="Dummy"/>
        <w:jc w:val="center"/>
      </w:pPr>
      <w:bookmarkStart w:name="_Toc157549675" w:id="0"/>
      <w:r>
        <w:t>DECISION GRANTING INTERIM RATE RECOVERY</w:t>
      </w:r>
      <w:bookmarkEnd w:id="0"/>
      <w:r w:rsidR="006553CF">
        <w:t xml:space="preserve"> </w:t>
      </w:r>
    </w:p>
    <w:p w:rsidR="0090395D" w:rsidP="0090395D" w:rsidRDefault="0090395D" w14:paraId="0BAFDF99" w14:textId="77777777"/>
    <w:p w:rsidRPr="0090395D" w:rsidR="0090395D" w:rsidP="0090395D" w:rsidRDefault="0090395D" w14:paraId="228270CD" w14:textId="3E4F850B">
      <w:pPr>
        <w:sectPr w:rsidRPr="0090395D" w:rsidR="0090395D" w:rsidSect="00EB0F3D">
          <w:headerReference w:type="first" r:id="rId11"/>
          <w:footerReference w:type="first" r:id="rId12"/>
          <w:pgSz w:w="12240" w:h="15840"/>
          <w:pgMar w:top="1728" w:right="1440" w:bottom="1440" w:left="1440" w:header="720" w:footer="720" w:gutter="0"/>
          <w:pgNumType w:start="1"/>
          <w:cols w:space="720"/>
          <w:titlePg/>
          <w:docGrid w:linePitch="360"/>
        </w:sectPr>
      </w:pPr>
    </w:p>
    <w:p w:rsidRPr="001E2A62" w:rsidR="0090395D" w:rsidP="0090395D" w:rsidRDefault="0090395D" w14:paraId="51D1ADC5" w14:textId="77777777">
      <w:pPr>
        <w:pStyle w:val="Main"/>
        <w:rPr>
          <w:rFonts w:ascii="Book Antiqua" w:hAnsi="Book Antiqua"/>
        </w:rPr>
      </w:pPr>
      <w:r w:rsidRPr="001E2A62">
        <w:rPr>
          <w:rFonts w:ascii="Book Antiqua" w:hAnsi="Book Antiqua"/>
        </w:rPr>
        <w:lastRenderedPageBreak/>
        <w:t>TABLE OF CONTENTS</w:t>
      </w:r>
    </w:p>
    <w:p w:rsidRPr="00D50119" w:rsidR="0090395D" w:rsidP="0090395D" w:rsidRDefault="0090395D" w14:paraId="740434E2"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F942B2" w:rsidRDefault="0090395D" w14:paraId="695495AF" w14:textId="7CB0D28C">
          <w:pPr>
            <w:pStyle w:val="TOC1"/>
            <w:tabs>
              <w:tab w:val="right" w:leader="dot" w:pos="9350"/>
            </w:tabs>
            <w:rPr>
              <w:rFonts w:asciiTheme="minorHAnsi" w:hAnsiTheme="minorHAnsi" w:cstheme="minorBidi"/>
              <w:noProof/>
              <w:kern w:val="2"/>
              <w:sz w:val="22"/>
              <w14:ligatures w14:val="standardContextual"/>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157549675">
            <w:r w:rsidRPr="00D45C93" w:rsidR="00F942B2">
              <w:rPr>
                <w:rStyle w:val="Hyperlink"/>
                <w:noProof/>
              </w:rPr>
              <w:t>DECISION GRANTING INTERIM RATE RECOVERY</w:t>
            </w:r>
            <w:r w:rsidR="00F942B2">
              <w:rPr>
                <w:noProof/>
                <w:webHidden/>
              </w:rPr>
              <w:tab/>
            </w:r>
            <w:r w:rsidR="00F942B2">
              <w:rPr>
                <w:noProof/>
                <w:webHidden/>
              </w:rPr>
              <w:fldChar w:fldCharType="begin"/>
            </w:r>
            <w:r w:rsidR="00F942B2">
              <w:rPr>
                <w:noProof/>
                <w:webHidden/>
              </w:rPr>
              <w:instrText xml:space="preserve"> PAGEREF _Toc157549675 \h </w:instrText>
            </w:r>
            <w:r w:rsidR="00F942B2">
              <w:rPr>
                <w:noProof/>
                <w:webHidden/>
              </w:rPr>
            </w:r>
            <w:r w:rsidR="00F942B2">
              <w:rPr>
                <w:noProof/>
                <w:webHidden/>
              </w:rPr>
              <w:fldChar w:fldCharType="separate"/>
            </w:r>
            <w:r w:rsidR="00F942B2">
              <w:rPr>
                <w:noProof/>
                <w:webHidden/>
              </w:rPr>
              <w:t>1</w:t>
            </w:r>
            <w:r w:rsidR="00F942B2">
              <w:rPr>
                <w:noProof/>
                <w:webHidden/>
              </w:rPr>
              <w:fldChar w:fldCharType="end"/>
            </w:r>
          </w:hyperlink>
        </w:p>
        <w:p w:rsidR="00F942B2" w:rsidRDefault="00BF66DE" w14:paraId="6CFF3BE7" w14:textId="303FDE67">
          <w:pPr>
            <w:pStyle w:val="TOC1"/>
            <w:tabs>
              <w:tab w:val="right" w:leader="dot" w:pos="9350"/>
            </w:tabs>
            <w:rPr>
              <w:rFonts w:asciiTheme="minorHAnsi" w:hAnsiTheme="minorHAnsi" w:cstheme="minorBidi"/>
              <w:noProof/>
              <w:kern w:val="2"/>
              <w:sz w:val="22"/>
              <w14:ligatures w14:val="standardContextual"/>
            </w:rPr>
          </w:pPr>
          <w:hyperlink w:history="1" w:anchor="_Toc157549676">
            <w:r w:rsidRPr="00D45C93" w:rsidR="00F942B2">
              <w:rPr>
                <w:rStyle w:val="Hyperlink"/>
                <w:noProof/>
              </w:rPr>
              <w:t>Summary</w:t>
            </w:r>
            <w:r w:rsidR="00F942B2">
              <w:rPr>
                <w:noProof/>
                <w:webHidden/>
              </w:rPr>
              <w:tab/>
            </w:r>
            <w:r w:rsidR="00F942B2">
              <w:rPr>
                <w:noProof/>
                <w:webHidden/>
              </w:rPr>
              <w:fldChar w:fldCharType="begin"/>
            </w:r>
            <w:r w:rsidR="00F942B2">
              <w:rPr>
                <w:noProof/>
                <w:webHidden/>
              </w:rPr>
              <w:instrText xml:space="preserve"> PAGEREF _Toc157549676 \h </w:instrText>
            </w:r>
            <w:r w:rsidR="00F942B2">
              <w:rPr>
                <w:noProof/>
                <w:webHidden/>
              </w:rPr>
            </w:r>
            <w:r w:rsidR="00F942B2">
              <w:rPr>
                <w:noProof/>
                <w:webHidden/>
              </w:rPr>
              <w:fldChar w:fldCharType="separate"/>
            </w:r>
            <w:r w:rsidR="00F942B2">
              <w:rPr>
                <w:noProof/>
                <w:webHidden/>
              </w:rPr>
              <w:t>2</w:t>
            </w:r>
            <w:r w:rsidR="00F942B2">
              <w:rPr>
                <w:noProof/>
                <w:webHidden/>
              </w:rPr>
              <w:fldChar w:fldCharType="end"/>
            </w:r>
          </w:hyperlink>
        </w:p>
        <w:p w:rsidR="00F942B2" w:rsidRDefault="00BF66DE" w14:paraId="16AA0B40" w14:textId="1F2F85D7">
          <w:pPr>
            <w:pStyle w:val="TOC1"/>
            <w:tabs>
              <w:tab w:val="right" w:leader="dot" w:pos="9350"/>
            </w:tabs>
            <w:rPr>
              <w:rFonts w:asciiTheme="minorHAnsi" w:hAnsiTheme="minorHAnsi" w:cstheme="minorBidi"/>
              <w:noProof/>
              <w:kern w:val="2"/>
              <w:sz w:val="22"/>
              <w14:ligatures w14:val="standardContextual"/>
            </w:rPr>
          </w:pPr>
          <w:hyperlink w:history="1" w:anchor="_Toc157549677">
            <w:r w:rsidRPr="00D45C93" w:rsidR="00F942B2">
              <w:rPr>
                <w:rStyle w:val="Hyperlink"/>
                <w:noProof/>
              </w:rPr>
              <w:t>1.</w:t>
            </w:r>
            <w:r w:rsidR="00F942B2">
              <w:rPr>
                <w:rFonts w:asciiTheme="minorHAnsi" w:hAnsiTheme="minorHAnsi" w:cstheme="minorBidi"/>
                <w:noProof/>
                <w:kern w:val="2"/>
                <w:sz w:val="22"/>
                <w14:ligatures w14:val="standardContextual"/>
              </w:rPr>
              <w:tab/>
            </w:r>
            <w:r w:rsidRPr="00D45C93" w:rsidR="00F942B2">
              <w:rPr>
                <w:rStyle w:val="Hyperlink"/>
                <w:noProof/>
              </w:rPr>
              <w:t>Background</w:t>
            </w:r>
            <w:r w:rsidR="00F942B2">
              <w:rPr>
                <w:noProof/>
                <w:webHidden/>
              </w:rPr>
              <w:tab/>
            </w:r>
            <w:r w:rsidR="00F942B2">
              <w:rPr>
                <w:noProof/>
                <w:webHidden/>
              </w:rPr>
              <w:fldChar w:fldCharType="begin"/>
            </w:r>
            <w:r w:rsidR="00F942B2">
              <w:rPr>
                <w:noProof/>
                <w:webHidden/>
              </w:rPr>
              <w:instrText xml:space="preserve"> PAGEREF _Toc157549677 \h </w:instrText>
            </w:r>
            <w:r w:rsidR="00F942B2">
              <w:rPr>
                <w:noProof/>
                <w:webHidden/>
              </w:rPr>
            </w:r>
            <w:r w:rsidR="00F942B2">
              <w:rPr>
                <w:noProof/>
                <w:webHidden/>
              </w:rPr>
              <w:fldChar w:fldCharType="separate"/>
            </w:r>
            <w:r w:rsidR="00F942B2">
              <w:rPr>
                <w:noProof/>
                <w:webHidden/>
              </w:rPr>
              <w:t>2</w:t>
            </w:r>
            <w:r w:rsidR="00F942B2">
              <w:rPr>
                <w:noProof/>
                <w:webHidden/>
              </w:rPr>
              <w:fldChar w:fldCharType="end"/>
            </w:r>
          </w:hyperlink>
        </w:p>
        <w:p w:rsidR="00F942B2" w:rsidRDefault="00BF66DE" w14:paraId="147E5352" w14:textId="146016B1">
          <w:pPr>
            <w:pStyle w:val="TOC2"/>
            <w:tabs>
              <w:tab w:val="right" w:leader="dot" w:pos="9350"/>
            </w:tabs>
            <w:rPr>
              <w:rFonts w:asciiTheme="minorHAnsi" w:hAnsiTheme="minorHAnsi" w:cstheme="minorBidi"/>
              <w:noProof/>
              <w:kern w:val="2"/>
              <w:sz w:val="22"/>
              <w14:ligatures w14:val="standardContextual"/>
            </w:rPr>
          </w:pPr>
          <w:hyperlink w:history="1" w:anchor="_Toc157549678">
            <w:r w:rsidRPr="00D45C93" w:rsidR="00F942B2">
              <w:rPr>
                <w:rStyle w:val="Hyperlink"/>
                <w:noProof/>
              </w:rPr>
              <w:t>1.1.</w:t>
            </w:r>
            <w:r w:rsidR="00F942B2">
              <w:rPr>
                <w:rFonts w:asciiTheme="minorHAnsi" w:hAnsiTheme="minorHAnsi" w:cstheme="minorBidi"/>
                <w:noProof/>
                <w:kern w:val="2"/>
                <w:sz w:val="22"/>
                <w14:ligatures w14:val="standardContextual"/>
              </w:rPr>
              <w:tab/>
            </w:r>
            <w:r w:rsidRPr="00D45C93" w:rsidR="00F942B2">
              <w:rPr>
                <w:rStyle w:val="Hyperlink"/>
                <w:noProof/>
              </w:rPr>
              <w:t>Procedural Background</w:t>
            </w:r>
            <w:r w:rsidR="00F942B2">
              <w:rPr>
                <w:noProof/>
                <w:webHidden/>
              </w:rPr>
              <w:tab/>
            </w:r>
            <w:r w:rsidR="00F942B2">
              <w:rPr>
                <w:noProof/>
                <w:webHidden/>
              </w:rPr>
              <w:fldChar w:fldCharType="begin"/>
            </w:r>
            <w:r w:rsidR="00F942B2">
              <w:rPr>
                <w:noProof/>
                <w:webHidden/>
              </w:rPr>
              <w:instrText xml:space="preserve"> PAGEREF _Toc157549678 \h </w:instrText>
            </w:r>
            <w:r w:rsidR="00F942B2">
              <w:rPr>
                <w:noProof/>
                <w:webHidden/>
              </w:rPr>
            </w:r>
            <w:r w:rsidR="00F942B2">
              <w:rPr>
                <w:noProof/>
                <w:webHidden/>
              </w:rPr>
              <w:fldChar w:fldCharType="separate"/>
            </w:r>
            <w:r w:rsidR="00F942B2">
              <w:rPr>
                <w:noProof/>
                <w:webHidden/>
              </w:rPr>
              <w:t>3</w:t>
            </w:r>
            <w:r w:rsidR="00F942B2">
              <w:rPr>
                <w:noProof/>
                <w:webHidden/>
              </w:rPr>
              <w:fldChar w:fldCharType="end"/>
            </w:r>
          </w:hyperlink>
        </w:p>
        <w:p w:rsidR="00F942B2" w:rsidRDefault="00BF66DE" w14:paraId="4D4F25B0" w14:textId="4A78BE77">
          <w:pPr>
            <w:pStyle w:val="TOC2"/>
            <w:tabs>
              <w:tab w:val="right" w:leader="dot" w:pos="9350"/>
            </w:tabs>
            <w:rPr>
              <w:rFonts w:asciiTheme="minorHAnsi" w:hAnsiTheme="minorHAnsi" w:cstheme="minorBidi"/>
              <w:noProof/>
              <w:kern w:val="2"/>
              <w:sz w:val="22"/>
              <w14:ligatures w14:val="standardContextual"/>
            </w:rPr>
          </w:pPr>
          <w:hyperlink w:history="1" w:anchor="_Toc157549679">
            <w:r w:rsidRPr="00D45C93" w:rsidR="00F942B2">
              <w:rPr>
                <w:rStyle w:val="Hyperlink"/>
                <w:noProof/>
              </w:rPr>
              <w:t>1.2.</w:t>
            </w:r>
            <w:r w:rsidR="00F942B2">
              <w:rPr>
                <w:rFonts w:asciiTheme="minorHAnsi" w:hAnsiTheme="minorHAnsi" w:cstheme="minorBidi"/>
                <w:noProof/>
                <w:kern w:val="2"/>
                <w:sz w:val="22"/>
                <w14:ligatures w14:val="standardContextual"/>
              </w:rPr>
              <w:tab/>
            </w:r>
            <w:r w:rsidRPr="00D45C93" w:rsidR="00F942B2">
              <w:rPr>
                <w:rStyle w:val="Hyperlink"/>
                <w:noProof/>
              </w:rPr>
              <w:t>Submission Date</w:t>
            </w:r>
            <w:r w:rsidR="00F942B2">
              <w:rPr>
                <w:noProof/>
                <w:webHidden/>
              </w:rPr>
              <w:tab/>
            </w:r>
            <w:r w:rsidR="00F942B2">
              <w:rPr>
                <w:noProof/>
                <w:webHidden/>
              </w:rPr>
              <w:fldChar w:fldCharType="begin"/>
            </w:r>
            <w:r w:rsidR="00F942B2">
              <w:rPr>
                <w:noProof/>
                <w:webHidden/>
              </w:rPr>
              <w:instrText xml:space="preserve"> PAGEREF _Toc157549679 \h </w:instrText>
            </w:r>
            <w:r w:rsidR="00F942B2">
              <w:rPr>
                <w:noProof/>
                <w:webHidden/>
              </w:rPr>
            </w:r>
            <w:r w:rsidR="00F942B2">
              <w:rPr>
                <w:noProof/>
                <w:webHidden/>
              </w:rPr>
              <w:fldChar w:fldCharType="separate"/>
            </w:r>
            <w:r w:rsidR="00F942B2">
              <w:rPr>
                <w:noProof/>
                <w:webHidden/>
              </w:rPr>
              <w:t>4</w:t>
            </w:r>
            <w:r w:rsidR="00F942B2">
              <w:rPr>
                <w:noProof/>
                <w:webHidden/>
              </w:rPr>
              <w:fldChar w:fldCharType="end"/>
            </w:r>
          </w:hyperlink>
        </w:p>
        <w:p w:rsidR="00F942B2" w:rsidRDefault="00BF66DE" w14:paraId="7065B3EA" w14:textId="4B044DAC">
          <w:pPr>
            <w:pStyle w:val="TOC2"/>
            <w:tabs>
              <w:tab w:val="right" w:leader="dot" w:pos="9350"/>
            </w:tabs>
            <w:rPr>
              <w:rFonts w:asciiTheme="minorHAnsi" w:hAnsiTheme="minorHAnsi" w:cstheme="minorBidi"/>
              <w:noProof/>
              <w:kern w:val="2"/>
              <w:sz w:val="22"/>
              <w14:ligatures w14:val="standardContextual"/>
            </w:rPr>
          </w:pPr>
          <w:hyperlink w:history="1" w:anchor="_Toc157549680">
            <w:r w:rsidRPr="00D45C93" w:rsidR="00F942B2">
              <w:rPr>
                <w:rStyle w:val="Hyperlink"/>
                <w:noProof/>
              </w:rPr>
              <w:t>1.3.</w:t>
            </w:r>
            <w:r w:rsidR="00F942B2">
              <w:rPr>
                <w:rFonts w:asciiTheme="minorHAnsi" w:hAnsiTheme="minorHAnsi" w:cstheme="minorBidi"/>
                <w:noProof/>
                <w:kern w:val="2"/>
                <w:sz w:val="22"/>
                <w14:ligatures w14:val="standardContextual"/>
              </w:rPr>
              <w:tab/>
            </w:r>
            <w:r w:rsidRPr="00D45C93" w:rsidR="00F942B2">
              <w:rPr>
                <w:rStyle w:val="Hyperlink"/>
                <w:noProof/>
              </w:rPr>
              <w:t>Interim Rate Recovery Requests in Other Proceedings</w:t>
            </w:r>
            <w:r w:rsidR="00F942B2">
              <w:rPr>
                <w:noProof/>
                <w:webHidden/>
              </w:rPr>
              <w:tab/>
            </w:r>
            <w:r w:rsidR="00F942B2">
              <w:rPr>
                <w:noProof/>
                <w:webHidden/>
              </w:rPr>
              <w:fldChar w:fldCharType="begin"/>
            </w:r>
            <w:r w:rsidR="00F942B2">
              <w:rPr>
                <w:noProof/>
                <w:webHidden/>
              </w:rPr>
              <w:instrText xml:space="preserve"> PAGEREF _Toc157549680 \h </w:instrText>
            </w:r>
            <w:r w:rsidR="00F942B2">
              <w:rPr>
                <w:noProof/>
                <w:webHidden/>
              </w:rPr>
            </w:r>
            <w:r w:rsidR="00F942B2">
              <w:rPr>
                <w:noProof/>
                <w:webHidden/>
              </w:rPr>
              <w:fldChar w:fldCharType="separate"/>
            </w:r>
            <w:r w:rsidR="00F942B2">
              <w:rPr>
                <w:noProof/>
                <w:webHidden/>
              </w:rPr>
              <w:t>4</w:t>
            </w:r>
            <w:r w:rsidR="00F942B2">
              <w:rPr>
                <w:noProof/>
                <w:webHidden/>
              </w:rPr>
              <w:fldChar w:fldCharType="end"/>
            </w:r>
          </w:hyperlink>
        </w:p>
        <w:p w:rsidR="00F942B2" w:rsidRDefault="00BF66DE" w14:paraId="08B41631" w14:textId="4DCD2383">
          <w:pPr>
            <w:pStyle w:val="TOC1"/>
            <w:tabs>
              <w:tab w:val="right" w:leader="dot" w:pos="9350"/>
            </w:tabs>
            <w:rPr>
              <w:rFonts w:asciiTheme="minorHAnsi" w:hAnsiTheme="minorHAnsi" w:cstheme="minorBidi"/>
              <w:noProof/>
              <w:kern w:val="2"/>
              <w:sz w:val="22"/>
              <w14:ligatures w14:val="standardContextual"/>
            </w:rPr>
          </w:pPr>
          <w:hyperlink w:history="1" w:anchor="_Toc157549681">
            <w:r w:rsidRPr="00D45C93" w:rsidR="00F942B2">
              <w:rPr>
                <w:rStyle w:val="Hyperlink"/>
                <w:noProof/>
              </w:rPr>
              <w:t>2.</w:t>
            </w:r>
            <w:r w:rsidR="00F942B2">
              <w:rPr>
                <w:rFonts w:asciiTheme="minorHAnsi" w:hAnsiTheme="minorHAnsi" w:cstheme="minorBidi"/>
                <w:noProof/>
                <w:kern w:val="2"/>
                <w:sz w:val="22"/>
                <w14:ligatures w14:val="standardContextual"/>
              </w:rPr>
              <w:tab/>
            </w:r>
            <w:r w:rsidRPr="00D45C93" w:rsidR="00F942B2">
              <w:rPr>
                <w:rStyle w:val="Hyperlink"/>
                <w:noProof/>
              </w:rPr>
              <w:t>Application and Motion Overview</w:t>
            </w:r>
            <w:r w:rsidR="00F942B2">
              <w:rPr>
                <w:noProof/>
                <w:webHidden/>
              </w:rPr>
              <w:tab/>
            </w:r>
            <w:r w:rsidR="00F942B2">
              <w:rPr>
                <w:noProof/>
                <w:webHidden/>
              </w:rPr>
              <w:fldChar w:fldCharType="begin"/>
            </w:r>
            <w:r w:rsidR="00F942B2">
              <w:rPr>
                <w:noProof/>
                <w:webHidden/>
              </w:rPr>
              <w:instrText xml:space="preserve"> PAGEREF _Toc157549681 \h </w:instrText>
            </w:r>
            <w:r w:rsidR="00F942B2">
              <w:rPr>
                <w:noProof/>
                <w:webHidden/>
              </w:rPr>
            </w:r>
            <w:r w:rsidR="00F942B2">
              <w:rPr>
                <w:noProof/>
                <w:webHidden/>
              </w:rPr>
              <w:fldChar w:fldCharType="separate"/>
            </w:r>
            <w:r w:rsidR="00F942B2">
              <w:rPr>
                <w:noProof/>
                <w:webHidden/>
              </w:rPr>
              <w:t>4</w:t>
            </w:r>
            <w:r w:rsidR="00F942B2">
              <w:rPr>
                <w:noProof/>
                <w:webHidden/>
              </w:rPr>
              <w:fldChar w:fldCharType="end"/>
            </w:r>
          </w:hyperlink>
        </w:p>
        <w:p w:rsidR="00F942B2" w:rsidRDefault="00BF66DE" w14:paraId="7FC404C7" w14:textId="4451406C">
          <w:pPr>
            <w:pStyle w:val="TOC2"/>
            <w:tabs>
              <w:tab w:val="right" w:leader="dot" w:pos="9350"/>
            </w:tabs>
            <w:rPr>
              <w:rFonts w:asciiTheme="minorHAnsi" w:hAnsiTheme="minorHAnsi" w:cstheme="minorBidi"/>
              <w:noProof/>
              <w:kern w:val="2"/>
              <w:sz w:val="22"/>
              <w14:ligatures w14:val="standardContextual"/>
            </w:rPr>
          </w:pPr>
          <w:hyperlink w:history="1" w:anchor="_Toc157549682">
            <w:r w:rsidRPr="00D45C93" w:rsidR="00F942B2">
              <w:rPr>
                <w:rStyle w:val="Hyperlink"/>
                <w:noProof/>
              </w:rPr>
              <w:t>2.1.</w:t>
            </w:r>
            <w:r w:rsidR="00F942B2">
              <w:rPr>
                <w:rFonts w:asciiTheme="minorHAnsi" w:hAnsiTheme="minorHAnsi" w:cstheme="minorBidi"/>
                <w:noProof/>
                <w:kern w:val="2"/>
                <w:sz w:val="22"/>
                <w14:ligatures w14:val="standardContextual"/>
              </w:rPr>
              <w:tab/>
            </w:r>
            <w:r w:rsidRPr="00D45C93" w:rsidR="00F942B2">
              <w:rPr>
                <w:rStyle w:val="Hyperlink"/>
                <w:noProof/>
              </w:rPr>
              <w:t>Costs at Issue</w:t>
            </w:r>
            <w:r w:rsidR="00F942B2">
              <w:rPr>
                <w:noProof/>
                <w:webHidden/>
              </w:rPr>
              <w:tab/>
            </w:r>
            <w:r w:rsidR="00F942B2">
              <w:rPr>
                <w:noProof/>
                <w:webHidden/>
              </w:rPr>
              <w:fldChar w:fldCharType="begin"/>
            </w:r>
            <w:r w:rsidR="00F942B2">
              <w:rPr>
                <w:noProof/>
                <w:webHidden/>
              </w:rPr>
              <w:instrText xml:space="preserve"> PAGEREF _Toc157549682 \h </w:instrText>
            </w:r>
            <w:r w:rsidR="00F942B2">
              <w:rPr>
                <w:noProof/>
                <w:webHidden/>
              </w:rPr>
            </w:r>
            <w:r w:rsidR="00F942B2">
              <w:rPr>
                <w:noProof/>
                <w:webHidden/>
              </w:rPr>
              <w:fldChar w:fldCharType="separate"/>
            </w:r>
            <w:r w:rsidR="00F942B2">
              <w:rPr>
                <w:noProof/>
                <w:webHidden/>
              </w:rPr>
              <w:t>6</w:t>
            </w:r>
            <w:r w:rsidR="00F942B2">
              <w:rPr>
                <w:noProof/>
                <w:webHidden/>
              </w:rPr>
              <w:fldChar w:fldCharType="end"/>
            </w:r>
          </w:hyperlink>
        </w:p>
        <w:p w:rsidR="00F942B2" w:rsidRDefault="00BF66DE" w14:paraId="1DF8423A" w14:textId="4EFCC0C0">
          <w:pPr>
            <w:pStyle w:val="TOC2"/>
            <w:tabs>
              <w:tab w:val="right" w:leader="dot" w:pos="9350"/>
            </w:tabs>
            <w:rPr>
              <w:rFonts w:asciiTheme="minorHAnsi" w:hAnsiTheme="minorHAnsi" w:cstheme="minorBidi"/>
              <w:noProof/>
              <w:kern w:val="2"/>
              <w:sz w:val="22"/>
              <w14:ligatures w14:val="standardContextual"/>
            </w:rPr>
          </w:pPr>
          <w:hyperlink w:history="1" w:anchor="_Toc157549683">
            <w:r w:rsidRPr="00D45C93" w:rsidR="00F942B2">
              <w:rPr>
                <w:rStyle w:val="Hyperlink"/>
                <w:noProof/>
              </w:rPr>
              <w:t>2.2.</w:t>
            </w:r>
            <w:r w:rsidR="00F942B2">
              <w:rPr>
                <w:rFonts w:asciiTheme="minorHAnsi" w:hAnsiTheme="minorHAnsi" w:cstheme="minorBidi"/>
                <w:noProof/>
                <w:kern w:val="2"/>
                <w:sz w:val="22"/>
                <w14:ligatures w14:val="standardContextual"/>
              </w:rPr>
              <w:tab/>
            </w:r>
            <w:r w:rsidRPr="00D45C93" w:rsidR="00F942B2">
              <w:rPr>
                <w:rStyle w:val="Hyperlink"/>
                <w:noProof/>
              </w:rPr>
              <w:t>Ratemaking Proposal at Issue</w:t>
            </w:r>
            <w:r w:rsidR="00F942B2">
              <w:rPr>
                <w:noProof/>
                <w:webHidden/>
              </w:rPr>
              <w:tab/>
            </w:r>
            <w:r w:rsidR="00F942B2">
              <w:rPr>
                <w:noProof/>
                <w:webHidden/>
              </w:rPr>
              <w:fldChar w:fldCharType="begin"/>
            </w:r>
            <w:r w:rsidR="00F942B2">
              <w:rPr>
                <w:noProof/>
                <w:webHidden/>
              </w:rPr>
              <w:instrText xml:space="preserve"> PAGEREF _Toc157549683 \h </w:instrText>
            </w:r>
            <w:r w:rsidR="00F942B2">
              <w:rPr>
                <w:noProof/>
                <w:webHidden/>
              </w:rPr>
            </w:r>
            <w:r w:rsidR="00F942B2">
              <w:rPr>
                <w:noProof/>
                <w:webHidden/>
              </w:rPr>
              <w:fldChar w:fldCharType="separate"/>
            </w:r>
            <w:r w:rsidR="00F942B2">
              <w:rPr>
                <w:noProof/>
                <w:webHidden/>
              </w:rPr>
              <w:t>8</w:t>
            </w:r>
            <w:r w:rsidR="00F942B2">
              <w:rPr>
                <w:noProof/>
                <w:webHidden/>
              </w:rPr>
              <w:fldChar w:fldCharType="end"/>
            </w:r>
          </w:hyperlink>
        </w:p>
        <w:p w:rsidR="00F942B2" w:rsidRDefault="00BF66DE" w14:paraId="58116F54" w14:textId="4CC5B01E">
          <w:pPr>
            <w:pStyle w:val="TOC1"/>
            <w:tabs>
              <w:tab w:val="right" w:leader="dot" w:pos="9350"/>
            </w:tabs>
            <w:rPr>
              <w:rFonts w:asciiTheme="minorHAnsi" w:hAnsiTheme="minorHAnsi" w:cstheme="minorBidi"/>
              <w:noProof/>
              <w:kern w:val="2"/>
              <w:sz w:val="22"/>
              <w14:ligatures w14:val="standardContextual"/>
            </w:rPr>
          </w:pPr>
          <w:hyperlink w:history="1" w:anchor="_Toc157549684">
            <w:r w:rsidRPr="00D45C93" w:rsidR="00F942B2">
              <w:rPr>
                <w:rStyle w:val="Hyperlink"/>
                <w:noProof/>
              </w:rPr>
              <w:t>3.</w:t>
            </w:r>
            <w:r w:rsidR="00F942B2">
              <w:rPr>
                <w:rFonts w:asciiTheme="minorHAnsi" w:hAnsiTheme="minorHAnsi" w:cstheme="minorBidi"/>
                <w:noProof/>
                <w:kern w:val="2"/>
                <w:sz w:val="22"/>
                <w14:ligatures w14:val="standardContextual"/>
              </w:rPr>
              <w:tab/>
            </w:r>
            <w:r w:rsidRPr="00D45C93" w:rsidR="00F942B2">
              <w:rPr>
                <w:rStyle w:val="Hyperlink"/>
                <w:noProof/>
              </w:rPr>
              <w:t>Standard of Review</w:t>
            </w:r>
            <w:r w:rsidR="00F942B2">
              <w:rPr>
                <w:noProof/>
                <w:webHidden/>
              </w:rPr>
              <w:tab/>
            </w:r>
            <w:r w:rsidR="00F942B2">
              <w:rPr>
                <w:noProof/>
                <w:webHidden/>
              </w:rPr>
              <w:fldChar w:fldCharType="begin"/>
            </w:r>
            <w:r w:rsidR="00F942B2">
              <w:rPr>
                <w:noProof/>
                <w:webHidden/>
              </w:rPr>
              <w:instrText xml:space="preserve"> PAGEREF _Toc157549684 \h </w:instrText>
            </w:r>
            <w:r w:rsidR="00F942B2">
              <w:rPr>
                <w:noProof/>
                <w:webHidden/>
              </w:rPr>
            </w:r>
            <w:r w:rsidR="00F942B2">
              <w:rPr>
                <w:noProof/>
                <w:webHidden/>
              </w:rPr>
              <w:fldChar w:fldCharType="separate"/>
            </w:r>
            <w:r w:rsidR="00F942B2">
              <w:rPr>
                <w:noProof/>
                <w:webHidden/>
              </w:rPr>
              <w:t>10</w:t>
            </w:r>
            <w:r w:rsidR="00F942B2">
              <w:rPr>
                <w:noProof/>
                <w:webHidden/>
              </w:rPr>
              <w:fldChar w:fldCharType="end"/>
            </w:r>
          </w:hyperlink>
        </w:p>
        <w:p w:rsidR="00F942B2" w:rsidRDefault="00BF66DE" w14:paraId="2FE8D590" w14:textId="0F6EC295">
          <w:pPr>
            <w:pStyle w:val="TOC1"/>
            <w:tabs>
              <w:tab w:val="right" w:leader="dot" w:pos="9350"/>
            </w:tabs>
            <w:rPr>
              <w:rFonts w:asciiTheme="minorHAnsi" w:hAnsiTheme="minorHAnsi" w:cstheme="minorBidi"/>
              <w:noProof/>
              <w:kern w:val="2"/>
              <w:sz w:val="22"/>
              <w14:ligatures w14:val="standardContextual"/>
            </w:rPr>
          </w:pPr>
          <w:hyperlink w:history="1" w:anchor="_Toc157549685">
            <w:r w:rsidRPr="00D45C93" w:rsidR="00F942B2">
              <w:rPr>
                <w:rStyle w:val="Hyperlink"/>
                <w:noProof/>
              </w:rPr>
              <w:t>4.</w:t>
            </w:r>
            <w:r w:rsidR="00F942B2">
              <w:rPr>
                <w:rFonts w:asciiTheme="minorHAnsi" w:hAnsiTheme="minorHAnsi" w:cstheme="minorBidi"/>
                <w:noProof/>
                <w:kern w:val="2"/>
                <w:sz w:val="22"/>
                <w14:ligatures w14:val="standardContextual"/>
              </w:rPr>
              <w:tab/>
            </w:r>
            <w:r w:rsidRPr="00D45C93" w:rsidR="00F942B2">
              <w:rPr>
                <w:rStyle w:val="Hyperlink"/>
                <w:noProof/>
              </w:rPr>
              <w:t>Summary of Positions</w:t>
            </w:r>
            <w:r w:rsidR="00F942B2">
              <w:rPr>
                <w:noProof/>
                <w:webHidden/>
              </w:rPr>
              <w:tab/>
            </w:r>
            <w:r w:rsidR="00F942B2">
              <w:rPr>
                <w:noProof/>
                <w:webHidden/>
              </w:rPr>
              <w:fldChar w:fldCharType="begin"/>
            </w:r>
            <w:r w:rsidR="00F942B2">
              <w:rPr>
                <w:noProof/>
                <w:webHidden/>
              </w:rPr>
              <w:instrText xml:space="preserve"> PAGEREF _Toc157549685 \h </w:instrText>
            </w:r>
            <w:r w:rsidR="00F942B2">
              <w:rPr>
                <w:noProof/>
                <w:webHidden/>
              </w:rPr>
            </w:r>
            <w:r w:rsidR="00F942B2">
              <w:rPr>
                <w:noProof/>
                <w:webHidden/>
              </w:rPr>
              <w:fldChar w:fldCharType="separate"/>
            </w:r>
            <w:r w:rsidR="00F942B2">
              <w:rPr>
                <w:noProof/>
                <w:webHidden/>
              </w:rPr>
              <w:t>11</w:t>
            </w:r>
            <w:r w:rsidR="00F942B2">
              <w:rPr>
                <w:noProof/>
                <w:webHidden/>
              </w:rPr>
              <w:fldChar w:fldCharType="end"/>
            </w:r>
          </w:hyperlink>
        </w:p>
        <w:p w:rsidR="00F942B2" w:rsidRDefault="00BF66DE" w14:paraId="1255CC4F" w14:textId="06FE3B17">
          <w:pPr>
            <w:pStyle w:val="TOC2"/>
            <w:tabs>
              <w:tab w:val="right" w:leader="dot" w:pos="9350"/>
            </w:tabs>
            <w:rPr>
              <w:rFonts w:asciiTheme="minorHAnsi" w:hAnsiTheme="minorHAnsi" w:cstheme="minorBidi"/>
              <w:noProof/>
              <w:kern w:val="2"/>
              <w:sz w:val="22"/>
              <w14:ligatures w14:val="standardContextual"/>
            </w:rPr>
          </w:pPr>
          <w:hyperlink w:history="1" w:anchor="_Toc157549686">
            <w:r w:rsidRPr="00D45C93" w:rsidR="00F942B2">
              <w:rPr>
                <w:rStyle w:val="Hyperlink"/>
                <w:noProof/>
              </w:rPr>
              <w:t>4.1.</w:t>
            </w:r>
            <w:r w:rsidR="00F942B2">
              <w:rPr>
                <w:rFonts w:asciiTheme="minorHAnsi" w:hAnsiTheme="minorHAnsi" w:cstheme="minorBidi"/>
                <w:noProof/>
                <w:kern w:val="2"/>
                <w:sz w:val="22"/>
                <w14:ligatures w14:val="standardContextual"/>
              </w:rPr>
              <w:tab/>
            </w:r>
            <w:r w:rsidRPr="00D45C93" w:rsidR="00F942B2">
              <w:rPr>
                <w:rStyle w:val="Hyperlink"/>
                <w:noProof/>
              </w:rPr>
              <w:t>PG&amp;E</w:t>
            </w:r>
            <w:r w:rsidR="00F942B2">
              <w:rPr>
                <w:noProof/>
                <w:webHidden/>
              </w:rPr>
              <w:tab/>
            </w:r>
            <w:r w:rsidR="00F942B2">
              <w:rPr>
                <w:noProof/>
                <w:webHidden/>
              </w:rPr>
              <w:fldChar w:fldCharType="begin"/>
            </w:r>
            <w:r w:rsidR="00F942B2">
              <w:rPr>
                <w:noProof/>
                <w:webHidden/>
              </w:rPr>
              <w:instrText xml:space="preserve"> PAGEREF _Toc157549686 \h </w:instrText>
            </w:r>
            <w:r w:rsidR="00F942B2">
              <w:rPr>
                <w:noProof/>
                <w:webHidden/>
              </w:rPr>
            </w:r>
            <w:r w:rsidR="00F942B2">
              <w:rPr>
                <w:noProof/>
                <w:webHidden/>
              </w:rPr>
              <w:fldChar w:fldCharType="separate"/>
            </w:r>
            <w:r w:rsidR="00F942B2">
              <w:rPr>
                <w:noProof/>
                <w:webHidden/>
              </w:rPr>
              <w:t>11</w:t>
            </w:r>
            <w:r w:rsidR="00F942B2">
              <w:rPr>
                <w:noProof/>
                <w:webHidden/>
              </w:rPr>
              <w:fldChar w:fldCharType="end"/>
            </w:r>
          </w:hyperlink>
        </w:p>
        <w:p w:rsidR="00F942B2" w:rsidRDefault="00BF66DE" w14:paraId="008BA1C2" w14:textId="04FAC2A8">
          <w:pPr>
            <w:pStyle w:val="TOC2"/>
            <w:tabs>
              <w:tab w:val="right" w:leader="dot" w:pos="9350"/>
            </w:tabs>
            <w:rPr>
              <w:rFonts w:asciiTheme="minorHAnsi" w:hAnsiTheme="minorHAnsi" w:cstheme="minorBidi"/>
              <w:noProof/>
              <w:kern w:val="2"/>
              <w:sz w:val="22"/>
              <w14:ligatures w14:val="standardContextual"/>
            </w:rPr>
          </w:pPr>
          <w:hyperlink w:history="1" w:anchor="_Toc157549687">
            <w:r w:rsidRPr="00D45C93" w:rsidR="00F942B2">
              <w:rPr>
                <w:rStyle w:val="Hyperlink"/>
                <w:noProof/>
              </w:rPr>
              <w:t>4.2.</w:t>
            </w:r>
            <w:r w:rsidR="00F942B2">
              <w:rPr>
                <w:rFonts w:asciiTheme="minorHAnsi" w:hAnsiTheme="minorHAnsi" w:cstheme="minorBidi"/>
                <w:noProof/>
                <w:kern w:val="2"/>
                <w:sz w:val="22"/>
                <w14:ligatures w14:val="standardContextual"/>
              </w:rPr>
              <w:tab/>
            </w:r>
            <w:r w:rsidRPr="00D45C93" w:rsidR="00F942B2">
              <w:rPr>
                <w:rStyle w:val="Hyperlink"/>
                <w:noProof/>
              </w:rPr>
              <w:t>Cal Advocates</w:t>
            </w:r>
            <w:r w:rsidR="00F942B2">
              <w:rPr>
                <w:noProof/>
                <w:webHidden/>
              </w:rPr>
              <w:tab/>
            </w:r>
            <w:r w:rsidR="00F942B2">
              <w:rPr>
                <w:noProof/>
                <w:webHidden/>
              </w:rPr>
              <w:fldChar w:fldCharType="begin"/>
            </w:r>
            <w:r w:rsidR="00F942B2">
              <w:rPr>
                <w:noProof/>
                <w:webHidden/>
              </w:rPr>
              <w:instrText xml:space="preserve"> PAGEREF _Toc157549687 \h </w:instrText>
            </w:r>
            <w:r w:rsidR="00F942B2">
              <w:rPr>
                <w:noProof/>
                <w:webHidden/>
              </w:rPr>
            </w:r>
            <w:r w:rsidR="00F942B2">
              <w:rPr>
                <w:noProof/>
                <w:webHidden/>
              </w:rPr>
              <w:fldChar w:fldCharType="separate"/>
            </w:r>
            <w:r w:rsidR="00F942B2">
              <w:rPr>
                <w:noProof/>
                <w:webHidden/>
              </w:rPr>
              <w:t>12</w:t>
            </w:r>
            <w:r w:rsidR="00F942B2">
              <w:rPr>
                <w:noProof/>
                <w:webHidden/>
              </w:rPr>
              <w:fldChar w:fldCharType="end"/>
            </w:r>
          </w:hyperlink>
        </w:p>
        <w:p w:rsidR="00F942B2" w:rsidRDefault="00BF66DE" w14:paraId="07C945A7" w14:textId="694C698D">
          <w:pPr>
            <w:pStyle w:val="TOC2"/>
            <w:tabs>
              <w:tab w:val="right" w:leader="dot" w:pos="9350"/>
            </w:tabs>
            <w:rPr>
              <w:rFonts w:asciiTheme="minorHAnsi" w:hAnsiTheme="minorHAnsi" w:cstheme="minorBidi"/>
              <w:noProof/>
              <w:kern w:val="2"/>
              <w:sz w:val="22"/>
              <w14:ligatures w14:val="standardContextual"/>
            </w:rPr>
          </w:pPr>
          <w:hyperlink w:history="1" w:anchor="_Toc157549688">
            <w:r w:rsidRPr="00D45C93" w:rsidR="00F942B2">
              <w:rPr>
                <w:rStyle w:val="Hyperlink"/>
                <w:noProof/>
              </w:rPr>
              <w:t>4.3.</w:t>
            </w:r>
            <w:r w:rsidR="00F942B2">
              <w:rPr>
                <w:rFonts w:asciiTheme="minorHAnsi" w:hAnsiTheme="minorHAnsi" w:cstheme="minorBidi"/>
                <w:noProof/>
                <w:kern w:val="2"/>
                <w:sz w:val="22"/>
                <w14:ligatures w14:val="standardContextual"/>
              </w:rPr>
              <w:tab/>
            </w:r>
            <w:r w:rsidRPr="00D45C93" w:rsidR="00F942B2">
              <w:rPr>
                <w:rStyle w:val="Hyperlink"/>
                <w:noProof/>
              </w:rPr>
              <w:t>TURN</w:t>
            </w:r>
            <w:r w:rsidR="00F942B2">
              <w:rPr>
                <w:noProof/>
                <w:webHidden/>
              </w:rPr>
              <w:tab/>
            </w:r>
            <w:r w:rsidR="00F942B2">
              <w:rPr>
                <w:noProof/>
                <w:webHidden/>
              </w:rPr>
              <w:fldChar w:fldCharType="begin"/>
            </w:r>
            <w:r w:rsidR="00F942B2">
              <w:rPr>
                <w:noProof/>
                <w:webHidden/>
              </w:rPr>
              <w:instrText xml:space="preserve"> PAGEREF _Toc157549688 \h </w:instrText>
            </w:r>
            <w:r w:rsidR="00F942B2">
              <w:rPr>
                <w:noProof/>
                <w:webHidden/>
              </w:rPr>
            </w:r>
            <w:r w:rsidR="00F942B2">
              <w:rPr>
                <w:noProof/>
                <w:webHidden/>
              </w:rPr>
              <w:fldChar w:fldCharType="separate"/>
            </w:r>
            <w:r w:rsidR="00F942B2">
              <w:rPr>
                <w:noProof/>
                <w:webHidden/>
              </w:rPr>
              <w:t>13</w:t>
            </w:r>
            <w:r w:rsidR="00F942B2">
              <w:rPr>
                <w:noProof/>
                <w:webHidden/>
              </w:rPr>
              <w:fldChar w:fldCharType="end"/>
            </w:r>
          </w:hyperlink>
        </w:p>
        <w:p w:rsidR="00F942B2" w:rsidRDefault="00BF66DE" w14:paraId="4F81D7A8" w14:textId="33275175">
          <w:pPr>
            <w:pStyle w:val="TOC2"/>
            <w:tabs>
              <w:tab w:val="right" w:leader="dot" w:pos="9350"/>
            </w:tabs>
            <w:rPr>
              <w:rFonts w:asciiTheme="minorHAnsi" w:hAnsiTheme="minorHAnsi" w:cstheme="minorBidi"/>
              <w:noProof/>
              <w:kern w:val="2"/>
              <w:sz w:val="22"/>
              <w14:ligatures w14:val="standardContextual"/>
            </w:rPr>
          </w:pPr>
          <w:hyperlink w:history="1" w:anchor="_Toc157549689">
            <w:r w:rsidRPr="00D45C93" w:rsidR="00F942B2">
              <w:rPr>
                <w:rStyle w:val="Hyperlink"/>
                <w:noProof/>
              </w:rPr>
              <w:t>4.4.</w:t>
            </w:r>
            <w:r w:rsidR="00F942B2">
              <w:rPr>
                <w:rFonts w:asciiTheme="minorHAnsi" w:hAnsiTheme="minorHAnsi" w:cstheme="minorBidi"/>
                <w:noProof/>
                <w:kern w:val="2"/>
                <w:sz w:val="22"/>
                <w14:ligatures w14:val="standardContextual"/>
              </w:rPr>
              <w:tab/>
            </w:r>
            <w:r w:rsidRPr="00D45C93" w:rsidR="00F942B2">
              <w:rPr>
                <w:rStyle w:val="Hyperlink"/>
                <w:noProof/>
              </w:rPr>
              <w:t>Comparison of Impacts</w:t>
            </w:r>
            <w:r w:rsidR="00F942B2">
              <w:rPr>
                <w:noProof/>
                <w:webHidden/>
              </w:rPr>
              <w:tab/>
            </w:r>
            <w:r w:rsidR="00F942B2">
              <w:rPr>
                <w:noProof/>
                <w:webHidden/>
              </w:rPr>
              <w:fldChar w:fldCharType="begin"/>
            </w:r>
            <w:r w:rsidR="00F942B2">
              <w:rPr>
                <w:noProof/>
                <w:webHidden/>
              </w:rPr>
              <w:instrText xml:space="preserve"> PAGEREF _Toc157549689 \h </w:instrText>
            </w:r>
            <w:r w:rsidR="00F942B2">
              <w:rPr>
                <w:noProof/>
                <w:webHidden/>
              </w:rPr>
            </w:r>
            <w:r w:rsidR="00F942B2">
              <w:rPr>
                <w:noProof/>
                <w:webHidden/>
              </w:rPr>
              <w:fldChar w:fldCharType="separate"/>
            </w:r>
            <w:r w:rsidR="00F942B2">
              <w:rPr>
                <w:noProof/>
                <w:webHidden/>
              </w:rPr>
              <w:t>14</w:t>
            </w:r>
            <w:r w:rsidR="00F942B2">
              <w:rPr>
                <w:noProof/>
                <w:webHidden/>
              </w:rPr>
              <w:fldChar w:fldCharType="end"/>
            </w:r>
          </w:hyperlink>
        </w:p>
        <w:p w:rsidR="00F942B2" w:rsidRDefault="00BF66DE" w14:paraId="433B3204" w14:textId="4AA39DCE">
          <w:pPr>
            <w:pStyle w:val="TOC1"/>
            <w:tabs>
              <w:tab w:val="right" w:leader="dot" w:pos="9350"/>
            </w:tabs>
            <w:rPr>
              <w:rFonts w:asciiTheme="minorHAnsi" w:hAnsiTheme="minorHAnsi" w:cstheme="minorBidi"/>
              <w:noProof/>
              <w:kern w:val="2"/>
              <w:sz w:val="22"/>
              <w14:ligatures w14:val="standardContextual"/>
            </w:rPr>
          </w:pPr>
          <w:hyperlink w:history="1" w:anchor="_Toc157549690">
            <w:r w:rsidRPr="00D45C93" w:rsidR="00F942B2">
              <w:rPr>
                <w:rStyle w:val="Hyperlink"/>
                <w:noProof/>
              </w:rPr>
              <w:t>5.</w:t>
            </w:r>
            <w:r w:rsidR="00F942B2">
              <w:rPr>
                <w:rFonts w:asciiTheme="minorHAnsi" w:hAnsiTheme="minorHAnsi" w:cstheme="minorBidi"/>
                <w:noProof/>
                <w:kern w:val="2"/>
                <w:sz w:val="22"/>
                <w14:ligatures w14:val="standardContextual"/>
              </w:rPr>
              <w:tab/>
            </w:r>
            <w:r w:rsidRPr="00D45C93" w:rsidR="00F942B2">
              <w:rPr>
                <w:rStyle w:val="Hyperlink"/>
                <w:noProof/>
              </w:rPr>
              <w:t>Issues</w:t>
            </w:r>
            <w:r w:rsidR="00F942B2">
              <w:rPr>
                <w:noProof/>
                <w:webHidden/>
              </w:rPr>
              <w:tab/>
            </w:r>
            <w:r w:rsidR="00F942B2">
              <w:rPr>
                <w:noProof/>
                <w:webHidden/>
              </w:rPr>
              <w:fldChar w:fldCharType="begin"/>
            </w:r>
            <w:r w:rsidR="00F942B2">
              <w:rPr>
                <w:noProof/>
                <w:webHidden/>
              </w:rPr>
              <w:instrText xml:space="preserve"> PAGEREF _Toc157549690 \h </w:instrText>
            </w:r>
            <w:r w:rsidR="00F942B2">
              <w:rPr>
                <w:noProof/>
                <w:webHidden/>
              </w:rPr>
            </w:r>
            <w:r w:rsidR="00F942B2">
              <w:rPr>
                <w:noProof/>
                <w:webHidden/>
              </w:rPr>
              <w:fldChar w:fldCharType="separate"/>
            </w:r>
            <w:r w:rsidR="00F942B2">
              <w:rPr>
                <w:noProof/>
                <w:webHidden/>
              </w:rPr>
              <w:t>19</w:t>
            </w:r>
            <w:r w:rsidR="00F942B2">
              <w:rPr>
                <w:noProof/>
                <w:webHidden/>
              </w:rPr>
              <w:fldChar w:fldCharType="end"/>
            </w:r>
          </w:hyperlink>
        </w:p>
        <w:p w:rsidR="00F942B2" w:rsidRDefault="00BF66DE" w14:paraId="50FAADDA" w14:textId="70A849E2">
          <w:pPr>
            <w:pStyle w:val="TOC1"/>
            <w:tabs>
              <w:tab w:val="right" w:leader="dot" w:pos="9350"/>
            </w:tabs>
            <w:rPr>
              <w:rFonts w:asciiTheme="minorHAnsi" w:hAnsiTheme="minorHAnsi" w:cstheme="minorBidi"/>
              <w:noProof/>
              <w:kern w:val="2"/>
              <w:sz w:val="22"/>
              <w14:ligatures w14:val="standardContextual"/>
            </w:rPr>
          </w:pPr>
          <w:hyperlink w:history="1" w:anchor="_Toc157549691">
            <w:r w:rsidRPr="00D45C93" w:rsidR="00F942B2">
              <w:rPr>
                <w:rStyle w:val="Hyperlink"/>
                <w:noProof/>
              </w:rPr>
              <w:t>6.</w:t>
            </w:r>
            <w:r w:rsidR="00F942B2">
              <w:rPr>
                <w:rFonts w:asciiTheme="minorHAnsi" w:hAnsiTheme="minorHAnsi" w:cstheme="minorBidi"/>
                <w:noProof/>
                <w:kern w:val="2"/>
                <w:sz w:val="22"/>
                <w14:ligatures w14:val="standardContextual"/>
              </w:rPr>
              <w:tab/>
            </w:r>
            <w:r w:rsidRPr="00D45C93" w:rsidR="00F942B2">
              <w:rPr>
                <w:rStyle w:val="Hyperlink"/>
                <w:noProof/>
              </w:rPr>
              <w:t>Interim Cost Recovery is Warranted</w:t>
            </w:r>
            <w:r w:rsidR="00F942B2">
              <w:rPr>
                <w:noProof/>
                <w:webHidden/>
              </w:rPr>
              <w:tab/>
            </w:r>
            <w:r w:rsidR="00F942B2">
              <w:rPr>
                <w:noProof/>
                <w:webHidden/>
              </w:rPr>
              <w:fldChar w:fldCharType="begin"/>
            </w:r>
            <w:r w:rsidR="00F942B2">
              <w:rPr>
                <w:noProof/>
                <w:webHidden/>
              </w:rPr>
              <w:instrText xml:space="preserve"> PAGEREF _Toc157549691 \h </w:instrText>
            </w:r>
            <w:r w:rsidR="00F942B2">
              <w:rPr>
                <w:noProof/>
                <w:webHidden/>
              </w:rPr>
            </w:r>
            <w:r w:rsidR="00F942B2">
              <w:rPr>
                <w:noProof/>
                <w:webHidden/>
              </w:rPr>
              <w:fldChar w:fldCharType="separate"/>
            </w:r>
            <w:r w:rsidR="00F942B2">
              <w:rPr>
                <w:noProof/>
                <w:webHidden/>
              </w:rPr>
              <w:t>20</w:t>
            </w:r>
            <w:r w:rsidR="00F942B2">
              <w:rPr>
                <w:noProof/>
                <w:webHidden/>
              </w:rPr>
              <w:fldChar w:fldCharType="end"/>
            </w:r>
          </w:hyperlink>
        </w:p>
        <w:p w:rsidR="00F942B2" w:rsidRDefault="00BF66DE" w14:paraId="3BEC5B56" w14:textId="12F84D68">
          <w:pPr>
            <w:pStyle w:val="TOC2"/>
            <w:tabs>
              <w:tab w:val="right" w:leader="dot" w:pos="9350"/>
            </w:tabs>
            <w:rPr>
              <w:rFonts w:asciiTheme="minorHAnsi" w:hAnsiTheme="minorHAnsi" w:cstheme="minorBidi"/>
              <w:noProof/>
              <w:kern w:val="2"/>
              <w:sz w:val="22"/>
              <w14:ligatures w14:val="standardContextual"/>
            </w:rPr>
          </w:pPr>
          <w:hyperlink w:history="1" w:anchor="_Toc157549692">
            <w:r w:rsidRPr="00D45C93" w:rsidR="00F942B2">
              <w:rPr>
                <w:rStyle w:val="Hyperlink"/>
                <w:noProof/>
              </w:rPr>
              <w:t>6.1.</w:t>
            </w:r>
            <w:r w:rsidR="00F942B2">
              <w:rPr>
                <w:rFonts w:asciiTheme="minorHAnsi" w:hAnsiTheme="minorHAnsi" w:cstheme="minorBidi"/>
                <w:noProof/>
                <w:kern w:val="2"/>
                <w:sz w:val="22"/>
                <w14:ligatures w14:val="standardContextual"/>
              </w:rPr>
              <w:tab/>
            </w:r>
            <w:r w:rsidRPr="00D45C93" w:rsidR="00F942B2">
              <w:rPr>
                <w:rStyle w:val="Hyperlink"/>
                <w:noProof/>
              </w:rPr>
              <w:t>PG&amp;E’s Financial Condition</w:t>
            </w:r>
            <w:r w:rsidR="00F942B2">
              <w:rPr>
                <w:noProof/>
                <w:webHidden/>
              </w:rPr>
              <w:tab/>
            </w:r>
            <w:r w:rsidR="00F942B2">
              <w:rPr>
                <w:noProof/>
                <w:webHidden/>
              </w:rPr>
              <w:fldChar w:fldCharType="begin"/>
            </w:r>
            <w:r w:rsidR="00F942B2">
              <w:rPr>
                <w:noProof/>
                <w:webHidden/>
              </w:rPr>
              <w:instrText xml:space="preserve"> PAGEREF _Toc157549692 \h </w:instrText>
            </w:r>
            <w:r w:rsidR="00F942B2">
              <w:rPr>
                <w:noProof/>
                <w:webHidden/>
              </w:rPr>
            </w:r>
            <w:r w:rsidR="00F942B2">
              <w:rPr>
                <w:noProof/>
                <w:webHidden/>
              </w:rPr>
              <w:fldChar w:fldCharType="separate"/>
            </w:r>
            <w:r w:rsidR="00F942B2">
              <w:rPr>
                <w:noProof/>
                <w:webHidden/>
              </w:rPr>
              <w:t>20</w:t>
            </w:r>
            <w:r w:rsidR="00F942B2">
              <w:rPr>
                <w:noProof/>
                <w:webHidden/>
              </w:rPr>
              <w:fldChar w:fldCharType="end"/>
            </w:r>
          </w:hyperlink>
        </w:p>
        <w:p w:rsidR="00F942B2" w:rsidRDefault="00BF66DE" w14:paraId="7578D598" w14:textId="4D583445">
          <w:pPr>
            <w:pStyle w:val="TOC2"/>
            <w:tabs>
              <w:tab w:val="right" w:leader="dot" w:pos="9350"/>
            </w:tabs>
            <w:rPr>
              <w:rFonts w:asciiTheme="minorHAnsi" w:hAnsiTheme="minorHAnsi" w:cstheme="minorBidi"/>
              <w:noProof/>
              <w:kern w:val="2"/>
              <w:sz w:val="22"/>
              <w14:ligatures w14:val="standardContextual"/>
            </w:rPr>
          </w:pPr>
          <w:hyperlink w:history="1" w:anchor="_Toc157549693">
            <w:r w:rsidRPr="00D45C93" w:rsidR="00F942B2">
              <w:rPr>
                <w:rStyle w:val="Hyperlink"/>
                <w:noProof/>
              </w:rPr>
              <w:t>6.2.</w:t>
            </w:r>
            <w:r w:rsidR="00F942B2">
              <w:rPr>
                <w:rFonts w:asciiTheme="minorHAnsi" w:hAnsiTheme="minorHAnsi" w:cstheme="minorBidi"/>
                <w:noProof/>
                <w:kern w:val="2"/>
                <w:sz w:val="22"/>
                <w14:ligatures w14:val="standardContextual"/>
              </w:rPr>
              <w:tab/>
            </w:r>
            <w:r w:rsidRPr="00D45C93" w:rsidR="00F942B2">
              <w:rPr>
                <w:rStyle w:val="Hyperlink"/>
                <w:noProof/>
              </w:rPr>
              <w:t>Rate Stability, Equity, and Customer Affordability</w:t>
            </w:r>
            <w:r w:rsidR="00F942B2">
              <w:rPr>
                <w:noProof/>
                <w:webHidden/>
              </w:rPr>
              <w:tab/>
            </w:r>
            <w:r w:rsidR="00F942B2">
              <w:rPr>
                <w:noProof/>
                <w:webHidden/>
              </w:rPr>
              <w:fldChar w:fldCharType="begin"/>
            </w:r>
            <w:r w:rsidR="00F942B2">
              <w:rPr>
                <w:noProof/>
                <w:webHidden/>
              </w:rPr>
              <w:instrText xml:space="preserve"> PAGEREF _Toc157549693 \h </w:instrText>
            </w:r>
            <w:r w:rsidR="00F942B2">
              <w:rPr>
                <w:noProof/>
                <w:webHidden/>
              </w:rPr>
            </w:r>
            <w:r w:rsidR="00F942B2">
              <w:rPr>
                <w:noProof/>
                <w:webHidden/>
              </w:rPr>
              <w:fldChar w:fldCharType="separate"/>
            </w:r>
            <w:r w:rsidR="00F942B2">
              <w:rPr>
                <w:noProof/>
                <w:webHidden/>
              </w:rPr>
              <w:t>26</w:t>
            </w:r>
            <w:r w:rsidR="00F942B2">
              <w:rPr>
                <w:noProof/>
                <w:webHidden/>
              </w:rPr>
              <w:fldChar w:fldCharType="end"/>
            </w:r>
          </w:hyperlink>
        </w:p>
        <w:p w:rsidR="00F942B2" w:rsidRDefault="00BF66DE" w14:paraId="37A722E1" w14:textId="76A46FE0">
          <w:pPr>
            <w:pStyle w:val="TOC2"/>
            <w:tabs>
              <w:tab w:val="right" w:leader="dot" w:pos="9350"/>
            </w:tabs>
            <w:rPr>
              <w:rFonts w:asciiTheme="minorHAnsi" w:hAnsiTheme="minorHAnsi" w:cstheme="minorBidi"/>
              <w:noProof/>
              <w:kern w:val="2"/>
              <w:sz w:val="22"/>
              <w14:ligatures w14:val="standardContextual"/>
            </w:rPr>
          </w:pPr>
          <w:hyperlink w:history="1" w:anchor="_Toc157549694">
            <w:r w:rsidRPr="00D45C93" w:rsidR="00F942B2">
              <w:rPr>
                <w:rStyle w:val="Hyperlink"/>
                <w:noProof/>
              </w:rPr>
              <w:t>6.3.</w:t>
            </w:r>
            <w:r w:rsidR="00F942B2">
              <w:rPr>
                <w:rFonts w:asciiTheme="minorHAnsi" w:hAnsiTheme="minorHAnsi" w:cstheme="minorBidi"/>
                <w:noProof/>
                <w:kern w:val="2"/>
                <w:sz w:val="22"/>
                <w14:ligatures w14:val="standardContextual"/>
              </w:rPr>
              <w:tab/>
            </w:r>
            <w:r w:rsidRPr="00D45C93" w:rsidR="00F942B2">
              <w:rPr>
                <w:rStyle w:val="Hyperlink"/>
                <w:noProof/>
              </w:rPr>
              <w:t>Seventy-five Percent of PG&amp;E’s Revenue Request Is the Appropriate Amount of Interim Cost Recovery</w:t>
            </w:r>
            <w:r w:rsidR="00F942B2">
              <w:rPr>
                <w:noProof/>
                <w:webHidden/>
              </w:rPr>
              <w:tab/>
            </w:r>
            <w:r w:rsidR="00F942B2">
              <w:rPr>
                <w:noProof/>
                <w:webHidden/>
              </w:rPr>
              <w:fldChar w:fldCharType="begin"/>
            </w:r>
            <w:r w:rsidR="00F942B2">
              <w:rPr>
                <w:noProof/>
                <w:webHidden/>
              </w:rPr>
              <w:instrText xml:space="preserve"> PAGEREF _Toc157549694 \h </w:instrText>
            </w:r>
            <w:r w:rsidR="00F942B2">
              <w:rPr>
                <w:noProof/>
                <w:webHidden/>
              </w:rPr>
            </w:r>
            <w:r w:rsidR="00F942B2">
              <w:rPr>
                <w:noProof/>
                <w:webHidden/>
              </w:rPr>
              <w:fldChar w:fldCharType="separate"/>
            </w:r>
            <w:r w:rsidR="00F942B2">
              <w:rPr>
                <w:noProof/>
                <w:webHidden/>
              </w:rPr>
              <w:t>30</w:t>
            </w:r>
            <w:r w:rsidR="00F942B2">
              <w:rPr>
                <w:noProof/>
                <w:webHidden/>
              </w:rPr>
              <w:fldChar w:fldCharType="end"/>
            </w:r>
          </w:hyperlink>
        </w:p>
        <w:p w:rsidR="00F942B2" w:rsidRDefault="00BF66DE" w14:paraId="21F1D28E" w14:textId="341017FC">
          <w:pPr>
            <w:pStyle w:val="TOC1"/>
            <w:tabs>
              <w:tab w:val="right" w:leader="dot" w:pos="9350"/>
            </w:tabs>
            <w:rPr>
              <w:rFonts w:asciiTheme="minorHAnsi" w:hAnsiTheme="minorHAnsi" w:cstheme="minorBidi"/>
              <w:noProof/>
              <w:kern w:val="2"/>
              <w:sz w:val="22"/>
              <w14:ligatures w14:val="standardContextual"/>
            </w:rPr>
          </w:pPr>
          <w:hyperlink w:history="1" w:anchor="_Toc157549695">
            <w:r w:rsidRPr="00D45C93" w:rsidR="00F942B2">
              <w:rPr>
                <w:rStyle w:val="Hyperlink"/>
                <w:noProof/>
              </w:rPr>
              <w:t>7.</w:t>
            </w:r>
            <w:r w:rsidR="00F942B2">
              <w:rPr>
                <w:rFonts w:asciiTheme="minorHAnsi" w:hAnsiTheme="minorHAnsi" w:cstheme="minorBidi"/>
                <w:noProof/>
                <w:kern w:val="2"/>
                <w:sz w:val="22"/>
                <w14:ligatures w14:val="standardContextual"/>
              </w:rPr>
              <w:tab/>
            </w:r>
            <w:r w:rsidRPr="00D45C93" w:rsidR="00F942B2">
              <w:rPr>
                <w:rStyle w:val="Hyperlink"/>
                <w:noProof/>
              </w:rPr>
              <w:t>Summary of Public Comment</w:t>
            </w:r>
            <w:r w:rsidR="00F942B2">
              <w:rPr>
                <w:noProof/>
                <w:webHidden/>
              </w:rPr>
              <w:tab/>
            </w:r>
            <w:r w:rsidR="00F942B2">
              <w:rPr>
                <w:noProof/>
                <w:webHidden/>
              </w:rPr>
              <w:fldChar w:fldCharType="begin"/>
            </w:r>
            <w:r w:rsidR="00F942B2">
              <w:rPr>
                <w:noProof/>
                <w:webHidden/>
              </w:rPr>
              <w:instrText xml:space="preserve"> PAGEREF _Toc157549695 \h </w:instrText>
            </w:r>
            <w:r w:rsidR="00F942B2">
              <w:rPr>
                <w:noProof/>
                <w:webHidden/>
              </w:rPr>
            </w:r>
            <w:r w:rsidR="00F942B2">
              <w:rPr>
                <w:noProof/>
                <w:webHidden/>
              </w:rPr>
              <w:fldChar w:fldCharType="separate"/>
            </w:r>
            <w:r w:rsidR="00F942B2">
              <w:rPr>
                <w:noProof/>
                <w:webHidden/>
              </w:rPr>
              <w:t>31</w:t>
            </w:r>
            <w:r w:rsidR="00F942B2">
              <w:rPr>
                <w:noProof/>
                <w:webHidden/>
              </w:rPr>
              <w:fldChar w:fldCharType="end"/>
            </w:r>
          </w:hyperlink>
        </w:p>
        <w:p w:rsidR="00F942B2" w:rsidRDefault="00BF66DE" w14:paraId="552749A2" w14:textId="42C2E872">
          <w:pPr>
            <w:pStyle w:val="TOC1"/>
            <w:tabs>
              <w:tab w:val="right" w:leader="dot" w:pos="9350"/>
            </w:tabs>
            <w:rPr>
              <w:rFonts w:asciiTheme="minorHAnsi" w:hAnsiTheme="minorHAnsi" w:cstheme="minorBidi"/>
              <w:noProof/>
              <w:kern w:val="2"/>
              <w:sz w:val="22"/>
              <w14:ligatures w14:val="standardContextual"/>
            </w:rPr>
          </w:pPr>
          <w:hyperlink w:history="1" w:anchor="_Toc157549696">
            <w:r w:rsidRPr="00D45C93" w:rsidR="00F942B2">
              <w:rPr>
                <w:rStyle w:val="Hyperlink"/>
                <w:noProof/>
              </w:rPr>
              <w:t>8.</w:t>
            </w:r>
            <w:r w:rsidR="00F942B2">
              <w:rPr>
                <w:rFonts w:asciiTheme="minorHAnsi" w:hAnsiTheme="minorHAnsi" w:cstheme="minorBidi"/>
                <w:noProof/>
                <w:kern w:val="2"/>
                <w:sz w:val="22"/>
                <w14:ligatures w14:val="standardContextual"/>
              </w:rPr>
              <w:tab/>
            </w:r>
            <w:r w:rsidRPr="00D45C93" w:rsidR="00F942B2">
              <w:rPr>
                <w:rStyle w:val="Hyperlink"/>
                <w:noProof/>
              </w:rPr>
              <w:t>Conclusion</w:t>
            </w:r>
            <w:r w:rsidR="00F942B2">
              <w:rPr>
                <w:noProof/>
                <w:webHidden/>
              </w:rPr>
              <w:tab/>
            </w:r>
            <w:r w:rsidR="00F942B2">
              <w:rPr>
                <w:noProof/>
                <w:webHidden/>
              </w:rPr>
              <w:fldChar w:fldCharType="begin"/>
            </w:r>
            <w:r w:rsidR="00F942B2">
              <w:rPr>
                <w:noProof/>
                <w:webHidden/>
              </w:rPr>
              <w:instrText xml:space="preserve"> PAGEREF _Toc157549696 \h </w:instrText>
            </w:r>
            <w:r w:rsidR="00F942B2">
              <w:rPr>
                <w:noProof/>
                <w:webHidden/>
              </w:rPr>
            </w:r>
            <w:r w:rsidR="00F942B2">
              <w:rPr>
                <w:noProof/>
                <w:webHidden/>
              </w:rPr>
              <w:fldChar w:fldCharType="separate"/>
            </w:r>
            <w:r w:rsidR="00F942B2">
              <w:rPr>
                <w:noProof/>
                <w:webHidden/>
              </w:rPr>
              <w:t>31</w:t>
            </w:r>
            <w:r w:rsidR="00F942B2">
              <w:rPr>
                <w:noProof/>
                <w:webHidden/>
              </w:rPr>
              <w:fldChar w:fldCharType="end"/>
            </w:r>
          </w:hyperlink>
        </w:p>
        <w:p w:rsidR="00F942B2" w:rsidRDefault="00BF66DE" w14:paraId="5F40A098" w14:textId="13F5D118">
          <w:pPr>
            <w:pStyle w:val="TOC1"/>
            <w:tabs>
              <w:tab w:val="right" w:leader="dot" w:pos="9350"/>
            </w:tabs>
            <w:rPr>
              <w:rFonts w:asciiTheme="minorHAnsi" w:hAnsiTheme="minorHAnsi" w:cstheme="minorBidi"/>
              <w:noProof/>
              <w:kern w:val="2"/>
              <w:sz w:val="22"/>
              <w14:ligatures w14:val="standardContextual"/>
            </w:rPr>
          </w:pPr>
          <w:hyperlink w:history="1" w:anchor="_Toc157549697">
            <w:r w:rsidRPr="00D45C93" w:rsidR="00F942B2">
              <w:rPr>
                <w:rStyle w:val="Hyperlink"/>
                <w:noProof/>
              </w:rPr>
              <w:t>9.</w:t>
            </w:r>
            <w:r w:rsidR="00F942B2">
              <w:rPr>
                <w:rFonts w:asciiTheme="minorHAnsi" w:hAnsiTheme="minorHAnsi" w:cstheme="minorBidi"/>
                <w:noProof/>
                <w:kern w:val="2"/>
                <w:sz w:val="22"/>
                <w14:ligatures w14:val="standardContextual"/>
              </w:rPr>
              <w:tab/>
            </w:r>
            <w:r w:rsidRPr="00D45C93" w:rsidR="00F942B2">
              <w:rPr>
                <w:rStyle w:val="Hyperlink"/>
                <w:noProof/>
              </w:rPr>
              <w:t>Comments on Proposed Decision</w:t>
            </w:r>
            <w:r w:rsidR="00F942B2">
              <w:rPr>
                <w:noProof/>
                <w:webHidden/>
              </w:rPr>
              <w:tab/>
            </w:r>
            <w:r w:rsidR="00F942B2">
              <w:rPr>
                <w:noProof/>
                <w:webHidden/>
              </w:rPr>
              <w:fldChar w:fldCharType="begin"/>
            </w:r>
            <w:r w:rsidR="00F942B2">
              <w:rPr>
                <w:noProof/>
                <w:webHidden/>
              </w:rPr>
              <w:instrText xml:space="preserve"> PAGEREF _Toc157549697 \h </w:instrText>
            </w:r>
            <w:r w:rsidR="00F942B2">
              <w:rPr>
                <w:noProof/>
                <w:webHidden/>
              </w:rPr>
            </w:r>
            <w:r w:rsidR="00F942B2">
              <w:rPr>
                <w:noProof/>
                <w:webHidden/>
              </w:rPr>
              <w:fldChar w:fldCharType="separate"/>
            </w:r>
            <w:r w:rsidR="00F942B2">
              <w:rPr>
                <w:noProof/>
                <w:webHidden/>
              </w:rPr>
              <w:t>32</w:t>
            </w:r>
            <w:r w:rsidR="00F942B2">
              <w:rPr>
                <w:noProof/>
                <w:webHidden/>
              </w:rPr>
              <w:fldChar w:fldCharType="end"/>
            </w:r>
          </w:hyperlink>
        </w:p>
        <w:p w:rsidR="00F942B2" w:rsidRDefault="00BF66DE" w14:paraId="4D5DD1C4" w14:textId="2F2A2BF2">
          <w:pPr>
            <w:pStyle w:val="TOC1"/>
            <w:tabs>
              <w:tab w:val="right" w:leader="dot" w:pos="9350"/>
            </w:tabs>
            <w:rPr>
              <w:rFonts w:asciiTheme="minorHAnsi" w:hAnsiTheme="minorHAnsi" w:cstheme="minorBidi"/>
              <w:noProof/>
              <w:kern w:val="2"/>
              <w:sz w:val="22"/>
              <w14:ligatures w14:val="standardContextual"/>
            </w:rPr>
          </w:pPr>
          <w:hyperlink w:history="1" w:anchor="_Toc157549698">
            <w:r w:rsidRPr="00D45C93" w:rsidR="00F942B2">
              <w:rPr>
                <w:rStyle w:val="Hyperlink"/>
                <w:noProof/>
              </w:rPr>
              <w:t>10.</w:t>
            </w:r>
            <w:r w:rsidR="00F942B2">
              <w:rPr>
                <w:rFonts w:asciiTheme="minorHAnsi" w:hAnsiTheme="minorHAnsi" w:cstheme="minorBidi"/>
                <w:noProof/>
                <w:kern w:val="2"/>
                <w:sz w:val="22"/>
                <w14:ligatures w14:val="standardContextual"/>
              </w:rPr>
              <w:tab/>
            </w:r>
            <w:r w:rsidRPr="00D45C93" w:rsidR="00F942B2">
              <w:rPr>
                <w:rStyle w:val="Hyperlink"/>
                <w:noProof/>
              </w:rPr>
              <w:t>Assignment of Proceeding</w:t>
            </w:r>
            <w:r w:rsidR="00F942B2">
              <w:rPr>
                <w:noProof/>
                <w:webHidden/>
              </w:rPr>
              <w:tab/>
            </w:r>
            <w:r w:rsidR="00F942B2">
              <w:rPr>
                <w:noProof/>
                <w:webHidden/>
              </w:rPr>
              <w:fldChar w:fldCharType="begin"/>
            </w:r>
            <w:r w:rsidR="00F942B2">
              <w:rPr>
                <w:noProof/>
                <w:webHidden/>
              </w:rPr>
              <w:instrText xml:space="preserve"> PAGEREF _Toc157549698 \h </w:instrText>
            </w:r>
            <w:r w:rsidR="00F942B2">
              <w:rPr>
                <w:noProof/>
                <w:webHidden/>
              </w:rPr>
            </w:r>
            <w:r w:rsidR="00F942B2">
              <w:rPr>
                <w:noProof/>
                <w:webHidden/>
              </w:rPr>
              <w:fldChar w:fldCharType="separate"/>
            </w:r>
            <w:r w:rsidR="00F942B2">
              <w:rPr>
                <w:noProof/>
                <w:webHidden/>
              </w:rPr>
              <w:t>32</w:t>
            </w:r>
            <w:r w:rsidR="00F942B2">
              <w:rPr>
                <w:noProof/>
                <w:webHidden/>
              </w:rPr>
              <w:fldChar w:fldCharType="end"/>
            </w:r>
          </w:hyperlink>
        </w:p>
        <w:p w:rsidR="00F942B2" w:rsidRDefault="00BF66DE" w14:paraId="23453149" w14:textId="1DE78A4E">
          <w:pPr>
            <w:pStyle w:val="TOC1"/>
            <w:tabs>
              <w:tab w:val="right" w:leader="dot" w:pos="9350"/>
            </w:tabs>
            <w:rPr>
              <w:rFonts w:asciiTheme="minorHAnsi" w:hAnsiTheme="minorHAnsi" w:cstheme="minorBidi"/>
              <w:noProof/>
              <w:kern w:val="2"/>
              <w:sz w:val="22"/>
              <w14:ligatures w14:val="standardContextual"/>
            </w:rPr>
          </w:pPr>
          <w:hyperlink w:history="1" w:anchor="_Toc157549699">
            <w:r w:rsidRPr="00D45C93" w:rsidR="00F942B2">
              <w:rPr>
                <w:rStyle w:val="Hyperlink"/>
                <w:noProof/>
              </w:rPr>
              <w:t>Findings of Fact</w:t>
            </w:r>
            <w:r w:rsidR="00F942B2">
              <w:rPr>
                <w:noProof/>
                <w:webHidden/>
              </w:rPr>
              <w:tab/>
            </w:r>
            <w:r w:rsidR="00F942B2">
              <w:rPr>
                <w:noProof/>
                <w:webHidden/>
              </w:rPr>
              <w:fldChar w:fldCharType="begin"/>
            </w:r>
            <w:r w:rsidR="00F942B2">
              <w:rPr>
                <w:noProof/>
                <w:webHidden/>
              </w:rPr>
              <w:instrText xml:space="preserve"> PAGEREF _Toc157549699 \h </w:instrText>
            </w:r>
            <w:r w:rsidR="00F942B2">
              <w:rPr>
                <w:noProof/>
                <w:webHidden/>
              </w:rPr>
            </w:r>
            <w:r w:rsidR="00F942B2">
              <w:rPr>
                <w:noProof/>
                <w:webHidden/>
              </w:rPr>
              <w:fldChar w:fldCharType="separate"/>
            </w:r>
            <w:r w:rsidR="00F942B2">
              <w:rPr>
                <w:noProof/>
                <w:webHidden/>
              </w:rPr>
              <w:t>32</w:t>
            </w:r>
            <w:r w:rsidR="00F942B2">
              <w:rPr>
                <w:noProof/>
                <w:webHidden/>
              </w:rPr>
              <w:fldChar w:fldCharType="end"/>
            </w:r>
          </w:hyperlink>
        </w:p>
        <w:p w:rsidR="00F942B2" w:rsidRDefault="00BF66DE" w14:paraId="30807245" w14:textId="473DECDB">
          <w:pPr>
            <w:pStyle w:val="TOC1"/>
            <w:tabs>
              <w:tab w:val="right" w:leader="dot" w:pos="9350"/>
            </w:tabs>
            <w:rPr>
              <w:rFonts w:asciiTheme="minorHAnsi" w:hAnsiTheme="minorHAnsi" w:cstheme="minorBidi"/>
              <w:noProof/>
              <w:kern w:val="2"/>
              <w:sz w:val="22"/>
              <w14:ligatures w14:val="standardContextual"/>
            </w:rPr>
          </w:pPr>
          <w:hyperlink w:history="1" w:anchor="_Toc157549700">
            <w:r w:rsidRPr="00D45C93" w:rsidR="00F942B2">
              <w:rPr>
                <w:rStyle w:val="Hyperlink"/>
                <w:noProof/>
              </w:rPr>
              <w:t>Conclusions of Law</w:t>
            </w:r>
            <w:r w:rsidR="00F942B2">
              <w:rPr>
                <w:noProof/>
                <w:webHidden/>
              </w:rPr>
              <w:tab/>
            </w:r>
            <w:r w:rsidR="00F942B2">
              <w:rPr>
                <w:noProof/>
                <w:webHidden/>
              </w:rPr>
              <w:fldChar w:fldCharType="begin"/>
            </w:r>
            <w:r w:rsidR="00F942B2">
              <w:rPr>
                <w:noProof/>
                <w:webHidden/>
              </w:rPr>
              <w:instrText xml:space="preserve"> PAGEREF _Toc157549700 \h </w:instrText>
            </w:r>
            <w:r w:rsidR="00F942B2">
              <w:rPr>
                <w:noProof/>
                <w:webHidden/>
              </w:rPr>
            </w:r>
            <w:r w:rsidR="00F942B2">
              <w:rPr>
                <w:noProof/>
                <w:webHidden/>
              </w:rPr>
              <w:fldChar w:fldCharType="separate"/>
            </w:r>
            <w:r w:rsidR="00F942B2">
              <w:rPr>
                <w:noProof/>
                <w:webHidden/>
              </w:rPr>
              <w:t>33</w:t>
            </w:r>
            <w:r w:rsidR="00F942B2">
              <w:rPr>
                <w:noProof/>
                <w:webHidden/>
              </w:rPr>
              <w:fldChar w:fldCharType="end"/>
            </w:r>
          </w:hyperlink>
        </w:p>
        <w:p w:rsidR="00F942B2" w:rsidRDefault="00BF66DE" w14:paraId="4AAC961C" w14:textId="7DA0E4A7">
          <w:pPr>
            <w:pStyle w:val="TOC1"/>
            <w:tabs>
              <w:tab w:val="right" w:leader="dot" w:pos="9350"/>
            </w:tabs>
            <w:rPr>
              <w:rFonts w:asciiTheme="minorHAnsi" w:hAnsiTheme="minorHAnsi" w:cstheme="minorBidi"/>
              <w:noProof/>
              <w:kern w:val="2"/>
              <w:sz w:val="22"/>
              <w14:ligatures w14:val="standardContextual"/>
            </w:rPr>
          </w:pPr>
          <w:hyperlink w:history="1" w:anchor="_Toc157549701">
            <w:r w:rsidRPr="00D45C93" w:rsidR="00F942B2">
              <w:rPr>
                <w:rStyle w:val="Hyperlink"/>
                <w:noProof/>
              </w:rPr>
              <w:t>ORDER</w:t>
            </w:r>
            <w:r w:rsidR="00F942B2">
              <w:rPr>
                <w:noProof/>
                <w:webHidden/>
              </w:rPr>
              <w:tab/>
            </w:r>
            <w:r w:rsidR="00F942B2">
              <w:rPr>
                <w:noProof/>
                <w:webHidden/>
              </w:rPr>
              <w:fldChar w:fldCharType="begin"/>
            </w:r>
            <w:r w:rsidR="00F942B2">
              <w:rPr>
                <w:noProof/>
                <w:webHidden/>
              </w:rPr>
              <w:instrText xml:space="preserve"> PAGEREF _Toc157549701 \h </w:instrText>
            </w:r>
            <w:r w:rsidR="00F942B2">
              <w:rPr>
                <w:noProof/>
                <w:webHidden/>
              </w:rPr>
            </w:r>
            <w:r w:rsidR="00F942B2">
              <w:rPr>
                <w:noProof/>
                <w:webHidden/>
              </w:rPr>
              <w:fldChar w:fldCharType="separate"/>
            </w:r>
            <w:r w:rsidR="00F942B2">
              <w:rPr>
                <w:noProof/>
                <w:webHidden/>
              </w:rPr>
              <w:t>34</w:t>
            </w:r>
            <w:r w:rsidR="00F942B2">
              <w:rPr>
                <w:noProof/>
                <w:webHidden/>
              </w:rPr>
              <w:fldChar w:fldCharType="end"/>
            </w:r>
          </w:hyperlink>
        </w:p>
        <w:p w:rsidR="0090395D" w:rsidP="0090395D" w:rsidRDefault="0090395D" w14:paraId="5D98E9C8" w14:textId="5AA3A944">
          <w:pPr>
            <w:pStyle w:val="TOC1"/>
            <w:tabs>
              <w:tab w:val="right" w:leader="dot" w:pos="9350"/>
            </w:tabs>
          </w:pPr>
          <w:r>
            <w:rPr>
              <w:rFonts w:asciiTheme="minorHAnsi" w:hAnsiTheme="minorHAnsi"/>
              <w:sz w:val="22"/>
            </w:rPr>
            <w:fldChar w:fldCharType="end"/>
          </w:r>
        </w:p>
      </w:sdtContent>
    </w:sdt>
    <w:p w:rsidR="00D44DB6" w:rsidP="0090395D" w:rsidRDefault="00D44DB6" w14:paraId="651E24F6" w14:textId="314EFC74">
      <w:pPr>
        <w:spacing w:line="240" w:lineRule="auto"/>
        <w:ind w:firstLine="0"/>
        <w:rPr>
          <w:rFonts w:cs="Arial"/>
          <w:szCs w:val="26"/>
        </w:rPr>
      </w:pPr>
    </w:p>
    <w:p w:rsidR="0090395D" w:rsidP="00D44DB6" w:rsidRDefault="0090395D" w14:paraId="47A9A2A7" w14:textId="77777777">
      <w:pPr>
        <w:spacing w:line="240" w:lineRule="auto"/>
        <w:ind w:firstLine="0"/>
        <w:rPr>
          <w:rFonts w:cs="Arial"/>
          <w:szCs w:val="26"/>
        </w:rPr>
      </w:pPr>
    </w:p>
    <w:p w:rsidR="0090395D" w:rsidP="00D82A43" w:rsidRDefault="0090395D" w14:paraId="7B9DF6BB" w14:textId="77777777">
      <w:pPr>
        <w:pStyle w:val="Main"/>
        <w:spacing w:after="240"/>
        <w:sectPr w:rsidR="0090395D" w:rsidSect="00EB0F3D">
          <w:headerReference w:type="default" r:id="rId13"/>
          <w:footerReference w:type="default" r:id="rId14"/>
          <w:pgSz w:w="12240" w:h="15840"/>
          <w:pgMar w:top="1728" w:right="1440" w:bottom="1440" w:left="1440" w:header="720" w:footer="720" w:gutter="0"/>
          <w:pgNumType w:fmt="lowerRoman" w:start="1"/>
          <w:cols w:space="720"/>
          <w:docGrid w:linePitch="360"/>
        </w:sectPr>
      </w:pPr>
    </w:p>
    <w:p w:rsidR="0098655A" w:rsidP="00D82A43" w:rsidRDefault="0090395D" w14:paraId="626C354E" w14:textId="1943C722">
      <w:pPr>
        <w:pStyle w:val="Main"/>
        <w:spacing w:after="240"/>
      </w:pPr>
      <w:r>
        <w:lastRenderedPageBreak/>
        <w:t>decision granting interim rate recovery</w:t>
      </w:r>
    </w:p>
    <w:p w:rsidR="005A148C" w:rsidP="005A148C" w:rsidRDefault="005A148C" w14:paraId="6C45EEC3" w14:textId="77777777">
      <w:pPr>
        <w:pStyle w:val="Dummy"/>
      </w:pPr>
      <w:bookmarkStart w:name="_Toc8123714" w:id="1"/>
      <w:bookmarkStart w:name="_Toc119415983" w:id="2"/>
      <w:bookmarkStart w:name="_Toc157549676" w:id="3"/>
      <w:r>
        <w:t>Summary</w:t>
      </w:r>
      <w:bookmarkEnd w:id="1"/>
      <w:bookmarkEnd w:id="2"/>
      <w:bookmarkEnd w:id="3"/>
    </w:p>
    <w:p w:rsidR="00CA16EB" w:rsidP="00F0641E" w:rsidRDefault="00CA16EB" w14:paraId="330DC385" w14:textId="0F30F1BE">
      <w:pPr>
        <w:pStyle w:val="Standard"/>
      </w:pPr>
      <w:r w:rsidRPr="00CA16EB">
        <w:t>This decision grants the request of Pacific Gas and Electric Company (PG&amp;E) for interim rate relief, pending a final decision on what permanent cost increase, if any, is reasonable based on the evidence. PG&amp;E is authorized to recover a maximum of</w:t>
      </w:r>
      <w:r w:rsidR="00D864F0">
        <w:t xml:space="preserve"> </w:t>
      </w:r>
      <w:r w:rsidR="00A4544C">
        <w:t>$5</w:t>
      </w:r>
      <w:r w:rsidR="00D864F0">
        <w:t>16</w:t>
      </w:r>
      <w:r w:rsidR="002B0D2A">
        <w:t> </w:t>
      </w:r>
      <w:r w:rsidR="00A4544C">
        <w:t>million</w:t>
      </w:r>
      <w:r w:rsidR="00D864F0">
        <w:t xml:space="preserve"> (75 percent of PG&amp;E’s total request of $688 million)</w:t>
      </w:r>
      <w:r w:rsidRPr="00CA16EB">
        <w:t xml:space="preserve"> in interim rates according to the process set forth herein. PG&amp;E is required to refund, with interest, any excess amount it collects in comparison to the Commission’s final determination on the amount reasonably incurred. </w:t>
      </w:r>
    </w:p>
    <w:p w:rsidRPr="00CA16EB" w:rsidR="0006430C" w:rsidP="00F0641E" w:rsidRDefault="0006430C" w14:paraId="1650388D" w14:textId="470BBA86">
      <w:pPr>
        <w:pStyle w:val="Standard"/>
      </w:pPr>
      <w:r>
        <w:t>The key reasons to grant the interim rate recovery are as a preservative to PG&amp;E’s credit ratings, and to effectively manage the rate impacts likely to accrue to ratepayers.  Intervenors raise countervailing issues, but on balance interim rate relief is appropriate in order to stabilize PG&amp;E’s still precarious financial position.</w:t>
      </w:r>
    </w:p>
    <w:p w:rsidRPr="008B1ED4" w:rsidR="0073353F" w:rsidP="0090395D" w:rsidRDefault="00CA16EB" w14:paraId="2AF80BAA" w14:textId="53C66205">
      <w:pPr>
        <w:pStyle w:val="Standard"/>
      </w:pPr>
      <w:r w:rsidRPr="00CA16EB">
        <w:t>This proceeding remains open</w:t>
      </w:r>
      <w:r w:rsidR="0073353F">
        <w:t>.</w:t>
      </w:r>
    </w:p>
    <w:p w:rsidRPr="00121089" w:rsidR="005A148C" w:rsidP="00A55ACD" w:rsidRDefault="002C7FE9" w14:paraId="08E44F9A" w14:textId="32767FB4">
      <w:pPr>
        <w:pStyle w:val="Heading1"/>
        <w:numPr>
          <w:ilvl w:val="0"/>
          <w:numId w:val="1"/>
        </w:numPr>
      </w:pPr>
      <w:bookmarkStart w:name="_Toc8123715" w:id="4"/>
      <w:bookmarkStart w:name="_Toc119415984" w:id="5"/>
      <w:bookmarkStart w:name="_Toc157549677" w:id="6"/>
      <w:r w:rsidRPr="00121089">
        <w:t>Background</w:t>
      </w:r>
      <w:bookmarkEnd w:id="4"/>
      <w:bookmarkEnd w:id="5"/>
      <w:bookmarkEnd w:id="6"/>
    </w:p>
    <w:p w:rsidR="00987315" w:rsidP="00987315" w:rsidRDefault="00F83B63" w14:paraId="2ADB68CC" w14:textId="73563C69">
      <w:pPr>
        <w:pStyle w:val="Standard"/>
      </w:pPr>
      <w:r>
        <w:t>Pacific Gas and Electric Company (PG&amp;E) filed Application (A.) 23</w:t>
      </w:r>
      <w:r>
        <w:noBreakHyphen/>
        <w:t>06</w:t>
      </w:r>
      <w:r>
        <w:noBreakHyphen/>
        <w:t xml:space="preserve">008 on June 15, 2023, seeking to recover costs </w:t>
      </w:r>
      <w:r w:rsidR="00AC10CF">
        <w:t xml:space="preserve">of approximately $2.49 billion and corresponding to a revenue requirement of approximately $688 million (excluding interest) </w:t>
      </w:r>
      <w:r>
        <w:t xml:space="preserve">spent in two broad categories: wildfire safety work performed during the years 2020 </w:t>
      </w:r>
      <w:r>
        <w:noBreakHyphen/>
        <w:t xml:space="preserve"> 2022,</w:t>
      </w:r>
      <w:r w:rsidR="000623DE">
        <w:t xml:space="preserve"> with associated costs </w:t>
      </w:r>
      <w:r>
        <w:t xml:space="preserve">and electric modernization and gas safety work performed primarily in 2022. </w:t>
      </w:r>
      <w:r w:rsidRPr="00813689">
        <w:t>Concurrently with A.23</w:t>
      </w:r>
      <w:r>
        <w:noBreakHyphen/>
      </w:r>
      <w:r w:rsidRPr="00813689">
        <w:t>06</w:t>
      </w:r>
      <w:r>
        <w:noBreakHyphen/>
      </w:r>
      <w:r w:rsidRPr="00813689">
        <w:t xml:space="preserve">008, PG&amp;E filed a Motion for Interim Rate Recovery (Motion), </w:t>
      </w:r>
      <w:r w:rsidR="009615C2">
        <w:t xml:space="preserve">seeking </w:t>
      </w:r>
      <w:r w:rsidRPr="00813689">
        <w:t xml:space="preserve">authorization to collect </w:t>
      </w:r>
      <w:r>
        <w:t>85</w:t>
      </w:r>
      <w:r w:rsidRPr="00813689">
        <w:t> percent of the revenue requirement, equating to $583</w:t>
      </w:r>
      <w:r>
        <w:t> </w:t>
      </w:r>
      <w:r w:rsidRPr="00813689">
        <w:t>million (excluding interest).</w:t>
      </w:r>
    </w:p>
    <w:p w:rsidR="00B63368" w:rsidP="00F83B63" w:rsidRDefault="00987315" w14:paraId="63BB3AFC" w14:textId="37341531">
      <w:pPr>
        <w:pStyle w:val="Heading2"/>
        <w:numPr>
          <w:ilvl w:val="1"/>
          <w:numId w:val="19"/>
        </w:numPr>
      </w:pPr>
      <w:bookmarkStart w:name="_Toc157549678" w:id="7"/>
      <w:r>
        <w:lastRenderedPageBreak/>
        <w:t>Procedural Background</w:t>
      </w:r>
      <w:bookmarkEnd w:id="7"/>
    </w:p>
    <w:p w:rsidRPr="00813689" w:rsidR="00B63368" w:rsidP="00B63368" w:rsidRDefault="00B63368" w14:paraId="094B2E7C" w14:textId="7F571D3E">
      <w:pPr>
        <w:pStyle w:val="Standard"/>
      </w:pPr>
      <w:r w:rsidRPr="00813689">
        <w:t>On July</w:t>
      </w:r>
      <w:r>
        <w:t> </w:t>
      </w:r>
      <w:r w:rsidRPr="00813689">
        <w:t>17, 2023, the Public Advocates Office at the California Public Utilities Commission (Cal</w:t>
      </w:r>
      <w:r>
        <w:t> </w:t>
      </w:r>
      <w:r w:rsidRPr="00813689">
        <w:t xml:space="preserve">Advocates) and The Utility Reform Network (TURN) objected to interim rate recovery </w:t>
      </w:r>
      <w:r w:rsidRPr="00813689" w:rsidR="005F5A1A">
        <w:t>for reasons d</w:t>
      </w:r>
      <w:r w:rsidR="005F5A1A">
        <w:t>escribed</w:t>
      </w:r>
      <w:r w:rsidRPr="00813689" w:rsidR="005F5A1A">
        <w:t xml:space="preserve"> in section 2 of this decision </w:t>
      </w:r>
      <w:r w:rsidRPr="00813689">
        <w:t>and protested PG&amp;E’s application.</w:t>
      </w:r>
      <w:r w:rsidRPr="0088008E">
        <w:rPr>
          <w:rStyle w:val="FootnoteReference"/>
        </w:rPr>
        <w:footnoteReference w:id="2"/>
      </w:r>
      <w:r w:rsidRPr="00813689">
        <w:t xml:space="preserve"> </w:t>
      </w:r>
    </w:p>
    <w:p w:rsidRPr="00813689" w:rsidR="00B63368" w:rsidP="00B63368" w:rsidRDefault="00B63368" w14:paraId="2443045E" w14:textId="77777777">
      <w:pPr>
        <w:pStyle w:val="Standard"/>
      </w:pPr>
      <w:r w:rsidRPr="00813689">
        <w:t>On July</w:t>
      </w:r>
      <w:r>
        <w:t> </w:t>
      </w:r>
      <w:r w:rsidRPr="00813689">
        <w:t>27, 2023, PG&amp;E replied to the filed protests and also replied to the responses of TURN and Cal Advocates to PG&amp;E’s</w:t>
      </w:r>
      <w:r>
        <w:t> </w:t>
      </w:r>
      <w:r w:rsidRPr="00813689">
        <w:t>Motion.</w:t>
      </w:r>
    </w:p>
    <w:p w:rsidRPr="00E720B6" w:rsidR="00B63368" w:rsidP="00B63368" w:rsidRDefault="00B63368" w14:paraId="3A0B6244" w14:textId="7D030920">
      <w:pPr>
        <w:pStyle w:val="Standard"/>
      </w:pPr>
      <w:r>
        <w:t xml:space="preserve">On August 22, 2023, a joint Assigned Commissioner </w:t>
      </w:r>
      <w:r w:rsidR="004267FF">
        <w:t xml:space="preserve">(AC) </w:t>
      </w:r>
      <w:r>
        <w:t xml:space="preserve">and Administrative Law Judge (ALJ) ruling </w:t>
      </w:r>
      <w:r w:rsidR="004267FF">
        <w:t xml:space="preserve">(AC/ALJ Ruling) </w:t>
      </w:r>
      <w:r>
        <w:t>was issued with questions pertaining to the interim rate recovery request. As directed, PG&amp;E filed its response on September 1, 2023, and TURN filed its response on September 8, 2023.</w:t>
      </w:r>
    </w:p>
    <w:p w:rsidR="0022384A" w:rsidP="00B63368" w:rsidRDefault="00B63368" w14:paraId="4306A539" w14:textId="77777777">
      <w:pPr>
        <w:pStyle w:val="Standard"/>
      </w:pPr>
      <w:r>
        <w:t>A prehearing conference (PHC) was held on September 1, 2023, to address the issues of law and fact, determine the need for hearing, set the schedule for resolving the matter, and address other matters as necessary.</w:t>
      </w:r>
    </w:p>
    <w:p w:rsidR="00B63368" w:rsidP="00B63368" w:rsidRDefault="00B63368" w14:paraId="76F1ADD0" w14:textId="4BBBFB87">
      <w:pPr>
        <w:pStyle w:val="Standard"/>
      </w:pPr>
      <w:r>
        <w:t xml:space="preserve">On </w:t>
      </w:r>
      <w:r w:rsidR="0022384A">
        <w:t>November 1</w:t>
      </w:r>
      <w:r>
        <w:t>,</w:t>
      </w:r>
      <w:r w:rsidR="0022384A">
        <w:t xml:space="preserve"> 2023</w:t>
      </w:r>
      <w:r w:rsidR="00124A48">
        <w:t>,</w:t>
      </w:r>
      <w:r>
        <w:t xml:space="preserve"> the assigned Commissioner issued the Scoping Memo and Ruling</w:t>
      </w:r>
      <w:r w:rsidR="00124A48">
        <w:t xml:space="preserve"> (Scoping Memo)</w:t>
      </w:r>
      <w:r>
        <w:t xml:space="preserve">.  The procedural schedule established in the Scoping Memo anticipates </w:t>
      </w:r>
      <w:r w:rsidR="006553CF">
        <w:t xml:space="preserve">a decision resolving </w:t>
      </w:r>
      <w:r w:rsidR="00857187">
        <w:t xml:space="preserve">$570 million of the revenue requirement request </w:t>
      </w:r>
      <w:r w:rsidR="006553CF">
        <w:t xml:space="preserve">in </w:t>
      </w:r>
      <w:r>
        <w:t xml:space="preserve">the application by </w:t>
      </w:r>
      <w:r w:rsidR="006553CF">
        <w:t>winter</w:t>
      </w:r>
      <w:r>
        <w:t> 2024</w:t>
      </w:r>
      <w:r w:rsidR="006553CF">
        <w:t xml:space="preserve"> and </w:t>
      </w:r>
      <w:r w:rsidR="00857187">
        <w:t>the remaining $118 million of the revenue requirement</w:t>
      </w:r>
      <w:r w:rsidR="006553CF">
        <w:t xml:space="preserve"> by spring 2025</w:t>
      </w:r>
      <w:r>
        <w:t>.</w:t>
      </w:r>
      <w:r w:rsidR="006553CF">
        <w:t xml:space="preserve"> The Commission extended the statutory deadline for this proceeding to June 30, 2025</w:t>
      </w:r>
      <w:r w:rsidR="00124A48">
        <w:t>,</w:t>
      </w:r>
      <w:r w:rsidR="006553CF">
        <w:t xml:space="preserve"> in the Scoping Memo.</w:t>
      </w:r>
    </w:p>
    <w:p w:rsidR="00DB7053" w:rsidP="00562A36" w:rsidRDefault="00C90D89" w14:paraId="757AC0C0" w14:textId="000BB1FA">
      <w:pPr>
        <w:pStyle w:val="Standard"/>
      </w:pPr>
      <w:r>
        <w:t xml:space="preserve"> </w:t>
      </w:r>
    </w:p>
    <w:p w:rsidR="00A92F43" w:rsidP="00500C28" w:rsidRDefault="00A92F43" w14:paraId="3C084FB9" w14:textId="77777777">
      <w:pPr>
        <w:pStyle w:val="Heading2"/>
        <w:numPr>
          <w:ilvl w:val="1"/>
          <w:numId w:val="19"/>
        </w:numPr>
      </w:pPr>
      <w:bookmarkStart w:name="_Toc155718041" w:id="8"/>
      <w:bookmarkStart w:name="_Toc157469360" w:id="9"/>
      <w:bookmarkStart w:name="_Toc157549679" w:id="10"/>
      <w:bookmarkStart w:name="_Hlk157546440" w:id="11"/>
      <w:r>
        <w:lastRenderedPageBreak/>
        <w:t>Submission Date</w:t>
      </w:r>
      <w:bookmarkEnd w:id="8"/>
      <w:bookmarkEnd w:id="9"/>
      <w:bookmarkEnd w:id="10"/>
    </w:p>
    <w:p w:rsidRPr="005370A3" w:rsidR="00A92F43" w:rsidP="00A92F43" w:rsidRDefault="00A92F43" w14:paraId="25E74DC4" w14:textId="769B416F">
      <w:pPr>
        <w:pStyle w:val="Standard"/>
        <w:tabs>
          <w:tab w:val="center" w:pos="5040"/>
        </w:tabs>
      </w:pPr>
      <w:r w:rsidRPr="00FF0265">
        <w:t>This matter was submitted on</w:t>
      </w:r>
      <w:r>
        <w:t xml:space="preserve"> </w:t>
      </w:r>
      <w:r w:rsidR="00427714">
        <w:t>September 8</w:t>
      </w:r>
      <w:r>
        <w:t xml:space="preserve">, 2023, upon </w:t>
      </w:r>
      <w:r w:rsidR="00427714">
        <w:t>TURN’s</w:t>
      </w:r>
      <w:r>
        <w:t xml:space="preserve"> filing of </w:t>
      </w:r>
      <w:r w:rsidR="00427714">
        <w:t xml:space="preserve">its </w:t>
      </w:r>
      <w:r>
        <w:t xml:space="preserve">response to the </w:t>
      </w:r>
      <w:r w:rsidR="00427714">
        <w:t>AC/</w:t>
      </w:r>
      <w:r>
        <w:t xml:space="preserve">ALJ Ruling issued </w:t>
      </w:r>
      <w:r w:rsidR="00427714">
        <w:t>August 22</w:t>
      </w:r>
      <w:r>
        <w:t>, 2023.</w:t>
      </w:r>
    </w:p>
    <w:p w:rsidR="00987315" w:rsidP="00987315" w:rsidRDefault="0033322B" w14:paraId="5D900963" w14:textId="662F14F4">
      <w:pPr>
        <w:pStyle w:val="Heading2"/>
        <w:numPr>
          <w:ilvl w:val="1"/>
          <w:numId w:val="19"/>
        </w:numPr>
      </w:pPr>
      <w:bookmarkStart w:name="_Toc157549680" w:id="12"/>
      <w:bookmarkEnd w:id="11"/>
      <w:r>
        <w:t>Interim Rate Recovery Requests in Other</w:t>
      </w:r>
      <w:r w:rsidR="00987315">
        <w:t xml:space="preserve"> Proceedings</w:t>
      </w:r>
      <w:bookmarkEnd w:id="12"/>
    </w:p>
    <w:p w:rsidRPr="00C322C4" w:rsidR="00987315" w:rsidP="00987315" w:rsidRDefault="00987315" w14:paraId="79C50163" w14:textId="77777777">
      <w:pPr>
        <w:pStyle w:val="Standard"/>
        <w:ind w:firstLine="360"/>
      </w:pPr>
      <w:r>
        <w:t xml:space="preserve">Recent Commission decisions on utility requests for interim rate recovery </w:t>
      </w:r>
      <w:r w:rsidRPr="00C322C4">
        <w:t xml:space="preserve">include: </w:t>
      </w:r>
    </w:p>
    <w:p w:rsidRPr="00C322C4" w:rsidR="00987315" w:rsidP="00691B6F" w:rsidRDefault="00987315" w14:paraId="15D33EC9" w14:textId="6988C3F7">
      <w:pPr>
        <w:pStyle w:val="ListBullet"/>
        <w:tabs>
          <w:tab w:val="clear" w:pos="360"/>
          <w:tab w:val="num" w:pos="1080"/>
        </w:tabs>
        <w:ind w:left="1080" w:right="1440"/>
      </w:pPr>
      <w:r w:rsidRPr="00C322C4">
        <w:t>D</w:t>
      </w:r>
      <w:r w:rsidR="006D7FB3">
        <w:t>ecision (D</w:t>
      </w:r>
      <w:r w:rsidRPr="00C322C4">
        <w:t>.</w:t>
      </w:r>
      <w:r w:rsidR="006D7FB3">
        <w:t xml:space="preserve">) </w:t>
      </w:r>
      <w:r w:rsidRPr="00C322C4">
        <w:t>22-05-001 in A.21-07-017, which denied S</w:t>
      </w:r>
      <w:r w:rsidR="002D62F9">
        <w:t>an Diego Gas &amp; Electric Company’s</w:t>
      </w:r>
      <w:r w:rsidRPr="00C322C4">
        <w:t xml:space="preserve"> request for interim recovery of costs recorded in Wildfire Mitigation Plan memorandum accounts.</w:t>
      </w:r>
    </w:p>
    <w:p w:rsidRPr="00C322C4" w:rsidR="00987315" w:rsidP="00691B6F" w:rsidRDefault="00987315" w14:paraId="641C5665" w14:textId="5649ECE5">
      <w:pPr>
        <w:pStyle w:val="ListBullet"/>
        <w:tabs>
          <w:tab w:val="clear" w:pos="360"/>
        </w:tabs>
        <w:ind w:left="1080" w:right="1440"/>
      </w:pPr>
      <w:r w:rsidRPr="00C322C4">
        <w:t xml:space="preserve">D.20-010-026 in A.20-02-003, which approved PG&amp;E’s request for interim recovery of costs recorded in three memorandum accounts: the Fire Hazard Prevention, Fire Risk Mitigation, and Wildfire Mitigation Plan accounts, and denied PG&amp;E’s request for interim recovery of costs recorded in the </w:t>
      </w:r>
      <w:r w:rsidR="002D62F9">
        <w:t>Catastrophic Event Memorandum Account (</w:t>
      </w:r>
      <w:r w:rsidRPr="00C322C4">
        <w:t>CEMA</w:t>
      </w:r>
      <w:r w:rsidR="002D62F9">
        <w:t>)</w:t>
      </w:r>
      <w:r w:rsidRPr="00C322C4">
        <w:t>.</w:t>
      </w:r>
    </w:p>
    <w:p w:rsidRPr="00C322C4" w:rsidR="00987315" w:rsidP="00691B6F" w:rsidRDefault="00987315" w14:paraId="2E2B556E" w14:textId="34DBF169">
      <w:pPr>
        <w:pStyle w:val="ListBullet"/>
        <w:tabs>
          <w:tab w:val="clear" w:pos="360"/>
        </w:tabs>
        <w:ind w:left="1080" w:right="1440"/>
      </w:pPr>
      <w:r w:rsidRPr="00C322C4">
        <w:t xml:space="preserve">D.19-04-039 in A.18-03-015, which approved PG&amp;E’s second request for interim recovery of vegetation management costs recorded in </w:t>
      </w:r>
      <w:r w:rsidR="006D7FB3">
        <w:t xml:space="preserve">the </w:t>
      </w:r>
      <w:r w:rsidRPr="00C322C4">
        <w:t xml:space="preserve">CEMA, after denying PG&amp;E’s first request. </w:t>
      </w:r>
    </w:p>
    <w:p w:rsidRPr="00C322C4" w:rsidR="00837D2E" w:rsidP="00691B6F" w:rsidRDefault="00987315" w14:paraId="1495C627" w14:textId="28F41964">
      <w:pPr>
        <w:pStyle w:val="ListBullet"/>
        <w:tabs>
          <w:tab w:val="clear" w:pos="360"/>
        </w:tabs>
        <w:ind w:left="1080" w:right="1440"/>
      </w:pPr>
      <w:r w:rsidRPr="00C322C4">
        <w:t>D.23-06-004 in A.22-12-009, which approved PG&amp;E’s request to recover 85 percent of requested costs in interim recovery</w:t>
      </w:r>
      <w:r w:rsidRPr="00C322C4" w:rsidR="00F77578">
        <w:t xml:space="preserve"> for costs recorded in 2021 to its wildfire mitigation and </w:t>
      </w:r>
      <w:r w:rsidR="0052116B">
        <w:t>CEMA</w:t>
      </w:r>
      <w:r w:rsidRPr="00C322C4" w:rsidR="00F77578">
        <w:t>s</w:t>
      </w:r>
      <w:r w:rsidRPr="00C322C4">
        <w:t>.</w:t>
      </w:r>
    </w:p>
    <w:p w:rsidR="005C0515" w:rsidP="005C0515" w:rsidRDefault="005C0515" w14:paraId="1E33D7CA" w14:textId="77777777">
      <w:pPr>
        <w:pStyle w:val="Heading1"/>
      </w:pPr>
      <w:bookmarkStart w:name="_Toc157549681" w:id="13"/>
      <w:r>
        <w:t>Application and Motion Overview</w:t>
      </w:r>
      <w:bookmarkEnd w:id="13"/>
    </w:p>
    <w:p w:rsidR="007C6D89" w:rsidP="007C6D89" w:rsidRDefault="007C6D89" w14:paraId="70205E8F" w14:textId="479037AD">
      <w:pPr>
        <w:pStyle w:val="Standard"/>
      </w:pPr>
      <w:r>
        <w:t xml:space="preserve">In </w:t>
      </w:r>
      <w:r w:rsidR="00062C68">
        <w:t>its application</w:t>
      </w:r>
      <w:r>
        <w:t xml:space="preserve">, PG&amp;E requests three types of Commission action: </w:t>
      </w:r>
    </w:p>
    <w:p w:rsidR="007C6D89" w:rsidP="00A35180" w:rsidRDefault="007C6D89" w14:paraId="0308FDE9" w14:textId="0FAF2EDE">
      <w:pPr>
        <w:pStyle w:val="Standard"/>
        <w:numPr>
          <w:ilvl w:val="0"/>
          <w:numId w:val="31"/>
        </w:numPr>
        <w:spacing w:after="120" w:line="240" w:lineRule="auto"/>
        <w:ind w:left="1080" w:right="1440"/>
      </w:pPr>
      <w:r>
        <w:t xml:space="preserve">determination that recorded costs are reasonable; </w:t>
      </w:r>
    </w:p>
    <w:p w:rsidR="007C6D89" w:rsidP="00A35180" w:rsidRDefault="007C6D89" w14:paraId="7A547FB2" w14:textId="77777777">
      <w:pPr>
        <w:pStyle w:val="Standard"/>
        <w:numPr>
          <w:ilvl w:val="0"/>
          <w:numId w:val="31"/>
        </w:numPr>
        <w:spacing w:after="120" w:line="240" w:lineRule="auto"/>
        <w:ind w:left="1080" w:right="1440"/>
      </w:pPr>
      <w:r>
        <w:t>authorization to recover the costs through the related revenue requirement; and</w:t>
      </w:r>
    </w:p>
    <w:p w:rsidR="007C6D89" w:rsidP="00A35180" w:rsidRDefault="007C6D89" w14:paraId="247D97C4" w14:textId="77777777">
      <w:pPr>
        <w:pStyle w:val="Standard"/>
        <w:numPr>
          <w:ilvl w:val="0"/>
          <w:numId w:val="31"/>
        </w:numPr>
        <w:spacing w:after="120" w:line="240" w:lineRule="auto"/>
        <w:ind w:left="1080" w:right="1440"/>
      </w:pPr>
      <w:r>
        <w:lastRenderedPageBreak/>
        <w:t>approval of the ratemaking proposal, meaning the timing of the cost recovery and the rate mechanisms through which recovery will occur.</w:t>
      </w:r>
      <w:r>
        <w:rPr>
          <w:rStyle w:val="FootnoteReference"/>
        </w:rPr>
        <w:footnoteReference w:id="3"/>
      </w:r>
    </w:p>
    <w:p w:rsidR="008842A9" w:rsidP="00062C68" w:rsidRDefault="00C63880" w14:paraId="67D99507" w14:textId="28A7EF35">
      <w:pPr>
        <w:pStyle w:val="Standard"/>
      </w:pPr>
      <w:r>
        <w:t xml:space="preserve">In the Scoping Memo, the Commission determined to address the requests </w:t>
      </w:r>
      <w:r w:rsidR="009E64D1">
        <w:t>in two stages</w:t>
      </w:r>
      <w:r w:rsidR="002D62F9">
        <w:t>:</w:t>
      </w:r>
      <w:r>
        <w:t xml:space="preserve"> first for the broad category of recorded costs for wildfire safety work, and </w:t>
      </w:r>
      <w:r w:rsidR="009E64D1">
        <w:t>later for the broad category of recorded costs for electric modernization and gas safety work.</w:t>
      </w:r>
      <w:r w:rsidR="009E64D1">
        <w:rPr>
          <w:rStyle w:val="FootnoteReference"/>
        </w:rPr>
        <w:footnoteReference w:id="4"/>
      </w:r>
      <w:r w:rsidR="009E64D1">
        <w:t xml:space="preserve"> </w:t>
      </w:r>
      <w:r w:rsidR="008842A9">
        <w:t>The Commission added to PG&amp;E’s requests two additional issues</w:t>
      </w:r>
      <w:r w:rsidR="002D62F9">
        <w:t>:</w:t>
      </w:r>
      <w:r w:rsidR="008842A9">
        <w:t xml:space="preserve"> whether two memorandum accounts should continue or close, and impacts on Environmental and Social Justice Communities and the extent to which this application impacts achievement of any of the nine goals of the Commission’s Environmental and Social Justice Action Plan.</w:t>
      </w:r>
      <w:r w:rsidR="008842A9">
        <w:rPr>
          <w:rStyle w:val="FootnoteReference"/>
        </w:rPr>
        <w:footnoteReference w:id="5"/>
      </w:r>
      <w:r w:rsidR="008842A9">
        <w:t xml:space="preserve"> </w:t>
      </w:r>
      <w:r w:rsidR="007627A7">
        <w:t xml:space="preserve">Finally, concluding </w:t>
      </w:r>
      <w:r w:rsidR="002D62F9">
        <w:t xml:space="preserve">that </w:t>
      </w:r>
      <w:r w:rsidR="007627A7">
        <w:t>the record of this proceeding would benefit from the inclusion of additional audits and compliance reports, the Commission extended the statutory deadline of this proceeding from 18 months to two years to accommodate the audit schedules.</w:t>
      </w:r>
      <w:r w:rsidR="007627A7">
        <w:rPr>
          <w:rStyle w:val="FootnoteReference"/>
        </w:rPr>
        <w:footnoteReference w:id="6"/>
      </w:r>
    </w:p>
    <w:p w:rsidRPr="00062C68" w:rsidR="007C6D89" w:rsidP="00062C68" w:rsidRDefault="00BB59F7" w14:paraId="65258D3D" w14:textId="19BD369C">
      <w:pPr>
        <w:pStyle w:val="Standard"/>
      </w:pPr>
      <w:r>
        <w:t xml:space="preserve">In </w:t>
      </w:r>
      <w:r w:rsidR="009E64D1">
        <w:t>PG&amp;E’s application</w:t>
      </w:r>
      <w:r>
        <w:t xml:space="preserve">, </w:t>
      </w:r>
      <w:r w:rsidR="003E1C11">
        <w:t>PG&amp;E</w:t>
      </w:r>
      <w:r w:rsidR="009E64D1">
        <w:t xml:space="preserve"> </w:t>
      </w:r>
      <w:r>
        <w:t xml:space="preserve">proposes </w:t>
      </w:r>
      <w:r w:rsidR="00326335">
        <w:t xml:space="preserve">cost recovery for </w:t>
      </w:r>
      <w:r w:rsidR="00C2643B">
        <w:t>its</w:t>
      </w:r>
      <w:r w:rsidR="00326335">
        <w:t xml:space="preserve"> </w:t>
      </w:r>
      <w:r w:rsidR="00C2643B">
        <w:t>full</w:t>
      </w:r>
      <w:r w:rsidR="00326335">
        <w:t xml:space="preserve"> request over a period of </w:t>
      </w:r>
      <w:r w:rsidR="00834B4B">
        <w:t>more than three years, with 85 percent collected in the first 12 months commencing November 2023</w:t>
      </w:r>
      <w:r>
        <w:t xml:space="preserve">, assuming its </w:t>
      </w:r>
      <w:r w:rsidR="00A14DB7">
        <w:t xml:space="preserve">Motion for </w:t>
      </w:r>
      <w:r>
        <w:t>interim relief is granted</w:t>
      </w:r>
      <w:r w:rsidR="00326335">
        <w:t>.</w:t>
      </w:r>
      <w:r w:rsidR="00326335">
        <w:rPr>
          <w:rStyle w:val="FootnoteReference"/>
        </w:rPr>
        <w:footnoteReference w:id="7"/>
      </w:r>
      <w:r w:rsidR="00326335">
        <w:t xml:space="preserve"> </w:t>
      </w:r>
      <w:r w:rsidR="00C2643B">
        <w:t>This decision acts only on</w:t>
      </w:r>
      <w:r w:rsidR="00326335">
        <w:t xml:space="preserve"> PG&amp;E’s Motion</w:t>
      </w:r>
      <w:r w:rsidR="00C2643B">
        <w:t xml:space="preserve"> which requests </w:t>
      </w:r>
      <w:r w:rsidR="003244E7">
        <w:t>the</w:t>
      </w:r>
      <w:r w:rsidR="00C2643B">
        <w:t xml:space="preserve"> </w:t>
      </w:r>
      <w:r w:rsidR="009E64D1">
        <w:t xml:space="preserve">Commission grant interim relief </w:t>
      </w:r>
      <w:r w:rsidR="00326335">
        <w:t xml:space="preserve">of 85 percent </w:t>
      </w:r>
      <w:r w:rsidR="00C2643B">
        <w:t xml:space="preserve">of its request </w:t>
      </w:r>
      <w:r w:rsidR="00326335">
        <w:t>over 12 months</w:t>
      </w:r>
      <w:r w:rsidR="009E64D1">
        <w:t>.</w:t>
      </w:r>
      <w:r w:rsidR="00050D58">
        <w:t xml:space="preserve"> In comments on the Proposed Decision, PG&amp;E amended its request regarding the time period over which interim relief would be collected to 12 months or longer, </w:t>
      </w:r>
      <w:r w:rsidR="00050D58">
        <w:lastRenderedPageBreak/>
        <w:t>in order to align the timing of the end of the revenue collection with a scheduled consolidated gas or electric rate change. PG&amp;E also clarified that extending the amortization period beyond 12 months would not shorten the amortization period to less than 12 months nor would PG&amp;E recover interim relief greater than authorized.</w:t>
      </w:r>
      <w:r w:rsidR="00050D58">
        <w:rPr>
          <w:rStyle w:val="FootnoteReference"/>
        </w:rPr>
        <w:footnoteReference w:id="8"/>
      </w:r>
      <w:r w:rsidR="00050D58">
        <w:t xml:space="preserve"> </w:t>
      </w:r>
      <w:r w:rsidR="00326335">
        <w:t>Ratemaking for the incremental difference between the interim relief and the authorized relief remains to be determined</w:t>
      </w:r>
      <w:r w:rsidR="00C2643B">
        <w:t xml:space="preserve"> in the final decision determining costs incremental, reasonable and recoverable.</w:t>
      </w:r>
      <w:r w:rsidR="009E64D1">
        <w:rPr>
          <w:rStyle w:val="FootnoteReference"/>
        </w:rPr>
        <w:footnoteReference w:id="9"/>
      </w:r>
      <w:r w:rsidR="009E64D1">
        <w:t xml:space="preserve">  </w:t>
      </w:r>
    </w:p>
    <w:p w:rsidRPr="001E5F3E" w:rsidR="001E5F3E" w:rsidP="007E19E8" w:rsidRDefault="00062C68" w14:paraId="5C11E4DD" w14:textId="68D681E8">
      <w:pPr>
        <w:pStyle w:val="Heading2"/>
      </w:pPr>
      <w:bookmarkStart w:name="_Toc157549682" w:id="14"/>
      <w:r>
        <w:t>Costs at Issue</w:t>
      </w:r>
      <w:bookmarkEnd w:id="14"/>
    </w:p>
    <w:p w:rsidR="00991303" w:rsidP="009E2A91" w:rsidRDefault="00991303" w14:paraId="01719473" w14:textId="7642A5BE">
      <w:pPr>
        <w:pStyle w:val="Standard"/>
      </w:pPr>
      <w:r>
        <w:t>The general authority under which PG&amp;E requests recovery of costs in all the accounts in this application is provided in Articles 2 and 3 of the Commission’s Rules of Practice and Procedure and Public Utilities (Pub. Util.) Code Sections 454 and 701.</w:t>
      </w:r>
      <w:r>
        <w:rPr>
          <w:rStyle w:val="FootnoteReference"/>
        </w:rPr>
        <w:footnoteReference w:id="10"/>
      </w:r>
      <w:r>
        <w:t xml:space="preserve"> As is typical for review of memorandum and balancing accounts, PG&amp;E had originally requested approval in its 2023 </w:t>
      </w:r>
      <w:r w:rsidR="00FC1D5C">
        <w:t>General Rate Case (</w:t>
      </w:r>
      <w:r>
        <w:t>GRC</w:t>
      </w:r>
      <w:r w:rsidR="00FC1D5C">
        <w:t>)</w:t>
      </w:r>
      <w:r>
        <w:t xml:space="preserve"> A.21-06-021. The Commission decided in early 2023 that only memorandum and balancing account costs incurred through 2021 would be resolved in the 2023 GRC and directed PG&amp;E to instead file a separate application for review of the 2022 costs. PG&amp;E thus filed A.23-06-008, including an additional three accounts that were not originally included in A.21-06-021.</w:t>
      </w:r>
      <w:r w:rsidR="003561C8">
        <w:rPr>
          <w:rStyle w:val="FootnoteReference"/>
        </w:rPr>
        <w:footnoteReference w:id="11"/>
      </w:r>
      <w:r>
        <w:t xml:space="preserve"> </w:t>
      </w:r>
    </w:p>
    <w:p w:rsidR="00137BCA" w:rsidP="009E2A91" w:rsidRDefault="00137BCA" w14:paraId="4083AF5E" w14:textId="571D29DA">
      <w:pPr>
        <w:pStyle w:val="Standard"/>
      </w:pPr>
      <w:r>
        <w:t>PG&amp;E</w:t>
      </w:r>
      <w:r w:rsidR="009E2A91">
        <w:t xml:space="preserve"> </w:t>
      </w:r>
      <w:r w:rsidR="00B85822">
        <w:t xml:space="preserve">states </w:t>
      </w:r>
      <w:r w:rsidR="009E2A91">
        <w:t xml:space="preserve">the </w:t>
      </w:r>
      <w:r>
        <w:t>wildfire mitigation costs</w:t>
      </w:r>
      <w:r w:rsidR="009E2A91">
        <w:t xml:space="preserve"> at issue in this application </w:t>
      </w:r>
      <w:r w:rsidR="00B85822">
        <w:t>were driven by</w:t>
      </w:r>
      <w:r w:rsidR="009E2A91">
        <w:t xml:space="preserve"> “wildfire mitigation efforts escalated in 2020 – 2022 after PG&amp;E’s 2020 General Rate Case (GRC) application was filed in December 2018, in response to severe wildfire events and the </w:t>
      </w:r>
      <w:r w:rsidR="00C71838">
        <w:t>California</w:t>
      </w:r>
      <w:r w:rsidR="009E2A91">
        <w:t xml:space="preserve"> legislature’s enactment of Senate Bill </w:t>
      </w:r>
      <w:r w:rsidR="009E2A91">
        <w:lastRenderedPageBreak/>
        <w:t xml:space="preserve">901,” and </w:t>
      </w:r>
      <w:r w:rsidR="00C71838">
        <w:t>performed in accordance with its 2020 – 2022 Wildfire Mitigation Plan</w:t>
      </w:r>
      <w:r w:rsidR="00877A11">
        <w:t xml:space="preserve"> (WMP)</w:t>
      </w:r>
      <w:r w:rsidR="009E2A91">
        <w:t>.</w:t>
      </w:r>
      <w:r w:rsidR="009E2A91">
        <w:rPr>
          <w:rStyle w:val="FootnoteReference"/>
        </w:rPr>
        <w:footnoteReference w:id="12"/>
      </w:r>
      <w:r w:rsidR="00C71838">
        <w:t xml:space="preserve"> </w:t>
      </w:r>
      <w:r>
        <w:t xml:space="preserve">Pub. Util. Code Section 8386.4 mandated the Commission’s authorization of the </w:t>
      </w:r>
      <w:r>
        <w:rPr>
          <w:color w:val="000000" w:themeColor="text1"/>
        </w:rPr>
        <w:t>Wildfire Mitigation Plan</w:t>
      </w:r>
      <w:r w:rsidRPr="00C54431">
        <w:rPr>
          <w:color w:val="000000" w:themeColor="text1"/>
        </w:rPr>
        <w:t xml:space="preserve"> Memorandum Account </w:t>
      </w:r>
      <w:r>
        <w:rPr>
          <w:color w:val="000000" w:themeColor="text1"/>
        </w:rPr>
        <w:t>(</w:t>
      </w:r>
      <w:r>
        <w:t>WMPMA)</w:t>
      </w:r>
      <w:r>
        <w:rPr>
          <w:rStyle w:val="FootnoteReference"/>
        </w:rPr>
        <w:footnoteReference w:id="13"/>
      </w:r>
      <w:r>
        <w:t xml:space="preserve"> </w:t>
      </w:r>
      <w:r w:rsidR="00877A11">
        <w:t xml:space="preserve">to record costs for activities approved in PG&amp;E’s WMP </w:t>
      </w:r>
      <w:r w:rsidR="00674CA6">
        <w:t xml:space="preserve">and </w:t>
      </w:r>
      <w:r w:rsidR="00877A11">
        <w:t>not recovered through other revenue requirements</w:t>
      </w:r>
      <w:r w:rsidR="005A0586">
        <w:t xml:space="preserve">. </w:t>
      </w:r>
      <w:r w:rsidR="00F27133">
        <w:t xml:space="preserve">Pub. Util. Code Section 8386.4 also </w:t>
      </w:r>
      <w:r>
        <w:t xml:space="preserve">authorized the </w:t>
      </w:r>
      <w:r>
        <w:rPr>
          <w:color w:val="000000" w:themeColor="text1"/>
        </w:rPr>
        <w:t>Fire Risk Mitigation Memorandum Account (</w:t>
      </w:r>
      <w:r>
        <w:t>FRMMA)</w:t>
      </w:r>
      <w:r w:rsidR="00877A11">
        <w:t xml:space="preserve"> for wildfire mitigation costs incurred that were not specifically approved through the wildfire mitigation plan </w:t>
      </w:r>
      <w:r w:rsidR="0071247F">
        <w:t xml:space="preserve">and not recovered in </w:t>
      </w:r>
      <w:r w:rsidR="00877A11">
        <w:t>other revenue requirements</w:t>
      </w:r>
      <w:r>
        <w:t>.</w:t>
      </w:r>
      <w:r>
        <w:rPr>
          <w:rStyle w:val="FootnoteReference"/>
        </w:rPr>
        <w:footnoteReference w:id="14"/>
      </w:r>
      <w:r>
        <w:t xml:space="preserve">  </w:t>
      </w:r>
    </w:p>
    <w:p w:rsidR="00137BCA" w:rsidP="00137BCA" w:rsidRDefault="00877A11" w14:paraId="40EE21C0" w14:textId="32CEF460">
      <w:pPr>
        <w:pStyle w:val="Standard"/>
        <w:rPr>
          <w:color w:val="000000" w:themeColor="text1"/>
        </w:rPr>
      </w:pPr>
      <w:r>
        <w:t>In 2016</w:t>
      </w:r>
      <w:r>
        <w:rPr>
          <w:rStyle w:val="FootnoteReference"/>
        </w:rPr>
        <w:footnoteReference w:id="15"/>
      </w:r>
      <w:r>
        <w:t xml:space="preserve"> and 2019</w:t>
      </w:r>
      <w:r w:rsidR="00F842C8">
        <w:rPr>
          <w:rStyle w:val="FootnoteReference"/>
        </w:rPr>
        <w:footnoteReference w:id="16"/>
      </w:r>
      <w:r>
        <w:t xml:space="preserve"> </w:t>
      </w:r>
      <w:r>
        <w:rPr>
          <w:color w:val="000000" w:themeColor="text1"/>
        </w:rPr>
        <w:t xml:space="preserve">Gas Transmission and Safety (GT&amp;S) Rate Case Decisions, </w:t>
      </w:r>
      <w:r>
        <w:t xml:space="preserve">the Commission </w:t>
      </w:r>
      <w:r w:rsidR="0071247F">
        <w:t xml:space="preserve">authorized </w:t>
      </w:r>
      <w:r w:rsidRPr="00C54431" w:rsidR="00137BCA">
        <w:rPr>
          <w:color w:val="000000" w:themeColor="text1"/>
        </w:rPr>
        <w:t xml:space="preserve">memorandum </w:t>
      </w:r>
      <w:r w:rsidR="00076310">
        <w:rPr>
          <w:color w:val="000000" w:themeColor="text1"/>
        </w:rPr>
        <w:t>or</w:t>
      </w:r>
      <w:r w:rsidR="00137BCA">
        <w:rPr>
          <w:color w:val="000000" w:themeColor="text1"/>
        </w:rPr>
        <w:t xml:space="preserve"> balancing account</w:t>
      </w:r>
      <w:r w:rsidR="00E426F6">
        <w:rPr>
          <w:color w:val="000000" w:themeColor="text1"/>
        </w:rPr>
        <w:t xml:space="preserve"> treatment for gas safety work as follows</w:t>
      </w:r>
      <w:r w:rsidRPr="00C54431" w:rsidR="00137BCA">
        <w:rPr>
          <w:color w:val="000000" w:themeColor="text1"/>
        </w:rPr>
        <w:t xml:space="preserve">: </w:t>
      </w:r>
    </w:p>
    <w:p w:rsidRPr="00C54431" w:rsidR="00137BCA" w:rsidP="00137BCA" w:rsidRDefault="00137BCA" w14:paraId="0A918A03" w14:textId="3581E3E3">
      <w:pPr>
        <w:pStyle w:val="ListAlpha"/>
        <w:numPr>
          <w:ilvl w:val="0"/>
          <w:numId w:val="28"/>
        </w:numPr>
        <w:ind w:left="1080" w:right="1440"/>
        <w:rPr>
          <w:color w:val="000000" w:themeColor="text1"/>
        </w:rPr>
      </w:pPr>
      <w:r w:rsidRPr="00C54431">
        <w:rPr>
          <w:color w:val="000000" w:themeColor="text1"/>
        </w:rPr>
        <w:t>In Line Inspection Memorandum Account</w:t>
      </w:r>
      <w:r w:rsidR="00F842C8">
        <w:rPr>
          <w:color w:val="000000" w:themeColor="text1"/>
        </w:rPr>
        <w:t>;</w:t>
      </w:r>
      <w:r>
        <w:rPr>
          <w:rStyle w:val="FootnoteReference"/>
          <w:color w:val="000000" w:themeColor="text1"/>
        </w:rPr>
        <w:footnoteReference w:id="17"/>
      </w:r>
      <w:r>
        <w:rPr>
          <w:color w:val="000000" w:themeColor="text1"/>
        </w:rPr>
        <w:t xml:space="preserve"> </w:t>
      </w:r>
    </w:p>
    <w:p w:rsidRPr="00C54431" w:rsidR="00137BCA" w:rsidP="00137BCA" w:rsidRDefault="00137BCA" w14:paraId="0C683E9B" w14:textId="1AB46494">
      <w:pPr>
        <w:pStyle w:val="ListAlpha"/>
        <w:numPr>
          <w:ilvl w:val="0"/>
          <w:numId w:val="28"/>
        </w:numPr>
        <w:ind w:left="1080" w:right="1440"/>
        <w:rPr>
          <w:color w:val="000000" w:themeColor="text1"/>
        </w:rPr>
      </w:pPr>
      <w:r w:rsidRPr="00C54431">
        <w:rPr>
          <w:color w:val="000000" w:themeColor="text1"/>
        </w:rPr>
        <w:t>Internal Corrosion Direct Assessment Memorandum Account</w:t>
      </w:r>
      <w:r w:rsidR="00F842C8">
        <w:rPr>
          <w:color w:val="000000" w:themeColor="text1"/>
        </w:rPr>
        <w:t>;</w:t>
      </w:r>
      <w:r>
        <w:rPr>
          <w:rStyle w:val="FootnoteReference"/>
          <w:color w:val="000000" w:themeColor="text1"/>
        </w:rPr>
        <w:footnoteReference w:id="18"/>
      </w:r>
    </w:p>
    <w:p w:rsidRPr="00C54431" w:rsidR="00137BCA" w:rsidP="00137BCA" w:rsidRDefault="00137BCA" w14:paraId="1636658D" w14:textId="0DEA3093">
      <w:pPr>
        <w:pStyle w:val="ListAlpha"/>
        <w:numPr>
          <w:ilvl w:val="0"/>
          <w:numId w:val="28"/>
        </w:numPr>
        <w:ind w:left="1080" w:right="1440"/>
        <w:rPr>
          <w:color w:val="000000" w:themeColor="text1"/>
        </w:rPr>
      </w:pPr>
      <w:r w:rsidRPr="00C54431">
        <w:rPr>
          <w:color w:val="000000" w:themeColor="text1"/>
        </w:rPr>
        <w:t>Gas Statutes, Regulations, &amp; Rules Memorandum Account</w:t>
      </w:r>
      <w:r w:rsidR="00F842C8">
        <w:rPr>
          <w:color w:val="000000" w:themeColor="text1"/>
        </w:rPr>
        <w:t>;</w:t>
      </w:r>
      <w:r>
        <w:rPr>
          <w:rStyle w:val="FootnoteReference"/>
          <w:color w:val="000000" w:themeColor="text1"/>
        </w:rPr>
        <w:footnoteReference w:id="19"/>
      </w:r>
      <w:r>
        <w:rPr>
          <w:color w:val="000000" w:themeColor="text1"/>
        </w:rPr>
        <w:t xml:space="preserve"> </w:t>
      </w:r>
    </w:p>
    <w:p w:rsidRPr="00C54431" w:rsidR="00137BCA" w:rsidP="00137BCA" w:rsidRDefault="00137BCA" w14:paraId="3FE29043" w14:textId="4CF6C12C">
      <w:pPr>
        <w:pStyle w:val="ListAlpha"/>
        <w:numPr>
          <w:ilvl w:val="0"/>
          <w:numId w:val="28"/>
        </w:numPr>
        <w:ind w:left="1080" w:right="1440"/>
        <w:rPr>
          <w:color w:val="000000" w:themeColor="text1"/>
        </w:rPr>
      </w:pPr>
      <w:r w:rsidRPr="00C54431">
        <w:rPr>
          <w:color w:val="000000" w:themeColor="text1"/>
        </w:rPr>
        <w:t>Transmission Integrity Management Program Memorandum Account;</w:t>
      </w:r>
      <w:r>
        <w:rPr>
          <w:color w:val="000000" w:themeColor="text1"/>
        </w:rPr>
        <w:t xml:space="preserve"> </w:t>
      </w:r>
    </w:p>
    <w:p w:rsidRPr="00C54431" w:rsidR="00137BCA" w:rsidP="00137BCA" w:rsidRDefault="00137BCA" w14:paraId="71C54376" w14:textId="5DA6F4CB">
      <w:pPr>
        <w:pStyle w:val="ListAlpha"/>
        <w:numPr>
          <w:ilvl w:val="0"/>
          <w:numId w:val="28"/>
        </w:numPr>
        <w:ind w:left="1080" w:right="1440"/>
        <w:rPr>
          <w:color w:val="000000" w:themeColor="text1"/>
        </w:rPr>
      </w:pPr>
      <w:r w:rsidRPr="00C54431">
        <w:rPr>
          <w:color w:val="000000" w:themeColor="text1"/>
        </w:rPr>
        <w:lastRenderedPageBreak/>
        <w:t>Measurement &amp; Control Station Over Pressure Protection Memorandum Account ;</w:t>
      </w:r>
      <w:r>
        <w:rPr>
          <w:rStyle w:val="FootnoteReference"/>
          <w:color w:val="000000" w:themeColor="text1"/>
        </w:rPr>
        <w:footnoteReference w:id="20"/>
      </w:r>
      <w:r>
        <w:rPr>
          <w:color w:val="000000" w:themeColor="text1"/>
        </w:rPr>
        <w:t xml:space="preserve"> </w:t>
      </w:r>
    </w:p>
    <w:p w:rsidRPr="00C54431" w:rsidR="00137BCA" w:rsidP="00137BCA" w:rsidRDefault="00137BCA" w14:paraId="37BA0000" w14:textId="08F1120B">
      <w:pPr>
        <w:pStyle w:val="ListAlpha"/>
        <w:numPr>
          <w:ilvl w:val="0"/>
          <w:numId w:val="28"/>
        </w:numPr>
        <w:ind w:left="1080" w:right="1440"/>
        <w:rPr>
          <w:color w:val="000000" w:themeColor="text1"/>
        </w:rPr>
      </w:pPr>
      <w:r w:rsidRPr="00C54431">
        <w:rPr>
          <w:color w:val="000000" w:themeColor="text1"/>
        </w:rPr>
        <w:t>Critical Documents Program Memorandum Account</w:t>
      </w:r>
      <w:r>
        <w:rPr>
          <w:color w:val="000000" w:themeColor="text1"/>
        </w:rPr>
        <w:t>, authorized in the 2015 GT&amp;S Rate Case Decision</w:t>
      </w:r>
      <w:r w:rsidR="00F842C8">
        <w:rPr>
          <w:color w:val="000000" w:themeColor="text1"/>
        </w:rPr>
        <w:t>;</w:t>
      </w:r>
      <w:r>
        <w:rPr>
          <w:rStyle w:val="FootnoteReference"/>
          <w:color w:val="000000" w:themeColor="text1"/>
        </w:rPr>
        <w:footnoteReference w:id="21"/>
      </w:r>
      <w:r>
        <w:rPr>
          <w:color w:val="000000" w:themeColor="text1"/>
        </w:rPr>
        <w:t xml:space="preserve"> </w:t>
      </w:r>
    </w:p>
    <w:p w:rsidRPr="00C54431" w:rsidR="00137BCA" w:rsidP="00137BCA" w:rsidRDefault="00137BCA" w14:paraId="759EDCD5" w14:textId="61C99C11">
      <w:pPr>
        <w:pStyle w:val="ListAlpha"/>
        <w:numPr>
          <w:ilvl w:val="0"/>
          <w:numId w:val="28"/>
        </w:numPr>
        <w:ind w:left="1080" w:right="1440"/>
        <w:rPr>
          <w:color w:val="000000" w:themeColor="text1"/>
        </w:rPr>
      </w:pPr>
      <w:r w:rsidRPr="00C54431">
        <w:rPr>
          <w:color w:val="000000" w:themeColor="text1"/>
        </w:rPr>
        <w:t>Gas Storage Balancing Account;</w:t>
      </w:r>
      <w:r>
        <w:rPr>
          <w:rStyle w:val="FootnoteReference"/>
          <w:color w:val="000000" w:themeColor="text1"/>
        </w:rPr>
        <w:footnoteReference w:id="22"/>
      </w:r>
      <w:r w:rsidR="00F842C8">
        <w:rPr>
          <w:color w:val="000000" w:themeColor="text1"/>
        </w:rPr>
        <w:t xml:space="preserve"> and</w:t>
      </w:r>
      <w:r>
        <w:rPr>
          <w:color w:val="000000" w:themeColor="text1"/>
        </w:rPr>
        <w:t xml:space="preserve"> </w:t>
      </w:r>
    </w:p>
    <w:p w:rsidR="00137BCA" w:rsidP="00137BCA" w:rsidRDefault="00137BCA" w14:paraId="6A8AD99A" w14:textId="30B34A02">
      <w:pPr>
        <w:pStyle w:val="ListAlpha"/>
        <w:numPr>
          <w:ilvl w:val="0"/>
          <w:numId w:val="28"/>
        </w:numPr>
        <w:ind w:left="1080" w:right="1440"/>
        <w:rPr>
          <w:color w:val="000000" w:themeColor="text1"/>
        </w:rPr>
      </w:pPr>
      <w:r w:rsidRPr="00C54431">
        <w:rPr>
          <w:color w:val="000000" w:themeColor="text1"/>
        </w:rPr>
        <w:t>Line 407 Memorandum Account</w:t>
      </w:r>
      <w:r w:rsidR="00F842C8">
        <w:rPr>
          <w:color w:val="000000" w:themeColor="text1"/>
        </w:rPr>
        <w:t>.</w:t>
      </w:r>
      <w:r>
        <w:rPr>
          <w:rStyle w:val="FootnoteReference"/>
          <w:color w:val="000000" w:themeColor="text1"/>
        </w:rPr>
        <w:footnoteReference w:id="23"/>
      </w:r>
      <w:r>
        <w:rPr>
          <w:color w:val="000000" w:themeColor="text1"/>
        </w:rPr>
        <w:t xml:space="preserve"> </w:t>
      </w:r>
    </w:p>
    <w:p w:rsidR="00137BCA" w:rsidP="007E19E8" w:rsidRDefault="00F842C8" w14:paraId="6BCADD75" w14:textId="34860E4A">
      <w:pPr>
        <w:pStyle w:val="Standard"/>
      </w:pPr>
      <w:r>
        <w:t xml:space="preserve">In D.17-12-004, the Commission authorized the </w:t>
      </w:r>
      <w:r w:rsidRPr="00C54431" w:rsidR="00137BCA">
        <w:t>Dairy Biomethane Pilots Memorandum Account</w:t>
      </w:r>
      <w:r w:rsidR="00B723B9">
        <w:t>,</w:t>
      </w:r>
      <w:r>
        <w:t xml:space="preserve"> and PG&amp;E recorded costs throughout</w:t>
      </w:r>
      <w:r w:rsidR="00137BCA">
        <w:t xml:space="preserve"> 2017</w:t>
      </w:r>
      <w:r w:rsidR="00875356">
        <w:t xml:space="preserve"> </w:t>
      </w:r>
      <w:r w:rsidR="00137BCA">
        <w:noBreakHyphen/>
      </w:r>
      <w:r w:rsidR="00875356">
        <w:t xml:space="preserve"> </w:t>
      </w:r>
      <w:r w:rsidR="00137BCA">
        <w:t>2022.</w:t>
      </w:r>
      <w:r w:rsidR="00137BCA">
        <w:rPr>
          <w:rStyle w:val="FootnoteReference"/>
          <w:color w:val="000000" w:themeColor="text1"/>
        </w:rPr>
        <w:footnoteReference w:id="24"/>
      </w:r>
    </w:p>
    <w:p w:rsidR="00F842C8" w:rsidP="00137BCA" w:rsidRDefault="00F842C8" w14:paraId="20F4206A" w14:textId="6B50007E">
      <w:pPr>
        <w:pStyle w:val="Standard"/>
        <w:rPr>
          <w:color w:val="000000" w:themeColor="text1"/>
        </w:rPr>
      </w:pPr>
      <w:r>
        <w:rPr>
          <w:color w:val="000000" w:themeColor="text1"/>
        </w:rPr>
        <w:t xml:space="preserve">The Commission authorized </w:t>
      </w:r>
      <w:r w:rsidR="008A3A75">
        <w:rPr>
          <w:color w:val="000000" w:themeColor="text1"/>
        </w:rPr>
        <w:t xml:space="preserve">or implemented </w:t>
      </w:r>
      <w:r>
        <w:rPr>
          <w:color w:val="000000" w:themeColor="text1"/>
        </w:rPr>
        <w:t>memorandum account ratemaking for various electric modernization activities at issue in this application</w:t>
      </w:r>
      <w:r w:rsidR="008A3A75">
        <w:rPr>
          <w:color w:val="000000" w:themeColor="text1"/>
        </w:rPr>
        <w:t xml:space="preserve"> as follows</w:t>
      </w:r>
      <w:r>
        <w:rPr>
          <w:color w:val="000000" w:themeColor="text1"/>
        </w:rPr>
        <w:t>:</w:t>
      </w:r>
    </w:p>
    <w:p w:rsidRPr="00C0160C" w:rsidR="00137BCA" w:rsidP="00A35180" w:rsidRDefault="00F842C8" w14:paraId="67205973" w14:textId="78806752">
      <w:pPr>
        <w:pStyle w:val="ListBullet"/>
        <w:tabs>
          <w:tab w:val="clear" w:pos="360"/>
          <w:tab w:val="num" w:pos="1080"/>
        </w:tabs>
        <w:ind w:left="1080" w:right="1440"/>
      </w:pPr>
      <w:r w:rsidRPr="00C0160C">
        <w:t xml:space="preserve">D.17-09-026 authorized the </w:t>
      </w:r>
      <w:r w:rsidRPr="00C0160C" w:rsidR="00137BCA">
        <w:t>Distribution Resources Plan Tools Memorandum Account;</w:t>
      </w:r>
      <w:r w:rsidRPr="00C0160C" w:rsidR="00137BCA">
        <w:rPr>
          <w:rStyle w:val="FootnoteReference"/>
          <w:color w:val="000000" w:themeColor="text1"/>
        </w:rPr>
        <w:footnoteReference w:id="25"/>
      </w:r>
      <w:r w:rsidRPr="00C0160C" w:rsidR="00137BCA">
        <w:t xml:space="preserve"> </w:t>
      </w:r>
    </w:p>
    <w:p w:rsidRPr="00C0160C" w:rsidR="00137BCA" w:rsidP="00A35180" w:rsidRDefault="00F842C8" w14:paraId="5F1486F0" w14:textId="63DE682D">
      <w:pPr>
        <w:pStyle w:val="ListBullet"/>
        <w:tabs>
          <w:tab w:val="clear" w:pos="360"/>
          <w:tab w:val="num" w:pos="1080"/>
        </w:tabs>
        <w:ind w:left="1080" w:right="1440"/>
        <w:rPr>
          <w:color w:val="000000" w:themeColor="text1"/>
        </w:rPr>
      </w:pPr>
      <w:r w:rsidRPr="00C0160C">
        <w:rPr>
          <w:color w:val="000000" w:themeColor="text1"/>
        </w:rPr>
        <w:t xml:space="preserve">D.16-06-007 authorized the </w:t>
      </w:r>
      <w:r w:rsidRPr="00C0160C" w:rsidR="00137BCA">
        <w:rPr>
          <w:color w:val="000000" w:themeColor="text1"/>
        </w:rPr>
        <w:t>Avoided Cost Calculator Uptake Memorandum Account;</w:t>
      </w:r>
      <w:r w:rsidRPr="00C0160C" w:rsidR="00137BCA">
        <w:rPr>
          <w:rStyle w:val="FootnoteReference"/>
          <w:color w:val="000000" w:themeColor="text1"/>
        </w:rPr>
        <w:footnoteReference w:id="26"/>
      </w:r>
      <w:r w:rsidRPr="00C0160C" w:rsidR="00137BCA">
        <w:rPr>
          <w:color w:val="000000" w:themeColor="text1"/>
        </w:rPr>
        <w:t xml:space="preserve"> </w:t>
      </w:r>
    </w:p>
    <w:p w:rsidRPr="00C0160C" w:rsidR="00137BCA" w:rsidP="00A35180" w:rsidRDefault="00F842C8" w14:paraId="31899030" w14:textId="3647D220">
      <w:pPr>
        <w:pStyle w:val="ListBullet"/>
        <w:tabs>
          <w:tab w:val="clear" w:pos="360"/>
          <w:tab w:val="num" w:pos="1080"/>
        </w:tabs>
        <w:ind w:left="1080" w:right="1440"/>
        <w:rPr>
          <w:color w:val="000000" w:themeColor="text1"/>
        </w:rPr>
      </w:pPr>
      <w:r w:rsidRPr="00C0160C">
        <w:rPr>
          <w:color w:val="000000" w:themeColor="text1"/>
        </w:rPr>
        <w:t xml:space="preserve">D.16-12-036, D.18-02-004 and D.21-02-006 authorized the </w:t>
      </w:r>
      <w:r w:rsidRPr="00C0160C" w:rsidR="00137BCA">
        <w:rPr>
          <w:color w:val="000000" w:themeColor="text1"/>
        </w:rPr>
        <w:t>Distributed Energy Resources Distribution Deferral Account</w:t>
      </w:r>
      <w:r w:rsidRPr="00C0160C">
        <w:rPr>
          <w:color w:val="000000" w:themeColor="text1"/>
        </w:rPr>
        <w:t xml:space="preserve"> in which PG&amp;E recorded costs throughout</w:t>
      </w:r>
      <w:r w:rsidRPr="00C0160C" w:rsidR="00137BCA">
        <w:rPr>
          <w:color w:val="000000" w:themeColor="text1"/>
        </w:rPr>
        <w:t xml:space="preserve"> 2019</w:t>
      </w:r>
      <w:r w:rsidRPr="00C0160C">
        <w:rPr>
          <w:color w:val="000000" w:themeColor="text1"/>
        </w:rPr>
        <w:t xml:space="preserve"> </w:t>
      </w:r>
      <w:r w:rsidRPr="00C0160C" w:rsidR="00137BCA">
        <w:rPr>
          <w:color w:val="000000" w:themeColor="text1"/>
        </w:rPr>
        <w:noBreakHyphen/>
      </w:r>
      <w:r w:rsidRPr="00C0160C">
        <w:rPr>
          <w:color w:val="000000" w:themeColor="text1"/>
        </w:rPr>
        <w:t xml:space="preserve"> </w:t>
      </w:r>
      <w:r w:rsidRPr="00C0160C" w:rsidR="00137BCA">
        <w:rPr>
          <w:color w:val="000000" w:themeColor="text1"/>
        </w:rPr>
        <w:t>2022; and</w:t>
      </w:r>
    </w:p>
    <w:p w:rsidRPr="00C0160C" w:rsidR="00137BCA" w:rsidP="00A35180" w:rsidRDefault="008A3A75" w14:paraId="056D439A" w14:textId="08B4BD98">
      <w:pPr>
        <w:pStyle w:val="ListBullet"/>
        <w:tabs>
          <w:tab w:val="clear" w:pos="360"/>
          <w:tab w:val="num" w:pos="1080"/>
        </w:tabs>
        <w:ind w:left="1080" w:right="1440"/>
        <w:rPr>
          <w:color w:val="000000" w:themeColor="text1"/>
        </w:rPr>
      </w:pPr>
      <w:r w:rsidRPr="00C0160C">
        <w:rPr>
          <w:color w:val="000000" w:themeColor="text1"/>
        </w:rPr>
        <w:t xml:space="preserve">Pub. Util. Code Section 740.19(c) authorized the </w:t>
      </w:r>
      <w:r w:rsidRPr="00C0160C" w:rsidR="00137BCA">
        <w:rPr>
          <w:color w:val="000000" w:themeColor="text1"/>
        </w:rPr>
        <w:t>A</w:t>
      </w:r>
      <w:r w:rsidRPr="00C0160C" w:rsidR="003A34C1">
        <w:rPr>
          <w:color w:val="000000" w:themeColor="text1"/>
        </w:rPr>
        <w:t xml:space="preserve">ssembly </w:t>
      </w:r>
      <w:r w:rsidRPr="00C0160C" w:rsidR="00137BCA">
        <w:rPr>
          <w:color w:val="000000" w:themeColor="text1"/>
        </w:rPr>
        <w:t>B</w:t>
      </w:r>
      <w:r w:rsidRPr="00C0160C" w:rsidR="003A34C1">
        <w:rPr>
          <w:color w:val="000000" w:themeColor="text1"/>
        </w:rPr>
        <w:t xml:space="preserve">ill </w:t>
      </w:r>
      <w:r w:rsidRPr="00C0160C" w:rsidR="00137BCA">
        <w:rPr>
          <w:color w:val="000000" w:themeColor="text1"/>
        </w:rPr>
        <w:t xml:space="preserve">841 Transportation Electrification Memorandum </w:t>
      </w:r>
      <w:r w:rsidRPr="00C0160C" w:rsidR="00137BCA">
        <w:rPr>
          <w:color w:val="000000" w:themeColor="text1"/>
        </w:rPr>
        <w:lastRenderedPageBreak/>
        <w:t>Account (AB841MA)</w:t>
      </w:r>
      <w:r w:rsidRPr="00C0160C">
        <w:rPr>
          <w:color w:val="000000" w:themeColor="text1"/>
        </w:rPr>
        <w:t xml:space="preserve"> in which PG&amp;E recorded costs </w:t>
      </w:r>
      <w:r w:rsidRPr="00C0160C" w:rsidR="00B723B9">
        <w:rPr>
          <w:color w:val="000000" w:themeColor="text1"/>
        </w:rPr>
        <w:t>during</w:t>
      </w:r>
      <w:r w:rsidRPr="00C0160C" w:rsidR="00137BCA">
        <w:rPr>
          <w:color w:val="000000" w:themeColor="text1"/>
        </w:rPr>
        <w:t xml:space="preserve"> 2021</w:t>
      </w:r>
      <w:r w:rsidRPr="00C0160C">
        <w:rPr>
          <w:color w:val="000000" w:themeColor="text1"/>
        </w:rPr>
        <w:t xml:space="preserve"> </w:t>
      </w:r>
      <w:r w:rsidRPr="00C0160C" w:rsidR="00137BCA">
        <w:rPr>
          <w:color w:val="000000" w:themeColor="text1"/>
        </w:rPr>
        <w:noBreakHyphen/>
      </w:r>
      <w:r w:rsidRPr="00C0160C">
        <w:rPr>
          <w:color w:val="000000" w:themeColor="text1"/>
        </w:rPr>
        <w:t xml:space="preserve"> </w:t>
      </w:r>
      <w:r w:rsidRPr="00C0160C" w:rsidR="00137BCA">
        <w:rPr>
          <w:color w:val="000000" w:themeColor="text1"/>
        </w:rPr>
        <w:t>2022.</w:t>
      </w:r>
      <w:r w:rsidRPr="00C0160C" w:rsidR="00137BCA">
        <w:rPr>
          <w:rStyle w:val="FootnoteReference"/>
          <w:color w:val="000000" w:themeColor="text1"/>
        </w:rPr>
        <w:footnoteReference w:id="27"/>
      </w:r>
      <w:r w:rsidRPr="00C0160C" w:rsidR="00137BCA">
        <w:t xml:space="preserve"> </w:t>
      </w:r>
    </w:p>
    <w:p w:rsidR="00137BCA" w:rsidP="007E19E8" w:rsidRDefault="003C271E" w14:paraId="4BC72D55" w14:textId="0387425E">
      <w:pPr>
        <w:pStyle w:val="Heading2"/>
      </w:pPr>
      <w:bookmarkStart w:name="_Toc157549683" w:id="15"/>
      <w:r>
        <w:t xml:space="preserve">Ratemaking Proposal </w:t>
      </w:r>
      <w:r w:rsidR="003244E7">
        <w:t>at Issue</w:t>
      </w:r>
      <w:bookmarkEnd w:id="15"/>
    </w:p>
    <w:p w:rsidR="00A338A8" w:rsidP="00137BCA" w:rsidRDefault="00137BCA" w14:paraId="0FF16432" w14:textId="4D2E0640">
      <w:pPr>
        <w:pStyle w:val="Standard"/>
      </w:pPr>
      <w:r>
        <w:t xml:space="preserve">PG&amp;E’s </w:t>
      </w:r>
      <w:r w:rsidR="003244E7">
        <w:t>third request in its application, for approval of its ratemaking proposal, is</w:t>
      </w:r>
      <w:r w:rsidR="003C271E">
        <w:t xml:space="preserve"> </w:t>
      </w:r>
      <w:r w:rsidR="00161A75">
        <w:t xml:space="preserve">partially </w:t>
      </w:r>
      <w:r w:rsidR="003244E7">
        <w:t>resolved by this decision</w:t>
      </w:r>
      <w:r>
        <w:t>.</w:t>
      </w:r>
      <w:r w:rsidR="008842A9">
        <w:t xml:space="preserve"> Ratemaking is </w:t>
      </w:r>
      <w:r w:rsidR="00A338A8">
        <w:t>the second part of all</w:t>
      </w:r>
      <w:r w:rsidR="008842A9">
        <w:t xml:space="preserve"> Commission determinations on cost recovery</w:t>
      </w:r>
      <w:r w:rsidR="00B723B9">
        <w:t>:</w:t>
      </w:r>
      <w:r w:rsidR="008842A9">
        <w:t xml:space="preserve"> </w:t>
      </w:r>
      <w:r w:rsidR="00875356">
        <w:t xml:space="preserve">for </w:t>
      </w:r>
      <w:r w:rsidR="008842A9">
        <w:t xml:space="preserve">costs found just and reasonable, </w:t>
      </w:r>
      <w:r w:rsidR="00875356">
        <w:t xml:space="preserve">there is a related revenue requirement, and the Commission also determines </w:t>
      </w:r>
      <w:r w:rsidR="00A338A8">
        <w:t>the</w:t>
      </w:r>
      <w:r w:rsidR="008842A9">
        <w:t xml:space="preserve"> manner in which the revenue requirement is to be collected from ratepayers. </w:t>
      </w:r>
      <w:r w:rsidR="00A338A8">
        <w:t>Such a</w:t>
      </w:r>
      <w:r w:rsidR="008842A9">
        <w:t xml:space="preserve"> “ratemaking proposal” may vary by length of time over which collection occurs, through which rate mechanisms the surcharges are assessed (different rate </w:t>
      </w:r>
      <w:r w:rsidR="00875356">
        <w:t>mechanisms</w:t>
      </w:r>
      <w:r w:rsidR="008842A9">
        <w:t xml:space="preserve"> may be collected only for some types of customers) and</w:t>
      </w:r>
      <w:r w:rsidR="00A338A8">
        <w:t xml:space="preserve"> by allocation of costs. </w:t>
      </w:r>
    </w:p>
    <w:p w:rsidR="00B77959" w:rsidP="00137BCA" w:rsidRDefault="008C4BBE" w14:paraId="63F9CEFF" w14:textId="6FDE7C43">
      <w:pPr>
        <w:pStyle w:val="Standard"/>
      </w:pPr>
      <w:r>
        <w:t xml:space="preserve">According to the Scoping Memo, the earliest the Commission may approve costs in the first stage would be in </w:t>
      </w:r>
      <w:r w:rsidR="00B723B9">
        <w:t xml:space="preserve">the </w:t>
      </w:r>
      <w:r>
        <w:t xml:space="preserve">winter of 2024, and the complete determination would conclude in </w:t>
      </w:r>
      <w:r w:rsidR="00B723B9">
        <w:t xml:space="preserve">the </w:t>
      </w:r>
      <w:r>
        <w:t xml:space="preserve">summer </w:t>
      </w:r>
      <w:r w:rsidR="00B723B9">
        <w:t xml:space="preserve">of </w:t>
      </w:r>
      <w:r>
        <w:t>2025.</w:t>
      </w:r>
      <w:r>
        <w:rPr>
          <w:rStyle w:val="FootnoteReference"/>
        </w:rPr>
        <w:footnoteReference w:id="28"/>
      </w:r>
      <w:r>
        <w:t xml:space="preserve"> </w:t>
      </w:r>
      <w:r w:rsidR="00137BCA">
        <w:t xml:space="preserve">PG&amp;E’s </w:t>
      </w:r>
      <w:r w:rsidR="00A338A8">
        <w:t>ratemaking proposal is twofold</w:t>
      </w:r>
      <w:r w:rsidR="00B723B9">
        <w:t>:</w:t>
      </w:r>
      <w:r w:rsidR="00A338A8">
        <w:t xml:space="preserve"> to collect a portion of the recorded costs </w:t>
      </w:r>
      <w:r w:rsidR="00B85822">
        <w:t>as soon as practicable and</w:t>
      </w:r>
      <w:r w:rsidR="00A338A8">
        <w:t xml:space="preserve"> before the Commission’s determination on the amount just and reasonable, and to collect the remainder after that determination. PG&amp;E </w:t>
      </w:r>
      <w:r w:rsidR="00B85822">
        <w:t>asserts</w:t>
      </w:r>
      <w:r w:rsidR="00A338A8">
        <w:t xml:space="preserve"> </w:t>
      </w:r>
      <w:r w:rsidR="00875356">
        <w:t>interim relief is appropriate and necessary because carrying the $2.49 billion of costs at issue until a final decision is issued undermines PG&amp;E’s financial health and the perception of California’</w:t>
      </w:r>
      <w:r w:rsidR="00BA5020">
        <w:t>s</w:t>
      </w:r>
      <w:r w:rsidR="00875356">
        <w:t xml:space="preserve"> regulatory environment and </w:t>
      </w:r>
      <w:r w:rsidR="00BA5020">
        <w:t xml:space="preserve">that </w:t>
      </w:r>
      <w:r w:rsidR="00875356">
        <w:t>these conditions harm customers.</w:t>
      </w:r>
      <w:r w:rsidR="00875356">
        <w:rPr>
          <w:rStyle w:val="FootnoteReference"/>
        </w:rPr>
        <w:footnoteReference w:id="29"/>
      </w:r>
      <w:r w:rsidR="00875356">
        <w:t xml:space="preserve"> PG&amp;E asserts </w:t>
      </w:r>
      <w:r w:rsidR="00A338A8">
        <w:t xml:space="preserve">85 percent of </w:t>
      </w:r>
      <w:r w:rsidR="00137BCA">
        <w:t>$688 million</w:t>
      </w:r>
      <w:r w:rsidR="00947F21">
        <w:t>,</w:t>
      </w:r>
      <w:r w:rsidR="00A338A8">
        <w:t xml:space="preserve"> or $583 million</w:t>
      </w:r>
      <w:r w:rsidR="00947F21">
        <w:t>,</w:t>
      </w:r>
      <w:r w:rsidR="00B77959">
        <w:t xml:space="preserve"> is an appropriate amount for interim relief</w:t>
      </w:r>
      <w:r w:rsidR="00A338A8">
        <w:t xml:space="preserve"> because “it represents a </w:t>
      </w:r>
      <w:r w:rsidR="00A338A8">
        <w:lastRenderedPageBreak/>
        <w:t>substantial reduction that acknowledges anticipated intervenor positions in prior proceedings regarding wildfire mitigation costs.”</w:t>
      </w:r>
      <w:r w:rsidR="00A338A8">
        <w:rPr>
          <w:rStyle w:val="FootnoteReference"/>
        </w:rPr>
        <w:footnoteReference w:id="30"/>
      </w:r>
      <w:r w:rsidR="00B77959">
        <w:t xml:space="preserve"> </w:t>
      </w:r>
      <w:r w:rsidR="00137BCA">
        <w:t>PG&amp;E would</w:t>
      </w:r>
      <w:r w:rsidR="00947F21">
        <w:t xml:space="preserve"> thus</w:t>
      </w:r>
      <w:r w:rsidR="00137BCA">
        <w:t xml:space="preserve"> commence cost recovery of $583 million, plus $48 million in interest, in November 2023 over twelve months.</w:t>
      </w:r>
      <w:r w:rsidR="00137BCA">
        <w:rPr>
          <w:rStyle w:val="FootnoteReference"/>
        </w:rPr>
        <w:footnoteReference w:id="31"/>
      </w:r>
      <w:r w:rsidR="00137BCA">
        <w:t xml:space="preserve"> </w:t>
      </w:r>
      <w:r w:rsidR="00B77959">
        <w:t xml:space="preserve">PG&amp;E </w:t>
      </w:r>
      <w:r w:rsidR="00947F21">
        <w:t>proposal for</w:t>
      </w:r>
      <w:r w:rsidR="00B77959">
        <w:t xml:space="preserve"> rate mechanisms, revenue allocation and rate design </w:t>
      </w:r>
      <w:r w:rsidR="000A6A0B">
        <w:t>is the same regardless of</w:t>
      </w:r>
      <w:r w:rsidR="00947F21">
        <w:t xml:space="preserve"> interim relief and is the same as that </w:t>
      </w:r>
      <w:r w:rsidR="00B77959">
        <w:t>in effect for revenues approved in its 2020 GRC.</w:t>
      </w:r>
      <w:r w:rsidR="000A6A0B">
        <w:rPr>
          <w:rStyle w:val="FootnoteReference"/>
        </w:rPr>
        <w:footnoteReference w:id="32"/>
      </w:r>
    </w:p>
    <w:p w:rsidR="008C4BBE" w:rsidP="00137BCA" w:rsidRDefault="00B77959" w14:paraId="20579D2C" w14:textId="1C2ED888">
      <w:pPr>
        <w:pStyle w:val="Standard"/>
      </w:pPr>
      <w:r>
        <w:t>The timing of collection has cost consequences due to the time value of money</w:t>
      </w:r>
      <w:r w:rsidR="00DB2375">
        <w:t xml:space="preserve">, which motivates PG&amp;E’s request for interim relief. When funding is delayed, or when more funding than ultimately justified is collected, the reconciliation accounts not only for the difference, but also applies interest </w:t>
      </w:r>
      <w:r>
        <w:t xml:space="preserve">on the amount, to compensate for the value </w:t>
      </w:r>
      <w:r w:rsidR="00DB2375">
        <w:t>the money</w:t>
      </w:r>
      <w:r>
        <w:t xml:space="preserve"> during the time </w:t>
      </w:r>
      <w:r w:rsidR="00DB7019">
        <w:t>of the undercollection or overcollection</w:t>
      </w:r>
      <w:r>
        <w:t>.</w:t>
      </w:r>
      <w:r w:rsidR="00DB2375">
        <w:t xml:space="preserve"> </w:t>
      </w:r>
    </w:p>
    <w:p w:rsidR="00987315" w:rsidP="007E19E8" w:rsidRDefault="00403225" w14:paraId="40DC190D" w14:textId="75617040">
      <w:pPr>
        <w:pStyle w:val="Heading1"/>
      </w:pPr>
      <w:bookmarkStart w:name="_Toc157549684" w:id="16"/>
      <w:r>
        <w:t>Standard of Review</w:t>
      </w:r>
      <w:bookmarkEnd w:id="16"/>
    </w:p>
    <w:p w:rsidR="00987315" w:rsidP="00987315" w:rsidRDefault="00987315" w14:paraId="56B9D546" w14:textId="0C48C3BF">
      <w:pPr>
        <w:pStyle w:val="Standard"/>
        <w:rPr>
          <w:szCs w:val="26"/>
        </w:rPr>
      </w:pPr>
      <w:r>
        <w:rPr>
          <w:szCs w:val="26"/>
        </w:rPr>
        <w:t xml:space="preserve">The Commission is charged with the responsibility of ensuring that all rates </w:t>
      </w:r>
      <w:r w:rsidRPr="00F55E79">
        <w:rPr>
          <w:szCs w:val="26"/>
        </w:rPr>
        <w:t>demanded or received by a public utility are just and reasonable.</w:t>
      </w:r>
      <w:r>
        <w:rPr>
          <w:rStyle w:val="FootnoteReference"/>
          <w:szCs w:val="26"/>
        </w:rPr>
        <w:footnoteReference w:id="33"/>
      </w:r>
      <w:r>
        <w:rPr>
          <w:szCs w:val="26"/>
        </w:rPr>
        <w:t xml:space="preserve"> In ratemaking applications, the burden of proof is on the applicant utility.</w:t>
      </w:r>
      <w:r>
        <w:rPr>
          <w:rStyle w:val="FootnoteReference"/>
          <w:szCs w:val="26"/>
        </w:rPr>
        <w:footnoteReference w:id="34"/>
      </w:r>
    </w:p>
    <w:p w:rsidR="00987315" w:rsidP="00987315" w:rsidRDefault="00987315" w14:paraId="3237B832" w14:textId="40503FA1">
      <w:pPr>
        <w:pStyle w:val="Standard"/>
      </w:pPr>
      <w:r w:rsidRPr="00F90630">
        <w:lastRenderedPageBreak/>
        <w:t xml:space="preserve">The California Supreme Court </w:t>
      </w:r>
      <w:r w:rsidR="00610CD9">
        <w:t>reiterated</w:t>
      </w:r>
      <w:r w:rsidRPr="00F90630">
        <w:t xml:space="preserve"> the Commission’s power to grant rate increases prior to a final Commission determination</w:t>
      </w:r>
      <w:r w:rsidR="00B346D0">
        <w:t xml:space="preserve"> </w:t>
      </w:r>
      <w:r w:rsidRPr="00F90630">
        <w:t xml:space="preserve">whether the costs were just and reasonable in </w:t>
      </w:r>
      <w:r w:rsidRPr="00F90630">
        <w:rPr>
          <w:i/>
          <w:iCs/>
        </w:rPr>
        <w:t>Toward Utility Rate Normalization v. Public Utilities Commission (TURN v. PUC)</w:t>
      </w:r>
      <w:r w:rsidRPr="00F90630">
        <w:t>.</w:t>
      </w:r>
      <w:r w:rsidRPr="00F90630" w:rsidR="009B47DC">
        <w:rPr>
          <w:vertAlign w:val="superscript"/>
        </w:rPr>
        <w:footnoteReference w:id="35"/>
      </w:r>
      <w:r w:rsidRPr="00F90630">
        <w:t xml:space="preserve"> In </w:t>
      </w:r>
      <w:r w:rsidRPr="00F90630">
        <w:rPr>
          <w:i/>
          <w:iCs/>
        </w:rPr>
        <w:t>TURN v. PUC</w:t>
      </w:r>
      <w:r w:rsidRPr="00F90630">
        <w:t xml:space="preserve">, the Court characterized the Commission’s grant of interim relief </w:t>
      </w:r>
      <w:r w:rsidR="00B346D0">
        <w:t xml:space="preserve">as </w:t>
      </w:r>
      <w:r w:rsidRPr="00F90630">
        <w:t xml:space="preserve">consistent with </w:t>
      </w:r>
      <w:r>
        <w:t>Pu</w:t>
      </w:r>
      <w:r w:rsidR="00B346D0">
        <w:t>b.</w:t>
      </w:r>
      <w:r>
        <w:t xml:space="preserve"> Util</w:t>
      </w:r>
      <w:r w:rsidR="00B346D0">
        <w:t>.</w:t>
      </w:r>
      <w:r>
        <w:t xml:space="preserve"> Code </w:t>
      </w:r>
      <w:r w:rsidRPr="00F90630">
        <w:t>Section</w:t>
      </w:r>
      <w:r>
        <w:t> </w:t>
      </w:r>
      <w:r w:rsidRPr="00F90630">
        <w:t>451, “if the facts warrant such summary relief,”</w:t>
      </w:r>
      <w:r w:rsidRPr="00F90630">
        <w:rPr>
          <w:vertAlign w:val="superscript"/>
        </w:rPr>
        <w:footnoteReference w:id="36"/>
      </w:r>
      <w:r w:rsidRPr="00F90630">
        <w:t xml:space="preserve"> and describe</w:t>
      </w:r>
      <w:r>
        <w:t xml:space="preserve">d such </w:t>
      </w:r>
      <w:r w:rsidRPr="00F90630">
        <w:t xml:space="preserve">facts as a </w:t>
      </w:r>
      <w:r>
        <w:t>situation</w:t>
      </w:r>
      <w:r w:rsidRPr="00F90630">
        <w:t xml:space="preserve"> </w:t>
      </w:r>
      <w:r>
        <w:t>“</w:t>
      </w:r>
      <w:r w:rsidRPr="00F90630">
        <w:t>in which fairness to both the utility and the public required immediate action.”</w:t>
      </w:r>
      <w:r w:rsidRPr="00F90630">
        <w:rPr>
          <w:vertAlign w:val="superscript"/>
        </w:rPr>
        <w:footnoteReference w:id="37"/>
      </w:r>
      <w:r w:rsidRPr="00F90630">
        <w:t xml:space="preserve">  </w:t>
      </w:r>
    </w:p>
    <w:p w:rsidR="00987315" w:rsidP="00987315" w:rsidRDefault="00987315" w14:paraId="1EA220DF" w14:textId="2FD133B5">
      <w:pPr>
        <w:pStyle w:val="Standard"/>
      </w:pPr>
      <w:r w:rsidRPr="00F90630">
        <w:t xml:space="preserve">In </w:t>
      </w:r>
      <w:r w:rsidR="005B3C9D">
        <w:t>determining whether to grant a motion for interim rate relief</w:t>
      </w:r>
      <w:r w:rsidRPr="00F90630">
        <w:t xml:space="preserve">, the Commission has applied as relevant </w:t>
      </w:r>
      <w:r>
        <w:t xml:space="preserve">factors </w:t>
      </w:r>
      <w:r w:rsidRPr="00F90630">
        <w:t>fairness to both the utility and public;</w:t>
      </w:r>
      <w:r w:rsidRPr="00F90630">
        <w:rPr>
          <w:vertAlign w:val="superscript"/>
        </w:rPr>
        <w:footnoteReference w:id="38"/>
      </w:r>
      <w:r w:rsidRPr="00F90630">
        <w:t xml:space="preserve"> the public interest;</w:t>
      </w:r>
      <w:r w:rsidRPr="00F90630">
        <w:rPr>
          <w:vertAlign w:val="superscript"/>
        </w:rPr>
        <w:footnoteReference w:id="39"/>
      </w:r>
      <w:r w:rsidRPr="00F90630">
        <w:t xml:space="preserve"> reducing the potential for rate shock;</w:t>
      </w:r>
      <w:r w:rsidRPr="00F90630">
        <w:rPr>
          <w:vertAlign w:val="superscript"/>
        </w:rPr>
        <w:footnoteReference w:id="40"/>
      </w:r>
      <w:r w:rsidRPr="00F90630">
        <w:t xml:space="preserve"> intergenerational equity</w:t>
      </w:r>
      <w:r>
        <w:t>;</w:t>
      </w:r>
      <w:r w:rsidRPr="000F7955" w:rsidR="000F7955">
        <w:rPr>
          <w:rStyle w:val="FootnoteReference"/>
        </w:rPr>
        <w:t xml:space="preserve"> </w:t>
      </w:r>
      <w:r w:rsidR="000F7955">
        <w:rPr>
          <w:rStyle w:val="FootnoteReference"/>
        </w:rPr>
        <w:footnoteReference w:id="41"/>
      </w:r>
      <w:r w:rsidRPr="00F90630">
        <w:t xml:space="preserve"> preserving the financial integrity of a utility,</w:t>
      </w:r>
      <w:r>
        <w:rPr>
          <w:rStyle w:val="FootnoteReference"/>
        </w:rPr>
        <w:footnoteReference w:id="42"/>
      </w:r>
      <w:r w:rsidRPr="00F90630">
        <w:t xml:space="preserve"> minimizing costs incurred by ratepayers,</w:t>
      </w:r>
      <w:r w:rsidRPr="000F7955" w:rsidR="000F7955">
        <w:rPr>
          <w:rStyle w:val="FootnoteReference"/>
        </w:rPr>
        <w:t xml:space="preserve"> </w:t>
      </w:r>
      <w:r w:rsidR="000F7955">
        <w:rPr>
          <w:rStyle w:val="FootnoteReference"/>
        </w:rPr>
        <w:footnoteReference w:id="43"/>
      </w:r>
      <w:r w:rsidRPr="00F90630">
        <w:t xml:space="preserve"> and ensuring rate stability.</w:t>
      </w:r>
      <w:r w:rsidRPr="00F90630">
        <w:rPr>
          <w:vertAlign w:val="superscript"/>
        </w:rPr>
        <w:footnoteReference w:id="44"/>
      </w:r>
    </w:p>
    <w:p w:rsidR="005A148C" w:rsidP="00CA16EB" w:rsidRDefault="00C06ABF" w14:paraId="5DD6B14A" w14:textId="07B97B34">
      <w:pPr>
        <w:pStyle w:val="Heading1"/>
        <w:numPr>
          <w:ilvl w:val="0"/>
          <w:numId w:val="1"/>
        </w:numPr>
      </w:pPr>
      <w:bookmarkStart w:name="_Toc157549685" w:id="17"/>
      <w:r>
        <w:lastRenderedPageBreak/>
        <w:t>Summary of Positions</w:t>
      </w:r>
      <w:bookmarkEnd w:id="17"/>
    </w:p>
    <w:p w:rsidRPr="00D77395" w:rsidR="00D77395" w:rsidP="00CA16EB" w:rsidRDefault="00D77395" w14:paraId="2A2DA817" w14:textId="79754552">
      <w:pPr>
        <w:pStyle w:val="Heading2"/>
        <w:numPr>
          <w:ilvl w:val="1"/>
          <w:numId w:val="1"/>
        </w:numPr>
      </w:pPr>
      <w:bookmarkStart w:name="_Toc157549686" w:id="18"/>
      <w:r>
        <w:t>PG&amp;E</w:t>
      </w:r>
      <w:bookmarkEnd w:id="18"/>
    </w:p>
    <w:p w:rsidR="002375CE" w:rsidP="002375CE" w:rsidRDefault="00D77395" w14:paraId="5283CB00" w14:textId="035A00BA">
      <w:pPr>
        <w:pStyle w:val="Standard"/>
      </w:pPr>
      <w:r>
        <w:t xml:space="preserve">PG&amp;E asserts it is in the interest of both the company and its customers to grant interim relief as proposed. PG&amp;E </w:t>
      </w:r>
      <w:r w:rsidR="002375CE">
        <w:t>claims</w:t>
      </w:r>
      <w:r w:rsidR="007A55CF">
        <w:t xml:space="preserve"> </w:t>
      </w:r>
      <w:r w:rsidR="00F42226">
        <w:t>granting the relief as proposed is reasonable in light of PG&amp;E financial constraints</w:t>
      </w:r>
      <w:r w:rsidR="001E1B60">
        <w:t>. PG&amp;E also asserts interim relief</w:t>
      </w:r>
      <w:r w:rsidR="00F42226">
        <w:t xml:space="preserve"> will benefit customers through 1) reduced interest costs</w:t>
      </w:r>
      <w:r w:rsidR="00137BCA">
        <w:t xml:space="preserve"> and indirect credit metric impact</w:t>
      </w:r>
      <w:r w:rsidR="00301082">
        <w:t>s</w:t>
      </w:r>
      <w:r w:rsidR="00137BCA">
        <w:t>,</w:t>
      </w:r>
      <w:r w:rsidR="00137BCA">
        <w:rPr>
          <w:rStyle w:val="FootnoteReference"/>
        </w:rPr>
        <w:footnoteReference w:id="45"/>
      </w:r>
      <w:r w:rsidR="00137BCA">
        <w:t xml:space="preserve"> 2) </w:t>
      </w:r>
      <w:r w:rsidR="00301082">
        <w:t xml:space="preserve">improved </w:t>
      </w:r>
      <w:r w:rsidR="00137BCA">
        <w:t>rate stability,</w:t>
      </w:r>
      <w:r w:rsidR="00C0184E">
        <w:rPr>
          <w:rStyle w:val="FootnoteReference"/>
        </w:rPr>
        <w:footnoteReference w:id="46"/>
      </w:r>
      <w:r w:rsidR="00137BCA">
        <w:t xml:space="preserve"> and 3) rate equity.</w:t>
      </w:r>
      <w:r w:rsidR="00E8714A">
        <w:rPr>
          <w:rStyle w:val="FootnoteReference"/>
        </w:rPr>
        <w:footnoteReference w:id="47"/>
      </w:r>
      <w:r w:rsidR="00F42226">
        <w:t xml:space="preserve"> Finally, PG&amp;E argues granting relief is consistent with recent Commission decisions approving interim cost recovery under similar circumstances.</w:t>
      </w:r>
      <w:r w:rsidR="00F42226">
        <w:rPr>
          <w:rStyle w:val="FootnoteReference"/>
        </w:rPr>
        <w:footnoteReference w:id="48"/>
      </w:r>
    </w:p>
    <w:p w:rsidR="00E45B16" w:rsidP="002375CE" w:rsidRDefault="00E45B16" w14:paraId="339156B6" w14:textId="6F390F20">
      <w:pPr>
        <w:pStyle w:val="Standard"/>
      </w:pPr>
      <w:r>
        <w:t>PG&amp;E estimates that had its request been authorized and implemented on November 1, 2023</w:t>
      </w:r>
      <w:r w:rsidR="00035F8F">
        <w:t>,</w:t>
      </w:r>
      <w:r>
        <w:t xml:space="preserve"> as proposed, customers would have directly saved $25 million</w:t>
      </w:r>
      <w:r w:rsidR="00671DD5">
        <w:t xml:space="preserve"> in interest costs on its undercollected revenues</w:t>
      </w:r>
      <w:r>
        <w:t>.</w:t>
      </w:r>
      <w:r>
        <w:rPr>
          <w:rStyle w:val="FootnoteReference"/>
        </w:rPr>
        <w:footnoteReference w:id="49"/>
      </w:r>
    </w:p>
    <w:p w:rsidR="00D77395" w:rsidP="00CA16EB" w:rsidRDefault="00F46621" w14:paraId="770A8C7E" w14:textId="32BD006A">
      <w:pPr>
        <w:pStyle w:val="Heading2"/>
        <w:numPr>
          <w:ilvl w:val="1"/>
          <w:numId w:val="1"/>
        </w:numPr>
      </w:pPr>
      <w:bookmarkStart w:name="_Toc157549687" w:id="19"/>
      <w:r>
        <w:t>Cal Advocates</w:t>
      </w:r>
      <w:bookmarkEnd w:id="19"/>
    </w:p>
    <w:p w:rsidR="00F46621" w:rsidP="00346DB4" w:rsidRDefault="00F46621" w14:paraId="2BB041AC" w14:textId="6D08E473">
      <w:pPr>
        <w:pStyle w:val="Standard"/>
      </w:pPr>
      <w:r>
        <w:t>Cal Advocates</w:t>
      </w:r>
      <w:r w:rsidR="002A2B48">
        <w:t xml:space="preserve"> oppose</w:t>
      </w:r>
      <w:r w:rsidR="003601AC">
        <w:t>s</w:t>
      </w:r>
      <w:r w:rsidR="002A2B48">
        <w:t xml:space="preserve"> </w:t>
      </w:r>
      <w:r>
        <w:t xml:space="preserve">the amount proposed by PG&amp;E for </w:t>
      </w:r>
      <w:r w:rsidR="002A2B48">
        <w:t>interim cost recovery</w:t>
      </w:r>
      <w:r>
        <w:t xml:space="preserve">. Cal Advocates recommends that the Commission grant interim cost recovery of $378.4 million, corresponding to 55 percent of the total requested $688 million revenue requirement, instead of $583 million, 85 percent of the total </w:t>
      </w:r>
      <w:r w:rsidR="00850064">
        <w:t xml:space="preserve">requested </w:t>
      </w:r>
      <w:r>
        <w:t>revenue require</w:t>
      </w:r>
      <w:r w:rsidR="001A1196">
        <w:t>ment.</w:t>
      </w:r>
      <w:r w:rsidR="002A2B48">
        <w:t xml:space="preserve"> </w:t>
      </w:r>
      <w:r w:rsidRPr="00F0641E" w:rsidR="00BE26A5">
        <w:t xml:space="preserve">Cal Advocates recommends an alternative interim cost recovery schedule based on the Commission’s grant </w:t>
      </w:r>
      <w:r w:rsidR="00E90953">
        <w:t>of</w:t>
      </w:r>
      <w:r w:rsidRPr="00F0641E" w:rsidR="00BE26A5">
        <w:t xml:space="preserve"> interim rates associated with PG&amp;E</w:t>
      </w:r>
      <w:r w:rsidR="00BE26A5">
        <w:t>’s</w:t>
      </w:r>
      <w:r w:rsidRPr="00F0641E" w:rsidR="00BE26A5">
        <w:t xml:space="preserve"> 2020 W</w:t>
      </w:r>
      <w:r w:rsidR="00E75BD4">
        <w:t xml:space="preserve">ildfire </w:t>
      </w:r>
      <w:r w:rsidRPr="00F0641E" w:rsidR="00BE26A5">
        <w:t>M</w:t>
      </w:r>
      <w:r w:rsidR="00E75BD4">
        <w:t xml:space="preserve">itigation </w:t>
      </w:r>
      <w:r w:rsidRPr="00F0641E" w:rsidR="00BE26A5">
        <w:t>C</w:t>
      </w:r>
      <w:r w:rsidR="00E75BD4">
        <w:t xml:space="preserve">atastrophic </w:t>
      </w:r>
      <w:r w:rsidRPr="00F0641E" w:rsidR="00BE26A5">
        <w:t>E</w:t>
      </w:r>
      <w:r w:rsidR="00E75BD4">
        <w:t>vent (WMCE)</w:t>
      </w:r>
      <w:r w:rsidRPr="00F0641E" w:rsidR="00BE26A5">
        <w:t xml:space="preserve"> applica</w:t>
      </w:r>
      <w:r w:rsidR="000924E9">
        <w:t>tion for interim relief approved by</w:t>
      </w:r>
      <w:r w:rsidRPr="00F0641E" w:rsidR="00BE26A5">
        <w:t xml:space="preserve"> D.20-10-026. </w:t>
      </w:r>
      <w:r w:rsidR="00BE26A5">
        <w:t xml:space="preserve">Cal Advocates believes </w:t>
      </w:r>
      <w:r w:rsidR="00BE26A5">
        <w:lastRenderedPageBreak/>
        <w:t>the</w:t>
      </w:r>
      <w:r w:rsidR="00DF4BEE">
        <w:t xml:space="preserve"> Commission’s D.20-10-026 approving 55 percent for interim cost recovery is </w:t>
      </w:r>
      <w:r w:rsidR="00F4417C">
        <w:t>more applicable than the</w:t>
      </w:r>
      <w:r w:rsidR="00DF4BEE">
        <w:t xml:space="preserve"> 85 percent approved by the Commission in D.23-06-004</w:t>
      </w:r>
      <w:r w:rsidR="00B6745C">
        <w:t>, and has “the benefit of a fully brief</w:t>
      </w:r>
      <w:r w:rsidR="006B1923">
        <w:t>ed</w:t>
      </w:r>
      <w:r w:rsidR="00B6745C">
        <w:t xml:space="preserve"> application, rather than in response to a motion such as this one (citing PG&amp;E Motion filed in A.22-12-009) or ruling seeking comments (citing ALJ Ruling Seeking Comments in A.22-12-009).”</w:t>
      </w:r>
      <w:r w:rsidR="00B6745C">
        <w:rPr>
          <w:rStyle w:val="FootnoteReference"/>
        </w:rPr>
        <w:footnoteReference w:id="50"/>
      </w:r>
      <w:r w:rsidRPr="00BE26A5" w:rsidR="00BE26A5">
        <w:t xml:space="preserve"> </w:t>
      </w:r>
      <w:r w:rsidR="00BE26A5">
        <w:t xml:space="preserve">Cal Advocates </w:t>
      </w:r>
      <w:r w:rsidR="00501796">
        <w:t>states interim relief generally is</w:t>
      </w:r>
      <w:r w:rsidR="00BE26A5">
        <w:t xml:space="preserve"> justified because </w:t>
      </w:r>
      <w:r w:rsidR="00F52C33">
        <w:t xml:space="preserve">Commission authorization </w:t>
      </w:r>
      <w:r w:rsidR="00CD7627">
        <w:t>of the</w:t>
      </w:r>
      <w:r w:rsidR="00ED2E14">
        <w:t xml:space="preserve"> subject memorandum and balancing accounts</w:t>
      </w:r>
      <w:r w:rsidR="00F52C33">
        <w:t xml:space="preserve"> is an indicator that some costs will be approved.</w:t>
      </w:r>
      <w:r w:rsidR="00B6745C">
        <w:rPr>
          <w:rStyle w:val="FootnoteReference"/>
        </w:rPr>
        <w:footnoteReference w:id="51"/>
      </w:r>
    </w:p>
    <w:p w:rsidR="00F46621" w:rsidP="00F46621" w:rsidRDefault="00F46621" w14:paraId="1D059013" w14:textId="344069CA">
      <w:pPr>
        <w:pStyle w:val="Heading2"/>
      </w:pPr>
      <w:bookmarkStart w:name="_Toc157549688" w:id="20"/>
      <w:r>
        <w:t>TURN</w:t>
      </w:r>
      <w:bookmarkEnd w:id="20"/>
    </w:p>
    <w:p w:rsidR="00481F1A" w:rsidP="00346DB4" w:rsidRDefault="00DF4BEE" w14:paraId="249DCE2B" w14:textId="197B9D3D">
      <w:pPr>
        <w:pStyle w:val="Standard"/>
      </w:pPr>
      <w:r>
        <w:t xml:space="preserve">TURN opposes interim cost recovery entirely, arguing 1) interim cost recovery will exacerbate rate </w:t>
      </w:r>
      <w:r w:rsidR="00137BCA">
        <w:t>shock and decrease rate stability, 2) PG&amp;E fails to make a convincing case that interim cost recovery will alleviate its financial condition or that it is necessary to prevent financial harm, 3)</w:t>
      </w:r>
      <w:r>
        <w:t xml:space="preserve"> it is legally improper to consider the potential for costs savings from interest, given that only interest on costs ultimately determined reasonable will be eligible for recovery, </w:t>
      </w:r>
      <w:r w:rsidR="00D14755">
        <w:t xml:space="preserve">thereby </w:t>
      </w:r>
      <w:r>
        <w:t xml:space="preserve">making estimates of cost savings subject to an unknown, and 4) PG&amp;E ignores the significant relief on the horizon once the Commission determines 2023 GRC rates, which will adequately address all the needs on which PG&amp;E’s request is premised. </w:t>
      </w:r>
    </w:p>
    <w:p w:rsidR="002E33B7" w:rsidP="00346DB4" w:rsidRDefault="00A77C00" w14:paraId="587A3F6D" w14:textId="75D8FCE7">
      <w:pPr>
        <w:pStyle w:val="Standard"/>
      </w:pPr>
      <w:r>
        <w:t>TURN also identifies that PG&amp;E prematurely includes in rate base its capital costs requested for recovery in this A.23-06-008 in A.21-06-021, PG&amp;E’s 2023 G</w:t>
      </w:r>
      <w:r w:rsidR="00481F1A">
        <w:t>RC</w:t>
      </w:r>
      <w:r>
        <w:t>.</w:t>
      </w:r>
      <w:r w:rsidR="00C95B73">
        <w:rPr>
          <w:rStyle w:val="FootnoteReference"/>
        </w:rPr>
        <w:footnoteReference w:id="52"/>
      </w:r>
      <w:r>
        <w:t xml:space="preserve"> PG&amp;E subsequently confirmed thi</w:t>
      </w:r>
      <w:r w:rsidR="00481F1A">
        <w:t xml:space="preserve">s as true in its Reply dated July 27, </w:t>
      </w:r>
      <w:r w:rsidR="00481F1A">
        <w:lastRenderedPageBreak/>
        <w:t>2023</w:t>
      </w:r>
      <w:r>
        <w:t xml:space="preserve">. </w:t>
      </w:r>
      <w:r w:rsidR="00481F1A">
        <w:t>In approving PG&amp;E’s GRC in</w:t>
      </w:r>
      <w:r>
        <w:t xml:space="preserve"> D.23-11-096</w:t>
      </w:r>
      <w:r w:rsidR="00481F1A">
        <w:t xml:space="preserve">, the Commission directed </w:t>
      </w:r>
      <w:r>
        <w:t>PG&amp;E</w:t>
      </w:r>
      <w:r w:rsidR="005D1705">
        <w:t xml:space="preserve"> to</w:t>
      </w:r>
      <w:r>
        <w:t xml:space="preserve"> </w:t>
      </w:r>
      <w:r w:rsidR="00481F1A">
        <w:t>deduct from rate base</w:t>
      </w:r>
      <w:r>
        <w:t xml:space="preserve"> the </w:t>
      </w:r>
      <w:r w:rsidR="00481F1A">
        <w:t xml:space="preserve">revenue associated with the capital costs </w:t>
      </w:r>
      <w:r>
        <w:t>at issue in this A.23-06-008</w:t>
      </w:r>
      <w:r w:rsidR="00481F1A">
        <w:t>, making this problem moot.</w:t>
      </w:r>
      <w:r w:rsidR="00481F1A">
        <w:rPr>
          <w:rStyle w:val="FootnoteReference"/>
        </w:rPr>
        <w:footnoteReference w:id="53"/>
      </w:r>
      <w:r>
        <w:t xml:space="preserve"> </w:t>
      </w:r>
    </w:p>
    <w:p w:rsidR="00C06ABF" w:rsidP="00C06ABF" w:rsidRDefault="00C06ABF" w14:paraId="18786745" w14:textId="195A3AA3">
      <w:pPr>
        <w:pStyle w:val="Heading2"/>
        <w:numPr>
          <w:ilvl w:val="1"/>
          <w:numId w:val="1"/>
        </w:numPr>
      </w:pPr>
      <w:bookmarkStart w:name="_Toc157549689" w:id="21"/>
      <w:r>
        <w:t>Comparison of Impacts</w:t>
      </w:r>
      <w:bookmarkEnd w:id="21"/>
    </w:p>
    <w:p w:rsidR="00CA0F6C" w:rsidP="00CA0F6C" w:rsidRDefault="00C06ABF" w14:paraId="6F2123E7" w14:textId="1099692E">
      <w:pPr>
        <w:pStyle w:val="Standard"/>
      </w:pPr>
      <w:r>
        <w:t>PG&amp;E presented only one timing proposal for collection in its Motion</w:t>
      </w:r>
      <w:r w:rsidR="005C4F99">
        <w:t>;</w:t>
      </w:r>
      <w:r>
        <w:t xml:space="preserve"> commenc</w:t>
      </w:r>
      <w:r w:rsidR="005C4F99">
        <w:t>ing</w:t>
      </w:r>
      <w:r>
        <w:t xml:space="preserve"> collection of $58</w:t>
      </w:r>
      <w:r w:rsidR="00CA0F6C">
        <w:t>3 million, plus $48 million in interest</w:t>
      </w:r>
      <w:r w:rsidR="00906336">
        <w:t>, in November 2023 and continuing over a 12-month period</w:t>
      </w:r>
      <w:r w:rsidR="00CA0F6C">
        <w:t xml:space="preserve">. </w:t>
      </w:r>
    </w:p>
    <w:p w:rsidR="00CA0F6C" w:rsidP="00CA0F6C" w:rsidRDefault="00CA0F6C" w14:paraId="0CE8052F" w14:textId="2DD7957D">
      <w:pPr>
        <w:pStyle w:val="Standard"/>
      </w:pPr>
      <w:r>
        <w:t>Parties and the Commission asked PG&amp;E to compare its proposal to alternative</w:t>
      </w:r>
      <w:r w:rsidR="0018638E">
        <w:t>s</w:t>
      </w:r>
      <w:r w:rsidR="009F215F">
        <w:t xml:space="preserve">. Table 1 below shows different scenarios for </w:t>
      </w:r>
      <w:r w:rsidR="00BB59F7">
        <w:t>cost recovery,</w:t>
      </w:r>
      <w:r w:rsidR="009F215F">
        <w:t xml:space="preserve"> the time period, and date when collection would commence.</w:t>
      </w:r>
    </w:p>
    <w:p w:rsidR="00FD43E4" w:rsidRDefault="00FD43E4" w14:paraId="29EA4408" w14:textId="77777777">
      <w:pPr>
        <w:spacing w:after="160" w:line="259" w:lineRule="auto"/>
        <w:ind w:firstLine="0"/>
        <w:rPr>
          <w:b/>
          <w:bCs/>
        </w:rPr>
      </w:pPr>
      <w:r>
        <w:rPr>
          <w:b/>
          <w:bCs/>
        </w:rPr>
        <w:br w:type="page"/>
      </w:r>
    </w:p>
    <w:p w:rsidR="00CA0F6C" w:rsidP="00CA0F6C" w:rsidRDefault="00CA0F6C" w14:paraId="0F5EF9DB" w14:textId="57747646">
      <w:pPr>
        <w:pStyle w:val="Standard"/>
        <w:spacing w:line="240" w:lineRule="auto"/>
        <w:ind w:firstLine="0"/>
        <w:jc w:val="center"/>
        <w:rPr>
          <w:b/>
          <w:bCs/>
        </w:rPr>
      </w:pPr>
      <w:r>
        <w:rPr>
          <w:b/>
          <w:bCs/>
        </w:rPr>
        <w:lastRenderedPageBreak/>
        <w:t>Table 1</w:t>
      </w:r>
    </w:p>
    <w:p w:rsidRPr="004C7359" w:rsidR="00CA0F6C" w:rsidP="00CA0F6C" w:rsidRDefault="00CA0F6C" w14:paraId="7C0AEFA2" w14:textId="771DD07D">
      <w:pPr>
        <w:pStyle w:val="Standard"/>
        <w:spacing w:line="240" w:lineRule="auto"/>
        <w:ind w:firstLine="0"/>
        <w:jc w:val="center"/>
        <w:rPr>
          <w:b/>
          <w:bCs/>
        </w:rPr>
      </w:pPr>
      <w:r w:rsidRPr="004C7359">
        <w:rPr>
          <w:b/>
          <w:bCs/>
        </w:rPr>
        <w:t xml:space="preserve">PG&amp;E </w:t>
      </w:r>
      <w:r w:rsidR="00BB59F7">
        <w:rPr>
          <w:b/>
          <w:bCs/>
        </w:rPr>
        <w:t>Cost Recovery Scenarios with and without Interim Relief</w:t>
      </w:r>
    </w:p>
    <w:tbl>
      <w:tblPr>
        <w:tblW w:w="9189" w:type="dxa"/>
        <w:tblInd w:w="10" w:type="dxa"/>
        <w:tblLayout w:type="fixed"/>
        <w:tblLook w:val="04A0" w:firstRow="1" w:lastRow="0" w:firstColumn="1" w:lastColumn="0" w:noHBand="0" w:noVBand="1"/>
      </w:tblPr>
      <w:tblGrid>
        <w:gridCol w:w="1250"/>
        <w:gridCol w:w="1800"/>
        <w:gridCol w:w="907"/>
        <w:gridCol w:w="1238"/>
        <w:gridCol w:w="1085"/>
        <w:gridCol w:w="1486"/>
        <w:gridCol w:w="1173"/>
        <w:gridCol w:w="236"/>
        <w:gridCol w:w="14"/>
      </w:tblGrid>
      <w:tr w:rsidRPr="00A57844" w:rsidR="0005765D" w:rsidTr="005C4F99" w14:paraId="42099F37" w14:textId="77777777">
        <w:trPr>
          <w:gridAfter w:val="2"/>
          <w:wAfter w:w="250" w:type="dxa"/>
          <w:trHeight w:val="900"/>
        </w:trPr>
        <w:tc>
          <w:tcPr>
            <w:tcW w:w="1250" w:type="dxa"/>
            <w:vMerge w:val="restart"/>
            <w:tcBorders>
              <w:top w:val="single" w:color="auto" w:sz="8" w:space="0"/>
              <w:left w:val="nil"/>
              <w:right w:val="nil"/>
            </w:tcBorders>
          </w:tcPr>
          <w:p w:rsidR="0005765D" w:rsidP="005C4F99" w:rsidRDefault="0005765D" w14:paraId="1CDF411E" w14:textId="77777777">
            <w:pPr>
              <w:spacing w:line="240" w:lineRule="auto"/>
              <w:ind w:firstLine="0"/>
              <w:jc w:val="center"/>
              <w:rPr>
                <w:rFonts w:ascii="Aptos Narrow" w:hAnsi="Aptos Narrow" w:eastAsia="Times New Roman" w:cs="Times New Roman"/>
                <w:color w:val="000000"/>
                <w:sz w:val="22"/>
              </w:rPr>
            </w:pPr>
          </w:p>
          <w:p w:rsidR="0005765D" w:rsidP="005C4F99" w:rsidRDefault="0005765D" w14:paraId="02AAA18A" w14:textId="77777777">
            <w:pPr>
              <w:spacing w:line="240" w:lineRule="auto"/>
              <w:ind w:firstLine="0"/>
              <w:jc w:val="center"/>
              <w:rPr>
                <w:rFonts w:ascii="Aptos Narrow" w:hAnsi="Aptos Narrow" w:eastAsia="Times New Roman" w:cs="Times New Roman"/>
                <w:color w:val="000000"/>
                <w:sz w:val="22"/>
              </w:rPr>
            </w:pPr>
          </w:p>
          <w:p w:rsidRPr="00A57844" w:rsidR="0005765D" w:rsidP="005C4F99" w:rsidRDefault="0005765D" w14:paraId="11C7A5F2" w14:textId="6864D4A3">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Scenar</w:t>
            </w:r>
            <w:r w:rsidR="00AE4009">
              <w:rPr>
                <w:rFonts w:ascii="Aptos Narrow" w:hAnsi="Aptos Narrow" w:eastAsia="Times New Roman" w:cs="Times New Roman"/>
                <w:color w:val="000000"/>
                <w:sz w:val="22"/>
              </w:rPr>
              <w:t>i</w:t>
            </w:r>
            <w:r w:rsidRPr="00A57844">
              <w:rPr>
                <w:rFonts w:ascii="Aptos Narrow" w:hAnsi="Aptos Narrow" w:eastAsia="Times New Roman" w:cs="Times New Roman"/>
                <w:color w:val="000000"/>
                <w:sz w:val="22"/>
              </w:rPr>
              <w:t>o</w:t>
            </w:r>
            <w:r w:rsidR="005C4F99">
              <w:rPr>
                <w:rFonts w:ascii="Aptos Narrow" w:hAnsi="Aptos Narrow" w:eastAsia="Times New Roman" w:cs="Times New Roman"/>
                <w:color w:val="000000"/>
                <w:sz w:val="22"/>
              </w:rPr>
              <w:t xml:space="preserve"> </w:t>
            </w:r>
            <w:r>
              <w:rPr>
                <w:rFonts w:ascii="Aptos Narrow" w:hAnsi="Aptos Narrow" w:eastAsia="Times New Roman" w:cs="Times New Roman"/>
                <w:color w:val="000000"/>
                <w:sz w:val="22"/>
              </w:rPr>
              <w:t>#</w:t>
            </w:r>
          </w:p>
        </w:tc>
        <w:tc>
          <w:tcPr>
            <w:tcW w:w="1800" w:type="dxa"/>
            <w:vMerge w:val="restart"/>
            <w:tcBorders>
              <w:top w:val="single" w:color="auto" w:sz="8" w:space="0"/>
              <w:left w:val="nil"/>
              <w:bottom w:val="single" w:color="000000" w:sz="8" w:space="0"/>
              <w:right w:val="nil"/>
            </w:tcBorders>
            <w:shd w:val="clear" w:color="auto" w:fill="auto"/>
            <w:vAlign w:val="center"/>
            <w:hideMark/>
          </w:tcPr>
          <w:p w:rsidRPr="00A57844" w:rsidR="0005765D" w:rsidP="005C4F99" w:rsidRDefault="0005765D" w14:paraId="46607186" w14:textId="446881B8">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Scenario</w:t>
            </w:r>
            <w:r w:rsidR="00AE4009">
              <w:rPr>
                <w:rFonts w:ascii="Aptos Narrow" w:hAnsi="Aptos Narrow" w:eastAsia="Times New Roman" w:cs="Times New Roman"/>
                <w:color w:val="000000"/>
                <w:sz w:val="22"/>
              </w:rPr>
              <w:t xml:space="preserve"> Description</w:t>
            </w:r>
          </w:p>
        </w:tc>
        <w:tc>
          <w:tcPr>
            <w:tcW w:w="907" w:type="dxa"/>
            <w:vMerge w:val="restart"/>
            <w:tcBorders>
              <w:top w:val="single" w:color="auto" w:sz="8" w:space="0"/>
              <w:left w:val="nil"/>
              <w:bottom w:val="single" w:color="000000" w:sz="8" w:space="0"/>
              <w:right w:val="nil"/>
            </w:tcBorders>
            <w:shd w:val="clear" w:color="auto" w:fill="auto"/>
            <w:vAlign w:val="center"/>
            <w:hideMark/>
          </w:tcPr>
          <w:p w:rsidRPr="00A57844" w:rsidR="0005765D" w:rsidP="005C4F99" w:rsidRDefault="0005765D" w14:paraId="7CF0093A" w14:textId="6988C111">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Percentage Collected of Total Request</w:t>
            </w:r>
          </w:p>
        </w:tc>
        <w:tc>
          <w:tcPr>
            <w:tcW w:w="1238" w:type="dxa"/>
            <w:vMerge w:val="restart"/>
            <w:tcBorders>
              <w:top w:val="single" w:color="auto" w:sz="8" w:space="0"/>
              <w:left w:val="nil"/>
              <w:bottom w:val="single" w:color="000000" w:sz="8" w:space="0"/>
              <w:right w:val="nil"/>
            </w:tcBorders>
            <w:shd w:val="clear" w:color="auto" w:fill="auto"/>
            <w:vAlign w:val="center"/>
            <w:hideMark/>
          </w:tcPr>
          <w:p w:rsidRPr="00A57844" w:rsidR="0005765D" w:rsidP="005C4F99" w:rsidRDefault="0005765D" w14:paraId="1F9EF753" w14:textId="3E639945">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Date Collection Begin</w:t>
            </w:r>
            <w:r w:rsidR="002855CA">
              <w:rPr>
                <w:rFonts w:ascii="Aptos Narrow" w:hAnsi="Aptos Narrow" w:eastAsia="Times New Roman" w:cs="Times New Roman"/>
                <w:color w:val="000000"/>
                <w:sz w:val="22"/>
              </w:rPr>
              <w:t>s</w:t>
            </w:r>
          </w:p>
        </w:tc>
        <w:tc>
          <w:tcPr>
            <w:tcW w:w="1085" w:type="dxa"/>
            <w:vMerge w:val="restart"/>
            <w:tcBorders>
              <w:top w:val="single" w:color="auto" w:sz="8" w:space="0"/>
              <w:left w:val="nil"/>
              <w:bottom w:val="single" w:color="000000" w:sz="8" w:space="0"/>
              <w:right w:val="nil"/>
            </w:tcBorders>
            <w:shd w:val="clear" w:color="auto" w:fill="auto"/>
            <w:vAlign w:val="center"/>
            <w:hideMark/>
          </w:tcPr>
          <w:p w:rsidRPr="00A57844" w:rsidR="0005765D" w:rsidP="005C4F99" w:rsidRDefault="00EB4FC0" w14:paraId="3082EB5E" w14:textId="6EF2CF11">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 xml:space="preserve">Collection </w:t>
            </w:r>
            <w:r w:rsidR="0005765D">
              <w:rPr>
                <w:rFonts w:ascii="Aptos Narrow" w:hAnsi="Aptos Narrow" w:eastAsia="Times New Roman" w:cs="Times New Roman"/>
                <w:color w:val="000000"/>
                <w:sz w:val="22"/>
              </w:rPr>
              <w:t>Time Period</w:t>
            </w:r>
          </w:p>
        </w:tc>
        <w:tc>
          <w:tcPr>
            <w:tcW w:w="1486" w:type="dxa"/>
            <w:vMerge w:val="restart"/>
            <w:tcBorders>
              <w:top w:val="single" w:color="auto" w:sz="8" w:space="0"/>
              <w:left w:val="nil"/>
              <w:right w:val="nil"/>
            </w:tcBorders>
          </w:tcPr>
          <w:p w:rsidR="0005765D" w:rsidP="005C4F99" w:rsidRDefault="0005765D" w14:paraId="4F9B2630" w14:textId="14439F21">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Rev Req Addition</w:t>
            </w:r>
            <w:r w:rsidR="00BB59F7">
              <w:rPr>
                <w:rFonts w:ascii="Aptos Narrow" w:hAnsi="Aptos Narrow" w:eastAsia="Times New Roman" w:cs="Times New Roman"/>
                <w:color w:val="000000"/>
                <w:sz w:val="22"/>
              </w:rPr>
              <w:t>, including Interest</w:t>
            </w:r>
          </w:p>
          <w:p w:rsidR="0005765D" w:rsidP="005C4F99" w:rsidRDefault="0005765D" w14:paraId="4460270E" w14:textId="09800F58">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 millions)</w:t>
            </w:r>
          </w:p>
        </w:tc>
        <w:tc>
          <w:tcPr>
            <w:tcW w:w="1173" w:type="dxa"/>
            <w:vMerge w:val="restart"/>
            <w:tcBorders>
              <w:top w:val="single" w:color="auto" w:sz="8" w:space="0"/>
              <w:left w:val="nil"/>
              <w:bottom w:val="single" w:color="000000" w:sz="8" w:space="0"/>
              <w:right w:val="nil"/>
            </w:tcBorders>
            <w:shd w:val="clear" w:color="auto" w:fill="auto"/>
            <w:vAlign w:val="center"/>
            <w:hideMark/>
          </w:tcPr>
          <w:p w:rsidR="0005765D" w:rsidP="005C4F99" w:rsidRDefault="0005765D" w14:paraId="0C524EB9" w14:textId="52EF60C4">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Interest Savings</w:t>
            </w:r>
          </w:p>
          <w:p w:rsidRPr="00A57844" w:rsidR="0005765D" w:rsidP="005C4F99" w:rsidRDefault="0005765D" w14:paraId="298C422D" w14:textId="583229A1">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 millions)</w:t>
            </w:r>
          </w:p>
        </w:tc>
      </w:tr>
      <w:tr w:rsidRPr="00A57844" w:rsidR="0005765D" w:rsidTr="005C4F99" w14:paraId="4167A62F" w14:textId="77777777">
        <w:trPr>
          <w:gridAfter w:val="1"/>
          <w:wAfter w:w="14" w:type="dxa"/>
          <w:trHeight w:val="330"/>
        </w:trPr>
        <w:tc>
          <w:tcPr>
            <w:tcW w:w="1250" w:type="dxa"/>
            <w:vMerge/>
            <w:tcBorders>
              <w:left w:val="nil"/>
              <w:bottom w:val="single" w:color="auto" w:sz="4" w:space="0"/>
              <w:right w:val="nil"/>
            </w:tcBorders>
          </w:tcPr>
          <w:p w:rsidRPr="00A57844" w:rsidR="0005765D" w:rsidP="005C4F99" w:rsidRDefault="0005765D" w14:paraId="38D02298" w14:textId="77777777">
            <w:pPr>
              <w:spacing w:line="240" w:lineRule="auto"/>
              <w:ind w:firstLine="0"/>
              <w:jc w:val="center"/>
              <w:rPr>
                <w:rFonts w:ascii="Aptos Narrow" w:hAnsi="Aptos Narrow" w:eastAsia="Times New Roman" w:cs="Times New Roman"/>
                <w:color w:val="000000"/>
                <w:sz w:val="22"/>
              </w:rPr>
            </w:pPr>
          </w:p>
        </w:tc>
        <w:tc>
          <w:tcPr>
            <w:tcW w:w="1800" w:type="dxa"/>
            <w:vMerge/>
            <w:tcBorders>
              <w:top w:val="single" w:color="auto" w:sz="8" w:space="0"/>
              <w:left w:val="nil"/>
              <w:bottom w:val="single" w:color="auto" w:sz="4" w:space="0"/>
              <w:right w:val="nil"/>
            </w:tcBorders>
            <w:vAlign w:val="center"/>
            <w:hideMark/>
          </w:tcPr>
          <w:p w:rsidRPr="00A57844" w:rsidR="0005765D" w:rsidP="005C4F99" w:rsidRDefault="0005765D" w14:paraId="2858BA27" w14:textId="3335FA4D">
            <w:pPr>
              <w:spacing w:line="240" w:lineRule="auto"/>
              <w:ind w:firstLine="0"/>
              <w:jc w:val="center"/>
              <w:rPr>
                <w:rFonts w:ascii="Aptos Narrow" w:hAnsi="Aptos Narrow" w:eastAsia="Times New Roman" w:cs="Times New Roman"/>
                <w:color w:val="000000"/>
                <w:sz w:val="22"/>
              </w:rPr>
            </w:pPr>
          </w:p>
        </w:tc>
        <w:tc>
          <w:tcPr>
            <w:tcW w:w="907" w:type="dxa"/>
            <w:vMerge/>
            <w:tcBorders>
              <w:top w:val="single" w:color="auto" w:sz="8" w:space="0"/>
              <w:left w:val="nil"/>
              <w:bottom w:val="single" w:color="auto" w:sz="4" w:space="0"/>
              <w:right w:val="nil"/>
            </w:tcBorders>
            <w:vAlign w:val="center"/>
            <w:hideMark/>
          </w:tcPr>
          <w:p w:rsidRPr="00A57844" w:rsidR="0005765D" w:rsidP="005C4F99" w:rsidRDefault="0005765D" w14:paraId="6EEA3039" w14:textId="77777777">
            <w:pPr>
              <w:spacing w:line="240" w:lineRule="auto"/>
              <w:ind w:firstLine="0"/>
              <w:jc w:val="center"/>
              <w:rPr>
                <w:rFonts w:ascii="Aptos Narrow" w:hAnsi="Aptos Narrow" w:eastAsia="Times New Roman" w:cs="Times New Roman"/>
                <w:color w:val="000000"/>
                <w:sz w:val="22"/>
              </w:rPr>
            </w:pPr>
          </w:p>
        </w:tc>
        <w:tc>
          <w:tcPr>
            <w:tcW w:w="1238" w:type="dxa"/>
            <w:vMerge/>
            <w:tcBorders>
              <w:top w:val="single" w:color="auto" w:sz="8" w:space="0"/>
              <w:left w:val="nil"/>
              <w:bottom w:val="single" w:color="auto" w:sz="4" w:space="0"/>
              <w:right w:val="nil"/>
            </w:tcBorders>
            <w:vAlign w:val="center"/>
            <w:hideMark/>
          </w:tcPr>
          <w:p w:rsidRPr="00A57844" w:rsidR="0005765D" w:rsidP="005C4F99" w:rsidRDefault="0005765D" w14:paraId="2948F48B" w14:textId="77777777">
            <w:pPr>
              <w:spacing w:line="240" w:lineRule="auto"/>
              <w:ind w:firstLine="0"/>
              <w:jc w:val="center"/>
              <w:rPr>
                <w:rFonts w:ascii="Aptos Narrow" w:hAnsi="Aptos Narrow" w:eastAsia="Times New Roman" w:cs="Times New Roman"/>
                <w:color w:val="000000"/>
                <w:sz w:val="22"/>
              </w:rPr>
            </w:pPr>
          </w:p>
        </w:tc>
        <w:tc>
          <w:tcPr>
            <w:tcW w:w="1085" w:type="dxa"/>
            <w:vMerge/>
            <w:tcBorders>
              <w:top w:val="single" w:color="auto" w:sz="8" w:space="0"/>
              <w:left w:val="nil"/>
              <w:bottom w:val="single" w:color="auto" w:sz="4" w:space="0"/>
              <w:right w:val="nil"/>
            </w:tcBorders>
            <w:vAlign w:val="center"/>
            <w:hideMark/>
          </w:tcPr>
          <w:p w:rsidRPr="00A57844" w:rsidR="0005765D" w:rsidP="005C4F99" w:rsidRDefault="0005765D" w14:paraId="6EDA3975" w14:textId="77777777">
            <w:pPr>
              <w:spacing w:line="240" w:lineRule="auto"/>
              <w:ind w:firstLine="0"/>
              <w:jc w:val="center"/>
              <w:rPr>
                <w:rFonts w:ascii="Aptos Narrow" w:hAnsi="Aptos Narrow" w:eastAsia="Times New Roman" w:cs="Times New Roman"/>
                <w:color w:val="000000"/>
                <w:sz w:val="22"/>
              </w:rPr>
            </w:pPr>
          </w:p>
        </w:tc>
        <w:tc>
          <w:tcPr>
            <w:tcW w:w="1486" w:type="dxa"/>
            <w:vMerge/>
            <w:tcBorders>
              <w:left w:val="nil"/>
              <w:bottom w:val="single" w:color="auto" w:sz="4" w:space="0"/>
              <w:right w:val="nil"/>
            </w:tcBorders>
          </w:tcPr>
          <w:p w:rsidRPr="00A57844" w:rsidR="0005765D" w:rsidP="005C4F99" w:rsidRDefault="0005765D" w14:paraId="6B69AF10" w14:textId="77777777">
            <w:pPr>
              <w:spacing w:line="240" w:lineRule="auto"/>
              <w:ind w:firstLine="0"/>
              <w:jc w:val="center"/>
              <w:rPr>
                <w:rFonts w:ascii="Aptos Narrow" w:hAnsi="Aptos Narrow" w:eastAsia="Times New Roman" w:cs="Times New Roman"/>
                <w:color w:val="000000"/>
                <w:sz w:val="22"/>
              </w:rPr>
            </w:pPr>
          </w:p>
        </w:tc>
        <w:tc>
          <w:tcPr>
            <w:tcW w:w="1173" w:type="dxa"/>
            <w:vMerge/>
            <w:tcBorders>
              <w:top w:val="single" w:color="auto" w:sz="8" w:space="0"/>
              <w:left w:val="nil"/>
              <w:bottom w:val="single" w:color="auto" w:sz="4" w:space="0"/>
              <w:right w:val="nil"/>
            </w:tcBorders>
            <w:vAlign w:val="center"/>
            <w:hideMark/>
          </w:tcPr>
          <w:p w:rsidRPr="00A57844" w:rsidR="0005765D" w:rsidP="005C4F99" w:rsidRDefault="0005765D" w14:paraId="44DB29DA" w14:textId="37C7147C">
            <w:pPr>
              <w:spacing w:line="240" w:lineRule="auto"/>
              <w:ind w:firstLine="0"/>
              <w:jc w:val="center"/>
              <w:rPr>
                <w:rFonts w:ascii="Aptos Narrow" w:hAnsi="Aptos Narrow" w:eastAsia="Times New Roman" w:cs="Times New Roman"/>
                <w:color w:val="000000"/>
                <w:sz w:val="22"/>
              </w:rPr>
            </w:pPr>
          </w:p>
        </w:tc>
        <w:tc>
          <w:tcPr>
            <w:tcW w:w="236" w:type="dxa"/>
            <w:tcBorders>
              <w:top w:val="nil"/>
              <w:left w:val="nil"/>
              <w:bottom w:val="nil"/>
              <w:right w:val="nil"/>
            </w:tcBorders>
            <w:shd w:val="clear" w:color="auto" w:fill="auto"/>
            <w:noWrap/>
            <w:vAlign w:val="bottom"/>
            <w:hideMark/>
          </w:tcPr>
          <w:p w:rsidRPr="00A57844" w:rsidR="0005765D" w:rsidP="00486705" w:rsidRDefault="0005765D" w14:paraId="2EB3C3B4" w14:textId="77777777">
            <w:pPr>
              <w:spacing w:line="240" w:lineRule="auto"/>
              <w:ind w:firstLine="0"/>
              <w:jc w:val="center"/>
              <w:rPr>
                <w:rFonts w:ascii="Aptos Narrow" w:hAnsi="Aptos Narrow" w:eastAsia="Times New Roman" w:cs="Times New Roman"/>
                <w:color w:val="000000"/>
                <w:sz w:val="22"/>
              </w:rPr>
            </w:pPr>
          </w:p>
        </w:tc>
      </w:tr>
      <w:tr w:rsidRPr="00A57844" w:rsidR="0005765D" w:rsidTr="005C4F99" w14:paraId="7E857014" w14:textId="77777777">
        <w:trPr>
          <w:trHeight w:val="611"/>
        </w:trPr>
        <w:tc>
          <w:tcPr>
            <w:tcW w:w="1250" w:type="dxa"/>
            <w:tcBorders>
              <w:top w:val="single" w:color="auto" w:sz="4" w:space="0"/>
              <w:left w:val="single" w:color="auto" w:sz="4" w:space="0"/>
              <w:bottom w:val="single" w:color="auto" w:sz="4" w:space="0"/>
              <w:right w:val="nil"/>
            </w:tcBorders>
          </w:tcPr>
          <w:p w:rsidR="005C4F99" w:rsidP="005C4F99" w:rsidRDefault="005C4F99" w14:paraId="7B262A0A" w14:textId="77777777">
            <w:pPr>
              <w:spacing w:line="240" w:lineRule="auto"/>
              <w:ind w:firstLine="0"/>
              <w:jc w:val="center"/>
              <w:rPr>
                <w:rFonts w:ascii="Aptos Narrow" w:hAnsi="Aptos Narrow" w:eastAsia="Times New Roman" w:cs="Times New Roman"/>
                <w:color w:val="000000"/>
                <w:sz w:val="22"/>
              </w:rPr>
            </w:pPr>
          </w:p>
          <w:p w:rsidR="005C4F99" w:rsidP="005C4F99" w:rsidRDefault="005C4F99" w14:paraId="49864906" w14:textId="77777777">
            <w:pPr>
              <w:spacing w:line="240" w:lineRule="auto"/>
              <w:ind w:firstLine="0"/>
              <w:jc w:val="center"/>
              <w:rPr>
                <w:rFonts w:ascii="Aptos Narrow" w:hAnsi="Aptos Narrow" w:eastAsia="Times New Roman" w:cs="Times New Roman"/>
                <w:color w:val="000000"/>
                <w:sz w:val="22"/>
              </w:rPr>
            </w:pPr>
          </w:p>
          <w:p w:rsidR="00226FFA" w:rsidP="005C4F99" w:rsidRDefault="00226FFA" w14:paraId="61AC4431" w14:textId="0227BCE5">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1</w:t>
            </w:r>
          </w:p>
        </w:tc>
        <w:tc>
          <w:tcPr>
            <w:tcW w:w="1800" w:type="dxa"/>
            <w:tcBorders>
              <w:top w:val="single" w:color="auto" w:sz="4" w:space="0"/>
              <w:left w:val="single" w:color="auto" w:sz="4" w:space="0"/>
              <w:bottom w:val="single" w:color="auto" w:sz="4" w:space="0"/>
              <w:right w:val="nil"/>
            </w:tcBorders>
            <w:shd w:val="clear" w:color="auto" w:fill="auto"/>
            <w:vAlign w:val="bottom"/>
            <w:hideMark/>
          </w:tcPr>
          <w:p w:rsidRPr="00A57844" w:rsidR="0005765D" w:rsidP="005C4F99" w:rsidRDefault="0005765D" w14:paraId="7AB9BBCD" w14:textId="1773F67C">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Interim Relief</w:t>
            </w:r>
          </w:p>
        </w:tc>
        <w:tc>
          <w:tcPr>
            <w:tcW w:w="907" w:type="dxa"/>
            <w:tcBorders>
              <w:top w:val="single" w:color="auto" w:sz="4" w:space="0"/>
              <w:left w:val="nil"/>
              <w:bottom w:val="single" w:color="auto" w:sz="4" w:space="0"/>
              <w:right w:val="nil"/>
            </w:tcBorders>
            <w:shd w:val="clear" w:color="auto" w:fill="auto"/>
            <w:noWrap/>
            <w:vAlign w:val="bottom"/>
            <w:hideMark/>
          </w:tcPr>
          <w:p w:rsidRPr="007E19E8" w:rsidR="0005765D" w:rsidP="005C4F99" w:rsidRDefault="0005765D" w14:paraId="426697F1" w14:textId="56C3A33A">
            <w:pPr>
              <w:spacing w:line="240" w:lineRule="auto"/>
              <w:ind w:firstLine="0"/>
              <w:jc w:val="center"/>
              <w:rPr>
                <w:rFonts w:ascii="Aptos Narrow" w:hAnsi="Aptos Narrow" w:eastAsia="Times New Roman" w:cs="Times New Roman"/>
                <w:color w:val="000000"/>
                <w:sz w:val="22"/>
              </w:rPr>
            </w:pPr>
            <w:r w:rsidRPr="007E19E8">
              <w:rPr>
                <w:rFonts w:ascii="Aptos Narrow" w:hAnsi="Aptos Narrow" w:eastAsia="Times New Roman" w:cs="Times New Roman"/>
                <w:color w:val="000000"/>
                <w:sz w:val="22"/>
              </w:rPr>
              <w:t>85%</w:t>
            </w:r>
          </w:p>
        </w:tc>
        <w:tc>
          <w:tcPr>
            <w:tcW w:w="1238" w:type="dxa"/>
            <w:tcBorders>
              <w:top w:val="single" w:color="auto" w:sz="4" w:space="0"/>
              <w:left w:val="nil"/>
              <w:bottom w:val="single" w:color="auto" w:sz="4" w:space="0"/>
              <w:right w:val="nil"/>
            </w:tcBorders>
            <w:shd w:val="clear" w:color="auto" w:fill="auto"/>
            <w:noWrap/>
            <w:vAlign w:val="bottom"/>
            <w:hideMark/>
          </w:tcPr>
          <w:p w:rsidRPr="007E19E8" w:rsidR="0005765D" w:rsidP="005C4F99" w:rsidRDefault="0005765D" w14:paraId="74DFC4C0" w14:textId="00417DB7">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Nov ‘23</w:t>
            </w:r>
          </w:p>
        </w:tc>
        <w:tc>
          <w:tcPr>
            <w:tcW w:w="1085" w:type="dxa"/>
            <w:tcBorders>
              <w:top w:val="single" w:color="auto" w:sz="4" w:space="0"/>
              <w:left w:val="nil"/>
              <w:bottom w:val="single" w:color="auto" w:sz="4" w:space="0"/>
              <w:right w:val="nil"/>
            </w:tcBorders>
            <w:shd w:val="clear" w:color="auto" w:fill="auto"/>
            <w:noWrap/>
            <w:vAlign w:val="bottom"/>
            <w:hideMark/>
          </w:tcPr>
          <w:p w:rsidRPr="007E19E8" w:rsidR="0005765D" w:rsidP="005C4F99" w:rsidRDefault="00C95B73" w14:paraId="478BEF8A" w14:textId="0C62BD8F">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 xml:space="preserve">12 </w:t>
            </w:r>
            <w:r w:rsidR="0005765D">
              <w:rPr>
                <w:rFonts w:ascii="Aptos Narrow" w:hAnsi="Aptos Narrow" w:eastAsia="Times New Roman" w:cs="Times New Roman"/>
                <w:color w:val="000000"/>
                <w:sz w:val="22"/>
              </w:rPr>
              <w:t>mo.</w:t>
            </w:r>
            <w:r w:rsidR="0018638E">
              <w:rPr>
                <w:rStyle w:val="FootnoteReference"/>
                <w:rFonts w:ascii="Aptos Narrow" w:hAnsi="Aptos Narrow" w:eastAsia="Times New Roman" w:cs="Times New Roman"/>
                <w:color w:val="000000"/>
                <w:sz w:val="22"/>
              </w:rPr>
              <w:footnoteReference w:id="54"/>
            </w:r>
          </w:p>
        </w:tc>
        <w:tc>
          <w:tcPr>
            <w:tcW w:w="1486" w:type="dxa"/>
            <w:tcBorders>
              <w:top w:val="single" w:color="auto" w:sz="4" w:space="0"/>
              <w:left w:val="nil"/>
              <w:bottom w:val="single" w:color="auto" w:sz="4" w:space="0"/>
              <w:right w:val="nil"/>
            </w:tcBorders>
          </w:tcPr>
          <w:p w:rsidR="005C4F99" w:rsidP="005C4F99" w:rsidRDefault="005C4F99" w14:paraId="35D5978E" w14:textId="2A59BA0B">
            <w:pPr>
              <w:spacing w:line="240" w:lineRule="auto"/>
              <w:ind w:firstLine="0"/>
              <w:jc w:val="center"/>
              <w:rPr>
                <w:rFonts w:ascii="Aptos Narrow" w:hAnsi="Aptos Narrow" w:eastAsia="Times New Roman" w:cs="Times New Roman"/>
                <w:color w:val="000000"/>
                <w:sz w:val="22"/>
              </w:rPr>
            </w:pPr>
          </w:p>
          <w:p w:rsidR="005C4F99" w:rsidP="005C4F99" w:rsidRDefault="005C4F99" w14:paraId="260D8DF8" w14:textId="77777777">
            <w:pPr>
              <w:spacing w:line="240" w:lineRule="auto"/>
              <w:ind w:firstLine="0"/>
              <w:jc w:val="center"/>
              <w:rPr>
                <w:rFonts w:ascii="Aptos Narrow" w:hAnsi="Aptos Narrow" w:eastAsia="Times New Roman" w:cs="Times New Roman"/>
                <w:color w:val="000000"/>
                <w:sz w:val="22"/>
              </w:rPr>
            </w:pPr>
          </w:p>
          <w:p w:rsidR="0005765D" w:rsidP="005C4F99" w:rsidRDefault="0005765D" w14:paraId="23397FC2" w14:textId="5E23FF7F">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$631</w:t>
            </w:r>
            <w:r w:rsidR="00B51A28">
              <w:rPr>
                <w:rStyle w:val="FootnoteReference"/>
              </w:rPr>
              <w:footnoteReference w:id="55"/>
            </w:r>
          </w:p>
        </w:tc>
        <w:tc>
          <w:tcPr>
            <w:tcW w:w="1173" w:type="dxa"/>
            <w:tcBorders>
              <w:top w:val="single" w:color="auto" w:sz="4" w:space="0"/>
              <w:left w:val="nil"/>
              <w:bottom w:val="single" w:color="auto" w:sz="4" w:space="0"/>
              <w:right w:val="single" w:color="auto" w:sz="4" w:space="0"/>
            </w:tcBorders>
            <w:shd w:val="clear" w:color="auto" w:fill="auto"/>
            <w:noWrap/>
            <w:vAlign w:val="bottom"/>
            <w:hideMark/>
          </w:tcPr>
          <w:p w:rsidRPr="007E19E8" w:rsidR="0005765D" w:rsidP="005C4F99" w:rsidRDefault="0005765D" w14:paraId="5E71494A" w14:textId="24F96646">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$25</w:t>
            </w:r>
            <w:r w:rsidR="00BB59F7">
              <w:rPr>
                <w:rStyle w:val="FootnoteReference"/>
                <w:rFonts w:ascii="Aptos Narrow" w:hAnsi="Aptos Narrow" w:eastAsia="Times New Roman" w:cs="Times New Roman"/>
                <w:color w:val="000000"/>
                <w:sz w:val="22"/>
              </w:rPr>
              <w:footnoteReference w:id="56"/>
            </w:r>
          </w:p>
        </w:tc>
        <w:tc>
          <w:tcPr>
            <w:tcW w:w="250" w:type="dxa"/>
            <w:gridSpan w:val="2"/>
            <w:tcBorders>
              <w:left w:val="single" w:color="auto" w:sz="4" w:space="0"/>
            </w:tcBorders>
            <w:vAlign w:val="center"/>
            <w:hideMark/>
          </w:tcPr>
          <w:p w:rsidRPr="00A57844" w:rsidR="0005765D" w:rsidP="00CA0F6C" w:rsidRDefault="0005765D" w14:paraId="40DC312E" w14:textId="77777777">
            <w:pPr>
              <w:spacing w:line="240" w:lineRule="auto"/>
              <w:ind w:firstLine="0"/>
              <w:rPr>
                <w:rFonts w:ascii="Times New Roman" w:hAnsi="Times New Roman" w:eastAsia="Times New Roman" w:cs="Times New Roman"/>
                <w:sz w:val="20"/>
                <w:szCs w:val="20"/>
              </w:rPr>
            </w:pPr>
          </w:p>
        </w:tc>
      </w:tr>
      <w:tr w:rsidRPr="00A57844" w:rsidR="0005765D" w:rsidTr="005C4F99" w14:paraId="082A9AC1" w14:textId="77777777">
        <w:trPr>
          <w:gridAfter w:val="1"/>
          <w:wAfter w:w="14" w:type="dxa"/>
          <w:trHeight w:val="375"/>
        </w:trPr>
        <w:tc>
          <w:tcPr>
            <w:tcW w:w="1250" w:type="dxa"/>
            <w:tcBorders>
              <w:top w:val="single" w:color="auto" w:sz="4" w:space="0"/>
              <w:left w:val="single" w:color="auto" w:sz="4" w:space="0"/>
              <w:bottom w:val="single" w:color="auto" w:sz="4" w:space="0"/>
              <w:right w:val="nil"/>
            </w:tcBorders>
          </w:tcPr>
          <w:p w:rsidR="0005765D" w:rsidP="005C4F99" w:rsidRDefault="00D462F0" w14:paraId="0EABEE6C" w14:textId="293302C3">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2</w:t>
            </w:r>
          </w:p>
        </w:tc>
        <w:tc>
          <w:tcPr>
            <w:tcW w:w="1800" w:type="dxa"/>
            <w:tcBorders>
              <w:top w:val="single" w:color="auto" w:sz="4" w:space="0"/>
              <w:left w:val="single" w:color="auto" w:sz="4" w:space="0"/>
              <w:bottom w:val="single" w:color="auto" w:sz="4" w:space="0"/>
              <w:right w:val="nil"/>
            </w:tcBorders>
            <w:shd w:val="clear" w:color="auto" w:fill="auto"/>
            <w:vAlign w:val="bottom"/>
          </w:tcPr>
          <w:p w:rsidRPr="00A57844" w:rsidR="0005765D" w:rsidP="005C4F99" w:rsidRDefault="0005765D" w14:paraId="370B1643" w14:textId="28C0FCB8">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Interim Relief</w:t>
            </w:r>
          </w:p>
        </w:tc>
        <w:tc>
          <w:tcPr>
            <w:tcW w:w="907" w:type="dxa"/>
            <w:tcBorders>
              <w:top w:val="single" w:color="auto" w:sz="4" w:space="0"/>
              <w:left w:val="nil"/>
              <w:bottom w:val="single" w:color="auto" w:sz="4" w:space="0"/>
              <w:right w:val="nil"/>
            </w:tcBorders>
            <w:shd w:val="clear" w:color="auto" w:fill="auto"/>
            <w:noWrap/>
            <w:vAlign w:val="bottom"/>
            <w:hideMark/>
          </w:tcPr>
          <w:p w:rsidRPr="007E19E8" w:rsidR="0005765D" w:rsidP="005C4F99" w:rsidRDefault="0005765D" w14:paraId="3F61D0B9" w14:textId="5EEB0CB4">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75%</w:t>
            </w:r>
          </w:p>
        </w:tc>
        <w:tc>
          <w:tcPr>
            <w:tcW w:w="1238" w:type="dxa"/>
            <w:tcBorders>
              <w:top w:val="single" w:color="auto" w:sz="4" w:space="0"/>
              <w:left w:val="nil"/>
              <w:bottom w:val="single" w:color="auto" w:sz="4" w:space="0"/>
              <w:right w:val="nil"/>
            </w:tcBorders>
            <w:shd w:val="clear" w:color="auto" w:fill="auto"/>
            <w:noWrap/>
            <w:vAlign w:val="bottom"/>
            <w:hideMark/>
          </w:tcPr>
          <w:p w:rsidRPr="007E19E8" w:rsidR="0005765D" w:rsidP="005C4F99" w:rsidRDefault="0005765D" w14:paraId="26910E85" w14:textId="7CD660C1">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Nov ‘23</w:t>
            </w:r>
          </w:p>
        </w:tc>
        <w:tc>
          <w:tcPr>
            <w:tcW w:w="1085" w:type="dxa"/>
            <w:tcBorders>
              <w:top w:val="single" w:color="auto" w:sz="4" w:space="0"/>
              <w:left w:val="nil"/>
              <w:bottom w:val="single" w:color="auto" w:sz="4" w:space="0"/>
              <w:right w:val="nil"/>
            </w:tcBorders>
            <w:shd w:val="clear" w:color="auto" w:fill="auto"/>
            <w:noWrap/>
            <w:vAlign w:val="bottom"/>
            <w:hideMark/>
          </w:tcPr>
          <w:p w:rsidRPr="007E19E8" w:rsidR="0005765D" w:rsidP="005C4F99" w:rsidRDefault="00090DB8" w14:paraId="25E6B878" w14:textId="31999E3F">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1</w:t>
            </w:r>
            <w:r w:rsidRPr="007E19E8" w:rsidR="0005765D">
              <w:rPr>
                <w:rFonts w:ascii="Aptos Narrow" w:hAnsi="Aptos Narrow" w:eastAsia="Times New Roman" w:cs="Times New Roman"/>
                <w:color w:val="000000"/>
                <w:sz w:val="22"/>
              </w:rPr>
              <w:t>2</w:t>
            </w:r>
            <w:r>
              <w:rPr>
                <w:rFonts w:ascii="Aptos Narrow" w:hAnsi="Aptos Narrow" w:eastAsia="Times New Roman" w:cs="Times New Roman"/>
                <w:color w:val="000000"/>
                <w:sz w:val="22"/>
              </w:rPr>
              <w:t xml:space="preserve"> </w:t>
            </w:r>
            <w:r w:rsidRPr="007E19E8" w:rsidR="0005765D">
              <w:rPr>
                <w:rFonts w:ascii="Aptos Narrow" w:hAnsi="Aptos Narrow" w:eastAsia="Times New Roman" w:cs="Times New Roman"/>
                <w:color w:val="000000"/>
                <w:sz w:val="22"/>
              </w:rPr>
              <w:t>mo.</w:t>
            </w:r>
          </w:p>
        </w:tc>
        <w:tc>
          <w:tcPr>
            <w:tcW w:w="1486" w:type="dxa"/>
            <w:tcBorders>
              <w:top w:val="single" w:color="auto" w:sz="4" w:space="0"/>
              <w:left w:val="nil"/>
              <w:bottom w:val="single" w:color="auto" w:sz="4" w:space="0"/>
              <w:right w:val="nil"/>
            </w:tcBorders>
          </w:tcPr>
          <w:p w:rsidRPr="0005765D" w:rsidR="0005765D" w:rsidP="005C4F99" w:rsidRDefault="00161A75" w14:paraId="0AB43119" w14:textId="68B7C6E5">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w:t>
            </w:r>
          </w:p>
        </w:tc>
        <w:tc>
          <w:tcPr>
            <w:tcW w:w="1173" w:type="dxa"/>
            <w:tcBorders>
              <w:top w:val="single" w:color="auto" w:sz="4" w:space="0"/>
              <w:left w:val="nil"/>
              <w:bottom w:val="single" w:color="auto" w:sz="4" w:space="0"/>
              <w:right w:val="single" w:color="auto" w:sz="4" w:space="0"/>
            </w:tcBorders>
            <w:shd w:val="clear" w:color="auto" w:fill="auto"/>
            <w:noWrap/>
            <w:vAlign w:val="bottom"/>
            <w:hideMark/>
          </w:tcPr>
          <w:p w:rsidRPr="007E19E8" w:rsidR="0005765D" w:rsidP="005C4F99" w:rsidRDefault="0005765D" w14:paraId="1F3F9742" w14:textId="0C2D1AF9">
            <w:pPr>
              <w:spacing w:line="240" w:lineRule="auto"/>
              <w:ind w:firstLine="0"/>
              <w:jc w:val="center"/>
              <w:rPr>
                <w:rFonts w:ascii="Aptos Narrow" w:hAnsi="Aptos Narrow" w:eastAsia="Times New Roman" w:cs="Times New Roman"/>
                <w:color w:val="000000"/>
                <w:sz w:val="22"/>
              </w:rPr>
            </w:pPr>
            <w:r w:rsidRPr="007E19E8">
              <w:rPr>
                <w:rFonts w:ascii="Aptos Narrow" w:hAnsi="Aptos Narrow" w:eastAsia="Times New Roman" w:cs="Times New Roman"/>
                <w:color w:val="000000"/>
                <w:sz w:val="22"/>
              </w:rPr>
              <w:t>$21</w:t>
            </w:r>
            <w:r w:rsidR="00EB60ED">
              <w:rPr>
                <w:rStyle w:val="FootnoteReference"/>
              </w:rPr>
              <w:footnoteReference w:id="57"/>
            </w:r>
          </w:p>
        </w:tc>
        <w:tc>
          <w:tcPr>
            <w:tcW w:w="236" w:type="dxa"/>
            <w:vAlign w:val="center"/>
            <w:hideMark/>
          </w:tcPr>
          <w:p w:rsidRPr="00A57844" w:rsidR="0005765D" w:rsidP="00CA0F6C" w:rsidRDefault="0005765D" w14:paraId="71453C63" w14:textId="77777777">
            <w:pPr>
              <w:spacing w:line="240" w:lineRule="auto"/>
              <w:ind w:firstLine="0"/>
              <w:rPr>
                <w:rFonts w:ascii="Times New Roman" w:hAnsi="Times New Roman" w:eastAsia="Times New Roman" w:cs="Times New Roman"/>
                <w:sz w:val="20"/>
                <w:szCs w:val="20"/>
              </w:rPr>
            </w:pPr>
          </w:p>
        </w:tc>
      </w:tr>
      <w:tr w:rsidRPr="00A57844" w:rsidR="0005765D" w:rsidTr="005C4F99" w14:paraId="0BBB33DE" w14:textId="77777777">
        <w:trPr>
          <w:gridAfter w:val="1"/>
          <w:wAfter w:w="14" w:type="dxa"/>
          <w:trHeight w:val="300"/>
        </w:trPr>
        <w:tc>
          <w:tcPr>
            <w:tcW w:w="1250" w:type="dxa"/>
            <w:tcBorders>
              <w:top w:val="single" w:color="auto" w:sz="4" w:space="0"/>
              <w:left w:val="single" w:color="auto" w:sz="4" w:space="0"/>
              <w:bottom w:val="single" w:color="auto" w:sz="4" w:space="0"/>
              <w:right w:val="nil"/>
            </w:tcBorders>
          </w:tcPr>
          <w:p w:rsidR="0005765D" w:rsidP="005C4F99" w:rsidRDefault="00D462F0" w14:paraId="43565641" w14:textId="596C634B">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3</w:t>
            </w:r>
          </w:p>
        </w:tc>
        <w:tc>
          <w:tcPr>
            <w:tcW w:w="1800" w:type="dxa"/>
            <w:tcBorders>
              <w:top w:val="single" w:color="auto" w:sz="4" w:space="0"/>
              <w:left w:val="single" w:color="auto" w:sz="4" w:space="0"/>
              <w:bottom w:val="single" w:color="auto" w:sz="4" w:space="0"/>
              <w:right w:val="nil"/>
            </w:tcBorders>
            <w:shd w:val="clear" w:color="auto" w:fill="auto"/>
            <w:vAlign w:val="bottom"/>
            <w:hideMark/>
          </w:tcPr>
          <w:p w:rsidRPr="00A57844" w:rsidR="0005765D" w:rsidP="005C4F99" w:rsidRDefault="0005765D" w14:paraId="34A1FA5E" w14:textId="74E654F6">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Interim Relief</w:t>
            </w:r>
          </w:p>
        </w:tc>
        <w:tc>
          <w:tcPr>
            <w:tcW w:w="907" w:type="dxa"/>
            <w:tcBorders>
              <w:top w:val="single" w:color="auto" w:sz="4" w:space="0"/>
              <w:left w:val="nil"/>
              <w:bottom w:val="single" w:color="auto" w:sz="4" w:space="0"/>
              <w:right w:val="nil"/>
            </w:tcBorders>
            <w:shd w:val="clear" w:color="auto" w:fill="auto"/>
            <w:noWrap/>
            <w:vAlign w:val="bottom"/>
            <w:hideMark/>
          </w:tcPr>
          <w:p w:rsidRPr="00CA0F6C" w:rsidR="0005765D" w:rsidP="005C4F99" w:rsidRDefault="0005765D" w14:paraId="450EB746" w14:textId="2E2A27DD">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50%</w:t>
            </w:r>
          </w:p>
        </w:tc>
        <w:tc>
          <w:tcPr>
            <w:tcW w:w="1238" w:type="dxa"/>
            <w:tcBorders>
              <w:top w:val="single" w:color="auto" w:sz="4" w:space="0"/>
              <w:left w:val="nil"/>
              <w:bottom w:val="single" w:color="auto" w:sz="4" w:space="0"/>
              <w:right w:val="nil"/>
            </w:tcBorders>
            <w:shd w:val="clear" w:color="auto" w:fill="auto"/>
            <w:noWrap/>
            <w:vAlign w:val="bottom"/>
            <w:hideMark/>
          </w:tcPr>
          <w:p w:rsidRPr="00CA0F6C" w:rsidR="0005765D" w:rsidP="005C4F99" w:rsidRDefault="0005765D" w14:paraId="6099CB13" w14:textId="2248072E">
            <w:pPr>
              <w:spacing w:line="240" w:lineRule="auto"/>
              <w:ind w:firstLine="0"/>
              <w:jc w:val="center"/>
              <w:rPr>
                <w:rFonts w:ascii="Times New Roman" w:hAnsi="Times New Roman" w:eastAsia="Times New Roman" w:cs="Times New Roman"/>
                <w:sz w:val="20"/>
                <w:szCs w:val="20"/>
              </w:rPr>
            </w:pPr>
            <w:r>
              <w:rPr>
                <w:rFonts w:ascii="Aptos Narrow" w:hAnsi="Aptos Narrow" w:eastAsia="Times New Roman" w:cs="Times New Roman"/>
                <w:color w:val="000000"/>
                <w:sz w:val="22"/>
              </w:rPr>
              <w:t>Nov ‘23</w:t>
            </w:r>
          </w:p>
        </w:tc>
        <w:tc>
          <w:tcPr>
            <w:tcW w:w="1085" w:type="dxa"/>
            <w:tcBorders>
              <w:top w:val="single" w:color="auto" w:sz="4" w:space="0"/>
              <w:left w:val="nil"/>
              <w:bottom w:val="single" w:color="auto" w:sz="4" w:space="0"/>
              <w:right w:val="nil"/>
            </w:tcBorders>
            <w:shd w:val="clear" w:color="auto" w:fill="auto"/>
            <w:noWrap/>
            <w:vAlign w:val="bottom"/>
            <w:hideMark/>
          </w:tcPr>
          <w:p w:rsidRPr="00CA0F6C" w:rsidR="0005765D" w:rsidP="005C4F99" w:rsidRDefault="00F4451F" w14:paraId="07107F28" w14:textId="68AA12F1">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12</w:t>
            </w:r>
            <w:r w:rsidR="0005765D">
              <w:rPr>
                <w:rFonts w:ascii="Aptos Narrow" w:hAnsi="Aptos Narrow" w:eastAsia="Times New Roman" w:cs="Times New Roman"/>
                <w:color w:val="000000"/>
                <w:sz w:val="22"/>
              </w:rPr>
              <w:t xml:space="preserve"> mo</w:t>
            </w:r>
            <w:r w:rsidR="005C4F99">
              <w:rPr>
                <w:rFonts w:ascii="Aptos Narrow" w:hAnsi="Aptos Narrow" w:eastAsia="Times New Roman" w:cs="Times New Roman"/>
                <w:color w:val="000000"/>
                <w:sz w:val="22"/>
              </w:rPr>
              <w:t>.</w:t>
            </w:r>
          </w:p>
        </w:tc>
        <w:tc>
          <w:tcPr>
            <w:tcW w:w="1486" w:type="dxa"/>
            <w:tcBorders>
              <w:top w:val="single" w:color="auto" w:sz="4" w:space="0"/>
              <w:left w:val="nil"/>
              <w:bottom w:val="single" w:color="auto" w:sz="4" w:space="0"/>
              <w:right w:val="nil"/>
            </w:tcBorders>
          </w:tcPr>
          <w:p w:rsidR="0005765D" w:rsidP="005C4F99" w:rsidRDefault="00161A75" w14:paraId="5FEE5FC6" w14:textId="1CABE6D4">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w:t>
            </w:r>
          </w:p>
        </w:tc>
        <w:tc>
          <w:tcPr>
            <w:tcW w:w="1173" w:type="dxa"/>
            <w:tcBorders>
              <w:top w:val="single" w:color="auto" w:sz="4" w:space="0"/>
              <w:left w:val="nil"/>
              <w:bottom w:val="single" w:color="auto" w:sz="4" w:space="0"/>
              <w:right w:val="single" w:color="auto" w:sz="4" w:space="0"/>
            </w:tcBorders>
            <w:shd w:val="clear" w:color="auto" w:fill="auto"/>
            <w:noWrap/>
            <w:vAlign w:val="bottom"/>
            <w:hideMark/>
          </w:tcPr>
          <w:p w:rsidRPr="00CA0F6C" w:rsidR="0005765D" w:rsidP="005C4F99" w:rsidRDefault="0005765D" w14:paraId="1EEAE08C" w14:textId="18A5C59C">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$12</w:t>
            </w:r>
            <w:r w:rsidR="00EB60ED">
              <w:rPr>
                <w:rStyle w:val="FootnoteReference"/>
              </w:rPr>
              <w:footnoteReference w:id="58"/>
            </w:r>
          </w:p>
        </w:tc>
        <w:tc>
          <w:tcPr>
            <w:tcW w:w="236" w:type="dxa"/>
            <w:vAlign w:val="center"/>
            <w:hideMark/>
          </w:tcPr>
          <w:p w:rsidRPr="00A57844" w:rsidR="0005765D" w:rsidP="00CA0F6C" w:rsidRDefault="0005765D" w14:paraId="4851F89B" w14:textId="77777777">
            <w:pPr>
              <w:spacing w:line="240" w:lineRule="auto"/>
              <w:ind w:firstLine="0"/>
              <w:rPr>
                <w:rFonts w:ascii="Times New Roman" w:hAnsi="Times New Roman" w:eastAsia="Times New Roman" w:cs="Times New Roman"/>
                <w:sz w:val="20"/>
                <w:szCs w:val="20"/>
              </w:rPr>
            </w:pPr>
          </w:p>
        </w:tc>
      </w:tr>
      <w:tr w:rsidRPr="00A57844" w:rsidR="0005765D" w:rsidTr="005C4F99" w14:paraId="7D8F07DE" w14:textId="77777777">
        <w:trPr>
          <w:gridAfter w:val="1"/>
          <w:wAfter w:w="14" w:type="dxa"/>
          <w:trHeight w:val="300"/>
        </w:trPr>
        <w:tc>
          <w:tcPr>
            <w:tcW w:w="1250" w:type="dxa"/>
            <w:tcBorders>
              <w:top w:val="single" w:color="auto" w:sz="4" w:space="0"/>
              <w:left w:val="single" w:color="auto" w:sz="4" w:space="0"/>
              <w:bottom w:val="single" w:color="auto" w:sz="4" w:space="0"/>
              <w:right w:val="nil"/>
            </w:tcBorders>
          </w:tcPr>
          <w:p w:rsidRPr="00A57844" w:rsidR="0005765D" w:rsidP="005C4F99" w:rsidRDefault="00D462F0" w14:paraId="15157D05" w14:textId="2AAE77C8">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4</w:t>
            </w:r>
          </w:p>
        </w:tc>
        <w:tc>
          <w:tcPr>
            <w:tcW w:w="1800" w:type="dxa"/>
            <w:tcBorders>
              <w:top w:val="single" w:color="auto" w:sz="4" w:space="0"/>
              <w:left w:val="single" w:color="auto" w:sz="4" w:space="0"/>
              <w:bottom w:val="single" w:color="auto" w:sz="4" w:space="0"/>
              <w:right w:val="nil"/>
            </w:tcBorders>
            <w:shd w:val="clear" w:color="auto" w:fill="auto"/>
            <w:vAlign w:val="bottom"/>
            <w:hideMark/>
          </w:tcPr>
          <w:p w:rsidRPr="00A57844" w:rsidR="0005765D" w:rsidP="005C4F99" w:rsidRDefault="0005765D" w14:paraId="4A590D3A" w14:textId="34843F92">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No Interim Relief</w:t>
            </w:r>
          </w:p>
        </w:tc>
        <w:tc>
          <w:tcPr>
            <w:tcW w:w="907" w:type="dxa"/>
            <w:tcBorders>
              <w:top w:val="single" w:color="auto" w:sz="4" w:space="0"/>
              <w:left w:val="nil"/>
              <w:bottom w:val="single" w:color="auto" w:sz="4" w:space="0"/>
              <w:right w:val="nil"/>
            </w:tcBorders>
            <w:shd w:val="clear" w:color="auto" w:fill="auto"/>
            <w:noWrap/>
            <w:vAlign w:val="bottom"/>
            <w:hideMark/>
          </w:tcPr>
          <w:p w:rsidRPr="00A57844" w:rsidR="0005765D" w:rsidP="005C4F99" w:rsidRDefault="00834B4B" w14:paraId="555D4ABA" w14:textId="02360F99">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100%</w:t>
            </w:r>
          </w:p>
        </w:tc>
        <w:tc>
          <w:tcPr>
            <w:tcW w:w="1238" w:type="dxa"/>
            <w:tcBorders>
              <w:top w:val="single" w:color="auto" w:sz="4" w:space="0"/>
              <w:left w:val="nil"/>
              <w:bottom w:val="single" w:color="auto" w:sz="4" w:space="0"/>
              <w:right w:val="nil"/>
            </w:tcBorders>
            <w:shd w:val="clear" w:color="auto" w:fill="auto"/>
            <w:noWrap/>
            <w:vAlign w:val="bottom"/>
            <w:hideMark/>
          </w:tcPr>
          <w:p w:rsidRPr="00A57844" w:rsidR="0005765D" w:rsidP="005C4F99" w:rsidRDefault="0005765D" w14:paraId="7708A78B" w14:textId="45F8815F">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Sep ‘24</w:t>
            </w:r>
            <w:r w:rsidR="00834B4B">
              <w:rPr>
                <w:rStyle w:val="FootnoteReference"/>
                <w:rFonts w:ascii="Aptos Narrow" w:hAnsi="Aptos Narrow" w:eastAsia="Times New Roman" w:cs="Times New Roman"/>
                <w:color w:val="000000"/>
                <w:sz w:val="22"/>
              </w:rPr>
              <w:footnoteReference w:id="59"/>
            </w:r>
          </w:p>
        </w:tc>
        <w:tc>
          <w:tcPr>
            <w:tcW w:w="1085" w:type="dxa"/>
            <w:tcBorders>
              <w:top w:val="single" w:color="auto" w:sz="4" w:space="0"/>
              <w:left w:val="nil"/>
              <w:bottom w:val="single" w:color="auto" w:sz="4" w:space="0"/>
              <w:right w:val="nil"/>
            </w:tcBorders>
            <w:shd w:val="clear" w:color="auto" w:fill="auto"/>
            <w:noWrap/>
            <w:vAlign w:val="bottom"/>
            <w:hideMark/>
          </w:tcPr>
          <w:p w:rsidRPr="00A57844" w:rsidR="0005765D" w:rsidP="005C4F99" w:rsidRDefault="0005765D" w14:paraId="221087DE" w14:textId="55CD371B">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12 mo.</w:t>
            </w:r>
          </w:p>
        </w:tc>
        <w:tc>
          <w:tcPr>
            <w:tcW w:w="1486" w:type="dxa"/>
            <w:tcBorders>
              <w:top w:val="single" w:color="auto" w:sz="4" w:space="0"/>
              <w:left w:val="nil"/>
              <w:bottom w:val="single" w:color="auto" w:sz="4" w:space="0"/>
              <w:right w:val="nil"/>
            </w:tcBorders>
          </w:tcPr>
          <w:p w:rsidR="0005765D" w:rsidP="005C4F99" w:rsidRDefault="00EB60ED" w14:paraId="7C3E15DA" w14:textId="4F89B566">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$768</w:t>
            </w:r>
            <w:r>
              <w:rPr>
                <w:rStyle w:val="FootnoteReference"/>
              </w:rPr>
              <w:footnoteReference w:id="60"/>
            </w:r>
          </w:p>
        </w:tc>
        <w:tc>
          <w:tcPr>
            <w:tcW w:w="1173" w:type="dxa"/>
            <w:tcBorders>
              <w:top w:val="single" w:color="auto" w:sz="4" w:space="0"/>
              <w:left w:val="nil"/>
              <w:bottom w:val="single" w:color="auto" w:sz="4" w:space="0"/>
              <w:right w:val="single" w:color="auto" w:sz="4" w:space="0"/>
            </w:tcBorders>
            <w:shd w:val="clear" w:color="auto" w:fill="auto"/>
            <w:noWrap/>
            <w:vAlign w:val="bottom"/>
            <w:hideMark/>
          </w:tcPr>
          <w:p w:rsidRPr="00A57844" w:rsidR="0005765D" w:rsidP="005C4F99" w:rsidRDefault="00161A75" w14:paraId="6F39199A" w14:textId="611B370C">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w:t>
            </w:r>
          </w:p>
        </w:tc>
        <w:tc>
          <w:tcPr>
            <w:tcW w:w="236" w:type="dxa"/>
            <w:vAlign w:val="center"/>
            <w:hideMark/>
          </w:tcPr>
          <w:p w:rsidRPr="00A57844" w:rsidR="0005765D" w:rsidP="00CA0F6C" w:rsidRDefault="0005765D" w14:paraId="704AB858" w14:textId="77777777">
            <w:pPr>
              <w:spacing w:line="240" w:lineRule="auto"/>
              <w:ind w:firstLine="0"/>
              <w:rPr>
                <w:rFonts w:ascii="Times New Roman" w:hAnsi="Times New Roman" w:eastAsia="Times New Roman" w:cs="Times New Roman"/>
                <w:sz w:val="20"/>
                <w:szCs w:val="20"/>
              </w:rPr>
            </w:pPr>
          </w:p>
        </w:tc>
      </w:tr>
      <w:tr w:rsidRPr="00A57844" w:rsidR="0005765D" w:rsidTr="005C4F99" w14:paraId="59AA6421" w14:textId="77777777">
        <w:trPr>
          <w:gridAfter w:val="1"/>
          <w:wAfter w:w="14" w:type="dxa"/>
          <w:trHeight w:val="600"/>
        </w:trPr>
        <w:tc>
          <w:tcPr>
            <w:tcW w:w="1250" w:type="dxa"/>
            <w:tcBorders>
              <w:top w:val="single" w:color="auto" w:sz="4" w:space="0"/>
              <w:left w:val="single" w:color="auto" w:sz="4" w:space="0"/>
              <w:bottom w:val="single" w:color="auto" w:sz="4" w:space="0"/>
              <w:right w:val="nil"/>
            </w:tcBorders>
          </w:tcPr>
          <w:p w:rsidRPr="00A57844" w:rsidR="0005765D" w:rsidP="005C4F99" w:rsidRDefault="00D462F0" w14:paraId="1D7CAC2D" w14:textId="6F010F2F">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5</w:t>
            </w:r>
          </w:p>
        </w:tc>
        <w:tc>
          <w:tcPr>
            <w:tcW w:w="1800" w:type="dxa"/>
            <w:tcBorders>
              <w:top w:val="single" w:color="auto" w:sz="4" w:space="0"/>
              <w:left w:val="single" w:color="auto" w:sz="4" w:space="0"/>
              <w:bottom w:val="single" w:color="auto" w:sz="4" w:space="0"/>
              <w:right w:val="nil"/>
            </w:tcBorders>
            <w:shd w:val="clear" w:color="auto" w:fill="auto"/>
            <w:vAlign w:val="bottom"/>
            <w:hideMark/>
          </w:tcPr>
          <w:p w:rsidRPr="00A57844" w:rsidR="0005765D" w:rsidP="005C4F99" w:rsidRDefault="0005765D" w14:paraId="35B6CD7C" w14:textId="386A4B02">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No Interim Relief</w:t>
            </w:r>
          </w:p>
        </w:tc>
        <w:tc>
          <w:tcPr>
            <w:tcW w:w="907" w:type="dxa"/>
            <w:tcBorders>
              <w:top w:val="single" w:color="auto" w:sz="4" w:space="0"/>
              <w:left w:val="nil"/>
              <w:bottom w:val="single" w:color="auto" w:sz="4" w:space="0"/>
              <w:right w:val="nil"/>
            </w:tcBorders>
            <w:shd w:val="clear" w:color="auto" w:fill="auto"/>
            <w:noWrap/>
            <w:vAlign w:val="bottom"/>
            <w:hideMark/>
          </w:tcPr>
          <w:p w:rsidRPr="00A57844" w:rsidR="0005765D" w:rsidP="005C4F99" w:rsidRDefault="00834B4B" w14:paraId="40F5EB1C" w14:textId="16B07D88">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100%</w:t>
            </w:r>
          </w:p>
        </w:tc>
        <w:tc>
          <w:tcPr>
            <w:tcW w:w="1238" w:type="dxa"/>
            <w:tcBorders>
              <w:top w:val="single" w:color="auto" w:sz="4" w:space="0"/>
              <w:left w:val="nil"/>
              <w:bottom w:val="single" w:color="auto" w:sz="4" w:space="0"/>
              <w:right w:val="nil"/>
            </w:tcBorders>
            <w:shd w:val="clear" w:color="auto" w:fill="auto"/>
            <w:noWrap/>
            <w:vAlign w:val="bottom"/>
            <w:hideMark/>
          </w:tcPr>
          <w:p w:rsidRPr="00A57844" w:rsidR="0005765D" w:rsidP="005C4F99" w:rsidRDefault="0005765D" w14:paraId="35495B94" w14:textId="0BCC93C4">
            <w:pPr>
              <w:spacing w:line="240" w:lineRule="auto"/>
              <w:ind w:firstLine="0"/>
              <w:jc w:val="center"/>
              <w:rPr>
                <w:rFonts w:ascii="Times New Roman" w:hAnsi="Times New Roman" w:eastAsia="Times New Roman" w:cs="Times New Roman"/>
                <w:sz w:val="20"/>
                <w:szCs w:val="20"/>
              </w:rPr>
            </w:pPr>
            <w:r>
              <w:rPr>
                <w:rFonts w:ascii="Aptos Narrow" w:hAnsi="Aptos Narrow" w:eastAsia="Times New Roman" w:cs="Times New Roman"/>
                <w:color w:val="000000"/>
                <w:sz w:val="22"/>
              </w:rPr>
              <w:t>Sep ‘24</w:t>
            </w:r>
          </w:p>
        </w:tc>
        <w:tc>
          <w:tcPr>
            <w:tcW w:w="1085" w:type="dxa"/>
            <w:tcBorders>
              <w:top w:val="single" w:color="auto" w:sz="4" w:space="0"/>
              <w:left w:val="nil"/>
              <w:bottom w:val="single" w:color="auto" w:sz="4" w:space="0"/>
              <w:right w:val="nil"/>
            </w:tcBorders>
            <w:shd w:val="clear" w:color="auto" w:fill="auto"/>
            <w:noWrap/>
            <w:vAlign w:val="bottom"/>
            <w:hideMark/>
          </w:tcPr>
          <w:p w:rsidRPr="00A57844" w:rsidR="0005765D" w:rsidP="005C4F99" w:rsidRDefault="0005765D" w14:paraId="5A4AFE67" w14:textId="424D7303">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26 mo</w:t>
            </w:r>
            <w:r w:rsidR="000770E9">
              <w:rPr>
                <w:rFonts w:ascii="Aptos Narrow" w:hAnsi="Aptos Narrow" w:eastAsia="Times New Roman" w:cs="Times New Roman"/>
                <w:color w:val="000000"/>
                <w:sz w:val="22"/>
              </w:rPr>
              <w:t>.</w:t>
            </w:r>
          </w:p>
        </w:tc>
        <w:tc>
          <w:tcPr>
            <w:tcW w:w="1486" w:type="dxa"/>
            <w:tcBorders>
              <w:top w:val="single" w:color="auto" w:sz="4" w:space="0"/>
              <w:left w:val="nil"/>
              <w:bottom w:val="single" w:color="auto" w:sz="4" w:space="0"/>
              <w:right w:val="nil"/>
            </w:tcBorders>
          </w:tcPr>
          <w:p w:rsidR="00A107FF" w:rsidP="005C4F99" w:rsidRDefault="00A107FF" w14:paraId="4D1B9068" w14:textId="30420565">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$781</w:t>
            </w:r>
            <w:r>
              <w:rPr>
                <w:rStyle w:val="FootnoteReference"/>
              </w:rPr>
              <w:footnoteReference w:id="61"/>
            </w:r>
          </w:p>
        </w:tc>
        <w:tc>
          <w:tcPr>
            <w:tcW w:w="1173" w:type="dxa"/>
            <w:tcBorders>
              <w:top w:val="single" w:color="auto" w:sz="4" w:space="0"/>
              <w:left w:val="nil"/>
              <w:bottom w:val="single" w:color="auto" w:sz="4" w:space="0"/>
              <w:right w:val="single" w:color="auto" w:sz="4" w:space="0"/>
            </w:tcBorders>
            <w:shd w:val="clear" w:color="auto" w:fill="auto"/>
            <w:noWrap/>
            <w:vAlign w:val="bottom"/>
            <w:hideMark/>
          </w:tcPr>
          <w:p w:rsidRPr="00A57844" w:rsidR="0005765D" w:rsidP="005C4F99" w:rsidRDefault="00161A75" w14:paraId="0A0E93C2" w14:textId="6FD5BC38">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w:t>
            </w:r>
          </w:p>
        </w:tc>
        <w:tc>
          <w:tcPr>
            <w:tcW w:w="236" w:type="dxa"/>
            <w:vAlign w:val="center"/>
            <w:hideMark/>
          </w:tcPr>
          <w:p w:rsidRPr="00A57844" w:rsidR="0005765D" w:rsidP="00CA0F6C" w:rsidRDefault="0005765D" w14:paraId="7FC59321" w14:textId="77777777">
            <w:pPr>
              <w:spacing w:line="240" w:lineRule="auto"/>
              <w:ind w:firstLine="0"/>
              <w:rPr>
                <w:rFonts w:ascii="Times New Roman" w:hAnsi="Times New Roman" w:eastAsia="Times New Roman" w:cs="Times New Roman"/>
                <w:sz w:val="20"/>
                <w:szCs w:val="20"/>
              </w:rPr>
            </w:pPr>
          </w:p>
        </w:tc>
      </w:tr>
      <w:tr w:rsidRPr="00A57844" w:rsidR="00161A75" w:rsidTr="005C4F99" w14:paraId="38103C96" w14:textId="77777777">
        <w:trPr>
          <w:gridAfter w:val="1"/>
          <w:wAfter w:w="14" w:type="dxa"/>
          <w:trHeight w:val="600"/>
        </w:trPr>
        <w:tc>
          <w:tcPr>
            <w:tcW w:w="1250" w:type="dxa"/>
            <w:tcBorders>
              <w:top w:val="single" w:color="auto" w:sz="4" w:space="0"/>
              <w:left w:val="single" w:color="auto" w:sz="4" w:space="0"/>
              <w:bottom w:val="single" w:color="auto" w:sz="4" w:space="0"/>
              <w:right w:val="nil"/>
            </w:tcBorders>
          </w:tcPr>
          <w:p w:rsidR="00161A75" w:rsidP="005C4F99" w:rsidRDefault="00161A75" w14:paraId="5F8CA20A" w14:textId="77777777">
            <w:pPr>
              <w:spacing w:line="240" w:lineRule="auto"/>
              <w:ind w:firstLine="0"/>
              <w:jc w:val="center"/>
              <w:rPr>
                <w:rFonts w:ascii="Aptos Narrow" w:hAnsi="Aptos Narrow" w:eastAsia="Times New Roman" w:cs="Times New Roman"/>
                <w:color w:val="000000"/>
                <w:sz w:val="22"/>
              </w:rPr>
            </w:pPr>
          </w:p>
        </w:tc>
        <w:tc>
          <w:tcPr>
            <w:tcW w:w="7689" w:type="dxa"/>
            <w:gridSpan w:val="6"/>
            <w:tcBorders>
              <w:top w:val="single" w:color="auto" w:sz="4" w:space="0"/>
              <w:left w:val="single" w:color="auto" w:sz="4" w:space="0"/>
              <w:bottom w:val="single" w:color="auto" w:sz="4" w:space="0"/>
              <w:right w:val="single" w:color="auto" w:sz="4" w:space="0"/>
            </w:tcBorders>
            <w:shd w:val="clear" w:color="auto" w:fill="auto"/>
            <w:vAlign w:val="bottom"/>
          </w:tcPr>
          <w:p w:rsidR="00161A75" w:rsidP="005C4F99" w:rsidRDefault="00161A75" w14:paraId="54F4297E" w14:textId="5E81D3DB">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w:t>
            </w:r>
            <w:r>
              <w:rPr>
                <w:rFonts w:ascii="Aptos Narrow" w:hAnsi="Aptos Narrow"/>
                <w:color w:val="000000"/>
                <w:sz w:val="22"/>
              </w:rPr>
              <w:t xml:space="preserve"> indicates not provided by PG&amp;E</w:t>
            </w:r>
          </w:p>
        </w:tc>
        <w:tc>
          <w:tcPr>
            <w:tcW w:w="236" w:type="dxa"/>
            <w:vAlign w:val="center"/>
          </w:tcPr>
          <w:p w:rsidRPr="00A57844" w:rsidR="00161A75" w:rsidP="00CA0F6C" w:rsidRDefault="00161A75" w14:paraId="35E89E5E" w14:textId="77777777">
            <w:pPr>
              <w:spacing w:line="240" w:lineRule="auto"/>
              <w:ind w:firstLine="0"/>
              <w:rPr>
                <w:rFonts w:ascii="Times New Roman" w:hAnsi="Times New Roman" w:eastAsia="Times New Roman" w:cs="Times New Roman"/>
                <w:sz w:val="20"/>
                <w:szCs w:val="20"/>
              </w:rPr>
            </w:pPr>
          </w:p>
        </w:tc>
      </w:tr>
    </w:tbl>
    <w:p w:rsidR="00C06ABF" w:rsidP="006351D8" w:rsidRDefault="00C06ABF" w14:paraId="596A7489" w14:textId="3CB51BF6">
      <w:pPr>
        <w:pStyle w:val="Standard"/>
      </w:pPr>
      <w:r>
        <w:lastRenderedPageBreak/>
        <w:t xml:space="preserve">PG&amp;E presented rate, bill and affordability impacts in its application </w:t>
      </w:r>
      <w:r w:rsidR="009F215F">
        <w:t>with its proposal for interim rate relief. PG&amp;E provided comparative affordability impacts for select alternative</w:t>
      </w:r>
      <w:r w:rsidR="0009621B">
        <w:t>s</w:t>
      </w:r>
      <w:r w:rsidR="009F215F">
        <w:t xml:space="preserve"> to its proposal. In Table 2 below, the first </w:t>
      </w:r>
      <w:r w:rsidR="0009621B">
        <w:t>rows</w:t>
      </w:r>
      <w:r w:rsidR="009F215F">
        <w:t xml:space="preserve"> show </w:t>
      </w:r>
      <w:r w:rsidR="0009621B">
        <w:t>recent utility bills for representative households in different climate zones and also with different income levels (median income, and lower-income). The associated Affordability Ratio (AR) metric shows how much of the household’s budget</w:t>
      </w:r>
      <w:r w:rsidR="0009621B">
        <w:rPr>
          <w:rStyle w:val="FootnoteReference"/>
        </w:rPr>
        <w:footnoteReference w:id="62"/>
      </w:r>
      <w:r w:rsidR="0009621B">
        <w:t xml:space="preserve"> the utility bill consumes, and the Hours-at-Minimum Wage (HM) metric shows the number of hours worked to pay the bill. When the bill goes up, affordability decrease</w:t>
      </w:r>
      <w:r w:rsidR="00FD7696">
        <w:t>s</w:t>
      </w:r>
      <w:r w:rsidR="0009621B">
        <w:t xml:space="preserve"> by the $ or hours shown in Table 2 below.</w:t>
      </w:r>
      <w:r w:rsidR="009F215F">
        <w:t xml:space="preserve"> </w:t>
      </w:r>
    </w:p>
    <w:p w:rsidR="0009621B" w:rsidRDefault="0009621B" w14:paraId="497E7360" w14:textId="77777777">
      <w:pPr>
        <w:spacing w:after="160" w:line="259" w:lineRule="auto"/>
        <w:ind w:firstLine="0"/>
        <w:rPr>
          <w:b/>
          <w:bCs/>
        </w:rPr>
      </w:pPr>
      <w:r>
        <w:rPr>
          <w:b/>
          <w:bCs/>
        </w:rPr>
        <w:br w:type="page"/>
      </w:r>
    </w:p>
    <w:p w:rsidRPr="0009621B" w:rsidR="006351D8" w:rsidP="007E19E8" w:rsidRDefault="006351D8" w14:paraId="5EB941B8" w14:textId="5DF635E5">
      <w:pPr>
        <w:pStyle w:val="Standard"/>
        <w:jc w:val="center"/>
        <w:rPr>
          <w:b/>
          <w:bCs/>
        </w:rPr>
      </w:pPr>
      <w:r w:rsidRPr="007E19E8">
        <w:rPr>
          <w:b/>
          <w:bCs/>
        </w:rPr>
        <w:lastRenderedPageBreak/>
        <w:t>Table 2</w:t>
      </w:r>
    </w:p>
    <w:p w:rsidRPr="004C7359" w:rsidR="00C06ABF" w:rsidP="00C06ABF" w:rsidRDefault="00C06ABF" w14:paraId="64059DF5" w14:textId="77777777">
      <w:pPr>
        <w:pStyle w:val="Standard"/>
        <w:spacing w:line="240" w:lineRule="auto"/>
        <w:ind w:firstLine="0"/>
        <w:jc w:val="center"/>
        <w:rPr>
          <w:b/>
          <w:bCs/>
        </w:rPr>
      </w:pPr>
      <w:r w:rsidRPr="004C7359">
        <w:rPr>
          <w:b/>
          <w:bCs/>
        </w:rPr>
        <w:t>PG&amp;E Residential (non-CARE) Utility Bills, and Comparisons of Affordability Impacts for Selected Hypothetical Representative Residential Customer Types</w:t>
      </w:r>
    </w:p>
    <w:tbl>
      <w:tblPr>
        <w:tblW w:w="10320" w:type="dxa"/>
        <w:tblLook w:val="04A0" w:firstRow="1" w:lastRow="0" w:firstColumn="1" w:lastColumn="0" w:noHBand="0" w:noVBand="1"/>
      </w:tblPr>
      <w:tblGrid>
        <w:gridCol w:w="339"/>
        <w:gridCol w:w="1817"/>
        <w:gridCol w:w="2237"/>
        <w:gridCol w:w="907"/>
        <w:gridCol w:w="1255"/>
        <w:gridCol w:w="1175"/>
        <w:gridCol w:w="1217"/>
        <w:gridCol w:w="1151"/>
        <w:gridCol w:w="222"/>
      </w:tblGrid>
      <w:tr w:rsidRPr="00A57844" w:rsidR="001D442F" w:rsidTr="001D442F" w14:paraId="75A09F4A" w14:textId="77777777">
        <w:trPr>
          <w:gridAfter w:val="1"/>
          <w:wAfter w:w="222" w:type="dxa"/>
          <w:trHeight w:val="900"/>
        </w:trPr>
        <w:tc>
          <w:tcPr>
            <w:tcW w:w="2156" w:type="dxa"/>
            <w:gridSpan w:val="2"/>
            <w:tcBorders>
              <w:top w:val="single" w:color="auto" w:sz="8" w:space="0"/>
              <w:left w:val="single" w:color="auto" w:sz="8" w:space="0"/>
              <w:bottom w:val="single" w:color="000000" w:sz="8" w:space="0"/>
              <w:right w:val="single" w:color="000000" w:sz="8" w:space="0"/>
            </w:tcBorders>
            <w:shd w:val="clear" w:color="auto" w:fill="auto"/>
            <w:vAlign w:val="center"/>
          </w:tcPr>
          <w:p w:rsidRPr="00A57844" w:rsidR="001D442F" w:rsidP="00486705" w:rsidRDefault="001D442F" w14:paraId="44D523F4" w14:textId="77777777">
            <w:pPr>
              <w:spacing w:line="240" w:lineRule="auto"/>
              <w:ind w:firstLine="0"/>
              <w:jc w:val="center"/>
              <w:rPr>
                <w:rFonts w:ascii="Aptos Narrow" w:hAnsi="Aptos Narrow" w:eastAsia="Times New Roman" w:cs="Times New Roman"/>
                <w:color w:val="000000"/>
                <w:sz w:val="22"/>
              </w:rPr>
            </w:pPr>
          </w:p>
        </w:tc>
        <w:tc>
          <w:tcPr>
            <w:tcW w:w="2237" w:type="dxa"/>
            <w:tcBorders>
              <w:top w:val="single" w:color="auto" w:sz="8" w:space="0"/>
              <w:left w:val="nil"/>
              <w:bottom w:val="single" w:color="000000" w:sz="8" w:space="0"/>
              <w:right w:val="nil"/>
            </w:tcBorders>
            <w:shd w:val="clear" w:color="auto" w:fill="auto"/>
            <w:vAlign w:val="center"/>
          </w:tcPr>
          <w:p w:rsidR="001D442F" w:rsidP="001D13B9" w:rsidRDefault="001D442F" w14:paraId="3FD112F2" w14:textId="77777777">
            <w:pPr>
              <w:spacing w:line="240" w:lineRule="auto"/>
              <w:ind w:firstLine="0"/>
              <w:rPr>
                <w:rFonts w:ascii="Aptos Narrow" w:hAnsi="Aptos Narrow" w:eastAsia="Times New Roman" w:cs="Times New Roman"/>
                <w:color w:val="000000"/>
                <w:sz w:val="22"/>
              </w:rPr>
            </w:pPr>
          </w:p>
        </w:tc>
        <w:tc>
          <w:tcPr>
            <w:tcW w:w="907" w:type="dxa"/>
            <w:tcBorders>
              <w:top w:val="single" w:color="auto" w:sz="8" w:space="0"/>
              <w:left w:val="nil"/>
              <w:bottom w:val="single" w:color="000000" w:sz="8" w:space="0"/>
              <w:right w:val="nil"/>
            </w:tcBorders>
            <w:shd w:val="clear" w:color="auto" w:fill="auto"/>
            <w:vAlign w:val="center"/>
          </w:tcPr>
          <w:p w:rsidR="001D442F" w:rsidP="00486705" w:rsidRDefault="001D442F" w14:paraId="52D09672" w14:textId="77777777">
            <w:pPr>
              <w:spacing w:line="240" w:lineRule="auto"/>
              <w:ind w:firstLine="0"/>
              <w:jc w:val="center"/>
              <w:rPr>
                <w:rFonts w:ascii="Aptos Narrow" w:hAnsi="Aptos Narrow" w:eastAsia="Times New Roman" w:cs="Times New Roman"/>
                <w:color w:val="000000"/>
                <w:sz w:val="22"/>
              </w:rPr>
            </w:pPr>
          </w:p>
        </w:tc>
        <w:tc>
          <w:tcPr>
            <w:tcW w:w="4798" w:type="dxa"/>
            <w:gridSpan w:val="4"/>
            <w:tcBorders>
              <w:top w:val="single" w:color="auto" w:sz="8" w:space="0"/>
              <w:left w:val="nil"/>
              <w:bottom w:val="single" w:color="000000" w:sz="8" w:space="0"/>
              <w:right w:val="single" w:color="auto" w:sz="8" w:space="0"/>
            </w:tcBorders>
            <w:shd w:val="clear" w:color="auto" w:fill="auto"/>
            <w:vAlign w:val="center"/>
          </w:tcPr>
          <w:p w:rsidR="001D442F" w:rsidP="00486705" w:rsidRDefault="001D442F" w14:paraId="0EDD3AD9" w14:textId="65498DA8">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AFFORDABILITY IMPACTS</w:t>
            </w:r>
            <w:r w:rsidR="00F73FF7">
              <w:rPr>
                <w:rStyle w:val="FootnoteReference"/>
                <w:rFonts w:ascii="Aptos Narrow" w:hAnsi="Aptos Narrow" w:eastAsia="Times New Roman" w:cs="Times New Roman"/>
                <w:color w:val="000000"/>
                <w:sz w:val="22"/>
              </w:rPr>
              <w:footnoteReference w:id="63"/>
            </w:r>
            <w:r w:rsidR="009F215F">
              <w:rPr>
                <w:rFonts w:ascii="Aptos Narrow" w:hAnsi="Aptos Narrow" w:eastAsia="Times New Roman" w:cs="Times New Roman"/>
                <w:color w:val="000000"/>
                <w:sz w:val="22"/>
              </w:rPr>
              <w:t xml:space="preserve"> </w:t>
            </w:r>
          </w:p>
          <w:p w:rsidRPr="00A57844" w:rsidR="009F215F" w:rsidP="00486705" w:rsidRDefault="009F215F" w14:paraId="25A99407" w14:textId="039D49B8">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AR=Affordability Ratio</w:t>
            </w:r>
          </w:p>
        </w:tc>
      </w:tr>
      <w:tr w:rsidRPr="00A57844" w:rsidR="001D13B9" w:rsidTr="007E19E8" w14:paraId="0B68FFF2" w14:textId="77777777">
        <w:trPr>
          <w:gridAfter w:val="1"/>
          <w:wAfter w:w="222" w:type="dxa"/>
          <w:trHeight w:val="900"/>
        </w:trPr>
        <w:tc>
          <w:tcPr>
            <w:tcW w:w="215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A57844" w:rsidR="00C06ABF" w:rsidP="00486705" w:rsidRDefault="00C06ABF" w14:paraId="4689B950" w14:textId="77777777">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Climate Zone</w:t>
            </w:r>
          </w:p>
        </w:tc>
        <w:tc>
          <w:tcPr>
            <w:tcW w:w="2237" w:type="dxa"/>
            <w:vMerge w:val="restart"/>
            <w:tcBorders>
              <w:top w:val="single" w:color="auto" w:sz="8" w:space="0"/>
              <w:left w:val="nil"/>
              <w:bottom w:val="single" w:color="000000" w:sz="8" w:space="0"/>
              <w:right w:val="nil"/>
            </w:tcBorders>
            <w:shd w:val="clear" w:color="auto" w:fill="auto"/>
            <w:vAlign w:val="center"/>
            <w:hideMark/>
          </w:tcPr>
          <w:p w:rsidR="0009621B" w:rsidP="00AF639E" w:rsidRDefault="00AF639E" w14:paraId="769C3D35" w14:textId="525A1216">
            <w:pPr>
              <w:spacing w:line="240" w:lineRule="auto"/>
              <w:ind w:firstLine="0"/>
              <w:jc w:val="center"/>
              <w:rPr>
                <w:rFonts w:ascii="Aptos Narrow" w:hAnsi="Aptos Narrow" w:eastAsia="Times New Roman" w:cs="Times New Roman"/>
                <w:color w:val="000000"/>
                <w:sz w:val="22"/>
              </w:rPr>
            </w:pPr>
            <w:bookmarkStart w:name="_Hlk157131095" w:id="22"/>
            <w:r>
              <w:rPr>
                <w:rFonts w:ascii="Aptos Narrow" w:hAnsi="Aptos Narrow" w:eastAsia="Times New Roman" w:cs="Times New Roman"/>
                <w:color w:val="000000"/>
                <w:sz w:val="22"/>
              </w:rPr>
              <w:t>Monthly Gas &amp; Electric</w:t>
            </w:r>
            <w:r w:rsidR="001D13B9">
              <w:rPr>
                <w:rFonts w:ascii="Aptos Narrow" w:hAnsi="Aptos Narrow" w:eastAsia="Times New Roman" w:cs="Times New Roman"/>
                <w:color w:val="000000"/>
                <w:sz w:val="22"/>
              </w:rPr>
              <w:t xml:space="preserve"> Bill, by date</w:t>
            </w:r>
          </w:p>
          <w:p w:rsidR="001D13B9" w:rsidP="00AF639E" w:rsidRDefault="001D13B9" w14:paraId="7EE0AF6F" w14:textId="4FAA465C">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 xml:space="preserve">          &amp;</w:t>
            </w:r>
          </w:p>
          <w:p w:rsidRPr="007E19E8" w:rsidR="001D13B9" w:rsidP="00AF639E" w:rsidRDefault="0009621B" w14:paraId="2C970ED3" w14:textId="3A38FD25">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 xml:space="preserve"> Change to Bill, by scenario</w:t>
            </w:r>
            <w:bookmarkEnd w:id="22"/>
          </w:p>
        </w:tc>
        <w:tc>
          <w:tcPr>
            <w:tcW w:w="907" w:type="dxa"/>
            <w:vMerge w:val="restart"/>
            <w:tcBorders>
              <w:top w:val="single" w:color="auto" w:sz="8" w:space="0"/>
              <w:left w:val="nil"/>
              <w:bottom w:val="single" w:color="000000" w:sz="8" w:space="0"/>
              <w:right w:val="nil"/>
            </w:tcBorders>
            <w:shd w:val="clear" w:color="auto" w:fill="auto"/>
            <w:vAlign w:val="center"/>
            <w:hideMark/>
          </w:tcPr>
          <w:p w:rsidRPr="00A57844" w:rsidR="00C06ABF" w:rsidP="00486705" w:rsidRDefault="001D13B9" w14:paraId="3A20898C" w14:textId="70786ECE">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 xml:space="preserve">  Bill Amount</w:t>
            </w:r>
          </w:p>
        </w:tc>
        <w:tc>
          <w:tcPr>
            <w:tcW w:w="1255" w:type="dxa"/>
            <w:vMerge w:val="restart"/>
            <w:tcBorders>
              <w:top w:val="single" w:color="auto" w:sz="8" w:space="0"/>
              <w:left w:val="nil"/>
              <w:bottom w:val="single" w:color="000000" w:sz="8" w:space="0"/>
              <w:right w:val="nil"/>
            </w:tcBorders>
            <w:shd w:val="clear" w:color="auto" w:fill="auto"/>
            <w:vAlign w:val="center"/>
            <w:hideMark/>
          </w:tcPr>
          <w:p w:rsidRPr="00A57844" w:rsidR="00C06ABF" w:rsidP="00486705" w:rsidRDefault="00C06ABF" w14:paraId="0D4991FC" w14:textId="77777777">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 xml:space="preserve">Median Income Household, AR50 </w:t>
            </w:r>
          </w:p>
        </w:tc>
        <w:tc>
          <w:tcPr>
            <w:tcW w:w="1175" w:type="dxa"/>
            <w:vMerge w:val="restart"/>
            <w:tcBorders>
              <w:top w:val="single" w:color="auto" w:sz="8" w:space="0"/>
              <w:left w:val="nil"/>
              <w:bottom w:val="single" w:color="000000" w:sz="8" w:space="0"/>
              <w:right w:val="nil"/>
            </w:tcBorders>
            <w:shd w:val="clear" w:color="auto" w:fill="auto"/>
            <w:vAlign w:val="center"/>
            <w:hideMark/>
          </w:tcPr>
          <w:p w:rsidRPr="00A57844" w:rsidR="00C06ABF" w:rsidP="00486705" w:rsidRDefault="00C06ABF" w14:paraId="5A722705" w14:textId="77777777">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Household with Income at 20th percentile, AR20</w:t>
            </w:r>
          </w:p>
        </w:tc>
        <w:tc>
          <w:tcPr>
            <w:tcW w:w="1217" w:type="dxa"/>
            <w:vMerge w:val="restart"/>
            <w:tcBorders>
              <w:top w:val="single" w:color="auto" w:sz="8" w:space="0"/>
              <w:left w:val="nil"/>
              <w:bottom w:val="single" w:color="000000" w:sz="8" w:space="0"/>
              <w:right w:val="nil"/>
            </w:tcBorders>
            <w:shd w:val="clear" w:color="auto" w:fill="auto"/>
            <w:vAlign w:val="center"/>
            <w:hideMark/>
          </w:tcPr>
          <w:p w:rsidRPr="00A57844" w:rsidR="00C06ABF" w:rsidP="00486705" w:rsidRDefault="00C06ABF" w14:paraId="684FC6AD" w14:textId="1901AF6F">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Hou</w:t>
            </w:r>
            <w:r w:rsidR="00B63735">
              <w:rPr>
                <w:rFonts w:ascii="Aptos Narrow" w:hAnsi="Aptos Narrow" w:eastAsia="Times New Roman" w:cs="Times New Roman"/>
                <w:color w:val="000000"/>
                <w:sz w:val="22"/>
              </w:rPr>
              <w:t>rs</w:t>
            </w:r>
            <w:r w:rsidRPr="00A57844">
              <w:rPr>
                <w:rFonts w:ascii="Aptos Narrow" w:hAnsi="Aptos Narrow" w:eastAsia="Times New Roman" w:cs="Times New Roman"/>
                <w:color w:val="000000"/>
                <w:sz w:val="22"/>
              </w:rPr>
              <w:t xml:space="preserve"> at Minimum Wage</w:t>
            </w:r>
          </w:p>
        </w:tc>
        <w:tc>
          <w:tcPr>
            <w:tcW w:w="1151" w:type="dxa"/>
            <w:vMerge w:val="restart"/>
            <w:tcBorders>
              <w:top w:val="single" w:color="auto" w:sz="8" w:space="0"/>
              <w:left w:val="nil"/>
              <w:bottom w:val="single" w:color="000000" w:sz="8" w:space="0"/>
              <w:right w:val="single" w:color="auto" w:sz="8" w:space="0"/>
            </w:tcBorders>
            <w:shd w:val="clear" w:color="auto" w:fill="auto"/>
            <w:vAlign w:val="center"/>
            <w:hideMark/>
          </w:tcPr>
          <w:p w:rsidRPr="00A57844" w:rsidR="00C06ABF" w:rsidP="00486705" w:rsidRDefault="00C06ABF" w14:paraId="5785CF36" w14:textId="77777777">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Area of Concern: Southwest Fresno City</w:t>
            </w:r>
          </w:p>
        </w:tc>
      </w:tr>
      <w:tr w:rsidRPr="00A57844" w:rsidR="001D13B9" w:rsidTr="007E19E8" w14:paraId="463D5F41" w14:textId="77777777">
        <w:trPr>
          <w:trHeight w:val="330"/>
        </w:trPr>
        <w:tc>
          <w:tcPr>
            <w:tcW w:w="2156" w:type="dxa"/>
            <w:gridSpan w:val="2"/>
            <w:vMerge/>
            <w:tcBorders>
              <w:top w:val="single" w:color="auto" w:sz="8" w:space="0"/>
              <w:left w:val="single" w:color="auto" w:sz="8" w:space="0"/>
              <w:bottom w:val="single" w:color="auto" w:sz="4" w:space="0"/>
              <w:right w:val="single" w:color="000000" w:sz="8" w:space="0"/>
            </w:tcBorders>
            <w:vAlign w:val="center"/>
            <w:hideMark/>
          </w:tcPr>
          <w:p w:rsidRPr="00A57844" w:rsidR="00C06ABF" w:rsidP="00486705" w:rsidRDefault="00C06ABF" w14:paraId="00E3C85C" w14:textId="77777777">
            <w:pPr>
              <w:spacing w:line="240" w:lineRule="auto"/>
              <w:ind w:firstLine="0"/>
              <w:rPr>
                <w:rFonts w:ascii="Aptos Narrow" w:hAnsi="Aptos Narrow" w:eastAsia="Times New Roman" w:cs="Times New Roman"/>
                <w:color w:val="000000"/>
                <w:sz w:val="22"/>
              </w:rPr>
            </w:pPr>
          </w:p>
        </w:tc>
        <w:tc>
          <w:tcPr>
            <w:tcW w:w="2237" w:type="dxa"/>
            <w:vMerge/>
            <w:tcBorders>
              <w:top w:val="single" w:color="auto" w:sz="8" w:space="0"/>
              <w:left w:val="nil"/>
              <w:bottom w:val="single" w:color="auto" w:sz="4" w:space="0"/>
              <w:right w:val="nil"/>
            </w:tcBorders>
            <w:vAlign w:val="center"/>
            <w:hideMark/>
          </w:tcPr>
          <w:p w:rsidRPr="00A57844" w:rsidR="00C06ABF" w:rsidP="00486705" w:rsidRDefault="00C06ABF" w14:paraId="3D8A2AD1" w14:textId="77777777">
            <w:pPr>
              <w:spacing w:line="240" w:lineRule="auto"/>
              <w:ind w:firstLine="0"/>
              <w:rPr>
                <w:rFonts w:ascii="Aptos Narrow" w:hAnsi="Aptos Narrow" w:eastAsia="Times New Roman" w:cs="Times New Roman"/>
                <w:color w:val="000000"/>
                <w:sz w:val="22"/>
              </w:rPr>
            </w:pPr>
          </w:p>
        </w:tc>
        <w:tc>
          <w:tcPr>
            <w:tcW w:w="907" w:type="dxa"/>
            <w:vMerge/>
            <w:tcBorders>
              <w:top w:val="single" w:color="auto" w:sz="8" w:space="0"/>
              <w:left w:val="nil"/>
              <w:bottom w:val="single" w:color="auto" w:sz="4" w:space="0"/>
              <w:right w:val="nil"/>
            </w:tcBorders>
            <w:vAlign w:val="center"/>
            <w:hideMark/>
          </w:tcPr>
          <w:p w:rsidRPr="00A57844" w:rsidR="00C06ABF" w:rsidP="00486705" w:rsidRDefault="00C06ABF" w14:paraId="78997302" w14:textId="77777777">
            <w:pPr>
              <w:spacing w:line="240" w:lineRule="auto"/>
              <w:ind w:firstLine="0"/>
              <w:rPr>
                <w:rFonts w:ascii="Aptos Narrow" w:hAnsi="Aptos Narrow" w:eastAsia="Times New Roman" w:cs="Times New Roman"/>
                <w:color w:val="000000"/>
                <w:sz w:val="22"/>
              </w:rPr>
            </w:pPr>
          </w:p>
        </w:tc>
        <w:tc>
          <w:tcPr>
            <w:tcW w:w="1255" w:type="dxa"/>
            <w:vMerge/>
            <w:tcBorders>
              <w:top w:val="single" w:color="auto" w:sz="8" w:space="0"/>
              <w:left w:val="nil"/>
              <w:bottom w:val="single" w:color="auto" w:sz="4" w:space="0"/>
              <w:right w:val="nil"/>
            </w:tcBorders>
            <w:vAlign w:val="center"/>
            <w:hideMark/>
          </w:tcPr>
          <w:p w:rsidRPr="00A57844" w:rsidR="00C06ABF" w:rsidP="00486705" w:rsidRDefault="00C06ABF" w14:paraId="31DE0C4A" w14:textId="77777777">
            <w:pPr>
              <w:spacing w:line="240" w:lineRule="auto"/>
              <w:ind w:firstLine="0"/>
              <w:rPr>
                <w:rFonts w:ascii="Aptos Narrow" w:hAnsi="Aptos Narrow" w:eastAsia="Times New Roman" w:cs="Times New Roman"/>
                <w:color w:val="000000"/>
                <w:sz w:val="22"/>
              </w:rPr>
            </w:pPr>
          </w:p>
        </w:tc>
        <w:tc>
          <w:tcPr>
            <w:tcW w:w="1175" w:type="dxa"/>
            <w:vMerge/>
            <w:tcBorders>
              <w:top w:val="single" w:color="auto" w:sz="8" w:space="0"/>
              <w:left w:val="nil"/>
              <w:bottom w:val="single" w:color="auto" w:sz="4" w:space="0"/>
              <w:right w:val="nil"/>
            </w:tcBorders>
            <w:vAlign w:val="center"/>
            <w:hideMark/>
          </w:tcPr>
          <w:p w:rsidRPr="00A57844" w:rsidR="00C06ABF" w:rsidP="00486705" w:rsidRDefault="00C06ABF" w14:paraId="2E8A3066" w14:textId="77777777">
            <w:pPr>
              <w:spacing w:line="240" w:lineRule="auto"/>
              <w:ind w:firstLine="0"/>
              <w:rPr>
                <w:rFonts w:ascii="Aptos Narrow" w:hAnsi="Aptos Narrow" w:eastAsia="Times New Roman" w:cs="Times New Roman"/>
                <w:color w:val="000000"/>
                <w:sz w:val="22"/>
              </w:rPr>
            </w:pPr>
          </w:p>
        </w:tc>
        <w:tc>
          <w:tcPr>
            <w:tcW w:w="1217" w:type="dxa"/>
            <w:vMerge/>
            <w:tcBorders>
              <w:top w:val="single" w:color="auto" w:sz="8" w:space="0"/>
              <w:left w:val="nil"/>
              <w:bottom w:val="single" w:color="auto" w:sz="4" w:space="0"/>
              <w:right w:val="nil"/>
            </w:tcBorders>
            <w:vAlign w:val="center"/>
            <w:hideMark/>
          </w:tcPr>
          <w:p w:rsidRPr="00A57844" w:rsidR="00C06ABF" w:rsidP="00486705" w:rsidRDefault="00C06ABF" w14:paraId="066F97C5" w14:textId="77777777">
            <w:pPr>
              <w:spacing w:line="240" w:lineRule="auto"/>
              <w:ind w:firstLine="0"/>
              <w:rPr>
                <w:rFonts w:ascii="Aptos Narrow" w:hAnsi="Aptos Narrow" w:eastAsia="Times New Roman" w:cs="Times New Roman"/>
                <w:color w:val="000000"/>
                <w:sz w:val="22"/>
              </w:rPr>
            </w:pPr>
          </w:p>
        </w:tc>
        <w:tc>
          <w:tcPr>
            <w:tcW w:w="1151" w:type="dxa"/>
            <w:vMerge/>
            <w:tcBorders>
              <w:top w:val="single" w:color="auto" w:sz="8" w:space="0"/>
              <w:left w:val="nil"/>
              <w:bottom w:val="single" w:color="auto" w:sz="4" w:space="0"/>
              <w:right w:val="single" w:color="auto" w:sz="8" w:space="0"/>
            </w:tcBorders>
            <w:vAlign w:val="center"/>
            <w:hideMark/>
          </w:tcPr>
          <w:p w:rsidRPr="00A57844" w:rsidR="00C06ABF" w:rsidP="00486705" w:rsidRDefault="00C06ABF" w14:paraId="021E0476" w14:textId="77777777">
            <w:pPr>
              <w:spacing w:line="240" w:lineRule="auto"/>
              <w:ind w:firstLine="0"/>
              <w:rPr>
                <w:rFonts w:ascii="Aptos Narrow" w:hAnsi="Aptos Narrow" w:eastAsia="Times New Roman" w:cs="Times New Roman"/>
                <w:color w:val="000000"/>
                <w:sz w:val="22"/>
              </w:rPr>
            </w:pPr>
          </w:p>
        </w:tc>
        <w:tc>
          <w:tcPr>
            <w:tcW w:w="222" w:type="dxa"/>
            <w:tcBorders>
              <w:top w:val="nil"/>
              <w:left w:val="nil"/>
              <w:bottom w:val="nil"/>
              <w:right w:val="nil"/>
            </w:tcBorders>
            <w:shd w:val="clear" w:color="auto" w:fill="auto"/>
            <w:noWrap/>
            <w:vAlign w:val="bottom"/>
            <w:hideMark/>
          </w:tcPr>
          <w:p w:rsidRPr="00A57844" w:rsidR="00C06ABF" w:rsidP="00486705" w:rsidRDefault="00C06ABF" w14:paraId="549DD691" w14:textId="77777777">
            <w:pPr>
              <w:spacing w:line="240" w:lineRule="auto"/>
              <w:ind w:firstLine="0"/>
              <w:jc w:val="center"/>
              <w:rPr>
                <w:rFonts w:ascii="Aptos Narrow" w:hAnsi="Aptos Narrow" w:eastAsia="Times New Roman" w:cs="Times New Roman"/>
                <w:color w:val="000000"/>
                <w:sz w:val="22"/>
              </w:rPr>
            </w:pPr>
          </w:p>
        </w:tc>
      </w:tr>
      <w:tr w:rsidRPr="00A57844" w:rsidR="001D13B9" w:rsidTr="001D442F" w14:paraId="5135D68F" w14:textId="77777777">
        <w:trPr>
          <w:trHeight w:val="900"/>
        </w:trPr>
        <w:tc>
          <w:tcPr>
            <w:tcW w:w="339" w:type="dxa"/>
            <w:vMerge w:val="restart"/>
            <w:tcBorders>
              <w:top w:val="single" w:color="auto" w:sz="4" w:space="0"/>
              <w:left w:val="single" w:color="auto" w:sz="4" w:space="0"/>
              <w:bottom w:val="single" w:color="auto" w:sz="4" w:space="0"/>
              <w:right w:val="nil"/>
            </w:tcBorders>
            <w:shd w:val="clear" w:color="auto" w:fill="auto"/>
            <w:noWrap/>
            <w:vAlign w:val="center"/>
            <w:hideMark/>
          </w:tcPr>
          <w:p w:rsidRPr="00A57844" w:rsidR="00C06ABF" w:rsidP="00486705" w:rsidRDefault="00C06ABF" w14:paraId="3B7C24A5" w14:textId="77777777">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X</w:t>
            </w:r>
          </w:p>
        </w:tc>
        <w:tc>
          <w:tcPr>
            <w:tcW w:w="1817" w:type="dxa"/>
            <w:vMerge w:val="restart"/>
            <w:tcBorders>
              <w:top w:val="single" w:color="auto" w:sz="4" w:space="0"/>
              <w:left w:val="nil"/>
              <w:bottom w:val="single" w:color="auto" w:sz="4" w:space="0"/>
              <w:right w:val="single" w:color="auto" w:sz="4" w:space="0"/>
            </w:tcBorders>
            <w:shd w:val="clear" w:color="auto" w:fill="auto"/>
            <w:vAlign w:val="center"/>
            <w:hideMark/>
          </w:tcPr>
          <w:p w:rsidRPr="00A57844" w:rsidR="00C06ABF" w:rsidP="00486705" w:rsidRDefault="00C06ABF" w14:paraId="2496943A" w14:textId="77777777">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Milder Climate &amp; More Affordable Bill</w:t>
            </w:r>
          </w:p>
        </w:tc>
        <w:tc>
          <w:tcPr>
            <w:tcW w:w="2237" w:type="dxa"/>
            <w:tcBorders>
              <w:top w:val="single" w:color="auto" w:sz="4" w:space="0"/>
              <w:left w:val="single" w:color="auto" w:sz="4" w:space="0"/>
              <w:bottom w:val="single" w:color="auto" w:sz="4" w:space="0"/>
              <w:right w:val="nil"/>
            </w:tcBorders>
            <w:shd w:val="clear" w:color="auto" w:fill="auto"/>
            <w:vAlign w:val="bottom"/>
            <w:hideMark/>
          </w:tcPr>
          <w:p w:rsidR="001D13B9" w:rsidP="00486705" w:rsidRDefault="001D13B9" w14:paraId="5751F9CD" w14:textId="77777777">
            <w:pPr>
              <w:spacing w:line="240" w:lineRule="auto"/>
              <w:ind w:firstLine="0"/>
              <w:jc w:val="right"/>
              <w:rPr>
                <w:rFonts w:ascii="Aptos Narrow" w:hAnsi="Aptos Narrow" w:eastAsia="Times New Roman" w:cs="Times New Roman"/>
                <w:color w:val="000000"/>
                <w:sz w:val="22"/>
              </w:rPr>
            </w:pPr>
            <w:r>
              <w:rPr>
                <w:rFonts w:ascii="Aptos Narrow" w:hAnsi="Aptos Narrow" w:eastAsia="Times New Roman" w:cs="Times New Roman"/>
                <w:color w:val="000000"/>
                <w:sz w:val="22"/>
              </w:rPr>
              <w:t xml:space="preserve"> Date of Bill:</w:t>
            </w:r>
          </w:p>
          <w:p w:rsidRPr="00A57844" w:rsidR="00C06ABF" w:rsidP="00486705" w:rsidRDefault="001D13B9" w14:paraId="3FC13715" w14:textId="42F54B2E">
            <w:pPr>
              <w:spacing w:line="240" w:lineRule="auto"/>
              <w:ind w:firstLine="0"/>
              <w:jc w:val="right"/>
              <w:rPr>
                <w:rFonts w:ascii="Aptos Narrow" w:hAnsi="Aptos Narrow" w:eastAsia="Times New Roman" w:cs="Times New Roman"/>
                <w:color w:val="000000"/>
                <w:sz w:val="22"/>
              </w:rPr>
            </w:pPr>
            <w:r>
              <w:rPr>
                <w:rFonts w:ascii="Aptos Narrow" w:hAnsi="Aptos Narrow" w:eastAsia="Times New Roman" w:cs="Times New Roman"/>
                <w:color w:val="000000"/>
                <w:sz w:val="22"/>
              </w:rPr>
              <w:t xml:space="preserve"> </w:t>
            </w:r>
            <w:r w:rsidRPr="00A57844" w:rsidR="00C06ABF">
              <w:rPr>
                <w:rFonts w:ascii="Aptos Narrow" w:hAnsi="Aptos Narrow" w:eastAsia="Times New Roman" w:cs="Times New Roman"/>
                <w:color w:val="000000"/>
                <w:sz w:val="22"/>
              </w:rPr>
              <w:t>Jun-23</w:t>
            </w:r>
          </w:p>
        </w:tc>
        <w:tc>
          <w:tcPr>
            <w:tcW w:w="907"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726AFB70" w14:textId="7777777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 xml:space="preserve">$212 </w:t>
            </w:r>
          </w:p>
        </w:tc>
        <w:tc>
          <w:tcPr>
            <w:tcW w:w="1255"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0D3CFD96" w14:textId="7777777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1.9%</w:t>
            </w:r>
          </w:p>
        </w:tc>
        <w:tc>
          <w:tcPr>
            <w:tcW w:w="1175"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77D92DBE" w14:textId="7777777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6.8%</w:t>
            </w:r>
          </w:p>
        </w:tc>
        <w:tc>
          <w:tcPr>
            <w:tcW w:w="1217" w:type="dxa"/>
            <w:tcBorders>
              <w:top w:val="single" w:color="auto" w:sz="4" w:space="0"/>
              <w:left w:val="nil"/>
              <w:bottom w:val="single" w:color="auto" w:sz="4" w:space="0"/>
              <w:right w:val="single" w:color="auto" w:sz="4" w:space="0"/>
            </w:tcBorders>
            <w:shd w:val="clear" w:color="auto" w:fill="auto"/>
            <w:noWrap/>
            <w:vAlign w:val="bottom"/>
            <w:hideMark/>
          </w:tcPr>
          <w:p w:rsidRPr="00A57844" w:rsidR="00C06ABF" w:rsidP="00486705" w:rsidRDefault="00C06ABF" w14:paraId="61BCD273" w14:textId="7777777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10.7</w:t>
            </w:r>
          </w:p>
        </w:tc>
        <w:tc>
          <w:tcPr>
            <w:tcW w:w="11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57844" w:rsidR="00C06ABF" w:rsidP="00486705" w:rsidRDefault="00C06ABF" w14:paraId="23E26C82" w14:textId="77777777">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n/a</w:t>
            </w:r>
          </w:p>
        </w:tc>
        <w:tc>
          <w:tcPr>
            <w:tcW w:w="222" w:type="dxa"/>
            <w:tcBorders>
              <w:left w:val="single" w:color="auto" w:sz="4" w:space="0"/>
            </w:tcBorders>
            <w:vAlign w:val="center"/>
            <w:hideMark/>
          </w:tcPr>
          <w:p w:rsidRPr="00A57844" w:rsidR="00C06ABF" w:rsidP="00486705" w:rsidRDefault="00C06ABF" w14:paraId="40696BD4" w14:textId="77777777">
            <w:pPr>
              <w:spacing w:line="240" w:lineRule="auto"/>
              <w:ind w:firstLine="0"/>
              <w:rPr>
                <w:rFonts w:ascii="Times New Roman" w:hAnsi="Times New Roman" w:eastAsia="Times New Roman" w:cs="Times New Roman"/>
                <w:sz w:val="20"/>
                <w:szCs w:val="20"/>
              </w:rPr>
            </w:pPr>
          </w:p>
        </w:tc>
      </w:tr>
      <w:tr w:rsidRPr="00A57844" w:rsidR="007E19E8" w:rsidTr="007E19E8" w14:paraId="651ADF20" w14:textId="77777777">
        <w:trPr>
          <w:trHeight w:val="375"/>
        </w:trPr>
        <w:tc>
          <w:tcPr>
            <w:tcW w:w="339" w:type="dxa"/>
            <w:vMerge/>
            <w:tcBorders>
              <w:top w:val="single" w:color="auto" w:sz="4" w:space="0"/>
              <w:left w:val="single" w:color="auto" w:sz="8" w:space="0"/>
              <w:bottom w:val="nil"/>
              <w:right w:val="nil"/>
            </w:tcBorders>
            <w:vAlign w:val="center"/>
            <w:hideMark/>
          </w:tcPr>
          <w:p w:rsidRPr="00A57844" w:rsidR="00C06ABF" w:rsidP="00486705" w:rsidRDefault="00C06ABF" w14:paraId="52CC6C90" w14:textId="77777777">
            <w:pPr>
              <w:spacing w:line="240" w:lineRule="auto"/>
              <w:ind w:firstLine="0"/>
              <w:rPr>
                <w:rFonts w:ascii="Aptos Narrow" w:hAnsi="Aptos Narrow" w:eastAsia="Times New Roman" w:cs="Times New Roman"/>
                <w:color w:val="000000"/>
                <w:sz w:val="22"/>
              </w:rPr>
            </w:pPr>
          </w:p>
        </w:tc>
        <w:tc>
          <w:tcPr>
            <w:tcW w:w="1817" w:type="dxa"/>
            <w:vMerge/>
            <w:tcBorders>
              <w:top w:val="single" w:color="auto" w:sz="4" w:space="0"/>
              <w:left w:val="nil"/>
              <w:bottom w:val="nil"/>
              <w:right w:val="single" w:color="auto" w:sz="4" w:space="0"/>
            </w:tcBorders>
            <w:vAlign w:val="center"/>
            <w:hideMark/>
          </w:tcPr>
          <w:p w:rsidRPr="00A57844" w:rsidR="00C06ABF" w:rsidP="00486705" w:rsidRDefault="00C06ABF" w14:paraId="076DA429" w14:textId="77777777">
            <w:pPr>
              <w:spacing w:line="240" w:lineRule="auto"/>
              <w:ind w:firstLine="0"/>
              <w:rPr>
                <w:rFonts w:ascii="Aptos Narrow" w:hAnsi="Aptos Narrow" w:eastAsia="Times New Roman" w:cs="Times New Roman"/>
                <w:color w:val="000000"/>
                <w:sz w:val="22"/>
              </w:rPr>
            </w:pPr>
          </w:p>
        </w:tc>
        <w:tc>
          <w:tcPr>
            <w:tcW w:w="2237" w:type="dxa"/>
            <w:tcBorders>
              <w:top w:val="single" w:color="auto" w:sz="4" w:space="0"/>
              <w:left w:val="single" w:color="auto" w:sz="4" w:space="0"/>
              <w:bottom w:val="single" w:color="auto" w:sz="4" w:space="0"/>
              <w:right w:val="nil"/>
            </w:tcBorders>
            <w:shd w:val="clear" w:color="auto" w:fill="auto"/>
            <w:vAlign w:val="bottom"/>
            <w:hideMark/>
          </w:tcPr>
          <w:p w:rsidR="001D13B9" w:rsidP="00486705" w:rsidRDefault="001D13B9" w14:paraId="2217F835" w14:textId="77777777">
            <w:pPr>
              <w:spacing w:line="240" w:lineRule="auto"/>
              <w:ind w:firstLine="0"/>
              <w:jc w:val="right"/>
              <w:rPr>
                <w:rFonts w:ascii="Aptos Narrow" w:hAnsi="Aptos Narrow" w:eastAsia="Times New Roman" w:cs="Times New Roman"/>
                <w:color w:val="000000"/>
                <w:sz w:val="22"/>
              </w:rPr>
            </w:pPr>
            <w:r>
              <w:rPr>
                <w:rFonts w:ascii="Aptos Narrow" w:hAnsi="Aptos Narrow" w:eastAsia="Times New Roman" w:cs="Times New Roman"/>
                <w:color w:val="000000"/>
                <w:sz w:val="22"/>
              </w:rPr>
              <w:t>Date of Bill:</w:t>
            </w:r>
          </w:p>
          <w:p w:rsidRPr="00A57844" w:rsidR="00C06ABF" w:rsidP="00486705" w:rsidRDefault="00C06ABF" w14:paraId="143F7630" w14:textId="31A856D5">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Jan-24</w:t>
            </w:r>
            <w:r>
              <w:rPr>
                <w:rStyle w:val="FootnoteReference"/>
                <w:rFonts w:ascii="Aptos Narrow" w:hAnsi="Aptos Narrow" w:eastAsia="Times New Roman" w:cs="Times New Roman"/>
                <w:b/>
                <w:bCs/>
                <w:color w:val="000000"/>
                <w:sz w:val="22"/>
              </w:rPr>
              <w:footnoteReference w:id="64"/>
            </w:r>
          </w:p>
        </w:tc>
        <w:tc>
          <w:tcPr>
            <w:tcW w:w="907"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61A5D93D" w14:textId="7777777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+~$26</w:t>
            </w:r>
          </w:p>
        </w:tc>
        <w:tc>
          <w:tcPr>
            <w:tcW w:w="1255"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328BF624" w14:textId="77777777">
            <w:pPr>
              <w:spacing w:line="240" w:lineRule="auto"/>
              <w:ind w:firstLine="0"/>
              <w:jc w:val="right"/>
              <w:rPr>
                <w:rFonts w:ascii="Aptos Narrow" w:hAnsi="Aptos Narrow" w:eastAsia="Times New Roman" w:cs="Times New Roman"/>
                <w:b/>
                <w:bCs/>
                <w:color w:val="000000"/>
                <w:sz w:val="22"/>
              </w:rPr>
            </w:pPr>
          </w:p>
        </w:tc>
        <w:tc>
          <w:tcPr>
            <w:tcW w:w="1175"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3E6E9C05" w14:textId="77777777">
            <w:pPr>
              <w:spacing w:line="240" w:lineRule="auto"/>
              <w:ind w:firstLine="0"/>
              <w:rPr>
                <w:rFonts w:ascii="Times New Roman" w:hAnsi="Times New Roman" w:eastAsia="Times New Roman" w:cs="Times New Roman"/>
                <w:sz w:val="20"/>
                <w:szCs w:val="20"/>
              </w:rPr>
            </w:pPr>
          </w:p>
        </w:tc>
        <w:tc>
          <w:tcPr>
            <w:tcW w:w="1217" w:type="dxa"/>
            <w:tcBorders>
              <w:top w:val="single" w:color="auto" w:sz="4" w:space="0"/>
              <w:left w:val="nil"/>
              <w:bottom w:val="single" w:color="auto" w:sz="4" w:space="0"/>
              <w:right w:val="single" w:color="auto" w:sz="4" w:space="0"/>
            </w:tcBorders>
            <w:shd w:val="clear" w:color="auto" w:fill="auto"/>
            <w:noWrap/>
            <w:vAlign w:val="bottom"/>
            <w:hideMark/>
          </w:tcPr>
          <w:p w:rsidRPr="00A57844" w:rsidR="00C06ABF" w:rsidP="00486705" w:rsidRDefault="00C06ABF" w14:paraId="34643699" w14:textId="77777777">
            <w:pPr>
              <w:spacing w:line="240" w:lineRule="auto"/>
              <w:ind w:firstLine="0"/>
              <w:rPr>
                <w:rFonts w:ascii="Times New Roman" w:hAnsi="Times New Roman" w:eastAsia="Times New Roman" w:cs="Times New Roman"/>
                <w:sz w:val="20"/>
                <w:szCs w:val="20"/>
              </w:rPr>
            </w:pPr>
          </w:p>
        </w:tc>
        <w:tc>
          <w:tcPr>
            <w:tcW w:w="1151" w:type="dxa"/>
            <w:vMerge/>
            <w:tcBorders>
              <w:top w:val="single" w:color="auto" w:sz="4" w:space="0"/>
              <w:left w:val="single" w:color="auto" w:sz="4" w:space="0"/>
              <w:bottom w:val="nil"/>
              <w:right w:val="single" w:color="auto" w:sz="8" w:space="0"/>
            </w:tcBorders>
            <w:vAlign w:val="center"/>
            <w:hideMark/>
          </w:tcPr>
          <w:p w:rsidRPr="00A57844" w:rsidR="00C06ABF" w:rsidP="00486705" w:rsidRDefault="00C06ABF" w14:paraId="038F49B4" w14:textId="77777777">
            <w:pPr>
              <w:spacing w:line="240" w:lineRule="auto"/>
              <w:ind w:firstLine="0"/>
              <w:rPr>
                <w:rFonts w:ascii="Aptos Narrow" w:hAnsi="Aptos Narrow" w:eastAsia="Times New Roman" w:cs="Times New Roman"/>
                <w:color w:val="000000"/>
                <w:sz w:val="22"/>
              </w:rPr>
            </w:pPr>
          </w:p>
        </w:tc>
        <w:tc>
          <w:tcPr>
            <w:tcW w:w="222" w:type="dxa"/>
            <w:vAlign w:val="center"/>
            <w:hideMark/>
          </w:tcPr>
          <w:p w:rsidRPr="00A57844" w:rsidR="00C06ABF" w:rsidP="00486705" w:rsidRDefault="00C06ABF" w14:paraId="2B0B21C2" w14:textId="77777777">
            <w:pPr>
              <w:spacing w:line="240" w:lineRule="auto"/>
              <w:ind w:firstLine="0"/>
              <w:rPr>
                <w:rFonts w:ascii="Times New Roman" w:hAnsi="Times New Roman" w:eastAsia="Times New Roman" w:cs="Times New Roman"/>
                <w:sz w:val="20"/>
                <w:szCs w:val="20"/>
              </w:rPr>
            </w:pPr>
          </w:p>
        </w:tc>
      </w:tr>
      <w:tr w:rsidRPr="00A57844" w:rsidR="007E19E8" w:rsidTr="007E19E8" w14:paraId="7BF59738" w14:textId="77777777">
        <w:trPr>
          <w:trHeight w:val="300"/>
        </w:trPr>
        <w:tc>
          <w:tcPr>
            <w:tcW w:w="339" w:type="dxa"/>
            <w:vMerge/>
            <w:tcBorders>
              <w:top w:val="nil"/>
              <w:left w:val="single" w:color="auto" w:sz="8" w:space="0"/>
              <w:bottom w:val="nil"/>
              <w:right w:val="nil"/>
            </w:tcBorders>
            <w:vAlign w:val="center"/>
            <w:hideMark/>
          </w:tcPr>
          <w:p w:rsidRPr="00A57844" w:rsidR="00C06ABF" w:rsidP="00486705" w:rsidRDefault="00C06ABF" w14:paraId="52EEABAF" w14:textId="77777777">
            <w:pPr>
              <w:spacing w:line="240" w:lineRule="auto"/>
              <w:ind w:firstLine="0"/>
              <w:rPr>
                <w:rFonts w:ascii="Aptos Narrow" w:hAnsi="Aptos Narrow" w:eastAsia="Times New Roman" w:cs="Times New Roman"/>
                <w:color w:val="000000"/>
                <w:sz w:val="22"/>
              </w:rPr>
            </w:pPr>
          </w:p>
        </w:tc>
        <w:tc>
          <w:tcPr>
            <w:tcW w:w="1817" w:type="dxa"/>
            <w:vMerge/>
            <w:tcBorders>
              <w:top w:val="single" w:color="000000" w:sz="4" w:space="0"/>
              <w:left w:val="nil"/>
              <w:bottom w:val="nil"/>
              <w:right w:val="single" w:color="auto" w:sz="4" w:space="0"/>
            </w:tcBorders>
            <w:vAlign w:val="center"/>
            <w:hideMark/>
          </w:tcPr>
          <w:p w:rsidRPr="00A57844" w:rsidR="00C06ABF" w:rsidP="00486705" w:rsidRDefault="00C06ABF" w14:paraId="293D4958" w14:textId="77777777">
            <w:pPr>
              <w:spacing w:line="240" w:lineRule="auto"/>
              <w:ind w:firstLine="0"/>
              <w:rPr>
                <w:rFonts w:ascii="Aptos Narrow" w:hAnsi="Aptos Narrow" w:eastAsia="Times New Roman" w:cs="Times New Roman"/>
                <w:color w:val="000000"/>
                <w:sz w:val="22"/>
              </w:rPr>
            </w:pPr>
          </w:p>
        </w:tc>
        <w:tc>
          <w:tcPr>
            <w:tcW w:w="2237" w:type="dxa"/>
            <w:tcBorders>
              <w:top w:val="single" w:color="auto" w:sz="4" w:space="0"/>
              <w:left w:val="single" w:color="auto" w:sz="4" w:space="0"/>
              <w:bottom w:val="single" w:color="auto" w:sz="4" w:space="0"/>
              <w:right w:val="nil"/>
            </w:tcBorders>
            <w:shd w:val="clear" w:color="auto" w:fill="auto"/>
            <w:vAlign w:val="bottom"/>
            <w:hideMark/>
          </w:tcPr>
          <w:p w:rsidRPr="00A57844" w:rsidR="00C06ABF" w:rsidP="00486705" w:rsidRDefault="001D13B9" w14:paraId="2F33769B" w14:textId="3404DEF8">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no interim relief</w:t>
            </w:r>
          </w:p>
        </w:tc>
        <w:tc>
          <w:tcPr>
            <w:tcW w:w="907"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6459F6A4" w14:textId="77777777">
            <w:pPr>
              <w:spacing w:line="240" w:lineRule="auto"/>
              <w:ind w:firstLine="0"/>
              <w:rPr>
                <w:rFonts w:ascii="Aptos Narrow" w:hAnsi="Aptos Narrow" w:eastAsia="Times New Roman" w:cs="Times New Roman"/>
                <w:color w:val="000000"/>
                <w:sz w:val="22"/>
              </w:rPr>
            </w:pPr>
          </w:p>
        </w:tc>
        <w:tc>
          <w:tcPr>
            <w:tcW w:w="1255"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6A57E5B7" w14:textId="77777777">
            <w:pPr>
              <w:spacing w:line="240" w:lineRule="auto"/>
              <w:ind w:firstLine="0"/>
              <w:rPr>
                <w:rFonts w:ascii="Times New Roman" w:hAnsi="Times New Roman" w:eastAsia="Times New Roman" w:cs="Times New Roman"/>
                <w:sz w:val="20"/>
                <w:szCs w:val="20"/>
              </w:rPr>
            </w:pPr>
          </w:p>
        </w:tc>
        <w:tc>
          <w:tcPr>
            <w:tcW w:w="1175"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49148C26"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0.2%</w:t>
            </w:r>
          </w:p>
        </w:tc>
        <w:tc>
          <w:tcPr>
            <w:tcW w:w="1217" w:type="dxa"/>
            <w:tcBorders>
              <w:top w:val="single" w:color="auto" w:sz="4" w:space="0"/>
              <w:left w:val="nil"/>
              <w:bottom w:val="single" w:color="auto" w:sz="4" w:space="0"/>
              <w:right w:val="single" w:color="auto" w:sz="4" w:space="0"/>
            </w:tcBorders>
            <w:shd w:val="clear" w:color="auto" w:fill="auto"/>
            <w:noWrap/>
            <w:vAlign w:val="bottom"/>
            <w:hideMark/>
          </w:tcPr>
          <w:p w:rsidRPr="00A57844" w:rsidR="00C06ABF" w:rsidP="00486705" w:rsidRDefault="00C06ABF" w14:paraId="34517282"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0.7</w:t>
            </w:r>
          </w:p>
        </w:tc>
        <w:tc>
          <w:tcPr>
            <w:tcW w:w="1151" w:type="dxa"/>
            <w:vMerge/>
            <w:tcBorders>
              <w:top w:val="nil"/>
              <w:left w:val="single" w:color="auto" w:sz="4" w:space="0"/>
              <w:bottom w:val="nil"/>
              <w:right w:val="single" w:color="auto" w:sz="8" w:space="0"/>
            </w:tcBorders>
            <w:vAlign w:val="center"/>
            <w:hideMark/>
          </w:tcPr>
          <w:p w:rsidRPr="00A57844" w:rsidR="00C06ABF" w:rsidP="00486705" w:rsidRDefault="00C06ABF" w14:paraId="33A2C3DD" w14:textId="77777777">
            <w:pPr>
              <w:spacing w:line="240" w:lineRule="auto"/>
              <w:ind w:firstLine="0"/>
              <w:rPr>
                <w:rFonts w:ascii="Aptos Narrow" w:hAnsi="Aptos Narrow" w:eastAsia="Times New Roman" w:cs="Times New Roman"/>
                <w:color w:val="000000"/>
                <w:sz w:val="22"/>
              </w:rPr>
            </w:pPr>
          </w:p>
        </w:tc>
        <w:tc>
          <w:tcPr>
            <w:tcW w:w="222" w:type="dxa"/>
            <w:vAlign w:val="center"/>
            <w:hideMark/>
          </w:tcPr>
          <w:p w:rsidRPr="00A57844" w:rsidR="00C06ABF" w:rsidP="00486705" w:rsidRDefault="00C06ABF" w14:paraId="0640B893" w14:textId="77777777">
            <w:pPr>
              <w:spacing w:line="240" w:lineRule="auto"/>
              <w:ind w:firstLine="0"/>
              <w:rPr>
                <w:rFonts w:ascii="Times New Roman" w:hAnsi="Times New Roman" w:eastAsia="Times New Roman" w:cs="Times New Roman"/>
                <w:sz w:val="20"/>
                <w:szCs w:val="20"/>
              </w:rPr>
            </w:pPr>
          </w:p>
        </w:tc>
      </w:tr>
      <w:tr w:rsidRPr="00A57844" w:rsidR="007E19E8" w:rsidTr="007E19E8" w14:paraId="7B9209C4" w14:textId="77777777">
        <w:trPr>
          <w:trHeight w:val="300"/>
        </w:trPr>
        <w:tc>
          <w:tcPr>
            <w:tcW w:w="339" w:type="dxa"/>
            <w:vMerge/>
            <w:tcBorders>
              <w:top w:val="nil"/>
              <w:left w:val="single" w:color="auto" w:sz="8" w:space="0"/>
              <w:bottom w:val="nil"/>
              <w:right w:val="nil"/>
            </w:tcBorders>
            <w:vAlign w:val="center"/>
            <w:hideMark/>
          </w:tcPr>
          <w:p w:rsidRPr="00A57844" w:rsidR="00C06ABF" w:rsidP="00486705" w:rsidRDefault="00C06ABF" w14:paraId="17B74BE9" w14:textId="77777777">
            <w:pPr>
              <w:spacing w:line="240" w:lineRule="auto"/>
              <w:ind w:firstLine="0"/>
              <w:rPr>
                <w:rFonts w:ascii="Aptos Narrow" w:hAnsi="Aptos Narrow" w:eastAsia="Times New Roman" w:cs="Times New Roman"/>
                <w:color w:val="000000"/>
                <w:sz w:val="22"/>
              </w:rPr>
            </w:pPr>
          </w:p>
        </w:tc>
        <w:tc>
          <w:tcPr>
            <w:tcW w:w="1817" w:type="dxa"/>
            <w:vMerge/>
            <w:tcBorders>
              <w:top w:val="single" w:color="000000" w:sz="4" w:space="0"/>
              <w:left w:val="nil"/>
              <w:bottom w:val="nil"/>
              <w:right w:val="single" w:color="auto" w:sz="4" w:space="0"/>
            </w:tcBorders>
            <w:vAlign w:val="center"/>
            <w:hideMark/>
          </w:tcPr>
          <w:p w:rsidRPr="00A57844" w:rsidR="00C06ABF" w:rsidP="00486705" w:rsidRDefault="00C06ABF" w14:paraId="6DE7FA31" w14:textId="77777777">
            <w:pPr>
              <w:spacing w:line="240" w:lineRule="auto"/>
              <w:ind w:firstLine="0"/>
              <w:rPr>
                <w:rFonts w:ascii="Aptos Narrow" w:hAnsi="Aptos Narrow" w:eastAsia="Times New Roman" w:cs="Times New Roman"/>
                <w:color w:val="000000"/>
                <w:sz w:val="22"/>
              </w:rPr>
            </w:pPr>
          </w:p>
        </w:tc>
        <w:tc>
          <w:tcPr>
            <w:tcW w:w="2237" w:type="dxa"/>
            <w:tcBorders>
              <w:top w:val="single" w:color="auto" w:sz="4" w:space="0"/>
              <w:left w:val="single" w:color="auto" w:sz="4" w:space="0"/>
              <w:bottom w:val="single" w:color="auto" w:sz="4" w:space="0"/>
              <w:right w:val="nil"/>
            </w:tcBorders>
            <w:shd w:val="clear" w:color="auto" w:fill="auto"/>
            <w:vAlign w:val="bottom"/>
            <w:hideMark/>
          </w:tcPr>
          <w:p w:rsidRPr="00A57844" w:rsidR="00C06ABF" w:rsidP="00486705" w:rsidRDefault="001D13B9" w14:paraId="77760DC1" w14:textId="3454084F">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PG&amp;E</w:t>
            </w:r>
            <w:r w:rsidR="00234452">
              <w:rPr>
                <w:rFonts w:ascii="Aptos Narrow" w:hAnsi="Aptos Narrow" w:eastAsia="Times New Roman" w:cs="Times New Roman"/>
                <w:color w:val="000000"/>
                <w:sz w:val="22"/>
              </w:rPr>
              <w:t>’s Proposal</w:t>
            </w:r>
            <w:r>
              <w:rPr>
                <w:rFonts w:ascii="Aptos Narrow" w:hAnsi="Aptos Narrow" w:eastAsia="Times New Roman" w:cs="Times New Roman"/>
                <w:color w:val="000000"/>
                <w:sz w:val="22"/>
              </w:rPr>
              <w:t xml:space="preserve"> </w:t>
            </w:r>
          </w:p>
        </w:tc>
        <w:tc>
          <w:tcPr>
            <w:tcW w:w="907"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1D442F" w14:paraId="06FA8AF2" w14:textId="0A5D8C59">
            <w:pPr>
              <w:spacing w:line="240" w:lineRule="auto"/>
              <w:ind w:firstLine="0"/>
              <w:jc w:val="right"/>
              <w:rPr>
                <w:rFonts w:ascii="Aptos Narrow" w:hAnsi="Aptos Narrow" w:eastAsia="Times New Roman" w:cs="Times New Roman"/>
                <w:color w:val="000000"/>
                <w:sz w:val="22"/>
              </w:rPr>
            </w:pPr>
            <w:r>
              <w:rPr>
                <w:rFonts w:ascii="Aptos Narrow" w:hAnsi="Aptos Narrow" w:eastAsia="Times New Roman" w:cs="Times New Roman"/>
                <w:color w:val="000000"/>
                <w:sz w:val="22"/>
              </w:rPr>
              <w:t>+</w:t>
            </w:r>
            <w:r w:rsidRPr="00A57844" w:rsidR="00C06ABF">
              <w:rPr>
                <w:rFonts w:ascii="Aptos Narrow" w:hAnsi="Aptos Narrow" w:eastAsia="Times New Roman" w:cs="Times New Roman"/>
                <w:color w:val="000000"/>
                <w:sz w:val="22"/>
              </w:rPr>
              <w:t xml:space="preserve">$4 </w:t>
            </w:r>
          </w:p>
        </w:tc>
        <w:tc>
          <w:tcPr>
            <w:tcW w:w="1255"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54B113B2"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0.1%</w:t>
            </w:r>
          </w:p>
        </w:tc>
        <w:tc>
          <w:tcPr>
            <w:tcW w:w="1175"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284D6CD5"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0.1%</w:t>
            </w:r>
          </w:p>
        </w:tc>
        <w:tc>
          <w:tcPr>
            <w:tcW w:w="1217" w:type="dxa"/>
            <w:tcBorders>
              <w:top w:val="single" w:color="auto" w:sz="4" w:space="0"/>
              <w:left w:val="nil"/>
              <w:bottom w:val="single" w:color="auto" w:sz="4" w:space="0"/>
              <w:right w:val="single" w:color="auto" w:sz="4" w:space="0"/>
            </w:tcBorders>
            <w:shd w:val="clear" w:color="auto" w:fill="auto"/>
            <w:noWrap/>
            <w:vAlign w:val="bottom"/>
            <w:hideMark/>
          </w:tcPr>
          <w:p w:rsidRPr="00A57844" w:rsidR="00C06ABF" w:rsidP="00486705" w:rsidRDefault="00C06ABF" w14:paraId="3D54E0B3"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0.2</w:t>
            </w:r>
          </w:p>
        </w:tc>
        <w:tc>
          <w:tcPr>
            <w:tcW w:w="1151" w:type="dxa"/>
            <w:vMerge/>
            <w:tcBorders>
              <w:top w:val="nil"/>
              <w:left w:val="single" w:color="auto" w:sz="4" w:space="0"/>
              <w:bottom w:val="nil"/>
              <w:right w:val="single" w:color="auto" w:sz="8" w:space="0"/>
            </w:tcBorders>
            <w:vAlign w:val="center"/>
            <w:hideMark/>
          </w:tcPr>
          <w:p w:rsidRPr="00A57844" w:rsidR="00C06ABF" w:rsidP="00486705" w:rsidRDefault="00C06ABF" w14:paraId="7C3D0B24" w14:textId="77777777">
            <w:pPr>
              <w:spacing w:line="240" w:lineRule="auto"/>
              <w:ind w:firstLine="0"/>
              <w:rPr>
                <w:rFonts w:ascii="Aptos Narrow" w:hAnsi="Aptos Narrow" w:eastAsia="Times New Roman" w:cs="Times New Roman"/>
                <w:color w:val="000000"/>
                <w:sz w:val="22"/>
              </w:rPr>
            </w:pPr>
          </w:p>
        </w:tc>
        <w:tc>
          <w:tcPr>
            <w:tcW w:w="222" w:type="dxa"/>
            <w:vAlign w:val="center"/>
            <w:hideMark/>
          </w:tcPr>
          <w:p w:rsidRPr="00A57844" w:rsidR="00C06ABF" w:rsidP="00486705" w:rsidRDefault="00C06ABF" w14:paraId="4CE1554B" w14:textId="77777777">
            <w:pPr>
              <w:spacing w:line="240" w:lineRule="auto"/>
              <w:ind w:firstLine="0"/>
              <w:rPr>
                <w:rFonts w:ascii="Times New Roman" w:hAnsi="Times New Roman" w:eastAsia="Times New Roman" w:cs="Times New Roman"/>
                <w:sz w:val="20"/>
                <w:szCs w:val="20"/>
              </w:rPr>
            </w:pPr>
          </w:p>
        </w:tc>
      </w:tr>
      <w:tr w:rsidRPr="00A57844" w:rsidR="001D13B9" w:rsidTr="001D442F" w14:paraId="0156188A" w14:textId="77777777">
        <w:trPr>
          <w:trHeight w:val="600"/>
        </w:trPr>
        <w:tc>
          <w:tcPr>
            <w:tcW w:w="339" w:type="dxa"/>
            <w:vMerge/>
            <w:tcBorders>
              <w:top w:val="nil"/>
              <w:left w:val="single" w:color="auto" w:sz="8" w:space="0"/>
              <w:bottom w:val="single" w:color="auto" w:sz="4" w:space="0"/>
              <w:right w:val="nil"/>
            </w:tcBorders>
            <w:vAlign w:val="center"/>
            <w:hideMark/>
          </w:tcPr>
          <w:p w:rsidRPr="00A57844" w:rsidR="00C06ABF" w:rsidP="00486705" w:rsidRDefault="00C06ABF" w14:paraId="2C8D9725" w14:textId="77777777">
            <w:pPr>
              <w:spacing w:line="240" w:lineRule="auto"/>
              <w:ind w:firstLine="0"/>
              <w:rPr>
                <w:rFonts w:ascii="Aptos Narrow" w:hAnsi="Aptos Narrow" w:eastAsia="Times New Roman" w:cs="Times New Roman"/>
                <w:color w:val="000000"/>
                <w:sz w:val="22"/>
              </w:rPr>
            </w:pPr>
          </w:p>
        </w:tc>
        <w:tc>
          <w:tcPr>
            <w:tcW w:w="1817" w:type="dxa"/>
            <w:vMerge/>
            <w:tcBorders>
              <w:top w:val="single" w:color="000000" w:sz="4" w:space="0"/>
              <w:left w:val="nil"/>
              <w:bottom w:val="single" w:color="auto" w:sz="4" w:space="0"/>
              <w:right w:val="single" w:color="auto" w:sz="4" w:space="0"/>
            </w:tcBorders>
            <w:vAlign w:val="center"/>
            <w:hideMark/>
          </w:tcPr>
          <w:p w:rsidRPr="00A57844" w:rsidR="00C06ABF" w:rsidP="00486705" w:rsidRDefault="00C06ABF" w14:paraId="4EEC327E" w14:textId="77777777">
            <w:pPr>
              <w:spacing w:line="240" w:lineRule="auto"/>
              <w:ind w:firstLine="0"/>
              <w:rPr>
                <w:rFonts w:ascii="Aptos Narrow" w:hAnsi="Aptos Narrow" w:eastAsia="Times New Roman" w:cs="Times New Roman"/>
                <w:color w:val="000000"/>
                <w:sz w:val="22"/>
              </w:rPr>
            </w:pPr>
          </w:p>
        </w:tc>
        <w:tc>
          <w:tcPr>
            <w:tcW w:w="2237" w:type="dxa"/>
            <w:tcBorders>
              <w:top w:val="single" w:color="auto" w:sz="4" w:space="0"/>
              <w:left w:val="single" w:color="auto" w:sz="4" w:space="0"/>
              <w:bottom w:val="single" w:color="auto" w:sz="4" w:space="0"/>
              <w:right w:val="nil"/>
            </w:tcBorders>
            <w:shd w:val="clear" w:color="auto" w:fill="auto"/>
            <w:vAlign w:val="bottom"/>
            <w:hideMark/>
          </w:tcPr>
          <w:p w:rsidRPr="00A57844" w:rsidR="00C06ABF" w:rsidP="00486705" w:rsidRDefault="001D13B9" w14:paraId="5659F39F" w14:textId="1C517BF6">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no interim relief &amp; 26 mo.</w:t>
            </w:r>
          </w:p>
        </w:tc>
        <w:tc>
          <w:tcPr>
            <w:tcW w:w="907"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53E41186" w14:textId="77777777">
            <w:pPr>
              <w:spacing w:line="240" w:lineRule="auto"/>
              <w:ind w:firstLine="0"/>
              <w:rPr>
                <w:rFonts w:ascii="Aptos Narrow" w:hAnsi="Aptos Narrow" w:eastAsia="Times New Roman" w:cs="Times New Roman"/>
                <w:color w:val="000000"/>
                <w:sz w:val="22"/>
              </w:rPr>
            </w:pPr>
          </w:p>
        </w:tc>
        <w:tc>
          <w:tcPr>
            <w:tcW w:w="1255"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6F8117B2" w14:textId="77777777">
            <w:pPr>
              <w:spacing w:line="240" w:lineRule="auto"/>
              <w:ind w:firstLine="0"/>
              <w:rPr>
                <w:rFonts w:ascii="Times New Roman" w:hAnsi="Times New Roman" w:eastAsia="Times New Roman" w:cs="Times New Roman"/>
                <w:sz w:val="20"/>
                <w:szCs w:val="20"/>
              </w:rPr>
            </w:pPr>
          </w:p>
        </w:tc>
        <w:tc>
          <w:tcPr>
            <w:tcW w:w="1175" w:type="dxa"/>
            <w:tcBorders>
              <w:top w:val="single" w:color="auto" w:sz="4" w:space="0"/>
              <w:left w:val="nil"/>
              <w:bottom w:val="single" w:color="auto" w:sz="4" w:space="0"/>
              <w:right w:val="nil"/>
            </w:tcBorders>
            <w:shd w:val="clear" w:color="auto" w:fill="auto"/>
            <w:noWrap/>
            <w:vAlign w:val="bottom"/>
            <w:hideMark/>
          </w:tcPr>
          <w:p w:rsidRPr="00A57844" w:rsidR="00C06ABF" w:rsidP="00486705" w:rsidRDefault="00C06ABF" w14:paraId="4676F595"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0.1%</w:t>
            </w:r>
          </w:p>
        </w:tc>
        <w:tc>
          <w:tcPr>
            <w:tcW w:w="1217" w:type="dxa"/>
            <w:tcBorders>
              <w:top w:val="single" w:color="auto" w:sz="4" w:space="0"/>
              <w:left w:val="nil"/>
              <w:bottom w:val="single" w:color="auto" w:sz="4" w:space="0"/>
              <w:right w:val="single" w:color="auto" w:sz="4" w:space="0"/>
            </w:tcBorders>
            <w:shd w:val="clear" w:color="auto" w:fill="auto"/>
            <w:noWrap/>
            <w:vAlign w:val="bottom"/>
            <w:hideMark/>
          </w:tcPr>
          <w:p w:rsidRPr="00A57844" w:rsidR="00C06ABF" w:rsidP="00486705" w:rsidRDefault="00C06ABF" w14:paraId="5CB840F3"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0.13</w:t>
            </w:r>
          </w:p>
        </w:tc>
        <w:tc>
          <w:tcPr>
            <w:tcW w:w="1151" w:type="dxa"/>
            <w:vMerge/>
            <w:tcBorders>
              <w:top w:val="nil"/>
              <w:left w:val="single" w:color="auto" w:sz="4" w:space="0"/>
              <w:bottom w:val="single" w:color="auto" w:sz="4" w:space="0"/>
              <w:right w:val="single" w:color="auto" w:sz="8" w:space="0"/>
            </w:tcBorders>
            <w:vAlign w:val="center"/>
            <w:hideMark/>
          </w:tcPr>
          <w:p w:rsidRPr="00A57844" w:rsidR="00C06ABF" w:rsidP="00486705" w:rsidRDefault="00C06ABF" w14:paraId="23A092BB" w14:textId="77777777">
            <w:pPr>
              <w:spacing w:line="240" w:lineRule="auto"/>
              <w:ind w:firstLine="0"/>
              <w:rPr>
                <w:rFonts w:ascii="Aptos Narrow" w:hAnsi="Aptos Narrow" w:eastAsia="Times New Roman" w:cs="Times New Roman"/>
                <w:color w:val="000000"/>
                <w:sz w:val="22"/>
              </w:rPr>
            </w:pPr>
          </w:p>
        </w:tc>
        <w:tc>
          <w:tcPr>
            <w:tcW w:w="222" w:type="dxa"/>
            <w:vAlign w:val="center"/>
            <w:hideMark/>
          </w:tcPr>
          <w:p w:rsidRPr="00A57844" w:rsidR="00C06ABF" w:rsidP="00486705" w:rsidRDefault="00C06ABF" w14:paraId="6229CB5A" w14:textId="77777777">
            <w:pPr>
              <w:spacing w:line="240" w:lineRule="auto"/>
              <w:ind w:firstLine="0"/>
              <w:rPr>
                <w:rFonts w:ascii="Times New Roman" w:hAnsi="Times New Roman" w:eastAsia="Times New Roman" w:cs="Times New Roman"/>
                <w:sz w:val="20"/>
                <w:szCs w:val="20"/>
              </w:rPr>
            </w:pPr>
          </w:p>
        </w:tc>
      </w:tr>
      <w:tr w:rsidRPr="00A57844" w:rsidR="001D13B9" w:rsidTr="001D442F" w14:paraId="15D1B324" w14:textId="77777777">
        <w:trPr>
          <w:trHeight w:val="900"/>
        </w:trPr>
        <w:tc>
          <w:tcPr>
            <w:tcW w:w="339" w:type="dxa"/>
            <w:vMerge w:val="restart"/>
            <w:tcBorders>
              <w:top w:val="single" w:color="auto" w:sz="4" w:space="0"/>
              <w:left w:val="single" w:color="auto" w:sz="4" w:space="0"/>
              <w:bottom w:val="single" w:color="000000" w:sz="8" w:space="0"/>
              <w:right w:val="nil"/>
            </w:tcBorders>
            <w:shd w:val="clear" w:color="auto" w:fill="auto"/>
            <w:noWrap/>
            <w:vAlign w:val="center"/>
            <w:hideMark/>
          </w:tcPr>
          <w:p w:rsidRPr="00A57844" w:rsidR="00C06ABF" w:rsidP="00486705" w:rsidRDefault="00C06ABF" w14:paraId="3F6257BA" w14:textId="77777777">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R</w:t>
            </w:r>
          </w:p>
        </w:tc>
        <w:tc>
          <w:tcPr>
            <w:tcW w:w="1817" w:type="dxa"/>
            <w:vMerge w:val="restart"/>
            <w:tcBorders>
              <w:top w:val="single" w:color="auto" w:sz="4" w:space="0"/>
              <w:left w:val="nil"/>
              <w:bottom w:val="single" w:color="000000" w:sz="8" w:space="0"/>
              <w:right w:val="single" w:color="auto" w:sz="4" w:space="0"/>
            </w:tcBorders>
            <w:shd w:val="clear" w:color="auto" w:fill="auto"/>
            <w:vAlign w:val="center"/>
            <w:hideMark/>
          </w:tcPr>
          <w:p w:rsidRPr="00A57844" w:rsidR="00C06ABF" w:rsidP="00486705" w:rsidRDefault="00C06ABF" w14:paraId="3ACC4A38" w14:textId="77777777">
            <w:pPr>
              <w:spacing w:line="240" w:lineRule="auto"/>
              <w:ind w:firstLine="0"/>
              <w:jc w:val="center"/>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Severe Climate &amp; Less Affordable Bill</w:t>
            </w:r>
          </w:p>
        </w:tc>
        <w:tc>
          <w:tcPr>
            <w:tcW w:w="2237" w:type="dxa"/>
            <w:tcBorders>
              <w:top w:val="single" w:color="auto" w:sz="4" w:space="0"/>
              <w:left w:val="single" w:color="auto" w:sz="4" w:space="0"/>
              <w:bottom w:val="nil"/>
              <w:right w:val="nil"/>
            </w:tcBorders>
            <w:shd w:val="clear" w:color="auto" w:fill="auto"/>
            <w:vAlign w:val="bottom"/>
            <w:hideMark/>
          </w:tcPr>
          <w:p w:rsidR="00AF639E" w:rsidP="00AF639E" w:rsidRDefault="00AF639E" w14:paraId="175E72B9" w14:textId="77777777">
            <w:pPr>
              <w:spacing w:line="240" w:lineRule="auto"/>
              <w:ind w:firstLine="0"/>
              <w:jc w:val="right"/>
              <w:rPr>
                <w:rFonts w:ascii="Aptos Narrow" w:hAnsi="Aptos Narrow" w:eastAsia="Times New Roman" w:cs="Times New Roman"/>
                <w:color w:val="000000"/>
                <w:sz w:val="22"/>
              </w:rPr>
            </w:pPr>
            <w:r>
              <w:rPr>
                <w:rFonts w:ascii="Aptos Narrow" w:hAnsi="Aptos Narrow" w:eastAsia="Times New Roman" w:cs="Times New Roman"/>
                <w:color w:val="000000"/>
                <w:sz w:val="22"/>
              </w:rPr>
              <w:t>Date of Bill:</w:t>
            </w:r>
          </w:p>
          <w:p w:rsidRPr="00A57844" w:rsidR="00C06ABF" w:rsidP="00486705" w:rsidRDefault="00C06ABF" w14:paraId="4A482368"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Jun-23</w:t>
            </w:r>
          </w:p>
        </w:tc>
        <w:tc>
          <w:tcPr>
            <w:tcW w:w="907" w:type="dxa"/>
            <w:tcBorders>
              <w:top w:val="single" w:color="auto" w:sz="4" w:space="0"/>
              <w:left w:val="nil"/>
              <w:bottom w:val="nil"/>
              <w:right w:val="nil"/>
            </w:tcBorders>
            <w:shd w:val="clear" w:color="auto" w:fill="auto"/>
            <w:noWrap/>
            <w:vAlign w:val="bottom"/>
            <w:hideMark/>
          </w:tcPr>
          <w:p w:rsidRPr="00A57844" w:rsidR="00C06ABF" w:rsidP="00486705" w:rsidRDefault="00C06ABF" w14:paraId="4C83172F" w14:textId="7777777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 xml:space="preserve">$256 </w:t>
            </w:r>
          </w:p>
        </w:tc>
        <w:tc>
          <w:tcPr>
            <w:tcW w:w="1255" w:type="dxa"/>
            <w:tcBorders>
              <w:top w:val="single" w:color="auto" w:sz="4" w:space="0"/>
              <w:left w:val="nil"/>
              <w:bottom w:val="nil"/>
              <w:right w:val="nil"/>
            </w:tcBorders>
            <w:shd w:val="clear" w:color="auto" w:fill="auto"/>
            <w:noWrap/>
            <w:vAlign w:val="bottom"/>
            <w:hideMark/>
          </w:tcPr>
          <w:p w:rsidRPr="00A57844" w:rsidR="00C06ABF" w:rsidP="00486705" w:rsidRDefault="00C06ABF" w14:paraId="5C1D4E13" w14:textId="0AE4B0E1">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4.</w:t>
            </w:r>
            <w:r w:rsidR="00F73FF7">
              <w:rPr>
                <w:rFonts w:ascii="Aptos Narrow" w:hAnsi="Aptos Narrow" w:eastAsia="Times New Roman" w:cs="Times New Roman"/>
                <w:b/>
                <w:bCs/>
                <w:color w:val="000000"/>
                <w:sz w:val="22"/>
              </w:rPr>
              <w:t>5</w:t>
            </w:r>
            <w:r w:rsidRPr="00A57844">
              <w:rPr>
                <w:rFonts w:ascii="Aptos Narrow" w:hAnsi="Aptos Narrow" w:eastAsia="Times New Roman" w:cs="Times New Roman"/>
                <w:b/>
                <w:bCs/>
                <w:color w:val="000000"/>
                <w:sz w:val="22"/>
              </w:rPr>
              <w:t>%</w:t>
            </w:r>
          </w:p>
        </w:tc>
        <w:tc>
          <w:tcPr>
            <w:tcW w:w="1175" w:type="dxa"/>
            <w:tcBorders>
              <w:top w:val="single" w:color="auto" w:sz="4" w:space="0"/>
              <w:left w:val="nil"/>
              <w:bottom w:val="nil"/>
              <w:right w:val="nil"/>
            </w:tcBorders>
            <w:shd w:val="clear" w:color="auto" w:fill="auto"/>
            <w:noWrap/>
            <w:vAlign w:val="bottom"/>
            <w:hideMark/>
          </w:tcPr>
          <w:p w:rsidRPr="00A57844" w:rsidR="00C06ABF" w:rsidP="00486705" w:rsidRDefault="00F73FF7" w14:paraId="6B490D3C" w14:textId="02624FAE">
            <w:pPr>
              <w:spacing w:line="240" w:lineRule="auto"/>
              <w:ind w:firstLine="0"/>
              <w:jc w:val="right"/>
              <w:rPr>
                <w:rFonts w:ascii="Aptos Narrow" w:hAnsi="Aptos Narrow" w:eastAsia="Times New Roman" w:cs="Times New Roman"/>
                <w:b/>
                <w:bCs/>
                <w:color w:val="000000"/>
                <w:sz w:val="22"/>
              </w:rPr>
            </w:pPr>
            <w:r>
              <w:rPr>
                <w:rFonts w:ascii="Aptos Narrow" w:hAnsi="Aptos Narrow" w:eastAsia="Times New Roman" w:cs="Times New Roman"/>
                <w:b/>
                <w:bCs/>
                <w:color w:val="000000"/>
                <w:sz w:val="22"/>
              </w:rPr>
              <w:t>18.6</w:t>
            </w:r>
            <w:r w:rsidRPr="00A57844" w:rsidR="00C06ABF">
              <w:rPr>
                <w:rFonts w:ascii="Aptos Narrow" w:hAnsi="Aptos Narrow" w:eastAsia="Times New Roman" w:cs="Times New Roman"/>
                <w:b/>
                <w:bCs/>
                <w:color w:val="000000"/>
                <w:sz w:val="22"/>
              </w:rPr>
              <w:t>%</w:t>
            </w:r>
          </w:p>
        </w:tc>
        <w:tc>
          <w:tcPr>
            <w:tcW w:w="1217" w:type="dxa"/>
            <w:tcBorders>
              <w:top w:val="single" w:color="auto" w:sz="4" w:space="0"/>
              <w:left w:val="nil"/>
              <w:bottom w:val="nil"/>
              <w:right w:val="single" w:color="auto" w:sz="4" w:space="0"/>
            </w:tcBorders>
            <w:shd w:val="clear" w:color="auto" w:fill="auto"/>
            <w:noWrap/>
            <w:vAlign w:val="bottom"/>
            <w:hideMark/>
          </w:tcPr>
          <w:p w:rsidRPr="00A57844" w:rsidR="00C06ABF" w:rsidP="00486705" w:rsidRDefault="00C06ABF" w14:paraId="6C8DAAEF" w14:textId="1F73823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12</w:t>
            </w:r>
            <w:r w:rsidR="00F73FF7">
              <w:rPr>
                <w:rFonts w:ascii="Aptos Narrow" w:hAnsi="Aptos Narrow" w:eastAsia="Times New Roman" w:cs="Times New Roman"/>
                <w:b/>
                <w:bCs/>
                <w:color w:val="000000"/>
                <w:sz w:val="22"/>
              </w:rPr>
              <w:t>.1</w:t>
            </w:r>
          </w:p>
        </w:tc>
        <w:tc>
          <w:tcPr>
            <w:tcW w:w="1151" w:type="dxa"/>
            <w:tcBorders>
              <w:top w:val="single" w:color="auto" w:sz="4" w:space="0"/>
              <w:left w:val="single" w:color="auto" w:sz="4" w:space="0"/>
              <w:bottom w:val="nil"/>
              <w:right w:val="single" w:color="auto" w:sz="4" w:space="0"/>
            </w:tcBorders>
            <w:shd w:val="clear" w:color="auto" w:fill="auto"/>
            <w:noWrap/>
            <w:vAlign w:val="bottom"/>
            <w:hideMark/>
          </w:tcPr>
          <w:p w:rsidRPr="00A57844" w:rsidR="00C06ABF" w:rsidP="00486705" w:rsidRDefault="00C06ABF" w14:paraId="11E381A5" w14:textId="7777777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41.60%</w:t>
            </w:r>
          </w:p>
        </w:tc>
        <w:tc>
          <w:tcPr>
            <w:tcW w:w="222" w:type="dxa"/>
            <w:tcBorders>
              <w:left w:val="single" w:color="auto" w:sz="4" w:space="0"/>
            </w:tcBorders>
            <w:vAlign w:val="center"/>
            <w:hideMark/>
          </w:tcPr>
          <w:p w:rsidRPr="00A57844" w:rsidR="00C06ABF" w:rsidP="00486705" w:rsidRDefault="00C06ABF" w14:paraId="5FF1634B" w14:textId="77777777">
            <w:pPr>
              <w:spacing w:line="240" w:lineRule="auto"/>
              <w:ind w:firstLine="0"/>
              <w:rPr>
                <w:rFonts w:ascii="Times New Roman" w:hAnsi="Times New Roman" w:eastAsia="Times New Roman" w:cs="Times New Roman"/>
                <w:sz w:val="20"/>
                <w:szCs w:val="20"/>
              </w:rPr>
            </w:pPr>
          </w:p>
        </w:tc>
      </w:tr>
      <w:tr w:rsidRPr="00A57844" w:rsidR="001D13B9" w:rsidTr="001D442F" w14:paraId="35947167" w14:textId="77777777">
        <w:trPr>
          <w:trHeight w:val="270"/>
        </w:trPr>
        <w:tc>
          <w:tcPr>
            <w:tcW w:w="339" w:type="dxa"/>
            <w:vMerge/>
            <w:tcBorders>
              <w:top w:val="nil"/>
              <w:left w:val="single" w:color="auto" w:sz="4" w:space="0"/>
              <w:bottom w:val="single" w:color="000000" w:sz="8" w:space="0"/>
              <w:right w:val="nil"/>
            </w:tcBorders>
            <w:vAlign w:val="center"/>
            <w:hideMark/>
          </w:tcPr>
          <w:p w:rsidRPr="00A57844" w:rsidR="00C06ABF" w:rsidP="00486705" w:rsidRDefault="00C06ABF" w14:paraId="6E5F4D95" w14:textId="77777777">
            <w:pPr>
              <w:spacing w:line="240" w:lineRule="auto"/>
              <w:ind w:firstLine="0"/>
              <w:rPr>
                <w:rFonts w:ascii="Aptos Narrow" w:hAnsi="Aptos Narrow" w:eastAsia="Times New Roman" w:cs="Times New Roman"/>
                <w:color w:val="000000"/>
                <w:sz w:val="22"/>
              </w:rPr>
            </w:pPr>
          </w:p>
        </w:tc>
        <w:tc>
          <w:tcPr>
            <w:tcW w:w="1817" w:type="dxa"/>
            <w:vMerge/>
            <w:tcBorders>
              <w:top w:val="nil"/>
              <w:left w:val="nil"/>
              <w:bottom w:val="single" w:color="000000" w:sz="8" w:space="0"/>
              <w:right w:val="single" w:color="auto" w:sz="4" w:space="0"/>
            </w:tcBorders>
            <w:vAlign w:val="center"/>
            <w:hideMark/>
          </w:tcPr>
          <w:p w:rsidRPr="00A57844" w:rsidR="00C06ABF" w:rsidP="00486705" w:rsidRDefault="00C06ABF" w14:paraId="59304B02" w14:textId="77777777">
            <w:pPr>
              <w:spacing w:line="240" w:lineRule="auto"/>
              <w:ind w:firstLine="0"/>
              <w:rPr>
                <w:rFonts w:ascii="Aptos Narrow" w:hAnsi="Aptos Narrow" w:eastAsia="Times New Roman" w:cs="Times New Roman"/>
                <w:color w:val="000000"/>
                <w:sz w:val="22"/>
              </w:rPr>
            </w:pPr>
          </w:p>
        </w:tc>
        <w:tc>
          <w:tcPr>
            <w:tcW w:w="2237" w:type="dxa"/>
            <w:tcBorders>
              <w:top w:val="nil"/>
              <w:left w:val="single" w:color="auto" w:sz="4" w:space="0"/>
              <w:bottom w:val="single" w:color="auto" w:sz="4" w:space="0"/>
              <w:right w:val="nil"/>
            </w:tcBorders>
            <w:shd w:val="clear" w:color="auto" w:fill="auto"/>
            <w:vAlign w:val="bottom"/>
            <w:hideMark/>
          </w:tcPr>
          <w:p w:rsidR="00AF639E" w:rsidP="00AF639E" w:rsidRDefault="00AF639E" w14:paraId="1D63E8BE" w14:textId="77777777">
            <w:pPr>
              <w:spacing w:line="240" w:lineRule="auto"/>
              <w:ind w:firstLine="0"/>
              <w:jc w:val="right"/>
              <w:rPr>
                <w:rFonts w:ascii="Aptos Narrow" w:hAnsi="Aptos Narrow" w:eastAsia="Times New Roman" w:cs="Times New Roman"/>
                <w:color w:val="000000"/>
                <w:sz w:val="22"/>
              </w:rPr>
            </w:pPr>
            <w:r>
              <w:rPr>
                <w:rFonts w:ascii="Aptos Narrow" w:hAnsi="Aptos Narrow" w:eastAsia="Times New Roman" w:cs="Times New Roman"/>
                <w:color w:val="000000"/>
                <w:sz w:val="22"/>
              </w:rPr>
              <w:t>Date of Bill:</w:t>
            </w:r>
          </w:p>
          <w:p w:rsidRPr="00A57844" w:rsidR="00C06ABF" w:rsidP="00486705" w:rsidRDefault="00C06ABF" w14:paraId="2CBA6B90" w14:textId="58A45AC9">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Jan-24</w:t>
            </w:r>
            <w:r w:rsidR="00FD7696">
              <w:rPr>
                <w:rStyle w:val="FootnoteReference"/>
                <w:rFonts w:ascii="Aptos Narrow" w:hAnsi="Aptos Narrow" w:eastAsia="Times New Roman" w:cs="Times New Roman"/>
                <w:b/>
                <w:bCs/>
                <w:color w:val="000000"/>
                <w:sz w:val="22"/>
              </w:rPr>
              <w:footnoteReference w:id="65"/>
            </w:r>
          </w:p>
        </w:tc>
        <w:tc>
          <w:tcPr>
            <w:tcW w:w="907" w:type="dxa"/>
            <w:tcBorders>
              <w:top w:val="nil"/>
              <w:left w:val="nil"/>
              <w:bottom w:val="single" w:color="auto" w:sz="4" w:space="0"/>
              <w:right w:val="nil"/>
            </w:tcBorders>
            <w:shd w:val="clear" w:color="auto" w:fill="auto"/>
            <w:noWrap/>
            <w:vAlign w:val="bottom"/>
            <w:hideMark/>
          </w:tcPr>
          <w:p w:rsidRPr="00A57844" w:rsidR="00C06ABF" w:rsidP="00486705" w:rsidRDefault="00C06ABF" w14:paraId="06BD3301" w14:textId="7777777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+~$26</w:t>
            </w:r>
          </w:p>
        </w:tc>
        <w:tc>
          <w:tcPr>
            <w:tcW w:w="1255" w:type="dxa"/>
            <w:tcBorders>
              <w:top w:val="nil"/>
              <w:left w:val="nil"/>
              <w:bottom w:val="single" w:color="auto" w:sz="4" w:space="0"/>
              <w:right w:val="nil"/>
            </w:tcBorders>
            <w:shd w:val="clear" w:color="auto" w:fill="auto"/>
            <w:noWrap/>
            <w:vAlign w:val="bottom"/>
            <w:hideMark/>
          </w:tcPr>
          <w:p w:rsidRPr="00A57844" w:rsidR="00C06ABF" w:rsidP="00486705" w:rsidRDefault="00C06ABF" w14:paraId="235A6FFA" w14:textId="77777777">
            <w:pPr>
              <w:spacing w:line="240" w:lineRule="auto"/>
              <w:ind w:firstLine="0"/>
              <w:jc w:val="right"/>
              <w:rPr>
                <w:rFonts w:ascii="Aptos Narrow" w:hAnsi="Aptos Narrow" w:eastAsia="Times New Roman" w:cs="Times New Roman"/>
                <w:b/>
                <w:bCs/>
                <w:color w:val="000000"/>
                <w:sz w:val="22"/>
              </w:rPr>
            </w:pPr>
          </w:p>
        </w:tc>
        <w:tc>
          <w:tcPr>
            <w:tcW w:w="1175" w:type="dxa"/>
            <w:tcBorders>
              <w:top w:val="nil"/>
              <w:left w:val="nil"/>
              <w:bottom w:val="single" w:color="auto" w:sz="4" w:space="0"/>
              <w:right w:val="nil"/>
            </w:tcBorders>
            <w:shd w:val="clear" w:color="auto" w:fill="auto"/>
            <w:noWrap/>
            <w:vAlign w:val="bottom"/>
            <w:hideMark/>
          </w:tcPr>
          <w:p w:rsidRPr="00A57844" w:rsidR="00C06ABF" w:rsidP="00486705" w:rsidRDefault="00C06ABF" w14:paraId="5F868FA7" w14:textId="77777777">
            <w:pPr>
              <w:spacing w:line="240" w:lineRule="auto"/>
              <w:ind w:firstLine="0"/>
              <w:rPr>
                <w:rFonts w:ascii="Times New Roman" w:hAnsi="Times New Roman" w:eastAsia="Times New Roman" w:cs="Times New Roman"/>
                <w:sz w:val="20"/>
                <w:szCs w:val="20"/>
              </w:rPr>
            </w:pPr>
          </w:p>
        </w:tc>
        <w:tc>
          <w:tcPr>
            <w:tcW w:w="1217" w:type="dxa"/>
            <w:tcBorders>
              <w:top w:val="nil"/>
              <w:left w:val="nil"/>
              <w:bottom w:val="single" w:color="auto" w:sz="4" w:space="0"/>
              <w:right w:val="single" w:color="auto" w:sz="4" w:space="0"/>
            </w:tcBorders>
            <w:shd w:val="clear" w:color="auto" w:fill="auto"/>
            <w:noWrap/>
            <w:vAlign w:val="bottom"/>
            <w:hideMark/>
          </w:tcPr>
          <w:p w:rsidRPr="00A57844" w:rsidR="00C06ABF" w:rsidP="00486705" w:rsidRDefault="00C06ABF" w14:paraId="4841DE99" w14:textId="77777777">
            <w:pPr>
              <w:spacing w:line="240" w:lineRule="auto"/>
              <w:ind w:firstLine="0"/>
              <w:rPr>
                <w:rFonts w:ascii="Times New Roman" w:hAnsi="Times New Roman" w:eastAsia="Times New Roman" w:cs="Times New Roman"/>
                <w:sz w:val="20"/>
                <w:szCs w:val="20"/>
              </w:rPr>
            </w:pPr>
          </w:p>
        </w:tc>
        <w:tc>
          <w:tcPr>
            <w:tcW w:w="1151" w:type="dxa"/>
            <w:tcBorders>
              <w:top w:val="nil"/>
              <w:left w:val="single" w:color="auto" w:sz="4" w:space="0"/>
              <w:bottom w:val="nil"/>
              <w:right w:val="single" w:color="auto" w:sz="4" w:space="0"/>
            </w:tcBorders>
            <w:shd w:val="clear" w:color="auto" w:fill="auto"/>
            <w:noWrap/>
            <w:vAlign w:val="bottom"/>
            <w:hideMark/>
          </w:tcPr>
          <w:p w:rsidRPr="00A57844" w:rsidR="00C06ABF" w:rsidP="00486705" w:rsidRDefault="001D442F" w14:paraId="220560C3" w14:textId="0F3BDBDE">
            <w:pPr>
              <w:spacing w:line="240" w:lineRule="auto"/>
              <w:ind w:firstLine="0"/>
              <w:rPr>
                <w:rFonts w:ascii="Aptos Narrow" w:hAnsi="Aptos Narrow" w:eastAsia="Times New Roman" w:cs="Times New Roman"/>
                <w:b/>
                <w:bCs/>
                <w:color w:val="000000"/>
                <w:sz w:val="22"/>
              </w:rPr>
            </w:pPr>
            <w:r>
              <w:rPr>
                <w:rFonts w:ascii="Aptos Narrow" w:hAnsi="Aptos Narrow" w:eastAsia="Times New Roman" w:cs="Times New Roman"/>
                <w:b/>
                <w:bCs/>
                <w:color w:val="000000"/>
                <w:sz w:val="22"/>
              </w:rPr>
              <w:t xml:space="preserve">            </w:t>
            </w:r>
            <w:r w:rsidRPr="00A57844" w:rsidR="00C06ABF">
              <w:rPr>
                <w:rFonts w:ascii="Aptos Narrow" w:hAnsi="Aptos Narrow" w:eastAsia="Times New Roman" w:cs="Times New Roman"/>
                <w:b/>
                <w:bCs/>
                <w:color w:val="000000"/>
                <w:sz w:val="22"/>
              </w:rPr>
              <w:t>n/a</w:t>
            </w:r>
          </w:p>
        </w:tc>
        <w:tc>
          <w:tcPr>
            <w:tcW w:w="222" w:type="dxa"/>
            <w:tcBorders>
              <w:left w:val="single" w:color="auto" w:sz="4" w:space="0"/>
            </w:tcBorders>
            <w:vAlign w:val="center"/>
            <w:hideMark/>
          </w:tcPr>
          <w:p w:rsidRPr="00A57844" w:rsidR="00C06ABF" w:rsidP="00486705" w:rsidRDefault="00C06ABF" w14:paraId="435DCFC3" w14:textId="77777777">
            <w:pPr>
              <w:spacing w:line="240" w:lineRule="auto"/>
              <w:ind w:firstLine="0"/>
              <w:rPr>
                <w:rFonts w:ascii="Times New Roman" w:hAnsi="Times New Roman" w:eastAsia="Times New Roman" w:cs="Times New Roman"/>
                <w:sz w:val="20"/>
                <w:szCs w:val="20"/>
              </w:rPr>
            </w:pPr>
          </w:p>
        </w:tc>
      </w:tr>
      <w:tr w:rsidRPr="00A57844" w:rsidR="00FD7696" w:rsidTr="001D442F" w14:paraId="06A0FB12" w14:textId="77777777">
        <w:trPr>
          <w:trHeight w:val="300"/>
        </w:trPr>
        <w:tc>
          <w:tcPr>
            <w:tcW w:w="339" w:type="dxa"/>
            <w:vMerge/>
            <w:tcBorders>
              <w:top w:val="nil"/>
              <w:left w:val="single" w:color="auto" w:sz="4" w:space="0"/>
              <w:bottom w:val="single" w:color="000000" w:sz="8" w:space="0"/>
              <w:right w:val="nil"/>
            </w:tcBorders>
            <w:vAlign w:val="center"/>
            <w:hideMark/>
          </w:tcPr>
          <w:p w:rsidRPr="00A57844" w:rsidR="00FD7696" w:rsidP="00FD7696" w:rsidRDefault="00FD7696" w14:paraId="5067CC71" w14:textId="77777777">
            <w:pPr>
              <w:spacing w:line="240" w:lineRule="auto"/>
              <w:ind w:firstLine="0"/>
              <w:rPr>
                <w:rFonts w:ascii="Aptos Narrow" w:hAnsi="Aptos Narrow" w:eastAsia="Times New Roman" w:cs="Times New Roman"/>
                <w:color w:val="000000"/>
                <w:sz w:val="22"/>
              </w:rPr>
            </w:pPr>
          </w:p>
        </w:tc>
        <w:tc>
          <w:tcPr>
            <w:tcW w:w="1817" w:type="dxa"/>
            <w:vMerge/>
            <w:tcBorders>
              <w:top w:val="nil"/>
              <w:left w:val="nil"/>
              <w:bottom w:val="single" w:color="000000" w:sz="8" w:space="0"/>
              <w:right w:val="single" w:color="auto" w:sz="8" w:space="0"/>
            </w:tcBorders>
            <w:vAlign w:val="center"/>
            <w:hideMark/>
          </w:tcPr>
          <w:p w:rsidRPr="00A57844" w:rsidR="00FD7696" w:rsidP="00FD7696" w:rsidRDefault="00FD7696" w14:paraId="391AEA83" w14:textId="77777777">
            <w:pPr>
              <w:spacing w:line="240" w:lineRule="auto"/>
              <w:ind w:firstLine="0"/>
              <w:rPr>
                <w:rFonts w:ascii="Aptos Narrow" w:hAnsi="Aptos Narrow" w:eastAsia="Times New Roman" w:cs="Times New Roman"/>
                <w:color w:val="000000"/>
                <w:sz w:val="22"/>
              </w:rPr>
            </w:pPr>
          </w:p>
        </w:tc>
        <w:tc>
          <w:tcPr>
            <w:tcW w:w="2237" w:type="dxa"/>
            <w:tcBorders>
              <w:top w:val="single" w:color="auto" w:sz="4" w:space="0"/>
              <w:left w:val="nil"/>
              <w:bottom w:val="single" w:color="auto" w:sz="4" w:space="0"/>
              <w:right w:val="nil"/>
            </w:tcBorders>
            <w:shd w:val="clear" w:color="auto" w:fill="auto"/>
            <w:vAlign w:val="bottom"/>
            <w:hideMark/>
          </w:tcPr>
          <w:p w:rsidRPr="00A57844" w:rsidR="00FD7696" w:rsidP="00FD7696" w:rsidRDefault="00FD7696" w14:paraId="58A37243" w14:textId="6E934D9D">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no interim relief</w:t>
            </w:r>
          </w:p>
        </w:tc>
        <w:tc>
          <w:tcPr>
            <w:tcW w:w="907"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116369E8" w14:textId="77777777">
            <w:pPr>
              <w:spacing w:line="240" w:lineRule="auto"/>
              <w:ind w:firstLine="0"/>
              <w:rPr>
                <w:rFonts w:ascii="Aptos Narrow" w:hAnsi="Aptos Narrow" w:eastAsia="Times New Roman" w:cs="Times New Roman"/>
                <w:color w:val="000000"/>
                <w:sz w:val="22"/>
              </w:rPr>
            </w:pPr>
          </w:p>
        </w:tc>
        <w:tc>
          <w:tcPr>
            <w:tcW w:w="1255"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2DE29C89" w14:textId="77777777">
            <w:pPr>
              <w:spacing w:line="240" w:lineRule="auto"/>
              <w:ind w:firstLine="0"/>
              <w:rPr>
                <w:rFonts w:ascii="Times New Roman" w:hAnsi="Times New Roman" w:eastAsia="Times New Roman" w:cs="Times New Roman"/>
                <w:sz w:val="20"/>
                <w:szCs w:val="20"/>
              </w:rPr>
            </w:pPr>
          </w:p>
        </w:tc>
        <w:tc>
          <w:tcPr>
            <w:tcW w:w="1175"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699BF089"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0.6%</w:t>
            </w:r>
          </w:p>
        </w:tc>
        <w:tc>
          <w:tcPr>
            <w:tcW w:w="1217"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1E679D86"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0.31</w:t>
            </w:r>
          </w:p>
        </w:tc>
        <w:tc>
          <w:tcPr>
            <w:tcW w:w="1151" w:type="dxa"/>
            <w:tcBorders>
              <w:top w:val="nil"/>
              <w:left w:val="nil"/>
              <w:bottom w:val="single" w:color="auto" w:sz="4" w:space="0"/>
              <w:right w:val="single" w:color="auto" w:sz="4" w:space="0"/>
            </w:tcBorders>
            <w:shd w:val="clear" w:color="auto" w:fill="auto"/>
            <w:noWrap/>
            <w:vAlign w:val="bottom"/>
            <w:hideMark/>
          </w:tcPr>
          <w:p w:rsidRPr="00A57844" w:rsidR="00FD7696" w:rsidP="00FD7696" w:rsidRDefault="00FD7696" w14:paraId="0812EAC9" w14:textId="7777777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0.5%</w:t>
            </w:r>
          </w:p>
        </w:tc>
        <w:tc>
          <w:tcPr>
            <w:tcW w:w="222" w:type="dxa"/>
            <w:tcBorders>
              <w:left w:val="single" w:color="auto" w:sz="4" w:space="0"/>
            </w:tcBorders>
            <w:vAlign w:val="center"/>
            <w:hideMark/>
          </w:tcPr>
          <w:p w:rsidRPr="00A57844" w:rsidR="00FD7696" w:rsidP="00FD7696" w:rsidRDefault="00FD7696" w14:paraId="58C5D0F9" w14:textId="77777777">
            <w:pPr>
              <w:spacing w:line="240" w:lineRule="auto"/>
              <w:ind w:firstLine="0"/>
              <w:rPr>
                <w:rFonts w:ascii="Times New Roman" w:hAnsi="Times New Roman" w:eastAsia="Times New Roman" w:cs="Times New Roman"/>
                <w:sz w:val="20"/>
                <w:szCs w:val="20"/>
              </w:rPr>
            </w:pPr>
          </w:p>
        </w:tc>
      </w:tr>
      <w:tr w:rsidRPr="00A57844" w:rsidR="00FD7696" w:rsidTr="001D442F" w14:paraId="0C4C7C2B" w14:textId="77777777">
        <w:trPr>
          <w:trHeight w:val="300"/>
        </w:trPr>
        <w:tc>
          <w:tcPr>
            <w:tcW w:w="339" w:type="dxa"/>
            <w:vMerge/>
            <w:tcBorders>
              <w:top w:val="nil"/>
              <w:left w:val="single" w:color="auto" w:sz="4" w:space="0"/>
              <w:bottom w:val="single" w:color="000000" w:sz="8" w:space="0"/>
              <w:right w:val="nil"/>
            </w:tcBorders>
            <w:vAlign w:val="center"/>
            <w:hideMark/>
          </w:tcPr>
          <w:p w:rsidRPr="00A57844" w:rsidR="00FD7696" w:rsidP="00FD7696" w:rsidRDefault="00FD7696" w14:paraId="5DDDB6BA" w14:textId="77777777">
            <w:pPr>
              <w:spacing w:line="240" w:lineRule="auto"/>
              <w:ind w:firstLine="0"/>
              <w:rPr>
                <w:rFonts w:ascii="Aptos Narrow" w:hAnsi="Aptos Narrow" w:eastAsia="Times New Roman" w:cs="Times New Roman"/>
                <w:color w:val="000000"/>
                <w:sz w:val="22"/>
              </w:rPr>
            </w:pPr>
          </w:p>
        </w:tc>
        <w:tc>
          <w:tcPr>
            <w:tcW w:w="1817" w:type="dxa"/>
            <w:vMerge/>
            <w:tcBorders>
              <w:top w:val="nil"/>
              <w:left w:val="nil"/>
              <w:bottom w:val="single" w:color="000000" w:sz="8" w:space="0"/>
              <w:right w:val="single" w:color="auto" w:sz="4" w:space="0"/>
            </w:tcBorders>
            <w:vAlign w:val="center"/>
            <w:hideMark/>
          </w:tcPr>
          <w:p w:rsidRPr="00A57844" w:rsidR="00FD7696" w:rsidP="00FD7696" w:rsidRDefault="00FD7696" w14:paraId="1DB7E08E" w14:textId="77777777">
            <w:pPr>
              <w:spacing w:line="240" w:lineRule="auto"/>
              <w:ind w:firstLine="0"/>
              <w:rPr>
                <w:rFonts w:ascii="Aptos Narrow" w:hAnsi="Aptos Narrow" w:eastAsia="Times New Roman" w:cs="Times New Roman"/>
                <w:color w:val="000000"/>
                <w:sz w:val="22"/>
              </w:rPr>
            </w:pPr>
          </w:p>
        </w:tc>
        <w:tc>
          <w:tcPr>
            <w:tcW w:w="2237" w:type="dxa"/>
            <w:tcBorders>
              <w:top w:val="single" w:color="auto" w:sz="4" w:space="0"/>
              <w:left w:val="single" w:color="auto" w:sz="4" w:space="0"/>
              <w:bottom w:val="single" w:color="auto" w:sz="4" w:space="0"/>
              <w:right w:val="nil"/>
            </w:tcBorders>
            <w:shd w:val="clear" w:color="auto" w:fill="auto"/>
            <w:vAlign w:val="bottom"/>
            <w:hideMark/>
          </w:tcPr>
          <w:p w:rsidRPr="00A57844" w:rsidR="00FD7696" w:rsidP="00FD7696" w:rsidRDefault="00FD7696" w14:paraId="322E590A" w14:textId="1551A99B">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PG&amp;E</w:t>
            </w:r>
            <w:r w:rsidR="00234452">
              <w:rPr>
                <w:rFonts w:ascii="Aptos Narrow" w:hAnsi="Aptos Narrow" w:eastAsia="Times New Roman" w:cs="Times New Roman"/>
                <w:color w:val="000000"/>
                <w:sz w:val="22"/>
              </w:rPr>
              <w:t>’s Proposal</w:t>
            </w:r>
            <w:r>
              <w:rPr>
                <w:rFonts w:ascii="Aptos Narrow" w:hAnsi="Aptos Narrow" w:eastAsia="Times New Roman" w:cs="Times New Roman"/>
                <w:color w:val="000000"/>
                <w:sz w:val="22"/>
              </w:rPr>
              <w:t xml:space="preserve"> </w:t>
            </w:r>
          </w:p>
        </w:tc>
        <w:tc>
          <w:tcPr>
            <w:tcW w:w="907"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371AA9FA"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 xml:space="preserve">$6 </w:t>
            </w:r>
          </w:p>
        </w:tc>
        <w:tc>
          <w:tcPr>
            <w:tcW w:w="1255"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14F7B164"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0.1%</w:t>
            </w:r>
          </w:p>
        </w:tc>
        <w:tc>
          <w:tcPr>
            <w:tcW w:w="1175"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7D5D0D6F" w14:textId="10977292">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w:t>
            </w:r>
            <w:r w:rsidR="00F73FF7">
              <w:rPr>
                <w:rFonts w:ascii="Aptos Narrow" w:hAnsi="Aptos Narrow" w:eastAsia="Times New Roman" w:cs="Times New Roman"/>
                <w:color w:val="000000"/>
                <w:sz w:val="22"/>
              </w:rPr>
              <w:t>4</w:t>
            </w:r>
            <w:r w:rsidRPr="00A57844">
              <w:rPr>
                <w:rFonts w:ascii="Aptos Narrow" w:hAnsi="Aptos Narrow" w:eastAsia="Times New Roman" w:cs="Times New Roman"/>
                <w:color w:val="000000"/>
                <w:sz w:val="22"/>
              </w:rPr>
              <w:t>%</w:t>
            </w:r>
          </w:p>
        </w:tc>
        <w:tc>
          <w:tcPr>
            <w:tcW w:w="1217"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75D95FCB"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0.3</w:t>
            </w:r>
          </w:p>
        </w:tc>
        <w:tc>
          <w:tcPr>
            <w:tcW w:w="1151" w:type="dxa"/>
            <w:tcBorders>
              <w:top w:val="single" w:color="auto" w:sz="4" w:space="0"/>
              <w:left w:val="nil"/>
              <w:bottom w:val="single" w:color="auto" w:sz="4" w:space="0"/>
              <w:right w:val="single" w:color="auto" w:sz="4" w:space="0"/>
            </w:tcBorders>
            <w:shd w:val="clear" w:color="auto" w:fill="auto"/>
            <w:noWrap/>
            <w:vAlign w:val="bottom"/>
            <w:hideMark/>
          </w:tcPr>
          <w:p w:rsidRPr="00A57844" w:rsidR="00FD7696" w:rsidP="00FD7696" w:rsidRDefault="00FD7696" w14:paraId="2F3CF458" w14:textId="7777777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0.4%</w:t>
            </w:r>
          </w:p>
        </w:tc>
        <w:tc>
          <w:tcPr>
            <w:tcW w:w="222" w:type="dxa"/>
            <w:tcBorders>
              <w:left w:val="single" w:color="auto" w:sz="4" w:space="0"/>
            </w:tcBorders>
            <w:vAlign w:val="center"/>
            <w:hideMark/>
          </w:tcPr>
          <w:p w:rsidRPr="00A57844" w:rsidR="00FD7696" w:rsidP="00FD7696" w:rsidRDefault="00FD7696" w14:paraId="5076A8B6" w14:textId="77777777">
            <w:pPr>
              <w:spacing w:line="240" w:lineRule="auto"/>
              <w:ind w:firstLine="0"/>
              <w:rPr>
                <w:rFonts w:ascii="Times New Roman" w:hAnsi="Times New Roman" w:eastAsia="Times New Roman" w:cs="Times New Roman"/>
                <w:sz w:val="20"/>
                <w:szCs w:val="20"/>
              </w:rPr>
            </w:pPr>
          </w:p>
        </w:tc>
      </w:tr>
      <w:tr w:rsidRPr="00A57844" w:rsidR="00FD7696" w:rsidTr="001D442F" w14:paraId="6FE63B02" w14:textId="77777777">
        <w:trPr>
          <w:trHeight w:val="615"/>
        </w:trPr>
        <w:tc>
          <w:tcPr>
            <w:tcW w:w="339" w:type="dxa"/>
            <w:vMerge/>
            <w:tcBorders>
              <w:top w:val="nil"/>
              <w:left w:val="single" w:color="auto" w:sz="4" w:space="0"/>
              <w:bottom w:val="single" w:color="auto" w:sz="4" w:space="0"/>
              <w:right w:val="nil"/>
            </w:tcBorders>
            <w:vAlign w:val="center"/>
            <w:hideMark/>
          </w:tcPr>
          <w:p w:rsidRPr="00A57844" w:rsidR="00FD7696" w:rsidP="00FD7696" w:rsidRDefault="00FD7696" w14:paraId="0F11B6D7" w14:textId="77777777">
            <w:pPr>
              <w:spacing w:line="240" w:lineRule="auto"/>
              <w:ind w:firstLine="0"/>
              <w:rPr>
                <w:rFonts w:ascii="Aptos Narrow" w:hAnsi="Aptos Narrow" w:eastAsia="Times New Roman" w:cs="Times New Roman"/>
                <w:color w:val="000000"/>
                <w:sz w:val="22"/>
              </w:rPr>
            </w:pPr>
          </w:p>
        </w:tc>
        <w:tc>
          <w:tcPr>
            <w:tcW w:w="1817" w:type="dxa"/>
            <w:vMerge/>
            <w:tcBorders>
              <w:top w:val="nil"/>
              <w:left w:val="nil"/>
              <w:bottom w:val="single" w:color="auto" w:sz="4" w:space="0"/>
              <w:right w:val="single" w:color="auto" w:sz="8" w:space="0"/>
            </w:tcBorders>
            <w:vAlign w:val="center"/>
            <w:hideMark/>
          </w:tcPr>
          <w:p w:rsidRPr="00A57844" w:rsidR="00FD7696" w:rsidP="00FD7696" w:rsidRDefault="00FD7696" w14:paraId="35A00AEE" w14:textId="77777777">
            <w:pPr>
              <w:spacing w:line="240" w:lineRule="auto"/>
              <w:ind w:firstLine="0"/>
              <w:rPr>
                <w:rFonts w:ascii="Aptos Narrow" w:hAnsi="Aptos Narrow" w:eastAsia="Times New Roman" w:cs="Times New Roman"/>
                <w:color w:val="000000"/>
                <w:sz w:val="22"/>
              </w:rPr>
            </w:pPr>
          </w:p>
        </w:tc>
        <w:tc>
          <w:tcPr>
            <w:tcW w:w="2237" w:type="dxa"/>
            <w:tcBorders>
              <w:top w:val="single" w:color="auto" w:sz="4" w:space="0"/>
              <w:left w:val="nil"/>
              <w:bottom w:val="single" w:color="auto" w:sz="4" w:space="0"/>
              <w:right w:val="nil"/>
            </w:tcBorders>
            <w:shd w:val="clear" w:color="auto" w:fill="auto"/>
            <w:vAlign w:val="bottom"/>
            <w:hideMark/>
          </w:tcPr>
          <w:p w:rsidRPr="00A57844" w:rsidR="00FD7696" w:rsidP="00FD7696" w:rsidRDefault="00FD7696" w14:paraId="57D02879" w14:textId="3A33BCE0">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no interim relief &amp; 26 mo.</w:t>
            </w:r>
          </w:p>
        </w:tc>
        <w:tc>
          <w:tcPr>
            <w:tcW w:w="907"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67AD85E4" w14:textId="77777777">
            <w:pPr>
              <w:spacing w:line="240" w:lineRule="auto"/>
              <w:ind w:firstLine="0"/>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 </w:t>
            </w:r>
          </w:p>
        </w:tc>
        <w:tc>
          <w:tcPr>
            <w:tcW w:w="1255"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06F6772A" w14:textId="77777777">
            <w:pPr>
              <w:spacing w:line="240" w:lineRule="auto"/>
              <w:ind w:firstLine="0"/>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 </w:t>
            </w:r>
          </w:p>
        </w:tc>
        <w:tc>
          <w:tcPr>
            <w:tcW w:w="1175"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384638FC"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0.3%</w:t>
            </w:r>
          </w:p>
        </w:tc>
        <w:tc>
          <w:tcPr>
            <w:tcW w:w="1217" w:type="dxa"/>
            <w:tcBorders>
              <w:top w:val="single" w:color="auto" w:sz="4" w:space="0"/>
              <w:left w:val="nil"/>
              <w:bottom w:val="single" w:color="auto" w:sz="4" w:space="0"/>
              <w:right w:val="nil"/>
            </w:tcBorders>
            <w:shd w:val="clear" w:color="auto" w:fill="auto"/>
            <w:noWrap/>
            <w:vAlign w:val="bottom"/>
            <w:hideMark/>
          </w:tcPr>
          <w:p w:rsidRPr="00A57844" w:rsidR="00FD7696" w:rsidP="00FD7696" w:rsidRDefault="00FD7696" w14:paraId="7904F442" w14:textId="77777777">
            <w:pPr>
              <w:spacing w:line="240" w:lineRule="auto"/>
              <w:ind w:firstLine="0"/>
              <w:jc w:val="right"/>
              <w:rPr>
                <w:rFonts w:ascii="Aptos Narrow" w:hAnsi="Aptos Narrow" w:eastAsia="Times New Roman" w:cs="Times New Roman"/>
                <w:color w:val="000000"/>
                <w:sz w:val="22"/>
              </w:rPr>
            </w:pPr>
            <w:r w:rsidRPr="00A57844">
              <w:rPr>
                <w:rFonts w:ascii="Aptos Narrow" w:hAnsi="Aptos Narrow" w:eastAsia="Times New Roman" w:cs="Times New Roman"/>
                <w:color w:val="000000"/>
                <w:sz w:val="22"/>
              </w:rPr>
              <w:t>0.15</w:t>
            </w:r>
          </w:p>
        </w:tc>
        <w:tc>
          <w:tcPr>
            <w:tcW w:w="1151" w:type="dxa"/>
            <w:tcBorders>
              <w:top w:val="single" w:color="auto" w:sz="4" w:space="0"/>
              <w:left w:val="nil"/>
              <w:bottom w:val="single" w:color="auto" w:sz="4" w:space="0"/>
              <w:right w:val="single" w:color="auto" w:sz="4" w:space="0"/>
            </w:tcBorders>
            <w:shd w:val="clear" w:color="auto" w:fill="auto"/>
            <w:noWrap/>
            <w:vAlign w:val="bottom"/>
            <w:hideMark/>
          </w:tcPr>
          <w:p w:rsidRPr="00A57844" w:rsidR="00FD7696" w:rsidP="00FD7696" w:rsidRDefault="00FD7696" w14:paraId="4E1B8A93" w14:textId="77777777">
            <w:pPr>
              <w:spacing w:line="240" w:lineRule="auto"/>
              <w:ind w:firstLine="0"/>
              <w:jc w:val="right"/>
              <w:rPr>
                <w:rFonts w:ascii="Aptos Narrow" w:hAnsi="Aptos Narrow" w:eastAsia="Times New Roman" w:cs="Times New Roman"/>
                <w:b/>
                <w:bCs/>
                <w:color w:val="000000"/>
                <w:sz w:val="22"/>
              </w:rPr>
            </w:pPr>
            <w:r w:rsidRPr="00A57844">
              <w:rPr>
                <w:rFonts w:ascii="Aptos Narrow" w:hAnsi="Aptos Narrow" w:eastAsia="Times New Roman" w:cs="Times New Roman"/>
                <w:b/>
                <w:bCs/>
                <w:color w:val="000000"/>
                <w:sz w:val="22"/>
              </w:rPr>
              <w:t>0.3%</w:t>
            </w:r>
          </w:p>
        </w:tc>
        <w:tc>
          <w:tcPr>
            <w:tcW w:w="222" w:type="dxa"/>
            <w:tcBorders>
              <w:left w:val="single" w:color="auto" w:sz="4" w:space="0"/>
            </w:tcBorders>
            <w:vAlign w:val="center"/>
            <w:hideMark/>
          </w:tcPr>
          <w:p w:rsidRPr="00A57844" w:rsidR="00FD7696" w:rsidP="00FD7696" w:rsidRDefault="00FD7696" w14:paraId="11A01A53" w14:textId="77777777">
            <w:pPr>
              <w:spacing w:line="240" w:lineRule="auto"/>
              <w:ind w:firstLine="0"/>
              <w:rPr>
                <w:rFonts w:ascii="Times New Roman" w:hAnsi="Times New Roman" w:eastAsia="Times New Roman" w:cs="Times New Roman"/>
                <w:sz w:val="20"/>
                <w:szCs w:val="20"/>
              </w:rPr>
            </w:pPr>
          </w:p>
        </w:tc>
      </w:tr>
    </w:tbl>
    <w:p w:rsidR="00C06ABF" w:rsidP="00C06ABF" w:rsidRDefault="00C06ABF" w14:paraId="1CD544E1" w14:textId="77777777">
      <w:pPr>
        <w:pStyle w:val="Standard"/>
      </w:pPr>
    </w:p>
    <w:p w:rsidR="00C06ABF" w:rsidP="00C06ABF" w:rsidRDefault="00C06ABF" w14:paraId="3CC03A43" w14:textId="77777777">
      <w:pPr>
        <w:pStyle w:val="Standard"/>
        <w:ind w:firstLine="0"/>
      </w:pPr>
      <w:r>
        <w:t>At present rates before any increase, PG&amp;E residential bills, combined for electric and gas, average about $286 per month (in more extreme climate zones) and $238 per month (in the milder climate zone).  With interim cost recovery, a typical residential customer</w:t>
      </w:r>
      <w:r>
        <w:rPr>
          <w:rStyle w:val="FootnoteReference"/>
        </w:rPr>
        <w:footnoteReference w:id="66"/>
      </w:r>
      <w:r>
        <w:t xml:space="preserve"> will have a higher bill by $4 - $6 in the first year.</w:t>
      </w:r>
      <w:r>
        <w:rPr>
          <w:rStyle w:val="FootnoteReference"/>
        </w:rPr>
        <w:footnoteReference w:id="67"/>
      </w:r>
      <w:r>
        <w:t xml:space="preserve"> </w:t>
      </w:r>
    </w:p>
    <w:p w:rsidR="004322C1" w:rsidP="004322C1" w:rsidRDefault="004322C1" w14:paraId="56D8E08C" w14:textId="7A5BB45B">
      <w:pPr>
        <w:pStyle w:val="Standard"/>
      </w:pPr>
      <w:r>
        <w:t>Table 3 below reflects the bill and affordability impacts for PG&amp;E residential customers enrolled in the rate discount for low-income customers, the California Alternative Rates for Energy (CARE) program. As shown below, CARE customers have a combined average bill for electric and gas of about $215 per month (in more extreme climate zones) and $163 per month (in the milder climate zone). With interim cost recovery</w:t>
      </w:r>
      <w:r w:rsidR="002D62EC">
        <w:t xml:space="preserve"> as proposed by PG&amp;E in the Motion</w:t>
      </w:r>
      <w:r>
        <w:t>, a CARE customer</w:t>
      </w:r>
      <w:r>
        <w:rPr>
          <w:rStyle w:val="FootnoteReference"/>
        </w:rPr>
        <w:footnoteReference w:id="68"/>
      </w:r>
      <w:r>
        <w:t xml:space="preserve"> will have a higher </w:t>
      </w:r>
      <w:r w:rsidR="002D62EC">
        <w:t xml:space="preserve">monthly </w:t>
      </w:r>
      <w:r>
        <w:t>bill by $3 - $4, in the first year.</w:t>
      </w:r>
    </w:p>
    <w:p w:rsidR="002D2F26" w:rsidRDefault="002D2F26" w14:paraId="33C7E37B" w14:textId="77777777">
      <w:pPr>
        <w:spacing w:after="160" w:line="259" w:lineRule="auto"/>
        <w:ind w:firstLine="0"/>
        <w:rPr>
          <w:b/>
          <w:bCs/>
        </w:rPr>
      </w:pPr>
      <w:r>
        <w:rPr>
          <w:b/>
          <w:bCs/>
        </w:rPr>
        <w:br w:type="page"/>
      </w:r>
    </w:p>
    <w:p w:rsidRPr="007E19E8" w:rsidR="00FD7696" w:rsidP="007E19E8" w:rsidRDefault="00FD7696" w14:paraId="07919532" w14:textId="09A255F2">
      <w:pPr>
        <w:pStyle w:val="Standard"/>
        <w:spacing w:line="240" w:lineRule="auto"/>
        <w:ind w:firstLine="0"/>
        <w:jc w:val="center"/>
        <w:rPr>
          <w:b/>
          <w:bCs/>
        </w:rPr>
      </w:pPr>
      <w:r w:rsidRPr="007E19E8">
        <w:rPr>
          <w:b/>
          <w:bCs/>
        </w:rPr>
        <w:lastRenderedPageBreak/>
        <w:t>Table 3</w:t>
      </w:r>
    </w:p>
    <w:p w:rsidRPr="004C7359" w:rsidR="00C06ABF" w:rsidP="00C06ABF" w:rsidRDefault="00C06ABF" w14:paraId="358803F7" w14:textId="77777777">
      <w:pPr>
        <w:pStyle w:val="Standard"/>
        <w:spacing w:line="240" w:lineRule="auto"/>
        <w:ind w:firstLine="0"/>
        <w:rPr>
          <w:b/>
          <w:bCs/>
        </w:rPr>
      </w:pPr>
      <w:r w:rsidRPr="004C7359">
        <w:rPr>
          <w:b/>
          <w:bCs/>
        </w:rPr>
        <w:t>PG&amp;E Residential CARE Utility Bills, and Comparisons of Affordability Impacts for Selected Hypothetical Representative Residential Customer Types</w:t>
      </w:r>
    </w:p>
    <w:tbl>
      <w:tblPr>
        <w:tblW w:w="10734" w:type="dxa"/>
        <w:tblLook w:val="04A0" w:firstRow="1" w:lastRow="0" w:firstColumn="1" w:lastColumn="0" w:noHBand="0" w:noVBand="1"/>
      </w:tblPr>
      <w:tblGrid>
        <w:gridCol w:w="395"/>
        <w:gridCol w:w="1305"/>
        <w:gridCol w:w="2250"/>
        <w:gridCol w:w="990"/>
        <w:gridCol w:w="1175"/>
        <w:gridCol w:w="1345"/>
        <w:gridCol w:w="1260"/>
        <w:gridCol w:w="1170"/>
        <w:gridCol w:w="844"/>
      </w:tblGrid>
      <w:tr w:rsidRPr="00BD0979" w:rsidR="00FD7696" w:rsidTr="00AF639E" w14:paraId="3F16C8BF" w14:textId="77777777">
        <w:trPr>
          <w:gridAfter w:val="1"/>
          <w:wAfter w:w="844" w:type="dxa"/>
          <w:trHeight w:val="900"/>
        </w:trPr>
        <w:tc>
          <w:tcPr>
            <w:tcW w:w="1700" w:type="dxa"/>
            <w:gridSpan w:val="2"/>
            <w:tcBorders>
              <w:top w:val="single" w:color="auto" w:sz="8" w:space="0"/>
              <w:left w:val="single" w:color="auto" w:sz="8" w:space="0"/>
              <w:bottom w:val="single" w:color="000000" w:sz="8" w:space="0"/>
              <w:right w:val="single" w:color="000000" w:sz="8" w:space="0"/>
            </w:tcBorders>
            <w:shd w:val="clear" w:color="auto" w:fill="auto"/>
            <w:vAlign w:val="center"/>
          </w:tcPr>
          <w:p w:rsidRPr="00BD0979" w:rsidR="00FD7696" w:rsidP="00486705" w:rsidRDefault="00FD7696" w14:paraId="558BE1B4" w14:textId="77777777">
            <w:pPr>
              <w:spacing w:line="240" w:lineRule="auto"/>
              <w:ind w:firstLine="0"/>
              <w:jc w:val="center"/>
              <w:rPr>
                <w:rFonts w:ascii="Aptos Narrow" w:hAnsi="Aptos Narrow" w:eastAsia="Times New Roman" w:cs="Times New Roman"/>
                <w:color w:val="000000"/>
                <w:sz w:val="22"/>
              </w:rPr>
            </w:pPr>
          </w:p>
        </w:tc>
        <w:tc>
          <w:tcPr>
            <w:tcW w:w="2250" w:type="dxa"/>
            <w:tcBorders>
              <w:top w:val="single" w:color="auto" w:sz="8" w:space="0"/>
              <w:left w:val="nil"/>
              <w:bottom w:val="single" w:color="000000" w:sz="8" w:space="0"/>
              <w:right w:val="nil"/>
            </w:tcBorders>
            <w:shd w:val="clear" w:color="auto" w:fill="auto"/>
            <w:vAlign w:val="center"/>
          </w:tcPr>
          <w:p w:rsidR="00FD7696" w:rsidP="00FD7696" w:rsidRDefault="00FD7696" w14:paraId="725EA163" w14:textId="77777777">
            <w:pPr>
              <w:spacing w:line="240" w:lineRule="auto"/>
              <w:ind w:firstLine="0"/>
              <w:jc w:val="center"/>
              <w:rPr>
                <w:rFonts w:ascii="Aptos Narrow" w:hAnsi="Aptos Narrow" w:eastAsia="Times New Roman" w:cs="Times New Roman"/>
                <w:color w:val="000000"/>
                <w:sz w:val="22"/>
              </w:rPr>
            </w:pPr>
          </w:p>
        </w:tc>
        <w:tc>
          <w:tcPr>
            <w:tcW w:w="990" w:type="dxa"/>
            <w:tcBorders>
              <w:top w:val="single" w:color="auto" w:sz="8" w:space="0"/>
              <w:left w:val="nil"/>
              <w:bottom w:val="single" w:color="000000" w:sz="8" w:space="0"/>
              <w:right w:val="nil"/>
            </w:tcBorders>
            <w:shd w:val="clear" w:color="auto" w:fill="auto"/>
            <w:vAlign w:val="center"/>
          </w:tcPr>
          <w:p w:rsidRPr="00BD0979" w:rsidR="00FD7696" w:rsidP="00486705" w:rsidRDefault="00FD7696" w14:paraId="33623B7E" w14:textId="77777777">
            <w:pPr>
              <w:spacing w:line="240" w:lineRule="auto"/>
              <w:ind w:firstLine="0"/>
              <w:jc w:val="center"/>
              <w:rPr>
                <w:rFonts w:ascii="Aptos Narrow" w:hAnsi="Aptos Narrow" w:eastAsia="Times New Roman" w:cs="Times New Roman"/>
                <w:color w:val="000000"/>
                <w:sz w:val="22"/>
              </w:rPr>
            </w:pPr>
          </w:p>
        </w:tc>
        <w:tc>
          <w:tcPr>
            <w:tcW w:w="4950" w:type="dxa"/>
            <w:gridSpan w:val="4"/>
            <w:tcBorders>
              <w:top w:val="single" w:color="auto" w:sz="8" w:space="0"/>
              <w:left w:val="nil"/>
              <w:bottom w:val="single" w:color="000000" w:sz="8" w:space="0"/>
              <w:right w:val="single" w:color="auto" w:sz="8" w:space="0"/>
            </w:tcBorders>
            <w:shd w:val="clear" w:color="auto" w:fill="auto"/>
            <w:vAlign w:val="center"/>
          </w:tcPr>
          <w:p w:rsidR="00FD7696" w:rsidP="00486705" w:rsidRDefault="00FD7696" w14:paraId="31ABFC3D" w14:textId="7F3FD16F">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Affordability impacts</w:t>
            </w:r>
            <w:r w:rsidR="00E963B7">
              <w:rPr>
                <w:rStyle w:val="FootnoteReference"/>
                <w:rFonts w:ascii="Aptos Narrow" w:hAnsi="Aptos Narrow" w:eastAsia="Times New Roman" w:cs="Times New Roman"/>
                <w:color w:val="000000"/>
                <w:sz w:val="22"/>
              </w:rPr>
              <w:footnoteReference w:id="69"/>
            </w:r>
          </w:p>
          <w:p w:rsidRPr="00BD0979" w:rsidR="00FD7696" w:rsidP="00486705" w:rsidRDefault="00FD7696" w14:paraId="7AB2F966" w14:textId="195515B3">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AR=Affordability Ratio</w:t>
            </w:r>
          </w:p>
        </w:tc>
      </w:tr>
      <w:tr w:rsidRPr="00BD0979" w:rsidR="00C06ABF" w:rsidTr="00AF639E" w14:paraId="579365EF" w14:textId="77777777">
        <w:trPr>
          <w:gridAfter w:val="1"/>
          <w:wAfter w:w="844" w:type="dxa"/>
          <w:trHeight w:val="900"/>
        </w:trPr>
        <w:tc>
          <w:tcPr>
            <w:tcW w:w="170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D0979" w:rsidR="00C06ABF" w:rsidP="00486705" w:rsidRDefault="00C06ABF" w14:paraId="3E0CFC96" w14:textId="77777777">
            <w:pPr>
              <w:spacing w:line="240" w:lineRule="auto"/>
              <w:ind w:firstLine="0"/>
              <w:jc w:val="center"/>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Climate Zone</w:t>
            </w:r>
          </w:p>
        </w:tc>
        <w:tc>
          <w:tcPr>
            <w:tcW w:w="2250" w:type="dxa"/>
            <w:vMerge w:val="restart"/>
            <w:tcBorders>
              <w:top w:val="single" w:color="auto" w:sz="8" w:space="0"/>
              <w:left w:val="nil"/>
              <w:bottom w:val="single" w:color="000000" w:sz="8" w:space="0"/>
              <w:right w:val="nil"/>
            </w:tcBorders>
            <w:shd w:val="clear" w:color="auto" w:fill="auto"/>
            <w:vAlign w:val="center"/>
            <w:hideMark/>
          </w:tcPr>
          <w:p w:rsidR="00AF639E" w:rsidP="00AF639E" w:rsidRDefault="00AF639E" w14:paraId="0A586991" w14:textId="77777777">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Monthly Gas &amp; Electric Bill, by date</w:t>
            </w:r>
          </w:p>
          <w:p w:rsidR="00AF639E" w:rsidP="00AF639E" w:rsidRDefault="00AF639E" w14:paraId="7CD692EC" w14:textId="4E3A3972">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&amp;</w:t>
            </w:r>
          </w:p>
          <w:p w:rsidRPr="00BD0979" w:rsidR="00C06ABF" w:rsidP="00AF639E" w:rsidRDefault="00AF639E" w14:paraId="1342E8E0" w14:textId="4ECF713A">
            <w:pPr>
              <w:spacing w:line="240" w:lineRule="auto"/>
              <w:ind w:firstLine="0"/>
              <w:jc w:val="center"/>
              <w:rPr>
                <w:rFonts w:ascii="Aptos Narrow" w:hAnsi="Aptos Narrow" w:eastAsia="Times New Roman" w:cs="Times New Roman"/>
                <w:color w:val="000000"/>
                <w:sz w:val="22"/>
              </w:rPr>
            </w:pPr>
            <w:r>
              <w:rPr>
                <w:rFonts w:ascii="Aptos Narrow" w:hAnsi="Aptos Narrow" w:eastAsia="Times New Roman" w:cs="Times New Roman"/>
                <w:color w:val="000000"/>
                <w:sz w:val="22"/>
              </w:rPr>
              <w:t xml:space="preserve"> Change to Bill, by scenario</w:t>
            </w:r>
          </w:p>
        </w:tc>
        <w:tc>
          <w:tcPr>
            <w:tcW w:w="990" w:type="dxa"/>
            <w:vMerge w:val="restart"/>
            <w:tcBorders>
              <w:top w:val="single" w:color="auto" w:sz="8" w:space="0"/>
              <w:left w:val="nil"/>
              <w:bottom w:val="single" w:color="000000" w:sz="8" w:space="0"/>
              <w:right w:val="nil"/>
            </w:tcBorders>
            <w:shd w:val="clear" w:color="auto" w:fill="auto"/>
            <w:vAlign w:val="center"/>
            <w:hideMark/>
          </w:tcPr>
          <w:p w:rsidRPr="00BD0979" w:rsidR="00C06ABF" w:rsidP="00486705" w:rsidRDefault="00C06ABF" w14:paraId="08EC9FD0" w14:textId="77777777">
            <w:pPr>
              <w:spacing w:line="240" w:lineRule="auto"/>
              <w:ind w:firstLine="0"/>
              <w:jc w:val="center"/>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Bill, Average Use</w:t>
            </w:r>
          </w:p>
        </w:tc>
        <w:tc>
          <w:tcPr>
            <w:tcW w:w="1175" w:type="dxa"/>
            <w:vMerge w:val="restart"/>
            <w:tcBorders>
              <w:top w:val="single" w:color="auto" w:sz="8" w:space="0"/>
              <w:left w:val="nil"/>
              <w:bottom w:val="single" w:color="000000" w:sz="8" w:space="0"/>
              <w:right w:val="nil"/>
            </w:tcBorders>
            <w:shd w:val="clear" w:color="auto" w:fill="auto"/>
            <w:vAlign w:val="center"/>
            <w:hideMark/>
          </w:tcPr>
          <w:p w:rsidRPr="00BD0979" w:rsidR="00C06ABF" w:rsidP="00486705" w:rsidRDefault="00C06ABF" w14:paraId="78BB9825" w14:textId="77777777">
            <w:pPr>
              <w:spacing w:line="240" w:lineRule="auto"/>
              <w:ind w:firstLine="0"/>
              <w:jc w:val="center"/>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 xml:space="preserve">Median Income Household AR50 </w:t>
            </w:r>
          </w:p>
        </w:tc>
        <w:tc>
          <w:tcPr>
            <w:tcW w:w="1345" w:type="dxa"/>
            <w:vMerge w:val="restart"/>
            <w:tcBorders>
              <w:top w:val="single" w:color="auto" w:sz="8" w:space="0"/>
              <w:left w:val="nil"/>
              <w:bottom w:val="single" w:color="000000" w:sz="8" w:space="0"/>
              <w:right w:val="nil"/>
            </w:tcBorders>
            <w:shd w:val="clear" w:color="auto" w:fill="auto"/>
            <w:vAlign w:val="center"/>
            <w:hideMark/>
          </w:tcPr>
          <w:p w:rsidRPr="00BD0979" w:rsidR="00C06ABF" w:rsidP="00486705" w:rsidRDefault="00C06ABF" w14:paraId="4FC8BC60" w14:textId="77777777">
            <w:pPr>
              <w:spacing w:line="240" w:lineRule="auto"/>
              <w:ind w:firstLine="0"/>
              <w:jc w:val="center"/>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Household with Income at 20th percentile, AR20</w:t>
            </w:r>
            <w:r>
              <w:rPr>
                <w:rStyle w:val="FootnoteReference"/>
                <w:rFonts w:ascii="Aptos Narrow" w:hAnsi="Aptos Narrow" w:eastAsia="Times New Roman" w:cs="Times New Roman"/>
                <w:color w:val="000000"/>
                <w:sz w:val="22"/>
              </w:rPr>
              <w:footnoteReference w:id="70"/>
            </w:r>
          </w:p>
        </w:tc>
        <w:tc>
          <w:tcPr>
            <w:tcW w:w="1260" w:type="dxa"/>
            <w:vMerge w:val="restart"/>
            <w:tcBorders>
              <w:top w:val="single" w:color="auto" w:sz="8" w:space="0"/>
              <w:left w:val="nil"/>
              <w:bottom w:val="single" w:color="000000" w:sz="8" w:space="0"/>
              <w:right w:val="nil"/>
            </w:tcBorders>
            <w:shd w:val="clear" w:color="auto" w:fill="auto"/>
            <w:vAlign w:val="center"/>
            <w:hideMark/>
          </w:tcPr>
          <w:p w:rsidRPr="00BD0979" w:rsidR="00C06ABF" w:rsidP="00486705" w:rsidRDefault="00C06ABF" w14:paraId="62EF8F4E" w14:textId="70B4027F">
            <w:pPr>
              <w:spacing w:line="240" w:lineRule="auto"/>
              <w:ind w:firstLine="0"/>
              <w:jc w:val="center"/>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Hou</w:t>
            </w:r>
            <w:r w:rsidR="00B63735">
              <w:rPr>
                <w:rFonts w:ascii="Aptos Narrow" w:hAnsi="Aptos Narrow" w:eastAsia="Times New Roman" w:cs="Times New Roman"/>
                <w:color w:val="000000"/>
                <w:sz w:val="22"/>
              </w:rPr>
              <w:t>rs</w:t>
            </w:r>
            <w:r w:rsidRPr="00BD0979">
              <w:rPr>
                <w:rFonts w:ascii="Aptos Narrow" w:hAnsi="Aptos Narrow" w:eastAsia="Times New Roman" w:cs="Times New Roman"/>
                <w:color w:val="000000"/>
                <w:sz w:val="22"/>
              </w:rPr>
              <w:t xml:space="preserve"> at Minimum Wage</w:t>
            </w:r>
          </w:p>
        </w:tc>
        <w:tc>
          <w:tcPr>
            <w:tcW w:w="1170" w:type="dxa"/>
            <w:vMerge w:val="restart"/>
            <w:tcBorders>
              <w:top w:val="single" w:color="auto" w:sz="8" w:space="0"/>
              <w:left w:val="nil"/>
              <w:bottom w:val="single" w:color="000000" w:sz="8" w:space="0"/>
              <w:right w:val="single" w:color="auto" w:sz="8" w:space="0"/>
            </w:tcBorders>
            <w:shd w:val="clear" w:color="auto" w:fill="auto"/>
            <w:vAlign w:val="center"/>
            <w:hideMark/>
          </w:tcPr>
          <w:p w:rsidRPr="00BD0979" w:rsidR="00C06ABF" w:rsidP="00486705" w:rsidRDefault="00C06ABF" w14:paraId="1B599AC6" w14:textId="77777777">
            <w:pPr>
              <w:spacing w:line="240" w:lineRule="auto"/>
              <w:ind w:firstLine="0"/>
              <w:jc w:val="center"/>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Area of Concern: Southwest Fresno City</w:t>
            </w:r>
          </w:p>
        </w:tc>
      </w:tr>
      <w:tr w:rsidRPr="00BD0979" w:rsidR="00C06ABF" w:rsidTr="00AF639E" w14:paraId="001BAEB9" w14:textId="77777777">
        <w:trPr>
          <w:trHeight w:val="60"/>
        </w:trPr>
        <w:tc>
          <w:tcPr>
            <w:tcW w:w="1700" w:type="dxa"/>
            <w:gridSpan w:val="2"/>
            <w:vMerge/>
            <w:tcBorders>
              <w:top w:val="single" w:color="auto" w:sz="8" w:space="0"/>
              <w:left w:val="single" w:color="auto" w:sz="8" w:space="0"/>
              <w:bottom w:val="single" w:color="000000" w:sz="8" w:space="0"/>
              <w:right w:val="single" w:color="000000" w:sz="8" w:space="0"/>
            </w:tcBorders>
            <w:vAlign w:val="center"/>
            <w:hideMark/>
          </w:tcPr>
          <w:p w:rsidRPr="00BD0979" w:rsidR="00C06ABF" w:rsidP="00486705" w:rsidRDefault="00C06ABF" w14:paraId="4CBA7104" w14:textId="77777777">
            <w:pPr>
              <w:spacing w:line="240" w:lineRule="auto"/>
              <w:ind w:firstLine="0"/>
              <w:rPr>
                <w:rFonts w:ascii="Aptos Narrow" w:hAnsi="Aptos Narrow" w:eastAsia="Times New Roman" w:cs="Times New Roman"/>
                <w:color w:val="000000"/>
                <w:sz w:val="22"/>
              </w:rPr>
            </w:pPr>
          </w:p>
        </w:tc>
        <w:tc>
          <w:tcPr>
            <w:tcW w:w="2250" w:type="dxa"/>
            <w:vMerge/>
            <w:tcBorders>
              <w:top w:val="single" w:color="auto" w:sz="8" w:space="0"/>
              <w:left w:val="nil"/>
              <w:bottom w:val="single" w:color="000000" w:sz="8" w:space="0"/>
              <w:right w:val="nil"/>
            </w:tcBorders>
            <w:vAlign w:val="center"/>
            <w:hideMark/>
          </w:tcPr>
          <w:p w:rsidRPr="00BD0979" w:rsidR="00C06ABF" w:rsidP="00486705" w:rsidRDefault="00C06ABF" w14:paraId="278E9593" w14:textId="77777777">
            <w:pPr>
              <w:spacing w:line="240" w:lineRule="auto"/>
              <w:ind w:firstLine="0"/>
              <w:rPr>
                <w:rFonts w:ascii="Aptos Narrow" w:hAnsi="Aptos Narrow" w:eastAsia="Times New Roman" w:cs="Times New Roman"/>
                <w:color w:val="000000"/>
                <w:sz w:val="22"/>
              </w:rPr>
            </w:pPr>
          </w:p>
        </w:tc>
        <w:tc>
          <w:tcPr>
            <w:tcW w:w="990" w:type="dxa"/>
            <w:vMerge/>
            <w:tcBorders>
              <w:top w:val="single" w:color="auto" w:sz="8" w:space="0"/>
              <w:left w:val="nil"/>
              <w:bottom w:val="single" w:color="000000" w:sz="8" w:space="0"/>
              <w:right w:val="nil"/>
            </w:tcBorders>
            <w:vAlign w:val="center"/>
            <w:hideMark/>
          </w:tcPr>
          <w:p w:rsidRPr="00BD0979" w:rsidR="00C06ABF" w:rsidP="00486705" w:rsidRDefault="00C06ABF" w14:paraId="240CEA31" w14:textId="77777777">
            <w:pPr>
              <w:spacing w:line="240" w:lineRule="auto"/>
              <w:ind w:firstLine="0"/>
              <w:rPr>
                <w:rFonts w:ascii="Aptos Narrow" w:hAnsi="Aptos Narrow" w:eastAsia="Times New Roman" w:cs="Times New Roman"/>
                <w:color w:val="000000"/>
                <w:sz w:val="22"/>
              </w:rPr>
            </w:pPr>
          </w:p>
        </w:tc>
        <w:tc>
          <w:tcPr>
            <w:tcW w:w="1175" w:type="dxa"/>
            <w:vMerge/>
            <w:tcBorders>
              <w:top w:val="single" w:color="auto" w:sz="8" w:space="0"/>
              <w:left w:val="nil"/>
              <w:bottom w:val="single" w:color="000000" w:sz="8" w:space="0"/>
              <w:right w:val="nil"/>
            </w:tcBorders>
            <w:vAlign w:val="center"/>
            <w:hideMark/>
          </w:tcPr>
          <w:p w:rsidRPr="00BD0979" w:rsidR="00C06ABF" w:rsidP="00486705" w:rsidRDefault="00C06ABF" w14:paraId="1E811FB6" w14:textId="77777777">
            <w:pPr>
              <w:spacing w:line="240" w:lineRule="auto"/>
              <w:ind w:firstLine="0"/>
              <w:rPr>
                <w:rFonts w:ascii="Aptos Narrow" w:hAnsi="Aptos Narrow" w:eastAsia="Times New Roman" w:cs="Times New Roman"/>
                <w:color w:val="000000"/>
                <w:sz w:val="22"/>
              </w:rPr>
            </w:pPr>
          </w:p>
        </w:tc>
        <w:tc>
          <w:tcPr>
            <w:tcW w:w="1345" w:type="dxa"/>
            <w:vMerge/>
            <w:tcBorders>
              <w:top w:val="single" w:color="auto" w:sz="8" w:space="0"/>
              <w:left w:val="nil"/>
              <w:bottom w:val="single" w:color="000000" w:sz="8" w:space="0"/>
              <w:right w:val="nil"/>
            </w:tcBorders>
            <w:vAlign w:val="center"/>
            <w:hideMark/>
          </w:tcPr>
          <w:p w:rsidRPr="00BD0979" w:rsidR="00C06ABF" w:rsidP="00486705" w:rsidRDefault="00C06ABF" w14:paraId="5AAA4EA6" w14:textId="77777777">
            <w:pPr>
              <w:spacing w:line="240" w:lineRule="auto"/>
              <w:ind w:firstLine="0"/>
              <w:rPr>
                <w:rFonts w:ascii="Aptos Narrow" w:hAnsi="Aptos Narrow" w:eastAsia="Times New Roman" w:cs="Times New Roman"/>
                <w:color w:val="000000"/>
                <w:sz w:val="22"/>
              </w:rPr>
            </w:pPr>
          </w:p>
        </w:tc>
        <w:tc>
          <w:tcPr>
            <w:tcW w:w="1260" w:type="dxa"/>
            <w:vMerge/>
            <w:tcBorders>
              <w:top w:val="single" w:color="auto" w:sz="8" w:space="0"/>
              <w:left w:val="nil"/>
              <w:bottom w:val="single" w:color="000000" w:sz="8" w:space="0"/>
              <w:right w:val="nil"/>
            </w:tcBorders>
            <w:vAlign w:val="center"/>
            <w:hideMark/>
          </w:tcPr>
          <w:p w:rsidRPr="00BD0979" w:rsidR="00C06ABF" w:rsidP="00486705" w:rsidRDefault="00C06ABF" w14:paraId="529825B9" w14:textId="77777777">
            <w:pPr>
              <w:spacing w:line="240" w:lineRule="auto"/>
              <w:ind w:firstLine="0"/>
              <w:rPr>
                <w:rFonts w:ascii="Aptos Narrow" w:hAnsi="Aptos Narrow" w:eastAsia="Times New Roman" w:cs="Times New Roman"/>
                <w:color w:val="000000"/>
                <w:sz w:val="22"/>
              </w:rPr>
            </w:pPr>
          </w:p>
        </w:tc>
        <w:tc>
          <w:tcPr>
            <w:tcW w:w="1170" w:type="dxa"/>
            <w:vMerge/>
            <w:tcBorders>
              <w:top w:val="single" w:color="auto" w:sz="8" w:space="0"/>
              <w:left w:val="nil"/>
              <w:bottom w:val="single" w:color="000000" w:sz="8" w:space="0"/>
              <w:right w:val="single" w:color="auto" w:sz="8" w:space="0"/>
            </w:tcBorders>
            <w:vAlign w:val="center"/>
            <w:hideMark/>
          </w:tcPr>
          <w:p w:rsidRPr="00BD0979" w:rsidR="00C06ABF" w:rsidP="00486705" w:rsidRDefault="00C06ABF" w14:paraId="31EC07DE" w14:textId="77777777">
            <w:pPr>
              <w:spacing w:line="240" w:lineRule="auto"/>
              <w:ind w:firstLine="0"/>
              <w:rPr>
                <w:rFonts w:ascii="Aptos Narrow" w:hAnsi="Aptos Narrow" w:eastAsia="Times New Roman" w:cs="Times New Roman"/>
                <w:color w:val="000000"/>
                <w:sz w:val="22"/>
              </w:rPr>
            </w:pPr>
          </w:p>
        </w:tc>
        <w:tc>
          <w:tcPr>
            <w:tcW w:w="844" w:type="dxa"/>
            <w:tcBorders>
              <w:top w:val="nil"/>
              <w:left w:val="nil"/>
              <w:bottom w:val="nil"/>
              <w:right w:val="nil"/>
            </w:tcBorders>
            <w:shd w:val="clear" w:color="auto" w:fill="auto"/>
            <w:noWrap/>
            <w:vAlign w:val="bottom"/>
            <w:hideMark/>
          </w:tcPr>
          <w:p w:rsidRPr="00BD0979" w:rsidR="00C06ABF" w:rsidP="00486705" w:rsidRDefault="00C06ABF" w14:paraId="46F6AB6F" w14:textId="77777777">
            <w:pPr>
              <w:spacing w:line="240" w:lineRule="auto"/>
              <w:ind w:firstLine="0"/>
              <w:jc w:val="center"/>
              <w:rPr>
                <w:rFonts w:ascii="Aptos Narrow" w:hAnsi="Aptos Narrow" w:eastAsia="Times New Roman" w:cs="Times New Roman"/>
                <w:color w:val="000000"/>
                <w:sz w:val="22"/>
              </w:rPr>
            </w:pPr>
          </w:p>
        </w:tc>
      </w:tr>
      <w:tr w:rsidRPr="00BD0979" w:rsidR="00C06ABF" w:rsidTr="00AF639E" w14:paraId="7EE62BEC" w14:textId="77777777">
        <w:trPr>
          <w:trHeight w:val="900"/>
        </w:trPr>
        <w:tc>
          <w:tcPr>
            <w:tcW w:w="395" w:type="dxa"/>
            <w:vMerge w:val="restart"/>
            <w:tcBorders>
              <w:top w:val="nil"/>
              <w:left w:val="single" w:color="auto" w:sz="8" w:space="0"/>
              <w:bottom w:val="nil"/>
              <w:right w:val="nil"/>
            </w:tcBorders>
            <w:shd w:val="clear" w:color="auto" w:fill="auto"/>
            <w:noWrap/>
            <w:vAlign w:val="center"/>
            <w:hideMark/>
          </w:tcPr>
          <w:p w:rsidRPr="00BD0979" w:rsidR="00C06ABF" w:rsidP="00486705" w:rsidRDefault="00C06ABF" w14:paraId="410AAA2D" w14:textId="77777777">
            <w:pPr>
              <w:spacing w:line="240" w:lineRule="auto"/>
              <w:ind w:firstLine="0"/>
              <w:jc w:val="center"/>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X</w:t>
            </w:r>
          </w:p>
        </w:tc>
        <w:tc>
          <w:tcPr>
            <w:tcW w:w="1305" w:type="dxa"/>
            <w:vMerge w:val="restart"/>
            <w:tcBorders>
              <w:top w:val="single" w:color="000000" w:sz="4" w:space="0"/>
              <w:left w:val="nil"/>
              <w:bottom w:val="nil"/>
              <w:right w:val="single" w:color="auto" w:sz="8" w:space="0"/>
            </w:tcBorders>
            <w:shd w:val="clear" w:color="auto" w:fill="auto"/>
            <w:vAlign w:val="center"/>
            <w:hideMark/>
          </w:tcPr>
          <w:p w:rsidRPr="00BD0979" w:rsidR="00C06ABF" w:rsidP="00486705" w:rsidRDefault="00C06ABF" w14:paraId="512F5850" w14:textId="77777777">
            <w:pPr>
              <w:spacing w:line="240" w:lineRule="auto"/>
              <w:ind w:firstLine="0"/>
              <w:jc w:val="center"/>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Milder Climate &amp; More Affordable Bill</w:t>
            </w:r>
          </w:p>
        </w:tc>
        <w:tc>
          <w:tcPr>
            <w:tcW w:w="2250" w:type="dxa"/>
            <w:tcBorders>
              <w:top w:val="nil"/>
              <w:left w:val="nil"/>
              <w:bottom w:val="nil"/>
              <w:right w:val="nil"/>
            </w:tcBorders>
            <w:shd w:val="clear" w:color="auto" w:fill="auto"/>
            <w:vAlign w:val="bottom"/>
            <w:hideMark/>
          </w:tcPr>
          <w:p w:rsidR="00AF639E" w:rsidP="00AF639E" w:rsidRDefault="00AF639E" w14:paraId="1CE48A15" w14:textId="77777777">
            <w:pPr>
              <w:spacing w:line="240" w:lineRule="auto"/>
              <w:ind w:firstLine="0"/>
              <w:jc w:val="right"/>
              <w:rPr>
                <w:rFonts w:ascii="Aptos Narrow" w:hAnsi="Aptos Narrow" w:eastAsia="Times New Roman" w:cs="Times New Roman"/>
                <w:color w:val="000000"/>
                <w:sz w:val="22"/>
              </w:rPr>
            </w:pPr>
            <w:r>
              <w:rPr>
                <w:rFonts w:ascii="Aptos Narrow" w:hAnsi="Aptos Narrow" w:eastAsia="Times New Roman" w:cs="Times New Roman"/>
                <w:color w:val="000000"/>
                <w:sz w:val="22"/>
              </w:rPr>
              <w:t>Date of Bill:</w:t>
            </w:r>
          </w:p>
          <w:p w:rsidRPr="00BD0979" w:rsidR="00C06ABF" w:rsidP="00486705" w:rsidRDefault="00C06ABF" w14:paraId="205BE6BB"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Jun-23</w:t>
            </w:r>
          </w:p>
        </w:tc>
        <w:tc>
          <w:tcPr>
            <w:tcW w:w="990" w:type="dxa"/>
            <w:tcBorders>
              <w:top w:val="nil"/>
              <w:left w:val="nil"/>
              <w:bottom w:val="nil"/>
              <w:right w:val="nil"/>
            </w:tcBorders>
            <w:shd w:val="clear" w:color="auto" w:fill="auto"/>
            <w:noWrap/>
            <w:vAlign w:val="bottom"/>
            <w:hideMark/>
          </w:tcPr>
          <w:p w:rsidRPr="00BD0979" w:rsidR="00C06ABF" w:rsidP="00486705" w:rsidRDefault="00C06ABF" w14:paraId="00AF5C78" w14:textId="77777777">
            <w:pPr>
              <w:spacing w:line="240" w:lineRule="auto"/>
              <w:ind w:firstLine="0"/>
              <w:jc w:val="right"/>
              <w:rPr>
                <w:rFonts w:ascii="Aptos Narrow" w:hAnsi="Aptos Narrow" w:eastAsia="Times New Roman" w:cs="Times New Roman"/>
                <w:b/>
                <w:bCs/>
                <w:color w:val="000000"/>
                <w:sz w:val="22"/>
              </w:rPr>
            </w:pPr>
            <w:r w:rsidRPr="00BD0979">
              <w:rPr>
                <w:rFonts w:ascii="Aptos Narrow" w:hAnsi="Aptos Narrow" w:eastAsia="Times New Roman" w:cs="Times New Roman"/>
                <w:b/>
                <w:bCs/>
                <w:color w:val="000000"/>
                <w:sz w:val="22"/>
              </w:rPr>
              <w:t xml:space="preserve">$146 </w:t>
            </w:r>
          </w:p>
        </w:tc>
        <w:tc>
          <w:tcPr>
            <w:tcW w:w="1175" w:type="dxa"/>
            <w:vMerge w:val="restart"/>
            <w:tcBorders>
              <w:top w:val="nil"/>
              <w:left w:val="nil"/>
              <w:bottom w:val="single" w:color="000000" w:sz="8" w:space="0"/>
              <w:right w:val="nil"/>
            </w:tcBorders>
            <w:shd w:val="clear" w:color="auto" w:fill="auto"/>
            <w:noWrap/>
            <w:vAlign w:val="center"/>
            <w:hideMark/>
          </w:tcPr>
          <w:p w:rsidRPr="00BD0979" w:rsidR="00C06ABF" w:rsidP="00486705" w:rsidRDefault="00C06ABF" w14:paraId="627B1479" w14:textId="77777777">
            <w:pPr>
              <w:spacing w:line="240" w:lineRule="auto"/>
              <w:ind w:firstLine="0"/>
              <w:jc w:val="center"/>
              <w:rPr>
                <w:rFonts w:ascii="Aptos Narrow" w:hAnsi="Aptos Narrow" w:eastAsia="Times New Roman" w:cs="Times New Roman"/>
                <w:b/>
                <w:bCs/>
                <w:color w:val="000000"/>
                <w:sz w:val="22"/>
              </w:rPr>
            </w:pPr>
            <w:r w:rsidRPr="00BD0979">
              <w:rPr>
                <w:rFonts w:ascii="Aptos Narrow" w:hAnsi="Aptos Narrow" w:eastAsia="Times New Roman" w:cs="Times New Roman"/>
                <w:b/>
                <w:bCs/>
                <w:color w:val="000000"/>
                <w:sz w:val="22"/>
              </w:rPr>
              <w:t>n/a</w:t>
            </w:r>
          </w:p>
        </w:tc>
        <w:tc>
          <w:tcPr>
            <w:tcW w:w="1345" w:type="dxa"/>
            <w:tcBorders>
              <w:top w:val="nil"/>
              <w:left w:val="nil"/>
              <w:bottom w:val="nil"/>
              <w:right w:val="nil"/>
            </w:tcBorders>
            <w:shd w:val="clear" w:color="auto" w:fill="auto"/>
            <w:noWrap/>
            <w:vAlign w:val="bottom"/>
            <w:hideMark/>
          </w:tcPr>
          <w:p w:rsidRPr="00BD0979" w:rsidR="00C06ABF" w:rsidP="00486705" w:rsidRDefault="00C06ABF" w14:paraId="26CD5E98" w14:textId="77777777">
            <w:pPr>
              <w:spacing w:line="240" w:lineRule="auto"/>
              <w:ind w:firstLine="0"/>
              <w:jc w:val="right"/>
              <w:rPr>
                <w:rFonts w:ascii="Aptos Narrow" w:hAnsi="Aptos Narrow" w:eastAsia="Times New Roman" w:cs="Times New Roman"/>
                <w:b/>
                <w:bCs/>
                <w:color w:val="000000"/>
                <w:sz w:val="22"/>
              </w:rPr>
            </w:pPr>
            <w:r w:rsidRPr="00BD0979">
              <w:rPr>
                <w:rFonts w:ascii="Aptos Narrow" w:hAnsi="Aptos Narrow" w:eastAsia="Times New Roman" w:cs="Times New Roman"/>
                <w:b/>
                <w:bCs/>
                <w:color w:val="000000"/>
                <w:sz w:val="22"/>
              </w:rPr>
              <w:t>4.7%</w:t>
            </w:r>
          </w:p>
        </w:tc>
        <w:tc>
          <w:tcPr>
            <w:tcW w:w="1260" w:type="dxa"/>
            <w:tcBorders>
              <w:top w:val="nil"/>
              <w:left w:val="nil"/>
              <w:bottom w:val="nil"/>
              <w:right w:val="nil"/>
            </w:tcBorders>
            <w:shd w:val="clear" w:color="auto" w:fill="auto"/>
            <w:noWrap/>
            <w:vAlign w:val="bottom"/>
            <w:hideMark/>
          </w:tcPr>
          <w:p w:rsidRPr="00BD0979" w:rsidR="00C06ABF" w:rsidP="00486705" w:rsidRDefault="00C06ABF" w14:paraId="2FB2BD18" w14:textId="77777777">
            <w:pPr>
              <w:spacing w:line="240" w:lineRule="auto"/>
              <w:ind w:firstLine="0"/>
              <w:jc w:val="right"/>
              <w:rPr>
                <w:rFonts w:ascii="Aptos Narrow" w:hAnsi="Aptos Narrow" w:eastAsia="Times New Roman" w:cs="Times New Roman"/>
                <w:b/>
                <w:bCs/>
                <w:color w:val="000000"/>
                <w:sz w:val="22"/>
              </w:rPr>
            </w:pPr>
            <w:r w:rsidRPr="00BD0979">
              <w:rPr>
                <w:rFonts w:ascii="Aptos Narrow" w:hAnsi="Aptos Narrow" w:eastAsia="Times New Roman" w:cs="Times New Roman"/>
                <w:b/>
                <w:bCs/>
                <w:color w:val="000000"/>
                <w:sz w:val="22"/>
              </w:rPr>
              <w:t>7.6</w:t>
            </w:r>
          </w:p>
        </w:tc>
        <w:tc>
          <w:tcPr>
            <w:tcW w:w="1170" w:type="dxa"/>
            <w:vMerge w:val="restart"/>
            <w:tcBorders>
              <w:top w:val="nil"/>
              <w:left w:val="nil"/>
              <w:bottom w:val="nil"/>
              <w:right w:val="single" w:color="auto" w:sz="8" w:space="0"/>
            </w:tcBorders>
            <w:shd w:val="clear" w:color="auto" w:fill="auto"/>
            <w:noWrap/>
            <w:vAlign w:val="center"/>
            <w:hideMark/>
          </w:tcPr>
          <w:p w:rsidRPr="00BD0979" w:rsidR="00C06ABF" w:rsidP="00486705" w:rsidRDefault="00C06ABF" w14:paraId="770D0D52" w14:textId="77777777">
            <w:pPr>
              <w:spacing w:line="240" w:lineRule="auto"/>
              <w:ind w:firstLine="0"/>
              <w:jc w:val="center"/>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n/a</w:t>
            </w:r>
          </w:p>
        </w:tc>
        <w:tc>
          <w:tcPr>
            <w:tcW w:w="844" w:type="dxa"/>
            <w:vAlign w:val="center"/>
            <w:hideMark/>
          </w:tcPr>
          <w:p w:rsidRPr="00BD0979" w:rsidR="00C06ABF" w:rsidP="00486705" w:rsidRDefault="00C06ABF" w14:paraId="4AC4E731" w14:textId="77777777">
            <w:pPr>
              <w:spacing w:line="240" w:lineRule="auto"/>
              <w:ind w:firstLine="0"/>
              <w:rPr>
                <w:rFonts w:ascii="Times New Roman" w:hAnsi="Times New Roman" w:eastAsia="Times New Roman" w:cs="Times New Roman"/>
                <w:sz w:val="20"/>
                <w:szCs w:val="20"/>
              </w:rPr>
            </w:pPr>
          </w:p>
        </w:tc>
      </w:tr>
      <w:tr w:rsidRPr="00BD0979" w:rsidR="00C06ABF" w:rsidTr="00AF639E" w14:paraId="741BB53B" w14:textId="77777777">
        <w:trPr>
          <w:trHeight w:val="330"/>
        </w:trPr>
        <w:tc>
          <w:tcPr>
            <w:tcW w:w="395" w:type="dxa"/>
            <w:vMerge/>
            <w:tcBorders>
              <w:top w:val="nil"/>
              <w:left w:val="single" w:color="auto" w:sz="8" w:space="0"/>
              <w:bottom w:val="nil"/>
              <w:right w:val="nil"/>
            </w:tcBorders>
            <w:vAlign w:val="center"/>
            <w:hideMark/>
          </w:tcPr>
          <w:p w:rsidRPr="00BD0979" w:rsidR="00C06ABF" w:rsidP="00486705" w:rsidRDefault="00C06ABF" w14:paraId="5F2FF6DE" w14:textId="77777777">
            <w:pPr>
              <w:spacing w:line="240" w:lineRule="auto"/>
              <w:ind w:firstLine="0"/>
              <w:rPr>
                <w:rFonts w:ascii="Aptos Narrow" w:hAnsi="Aptos Narrow" w:eastAsia="Times New Roman" w:cs="Times New Roman"/>
                <w:color w:val="000000"/>
                <w:sz w:val="22"/>
              </w:rPr>
            </w:pPr>
          </w:p>
        </w:tc>
        <w:tc>
          <w:tcPr>
            <w:tcW w:w="1305" w:type="dxa"/>
            <w:vMerge/>
            <w:tcBorders>
              <w:top w:val="single" w:color="000000" w:sz="4" w:space="0"/>
              <w:left w:val="nil"/>
              <w:bottom w:val="nil"/>
              <w:right w:val="single" w:color="auto" w:sz="8" w:space="0"/>
            </w:tcBorders>
            <w:vAlign w:val="center"/>
            <w:hideMark/>
          </w:tcPr>
          <w:p w:rsidRPr="00BD0979" w:rsidR="00C06ABF" w:rsidP="00486705" w:rsidRDefault="00C06ABF" w14:paraId="4E1E7F7C" w14:textId="77777777">
            <w:pPr>
              <w:spacing w:line="240" w:lineRule="auto"/>
              <w:ind w:firstLine="0"/>
              <w:rPr>
                <w:rFonts w:ascii="Aptos Narrow" w:hAnsi="Aptos Narrow" w:eastAsia="Times New Roman" w:cs="Times New Roman"/>
                <w:color w:val="000000"/>
                <w:sz w:val="22"/>
              </w:rPr>
            </w:pPr>
          </w:p>
        </w:tc>
        <w:tc>
          <w:tcPr>
            <w:tcW w:w="2250" w:type="dxa"/>
            <w:tcBorders>
              <w:top w:val="nil"/>
              <w:left w:val="nil"/>
              <w:bottom w:val="nil"/>
              <w:right w:val="nil"/>
            </w:tcBorders>
            <w:shd w:val="clear" w:color="auto" w:fill="auto"/>
            <w:vAlign w:val="bottom"/>
            <w:hideMark/>
          </w:tcPr>
          <w:p w:rsidR="00AF639E" w:rsidP="00AF639E" w:rsidRDefault="00AF639E" w14:paraId="0691FEEE" w14:textId="77777777">
            <w:pPr>
              <w:spacing w:line="240" w:lineRule="auto"/>
              <w:ind w:firstLine="0"/>
              <w:jc w:val="right"/>
              <w:rPr>
                <w:rFonts w:ascii="Aptos Narrow" w:hAnsi="Aptos Narrow" w:eastAsia="Times New Roman" w:cs="Times New Roman"/>
                <w:color w:val="000000"/>
                <w:sz w:val="22"/>
              </w:rPr>
            </w:pPr>
            <w:r>
              <w:rPr>
                <w:rFonts w:ascii="Aptos Narrow" w:hAnsi="Aptos Narrow" w:eastAsia="Times New Roman" w:cs="Times New Roman"/>
                <w:color w:val="000000"/>
                <w:sz w:val="22"/>
              </w:rPr>
              <w:t>Date of Bill:</w:t>
            </w:r>
          </w:p>
          <w:p w:rsidRPr="00BD0979" w:rsidR="00C06ABF" w:rsidP="00486705" w:rsidRDefault="00C06ABF" w14:paraId="030D93EA"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Jan-24</w:t>
            </w:r>
            <w:r>
              <w:rPr>
                <w:rStyle w:val="FootnoteReference"/>
                <w:rFonts w:ascii="Aptos Narrow" w:hAnsi="Aptos Narrow" w:eastAsia="Times New Roman" w:cs="Times New Roman"/>
                <w:b/>
                <w:bCs/>
                <w:color w:val="000000"/>
                <w:sz w:val="22"/>
              </w:rPr>
              <w:footnoteReference w:id="71"/>
            </w:r>
          </w:p>
        </w:tc>
        <w:tc>
          <w:tcPr>
            <w:tcW w:w="990" w:type="dxa"/>
            <w:tcBorders>
              <w:top w:val="nil"/>
              <w:left w:val="nil"/>
              <w:bottom w:val="nil"/>
              <w:right w:val="nil"/>
            </w:tcBorders>
            <w:shd w:val="clear" w:color="auto" w:fill="auto"/>
            <w:noWrap/>
            <w:vAlign w:val="bottom"/>
            <w:hideMark/>
          </w:tcPr>
          <w:p w:rsidRPr="00BD0979" w:rsidR="00C06ABF" w:rsidP="00486705" w:rsidRDefault="00C06ABF" w14:paraId="3AF01FA5" w14:textId="77777777">
            <w:pPr>
              <w:spacing w:line="240" w:lineRule="auto"/>
              <w:ind w:firstLine="0"/>
              <w:jc w:val="right"/>
              <w:rPr>
                <w:rFonts w:ascii="Aptos Narrow" w:hAnsi="Aptos Narrow" w:eastAsia="Times New Roman" w:cs="Times New Roman"/>
                <w:b/>
                <w:bCs/>
                <w:color w:val="000000"/>
                <w:sz w:val="22"/>
              </w:rPr>
            </w:pPr>
            <w:r w:rsidRPr="00BD0979">
              <w:rPr>
                <w:rFonts w:ascii="Aptos Narrow" w:hAnsi="Aptos Narrow" w:eastAsia="Times New Roman" w:cs="Times New Roman"/>
                <w:b/>
                <w:bCs/>
                <w:color w:val="000000"/>
                <w:sz w:val="22"/>
              </w:rPr>
              <w:t>+~$17</w:t>
            </w:r>
          </w:p>
        </w:tc>
        <w:tc>
          <w:tcPr>
            <w:tcW w:w="1175" w:type="dxa"/>
            <w:vMerge/>
            <w:tcBorders>
              <w:top w:val="nil"/>
              <w:left w:val="nil"/>
              <w:bottom w:val="single" w:color="000000" w:sz="8" w:space="0"/>
              <w:right w:val="nil"/>
            </w:tcBorders>
            <w:vAlign w:val="center"/>
            <w:hideMark/>
          </w:tcPr>
          <w:p w:rsidRPr="00BD0979" w:rsidR="00C06ABF" w:rsidP="00486705" w:rsidRDefault="00C06ABF" w14:paraId="28FADA28" w14:textId="77777777">
            <w:pPr>
              <w:spacing w:line="240" w:lineRule="auto"/>
              <w:ind w:firstLine="0"/>
              <w:rPr>
                <w:rFonts w:ascii="Aptos Narrow" w:hAnsi="Aptos Narrow" w:eastAsia="Times New Roman" w:cs="Times New Roman"/>
                <w:b/>
                <w:bCs/>
                <w:color w:val="000000"/>
                <w:sz w:val="22"/>
              </w:rPr>
            </w:pPr>
          </w:p>
        </w:tc>
        <w:tc>
          <w:tcPr>
            <w:tcW w:w="1345" w:type="dxa"/>
            <w:tcBorders>
              <w:top w:val="nil"/>
              <w:left w:val="nil"/>
              <w:bottom w:val="nil"/>
              <w:right w:val="nil"/>
            </w:tcBorders>
            <w:shd w:val="clear" w:color="auto" w:fill="auto"/>
            <w:noWrap/>
            <w:vAlign w:val="bottom"/>
            <w:hideMark/>
          </w:tcPr>
          <w:p w:rsidRPr="00BD0979" w:rsidR="00C06ABF" w:rsidP="00486705" w:rsidRDefault="00C06ABF" w14:paraId="3A8FF983" w14:textId="77777777">
            <w:pPr>
              <w:spacing w:line="240" w:lineRule="auto"/>
              <w:ind w:firstLine="0"/>
              <w:jc w:val="right"/>
              <w:rPr>
                <w:rFonts w:ascii="Aptos Narrow" w:hAnsi="Aptos Narrow" w:eastAsia="Times New Roman" w:cs="Times New Roman"/>
                <w:b/>
                <w:bCs/>
                <w:color w:val="000000"/>
                <w:sz w:val="22"/>
              </w:rPr>
            </w:pPr>
          </w:p>
        </w:tc>
        <w:tc>
          <w:tcPr>
            <w:tcW w:w="1260" w:type="dxa"/>
            <w:tcBorders>
              <w:top w:val="nil"/>
              <w:left w:val="nil"/>
              <w:bottom w:val="nil"/>
              <w:right w:val="nil"/>
            </w:tcBorders>
            <w:shd w:val="clear" w:color="auto" w:fill="auto"/>
            <w:noWrap/>
            <w:vAlign w:val="bottom"/>
            <w:hideMark/>
          </w:tcPr>
          <w:p w:rsidRPr="00BD0979" w:rsidR="00C06ABF" w:rsidP="00486705" w:rsidRDefault="00C06ABF" w14:paraId="4063ED48" w14:textId="77777777">
            <w:pPr>
              <w:spacing w:line="240" w:lineRule="auto"/>
              <w:ind w:firstLine="0"/>
              <w:rPr>
                <w:rFonts w:ascii="Times New Roman" w:hAnsi="Times New Roman" w:eastAsia="Times New Roman" w:cs="Times New Roman"/>
                <w:sz w:val="20"/>
                <w:szCs w:val="20"/>
              </w:rPr>
            </w:pPr>
          </w:p>
        </w:tc>
        <w:tc>
          <w:tcPr>
            <w:tcW w:w="1170" w:type="dxa"/>
            <w:vMerge/>
            <w:tcBorders>
              <w:top w:val="nil"/>
              <w:left w:val="nil"/>
              <w:bottom w:val="nil"/>
              <w:right w:val="single" w:color="auto" w:sz="8" w:space="0"/>
            </w:tcBorders>
            <w:vAlign w:val="center"/>
            <w:hideMark/>
          </w:tcPr>
          <w:p w:rsidRPr="00BD0979" w:rsidR="00C06ABF" w:rsidP="00486705" w:rsidRDefault="00C06ABF" w14:paraId="5492C310" w14:textId="77777777">
            <w:pPr>
              <w:spacing w:line="240" w:lineRule="auto"/>
              <w:ind w:firstLine="0"/>
              <w:rPr>
                <w:rFonts w:ascii="Aptos Narrow" w:hAnsi="Aptos Narrow" w:eastAsia="Times New Roman" w:cs="Times New Roman"/>
                <w:color w:val="000000"/>
                <w:sz w:val="22"/>
              </w:rPr>
            </w:pPr>
          </w:p>
        </w:tc>
        <w:tc>
          <w:tcPr>
            <w:tcW w:w="844" w:type="dxa"/>
            <w:vAlign w:val="center"/>
            <w:hideMark/>
          </w:tcPr>
          <w:p w:rsidRPr="00BD0979" w:rsidR="00C06ABF" w:rsidP="00486705" w:rsidRDefault="00C06ABF" w14:paraId="1D5229D6" w14:textId="77777777">
            <w:pPr>
              <w:spacing w:line="240" w:lineRule="auto"/>
              <w:ind w:firstLine="0"/>
              <w:rPr>
                <w:rFonts w:ascii="Times New Roman" w:hAnsi="Times New Roman" w:eastAsia="Times New Roman" w:cs="Times New Roman"/>
                <w:sz w:val="20"/>
                <w:szCs w:val="20"/>
              </w:rPr>
            </w:pPr>
          </w:p>
        </w:tc>
      </w:tr>
      <w:tr w:rsidRPr="00BD0979" w:rsidR="00FD7696" w:rsidTr="00AF639E" w14:paraId="7FE9F43E" w14:textId="77777777">
        <w:trPr>
          <w:trHeight w:val="300"/>
        </w:trPr>
        <w:tc>
          <w:tcPr>
            <w:tcW w:w="395" w:type="dxa"/>
            <w:vMerge/>
            <w:tcBorders>
              <w:top w:val="nil"/>
              <w:left w:val="single" w:color="auto" w:sz="8" w:space="0"/>
              <w:bottom w:val="nil"/>
              <w:right w:val="nil"/>
            </w:tcBorders>
            <w:vAlign w:val="center"/>
            <w:hideMark/>
          </w:tcPr>
          <w:p w:rsidRPr="00BD0979" w:rsidR="00FD7696" w:rsidP="00FD7696" w:rsidRDefault="00FD7696" w14:paraId="66048501" w14:textId="77777777">
            <w:pPr>
              <w:spacing w:line="240" w:lineRule="auto"/>
              <w:ind w:firstLine="0"/>
              <w:rPr>
                <w:rFonts w:ascii="Aptos Narrow" w:hAnsi="Aptos Narrow" w:eastAsia="Times New Roman" w:cs="Times New Roman"/>
                <w:color w:val="000000"/>
                <w:sz w:val="22"/>
              </w:rPr>
            </w:pPr>
          </w:p>
        </w:tc>
        <w:tc>
          <w:tcPr>
            <w:tcW w:w="1305" w:type="dxa"/>
            <w:vMerge/>
            <w:tcBorders>
              <w:top w:val="single" w:color="000000" w:sz="4" w:space="0"/>
              <w:left w:val="nil"/>
              <w:bottom w:val="nil"/>
              <w:right w:val="single" w:color="auto" w:sz="8" w:space="0"/>
            </w:tcBorders>
            <w:vAlign w:val="center"/>
            <w:hideMark/>
          </w:tcPr>
          <w:p w:rsidRPr="00BD0979" w:rsidR="00FD7696" w:rsidP="00FD7696" w:rsidRDefault="00FD7696" w14:paraId="566F58D8" w14:textId="77777777">
            <w:pPr>
              <w:spacing w:line="240" w:lineRule="auto"/>
              <w:ind w:firstLine="0"/>
              <w:rPr>
                <w:rFonts w:ascii="Aptos Narrow" w:hAnsi="Aptos Narrow" w:eastAsia="Times New Roman" w:cs="Times New Roman"/>
                <w:color w:val="000000"/>
                <w:sz w:val="22"/>
              </w:rPr>
            </w:pPr>
          </w:p>
        </w:tc>
        <w:tc>
          <w:tcPr>
            <w:tcW w:w="2250" w:type="dxa"/>
            <w:tcBorders>
              <w:top w:val="nil"/>
              <w:left w:val="nil"/>
              <w:bottom w:val="nil"/>
              <w:right w:val="nil"/>
            </w:tcBorders>
            <w:shd w:val="clear" w:color="auto" w:fill="auto"/>
            <w:vAlign w:val="bottom"/>
            <w:hideMark/>
          </w:tcPr>
          <w:p w:rsidRPr="00BD0979" w:rsidR="00FD7696" w:rsidP="00FD7696" w:rsidRDefault="00FD7696" w14:paraId="08B03C60" w14:textId="01C7627C">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no interim relief</w:t>
            </w:r>
          </w:p>
        </w:tc>
        <w:tc>
          <w:tcPr>
            <w:tcW w:w="990" w:type="dxa"/>
            <w:tcBorders>
              <w:top w:val="nil"/>
              <w:left w:val="nil"/>
              <w:bottom w:val="nil"/>
              <w:right w:val="nil"/>
            </w:tcBorders>
            <w:shd w:val="clear" w:color="auto" w:fill="auto"/>
            <w:noWrap/>
            <w:vAlign w:val="bottom"/>
            <w:hideMark/>
          </w:tcPr>
          <w:p w:rsidRPr="00BD0979" w:rsidR="00FD7696" w:rsidP="00FD7696" w:rsidRDefault="00FD7696" w14:paraId="6C08E38C" w14:textId="77777777">
            <w:pPr>
              <w:spacing w:line="240" w:lineRule="auto"/>
              <w:ind w:firstLine="0"/>
              <w:rPr>
                <w:rFonts w:ascii="Aptos Narrow" w:hAnsi="Aptos Narrow" w:eastAsia="Times New Roman" w:cs="Times New Roman"/>
                <w:color w:val="000000"/>
                <w:sz w:val="22"/>
              </w:rPr>
            </w:pPr>
          </w:p>
        </w:tc>
        <w:tc>
          <w:tcPr>
            <w:tcW w:w="1175" w:type="dxa"/>
            <w:vMerge/>
            <w:tcBorders>
              <w:top w:val="nil"/>
              <w:left w:val="nil"/>
              <w:bottom w:val="single" w:color="000000" w:sz="8" w:space="0"/>
              <w:right w:val="nil"/>
            </w:tcBorders>
            <w:vAlign w:val="center"/>
            <w:hideMark/>
          </w:tcPr>
          <w:p w:rsidRPr="00BD0979" w:rsidR="00FD7696" w:rsidP="00FD7696" w:rsidRDefault="00FD7696" w14:paraId="2C0E664D" w14:textId="77777777">
            <w:pPr>
              <w:spacing w:line="240" w:lineRule="auto"/>
              <w:ind w:firstLine="0"/>
              <w:rPr>
                <w:rFonts w:ascii="Aptos Narrow" w:hAnsi="Aptos Narrow" w:eastAsia="Times New Roman" w:cs="Times New Roman"/>
                <w:b/>
                <w:bCs/>
                <w:color w:val="000000"/>
                <w:sz w:val="22"/>
              </w:rPr>
            </w:pPr>
          </w:p>
        </w:tc>
        <w:tc>
          <w:tcPr>
            <w:tcW w:w="1345" w:type="dxa"/>
            <w:tcBorders>
              <w:top w:val="nil"/>
              <w:left w:val="nil"/>
              <w:bottom w:val="dotDotDash" w:color="auto" w:sz="4" w:space="0"/>
              <w:right w:val="nil"/>
            </w:tcBorders>
            <w:shd w:val="clear" w:color="auto" w:fill="auto"/>
            <w:noWrap/>
            <w:vAlign w:val="bottom"/>
            <w:hideMark/>
          </w:tcPr>
          <w:p w:rsidRPr="00BD0979" w:rsidR="00FD7696" w:rsidP="00FD7696" w:rsidRDefault="00FD7696" w14:paraId="3F7755F0"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0.14%</w:t>
            </w:r>
          </w:p>
        </w:tc>
        <w:tc>
          <w:tcPr>
            <w:tcW w:w="1260" w:type="dxa"/>
            <w:tcBorders>
              <w:top w:val="nil"/>
              <w:left w:val="nil"/>
              <w:bottom w:val="nil"/>
              <w:right w:val="nil"/>
            </w:tcBorders>
            <w:shd w:val="clear" w:color="auto" w:fill="auto"/>
            <w:noWrap/>
            <w:vAlign w:val="bottom"/>
            <w:hideMark/>
          </w:tcPr>
          <w:p w:rsidRPr="00BD0979" w:rsidR="00FD7696" w:rsidP="00FD7696" w:rsidRDefault="00FD7696" w14:paraId="6028BA58"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0.15</w:t>
            </w:r>
          </w:p>
        </w:tc>
        <w:tc>
          <w:tcPr>
            <w:tcW w:w="1170" w:type="dxa"/>
            <w:vMerge/>
            <w:tcBorders>
              <w:top w:val="nil"/>
              <w:left w:val="nil"/>
              <w:bottom w:val="nil"/>
              <w:right w:val="single" w:color="auto" w:sz="8" w:space="0"/>
            </w:tcBorders>
            <w:vAlign w:val="center"/>
            <w:hideMark/>
          </w:tcPr>
          <w:p w:rsidRPr="00BD0979" w:rsidR="00FD7696" w:rsidP="00FD7696" w:rsidRDefault="00FD7696" w14:paraId="158199DD" w14:textId="77777777">
            <w:pPr>
              <w:spacing w:line="240" w:lineRule="auto"/>
              <w:ind w:firstLine="0"/>
              <w:rPr>
                <w:rFonts w:ascii="Aptos Narrow" w:hAnsi="Aptos Narrow" w:eastAsia="Times New Roman" w:cs="Times New Roman"/>
                <w:color w:val="000000"/>
                <w:sz w:val="22"/>
              </w:rPr>
            </w:pPr>
          </w:p>
        </w:tc>
        <w:tc>
          <w:tcPr>
            <w:tcW w:w="844" w:type="dxa"/>
            <w:vAlign w:val="center"/>
            <w:hideMark/>
          </w:tcPr>
          <w:p w:rsidRPr="00BD0979" w:rsidR="00FD7696" w:rsidP="00FD7696" w:rsidRDefault="00FD7696" w14:paraId="27F8693C" w14:textId="77777777">
            <w:pPr>
              <w:spacing w:line="240" w:lineRule="auto"/>
              <w:ind w:firstLine="0"/>
              <w:rPr>
                <w:rFonts w:ascii="Times New Roman" w:hAnsi="Times New Roman" w:eastAsia="Times New Roman" w:cs="Times New Roman"/>
                <w:sz w:val="20"/>
                <w:szCs w:val="20"/>
              </w:rPr>
            </w:pPr>
          </w:p>
        </w:tc>
      </w:tr>
      <w:tr w:rsidRPr="00BD0979" w:rsidR="00FD7696" w:rsidTr="00AF639E" w14:paraId="749EFDE8" w14:textId="77777777">
        <w:trPr>
          <w:trHeight w:val="300"/>
        </w:trPr>
        <w:tc>
          <w:tcPr>
            <w:tcW w:w="395" w:type="dxa"/>
            <w:vMerge/>
            <w:tcBorders>
              <w:top w:val="nil"/>
              <w:left w:val="single" w:color="auto" w:sz="8" w:space="0"/>
              <w:bottom w:val="nil"/>
              <w:right w:val="nil"/>
            </w:tcBorders>
            <w:vAlign w:val="center"/>
            <w:hideMark/>
          </w:tcPr>
          <w:p w:rsidRPr="00BD0979" w:rsidR="00FD7696" w:rsidP="00FD7696" w:rsidRDefault="00FD7696" w14:paraId="4D4BD95F" w14:textId="77777777">
            <w:pPr>
              <w:spacing w:line="240" w:lineRule="auto"/>
              <w:ind w:firstLine="0"/>
              <w:rPr>
                <w:rFonts w:ascii="Aptos Narrow" w:hAnsi="Aptos Narrow" w:eastAsia="Times New Roman" w:cs="Times New Roman"/>
                <w:color w:val="000000"/>
                <w:sz w:val="22"/>
              </w:rPr>
            </w:pPr>
          </w:p>
        </w:tc>
        <w:tc>
          <w:tcPr>
            <w:tcW w:w="1305" w:type="dxa"/>
            <w:vMerge/>
            <w:tcBorders>
              <w:top w:val="single" w:color="000000" w:sz="4" w:space="0"/>
              <w:left w:val="nil"/>
              <w:bottom w:val="nil"/>
              <w:right w:val="single" w:color="auto" w:sz="8" w:space="0"/>
            </w:tcBorders>
            <w:vAlign w:val="center"/>
            <w:hideMark/>
          </w:tcPr>
          <w:p w:rsidRPr="00BD0979" w:rsidR="00FD7696" w:rsidP="00FD7696" w:rsidRDefault="00FD7696" w14:paraId="71DEEC3F" w14:textId="77777777">
            <w:pPr>
              <w:spacing w:line="240" w:lineRule="auto"/>
              <w:ind w:firstLine="0"/>
              <w:rPr>
                <w:rFonts w:ascii="Aptos Narrow" w:hAnsi="Aptos Narrow" w:eastAsia="Times New Roman" w:cs="Times New Roman"/>
                <w:color w:val="000000"/>
                <w:sz w:val="22"/>
              </w:rPr>
            </w:pPr>
          </w:p>
        </w:tc>
        <w:tc>
          <w:tcPr>
            <w:tcW w:w="2250" w:type="dxa"/>
            <w:tcBorders>
              <w:top w:val="dotDotDash" w:color="auto" w:sz="4" w:space="0"/>
              <w:left w:val="dotDotDash" w:color="auto" w:sz="4" w:space="0"/>
              <w:bottom w:val="dotDotDash" w:color="auto" w:sz="4" w:space="0"/>
              <w:right w:val="nil"/>
            </w:tcBorders>
            <w:shd w:val="clear" w:color="auto" w:fill="auto"/>
            <w:vAlign w:val="bottom"/>
            <w:hideMark/>
          </w:tcPr>
          <w:p w:rsidRPr="00BD0979" w:rsidR="00FD7696" w:rsidP="00FD7696" w:rsidRDefault="00FD7696" w14:paraId="101A2BD2" w14:textId="10B8BAAA">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PG&amp;E</w:t>
            </w:r>
            <w:r w:rsidR="00234452">
              <w:rPr>
                <w:rFonts w:ascii="Aptos Narrow" w:hAnsi="Aptos Narrow" w:eastAsia="Times New Roman" w:cs="Times New Roman"/>
                <w:color w:val="000000"/>
                <w:sz w:val="22"/>
              </w:rPr>
              <w:t>’s Proposal</w:t>
            </w:r>
            <w:r>
              <w:rPr>
                <w:rFonts w:ascii="Aptos Narrow" w:hAnsi="Aptos Narrow" w:eastAsia="Times New Roman" w:cs="Times New Roman"/>
                <w:color w:val="000000"/>
                <w:sz w:val="22"/>
              </w:rPr>
              <w:t xml:space="preserve"> </w:t>
            </w:r>
          </w:p>
        </w:tc>
        <w:tc>
          <w:tcPr>
            <w:tcW w:w="990" w:type="dxa"/>
            <w:tcBorders>
              <w:top w:val="dotDotDash" w:color="auto" w:sz="4" w:space="0"/>
              <w:left w:val="nil"/>
              <w:bottom w:val="nil"/>
              <w:right w:val="nil"/>
            </w:tcBorders>
            <w:shd w:val="clear" w:color="auto" w:fill="auto"/>
            <w:noWrap/>
            <w:vAlign w:val="bottom"/>
            <w:hideMark/>
          </w:tcPr>
          <w:p w:rsidRPr="00BD0979" w:rsidR="00FD7696" w:rsidP="00FD7696" w:rsidRDefault="00FD7696" w14:paraId="570FBF60"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 xml:space="preserve">$3 </w:t>
            </w:r>
          </w:p>
        </w:tc>
        <w:tc>
          <w:tcPr>
            <w:tcW w:w="1175" w:type="dxa"/>
            <w:vMerge/>
            <w:tcBorders>
              <w:top w:val="nil"/>
              <w:left w:val="nil"/>
              <w:bottom w:val="single" w:color="000000" w:sz="8" w:space="0"/>
              <w:right w:val="nil"/>
            </w:tcBorders>
            <w:vAlign w:val="center"/>
            <w:hideMark/>
          </w:tcPr>
          <w:p w:rsidRPr="00BD0979" w:rsidR="00FD7696" w:rsidP="00FD7696" w:rsidRDefault="00FD7696" w14:paraId="122DA689" w14:textId="77777777">
            <w:pPr>
              <w:spacing w:line="240" w:lineRule="auto"/>
              <w:ind w:firstLine="0"/>
              <w:rPr>
                <w:rFonts w:ascii="Aptos Narrow" w:hAnsi="Aptos Narrow" w:eastAsia="Times New Roman" w:cs="Times New Roman"/>
                <w:b/>
                <w:bCs/>
                <w:color w:val="000000"/>
                <w:sz w:val="22"/>
              </w:rPr>
            </w:pPr>
          </w:p>
        </w:tc>
        <w:tc>
          <w:tcPr>
            <w:tcW w:w="1345" w:type="dxa"/>
            <w:tcBorders>
              <w:top w:val="nil"/>
              <w:left w:val="nil"/>
              <w:bottom w:val="dotDotDash" w:color="auto" w:sz="4" w:space="0"/>
              <w:right w:val="nil"/>
            </w:tcBorders>
            <w:shd w:val="clear" w:color="auto" w:fill="auto"/>
            <w:noWrap/>
            <w:vAlign w:val="bottom"/>
            <w:hideMark/>
          </w:tcPr>
          <w:p w:rsidRPr="00BD0979" w:rsidR="00FD7696" w:rsidP="00FD7696" w:rsidRDefault="00FD7696" w14:paraId="7C5A9561"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0.10%</w:t>
            </w:r>
          </w:p>
        </w:tc>
        <w:tc>
          <w:tcPr>
            <w:tcW w:w="1260" w:type="dxa"/>
            <w:tcBorders>
              <w:top w:val="dotDotDash" w:color="auto" w:sz="4" w:space="0"/>
              <w:left w:val="nil"/>
              <w:bottom w:val="nil"/>
              <w:right w:val="nil"/>
            </w:tcBorders>
            <w:shd w:val="clear" w:color="auto" w:fill="auto"/>
            <w:noWrap/>
            <w:vAlign w:val="bottom"/>
            <w:hideMark/>
          </w:tcPr>
          <w:p w:rsidRPr="00BD0979" w:rsidR="00FD7696" w:rsidP="00FD7696" w:rsidRDefault="00FD7696" w14:paraId="3A21B29C"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0.1</w:t>
            </w:r>
          </w:p>
        </w:tc>
        <w:tc>
          <w:tcPr>
            <w:tcW w:w="1170" w:type="dxa"/>
            <w:vMerge/>
            <w:tcBorders>
              <w:top w:val="nil"/>
              <w:left w:val="nil"/>
              <w:bottom w:val="nil"/>
              <w:right w:val="single" w:color="auto" w:sz="8" w:space="0"/>
            </w:tcBorders>
            <w:vAlign w:val="center"/>
            <w:hideMark/>
          </w:tcPr>
          <w:p w:rsidRPr="00BD0979" w:rsidR="00FD7696" w:rsidP="00FD7696" w:rsidRDefault="00FD7696" w14:paraId="39CDD4A0" w14:textId="77777777">
            <w:pPr>
              <w:spacing w:line="240" w:lineRule="auto"/>
              <w:ind w:firstLine="0"/>
              <w:rPr>
                <w:rFonts w:ascii="Aptos Narrow" w:hAnsi="Aptos Narrow" w:eastAsia="Times New Roman" w:cs="Times New Roman"/>
                <w:color w:val="000000"/>
                <w:sz w:val="22"/>
              </w:rPr>
            </w:pPr>
          </w:p>
        </w:tc>
        <w:tc>
          <w:tcPr>
            <w:tcW w:w="844" w:type="dxa"/>
            <w:vAlign w:val="center"/>
            <w:hideMark/>
          </w:tcPr>
          <w:p w:rsidRPr="00BD0979" w:rsidR="00FD7696" w:rsidP="00FD7696" w:rsidRDefault="00FD7696" w14:paraId="2862E2AE" w14:textId="77777777">
            <w:pPr>
              <w:spacing w:line="240" w:lineRule="auto"/>
              <w:ind w:firstLine="0"/>
              <w:rPr>
                <w:rFonts w:ascii="Times New Roman" w:hAnsi="Times New Roman" w:eastAsia="Times New Roman" w:cs="Times New Roman"/>
                <w:sz w:val="20"/>
                <w:szCs w:val="20"/>
              </w:rPr>
            </w:pPr>
          </w:p>
        </w:tc>
      </w:tr>
      <w:tr w:rsidRPr="00BD0979" w:rsidR="00FD7696" w:rsidTr="00AF639E" w14:paraId="71CE1B6B" w14:textId="77777777">
        <w:trPr>
          <w:trHeight w:val="600"/>
        </w:trPr>
        <w:tc>
          <w:tcPr>
            <w:tcW w:w="395" w:type="dxa"/>
            <w:vMerge/>
            <w:tcBorders>
              <w:top w:val="nil"/>
              <w:left w:val="single" w:color="auto" w:sz="8" w:space="0"/>
              <w:bottom w:val="nil"/>
              <w:right w:val="nil"/>
            </w:tcBorders>
            <w:vAlign w:val="center"/>
            <w:hideMark/>
          </w:tcPr>
          <w:p w:rsidRPr="00BD0979" w:rsidR="00FD7696" w:rsidP="00FD7696" w:rsidRDefault="00FD7696" w14:paraId="127F9F2D" w14:textId="77777777">
            <w:pPr>
              <w:spacing w:line="240" w:lineRule="auto"/>
              <w:ind w:firstLine="0"/>
              <w:rPr>
                <w:rFonts w:ascii="Aptos Narrow" w:hAnsi="Aptos Narrow" w:eastAsia="Times New Roman" w:cs="Times New Roman"/>
                <w:color w:val="000000"/>
                <w:sz w:val="22"/>
              </w:rPr>
            </w:pPr>
          </w:p>
        </w:tc>
        <w:tc>
          <w:tcPr>
            <w:tcW w:w="1305" w:type="dxa"/>
            <w:vMerge/>
            <w:tcBorders>
              <w:top w:val="single" w:color="000000" w:sz="4" w:space="0"/>
              <w:left w:val="nil"/>
              <w:bottom w:val="nil"/>
              <w:right w:val="single" w:color="auto" w:sz="8" w:space="0"/>
            </w:tcBorders>
            <w:vAlign w:val="center"/>
            <w:hideMark/>
          </w:tcPr>
          <w:p w:rsidRPr="00BD0979" w:rsidR="00FD7696" w:rsidP="00FD7696" w:rsidRDefault="00FD7696" w14:paraId="450A386C" w14:textId="77777777">
            <w:pPr>
              <w:spacing w:line="240" w:lineRule="auto"/>
              <w:ind w:firstLine="0"/>
              <w:rPr>
                <w:rFonts w:ascii="Aptos Narrow" w:hAnsi="Aptos Narrow" w:eastAsia="Times New Roman" w:cs="Times New Roman"/>
                <w:color w:val="000000"/>
                <w:sz w:val="22"/>
              </w:rPr>
            </w:pPr>
          </w:p>
        </w:tc>
        <w:tc>
          <w:tcPr>
            <w:tcW w:w="2250" w:type="dxa"/>
            <w:tcBorders>
              <w:top w:val="nil"/>
              <w:left w:val="nil"/>
              <w:bottom w:val="nil"/>
              <w:right w:val="nil"/>
            </w:tcBorders>
            <w:shd w:val="clear" w:color="auto" w:fill="auto"/>
            <w:vAlign w:val="bottom"/>
            <w:hideMark/>
          </w:tcPr>
          <w:p w:rsidRPr="00BD0979" w:rsidR="00FD7696" w:rsidP="00FD7696" w:rsidRDefault="00FD7696" w14:paraId="34234E1E" w14:textId="6055B1BB">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no interim relief &amp; 26 mo.</w:t>
            </w:r>
          </w:p>
        </w:tc>
        <w:tc>
          <w:tcPr>
            <w:tcW w:w="990" w:type="dxa"/>
            <w:tcBorders>
              <w:top w:val="dotDotDash" w:color="auto" w:sz="4" w:space="0"/>
              <w:left w:val="nil"/>
              <w:bottom w:val="nil"/>
              <w:right w:val="nil"/>
            </w:tcBorders>
            <w:shd w:val="clear" w:color="auto" w:fill="auto"/>
            <w:noWrap/>
            <w:vAlign w:val="bottom"/>
            <w:hideMark/>
          </w:tcPr>
          <w:p w:rsidRPr="00BD0979" w:rsidR="00FD7696" w:rsidP="00FD7696" w:rsidRDefault="00FD7696" w14:paraId="4978A84B" w14:textId="77777777">
            <w:pPr>
              <w:spacing w:line="240" w:lineRule="auto"/>
              <w:ind w:firstLine="0"/>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 </w:t>
            </w:r>
          </w:p>
        </w:tc>
        <w:tc>
          <w:tcPr>
            <w:tcW w:w="1175" w:type="dxa"/>
            <w:vMerge/>
            <w:tcBorders>
              <w:top w:val="nil"/>
              <w:left w:val="nil"/>
              <w:bottom w:val="single" w:color="000000" w:sz="8" w:space="0"/>
              <w:right w:val="nil"/>
            </w:tcBorders>
            <w:vAlign w:val="center"/>
            <w:hideMark/>
          </w:tcPr>
          <w:p w:rsidRPr="00BD0979" w:rsidR="00FD7696" w:rsidP="00FD7696" w:rsidRDefault="00FD7696" w14:paraId="34DD2574" w14:textId="77777777">
            <w:pPr>
              <w:spacing w:line="240" w:lineRule="auto"/>
              <w:ind w:firstLine="0"/>
              <w:rPr>
                <w:rFonts w:ascii="Aptos Narrow" w:hAnsi="Aptos Narrow" w:eastAsia="Times New Roman" w:cs="Times New Roman"/>
                <w:b/>
                <w:bCs/>
                <w:color w:val="000000"/>
                <w:sz w:val="22"/>
              </w:rPr>
            </w:pPr>
          </w:p>
        </w:tc>
        <w:tc>
          <w:tcPr>
            <w:tcW w:w="1345" w:type="dxa"/>
            <w:tcBorders>
              <w:top w:val="nil"/>
              <w:left w:val="nil"/>
              <w:bottom w:val="nil"/>
              <w:right w:val="nil"/>
            </w:tcBorders>
            <w:shd w:val="clear" w:color="auto" w:fill="auto"/>
            <w:noWrap/>
            <w:vAlign w:val="bottom"/>
            <w:hideMark/>
          </w:tcPr>
          <w:p w:rsidRPr="00BD0979" w:rsidR="00FD7696" w:rsidP="00FD7696" w:rsidRDefault="00FD7696" w14:paraId="22F2B5AC"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0.02%</w:t>
            </w:r>
          </w:p>
        </w:tc>
        <w:tc>
          <w:tcPr>
            <w:tcW w:w="1260" w:type="dxa"/>
            <w:tcBorders>
              <w:top w:val="dotDotDash" w:color="auto" w:sz="4" w:space="0"/>
              <w:left w:val="nil"/>
              <w:bottom w:val="nil"/>
              <w:right w:val="nil"/>
            </w:tcBorders>
            <w:shd w:val="clear" w:color="auto" w:fill="auto"/>
            <w:noWrap/>
            <w:vAlign w:val="bottom"/>
            <w:hideMark/>
          </w:tcPr>
          <w:p w:rsidRPr="00BD0979" w:rsidR="00FD7696" w:rsidP="00FD7696" w:rsidRDefault="00FD7696" w14:paraId="54305BDA"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0.02</w:t>
            </w:r>
          </w:p>
        </w:tc>
        <w:tc>
          <w:tcPr>
            <w:tcW w:w="1170" w:type="dxa"/>
            <w:vMerge/>
            <w:tcBorders>
              <w:top w:val="nil"/>
              <w:left w:val="nil"/>
              <w:bottom w:val="nil"/>
              <w:right w:val="single" w:color="auto" w:sz="8" w:space="0"/>
            </w:tcBorders>
            <w:vAlign w:val="center"/>
            <w:hideMark/>
          </w:tcPr>
          <w:p w:rsidRPr="00BD0979" w:rsidR="00FD7696" w:rsidP="00FD7696" w:rsidRDefault="00FD7696" w14:paraId="5E40A843" w14:textId="77777777">
            <w:pPr>
              <w:spacing w:line="240" w:lineRule="auto"/>
              <w:ind w:firstLine="0"/>
              <w:rPr>
                <w:rFonts w:ascii="Aptos Narrow" w:hAnsi="Aptos Narrow" w:eastAsia="Times New Roman" w:cs="Times New Roman"/>
                <w:color w:val="000000"/>
                <w:sz w:val="22"/>
              </w:rPr>
            </w:pPr>
          </w:p>
        </w:tc>
        <w:tc>
          <w:tcPr>
            <w:tcW w:w="844" w:type="dxa"/>
            <w:vAlign w:val="center"/>
            <w:hideMark/>
          </w:tcPr>
          <w:p w:rsidRPr="00BD0979" w:rsidR="00FD7696" w:rsidP="00FD7696" w:rsidRDefault="00FD7696" w14:paraId="71840C05" w14:textId="77777777">
            <w:pPr>
              <w:spacing w:line="240" w:lineRule="auto"/>
              <w:ind w:firstLine="0"/>
              <w:rPr>
                <w:rFonts w:ascii="Times New Roman" w:hAnsi="Times New Roman" w:eastAsia="Times New Roman" w:cs="Times New Roman"/>
                <w:sz w:val="20"/>
                <w:szCs w:val="20"/>
              </w:rPr>
            </w:pPr>
          </w:p>
        </w:tc>
      </w:tr>
      <w:tr w:rsidRPr="00BD0979" w:rsidR="00C06ABF" w:rsidTr="00AF639E" w14:paraId="3A358A04" w14:textId="77777777">
        <w:trPr>
          <w:trHeight w:val="900"/>
        </w:trPr>
        <w:tc>
          <w:tcPr>
            <w:tcW w:w="395" w:type="dxa"/>
            <w:vMerge w:val="restart"/>
            <w:tcBorders>
              <w:top w:val="nil"/>
              <w:left w:val="single" w:color="auto" w:sz="8" w:space="0"/>
              <w:bottom w:val="single" w:color="000000" w:sz="8" w:space="0"/>
              <w:right w:val="nil"/>
            </w:tcBorders>
            <w:shd w:val="clear" w:color="auto" w:fill="auto"/>
            <w:noWrap/>
            <w:vAlign w:val="center"/>
            <w:hideMark/>
          </w:tcPr>
          <w:p w:rsidRPr="00BD0979" w:rsidR="00C06ABF" w:rsidP="00486705" w:rsidRDefault="00C06ABF" w14:paraId="0AFEBE9A" w14:textId="77777777">
            <w:pPr>
              <w:spacing w:line="240" w:lineRule="auto"/>
              <w:ind w:firstLine="0"/>
              <w:jc w:val="center"/>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W</w:t>
            </w:r>
          </w:p>
        </w:tc>
        <w:tc>
          <w:tcPr>
            <w:tcW w:w="1305" w:type="dxa"/>
            <w:vMerge w:val="restart"/>
            <w:tcBorders>
              <w:top w:val="nil"/>
              <w:left w:val="nil"/>
              <w:bottom w:val="single" w:color="000000" w:sz="8" w:space="0"/>
              <w:right w:val="single" w:color="auto" w:sz="8" w:space="0"/>
            </w:tcBorders>
            <w:shd w:val="clear" w:color="auto" w:fill="auto"/>
            <w:vAlign w:val="center"/>
            <w:hideMark/>
          </w:tcPr>
          <w:p w:rsidRPr="00BD0979" w:rsidR="00C06ABF" w:rsidP="00486705" w:rsidRDefault="00C06ABF" w14:paraId="69E2CE9E" w14:textId="77777777">
            <w:pPr>
              <w:spacing w:line="240" w:lineRule="auto"/>
              <w:ind w:firstLine="0"/>
              <w:jc w:val="center"/>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Severe Climate &amp; Less Affordable Bill</w:t>
            </w:r>
          </w:p>
        </w:tc>
        <w:tc>
          <w:tcPr>
            <w:tcW w:w="2250" w:type="dxa"/>
            <w:tcBorders>
              <w:top w:val="nil"/>
              <w:left w:val="nil"/>
              <w:bottom w:val="nil"/>
              <w:right w:val="nil"/>
            </w:tcBorders>
            <w:shd w:val="clear" w:color="auto" w:fill="auto"/>
            <w:vAlign w:val="bottom"/>
            <w:hideMark/>
          </w:tcPr>
          <w:p w:rsidR="00AF639E" w:rsidP="00AF639E" w:rsidRDefault="00AF639E" w14:paraId="29EDA5E3" w14:textId="77777777">
            <w:pPr>
              <w:spacing w:line="240" w:lineRule="auto"/>
              <w:ind w:firstLine="0"/>
              <w:jc w:val="right"/>
              <w:rPr>
                <w:rFonts w:ascii="Aptos Narrow" w:hAnsi="Aptos Narrow" w:eastAsia="Times New Roman" w:cs="Times New Roman"/>
                <w:color w:val="000000"/>
                <w:sz w:val="22"/>
              </w:rPr>
            </w:pPr>
            <w:r>
              <w:rPr>
                <w:rFonts w:ascii="Aptos Narrow" w:hAnsi="Aptos Narrow" w:eastAsia="Times New Roman" w:cs="Times New Roman"/>
                <w:color w:val="000000"/>
                <w:sz w:val="22"/>
              </w:rPr>
              <w:t>Date of Bill:</w:t>
            </w:r>
          </w:p>
          <w:p w:rsidRPr="00BD0979" w:rsidR="00C06ABF" w:rsidP="00486705" w:rsidRDefault="00C06ABF" w14:paraId="3D1D77D6"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Jun-23</w:t>
            </w:r>
          </w:p>
        </w:tc>
        <w:tc>
          <w:tcPr>
            <w:tcW w:w="990" w:type="dxa"/>
            <w:tcBorders>
              <w:top w:val="nil"/>
              <w:left w:val="nil"/>
              <w:bottom w:val="nil"/>
              <w:right w:val="nil"/>
            </w:tcBorders>
            <w:shd w:val="clear" w:color="auto" w:fill="auto"/>
            <w:noWrap/>
            <w:vAlign w:val="bottom"/>
            <w:hideMark/>
          </w:tcPr>
          <w:p w:rsidRPr="00BD0979" w:rsidR="00C06ABF" w:rsidP="00486705" w:rsidRDefault="00C06ABF" w14:paraId="2E8B30EC" w14:textId="77777777">
            <w:pPr>
              <w:spacing w:line="240" w:lineRule="auto"/>
              <w:ind w:firstLine="0"/>
              <w:jc w:val="right"/>
              <w:rPr>
                <w:rFonts w:ascii="Aptos Narrow" w:hAnsi="Aptos Narrow" w:eastAsia="Times New Roman" w:cs="Times New Roman"/>
                <w:b/>
                <w:bCs/>
                <w:color w:val="000000"/>
                <w:sz w:val="22"/>
              </w:rPr>
            </w:pPr>
            <w:r w:rsidRPr="00BD0979">
              <w:rPr>
                <w:rFonts w:ascii="Aptos Narrow" w:hAnsi="Aptos Narrow" w:eastAsia="Times New Roman" w:cs="Times New Roman"/>
                <w:b/>
                <w:bCs/>
                <w:color w:val="000000"/>
                <w:sz w:val="22"/>
              </w:rPr>
              <w:t xml:space="preserve">$198 </w:t>
            </w:r>
          </w:p>
        </w:tc>
        <w:tc>
          <w:tcPr>
            <w:tcW w:w="1175" w:type="dxa"/>
            <w:vMerge/>
            <w:tcBorders>
              <w:top w:val="nil"/>
              <w:left w:val="nil"/>
              <w:bottom w:val="single" w:color="000000" w:sz="8" w:space="0"/>
              <w:right w:val="nil"/>
            </w:tcBorders>
            <w:vAlign w:val="center"/>
            <w:hideMark/>
          </w:tcPr>
          <w:p w:rsidRPr="00BD0979" w:rsidR="00C06ABF" w:rsidP="00486705" w:rsidRDefault="00C06ABF" w14:paraId="2CE0A1F5" w14:textId="77777777">
            <w:pPr>
              <w:spacing w:line="240" w:lineRule="auto"/>
              <w:ind w:firstLine="0"/>
              <w:rPr>
                <w:rFonts w:ascii="Aptos Narrow" w:hAnsi="Aptos Narrow" w:eastAsia="Times New Roman" w:cs="Times New Roman"/>
                <w:b/>
                <w:bCs/>
                <w:color w:val="000000"/>
                <w:sz w:val="22"/>
              </w:rPr>
            </w:pPr>
          </w:p>
        </w:tc>
        <w:tc>
          <w:tcPr>
            <w:tcW w:w="1345" w:type="dxa"/>
            <w:tcBorders>
              <w:top w:val="nil"/>
              <w:left w:val="nil"/>
              <w:bottom w:val="nil"/>
              <w:right w:val="nil"/>
            </w:tcBorders>
            <w:shd w:val="clear" w:color="auto" w:fill="auto"/>
            <w:noWrap/>
            <w:vAlign w:val="bottom"/>
            <w:hideMark/>
          </w:tcPr>
          <w:p w:rsidRPr="00BD0979" w:rsidR="00C06ABF" w:rsidP="00486705" w:rsidRDefault="00C06ABF" w14:paraId="40B1EDC6" w14:textId="1D1312E6">
            <w:pPr>
              <w:spacing w:line="240" w:lineRule="auto"/>
              <w:ind w:firstLine="0"/>
              <w:jc w:val="right"/>
              <w:rPr>
                <w:rFonts w:ascii="Aptos Narrow" w:hAnsi="Aptos Narrow" w:eastAsia="Times New Roman" w:cs="Times New Roman"/>
                <w:b/>
                <w:bCs/>
                <w:color w:val="000000"/>
                <w:sz w:val="22"/>
              </w:rPr>
            </w:pPr>
            <w:r w:rsidRPr="00BD0979">
              <w:rPr>
                <w:rFonts w:ascii="Aptos Narrow" w:hAnsi="Aptos Narrow" w:eastAsia="Times New Roman" w:cs="Times New Roman"/>
                <w:b/>
                <w:bCs/>
                <w:color w:val="000000"/>
                <w:sz w:val="22"/>
              </w:rPr>
              <w:t>1</w:t>
            </w:r>
            <w:r w:rsidR="00F73FF7">
              <w:rPr>
                <w:rFonts w:ascii="Aptos Narrow" w:hAnsi="Aptos Narrow" w:eastAsia="Times New Roman" w:cs="Times New Roman"/>
                <w:b/>
                <w:bCs/>
                <w:color w:val="000000"/>
                <w:sz w:val="22"/>
              </w:rPr>
              <w:t>2.5</w:t>
            </w:r>
            <w:r w:rsidRPr="00BD0979">
              <w:rPr>
                <w:rFonts w:ascii="Aptos Narrow" w:hAnsi="Aptos Narrow" w:eastAsia="Times New Roman" w:cs="Times New Roman"/>
                <w:b/>
                <w:bCs/>
                <w:color w:val="000000"/>
                <w:sz w:val="22"/>
              </w:rPr>
              <w:t>%</w:t>
            </w:r>
          </w:p>
        </w:tc>
        <w:tc>
          <w:tcPr>
            <w:tcW w:w="1260" w:type="dxa"/>
            <w:tcBorders>
              <w:top w:val="nil"/>
              <w:left w:val="nil"/>
              <w:bottom w:val="nil"/>
              <w:right w:val="nil"/>
            </w:tcBorders>
            <w:shd w:val="clear" w:color="auto" w:fill="auto"/>
            <w:noWrap/>
            <w:vAlign w:val="bottom"/>
            <w:hideMark/>
          </w:tcPr>
          <w:p w:rsidRPr="00BD0979" w:rsidR="00C06ABF" w:rsidP="00486705" w:rsidRDefault="00C06ABF" w14:paraId="04FBA07F" w14:textId="7FC8D373">
            <w:pPr>
              <w:spacing w:line="240" w:lineRule="auto"/>
              <w:ind w:firstLine="0"/>
              <w:jc w:val="right"/>
              <w:rPr>
                <w:rFonts w:ascii="Aptos Narrow" w:hAnsi="Aptos Narrow" w:eastAsia="Times New Roman" w:cs="Times New Roman"/>
                <w:b/>
                <w:bCs/>
                <w:color w:val="000000"/>
                <w:sz w:val="22"/>
              </w:rPr>
            </w:pPr>
            <w:r w:rsidRPr="00BD0979">
              <w:rPr>
                <w:rFonts w:ascii="Aptos Narrow" w:hAnsi="Aptos Narrow" w:eastAsia="Times New Roman" w:cs="Times New Roman"/>
                <w:b/>
                <w:bCs/>
                <w:color w:val="000000"/>
                <w:sz w:val="22"/>
              </w:rPr>
              <w:t>8.</w:t>
            </w:r>
            <w:r w:rsidR="00F73FF7">
              <w:rPr>
                <w:rFonts w:ascii="Aptos Narrow" w:hAnsi="Aptos Narrow" w:eastAsia="Times New Roman" w:cs="Times New Roman"/>
                <w:b/>
                <w:bCs/>
                <w:color w:val="000000"/>
                <w:sz w:val="22"/>
              </w:rPr>
              <w:t>3</w:t>
            </w:r>
          </w:p>
        </w:tc>
        <w:tc>
          <w:tcPr>
            <w:tcW w:w="1170" w:type="dxa"/>
            <w:tcBorders>
              <w:top w:val="nil"/>
              <w:left w:val="nil"/>
              <w:bottom w:val="nil"/>
              <w:right w:val="single" w:color="auto" w:sz="8" w:space="0"/>
            </w:tcBorders>
            <w:shd w:val="clear" w:color="auto" w:fill="auto"/>
            <w:noWrap/>
            <w:vAlign w:val="bottom"/>
            <w:hideMark/>
          </w:tcPr>
          <w:p w:rsidRPr="00BD0979" w:rsidR="00C06ABF" w:rsidP="00486705" w:rsidRDefault="00C06ABF" w14:paraId="4448DA44" w14:textId="77777777">
            <w:pPr>
              <w:spacing w:line="240" w:lineRule="auto"/>
              <w:ind w:firstLine="0"/>
              <w:jc w:val="right"/>
              <w:rPr>
                <w:rFonts w:ascii="Aptos Narrow" w:hAnsi="Aptos Narrow" w:eastAsia="Times New Roman" w:cs="Times New Roman"/>
                <w:b/>
                <w:bCs/>
                <w:color w:val="000000"/>
                <w:sz w:val="22"/>
              </w:rPr>
            </w:pPr>
            <w:r w:rsidRPr="00BD0979">
              <w:rPr>
                <w:rFonts w:ascii="Aptos Narrow" w:hAnsi="Aptos Narrow" w:eastAsia="Times New Roman" w:cs="Times New Roman"/>
                <w:b/>
                <w:bCs/>
                <w:color w:val="000000"/>
                <w:sz w:val="22"/>
              </w:rPr>
              <w:t>27.5%</w:t>
            </w:r>
          </w:p>
        </w:tc>
        <w:tc>
          <w:tcPr>
            <w:tcW w:w="844" w:type="dxa"/>
            <w:vAlign w:val="center"/>
            <w:hideMark/>
          </w:tcPr>
          <w:p w:rsidR="00C06ABF" w:rsidP="00486705" w:rsidRDefault="00C06ABF" w14:paraId="39EA2A09" w14:textId="77777777">
            <w:pPr>
              <w:spacing w:line="240" w:lineRule="auto"/>
              <w:ind w:firstLine="0"/>
              <w:rPr>
                <w:rFonts w:ascii="Times New Roman" w:hAnsi="Times New Roman" w:eastAsia="Times New Roman" w:cs="Times New Roman"/>
                <w:sz w:val="20"/>
                <w:szCs w:val="20"/>
              </w:rPr>
            </w:pPr>
          </w:p>
          <w:p w:rsidRPr="00137BCA" w:rsidR="00C06ABF" w:rsidP="00486705" w:rsidRDefault="00C06ABF" w14:paraId="675B721C" w14:textId="77777777">
            <w:pPr>
              <w:rPr>
                <w:rFonts w:ascii="Times New Roman" w:hAnsi="Times New Roman" w:eastAsia="Times New Roman" w:cs="Times New Roman"/>
                <w:sz w:val="20"/>
                <w:szCs w:val="20"/>
              </w:rPr>
            </w:pPr>
          </w:p>
        </w:tc>
      </w:tr>
      <w:tr w:rsidRPr="00BD0979" w:rsidR="00C06ABF" w:rsidTr="00AF639E" w14:paraId="14EB5FC9" w14:textId="77777777">
        <w:trPr>
          <w:trHeight w:val="405"/>
        </w:trPr>
        <w:tc>
          <w:tcPr>
            <w:tcW w:w="395" w:type="dxa"/>
            <w:vMerge/>
            <w:tcBorders>
              <w:top w:val="nil"/>
              <w:left w:val="single" w:color="auto" w:sz="8" w:space="0"/>
              <w:bottom w:val="single" w:color="000000" w:sz="8" w:space="0"/>
              <w:right w:val="nil"/>
            </w:tcBorders>
            <w:vAlign w:val="center"/>
            <w:hideMark/>
          </w:tcPr>
          <w:p w:rsidRPr="00BD0979" w:rsidR="00C06ABF" w:rsidP="00486705" w:rsidRDefault="00C06ABF" w14:paraId="32FCA03C" w14:textId="77777777">
            <w:pPr>
              <w:spacing w:line="240" w:lineRule="auto"/>
              <w:ind w:firstLine="0"/>
              <w:rPr>
                <w:rFonts w:ascii="Aptos Narrow" w:hAnsi="Aptos Narrow" w:eastAsia="Times New Roman" w:cs="Times New Roman"/>
                <w:color w:val="000000"/>
                <w:sz w:val="22"/>
              </w:rPr>
            </w:pPr>
          </w:p>
        </w:tc>
        <w:tc>
          <w:tcPr>
            <w:tcW w:w="1305" w:type="dxa"/>
            <w:vMerge/>
            <w:tcBorders>
              <w:top w:val="nil"/>
              <w:left w:val="nil"/>
              <w:bottom w:val="single" w:color="000000" w:sz="8" w:space="0"/>
              <w:right w:val="single" w:color="auto" w:sz="8" w:space="0"/>
            </w:tcBorders>
            <w:vAlign w:val="center"/>
            <w:hideMark/>
          </w:tcPr>
          <w:p w:rsidRPr="00BD0979" w:rsidR="00C06ABF" w:rsidP="00486705" w:rsidRDefault="00C06ABF" w14:paraId="209BDD0A" w14:textId="77777777">
            <w:pPr>
              <w:spacing w:line="240" w:lineRule="auto"/>
              <w:ind w:firstLine="0"/>
              <w:rPr>
                <w:rFonts w:ascii="Aptos Narrow" w:hAnsi="Aptos Narrow" w:eastAsia="Times New Roman" w:cs="Times New Roman"/>
                <w:color w:val="000000"/>
                <w:sz w:val="22"/>
              </w:rPr>
            </w:pPr>
          </w:p>
        </w:tc>
        <w:tc>
          <w:tcPr>
            <w:tcW w:w="2250" w:type="dxa"/>
            <w:tcBorders>
              <w:top w:val="nil"/>
              <w:left w:val="nil"/>
              <w:bottom w:val="nil"/>
              <w:right w:val="nil"/>
            </w:tcBorders>
            <w:shd w:val="clear" w:color="auto" w:fill="auto"/>
            <w:vAlign w:val="bottom"/>
            <w:hideMark/>
          </w:tcPr>
          <w:p w:rsidR="00AF639E" w:rsidP="00AF639E" w:rsidRDefault="00AF639E" w14:paraId="1D01BC80" w14:textId="77777777">
            <w:pPr>
              <w:spacing w:line="240" w:lineRule="auto"/>
              <w:ind w:firstLine="0"/>
              <w:jc w:val="right"/>
              <w:rPr>
                <w:rFonts w:ascii="Aptos Narrow" w:hAnsi="Aptos Narrow" w:eastAsia="Times New Roman" w:cs="Times New Roman"/>
                <w:color w:val="000000"/>
                <w:sz w:val="22"/>
              </w:rPr>
            </w:pPr>
            <w:r>
              <w:rPr>
                <w:rFonts w:ascii="Aptos Narrow" w:hAnsi="Aptos Narrow" w:eastAsia="Times New Roman" w:cs="Times New Roman"/>
                <w:color w:val="000000"/>
                <w:sz w:val="22"/>
              </w:rPr>
              <w:t>Date of Bill:</w:t>
            </w:r>
          </w:p>
          <w:p w:rsidRPr="00BD0979" w:rsidR="00C06ABF" w:rsidP="00486705" w:rsidRDefault="00C06ABF" w14:paraId="167B87CD" w14:textId="4DF7AEC4">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Jan-24</w:t>
            </w:r>
            <w:r w:rsidR="00FD7696">
              <w:rPr>
                <w:rStyle w:val="FootnoteReference"/>
                <w:rFonts w:ascii="Aptos Narrow" w:hAnsi="Aptos Narrow" w:eastAsia="Times New Roman" w:cs="Times New Roman"/>
                <w:b/>
                <w:bCs/>
                <w:color w:val="000000"/>
                <w:sz w:val="22"/>
              </w:rPr>
              <w:footnoteReference w:id="72"/>
            </w:r>
          </w:p>
        </w:tc>
        <w:tc>
          <w:tcPr>
            <w:tcW w:w="990" w:type="dxa"/>
            <w:tcBorders>
              <w:top w:val="nil"/>
              <w:left w:val="nil"/>
              <w:bottom w:val="nil"/>
              <w:right w:val="nil"/>
            </w:tcBorders>
            <w:shd w:val="clear" w:color="auto" w:fill="auto"/>
            <w:noWrap/>
            <w:vAlign w:val="bottom"/>
            <w:hideMark/>
          </w:tcPr>
          <w:p w:rsidRPr="00BD0979" w:rsidR="00C06ABF" w:rsidP="00486705" w:rsidRDefault="00C06ABF" w14:paraId="1C157BAC" w14:textId="77777777">
            <w:pPr>
              <w:spacing w:line="240" w:lineRule="auto"/>
              <w:ind w:firstLine="0"/>
              <w:jc w:val="right"/>
              <w:rPr>
                <w:rFonts w:ascii="Aptos Narrow" w:hAnsi="Aptos Narrow" w:eastAsia="Times New Roman" w:cs="Times New Roman"/>
                <w:b/>
                <w:bCs/>
                <w:color w:val="000000"/>
                <w:sz w:val="22"/>
              </w:rPr>
            </w:pPr>
            <w:r w:rsidRPr="00BD0979">
              <w:rPr>
                <w:rFonts w:ascii="Aptos Narrow" w:hAnsi="Aptos Narrow" w:eastAsia="Times New Roman" w:cs="Times New Roman"/>
                <w:b/>
                <w:bCs/>
                <w:color w:val="000000"/>
                <w:sz w:val="22"/>
              </w:rPr>
              <w:t>+~$17</w:t>
            </w:r>
          </w:p>
        </w:tc>
        <w:tc>
          <w:tcPr>
            <w:tcW w:w="1175" w:type="dxa"/>
            <w:vMerge/>
            <w:tcBorders>
              <w:top w:val="nil"/>
              <w:left w:val="nil"/>
              <w:bottom w:val="single" w:color="000000" w:sz="8" w:space="0"/>
              <w:right w:val="nil"/>
            </w:tcBorders>
            <w:vAlign w:val="center"/>
            <w:hideMark/>
          </w:tcPr>
          <w:p w:rsidRPr="00BD0979" w:rsidR="00C06ABF" w:rsidP="00486705" w:rsidRDefault="00C06ABF" w14:paraId="7F3631CC" w14:textId="77777777">
            <w:pPr>
              <w:spacing w:line="240" w:lineRule="auto"/>
              <w:ind w:firstLine="0"/>
              <w:rPr>
                <w:rFonts w:ascii="Aptos Narrow" w:hAnsi="Aptos Narrow" w:eastAsia="Times New Roman" w:cs="Times New Roman"/>
                <w:b/>
                <w:bCs/>
                <w:color w:val="000000"/>
                <w:sz w:val="22"/>
              </w:rPr>
            </w:pPr>
          </w:p>
        </w:tc>
        <w:tc>
          <w:tcPr>
            <w:tcW w:w="1345" w:type="dxa"/>
            <w:tcBorders>
              <w:top w:val="nil"/>
              <w:left w:val="nil"/>
              <w:bottom w:val="nil"/>
              <w:right w:val="nil"/>
            </w:tcBorders>
            <w:shd w:val="clear" w:color="auto" w:fill="auto"/>
            <w:noWrap/>
            <w:vAlign w:val="bottom"/>
            <w:hideMark/>
          </w:tcPr>
          <w:p w:rsidRPr="00BD0979" w:rsidR="00C06ABF" w:rsidP="00486705" w:rsidRDefault="00C06ABF" w14:paraId="5D2167C7" w14:textId="77777777">
            <w:pPr>
              <w:spacing w:line="240" w:lineRule="auto"/>
              <w:ind w:firstLine="0"/>
              <w:jc w:val="right"/>
              <w:rPr>
                <w:rFonts w:ascii="Aptos Narrow" w:hAnsi="Aptos Narrow" w:eastAsia="Times New Roman" w:cs="Times New Roman"/>
                <w:b/>
                <w:bCs/>
                <w:color w:val="000000"/>
                <w:sz w:val="22"/>
              </w:rPr>
            </w:pPr>
          </w:p>
        </w:tc>
        <w:tc>
          <w:tcPr>
            <w:tcW w:w="1260" w:type="dxa"/>
            <w:tcBorders>
              <w:top w:val="nil"/>
              <w:left w:val="nil"/>
              <w:bottom w:val="nil"/>
              <w:right w:val="nil"/>
            </w:tcBorders>
            <w:shd w:val="clear" w:color="auto" w:fill="auto"/>
            <w:noWrap/>
            <w:vAlign w:val="bottom"/>
            <w:hideMark/>
          </w:tcPr>
          <w:p w:rsidRPr="00BD0979" w:rsidR="00C06ABF" w:rsidP="00486705" w:rsidRDefault="00C06ABF" w14:paraId="6597231E" w14:textId="77777777">
            <w:pPr>
              <w:spacing w:line="240" w:lineRule="auto"/>
              <w:ind w:firstLine="0"/>
              <w:rPr>
                <w:rFonts w:ascii="Times New Roman" w:hAnsi="Times New Roman" w:eastAsia="Times New Roman" w:cs="Times New Roman"/>
                <w:sz w:val="20"/>
                <w:szCs w:val="20"/>
              </w:rPr>
            </w:pPr>
          </w:p>
        </w:tc>
        <w:tc>
          <w:tcPr>
            <w:tcW w:w="1170" w:type="dxa"/>
            <w:tcBorders>
              <w:top w:val="nil"/>
              <w:left w:val="nil"/>
              <w:bottom w:val="nil"/>
              <w:right w:val="single" w:color="auto" w:sz="8" w:space="0"/>
            </w:tcBorders>
            <w:shd w:val="clear" w:color="auto" w:fill="auto"/>
            <w:noWrap/>
            <w:vAlign w:val="bottom"/>
            <w:hideMark/>
          </w:tcPr>
          <w:p w:rsidRPr="00BD0979" w:rsidR="00C06ABF" w:rsidP="00486705" w:rsidRDefault="00C06ABF" w14:paraId="722B3054"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n/a</w:t>
            </w:r>
          </w:p>
        </w:tc>
        <w:tc>
          <w:tcPr>
            <w:tcW w:w="844" w:type="dxa"/>
            <w:vAlign w:val="center"/>
            <w:hideMark/>
          </w:tcPr>
          <w:p w:rsidRPr="00BD0979" w:rsidR="00C06ABF" w:rsidP="00486705" w:rsidRDefault="00C06ABF" w14:paraId="7DE9FF12" w14:textId="77777777">
            <w:pPr>
              <w:spacing w:line="240" w:lineRule="auto"/>
              <w:ind w:firstLine="0"/>
              <w:rPr>
                <w:rFonts w:ascii="Times New Roman" w:hAnsi="Times New Roman" w:eastAsia="Times New Roman" w:cs="Times New Roman"/>
                <w:sz w:val="20"/>
                <w:szCs w:val="20"/>
              </w:rPr>
            </w:pPr>
          </w:p>
        </w:tc>
      </w:tr>
      <w:tr w:rsidRPr="00BD0979" w:rsidR="00FD7696" w:rsidTr="00AF639E" w14:paraId="37193311" w14:textId="77777777">
        <w:trPr>
          <w:trHeight w:val="300"/>
        </w:trPr>
        <w:tc>
          <w:tcPr>
            <w:tcW w:w="395" w:type="dxa"/>
            <w:vMerge/>
            <w:tcBorders>
              <w:top w:val="nil"/>
              <w:left w:val="single" w:color="auto" w:sz="8" w:space="0"/>
              <w:bottom w:val="single" w:color="000000" w:sz="8" w:space="0"/>
              <w:right w:val="nil"/>
            </w:tcBorders>
            <w:vAlign w:val="center"/>
            <w:hideMark/>
          </w:tcPr>
          <w:p w:rsidRPr="00BD0979" w:rsidR="00FD7696" w:rsidP="00FD7696" w:rsidRDefault="00FD7696" w14:paraId="24C65A71" w14:textId="77777777">
            <w:pPr>
              <w:spacing w:line="240" w:lineRule="auto"/>
              <w:ind w:firstLine="0"/>
              <w:rPr>
                <w:rFonts w:ascii="Aptos Narrow" w:hAnsi="Aptos Narrow" w:eastAsia="Times New Roman" w:cs="Times New Roman"/>
                <w:color w:val="000000"/>
                <w:sz w:val="22"/>
              </w:rPr>
            </w:pPr>
          </w:p>
        </w:tc>
        <w:tc>
          <w:tcPr>
            <w:tcW w:w="1305" w:type="dxa"/>
            <w:vMerge/>
            <w:tcBorders>
              <w:top w:val="nil"/>
              <w:left w:val="nil"/>
              <w:bottom w:val="single" w:color="000000" w:sz="8" w:space="0"/>
              <w:right w:val="single" w:color="auto" w:sz="8" w:space="0"/>
            </w:tcBorders>
            <w:vAlign w:val="center"/>
            <w:hideMark/>
          </w:tcPr>
          <w:p w:rsidRPr="00BD0979" w:rsidR="00FD7696" w:rsidP="00FD7696" w:rsidRDefault="00FD7696" w14:paraId="68887245" w14:textId="77777777">
            <w:pPr>
              <w:spacing w:line="240" w:lineRule="auto"/>
              <w:ind w:firstLine="0"/>
              <w:rPr>
                <w:rFonts w:ascii="Aptos Narrow" w:hAnsi="Aptos Narrow" w:eastAsia="Times New Roman" w:cs="Times New Roman"/>
                <w:color w:val="000000"/>
                <w:sz w:val="22"/>
              </w:rPr>
            </w:pPr>
          </w:p>
        </w:tc>
        <w:tc>
          <w:tcPr>
            <w:tcW w:w="2250" w:type="dxa"/>
            <w:tcBorders>
              <w:top w:val="nil"/>
              <w:left w:val="nil"/>
              <w:bottom w:val="nil"/>
              <w:right w:val="nil"/>
            </w:tcBorders>
            <w:shd w:val="clear" w:color="auto" w:fill="auto"/>
            <w:vAlign w:val="bottom"/>
            <w:hideMark/>
          </w:tcPr>
          <w:p w:rsidRPr="00BD0979" w:rsidR="00FD7696" w:rsidP="00FD7696" w:rsidRDefault="00FD7696" w14:paraId="5594BD5F" w14:textId="2C09E947">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no interim relief</w:t>
            </w:r>
          </w:p>
        </w:tc>
        <w:tc>
          <w:tcPr>
            <w:tcW w:w="990" w:type="dxa"/>
            <w:tcBorders>
              <w:top w:val="nil"/>
              <w:left w:val="nil"/>
              <w:bottom w:val="dotDotDash" w:color="auto" w:sz="4" w:space="0"/>
              <w:right w:val="nil"/>
            </w:tcBorders>
            <w:shd w:val="clear" w:color="auto" w:fill="auto"/>
            <w:noWrap/>
            <w:vAlign w:val="bottom"/>
            <w:hideMark/>
          </w:tcPr>
          <w:p w:rsidRPr="00BD0979" w:rsidR="00FD7696" w:rsidP="00FD7696" w:rsidRDefault="00FD7696" w14:paraId="4631CC77" w14:textId="77777777">
            <w:pPr>
              <w:spacing w:line="240" w:lineRule="auto"/>
              <w:ind w:firstLine="0"/>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 </w:t>
            </w:r>
          </w:p>
        </w:tc>
        <w:tc>
          <w:tcPr>
            <w:tcW w:w="1175" w:type="dxa"/>
            <w:vMerge/>
            <w:tcBorders>
              <w:top w:val="nil"/>
              <w:left w:val="nil"/>
              <w:bottom w:val="single" w:color="000000" w:sz="8" w:space="0"/>
              <w:right w:val="nil"/>
            </w:tcBorders>
            <w:vAlign w:val="center"/>
            <w:hideMark/>
          </w:tcPr>
          <w:p w:rsidRPr="00BD0979" w:rsidR="00FD7696" w:rsidP="00FD7696" w:rsidRDefault="00FD7696" w14:paraId="7F7DBABB" w14:textId="77777777">
            <w:pPr>
              <w:spacing w:line="240" w:lineRule="auto"/>
              <w:ind w:firstLine="0"/>
              <w:rPr>
                <w:rFonts w:ascii="Aptos Narrow" w:hAnsi="Aptos Narrow" w:eastAsia="Times New Roman" w:cs="Times New Roman"/>
                <w:b/>
                <w:bCs/>
                <w:color w:val="000000"/>
                <w:sz w:val="22"/>
              </w:rPr>
            </w:pPr>
          </w:p>
        </w:tc>
        <w:tc>
          <w:tcPr>
            <w:tcW w:w="1345" w:type="dxa"/>
            <w:tcBorders>
              <w:top w:val="nil"/>
              <w:left w:val="nil"/>
              <w:bottom w:val="nil"/>
              <w:right w:val="nil"/>
            </w:tcBorders>
            <w:shd w:val="clear" w:color="auto" w:fill="auto"/>
            <w:noWrap/>
            <w:vAlign w:val="bottom"/>
            <w:hideMark/>
          </w:tcPr>
          <w:p w:rsidRPr="00BD0979" w:rsidR="00FD7696" w:rsidP="00FD7696" w:rsidRDefault="00FD7696" w14:paraId="15719F68"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0.33%</w:t>
            </w:r>
          </w:p>
        </w:tc>
        <w:tc>
          <w:tcPr>
            <w:tcW w:w="1260" w:type="dxa"/>
            <w:tcBorders>
              <w:top w:val="nil"/>
              <w:left w:val="nil"/>
              <w:bottom w:val="dotDotDash" w:color="auto" w:sz="4" w:space="0"/>
              <w:right w:val="nil"/>
            </w:tcBorders>
            <w:shd w:val="clear" w:color="auto" w:fill="auto"/>
            <w:noWrap/>
            <w:vAlign w:val="bottom"/>
            <w:hideMark/>
          </w:tcPr>
          <w:p w:rsidRPr="00BD0979" w:rsidR="00FD7696" w:rsidP="00FD7696" w:rsidRDefault="00FD7696" w14:paraId="42FD1BD8"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0.29</w:t>
            </w:r>
          </w:p>
        </w:tc>
        <w:tc>
          <w:tcPr>
            <w:tcW w:w="1170" w:type="dxa"/>
            <w:tcBorders>
              <w:top w:val="nil"/>
              <w:left w:val="nil"/>
              <w:bottom w:val="dotDotDash" w:color="auto" w:sz="4" w:space="0"/>
              <w:right w:val="single" w:color="auto" w:sz="8" w:space="0"/>
            </w:tcBorders>
            <w:shd w:val="clear" w:color="auto" w:fill="auto"/>
            <w:noWrap/>
            <w:vAlign w:val="bottom"/>
            <w:hideMark/>
          </w:tcPr>
          <w:p w:rsidRPr="00BD0979" w:rsidR="00FD7696" w:rsidP="00FD7696" w:rsidRDefault="00FD7696" w14:paraId="0321F6C1"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0.30%</w:t>
            </w:r>
          </w:p>
        </w:tc>
        <w:tc>
          <w:tcPr>
            <w:tcW w:w="844" w:type="dxa"/>
            <w:vAlign w:val="center"/>
            <w:hideMark/>
          </w:tcPr>
          <w:p w:rsidRPr="00BD0979" w:rsidR="00FD7696" w:rsidP="00FD7696" w:rsidRDefault="00FD7696" w14:paraId="4903EFF4" w14:textId="77777777">
            <w:pPr>
              <w:spacing w:line="240" w:lineRule="auto"/>
              <w:ind w:firstLine="0"/>
              <w:rPr>
                <w:rFonts w:ascii="Times New Roman" w:hAnsi="Times New Roman" w:eastAsia="Times New Roman" w:cs="Times New Roman"/>
                <w:sz w:val="20"/>
                <w:szCs w:val="20"/>
              </w:rPr>
            </w:pPr>
          </w:p>
        </w:tc>
      </w:tr>
      <w:tr w:rsidRPr="00BD0979" w:rsidR="00FD7696" w:rsidTr="00AF639E" w14:paraId="14889DC2" w14:textId="77777777">
        <w:trPr>
          <w:trHeight w:val="300"/>
        </w:trPr>
        <w:tc>
          <w:tcPr>
            <w:tcW w:w="395" w:type="dxa"/>
            <w:vMerge/>
            <w:tcBorders>
              <w:top w:val="nil"/>
              <w:left w:val="single" w:color="auto" w:sz="8" w:space="0"/>
              <w:bottom w:val="single" w:color="000000" w:sz="8" w:space="0"/>
              <w:right w:val="nil"/>
            </w:tcBorders>
            <w:vAlign w:val="center"/>
            <w:hideMark/>
          </w:tcPr>
          <w:p w:rsidRPr="00BD0979" w:rsidR="00FD7696" w:rsidP="00FD7696" w:rsidRDefault="00FD7696" w14:paraId="5CC8F255" w14:textId="77777777">
            <w:pPr>
              <w:spacing w:line="240" w:lineRule="auto"/>
              <w:ind w:firstLine="0"/>
              <w:rPr>
                <w:rFonts w:ascii="Aptos Narrow" w:hAnsi="Aptos Narrow" w:eastAsia="Times New Roman" w:cs="Times New Roman"/>
                <w:color w:val="000000"/>
                <w:sz w:val="22"/>
              </w:rPr>
            </w:pPr>
          </w:p>
        </w:tc>
        <w:tc>
          <w:tcPr>
            <w:tcW w:w="1305" w:type="dxa"/>
            <w:vMerge/>
            <w:tcBorders>
              <w:top w:val="nil"/>
              <w:left w:val="nil"/>
              <w:bottom w:val="single" w:color="000000" w:sz="8" w:space="0"/>
              <w:right w:val="single" w:color="auto" w:sz="8" w:space="0"/>
            </w:tcBorders>
            <w:vAlign w:val="center"/>
            <w:hideMark/>
          </w:tcPr>
          <w:p w:rsidRPr="00BD0979" w:rsidR="00FD7696" w:rsidP="00FD7696" w:rsidRDefault="00FD7696" w14:paraId="24059AF2" w14:textId="77777777">
            <w:pPr>
              <w:spacing w:line="240" w:lineRule="auto"/>
              <w:ind w:firstLine="0"/>
              <w:rPr>
                <w:rFonts w:ascii="Aptos Narrow" w:hAnsi="Aptos Narrow" w:eastAsia="Times New Roman" w:cs="Times New Roman"/>
                <w:color w:val="000000"/>
                <w:sz w:val="22"/>
              </w:rPr>
            </w:pPr>
          </w:p>
        </w:tc>
        <w:tc>
          <w:tcPr>
            <w:tcW w:w="2250" w:type="dxa"/>
            <w:tcBorders>
              <w:top w:val="dotDotDash" w:color="auto" w:sz="4" w:space="0"/>
              <w:left w:val="dotDotDash" w:color="auto" w:sz="4" w:space="0"/>
              <w:bottom w:val="dotDotDash" w:color="auto" w:sz="4" w:space="0"/>
              <w:right w:val="nil"/>
            </w:tcBorders>
            <w:shd w:val="clear" w:color="auto" w:fill="auto"/>
            <w:vAlign w:val="bottom"/>
            <w:hideMark/>
          </w:tcPr>
          <w:p w:rsidRPr="00BD0979" w:rsidR="00FD7696" w:rsidP="00FD7696" w:rsidRDefault="00FD7696" w14:paraId="0615F741" w14:textId="275AF806">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PG&amp;E</w:t>
            </w:r>
            <w:r w:rsidR="00234452">
              <w:rPr>
                <w:rFonts w:ascii="Aptos Narrow" w:hAnsi="Aptos Narrow" w:eastAsia="Times New Roman" w:cs="Times New Roman"/>
                <w:color w:val="000000"/>
                <w:sz w:val="22"/>
              </w:rPr>
              <w:t>’s Proposal</w:t>
            </w:r>
            <w:r>
              <w:rPr>
                <w:rFonts w:ascii="Aptos Narrow" w:hAnsi="Aptos Narrow" w:eastAsia="Times New Roman" w:cs="Times New Roman"/>
                <w:color w:val="000000"/>
                <w:sz w:val="22"/>
              </w:rPr>
              <w:t xml:space="preserve"> </w:t>
            </w:r>
          </w:p>
        </w:tc>
        <w:tc>
          <w:tcPr>
            <w:tcW w:w="990" w:type="dxa"/>
            <w:tcBorders>
              <w:top w:val="nil"/>
              <w:left w:val="nil"/>
              <w:bottom w:val="dotDotDash" w:color="auto" w:sz="4" w:space="0"/>
              <w:right w:val="nil"/>
            </w:tcBorders>
            <w:shd w:val="clear" w:color="auto" w:fill="auto"/>
            <w:noWrap/>
            <w:vAlign w:val="bottom"/>
            <w:hideMark/>
          </w:tcPr>
          <w:p w:rsidRPr="00BD0979" w:rsidR="00FD7696" w:rsidP="00FD7696" w:rsidRDefault="00FD7696" w14:paraId="13BB3B14"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 xml:space="preserve">$4 </w:t>
            </w:r>
          </w:p>
        </w:tc>
        <w:tc>
          <w:tcPr>
            <w:tcW w:w="1175" w:type="dxa"/>
            <w:vMerge/>
            <w:tcBorders>
              <w:top w:val="nil"/>
              <w:left w:val="nil"/>
              <w:bottom w:val="single" w:color="000000" w:sz="8" w:space="0"/>
              <w:right w:val="nil"/>
            </w:tcBorders>
            <w:vAlign w:val="center"/>
            <w:hideMark/>
          </w:tcPr>
          <w:p w:rsidRPr="00BD0979" w:rsidR="00FD7696" w:rsidP="00FD7696" w:rsidRDefault="00FD7696" w14:paraId="10D6262A" w14:textId="77777777">
            <w:pPr>
              <w:spacing w:line="240" w:lineRule="auto"/>
              <w:ind w:firstLine="0"/>
              <w:rPr>
                <w:rFonts w:ascii="Aptos Narrow" w:hAnsi="Aptos Narrow" w:eastAsia="Times New Roman" w:cs="Times New Roman"/>
                <w:b/>
                <w:bCs/>
                <w:color w:val="000000"/>
                <w:sz w:val="22"/>
              </w:rPr>
            </w:pPr>
          </w:p>
        </w:tc>
        <w:tc>
          <w:tcPr>
            <w:tcW w:w="1345" w:type="dxa"/>
            <w:tcBorders>
              <w:top w:val="dotDotDash" w:color="auto" w:sz="4" w:space="0"/>
              <w:left w:val="nil"/>
              <w:bottom w:val="dotDotDash" w:color="auto" w:sz="4" w:space="0"/>
              <w:right w:val="nil"/>
            </w:tcBorders>
            <w:shd w:val="clear" w:color="auto" w:fill="auto"/>
            <w:noWrap/>
            <w:vAlign w:val="bottom"/>
            <w:hideMark/>
          </w:tcPr>
          <w:p w:rsidRPr="00BD0979" w:rsidR="00FD7696" w:rsidP="00FD7696" w:rsidRDefault="00FD7696" w14:paraId="0282E012"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0.30%</w:t>
            </w:r>
          </w:p>
        </w:tc>
        <w:tc>
          <w:tcPr>
            <w:tcW w:w="1260" w:type="dxa"/>
            <w:tcBorders>
              <w:top w:val="nil"/>
              <w:left w:val="nil"/>
              <w:bottom w:val="nil"/>
              <w:right w:val="nil"/>
            </w:tcBorders>
            <w:shd w:val="clear" w:color="auto" w:fill="auto"/>
            <w:noWrap/>
            <w:vAlign w:val="bottom"/>
            <w:hideMark/>
          </w:tcPr>
          <w:p w:rsidRPr="00BD0979" w:rsidR="00FD7696" w:rsidP="00FD7696" w:rsidRDefault="00FD7696" w14:paraId="71DAB89A"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0.2</w:t>
            </w:r>
          </w:p>
        </w:tc>
        <w:tc>
          <w:tcPr>
            <w:tcW w:w="1170" w:type="dxa"/>
            <w:tcBorders>
              <w:top w:val="nil"/>
              <w:left w:val="nil"/>
              <w:bottom w:val="dotDotDash" w:color="auto" w:sz="4" w:space="0"/>
              <w:right w:val="single" w:color="auto" w:sz="8" w:space="0"/>
            </w:tcBorders>
            <w:shd w:val="clear" w:color="auto" w:fill="auto"/>
            <w:noWrap/>
            <w:vAlign w:val="bottom"/>
            <w:hideMark/>
          </w:tcPr>
          <w:p w:rsidRPr="00BD0979" w:rsidR="00FD7696" w:rsidP="00FD7696" w:rsidRDefault="00FD7696" w14:paraId="6EE8D046"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0.20%</w:t>
            </w:r>
          </w:p>
        </w:tc>
        <w:tc>
          <w:tcPr>
            <w:tcW w:w="844" w:type="dxa"/>
            <w:vAlign w:val="center"/>
            <w:hideMark/>
          </w:tcPr>
          <w:p w:rsidRPr="00BD0979" w:rsidR="00FD7696" w:rsidP="00FD7696" w:rsidRDefault="00FD7696" w14:paraId="748B0696" w14:textId="77777777">
            <w:pPr>
              <w:spacing w:line="240" w:lineRule="auto"/>
              <w:ind w:firstLine="0"/>
              <w:rPr>
                <w:rFonts w:ascii="Times New Roman" w:hAnsi="Times New Roman" w:eastAsia="Times New Roman" w:cs="Times New Roman"/>
                <w:sz w:val="20"/>
                <w:szCs w:val="20"/>
              </w:rPr>
            </w:pPr>
          </w:p>
        </w:tc>
      </w:tr>
      <w:tr w:rsidRPr="00BD0979" w:rsidR="00FD7696" w:rsidTr="00AF639E" w14:paraId="41E1013C" w14:textId="77777777">
        <w:trPr>
          <w:trHeight w:val="615"/>
        </w:trPr>
        <w:tc>
          <w:tcPr>
            <w:tcW w:w="395" w:type="dxa"/>
            <w:vMerge/>
            <w:tcBorders>
              <w:top w:val="nil"/>
              <w:left w:val="single" w:color="auto" w:sz="8" w:space="0"/>
              <w:bottom w:val="single" w:color="000000" w:sz="8" w:space="0"/>
              <w:right w:val="nil"/>
            </w:tcBorders>
            <w:vAlign w:val="center"/>
            <w:hideMark/>
          </w:tcPr>
          <w:p w:rsidRPr="00BD0979" w:rsidR="00FD7696" w:rsidP="00FD7696" w:rsidRDefault="00FD7696" w14:paraId="5818D94B" w14:textId="77777777">
            <w:pPr>
              <w:spacing w:line="240" w:lineRule="auto"/>
              <w:ind w:firstLine="0"/>
              <w:rPr>
                <w:rFonts w:ascii="Aptos Narrow" w:hAnsi="Aptos Narrow" w:eastAsia="Times New Roman" w:cs="Times New Roman"/>
                <w:color w:val="000000"/>
                <w:sz w:val="22"/>
              </w:rPr>
            </w:pPr>
          </w:p>
        </w:tc>
        <w:tc>
          <w:tcPr>
            <w:tcW w:w="1305" w:type="dxa"/>
            <w:vMerge/>
            <w:tcBorders>
              <w:top w:val="nil"/>
              <w:left w:val="nil"/>
              <w:bottom w:val="single" w:color="000000" w:sz="8" w:space="0"/>
              <w:right w:val="single" w:color="auto" w:sz="8" w:space="0"/>
            </w:tcBorders>
            <w:vAlign w:val="center"/>
            <w:hideMark/>
          </w:tcPr>
          <w:p w:rsidRPr="00BD0979" w:rsidR="00FD7696" w:rsidP="00FD7696" w:rsidRDefault="00FD7696" w14:paraId="4C54E677" w14:textId="77777777">
            <w:pPr>
              <w:spacing w:line="240" w:lineRule="auto"/>
              <w:ind w:firstLine="0"/>
              <w:rPr>
                <w:rFonts w:ascii="Aptos Narrow" w:hAnsi="Aptos Narrow" w:eastAsia="Times New Roman" w:cs="Times New Roman"/>
                <w:color w:val="000000"/>
                <w:sz w:val="22"/>
              </w:rPr>
            </w:pPr>
          </w:p>
        </w:tc>
        <w:tc>
          <w:tcPr>
            <w:tcW w:w="2250" w:type="dxa"/>
            <w:tcBorders>
              <w:top w:val="nil"/>
              <w:left w:val="nil"/>
              <w:bottom w:val="single" w:color="auto" w:sz="8" w:space="0"/>
              <w:right w:val="nil"/>
            </w:tcBorders>
            <w:shd w:val="clear" w:color="auto" w:fill="auto"/>
            <w:vAlign w:val="bottom"/>
            <w:hideMark/>
          </w:tcPr>
          <w:p w:rsidRPr="00BD0979" w:rsidR="00FD7696" w:rsidP="00FD7696" w:rsidRDefault="00FD7696" w14:paraId="701A435C" w14:textId="2B5A6D60">
            <w:pPr>
              <w:spacing w:line="240" w:lineRule="auto"/>
              <w:ind w:firstLine="0"/>
              <w:rPr>
                <w:rFonts w:ascii="Aptos Narrow" w:hAnsi="Aptos Narrow" w:eastAsia="Times New Roman" w:cs="Times New Roman"/>
                <w:color w:val="000000"/>
                <w:sz w:val="22"/>
              </w:rPr>
            </w:pPr>
            <w:r>
              <w:rPr>
                <w:rFonts w:ascii="Aptos Narrow" w:hAnsi="Aptos Narrow" w:eastAsia="Times New Roman" w:cs="Times New Roman"/>
                <w:color w:val="000000"/>
                <w:sz w:val="22"/>
              </w:rPr>
              <w:t>Change, no interim relief &amp; 26 mo.</w:t>
            </w:r>
          </w:p>
        </w:tc>
        <w:tc>
          <w:tcPr>
            <w:tcW w:w="990" w:type="dxa"/>
            <w:tcBorders>
              <w:top w:val="nil"/>
              <w:left w:val="nil"/>
              <w:bottom w:val="single" w:color="auto" w:sz="8" w:space="0"/>
              <w:right w:val="nil"/>
            </w:tcBorders>
            <w:shd w:val="clear" w:color="auto" w:fill="auto"/>
            <w:noWrap/>
            <w:vAlign w:val="bottom"/>
            <w:hideMark/>
          </w:tcPr>
          <w:p w:rsidRPr="00BD0979" w:rsidR="00FD7696" w:rsidP="00FD7696" w:rsidRDefault="00FD7696" w14:paraId="3A972259" w14:textId="77777777">
            <w:pPr>
              <w:spacing w:line="240" w:lineRule="auto"/>
              <w:ind w:firstLine="0"/>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 </w:t>
            </w:r>
          </w:p>
        </w:tc>
        <w:tc>
          <w:tcPr>
            <w:tcW w:w="1175" w:type="dxa"/>
            <w:vMerge/>
            <w:tcBorders>
              <w:top w:val="nil"/>
              <w:left w:val="nil"/>
              <w:bottom w:val="single" w:color="000000" w:sz="8" w:space="0"/>
              <w:right w:val="nil"/>
            </w:tcBorders>
            <w:vAlign w:val="center"/>
            <w:hideMark/>
          </w:tcPr>
          <w:p w:rsidRPr="00BD0979" w:rsidR="00FD7696" w:rsidP="00FD7696" w:rsidRDefault="00FD7696" w14:paraId="530D88F9" w14:textId="77777777">
            <w:pPr>
              <w:spacing w:line="240" w:lineRule="auto"/>
              <w:ind w:firstLine="0"/>
              <w:rPr>
                <w:rFonts w:ascii="Aptos Narrow" w:hAnsi="Aptos Narrow" w:eastAsia="Times New Roman" w:cs="Times New Roman"/>
                <w:b/>
                <w:bCs/>
                <w:color w:val="000000"/>
                <w:sz w:val="22"/>
              </w:rPr>
            </w:pPr>
          </w:p>
        </w:tc>
        <w:tc>
          <w:tcPr>
            <w:tcW w:w="1345" w:type="dxa"/>
            <w:tcBorders>
              <w:top w:val="nil"/>
              <w:left w:val="nil"/>
              <w:bottom w:val="single" w:color="auto" w:sz="8" w:space="0"/>
              <w:right w:val="nil"/>
            </w:tcBorders>
            <w:shd w:val="clear" w:color="auto" w:fill="auto"/>
            <w:noWrap/>
            <w:vAlign w:val="bottom"/>
            <w:hideMark/>
          </w:tcPr>
          <w:p w:rsidRPr="00BD0979" w:rsidR="00FD7696" w:rsidP="00FD7696" w:rsidRDefault="00FD7696" w14:paraId="494C8DBA"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0.16%</w:t>
            </w:r>
          </w:p>
        </w:tc>
        <w:tc>
          <w:tcPr>
            <w:tcW w:w="1260" w:type="dxa"/>
            <w:tcBorders>
              <w:top w:val="dotDotDash" w:color="auto" w:sz="4" w:space="0"/>
              <w:left w:val="nil"/>
              <w:bottom w:val="single" w:color="auto" w:sz="8" w:space="0"/>
              <w:right w:val="nil"/>
            </w:tcBorders>
            <w:shd w:val="clear" w:color="auto" w:fill="auto"/>
            <w:noWrap/>
            <w:vAlign w:val="bottom"/>
            <w:hideMark/>
          </w:tcPr>
          <w:p w:rsidRPr="00BD0979" w:rsidR="00FD7696" w:rsidP="00FD7696" w:rsidRDefault="00FD7696" w14:paraId="18E5E72C"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0.14</w:t>
            </w:r>
          </w:p>
        </w:tc>
        <w:tc>
          <w:tcPr>
            <w:tcW w:w="1170" w:type="dxa"/>
            <w:tcBorders>
              <w:top w:val="nil"/>
              <w:left w:val="nil"/>
              <w:bottom w:val="single" w:color="auto" w:sz="8" w:space="0"/>
              <w:right w:val="single" w:color="auto" w:sz="8" w:space="0"/>
            </w:tcBorders>
            <w:shd w:val="clear" w:color="auto" w:fill="auto"/>
            <w:noWrap/>
            <w:vAlign w:val="bottom"/>
            <w:hideMark/>
          </w:tcPr>
          <w:p w:rsidRPr="00BD0979" w:rsidR="00FD7696" w:rsidP="00FD7696" w:rsidRDefault="00FD7696" w14:paraId="46E24B37" w14:textId="77777777">
            <w:pPr>
              <w:spacing w:line="240" w:lineRule="auto"/>
              <w:ind w:firstLine="0"/>
              <w:jc w:val="right"/>
              <w:rPr>
                <w:rFonts w:ascii="Aptos Narrow" w:hAnsi="Aptos Narrow" w:eastAsia="Times New Roman" w:cs="Times New Roman"/>
                <w:color w:val="000000"/>
                <w:sz w:val="22"/>
              </w:rPr>
            </w:pPr>
            <w:r w:rsidRPr="00BD0979">
              <w:rPr>
                <w:rFonts w:ascii="Aptos Narrow" w:hAnsi="Aptos Narrow" w:eastAsia="Times New Roman" w:cs="Times New Roman"/>
                <w:color w:val="000000"/>
                <w:sz w:val="22"/>
              </w:rPr>
              <w:t>0.10%</w:t>
            </w:r>
          </w:p>
        </w:tc>
        <w:tc>
          <w:tcPr>
            <w:tcW w:w="844" w:type="dxa"/>
            <w:vAlign w:val="center"/>
            <w:hideMark/>
          </w:tcPr>
          <w:p w:rsidRPr="00BD0979" w:rsidR="00FD7696" w:rsidP="00FD7696" w:rsidRDefault="00FD7696" w14:paraId="726C5AB7" w14:textId="77777777">
            <w:pPr>
              <w:spacing w:line="240" w:lineRule="auto"/>
              <w:ind w:firstLine="0"/>
              <w:rPr>
                <w:rFonts w:ascii="Times New Roman" w:hAnsi="Times New Roman" w:eastAsia="Times New Roman" w:cs="Times New Roman"/>
                <w:sz w:val="20"/>
                <w:szCs w:val="20"/>
              </w:rPr>
            </w:pPr>
          </w:p>
        </w:tc>
      </w:tr>
    </w:tbl>
    <w:p w:rsidR="00C06ABF" w:rsidP="00C06ABF" w:rsidRDefault="00C06ABF" w14:paraId="6FF94438" w14:textId="77777777">
      <w:pPr>
        <w:pStyle w:val="Standard"/>
        <w:ind w:firstLine="0"/>
      </w:pPr>
    </w:p>
    <w:p w:rsidR="00C06ABF" w:rsidP="00C06ABF" w:rsidRDefault="00F2283C" w14:paraId="4A2E4143" w14:textId="00B12ED7">
      <w:pPr>
        <w:pStyle w:val="Standard"/>
      </w:pPr>
      <w:r>
        <w:t>Tables 2 and 3 above show bills and impacts for any household</w:t>
      </w:r>
      <w:r w:rsidR="00C06ABF">
        <w:t xml:space="preserve"> earning minimum wage anywhere in the area served by PG&amp;E</w:t>
      </w:r>
      <w:r>
        <w:t>. Minimum wage households</w:t>
      </w:r>
      <w:r w:rsidR="00C06ABF">
        <w:t xml:space="preserve"> </w:t>
      </w:r>
      <w:r>
        <w:t>must work about</w:t>
      </w:r>
      <w:r w:rsidR="00C06ABF">
        <w:t xml:space="preserve"> 10 hours per month to pay the cost of a PG&amp;E bill for essential use, before the increases shown in the table above, and assuming they are receiving the CARE discount</w:t>
      </w:r>
      <w:r>
        <w:t xml:space="preserve"> (Table 3)</w:t>
      </w:r>
      <w:r w:rsidR="00C06ABF">
        <w:t>. Without the CARE discount</w:t>
      </w:r>
      <w:r>
        <w:t xml:space="preserve"> (Table 2)</w:t>
      </w:r>
      <w:r w:rsidR="00C06ABF">
        <w:t xml:space="preserve">, </w:t>
      </w:r>
      <w:r>
        <w:t>these households work</w:t>
      </w:r>
      <w:r w:rsidR="00C06ABF">
        <w:t xml:space="preserve"> 12 – 14 hours</w:t>
      </w:r>
      <w:r w:rsidR="00234452">
        <w:t xml:space="preserve"> to pay the cost of a </w:t>
      </w:r>
      <w:r w:rsidR="00683541">
        <w:t xml:space="preserve">PG&amp;E </w:t>
      </w:r>
      <w:r w:rsidR="00234452">
        <w:t>bill for essential use</w:t>
      </w:r>
      <w:r w:rsidR="00C06ABF">
        <w:t xml:space="preserve">, before the increase shown in the table above. </w:t>
      </w:r>
    </w:p>
    <w:p w:rsidRPr="00C06ABF" w:rsidR="00C06ABF" w:rsidP="007E19E8" w:rsidRDefault="00F2283C" w14:paraId="508E94F8" w14:textId="24EF3422">
      <w:pPr>
        <w:pStyle w:val="Standard"/>
      </w:pPr>
      <w:r>
        <w:t xml:space="preserve">The last category of customers shown in Tables 2 and 3 </w:t>
      </w:r>
      <w:r w:rsidR="00683541">
        <w:t>live in southwest Fresno City.</w:t>
      </w:r>
      <w:r>
        <w:t xml:space="preserve"> N</w:t>
      </w:r>
      <w:r w:rsidR="00C06ABF">
        <w:t>early 100,000 PG&amp;E customers live in southwest Fresno City, which is a more severe climate zone and where the essential use bill is estimated to require disproportionately more of their income-after-housing than customers in most other areas of California. For this reason, southwest Fresno City is called an “Area of Affordability Concern.” Here, for the 20,000 households at the bottom of the income distribution scale</w:t>
      </w:r>
      <w:r w:rsidR="00E1619E">
        <w:t>,</w:t>
      </w:r>
      <w:r w:rsidR="00C06ABF">
        <w:t xml:space="preserve"> their bill for an essential amount of gas and electricity comprises</w:t>
      </w:r>
      <w:r w:rsidR="00683541">
        <w:t xml:space="preserve"> 41.6 percent of their income-after-housing each month if they do not receive the CARE discount and 27.5</w:t>
      </w:r>
      <w:r w:rsidR="00C06ABF">
        <w:t xml:space="preserve"> </w:t>
      </w:r>
      <w:r w:rsidR="00272095">
        <w:t>p</w:t>
      </w:r>
      <w:r w:rsidR="00C06ABF">
        <w:t>ercent of their income-after-housing each month</w:t>
      </w:r>
      <w:r w:rsidR="00683541">
        <w:t xml:space="preserve"> if</w:t>
      </w:r>
      <w:r w:rsidR="00C06ABF">
        <w:t xml:space="preserve"> they receive the CARE discount.</w:t>
      </w:r>
      <w:r w:rsidR="00C06ABF">
        <w:rPr>
          <w:rStyle w:val="FootnoteReference"/>
        </w:rPr>
        <w:footnoteReference w:id="73"/>
      </w:r>
      <w:r w:rsidR="00C06ABF">
        <w:t xml:space="preserve"> </w:t>
      </w:r>
    </w:p>
    <w:p w:rsidRPr="005F1FBD" w:rsidR="005F1FBD" w:rsidP="005F1FBD" w:rsidRDefault="005F1FBD" w14:paraId="464C2AEA" w14:textId="51ED523A">
      <w:pPr>
        <w:pStyle w:val="Heading1"/>
        <w:numPr>
          <w:ilvl w:val="0"/>
          <w:numId w:val="1"/>
        </w:numPr>
      </w:pPr>
      <w:bookmarkStart w:name="_Toc157549690" w:id="23"/>
      <w:r w:rsidRPr="005F1FBD">
        <w:t>Issues</w:t>
      </w:r>
      <w:bookmarkEnd w:id="23"/>
    </w:p>
    <w:p w:rsidRPr="005F1FBD" w:rsidR="005F1FBD" w:rsidP="005F1FBD" w:rsidRDefault="00113E7C" w14:paraId="73172547" w14:textId="6A4F17B0">
      <w:pPr>
        <w:pStyle w:val="Standard"/>
      </w:pPr>
      <w:r>
        <w:t>I</w:t>
      </w:r>
      <w:r w:rsidRPr="005F1FBD" w:rsidR="005F1FBD">
        <w:t>n determining whether interim cost recovery is appropriate</w:t>
      </w:r>
      <w:r>
        <w:t>, we consider the following</w:t>
      </w:r>
      <w:r w:rsidRPr="005F1FBD" w:rsidR="005F1FBD">
        <w:t>:</w:t>
      </w:r>
    </w:p>
    <w:p w:rsidRPr="005F1FBD" w:rsidR="005F1FBD" w:rsidP="002557D0" w:rsidRDefault="005F1FBD" w14:paraId="59FDFF91" w14:textId="7F4F7D6C">
      <w:pPr>
        <w:pStyle w:val="Standard"/>
        <w:numPr>
          <w:ilvl w:val="0"/>
          <w:numId w:val="25"/>
        </w:numPr>
        <w:spacing w:after="120" w:line="240" w:lineRule="auto"/>
        <w:ind w:left="1080" w:right="1440"/>
      </w:pPr>
      <w:r w:rsidRPr="005F1FBD">
        <w:lastRenderedPageBreak/>
        <w:t>Has PG&amp;E shown that interim cost recovery is warranted?</w:t>
      </w:r>
    </w:p>
    <w:p w:rsidR="005F1FBD" w:rsidP="00622EE8" w:rsidRDefault="005F1FBD" w14:paraId="00423160" w14:textId="77777777">
      <w:pPr>
        <w:pStyle w:val="Standard"/>
        <w:numPr>
          <w:ilvl w:val="0"/>
          <w:numId w:val="25"/>
        </w:numPr>
        <w:spacing w:after="120" w:line="240" w:lineRule="auto"/>
        <w:ind w:left="1080" w:right="1440"/>
      </w:pPr>
      <w:r w:rsidRPr="005F1FBD">
        <w:t>If so, what amount of interim cost recovery is justified?</w:t>
      </w:r>
    </w:p>
    <w:p w:rsidR="007602CF" w:rsidP="007602CF" w:rsidRDefault="007602CF" w14:paraId="54CB851F" w14:textId="065031AE">
      <w:pPr>
        <w:pStyle w:val="Heading1"/>
        <w:numPr>
          <w:ilvl w:val="0"/>
          <w:numId w:val="1"/>
        </w:numPr>
      </w:pPr>
      <w:bookmarkStart w:name="_Toc157549691" w:id="24"/>
      <w:bookmarkStart w:name="_Toc119415992" w:id="25"/>
      <w:bookmarkStart w:name="_Toc8123721" w:id="26"/>
      <w:r>
        <w:t>Interim Cost Recovery is Warranted</w:t>
      </w:r>
      <w:bookmarkEnd w:id="24"/>
    </w:p>
    <w:p w:rsidR="00A77C00" w:rsidP="0090395D" w:rsidRDefault="00A77C00" w14:paraId="1115B405" w14:textId="77777777">
      <w:pPr>
        <w:pStyle w:val="Standard"/>
      </w:pPr>
      <w:r>
        <w:t xml:space="preserve">As noted above, the Commission has made determinations on interim rate relief based on a number of factors, all consistent with the standard set in </w:t>
      </w:r>
      <w:r>
        <w:rPr>
          <w:i/>
          <w:iCs/>
        </w:rPr>
        <w:t xml:space="preserve">TURN v. PUC </w:t>
      </w:r>
      <w:r>
        <w:t>evaluating fairness to the utility and the public, the public being inclusive of the ratepayers as a whole.  T</w:t>
      </w:r>
      <w:r w:rsidRPr="00C60AE2">
        <w:t xml:space="preserve">his decision finds </w:t>
      </w:r>
      <w:r>
        <w:t>accelerating the collection of 75 percent of PG&amp;E recorded costs now is a fair and reasonable balance of interests</w:t>
      </w:r>
      <w:r w:rsidRPr="00C60AE2">
        <w:t>.</w:t>
      </w:r>
      <w:r>
        <w:t xml:space="preserve"> </w:t>
      </w:r>
    </w:p>
    <w:p w:rsidR="007602CF" w:rsidP="0090395D" w:rsidRDefault="007602CF" w14:paraId="1EBEE9A7" w14:textId="6A1CC51D">
      <w:pPr>
        <w:pStyle w:val="Standard"/>
      </w:pPr>
      <w:r>
        <w:t>In this case, the circumstances justify granting interim cost recovery prior to a determination on whether the costs are reasonable. In doing so, the Commission departs from the general requirement to raise rates only after the costs are determined reasonable by this Commission. N</w:t>
      </w:r>
      <w:r w:rsidRPr="00C60AE2">
        <w:t xml:space="preserve">othing in this grant of interim rate relief prejudges whether the costs in the relevant accounts are just and reasonable. PG&amp;E </w:t>
      </w:r>
      <w:r w:rsidR="00151AF4">
        <w:t xml:space="preserve">must </w:t>
      </w:r>
      <w:r w:rsidRPr="00C60AE2">
        <w:t>s</w:t>
      </w:r>
      <w:r w:rsidR="00151AF4">
        <w:t>ti</w:t>
      </w:r>
      <w:r w:rsidRPr="00C60AE2">
        <w:t xml:space="preserve">ll prove the reasonableness of all costs in the accounts at issue, whether or not allowed in interim rates. </w:t>
      </w:r>
    </w:p>
    <w:p w:rsidRPr="00A77C00" w:rsidR="00A77C00" w:rsidP="00D74A23" w:rsidRDefault="00A77C00" w14:paraId="5328DCA4" w14:textId="5F82A111">
      <w:pPr>
        <w:pStyle w:val="Heading2"/>
      </w:pPr>
      <w:bookmarkStart w:name="_Toc157549692" w:id="27"/>
      <w:r w:rsidRPr="00A77C00">
        <w:t>PG&amp;E</w:t>
      </w:r>
      <w:r w:rsidR="00286025">
        <w:t>’s</w:t>
      </w:r>
      <w:r w:rsidRPr="00A77C00">
        <w:t xml:space="preserve"> Financial Condition</w:t>
      </w:r>
      <w:bookmarkEnd w:id="27"/>
    </w:p>
    <w:p w:rsidRPr="00A77C00" w:rsidR="00286025" w:rsidP="00286025" w:rsidRDefault="00286025" w14:paraId="7233A2D7" w14:textId="5FF015B4">
      <w:pPr>
        <w:pStyle w:val="Standard"/>
      </w:pPr>
      <w:r w:rsidRPr="00A77C00">
        <w:t xml:space="preserve">On balance, PG&amp;E’s financial condition justifies interim rate relief </w:t>
      </w:r>
      <w:r>
        <w:t>to stabilize below investment-grade credit ratings</w:t>
      </w:r>
      <w:r w:rsidRPr="00A77C00">
        <w:t xml:space="preserve">. </w:t>
      </w:r>
      <w:r>
        <w:t xml:space="preserve">Financing billions of uncollected revenues </w:t>
      </w:r>
      <w:r w:rsidR="00151AF4">
        <w:t>is</w:t>
      </w:r>
      <w:r>
        <w:t xml:space="preserve"> more costly to both the utility and ratepayers as interest rates rise. </w:t>
      </w:r>
      <w:r w:rsidR="009B47DC">
        <w:t>Ratepayers and the utility</w:t>
      </w:r>
      <w:r>
        <w:t xml:space="preserve"> would be better served by nominally reducing PG&amp;E’s total uncollected revenues by partially granting this request for relief.</w:t>
      </w:r>
      <w:r w:rsidRPr="00A77C00">
        <w:t xml:space="preserve"> </w:t>
      </w:r>
    </w:p>
    <w:p w:rsidRPr="00A77C00" w:rsidR="00A77C00" w:rsidP="00A77C00" w:rsidRDefault="00A77C00" w14:paraId="61A56435" w14:textId="3FD9920E">
      <w:pPr>
        <w:pStyle w:val="Standard"/>
      </w:pPr>
      <w:r w:rsidRPr="00A77C00">
        <w:t xml:space="preserve">PG&amp;E’s financial condition is not disputed. PG&amp;E </w:t>
      </w:r>
      <w:r w:rsidR="00F924FB">
        <w:t>states that</w:t>
      </w:r>
      <w:r w:rsidRPr="00A77C00" w:rsidR="00F924FB">
        <w:t xml:space="preserve"> </w:t>
      </w:r>
      <w:r w:rsidRPr="00A77C00">
        <w:t>its credit metric (defined as Funds from Operations over total debt, or FFO/debt) was at 12.4 percent at the end of 2022.</w:t>
      </w:r>
      <w:r w:rsidRPr="00A77C00">
        <w:rPr>
          <w:vertAlign w:val="superscript"/>
        </w:rPr>
        <w:footnoteReference w:id="74"/>
      </w:r>
      <w:r w:rsidRPr="00A77C00">
        <w:t xml:space="preserve"> Ultimately, PG&amp;E’s credit ratings by three credit </w:t>
      </w:r>
      <w:r w:rsidRPr="00A77C00">
        <w:lastRenderedPageBreak/>
        <w:t>agencies have experienced minimal change since emerging from bankruptcy and remain overall sub-investment grade. In approving PG&amp;E’s Plan of Reorganization in D.20-05-053, the Commission required PG&amp;E to report annually, in part, its current credit ratings (Annual Capital Structure Advice Letter).</w:t>
      </w:r>
      <w:r w:rsidRPr="00A77C00">
        <w:rPr>
          <w:vertAlign w:val="superscript"/>
        </w:rPr>
        <w:footnoteReference w:id="75"/>
      </w:r>
      <w:r w:rsidRPr="00A77C00">
        <w:t xml:space="preserve"> In December 2023, PG&amp;E</w:t>
      </w:r>
      <w:r w:rsidR="00E93D90">
        <w:t xml:space="preserve"> declared</w:t>
      </w:r>
      <w:r w:rsidRPr="00A77C00">
        <w:t xml:space="preserve"> its credit ratings remain unchanged since filing A.23-06-008 in June 2023. In fact, changes to PG&amp;E’s credit ratings have been minimal since 2020. “PG&amp;E’s S&amp;P and Moody’s credit ratings, [presented below in Table </w:t>
      </w:r>
      <w:r w:rsidR="00E40BD9">
        <w:t>4</w:t>
      </w:r>
      <w:r w:rsidRPr="00A77C00">
        <w:t xml:space="preserve">] remain unchanged from those presented in its 2020 Annual Capital Structure Advice letter. In March 2023, Fitch announced a one-notch upgrade to PG&amp;E’s ratings, reflected in Table </w:t>
      </w:r>
      <w:r w:rsidR="00E40BD9">
        <w:t>[4]</w:t>
      </w:r>
      <w:r w:rsidRPr="00A77C00">
        <w:t>.”</w:t>
      </w:r>
      <w:r w:rsidRPr="00A77C00">
        <w:rPr>
          <w:vertAlign w:val="superscript"/>
        </w:rPr>
        <w:footnoteReference w:id="76"/>
      </w:r>
    </w:p>
    <w:p w:rsidR="00286025" w:rsidRDefault="00286025" w14:paraId="662A06F8" w14:textId="77777777">
      <w:pPr>
        <w:spacing w:after="160" w:line="259" w:lineRule="auto"/>
        <w:ind w:firstLine="0"/>
        <w:rPr>
          <w:b/>
          <w:bCs/>
        </w:rPr>
      </w:pPr>
      <w:r>
        <w:rPr>
          <w:b/>
          <w:bCs/>
        </w:rPr>
        <w:br w:type="page"/>
      </w:r>
    </w:p>
    <w:p w:rsidR="00E40BD9" w:rsidP="007E19E8" w:rsidRDefault="00E40BD9" w14:paraId="5ECA923A" w14:textId="6DC6C16F">
      <w:pPr>
        <w:pStyle w:val="Standard"/>
        <w:spacing w:line="240" w:lineRule="auto"/>
        <w:jc w:val="center"/>
        <w:rPr>
          <w:b/>
          <w:bCs/>
        </w:rPr>
      </w:pPr>
      <w:r>
        <w:rPr>
          <w:b/>
          <w:bCs/>
        </w:rPr>
        <w:lastRenderedPageBreak/>
        <w:t>Table 4</w:t>
      </w:r>
    </w:p>
    <w:p w:rsidRPr="00A77C00" w:rsidR="00A77C00" w:rsidP="007E19E8" w:rsidRDefault="00A77C00" w14:paraId="21021CEC" w14:textId="713A25D7">
      <w:pPr>
        <w:pStyle w:val="Standard"/>
        <w:spacing w:line="240" w:lineRule="auto"/>
        <w:jc w:val="center"/>
        <w:rPr>
          <w:b/>
          <w:bCs/>
        </w:rPr>
      </w:pPr>
      <w:r w:rsidRPr="00A77C00">
        <w:rPr>
          <w:b/>
          <w:bCs/>
        </w:rPr>
        <w:t>PG&amp;E Current Credit Ratings</w:t>
      </w:r>
      <w:r w:rsidRPr="00A77C00">
        <w:rPr>
          <w:b/>
          <w:bCs/>
          <w:vertAlign w:val="superscript"/>
        </w:rPr>
        <w:footnoteReference w:id="77"/>
      </w:r>
    </w:p>
    <w:tbl>
      <w:tblPr>
        <w:tblStyle w:val="TableGrid"/>
        <w:tblW w:w="0" w:type="auto"/>
        <w:tblLook w:val="04A0" w:firstRow="1" w:lastRow="0" w:firstColumn="1" w:lastColumn="0" w:noHBand="0" w:noVBand="1"/>
      </w:tblPr>
      <w:tblGrid>
        <w:gridCol w:w="2337"/>
        <w:gridCol w:w="2337"/>
        <w:gridCol w:w="2338"/>
        <w:gridCol w:w="2338"/>
      </w:tblGrid>
      <w:tr w:rsidRPr="00A77C00" w:rsidR="00A77C00" w:rsidTr="004C7359" w14:paraId="01E5A9D0" w14:textId="77777777">
        <w:tc>
          <w:tcPr>
            <w:tcW w:w="2337" w:type="dxa"/>
          </w:tcPr>
          <w:p w:rsidRPr="00A77C00" w:rsidR="00A77C00" w:rsidP="00A77C00" w:rsidRDefault="00A77C00" w14:paraId="691C5124" w14:textId="77777777">
            <w:pPr>
              <w:pStyle w:val="Standard"/>
            </w:pPr>
          </w:p>
        </w:tc>
        <w:tc>
          <w:tcPr>
            <w:tcW w:w="2337" w:type="dxa"/>
          </w:tcPr>
          <w:p w:rsidRPr="00D74A23" w:rsidR="00A77C00" w:rsidP="00D74A23" w:rsidRDefault="00A77C00" w14:paraId="7E61AFE3" w14:textId="77777777">
            <w:pPr>
              <w:pStyle w:val="Standard"/>
              <w:spacing w:line="240" w:lineRule="auto"/>
              <w:ind w:firstLine="0"/>
              <w:jc w:val="center"/>
              <w:rPr>
                <w:b/>
                <w:bCs/>
              </w:rPr>
            </w:pPr>
            <w:r w:rsidRPr="00D74A23">
              <w:rPr>
                <w:b/>
                <w:bCs/>
              </w:rPr>
              <w:t>Standard and Poor’s</w:t>
            </w:r>
          </w:p>
        </w:tc>
        <w:tc>
          <w:tcPr>
            <w:tcW w:w="2338" w:type="dxa"/>
          </w:tcPr>
          <w:p w:rsidRPr="00D74A23" w:rsidR="00A77C00" w:rsidP="00D74A23" w:rsidRDefault="00A77C00" w14:paraId="04A58131" w14:textId="77777777">
            <w:pPr>
              <w:pStyle w:val="Standard"/>
              <w:spacing w:line="240" w:lineRule="auto"/>
              <w:ind w:firstLine="0"/>
              <w:jc w:val="center"/>
              <w:rPr>
                <w:b/>
                <w:bCs/>
              </w:rPr>
            </w:pPr>
            <w:r w:rsidRPr="00D74A23">
              <w:rPr>
                <w:b/>
                <w:bCs/>
              </w:rPr>
              <w:t>Moody’s</w:t>
            </w:r>
          </w:p>
        </w:tc>
        <w:tc>
          <w:tcPr>
            <w:tcW w:w="2338" w:type="dxa"/>
          </w:tcPr>
          <w:p w:rsidRPr="00D74A23" w:rsidR="00A77C00" w:rsidP="00D74A23" w:rsidRDefault="00A77C00" w14:paraId="5C59F3AA" w14:textId="77777777">
            <w:pPr>
              <w:pStyle w:val="Standard"/>
              <w:spacing w:line="240" w:lineRule="auto"/>
              <w:ind w:firstLine="0"/>
              <w:jc w:val="center"/>
              <w:rPr>
                <w:b/>
                <w:bCs/>
              </w:rPr>
            </w:pPr>
            <w:r w:rsidRPr="00D74A23">
              <w:rPr>
                <w:b/>
                <w:bCs/>
              </w:rPr>
              <w:t>Fitch</w:t>
            </w:r>
          </w:p>
        </w:tc>
      </w:tr>
      <w:tr w:rsidRPr="00A77C00" w:rsidR="00A77C00" w:rsidTr="004C7359" w14:paraId="50FA7B2A" w14:textId="77777777">
        <w:tc>
          <w:tcPr>
            <w:tcW w:w="2337" w:type="dxa"/>
          </w:tcPr>
          <w:p w:rsidRPr="00D74A23" w:rsidR="00A77C00" w:rsidP="00D74A23" w:rsidRDefault="00A77C00" w14:paraId="62B03700" w14:textId="77777777">
            <w:pPr>
              <w:pStyle w:val="Standard"/>
              <w:ind w:firstLine="0"/>
              <w:rPr>
                <w:b/>
                <w:bCs/>
              </w:rPr>
            </w:pPr>
            <w:r w:rsidRPr="00D74A23">
              <w:rPr>
                <w:b/>
                <w:bCs/>
              </w:rPr>
              <w:t>Secured Debt</w:t>
            </w:r>
          </w:p>
        </w:tc>
        <w:tc>
          <w:tcPr>
            <w:tcW w:w="2337" w:type="dxa"/>
          </w:tcPr>
          <w:p w:rsidRPr="00A77C00" w:rsidR="00A77C00" w:rsidP="00A77C00" w:rsidRDefault="00A77C00" w14:paraId="1D3ADBD0" w14:textId="77777777">
            <w:pPr>
              <w:pStyle w:val="Standard"/>
            </w:pPr>
            <w:r w:rsidRPr="00A77C00">
              <w:t>BBB-</w:t>
            </w:r>
          </w:p>
        </w:tc>
        <w:tc>
          <w:tcPr>
            <w:tcW w:w="2338" w:type="dxa"/>
          </w:tcPr>
          <w:p w:rsidRPr="00A77C00" w:rsidR="00A77C00" w:rsidP="00A77C00" w:rsidRDefault="00A77C00" w14:paraId="760F78C0" w14:textId="77777777">
            <w:pPr>
              <w:pStyle w:val="Standard"/>
            </w:pPr>
            <w:r w:rsidRPr="00A77C00">
              <w:t>Baa3</w:t>
            </w:r>
          </w:p>
        </w:tc>
        <w:tc>
          <w:tcPr>
            <w:tcW w:w="2338" w:type="dxa"/>
          </w:tcPr>
          <w:p w:rsidRPr="00A77C00" w:rsidR="00A77C00" w:rsidP="00A77C00" w:rsidRDefault="00A77C00" w14:paraId="4A9854D0" w14:textId="77777777">
            <w:pPr>
              <w:pStyle w:val="Standard"/>
            </w:pPr>
            <w:r w:rsidRPr="00A77C00">
              <w:t>BBB</w:t>
            </w:r>
          </w:p>
        </w:tc>
      </w:tr>
      <w:tr w:rsidRPr="00A77C00" w:rsidR="00A77C00" w:rsidTr="004C7359" w14:paraId="21512523" w14:textId="77777777">
        <w:tc>
          <w:tcPr>
            <w:tcW w:w="2337" w:type="dxa"/>
          </w:tcPr>
          <w:p w:rsidRPr="00D74A23" w:rsidR="00A77C00" w:rsidP="00D74A23" w:rsidRDefault="00A77C00" w14:paraId="3453DEAA" w14:textId="77777777">
            <w:pPr>
              <w:pStyle w:val="Standard"/>
              <w:ind w:firstLine="0"/>
              <w:rPr>
                <w:b/>
                <w:bCs/>
              </w:rPr>
            </w:pPr>
            <w:r w:rsidRPr="00D74A23">
              <w:rPr>
                <w:b/>
                <w:bCs/>
              </w:rPr>
              <w:t>Issuer Rating</w:t>
            </w:r>
          </w:p>
        </w:tc>
        <w:tc>
          <w:tcPr>
            <w:tcW w:w="2337" w:type="dxa"/>
          </w:tcPr>
          <w:p w:rsidRPr="00A77C00" w:rsidR="00A77C00" w:rsidP="00A77C00" w:rsidRDefault="00A77C00" w14:paraId="1091E286" w14:textId="77777777">
            <w:pPr>
              <w:pStyle w:val="Standard"/>
            </w:pPr>
            <w:r w:rsidRPr="00A77C00">
              <w:t>BB-</w:t>
            </w:r>
          </w:p>
        </w:tc>
        <w:tc>
          <w:tcPr>
            <w:tcW w:w="2338" w:type="dxa"/>
          </w:tcPr>
          <w:p w:rsidRPr="00A77C00" w:rsidR="00A77C00" w:rsidP="00A77C00" w:rsidRDefault="00A77C00" w14:paraId="47ABDC16" w14:textId="77777777">
            <w:pPr>
              <w:pStyle w:val="Standard"/>
            </w:pPr>
            <w:r w:rsidRPr="00A77C00">
              <w:t>Ba2</w:t>
            </w:r>
          </w:p>
        </w:tc>
        <w:tc>
          <w:tcPr>
            <w:tcW w:w="2338" w:type="dxa"/>
          </w:tcPr>
          <w:p w:rsidRPr="00A77C00" w:rsidR="00A77C00" w:rsidP="00A77C00" w:rsidRDefault="00A77C00" w14:paraId="272714AE" w14:textId="77777777">
            <w:pPr>
              <w:pStyle w:val="Standard"/>
            </w:pPr>
            <w:r w:rsidRPr="00A77C00">
              <w:t>BB+</w:t>
            </w:r>
          </w:p>
        </w:tc>
      </w:tr>
      <w:tr w:rsidRPr="00A77C00" w:rsidR="00A77C00" w:rsidTr="004C7359" w14:paraId="01DE5BEB" w14:textId="77777777">
        <w:tc>
          <w:tcPr>
            <w:tcW w:w="2337" w:type="dxa"/>
          </w:tcPr>
          <w:p w:rsidRPr="00D74A23" w:rsidR="00A77C00" w:rsidP="00D74A23" w:rsidRDefault="00A77C00" w14:paraId="410A85F5" w14:textId="77777777">
            <w:pPr>
              <w:pStyle w:val="Standard"/>
              <w:ind w:firstLine="0"/>
              <w:rPr>
                <w:b/>
                <w:bCs/>
              </w:rPr>
            </w:pPr>
            <w:r w:rsidRPr="00D74A23">
              <w:rPr>
                <w:b/>
                <w:bCs/>
              </w:rPr>
              <w:t>Unsecured Debt</w:t>
            </w:r>
          </w:p>
        </w:tc>
        <w:tc>
          <w:tcPr>
            <w:tcW w:w="2337" w:type="dxa"/>
          </w:tcPr>
          <w:p w:rsidRPr="00A77C00" w:rsidR="00A77C00" w:rsidP="00A77C00" w:rsidRDefault="00A77C00" w14:paraId="4BC1E477" w14:textId="77777777">
            <w:pPr>
              <w:pStyle w:val="Standard"/>
            </w:pPr>
            <w:r w:rsidRPr="00A77C00">
              <w:t>NA</w:t>
            </w:r>
          </w:p>
        </w:tc>
        <w:tc>
          <w:tcPr>
            <w:tcW w:w="2338" w:type="dxa"/>
          </w:tcPr>
          <w:p w:rsidRPr="00A77C00" w:rsidR="00A77C00" w:rsidP="00A77C00" w:rsidRDefault="00A77C00" w14:paraId="6866889D" w14:textId="77777777">
            <w:pPr>
              <w:pStyle w:val="Standard"/>
            </w:pPr>
            <w:r w:rsidRPr="00A77C00">
              <w:t>NA</w:t>
            </w:r>
          </w:p>
        </w:tc>
        <w:tc>
          <w:tcPr>
            <w:tcW w:w="2338" w:type="dxa"/>
          </w:tcPr>
          <w:p w:rsidRPr="00A77C00" w:rsidR="00A77C00" w:rsidP="00A77C00" w:rsidRDefault="00A77C00" w14:paraId="4093D1A4" w14:textId="77777777">
            <w:pPr>
              <w:pStyle w:val="Standard"/>
            </w:pPr>
            <w:r w:rsidRPr="00A77C00">
              <w:t>NA</w:t>
            </w:r>
          </w:p>
        </w:tc>
      </w:tr>
    </w:tbl>
    <w:p w:rsidRPr="00A77C00" w:rsidR="00A77C00" w:rsidP="00A77C00" w:rsidRDefault="00A77C00" w14:paraId="4A7909F5" w14:textId="77777777">
      <w:pPr>
        <w:pStyle w:val="Standard"/>
      </w:pPr>
    </w:p>
    <w:p w:rsidR="00F06E68" w:rsidP="00A77C00" w:rsidRDefault="00A77C00" w14:paraId="0C00E28B" w14:textId="7D8E2BEE">
      <w:pPr>
        <w:pStyle w:val="Standard"/>
      </w:pPr>
      <w:r w:rsidRPr="00A77C00">
        <w:t xml:space="preserve">PG&amp;E argues interim relief is a reasonable and appropriate strategy to address the financial challenges it faces. PG&amp;E presents interim relief as just one of a variety of strategies it is using to improve the costs </w:t>
      </w:r>
      <w:r w:rsidR="00E0741B">
        <w:t xml:space="preserve">of </w:t>
      </w:r>
      <w:r w:rsidRPr="00A77C00">
        <w:t>attracting capital and financing debt.</w:t>
      </w:r>
      <w:r w:rsidRPr="00A77C00">
        <w:rPr>
          <w:vertAlign w:val="superscript"/>
        </w:rPr>
        <w:footnoteReference w:id="78"/>
      </w:r>
      <w:r w:rsidRPr="00A77C00">
        <w:t xml:space="preserve"> PG&amp;E’s unresolved undercollections of $2.7 billion</w:t>
      </w:r>
      <w:r w:rsidRPr="00A77C00">
        <w:rPr>
          <w:vertAlign w:val="superscript"/>
        </w:rPr>
        <w:footnoteReference w:id="79"/>
      </w:r>
      <w:r w:rsidRPr="00A77C00">
        <w:t xml:space="preserve"> cause identifiable costs to the utility and in turn to the ratepayers due to interest carried on the undercollections. The longer it takes to resolve the question of whether the costs are just and reasonable and should therefore be recovered at all, the more the interest mounts. </w:t>
      </w:r>
    </w:p>
    <w:p w:rsidRPr="00A77C00" w:rsidR="00A77C00" w:rsidP="00A77C00" w:rsidRDefault="00286025" w14:paraId="207FCFB4" w14:textId="5CFD77C5">
      <w:pPr>
        <w:pStyle w:val="Standard"/>
      </w:pPr>
      <w:r w:rsidRPr="00A77C00">
        <w:t xml:space="preserve">TURN’s arguments in response have some merit, but on balance do not warrant denial of PG&amp;E’s request. </w:t>
      </w:r>
      <w:r w:rsidRPr="00A77C00" w:rsidR="00A77C00">
        <w:t>TURN points out this scenario depends upon a presumption that PG&amp;E’s recorded costs will be found just and reasonable.</w:t>
      </w:r>
      <w:r w:rsidRPr="00A77C00" w:rsidR="00A77C00">
        <w:rPr>
          <w:vertAlign w:val="superscript"/>
        </w:rPr>
        <w:footnoteReference w:id="80"/>
      </w:r>
      <w:r w:rsidRPr="00A77C00" w:rsidR="00A77C00">
        <w:t xml:space="preserve"> TURN is correct that</w:t>
      </w:r>
      <w:r w:rsidR="00E0741B">
        <w:t>,</w:t>
      </w:r>
      <w:r w:rsidRPr="00A77C00" w:rsidR="00A77C00">
        <w:t xml:space="preserve"> should the cost be determined unreasonable and therefore unrecoverable, no savings will occur. Not only will no savings occur, but </w:t>
      </w:r>
      <w:r w:rsidRPr="00A77C00" w:rsidR="00A77C00">
        <w:lastRenderedPageBreak/>
        <w:t xml:space="preserve">ratepayers will have prematurely funded costs and will incur lost opportunities by financing PG&amp;E rather than using their money </w:t>
      </w:r>
      <w:r w:rsidR="00E40BD9">
        <w:t>elsewhere</w:t>
      </w:r>
      <w:r w:rsidRPr="00A77C00" w:rsidR="00A77C00">
        <w:t xml:space="preserve">. </w:t>
      </w:r>
    </w:p>
    <w:p w:rsidRPr="00A77C00" w:rsidR="00A77C00" w:rsidP="00A77C00" w:rsidRDefault="00A77C00" w14:paraId="624FF2BF" w14:textId="2C442BAC">
      <w:pPr>
        <w:pStyle w:val="Standard"/>
      </w:pPr>
      <w:r w:rsidRPr="00A77C00">
        <w:t>Additionally, PG&amp;E argues interim cost recovery could potentially save costs for the utility and customers alike if PG&amp;E improves its credit ratings. TURN ch</w:t>
      </w:r>
      <w:r w:rsidR="00286025">
        <w:t>allenges</w:t>
      </w:r>
      <w:r w:rsidRPr="00A77C00">
        <w:t xml:space="preserve"> PG&amp;E’s assertion in multiple ways. First, TURN states PG&amp;E lacks evidence that its proposal will materially alleviate its precarious financial condition.</w:t>
      </w:r>
      <w:r w:rsidRPr="00A77C00">
        <w:rPr>
          <w:vertAlign w:val="superscript"/>
        </w:rPr>
        <w:footnoteReference w:id="81"/>
      </w:r>
      <w:r w:rsidRPr="00A77C00">
        <w:t xml:space="preserve"> TURN further states that PG&amp;E has revenue increases pending in multiple venues and any of the pending revenue streams, if and when authorized, would have a similar effect on PG&amp;E’s financial condition. Finally, TURN argues PG&amp;E would have to dedicate the relief to debt reduction rather than funding additional spending, and PG&amp;E makes no such commitment.</w:t>
      </w:r>
      <w:r w:rsidRPr="00A77C00">
        <w:rPr>
          <w:vertAlign w:val="superscript"/>
        </w:rPr>
        <w:footnoteReference w:id="82"/>
      </w:r>
    </w:p>
    <w:p w:rsidR="00DE39AA" w:rsidP="00A77C00" w:rsidRDefault="00A77C00" w14:paraId="79B9F395" w14:textId="4E4C1F67">
      <w:pPr>
        <w:pStyle w:val="Standard"/>
      </w:pPr>
      <w:r w:rsidRPr="00A77C00">
        <w:t>TURN</w:t>
      </w:r>
      <w:r w:rsidR="00F06E68">
        <w:t>’s</w:t>
      </w:r>
      <w:r w:rsidRPr="00A77C00">
        <w:t xml:space="preserve"> conclusion that “PG&amp;E has failed to present a convincing case that granting its motion will deliver any indirect benefits to customers in the form of reduced interest costs from an improved credit rating” </w:t>
      </w:r>
      <w:r w:rsidR="00DE39AA">
        <w:t>neglects to consider the negative impacts on customer</w:t>
      </w:r>
      <w:r w:rsidR="00271E7D">
        <w:t>s</w:t>
      </w:r>
      <w:r w:rsidR="00DE39AA">
        <w:t xml:space="preserve"> should PG&amp;E’s credit ratings decrease. Neither PG&amp;E nor its customers can afford a decrease in credit ratings. Interim relief is credit</w:t>
      </w:r>
      <w:r w:rsidR="00271E7D">
        <w:t>-</w:t>
      </w:r>
      <w:r w:rsidR="00DE39AA">
        <w:t>supportive, not necessarily enough on its own to raise credit ratings, but likely to shield against a downgrade.</w:t>
      </w:r>
      <w:r w:rsidRPr="00A77C00" w:rsidR="00DE39AA">
        <w:t xml:space="preserve"> </w:t>
      </w:r>
    </w:p>
    <w:p w:rsidR="00B0777A" w:rsidP="00A77C00" w:rsidRDefault="00A77C00" w14:paraId="427391D8" w14:textId="7DCE2B75">
      <w:pPr>
        <w:pStyle w:val="Standard"/>
      </w:pPr>
      <w:r w:rsidRPr="00A77C00">
        <w:t xml:space="preserve">PG&amp;E’s own statement in its December 2023 Annual Capital Structure Advice Letter </w:t>
      </w:r>
      <w:r w:rsidRPr="00A77C00" w:rsidR="00272095">
        <w:t>identifie</w:t>
      </w:r>
      <w:r w:rsidR="00272095">
        <w:t>s</w:t>
      </w:r>
      <w:r w:rsidRPr="00A77C00">
        <w:t xml:space="preserve"> Fitch’s one notch improvement in March 2023 as the only </w:t>
      </w:r>
      <w:r w:rsidR="00EE1E93">
        <w:t xml:space="preserve">credit rating </w:t>
      </w:r>
      <w:r w:rsidRPr="00A77C00">
        <w:t>change. Since 2020, PG&amp;E has received approval of its 2020 GRC</w:t>
      </w:r>
      <w:r w:rsidR="00EE1E93">
        <w:t>,</w:t>
      </w:r>
      <w:r w:rsidRPr="00A77C00">
        <w:t xml:space="preserve"> its 2023 GRC and two interim rate requests</w:t>
      </w:r>
      <w:r w:rsidR="00483AC0">
        <w:t>.</w:t>
      </w:r>
      <w:r w:rsidRPr="00A77C00">
        <w:rPr>
          <w:vertAlign w:val="superscript"/>
        </w:rPr>
        <w:footnoteReference w:id="83"/>
      </w:r>
      <w:r w:rsidRPr="00A77C00">
        <w:t xml:space="preserve"> Based on three years of PG&amp;E’s credit ratings, the most likely impact to PG&amp;E’s credit rating from granting interim cost </w:t>
      </w:r>
      <w:r w:rsidRPr="00A77C00">
        <w:lastRenderedPageBreak/>
        <w:t>recovery is no change. However, no change to credit ratings h</w:t>
      </w:r>
      <w:r w:rsidR="00483AC0">
        <w:t>olds</w:t>
      </w:r>
      <w:r w:rsidRPr="00A77C00">
        <w:t xml:space="preserve"> value for the utility and its customers. PG&amp;E estimates</w:t>
      </w:r>
      <w:r w:rsidR="005D7141">
        <w:t xml:space="preserve"> as follows:</w:t>
      </w:r>
      <w:r w:rsidRPr="00A77C00">
        <w:t xml:space="preserve"> </w:t>
      </w:r>
    </w:p>
    <w:p w:rsidR="00B0777A" w:rsidP="00D74A23" w:rsidRDefault="00A77C00" w14:paraId="71D84321" w14:textId="77777777">
      <w:pPr>
        <w:pStyle w:val="BlockQuote"/>
      </w:pPr>
      <w:r w:rsidRPr="00A77C00">
        <w:t>The difference in cost to customers of a credit rating that is at the bottom of the investment grade category (BBB-) is substantial – about 0.40 percent. Applied to PG&amp;E’s portion of estimated 2023 total rate base financed by debt, the additional annual cost to customers would be on the order of $100 million, or about $3 billion over 30 years if PG&amp;E’s bond ratings were to be downgraded.</w:t>
      </w:r>
      <w:r w:rsidRPr="00A77C00">
        <w:rPr>
          <w:vertAlign w:val="superscript"/>
        </w:rPr>
        <w:footnoteReference w:id="84"/>
      </w:r>
      <w:r w:rsidRPr="00A77C00">
        <w:t xml:space="preserve">  </w:t>
      </w:r>
    </w:p>
    <w:p w:rsidR="00B0777A" w:rsidP="00B0777A" w:rsidRDefault="00A77C00" w14:paraId="7D874A8E" w14:textId="77777777">
      <w:pPr>
        <w:pStyle w:val="Standard"/>
        <w:ind w:firstLine="0"/>
      </w:pPr>
      <w:r w:rsidRPr="00A77C00">
        <w:t>If, on the other hand, PG&amp;E were to receive a one-notch upgrade from BBB- to BBB, PG&amp;E estimates it “would decrease theoretical customer costs by about $25 million annually if the savings were applied to the portion of rate base financed by debt.”</w:t>
      </w:r>
      <w:r w:rsidRPr="00A77C00">
        <w:rPr>
          <w:vertAlign w:val="superscript"/>
        </w:rPr>
        <w:footnoteReference w:id="85"/>
      </w:r>
      <w:r w:rsidRPr="00A77C00">
        <w:t xml:space="preserve"> As identified by TURN,</w:t>
      </w:r>
      <w:r w:rsidRPr="00A77C00">
        <w:rPr>
          <w:vertAlign w:val="superscript"/>
        </w:rPr>
        <w:footnoteReference w:id="86"/>
      </w:r>
      <w:r w:rsidRPr="00A77C00">
        <w:t xml:space="preserve"> and acknowledged by PG&amp;E,</w:t>
      </w:r>
      <w:r w:rsidRPr="00A77C00">
        <w:rPr>
          <w:vertAlign w:val="superscript"/>
        </w:rPr>
        <w:footnoteReference w:id="87"/>
      </w:r>
      <w:r w:rsidRPr="00A77C00">
        <w:t xml:space="preserve"> the impact on PG&amp;E’s FFO/debt metric “depends on how those incremental cash flows are used…..PG&amp;E cannot forecast the exact impact of the interim rate relief on FFO-debt as the cash flow will be used for both incremental spending and reduction in debt, and the exact proportion is not known at this time.”</w:t>
      </w:r>
      <w:r w:rsidRPr="00A77C00">
        <w:rPr>
          <w:vertAlign w:val="superscript"/>
        </w:rPr>
        <w:footnoteReference w:id="88"/>
      </w:r>
      <w:r w:rsidRPr="00A77C00">
        <w:t xml:space="preserve"> </w:t>
      </w:r>
    </w:p>
    <w:p w:rsidR="00CB2394" w:rsidP="00B0777A" w:rsidRDefault="00A77C00" w14:paraId="57F21BD5" w14:textId="4D00050D">
      <w:pPr>
        <w:pStyle w:val="Standard"/>
      </w:pPr>
      <w:r w:rsidRPr="00A77C00">
        <w:t xml:space="preserve">While prospects of indirect cost savings from improvements in credit metrics have been estimated and presented by PG&amp;E, it is a leap to make a causal connection from incremental cash flows </w:t>
      </w:r>
      <w:r w:rsidR="00B0777A">
        <w:t>associated with interim relief</w:t>
      </w:r>
      <w:r w:rsidRPr="00A77C00">
        <w:t xml:space="preserve"> to cost savings from credit metric improvements.</w:t>
      </w:r>
      <w:r w:rsidR="008B2C75">
        <w:t xml:space="preserve"> </w:t>
      </w:r>
      <w:r w:rsidRPr="00A77C00">
        <w:t>With or without interim relief as requested here, PG&amp;E’s financial challenges continue to exist. Since the applicant</w:t>
      </w:r>
      <w:r w:rsidR="00540E19">
        <w:t>’s</w:t>
      </w:r>
      <w:r w:rsidRPr="00A77C00">
        <w:t xml:space="preserve"> and parties’ filings over the last six months, the Commission approved PG&amp;E’s 2023 GRC rates, and as a result</w:t>
      </w:r>
      <w:r w:rsidR="00151AF4">
        <w:t>,</w:t>
      </w:r>
      <w:r w:rsidRPr="00A77C00">
        <w:t xml:space="preserve"> incremental cash flows are </w:t>
      </w:r>
      <w:r w:rsidR="00AD2AFA">
        <w:lastRenderedPageBreak/>
        <w:t xml:space="preserve">now </w:t>
      </w:r>
      <w:r w:rsidRPr="00A77C00">
        <w:t xml:space="preserve">increasing. However, funding for operations and investments forecast for the 2023 GRC time period of 2023 – 2026 does not address </w:t>
      </w:r>
      <w:r w:rsidR="008B2C75">
        <w:t>revenues uncollected and spent for other purposes.</w:t>
      </w:r>
      <w:r w:rsidRPr="00A77C00">
        <w:t xml:space="preserve"> </w:t>
      </w:r>
    </w:p>
    <w:p w:rsidRPr="00A77C00" w:rsidR="00A77C00" w:rsidP="00B0777A" w:rsidRDefault="00A54889" w14:paraId="302078BB" w14:textId="47D99172">
      <w:pPr>
        <w:pStyle w:val="Standard"/>
      </w:pPr>
      <w:r>
        <w:t xml:space="preserve">PG&amp;E predicated its Motion on $5.7 billion </w:t>
      </w:r>
      <w:r w:rsidR="00EE1E93">
        <w:t xml:space="preserve">in </w:t>
      </w:r>
      <w:r>
        <w:t>unrecovered balances</w:t>
      </w:r>
      <w:r w:rsidR="008500D8">
        <w:t>, inclusive of revenue already authorized for recovery and not yet effective in rates</w:t>
      </w:r>
      <w:r>
        <w:t>.</w:t>
      </w:r>
      <w:r>
        <w:rPr>
          <w:rStyle w:val="FootnoteReference"/>
        </w:rPr>
        <w:footnoteReference w:id="89"/>
      </w:r>
      <w:r>
        <w:t xml:space="preserve"> In response to inquiries by TURN and the Commission, PG&amp;E clarified </w:t>
      </w:r>
      <w:r w:rsidR="00EE1E93">
        <w:t xml:space="preserve">that </w:t>
      </w:r>
      <w:r>
        <w:t>the total unrecovered balance not already authorized for recovery</w:t>
      </w:r>
      <w:r w:rsidR="009B47DC">
        <w:t xml:space="preserve"> </w:t>
      </w:r>
      <w:r w:rsidR="00FD43E4">
        <w:t>w</w:t>
      </w:r>
      <w:r>
        <w:t>as $2.7 billion as of June 30, 2023.</w:t>
      </w:r>
      <w:r>
        <w:rPr>
          <w:rStyle w:val="FootnoteReference"/>
        </w:rPr>
        <w:footnoteReference w:id="90"/>
      </w:r>
      <w:r>
        <w:t xml:space="preserve"> </w:t>
      </w:r>
      <w:r w:rsidR="00DE39AA">
        <w:t xml:space="preserve">In presenting </w:t>
      </w:r>
      <w:r>
        <w:t>amounts of</w:t>
      </w:r>
      <w:r w:rsidR="00DE39AA">
        <w:t xml:space="preserve"> undercollected revenues, PG&amp;E should be more transparent at the outset to assist with decision-making. </w:t>
      </w:r>
      <w:r w:rsidRPr="00A77C00" w:rsidR="00A77C00">
        <w:t>PG&amp;E explains</w:t>
      </w:r>
      <w:r w:rsidR="007D74AF">
        <w:t xml:space="preserve"> that</w:t>
      </w:r>
      <w:r w:rsidRPr="00A77C00" w:rsidR="00A77C00">
        <w:t xml:space="preserve"> its penchant for presenting revenues already authorized for collection by the Commission as “unrecovered” in its motions for interim cost recovery</w:t>
      </w:r>
      <w:r w:rsidR="001E5737">
        <w:t xml:space="preserve"> i</w:t>
      </w:r>
      <w:r w:rsidRPr="00A77C00" w:rsidR="00A77C00">
        <w:t>s consistent with its financial disclosure in its 10-Q reports and because “all unrecovered amounts constitute a financial burden until the amounts are recovered.”</w:t>
      </w:r>
      <w:r w:rsidRPr="00A77C00" w:rsidR="00A77C00">
        <w:rPr>
          <w:vertAlign w:val="superscript"/>
        </w:rPr>
        <w:footnoteReference w:id="91"/>
      </w:r>
      <w:r w:rsidRPr="00A77C00" w:rsidR="00A77C00">
        <w:t xml:space="preserve"> </w:t>
      </w:r>
      <w:r>
        <w:t>As PG&amp;E asserts</w:t>
      </w:r>
      <w:r w:rsidRPr="00A77C00" w:rsidR="00A77C00">
        <w:t xml:space="preserve"> regulatory risk</w:t>
      </w:r>
      <w:r>
        <w:t xml:space="preserve"> is a key concern,</w:t>
      </w:r>
      <w:r w:rsidRPr="00A77C00">
        <w:rPr>
          <w:vertAlign w:val="superscript"/>
        </w:rPr>
        <w:footnoteReference w:id="92"/>
      </w:r>
      <w:r w:rsidRPr="00A77C00" w:rsidR="00A77C00">
        <w:t xml:space="preserve"> revenues </w:t>
      </w:r>
      <w:r>
        <w:t>already determined reasonable and recoverable</w:t>
      </w:r>
      <w:r w:rsidRPr="00A77C00" w:rsidR="00A77C00">
        <w:t xml:space="preserve"> </w:t>
      </w:r>
      <w:r>
        <w:t xml:space="preserve">carry less risk than unreviewed balances. </w:t>
      </w:r>
      <w:r w:rsidR="004C4261">
        <w:t xml:space="preserve">Combining </w:t>
      </w:r>
      <w:r>
        <w:t xml:space="preserve">approved revenues </w:t>
      </w:r>
      <w:r w:rsidR="004C4261">
        <w:t xml:space="preserve">with unreviewed revenues </w:t>
      </w:r>
      <w:r w:rsidRPr="00A77C00" w:rsidR="00A77C00">
        <w:t>makes it</w:t>
      </w:r>
      <w:r w:rsidR="003E5F48">
        <w:t xml:space="preserve"> </w:t>
      </w:r>
      <w:r w:rsidRPr="00A77C00" w:rsidR="00A77C00">
        <w:t xml:space="preserve">difficult to isolate the </w:t>
      </w:r>
      <w:r w:rsidR="003C56FD">
        <w:t>need for and t</w:t>
      </w:r>
      <w:r>
        <w:t>he impacts of requested relief</w:t>
      </w:r>
      <w:r w:rsidRPr="00A77C00" w:rsidR="00A77C00">
        <w:t xml:space="preserve">. </w:t>
      </w:r>
    </w:p>
    <w:p w:rsidRPr="00A77C00" w:rsidR="00A77C00" w:rsidP="00A77C00" w:rsidRDefault="00A77C00" w14:paraId="68C474A0" w14:textId="02CA95AB">
      <w:pPr>
        <w:pStyle w:val="Standard"/>
      </w:pPr>
      <w:r w:rsidRPr="00A77C00">
        <w:t xml:space="preserve"> The amount of pending</w:t>
      </w:r>
      <w:r w:rsidR="003F60C7">
        <w:t xml:space="preserve"> revenue</w:t>
      </w:r>
      <w:r w:rsidRPr="00A77C00">
        <w:t xml:space="preserve"> is constantly in flux</w:t>
      </w:r>
      <w:r w:rsidR="003F60C7">
        <w:t xml:space="preserve"> and not decreasing</w:t>
      </w:r>
      <w:r w:rsidRPr="00A77C00">
        <w:t>. PG&amp;E shows this b</w:t>
      </w:r>
      <w:r w:rsidR="003F60C7">
        <w:t>y referencing both</w:t>
      </w:r>
      <w:r w:rsidRPr="00A77C00">
        <w:t xml:space="preserve"> the $2.7 billion unrecovered balance reported on June 30, 2023 </w:t>
      </w:r>
      <w:r w:rsidR="003F60C7">
        <w:t xml:space="preserve">and the total of $3.1 billion that takes into account </w:t>
      </w:r>
      <w:r w:rsidRPr="00A77C00">
        <w:t xml:space="preserve">the 2023 winter storms that </w:t>
      </w:r>
      <w:r w:rsidR="003F60C7">
        <w:t>are</w:t>
      </w:r>
      <w:r w:rsidRPr="00A77C00" w:rsidR="003F60C7">
        <w:t xml:space="preserve"> </w:t>
      </w:r>
      <w:r w:rsidRPr="00A77C00">
        <w:t xml:space="preserve">not reflected </w:t>
      </w:r>
      <w:r w:rsidR="003F60C7">
        <w:t xml:space="preserve">in the </w:t>
      </w:r>
      <w:r w:rsidRPr="00A77C00">
        <w:t>$</w:t>
      </w:r>
      <w:r w:rsidR="003F60C7">
        <w:t>2.7</w:t>
      </w:r>
      <w:r w:rsidRPr="00A77C00">
        <w:t xml:space="preserve"> billion</w:t>
      </w:r>
      <w:r w:rsidR="003F60C7">
        <w:t xml:space="preserve"> amount</w:t>
      </w:r>
      <w:r w:rsidRPr="00A77C00">
        <w:t>.</w:t>
      </w:r>
      <w:r w:rsidRPr="00A77C00">
        <w:rPr>
          <w:vertAlign w:val="superscript"/>
        </w:rPr>
        <w:footnoteReference w:id="93"/>
      </w:r>
      <w:r w:rsidRPr="00A77C00">
        <w:t xml:space="preserve"> PG&amp;E’s </w:t>
      </w:r>
      <w:r w:rsidRPr="00A77C00">
        <w:lastRenderedPageBreak/>
        <w:t>total revenue, both authorized and pending Commission review, linked to relevant Commission proceeding</w:t>
      </w:r>
      <w:r w:rsidR="00DE1936">
        <w:t>s</w:t>
      </w:r>
      <w:r w:rsidRPr="00A77C00">
        <w:t xml:space="preserve">, is found </w:t>
      </w:r>
      <w:r w:rsidR="00DE1936">
        <w:t xml:space="preserve">in </w:t>
      </w:r>
      <w:r w:rsidRPr="00A77C00">
        <w:t xml:space="preserve">its Energy Trackers </w:t>
      </w:r>
      <w:r w:rsidRPr="00A77C00" w:rsidR="00151AF4">
        <w:t xml:space="preserve">publicly </w:t>
      </w:r>
      <w:r w:rsidRPr="00A77C00">
        <w:t>filed quarterly in the docket of Rulemaking 18-07-006. The Commission requires this report because “</w:t>
      </w:r>
      <w:r w:rsidR="00F0169A">
        <w:t>[a]</w:t>
      </w:r>
      <w:r w:rsidRPr="00A77C00">
        <w:t>ccounting for the individual revenue requests approved recently and pending before the Commission in a transparent and comprehensive manner will enhance public understanding of rate changes,</w:t>
      </w:r>
      <w:r w:rsidR="009139D3">
        <w:t>”</w:t>
      </w:r>
      <w:r w:rsidRPr="00A77C00">
        <w:rPr>
          <w:vertAlign w:val="superscript"/>
        </w:rPr>
        <w:footnoteReference w:id="94"/>
      </w:r>
      <w:r w:rsidRPr="00A77C00">
        <w:t xml:space="preserve"> because it strengthens the Commission’s decision-making and furthers the intent of Pub</w:t>
      </w:r>
      <w:r w:rsidR="003E5F48">
        <w:t>.</w:t>
      </w:r>
      <w:r w:rsidRPr="00A77C00">
        <w:t xml:space="preserve"> Util</w:t>
      </w:r>
      <w:r w:rsidR="003E5F48">
        <w:t>.</w:t>
      </w:r>
      <w:r w:rsidRPr="00A77C00">
        <w:t xml:space="preserve"> Code Section 454.</w:t>
      </w:r>
      <w:r w:rsidRPr="00A77C00">
        <w:rPr>
          <w:vertAlign w:val="superscript"/>
        </w:rPr>
        <w:footnoteReference w:id="95"/>
      </w:r>
      <w:r w:rsidRPr="00A77C00">
        <w:t xml:space="preserve"> PG&amp;E’s Q3 2023 report presented in Attachment D to PG&amp;E’s Response to the </w:t>
      </w:r>
      <w:r w:rsidR="004C6586">
        <w:t>AC/</w:t>
      </w:r>
      <w:r w:rsidRPr="00A77C00">
        <w:t>ALJ Ruling show</w:t>
      </w:r>
      <w:r w:rsidR="002543C6">
        <w:t>s</w:t>
      </w:r>
      <w:r w:rsidRPr="00A77C00">
        <w:t xml:space="preserve"> $5.9 billion in just electric revenue undercollections. PG&amp;E’s Q4 2023 Energy Tracker shows $4.3 billion in </w:t>
      </w:r>
      <w:r w:rsidR="00566941">
        <w:t>that same category</w:t>
      </w:r>
      <w:r w:rsidRPr="00A77C00">
        <w:t xml:space="preserve">. </w:t>
      </w:r>
    </w:p>
    <w:p w:rsidRPr="00A77C00" w:rsidR="00A77C00" w:rsidP="00A77C00" w:rsidRDefault="00A77C00" w14:paraId="53BAFE08" w14:textId="615E036D">
      <w:pPr>
        <w:pStyle w:val="Standard"/>
      </w:pPr>
      <w:r w:rsidRPr="00A77C00">
        <w:t>While constantly changing, substantial undercollected balances have persisted in recent years</w:t>
      </w:r>
      <w:r w:rsidR="00604B91">
        <w:t>.</w:t>
      </w:r>
      <w:r w:rsidR="00604B91">
        <w:rPr>
          <w:rStyle w:val="FootnoteReference"/>
        </w:rPr>
        <w:footnoteReference w:id="96"/>
      </w:r>
      <w:r w:rsidR="00604B91">
        <w:t xml:space="preserve"> </w:t>
      </w:r>
      <w:r w:rsidRPr="00A77C00">
        <w:t>We agree with PG&amp;E that “</w:t>
      </w:r>
      <w:r w:rsidR="002A7FA2">
        <w:t>[i]</w:t>
      </w:r>
      <w:r w:rsidRPr="00A77C00">
        <w:t>n general, customers would be better served by cost recovery policies that minimize the balances in balancing and memorandum accounts so that customers do not have to pay additional interest on uncollected revenue requirements for these accounts.”</w:t>
      </w:r>
      <w:r w:rsidRPr="00A77C00">
        <w:rPr>
          <w:vertAlign w:val="superscript"/>
        </w:rPr>
        <w:footnoteReference w:id="97"/>
      </w:r>
      <w:r w:rsidRPr="00A77C00">
        <w:t xml:space="preserve"> </w:t>
      </w:r>
    </w:p>
    <w:p w:rsidRPr="00A77C00" w:rsidR="00A77C00" w:rsidP="007E19E8" w:rsidRDefault="00A77C00" w14:paraId="35445450" w14:textId="77777777">
      <w:pPr>
        <w:pStyle w:val="Heading2"/>
      </w:pPr>
      <w:bookmarkStart w:name="_Toc156823567" w:id="28"/>
      <w:bookmarkStart w:name="_Toc157549693" w:id="29"/>
      <w:r w:rsidRPr="00A77C00">
        <w:t>Rate Stability, Equity, and Customer Affordability</w:t>
      </w:r>
      <w:bookmarkEnd w:id="28"/>
      <w:bookmarkEnd w:id="29"/>
      <w:r w:rsidRPr="00A77C00">
        <w:t xml:space="preserve"> </w:t>
      </w:r>
    </w:p>
    <w:p w:rsidR="00DE39AA" w:rsidP="003A34C1" w:rsidRDefault="00DE39AA" w14:paraId="45E6090E" w14:textId="77777777">
      <w:pPr>
        <w:pStyle w:val="Standard"/>
      </w:pPr>
      <w:r w:rsidRPr="00CB6425">
        <w:t>Interim</w:t>
      </w:r>
      <w:r w:rsidRPr="00A77C00">
        <w:t xml:space="preserve"> cost recovery is also warranted because it will smooth rates and ensure that current customers pay current costs (the principle of intergenerational equity). While rate increases will make current bills less affordable</w:t>
      </w:r>
      <w:r>
        <w:t xml:space="preserve"> immediately</w:t>
      </w:r>
      <w:r w:rsidRPr="00A77C00">
        <w:t xml:space="preserve">, on balance interim rate relief is </w:t>
      </w:r>
      <w:r>
        <w:t xml:space="preserve">a </w:t>
      </w:r>
      <w:r w:rsidRPr="00A77C00">
        <w:t xml:space="preserve">reasonable </w:t>
      </w:r>
      <w:r>
        <w:t>strategy because it lowers costs overall and maintains fairness between customer groups.</w:t>
      </w:r>
      <w:r w:rsidRPr="00A77C00">
        <w:t xml:space="preserve"> </w:t>
      </w:r>
    </w:p>
    <w:p w:rsidRPr="00CE4839" w:rsidR="00A77C00" w:rsidP="00CE4839" w:rsidRDefault="00A77C00" w14:paraId="19633E48" w14:textId="268DE914">
      <w:pPr>
        <w:pStyle w:val="Standard"/>
      </w:pPr>
      <w:r w:rsidRPr="00CE4839">
        <w:lastRenderedPageBreak/>
        <w:t>The most disputed issue is whether interim cost recovery will cause rate shock or rate stability. It is axiomatic that collecting revenue over a longer time period “smooths” rates. PG&amp;E itself clarifies that the rate smoothing benefit it asserts is mostly due to the extended time period for collection.</w:t>
      </w:r>
      <w:r w:rsidR="00DE6D73">
        <w:rPr>
          <w:rStyle w:val="FootnoteReference"/>
        </w:rPr>
        <w:footnoteReference w:id="98"/>
      </w:r>
      <w:r w:rsidRPr="00CE4839">
        <w:t xml:space="preserve"> </w:t>
      </w:r>
      <w:r w:rsidRPr="00CE4839" w:rsidR="000812BD">
        <w:t>As shown by PG&amp;E and underscored by TURN, the same smoothing effect could be achieved absent interim relief if the Commission were to direct PG&amp;E to amortize the revenue collection over 26 months rather than one year.  Amortizing the collection of revenue over a longer time period is an option independent of interim rate relief.</w:t>
      </w:r>
    </w:p>
    <w:p w:rsidRPr="00A77C00" w:rsidR="00A77C00" w:rsidP="00A77C00" w:rsidRDefault="00A77C00" w14:paraId="0F5912FF" w14:textId="50B54D1B">
      <w:pPr>
        <w:pStyle w:val="Standard"/>
      </w:pPr>
      <w:r w:rsidRPr="00A77C00">
        <w:t>PG&amp;E estimates the Commission’s approval of interim relief in D.20-10-026 saved customers approximately $40 million in interest charges</w:t>
      </w:r>
      <w:r w:rsidR="00232E81">
        <w:t>,</w:t>
      </w:r>
      <w:r w:rsidRPr="00A77C00">
        <w:rPr>
          <w:vertAlign w:val="superscript"/>
        </w:rPr>
        <w:footnoteReference w:id="99"/>
      </w:r>
      <w:r w:rsidR="00232E81">
        <w:t xml:space="preserve"> stating:</w:t>
      </w:r>
      <w:r w:rsidRPr="00A77C00">
        <w:t xml:space="preserve"> </w:t>
      </w:r>
    </w:p>
    <w:p w:rsidRPr="00A77C00" w:rsidR="00A77C00" w:rsidP="00A35180" w:rsidRDefault="00A77C00" w14:paraId="673A7502" w14:textId="0BF9CA56">
      <w:pPr>
        <w:pStyle w:val="BlockQuote"/>
        <w:ind w:right="1440"/>
      </w:pPr>
      <w:r w:rsidRPr="00EB0326">
        <w:t xml:space="preserve">For example, had IRR </w:t>
      </w:r>
      <w:r w:rsidRPr="00EB0326" w:rsidR="002811D0">
        <w:t xml:space="preserve">[Interim Rate Relief] </w:t>
      </w:r>
      <w:r w:rsidRPr="00EB0326">
        <w:t>in the 2020 WMCE [Wildfire Mitigation Catastrophic Event] (opposed by TURN) not been granted for reasons of avoiding rate shock, there would have been a much larger rate increase and rate shock in 2023 when the Commission issued its final decision approving recovery of the remaining amounts.”</w:t>
      </w:r>
      <w:r w:rsidRPr="00EB0326">
        <w:rPr>
          <w:vertAlign w:val="superscript"/>
        </w:rPr>
        <w:footnoteReference w:id="100"/>
      </w:r>
      <w:r w:rsidRPr="00A77C00">
        <w:t xml:space="preserve"> </w:t>
      </w:r>
    </w:p>
    <w:p w:rsidRPr="00A77C00" w:rsidR="00A77C00" w:rsidP="00A77C00" w:rsidRDefault="00A77C00" w14:paraId="48A7CCA8" w14:textId="00AD9EA8">
      <w:pPr>
        <w:pStyle w:val="Standard"/>
      </w:pPr>
      <w:r w:rsidRPr="00A77C00">
        <w:t>Showing PG&amp;E’s total revenue collected over the last two years since January 1, 2022</w:t>
      </w:r>
      <w:r w:rsidR="00793897">
        <w:t>,</w:t>
      </w:r>
      <w:r w:rsidRPr="00A77C00">
        <w:t xml:space="preserve"> illustrates the rate smoothing effect of the interim relief granted by D.20-10-026. In the </w:t>
      </w:r>
      <w:r w:rsidR="00FD43E4">
        <w:t>graph</w:t>
      </w:r>
      <w:r w:rsidRPr="00A77C00">
        <w:t xml:space="preserve"> below, the solid line shows the actual revenue collected over the last two years, compared to the dotted line showing the revenue that would have been collected without the interim relief.</w:t>
      </w:r>
    </w:p>
    <w:p w:rsidR="00A603B3" w:rsidRDefault="00A603B3" w14:paraId="0E742911" w14:textId="77777777">
      <w:pPr>
        <w:spacing w:after="160" w:line="259" w:lineRule="auto"/>
        <w:ind w:firstLine="0"/>
        <w:rPr>
          <w:b/>
          <w:bCs/>
        </w:rPr>
      </w:pPr>
      <w:r>
        <w:rPr>
          <w:b/>
          <w:bCs/>
        </w:rPr>
        <w:br w:type="page"/>
      </w:r>
    </w:p>
    <w:p w:rsidR="00A603B3" w:rsidP="00D74A23" w:rsidRDefault="00FD43E4" w14:paraId="47F7F627" w14:textId="1FAC3726">
      <w:pPr>
        <w:pStyle w:val="Standard"/>
        <w:spacing w:line="240" w:lineRule="auto"/>
        <w:ind w:firstLine="0"/>
        <w:jc w:val="center"/>
        <w:rPr>
          <w:b/>
          <w:bCs/>
        </w:rPr>
      </w:pPr>
      <w:r>
        <w:rPr>
          <w:b/>
          <w:bCs/>
        </w:rPr>
        <w:lastRenderedPageBreak/>
        <w:t>Figure 1</w:t>
      </w:r>
    </w:p>
    <w:p w:rsidRPr="00A77C00" w:rsidR="00A77C00" w:rsidP="00D74A23" w:rsidRDefault="00A77C00" w14:paraId="68631754" w14:textId="655F8964">
      <w:pPr>
        <w:pStyle w:val="Standard"/>
        <w:spacing w:line="240" w:lineRule="auto"/>
        <w:ind w:firstLine="0"/>
        <w:jc w:val="center"/>
        <w:rPr>
          <w:b/>
          <w:bCs/>
        </w:rPr>
      </w:pPr>
      <w:r w:rsidRPr="00A77C00">
        <w:rPr>
          <w:b/>
          <w:bCs/>
        </w:rPr>
        <w:t>PG&amp;E Authorized Revenue Requirement 2022-2024 from Q4 2023 Report filed in R.18-07-006 on December 1, 2023</w:t>
      </w:r>
      <w:r w:rsidRPr="00A77C00">
        <w:rPr>
          <w:b/>
          <w:bCs/>
          <w:vertAlign w:val="superscript"/>
        </w:rPr>
        <w:footnoteReference w:id="101"/>
      </w:r>
    </w:p>
    <w:p w:rsidRPr="00A77C00" w:rsidR="00A77C00" w:rsidP="00A77C00" w:rsidRDefault="00A77C00" w14:paraId="3C82EA9A" w14:textId="77777777">
      <w:pPr>
        <w:pStyle w:val="Standard"/>
      </w:pPr>
      <w:r w:rsidRPr="00A77C00">
        <w:rPr>
          <w:noProof/>
        </w:rPr>
        <w:drawing>
          <wp:inline distT="0" distB="0" distL="0" distR="0" wp14:anchorId="00E6D48C" wp14:editId="32749DCE">
            <wp:extent cx="5943600" cy="3363595"/>
            <wp:effectExtent l="0" t="0" r="0" b="8255"/>
            <wp:docPr id="134347901" name="Chart 1">
              <a:extLst xmlns:a="http://schemas.openxmlformats.org/drawingml/2006/main">
                <a:ext uri="{FF2B5EF4-FFF2-40B4-BE49-F238E27FC236}">
                  <a16:creationId xmlns:a16="http://schemas.microsoft.com/office/drawing/2014/main" id="{D6A49402-286E-D221-5CFD-D95C637DA9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A77C00" w:rsidR="00A77C00" w:rsidP="00A77C00" w:rsidRDefault="001E2391" w14:paraId="093FE2BC" w14:textId="44F751C2">
      <w:pPr>
        <w:pStyle w:val="Standard"/>
      </w:pPr>
      <w:r>
        <w:rPr>
          <w:noProof/>
        </w:rPr>
        <w:lastRenderedPageBreak/>
        <w:drawing>
          <wp:inline distT="0" distB="0" distL="0" distR="0" wp14:anchorId="5F085F75" wp14:editId="58FDDCC4">
            <wp:extent cx="5943600" cy="3315335"/>
            <wp:effectExtent l="0" t="0" r="0" b="18415"/>
            <wp:docPr id="1913027574" name="Chart 1">
              <a:extLst xmlns:a="http://schemas.openxmlformats.org/drawingml/2006/main">
                <a:ext uri="{FF2B5EF4-FFF2-40B4-BE49-F238E27FC236}">
                  <a16:creationId xmlns:a16="http://schemas.microsoft.com/office/drawing/2014/main" id="{D6A49402-286E-D221-5CFD-D95C637DA9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77C00" w:rsidR="00A77C00">
        <w:t xml:space="preserve">The </w:t>
      </w:r>
      <w:r w:rsidR="009F6BAD">
        <w:t>graph</w:t>
      </w:r>
      <w:r w:rsidRPr="00A77C00" w:rsidR="00A77C00">
        <w:t xml:space="preserve"> above also displays PG&amp;E’s revenue increases over the past two years, corresponding to rate increases averaging 8 percent per year between 2020 – 2023.</w:t>
      </w:r>
      <w:r w:rsidRPr="00A77C00" w:rsidR="00A77C00">
        <w:rPr>
          <w:vertAlign w:val="superscript"/>
        </w:rPr>
        <w:footnoteReference w:id="102"/>
      </w:r>
      <w:r w:rsidRPr="00A77C00" w:rsidR="00A77C00">
        <w:t xml:space="preserve"> The pattern of increasing revenue also shows how fraught it would be to try and time a rate increase to a time when revenue collection is relatively low. </w:t>
      </w:r>
    </w:p>
    <w:p w:rsidRPr="00A77C00" w:rsidR="00A77C00" w:rsidP="00A77C00" w:rsidRDefault="00A77C00" w14:paraId="72E9F0EE" w14:textId="0E17C40E">
      <w:pPr>
        <w:pStyle w:val="Standard"/>
      </w:pPr>
      <w:r w:rsidRPr="00A77C00">
        <w:t xml:space="preserve">The principle of rate equity, also known as intergenerational equity, is prominent in Commission </w:t>
      </w:r>
      <w:r w:rsidR="000A7023">
        <w:t>decisions</w:t>
      </w:r>
      <w:r w:rsidRPr="00A77C00">
        <w:t xml:space="preserve"> and California law. </w:t>
      </w:r>
      <w:r w:rsidR="009D289B">
        <w:t>As asserted by PG&amp;E, “</w:t>
      </w:r>
      <w:r w:rsidRPr="00A77C00">
        <w:t>Interim rate relief facilitates an equitable balance between current and future customers  - where the former might otherwise benefit from improvements ultimately funded by the latter:</w:t>
      </w:r>
    </w:p>
    <w:p w:rsidRPr="00A77C00" w:rsidR="00A77C00" w:rsidP="00A35180" w:rsidRDefault="00A77C00" w14:paraId="13CCC1DD" w14:textId="06D3149C">
      <w:pPr>
        <w:pStyle w:val="BlockQuote"/>
        <w:ind w:right="1440"/>
      </w:pPr>
      <w:r w:rsidRPr="003A6F60">
        <w:t xml:space="preserve">The possibility that the current rates will “fall short of” the capital expenditures ultimately found reasonable can place no undue burden on the current ratepayers, but to the contrary may provide them with a windfall, shifting the burden to those future ratepayers who….will have to make up for the undercollection. Conversely, if current ratepayers are </w:t>
      </w:r>
      <w:r w:rsidRPr="003A6F60">
        <w:lastRenderedPageBreak/>
        <w:t>burdened because current charges for investment-related costs exceed those later found reasonable, the excess will be refunded, with interest, to future ratepayers. As commission counsel point out in their answer to TURN’s petition, the provision for interim rates….lessens both of these risks in accordance with the “key” principle “that costs borne by ratepayers should closely match benefits they receive.</w:t>
      </w:r>
      <w:r w:rsidRPr="003A6F60" w:rsidR="009D289B">
        <w:t>”</w:t>
      </w:r>
      <w:r w:rsidRPr="003A6F60">
        <w:rPr>
          <w:vertAlign w:val="superscript"/>
        </w:rPr>
        <w:footnoteReference w:id="103"/>
      </w:r>
    </w:p>
    <w:p w:rsidRPr="00A77C00" w:rsidR="00A77C00" w:rsidP="00A77C00" w:rsidRDefault="004043F8" w14:paraId="3136083D" w14:textId="669B2DA8">
      <w:pPr>
        <w:pStyle w:val="Standard"/>
      </w:pPr>
      <w:r>
        <w:t xml:space="preserve">The Commission anticipates two years to resolve this A.23-06-008 from the time PG&amp;E filed the application. </w:t>
      </w:r>
      <w:r w:rsidRPr="00A77C00" w:rsidR="00A77C00">
        <w:t>This decision finds it reason</w:t>
      </w:r>
      <w:r w:rsidR="00402F82">
        <w:t>able to</w:t>
      </w:r>
      <w:r w:rsidRPr="00A77C00" w:rsidR="00A77C00">
        <w:t xml:space="preserve"> commenc</w:t>
      </w:r>
      <w:r w:rsidR="00402F82">
        <w:t>e</w:t>
      </w:r>
      <w:r w:rsidRPr="00A77C00" w:rsidR="00A77C00">
        <w:t xml:space="preserve"> collections for a portion of the request</w:t>
      </w:r>
      <w:r w:rsidR="00A77C00">
        <w:t>ed</w:t>
      </w:r>
      <w:r w:rsidRPr="00A77C00" w:rsidR="00A77C00">
        <w:t xml:space="preserve"> amount sooner rather than later. Utility customers will be impacted by the longer timeframe before recovery due to the necessity of the longer procedural schedule. </w:t>
      </w:r>
      <w:r w:rsidR="00A77C00">
        <w:t>Granting interim cost recovery will preserve some</w:t>
      </w:r>
      <w:r w:rsidRPr="00A77C00" w:rsidR="00A77C00">
        <w:t xml:space="preserve"> intergeneration</w:t>
      </w:r>
      <w:r w:rsidR="00A77C00">
        <w:t>al</w:t>
      </w:r>
      <w:r w:rsidRPr="00A77C00" w:rsidR="00A77C00">
        <w:t xml:space="preserve"> rate equity </w:t>
      </w:r>
      <w:r w:rsidR="00A77C00">
        <w:t>in light of the necessarily longer procedural schedule</w:t>
      </w:r>
      <w:r w:rsidRPr="00A77C00" w:rsidR="00A77C00">
        <w:t>.</w:t>
      </w:r>
      <w:r w:rsidR="007C35B8">
        <w:tab/>
      </w:r>
    </w:p>
    <w:p w:rsidR="00C66209" w:rsidP="00D74A23" w:rsidRDefault="007C35B8" w14:paraId="7AB7EDB4" w14:textId="76B4E668">
      <w:pPr>
        <w:pStyle w:val="Standard"/>
      </w:pPr>
      <w:r>
        <w:rPr>
          <w:rStyle w:val="normaltextrun"/>
          <w:rFonts w:cs="Segoe UI"/>
          <w:szCs w:val="26"/>
        </w:rPr>
        <w:t xml:space="preserve">Granting interim cost recovery now is consistent with the legislative mandate to accelerate recovery for costs incurred to reduce the risk of catastrophic wildfire. </w:t>
      </w:r>
      <w:r w:rsidR="00F415F3">
        <w:rPr>
          <w:rStyle w:val="normaltextrun"/>
          <w:rFonts w:cs="Segoe UI"/>
          <w:szCs w:val="26"/>
        </w:rPr>
        <w:t xml:space="preserve">Pub. Util. Code </w:t>
      </w:r>
      <w:r>
        <w:t>Section 8386.4(a) authorizes PG&amp;E to pursue recovery of wildfire mitigation costs</w:t>
      </w:r>
      <w:r w:rsidR="00F415F3">
        <w:t>,</w:t>
      </w:r>
      <w:r>
        <w:t xml:space="preserve"> and </w:t>
      </w:r>
      <w:r w:rsidR="00F415F3">
        <w:t xml:space="preserve">Pub. Util. Code </w:t>
      </w:r>
      <w:r>
        <w:t>Section 8386.4(b)(2) generally instructs the Commission to consider wildfire mitigation cost recovery within 12 months.</w:t>
      </w:r>
      <w:r>
        <w:rPr>
          <w:rStyle w:val="FootnoteReference"/>
        </w:rPr>
        <w:footnoteReference w:id="104"/>
      </w:r>
      <w:r>
        <w:t xml:space="preserve">  </w:t>
      </w:r>
    </w:p>
    <w:p w:rsidR="00A77C00" w:rsidP="00D74A23" w:rsidRDefault="00A77C00" w14:paraId="2F1EF495" w14:textId="190711AA">
      <w:pPr>
        <w:pStyle w:val="Standard"/>
        <w:rPr>
          <w:rStyle w:val="normaltextrun"/>
          <w:rFonts w:cs="Segoe UI"/>
          <w:szCs w:val="26"/>
        </w:rPr>
      </w:pPr>
      <w:r>
        <w:rPr>
          <w:rStyle w:val="normaltextrun"/>
          <w:rFonts w:cs="Segoe UI"/>
          <w:szCs w:val="26"/>
        </w:rPr>
        <w:t xml:space="preserve">Of all the factors under consideration, TURN would give the most weight to affordability, and, to the extent possible, avoiding </w:t>
      </w:r>
      <w:r w:rsidR="00BD73DE">
        <w:rPr>
          <w:rStyle w:val="normaltextrun"/>
          <w:rFonts w:cs="Segoe UI"/>
          <w:szCs w:val="26"/>
        </w:rPr>
        <w:t>layering</w:t>
      </w:r>
      <w:r>
        <w:rPr>
          <w:rStyle w:val="normaltextrun"/>
          <w:rFonts w:cs="Segoe UI"/>
          <w:szCs w:val="26"/>
        </w:rPr>
        <w:t xml:space="preserve"> rate increases. TURN recommends denying interim relief, commencing cost recovery of revenues authorized at the conclusion of this proceeding, and amortizing collections over 26 months.</w:t>
      </w:r>
      <w:r>
        <w:rPr>
          <w:rStyle w:val="FootnoteReference"/>
          <w:rFonts w:cs="Segoe UI"/>
          <w:szCs w:val="26"/>
        </w:rPr>
        <w:footnoteReference w:id="105"/>
      </w:r>
    </w:p>
    <w:p w:rsidRPr="00A77C00" w:rsidR="00A77C00" w:rsidP="00D74A23" w:rsidRDefault="00A77C00" w14:paraId="1116B6F0" w14:textId="6720D21E">
      <w:pPr>
        <w:pStyle w:val="Standard"/>
        <w:ind w:firstLine="360"/>
      </w:pPr>
      <w:r>
        <w:rPr>
          <w:rStyle w:val="normaltextrun"/>
          <w:rFonts w:cs="Segoe UI"/>
          <w:szCs w:val="26"/>
        </w:rPr>
        <w:lastRenderedPageBreak/>
        <w:t>Commencing cost recovery now, and at a lesser amount than requested by PG&amp;E, will capture the benefit of the longer amortization period, adhere to the principles of intergenerational equity and likely reduce the total amount of revenue collection and impact on customers, if carefully calibrated.</w:t>
      </w:r>
    </w:p>
    <w:p w:rsidR="007602CF" w:rsidP="007602CF" w:rsidRDefault="00A7249F" w14:paraId="6D311EB8" w14:textId="3F3D5C1B">
      <w:pPr>
        <w:pStyle w:val="Heading2"/>
      </w:pPr>
      <w:bookmarkStart w:name="_Toc157549694" w:id="30"/>
      <w:r>
        <w:t xml:space="preserve">Seventy-five Percent of PG&amp;E’s Revenue Request Is </w:t>
      </w:r>
      <w:r w:rsidR="00981DF7">
        <w:t>t</w:t>
      </w:r>
      <w:r w:rsidR="003238F8">
        <w:t xml:space="preserve">he </w:t>
      </w:r>
      <w:r w:rsidR="00021DC0">
        <w:t>Appropriate</w:t>
      </w:r>
      <w:r w:rsidR="007602CF">
        <w:t xml:space="preserve"> </w:t>
      </w:r>
      <w:r w:rsidR="003238F8">
        <w:t>Amount of</w:t>
      </w:r>
      <w:r>
        <w:t xml:space="preserve"> </w:t>
      </w:r>
      <w:r w:rsidR="007602CF">
        <w:t>Interim Cost Recovery</w:t>
      </w:r>
      <w:bookmarkEnd w:id="30"/>
      <w:r w:rsidR="007602CF">
        <w:t xml:space="preserve"> </w:t>
      </w:r>
    </w:p>
    <w:p w:rsidRPr="00021DC0" w:rsidR="00021DC0" w:rsidP="00021DC0" w:rsidRDefault="00981DF7" w14:paraId="399E5E03" w14:textId="2D336EBF">
      <w:pPr>
        <w:pStyle w:val="Standard"/>
      </w:pPr>
      <w:r>
        <w:t>After careful consideration of the factors set forth above, we</w:t>
      </w:r>
      <w:r w:rsidR="007602CF">
        <w:t xml:space="preserve"> </w:t>
      </w:r>
      <w:r w:rsidR="00F4417C">
        <w:t>determine</w:t>
      </w:r>
      <w:r>
        <w:t xml:space="preserve"> that the interim</w:t>
      </w:r>
      <w:r w:rsidR="00F4417C">
        <w:t xml:space="preserve"> </w:t>
      </w:r>
      <w:r w:rsidR="00BD4FC3">
        <w:t xml:space="preserve">collection of </w:t>
      </w:r>
      <w:r w:rsidRPr="00021DC0" w:rsidR="00021DC0">
        <w:t xml:space="preserve">75 percent of the total requested $688 </w:t>
      </w:r>
      <w:r>
        <w:t xml:space="preserve">million </w:t>
      </w:r>
      <w:r w:rsidRPr="00021DC0" w:rsidR="00021DC0">
        <w:t>revenue requirement strikes the correct balance between public, utility, and ratepayer interests. PG&amp;E</w:t>
      </w:r>
      <w:r w:rsidR="00B042AE">
        <w:t xml:space="preserve">’s </w:t>
      </w:r>
      <w:r w:rsidRPr="00021DC0" w:rsidR="00021DC0">
        <w:t>stat</w:t>
      </w:r>
      <w:r w:rsidR="00B042AE">
        <w:t>ement that</w:t>
      </w:r>
      <w:r w:rsidRPr="00021DC0" w:rsidR="00021DC0">
        <w:t xml:space="preserve"> “in its previous WMPMA and FRMMA cost recovery application, the Commission approved more than 80 percent of PG&amp;E’s request”</w:t>
      </w:r>
      <w:r w:rsidRPr="00021DC0" w:rsidR="00021DC0">
        <w:rPr>
          <w:vertAlign w:val="superscript"/>
        </w:rPr>
        <w:footnoteReference w:id="106"/>
      </w:r>
      <w:r w:rsidR="00C04A20">
        <w:t xml:space="preserve"> is an acknowledgement that final cost recovery in this proceeding of at least 85 percent of PG&amp;E’s requested revenue requirement, the percentage sought in the Motion, is not a certainty.</w:t>
      </w:r>
      <w:r w:rsidRPr="00021DC0" w:rsidR="00021DC0">
        <w:t xml:space="preserve"> Furthermore, no matter how justified on a total cost basis, </w:t>
      </w:r>
      <w:r w:rsidR="002278DB">
        <w:t>we remain concerned that this</w:t>
      </w:r>
      <w:r w:rsidRPr="00021DC0" w:rsidR="00021DC0">
        <w:t xml:space="preserve"> grant of interim relief, combined with the recent rate increase from PG&amp;E’s 2023 GRC, </w:t>
      </w:r>
      <w:r w:rsidR="002278DB">
        <w:t xml:space="preserve">may be </w:t>
      </w:r>
      <w:r w:rsidR="008F6583">
        <w:t>difficult</w:t>
      </w:r>
      <w:r w:rsidR="002920FB">
        <w:t xml:space="preserve"> for many customers earning minimum wage and </w:t>
      </w:r>
      <w:r w:rsidR="002278DB">
        <w:t xml:space="preserve">those </w:t>
      </w:r>
      <w:r w:rsidR="002920FB">
        <w:t>earning approximately at the 20</w:t>
      </w:r>
      <w:r w:rsidRPr="00D74A23" w:rsidR="002920FB">
        <w:rPr>
          <w:vertAlign w:val="superscript"/>
        </w:rPr>
        <w:t>th</w:t>
      </w:r>
      <w:r w:rsidR="002920FB">
        <w:t xml:space="preserve"> percentile for their area. For example, t</w:t>
      </w:r>
      <w:r w:rsidRPr="00021DC0" w:rsidR="00021DC0">
        <w:t>h</w:t>
      </w:r>
      <w:r w:rsidR="002920FB">
        <w:t>e combination of this</w:t>
      </w:r>
      <w:r w:rsidRPr="00021DC0" w:rsidR="00021DC0">
        <w:t xml:space="preserve"> rate increase</w:t>
      </w:r>
      <w:r w:rsidR="002920FB">
        <w:t xml:space="preserve"> layered with the 2023 GRC rate increase</w:t>
      </w:r>
      <w:r w:rsidRPr="00021DC0" w:rsidR="00021DC0">
        <w:t xml:space="preserve"> will dwarf the San Francisco Bay Area inflation rate of 2.9 percent</w:t>
      </w:r>
      <w:r w:rsidR="008075B9">
        <w:t xml:space="preserve"> for the 12 months ending </w:t>
      </w:r>
      <w:r w:rsidR="00D21085">
        <w:t>June</w:t>
      </w:r>
      <w:r w:rsidR="008075B9">
        <w:t xml:space="preserve"> 2023</w:t>
      </w:r>
      <w:r w:rsidRPr="00021DC0" w:rsidR="00021DC0">
        <w:t>.</w:t>
      </w:r>
      <w:r w:rsidR="008075B9">
        <w:rPr>
          <w:rStyle w:val="FootnoteReference"/>
        </w:rPr>
        <w:footnoteReference w:id="107"/>
      </w:r>
      <w:r w:rsidRPr="00021DC0" w:rsidR="00021DC0">
        <w:t xml:space="preserve"> It is reasonable</w:t>
      </w:r>
      <w:r w:rsidR="00713BB4">
        <w:t xml:space="preserve"> and appropriate</w:t>
      </w:r>
      <w:r w:rsidRPr="00021DC0" w:rsidR="00021DC0">
        <w:t xml:space="preserve"> to</w:t>
      </w:r>
      <w:r w:rsidR="00713BB4">
        <w:t xml:space="preserve"> decrease</w:t>
      </w:r>
      <w:r w:rsidRPr="00021DC0" w:rsidR="00021DC0">
        <w:t xml:space="preserve"> the amount of relief granted </w:t>
      </w:r>
      <w:r w:rsidRPr="00021DC0" w:rsidR="00021DC0">
        <w:lastRenderedPageBreak/>
        <w:t xml:space="preserve">to 75 percent </w:t>
      </w:r>
      <w:r w:rsidR="00BA27CF">
        <w:t xml:space="preserve">of PG&amp;E’s requested revenue requirement </w:t>
      </w:r>
      <w:r w:rsidRPr="00021DC0" w:rsidR="00021DC0">
        <w:t xml:space="preserve">to </w:t>
      </w:r>
      <w:r w:rsidR="00713BB4">
        <w:t xml:space="preserve">mitigate the effects on particular </w:t>
      </w:r>
      <w:r w:rsidRPr="00021DC0" w:rsidR="00021DC0">
        <w:t xml:space="preserve">customer </w:t>
      </w:r>
      <w:r w:rsidR="00713BB4">
        <w:t>groups who will struggle to afford the</w:t>
      </w:r>
      <w:r w:rsidRPr="00021DC0" w:rsidR="00021DC0">
        <w:t xml:space="preserve"> rate increases, no matter the</w:t>
      </w:r>
      <w:r w:rsidR="00713BB4">
        <w:t xml:space="preserve"> benefits to ratepayers in the</w:t>
      </w:r>
      <w:r w:rsidRPr="00021DC0" w:rsidR="00021DC0">
        <w:t xml:space="preserve"> aggregate.</w:t>
      </w:r>
    </w:p>
    <w:p w:rsidR="00603238" w:rsidP="00CA16EB" w:rsidRDefault="00603238" w14:paraId="6BD9A203" w14:textId="5546AFBC">
      <w:pPr>
        <w:pStyle w:val="Heading1"/>
        <w:numPr>
          <w:ilvl w:val="0"/>
          <w:numId w:val="1"/>
        </w:numPr>
      </w:pPr>
      <w:bookmarkStart w:name="_Toc157549695" w:id="31"/>
      <w:r>
        <w:t>Summary of Public Comment</w:t>
      </w:r>
      <w:bookmarkEnd w:id="25"/>
      <w:bookmarkEnd w:id="31"/>
    </w:p>
    <w:p w:rsidRPr="00DC7273" w:rsidR="00603238" w:rsidP="0090395D" w:rsidRDefault="00603238" w14:paraId="2311AFD4" w14:textId="7E9F1B31">
      <w:pPr>
        <w:pStyle w:val="Standard"/>
        <w:rPr>
          <w:rFonts w:ascii="Calibri" w:hAnsi="Calibri"/>
          <w:sz w:val="22"/>
        </w:rPr>
      </w:pPr>
      <w:r w:rsidRPr="00DC7273">
        <w:t>Rule</w:t>
      </w:r>
      <w:r w:rsidR="00F0641E">
        <w:t> </w:t>
      </w:r>
      <w:r w:rsidRPr="00DC7273">
        <w:t>1.18 allows any member of the public to submit written comment in any Commission proceeding using the “Public Comment” tab of the online Docket Card for that proceeding on the Commission’s website.  Rule</w:t>
      </w:r>
      <w:r w:rsidR="00F0641E">
        <w:t> </w:t>
      </w:r>
      <w:r w:rsidRPr="00DC7273">
        <w:t>1.18(b) requires that relevant written comment submitted in a proceeding be summarized in the final decision issued in that proceeding.</w:t>
      </w:r>
    </w:p>
    <w:p w:rsidRPr="00603238" w:rsidR="00603238" w:rsidP="0090395D" w:rsidRDefault="00DC7273" w14:paraId="7893154E" w14:textId="45E73EC3">
      <w:pPr>
        <w:pStyle w:val="Standard"/>
      </w:pPr>
      <w:r>
        <w:t xml:space="preserve">At the time of issuance of this decision, </w:t>
      </w:r>
      <w:r w:rsidR="00185CD4">
        <w:t>35</w:t>
      </w:r>
      <w:r w:rsidRPr="007E6591" w:rsidR="007E6591">
        <w:t xml:space="preserve"> public comments were written on the docket card in this proceeding uniformly opposing PG&amp;E’s request to increase rates. The commenters</w:t>
      </w:r>
      <w:r w:rsidR="000C1887">
        <w:t>, who</w:t>
      </w:r>
      <w:r w:rsidRPr="007E6591" w:rsidR="007E6591">
        <w:t xml:space="preserve"> represent nearly 30 cities throughout PG&amp;E’s service territory</w:t>
      </w:r>
      <w:r w:rsidR="000C1887">
        <w:t xml:space="preserve">, </w:t>
      </w:r>
      <w:r w:rsidRPr="007E6591" w:rsidR="007E6591">
        <w:t>assert th</w:t>
      </w:r>
      <w:r w:rsidR="000C1887">
        <w:t>at</w:t>
      </w:r>
      <w:r w:rsidRPr="007E6591" w:rsidR="007E6591">
        <w:t xml:space="preserve"> compounding rate increases are unaffordable and unfair, and that PG&amp;E inadequately maintains its infrastructure</w:t>
      </w:r>
      <w:r>
        <w:t xml:space="preserve">. </w:t>
      </w:r>
    </w:p>
    <w:p w:rsidR="00FA1B4F" w:rsidP="00CA16EB" w:rsidRDefault="005939A5" w14:paraId="3DA54181" w14:textId="77777777">
      <w:pPr>
        <w:pStyle w:val="Heading1"/>
        <w:numPr>
          <w:ilvl w:val="0"/>
          <w:numId w:val="1"/>
        </w:numPr>
      </w:pPr>
      <w:bookmarkStart w:name="_Toc119415993" w:id="32"/>
      <w:bookmarkStart w:name="_Toc157549696" w:id="33"/>
      <w:r>
        <w:t>Conclusion</w:t>
      </w:r>
      <w:bookmarkEnd w:id="26"/>
      <w:bookmarkEnd w:id="32"/>
      <w:bookmarkEnd w:id="33"/>
    </w:p>
    <w:p w:rsidRPr="00343E5C" w:rsidR="00343E5C" w:rsidP="0090395D" w:rsidRDefault="007E6591" w14:paraId="07CEC88F" w14:textId="7B9B679C">
      <w:pPr>
        <w:pStyle w:val="Standard"/>
      </w:pPr>
      <w:r w:rsidRPr="007E6591">
        <w:t>Today’s approval of interim cost recovery does not disturb our bedrock ratemaking principle</w:t>
      </w:r>
      <w:r w:rsidR="000C1887">
        <w:t>s</w:t>
      </w:r>
      <w:r w:rsidRPr="007E6591">
        <w:t xml:space="preserve"> expressed in Pub</w:t>
      </w:r>
      <w:r w:rsidR="00BB04CD">
        <w:t>.</w:t>
      </w:r>
      <w:r w:rsidRPr="007E6591">
        <w:t xml:space="preserve"> Util</w:t>
      </w:r>
      <w:r w:rsidR="00BB04CD">
        <w:t>.</w:t>
      </w:r>
      <w:r w:rsidRPr="007E6591">
        <w:t xml:space="preserve"> Code Section</w:t>
      </w:r>
      <w:r w:rsidR="007A60BB">
        <w:t>s</w:t>
      </w:r>
      <w:r w:rsidRPr="007E6591">
        <w:t xml:space="preserve"> 451</w:t>
      </w:r>
      <w:r w:rsidR="007A60BB">
        <w:t xml:space="preserve"> and 454</w:t>
      </w:r>
      <w:r w:rsidRPr="007E6591">
        <w:t xml:space="preserve"> to raise rates after the costs are determined reasonable by this Commission</w:t>
      </w:r>
      <w:r w:rsidR="005D69C3">
        <w:t>,</w:t>
      </w:r>
      <w:r w:rsidRPr="007E6591">
        <w:t xml:space="preserve"> </w:t>
      </w:r>
      <w:r w:rsidR="0079621F">
        <w:t>that all utility charges must be just and reasonable</w:t>
      </w:r>
      <w:r w:rsidR="00D21085">
        <w:t>,</w:t>
      </w:r>
      <w:r w:rsidR="0079621F">
        <w:t xml:space="preserve"> and that the utility must justify any rate change. Further, the interim cost recovery approved in this decision is subject to refund with interest in a final decision in this proceeding after we have had the opportunity to conduct a full review of the reasonableness of PG&amp;E’s costs. </w:t>
      </w:r>
      <w:r w:rsidRPr="007E6591">
        <w:t xml:space="preserve">We reduce the amount requested by PG&amp;E to 75 percent of its </w:t>
      </w:r>
      <w:r w:rsidR="00CA525D">
        <w:t>$688 million revenue request</w:t>
      </w:r>
      <w:r w:rsidRPr="007E6591">
        <w:t xml:space="preserve"> in order to balance capturing costs savings</w:t>
      </w:r>
      <w:r w:rsidR="00E15B96">
        <w:t>,</w:t>
      </w:r>
      <w:r w:rsidRPr="007E6591">
        <w:t xml:space="preserve"> and the potential for </w:t>
      </w:r>
      <w:r w:rsidRPr="007E6591">
        <w:lastRenderedPageBreak/>
        <w:t>cost savings</w:t>
      </w:r>
      <w:r w:rsidR="00E15B96">
        <w:t>, likely to accrue to the utility and customers as a whole,</w:t>
      </w:r>
      <w:r w:rsidRPr="007E6591">
        <w:t xml:space="preserve"> with the needs of customers facing affordability challenges.</w:t>
      </w:r>
      <w:r w:rsidR="008F6583">
        <w:t xml:space="preserve"> </w:t>
      </w:r>
    </w:p>
    <w:p w:rsidR="005939A5" w:rsidP="00CA16EB" w:rsidRDefault="005939A5" w14:paraId="22F0CF7F" w14:textId="77777777">
      <w:pPr>
        <w:pStyle w:val="Heading1"/>
        <w:numPr>
          <w:ilvl w:val="0"/>
          <w:numId w:val="1"/>
        </w:numPr>
      </w:pPr>
      <w:bookmarkStart w:name="_Toc8123723" w:id="34"/>
      <w:bookmarkStart w:name="_Toc119415994" w:id="35"/>
      <w:bookmarkStart w:name="_Toc157549697" w:id="36"/>
      <w:r>
        <w:t>Comments on Proposed Decision</w:t>
      </w:r>
      <w:bookmarkEnd w:id="34"/>
      <w:bookmarkEnd w:id="35"/>
      <w:bookmarkEnd w:id="36"/>
    </w:p>
    <w:p w:rsidR="005939A5" w:rsidP="0090395D" w:rsidRDefault="005C58FA" w14:paraId="5732AD99" w14:textId="34692CB2">
      <w:pPr>
        <w:pStyle w:val="Standard"/>
      </w:pPr>
      <w:r w:rsidRPr="00C83F59">
        <w:t xml:space="preserve">The proposed decision of ALJ </w:t>
      </w:r>
      <w:r w:rsidRPr="00C83F59" w:rsidR="002A2E16">
        <w:t>Camille</w:t>
      </w:r>
      <w:r w:rsidR="002A2E16">
        <w:t xml:space="preserve"> Watts-Zagha</w:t>
      </w:r>
      <w:r>
        <w:t xml:space="preserve"> in this matter was mailed to the parties in accordance with Section 311 of the Public Utilities Code and comments were allowed under Rule 14.3 of the Commission’s Rules of Practice and Procedure.  Comments were filed on </w:t>
      </w:r>
      <w:r w:rsidR="00575305">
        <w:t>February 20, 2024 by TURN and on February 21, 2024 by PG&amp;E and jointly by the Energy Producer</w:t>
      </w:r>
      <w:r w:rsidR="009E050D">
        <w:t>s</w:t>
      </w:r>
      <w:r w:rsidR="00575305">
        <w:t xml:space="preserve"> and Users Coalition/Indicated Shippers</w:t>
      </w:r>
      <w:r>
        <w:t xml:space="preserve">, and reply comments were filed on </w:t>
      </w:r>
      <w:r w:rsidR="00575305">
        <w:t>February 26, 2024</w:t>
      </w:r>
      <w:r>
        <w:t xml:space="preserve"> by </w:t>
      </w:r>
      <w:r w:rsidR="00575305">
        <w:t>PG&amp;E</w:t>
      </w:r>
      <w:r>
        <w:t>.</w:t>
      </w:r>
      <w:r w:rsidRPr="00C878D5" w:rsidR="00C878D5">
        <w:t xml:space="preserve"> </w:t>
      </w:r>
    </w:p>
    <w:p w:rsidR="001425E4" w:rsidP="0090395D" w:rsidRDefault="001425E4" w14:paraId="29877E00" w14:textId="060533F8">
      <w:pPr>
        <w:pStyle w:val="Standard"/>
      </w:pPr>
      <w:r>
        <w:t>Changes in response to comments are incorporated in the decision.</w:t>
      </w:r>
    </w:p>
    <w:p w:rsidR="005939A5" w:rsidP="00CA16EB" w:rsidRDefault="005939A5" w14:paraId="4E3AB327" w14:textId="77777777">
      <w:pPr>
        <w:pStyle w:val="Heading1"/>
        <w:numPr>
          <w:ilvl w:val="0"/>
          <w:numId w:val="1"/>
        </w:numPr>
      </w:pPr>
      <w:bookmarkStart w:name="_Toc8123724" w:id="37"/>
      <w:bookmarkStart w:name="_Toc119415995" w:id="38"/>
      <w:bookmarkStart w:name="_Toc157549698" w:id="39"/>
      <w:r>
        <w:t>Assignment of Proceeding</w:t>
      </w:r>
      <w:bookmarkEnd w:id="37"/>
      <w:bookmarkEnd w:id="38"/>
      <w:bookmarkEnd w:id="39"/>
    </w:p>
    <w:p w:rsidR="005939A5" w:rsidP="0090395D" w:rsidRDefault="003410C6" w14:paraId="3CF7C093" w14:textId="2B973E0E">
      <w:pPr>
        <w:pStyle w:val="Standard"/>
      </w:pPr>
      <w:r>
        <w:t>John Reynolds</w:t>
      </w:r>
      <w:r w:rsidR="005939A5">
        <w:t xml:space="preserve"> is the assigned Commissioner and </w:t>
      </w:r>
      <w:r>
        <w:t>Camille Watts-Zagha</w:t>
      </w:r>
      <w:r w:rsidR="005939A5">
        <w:t xml:space="preserve"> is the assigned Administrative Law Judge in this proceeding.</w:t>
      </w:r>
    </w:p>
    <w:p w:rsidR="005939A5" w:rsidP="005939A5" w:rsidRDefault="005939A5" w14:paraId="07A3A657" w14:textId="77777777">
      <w:pPr>
        <w:pStyle w:val="Dummy"/>
      </w:pPr>
      <w:bookmarkStart w:name="_Toc8123725" w:id="40"/>
      <w:bookmarkStart w:name="_Toc119415996" w:id="41"/>
      <w:bookmarkStart w:name="_Toc157549699" w:id="42"/>
      <w:r>
        <w:t>Findings of Fact</w:t>
      </w:r>
      <w:bookmarkEnd w:id="40"/>
      <w:bookmarkEnd w:id="41"/>
      <w:bookmarkEnd w:id="42"/>
    </w:p>
    <w:p w:rsidR="00B63368" w:rsidP="00B63368" w:rsidRDefault="00B63368" w14:paraId="6243B447" w14:textId="0C79B74A">
      <w:pPr>
        <w:pStyle w:val="FoF"/>
      </w:pPr>
      <w:r>
        <w:t xml:space="preserve">PG&amp;E’s Motion requests authorization to recover, on an interim basis, </w:t>
      </w:r>
      <w:r w:rsidR="007E6591">
        <w:t xml:space="preserve">85 percent of </w:t>
      </w:r>
      <w:r>
        <w:t>$688 million in revenue over a 12- month period commencing in November 2023.</w:t>
      </w:r>
    </w:p>
    <w:p w:rsidRPr="001E2A62" w:rsidR="00B63368" w:rsidP="00B63368" w:rsidRDefault="00B63368" w14:paraId="5A67E3E1" w14:textId="1123BD78">
      <w:pPr>
        <w:pStyle w:val="FoF"/>
      </w:pPr>
      <w:r>
        <w:t xml:space="preserve">TURN opposes PG&amp;E’s Motion because it will exacerbate rate increases </w:t>
      </w:r>
      <w:r w:rsidR="007E6591">
        <w:t xml:space="preserve">recently implemented through </w:t>
      </w:r>
      <w:r>
        <w:t>PG&amp;E’s 2023 GRC.</w:t>
      </w:r>
    </w:p>
    <w:p w:rsidRPr="001E2A62" w:rsidR="00B63368" w:rsidP="00B63368" w:rsidRDefault="00E95F59" w14:paraId="5E9E11A4" w14:textId="66B499B4">
      <w:pPr>
        <w:pStyle w:val="FoF"/>
      </w:pPr>
      <w:r>
        <w:t>PG&amp;E estimates direct interest savings of</w:t>
      </w:r>
      <w:r w:rsidR="00B63368">
        <w:t xml:space="preserve"> $</w:t>
      </w:r>
      <w:r>
        <w:t>25</w:t>
      </w:r>
      <w:r w:rsidR="00B63368">
        <w:t xml:space="preserve"> million </w:t>
      </w:r>
      <w:r>
        <w:t xml:space="preserve">had </w:t>
      </w:r>
      <w:r w:rsidR="00B63368">
        <w:t xml:space="preserve">PG&amp;E’s request for interim rate recovery </w:t>
      </w:r>
      <w:r>
        <w:t>been</w:t>
      </w:r>
      <w:r w:rsidR="00B63368">
        <w:t xml:space="preserve"> granted as proposed.</w:t>
      </w:r>
    </w:p>
    <w:p w:rsidR="00B63368" w:rsidP="00B63368" w:rsidRDefault="00B63368" w14:paraId="7117B7C9" w14:textId="52D38D09">
      <w:pPr>
        <w:pStyle w:val="FoF"/>
        <w:rPr>
          <w:noProof/>
        </w:rPr>
      </w:pPr>
      <w:r>
        <w:rPr>
          <w:noProof/>
        </w:rPr>
        <w:t xml:space="preserve">PG&amp;E’s credit </w:t>
      </w:r>
      <w:r w:rsidRPr="007E6591" w:rsidR="007E6591">
        <w:rPr>
          <w:noProof/>
        </w:rPr>
        <w:t xml:space="preserve">ratings have </w:t>
      </w:r>
      <w:r w:rsidR="0079621F">
        <w:rPr>
          <w:noProof/>
        </w:rPr>
        <w:t>improved nominally since 2020 and remain below investment grade overall</w:t>
      </w:r>
      <w:r>
        <w:rPr>
          <w:noProof/>
        </w:rPr>
        <w:t>.</w:t>
      </w:r>
    </w:p>
    <w:p w:rsidR="00B63368" w:rsidP="00B63368" w:rsidRDefault="00B63368" w14:paraId="35F299D9" w14:textId="18D66D76">
      <w:pPr>
        <w:pStyle w:val="FoF"/>
        <w:ind w:firstLine="540"/>
      </w:pPr>
      <w:r w:rsidRPr="00C87773">
        <w:t xml:space="preserve">The </w:t>
      </w:r>
      <w:r>
        <w:t xml:space="preserve">Commission requires energy utilities to itemize revenue changes by proceeding </w:t>
      </w:r>
      <w:r w:rsidR="0079621F">
        <w:t xml:space="preserve">quarterly </w:t>
      </w:r>
      <w:r>
        <w:t xml:space="preserve">and to estimate </w:t>
      </w:r>
      <w:r w:rsidRPr="00C87773">
        <w:t xml:space="preserve">residential rate and bill impacts </w:t>
      </w:r>
      <w:r>
        <w:t>to</w:t>
      </w:r>
      <w:r w:rsidRPr="00C87773">
        <w:t xml:space="preserve"> facilitate </w:t>
      </w:r>
      <w:r w:rsidR="0079621F">
        <w:lastRenderedPageBreak/>
        <w:t xml:space="preserve">the Commission’s </w:t>
      </w:r>
      <w:r w:rsidRPr="00C87773">
        <w:t xml:space="preserve">tracking of costs, rates, and bill impacts </w:t>
      </w:r>
      <w:r w:rsidR="0079621F">
        <w:t xml:space="preserve">and </w:t>
      </w:r>
      <w:r>
        <w:t>to</w:t>
      </w:r>
      <w:r w:rsidRPr="00C87773">
        <w:t xml:space="preserve"> strengthen the Commission’s decision</w:t>
      </w:r>
      <w:r>
        <w:noBreakHyphen/>
      </w:r>
      <w:r w:rsidRPr="00C87773">
        <w:t>making abilities.</w:t>
      </w:r>
    </w:p>
    <w:p w:rsidRPr="00A77C00" w:rsidR="00AF14A8" w:rsidP="003A34C1" w:rsidRDefault="00AF14A8" w14:paraId="151FD027" w14:textId="406862FD">
      <w:pPr>
        <w:pStyle w:val="FoF"/>
      </w:pPr>
      <w:r>
        <w:t xml:space="preserve">Including revenue already authorized for collection by the Commission as part of unrecovered balances </w:t>
      </w:r>
      <w:r w:rsidRPr="00A77C00">
        <w:t>makes it</w:t>
      </w:r>
      <w:r>
        <w:t xml:space="preserve"> </w:t>
      </w:r>
      <w:r w:rsidRPr="00A77C00">
        <w:t xml:space="preserve">difficult to isolate the </w:t>
      </w:r>
      <w:r>
        <w:t xml:space="preserve">need for, and the </w:t>
      </w:r>
      <w:r w:rsidRPr="00A77C00">
        <w:t xml:space="preserve">impacts of </w:t>
      </w:r>
      <w:r>
        <w:t>interim rate relief</w:t>
      </w:r>
      <w:r w:rsidRPr="00A77C00">
        <w:t xml:space="preserve"> request</w:t>
      </w:r>
      <w:r>
        <w:t>s</w:t>
      </w:r>
      <w:r w:rsidRPr="00A77C00">
        <w:t xml:space="preserve">. </w:t>
      </w:r>
    </w:p>
    <w:p w:rsidR="00AF14A8" w:rsidP="00B63368" w:rsidRDefault="007E6591" w14:paraId="17953712" w14:textId="0E2B46E1">
      <w:pPr>
        <w:pStyle w:val="FoF"/>
        <w:ind w:firstLine="540"/>
      </w:pPr>
      <w:r w:rsidRPr="007E6591">
        <w:t>Commencing cost recovery as soon as practicable after the issuance of this decision will potentially smooth rates by amortizing revenue collection over a longer period of time.</w:t>
      </w:r>
    </w:p>
    <w:p w:rsidRPr="001E2A62" w:rsidR="00591762" w:rsidP="00591762" w:rsidRDefault="00591762" w14:paraId="1E595F29" w14:textId="4B2CC402">
      <w:pPr>
        <w:pStyle w:val="FoF"/>
      </w:pPr>
      <w:r>
        <w:t>N</w:t>
      </w:r>
      <w:r w:rsidRPr="00C60AE2">
        <w:t xml:space="preserve">othing in this grant of interim rate relief prejudges whether the costs in the relevant accounts are just and reasonable.  </w:t>
      </w:r>
    </w:p>
    <w:p w:rsidR="005939A5" w:rsidP="005939A5" w:rsidRDefault="005939A5" w14:paraId="0C441969" w14:textId="77777777">
      <w:pPr>
        <w:pStyle w:val="Dummy"/>
      </w:pPr>
      <w:bookmarkStart w:name="_Toc8123726" w:id="43"/>
      <w:bookmarkStart w:name="_Toc119415997" w:id="44"/>
      <w:bookmarkStart w:name="_Toc157549700" w:id="45"/>
      <w:r>
        <w:t>Conclusions of Law</w:t>
      </w:r>
      <w:bookmarkEnd w:id="43"/>
      <w:bookmarkEnd w:id="44"/>
      <w:bookmarkEnd w:id="45"/>
    </w:p>
    <w:p w:rsidR="00D35E6E" w:rsidP="00D35E6E" w:rsidRDefault="00D35E6E" w14:paraId="70623E29" w14:textId="77777777">
      <w:pPr>
        <w:pStyle w:val="standard0"/>
        <w:numPr>
          <w:ilvl w:val="0"/>
          <w:numId w:val="21"/>
        </w:numPr>
        <w:ind w:left="0" w:firstLine="360"/>
        <w:rPr>
          <w:kern w:val="28"/>
        </w:rPr>
      </w:pPr>
      <w:bookmarkStart w:name="_Toc119415998" w:id="46"/>
      <w:r w:rsidRPr="003F5872">
        <w:rPr>
          <w:kern w:val="28"/>
        </w:rPr>
        <w:t>The Commission has the authority to set interim rates.</w:t>
      </w:r>
    </w:p>
    <w:p w:rsidR="00C81C48" w:rsidP="00C81C48" w:rsidRDefault="00D35E6E" w14:paraId="18415F7E" w14:textId="77777777">
      <w:pPr>
        <w:pStyle w:val="standard0"/>
        <w:numPr>
          <w:ilvl w:val="0"/>
          <w:numId w:val="21"/>
        </w:numPr>
        <w:ind w:left="0" w:firstLine="360"/>
        <w:rPr>
          <w:kern w:val="28"/>
        </w:rPr>
      </w:pPr>
      <w:r w:rsidRPr="003F5872">
        <w:rPr>
          <w:kern w:val="28"/>
        </w:rPr>
        <w:t xml:space="preserve">In </w:t>
      </w:r>
      <w:r w:rsidRPr="00745656">
        <w:rPr>
          <w:i/>
          <w:kern w:val="28"/>
        </w:rPr>
        <w:t>TURN v. PUC</w:t>
      </w:r>
      <w:r w:rsidRPr="003F5872">
        <w:rPr>
          <w:kern w:val="28"/>
        </w:rPr>
        <w:t>, the California Supreme Court held that the Commission could set interim rates as long as the rate is subject to refund and sufficiently justified.</w:t>
      </w:r>
    </w:p>
    <w:p w:rsidRPr="004C7359" w:rsidR="007E6591" w:rsidP="007E6591" w:rsidRDefault="008629BA" w14:paraId="2B77776F" w14:textId="5B65A229">
      <w:pPr>
        <w:pStyle w:val="standard0"/>
        <w:numPr>
          <w:ilvl w:val="0"/>
          <w:numId w:val="21"/>
        </w:numPr>
        <w:ind w:left="0" w:firstLine="360"/>
        <w:rPr>
          <w:kern w:val="28"/>
        </w:rPr>
      </w:pPr>
      <w:r>
        <w:t xml:space="preserve">Pub. Util. Code </w:t>
      </w:r>
      <w:r w:rsidR="007E6591">
        <w:t xml:space="preserve">Section 8386.4(b)(2) generally instructs the Commission to consider </w:t>
      </w:r>
      <w:r w:rsidR="00835184">
        <w:t xml:space="preserve">and resolve </w:t>
      </w:r>
      <w:r w:rsidR="007E6591">
        <w:t xml:space="preserve">wildfire mitigation cost recovery within 12 months </w:t>
      </w:r>
      <w:r w:rsidR="00835184">
        <w:t>of the filing of an application.</w:t>
      </w:r>
    </w:p>
    <w:p w:rsidR="00027C4E" w:rsidP="00242B54" w:rsidRDefault="00027C4E" w14:paraId="237DEF32" w14:textId="20413608">
      <w:pPr>
        <w:pStyle w:val="standard0"/>
        <w:numPr>
          <w:ilvl w:val="0"/>
          <w:numId w:val="21"/>
        </w:numPr>
        <w:ind w:left="0" w:firstLine="360"/>
        <w:rPr>
          <w:kern w:val="28"/>
        </w:rPr>
      </w:pPr>
      <w:r>
        <w:rPr>
          <w:kern w:val="28"/>
        </w:rPr>
        <w:t>The totality of circumstances justifies granting interim cost recovery prior to a determination on whether the costs are reasonable.</w:t>
      </w:r>
    </w:p>
    <w:p w:rsidR="00242B54" w:rsidP="00242B54" w:rsidRDefault="00260C6C" w14:paraId="08BE79C0" w14:textId="12415BBE">
      <w:pPr>
        <w:pStyle w:val="standard0"/>
        <w:numPr>
          <w:ilvl w:val="0"/>
          <w:numId w:val="21"/>
        </w:numPr>
        <w:ind w:left="0" w:firstLine="360"/>
        <w:rPr>
          <w:kern w:val="28"/>
        </w:rPr>
      </w:pPr>
      <w:r>
        <w:rPr>
          <w:kern w:val="28"/>
        </w:rPr>
        <w:t>It is reasonable for the Commission to authorize</w:t>
      </w:r>
      <w:r w:rsidRPr="00745656">
        <w:rPr>
          <w:kern w:val="28"/>
        </w:rPr>
        <w:t xml:space="preserve"> </w:t>
      </w:r>
      <w:r w:rsidRPr="00745656" w:rsidR="00D35E6E">
        <w:rPr>
          <w:kern w:val="28"/>
        </w:rPr>
        <w:t>PG&amp;E to</w:t>
      </w:r>
      <w:r w:rsidR="00C53735">
        <w:rPr>
          <w:kern w:val="28"/>
        </w:rPr>
        <w:t xml:space="preserve"> recover, on an interim basis,</w:t>
      </w:r>
      <w:r w:rsidRPr="00745656" w:rsidR="00D35E6E">
        <w:rPr>
          <w:kern w:val="28"/>
        </w:rPr>
        <w:t xml:space="preserve"> </w:t>
      </w:r>
      <w:r w:rsidR="00B63368">
        <w:rPr>
          <w:kern w:val="28"/>
        </w:rPr>
        <w:t xml:space="preserve">75 percent of </w:t>
      </w:r>
      <w:r>
        <w:rPr>
          <w:kern w:val="28"/>
        </w:rPr>
        <w:t>PG&amp;E’s requested revenue requirement of</w:t>
      </w:r>
      <w:r w:rsidR="00B63368">
        <w:rPr>
          <w:kern w:val="28"/>
        </w:rPr>
        <w:t xml:space="preserve"> $688 million</w:t>
      </w:r>
      <w:r w:rsidR="008629BA">
        <w:rPr>
          <w:kern w:val="28"/>
        </w:rPr>
        <w:t>.</w:t>
      </w:r>
    </w:p>
    <w:p w:rsidRPr="00591762" w:rsidR="00242B54" w:rsidP="00242B54" w:rsidRDefault="00242B54" w14:paraId="70B5BF06" w14:textId="740CAAA6">
      <w:pPr>
        <w:pStyle w:val="standard0"/>
        <w:numPr>
          <w:ilvl w:val="0"/>
          <w:numId w:val="21"/>
        </w:numPr>
        <w:ind w:left="0" w:firstLine="360"/>
        <w:rPr>
          <w:kern w:val="28"/>
        </w:rPr>
      </w:pPr>
      <w:r>
        <w:t>The underlying operation</w:t>
      </w:r>
      <w:r w:rsidR="00027C4E">
        <w:t xml:space="preserve"> and maintenance</w:t>
      </w:r>
      <w:r w:rsidR="00DD1E3A">
        <w:t xml:space="preserve"> expenses</w:t>
      </w:r>
      <w:r w:rsidR="00027C4E">
        <w:t>,</w:t>
      </w:r>
      <w:r>
        <w:t xml:space="preserve"> and capital expenditures for the accounts</w:t>
      </w:r>
      <w:r w:rsidR="00DD1E3A">
        <w:t xml:space="preserve"> at issue in this proceeding</w:t>
      </w:r>
      <w:r w:rsidR="00F147E5">
        <w:t>, whether or not</w:t>
      </w:r>
      <w:r w:rsidR="0084784D">
        <w:t xml:space="preserve"> </w:t>
      </w:r>
      <w:r w:rsidR="0084784D">
        <w:lastRenderedPageBreak/>
        <w:t>authorized for interim rate recovery by this decision,</w:t>
      </w:r>
      <w:r>
        <w:t xml:space="preserve"> will be reviewed for reasonableness in </w:t>
      </w:r>
      <w:r w:rsidR="00591762">
        <w:t>this</w:t>
      </w:r>
      <w:r w:rsidR="00D91ED4">
        <w:t xml:space="preserve"> proceeding</w:t>
      </w:r>
      <w:r>
        <w:t>.</w:t>
      </w:r>
    </w:p>
    <w:p w:rsidRPr="00591762" w:rsidR="00591762" w:rsidP="00242B54" w:rsidRDefault="00E027D3" w14:paraId="2FF46F08" w14:textId="3A36335B">
      <w:pPr>
        <w:pStyle w:val="standard0"/>
        <w:numPr>
          <w:ilvl w:val="0"/>
          <w:numId w:val="21"/>
        </w:numPr>
        <w:ind w:left="0" w:firstLine="360"/>
        <w:rPr>
          <w:kern w:val="28"/>
        </w:rPr>
      </w:pPr>
      <w:r>
        <w:t xml:space="preserve">The amount authorized for interim rate recovery by this decision </w:t>
      </w:r>
      <w:r w:rsidR="001E3443">
        <w:t>is</w:t>
      </w:r>
      <w:r w:rsidR="00FC645F">
        <w:t xml:space="preserve"> subject to refund, with interest, </w:t>
      </w:r>
      <w:r w:rsidR="00D07924">
        <w:t xml:space="preserve">depending </w:t>
      </w:r>
      <w:r w:rsidR="00D262A5">
        <w:t>on the</w:t>
      </w:r>
      <w:r w:rsidR="00A73F45">
        <w:t xml:space="preserve"> </w:t>
      </w:r>
      <w:r w:rsidR="009374F8">
        <w:t xml:space="preserve">final </w:t>
      </w:r>
      <w:r w:rsidR="00A73F45">
        <w:t xml:space="preserve">resolution </w:t>
      </w:r>
      <w:r w:rsidR="0038412D">
        <w:t>of all outstanding issues in this proceedi</w:t>
      </w:r>
      <w:r w:rsidR="001E3443">
        <w:t>ng</w:t>
      </w:r>
      <w:r w:rsidRPr="00C60AE2" w:rsidR="00591762">
        <w:t>.</w:t>
      </w:r>
    </w:p>
    <w:p w:rsidRPr="00242B54" w:rsidR="00591762" w:rsidP="00242B54" w:rsidRDefault="00591762" w14:paraId="0D123728" w14:textId="5F13D0CE">
      <w:pPr>
        <w:pStyle w:val="standard0"/>
        <w:numPr>
          <w:ilvl w:val="0"/>
          <w:numId w:val="21"/>
        </w:numPr>
        <w:ind w:left="0" w:firstLine="360"/>
        <w:rPr>
          <w:kern w:val="28"/>
        </w:rPr>
      </w:pPr>
      <w:r>
        <w:t>This proceeding should remain open.</w:t>
      </w:r>
    </w:p>
    <w:p w:rsidR="00BB0243" w:rsidP="0090395D" w:rsidRDefault="005939A5" w14:paraId="747304D8" w14:textId="77777777">
      <w:pPr>
        <w:pStyle w:val="Mainex"/>
        <w:spacing w:before="120"/>
      </w:pPr>
      <w:bookmarkStart w:name="_Toc157549701" w:id="47"/>
      <w:r>
        <w:t>O</w:t>
      </w:r>
      <w:r w:rsidR="00722850">
        <w:t>RDER</w:t>
      </w:r>
      <w:bookmarkEnd w:id="46"/>
      <w:bookmarkEnd w:id="47"/>
    </w:p>
    <w:p w:rsidR="00BB0243" w:rsidP="000A6E05" w:rsidRDefault="00BB0243" w14:paraId="7B8DD777" w14:textId="77777777">
      <w:pPr>
        <w:keepNext/>
      </w:pPr>
      <w:r w:rsidRPr="00BB0243">
        <w:rPr>
          <w:b/>
        </w:rPr>
        <w:t>IT IS ORDERED</w:t>
      </w:r>
      <w:r>
        <w:t xml:space="preserve"> that:</w:t>
      </w:r>
    </w:p>
    <w:p w:rsidR="00693ACA" w:rsidP="00FC144E" w:rsidRDefault="00693ACA" w14:paraId="3E9A793D" w14:textId="41E487C0">
      <w:pPr>
        <w:pStyle w:val="OP"/>
      </w:pPr>
      <w:r>
        <w:t xml:space="preserve">Pacific Gas and Electric Company (PG&amp;E) is authorized to recover, on an interim rate basis, no more than </w:t>
      </w:r>
      <w:r w:rsidR="00E84033">
        <w:t xml:space="preserve">seventy-five percent of </w:t>
      </w:r>
      <w:r w:rsidR="00B63368">
        <w:t>$</w:t>
      </w:r>
      <w:r w:rsidR="00E84033">
        <w:t>688</w:t>
      </w:r>
      <w:r w:rsidR="00B63368">
        <w:t xml:space="preserve"> million</w:t>
      </w:r>
      <w:r>
        <w:t xml:space="preserve"> in revenue</w:t>
      </w:r>
      <w:r w:rsidR="00D23175">
        <w:t xml:space="preserve"> requirement</w:t>
      </w:r>
      <w:r>
        <w:t xml:space="preserve"> </w:t>
      </w:r>
      <w:r w:rsidR="00D23175">
        <w:t>associated with</w:t>
      </w:r>
      <w:r>
        <w:t xml:space="preserve"> its recorded costs</w:t>
      </w:r>
      <w:r w:rsidR="00FF6247">
        <w:t xml:space="preserve"> in the </w:t>
      </w:r>
      <w:r w:rsidR="00FC144E">
        <w:t>Wildfire Mitigation Plan</w:t>
      </w:r>
      <w:r w:rsidRPr="00C54431" w:rsidR="00FC144E">
        <w:t xml:space="preserve"> Memorandum Account</w:t>
      </w:r>
      <w:r w:rsidR="00FC144E">
        <w:t xml:space="preserve">, Fire Risk Mitigation Memorandum Account, </w:t>
      </w:r>
      <w:r w:rsidRPr="00C54431" w:rsidR="00FC144E">
        <w:t>In Line Inspection Memorandum Account</w:t>
      </w:r>
      <w:r w:rsidR="00FC144E">
        <w:t xml:space="preserve">, </w:t>
      </w:r>
      <w:r w:rsidRPr="00C54431" w:rsidR="00FC144E">
        <w:t>Internal Corrosion Direct Assessment Memorandum Account</w:t>
      </w:r>
      <w:r w:rsidR="00FC144E">
        <w:t xml:space="preserve">, </w:t>
      </w:r>
      <w:r w:rsidRPr="00C54431" w:rsidR="00FC144E">
        <w:t>Gas Statutes, Regulations, &amp; Rules Memorandum Account</w:t>
      </w:r>
      <w:r w:rsidR="00FC144E">
        <w:t xml:space="preserve">, </w:t>
      </w:r>
      <w:r w:rsidRPr="00C54431" w:rsidR="00FC144E">
        <w:t>Transmission Integrity Management Program Memorandum Account</w:t>
      </w:r>
      <w:r w:rsidR="00FC144E">
        <w:t xml:space="preserve">, </w:t>
      </w:r>
      <w:r w:rsidRPr="00C54431" w:rsidR="00FC144E">
        <w:t>Measurement &amp; Control Station Over Pressure Protection Memorandum Account</w:t>
      </w:r>
      <w:r w:rsidR="00FC144E">
        <w:t xml:space="preserve">, </w:t>
      </w:r>
      <w:r w:rsidRPr="00C54431" w:rsidR="00FC144E">
        <w:t>Critical Documents Program Memorandum Account</w:t>
      </w:r>
      <w:r w:rsidR="00FC144E">
        <w:t xml:space="preserve">, </w:t>
      </w:r>
      <w:r w:rsidRPr="00C54431" w:rsidR="00FC144E">
        <w:t>Gas Storage Balancing Account</w:t>
      </w:r>
      <w:r w:rsidR="00FC144E">
        <w:t xml:space="preserve">, </w:t>
      </w:r>
      <w:r w:rsidR="00F942B2">
        <w:t>L</w:t>
      </w:r>
      <w:r w:rsidRPr="00C54431" w:rsidR="00FC144E">
        <w:t>ine 407 Memorandum Account</w:t>
      </w:r>
      <w:r w:rsidR="00FC144E">
        <w:t xml:space="preserve">, </w:t>
      </w:r>
      <w:r w:rsidRPr="00C54431" w:rsidR="00FC144E">
        <w:t>Dairy Biomethane Pilots Memorandum Account</w:t>
      </w:r>
      <w:r w:rsidR="00F942B2">
        <w:t xml:space="preserve">, </w:t>
      </w:r>
      <w:r w:rsidRPr="00C54431" w:rsidR="00F942B2">
        <w:t>Distribution Resources Plan Tools Memorandum Account</w:t>
      </w:r>
      <w:r w:rsidR="00F942B2">
        <w:t>,</w:t>
      </w:r>
      <w:r w:rsidRPr="00C54431" w:rsidR="00FC144E">
        <w:t xml:space="preserve"> </w:t>
      </w:r>
      <w:r w:rsidRPr="00C54431" w:rsidR="00F942B2">
        <w:rPr>
          <w:color w:val="000000" w:themeColor="text1"/>
        </w:rPr>
        <w:t>Avoided Cost Calculator Uptake Memorandum Account</w:t>
      </w:r>
      <w:r w:rsidR="00F942B2">
        <w:t xml:space="preserve">, </w:t>
      </w:r>
      <w:r w:rsidRPr="00C54431" w:rsidR="00F942B2">
        <w:rPr>
          <w:color w:val="000000" w:themeColor="text1"/>
        </w:rPr>
        <w:t>Distributed Energy Resources Distribution Deferral Account</w:t>
      </w:r>
      <w:r w:rsidR="00F942B2">
        <w:rPr>
          <w:color w:val="000000" w:themeColor="text1"/>
        </w:rPr>
        <w:t xml:space="preserve">, and the </w:t>
      </w:r>
      <w:r w:rsidRPr="00B17826" w:rsidR="00F942B2">
        <w:rPr>
          <w:color w:val="000000" w:themeColor="text1"/>
        </w:rPr>
        <w:t>A</w:t>
      </w:r>
      <w:r w:rsidR="00F942B2">
        <w:rPr>
          <w:color w:val="000000" w:themeColor="text1"/>
        </w:rPr>
        <w:t xml:space="preserve">ssembly </w:t>
      </w:r>
      <w:r w:rsidRPr="00B17826" w:rsidR="00F942B2">
        <w:rPr>
          <w:color w:val="000000" w:themeColor="text1"/>
        </w:rPr>
        <w:t>B</w:t>
      </w:r>
      <w:r w:rsidR="00F942B2">
        <w:rPr>
          <w:color w:val="000000" w:themeColor="text1"/>
        </w:rPr>
        <w:t xml:space="preserve">ill </w:t>
      </w:r>
      <w:r w:rsidRPr="00B17826" w:rsidR="00F942B2">
        <w:rPr>
          <w:color w:val="000000" w:themeColor="text1"/>
        </w:rPr>
        <w:t xml:space="preserve">841 Transportation Electrification Memorandum Account </w:t>
      </w:r>
      <w:r>
        <w:t xml:space="preserve">over a </w:t>
      </w:r>
      <w:r w:rsidR="007004B2">
        <w:t xml:space="preserve">period of at least </w:t>
      </w:r>
      <w:r>
        <w:t>12</w:t>
      </w:r>
      <w:r>
        <w:noBreakHyphen/>
        <w:t>month</w:t>
      </w:r>
      <w:r w:rsidR="007004B2">
        <w:t>s</w:t>
      </w:r>
      <w:r>
        <w:t xml:space="preserve"> </w:t>
      </w:r>
      <w:r w:rsidR="00DD1E3A">
        <w:t xml:space="preserve">beginning as soon as it is practicable for PG&amp;E to implement recovery. </w:t>
      </w:r>
    </w:p>
    <w:p w:rsidR="00693ACA" w:rsidP="00693ACA" w:rsidRDefault="00693ACA" w14:paraId="39F036F6" w14:textId="67D0BC25">
      <w:pPr>
        <w:pStyle w:val="OP"/>
      </w:pPr>
      <w:r>
        <w:t xml:space="preserve">Pacific Gas and Electric Company </w:t>
      </w:r>
      <w:r w:rsidR="00AC7A0E">
        <w:t xml:space="preserve">(PG&amp;E) </w:t>
      </w:r>
      <w:r>
        <w:t xml:space="preserve">shall </w:t>
      </w:r>
      <w:r w:rsidR="00DD1E3A">
        <w:t xml:space="preserve">promptly </w:t>
      </w:r>
      <w:r>
        <w:t xml:space="preserve">refund, with interest, any </w:t>
      </w:r>
      <w:r w:rsidR="00DD1E3A">
        <w:t xml:space="preserve">amount authorized for recovery by PG&amp;E pursuant to this decision </w:t>
      </w:r>
      <w:r w:rsidR="00DD1E3A">
        <w:lastRenderedPageBreak/>
        <w:t>that exceeds the amount authorized for cost recovery by PG&amp;E in a final decision in this proceeding</w:t>
      </w:r>
      <w:r>
        <w:t>.</w:t>
      </w:r>
    </w:p>
    <w:p w:rsidR="00693ACA" w:rsidP="00693ACA" w:rsidRDefault="00693ACA" w14:paraId="2DF09BF9" w14:textId="34ECEC03">
      <w:pPr>
        <w:pStyle w:val="OP"/>
      </w:pPr>
      <w:r>
        <w:t>In any future request for reasonableness review and/or recovery of the costs in the accounts listed in Ordering Paragraph 1, P</w:t>
      </w:r>
      <w:r w:rsidR="0090395D">
        <w:t xml:space="preserve">acific </w:t>
      </w:r>
      <w:r>
        <w:t>G</w:t>
      </w:r>
      <w:r w:rsidR="0090395D">
        <w:t xml:space="preserve">as and </w:t>
      </w:r>
      <w:r>
        <w:t>E</w:t>
      </w:r>
      <w:r w:rsidR="0090395D">
        <w:t>lectric Company</w:t>
      </w:r>
      <w:r>
        <w:t xml:space="preserve"> shall affirmatively identify the amount of interim relief granted by this decision for each specific account, and identify the dollar amounts already collected from ratepayers for each account.</w:t>
      </w:r>
    </w:p>
    <w:p w:rsidR="00F6397D" w:rsidP="00F0641E" w:rsidRDefault="00E23CBB" w14:paraId="28A94ADF" w14:textId="2B7E4940">
      <w:pPr>
        <w:pStyle w:val="OP"/>
        <w:keepNext/>
      </w:pPr>
      <w:r w:rsidRPr="001E2A62">
        <w:t>Application</w:t>
      </w:r>
      <w:r w:rsidR="0090395D">
        <w:t> </w:t>
      </w:r>
      <w:r w:rsidR="00693ACA">
        <w:t>2</w:t>
      </w:r>
      <w:r w:rsidR="00B63368">
        <w:t>3-06-008</w:t>
      </w:r>
      <w:r w:rsidR="00693ACA">
        <w:t xml:space="preserve"> remains open</w:t>
      </w:r>
      <w:r w:rsidRPr="001E2A62">
        <w:t>.</w:t>
      </w:r>
    </w:p>
    <w:p w:rsidR="008F0116" w:rsidP="00F0641E" w:rsidRDefault="008F0116" w14:paraId="01AA0FB4" w14:textId="77777777">
      <w:pPr>
        <w:keepNext/>
      </w:pPr>
      <w:r>
        <w:t>This order is effective today.</w:t>
      </w:r>
    </w:p>
    <w:p w:rsidR="00714CF2" w:rsidP="00F0641E" w:rsidRDefault="008F0116" w14:paraId="742912D3" w14:textId="68357DBD">
      <w:pPr>
        <w:keepNext/>
      </w:pPr>
      <w:r>
        <w:t xml:space="preserve">Dated </w:t>
      </w:r>
      <w:r>
        <w:rPr>
          <w:u w:val="single"/>
        </w:rPr>
        <w:tab/>
      </w:r>
      <w:r>
        <w:rPr>
          <w:u w:val="single"/>
        </w:rPr>
        <w:tab/>
      </w:r>
      <w:r>
        <w:rPr>
          <w:u w:val="single"/>
        </w:rPr>
        <w:tab/>
      </w:r>
      <w:r>
        <w:rPr>
          <w:u w:val="single"/>
        </w:rPr>
        <w:tab/>
      </w:r>
      <w:r>
        <w:rPr>
          <w:u w:val="single"/>
        </w:rPr>
        <w:tab/>
      </w:r>
      <w:r>
        <w:t>, at San Francisco, California</w:t>
      </w:r>
      <w:r w:rsidR="0090395D">
        <w:t>.</w:t>
      </w:r>
    </w:p>
    <w:p w:rsidR="0090395D" w:rsidP="00816E05" w:rsidRDefault="0090395D" w14:paraId="2D43235B" w14:textId="77777777"/>
    <w:p w:rsidR="0090395D" w:rsidP="00816E05" w:rsidRDefault="0090395D" w14:paraId="17B2E806" w14:textId="77777777"/>
    <w:p w:rsidRPr="00714CF2" w:rsidR="0090395D" w:rsidP="00816E05" w:rsidRDefault="0090395D" w14:paraId="40E249C9" w14:textId="77777777"/>
    <w:sectPr w:rsidRPr="00714CF2" w:rsidR="0090395D" w:rsidSect="00EB0F3D">
      <w:pgSz w:w="12240" w:h="15840"/>
      <w:pgMar w:top="1728" w:right="1440" w:bottom="1440" w:left="1440" w:header="720" w:footer="720" w:gutter="0"/>
      <w:pgNumType w:start="2"/>
      <w:cols w:space="720"/>
      <w:docGrid w:linePitch="360"/>
    </w:sectPr>
    <w:p>
      <w:r>
        <w:t xml:space="preserve"/>
      </w:r>
    </w:p>
    <w:p>
      <w:r>
        <w:t xml:space="preserve">Attachment 1: </w:t>
      </w:r>
    </w:p>
    <w:p>
      <w:hyperlink w:history="true" r:id="R17f4b154c51b4132">
        <w:r w:rsidRPr="00CB1292">
          <w:rPr>
            <w:rStyle w:val="Hyperlink"/>
            <w:color w:val="2E74B5" w:themeColor="accent1" w:themeShade="BF"/>
            <w:u w:val="single"/>
          </w:rPr>
          <w:t>(Redline) A.23-06-008 GRANTING INTERIM RATE RECOVERY.pdf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912A" w14:textId="77777777" w:rsidR="00EB0F3D" w:rsidRDefault="00EB0F3D" w:rsidP="0098138E">
      <w:pPr>
        <w:spacing w:line="240" w:lineRule="auto"/>
      </w:pPr>
      <w:r>
        <w:separator/>
      </w:r>
    </w:p>
  </w:endnote>
  <w:endnote w:type="continuationSeparator" w:id="0">
    <w:p w14:paraId="3EF2B67D" w14:textId="77777777" w:rsidR="00EB0F3D" w:rsidRDefault="00EB0F3D"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Narrow">
    <w:charset w:val="00"/>
    <w:family w:val="swiss"/>
    <w:pitch w:val="variable"/>
    <w:sig w:usb0="20000287" w:usb1="0000000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4D"/>
    <w:family w:val="auto"/>
    <w:pitch w:val="variable"/>
    <w:sig w:usb0="A00002FF" w:usb1="7800205A" w:usb2="14600000" w:usb3="00000000" w:csb0="00000193"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B419" w14:textId="45F6ACA6" w:rsidR="0090395D" w:rsidRPr="0090395D" w:rsidRDefault="00BF66DE" w:rsidP="0090395D">
    <w:pPr>
      <w:tabs>
        <w:tab w:val="center" w:pos="4680"/>
      </w:tabs>
      <w:spacing w:line="240" w:lineRule="auto"/>
      <w:ind w:firstLine="0"/>
      <w:rPr>
        <w:noProof/>
      </w:rPr>
    </w:pPr>
    <w:sdt>
      <w:sdtPr>
        <w:id w:val="-1352874971"/>
        <w:docPartObj>
          <w:docPartGallery w:val="Page Numbers (Bottom of Page)"/>
          <w:docPartUnique/>
        </w:docPartObj>
      </w:sdtPr>
      <w:sdtEndPr>
        <w:rPr>
          <w:noProof/>
        </w:rPr>
      </w:sdtEndPr>
      <w:sdtContent>
        <w:r w:rsidR="000C56E4" w:rsidRPr="000C56E4">
          <w:rPr>
            <w:rFonts w:cs="Arial"/>
            <w:sz w:val="16"/>
            <w:szCs w:val="16"/>
          </w:rPr>
          <w:t>526567369</w:t>
        </w:r>
        <w:r w:rsidR="0090395D">
          <w:rPr>
            <w:rFonts w:ascii="Arial" w:hAnsi="Arial" w:cs="Arial"/>
            <w:sz w:val="16"/>
            <w:szCs w:val="16"/>
          </w:rPr>
          <w:tab/>
        </w:r>
        <w:r w:rsidR="0090395D">
          <w:t xml:space="preserve">- </w:t>
        </w:r>
        <w:r w:rsidR="0090395D">
          <w:fldChar w:fldCharType="begin"/>
        </w:r>
        <w:r w:rsidR="0090395D">
          <w:instrText xml:space="preserve"> PAGE   \* MERGEFORMAT </w:instrText>
        </w:r>
        <w:r w:rsidR="0090395D">
          <w:fldChar w:fldCharType="separate"/>
        </w:r>
        <w:r w:rsidR="0090395D">
          <w:t>1</w:t>
        </w:r>
        <w:r w:rsidR="0090395D">
          <w:rPr>
            <w:noProof/>
          </w:rPr>
          <w:fldChar w:fldCharType="end"/>
        </w:r>
      </w:sdtContent>
    </w:sdt>
    <w:r w:rsidR="0090395D">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3FBD" w14:textId="77777777" w:rsidR="00E23CBB" w:rsidRDefault="00E23CBB" w:rsidP="0090395D">
    <w:pPr>
      <w:spacing w:line="240" w:lineRule="auto"/>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DE1B" w14:textId="77777777" w:rsidR="00EB0F3D" w:rsidRDefault="00EB0F3D" w:rsidP="00DF58E7">
      <w:pPr>
        <w:spacing w:line="240" w:lineRule="auto"/>
        <w:ind w:firstLine="0"/>
      </w:pPr>
      <w:r>
        <w:separator/>
      </w:r>
    </w:p>
  </w:footnote>
  <w:footnote w:type="continuationSeparator" w:id="0">
    <w:p w14:paraId="7735C958" w14:textId="77777777" w:rsidR="00EB0F3D" w:rsidRDefault="00EB0F3D" w:rsidP="00DF58E7">
      <w:pPr>
        <w:spacing w:line="240" w:lineRule="auto"/>
        <w:ind w:firstLine="0"/>
      </w:pPr>
      <w:r>
        <w:continuationSeparator/>
      </w:r>
    </w:p>
  </w:footnote>
  <w:footnote w:type="continuationNotice" w:id="1">
    <w:p w14:paraId="1A5421CF" w14:textId="77777777" w:rsidR="00EB0F3D" w:rsidRPr="00DF58E7" w:rsidRDefault="00EB0F3D" w:rsidP="00DF58E7">
      <w:pPr>
        <w:spacing w:line="240" w:lineRule="auto"/>
        <w:ind w:firstLine="0"/>
        <w:jc w:val="right"/>
        <w:rPr>
          <w:i/>
          <w:sz w:val="22"/>
        </w:rPr>
      </w:pPr>
      <w:r w:rsidRPr="00DF58E7">
        <w:rPr>
          <w:i/>
          <w:sz w:val="22"/>
        </w:rPr>
        <w:t>Footnote continued on next page.</w:t>
      </w:r>
    </w:p>
  </w:footnote>
  <w:footnote w:id="2">
    <w:p w14:paraId="74075408" w14:textId="77777777" w:rsidR="00B63368" w:rsidRDefault="00B63368" w:rsidP="00B63368">
      <w:pPr>
        <w:pStyle w:val="FootnoteText"/>
      </w:pPr>
      <w:r>
        <w:rPr>
          <w:rStyle w:val="FootnoteReference"/>
        </w:rPr>
        <w:footnoteRef/>
      </w:r>
      <w:r>
        <w:t xml:space="preserve">  The June 27, 2023, Motion of TURN to late file responses to PG&amp;E’s Motion was granted by ALJ Ruling on June 28, 2023.</w:t>
      </w:r>
    </w:p>
  </w:footnote>
  <w:footnote w:id="3">
    <w:p w14:paraId="6CA85784" w14:textId="77777777" w:rsidR="007C6D89" w:rsidRDefault="007C6D89" w:rsidP="007C6D89">
      <w:pPr>
        <w:pStyle w:val="FootnoteText"/>
      </w:pPr>
      <w:r>
        <w:rPr>
          <w:rStyle w:val="FootnoteReference"/>
        </w:rPr>
        <w:footnoteRef/>
      </w:r>
      <w:r>
        <w:t xml:space="preserve"> Application (A.) 21-09-008 at 1 – 2, 28.</w:t>
      </w:r>
    </w:p>
  </w:footnote>
  <w:footnote w:id="4">
    <w:p w14:paraId="7B217B52" w14:textId="0D5A7597" w:rsidR="009E64D1" w:rsidRDefault="009E64D1">
      <w:pPr>
        <w:pStyle w:val="FootnoteText"/>
      </w:pPr>
      <w:r>
        <w:rPr>
          <w:rStyle w:val="FootnoteReference"/>
        </w:rPr>
        <w:footnoteRef/>
      </w:r>
      <w:r>
        <w:t xml:space="preserve"> Scoping Memo at 8 -9.</w:t>
      </w:r>
    </w:p>
  </w:footnote>
  <w:footnote w:id="5">
    <w:p w14:paraId="6CD5951E" w14:textId="77777777" w:rsidR="008842A9" w:rsidRDefault="008842A9" w:rsidP="008842A9">
      <w:pPr>
        <w:pStyle w:val="FootnoteText"/>
      </w:pPr>
      <w:r>
        <w:rPr>
          <w:rStyle w:val="FootnoteReference"/>
        </w:rPr>
        <w:footnoteRef/>
      </w:r>
      <w:r>
        <w:t xml:space="preserve"> Scoping Memo at 5 – 6.</w:t>
      </w:r>
    </w:p>
  </w:footnote>
  <w:footnote w:id="6">
    <w:p w14:paraId="3AEE7AFC" w14:textId="3573FF86" w:rsidR="007627A7" w:rsidRDefault="007627A7">
      <w:pPr>
        <w:pStyle w:val="FootnoteText"/>
      </w:pPr>
      <w:r>
        <w:rPr>
          <w:rStyle w:val="FootnoteReference"/>
        </w:rPr>
        <w:footnoteRef/>
      </w:r>
      <w:r>
        <w:t xml:space="preserve"> Scoping Memo at 6.</w:t>
      </w:r>
    </w:p>
  </w:footnote>
  <w:footnote w:id="7">
    <w:p w14:paraId="529B6881" w14:textId="7809C9E4" w:rsidR="00326335" w:rsidRDefault="00326335">
      <w:pPr>
        <w:pStyle w:val="FootnoteText"/>
      </w:pPr>
      <w:r>
        <w:rPr>
          <w:rStyle w:val="FootnoteReference"/>
        </w:rPr>
        <w:footnoteRef/>
      </w:r>
      <w:r>
        <w:t xml:space="preserve"> </w:t>
      </w:r>
      <w:r w:rsidR="00BB55C3">
        <w:t>Application at 27.</w:t>
      </w:r>
      <w:r>
        <w:t xml:space="preserve"> </w:t>
      </w:r>
    </w:p>
  </w:footnote>
  <w:footnote w:id="8">
    <w:p w14:paraId="4861780B" w14:textId="460ECB0A" w:rsidR="00050D58" w:rsidRDefault="00050D58">
      <w:pPr>
        <w:pStyle w:val="FootnoteText"/>
      </w:pPr>
      <w:r>
        <w:rPr>
          <w:rStyle w:val="FootnoteReference"/>
        </w:rPr>
        <w:footnoteRef/>
      </w:r>
      <w:r>
        <w:t xml:space="preserve"> PG&amp;E Opening Comments on the proposed decision at 4.</w:t>
      </w:r>
    </w:p>
  </w:footnote>
  <w:footnote w:id="9">
    <w:p w14:paraId="3E1CACA0" w14:textId="3CBE7330" w:rsidR="009E64D1" w:rsidRDefault="009E64D1">
      <w:pPr>
        <w:pStyle w:val="FootnoteText"/>
      </w:pPr>
      <w:r>
        <w:rPr>
          <w:rStyle w:val="FootnoteReference"/>
        </w:rPr>
        <w:footnoteRef/>
      </w:r>
      <w:r>
        <w:t xml:space="preserve"> In the Scoping Memo, the ratemaking proposal is scoped as issue</w:t>
      </w:r>
      <w:r w:rsidR="00C51E49">
        <w:t>s</w:t>
      </w:r>
      <w:r>
        <w:t xml:space="preserve"> 1.c. and 2.c.</w:t>
      </w:r>
    </w:p>
  </w:footnote>
  <w:footnote w:id="10">
    <w:p w14:paraId="5C8F6236" w14:textId="0DD5E709" w:rsidR="00991303" w:rsidRDefault="00991303" w:rsidP="00991303">
      <w:pPr>
        <w:pStyle w:val="FootnoteText"/>
      </w:pPr>
      <w:r>
        <w:rPr>
          <w:rStyle w:val="FootnoteReference"/>
        </w:rPr>
        <w:footnoteRef/>
      </w:r>
      <w:r>
        <w:t xml:space="preserve"> A</w:t>
      </w:r>
      <w:r w:rsidR="007E19E8">
        <w:t>pplication</w:t>
      </w:r>
      <w:r>
        <w:t xml:space="preserve"> at 28.</w:t>
      </w:r>
    </w:p>
  </w:footnote>
  <w:footnote w:id="11">
    <w:p w14:paraId="43B2684A" w14:textId="26FB507E" w:rsidR="003561C8" w:rsidRDefault="003561C8">
      <w:pPr>
        <w:pStyle w:val="FootnoteText"/>
      </w:pPr>
      <w:r>
        <w:rPr>
          <w:rStyle w:val="FootnoteReference"/>
        </w:rPr>
        <w:footnoteRef/>
      </w:r>
      <w:r>
        <w:t xml:space="preserve"> Application at 11 – 12.</w:t>
      </w:r>
    </w:p>
  </w:footnote>
  <w:footnote w:id="12">
    <w:p w14:paraId="5DA7F4BD" w14:textId="2D68C81F" w:rsidR="009E2A91" w:rsidRDefault="009E2A91">
      <w:pPr>
        <w:pStyle w:val="FootnoteText"/>
      </w:pPr>
      <w:r>
        <w:rPr>
          <w:rStyle w:val="FootnoteReference"/>
        </w:rPr>
        <w:footnoteRef/>
      </w:r>
      <w:r>
        <w:t xml:space="preserve"> Application at 9</w:t>
      </w:r>
      <w:r w:rsidR="00877A11">
        <w:t xml:space="preserve"> - 10</w:t>
      </w:r>
      <w:r>
        <w:t>.</w:t>
      </w:r>
    </w:p>
  </w:footnote>
  <w:footnote w:id="13">
    <w:p w14:paraId="142B8C10" w14:textId="5123AB6A" w:rsidR="00137BCA" w:rsidRDefault="00137BCA" w:rsidP="00137BCA">
      <w:pPr>
        <w:pStyle w:val="FootnoteText"/>
      </w:pPr>
      <w:r>
        <w:rPr>
          <w:rStyle w:val="FootnoteReference"/>
        </w:rPr>
        <w:footnoteRef/>
      </w:r>
      <w:r>
        <w:t xml:space="preserve"> The Commission authorized PG&amp;E’s WMPMA in D.19-05-0</w:t>
      </w:r>
      <w:r w:rsidR="00B723B9">
        <w:t>0</w:t>
      </w:r>
      <w:r>
        <w:t>7 at Ordering Paragraph</w:t>
      </w:r>
      <w:r w:rsidR="00B723B9">
        <w:t xml:space="preserve"> (OP)</w:t>
      </w:r>
      <w:r>
        <w:t xml:space="preserve"> 21.</w:t>
      </w:r>
    </w:p>
  </w:footnote>
  <w:footnote w:id="14">
    <w:p w14:paraId="65A9034C" w14:textId="17D3E94E" w:rsidR="00137BCA" w:rsidRDefault="00137BCA" w:rsidP="00137BCA">
      <w:pPr>
        <w:pStyle w:val="FootnoteText"/>
      </w:pPr>
      <w:r>
        <w:rPr>
          <w:rStyle w:val="FootnoteReference"/>
        </w:rPr>
        <w:footnoteRef/>
      </w:r>
      <w:r>
        <w:t xml:space="preserve"> The Commission approved PG&amp;E’s implementation of the FRMMA with acceptance of PG&amp;E’s Advice Letter 5419-E, as mandated by Pub. Util. Code Section 8386(j) which through subsequent legislative revisions is now included in Pub. Util. Code </w:t>
      </w:r>
      <w:r w:rsidR="006A6E66">
        <w:t>S</w:t>
      </w:r>
      <w:r>
        <w:t>ection 8386.4(b)(1).</w:t>
      </w:r>
    </w:p>
  </w:footnote>
  <w:footnote w:id="15">
    <w:p w14:paraId="68ADB48C" w14:textId="3E3715A4" w:rsidR="00877A11" w:rsidRDefault="00877A11">
      <w:pPr>
        <w:pStyle w:val="FootnoteText"/>
      </w:pPr>
      <w:r>
        <w:rPr>
          <w:rStyle w:val="FootnoteReference"/>
        </w:rPr>
        <w:footnoteRef/>
      </w:r>
      <w:r>
        <w:t xml:space="preserve"> </w:t>
      </w:r>
      <w:r>
        <w:rPr>
          <w:color w:val="000000" w:themeColor="text1"/>
        </w:rPr>
        <w:t>D.16-06-056.</w:t>
      </w:r>
    </w:p>
  </w:footnote>
  <w:footnote w:id="16">
    <w:p w14:paraId="4FD8DFCC" w14:textId="3F69DB81" w:rsidR="00F842C8" w:rsidRDefault="00F842C8">
      <w:pPr>
        <w:pStyle w:val="FootnoteText"/>
      </w:pPr>
      <w:r>
        <w:rPr>
          <w:rStyle w:val="FootnoteReference"/>
        </w:rPr>
        <w:footnoteRef/>
      </w:r>
      <w:r>
        <w:t xml:space="preserve"> </w:t>
      </w:r>
      <w:r>
        <w:rPr>
          <w:color w:val="000000" w:themeColor="text1"/>
        </w:rPr>
        <w:t>D.19-09-025.</w:t>
      </w:r>
    </w:p>
  </w:footnote>
  <w:footnote w:id="17">
    <w:p w14:paraId="5ED86BF6" w14:textId="77777777" w:rsidR="00137BCA" w:rsidRDefault="00137BCA" w:rsidP="00137BCA">
      <w:pPr>
        <w:pStyle w:val="FootnoteText"/>
      </w:pPr>
      <w:r>
        <w:rPr>
          <w:rStyle w:val="FootnoteReference"/>
        </w:rPr>
        <w:footnoteRef/>
      </w:r>
      <w:r>
        <w:t xml:space="preserve"> </w:t>
      </w:r>
      <w:r>
        <w:rPr>
          <w:color w:val="000000" w:themeColor="text1"/>
        </w:rPr>
        <w:t>D.19-09-025 at 137 – 139, 331, OP 63.</w:t>
      </w:r>
    </w:p>
  </w:footnote>
  <w:footnote w:id="18">
    <w:p w14:paraId="2FB2A81E" w14:textId="77777777" w:rsidR="00137BCA" w:rsidRPr="00306304" w:rsidRDefault="00137BCA" w:rsidP="00137BCA">
      <w:pPr>
        <w:pStyle w:val="FootnoteText"/>
      </w:pPr>
      <w:r>
        <w:rPr>
          <w:rStyle w:val="FootnoteReference"/>
        </w:rPr>
        <w:footnoteRef/>
      </w:r>
      <w:r>
        <w:t xml:space="preserve"> </w:t>
      </w:r>
      <w:r>
        <w:rPr>
          <w:color w:val="000000" w:themeColor="text1"/>
        </w:rPr>
        <w:t>D.19-09-025 at 145, 331, OP 64.</w:t>
      </w:r>
    </w:p>
  </w:footnote>
  <w:footnote w:id="19">
    <w:p w14:paraId="73E84204" w14:textId="77777777" w:rsidR="00137BCA" w:rsidRDefault="00137BCA" w:rsidP="00137BCA">
      <w:pPr>
        <w:pStyle w:val="FootnoteText"/>
      </w:pPr>
      <w:r>
        <w:rPr>
          <w:rStyle w:val="FootnoteReference"/>
        </w:rPr>
        <w:footnoteRef/>
      </w:r>
      <w:r>
        <w:t xml:space="preserve"> </w:t>
      </w:r>
      <w:r>
        <w:rPr>
          <w:color w:val="000000" w:themeColor="text1"/>
        </w:rPr>
        <w:t>D.19-09-025 at 332, OP 67; PG&amp;E AL 4468-G.</w:t>
      </w:r>
    </w:p>
  </w:footnote>
  <w:footnote w:id="20">
    <w:p w14:paraId="3039795B" w14:textId="77777777" w:rsidR="00137BCA" w:rsidRDefault="00137BCA" w:rsidP="00137BCA">
      <w:pPr>
        <w:pStyle w:val="FootnoteText"/>
      </w:pPr>
      <w:r>
        <w:rPr>
          <w:rStyle w:val="FootnoteReference"/>
        </w:rPr>
        <w:footnoteRef/>
      </w:r>
      <w:r>
        <w:t xml:space="preserve"> </w:t>
      </w:r>
      <w:r>
        <w:rPr>
          <w:color w:val="000000" w:themeColor="text1"/>
        </w:rPr>
        <w:t>D.19-09-025 at 331, OP 63.</w:t>
      </w:r>
    </w:p>
  </w:footnote>
  <w:footnote w:id="21">
    <w:p w14:paraId="27F17319" w14:textId="3B7970E9" w:rsidR="00137BCA" w:rsidRDefault="00137BCA" w:rsidP="00137BCA">
      <w:pPr>
        <w:pStyle w:val="FootnoteText"/>
      </w:pPr>
      <w:r>
        <w:rPr>
          <w:rStyle w:val="FootnoteReference"/>
        </w:rPr>
        <w:footnoteRef/>
      </w:r>
      <w:r>
        <w:t xml:space="preserve"> D.16-06-056 at 139</w:t>
      </w:r>
      <w:r w:rsidR="00F842C8">
        <w:t xml:space="preserve"> and </w:t>
      </w:r>
      <w:r w:rsidR="00F842C8">
        <w:rPr>
          <w:color w:val="000000" w:themeColor="text1"/>
        </w:rPr>
        <w:t>D.19-09-025 at 117</w:t>
      </w:r>
      <w:r>
        <w:t>.</w:t>
      </w:r>
    </w:p>
  </w:footnote>
  <w:footnote w:id="22">
    <w:p w14:paraId="507E66B6" w14:textId="77777777" w:rsidR="00137BCA" w:rsidRDefault="00137BCA" w:rsidP="00137BCA">
      <w:pPr>
        <w:pStyle w:val="FootnoteText"/>
      </w:pPr>
      <w:r>
        <w:rPr>
          <w:rStyle w:val="FootnoteReference"/>
        </w:rPr>
        <w:footnoteRef/>
      </w:r>
      <w:r>
        <w:t xml:space="preserve"> </w:t>
      </w:r>
      <w:r>
        <w:rPr>
          <w:color w:val="000000" w:themeColor="text1"/>
        </w:rPr>
        <w:t>D.19-09-025 at 95.</w:t>
      </w:r>
    </w:p>
  </w:footnote>
  <w:footnote w:id="23">
    <w:p w14:paraId="1C37286A" w14:textId="77777777" w:rsidR="00137BCA" w:rsidRDefault="00137BCA" w:rsidP="00137BCA">
      <w:pPr>
        <w:pStyle w:val="FootnoteText"/>
      </w:pPr>
      <w:r>
        <w:rPr>
          <w:rStyle w:val="FootnoteReference"/>
        </w:rPr>
        <w:footnoteRef/>
      </w:r>
      <w:r>
        <w:t xml:space="preserve"> </w:t>
      </w:r>
      <w:r>
        <w:rPr>
          <w:color w:val="000000" w:themeColor="text1"/>
        </w:rPr>
        <w:t>D.19-09-025 at 238.</w:t>
      </w:r>
    </w:p>
  </w:footnote>
  <w:footnote w:id="24">
    <w:p w14:paraId="0B162B40" w14:textId="77777777" w:rsidR="00137BCA" w:rsidRDefault="00137BCA" w:rsidP="00137BCA">
      <w:pPr>
        <w:pStyle w:val="FootnoteText"/>
      </w:pPr>
      <w:r>
        <w:rPr>
          <w:rStyle w:val="FootnoteReference"/>
        </w:rPr>
        <w:footnoteRef/>
      </w:r>
      <w:r>
        <w:t xml:space="preserve"> </w:t>
      </w:r>
      <w:r>
        <w:rPr>
          <w:color w:val="000000" w:themeColor="text1"/>
        </w:rPr>
        <w:t>D.17-12-004 at OP 5.</w:t>
      </w:r>
    </w:p>
  </w:footnote>
  <w:footnote w:id="25">
    <w:p w14:paraId="6C85E753" w14:textId="31E87B97" w:rsidR="00137BCA" w:rsidRDefault="00137BCA" w:rsidP="00137BCA">
      <w:pPr>
        <w:pStyle w:val="FootnoteText"/>
      </w:pPr>
      <w:r>
        <w:rPr>
          <w:rStyle w:val="FootnoteReference"/>
        </w:rPr>
        <w:footnoteRef/>
      </w:r>
      <w:r>
        <w:t xml:space="preserve"> </w:t>
      </w:r>
      <w:r>
        <w:rPr>
          <w:color w:val="000000" w:themeColor="text1"/>
        </w:rPr>
        <w:t>D.17-09-026 at 37 (for I</w:t>
      </w:r>
      <w:r w:rsidR="003A34C1">
        <w:rPr>
          <w:color w:val="000000" w:themeColor="text1"/>
        </w:rPr>
        <w:t xml:space="preserve">ntegration </w:t>
      </w:r>
      <w:r>
        <w:rPr>
          <w:color w:val="000000" w:themeColor="text1"/>
        </w:rPr>
        <w:t>C</w:t>
      </w:r>
      <w:r w:rsidR="003A34C1">
        <w:rPr>
          <w:color w:val="000000" w:themeColor="text1"/>
        </w:rPr>
        <w:t xml:space="preserve">apacity </w:t>
      </w:r>
      <w:r>
        <w:rPr>
          <w:color w:val="000000" w:themeColor="text1"/>
        </w:rPr>
        <w:t>A</w:t>
      </w:r>
      <w:r w:rsidR="003A34C1">
        <w:rPr>
          <w:color w:val="000000" w:themeColor="text1"/>
        </w:rPr>
        <w:t>nalysis</w:t>
      </w:r>
      <w:r>
        <w:rPr>
          <w:color w:val="000000" w:themeColor="text1"/>
        </w:rPr>
        <w:t xml:space="preserve"> costs) and at 55 – 56 (for L</w:t>
      </w:r>
      <w:r w:rsidR="003A34C1">
        <w:rPr>
          <w:color w:val="000000" w:themeColor="text1"/>
        </w:rPr>
        <w:t xml:space="preserve">ocal </w:t>
      </w:r>
      <w:r>
        <w:rPr>
          <w:color w:val="000000" w:themeColor="text1"/>
        </w:rPr>
        <w:t>N</w:t>
      </w:r>
      <w:r w:rsidR="003A34C1">
        <w:rPr>
          <w:color w:val="000000" w:themeColor="text1"/>
        </w:rPr>
        <w:t xml:space="preserve">et </w:t>
      </w:r>
      <w:r>
        <w:rPr>
          <w:color w:val="000000" w:themeColor="text1"/>
        </w:rPr>
        <w:t>B</w:t>
      </w:r>
      <w:r w:rsidR="003A34C1">
        <w:rPr>
          <w:color w:val="000000" w:themeColor="text1"/>
        </w:rPr>
        <w:t xml:space="preserve">enefits </w:t>
      </w:r>
      <w:r>
        <w:rPr>
          <w:color w:val="000000" w:themeColor="text1"/>
        </w:rPr>
        <w:t>A</w:t>
      </w:r>
      <w:r w:rsidR="003A34C1">
        <w:rPr>
          <w:color w:val="000000" w:themeColor="text1"/>
        </w:rPr>
        <w:t>nalysis</w:t>
      </w:r>
      <w:r>
        <w:rPr>
          <w:color w:val="000000" w:themeColor="text1"/>
        </w:rPr>
        <w:t xml:space="preserve"> costs).</w:t>
      </w:r>
    </w:p>
  </w:footnote>
  <w:footnote w:id="26">
    <w:p w14:paraId="68085A61" w14:textId="77777777" w:rsidR="00137BCA" w:rsidRDefault="00137BCA" w:rsidP="00137BCA">
      <w:pPr>
        <w:pStyle w:val="FootnoteText"/>
      </w:pPr>
      <w:r>
        <w:rPr>
          <w:rStyle w:val="FootnoteReference"/>
        </w:rPr>
        <w:footnoteRef/>
      </w:r>
      <w:r>
        <w:t xml:space="preserve"> D</w:t>
      </w:r>
      <w:r>
        <w:rPr>
          <w:color w:val="000000" w:themeColor="text1"/>
        </w:rPr>
        <w:t>.16-06-007 at 6, 27, OP 8.</w:t>
      </w:r>
    </w:p>
  </w:footnote>
  <w:footnote w:id="27">
    <w:p w14:paraId="23802590" w14:textId="77777777" w:rsidR="00137BCA" w:rsidRDefault="00137BCA" w:rsidP="00137BCA">
      <w:pPr>
        <w:pStyle w:val="FootnoteText"/>
      </w:pPr>
      <w:r>
        <w:rPr>
          <w:rStyle w:val="FootnoteReference"/>
        </w:rPr>
        <w:footnoteRef/>
      </w:r>
      <w:r>
        <w:t xml:space="preserve"> PG&amp;E implemented the AB841MA in PG&amp;E Advice Letter 6102-E-A.</w:t>
      </w:r>
    </w:p>
  </w:footnote>
  <w:footnote w:id="28">
    <w:p w14:paraId="3825CA09" w14:textId="1039B83A" w:rsidR="008C4BBE" w:rsidRDefault="008C4BBE">
      <w:pPr>
        <w:pStyle w:val="FootnoteText"/>
      </w:pPr>
      <w:r>
        <w:rPr>
          <w:rStyle w:val="FootnoteReference"/>
        </w:rPr>
        <w:footnoteRef/>
      </w:r>
      <w:r>
        <w:t xml:space="preserve"> Scoping Memo at 8 – 9</w:t>
      </w:r>
      <w:r w:rsidR="00C0594E">
        <w:t xml:space="preserve"> and ALJ Ruling issued February 12, 2024 Revising Track 1 Procedural Schedule at 2</w:t>
      </w:r>
      <w:r>
        <w:t>.</w:t>
      </w:r>
    </w:p>
  </w:footnote>
  <w:footnote w:id="29">
    <w:p w14:paraId="7BD6A2B5" w14:textId="20477DC8" w:rsidR="00875356" w:rsidRDefault="00875356">
      <w:pPr>
        <w:pStyle w:val="FootnoteText"/>
      </w:pPr>
      <w:r>
        <w:rPr>
          <w:rStyle w:val="FootnoteReference"/>
        </w:rPr>
        <w:footnoteRef/>
      </w:r>
      <w:r>
        <w:t xml:space="preserve"> Motion at 4.</w:t>
      </w:r>
    </w:p>
  </w:footnote>
  <w:footnote w:id="30">
    <w:p w14:paraId="2E1B93AD" w14:textId="173DCECA" w:rsidR="00A338A8" w:rsidRDefault="00A338A8">
      <w:pPr>
        <w:pStyle w:val="FootnoteText"/>
      </w:pPr>
      <w:r>
        <w:rPr>
          <w:rStyle w:val="FootnoteReference"/>
        </w:rPr>
        <w:footnoteRef/>
      </w:r>
      <w:r>
        <w:t xml:space="preserve"> Motion at 16.</w:t>
      </w:r>
    </w:p>
  </w:footnote>
  <w:footnote w:id="31">
    <w:p w14:paraId="3D36319A" w14:textId="77777777" w:rsidR="00137BCA" w:rsidRDefault="00137BCA" w:rsidP="00137BCA">
      <w:pPr>
        <w:pStyle w:val="FootnoteText"/>
      </w:pPr>
      <w:r>
        <w:rPr>
          <w:rStyle w:val="FootnoteReference"/>
        </w:rPr>
        <w:footnoteRef/>
      </w:r>
      <w:r>
        <w:t xml:space="preserve"> Motion at 16. PG&amp;E provides further information about how its interim cost recovery proposal separately affects the electric and the gas revenue requirements, and over what time period, in its Reply to Opposition, showing the impact on its electric revenue requirement at B-1 and D-4, and showing the impact on its gas revenue requirement at B-3 and D-6. </w:t>
      </w:r>
    </w:p>
  </w:footnote>
  <w:footnote w:id="32">
    <w:p w14:paraId="475A6984" w14:textId="4AB06490" w:rsidR="000A6A0B" w:rsidRDefault="000A6A0B">
      <w:pPr>
        <w:pStyle w:val="FootnoteText"/>
      </w:pPr>
      <w:r>
        <w:rPr>
          <w:rStyle w:val="FootnoteReference"/>
        </w:rPr>
        <w:footnoteRef/>
      </w:r>
      <w:r>
        <w:t xml:space="preserve"> Application at 28 and Motion at 17.</w:t>
      </w:r>
    </w:p>
  </w:footnote>
  <w:footnote w:id="33">
    <w:p w14:paraId="12FBD25E" w14:textId="3743260A" w:rsidR="00987315" w:rsidRDefault="00987315" w:rsidP="00987315">
      <w:pPr>
        <w:pStyle w:val="FootnoteText"/>
      </w:pPr>
      <w:r>
        <w:rPr>
          <w:rStyle w:val="FootnoteReference"/>
        </w:rPr>
        <w:footnoteRef/>
      </w:r>
      <w:r>
        <w:t xml:space="preserve"> Pub. Util. Code</w:t>
      </w:r>
      <w:r w:rsidRPr="00F55E79">
        <w:t xml:space="preserve"> </w:t>
      </w:r>
      <w:r>
        <w:t>Section </w:t>
      </w:r>
      <w:r w:rsidRPr="00F55E79">
        <w:t xml:space="preserve">451. </w:t>
      </w:r>
      <w:r>
        <w:t xml:space="preserve"> </w:t>
      </w:r>
      <w:r w:rsidRPr="00F55E79">
        <w:t>Application of Pacific Gas and Electric Company (2000) D.00</w:t>
      </w:r>
      <w:r>
        <w:noBreakHyphen/>
      </w:r>
      <w:r w:rsidRPr="00F55E79">
        <w:t>02</w:t>
      </w:r>
      <w:r>
        <w:noBreakHyphen/>
      </w:r>
      <w:r w:rsidRPr="00F55E79">
        <w:t>046, at 36, 2000 Cal. PUC LEXIS 239 (“no public utility shall change any rate ... except upon a showing before the Commission, and a finding by the Commission that the new rate is justified”).</w:t>
      </w:r>
    </w:p>
  </w:footnote>
  <w:footnote w:id="34">
    <w:p w14:paraId="61C20E87" w14:textId="77777777" w:rsidR="00987315" w:rsidRDefault="00987315" w:rsidP="00987315">
      <w:pPr>
        <w:pStyle w:val="FootnoteText"/>
      </w:pPr>
      <w:r>
        <w:rPr>
          <w:rStyle w:val="FootnoteReference"/>
        </w:rPr>
        <w:footnoteRef/>
      </w:r>
      <w:r>
        <w:t xml:space="preserve"> </w:t>
      </w:r>
      <w:r w:rsidRPr="00F55E79">
        <w:t xml:space="preserve">Application of Pacific Gas and Electric Company (2000) D.00-02-046, at 36, 2000 Cal. PUC LEXIS 239, </w:t>
      </w:r>
      <w:r w:rsidRPr="007D7690">
        <w:rPr>
          <w:iCs/>
        </w:rPr>
        <w:t>citing</w:t>
      </w:r>
      <w:r w:rsidRPr="00F55E79">
        <w:t xml:space="preserve"> Re Pacific Bell (1987) 27 CPUC 2d 1, 21, D.87-12-067.</w:t>
      </w:r>
      <w:r>
        <w:t xml:space="preserve">  </w:t>
      </w:r>
      <w:r w:rsidRPr="00F55E79">
        <w:rPr>
          <w:i/>
          <w:iCs/>
        </w:rPr>
        <w:t xml:space="preserve">See </w:t>
      </w:r>
      <w:r>
        <w:rPr>
          <w:i/>
          <w:iCs/>
        </w:rPr>
        <w:t>also</w:t>
      </w:r>
      <w:r>
        <w:t xml:space="preserve"> </w:t>
      </w:r>
      <w:r w:rsidRPr="00F55E79">
        <w:t>Re Energy Cost Adjustment Clauses (1980) 4 CPUC 2d 693, 701; D.92496, Re Southern California Edison Company (1983) 11 CPUC 2d 474, 475; D.83-05-036 (“Of course the burden of proof is on the utility applicant to establish the reasonableness …. We expect a substantial affirmative showing by each utility with percipient witnesses in support of all elements of its application</w:t>
      </w:r>
      <w:r>
        <w:t>.</w:t>
      </w:r>
      <w:r w:rsidRPr="00F55E79">
        <w:t>”).</w:t>
      </w:r>
    </w:p>
  </w:footnote>
  <w:footnote w:id="35">
    <w:p w14:paraId="2C3BF262" w14:textId="58E0D7DA" w:rsidR="009B47DC" w:rsidRPr="00100562" w:rsidRDefault="009B47DC" w:rsidP="009B47DC">
      <w:pPr>
        <w:pStyle w:val="FootnoteText"/>
      </w:pPr>
      <w:r w:rsidRPr="77CE4098">
        <w:rPr>
          <w:rStyle w:val="FootnoteReference"/>
        </w:rPr>
        <w:footnoteRef/>
      </w:r>
      <w:r>
        <w:t xml:space="preserve"> </w:t>
      </w:r>
      <w:r w:rsidRPr="00854C3D">
        <w:rPr>
          <w:i/>
          <w:iCs/>
        </w:rPr>
        <w:t>T</w:t>
      </w:r>
      <w:r w:rsidR="00610CD9">
        <w:rPr>
          <w:i/>
          <w:iCs/>
        </w:rPr>
        <w:t>URN v. PUC</w:t>
      </w:r>
      <w:r>
        <w:t xml:space="preserve"> (1988) 44 Cal.3d 870 at 878 (“The commission’s power to grant interim rate increases was recognized by this court </w:t>
      </w:r>
      <w:r w:rsidRPr="00100562">
        <w:t xml:space="preserve">in </w:t>
      </w:r>
      <w:r w:rsidRPr="007D7690">
        <w:rPr>
          <w:i/>
        </w:rPr>
        <w:t>City of Los Angeles v. Public Utilities Commission</w:t>
      </w:r>
      <w:r w:rsidRPr="007D7690">
        <w:t xml:space="preserve"> (1972) 7 Cal.3d 331</w:t>
      </w:r>
      <w:r w:rsidR="002B4E95">
        <w:t>.”).</w:t>
      </w:r>
      <w:r w:rsidRPr="007D7690">
        <w:t xml:space="preserve"> </w:t>
      </w:r>
    </w:p>
  </w:footnote>
  <w:footnote w:id="36">
    <w:p w14:paraId="2AE75003" w14:textId="4FFE766D" w:rsidR="00987315" w:rsidRDefault="00987315" w:rsidP="00987315">
      <w:pPr>
        <w:pStyle w:val="FootnoteText"/>
      </w:pPr>
      <w:r w:rsidRPr="77CE4098">
        <w:rPr>
          <w:rStyle w:val="FootnoteReference"/>
        </w:rPr>
        <w:footnoteRef/>
      </w:r>
      <w:r>
        <w:t xml:space="preserve"> </w:t>
      </w:r>
      <w:r w:rsidR="002C0B4C">
        <w:rPr>
          <w:i/>
          <w:iCs/>
          <w:szCs w:val="22"/>
        </w:rPr>
        <w:t>Ibid.</w:t>
      </w:r>
    </w:p>
  </w:footnote>
  <w:footnote w:id="37">
    <w:p w14:paraId="06F55F1B" w14:textId="77777777" w:rsidR="00987315" w:rsidRDefault="00987315" w:rsidP="00987315">
      <w:pPr>
        <w:pStyle w:val="FootnoteText"/>
      </w:pPr>
      <w:r w:rsidRPr="77CE4098">
        <w:rPr>
          <w:rStyle w:val="FootnoteReference"/>
        </w:rPr>
        <w:footnoteRef/>
      </w:r>
      <w:r>
        <w:t xml:space="preserve"> </w:t>
      </w:r>
      <w:r>
        <w:rPr>
          <w:i/>
          <w:iCs/>
          <w:szCs w:val="22"/>
        </w:rPr>
        <w:t xml:space="preserve">Id. </w:t>
      </w:r>
      <w:r>
        <w:rPr>
          <w:iCs/>
          <w:szCs w:val="22"/>
        </w:rPr>
        <w:t>at</w:t>
      </w:r>
      <w:r w:rsidRPr="77CE4098">
        <w:rPr>
          <w:szCs w:val="22"/>
        </w:rPr>
        <w:t xml:space="preserve"> 879.</w:t>
      </w:r>
    </w:p>
  </w:footnote>
  <w:footnote w:id="38">
    <w:p w14:paraId="0E4E4463" w14:textId="77777777" w:rsidR="00987315" w:rsidRDefault="00987315" w:rsidP="00987315">
      <w:pPr>
        <w:pStyle w:val="FootnoteText"/>
      </w:pPr>
      <w:r>
        <w:rPr>
          <w:rStyle w:val="FootnoteReference"/>
        </w:rPr>
        <w:footnoteRef/>
      </w:r>
      <w:r>
        <w:t xml:space="preserve"> </w:t>
      </w:r>
      <w:r w:rsidRPr="00534EBF">
        <w:rPr>
          <w:rFonts w:eastAsia="MS ??"/>
        </w:rPr>
        <w:t>D.02-07</w:t>
      </w:r>
      <w:r>
        <w:rPr>
          <w:rFonts w:eastAsia="MS ??"/>
        </w:rPr>
        <w:t>-</w:t>
      </w:r>
      <w:r w:rsidRPr="00534EBF">
        <w:rPr>
          <w:rFonts w:eastAsia="MS ??"/>
        </w:rPr>
        <w:t>031</w:t>
      </w:r>
      <w:r>
        <w:rPr>
          <w:rFonts w:eastAsia="MS ??"/>
        </w:rPr>
        <w:t xml:space="preserve"> at</w:t>
      </w:r>
      <w:r w:rsidRPr="00534EBF">
        <w:rPr>
          <w:rFonts w:eastAsia="MS ??"/>
        </w:rPr>
        <w:t xml:space="preserve"> 13</w:t>
      </w:r>
      <w:r>
        <w:rPr>
          <w:rFonts w:eastAsia="MS ??"/>
        </w:rPr>
        <w:t xml:space="preserve"> – </w:t>
      </w:r>
      <w:r w:rsidRPr="00534EBF">
        <w:rPr>
          <w:rFonts w:eastAsia="MS ??"/>
        </w:rPr>
        <w:t>14</w:t>
      </w:r>
      <w:r>
        <w:rPr>
          <w:rFonts w:eastAsia="MS ??"/>
        </w:rPr>
        <w:t>; D.20-10-016 at 22.</w:t>
      </w:r>
    </w:p>
  </w:footnote>
  <w:footnote w:id="39">
    <w:p w14:paraId="6BA23891" w14:textId="7FDEE3C8" w:rsidR="00987315" w:rsidRDefault="00987315" w:rsidP="00987315">
      <w:pPr>
        <w:pStyle w:val="FootnoteText"/>
      </w:pPr>
      <w:r>
        <w:rPr>
          <w:rStyle w:val="FootnoteReference"/>
        </w:rPr>
        <w:footnoteRef/>
      </w:r>
      <w:r>
        <w:t xml:space="preserve"> </w:t>
      </w:r>
      <w:r w:rsidR="001A0D68">
        <w:rPr>
          <w:szCs w:val="22"/>
        </w:rPr>
        <w:t>ALJ</w:t>
      </w:r>
      <w:r w:rsidR="00A50C0F">
        <w:rPr>
          <w:szCs w:val="22"/>
        </w:rPr>
        <w:t>s’</w:t>
      </w:r>
      <w:r w:rsidRPr="00562189">
        <w:rPr>
          <w:szCs w:val="22"/>
        </w:rPr>
        <w:t xml:space="preserve"> Ruling Denying Southern California Edison Company’s</w:t>
      </w:r>
      <w:r w:rsidR="001A0D68">
        <w:rPr>
          <w:szCs w:val="22"/>
        </w:rPr>
        <w:t xml:space="preserve"> (SCE)</w:t>
      </w:r>
      <w:r w:rsidRPr="00562189">
        <w:rPr>
          <w:szCs w:val="22"/>
        </w:rPr>
        <w:t xml:space="preserve"> Motion for </w:t>
      </w:r>
      <w:r>
        <w:rPr>
          <w:szCs w:val="22"/>
        </w:rPr>
        <w:t>I</w:t>
      </w:r>
      <w:r w:rsidRPr="00562189">
        <w:rPr>
          <w:szCs w:val="22"/>
        </w:rPr>
        <w:t xml:space="preserve">nterim </w:t>
      </w:r>
      <w:r>
        <w:rPr>
          <w:szCs w:val="22"/>
        </w:rPr>
        <w:t>R</w:t>
      </w:r>
      <w:r w:rsidRPr="00562189">
        <w:rPr>
          <w:szCs w:val="22"/>
        </w:rPr>
        <w:t xml:space="preserve">ate </w:t>
      </w:r>
      <w:r>
        <w:rPr>
          <w:szCs w:val="22"/>
        </w:rPr>
        <w:t>R</w:t>
      </w:r>
      <w:r w:rsidRPr="00562189">
        <w:rPr>
          <w:szCs w:val="22"/>
        </w:rPr>
        <w:t>e</w:t>
      </w:r>
      <w:r w:rsidR="008B548A">
        <w:rPr>
          <w:szCs w:val="22"/>
        </w:rPr>
        <w:t>covery</w:t>
      </w:r>
      <w:r>
        <w:rPr>
          <w:i/>
          <w:iCs/>
          <w:szCs w:val="22"/>
        </w:rPr>
        <w:t xml:space="preserve"> </w:t>
      </w:r>
      <w:r>
        <w:rPr>
          <w:szCs w:val="22"/>
        </w:rPr>
        <w:t>issued May 22, 2020</w:t>
      </w:r>
      <w:r w:rsidR="008B548A">
        <w:rPr>
          <w:szCs w:val="22"/>
        </w:rPr>
        <w:t>,</w:t>
      </w:r>
      <w:r>
        <w:rPr>
          <w:szCs w:val="22"/>
        </w:rPr>
        <w:t xml:space="preserve"> in </w:t>
      </w:r>
      <w:r>
        <w:t>A.19-08-013</w:t>
      </w:r>
      <w:r w:rsidR="008B548A">
        <w:t xml:space="preserve"> at 9</w:t>
      </w:r>
      <w:r>
        <w:t>.</w:t>
      </w:r>
    </w:p>
  </w:footnote>
  <w:footnote w:id="40">
    <w:p w14:paraId="49611221" w14:textId="77777777" w:rsidR="00987315" w:rsidRDefault="00987315" w:rsidP="00987315">
      <w:pPr>
        <w:pStyle w:val="FootnoteText"/>
      </w:pPr>
      <w:r>
        <w:rPr>
          <w:rStyle w:val="FootnoteReference"/>
        </w:rPr>
        <w:footnoteRef/>
      </w:r>
      <w:r>
        <w:t xml:space="preserve"> </w:t>
      </w:r>
      <w:r>
        <w:rPr>
          <w:rFonts w:eastAsia="MS ??"/>
        </w:rPr>
        <w:t xml:space="preserve">D.16-08-003 at 9. </w:t>
      </w:r>
      <w:r w:rsidRPr="00534EBF">
        <w:rPr>
          <w:rFonts w:eastAsia="MS ??"/>
        </w:rPr>
        <w:t xml:space="preserve"> </w:t>
      </w:r>
    </w:p>
  </w:footnote>
  <w:footnote w:id="41">
    <w:p w14:paraId="657B236E" w14:textId="77777777" w:rsidR="000F7955" w:rsidRDefault="000F7955" w:rsidP="000F7955">
      <w:pPr>
        <w:pStyle w:val="FootnoteText"/>
      </w:pPr>
      <w:r>
        <w:rPr>
          <w:rStyle w:val="FootnoteReference"/>
        </w:rPr>
        <w:footnoteRef/>
      </w:r>
      <w:r>
        <w:t xml:space="preserve"> D.23-06-004 at 10.</w:t>
      </w:r>
    </w:p>
  </w:footnote>
  <w:footnote w:id="42">
    <w:p w14:paraId="2C0154C8" w14:textId="19247B7B" w:rsidR="00987315" w:rsidRDefault="00987315" w:rsidP="00987315">
      <w:pPr>
        <w:pStyle w:val="FootnoteText"/>
      </w:pPr>
      <w:r>
        <w:rPr>
          <w:rStyle w:val="FootnoteReference"/>
        </w:rPr>
        <w:footnoteRef/>
      </w:r>
      <w:r>
        <w:t xml:space="preserve"> D.22-05-001</w:t>
      </w:r>
      <w:r w:rsidR="001A0D68">
        <w:t xml:space="preserve"> at 16;</w:t>
      </w:r>
      <w:r>
        <w:t xml:space="preserve"> ALJs’ Ruling Denying SCE’s Motion for Interim Rate Recovery </w:t>
      </w:r>
      <w:r w:rsidR="001A0D68">
        <w:t>issued May 22, 202</w:t>
      </w:r>
      <w:r w:rsidR="00A50C0F">
        <w:t>0</w:t>
      </w:r>
      <w:r w:rsidR="001A0D68">
        <w:t xml:space="preserve">, </w:t>
      </w:r>
      <w:r>
        <w:t>in A.19-08-013</w:t>
      </w:r>
      <w:r w:rsidR="001A0D68">
        <w:t xml:space="preserve"> at 11</w:t>
      </w:r>
      <w:r>
        <w:t>.</w:t>
      </w:r>
    </w:p>
  </w:footnote>
  <w:footnote w:id="43">
    <w:p w14:paraId="1EBEB001" w14:textId="77777777" w:rsidR="000F7955" w:rsidRDefault="000F7955" w:rsidP="000F7955">
      <w:pPr>
        <w:pStyle w:val="FootnoteText"/>
      </w:pPr>
      <w:r>
        <w:rPr>
          <w:rStyle w:val="FootnoteReference"/>
        </w:rPr>
        <w:footnoteRef/>
      </w:r>
      <w:r>
        <w:t xml:space="preserve"> D.23-06-004 at 10.</w:t>
      </w:r>
    </w:p>
  </w:footnote>
  <w:footnote w:id="44">
    <w:p w14:paraId="4A1E397F" w14:textId="77777777" w:rsidR="00987315" w:rsidRDefault="00987315" w:rsidP="00987315">
      <w:pPr>
        <w:pStyle w:val="FootnoteText"/>
      </w:pPr>
      <w:r>
        <w:rPr>
          <w:rStyle w:val="FootnoteReference"/>
        </w:rPr>
        <w:footnoteRef/>
      </w:r>
      <w:r>
        <w:t xml:space="preserve"> </w:t>
      </w:r>
      <w:r w:rsidRPr="00534EBF">
        <w:rPr>
          <w:rFonts w:eastAsia="MS ??"/>
        </w:rPr>
        <w:t>D.88-05-074</w:t>
      </w:r>
      <w:r>
        <w:rPr>
          <w:rFonts w:eastAsia="MS ??"/>
        </w:rPr>
        <w:t xml:space="preserve"> </w:t>
      </w:r>
      <w:r w:rsidRPr="00534EBF">
        <w:rPr>
          <w:rFonts w:eastAsia="MS ??"/>
        </w:rPr>
        <w:t>at 14</w:t>
      </w:r>
      <w:r>
        <w:rPr>
          <w:rFonts w:eastAsia="MS ??"/>
        </w:rPr>
        <w:t>; D.20-10-016 at 22.</w:t>
      </w:r>
    </w:p>
  </w:footnote>
  <w:footnote w:id="45">
    <w:p w14:paraId="681E09D8" w14:textId="77777777" w:rsidR="00137BCA" w:rsidRDefault="00137BCA" w:rsidP="00137BCA">
      <w:pPr>
        <w:pStyle w:val="FootnoteText"/>
      </w:pPr>
      <w:r>
        <w:rPr>
          <w:rStyle w:val="FootnoteReference"/>
        </w:rPr>
        <w:footnoteRef/>
      </w:r>
      <w:r>
        <w:t xml:space="preserve"> Motion at 21.</w:t>
      </w:r>
    </w:p>
  </w:footnote>
  <w:footnote w:id="46">
    <w:p w14:paraId="70482AD5" w14:textId="30FB3123" w:rsidR="00C0184E" w:rsidRDefault="00C0184E">
      <w:pPr>
        <w:pStyle w:val="FootnoteText"/>
      </w:pPr>
      <w:r>
        <w:rPr>
          <w:rStyle w:val="FootnoteReference"/>
        </w:rPr>
        <w:footnoteRef/>
      </w:r>
      <w:r>
        <w:t xml:space="preserve"> Motion at 25 and Reply to Opposition at 2.</w:t>
      </w:r>
    </w:p>
  </w:footnote>
  <w:footnote w:id="47">
    <w:p w14:paraId="2EDA8CE7" w14:textId="2DF91691" w:rsidR="00E8714A" w:rsidRPr="007E19E8" w:rsidRDefault="00E8714A">
      <w:pPr>
        <w:pStyle w:val="FootnoteText"/>
        <w:rPr>
          <w:i/>
          <w:iCs/>
        </w:rPr>
      </w:pPr>
      <w:r>
        <w:rPr>
          <w:rStyle w:val="FootnoteReference"/>
        </w:rPr>
        <w:footnoteRef/>
      </w:r>
      <w:r>
        <w:t xml:space="preserve"> </w:t>
      </w:r>
      <w:r>
        <w:rPr>
          <w:i/>
          <w:iCs/>
        </w:rPr>
        <w:t>Id.</w:t>
      </w:r>
    </w:p>
  </w:footnote>
  <w:footnote w:id="48">
    <w:p w14:paraId="3EF3B31F" w14:textId="4E0DBFB4" w:rsidR="00F42226" w:rsidRDefault="00F42226">
      <w:pPr>
        <w:pStyle w:val="FootnoteText"/>
      </w:pPr>
      <w:r>
        <w:rPr>
          <w:rStyle w:val="FootnoteReference"/>
        </w:rPr>
        <w:footnoteRef/>
      </w:r>
      <w:r>
        <w:t xml:space="preserve"> PG&amp;E Response </w:t>
      </w:r>
      <w:r w:rsidR="004267FF">
        <w:t xml:space="preserve">to </w:t>
      </w:r>
      <w:r w:rsidR="00E45B16">
        <w:t>AC/</w:t>
      </w:r>
      <w:r w:rsidR="004267FF">
        <w:t>ALJ</w:t>
      </w:r>
      <w:r w:rsidR="00E45B16">
        <w:t xml:space="preserve"> Joint</w:t>
      </w:r>
      <w:r w:rsidR="004267FF">
        <w:t xml:space="preserve"> Ruling at 1.</w:t>
      </w:r>
    </w:p>
  </w:footnote>
  <w:footnote w:id="49">
    <w:p w14:paraId="57313359" w14:textId="4FD8BC2F" w:rsidR="00E45B16" w:rsidRDefault="00E45B16">
      <w:pPr>
        <w:pStyle w:val="FootnoteText"/>
      </w:pPr>
      <w:r>
        <w:rPr>
          <w:rStyle w:val="FootnoteReference"/>
        </w:rPr>
        <w:footnoteRef/>
      </w:r>
      <w:r>
        <w:t xml:space="preserve"> PG&amp;E Response to AC/ALJ Joint Ruling at 2.</w:t>
      </w:r>
    </w:p>
  </w:footnote>
  <w:footnote w:id="50">
    <w:p w14:paraId="4956CD31" w14:textId="60E1E2EF" w:rsidR="00B6745C" w:rsidRDefault="00B6745C">
      <w:pPr>
        <w:pStyle w:val="FootnoteText"/>
      </w:pPr>
      <w:r>
        <w:rPr>
          <w:rStyle w:val="FootnoteReference"/>
        </w:rPr>
        <w:footnoteRef/>
      </w:r>
      <w:r>
        <w:t xml:space="preserve"> Cal Advocates’ Opposition to Motion at 3.</w:t>
      </w:r>
    </w:p>
  </w:footnote>
  <w:footnote w:id="51">
    <w:p w14:paraId="3D348B9F" w14:textId="1607E1A0" w:rsidR="00B6745C" w:rsidRDefault="00B6745C">
      <w:pPr>
        <w:pStyle w:val="FootnoteText"/>
      </w:pPr>
      <w:r>
        <w:rPr>
          <w:rStyle w:val="FootnoteReference"/>
        </w:rPr>
        <w:footnoteRef/>
      </w:r>
      <w:r>
        <w:t xml:space="preserve"> </w:t>
      </w:r>
      <w:r>
        <w:rPr>
          <w:i/>
          <w:iCs/>
        </w:rPr>
        <w:t>Id</w:t>
      </w:r>
      <w:r>
        <w:t>.</w:t>
      </w:r>
    </w:p>
  </w:footnote>
  <w:footnote w:id="52">
    <w:p w14:paraId="206B1358" w14:textId="2B88123A" w:rsidR="00C95B73" w:rsidRDefault="00C95B73">
      <w:pPr>
        <w:pStyle w:val="FootnoteText"/>
      </w:pPr>
      <w:r>
        <w:rPr>
          <w:rStyle w:val="FootnoteReference"/>
        </w:rPr>
        <w:footnoteRef/>
      </w:r>
      <w:r>
        <w:t xml:space="preserve"> Application at 27. PG&amp;E omitted from its request in A.23-06-008 wildfire mitigation capital costs for 2021 – 2026 because these costs were forecast in PG&amp;E’s 2023 General Rate Case (GRC). The Commission directed PG&amp;E to remove the forecast wildfire mitigation capital costs from PG&amp;E’s GRC in D.23-11-069 at 770 – 777 and Finding of Facts 402 – 405.</w:t>
      </w:r>
    </w:p>
  </w:footnote>
  <w:footnote w:id="53">
    <w:p w14:paraId="63005215" w14:textId="7FD3D0C5" w:rsidR="00481F1A" w:rsidRDefault="00481F1A">
      <w:pPr>
        <w:pStyle w:val="FootnoteText"/>
      </w:pPr>
      <w:r>
        <w:rPr>
          <w:rStyle w:val="FootnoteReference"/>
        </w:rPr>
        <w:footnoteRef/>
      </w:r>
      <w:r>
        <w:t xml:space="preserve"> D.23-11-096 at 770 – 777</w:t>
      </w:r>
      <w:r w:rsidR="00C16A28">
        <w:t xml:space="preserve"> and Finding of Facts</w:t>
      </w:r>
      <w:r>
        <w:t xml:space="preserve"> 402 -</w:t>
      </w:r>
      <w:r w:rsidR="006056C0">
        <w:t xml:space="preserve"> </w:t>
      </w:r>
      <w:r>
        <w:t>405.</w:t>
      </w:r>
      <w:r w:rsidR="00783EFC">
        <w:t xml:space="preserve"> PG&amp;E </w:t>
      </w:r>
      <w:r w:rsidR="002F6AA8">
        <w:t>has yet to introduce in the instant A.2</w:t>
      </w:r>
      <w:r w:rsidR="00906336">
        <w:t>3</w:t>
      </w:r>
      <w:r w:rsidR="002F6AA8">
        <w:t>-0</w:t>
      </w:r>
      <w:r w:rsidR="00906336">
        <w:t>6</w:t>
      </w:r>
      <w:r w:rsidR="002F6AA8">
        <w:t xml:space="preserve">-008 </w:t>
      </w:r>
      <w:r w:rsidR="00783EFC">
        <w:t>revenue requirement</w:t>
      </w:r>
      <w:r w:rsidR="002F6AA8">
        <w:t xml:space="preserve">s deducted from A.21-06-021 for capital expenditures for the years 2023 – 2026. </w:t>
      </w:r>
    </w:p>
  </w:footnote>
  <w:footnote w:id="54">
    <w:p w14:paraId="58969C35" w14:textId="012F1BFC" w:rsidR="0018638E" w:rsidRDefault="0018638E" w:rsidP="00A35180">
      <w:pPr>
        <w:pStyle w:val="FootnoteText"/>
        <w:spacing w:after="0"/>
      </w:pPr>
      <w:r>
        <w:rPr>
          <w:rStyle w:val="FootnoteReference"/>
        </w:rPr>
        <w:footnoteRef/>
      </w:r>
      <w:r>
        <w:t xml:space="preserve"> </w:t>
      </w:r>
      <w:r w:rsidR="00EB4FC0">
        <w:t>The amounts in this row reflect</w:t>
      </w:r>
      <w:r w:rsidR="007E372F">
        <w:t xml:space="preserve"> the Motion’s proposed collection of 85 percent</w:t>
      </w:r>
      <w:r w:rsidR="00F05CB7">
        <w:t>, or $583 million (excluding interest),</w:t>
      </w:r>
      <w:r w:rsidR="007E372F">
        <w:t xml:space="preserve"> of the total requested revenue requirement</w:t>
      </w:r>
      <w:r w:rsidR="00F05CB7">
        <w:t xml:space="preserve"> of $688 million (excluding interest)</w:t>
      </w:r>
      <w:r w:rsidR="007E372F">
        <w:t xml:space="preserve"> over </w:t>
      </w:r>
      <w:r w:rsidR="00F05CB7">
        <w:t xml:space="preserve">the </w:t>
      </w:r>
      <w:r w:rsidR="007E372F">
        <w:t>12</w:t>
      </w:r>
      <w:r w:rsidR="00F05CB7">
        <w:t>-</w:t>
      </w:r>
      <w:r w:rsidR="007E372F">
        <w:t>month</w:t>
      </w:r>
      <w:r w:rsidR="00F05CB7">
        <w:t xml:space="preserve"> period beginning November 1, 2023</w:t>
      </w:r>
      <w:r w:rsidR="005C4F99">
        <w:t>.</w:t>
      </w:r>
      <w:r w:rsidR="005C4F99" w:rsidRPr="005C4F99">
        <w:t xml:space="preserve"> </w:t>
      </w:r>
      <w:r w:rsidR="005C4F99">
        <w:t>PG&amp;E’s Motion proposes a collection period of 12 months beginning November 1, 2023 and does not address collection of the remainder of the full request if granted. In contrast, PG&amp;E’s application proposes collection of the remainder of the full request over periods of 12 months beginning November 1, 2024, and 14 months beginning November 1, 2025; thus 99 percent of the total requested revenue requirement would be collected in the first 24 months.</w:t>
      </w:r>
    </w:p>
  </w:footnote>
  <w:footnote w:id="55">
    <w:p w14:paraId="5ADACC0C" w14:textId="728D9CD8" w:rsidR="00B51A28" w:rsidRDefault="00B51A28" w:rsidP="00A35180">
      <w:pPr>
        <w:pStyle w:val="FootnoteText"/>
        <w:spacing w:after="0"/>
      </w:pPr>
      <w:r>
        <w:rPr>
          <w:rStyle w:val="FootnoteReference"/>
        </w:rPr>
        <w:footnoteRef/>
      </w:r>
      <w:r>
        <w:t xml:space="preserve"> PG&amp;E Reply to Opposition, showing </w:t>
      </w:r>
      <w:r w:rsidR="00EB60ED">
        <w:t>an</w:t>
      </w:r>
      <w:r>
        <w:t xml:space="preserve"> electric revenue requirement increase of $507 million increase at B-1 and D-4, and showing </w:t>
      </w:r>
      <w:r w:rsidR="00EB60ED">
        <w:t>a</w:t>
      </w:r>
      <w:r>
        <w:t xml:space="preserve"> gas revenue requirement increase of $124 million at B-3 and D-6. </w:t>
      </w:r>
    </w:p>
  </w:footnote>
  <w:footnote w:id="56">
    <w:p w14:paraId="0ED5480D" w14:textId="55F6F752" w:rsidR="00BB59F7" w:rsidRDefault="00BB59F7" w:rsidP="00A35180">
      <w:pPr>
        <w:pStyle w:val="FootnoteText"/>
        <w:spacing w:after="0"/>
      </w:pPr>
      <w:r>
        <w:rPr>
          <w:rStyle w:val="FootnoteReference"/>
        </w:rPr>
        <w:footnoteRef/>
      </w:r>
      <w:r>
        <w:t xml:space="preserve"> </w:t>
      </w:r>
      <w:r w:rsidR="0048042C">
        <w:t>Interest</w:t>
      </w:r>
      <w:r>
        <w:t xml:space="preserve"> savings of $25 million is estimated compared to PG&amp;E’s scenario of no interim relief which assumes collection commences in September 2024 over a 12 month period. Were collection to commence in September 2024 over a 26 month period as shown in Scenario #5 in Table 1, PG&amp;E estimates interest savings of $47 million (PG&amp;E Response to AC/ALJ Ruling at 10).</w:t>
      </w:r>
    </w:p>
  </w:footnote>
  <w:footnote w:id="57">
    <w:p w14:paraId="39706D51" w14:textId="7813291D" w:rsidR="00EB60ED" w:rsidRDefault="00EB60ED" w:rsidP="00A35180">
      <w:pPr>
        <w:pStyle w:val="FootnoteText"/>
        <w:spacing w:after="0"/>
      </w:pPr>
      <w:r>
        <w:rPr>
          <w:rStyle w:val="FootnoteReference"/>
        </w:rPr>
        <w:footnoteRef/>
      </w:r>
      <w:r>
        <w:t xml:space="preserve"> Exhibit A to TURN Opposition to Motion, PG&amp;E Response to TURN Data Request 2 Q 1.</w:t>
      </w:r>
    </w:p>
  </w:footnote>
  <w:footnote w:id="58">
    <w:p w14:paraId="2A9AB0EA" w14:textId="7747650E" w:rsidR="00EB60ED" w:rsidRDefault="00EB60ED" w:rsidP="00A35180">
      <w:pPr>
        <w:pStyle w:val="FootnoteText"/>
        <w:spacing w:after="0"/>
      </w:pPr>
      <w:r>
        <w:rPr>
          <w:rStyle w:val="FootnoteReference"/>
        </w:rPr>
        <w:footnoteRef/>
      </w:r>
      <w:r>
        <w:t xml:space="preserve"> </w:t>
      </w:r>
      <w:r w:rsidR="005C4F99">
        <w:rPr>
          <w:i/>
          <w:iCs/>
        </w:rPr>
        <w:t>Id.</w:t>
      </w:r>
    </w:p>
  </w:footnote>
  <w:footnote w:id="59">
    <w:p w14:paraId="6987E3D7" w14:textId="6A05944B" w:rsidR="00834B4B" w:rsidRDefault="00834B4B" w:rsidP="00A35180">
      <w:pPr>
        <w:pStyle w:val="FootnoteText"/>
        <w:spacing w:after="0"/>
      </w:pPr>
      <w:r>
        <w:rPr>
          <w:rStyle w:val="FootnoteReference"/>
        </w:rPr>
        <w:footnoteRef/>
      </w:r>
      <w:r>
        <w:t xml:space="preserve"> Motion at 24.</w:t>
      </w:r>
    </w:p>
  </w:footnote>
  <w:footnote w:id="60">
    <w:p w14:paraId="7100EC5C" w14:textId="7F633CD2" w:rsidR="00EB60ED" w:rsidRDefault="00EB60ED" w:rsidP="00A35180">
      <w:pPr>
        <w:pStyle w:val="FootnoteText"/>
        <w:spacing w:after="0"/>
      </w:pPr>
      <w:r>
        <w:rPr>
          <w:rStyle w:val="FootnoteReference"/>
        </w:rPr>
        <w:footnoteRef/>
      </w:r>
      <w:r>
        <w:t xml:space="preserve"> PG&amp;E Reply to Opposition, showing an electric revenue requirement increase of $617 million at B-1, and showing a gas revenue requirement increase of $151 million at B-3.</w:t>
      </w:r>
    </w:p>
  </w:footnote>
  <w:footnote w:id="61">
    <w:p w14:paraId="7F0E079A" w14:textId="53A55530" w:rsidR="00A107FF" w:rsidRDefault="00A107FF" w:rsidP="00A35180">
      <w:pPr>
        <w:pStyle w:val="FootnoteText"/>
        <w:spacing w:after="0"/>
      </w:pPr>
      <w:r>
        <w:rPr>
          <w:rStyle w:val="FootnoteReference"/>
        </w:rPr>
        <w:footnoteRef/>
      </w:r>
      <w:r>
        <w:t xml:space="preserve"> PG&amp;E Reply to Opposition, showing an electric revenue requirement increase of $627 million at B-1, and showing a gas revenue requirement increase of $154 million at B-3.</w:t>
      </w:r>
    </w:p>
  </w:footnote>
  <w:footnote w:id="62">
    <w:p w14:paraId="33FFA312" w14:textId="0EDD58CC" w:rsidR="0009621B" w:rsidRDefault="0009621B">
      <w:pPr>
        <w:pStyle w:val="FootnoteText"/>
      </w:pPr>
      <w:r>
        <w:rPr>
          <w:rStyle w:val="FootnoteReference"/>
        </w:rPr>
        <w:footnoteRef/>
      </w:r>
      <w:r>
        <w:t xml:space="preserve"> The Commission’s affordability framework defines the household budget by deducting housing costs, including the cost of other utility bills, from the income. See D.22-08-023 for additional information.</w:t>
      </w:r>
    </w:p>
  </w:footnote>
  <w:footnote w:id="63">
    <w:p w14:paraId="51CC51A1" w14:textId="5BA5BBEA" w:rsidR="00F73FF7" w:rsidRPr="00BF66DE" w:rsidRDefault="00F73FF7">
      <w:pPr>
        <w:pStyle w:val="FootnoteText"/>
        <w:rPr>
          <w:b/>
          <w:bCs/>
        </w:rPr>
      </w:pPr>
      <w:r>
        <w:rPr>
          <w:rStyle w:val="FootnoteReference"/>
        </w:rPr>
        <w:footnoteRef/>
      </w:r>
      <w:r>
        <w:t xml:space="preserve"> Values of AR50, AR20, Hours at Minimum Wage and Area of Concern are the sum of the values found in gas and electric nonCARE tables in Exhibit E to A.23-06-008 and in Attachment B to PGE Response to AC/ALJ Ruling</w:t>
      </w:r>
      <w:r w:rsidR="00A97326">
        <w:t>, and are based on the 2020 Affordability Ratio Calculator released July 2022</w:t>
      </w:r>
      <w:r w:rsidR="00CB759D">
        <w:t>.</w:t>
      </w:r>
      <w:r w:rsidR="00A97326">
        <w:t xml:space="preserve"> </w:t>
      </w:r>
      <w:r>
        <w:t xml:space="preserve">It is technically incorrect to sum gas and electric affordability metrics </w:t>
      </w:r>
      <w:r w:rsidR="00E963B7">
        <w:t>due to the difference in the</w:t>
      </w:r>
      <w:r>
        <w:t xml:space="preserve"> denominator</w:t>
      </w:r>
      <w:r w:rsidR="00E963B7">
        <w:t xml:space="preserve">. The sum is presented for illustrative purposes as the difference is </w:t>
      </w:r>
      <w:r w:rsidR="00CB759D">
        <w:t>miniscule.</w:t>
      </w:r>
      <w:r w:rsidR="00A97326">
        <w:t xml:space="preserve"> </w:t>
      </w:r>
    </w:p>
  </w:footnote>
  <w:footnote w:id="64">
    <w:p w14:paraId="5C48A2E0" w14:textId="52CF5DB5" w:rsidR="00C06ABF" w:rsidRDefault="00C06ABF" w:rsidP="00C06ABF">
      <w:pPr>
        <w:pStyle w:val="FootnoteText"/>
      </w:pPr>
      <w:r>
        <w:rPr>
          <w:rStyle w:val="FootnoteReference"/>
        </w:rPr>
        <w:footnoteRef/>
      </w:r>
      <w:r>
        <w:t xml:space="preserve"> Illustrative average residential customer bill impacts associated with implementation of PG&amp;E 2023 GRC rates on January 1, 2024 as provided in A.21-06-021 Email Ruling </w:t>
      </w:r>
      <w:r w:rsidR="00234452">
        <w:t>w</w:t>
      </w:r>
      <w:r>
        <w:t>ith Illustrative Rates for September 13, 2023 Proposed Decision and Alternate dated September 25, 2023.</w:t>
      </w:r>
    </w:p>
  </w:footnote>
  <w:footnote w:id="65">
    <w:p w14:paraId="343BB041" w14:textId="31BA10C9" w:rsidR="00FD7696" w:rsidRDefault="00FD7696" w:rsidP="00FD7696">
      <w:pPr>
        <w:pStyle w:val="FootnoteText"/>
      </w:pPr>
      <w:r>
        <w:rPr>
          <w:rStyle w:val="FootnoteReference"/>
        </w:rPr>
        <w:footnoteRef/>
      </w:r>
      <w:r w:rsidR="00363876">
        <w:rPr>
          <w:i/>
          <w:iCs/>
        </w:rPr>
        <w:t>Id</w:t>
      </w:r>
      <w:r>
        <w:t>.</w:t>
      </w:r>
    </w:p>
  </w:footnote>
  <w:footnote w:id="66">
    <w:p w14:paraId="699D594B" w14:textId="77777777" w:rsidR="00C06ABF" w:rsidRDefault="00C06ABF" w:rsidP="00C06ABF">
      <w:pPr>
        <w:pStyle w:val="FootnoteText"/>
      </w:pPr>
      <w:r>
        <w:rPr>
          <w:rStyle w:val="FootnoteReference"/>
        </w:rPr>
        <w:footnoteRef/>
      </w:r>
      <w:r>
        <w:t xml:space="preserve"> A typical residential electric customer is a residential electric customer not enrolled in the low-income discount rate buying bundled electric service at the $/kWh rate displayed in Table 1 of Exhibit B to A.23-06-008. The name of the low-income discount rate program is California Alternate Rates for Energy (CARE).</w:t>
      </w:r>
    </w:p>
    <w:p w14:paraId="54777DFE" w14:textId="77777777" w:rsidR="00C06ABF" w:rsidRDefault="00C06ABF" w:rsidP="00C06ABF">
      <w:pPr>
        <w:pStyle w:val="FootnoteText"/>
      </w:pPr>
      <w:r>
        <w:t xml:space="preserve">PG&amp;E does not define typical usage. However, PG&amp;E presents average bill by climate zone, for residential electric CARE and non-CARE customers in Exhibit E to A.23-06-008.  </w:t>
      </w:r>
    </w:p>
  </w:footnote>
  <w:footnote w:id="67">
    <w:p w14:paraId="07295AC2" w14:textId="77777777" w:rsidR="00C06ABF" w:rsidRDefault="00C06ABF" w:rsidP="00C06ABF">
      <w:pPr>
        <w:pStyle w:val="FootnoteText"/>
      </w:pPr>
      <w:r>
        <w:rPr>
          <w:rStyle w:val="FootnoteReference"/>
        </w:rPr>
        <w:footnoteRef/>
      </w:r>
      <w:r>
        <w:t xml:space="preserve"> For bills by defined customer groups, see Exhibit E to A.23-06-008. </w:t>
      </w:r>
    </w:p>
  </w:footnote>
  <w:footnote w:id="68">
    <w:p w14:paraId="592B3EAA" w14:textId="43EFFBF3" w:rsidR="004322C1" w:rsidRDefault="004322C1" w:rsidP="004322C1">
      <w:pPr>
        <w:pStyle w:val="FootnoteText"/>
      </w:pPr>
      <w:r>
        <w:rPr>
          <w:rStyle w:val="FootnoteReference"/>
        </w:rPr>
        <w:footnoteRef/>
      </w:r>
      <w:r>
        <w:t xml:space="preserve"> A</w:t>
      </w:r>
      <w:r w:rsidR="00E1619E">
        <w:t xml:space="preserve"> </w:t>
      </w:r>
      <w:r>
        <w:t>typical residential electric customer is a residential electric customer not enrolled in the low-income discount rate buying bundled electric service at the $/kWh rate displayed in Table 1 of Exhibit B to A.23-06-008. The name of the low-income discount rate program is California Alternate Rates for Energy (CARE).</w:t>
      </w:r>
    </w:p>
    <w:p w14:paraId="6B0FD77F" w14:textId="77777777" w:rsidR="004322C1" w:rsidRDefault="004322C1" w:rsidP="004322C1">
      <w:pPr>
        <w:pStyle w:val="FootnoteText"/>
      </w:pPr>
      <w:r>
        <w:t xml:space="preserve">PG&amp;E does not define typical usage. However, PG&amp;E presents average bill by climate zone, for residential electric CARE and non-CARE customers in Exhibit E to A.23-06-008.  </w:t>
      </w:r>
    </w:p>
  </w:footnote>
  <w:footnote w:id="69">
    <w:p w14:paraId="4E5296B8" w14:textId="50BDD5AC" w:rsidR="00E963B7" w:rsidRDefault="00E963B7">
      <w:pPr>
        <w:pStyle w:val="FootnoteText"/>
      </w:pPr>
      <w:r>
        <w:rPr>
          <w:rStyle w:val="FootnoteReference"/>
        </w:rPr>
        <w:footnoteRef/>
      </w:r>
      <w:r>
        <w:t xml:space="preserve"> Values of AR50, AR20, Hours at Minimum Wage and Area of Concern are the sum of the values found in gas and electric CARE tables in Exhibit E to A.23-06-008 and in Attachment B to PGE Response to AC/ALJ Ruling</w:t>
      </w:r>
      <w:r w:rsidR="00A97326">
        <w:t>, and are based on the 2020 Affordability Ratio Calculator ARC released July 2022</w:t>
      </w:r>
      <w:r w:rsidR="00CB759D">
        <w:t>.</w:t>
      </w:r>
      <w:r w:rsidR="00A97326">
        <w:t xml:space="preserve"> </w:t>
      </w:r>
      <w:r>
        <w:t>It is technically incorrect to sum gas and electric affordability metrics due to the difference in the denominator. The sum is presented for illustrative purposes.</w:t>
      </w:r>
      <w:r w:rsidR="00A97326">
        <w:t xml:space="preserve"> </w:t>
      </w:r>
    </w:p>
  </w:footnote>
  <w:footnote w:id="70">
    <w:p w14:paraId="588B8404" w14:textId="77777777" w:rsidR="00C06ABF" w:rsidRDefault="00C06ABF" w:rsidP="00C06ABF">
      <w:pPr>
        <w:pStyle w:val="FootnoteText"/>
      </w:pPr>
      <w:r>
        <w:rPr>
          <w:rStyle w:val="FootnoteReference"/>
        </w:rPr>
        <w:footnoteRef/>
      </w:r>
      <w:r>
        <w:t xml:space="preserve"> Affordability impacts reflect the essential use bills, not the average bills.</w:t>
      </w:r>
    </w:p>
  </w:footnote>
  <w:footnote w:id="71">
    <w:p w14:paraId="7B54687D" w14:textId="77777777" w:rsidR="00C06ABF" w:rsidRDefault="00C06ABF" w:rsidP="00C06ABF">
      <w:pPr>
        <w:pStyle w:val="FootnoteText"/>
      </w:pPr>
      <w:r>
        <w:rPr>
          <w:rStyle w:val="FootnoteReference"/>
        </w:rPr>
        <w:footnoteRef/>
      </w:r>
      <w:r>
        <w:t xml:space="preserve"> Illustrative average residential customer bill impacts associated with implementation of PG&amp;E 2023 GRC rates on January 1, 2024 as provided in A.21-06-021 Email Ruling With Illustrative Rates for September 13, 2023 Proposed Decision and Alternate dated September 25, 2023.</w:t>
      </w:r>
    </w:p>
  </w:footnote>
  <w:footnote w:id="72">
    <w:p w14:paraId="31F873D7" w14:textId="071BE680" w:rsidR="00FD7696" w:rsidRPr="00B34055" w:rsidRDefault="00FD7696" w:rsidP="00FD7696">
      <w:pPr>
        <w:pStyle w:val="FootnoteText"/>
        <w:rPr>
          <w:i/>
          <w:iCs/>
        </w:rPr>
      </w:pPr>
      <w:r>
        <w:rPr>
          <w:rStyle w:val="FootnoteReference"/>
        </w:rPr>
        <w:footnoteRef/>
      </w:r>
      <w:r>
        <w:t xml:space="preserve"> </w:t>
      </w:r>
      <w:r w:rsidR="00B34055">
        <w:rPr>
          <w:i/>
          <w:iCs/>
        </w:rPr>
        <w:t>Id.</w:t>
      </w:r>
    </w:p>
  </w:footnote>
  <w:footnote w:id="73">
    <w:p w14:paraId="0B219B21" w14:textId="77777777" w:rsidR="00C06ABF" w:rsidRDefault="00C06ABF" w:rsidP="00C06ABF">
      <w:pPr>
        <w:pStyle w:val="FootnoteText"/>
      </w:pPr>
      <w:r>
        <w:rPr>
          <w:rStyle w:val="FootnoteReference"/>
        </w:rPr>
        <w:footnoteRef/>
      </w:r>
      <w:r>
        <w:t xml:space="preserve"> Without the CARE discount, these customers’ essential use bills equate to 42 percent of their income-after-housing each month.</w:t>
      </w:r>
    </w:p>
  </w:footnote>
  <w:footnote w:id="74">
    <w:p w14:paraId="3ED6C25A" w14:textId="5EF37CD1" w:rsidR="00A77C00" w:rsidRDefault="00A77C00" w:rsidP="00A77C00">
      <w:pPr>
        <w:pStyle w:val="FootnoteText"/>
      </w:pPr>
      <w:r>
        <w:rPr>
          <w:rStyle w:val="FootnoteReference"/>
        </w:rPr>
        <w:footnoteRef/>
      </w:r>
      <w:r>
        <w:t xml:space="preserve"> PG&amp;E Reply to Opposition at 13. </w:t>
      </w:r>
    </w:p>
  </w:footnote>
  <w:footnote w:id="75">
    <w:p w14:paraId="4FEAC5DB" w14:textId="77777777" w:rsidR="00A77C00" w:rsidRDefault="00A77C00" w:rsidP="00A77C00">
      <w:pPr>
        <w:pStyle w:val="FootnoteText"/>
      </w:pPr>
      <w:r>
        <w:rPr>
          <w:rStyle w:val="FootnoteReference"/>
        </w:rPr>
        <w:footnoteRef/>
      </w:r>
      <w:r>
        <w:t xml:space="preserve"> D.20-05-053 at 85.</w:t>
      </w:r>
    </w:p>
  </w:footnote>
  <w:footnote w:id="76">
    <w:p w14:paraId="7CB54BE8" w14:textId="77777777" w:rsidR="00A77C00" w:rsidRDefault="00A77C00" w:rsidP="00A77C00">
      <w:pPr>
        <w:pStyle w:val="FootnoteText"/>
      </w:pPr>
      <w:r>
        <w:rPr>
          <w:rStyle w:val="FootnoteReference"/>
        </w:rPr>
        <w:footnoteRef/>
      </w:r>
      <w:r>
        <w:t xml:space="preserve"> PG&amp;E Advice Letter 7104_E dated December 18, 2023 at 5.</w:t>
      </w:r>
    </w:p>
  </w:footnote>
  <w:footnote w:id="77">
    <w:p w14:paraId="522DEBF5" w14:textId="77777777" w:rsidR="00A77C00" w:rsidRDefault="00A77C00" w:rsidP="00A77C00">
      <w:pPr>
        <w:pStyle w:val="FootnoteText"/>
      </w:pPr>
      <w:r>
        <w:rPr>
          <w:rStyle w:val="FootnoteReference"/>
        </w:rPr>
        <w:footnoteRef/>
      </w:r>
      <w:r>
        <w:t xml:space="preserve"> </w:t>
      </w:r>
      <w:r>
        <w:rPr>
          <w:i/>
          <w:iCs/>
        </w:rPr>
        <w:t>Id</w:t>
      </w:r>
      <w:r>
        <w:t>.</w:t>
      </w:r>
    </w:p>
  </w:footnote>
  <w:footnote w:id="78">
    <w:p w14:paraId="46C1E667" w14:textId="77777777" w:rsidR="00A77C00" w:rsidRDefault="00A77C00" w:rsidP="00A77C00">
      <w:pPr>
        <w:pStyle w:val="FootnoteText"/>
      </w:pPr>
      <w:r>
        <w:rPr>
          <w:rStyle w:val="FootnoteReference"/>
        </w:rPr>
        <w:footnoteRef/>
      </w:r>
      <w:r>
        <w:t xml:space="preserve"> PG&amp;E Motion at 4, 28 – 29.</w:t>
      </w:r>
    </w:p>
  </w:footnote>
  <w:footnote w:id="79">
    <w:p w14:paraId="17B0D370" w14:textId="77777777" w:rsidR="00A77C00" w:rsidRDefault="00A77C00" w:rsidP="00A77C00">
      <w:pPr>
        <w:pStyle w:val="FootnoteText"/>
      </w:pPr>
      <w:r>
        <w:rPr>
          <w:rStyle w:val="FootnoteReference"/>
        </w:rPr>
        <w:footnoteRef/>
      </w:r>
      <w:r>
        <w:t xml:space="preserve"> PG&amp;E’s total unrecovered balance as of June 30, 2023 excluding all balancing and memorandum accounts authorized for recovery. PG&amp;E Response to ALJ Ruling at 9.</w:t>
      </w:r>
    </w:p>
  </w:footnote>
  <w:footnote w:id="80">
    <w:p w14:paraId="75AC373E" w14:textId="77777777" w:rsidR="00A77C00" w:rsidRDefault="00A77C00" w:rsidP="00A77C00">
      <w:pPr>
        <w:pStyle w:val="FootnoteText"/>
      </w:pPr>
      <w:r>
        <w:rPr>
          <w:rStyle w:val="FootnoteReference"/>
        </w:rPr>
        <w:footnoteRef/>
      </w:r>
      <w:r>
        <w:t xml:space="preserve"> TURN Opposition to Motion at 7 – 8.</w:t>
      </w:r>
    </w:p>
  </w:footnote>
  <w:footnote w:id="81">
    <w:p w14:paraId="6AD03145" w14:textId="77777777" w:rsidR="00A77C00" w:rsidRDefault="00A77C00" w:rsidP="00A77C00">
      <w:pPr>
        <w:pStyle w:val="FootnoteText"/>
      </w:pPr>
      <w:r>
        <w:rPr>
          <w:rStyle w:val="FootnoteReference"/>
        </w:rPr>
        <w:footnoteRef/>
      </w:r>
      <w:r>
        <w:t xml:space="preserve"> TURN Opposition to Motion at 9.</w:t>
      </w:r>
    </w:p>
  </w:footnote>
  <w:footnote w:id="82">
    <w:p w14:paraId="4FFF05B3" w14:textId="77777777" w:rsidR="00A77C00" w:rsidRPr="004C7359" w:rsidRDefault="00A77C00" w:rsidP="00A77C00">
      <w:pPr>
        <w:pStyle w:val="FootnoteText"/>
        <w:rPr>
          <w:i/>
          <w:iCs/>
        </w:rPr>
      </w:pPr>
      <w:r>
        <w:rPr>
          <w:rStyle w:val="FootnoteReference"/>
        </w:rPr>
        <w:footnoteRef/>
      </w:r>
      <w:r>
        <w:t xml:space="preserve"> </w:t>
      </w:r>
      <w:r>
        <w:rPr>
          <w:i/>
          <w:iCs/>
        </w:rPr>
        <w:t>Id.</w:t>
      </w:r>
    </w:p>
  </w:footnote>
  <w:footnote w:id="83">
    <w:p w14:paraId="058A7195" w14:textId="77777777" w:rsidR="00A77C00" w:rsidRDefault="00A77C00" w:rsidP="00A77C00">
      <w:pPr>
        <w:pStyle w:val="FootnoteText"/>
      </w:pPr>
      <w:r>
        <w:rPr>
          <w:rStyle w:val="FootnoteReference"/>
        </w:rPr>
        <w:footnoteRef/>
      </w:r>
      <w:r>
        <w:t xml:space="preserve"> D.20-10-026 and D.23-06-004. </w:t>
      </w:r>
    </w:p>
  </w:footnote>
  <w:footnote w:id="84">
    <w:p w14:paraId="2B341488" w14:textId="2E4A7971" w:rsidR="00A77C00" w:rsidRDefault="00A77C00" w:rsidP="00A77C00">
      <w:pPr>
        <w:pStyle w:val="FootnoteText"/>
      </w:pPr>
      <w:r>
        <w:rPr>
          <w:rStyle w:val="FootnoteReference"/>
        </w:rPr>
        <w:footnoteRef/>
      </w:r>
      <w:r>
        <w:t xml:space="preserve"> </w:t>
      </w:r>
      <w:r w:rsidRPr="008033D4">
        <w:t>Supporting</w:t>
      </w:r>
      <w:r>
        <w:t xml:space="preserve"> Declaration of Margaret Becker </w:t>
      </w:r>
      <w:r w:rsidR="0029423E">
        <w:t xml:space="preserve">to Motion </w:t>
      </w:r>
      <w:r>
        <w:t>at para</w:t>
      </w:r>
      <w:r w:rsidR="0029423E">
        <w:t>graph</w:t>
      </w:r>
      <w:r>
        <w:t xml:space="preserve"> 35.</w:t>
      </w:r>
    </w:p>
  </w:footnote>
  <w:footnote w:id="85">
    <w:p w14:paraId="0804701D" w14:textId="4F58F9DA" w:rsidR="00A77C00" w:rsidRDefault="00A77C00" w:rsidP="00A77C00">
      <w:pPr>
        <w:pStyle w:val="FootnoteText"/>
      </w:pPr>
      <w:r>
        <w:rPr>
          <w:rStyle w:val="FootnoteReference"/>
        </w:rPr>
        <w:footnoteRef/>
      </w:r>
      <w:r>
        <w:t xml:space="preserve"> </w:t>
      </w:r>
      <w:r w:rsidR="00370F32" w:rsidRPr="00370F32">
        <w:rPr>
          <w:i/>
          <w:iCs/>
        </w:rPr>
        <w:t>Ibid.</w:t>
      </w:r>
      <w:r w:rsidR="008048B3">
        <w:t xml:space="preserve"> </w:t>
      </w:r>
      <w:r>
        <w:t>at para</w:t>
      </w:r>
      <w:r w:rsidR="008048B3">
        <w:t>graph</w:t>
      </w:r>
      <w:r>
        <w:t xml:space="preserve"> 29</w:t>
      </w:r>
      <w:r w:rsidR="008048B3">
        <w:t>.</w:t>
      </w:r>
    </w:p>
  </w:footnote>
  <w:footnote w:id="86">
    <w:p w14:paraId="2D4DBFAF" w14:textId="77777777" w:rsidR="00A77C00" w:rsidRDefault="00A77C00" w:rsidP="00A77C00">
      <w:pPr>
        <w:pStyle w:val="FootnoteText"/>
      </w:pPr>
      <w:r>
        <w:rPr>
          <w:rStyle w:val="FootnoteReference"/>
        </w:rPr>
        <w:footnoteRef/>
      </w:r>
      <w:r>
        <w:t xml:space="preserve"> TURN Opposition to Motion at 9.</w:t>
      </w:r>
    </w:p>
  </w:footnote>
  <w:footnote w:id="87">
    <w:p w14:paraId="1ABF6A6D" w14:textId="77777777" w:rsidR="00A77C00" w:rsidRDefault="00A77C00" w:rsidP="00A77C00">
      <w:pPr>
        <w:pStyle w:val="FootnoteText"/>
      </w:pPr>
      <w:r>
        <w:rPr>
          <w:rStyle w:val="FootnoteReference"/>
        </w:rPr>
        <w:footnoteRef/>
      </w:r>
      <w:r>
        <w:t xml:space="preserve"> PG&amp;E Reply to Opposition at 14.</w:t>
      </w:r>
    </w:p>
  </w:footnote>
  <w:footnote w:id="88">
    <w:p w14:paraId="3C62A6DF" w14:textId="15B91909" w:rsidR="00A77C00" w:rsidRDefault="00A77C00" w:rsidP="00A77C00">
      <w:pPr>
        <w:pStyle w:val="FootnoteText"/>
      </w:pPr>
      <w:r>
        <w:rPr>
          <w:rStyle w:val="FootnoteReference"/>
        </w:rPr>
        <w:footnoteRef/>
      </w:r>
      <w:r>
        <w:t xml:space="preserve"> </w:t>
      </w:r>
      <w:r w:rsidR="00370F32" w:rsidRPr="00370F32">
        <w:rPr>
          <w:i/>
          <w:iCs/>
        </w:rPr>
        <w:t>Id.</w:t>
      </w:r>
    </w:p>
  </w:footnote>
  <w:footnote w:id="89">
    <w:p w14:paraId="7B77EBE9" w14:textId="647DCA3A" w:rsidR="00A54889" w:rsidRDefault="00A54889">
      <w:pPr>
        <w:pStyle w:val="FootnoteText"/>
      </w:pPr>
      <w:r>
        <w:rPr>
          <w:rStyle w:val="FootnoteReference"/>
        </w:rPr>
        <w:footnoteRef/>
      </w:r>
      <w:r>
        <w:t xml:space="preserve"> Motion at 4 and Reply to Opposition to Motion at 14.</w:t>
      </w:r>
    </w:p>
  </w:footnote>
  <w:footnote w:id="90">
    <w:p w14:paraId="38149673" w14:textId="294CA85E" w:rsidR="00A54889" w:rsidRDefault="00A54889">
      <w:pPr>
        <w:pStyle w:val="FootnoteText"/>
      </w:pPr>
      <w:r>
        <w:rPr>
          <w:rStyle w:val="FootnoteReference"/>
        </w:rPr>
        <w:footnoteRef/>
      </w:r>
      <w:r>
        <w:t xml:space="preserve"> PGE Response to AC/ALJ Ruling at 9.</w:t>
      </w:r>
    </w:p>
  </w:footnote>
  <w:footnote w:id="91">
    <w:p w14:paraId="72193B3A" w14:textId="2D794CB6" w:rsidR="00A77C00" w:rsidRDefault="00A77C00" w:rsidP="00A77C00">
      <w:pPr>
        <w:pStyle w:val="FootnoteText"/>
      </w:pPr>
      <w:r>
        <w:rPr>
          <w:rStyle w:val="FootnoteReference"/>
        </w:rPr>
        <w:footnoteRef/>
      </w:r>
      <w:r>
        <w:t xml:space="preserve"> </w:t>
      </w:r>
      <w:r w:rsidR="00370F32" w:rsidRPr="00370F32">
        <w:rPr>
          <w:i/>
          <w:iCs/>
        </w:rPr>
        <w:t>Id</w:t>
      </w:r>
      <w:r w:rsidR="00370F32">
        <w:t>.</w:t>
      </w:r>
    </w:p>
  </w:footnote>
  <w:footnote w:id="92">
    <w:p w14:paraId="097C1566" w14:textId="77777777" w:rsidR="00A54889" w:rsidRDefault="00A54889" w:rsidP="00A54889">
      <w:pPr>
        <w:pStyle w:val="FootnoteText"/>
      </w:pPr>
      <w:r>
        <w:rPr>
          <w:rStyle w:val="FootnoteReference"/>
        </w:rPr>
        <w:footnoteRef/>
      </w:r>
      <w:r>
        <w:t xml:space="preserve"> </w:t>
      </w:r>
      <w:r w:rsidRPr="008033D4">
        <w:t>Supporting</w:t>
      </w:r>
      <w:r>
        <w:t xml:space="preserve"> Declaration of Margaret Becker to Motion at paragraph 21.</w:t>
      </w:r>
    </w:p>
  </w:footnote>
  <w:footnote w:id="93">
    <w:p w14:paraId="61B49C2E" w14:textId="5BFB8E46" w:rsidR="00A77C00" w:rsidRDefault="00A77C00" w:rsidP="00A77C00">
      <w:pPr>
        <w:pStyle w:val="FootnoteText"/>
      </w:pPr>
      <w:r>
        <w:rPr>
          <w:rStyle w:val="FootnoteReference"/>
        </w:rPr>
        <w:footnoteRef/>
      </w:r>
      <w:r>
        <w:t xml:space="preserve"> PG&amp;E Response to </w:t>
      </w:r>
      <w:r w:rsidR="0003756D">
        <w:t>AC/</w:t>
      </w:r>
      <w:r>
        <w:t>ALJ Ruling at 9.</w:t>
      </w:r>
    </w:p>
  </w:footnote>
  <w:footnote w:id="94">
    <w:p w14:paraId="68D87FC1" w14:textId="77777777" w:rsidR="00A77C00" w:rsidRDefault="00A77C00" w:rsidP="00A77C00">
      <w:pPr>
        <w:pStyle w:val="FootnoteText"/>
      </w:pPr>
      <w:r>
        <w:rPr>
          <w:rStyle w:val="FootnoteReference"/>
        </w:rPr>
        <w:footnoteRef/>
      </w:r>
      <w:r>
        <w:t xml:space="preserve"> D.22-08-023 at FoF 2.</w:t>
      </w:r>
    </w:p>
  </w:footnote>
  <w:footnote w:id="95">
    <w:p w14:paraId="54A9F04B" w14:textId="08CD5AA1" w:rsidR="00A77C00" w:rsidRDefault="00A77C00" w:rsidP="00A77C00">
      <w:pPr>
        <w:pStyle w:val="FootnoteText"/>
      </w:pPr>
      <w:r>
        <w:rPr>
          <w:rStyle w:val="FootnoteReference"/>
        </w:rPr>
        <w:footnoteRef/>
      </w:r>
      <w:r>
        <w:t xml:space="preserve"> </w:t>
      </w:r>
      <w:r w:rsidR="00370F32" w:rsidRPr="00370F32">
        <w:rPr>
          <w:i/>
          <w:iCs/>
        </w:rPr>
        <w:t>Ibid.</w:t>
      </w:r>
      <w:r>
        <w:t xml:space="preserve"> at Fo</w:t>
      </w:r>
      <w:r w:rsidR="0003756D">
        <w:t>F</w:t>
      </w:r>
      <w:r>
        <w:t xml:space="preserve"> 3 – 11, CoL 7 – 9.</w:t>
      </w:r>
    </w:p>
  </w:footnote>
  <w:footnote w:id="96">
    <w:p w14:paraId="5361C6BC" w14:textId="4EFB6C7E" w:rsidR="00604B91" w:rsidRDefault="00604B91">
      <w:pPr>
        <w:pStyle w:val="FootnoteText"/>
      </w:pPr>
      <w:r>
        <w:rPr>
          <w:rStyle w:val="FootnoteReference"/>
        </w:rPr>
        <w:footnoteRef/>
      </w:r>
      <w:r>
        <w:t xml:space="preserve"> PG&amp;E states its</w:t>
      </w:r>
      <w:r w:rsidRPr="00A77C00">
        <w:t xml:space="preserve"> undercollections </w:t>
      </w:r>
      <w:r>
        <w:t>were less than</w:t>
      </w:r>
      <w:r w:rsidRPr="00A77C00">
        <w:t xml:space="preserve"> $1 billion prior to 2018.</w:t>
      </w:r>
    </w:p>
  </w:footnote>
  <w:footnote w:id="97">
    <w:p w14:paraId="16745DA4" w14:textId="11609365" w:rsidR="00A77C00" w:rsidRDefault="00A77C00" w:rsidP="00A77C00">
      <w:pPr>
        <w:pStyle w:val="FootnoteText"/>
      </w:pPr>
      <w:r>
        <w:rPr>
          <w:rStyle w:val="FootnoteReference"/>
        </w:rPr>
        <w:footnoteRef/>
      </w:r>
      <w:r>
        <w:t xml:space="preserve"> PG&amp;E Response to </w:t>
      </w:r>
      <w:r w:rsidR="008172C7">
        <w:t>AC/</w:t>
      </w:r>
      <w:r>
        <w:t>ALJ Ruling at 2.</w:t>
      </w:r>
    </w:p>
  </w:footnote>
  <w:footnote w:id="98">
    <w:p w14:paraId="2353D10E" w14:textId="604F9139" w:rsidR="00DE6D73" w:rsidRDefault="00DE6D73">
      <w:pPr>
        <w:pStyle w:val="FootnoteText"/>
      </w:pPr>
      <w:r>
        <w:rPr>
          <w:rStyle w:val="FootnoteReference"/>
        </w:rPr>
        <w:footnoteRef/>
      </w:r>
      <w:r>
        <w:t xml:space="preserve"> PG&amp;E Reply</w:t>
      </w:r>
      <w:r w:rsidR="00793897">
        <w:t xml:space="preserve"> to Opposition at 5.</w:t>
      </w:r>
    </w:p>
  </w:footnote>
  <w:footnote w:id="99">
    <w:p w14:paraId="12697716" w14:textId="2F6199FE" w:rsidR="00A77C00" w:rsidRDefault="00A77C00" w:rsidP="00A77C00">
      <w:pPr>
        <w:pStyle w:val="FootnoteText"/>
      </w:pPr>
      <w:r>
        <w:rPr>
          <w:rStyle w:val="FootnoteReference"/>
        </w:rPr>
        <w:footnoteRef/>
      </w:r>
      <w:r>
        <w:t xml:space="preserve"> PG&amp;E Response to </w:t>
      </w:r>
      <w:r w:rsidR="008172C7">
        <w:t>AC/</w:t>
      </w:r>
      <w:r>
        <w:t>ALJ Ruling at 3.</w:t>
      </w:r>
    </w:p>
  </w:footnote>
  <w:footnote w:id="100">
    <w:p w14:paraId="730A31C6" w14:textId="77777777" w:rsidR="00A77C00" w:rsidRPr="008B0EBF" w:rsidRDefault="00A77C00" w:rsidP="00A77C00">
      <w:pPr>
        <w:pStyle w:val="FootnoteText"/>
      </w:pPr>
      <w:r>
        <w:rPr>
          <w:rStyle w:val="FootnoteReference"/>
        </w:rPr>
        <w:footnoteRef/>
      </w:r>
      <w:r>
        <w:t xml:space="preserve"> PG&amp;E Reply dated July 28, 2023 to Responses to Motion at 4.</w:t>
      </w:r>
    </w:p>
  </w:footnote>
  <w:footnote w:id="101">
    <w:p w14:paraId="69246E44" w14:textId="291B3BA1" w:rsidR="00A77C00" w:rsidRDefault="00A77C00" w:rsidP="00A77C00">
      <w:pPr>
        <w:pStyle w:val="FootnoteText"/>
      </w:pPr>
      <w:r>
        <w:rPr>
          <w:rStyle w:val="FootnoteReference"/>
        </w:rPr>
        <w:footnoteRef/>
      </w:r>
      <w:r>
        <w:t xml:space="preserve"> PG&amp;E Q4 2023 Revenue Requirement Report or associated Tracker filed </w:t>
      </w:r>
      <w:r w:rsidR="001E2391">
        <w:t>March</w:t>
      </w:r>
      <w:r>
        <w:t xml:space="preserve"> 1, 202</w:t>
      </w:r>
      <w:r w:rsidR="001E2391">
        <w:t>4</w:t>
      </w:r>
      <w:r>
        <w:t xml:space="preserve"> in R.18-07-006. The dotted line is created by removing collection of interim 2020 </w:t>
      </w:r>
      <w:r w:rsidR="00EE11DA">
        <w:t xml:space="preserve">WMCE </w:t>
      </w:r>
      <w:r>
        <w:t>revenue in January 1, 2022</w:t>
      </w:r>
      <w:r w:rsidR="00793897">
        <w:t>,</w:t>
      </w:r>
      <w:r>
        <w:t xml:space="preserve"> and March 1, 2022</w:t>
      </w:r>
      <w:r w:rsidR="00793897">
        <w:t>,</w:t>
      </w:r>
      <w:r>
        <w:t xml:space="preserve"> and including the same amount of collection beginning March 1, 2023.</w:t>
      </w:r>
    </w:p>
  </w:footnote>
  <w:footnote w:id="102">
    <w:p w14:paraId="35A711ED" w14:textId="77777777" w:rsidR="00A77C00" w:rsidRDefault="00A77C00" w:rsidP="00A77C00">
      <w:pPr>
        <w:pStyle w:val="FootnoteText"/>
      </w:pPr>
      <w:r>
        <w:rPr>
          <w:rStyle w:val="FootnoteReference"/>
        </w:rPr>
        <w:footnoteRef/>
      </w:r>
      <w:r>
        <w:t xml:space="preserve"> TURN Response to ALJ Ruling at 2.</w:t>
      </w:r>
    </w:p>
  </w:footnote>
  <w:footnote w:id="103">
    <w:p w14:paraId="6567882A" w14:textId="33B0464D" w:rsidR="00A77C00" w:rsidRDefault="00A77C00" w:rsidP="00A77C00">
      <w:pPr>
        <w:pStyle w:val="FootnoteText"/>
      </w:pPr>
      <w:r>
        <w:rPr>
          <w:rStyle w:val="FootnoteReference"/>
        </w:rPr>
        <w:footnoteRef/>
      </w:r>
      <w:r>
        <w:t xml:space="preserve"> </w:t>
      </w:r>
      <w:r w:rsidR="009D289B">
        <w:t>Motion at 20, inset reference to</w:t>
      </w:r>
      <w:r w:rsidRPr="00F90630">
        <w:rPr>
          <w:i/>
          <w:iCs/>
        </w:rPr>
        <w:t xml:space="preserve"> TURN v. PUC</w:t>
      </w:r>
      <w:r w:rsidRPr="00F90630">
        <w:t xml:space="preserve"> </w:t>
      </w:r>
      <w:r>
        <w:t xml:space="preserve">at </w:t>
      </w:r>
      <w:r w:rsidRPr="00F90630">
        <w:t>87</w:t>
      </w:r>
      <w:r>
        <w:t>7</w:t>
      </w:r>
      <w:r w:rsidRPr="00F90630">
        <w:t>.</w:t>
      </w:r>
    </w:p>
  </w:footnote>
  <w:footnote w:id="104">
    <w:p w14:paraId="510FE72C" w14:textId="2D3E4FF1" w:rsidR="007C35B8" w:rsidRDefault="007C35B8" w:rsidP="007C35B8">
      <w:pPr>
        <w:pStyle w:val="FootnoteText"/>
      </w:pPr>
      <w:r>
        <w:rPr>
          <w:rStyle w:val="FootnoteReference"/>
        </w:rPr>
        <w:footnoteRef/>
      </w:r>
      <w:r>
        <w:t xml:space="preserve"> </w:t>
      </w:r>
      <w:r w:rsidR="002C0B4C">
        <w:t xml:space="preserve">Pub. Util. Code </w:t>
      </w:r>
      <w:r>
        <w:t>Section 8386.4.</w:t>
      </w:r>
    </w:p>
  </w:footnote>
  <w:footnote w:id="105">
    <w:p w14:paraId="2F74D5A1" w14:textId="2E15C093" w:rsidR="00A77C00" w:rsidRDefault="00A77C00" w:rsidP="00A77C00">
      <w:pPr>
        <w:pStyle w:val="FootnoteText"/>
      </w:pPr>
      <w:r>
        <w:rPr>
          <w:rStyle w:val="FootnoteReference"/>
        </w:rPr>
        <w:footnoteRef/>
      </w:r>
      <w:r>
        <w:t xml:space="preserve"> TURN Re</w:t>
      </w:r>
      <w:r w:rsidR="00C04A20">
        <w:t>sponse</w:t>
      </w:r>
      <w:r>
        <w:t xml:space="preserve"> to ALJ Ruling at 8.</w:t>
      </w:r>
    </w:p>
  </w:footnote>
  <w:footnote w:id="106">
    <w:p w14:paraId="327B2C9A" w14:textId="77777777" w:rsidR="00021DC0" w:rsidRDefault="00021DC0" w:rsidP="00021DC0">
      <w:pPr>
        <w:pStyle w:val="FootnoteText"/>
      </w:pPr>
      <w:r>
        <w:rPr>
          <w:rStyle w:val="FootnoteReference"/>
        </w:rPr>
        <w:footnoteRef/>
      </w:r>
      <w:r>
        <w:t xml:space="preserve"> PG&amp;E Reply to Opposition at 9.</w:t>
      </w:r>
    </w:p>
  </w:footnote>
  <w:footnote w:id="107">
    <w:p w14:paraId="56D6EC2D" w14:textId="370CF342" w:rsidR="008075B9" w:rsidRPr="007E19E8" w:rsidRDefault="008075B9" w:rsidP="008075B9">
      <w:pPr>
        <w:autoSpaceDE w:val="0"/>
        <w:autoSpaceDN w:val="0"/>
        <w:adjustRightInd w:val="0"/>
        <w:spacing w:line="240" w:lineRule="auto"/>
        <w:ind w:firstLine="0"/>
        <w:rPr>
          <w:sz w:val="22"/>
          <w:szCs w:val="20"/>
        </w:rPr>
      </w:pPr>
      <w:r>
        <w:rPr>
          <w:rStyle w:val="FootnoteReference"/>
        </w:rPr>
        <w:footnoteRef/>
      </w:r>
      <w:r>
        <w:t xml:space="preserve"> </w:t>
      </w:r>
      <w:r w:rsidRPr="007E19E8">
        <w:rPr>
          <w:sz w:val="22"/>
          <w:szCs w:val="20"/>
        </w:rPr>
        <w:t>TURN Response to AC/ALJ Ruling at 5</w:t>
      </w:r>
      <w:r w:rsidR="00CE4839">
        <w:rPr>
          <w:sz w:val="22"/>
          <w:szCs w:val="20"/>
        </w:rPr>
        <w:t>, inset reference to</w:t>
      </w:r>
      <w:r w:rsidRPr="007E19E8">
        <w:rPr>
          <w:sz w:val="22"/>
          <w:szCs w:val="20"/>
        </w:rPr>
        <w:t xml:space="preserve"> the C</w:t>
      </w:r>
      <w:r w:rsidR="00F03115">
        <w:rPr>
          <w:sz w:val="22"/>
          <w:szCs w:val="20"/>
        </w:rPr>
        <w:t xml:space="preserve">onsumer </w:t>
      </w:r>
      <w:r w:rsidRPr="007E19E8">
        <w:rPr>
          <w:sz w:val="22"/>
          <w:szCs w:val="20"/>
        </w:rPr>
        <w:t>P</w:t>
      </w:r>
      <w:r w:rsidR="00F03115">
        <w:rPr>
          <w:sz w:val="22"/>
          <w:szCs w:val="20"/>
        </w:rPr>
        <w:t xml:space="preserve">rice </w:t>
      </w:r>
      <w:r w:rsidRPr="007E19E8">
        <w:rPr>
          <w:sz w:val="22"/>
          <w:szCs w:val="20"/>
        </w:rPr>
        <w:t>I</w:t>
      </w:r>
      <w:r w:rsidR="00F03115">
        <w:rPr>
          <w:sz w:val="22"/>
          <w:szCs w:val="20"/>
        </w:rPr>
        <w:t>ndex</w:t>
      </w:r>
      <w:r w:rsidRPr="007E19E8">
        <w:rPr>
          <w:sz w:val="22"/>
          <w:szCs w:val="20"/>
        </w:rPr>
        <w:t xml:space="preserve"> for All Urban Consumers (CPI-U) for San Francisco-Oakland-Hayward</w:t>
      </w:r>
    </w:p>
    <w:p w14:paraId="52BDBD7D" w14:textId="2EC8A2AD" w:rsidR="008075B9" w:rsidRPr="007E19E8" w:rsidRDefault="008075B9" w:rsidP="007E19E8">
      <w:pPr>
        <w:autoSpaceDE w:val="0"/>
        <w:autoSpaceDN w:val="0"/>
        <w:adjustRightInd w:val="0"/>
        <w:spacing w:line="240" w:lineRule="auto"/>
        <w:ind w:firstLine="0"/>
        <w:rPr>
          <w:sz w:val="22"/>
          <w:szCs w:val="20"/>
        </w:rPr>
      </w:pPr>
      <w:r w:rsidRPr="007E19E8">
        <w:rPr>
          <w:sz w:val="22"/>
          <w:szCs w:val="20"/>
        </w:rPr>
        <w:t xml:space="preserve">available </w:t>
      </w:r>
      <w:r w:rsidR="00D21085">
        <w:rPr>
          <w:sz w:val="22"/>
          <w:szCs w:val="20"/>
        </w:rPr>
        <w:t xml:space="preserve">as of the effective date of this decision </w:t>
      </w:r>
      <w:r w:rsidRPr="007E19E8">
        <w:rPr>
          <w:sz w:val="22"/>
          <w:szCs w:val="20"/>
        </w:rPr>
        <w:t>at: https://data.bls.gov/timeseries/CUURS49BSA0. Calculated based on the index value of</w:t>
      </w:r>
      <w:r w:rsidR="00BA27CF">
        <w:rPr>
          <w:sz w:val="22"/>
          <w:szCs w:val="20"/>
        </w:rPr>
        <w:t xml:space="preserve"> </w:t>
      </w:r>
      <w:r w:rsidRPr="007E19E8">
        <w:rPr>
          <w:sz w:val="22"/>
        </w:rPr>
        <w:t>340.056 for June 2023, compared to the value of 330.539 for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7120" w14:textId="4AF34AAA" w:rsidR="0090395D" w:rsidRPr="00F92385" w:rsidRDefault="0090395D"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7709" w14:textId="1A8DB0E9" w:rsidR="00FE2351" w:rsidRDefault="0090395D" w:rsidP="00EE4315">
    <w:pPr>
      <w:pStyle w:val="Header"/>
      <w:tabs>
        <w:tab w:val="clear" w:pos="4680"/>
      </w:tabs>
      <w:ind w:firstLine="0"/>
      <w:rPr>
        <w:b/>
      </w:rPr>
    </w:pPr>
    <w:r>
      <w:t>A.2</w:t>
    </w:r>
    <w:r w:rsidR="000C27F3">
      <w:t>3-06-008</w:t>
    </w:r>
    <w:r>
      <w:t xml:space="preserve"> </w:t>
    </w:r>
    <w:r w:rsidR="002B0D2A">
      <w:t xml:space="preserve"> </w:t>
    </w:r>
    <w:r>
      <w:t>ALJ/KWZ/</w:t>
    </w:r>
    <w:r w:rsidR="00837D2E">
      <w:t>hma</w:t>
    </w:r>
    <w:r w:rsidR="00FE2351">
      <w:tab/>
    </w:r>
    <w:r w:rsidR="00FE2351">
      <w:rPr>
        <w:b/>
      </w:rPr>
      <w:t>PROPOSED DECISION</w:t>
    </w:r>
    <w:r w:rsidR="000C56E4">
      <w:rPr>
        <w:b/>
      </w:rPr>
      <w:t xml:space="preserve"> (Rev. 1)</w:t>
    </w:r>
  </w:p>
  <w:p w14:paraId="2C115017" w14:textId="77777777" w:rsidR="007F6854" w:rsidRDefault="007F6854" w:rsidP="00B3087D">
    <w:pPr>
      <w:pStyle w:val="Header"/>
      <w:tabs>
        <w:tab w:val="clear" w:pos="4680"/>
      </w:tabs>
      <w:ind w:firstLine="0"/>
      <w:rPr>
        <w:i/>
        <w:color w:val="FF0000"/>
      </w:rPr>
    </w:pPr>
  </w:p>
  <w:p w14:paraId="69F31E3C" w14:textId="77777777" w:rsidR="007F6854" w:rsidRDefault="007F6854"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B5E4"/>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E30C0"/>
    <w:multiLevelType w:val="hybridMultilevel"/>
    <w:tmpl w:val="03B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71B0F"/>
    <w:multiLevelType w:val="hybridMultilevel"/>
    <w:tmpl w:val="3DE26A2C"/>
    <w:lvl w:ilvl="0" w:tplc="0D1E7210">
      <w:start w:val="22"/>
      <w:numFmt w:val="bullet"/>
      <w:lvlText w:val="-"/>
      <w:lvlJc w:val="left"/>
      <w:pPr>
        <w:ind w:left="720" w:hanging="360"/>
      </w:pPr>
      <w:rPr>
        <w:rFonts w:ascii="Aptos Narrow" w:eastAsia="Times New Roman" w:hAnsi="Aptos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5" w15:restartNumberingAfterBreak="0">
    <w:nsid w:val="15F056CB"/>
    <w:multiLevelType w:val="multilevel"/>
    <w:tmpl w:val="18F4A5AC"/>
    <w:numStyleLink w:val="FoFCoLOP"/>
  </w:abstractNum>
  <w:abstractNum w:abstractNumId="6" w15:restartNumberingAfterBreak="0">
    <w:nsid w:val="17D5011F"/>
    <w:multiLevelType w:val="hybridMultilevel"/>
    <w:tmpl w:val="2F482DB6"/>
    <w:lvl w:ilvl="0" w:tplc="E5F6926A">
      <w:start w:val="1"/>
      <w:numFmt w:val="decimal"/>
      <w:lvlText w:val="%1."/>
      <w:lvlJc w:val="left"/>
      <w:pPr>
        <w:ind w:left="720" w:hanging="360"/>
      </w:pPr>
      <w:rPr>
        <w:rFonts w:ascii="Book Antiqua" w:eastAsiaTheme="minorHAnsi" w:hAnsi="Book Antiqua"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70038F"/>
    <w:multiLevelType w:val="multilevel"/>
    <w:tmpl w:val="3C526EDE"/>
    <w:numStyleLink w:val="Headings"/>
  </w:abstractNum>
  <w:abstractNum w:abstractNumId="9" w15:restartNumberingAfterBreak="0">
    <w:nsid w:val="1DCC64D8"/>
    <w:multiLevelType w:val="hybridMultilevel"/>
    <w:tmpl w:val="ECA28826"/>
    <w:lvl w:ilvl="0" w:tplc="DA86D1F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42C9"/>
    <w:multiLevelType w:val="multilevel"/>
    <w:tmpl w:val="3C526EDE"/>
    <w:numStyleLink w:val="Headings"/>
  </w:abstractNum>
  <w:abstractNum w:abstractNumId="11" w15:restartNumberingAfterBreak="0">
    <w:nsid w:val="1F4027A9"/>
    <w:multiLevelType w:val="hybridMultilevel"/>
    <w:tmpl w:val="FFFFFFFF"/>
    <w:lvl w:ilvl="0" w:tplc="30B886BA">
      <w:start w:val="1"/>
      <w:numFmt w:val="decimal"/>
      <w:lvlText w:val="%1."/>
      <w:lvlJc w:val="left"/>
      <w:pPr>
        <w:ind w:left="720" w:hanging="360"/>
      </w:pPr>
    </w:lvl>
    <w:lvl w:ilvl="1" w:tplc="157803AC">
      <w:start w:val="2"/>
      <w:numFmt w:val="decimal"/>
      <w:lvlText w:val="%2."/>
      <w:lvlJc w:val="left"/>
      <w:pPr>
        <w:ind w:left="1440" w:hanging="360"/>
      </w:pPr>
    </w:lvl>
    <w:lvl w:ilvl="2" w:tplc="2DAEBFF0">
      <w:start w:val="1"/>
      <w:numFmt w:val="lowerRoman"/>
      <w:lvlText w:val="%3."/>
      <w:lvlJc w:val="right"/>
      <w:pPr>
        <w:ind w:left="2160" w:hanging="180"/>
      </w:pPr>
    </w:lvl>
    <w:lvl w:ilvl="3" w:tplc="D32E3C74">
      <w:start w:val="1"/>
      <w:numFmt w:val="decimal"/>
      <w:lvlText w:val="%4."/>
      <w:lvlJc w:val="left"/>
      <w:pPr>
        <w:ind w:left="2880" w:hanging="360"/>
      </w:pPr>
    </w:lvl>
    <w:lvl w:ilvl="4" w:tplc="B17ED426">
      <w:start w:val="1"/>
      <w:numFmt w:val="lowerLetter"/>
      <w:lvlText w:val="%5."/>
      <w:lvlJc w:val="left"/>
      <w:pPr>
        <w:ind w:left="3600" w:hanging="360"/>
      </w:pPr>
    </w:lvl>
    <w:lvl w:ilvl="5" w:tplc="52EEF2F8">
      <w:start w:val="1"/>
      <w:numFmt w:val="lowerRoman"/>
      <w:lvlText w:val="%6."/>
      <w:lvlJc w:val="right"/>
      <w:pPr>
        <w:ind w:left="4320" w:hanging="180"/>
      </w:pPr>
    </w:lvl>
    <w:lvl w:ilvl="6" w:tplc="DC9E45FA">
      <w:start w:val="1"/>
      <w:numFmt w:val="decimal"/>
      <w:lvlText w:val="%7."/>
      <w:lvlJc w:val="left"/>
      <w:pPr>
        <w:ind w:left="5040" w:hanging="360"/>
      </w:pPr>
    </w:lvl>
    <w:lvl w:ilvl="7" w:tplc="F508C290">
      <w:start w:val="1"/>
      <w:numFmt w:val="lowerLetter"/>
      <w:lvlText w:val="%8."/>
      <w:lvlJc w:val="left"/>
      <w:pPr>
        <w:ind w:left="5760" w:hanging="360"/>
      </w:pPr>
    </w:lvl>
    <w:lvl w:ilvl="8" w:tplc="B3A0B06A">
      <w:start w:val="1"/>
      <w:numFmt w:val="lowerRoman"/>
      <w:lvlText w:val="%9."/>
      <w:lvlJc w:val="right"/>
      <w:pPr>
        <w:ind w:left="6480" w:hanging="180"/>
      </w:pPr>
    </w:lvl>
  </w:abstractNum>
  <w:abstractNum w:abstractNumId="12" w15:restartNumberingAfterBreak="0">
    <w:nsid w:val="21FB58FE"/>
    <w:multiLevelType w:val="multilevel"/>
    <w:tmpl w:val="3C526EDE"/>
    <w:numStyleLink w:val="Headings"/>
  </w:abstractNum>
  <w:abstractNum w:abstractNumId="13" w15:restartNumberingAfterBreak="0">
    <w:nsid w:val="23B17B05"/>
    <w:multiLevelType w:val="hybridMultilevel"/>
    <w:tmpl w:val="D2BC2B22"/>
    <w:lvl w:ilvl="0" w:tplc="A86CBDC6">
      <w:start w:val="1"/>
      <w:numFmt w:val="decimal"/>
      <w:lvlText w:val="%1)"/>
      <w:lvlJc w:val="left"/>
      <w:pPr>
        <w:ind w:left="360" w:hanging="360"/>
      </w:pPr>
      <w:rPr>
        <w:rFonts w:ascii="Book Antiqua" w:hAnsi="Book Antiqua"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3663A0"/>
    <w:multiLevelType w:val="multilevel"/>
    <w:tmpl w:val="3C526EDE"/>
    <w:numStyleLink w:val="Headings"/>
  </w:abstractNum>
  <w:abstractNum w:abstractNumId="15" w15:restartNumberingAfterBreak="0">
    <w:nsid w:val="27337ECC"/>
    <w:multiLevelType w:val="hybridMultilevel"/>
    <w:tmpl w:val="478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124D7"/>
    <w:multiLevelType w:val="multilevel"/>
    <w:tmpl w:val="3C526EDE"/>
    <w:numStyleLink w:val="Headings"/>
  </w:abstractNum>
  <w:abstractNum w:abstractNumId="17"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8" w15:restartNumberingAfterBreak="0">
    <w:nsid w:val="3E655906"/>
    <w:multiLevelType w:val="hybridMultilevel"/>
    <w:tmpl w:val="2C20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45820"/>
    <w:multiLevelType w:val="hybridMultilevel"/>
    <w:tmpl w:val="0F0A6A8C"/>
    <w:lvl w:ilvl="0" w:tplc="F0CEA996">
      <w:start w:val="1"/>
      <w:numFmt w:val="decimal"/>
      <w:lvlText w:val="%1."/>
      <w:lvlJc w:val="left"/>
      <w:pPr>
        <w:ind w:left="1440" w:hanging="360"/>
      </w:pPr>
      <w:rPr>
        <w:rFonts w:ascii="Book Antiqua" w:eastAsiaTheme="minorHAnsi" w:hAnsi="Book Antiqu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B035BF"/>
    <w:multiLevelType w:val="multilevel"/>
    <w:tmpl w:val="3C526EDE"/>
    <w:numStyleLink w:val="Headings"/>
  </w:abstractNum>
  <w:abstractNum w:abstractNumId="21" w15:restartNumberingAfterBreak="0">
    <w:nsid w:val="488D0FAE"/>
    <w:multiLevelType w:val="hybridMultilevel"/>
    <w:tmpl w:val="2550F788"/>
    <w:lvl w:ilvl="0" w:tplc="0409000F">
      <w:start w:val="1"/>
      <w:numFmt w:val="decimal"/>
      <w:lvlText w:val="%1."/>
      <w:lvlJc w:val="lef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2" w15:restartNumberingAfterBreak="0">
    <w:nsid w:val="59D042D7"/>
    <w:multiLevelType w:val="multilevel"/>
    <w:tmpl w:val="18F4A5AC"/>
    <w:numStyleLink w:val="FoFCoLOP"/>
  </w:abstractNum>
  <w:abstractNum w:abstractNumId="23" w15:restartNumberingAfterBreak="0">
    <w:nsid w:val="5A9E2171"/>
    <w:multiLevelType w:val="multilevel"/>
    <w:tmpl w:val="3C526EDE"/>
    <w:numStyleLink w:val="Headings"/>
  </w:abstractNum>
  <w:abstractNum w:abstractNumId="24" w15:restartNumberingAfterBreak="0">
    <w:nsid w:val="5CE80C90"/>
    <w:multiLevelType w:val="hybridMultilevel"/>
    <w:tmpl w:val="FBE6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25780"/>
    <w:multiLevelType w:val="multilevel"/>
    <w:tmpl w:val="3C526EDE"/>
    <w:numStyleLink w:val="Headings"/>
  </w:abstractNum>
  <w:abstractNum w:abstractNumId="26" w15:restartNumberingAfterBreak="0">
    <w:nsid w:val="666E65D9"/>
    <w:multiLevelType w:val="hybridMultilevel"/>
    <w:tmpl w:val="DFDA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C1FB9"/>
    <w:multiLevelType w:val="hybridMultilevel"/>
    <w:tmpl w:val="D57C90C4"/>
    <w:lvl w:ilvl="0" w:tplc="50402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9A0AFE"/>
    <w:multiLevelType w:val="multilevel"/>
    <w:tmpl w:val="18F4A5AC"/>
    <w:numStyleLink w:val="FoFCoLOP"/>
  </w:abstractNum>
  <w:num w:numId="1" w16cid:durableId="2125299250">
    <w:abstractNumId w:val="25"/>
    <w:lvlOverride w:ilvl="0">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pStyle w:val="ListAlpha"/>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2" w16cid:durableId="527572862">
    <w:abstractNumId w:val="4"/>
  </w:num>
  <w:num w:numId="3" w16cid:durableId="206332494">
    <w:abstractNumId w:val="22"/>
  </w:num>
  <w:num w:numId="4" w16cid:durableId="1190727209">
    <w:abstractNumId w:val="5"/>
  </w:num>
  <w:num w:numId="5" w16cid:durableId="113984618">
    <w:abstractNumId w:val="29"/>
  </w:num>
  <w:num w:numId="6" w16cid:durableId="1521819541">
    <w:abstractNumId w:val="17"/>
  </w:num>
  <w:num w:numId="7" w16cid:durableId="19363259">
    <w:abstractNumId w:val="10"/>
  </w:num>
  <w:num w:numId="8" w16cid:durableId="384716641">
    <w:abstractNumId w:val="28"/>
  </w:num>
  <w:num w:numId="9" w16cid:durableId="1304851489">
    <w:abstractNumId w:val="0"/>
  </w:num>
  <w:num w:numId="10" w16cid:durableId="1646737160">
    <w:abstractNumId w:val="8"/>
  </w:num>
  <w:num w:numId="11" w16cid:durableId="1997686870">
    <w:abstractNumId w:val="12"/>
  </w:num>
  <w:num w:numId="12" w16cid:durableId="877425941">
    <w:abstractNumId w:val="7"/>
  </w:num>
  <w:num w:numId="13" w16cid:durableId="1101534506">
    <w:abstractNumId w:val="14"/>
  </w:num>
  <w:num w:numId="14" w16cid:durableId="1052999122">
    <w:abstractNumId w:val="16"/>
  </w:num>
  <w:num w:numId="15" w16cid:durableId="772869625">
    <w:abstractNumId w:val="25"/>
    <w:lvlOverride w:ilvl="0">
      <w:lvl w:ilvl="0">
        <w:start w:val="1"/>
        <w:numFmt w:val="decimal"/>
        <w:pStyle w:val="Heading1"/>
        <w:lvlText w:val="%1."/>
        <w:lvlJc w:val="left"/>
        <w:pPr>
          <w:ind w:left="720" w:hanging="720"/>
        </w:pPr>
      </w:lvl>
    </w:lvlOverride>
  </w:num>
  <w:num w:numId="16" w16cid:durableId="9729495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4934066">
    <w:abstractNumId w:val="25"/>
  </w:num>
  <w:num w:numId="18" w16cid:durableId="914902469">
    <w:abstractNumId w:val="27"/>
  </w:num>
  <w:num w:numId="19" w16cid:durableId="592010863">
    <w:abstractNumId w:val="20"/>
  </w:num>
  <w:num w:numId="20" w16cid:durableId="476610064">
    <w:abstractNumId w:val="18"/>
  </w:num>
  <w:num w:numId="21" w16cid:durableId="531068434">
    <w:abstractNumId w:val="24"/>
  </w:num>
  <w:num w:numId="22" w16cid:durableId="1009286678">
    <w:abstractNumId w:val="9"/>
  </w:num>
  <w:num w:numId="23" w16cid:durableId="1405372172">
    <w:abstractNumId w:val="11"/>
  </w:num>
  <w:num w:numId="24" w16cid:durableId="364913413">
    <w:abstractNumId w:val="1"/>
  </w:num>
  <w:num w:numId="25" w16cid:durableId="694110819">
    <w:abstractNumId w:val="19"/>
  </w:num>
  <w:num w:numId="26" w16cid:durableId="220872601">
    <w:abstractNumId w:val="13"/>
  </w:num>
  <w:num w:numId="27" w16cid:durableId="291402495">
    <w:abstractNumId w:val="2"/>
  </w:num>
  <w:num w:numId="28" w16cid:durableId="1984389697">
    <w:abstractNumId w:val="21"/>
  </w:num>
  <w:num w:numId="29" w16cid:durableId="648368026">
    <w:abstractNumId w:val="0"/>
  </w:num>
  <w:num w:numId="30" w16cid:durableId="245237967">
    <w:abstractNumId w:val="15"/>
  </w:num>
  <w:num w:numId="31" w16cid:durableId="549193557">
    <w:abstractNumId w:val="6"/>
  </w:num>
  <w:num w:numId="32" w16cid:durableId="1201016978">
    <w:abstractNumId w:val="26"/>
  </w:num>
  <w:num w:numId="33" w16cid:durableId="6057217">
    <w:abstractNumId w:val="3"/>
  </w:num>
  <w:num w:numId="34" w16cid:durableId="1714382259">
    <w:abstractNumId w:val="25"/>
    <w:lvlOverride w:ilvl="2">
      <w:lvl w:ilvl="2">
        <w:start w:val="1"/>
        <w:numFmt w:val="decimal"/>
        <w:pStyle w:val="Heading3"/>
        <w:lvlText w:val="%1.%2.%3."/>
        <w:lvlJc w:val="left"/>
        <w:pPr>
          <w:tabs>
            <w:tab w:val="num" w:pos="1656"/>
          </w:tabs>
          <w:ind w:left="1656" w:hanging="936"/>
        </w:p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num>
  <w:num w:numId="35" w16cid:durableId="1960213752">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CA"/>
    <w:rsid w:val="00000F6A"/>
    <w:rsid w:val="00005009"/>
    <w:rsid w:val="00007969"/>
    <w:rsid w:val="00007E31"/>
    <w:rsid w:val="00020403"/>
    <w:rsid w:val="00021DC0"/>
    <w:rsid w:val="000226B2"/>
    <w:rsid w:val="000235A3"/>
    <w:rsid w:val="0002690F"/>
    <w:rsid w:val="00026B34"/>
    <w:rsid w:val="00027C4E"/>
    <w:rsid w:val="00031D88"/>
    <w:rsid w:val="00035F8F"/>
    <w:rsid w:val="00036DF7"/>
    <w:rsid w:val="00037336"/>
    <w:rsid w:val="0003756D"/>
    <w:rsid w:val="00050D58"/>
    <w:rsid w:val="0005765D"/>
    <w:rsid w:val="00060D10"/>
    <w:rsid w:val="0006189D"/>
    <w:rsid w:val="000623DE"/>
    <w:rsid w:val="00062C68"/>
    <w:rsid w:val="0006430C"/>
    <w:rsid w:val="0006484B"/>
    <w:rsid w:val="00066EDF"/>
    <w:rsid w:val="0007115A"/>
    <w:rsid w:val="000737F0"/>
    <w:rsid w:val="00073AFA"/>
    <w:rsid w:val="0007552E"/>
    <w:rsid w:val="00076310"/>
    <w:rsid w:val="000770E9"/>
    <w:rsid w:val="000812BD"/>
    <w:rsid w:val="00082342"/>
    <w:rsid w:val="000856A2"/>
    <w:rsid w:val="00085EC8"/>
    <w:rsid w:val="00087401"/>
    <w:rsid w:val="00090DB8"/>
    <w:rsid w:val="00091D1B"/>
    <w:rsid w:val="000924E9"/>
    <w:rsid w:val="000942CE"/>
    <w:rsid w:val="000947F0"/>
    <w:rsid w:val="000957D1"/>
    <w:rsid w:val="0009621B"/>
    <w:rsid w:val="00096334"/>
    <w:rsid w:val="000973C8"/>
    <w:rsid w:val="000A119C"/>
    <w:rsid w:val="000A2AA9"/>
    <w:rsid w:val="000A56F2"/>
    <w:rsid w:val="000A5718"/>
    <w:rsid w:val="000A6A0B"/>
    <w:rsid w:val="000A6E05"/>
    <w:rsid w:val="000A7023"/>
    <w:rsid w:val="000B12FA"/>
    <w:rsid w:val="000B1624"/>
    <w:rsid w:val="000B17D6"/>
    <w:rsid w:val="000B2C8A"/>
    <w:rsid w:val="000B33FA"/>
    <w:rsid w:val="000B5DEA"/>
    <w:rsid w:val="000C08BF"/>
    <w:rsid w:val="000C1887"/>
    <w:rsid w:val="000C27F3"/>
    <w:rsid w:val="000C3B29"/>
    <w:rsid w:val="000C3B9A"/>
    <w:rsid w:val="000C523F"/>
    <w:rsid w:val="000C56E4"/>
    <w:rsid w:val="000C5B46"/>
    <w:rsid w:val="000C6634"/>
    <w:rsid w:val="000D25A8"/>
    <w:rsid w:val="000E15F1"/>
    <w:rsid w:val="000E270A"/>
    <w:rsid w:val="000E4C53"/>
    <w:rsid w:val="000E584C"/>
    <w:rsid w:val="000F3443"/>
    <w:rsid w:val="000F3EAB"/>
    <w:rsid w:val="000F48C6"/>
    <w:rsid w:val="000F5EC9"/>
    <w:rsid w:val="000F7955"/>
    <w:rsid w:val="00100CCD"/>
    <w:rsid w:val="0010393E"/>
    <w:rsid w:val="00105181"/>
    <w:rsid w:val="00113E7C"/>
    <w:rsid w:val="00121089"/>
    <w:rsid w:val="001219F6"/>
    <w:rsid w:val="00121EBF"/>
    <w:rsid w:val="00122A95"/>
    <w:rsid w:val="001234AF"/>
    <w:rsid w:val="00124A48"/>
    <w:rsid w:val="00124F2A"/>
    <w:rsid w:val="00131245"/>
    <w:rsid w:val="00134AE4"/>
    <w:rsid w:val="00134B48"/>
    <w:rsid w:val="0013594E"/>
    <w:rsid w:val="00137BCA"/>
    <w:rsid w:val="001425E4"/>
    <w:rsid w:val="001428E9"/>
    <w:rsid w:val="00143665"/>
    <w:rsid w:val="00144DC2"/>
    <w:rsid w:val="00151AF4"/>
    <w:rsid w:val="00153B32"/>
    <w:rsid w:val="00161A75"/>
    <w:rsid w:val="001629D8"/>
    <w:rsid w:val="00165A1B"/>
    <w:rsid w:val="00175884"/>
    <w:rsid w:val="001844C1"/>
    <w:rsid w:val="00184A8F"/>
    <w:rsid w:val="00185CD4"/>
    <w:rsid w:val="0018638E"/>
    <w:rsid w:val="00190168"/>
    <w:rsid w:val="00190590"/>
    <w:rsid w:val="00190B44"/>
    <w:rsid w:val="001938DB"/>
    <w:rsid w:val="001950A8"/>
    <w:rsid w:val="001A09C4"/>
    <w:rsid w:val="001A0A5C"/>
    <w:rsid w:val="001A0D68"/>
    <w:rsid w:val="001A1196"/>
    <w:rsid w:val="001A4E99"/>
    <w:rsid w:val="001B532E"/>
    <w:rsid w:val="001B7FAC"/>
    <w:rsid w:val="001C363F"/>
    <w:rsid w:val="001C4107"/>
    <w:rsid w:val="001D13B9"/>
    <w:rsid w:val="001D442F"/>
    <w:rsid w:val="001D4808"/>
    <w:rsid w:val="001D780A"/>
    <w:rsid w:val="001E1B60"/>
    <w:rsid w:val="001E2391"/>
    <w:rsid w:val="001E2A62"/>
    <w:rsid w:val="001E3443"/>
    <w:rsid w:val="001E3889"/>
    <w:rsid w:val="001E5737"/>
    <w:rsid w:val="001E5F3E"/>
    <w:rsid w:val="001E6BE7"/>
    <w:rsid w:val="001F0CD4"/>
    <w:rsid w:val="001F13EE"/>
    <w:rsid w:val="001F2819"/>
    <w:rsid w:val="001F4CC0"/>
    <w:rsid w:val="0020122A"/>
    <w:rsid w:val="00201231"/>
    <w:rsid w:val="002043EC"/>
    <w:rsid w:val="00211F28"/>
    <w:rsid w:val="00216127"/>
    <w:rsid w:val="00220B81"/>
    <w:rsid w:val="0022384A"/>
    <w:rsid w:val="00226540"/>
    <w:rsid w:val="00226FFA"/>
    <w:rsid w:val="002278DB"/>
    <w:rsid w:val="002326F6"/>
    <w:rsid w:val="00232714"/>
    <w:rsid w:val="00232E81"/>
    <w:rsid w:val="00233996"/>
    <w:rsid w:val="00234452"/>
    <w:rsid w:val="002375CE"/>
    <w:rsid w:val="002375DB"/>
    <w:rsid w:val="002421BB"/>
    <w:rsid w:val="0024226B"/>
    <w:rsid w:val="00242A4B"/>
    <w:rsid w:val="00242B54"/>
    <w:rsid w:val="00243DC0"/>
    <w:rsid w:val="00247477"/>
    <w:rsid w:val="0025047A"/>
    <w:rsid w:val="002520FE"/>
    <w:rsid w:val="002543C6"/>
    <w:rsid w:val="00254E88"/>
    <w:rsid w:val="002557D0"/>
    <w:rsid w:val="00256C06"/>
    <w:rsid w:val="00260083"/>
    <w:rsid w:val="00260206"/>
    <w:rsid w:val="00260C6C"/>
    <w:rsid w:val="002625BF"/>
    <w:rsid w:val="002659D3"/>
    <w:rsid w:val="0027013E"/>
    <w:rsid w:val="00270440"/>
    <w:rsid w:val="00270BF8"/>
    <w:rsid w:val="00271E7D"/>
    <w:rsid w:val="00272095"/>
    <w:rsid w:val="002746E2"/>
    <w:rsid w:val="00274EDB"/>
    <w:rsid w:val="0027656F"/>
    <w:rsid w:val="00276BA8"/>
    <w:rsid w:val="002811D0"/>
    <w:rsid w:val="00284D8D"/>
    <w:rsid w:val="002855CA"/>
    <w:rsid w:val="00286025"/>
    <w:rsid w:val="00287BC5"/>
    <w:rsid w:val="002901EC"/>
    <w:rsid w:val="0029054C"/>
    <w:rsid w:val="002920FB"/>
    <w:rsid w:val="00293DEE"/>
    <w:rsid w:val="0029423E"/>
    <w:rsid w:val="00296B6F"/>
    <w:rsid w:val="002A0B5D"/>
    <w:rsid w:val="002A2B48"/>
    <w:rsid w:val="002A2E16"/>
    <w:rsid w:val="002A2EB5"/>
    <w:rsid w:val="002A35D0"/>
    <w:rsid w:val="002A62CD"/>
    <w:rsid w:val="002A7FA2"/>
    <w:rsid w:val="002B0D2A"/>
    <w:rsid w:val="002B152C"/>
    <w:rsid w:val="002B4E95"/>
    <w:rsid w:val="002B7228"/>
    <w:rsid w:val="002B798F"/>
    <w:rsid w:val="002C0B4C"/>
    <w:rsid w:val="002C0E17"/>
    <w:rsid w:val="002C7FE9"/>
    <w:rsid w:val="002D03CB"/>
    <w:rsid w:val="002D0DC5"/>
    <w:rsid w:val="002D2F26"/>
    <w:rsid w:val="002D39D1"/>
    <w:rsid w:val="002D4EFD"/>
    <w:rsid w:val="002D62EC"/>
    <w:rsid w:val="002D62F9"/>
    <w:rsid w:val="002E08E6"/>
    <w:rsid w:val="002E33B7"/>
    <w:rsid w:val="002E7257"/>
    <w:rsid w:val="002E77B8"/>
    <w:rsid w:val="002F129A"/>
    <w:rsid w:val="002F50A3"/>
    <w:rsid w:val="002F6AA8"/>
    <w:rsid w:val="00301082"/>
    <w:rsid w:val="00302A61"/>
    <w:rsid w:val="00303776"/>
    <w:rsid w:val="0031210E"/>
    <w:rsid w:val="00312A29"/>
    <w:rsid w:val="00313B0C"/>
    <w:rsid w:val="003153E1"/>
    <w:rsid w:val="00315A97"/>
    <w:rsid w:val="00316071"/>
    <w:rsid w:val="003238F8"/>
    <w:rsid w:val="003244CD"/>
    <w:rsid w:val="003244E7"/>
    <w:rsid w:val="00326335"/>
    <w:rsid w:val="00331D33"/>
    <w:rsid w:val="0033322B"/>
    <w:rsid w:val="00334F1A"/>
    <w:rsid w:val="003357D7"/>
    <w:rsid w:val="00335B34"/>
    <w:rsid w:val="00337D72"/>
    <w:rsid w:val="003410C6"/>
    <w:rsid w:val="003432A2"/>
    <w:rsid w:val="00343E5C"/>
    <w:rsid w:val="00344DDB"/>
    <w:rsid w:val="00344FB8"/>
    <w:rsid w:val="00346B92"/>
    <w:rsid w:val="00346DB4"/>
    <w:rsid w:val="003526A3"/>
    <w:rsid w:val="003561C8"/>
    <w:rsid w:val="003578FC"/>
    <w:rsid w:val="0036017B"/>
    <w:rsid w:val="003601AC"/>
    <w:rsid w:val="003609B4"/>
    <w:rsid w:val="00362755"/>
    <w:rsid w:val="00363876"/>
    <w:rsid w:val="00370F32"/>
    <w:rsid w:val="00372711"/>
    <w:rsid w:val="00372A2B"/>
    <w:rsid w:val="00373B93"/>
    <w:rsid w:val="00373BC8"/>
    <w:rsid w:val="00373EB8"/>
    <w:rsid w:val="00377E58"/>
    <w:rsid w:val="00380CD1"/>
    <w:rsid w:val="00382297"/>
    <w:rsid w:val="003836F3"/>
    <w:rsid w:val="0038412D"/>
    <w:rsid w:val="003915FB"/>
    <w:rsid w:val="003921F8"/>
    <w:rsid w:val="003A02CA"/>
    <w:rsid w:val="003A34C1"/>
    <w:rsid w:val="003A38F0"/>
    <w:rsid w:val="003A6F0E"/>
    <w:rsid w:val="003A6F60"/>
    <w:rsid w:val="003B020E"/>
    <w:rsid w:val="003B0595"/>
    <w:rsid w:val="003B78B9"/>
    <w:rsid w:val="003C271E"/>
    <w:rsid w:val="003C56FD"/>
    <w:rsid w:val="003D25C2"/>
    <w:rsid w:val="003D3A16"/>
    <w:rsid w:val="003E1C11"/>
    <w:rsid w:val="003E4DD5"/>
    <w:rsid w:val="003E4DEC"/>
    <w:rsid w:val="003E5D82"/>
    <w:rsid w:val="003E5F48"/>
    <w:rsid w:val="003E6637"/>
    <w:rsid w:val="003F069A"/>
    <w:rsid w:val="003F34E4"/>
    <w:rsid w:val="003F4329"/>
    <w:rsid w:val="003F491B"/>
    <w:rsid w:val="003F605A"/>
    <w:rsid w:val="003F60C7"/>
    <w:rsid w:val="00402F82"/>
    <w:rsid w:val="00403225"/>
    <w:rsid w:val="004043F8"/>
    <w:rsid w:val="004062B0"/>
    <w:rsid w:val="004121CE"/>
    <w:rsid w:val="00412534"/>
    <w:rsid w:val="00412C83"/>
    <w:rsid w:val="004248BD"/>
    <w:rsid w:val="00426014"/>
    <w:rsid w:val="004267FF"/>
    <w:rsid w:val="00426A3A"/>
    <w:rsid w:val="00427714"/>
    <w:rsid w:val="004322C1"/>
    <w:rsid w:val="0043472A"/>
    <w:rsid w:val="0043657F"/>
    <w:rsid w:val="0043670C"/>
    <w:rsid w:val="00443B58"/>
    <w:rsid w:val="004440A4"/>
    <w:rsid w:val="004448F7"/>
    <w:rsid w:val="00444E94"/>
    <w:rsid w:val="0044617E"/>
    <w:rsid w:val="00446825"/>
    <w:rsid w:val="00460B7D"/>
    <w:rsid w:val="00460C6A"/>
    <w:rsid w:val="00464E2C"/>
    <w:rsid w:val="004655FC"/>
    <w:rsid w:val="004670BA"/>
    <w:rsid w:val="004727DF"/>
    <w:rsid w:val="00472A96"/>
    <w:rsid w:val="0047371D"/>
    <w:rsid w:val="004752C1"/>
    <w:rsid w:val="00476380"/>
    <w:rsid w:val="0047657E"/>
    <w:rsid w:val="0048042C"/>
    <w:rsid w:val="004808ED"/>
    <w:rsid w:val="00480C29"/>
    <w:rsid w:val="00480CB0"/>
    <w:rsid w:val="00481F1A"/>
    <w:rsid w:val="00483AC0"/>
    <w:rsid w:val="00490161"/>
    <w:rsid w:val="004911C7"/>
    <w:rsid w:val="00494CA5"/>
    <w:rsid w:val="00495E34"/>
    <w:rsid w:val="004A22F6"/>
    <w:rsid w:val="004A44C1"/>
    <w:rsid w:val="004A5CCB"/>
    <w:rsid w:val="004B2B4A"/>
    <w:rsid w:val="004B34EA"/>
    <w:rsid w:val="004B5494"/>
    <w:rsid w:val="004B5FDE"/>
    <w:rsid w:val="004B60D3"/>
    <w:rsid w:val="004C4261"/>
    <w:rsid w:val="004C6586"/>
    <w:rsid w:val="004C7A2B"/>
    <w:rsid w:val="004C7D3A"/>
    <w:rsid w:val="004D48B1"/>
    <w:rsid w:val="004E180A"/>
    <w:rsid w:val="004E5D2F"/>
    <w:rsid w:val="004E768E"/>
    <w:rsid w:val="004F12E8"/>
    <w:rsid w:val="004F6994"/>
    <w:rsid w:val="004F75EF"/>
    <w:rsid w:val="00500C28"/>
    <w:rsid w:val="00501796"/>
    <w:rsid w:val="005018A8"/>
    <w:rsid w:val="00505A39"/>
    <w:rsid w:val="0052116B"/>
    <w:rsid w:val="0052374A"/>
    <w:rsid w:val="005240BF"/>
    <w:rsid w:val="005307E9"/>
    <w:rsid w:val="00531FEE"/>
    <w:rsid w:val="00534D6F"/>
    <w:rsid w:val="00540E19"/>
    <w:rsid w:val="00540FE5"/>
    <w:rsid w:val="00542787"/>
    <w:rsid w:val="00552107"/>
    <w:rsid w:val="005525A5"/>
    <w:rsid w:val="0055723B"/>
    <w:rsid w:val="00561366"/>
    <w:rsid w:val="00562007"/>
    <w:rsid w:val="00562A36"/>
    <w:rsid w:val="005630FD"/>
    <w:rsid w:val="00565048"/>
    <w:rsid w:val="005652BD"/>
    <w:rsid w:val="00566941"/>
    <w:rsid w:val="00575305"/>
    <w:rsid w:val="00576CB2"/>
    <w:rsid w:val="005774C9"/>
    <w:rsid w:val="00580AAC"/>
    <w:rsid w:val="00585078"/>
    <w:rsid w:val="00585390"/>
    <w:rsid w:val="0058729F"/>
    <w:rsid w:val="00591762"/>
    <w:rsid w:val="00592F11"/>
    <w:rsid w:val="005939A5"/>
    <w:rsid w:val="005943A8"/>
    <w:rsid w:val="005A0586"/>
    <w:rsid w:val="005A148C"/>
    <w:rsid w:val="005A34CD"/>
    <w:rsid w:val="005B3C9D"/>
    <w:rsid w:val="005C0515"/>
    <w:rsid w:val="005C2AC9"/>
    <w:rsid w:val="005C4F99"/>
    <w:rsid w:val="005C58DF"/>
    <w:rsid w:val="005C58FA"/>
    <w:rsid w:val="005D159C"/>
    <w:rsid w:val="005D1705"/>
    <w:rsid w:val="005D5AEF"/>
    <w:rsid w:val="005D69C3"/>
    <w:rsid w:val="005D7141"/>
    <w:rsid w:val="005E1341"/>
    <w:rsid w:val="005E4225"/>
    <w:rsid w:val="005E4C9A"/>
    <w:rsid w:val="005E5F61"/>
    <w:rsid w:val="005F1FBD"/>
    <w:rsid w:val="005F52BC"/>
    <w:rsid w:val="005F5A1A"/>
    <w:rsid w:val="00603238"/>
    <w:rsid w:val="00604557"/>
    <w:rsid w:val="0060479C"/>
    <w:rsid w:val="00604B91"/>
    <w:rsid w:val="006056C0"/>
    <w:rsid w:val="006103A3"/>
    <w:rsid w:val="00610CD9"/>
    <w:rsid w:val="00611377"/>
    <w:rsid w:val="00612E4F"/>
    <w:rsid w:val="006135C8"/>
    <w:rsid w:val="006143D1"/>
    <w:rsid w:val="006229EA"/>
    <w:rsid w:val="00622EE8"/>
    <w:rsid w:val="00623114"/>
    <w:rsid w:val="00623131"/>
    <w:rsid w:val="0062458C"/>
    <w:rsid w:val="00626AC1"/>
    <w:rsid w:val="006303CA"/>
    <w:rsid w:val="0063105B"/>
    <w:rsid w:val="00632207"/>
    <w:rsid w:val="00632AC2"/>
    <w:rsid w:val="00633A99"/>
    <w:rsid w:val="0063491C"/>
    <w:rsid w:val="006351D8"/>
    <w:rsid w:val="006371E3"/>
    <w:rsid w:val="00641A5C"/>
    <w:rsid w:val="00644452"/>
    <w:rsid w:val="00646B76"/>
    <w:rsid w:val="00647E51"/>
    <w:rsid w:val="00651C57"/>
    <w:rsid w:val="006553CF"/>
    <w:rsid w:val="00660436"/>
    <w:rsid w:val="00661AFE"/>
    <w:rsid w:val="00661DD3"/>
    <w:rsid w:val="006660A7"/>
    <w:rsid w:val="006710C5"/>
    <w:rsid w:val="00671DD5"/>
    <w:rsid w:val="00672038"/>
    <w:rsid w:val="006746E0"/>
    <w:rsid w:val="00674CA6"/>
    <w:rsid w:val="00674E3F"/>
    <w:rsid w:val="00675DC2"/>
    <w:rsid w:val="00680F19"/>
    <w:rsid w:val="006823BE"/>
    <w:rsid w:val="00683541"/>
    <w:rsid w:val="00683B2C"/>
    <w:rsid w:val="00684A27"/>
    <w:rsid w:val="00686C3D"/>
    <w:rsid w:val="00690D7E"/>
    <w:rsid w:val="00691B6F"/>
    <w:rsid w:val="00693ACA"/>
    <w:rsid w:val="00693ED7"/>
    <w:rsid w:val="00696FCD"/>
    <w:rsid w:val="006A10C3"/>
    <w:rsid w:val="006A3D38"/>
    <w:rsid w:val="006A6E66"/>
    <w:rsid w:val="006B1923"/>
    <w:rsid w:val="006C1F10"/>
    <w:rsid w:val="006C3925"/>
    <w:rsid w:val="006C48CC"/>
    <w:rsid w:val="006D0235"/>
    <w:rsid w:val="006D0F20"/>
    <w:rsid w:val="006D2684"/>
    <w:rsid w:val="006D6400"/>
    <w:rsid w:val="006D6593"/>
    <w:rsid w:val="006D7FB3"/>
    <w:rsid w:val="006E0512"/>
    <w:rsid w:val="006E3B71"/>
    <w:rsid w:val="006E5E28"/>
    <w:rsid w:val="006E63C4"/>
    <w:rsid w:val="006E6574"/>
    <w:rsid w:val="006E7FC3"/>
    <w:rsid w:val="006F05F4"/>
    <w:rsid w:val="006F1F01"/>
    <w:rsid w:val="006F601F"/>
    <w:rsid w:val="007004B2"/>
    <w:rsid w:val="007115E7"/>
    <w:rsid w:val="00711E9B"/>
    <w:rsid w:val="0071247F"/>
    <w:rsid w:val="0071380D"/>
    <w:rsid w:val="00713BB4"/>
    <w:rsid w:val="00714CF2"/>
    <w:rsid w:val="00714D11"/>
    <w:rsid w:val="007156B9"/>
    <w:rsid w:val="00717925"/>
    <w:rsid w:val="007204B7"/>
    <w:rsid w:val="00720793"/>
    <w:rsid w:val="00720817"/>
    <w:rsid w:val="00721560"/>
    <w:rsid w:val="007220EA"/>
    <w:rsid w:val="00722850"/>
    <w:rsid w:val="0073353F"/>
    <w:rsid w:val="00735A91"/>
    <w:rsid w:val="00735E5E"/>
    <w:rsid w:val="007429DB"/>
    <w:rsid w:val="00742E45"/>
    <w:rsid w:val="007447AF"/>
    <w:rsid w:val="00746E1E"/>
    <w:rsid w:val="00750816"/>
    <w:rsid w:val="007516D7"/>
    <w:rsid w:val="00754715"/>
    <w:rsid w:val="00754F8E"/>
    <w:rsid w:val="007551CA"/>
    <w:rsid w:val="00756F2E"/>
    <w:rsid w:val="007602CF"/>
    <w:rsid w:val="00762762"/>
    <w:rsid w:val="007627A7"/>
    <w:rsid w:val="007657C1"/>
    <w:rsid w:val="00772440"/>
    <w:rsid w:val="007742B9"/>
    <w:rsid w:val="00775585"/>
    <w:rsid w:val="0077755F"/>
    <w:rsid w:val="00781E92"/>
    <w:rsid w:val="00782496"/>
    <w:rsid w:val="00783EFC"/>
    <w:rsid w:val="00784FFB"/>
    <w:rsid w:val="00793897"/>
    <w:rsid w:val="00795E92"/>
    <w:rsid w:val="0079621F"/>
    <w:rsid w:val="007A0E43"/>
    <w:rsid w:val="007A1CFE"/>
    <w:rsid w:val="007A406D"/>
    <w:rsid w:val="007A4D0A"/>
    <w:rsid w:val="007A55CF"/>
    <w:rsid w:val="007A60BB"/>
    <w:rsid w:val="007A62B0"/>
    <w:rsid w:val="007B4D0B"/>
    <w:rsid w:val="007C011F"/>
    <w:rsid w:val="007C132D"/>
    <w:rsid w:val="007C35B8"/>
    <w:rsid w:val="007C3BC2"/>
    <w:rsid w:val="007C5A0C"/>
    <w:rsid w:val="007C6D89"/>
    <w:rsid w:val="007C6E33"/>
    <w:rsid w:val="007D10A0"/>
    <w:rsid w:val="007D22D9"/>
    <w:rsid w:val="007D3CBF"/>
    <w:rsid w:val="007D468B"/>
    <w:rsid w:val="007D5EBF"/>
    <w:rsid w:val="007D74AF"/>
    <w:rsid w:val="007D7690"/>
    <w:rsid w:val="007E00B6"/>
    <w:rsid w:val="007E01CA"/>
    <w:rsid w:val="007E0FEE"/>
    <w:rsid w:val="007E137C"/>
    <w:rsid w:val="007E19E8"/>
    <w:rsid w:val="007E372F"/>
    <w:rsid w:val="007E5AD1"/>
    <w:rsid w:val="007E6591"/>
    <w:rsid w:val="007E7CE8"/>
    <w:rsid w:val="007F104B"/>
    <w:rsid w:val="007F1748"/>
    <w:rsid w:val="007F2017"/>
    <w:rsid w:val="007F3A2F"/>
    <w:rsid w:val="007F6854"/>
    <w:rsid w:val="007F76CE"/>
    <w:rsid w:val="0080254A"/>
    <w:rsid w:val="0080390E"/>
    <w:rsid w:val="008048B3"/>
    <w:rsid w:val="008075B9"/>
    <w:rsid w:val="00812266"/>
    <w:rsid w:val="00813880"/>
    <w:rsid w:val="008159CF"/>
    <w:rsid w:val="00816E05"/>
    <w:rsid w:val="008172C7"/>
    <w:rsid w:val="00823401"/>
    <w:rsid w:val="008339BB"/>
    <w:rsid w:val="00834B4B"/>
    <w:rsid w:val="00835184"/>
    <w:rsid w:val="00835511"/>
    <w:rsid w:val="00837512"/>
    <w:rsid w:val="00837D2E"/>
    <w:rsid w:val="00842A9C"/>
    <w:rsid w:val="00844DD8"/>
    <w:rsid w:val="00845538"/>
    <w:rsid w:val="0084784D"/>
    <w:rsid w:val="00850064"/>
    <w:rsid w:val="008500D8"/>
    <w:rsid w:val="00851126"/>
    <w:rsid w:val="00856E49"/>
    <w:rsid w:val="00857187"/>
    <w:rsid w:val="008629BA"/>
    <w:rsid w:val="0086419A"/>
    <w:rsid w:val="008677C6"/>
    <w:rsid w:val="0087023B"/>
    <w:rsid w:val="008715EC"/>
    <w:rsid w:val="0087168C"/>
    <w:rsid w:val="00875356"/>
    <w:rsid w:val="00877A11"/>
    <w:rsid w:val="008817AB"/>
    <w:rsid w:val="0088285B"/>
    <w:rsid w:val="008842A9"/>
    <w:rsid w:val="0088568E"/>
    <w:rsid w:val="00885F00"/>
    <w:rsid w:val="008942A1"/>
    <w:rsid w:val="008A0303"/>
    <w:rsid w:val="008A0C18"/>
    <w:rsid w:val="008A179F"/>
    <w:rsid w:val="008A319B"/>
    <w:rsid w:val="008A3A75"/>
    <w:rsid w:val="008A3B3D"/>
    <w:rsid w:val="008A519D"/>
    <w:rsid w:val="008B0864"/>
    <w:rsid w:val="008B1BCF"/>
    <w:rsid w:val="008B1ED4"/>
    <w:rsid w:val="008B2C75"/>
    <w:rsid w:val="008B2CA9"/>
    <w:rsid w:val="008B2F73"/>
    <w:rsid w:val="008B4F5D"/>
    <w:rsid w:val="008B548A"/>
    <w:rsid w:val="008B583F"/>
    <w:rsid w:val="008B68A3"/>
    <w:rsid w:val="008C0339"/>
    <w:rsid w:val="008C09D0"/>
    <w:rsid w:val="008C3CB7"/>
    <w:rsid w:val="008C4BBE"/>
    <w:rsid w:val="008C70F0"/>
    <w:rsid w:val="008C7128"/>
    <w:rsid w:val="008C7413"/>
    <w:rsid w:val="008D16B7"/>
    <w:rsid w:val="008D244A"/>
    <w:rsid w:val="008D6412"/>
    <w:rsid w:val="008D6E8A"/>
    <w:rsid w:val="008D730B"/>
    <w:rsid w:val="008D7A30"/>
    <w:rsid w:val="008E1539"/>
    <w:rsid w:val="008E4447"/>
    <w:rsid w:val="008E6AE6"/>
    <w:rsid w:val="008E7FCD"/>
    <w:rsid w:val="008F0116"/>
    <w:rsid w:val="008F143D"/>
    <w:rsid w:val="008F1D15"/>
    <w:rsid w:val="008F24C5"/>
    <w:rsid w:val="008F526B"/>
    <w:rsid w:val="008F6234"/>
    <w:rsid w:val="008F6583"/>
    <w:rsid w:val="008F7AB2"/>
    <w:rsid w:val="00903123"/>
    <w:rsid w:val="0090395D"/>
    <w:rsid w:val="00906336"/>
    <w:rsid w:val="009139D3"/>
    <w:rsid w:val="009140BC"/>
    <w:rsid w:val="009143B2"/>
    <w:rsid w:val="00914750"/>
    <w:rsid w:val="00917EDC"/>
    <w:rsid w:val="009215BA"/>
    <w:rsid w:val="00924B8F"/>
    <w:rsid w:val="00924B9A"/>
    <w:rsid w:val="0092575C"/>
    <w:rsid w:val="00927027"/>
    <w:rsid w:val="00932865"/>
    <w:rsid w:val="009335AF"/>
    <w:rsid w:val="00934715"/>
    <w:rsid w:val="009374F8"/>
    <w:rsid w:val="009458EC"/>
    <w:rsid w:val="00947CF6"/>
    <w:rsid w:val="00947F21"/>
    <w:rsid w:val="009537A0"/>
    <w:rsid w:val="009608F0"/>
    <w:rsid w:val="009615C2"/>
    <w:rsid w:val="009624EA"/>
    <w:rsid w:val="00963F47"/>
    <w:rsid w:val="00967F2D"/>
    <w:rsid w:val="00980CB1"/>
    <w:rsid w:val="00980E97"/>
    <w:rsid w:val="0098138E"/>
    <w:rsid w:val="00981DF3"/>
    <w:rsid w:val="00981DF7"/>
    <w:rsid w:val="00984C83"/>
    <w:rsid w:val="00984F53"/>
    <w:rsid w:val="0098655A"/>
    <w:rsid w:val="00987315"/>
    <w:rsid w:val="00987D6D"/>
    <w:rsid w:val="00990263"/>
    <w:rsid w:val="00991303"/>
    <w:rsid w:val="00995F06"/>
    <w:rsid w:val="009A6E36"/>
    <w:rsid w:val="009B0BEA"/>
    <w:rsid w:val="009B47DC"/>
    <w:rsid w:val="009B5BB9"/>
    <w:rsid w:val="009C1A4B"/>
    <w:rsid w:val="009C570C"/>
    <w:rsid w:val="009D01D9"/>
    <w:rsid w:val="009D2295"/>
    <w:rsid w:val="009D289B"/>
    <w:rsid w:val="009D3C4C"/>
    <w:rsid w:val="009D70D6"/>
    <w:rsid w:val="009E050D"/>
    <w:rsid w:val="009E2A91"/>
    <w:rsid w:val="009E33F7"/>
    <w:rsid w:val="009E363C"/>
    <w:rsid w:val="009E4F39"/>
    <w:rsid w:val="009E6052"/>
    <w:rsid w:val="009E64D1"/>
    <w:rsid w:val="009E7AC0"/>
    <w:rsid w:val="009E7C7F"/>
    <w:rsid w:val="009E7E73"/>
    <w:rsid w:val="009F215F"/>
    <w:rsid w:val="009F6BAD"/>
    <w:rsid w:val="00A03127"/>
    <w:rsid w:val="00A107FF"/>
    <w:rsid w:val="00A14DB7"/>
    <w:rsid w:val="00A17CE0"/>
    <w:rsid w:val="00A20C2F"/>
    <w:rsid w:val="00A23D48"/>
    <w:rsid w:val="00A338A8"/>
    <w:rsid w:val="00A35180"/>
    <w:rsid w:val="00A42306"/>
    <w:rsid w:val="00A44E8D"/>
    <w:rsid w:val="00A4544C"/>
    <w:rsid w:val="00A46EA8"/>
    <w:rsid w:val="00A50C0F"/>
    <w:rsid w:val="00A522D0"/>
    <w:rsid w:val="00A545E9"/>
    <w:rsid w:val="00A54889"/>
    <w:rsid w:val="00A54893"/>
    <w:rsid w:val="00A55ACD"/>
    <w:rsid w:val="00A55F19"/>
    <w:rsid w:val="00A562FA"/>
    <w:rsid w:val="00A57A87"/>
    <w:rsid w:val="00A603B3"/>
    <w:rsid w:val="00A63D32"/>
    <w:rsid w:val="00A67670"/>
    <w:rsid w:val="00A7249F"/>
    <w:rsid w:val="00A7295B"/>
    <w:rsid w:val="00A73F45"/>
    <w:rsid w:val="00A74F50"/>
    <w:rsid w:val="00A77524"/>
    <w:rsid w:val="00A77C00"/>
    <w:rsid w:val="00A82D0C"/>
    <w:rsid w:val="00A83863"/>
    <w:rsid w:val="00A85D27"/>
    <w:rsid w:val="00A92F43"/>
    <w:rsid w:val="00A9560D"/>
    <w:rsid w:val="00A966FC"/>
    <w:rsid w:val="00A97326"/>
    <w:rsid w:val="00AA56E2"/>
    <w:rsid w:val="00AA7393"/>
    <w:rsid w:val="00AB0A9E"/>
    <w:rsid w:val="00AB4FA0"/>
    <w:rsid w:val="00AB7875"/>
    <w:rsid w:val="00AC10CF"/>
    <w:rsid w:val="00AC3E9C"/>
    <w:rsid w:val="00AC68EE"/>
    <w:rsid w:val="00AC6DF1"/>
    <w:rsid w:val="00AC7845"/>
    <w:rsid w:val="00AC7A0E"/>
    <w:rsid w:val="00AD2AFA"/>
    <w:rsid w:val="00AD72E6"/>
    <w:rsid w:val="00AE210B"/>
    <w:rsid w:val="00AE2816"/>
    <w:rsid w:val="00AE3456"/>
    <w:rsid w:val="00AE4009"/>
    <w:rsid w:val="00AE4BB3"/>
    <w:rsid w:val="00AE62E4"/>
    <w:rsid w:val="00AF14A8"/>
    <w:rsid w:val="00AF2B5C"/>
    <w:rsid w:val="00AF461C"/>
    <w:rsid w:val="00AF639E"/>
    <w:rsid w:val="00AF7D77"/>
    <w:rsid w:val="00B01F7E"/>
    <w:rsid w:val="00B042AE"/>
    <w:rsid w:val="00B0777A"/>
    <w:rsid w:val="00B07A88"/>
    <w:rsid w:val="00B07C98"/>
    <w:rsid w:val="00B16BF0"/>
    <w:rsid w:val="00B16C2A"/>
    <w:rsid w:val="00B17826"/>
    <w:rsid w:val="00B20665"/>
    <w:rsid w:val="00B23BB7"/>
    <w:rsid w:val="00B23CE2"/>
    <w:rsid w:val="00B2451B"/>
    <w:rsid w:val="00B26D2D"/>
    <w:rsid w:val="00B3087D"/>
    <w:rsid w:val="00B34055"/>
    <w:rsid w:val="00B346D0"/>
    <w:rsid w:val="00B34794"/>
    <w:rsid w:val="00B35A9D"/>
    <w:rsid w:val="00B4050D"/>
    <w:rsid w:val="00B40963"/>
    <w:rsid w:val="00B457C2"/>
    <w:rsid w:val="00B457F3"/>
    <w:rsid w:val="00B45ED2"/>
    <w:rsid w:val="00B46BAD"/>
    <w:rsid w:val="00B51A28"/>
    <w:rsid w:val="00B565BC"/>
    <w:rsid w:val="00B5693D"/>
    <w:rsid w:val="00B60421"/>
    <w:rsid w:val="00B63368"/>
    <w:rsid w:val="00B63735"/>
    <w:rsid w:val="00B6523C"/>
    <w:rsid w:val="00B6745C"/>
    <w:rsid w:val="00B723B9"/>
    <w:rsid w:val="00B767DF"/>
    <w:rsid w:val="00B77959"/>
    <w:rsid w:val="00B81EB6"/>
    <w:rsid w:val="00B82814"/>
    <w:rsid w:val="00B85395"/>
    <w:rsid w:val="00B85822"/>
    <w:rsid w:val="00B90836"/>
    <w:rsid w:val="00B912DB"/>
    <w:rsid w:val="00B92C4F"/>
    <w:rsid w:val="00B94315"/>
    <w:rsid w:val="00B963F6"/>
    <w:rsid w:val="00BA27CF"/>
    <w:rsid w:val="00BA3377"/>
    <w:rsid w:val="00BA422B"/>
    <w:rsid w:val="00BA5020"/>
    <w:rsid w:val="00BB0243"/>
    <w:rsid w:val="00BB04CD"/>
    <w:rsid w:val="00BB55C3"/>
    <w:rsid w:val="00BB57D1"/>
    <w:rsid w:val="00BB59F7"/>
    <w:rsid w:val="00BB714A"/>
    <w:rsid w:val="00BC16DA"/>
    <w:rsid w:val="00BD0B8F"/>
    <w:rsid w:val="00BD23BA"/>
    <w:rsid w:val="00BD3691"/>
    <w:rsid w:val="00BD4256"/>
    <w:rsid w:val="00BD4A39"/>
    <w:rsid w:val="00BD4FC3"/>
    <w:rsid w:val="00BD73DE"/>
    <w:rsid w:val="00BE26A5"/>
    <w:rsid w:val="00BF26CF"/>
    <w:rsid w:val="00BF5C66"/>
    <w:rsid w:val="00BF66DE"/>
    <w:rsid w:val="00BF67E1"/>
    <w:rsid w:val="00C0160C"/>
    <w:rsid w:val="00C0184E"/>
    <w:rsid w:val="00C04A20"/>
    <w:rsid w:val="00C0594E"/>
    <w:rsid w:val="00C05EBC"/>
    <w:rsid w:val="00C06ABF"/>
    <w:rsid w:val="00C06E4D"/>
    <w:rsid w:val="00C10B5F"/>
    <w:rsid w:val="00C10C34"/>
    <w:rsid w:val="00C127B1"/>
    <w:rsid w:val="00C14ECC"/>
    <w:rsid w:val="00C16A28"/>
    <w:rsid w:val="00C16FFC"/>
    <w:rsid w:val="00C249D0"/>
    <w:rsid w:val="00C26169"/>
    <w:rsid w:val="00C2643B"/>
    <w:rsid w:val="00C26685"/>
    <w:rsid w:val="00C322C4"/>
    <w:rsid w:val="00C43F5B"/>
    <w:rsid w:val="00C51E49"/>
    <w:rsid w:val="00C53735"/>
    <w:rsid w:val="00C54F44"/>
    <w:rsid w:val="00C5702D"/>
    <w:rsid w:val="00C60AE2"/>
    <w:rsid w:val="00C627DA"/>
    <w:rsid w:val="00C63880"/>
    <w:rsid w:val="00C64235"/>
    <w:rsid w:val="00C66209"/>
    <w:rsid w:val="00C6691B"/>
    <w:rsid w:val="00C71838"/>
    <w:rsid w:val="00C7719D"/>
    <w:rsid w:val="00C77305"/>
    <w:rsid w:val="00C81C48"/>
    <w:rsid w:val="00C823A6"/>
    <w:rsid w:val="00C83F59"/>
    <w:rsid w:val="00C84F11"/>
    <w:rsid w:val="00C85126"/>
    <w:rsid w:val="00C878D5"/>
    <w:rsid w:val="00C9033B"/>
    <w:rsid w:val="00C90D89"/>
    <w:rsid w:val="00C913A1"/>
    <w:rsid w:val="00C922CB"/>
    <w:rsid w:val="00C94853"/>
    <w:rsid w:val="00C95B73"/>
    <w:rsid w:val="00C96E91"/>
    <w:rsid w:val="00CA0F6C"/>
    <w:rsid w:val="00CA16EB"/>
    <w:rsid w:val="00CA525D"/>
    <w:rsid w:val="00CB2394"/>
    <w:rsid w:val="00CB3A15"/>
    <w:rsid w:val="00CB43EC"/>
    <w:rsid w:val="00CB5CC3"/>
    <w:rsid w:val="00CB6425"/>
    <w:rsid w:val="00CB759D"/>
    <w:rsid w:val="00CB7D87"/>
    <w:rsid w:val="00CC1D1C"/>
    <w:rsid w:val="00CC1F1A"/>
    <w:rsid w:val="00CC394A"/>
    <w:rsid w:val="00CC667A"/>
    <w:rsid w:val="00CC6A99"/>
    <w:rsid w:val="00CD4186"/>
    <w:rsid w:val="00CD4489"/>
    <w:rsid w:val="00CD7627"/>
    <w:rsid w:val="00CE4839"/>
    <w:rsid w:val="00CE6D91"/>
    <w:rsid w:val="00CF4004"/>
    <w:rsid w:val="00CF763B"/>
    <w:rsid w:val="00D00AA3"/>
    <w:rsid w:val="00D0504E"/>
    <w:rsid w:val="00D0675A"/>
    <w:rsid w:val="00D07924"/>
    <w:rsid w:val="00D07F73"/>
    <w:rsid w:val="00D109EB"/>
    <w:rsid w:val="00D12F54"/>
    <w:rsid w:val="00D14755"/>
    <w:rsid w:val="00D14844"/>
    <w:rsid w:val="00D15976"/>
    <w:rsid w:val="00D15BAD"/>
    <w:rsid w:val="00D16A64"/>
    <w:rsid w:val="00D17D6A"/>
    <w:rsid w:val="00D2041C"/>
    <w:rsid w:val="00D21085"/>
    <w:rsid w:val="00D23175"/>
    <w:rsid w:val="00D25ADE"/>
    <w:rsid w:val="00D262A5"/>
    <w:rsid w:val="00D26AF5"/>
    <w:rsid w:val="00D26F33"/>
    <w:rsid w:val="00D3196E"/>
    <w:rsid w:val="00D35E6E"/>
    <w:rsid w:val="00D36DF0"/>
    <w:rsid w:val="00D40181"/>
    <w:rsid w:val="00D427C5"/>
    <w:rsid w:val="00D43297"/>
    <w:rsid w:val="00D44DB6"/>
    <w:rsid w:val="00D462F0"/>
    <w:rsid w:val="00D46F61"/>
    <w:rsid w:val="00D50119"/>
    <w:rsid w:val="00D57DB5"/>
    <w:rsid w:val="00D66D7C"/>
    <w:rsid w:val="00D74A23"/>
    <w:rsid w:val="00D76806"/>
    <w:rsid w:val="00D77395"/>
    <w:rsid w:val="00D80495"/>
    <w:rsid w:val="00D82A43"/>
    <w:rsid w:val="00D84183"/>
    <w:rsid w:val="00D846D9"/>
    <w:rsid w:val="00D864F0"/>
    <w:rsid w:val="00D8670C"/>
    <w:rsid w:val="00D91A7D"/>
    <w:rsid w:val="00D91ED4"/>
    <w:rsid w:val="00D92468"/>
    <w:rsid w:val="00D97B04"/>
    <w:rsid w:val="00DA05D0"/>
    <w:rsid w:val="00DA1F2A"/>
    <w:rsid w:val="00DA2DED"/>
    <w:rsid w:val="00DA495C"/>
    <w:rsid w:val="00DA688B"/>
    <w:rsid w:val="00DA7B5D"/>
    <w:rsid w:val="00DB0BB1"/>
    <w:rsid w:val="00DB2375"/>
    <w:rsid w:val="00DB2AD7"/>
    <w:rsid w:val="00DB2E9A"/>
    <w:rsid w:val="00DB3757"/>
    <w:rsid w:val="00DB6108"/>
    <w:rsid w:val="00DB7019"/>
    <w:rsid w:val="00DB7053"/>
    <w:rsid w:val="00DC296D"/>
    <w:rsid w:val="00DC6BAA"/>
    <w:rsid w:val="00DC7273"/>
    <w:rsid w:val="00DC7F6B"/>
    <w:rsid w:val="00DD1E3A"/>
    <w:rsid w:val="00DD22CD"/>
    <w:rsid w:val="00DD2844"/>
    <w:rsid w:val="00DD57DE"/>
    <w:rsid w:val="00DE1148"/>
    <w:rsid w:val="00DE16AB"/>
    <w:rsid w:val="00DE1936"/>
    <w:rsid w:val="00DE34A6"/>
    <w:rsid w:val="00DE39AA"/>
    <w:rsid w:val="00DE6D73"/>
    <w:rsid w:val="00DF221D"/>
    <w:rsid w:val="00DF2AD9"/>
    <w:rsid w:val="00DF4BEE"/>
    <w:rsid w:val="00DF58E7"/>
    <w:rsid w:val="00DF60EC"/>
    <w:rsid w:val="00E00EFC"/>
    <w:rsid w:val="00E0178D"/>
    <w:rsid w:val="00E027D3"/>
    <w:rsid w:val="00E02F3A"/>
    <w:rsid w:val="00E0741B"/>
    <w:rsid w:val="00E07841"/>
    <w:rsid w:val="00E079AD"/>
    <w:rsid w:val="00E11876"/>
    <w:rsid w:val="00E15B96"/>
    <w:rsid w:val="00E1619E"/>
    <w:rsid w:val="00E22160"/>
    <w:rsid w:val="00E23CBB"/>
    <w:rsid w:val="00E23DD0"/>
    <w:rsid w:val="00E260F1"/>
    <w:rsid w:val="00E30764"/>
    <w:rsid w:val="00E336B0"/>
    <w:rsid w:val="00E34605"/>
    <w:rsid w:val="00E36677"/>
    <w:rsid w:val="00E37B59"/>
    <w:rsid w:val="00E40BD9"/>
    <w:rsid w:val="00E426F6"/>
    <w:rsid w:val="00E45B16"/>
    <w:rsid w:val="00E4757C"/>
    <w:rsid w:val="00E4790B"/>
    <w:rsid w:val="00E47FF5"/>
    <w:rsid w:val="00E53438"/>
    <w:rsid w:val="00E537FD"/>
    <w:rsid w:val="00E5780C"/>
    <w:rsid w:val="00E619BB"/>
    <w:rsid w:val="00E66204"/>
    <w:rsid w:val="00E66F4A"/>
    <w:rsid w:val="00E6764A"/>
    <w:rsid w:val="00E677CC"/>
    <w:rsid w:val="00E71BF6"/>
    <w:rsid w:val="00E725FC"/>
    <w:rsid w:val="00E75BD4"/>
    <w:rsid w:val="00E84033"/>
    <w:rsid w:val="00E8714A"/>
    <w:rsid w:val="00E87A7D"/>
    <w:rsid w:val="00E90953"/>
    <w:rsid w:val="00E92A3B"/>
    <w:rsid w:val="00E92D80"/>
    <w:rsid w:val="00E93D90"/>
    <w:rsid w:val="00E95F59"/>
    <w:rsid w:val="00E963B7"/>
    <w:rsid w:val="00EA3484"/>
    <w:rsid w:val="00EA36C6"/>
    <w:rsid w:val="00EA3CA7"/>
    <w:rsid w:val="00EA4931"/>
    <w:rsid w:val="00EA52C3"/>
    <w:rsid w:val="00EB0326"/>
    <w:rsid w:val="00EB0F3D"/>
    <w:rsid w:val="00EB4FC0"/>
    <w:rsid w:val="00EB60ED"/>
    <w:rsid w:val="00EC30F9"/>
    <w:rsid w:val="00EC3E1B"/>
    <w:rsid w:val="00ED2E14"/>
    <w:rsid w:val="00ED5725"/>
    <w:rsid w:val="00ED6A97"/>
    <w:rsid w:val="00ED7031"/>
    <w:rsid w:val="00EE11DA"/>
    <w:rsid w:val="00EE134A"/>
    <w:rsid w:val="00EE1E93"/>
    <w:rsid w:val="00EE3060"/>
    <w:rsid w:val="00EE4315"/>
    <w:rsid w:val="00EE4C8B"/>
    <w:rsid w:val="00EE52BA"/>
    <w:rsid w:val="00EE6C8A"/>
    <w:rsid w:val="00EE769D"/>
    <w:rsid w:val="00EF240E"/>
    <w:rsid w:val="00EF6925"/>
    <w:rsid w:val="00EF7CB7"/>
    <w:rsid w:val="00F0169A"/>
    <w:rsid w:val="00F03115"/>
    <w:rsid w:val="00F05CB7"/>
    <w:rsid w:val="00F0641E"/>
    <w:rsid w:val="00F06E68"/>
    <w:rsid w:val="00F12118"/>
    <w:rsid w:val="00F13240"/>
    <w:rsid w:val="00F147E5"/>
    <w:rsid w:val="00F148BB"/>
    <w:rsid w:val="00F21F3A"/>
    <w:rsid w:val="00F2283C"/>
    <w:rsid w:val="00F26D91"/>
    <w:rsid w:val="00F26ED3"/>
    <w:rsid w:val="00F27133"/>
    <w:rsid w:val="00F35513"/>
    <w:rsid w:val="00F36FF6"/>
    <w:rsid w:val="00F37536"/>
    <w:rsid w:val="00F37590"/>
    <w:rsid w:val="00F415F3"/>
    <w:rsid w:val="00F42226"/>
    <w:rsid w:val="00F4417C"/>
    <w:rsid w:val="00F4451F"/>
    <w:rsid w:val="00F46621"/>
    <w:rsid w:val="00F50AE7"/>
    <w:rsid w:val="00F52C33"/>
    <w:rsid w:val="00F54A4B"/>
    <w:rsid w:val="00F62B7A"/>
    <w:rsid w:val="00F6397D"/>
    <w:rsid w:val="00F726A3"/>
    <w:rsid w:val="00F7293E"/>
    <w:rsid w:val="00F73AE6"/>
    <w:rsid w:val="00F73FF7"/>
    <w:rsid w:val="00F7604B"/>
    <w:rsid w:val="00F7614E"/>
    <w:rsid w:val="00F76650"/>
    <w:rsid w:val="00F77578"/>
    <w:rsid w:val="00F8105B"/>
    <w:rsid w:val="00F816EE"/>
    <w:rsid w:val="00F83B63"/>
    <w:rsid w:val="00F842C8"/>
    <w:rsid w:val="00F8701E"/>
    <w:rsid w:val="00F90630"/>
    <w:rsid w:val="00F9187B"/>
    <w:rsid w:val="00F92385"/>
    <w:rsid w:val="00F924FB"/>
    <w:rsid w:val="00F942B2"/>
    <w:rsid w:val="00F96765"/>
    <w:rsid w:val="00FA1B4F"/>
    <w:rsid w:val="00FA3069"/>
    <w:rsid w:val="00FA47C1"/>
    <w:rsid w:val="00FA692A"/>
    <w:rsid w:val="00FB525C"/>
    <w:rsid w:val="00FC11F7"/>
    <w:rsid w:val="00FC144E"/>
    <w:rsid w:val="00FC1D5C"/>
    <w:rsid w:val="00FC47F9"/>
    <w:rsid w:val="00FC5981"/>
    <w:rsid w:val="00FC645F"/>
    <w:rsid w:val="00FC6865"/>
    <w:rsid w:val="00FC6989"/>
    <w:rsid w:val="00FD21B3"/>
    <w:rsid w:val="00FD43E4"/>
    <w:rsid w:val="00FD6601"/>
    <w:rsid w:val="00FD7696"/>
    <w:rsid w:val="00FD7898"/>
    <w:rsid w:val="00FE2351"/>
    <w:rsid w:val="00FE337D"/>
    <w:rsid w:val="00FE4D18"/>
    <w:rsid w:val="00FE5580"/>
    <w:rsid w:val="00FF110C"/>
    <w:rsid w:val="00FF4ACF"/>
    <w:rsid w:val="00FF6247"/>
    <w:rsid w:val="00FF626E"/>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3E224"/>
  <w15:chartTrackingRefBased/>
  <w15:docId w15:val="{0FBCDB0C-CDAE-44A4-851D-282A2A8A44A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90395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spacing w:after="120" w:line="240" w:lineRule="auto"/>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customStyle="1" w:styleId="standard0">
    <w:name w:val="standard"/>
    <w:basedOn w:val="Normal"/>
    <w:link w:val="standardChar"/>
    <w:rsid w:val="0090395D"/>
    <w:rPr>
      <w:rFonts w:eastAsia="Times New Roman" w:cs="Times New Roman"/>
      <w:szCs w:val="20"/>
    </w:rPr>
  </w:style>
  <w:style w:type="character" w:customStyle="1" w:styleId="standardChar">
    <w:name w:val="standard Char"/>
    <w:link w:val="standard0"/>
    <w:rsid w:val="0090395D"/>
    <w:rPr>
      <w:rFonts w:ascii="Book Antiqua" w:eastAsia="Times New Roman" w:hAnsi="Book Antiqua" w:cs="Times New Roman"/>
      <w:sz w:val="26"/>
      <w:szCs w:val="20"/>
    </w:rPr>
  </w:style>
  <w:style w:type="paragraph" w:styleId="ListParagraph">
    <w:name w:val="List Paragraph"/>
    <w:basedOn w:val="Normal"/>
    <w:uiPriority w:val="34"/>
    <w:qFormat/>
    <w:rsid w:val="00C81C48"/>
    <w:pPr>
      <w:spacing w:line="240" w:lineRule="auto"/>
      <w:ind w:left="720" w:firstLine="0"/>
      <w:contextualSpacing/>
    </w:pPr>
    <w:rPr>
      <w:rFonts w:ascii="Palatino" w:eastAsia="Times New Roman" w:hAnsi="Palatino" w:cs="Times New Roman"/>
      <w:szCs w:val="20"/>
    </w:rPr>
  </w:style>
  <w:style w:type="character" w:customStyle="1" w:styleId="cf01">
    <w:name w:val="cf01"/>
    <w:basedOn w:val="DefaultParagraphFont"/>
    <w:rsid w:val="00F54A4B"/>
    <w:rPr>
      <w:rFonts w:ascii="Segoe UI" w:hAnsi="Segoe UI" w:cs="Segoe UI" w:hint="default"/>
      <w:sz w:val="18"/>
      <w:szCs w:val="18"/>
    </w:rPr>
  </w:style>
  <w:style w:type="paragraph" w:styleId="CommentText">
    <w:name w:val="annotation text"/>
    <w:basedOn w:val="Normal"/>
    <w:link w:val="CommentTextChar"/>
    <w:uiPriority w:val="99"/>
    <w:unhideWhenUsed/>
    <w:rsid w:val="00C60AE2"/>
    <w:pPr>
      <w:spacing w:line="240" w:lineRule="auto"/>
    </w:pPr>
    <w:rPr>
      <w:sz w:val="20"/>
      <w:szCs w:val="20"/>
    </w:rPr>
  </w:style>
  <w:style w:type="character" w:customStyle="1" w:styleId="CommentTextChar">
    <w:name w:val="Comment Text Char"/>
    <w:basedOn w:val="DefaultParagraphFont"/>
    <w:link w:val="CommentText"/>
    <w:uiPriority w:val="99"/>
    <w:rsid w:val="00C60AE2"/>
    <w:rPr>
      <w:rFonts w:ascii="Book Antiqua" w:hAnsi="Book Antiqua"/>
      <w:sz w:val="20"/>
      <w:szCs w:val="20"/>
    </w:rPr>
  </w:style>
  <w:style w:type="character" w:styleId="CommentReference">
    <w:name w:val="annotation reference"/>
    <w:basedOn w:val="DefaultParagraphFont"/>
    <w:uiPriority w:val="99"/>
    <w:semiHidden/>
    <w:unhideWhenUsed/>
    <w:rsid w:val="00C60AE2"/>
    <w:rPr>
      <w:sz w:val="16"/>
      <w:szCs w:val="16"/>
    </w:rPr>
  </w:style>
  <w:style w:type="paragraph" w:customStyle="1" w:styleId="paragraph">
    <w:name w:val="paragraph"/>
    <w:basedOn w:val="Normal"/>
    <w:rsid w:val="007602C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7602CF"/>
  </w:style>
  <w:style w:type="character" w:customStyle="1" w:styleId="superscript">
    <w:name w:val="superscript"/>
    <w:basedOn w:val="DefaultParagraphFont"/>
    <w:rsid w:val="007602CF"/>
  </w:style>
  <w:style w:type="character" w:customStyle="1" w:styleId="eop">
    <w:name w:val="eop"/>
    <w:basedOn w:val="DefaultParagraphFont"/>
    <w:rsid w:val="007602CF"/>
  </w:style>
  <w:style w:type="character" w:customStyle="1" w:styleId="contextualspellingandgrammarerror">
    <w:name w:val="contextualspellingandgrammarerror"/>
    <w:basedOn w:val="DefaultParagraphFont"/>
    <w:rsid w:val="007602CF"/>
  </w:style>
  <w:style w:type="character" w:customStyle="1" w:styleId="spellingerror">
    <w:name w:val="spellingerror"/>
    <w:basedOn w:val="DefaultParagraphFont"/>
    <w:rsid w:val="007602CF"/>
  </w:style>
  <w:style w:type="paragraph" w:styleId="CommentSubject">
    <w:name w:val="annotation subject"/>
    <w:basedOn w:val="CommentText"/>
    <w:next w:val="CommentText"/>
    <w:link w:val="CommentSubjectChar"/>
    <w:uiPriority w:val="99"/>
    <w:semiHidden/>
    <w:unhideWhenUsed/>
    <w:rsid w:val="00F7604B"/>
    <w:rPr>
      <w:b/>
      <w:bCs/>
    </w:rPr>
  </w:style>
  <w:style w:type="character" w:customStyle="1" w:styleId="CommentSubjectChar">
    <w:name w:val="Comment Subject Char"/>
    <w:basedOn w:val="CommentTextChar"/>
    <w:link w:val="CommentSubject"/>
    <w:uiPriority w:val="99"/>
    <w:semiHidden/>
    <w:rsid w:val="00F7604B"/>
    <w:rPr>
      <w:rFonts w:ascii="Book Antiqua" w:hAnsi="Book Antiqua"/>
      <w:b/>
      <w:bCs/>
      <w:sz w:val="20"/>
      <w:szCs w:val="20"/>
    </w:rPr>
  </w:style>
  <w:style w:type="paragraph" w:styleId="Revision">
    <w:name w:val="Revision"/>
    <w:hidden/>
    <w:uiPriority w:val="99"/>
    <w:semiHidden/>
    <w:rsid w:val="00D17D6A"/>
    <w:pPr>
      <w:spacing w:after="0" w:line="240" w:lineRule="auto"/>
    </w:pPr>
    <w:rPr>
      <w:rFonts w:ascii="Book Antiqua" w:hAnsi="Book Antiqua"/>
      <w:sz w:val="26"/>
    </w:rPr>
  </w:style>
  <w:style w:type="character" w:styleId="FollowedHyperlink">
    <w:name w:val="FollowedHyperlink"/>
    <w:basedOn w:val="DefaultParagraphFont"/>
    <w:uiPriority w:val="99"/>
    <w:semiHidden/>
    <w:unhideWhenUsed/>
    <w:rsid w:val="00622EE8"/>
    <w:rPr>
      <w:color w:val="954F72" w:themeColor="followedHyperlink"/>
      <w:u w:val="single"/>
    </w:rPr>
  </w:style>
  <w:style w:type="character" w:styleId="UnresolvedMention">
    <w:name w:val="Unresolved Mention"/>
    <w:basedOn w:val="DefaultParagraphFont"/>
    <w:uiPriority w:val="99"/>
    <w:semiHidden/>
    <w:unhideWhenUsed/>
    <w:rsid w:val="00DE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4110">
      <w:bodyDiv w:val="1"/>
      <w:marLeft w:val="0"/>
      <w:marRight w:val="0"/>
      <w:marTop w:val="0"/>
      <w:marBottom w:val="0"/>
      <w:divBdr>
        <w:top w:val="none" w:sz="0" w:space="0" w:color="auto"/>
        <w:left w:val="none" w:sz="0" w:space="0" w:color="auto"/>
        <w:bottom w:val="none" w:sz="0" w:space="0" w:color="auto"/>
        <w:right w:val="none" w:sz="0" w:space="0" w:color="auto"/>
      </w:divBdr>
    </w:div>
    <w:div w:id="234050233">
      <w:bodyDiv w:val="1"/>
      <w:marLeft w:val="0"/>
      <w:marRight w:val="0"/>
      <w:marTop w:val="0"/>
      <w:marBottom w:val="0"/>
      <w:divBdr>
        <w:top w:val="none" w:sz="0" w:space="0" w:color="auto"/>
        <w:left w:val="none" w:sz="0" w:space="0" w:color="auto"/>
        <w:bottom w:val="none" w:sz="0" w:space="0" w:color="auto"/>
        <w:right w:val="none" w:sz="0" w:space="0" w:color="auto"/>
      </w:divBdr>
    </w:div>
    <w:div w:id="840004558">
      <w:bodyDiv w:val="1"/>
      <w:marLeft w:val="0"/>
      <w:marRight w:val="0"/>
      <w:marTop w:val="0"/>
      <w:marBottom w:val="0"/>
      <w:divBdr>
        <w:top w:val="none" w:sz="0" w:space="0" w:color="auto"/>
        <w:left w:val="none" w:sz="0" w:space="0" w:color="auto"/>
        <w:bottom w:val="none" w:sz="0" w:space="0" w:color="auto"/>
        <w:right w:val="none" w:sz="0" w:space="0" w:color="auto"/>
      </w:divBdr>
    </w:div>
    <w:div w:id="11124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hart" Target="charts/chart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chart" Target="charts/chart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526/K769/526769004.pdf" TargetMode="External" Id="R17f4b154c51b4132" /></Relationships>
</file>

<file path=word/charts/_rels/chart1.xml.rels><?xml version="1.0" encoding="UTF-8" standalone="yes"?>
<Relationships xmlns="http://schemas.openxmlformats.org/package/2006/relationships"><Relationship Id="rId3" Type="http://schemas.openxmlformats.org/officeDocument/2006/relationships/oleObject" Target="https://cs.cpuc.ca.gov/otcsdav/nodes/526701444/Q4%202023%20RR%20with%20IRR%20scenarios.xlsx" TargetMode="External"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oleObject" Target="https://cs.cpuc.ca.gov/otcsdav/nodes/526701444/Copy%20of%20Q4%202023%20RR%20with%20IRR%20scenarios.xlsx" TargetMode="External" /><Relationship Id="rId2" Type="http://schemas.microsoft.com/office/2011/relationships/chartColorStyle" Target="colors2.xml" /><Relationship Id="rId1" Type="http://schemas.microsoft.com/office/2011/relationships/chartStyle" Target="style2.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'IRR Scenarios'!$J$136</c:f>
              <c:strCache>
                <c:ptCount val="1"/>
                <c:pt idx="0">
                  <c:v>with IRR</c:v>
                </c:pt>
              </c:strCache>
            </c:strRef>
          </c:tx>
          <c:spPr>
            <a:ln w="28575" cap="rnd">
              <a:solidFill>
                <a:schemeClr val="tx1"/>
              </a:solidFill>
              <a:round/>
            </a:ln>
            <a:effectLst/>
          </c:spPr>
          <c:marker>
            <c:symbol val="none"/>
          </c:marker>
          <c:cat>
            <c:strRef>
              <c:f>'IRR Scenarios'!$K$5:$T$5</c:f>
              <c:strCache>
                <c:ptCount val="10"/>
                <c:pt idx="0">
                  <c:v>January 1, 2022</c:v>
                </c:pt>
                <c:pt idx="1">
                  <c:v>March 1</c:v>
                </c:pt>
                <c:pt idx="2">
                  <c:v>June 1</c:v>
                </c:pt>
                <c:pt idx="3">
                  <c:v>September 1</c:v>
                </c:pt>
                <c:pt idx="4">
                  <c:v>January 1, 2023</c:v>
                </c:pt>
                <c:pt idx="5">
                  <c:v>March 1</c:v>
                </c:pt>
                <c:pt idx="6">
                  <c:v>June 1</c:v>
                </c:pt>
                <c:pt idx="7">
                  <c:v>July 1</c:v>
                </c:pt>
                <c:pt idx="8">
                  <c:v>September 1</c:v>
                </c:pt>
                <c:pt idx="9">
                  <c:v>January 1, 2024</c:v>
                </c:pt>
              </c:strCache>
            </c:strRef>
          </c:cat>
          <c:val>
            <c:numRef>
              <c:f>'IRR Scenarios'!$K$136:$T$136</c:f>
              <c:numCache>
                <c:formatCode>_(* #,##0_);_(* \(#,##0\);_(* "-"_);_(@_)</c:formatCode>
                <c:ptCount val="10"/>
                <c:pt idx="0">
                  <c:v>15754775.728784397</c:v>
                </c:pt>
                <c:pt idx="1">
                  <c:v>14839818.714197448</c:v>
                </c:pt>
                <c:pt idx="2">
                  <c:v>15105926.287586529</c:v>
                </c:pt>
                <c:pt idx="3">
                  <c:v>15105926.287586529</c:v>
                </c:pt>
                <c:pt idx="4">
                  <c:v>15619060.132071162</c:v>
                </c:pt>
                <c:pt idx="5">
                  <c:v>16591934.827718249</c:v>
                </c:pt>
                <c:pt idx="6">
                  <c:v>16187410.451144839</c:v>
                </c:pt>
                <c:pt idx="7">
                  <c:v>17396512.263889838</c:v>
                </c:pt>
                <c:pt idx="8">
                  <c:v>17759989.743541721</c:v>
                </c:pt>
                <c:pt idx="9">
                  <c:v>18768534.511298355</c:v>
                </c:pt>
              </c:numCache>
            </c:numRef>
          </c:val>
          <c:smooth val="1"/>
          <c:extLst>
            <c:ext xmlns:c16="http://schemas.microsoft.com/office/drawing/2014/chart" uri="{C3380CC4-5D6E-409C-BE32-E72D297353CC}">
              <c16:uniqueId val="{00000000-66F2-4DBE-BEDA-09603D239612}"/>
            </c:ext>
          </c:extLst>
        </c:ser>
        <c:ser>
          <c:idx val="0"/>
          <c:order val="1"/>
          <c:tx>
            <c:strRef>
              <c:f>'IRR Scenarios'!$J$140</c:f>
              <c:strCache>
                <c:ptCount val="1"/>
                <c:pt idx="0">
                  <c:v>without IRR</c:v>
                </c:pt>
              </c:strCache>
            </c:strRef>
          </c:tx>
          <c:spPr>
            <a:ln w="28575" cap="rnd">
              <a:solidFill>
                <a:schemeClr val="tx2"/>
              </a:solidFill>
              <a:prstDash val="sysDash"/>
              <a:round/>
            </a:ln>
            <a:effectLst/>
          </c:spPr>
          <c:marker>
            <c:symbol val="none"/>
          </c:marker>
          <c:cat>
            <c:strRef>
              <c:f>'IRR Scenarios'!$K$5:$T$5</c:f>
              <c:strCache>
                <c:ptCount val="10"/>
                <c:pt idx="0">
                  <c:v>January 1, 2022</c:v>
                </c:pt>
                <c:pt idx="1">
                  <c:v>March 1</c:v>
                </c:pt>
                <c:pt idx="2">
                  <c:v>June 1</c:v>
                </c:pt>
                <c:pt idx="3">
                  <c:v>September 1</c:v>
                </c:pt>
                <c:pt idx="4">
                  <c:v>January 1, 2023</c:v>
                </c:pt>
                <c:pt idx="5">
                  <c:v>March 1</c:v>
                </c:pt>
                <c:pt idx="6">
                  <c:v>June 1</c:v>
                </c:pt>
                <c:pt idx="7">
                  <c:v>July 1</c:v>
                </c:pt>
                <c:pt idx="8">
                  <c:v>September 1</c:v>
                </c:pt>
                <c:pt idx="9">
                  <c:v>January 1, 2024</c:v>
                </c:pt>
              </c:strCache>
            </c:strRef>
          </c:cat>
          <c:val>
            <c:numRef>
              <c:f>'IRR Scenarios'!$K$140:$T$140</c:f>
              <c:numCache>
                <c:formatCode>_(* #,##0_);_(* \(#,##0\);_(* "-"_);_(@_)</c:formatCode>
                <c:ptCount val="10"/>
                <c:pt idx="0">
                  <c:v>15435835.128549103</c:v>
                </c:pt>
                <c:pt idx="1">
                  <c:v>14520878.113962153</c:v>
                </c:pt>
                <c:pt idx="2">
                  <c:v>15105926.487811347</c:v>
                </c:pt>
                <c:pt idx="3">
                  <c:v>15105926.487811347</c:v>
                </c:pt>
                <c:pt idx="4">
                  <c:v>15619059.689838821</c:v>
                </c:pt>
                <c:pt idx="5">
                  <c:v>16910875.427953541</c:v>
                </c:pt>
                <c:pt idx="6">
                  <c:v>16506351.051380133</c:v>
                </c:pt>
                <c:pt idx="7">
                  <c:v>17715452.864125133</c:v>
                </c:pt>
                <c:pt idx="8">
                  <c:v>18078930.343777016</c:v>
                </c:pt>
                <c:pt idx="9">
                  <c:v>19087475.111533649</c:v>
                </c:pt>
              </c:numCache>
            </c:numRef>
          </c:val>
          <c:smooth val="1"/>
          <c:extLst>
            <c:ext xmlns:c16="http://schemas.microsoft.com/office/drawing/2014/chart" uri="{C3380CC4-5D6E-409C-BE32-E72D297353CC}">
              <c16:uniqueId val="{00000001-66F2-4DBE-BEDA-09603D239612}"/>
            </c:ext>
          </c:extLst>
        </c:ser>
        <c:dLbls>
          <c:showLegendKey val="0"/>
          <c:showVal val="0"/>
          <c:showCatName val="0"/>
          <c:showSerName val="0"/>
          <c:showPercent val="0"/>
          <c:showBubbleSize val="0"/>
        </c:dLbls>
        <c:smooth val="0"/>
        <c:axId val="136026911"/>
        <c:axId val="2046686207"/>
      </c:lineChart>
      <c:catAx>
        <c:axId val="136026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6686207"/>
        <c:crosses val="autoZero"/>
        <c:auto val="1"/>
        <c:lblAlgn val="ctr"/>
        <c:lblOffset val="100"/>
        <c:noMultiLvlLbl val="0"/>
      </c:catAx>
      <c:valAx>
        <c:axId val="2046686207"/>
        <c:scaling>
          <c:orientation val="minMax"/>
          <c:min val="1400000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0269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b" anchorCtr="0"/>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'IRR Scenarios'!$J$136</c:f>
              <c:strCache>
                <c:ptCount val="1"/>
                <c:pt idx="0">
                  <c:v>with IRR</c:v>
                </c:pt>
              </c:strCache>
            </c:strRef>
          </c:tx>
          <c:spPr>
            <a:ln w="28575" cap="rnd">
              <a:solidFill>
                <a:schemeClr val="accent2"/>
              </a:solidFill>
              <a:round/>
            </a:ln>
            <a:effectLst/>
          </c:spPr>
          <c:marker>
            <c:symbol val="none"/>
          </c:marker>
          <c:cat>
            <c:strRef>
              <c:f>'IRR Scenarios'!$K$5:$T$5</c:f>
              <c:strCache>
                <c:ptCount val="10"/>
                <c:pt idx="0">
                  <c:v>January 1, 2022</c:v>
                </c:pt>
                <c:pt idx="1">
                  <c:v>March 1</c:v>
                </c:pt>
                <c:pt idx="2">
                  <c:v>June 1</c:v>
                </c:pt>
                <c:pt idx="3">
                  <c:v>September 1</c:v>
                </c:pt>
                <c:pt idx="4">
                  <c:v>January 1, 2023</c:v>
                </c:pt>
                <c:pt idx="5">
                  <c:v>March 1</c:v>
                </c:pt>
                <c:pt idx="6">
                  <c:v>June 1</c:v>
                </c:pt>
                <c:pt idx="7">
                  <c:v>July 1</c:v>
                </c:pt>
                <c:pt idx="8">
                  <c:v>September 1</c:v>
                </c:pt>
                <c:pt idx="9">
                  <c:v>January 1, 2024</c:v>
                </c:pt>
              </c:strCache>
            </c:strRef>
          </c:cat>
          <c:val>
            <c:numRef>
              <c:f>'IRR Scenarios'!$K$136:$T$136</c:f>
              <c:numCache>
                <c:formatCode>_(* #,##0_);_(* \(#,##0\);_(* "-"_);_(@_)</c:formatCode>
                <c:ptCount val="10"/>
                <c:pt idx="0">
                  <c:v>15754775.728784397</c:v>
                </c:pt>
                <c:pt idx="1">
                  <c:v>14839818.714197448</c:v>
                </c:pt>
                <c:pt idx="2">
                  <c:v>15105926.287586529</c:v>
                </c:pt>
                <c:pt idx="3">
                  <c:v>15105926.287586529</c:v>
                </c:pt>
                <c:pt idx="4">
                  <c:v>15619060.132071162</c:v>
                </c:pt>
                <c:pt idx="5">
                  <c:v>16591934.827718249</c:v>
                </c:pt>
                <c:pt idx="6">
                  <c:v>16187410.451144839</c:v>
                </c:pt>
                <c:pt idx="7">
                  <c:v>17396512.263889838</c:v>
                </c:pt>
                <c:pt idx="8">
                  <c:v>17759989.743541721</c:v>
                </c:pt>
                <c:pt idx="9">
                  <c:v>20846351</c:v>
                </c:pt>
              </c:numCache>
            </c:numRef>
          </c:val>
          <c:smooth val="1"/>
          <c:extLst>
            <c:ext xmlns:c16="http://schemas.microsoft.com/office/drawing/2014/chart" uri="{C3380CC4-5D6E-409C-BE32-E72D297353CC}">
              <c16:uniqueId val="{00000000-59CC-4C8F-894E-54EE8DB90369}"/>
            </c:ext>
          </c:extLst>
        </c:ser>
        <c:ser>
          <c:idx val="0"/>
          <c:order val="1"/>
          <c:tx>
            <c:strRef>
              <c:f>'IRR Scenarios'!$J$140</c:f>
              <c:strCache>
                <c:ptCount val="1"/>
                <c:pt idx="0">
                  <c:v>without IRR</c:v>
                </c:pt>
              </c:strCache>
            </c:strRef>
          </c:tx>
          <c:spPr>
            <a:ln w="28575" cap="rnd">
              <a:solidFill>
                <a:schemeClr val="accent1"/>
              </a:solidFill>
              <a:prstDash val="dash"/>
              <a:round/>
            </a:ln>
            <a:effectLst/>
          </c:spPr>
          <c:marker>
            <c:symbol val="none"/>
          </c:marker>
          <c:cat>
            <c:strRef>
              <c:f>'IRR Scenarios'!$K$5:$T$5</c:f>
              <c:strCache>
                <c:ptCount val="10"/>
                <c:pt idx="0">
                  <c:v>January 1, 2022</c:v>
                </c:pt>
                <c:pt idx="1">
                  <c:v>March 1</c:v>
                </c:pt>
                <c:pt idx="2">
                  <c:v>June 1</c:v>
                </c:pt>
                <c:pt idx="3">
                  <c:v>September 1</c:v>
                </c:pt>
                <c:pt idx="4">
                  <c:v>January 1, 2023</c:v>
                </c:pt>
                <c:pt idx="5">
                  <c:v>March 1</c:v>
                </c:pt>
                <c:pt idx="6">
                  <c:v>June 1</c:v>
                </c:pt>
                <c:pt idx="7">
                  <c:v>July 1</c:v>
                </c:pt>
                <c:pt idx="8">
                  <c:v>September 1</c:v>
                </c:pt>
                <c:pt idx="9">
                  <c:v>January 1, 2024</c:v>
                </c:pt>
              </c:strCache>
            </c:strRef>
          </c:cat>
          <c:val>
            <c:numRef>
              <c:f>'IRR Scenarios'!$K$140:$T$140</c:f>
              <c:numCache>
                <c:formatCode>_(* #,##0_);_(* \(#,##0\);_(* "-"_);_(@_)</c:formatCode>
                <c:ptCount val="10"/>
                <c:pt idx="0">
                  <c:v>15435835.128549103</c:v>
                </c:pt>
                <c:pt idx="1">
                  <c:v>14520878.113962153</c:v>
                </c:pt>
                <c:pt idx="2">
                  <c:v>15105926.487811347</c:v>
                </c:pt>
                <c:pt idx="3">
                  <c:v>15105926.487811347</c:v>
                </c:pt>
                <c:pt idx="4">
                  <c:v>15619059.689838821</c:v>
                </c:pt>
                <c:pt idx="5">
                  <c:v>16910875.427953541</c:v>
                </c:pt>
                <c:pt idx="6">
                  <c:v>16506351.051380133</c:v>
                </c:pt>
                <c:pt idx="7">
                  <c:v>17715452.864125133</c:v>
                </c:pt>
                <c:pt idx="8">
                  <c:v>18078930.343777016</c:v>
                </c:pt>
                <c:pt idx="9">
                  <c:v>21165291.600235295</c:v>
                </c:pt>
              </c:numCache>
            </c:numRef>
          </c:val>
          <c:smooth val="1"/>
          <c:extLst>
            <c:ext xmlns:c16="http://schemas.microsoft.com/office/drawing/2014/chart" uri="{C3380CC4-5D6E-409C-BE32-E72D297353CC}">
              <c16:uniqueId val="{00000001-59CC-4C8F-894E-54EE8DB90369}"/>
            </c:ext>
          </c:extLst>
        </c:ser>
        <c:dLbls>
          <c:showLegendKey val="0"/>
          <c:showVal val="0"/>
          <c:showCatName val="0"/>
          <c:showSerName val="0"/>
          <c:showPercent val="0"/>
          <c:showBubbleSize val="0"/>
        </c:dLbls>
        <c:smooth val="0"/>
        <c:axId val="136026911"/>
        <c:axId val="2046686207"/>
      </c:lineChart>
      <c:catAx>
        <c:axId val="136026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6686207"/>
        <c:crosses val="autoZero"/>
        <c:auto val="1"/>
        <c:lblAlgn val="ctr"/>
        <c:lblOffset val="100"/>
        <c:noMultiLvlLbl val="0"/>
      </c:catAx>
      <c:valAx>
        <c:axId val="2046686207"/>
        <c:scaling>
          <c:orientation val="minMax"/>
          <c:min val="1400000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0269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b" anchorCtr="0"/>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0c2bee6-72d2-4c4b-bbf2-19a975248824">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lcf76f155ced4ddcb4097134ff3c332f xmlns="ef7e321c-44a6-4cb5-81f0-0bfd95ece253">
      <Terms xmlns="http://schemas.microsoft.com/office/infopath/2007/PartnerControls"/>
    </lcf76f155ced4ddcb4097134ff3c332f>
    <TaxCatchAll xmlns="40c2bee6-72d2-4c4b-bbf2-19a9752488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12" ma:contentTypeDescription="Create a new document." ma:contentTypeScope="" ma:versionID="4225d45ddd1a7a5828db1e92e0ebaa6f">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a878a72dfcf12e16a82a81229ed307c1"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35960-7829-44dd-b243-a39bb7be529f}" ma:internalName="TaxCatchAll" ma:showField="CatchAllData" ma:web="40c2bee6-72d2-4c4b-bbf2-19a975248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2.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40c2bee6-72d2-4c4b-bbf2-19a975248824"/>
    <ds:schemaRef ds:uri="ef7e321c-44a6-4cb5-81f0-0bfd95ece253"/>
  </ds:schemaRefs>
</ds:datastoreItem>
</file>

<file path=customXml/itemProps3.xml><?xml version="1.0" encoding="utf-8"?>
<ds:datastoreItem xmlns:ds="http://schemas.openxmlformats.org/officeDocument/2006/customXml" ds:itemID="{9EE42826-C640-46EA-8DE6-7521634A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A911F-0EC2-D54E-A7E8-9463420EE4E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38</ap:Pages>
  <ap:Words>7151</ap:Words>
  <ap:Characters>40765</ap:Characters>
  <ap:Application>Microsoft Office Word</ap:Application>
  <ap:DocSecurity>0</ap:DocSecurity>
  <ap:Lines>339</ap:Lines>
  <ap:Paragraphs>95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47821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2024-03-04T10:40:37Z</dcterms:created>
  <dcterms:modified xsi:type="dcterms:W3CDTF">2024-03-04T10:40:37Z</dcterms:modified>
</cp:coreProperties>
</file>