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8" w:rsidRDefault="00A73BD9" w14:paraId="3F4D57E5" w14:textId="77777777">
      <w:pPr>
        <w:pStyle w:val="titlebar"/>
        <w:rPr>
          <w:sz w:val="24"/>
          <w:szCs w:val="24"/>
        </w:rPr>
      </w:pPr>
      <w:r>
        <w:rPr>
          <w:sz w:val="24"/>
          <w:szCs w:val="24"/>
        </w:rPr>
        <w:t>P</w:t>
      </w:r>
      <w:r w:rsidR="004D7874">
        <w:rPr>
          <w:sz w:val="24"/>
          <w:szCs w:val="24"/>
        </w:rPr>
        <w:t>UBLIC UTILITIES COMMISSION OF THE STATE OF CALIFORNIA</w:t>
      </w:r>
    </w:p>
    <w:p w:rsidR="00580718" w:rsidRDefault="00580718" w14:paraId="1531B819" w14:textId="77777777">
      <w:pPr>
        <w:pStyle w:val="Body"/>
        <w:spacing w:after="0"/>
        <w:rPr>
          <w:rFonts w:ascii="Palatino Linotype" w:hAnsi="Palatino Linotype" w:eastAsia="Palatino Linotype" w:cs="Palatino Linotype"/>
          <w:b/>
          <w:bCs/>
          <w:sz w:val="24"/>
          <w:szCs w:val="24"/>
        </w:rPr>
      </w:pPr>
    </w:p>
    <w:p w:rsidR="00104DD3" w:rsidP="00864BE0" w:rsidRDefault="00104DD3" w14:paraId="5CB9887F" w14:textId="2EEF4B4D">
      <w:pPr>
        <w:pStyle w:val="Body"/>
        <w:tabs>
          <w:tab w:val="right" w:pos="9090"/>
        </w:tabs>
        <w:spacing w:after="0" w:line="240" w:lineRule="auto"/>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ab/>
        <w:t>Item #4 (Rev. 1)</w:t>
      </w:r>
    </w:p>
    <w:p w:rsidR="00864BE0" w:rsidP="00864BE0" w:rsidRDefault="00864BE0" w14:paraId="01EC017F" w14:textId="2486A6CB">
      <w:pPr>
        <w:pStyle w:val="Body"/>
        <w:tabs>
          <w:tab w:val="right" w:pos="9090"/>
        </w:tabs>
        <w:spacing w:after="0" w:line="240" w:lineRule="auto"/>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ab/>
        <w:t>Agenda ID #</w:t>
      </w:r>
      <w:r w:rsidRPr="006560DA" w:rsidR="006560DA">
        <w:t xml:space="preserve"> </w:t>
      </w:r>
      <w:r w:rsidRPr="006560DA" w:rsidR="006560DA">
        <w:rPr>
          <w:rFonts w:ascii="Palatino Linotype" w:hAnsi="Palatino Linotype" w:eastAsia="Palatino Linotype" w:cs="Palatino Linotype"/>
          <w:b/>
          <w:bCs/>
          <w:sz w:val="24"/>
          <w:szCs w:val="24"/>
        </w:rPr>
        <w:t>22278</w:t>
      </w:r>
    </w:p>
    <w:p w:rsidR="00580718" w:rsidP="00864BE0" w:rsidRDefault="004D7874" w14:paraId="5602140A" w14:textId="77777777">
      <w:pPr>
        <w:pStyle w:val="Body"/>
        <w:tabs>
          <w:tab w:val="right" w:pos="9090"/>
        </w:tabs>
        <w:spacing w:after="0" w:line="240" w:lineRule="auto"/>
        <w:ind w:left="180"/>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ENERGY DIVISION</w:t>
      </w:r>
      <w:r w:rsidR="00864BE0">
        <w:tab/>
      </w:r>
      <w:r>
        <w:rPr>
          <w:rFonts w:ascii="Palatino Linotype" w:hAnsi="Palatino Linotype" w:eastAsia="Palatino Linotype" w:cs="Palatino Linotype"/>
          <w:b/>
          <w:bCs/>
          <w:sz w:val="24"/>
          <w:szCs w:val="24"/>
        </w:rPr>
        <w:t xml:space="preserve">RESOLUTION </w:t>
      </w:r>
      <w:r w:rsidRPr="00F74F90" w:rsidR="00F74F90">
        <w:rPr>
          <w:rFonts w:ascii="Palatino Linotype" w:hAnsi="Palatino Linotype" w:eastAsia="Palatino Linotype" w:cs="Palatino Linotype"/>
          <w:b/>
          <w:bCs/>
          <w:sz w:val="24"/>
          <w:szCs w:val="24"/>
        </w:rPr>
        <w:t>E-</w:t>
      </w:r>
      <w:r w:rsidR="00945C71">
        <w:rPr>
          <w:rFonts w:ascii="Palatino Linotype" w:hAnsi="Palatino Linotype" w:eastAsia="Palatino Linotype" w:cs="Palatino Linotype"/>
          <w:b/>
          <w:bCs/>
          <w:sz w:val="24"/>
          <w:szCs w:val="24"/>
        </w:rPr>
        <w:t>5296</w:t>
      </w:r>
    </w:p>
    <w:p w:rsidR="00864BE0" w:rsidP="00864BE0" w:rsidRDefault="00864BE0" w14:paraId="28C7B89A" w14:textId="77777777">
      <w:pPr>
        <w:pStyle w:val="Body"/>
        <w:tabs>
          <w:tab w:val="right" w:pos="9090"/>
        </w:tabs>
        <w:spacing w:after="0" w:line="240" w:lineRule="auto"/>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ab/>
      </w:r>
      <w:r w:rsidR="001C06C1">
        <w:rPr>
          <w:rFonts w:ascii="Palatino Linotype" w:hAnsi="Palatino Linotype" w:eastAsia="Palatino Linotype" w:cs="Palatino Linotype"/>
          <w:b/>
          <w:bCs/>
          <w:sz w:val="24"/>
          <w:szCs w:val="24"/>
        </w:rPr>
        <w:t xml:space="preserve">March </w:t>
      </w:r>
      <w:r w:rsidR="007E414B">
        <w:rPr>
          <w:rFonts w:ascii="Palatino Linotype" w:hAnsi="Palatino Linotype" w:eastAsia="Palatino Linotype" w:cs="Palatino Linotype"/>
          <w:b/>
          <w:bCs/>
          <w:sz w:val="24"/>
          <w:szCs w:val="24"/>
        </w:rPr>
        <w:t>21</w:t>
      </w:r>
      <w:r w:rsidR="004812F5">
        <w:rPr>
          <w:rFonts w:ascii="Palatino Linotype" w:hAnsi="Palatino Linotype" w:eastAsia="Palatino Linotype" w:cs="Palatino Linotype"/>
          <w:b/>
          <w:bCs/>
          <w:sz w:val="24"/>
          <w:szCs w:val="24"/>
        </w:rPr>
        <w:t xml:space="preserve">, </w:t>
      </w:r>
      <w:r w:rsidRPr="00C20096" w:rsidR="008E7783">
        <w:rPr>
          <w:rFonts w:ascii="Palatino Linotype" w:hAnsi="Palatino Linotype" w:eastAsia="Palatino Linotype" w:cs="Palatino Linotype"/>
          <w:b/>
          <w:bCs/>
          <w:sz w:val="24"/>
          <w:szCs w:val="24"/>
        </w:rPr>
        <w:t>202</w:t>
      </w:r>
      <w:r w:rsidR="000804CC">
        <w:rPr>
          <w:rFonts w:ascii="Palatino Linotype" w:hAnsi="Palatino Linotype" w:eastAsia="Palatino Linotype" w:cs="Palatino Linotype"/>
          <w:b/>
          <w:bCs/>
          <w:sz w:val="24"/>
          <w:szCs w:val="24"/>
        </w:rPr>
        <w:t>4</w:t>
      </w:r>
    </w:p>
    <w:p w:rsidR="00580718" w:rsidRDefault="00580718" w14:paraId="1101A4D2" w14:textId="77777777">
      <w:pPr>
        <w:pStyle w:val="mainex"/>
        <w:jc w:val="left"/>
        <w:rPr>
          <w:u w:val="single"/>
        </w:rPr>
      </w:pPr>
    </w:p>
    <w:p w:rsidR="00580718" w:rsidRDefault="004D7874" w14:paraId="071CBA99" w14:textId="77777777">
      <w:pPr>
        <w:pStyle w:val="mainex"/>
        <w:rPr>
          <w:u w:val="single"/>
        </w:rPr>
      </w:pPr>
      <w:r>
        <w:rPr>
          <w:u w:val="single"/>
        </w:rPr>
        <w:t>RESOLUTION</w:t>
      </w:r>
    </w:p>
    <w:p w:rsidR="00580718" w:rsidRDefault="00580718" w14:paraId="742F3CCC" w14:textId="77777777">
      <w:pPr>
        <w:pStyle w:val="mainex"/>
        <w:rPr>
          <w:u w:val="single"/>
        </w:rPr>
      </w:pPr>
    </w:p>
    <w:p w:rsidRPr="00C20096" w:rsidR="00580718" w:rsidRDefault="004D7874" w14:paraId="533C474F" w14:textId="77777777">
      <w:pPr>
        <w:pStyle w:val="Res-Caption"/>
        <w:rPr>
          <w:rFonts w:ascii="Palatino Linotype" w:hAnsi="Palatino Linotype" w:eastAsia="Palatino Linotype" w:cs="Palatino Linotype"/>
          <w:sz w:val="24"/>
          <w:szCs w:val="24"/>
        </w:rPr>
      </w:pPr>
      <w:r w:rsidRPr="00F9667F">
        <w:rPr>
          <w:rFonts w:ascii="Palatino Linotype" w:hAnsi="Palatino Linotype" w:eastAsia="Palatino Linotype" w:cs="Palatino Linotype"/>
          <w:sz w:val="24"/>
          <w:szCs w:val="24"/>
        </w:rPr>
        <w:t>Resolution E-</w:t>
      </w:r>
      <w:r w:rsidRPr="00F9667F" w:rsidR="00F9667F">
        <w:rPr>
          <w:rFonts w:ascii="Palatino Linotype" w:hAnsi="Palatino Linotype" w:eastAsia="Palatino Linotype" w:cs="Palatino Linotype"/>
          <w:sz w:val="24"/>
          <w:szCs w:val="24"/>
        </w:rPr>
        <w:t>5296</w:t>
      </w:r>
      <w:r w:rsidRPr="00F9667F">
        <w:rPr>
          <w:rFonts w:ascii="Palatino Linotype" w:hAnsi="Palatino Linotype" w:eastAsia="Palatino Linotype" w:cs="Palatino Linotype"/>
          <w:sz w:val="24"/>
          <w:szCs w:val="24"/>
        </w:rPr>
        <w:t xml:space="preserve">.  </w:t>
      </w:r>
      <w:r w:rsidRPr="00F9667F" w:rsidR="00F9667F">
        <w:rPr>
          <w:rFonts w:ascii="Palatino Linotype" w:hAnsi="Palatino Linotype" w:eastAsia="Palatino Linotype" w:cs="Palatino Linotype"/>
          <w:sz w:val="24"/>
          <w:szCs w:val="24"/>
        </w:rPr>
        <w:t xml:space="preserve"> Approving in part and modifying Pacific Gas and Electric Company’s, Southern </w:t>
      </w:r>
      <w:r w:rsidRPr="00F9667F">
        <w:rPr>
          <w:rFonts w:ascii="Palatino Linotype" w:hAnsi="Palatino Linotype" w:eastAsia="Palatino Linotype" w:cs="Palatino Linotype"/>
          <w:sz w:val="24"/>
          <w:szCs w:val="24"/>
        </w:rPr>
        <w:t>Edi</w:t>
      </w:r>
      <w:r w:rsidRPr="00F9667F" w:rsidR="000F2C64">
        <w:rPr>
          <w:rFonts w:ascii="Palatino Linotype" w:hAnsi="Palatino Linotype" w:eastAsia="Palatino Linotype" w:cs="Palatino Linotype"/>
          <w:sz w:val="24"/>
          <w:szCs w:val="24"/>
        </w:rPr>
        <w:t>s</w:t>
      </w:r>
      <w:r w:rsidRPr="00F9667F">
        <w:rPr>
          <w:rFonts w:ascii="Palatino Linotype" w:hAnsi="Palatino Linotype" w:eastAsia="Palatino Linotype" w:cs="Palatino Linotype"/>
          <w:sz w:val="24"/>
          <w:szCs w:val="24"/>
        </w:rPr>
        <w:t xml:space="preserve">on Company’s, and San Diego Gas &amp; Electric Company’s </w:t>
      </w:r>
      <w:r w:rsidRPr="00F9667F" w:rsidR="0019702D">
        <w:rPr>
          <w:rFonts w:ascii="Palatino Linotype" w:hAnsi="Palatino Linotype" w:eastAsia="Palatino Linotype" w:cs="Palatino Linotype"/>
          <w:sz w:val="24"/>
          <w:szCs w:val="24"/>
        </w:rPr>
        <w:t>Advice Letters</w:t>
      </w:r>
      <w:r w:rsidR="00CD62E0">
        <w:rPr>
          <w:rFonts w:ascii="Palatino Linotype" w:hAnsi="Palatino Linotype" w:eastAsia="Palatino Linotype" w:cs="Palatino Linotype"/>
          <w:sz w:val="24"/>
          <w:szCs w:val="24"/>
        </w:rPr>
        <w:t>,</w:t>
      </w:r>
      <w:r w:rsidRPr="00F9667F">
        <w:rPr>
          <w:rFonts w:ascii="Palatino Linotype" w:hAnsi="Palatino Linotype" w:eastAsia="Palatino Linotype" w:cs="Palatino Linotype"/>
          <w:sz w:val="24"/>
          <w:szCs w:val="24"/>
        </w:rPr>
        <w:t xml:space="preserve"> </w:t>
      </w:r>
      <w:r w:rsidR="00CD62E0">
        <w:rPr>
          <w:rFonts w:ascii="Palatino Linotype" w:hAnsi="Palatino Linotype" w:eastAsia="Palatino Linotype" w:cs="Palatino Linotype"/>
          <w:sz w:val="24"/>
          <w:szCs w:val="24"/>
        </w:rPr>
        <w:t xml:space="preserve">submitted </w:t>
      </w:r>
      <w:r w:rsidRPr="00F9667F" w:rsidR="00CD62E0">
        <w:rPr>
          <w:rFonts w:ascii="Palatino Linotype" w:hAnsi="Palatino Linotype" w:eastAsia="Palatino Linotype" w:cs="Palatino Linotype"/>
          <w:sz w:val="24"/>
          <w:szCs w:val="24"/>
        </w:rPr>
        <w:t xml:space="preserve">per Resolutions E-5211 and </w:t>
      </w:r>
      <w:r w:rsidR="00CD62E0">
        <w:rPr>
          <w:rFonts w:ascii="Palatino Linotype" w:hAnsi="Palatino Linotype" w:eastAsia="Palatino Linotype" w:cs="Palatino Linotype"/>
          <w:sz w:val="24"/>
          <w:szCs w:val="24"/>
        </w:rPr>
        <w:t>E-</w:t>
      </w:r>
      <w:r w:rsidRPr="00F9667F" w:rsidR="00CD62E0">
        <w:rPr>
          <w:rFonts w:ascii="Palatino Linotype" w:hAnsi="Palatino Linotype" w:eastAsia="Palatino Linotype" w:cs="Palatino Linotype"/>
          <w:sz w:val="24"/>
          <w:szCs w:val="24"/>
        </w:rPr>
        <w:t>5230</w:t>
      </w:r>
      <w:r w:rsidR="00CD62E0">
        <w:rPr>
          <w:rFonts w:ascii="Palatino Linotype" w:hAnsi="Palatino Linotype" w:eastAsia="Palatino Linotype" w:cs="Palatino Linotype"/>
          <w:sz w:val="24"/>
          <w:szCs w:val="24"/>
        </w:rPr>
        <w:t xml:space="preserve">, </w:t>
      </w:r>
      <w:r w:rsidRPr="00F9667F" w:rsidR="008A0D74">
        <w:rPr>
          <w:rFonts w:ascii="Palatino Linotype" w:hAnsi="Palatino Linotype" w:eastAsia="Palatino Linotype" w:cs="Palatino Linotype"/>
          <w:sz w:val="24"/>
          <w:szCs w:val="24"/>
        </w:rPr>
        <w:t xml:space="preserve">providing the specifics </w:t>
      </w:r>
      <w:r w:rsidR="00CD62E0">
        <w:rPr>
          <w:rFonts w:ascii="Palatino Linotype" w:hAnsi="Palatino Linotype" w:eastAsia="Palatino Linotype" w:cs="Palatino Linotype"/>
          <w:sz w:val="24"/>
          <w:szCs w:val="24"/>
        </w:rPr>
        <w:t xml:space="preserve">and process </w:t>
      </w:r>
      <w:r w:rsidRPr="00F9667F" w:rsidR="008A0D74">
        <w:rPr>
          <w:rFonts w:ascii="Palatino Linotype" w:hAnsi="Palatino Linotype" w:eastAsia="Palatino Linotype" w:cs="Palatino Linotype"/>
          <w:sz w:val="24"/>
          <w:szCs w:val="24"/>
        </w:rPr>
        <w:t>of Limited Generation Profile</w:t>
      </w:r>
      <w:r w:rsidR="00CD62E0">
        <w:rPr>
          <w:rFonts w:ascii="Palatino Linotype" w:hAnsi="Palatino Linotype" w:eastAsia="Palatino Linotype" w:cs="Palatino Linotype"/>
          <w:sz w:val="24"/>
          <w:szCs w:val="24"/>
        </w:rPr>
        <w:t>s</w:t>
      </w:r>
      <w:r w:rsidRPr="00F9667F" w:rsidR="0071546E">
        <w:rPr>
          <w:rFonts w:ascii="Palatino Linotype" w:hAnsi="Palatino Linotype" w:eastAsia="Palatino Linotype" w:cs="Palatino Linotype"/>
          <w:sz w:val="24"/>
          <w:szCs w:val="24"/>
        </w:rPr>
        <w:t>.</w:t>
      </w:r>
    </w:p>
    <w:p w:rsidRPr="00C20096" w:rsidR="00580718" w:rsidRDefault="00580718" w14:paraId="4A887C70" w14:textId="77777777">
      <w:pPr>
        <w:pStyle w:val="Res-Caption"/>
        <w:rPr>
          <w:rFonts w:ascii="Palatino Linotype" w:hAnsi="Palatino Linotype" w:eastAsia="Palatino Linotype" w:cs="Palatino Linotype"/>
          <w:sz w:val="24"/>
          <w:szCs w:val="24"/>
        </w:rPr>
      </w:pPr>
    </w:p>
    <w:p w:rsidRPr="00C20096" w:rsidR="00580718" w:rsidRDefault="004D7874" w14:paraId="711AAD40"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PROPOSED OUTCOME: </w:t>
      </w:r>
    </w:p>
    <w:p w:rsidRPr="00C20096" w:rsidR="00580718" w:rsidRDefault="00580718" w14:paraId="277564EA" w14:textId="77777777">
      <w:pPr>
        <w:pStyle w:val="Res-Caption"/>
        <w:rPr>
          <w:rFonts w:ascii="Palatino Linotype" w:hAnsi="Palatino Linotype" w:eastAsia="Palatino Linotype" w:cs="Palatino Linotype"/>
          <w:sz w:val="24"/>
          <w:szCs w:val="24"/>
        </w:rPr>
      </w:pPr>
    </w:p>
    <w:p w:rsidRPr="007C1EAA" w:rsidR="00580718" w:rsidP="004C6118" w:rsidRDefault="004D7874" w14:paraId="5DAD37CD" w14:textId="77777777">
      <w:pPr>
        <w:pStyle w:val="ListParagraph"/>
        <w:numPr>
          <w:ilvl w:val="0"/>
          <w:numId w:val="2"/>
        </w:numPr>
        <w:tabs>
          <w:tab w:val="left" w:pos="690"/>
          <w:tab w:val="num" w:pos="1440"/>
        </w:tabs>
        <w:ind w:left="1440" w:hanging="360"/>
        <w:rPr>
          <w:rFonts w:ascii="Palatino Linotype" w:hAnsi="Palatino Linotype" w:eastAsia="Times New Roman" w:cs="Times New Roman"/>
          <w:sz w:val="24"/>
          <w:szCs w:val="24"/>
        </w:rPr>
      </w:pPr>
      <w:r w:rsidRPr="007C1EAA">
        <w:rPr>
          <w:rFonts w:ascii="Palatino Linotype" w:hAnsi="Palatino Linotype" w:eastAsia="Palatino Linotype" w:cs="Palatino Linotype"/>
          <w:sz w:val="24"/>
          <w:szCs w:val="24"/>
        </w:rPr>
        <w:t>This Resolution</w:t>
      </w:r>
      <w:r w:rsidRPr="007C1EAA" w:rsidR="007510F2">
        <w:rPr>
          <w:rFonts w:ascii="Palatino Linotype" w:hAnsi="Palatino Linotype" w:eastAsia="Palatino Linotype" w:cs="Palatino Linotype"/>
          <w:sz w:val="24"/>
          <w:szCs w:val="24"/>
        </w:rPr>
        <w:t xml:space="preserve"> </w:t>
      </w:r>
      <w:r w:rsidRPr="007C1EAA" w:rsidR="00EC5871">
        <w:rPr>
          <w:rFonts w:ascii="Palatino Linotype" w:hAnsi="Palatino Linotype" w:eastAsia="Palatino Linotype" w:cs="Palatino Linotype"/>
          <w:sz w:val="24"/>
          <w:szCs w:val="24"/>
        </w:rPr>
        <w:t xml:space="preserve">approves in part, and modifies, </w:t>
      </w:r>
      <w:r w:rsidRPr="007C1EAA">
        <w:rPr>
          <w:rFonts w:ascii="Palatino Linotype" w:hAnsi="Palatino Linotype" w:eastAsia="Palatino Linotype" w:cs="Palatino Linotype"/>
          <w:sz w:val="24"/>
          <w:szCs w:val="24"/>
        </w:rPr>
        <w:t>Pacific Gas and Electric Company’s (PG&amp;E), Southern California Edi</w:t>
      </w:r>
      <w:r w:rsidRPr="007C1EAA" w:rsidR="00DF1C7A">
        <w:rPr>
          <w:rFonts w:ascii="Palatino Linotype" w:hAnsi="Palatino Linotype" w:eastAsia="Palatino Linotype" w:cs="Palatino Linotype"/>
          <w:sz w:val="24"/>
          <w:szCs w:val="24"/>
        </w:rPr>
        <w:t>s</w:t>
      </w:r>
      <w:r w:rsidRPr="007C1EAA">
        <w:rPr>
          <w:rFonts w:ascii="Palatino Linotype" w:hAnsi="Palatino Linotype" w:eastAsia="Palatino Linotype" w:cs="Palatino Linotype"/>
          <w:sz w:val="24"/>
          <w:szCs w:val="24"/>
        </w:rPr>
        <w:t xml:space="preserve">on Company’s (SCE), and San Diego Gas &amp; Electric Company’s (SDG&amp;E) </w:t>
      </w:r>
      <w:r w:rsidRPr="007C1EAA" w:rsidR="00925688">
        <w:rPr>
          <w:rFonts w:ascii="Palatino Linotype" w:hAnsi="Palatino Linotype" w:eastAsia="Palatino Linotype" w:cs="Palatino Linotype"/>
          <w:sz w:val="24"/>
          <w:szCs w:val="24"/>
        </w:rPr>
        <w:t>Advice Letters</w:t>
      </w:r>
      <w:r w:rsidRPr="007C1EAA" w:rsidR="00663D75">
        <w:rPr>
          <w:rFonts w:ascii="Palatino Linotype" w:hAnsi="Palatino Linotype" w:eastAsia="Palatino Linotype" w:cs="Palatino Linotype"/>
          <w:sz w:val="24"/>
          <w:szCs w:val="24"/>
        </w:rPr>
        <w:t xml:space="preserve"> (ALs)</w:t>
      </w:r>
      <w:r w:rsidRPr="007C1EAA" w:rsidR="00CE3753">
        <w:rPr>
          <w:rFonts w:ascii="Palatino Linotype" w:hAnsi="Palatino Linotype" w:eastAsia="Palatino Linotype" w:cs="Palatino Linotype"/>
          <w:sz w:val="24"/>
          <w:szCs w:val="24"/>
        </w:rPr>
        <w:t xml:space="preserve"> filed</w:t>
      </w:r>
      <w:r w:rsidRPr="007C1EAA" w:rsidR="00925688">
        <w:rPr>
          <w:rFonts w:ascii="Palatino Linotype" w:hAnsi="Palatino Linotype" w:eastAsia="Palatino Linotype" w:cs="Palatino Linotype"/>
          <w:sz w:val="24"/>
          <w:szCs w:val="24"/>
        </w:rPr>
        <w:t xml:space="preserve"> </w:t>
      </w:r>
      <w:r w:rsidRPr="007C1EAA" w:rsidR="00CE3753">
        <w:rPr>
          <w:rFonts w:ascii="Palatino Linotype" w:hAnsi="Palatino Linotype" w:eastAsia="Palatino Linotype" w:cs="Palatino Linotype"/>
          <w:sz w:val="24"/>
          <w:szCs w:val="24"/>
        </w:rPr>
        <w:t>in compliance with Decision 20-09-0</w:t>
      </w:r>
      <w:r w:rsidR="00AA1316">
        <w:rPr>
          <w:rFonts w:ascii="Palatino Linotype" w:hAnsi="Palatino Linotype" w:eastAsia="Palatino Linotype" w:cs="Palatino Linotype"/>
          <w:sz w:val="24"/>
          <w:szCs w:val="24"/>
        </w:rPr>
        <w:t>35</w:t>
      </w:r>
      <w:r w:rsidRPr="007C1EAA" w:rsidR="00CE3753">
        <w:rPr>
          <w:rFonts w:ascii="Palatino Linotype" w:hAnsi="Palatino Linotype" w:eastAsia="Palatino Linotype" w:cs="Palatino Linotype"/>
          <w:sz w:val="24"/>
          <w:szCs w:val="24"/>
        </w:rPr>
        <w:t xml:space="preserve"> and Resolutions E-5211 and E-5230, </w:t>
      </w:r>
      <w:r w:rsidRPr="007C1EAA" w:rsidR="00EA4CB0">
        <w:rPr>
          <w:rFonts w:ascii="Palatino Linotype" w:hAnsi="Palatino Linotype" w:eastAsia="Palatino Linotype" w:cs="Palatino Linotype"/>
          <w:sz w:val="24"/>
          <w:szCs w:val="24"/>
        </w:rPr>
        <w:t xml:space="preserve">providing </w:t>
      </w:r>
      <w:r w:rsidR="005F578D">
        <w:rPr>
          <w:rFonts w:ascii="Palatino Linotype" w:hAnsi="Palatino Linotype" w:eastAsia="Palatino Linotype" w:cs="Palatino Linotype"/>
          <w:sz w:val="24"/>
          <w:szCs w:val="24"/>
        </w:rPr>
        <w:t>the specifics</w:t>
      </w:r>
      <w:r w:rsidR="007510F2">
        <w:rPr>
          <w:rFonts w:ascii="Palatino Linotype" w:hAnsi="Palatino Linotype" w:eastAsia="Palatino Linotype" w:cs="Palatino Linotype"/>
          <w:sz w:val="24"/>
          <w:szCs w:val="24"/>
        </w:rPr>
        <w:t xml:space="preserve"> </w:t>
      </w:r>
      <w:r w:rsidRPr="007C1EAA" w:rsidR="007510F2">
        <w:rPr>
          <w:rFonts w:ascii="Palatino Linotype" w:hAnsi="Palatino Linotype" w:eastAsia="Palatino Linotype" w:cs="Palatino Linotype"/>
          <w:sz w:val="24"/>
          <w:szCs w:val="24"/>
        </w:rPr>
        <w:t xml:space="preserve">on whether and how reductions to a customer’s Limited </w:t>
      </w:r>
      <w:r w:rsidRPr="005F578D" w:rsidR="007510F2">
        <w:rPr>
          <w:rFonts w:ascii="Palatino Linotype" w:hAnsi="Palatino Linotype" w:eastAsia="Palatino Linotype" w:cs="Palatino Linotype"/>
          <w:sz w:val="24"/>
          <w:szCs w:val="24"/>
        </w:rPr>
        <w:t xml:space="preserve">Generation Profile </w:t>
      </w:r>
      <w:r w:rsidRPr="005F578D" w:rsidR="00663D75">
        <w:rPr>
          <w:rFonts w:ascii="Palatino Linotype" w:hAnsi="Palatino Linotype" w:eastAsia="Palatino Linotype" w:cs="Palatino Linotype"/>
          <w:sz w:val="24"/>
          <w:szCs w:val="24"/>
        </w:rPr>
        <w:t xml:space="preserve">(LGP) </w:t>
      </w:r>
      <w:r w:rsidRPr="005F578D" w:rsidR="007510F2">
        <w:rPr>
          <w:rFonts w:ascii="Palatino Linotype" w:hAnsi="Palatino Linotype" w:eastAsia="Palatino Linotype" w:cs="Palatino Linotype"/>
          <w:sz w:val="24"/>
          <w:szCs w:val="24"/>
        </w:rPr>
        <w:t>are determined</w:t>
      </w:r>
      <w:r w:rsidR="00117F0C">
        <w:rPr>
          <w:rFonts w:ascii="Palatino Linotype" w:hAnsi="Palatino Linotype" w:eastAsia="Palatino Linotype" w:cs="Palatino Linotype"/>
          <w:sz w:val="24"/>
          <w:szCs w:val="24"/>
        </w:rPr>
        <w:t xml:space="preserve">, and </w:t>
      </w:r>
      <w:r w:rsidRPr="005F578D" w:rsidR="005F578D">
        <w:rPr>
          <w:rFonts w:ascii="Palatino Linotype" w:hAnsi="Palatino Linotype" w:eastAsia="Palatino Linotype" w:cs="Palatino Linotype"/>
          <w:sz w:val="24"/>
          <w:szCs w:val="24"/>
        </w:rPr>
        <w:t>providing recommendations regarding the standard review, certification requirements,</w:t>
      </w:r>
      <w:r w:rsidRPr="005F578D" w:rsidR="00EA4CB0">
        <w:rPr>
          <w:rFonts w:ascii="Palatino Linotype" w:hAnsi="Palatino Linotype" w:eastAsia="Palatino Linotype" w:cs="Palatino Linotype"/>
          <w:sz w:val="24"/>
          <w:szCs w:val="24"/>
        </w:rPr>
        <w:t xml:space="preserve"> and </w:t>
      </w:r>
      <w:r w:rsidRPr="005F578D" w:rsidR="005F578D">
        <w:rPr>
          <w:rFonts w:ascii="Palatino Linotype" w:hAnsi="Palatino Linotype" w:eastAsia="Palatino Linotype" w:cs="Palatino Linotype"/>
          <w:sz w:val="24"/>
          <w:szCs w:val="24"/>
        </w:rPr>
        <w:t>interconnection processes necessary for implementation</w:t>
      </w:r>
      <w:r w:rsidRPr="005F578D" w:rsidR="00EA4CB0">
        <w:rPr>
          <w:rFonts w:ascii="Palatino Linotype" w:hAnsi="Palatino Linotype" w:eastAsia="Palatino Linotype" w:cs="Palatino Linotype"/>
          <w:sz w:val="24"/>
          <w:szCs w:val="24"/>
        </w:rPr>
        <w:t xml:space="preserve"> of </w:t>
      </w:r>
      <w:r w:rsidR="00E548F9">
        <w:rPr>
          <w:rFonts w:ascii="Palatino Linotype" w:hAnsi="Palatino Linotype" w:eastAsia="Palatino Linotype" w:cs="Palatino Linotype"/>
          <w:sz w:val="24"/>
          <w:szCs w:val="24"/>
        </w:rPr>
        <w:t>the LGP option</w:t>
      </w:r>
      <w:r w:rsidR="00AD2FD1">
        <w:rPr>
          <w:rFonts w:ascii="Palatino Linotype" w:hAnsi="Palatino Linotype" w:eastAsia="Palatino Linotype" w:cs="Palatino Linotype"/>
          <w:sz w:val="24"/>
          <w:szCs w:val="24"/>
        </w:rPr>
        <w:t>.</w:t>
      </w:r>
    </w:p>
    <w:p w:rsidRPr="00E548F9" w:rsidR="002764E0" w:rsidP="00E06512" w:rsidRDefault="004D7874" w14:paraId="5942A8A9" w14:textId="77777777">
      <w:pPr>
        <w:pStyle w:val="ListParagraph"/>
        <w:numPr>
          <w:ilvl w:val="0"/>
          <w:numId w:val="2"/>
        </w:numPr>
        <w:tabs>
          <w:tab w:val="left" w:pos="690"/>
          <w:tab w:val="num" w:pos="1440"/>
        </w:tabs>
        <w:ind w:left="1440" w:hanging="360"/>
        <w:rPr>
          <w:rFonts w:ascii="Palatino Linotype" w:hAnsi="Palatino Linotype" w:eastAsia="Times" w:cs="Times"/>
          <w:sz w:val="24"/>
          <w:szCs w:val="24"/>
        </w:rPr>
      </w:pPr>
      <w:r w:rsidRPr="00E548F9">
        <w:rPr>
          <w:rFonts w:ascii="Palatino Linotype" w:hAnsi="Palatino Linotype" w:eastAsia="Palatino Linotype" w:cs="Palatino Linotype"/>
          <w:sz w:val="24"/>
          <w:szCs w:val="24"/>
        </w:rPr>
        <w:t>This Resolution</w:t>
      </w:r>
      <w:r w:rsidRPr="00E548F9" w:rsidR="000A42E5">
        <w:rPr>
          <w:rFonts w:ascii="Palatino Linotype" w:hAnsi="Palatino Linotype" w:eastAsia="Palatino Linotype" w:cs="Palatino Linotype"/>
          <w:sz w:val="24"/>
          <w:szCs w:val="24"/>
        </w:rPr>
        <w:t xml:space="preserve"> orders PG&amp;E, SCE and SDG&amp;E to </w:t>
      </w:r>
      <w:r w:rsidR="00390D81">
        <w:rPr>
          <w:rFonts w:ascii="Palatino Linotype" w:hAnsi="Palatino Linotype" w:cstheme="minorHAnsi"/>
          <w:color w:val="000000" w:themeColor="text1"/>
          <w:sz w:val="24"/>
          <w:szCs w:val="24"/>
        </w:rPr>
        <w:t>submit via Advice Letter</w:t>
      </w:r>
      <w:r w:rsidRPr="00F946DA" w:rsidR="00390D81">
        <w:rPr>
          <w:rFonts w:ascii="Palatino Linotype" w:hAnsi="Palatino Linotype" w:cstheme="minorHAnsi"/>
          <w:color w:val="000000" w:themeColor="text1"/>
          <w:sz w:val="24"/>
          <w:szCs w:val="24"/>
        </w:rPr>
        <w:t xml:space="preserve"> changes to their Rule 21 Tariffs</w:t>
      </w:r>
      <w:r w:rsidRPr="00E548F9" w:rsidR="00390D81">
        <w:rPr>
          <w:rFonts w:ascii="Palatino Linotype" w:hAnsi="Palatino Linotype" w:eastAsia="Palatino Linotype" w:cs="Palatino Linotype"/>
          <w:sz w:val="24"/>
          <w:szCs w:val="24"/>
        </w:rPr>
        <w:t xml:space="preserve"> </w:t>
      </w:r>
      <w:r w:rsidRPr="00E548F9" w:rsidR="000504E9">
        <w:rPr>
          <w:rFonts w:ascii="Palatino Linotype" w:hAnsi="Palatino Linotype" w:eastAsia="Palatino Linotype" w:cs="Palatino Linotype"/>
          <w:sz w:val="24"/>
          <w:szCs w:val="24"/>
        </w:rPr>
        <w:t>and other forms</w:t>
      </w:r>
      <w:r w:rsidRPr="00E548F9" w:rsidR="002764E0">
        <w:rPr>
          <w:rFonts w:ascii="Palatino Linotype" w:hAnsi="Palatino Linotype" w:eastAsia="Palatino Linotype" w:cs="Palatino Linotype"/>
          <w:sz w:val="24"/>
          <w:szCs w:val="24"/>
        </w:rPr>
        <w:t xml:space="preserve"> as applicable</w:t>
      </w:r>
      <w:r w:rsidRPr="00E548F9" w:rsidR="000504E9">
        <w:rPr>
          <w:rFonts w:ascii="Palatino Linotype" w:hAnsi="Palatino Linotype" w:eastAsia="Palatino Linotype" w:cs="Palatino Linotype"/>
          <w:sz w:val="24"/>
          <w:szCs w:val="24"/>
        </w:rPr>
        <w:t xml:space="preserve"> to allow the use of </w:t>
      </w:r>
      <w:r w:rsidRPr="00E548F9" w:rsidR="002764E0">
        <w:rPr>
          <w:rFonts w:ascii="Palatino Linotype" w:hAnsi="Palatino Linotype" w:eastAsia="Palatino Linotype" w:cs="Palatino Linotype"/>
          <w:sz w:val="24"/>
          <w:szCs w:val="24"/>
        </w:rPr>
        <w:t>LGPs.</w:t>
      </w:r>
    </w:p>
    <w:p w:rsidRPr="00E548F9" w:rsidR="00580718" w:rsidP="00C9613A" w:rsidRDefault="002764E0" w14:paraId="6D4D3887" w14:textId="77777777">
      <w:pPr>
        <w:pStyle w:val="ListParagraph"/>
        <w:numPr>
          <w:ilvl w:val="0"/>
          <w:numId w:val="2"/>
        </w:numPr>
        <w:tabs>
          <w:tab w:val="left" w:pos="690"/>
          <w:tab w:val="num" w:pos="1440"/>
        </w:tabs>
        <w:ind w:left="1440" w:hanging="360"/>
        <w:rPr>
          <w:rFonts w:ascii="Palatino Linotype" w:hAnsi="Palatino Linotype" w:eastAsia="Palatino Linotype" w:cs="Palatino Linotype"/>
          <w:sz w:val="24"/>
          <w:szCs w:val="24"/>
        </w:rPr>
      </w:pPr>
      <w:r w:rsidRPr="00E548F9">
        <w:rPr>
          <w:rFonts w:ascii="Palatino Linotype" w:hAnsi="Palatino Linotype" w:eastAsia="Palatino Linotype" w:cs="Palatino Linotype"/>
          <w:sz w:val="24"/>
          <w:szCs w:val="24"/>
        </w:rPr>
        <w:t xml:space="preserve">This Resolution orders PG&amp;E, SCE and SDG&amp;E </w:t>
      </w:r>
      <w:r w:rsidRPr="00E548F9" w:rsidR="000504E9">
        <w:rPr>
          <w:rFonts w:ascii="Palatino Linotype" w:hAnsi="Palatino Linotype" w:eastAsia="Palatino Linotype" w:cs="Palatino Linotype"/>
          <w:sz w:val="24"/>
          <w:szCs w:val="24"/>
        </w:rPr>
        <w:t xml:space="preserve">to </w:t>
      </w:r>
      <w:r w:rsidRPr="00E548F9" w:rsidR="00E548F9">
        <w:rPr>
          <w:rFonts w:ascii="Palatino Linotype" w:hAnsi="Palatino Linotype" w:eastAsia="Palatino Linotype" w:cs="Palatino Linotype"/>
          <w:sz w:val="24"/>
          <w:szCs w:val="24"/>
        </w:rPr>
        <w:t xml:space="preserve">monitor and </w:t>
      </w:r>
      <w:r w:rsidRPr="00E548F9" w:rsidR="005F5F64">
        <w:rPr>
          <w:rFonts w:ascii="Palatino Linotype" w:hAnsi="Palatino Linotype" w:eastAsia="Palatino Linotype" w:cs="Palatino Linotype"/>
          <w:sz w:val="24"/>
          <w:szCs w:val="24"/>
        </w:rPr>
        <w:t>report data</w:t>
      </w:r>
      <w:r w:rsidRPr="00E548F9" w:rsidR="00663D75">
        <w:rPr>
          <w:rFonts w:ascii="Palatino Linotype" w:hAnsi="Palatino Linotype" w:eastAsia="Palatino Linotype" w:cs="Palatino Linotype"/>
          <w:sz w:val="24"/>
          <w:szCs w:val="24"/>
        </w:rPr>
        <w:t xml:space="preserve"> </w:t>
      </w:r>
      <w:r w:rsidRPr="00E548F9" w:rsidR="00E548F9">
        <w:rPr>
          <w:rFonts w:ascii="Palatino Linotype" w:hAnsi="Palatino Linotype" w:eastAsia="Palatino Linotype" w:cs="Palatino Linotype"/>
          <w:sz w:val="24"/>
          <w:szCs w:val="24"/>
        </w:rPr>
        <w:t xml:space="preserve">on utilization of the </w:t>
      </w:r>
      <w:r w:rsidRPr="00E548F9">
        <w:rPr>
          <w:rFonts w:ascii="Palatino Linotype" w:hAnsi="Palatino Linotype" w:eastAsia="Palatino Linotype" w:cs="Palatino Linotype"/>
          <w:sz w:val="24"/>
          <w:szCs w:val="24"/>
        </w:rPr>
        <w:t>LGP</w:t>
      </w:r>
      <w:r w:rsidRPr="00E548F9" w:rsidR="00E548F9">
        <w:rPr>
          <w:rFonts w:ascii="Palatino Linotype" w:hAnsi="Palatino Linotype" w:eastAsia="Palatino Linotype" w:cs="Palatino Linotype"/>
          <w:sz w:val="24"/>
          <w:szCs w:val="24"/>
        </w:rPr>
        <w:t xml:space="preserve"> option </w:t>
      </w:r>
      <w:r w:rsidRPr="00E548F9">
        <w:rPr>
          <w:rFonts w:ascii="Palatino Linotype" w:hAnsi="Palatino Linotype" w:eastAsia="Palatino Linotype" w:cs="Palatino Linotype"/>
          <w:sz w:val="24"/>
          <w:szCs w:val="24"/>
        </w:rPr>
        <w:t xml:space="preserve">to </w:t>
      </w:r>
      <w:r w:rsidR="005466E7">
        <w:rPr>
          <w:rFonts w:ascii="Palatino Linotype" w:hAnsi="Palatino Linotype" w:eastAsia="Palatino Linotype" w:cs="Palatino Linotype"/>
          <w:sz w:val="24"/>
          <w:szCs w:val="24"/>
        </w:rPr>
        <w:t>facilitate f</w:t>
      </w:r>
      <w:r w:rsidRPr="00E548F9" w:rsidR="00E548F9">
        <w:rPr>
          <w:rFonts w:ascii="Palatino Linotype" w:hAnsi="Palatino Linotype" w:eastAsia="Palatino Linotype" w:cs="Palatino Linotype"/>
          <w:sz w:val="24"/>
          <w:szCs w:val="24"/>
        </w:rPr>
        <w:t>uture refinements</w:t>
      </w:r>
      <w:r w:rsidR="00117F0C">
        <w:rPr>
          <w:rFonts w:ascii="Palatino Linotype" w:hAnsi="Palatino Linotype" w:eastAsia="Palatino Linotype" w:cs="Palatino Linotype"/>
          <w:sz w:val="24"/>
          <w:szCs w:val="24"/>
        </w:rPr>
        <w:t xml:space="preserve"> to </w:t>
      </w:r>
      <w:r w:rsidR="00390D81">
        <w:rPr>
          <w:rFonts w:ascii="Palatino Linotype" w:hAnsi="Palatino Linotype" w:eastAsia="Palatino Linotype" w:cs="Palatino Linotype"/>
          <w:sz w:val="24"/>
          <w:szCs w:val="24"/>
        </w:rPr>
        <w:t xml:space="preserve">its </w:t>
      </w:r>
      <w:r w:rsidR="00117F0C">
        <w:rPr>
          <w:rFonts w:ascii="Palatino Linotype" w:hAnsi="Palatino Linotype" w:eastAsia="Palatino Linotype" w:cs="Palatino Linotype"/>
          <w:sz w:val="24"/>
          <w:szCs w:val="24"/>
        </w:rPr>
        <w:t>implementation</w:t>
      </w:r>
      <w:r w:rsidRPr="00E548F9" w:rsidR="005D559C">
        <w:rPr>
          <w:rFonts w:ascii="Palatino Linotype" w:hAnsi="Palatino Linotype" w:eastAsia="Palatino Linotype" w:cs="Palatino Linotype"/>
          <w:sz w:val="24"/>
          <w:szCs w:val="24"/>
        </w:rPr>
        <w:t>.</w:t>
      </w:r>
      <w:r w:rsidRPr="00E548F9" w:rsidR="00663D75">
        <w:rPr>
          <w:rFonts w:ascii="Palatino Linotype" w:hAnsi="Palatino Linotype" w:eastAsia="Palatino Linotype" w:cs="Palatino Linotype"/>
          <w:sz w:val="24"/>
          <w:szCs w:val="24"/>
        </w:rPr>
        <w:t xml:space="preserve"> </w:t>
      </w:r>
    </w:p>
    <w:p w:rsidRPr="00E548F9" w:rsidR="00E548F9" w:rsidP="00E548F9" w:rsidRDefault="00E548F9" w14:paraId="467E8AC7" w14:textId="77777777">
      <w:pPr>
        <w:tabs>
          <w:tab w:val="left" w:pos="690"/>
          <w:tab w:val="num" w:pos="1440"/>
        </w:tabs>
        <w:rPr>
          <w:rFonts w:eastAsia="Palatino Linotype" w:cs="Palatino Linotype"/>
        </w:rPr>
      </w:pPr>
    </w:p>
    <w:p w:rsidRPr="00C20096" w:rsidR="00580718" w:rsidRDefault="004D7874" w14:paraId="7F9ED852"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SAFETY CONSIDERATIONS:</w:t>
      </w:r>
    </w:p>
    <w:p w:rsidRPr="00C20096" w:rsidR="00A137C7" w:rsidRDefault="00A137C7" w14:paraId="0BDDAE70" w14:textId="77777777">
      <w:pPr>
        <w:pStyle w:val="Res-Caption"/>
        <w:rPr>
          <w:rFonts w:ascii="Palatino Linotype" w:hAnsi="Palatino Linotype" w:eastAsia="Palatino Linotype" w:cs="Palatino Linotype"/>
          <w:sz w:val="24"/>
          <w:szCs w:val="24"/>
        </w:rPr>
      </w:pPr>
    </w:p>
    <w:p w:rsidRPr="00390D81" w:rsidR="00580718" w:rsidP="004C6118" w:rsidRDefault="00600B82" w14:paraId="5279C0D9" w14:textId="77777777">
      <w:pPr>
        <w:pStyle w:val="Res-Caption"/>
        <w:numPr>
          <w:ilvl w:val="0"/>
          <w:numId w:val="3"/>
        </w:numPr>
        <w:tabs>
          <w:tab w:val="num" w:pos="1440"/>
        </w:tabs>
        <w:ind w:left="1440" w:hanging="360"/>
        <w:rPr>
          <w:rFonts w:ascii="Palatino Linotype" w:hAnsi="Palatino Linotype" w:eastAsia="Times New Roman" w:cs="Times New Roman"/>
          <w:sz w:val="24"/>
          <w:szCs w:val="24"/>
        </w:rPr>
      </w:pPr>
      <w:r w:rsidRPr="00390D81">
        <w:rPr>
          <w:rFonts w:ascii="Palatino Linotype" w:hAnsi="Palatino Linotype" w:eastAsia="Palatino Linotype" w:cs="Palatino Linotype"/>
          <w:sz w:val="24"/>
          <w:szCs w:val="24"/>
        </w:rPr>
        <w:t xml:space="preserve">The LGP option is a new interconnection option intended to maximize the use of existing hosting capacity on the grid. </w:t>
      </w:r>
      <w:r w:rsidRPr="00390D81" w:rsidR="00390D81">
        <w:rPr>
          <w:rFonts w:ascii="Palatino Linotype" w:hAnsi="Palatino Linotype" w:eastAsia="Palatino Linotype" w:cs="Palatino Linotype"/>
          <w:sz w:val="24"/>
          <w:szCs w:val="24"/>
        </w:rPr>
        <w:t>T</w:t>
      </w:r>
      <w:r w:rsidRPr="00390D81">
        <w:rPr>
          <w:rFonts w:ascii="Palatino Linotype" w:hAnsi="Palatino Linotype" w:eastAsia="Palatino Linotype" w:cs="Palatino Linotype"/>
          <w:sz w:val="24"/>
          <w:szCs w:val="24"/>
        </w:rPr>
        <w:t xml:space="preserve">he safety and reliability risks posed by LGP generating facilities relative to non-LGP generating facilities are </w:t>
      </w:r>
      <w:r w:rsidRPr="00390D81" w:rsidR="00AD2FD1">
        <w:rPr>
          <w:rFonts w:ascii="Palatino Linotype" w:hAnsi="Palatino Linotype" w:eastAsia="Palatino Linotype" w:cs="Palatino Linotype"/>
          <w:sz w:val="24"/>
          <w:szCs w:val="24"/>
        </w:rPr>
        <w:t xml:space="preserve">deemed </w:t>
      </w:r>
      <w:r w:rsidRPr="00390D81">
        <w:rPr>
          <w:rFonts w:ascii="Palatino Linotype" w:hAnsi="Palatino Linotype" w:eastAsia="Palatino Linotype" w:cs="Palatino Linotype"/>
          <w:sz w:val="24"/>
          <w:szCs w:val="24"/>
        </w:rPr>
        <w:t xml:space="preserve">minimal but remain uncertain. </w:t>
      </w:r>
    </w:p>
    <w:p w:rsidRPr="00390D81" w:rsidR="00580718" w:rsidRDefault="00580718" w14:paraId="23E82D95" w14:textId="77777777">
      <w:pPr>
        <w:pStyle w:val="Res-Caption"/>
        <w:rPr>
          <w:rFonts w:ascii="Palatino Linotype" w:hAnsi="Palatino Linotype" w:eastAsia="Palatino Linotype" w:cs="Palatino Linotype"/>
          <w:sz w:val="24"/>
          <w:szCs w:val="24"/>
        </w:rPr>
      </w:pPr>
    </w:p>
    <w:p w:rsidRPr="00390D81" w:rsidR="00580718" w:rsidP="00104DD3" w:rsidRDefault="004D7874" w14:paraId="1D29846C" w14:textId="77777777">
      <w:pPr>
        <w:pStyle w:val="Res-Caption"/>
        <w:keepNext/>
        <w:rPr>
          <w:rFonts w:ascii="Palatino Linotype" w:hAnsi="Palatino Linotype" w:eastAsia="Palatino Linotype" w:cs="Palatino Linotype"/>
          <w:sz w:val="24"/>
          <w:szCs w:val="24"/>
        </w:rPr>
      </w:pPr>
      <w:r w:rsidRPr="00390D81">
        <w:rPr>
          <w:rFonts w:ascii="Palatino Linotype" w:hAnsi="Palatino Linotype" w:eastAsia="Palatino Linotype" w:cs="Palatino Linotype"/>
          <w:sz w:val="24"/>
          <w:szCs w:val="24"/>
        </w:rPr>
        <w:lastRenderedPageBreak/>
        <w:t xml:space="preserve">ESTIMATED COST:  </w:t>
      </w:r>
    </w:p>
    <w:p w:rsidRPr="00390D81" w:rsidR="00A137C7" w:rsidP="00104DD3" w:rsidRDefault="00A137C7" w14:paraId="5CC9EE29" w14:textId="77777777">
      <w:pPr>
        <w:pStyle w:val="Res-Caption"/>
        <w:keepNext/>
        <w:rPr>
          <w:rFonts w:ascii="Palatino Linotype" w:hAnsi="Palatino Linotype" w:eastAsia="Palatino Linotype" w:cs="Palatino Linotype"/>
          <w:sz w:val="24"/>
          <w:szCs w:val="24"/>
        </w:rPr>
      </w:pPr>
    </w:p>
    <w:p w:rsidRPr="00390D81" w:rsidR="00580718" w:rsidP="00104DD3" w:rsidRDefault="008E7783" w14:paraId="49C28D4F" w14:textId="77777777">
      <w:pPr>
        <w:pStyle w:val="Res-Caption"/>
        <w:keepNext/>
        <w:numPr>
          <w:ilvl w:val="0"/>
          <w:numId w:val="3"/>
        </w:numPr>
        <w:tabs>
          <w:tab w:val="num" w:pos="1440"/>
        </w:tabs>
        <w:ind w:left="1440" w:hanging="360"/>
        <w:rPr>
          <w:rFonts w:ascii="Palatino Linotype" w:hAnsi="Palatino Linotype" w:eastAsia="Times New Roman" w:cs="Times New Roman"/>
          <w:sz w:val="24"/>
          <w:szCs w:val="24"/>
        </w:rPr>
      </w:pPr>
      <w:r w:rsidRPr="00390D81">
        <w:rPr>
          <w:rFonts w:ascii="Palatino Linotype" w:hAnsi="Palatino Linotype" w:eastAsia="Palatino Linotype" w:cs="Palatino Linotype"/>
          <w:sz w:val="24"/>
          <w:szCs w:val="24"/>
        </w:rPr>
        <w:t>Estimated costs are unknown</w:t>
      </w:r>
      <w:r w:rsidR="0093282A">
        <w:rPr>
          <w:rFonts w:ascii="Palatino Linotype" w:hAnsi="Palatino Linotype" w:eastAsia="Palatino Linotype" w:cs="Palatino Linotype"/>
          <w:sz w:val="24"/>
          <w:szCs w:val="24"/>
        </w:rPr>
        <w:t xml:space="preserve">.  Data on cost impacts of any grid mitigations or upgrades will be collected. Other </w:t>
      </w:r>
      <w:r w:rsidRPr="00390D81" w:rsidR="00BB431B">
        <w:rPr>
          <w:rFonts w:ascii="Palatino Linotype" w:hAnsi="Palatino Linotype" w:eastAsia="Palatino Linotype" w:cs="Palatino Linotype"/>
          <w:sz w:val="24"/>
          <w:szCs w:val="24"/>
        </w:rPr>
        <w:t>costs</w:t>
      </w:r>
      <w:r w:rsidR="0093282A">
        <w:rPr>
          <w:rFonts w:ascii="Palatino Linotype" w:hAnsi="Palatino Linotype" w:eastAsia="Palatino Linotype" w:cs="Palatino Linotype"/>
          <w:sz w:val="24"/>
          <w:szCs w:val="24"/>
        </w:rPr>
        <w:t xml:space="preserve"> include d</w:t>
      </w:r>
      <w:r w:rsidRPr="00390D81" w:rsidR="00BB431B">
        <w:rPr>
          <w:rFonts w:ascii="Palatino Linotype" w:hAnsi="Palatino Linotype" w:eastAsia="Palatino Linotype" w:cs="Palatino Linotype"/>
          <w:sz w:val="24"/>
          <w:szCs w:val="24"/>
        </w:rPr>
        <w:t>a</w:t>
      </w:r>
      <w:r w:rsidR="0093282A">
        <w:rPr>
          <w:rFonts w:ascii="Palatino Linotype" w:hAnsi="Palatino Linotype" w:eastAsia="Palatino Linotype" w:cs="Palatino Linotype"/>
          <w:sz w:val="24"/>
          <w:szCs w:val="24"/>
        </w:rPr>
        <w:t>ta</w:t>
      </w:r>
      <w:r w:rsidRPr="00390D81" w:rsidR="00BB431B">
        <w:rPr>
          <w:rFonts w:ascii="Palatino Linotype" w:hAnsi="Palatino Linotype" w:eastAsia="Palatino Linotype" w:cs="Palatino Linotype"/>
          <w:sz w:val="24"/>
          <w:szCs w:val="24"/>
        </w:rPr>
        <w:t xml:space="preserve"> monitoring and reporting compliance costs and </w:t>
      </w:r>
      <w:r w:rsidRPr="00C1228C" w:rsidR="0093282A">
        <w:rPr>
          <w:rFonts w:ascii="Palatino Linotype" w:hAnsi="Palatino Linotype" w:eastAsia="Palatino Linotype" w:cs="Palatino Linotype"/>
          <w:sz w:val="24"/>
          <w:szCs w:val="24"/>
        </w:rPr>
        <w:t>administrative</w:t>
      </w:r>
      <w:r w:rsidR="0093282A">
        <w:rPr>
          <w:rFonts w:ascii="Palatino Linotype" w:hAnsi="Palatino Linotype" w:eastAsia="Palatino Linotype" w:cs="Palatino Linotype"/>
          <w:sz w:val="24"/>
          <w:szCs w:val="24"/>
        </w:rPr>
        <w:t xml:space="preserve"> </w:t>
      </w:r>
      <w:r w:rsidRPr="00390D81" w:rsidR="00BB431B">
        <w:rPr>
          <w:rFonts w:ascii="Palatino Linotype" w:hAnsi="Palatino Linotype" w:eastAsia="Palatino Linotype" w:cs="Palatino Linotype"/>
          <w:sz w:val="24"/>
          <w:szCs w:val="24"/>
        </w:rPr>
        <w:t>costs to implement the LGP option.</w:t>
      </w:r>
    </w:p>
    <w:p w:rsidRPr="00C20096" w:rsidR="00580718" w:rsidRDefault="00580718" w14:paraId="47B3F78D" w14:textId="77777777">
      <w:pPr>
        <w:pStyle w:val="Res-Caption"/>
        <w:rPr>
          <w:rFonts w:ascii="Palatino Linotype" w:hAnsi="Palatino Linotype" w:eastAsia="Palatino Linotype" w:cs="Palatino Linotype"/>
          <w:sz w:val="24"/>
          <w:szCs w:val="24"/>
        </w:rPr>
      </w:pPr>
    </w:p>
    <w:p w:rsidRPr="00C20096" w:rsidR="00580718" w:rsidRDefault="004D7874" w14:paraId="5E2CAC9F"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By</w:t>
      </w:r>
      <w:r w:rsidR="00EA14C8">
        <w:rPr>
          <w:rFonts w:ascii="Palatino Linotype" w:hAnsi="Palatino Linotype" w:eastAsia="Palatino Linotype" w:cs="Palatino Linotype"/>
          <w:sz w:val="24"/>
          <w:szCs w:val="24"/>
        </w:rPr>
        <w:t>: (1)</w:t>
      </w:r>
      <w:r w:rsidRPr="00C20096">
        <w:rPr>
          <w:rFonts w:ascii="Palatino Linotype" w:hAnsi="Palatino Linotype" w:eastAsia="Palatino Linotype" w:cs="Palatino Linotype"/>
          <w:sz w:val="24"/>
          <w:szCs w:val="24"/>
        </w:rPr>
        <w:t xml:space="preserve"> </w:t>
      </w:r>
      <w:r w:rsidRPr="00C20096" w:rsidR="00CE125A">
        <w:rPr>
          <w:rFonts w:ascii="Palatino Linotype" w:hAnsi="Palatino Linotype" w:eastAsia="Palatino Linotype" w:cs="Palatino Linotype"/>
          <w:sz w:val="24"/>
          <w:szCs w:val="24"/>
        </w:rPr>
        <w:t>PG&amp;E</w:t>
      </w:r>
      <w:r w:rsidRPr="00C20096">
        <w:rPr>
          <w:rFonts w:ascii="Palatino Linotype" w:hAnsi="Palatino Linotype" w:eastAsia="Palatino Linotype" w:cs="Palatino Linotype"/>
          <w:sz w:val="24"/>
          <w:szCs w:val="24"/>
        </w:rPr>
        <w:t xml:space="preserve"> Advice Letter</w:t>
      </w:r>
      <w:r w:rsidR="004812F5">
        <w:rPr>
          <w:rFonts w:ascii="Palatino Linotype" w:hAnsi="Palatino Linotype" w:eastAsia="Palatino Linotype" w:cs="Palatino Linotype"/>
          <w:sz w:val="24"/>
          <w:szCs w:val="24"/>
        </w:rPr>
        <w:t xml:space="preserve"> (AL)</w:t>
      </w:r>
      <w:r w:rsidRPr="00C20096">
        <w:rPr>
          <w:rFonts w:ascii="Palatino Linotype" w:hAnsi="Palatino Linotype" w:eastAsia="Palatino Linotype" w:cs="Palatino Linotype"/>
          <w:sz w:val="24"/>
          <w:szCs w:val="24"/>
        </w:rPr>
        <w:t xml:space="preserve"> </w:t>
      </w:r>
      <w:r w:rsidRPr="00C20096" w:rsidR="008E7783">
        <w:rPr>
          <w:rFonts w:ascii="Palatino Linotype" w:hAnsi="Palatino Linotype" w:eastAsia="Palatino Linotype" w:cs="Palatino Linotype"/>
          <w:sz w:val="24"/>
          <w:szCs w:val="24"/>
        </w:rPr>
        <w:t>6</w:t>
      </w:r>
      <w:r w:rsidR="008E7783">
        <w:rPr>
          <w:rFonts w:ascii="Palatino Linotype" w:hAnsi="Palatino Linotype" w:eastAsia="Palatino Linotype" w:cs="Palatino Linotype"/>
          <w:sz w:val="24"/>
          <w:szCs w:val="24"/>
        </w:rPr>
        <w:t>816</w:t>
      </w:r>
      <w:r w:rsidRPr="00C20096" w:rsidR="00E54F10">
        <w:rPr>
          <w:rFonts w:ascii="Palatino Linotype" w:hAnsi="Palatino Linotype" w:eastAsia="Palatino Linotype" w:cs="Palatino Linotype"/>
          <w:sz w:val="24"/>
          <w:szCs w:val="24"/>
        </w:rPr>
        <w:t>-E</w:t>
      </w:r>
      <w:r w:rsidRPr="00C20096">
        <w:rPr>
          <w:rFonts w:ascii="Palatino Linotype" w:hAnsi="Palatino Linotype" w:eastAsia="Palatino Linotype" w:cs="Palatino Linotype"/>
          <w:sz w:val="24"/>
          <w:szCs w:val="24"/>
        </w:rPr>
        <w:t xml:space="preserve">, </w:t>
      </w:r>
      <w:r w:rsidRPr="00C20096" w:rsidR="00CE125A">
        <w:rPr>
          <w:rFonts w:ascii="Palatino Linotype" w:hAnsi="Palatino Linotype" w:eastAsia="Palatino Linotype" w:cs="Palatino Linotype"/>
          <w:sz w:val="24"/>
          <w:szCs w:val="24"/>
        </w:rPr>
        <w:t>SCE</w:t>
      </w:r>
      <w:r w:rsidRPr="00C20096">
        <w:rPr>
          <w:rFonts w:ascii="Palatino Linotype" w:hAnsi="Palatino Linotype" w:eastAsia="Palatino Linotype" w:cs="Palatino Linotype"/>
          <w:sz w:val="24"/>
          <w:szCs w:val="24"/>
        </w:rPr>
        <w:t xml:space="preserve"> </w:t>
      </w:r>
      <w:r w:rsidR="004812F5">
        <w:rPr>
          <w:rFonts w:ascii="Palatino Linotype" w:hAnsi="Palatino Linotype" w:eastAsia="Palatino Linotype" w:cs="Palatino Linotype"/>
          <w:sz w:val="24"/>
          <w:szCs w:val="24"/>
        </w:rPr>
        <w:t>AL</w:t>
      </w:r>
      <w:r w:rsidRPr="00C20096">
        <w:rPr>
          <w:rFonts w:ascii="Palatino Linotype" w:hAnsi="Palatino Linotype" w:eastAsia="Palatino Linotype" w:cs="Palatino Linotype"/>
          <w:sz w:val="24"/>
          <w:szCs w:val="24"/>
        </w:rPr>
        <w:t xml:space="preserve"> </w:t>
      </w:r>
      <w:r w:rsidRPr="00C20096" w:rsidR="008E7783">
        <w:rPr>
          <w:rFonts w:ascii="Palatino Linotype" w:hAnsi="Palatino Linotype" w:eastAsia="Palatino Linotype" w:cs="Palatino Linotype"/>
          <w:sz w:val="24"/>
          <w:szCs w:val="24"/>
        </w:rPr>
        <w:t>4</w:t>
      </w:r>
      <w:r w:rsidR="008E7783">
        <w:rPr>
          <w:rFonts w:ascii="Palatino Linotype" w:hAnsi="Palatino Linotype" w:eastAsia="Palatino Linotype" w:cs="Palatino Linotype"/>
          <w:sz w:val="24"/>
          <w:szCs w:val="24"/>
        </w:rPr>
        <w:t>941</w:t>
      </w:r>
      <w:r w:rsidRPr="00C20096" w:rsidR="002E53AD">
        <w:rPr>
          <w:rFonts w:ascii="Palatino Linotype" w:hAnsi="Palatino Linotype" w:eastAsia="Palatino Linotype" w:cs="Palatino Linotype"/>
          <w:sz w:val="24"/>
          <w:szCs w:val="24"/>
        </w:rPr>
        <w:t>-E</w:t>
      </w:r>
      <w:r w:rsidRPr="00C20096">
        <w:rPr>
          <w:rFonts w:ascii="Palatino Linotype" w:hAnsi="Palatino Linotype" w:eastAsia="Palatino Linotype" w:cs="Palatino Linotype"/>
          <w:sz w:val="24"/>
          <w:szCs w:val="24"/>
        </w:rPr>
        <w:t xml:space="preserve">, and </w:t>
      </w:r>
      <w:r w:rsidRPr="00C20096" w:rsidR="00CE125A">
        <w:rPr>
          <w:rFonts w:ascii="Palatino Linotype" w:hAnsi="Palatino Linotype" w:eastAsia="Palatino Linotype" w:cs="Palatino Linotype"/>
          <w:sz w:val="24"/>
          <w:szCs w:val="24"/>
        </w:rPr>
        <w:t>SDG&amp;E</w:t>
      </w:r>
      <w:r w:rsidRPr="00C20096">
        <w:rPr>
          <w:rFonts w:ascii="Palatino Linotype" w:hAnsi="Palatino Linotype" w:eastAsia="Palatino Linotype" w:cs="Palatino Linotype"/>
          <w:sz w:val="24"/>
          <w:szCs w:val="24"/>
        </w:rPr>
        <w:t xml:space="preserve"> </w:t>
      </w:r>
      <w:r w:rsidR="004812F5">
        <w:rPr>
          <w:rFonts w:ascii="Palatino Linotype" w:hAnsi="Palatino Linotype" w:eastAsia="Palatino Linotype" w:cs="Palatino Linotype"/>
          <w:sz w:val="24"/>
          <w:szCs w:val="24"/>
        </w:rPr>
        <w:t>AL</w:t>
      </w:r>
      <w:r w:rsidRPr="00C20096">
        <w:rPr>
          <w:rFonts w:ascii="Palatino Linotype" w:hAnsi="Palatino Linotype" w:eastAsia="Palatino Linotype" w:cs="Palatino Linotype"/>
          <w:sz w:val="24"/>
          <w:szCs w:val="24"/>
        </w:rPr>
        <w:t xml:space="preserve"> </w:t>
      </w:r>
      <w:r w:rsidR="008E7783">
        <w:rPr>
          <w:rFonts w:ascii="Palatino Linotype" w:hAnsi="Palatino Linotype" w:cstheme="minorHAnsi"/>
          <w:sz w:val="24"/>
          <w:szCs w:val="24"/>
        </w:rPr>
        <w:t>4138</w:t>
      </w:r>
      <w:r w:rsidRPr="00C20096" w:rsidR="00B76687">
        <w:rPr>
          <w:rFonts w:ascii="Palatino Linotype" w:hAnsi="Palatino Linotype" w:cstheme="minorHAnsi"/>
          <w:sz w:val="24"/>
          <w:szCs w:val="24"/>
        </w:rPr>
        <w:t>-E</w:t>
      </w:r>
      <w:r w:rsidRPr="00C20096" w:rsidDel="00B76687" w:rsidR="00B76687">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filed on</w:t>
      </w:r>
      <w:bookmarkStart w:name="_Hlk516671201" w:id="0"/>
      <w:r w:rsidRPr="00C20096">
        <w:rPr>
          <w:rFonts w:ascii="Palatino Linotype" w:hAnsi="Palatino Linotype" w:eastAsia="Palatino Linotype" w:cs="Palatino Linotype"/>
          <w:sz w:val="24"/>
          <w:szCs w:val="24"/>
        </w:rPr>
        <w:t xml:space="preserve"> </w:t>
      </w:r>
      <w:r w:rsidRPr="00C20096" w:rsidR="00311DB3">
        <w:rPr>
          <w:rFonts w:ascii="Palatino Linotype" w:hAnsi="Palatino Linotype" w:eastAsia="Palatino Linotype" w:cs="Palatino Linotype"/>
          <w:sz w:val="24"/>
          <w:szCs w:val="24"/>
        </w:rPr>
        <w:t xml:space="preserve">January </w:t>
      </w:r>
      <w:r w:rsidR="008E7783">
        <w:rPr>
          <w:rFonts w:ascii="Palatino Linotype" w:hAnsi="Palatino Linotype" w:eastAsia="Palatino Linotype" w:cs="Palatino Linotype"/>
          <w:sz w:val="24"/>
          <w:szCs w:val="24"/>
        </w:rPr>
        <w:t>9</w:t>
      </w:r>
      <w:r w:rsidRPr="00C20096" w:rsidR="00311DB3">
        <w:rPr>
          <w:rFonts w:ascii="Palatino Linotype" w:hAnsi="Palatino Linotype" w:eastAsia="Palatino Linotype" w:cs="Palatino Linotype"/>
          <w:sz w:val="24"/>
          <w:szCs w:val="24"/>
        </w:rPr>
        <w:t xml:space="preserve">, </w:t>
      </w:r>
      <w:r w:rsidRPr="00C20096" w:rsidR="008E7783">
        <w:rPr>
          <w:rFonts w:ascii="Palatino Linotype" w:hAnsi="Palatino Linotype" w:eastAsia="Palatino Linotype" w:cs="Palatino Linotype"/>
          <w:sz w:val="24"/>
          <w:szCs w:val="24"/>
        </w:rPr>
        <w:t>202</w:t>
      </w:r>
      <w:r w:rsidR="008E7783">
        <w:rPr>
          <w:rFonts w:ascii="Palatino Linotype" w:hAnsi="Palatino Linotype" w:eastAsia="Palatino Linotype" w:cs="Palatino Linotype"/>
          <w:sz w:val="24"/>
          <w:szCs w:val="24"/>
        </w:rPr>
        <w:t xml:space="preserve">3; </w:t>
      </w:r>
      <w:r w:rsidR="00EA2E8B">
        <w:rPr>
          <w:rFonts w:ascii="Palatino Linotype" w:hAnsi="Palatino Linotype" w:eastAsia="Palatino Linotype" w:cs="Palatino Linotype"/>
          <w:sz w:val="24"/>
          <w:szCs w:val="24"/>
        </w:rPr>
        <w:t>and</w:t>
      </w:r>
      <w:r w:rsidR="00EA14C8">
        <w:rPr>
          <w:rFonts w:ascii="Palatino Linotype" w:hAnsi="Palatino Linotype" w:eastAsia="Palatino Linotype" w:cs="Palatino Linotype"/>
          <w:sz w:val="24"/>
          <w:szCs w:val="24"/>
        </w:rPr>
        <w:t xml:space="preserve"> </w:t>
      </w:r>
      <w:r w:rsidRPr="00C20096" w:rsidR="008E7783">
        <w:rPr>
          <w:rFonts w:ascii="Palatino Linotype" w:hAnsi="Palatino Linotype" w:eastAsia="Palatino Linotype" w:cs="Palatino Linotype"/>
          <w:sz w:val="24"/>
          <w:szCs w:val="24"/>
        </w:rPr>
        <w:t xml:space="preserve">PG&amp;E </w:t>
      </w:r>
      <w:r w:rsidR="004812F5">
        <w:rPr>
          <w:rFonts w:ascii="Palatino Linotype" w:hAnsi="Palatino Linotype" w:eastAsia="Palatino Linotype" w:cs="Palatino Linotype"/>
          <w:sz w:val="24"/>
          <w:szCs w:val="24"/>
        </w:rPr>
        <w:t>AL</w:t>
      </w:r>
      <w:r w:rsidRPr="00C20096" w:rsidR="008E7783">
        <w:rPr>
          <w:rFonts w:ascii="Palatino Linotype" w:hAnsi="Palatino Linotype" w:eastAsia="Palatino Linotype" w:cs="Palatino Linotype"/>
          <w:sz w:val="24"/>
          <w:szCs w:val="24"/>
        </w:rPr>
        <w:t xml:space="preserve"> 6</w:t>
      </w:r>
      <w:r w:rsidR="008E7783">
        <w:rPr>
          <w:rFonts w:ascii="Palatino Linotype" w:hAnsi="Palatino Linotype" w:eastAsia="Palatino Linotype" w:cs="Palatino Linotype"/>
          <w:sz w:val="24"/>
          <w:szCs w:val="24"/>
        </w:rPr>
        <w:t>816</w:t>
      </w:r>
      <w:r w:rsidRPr="00C20096" w:rsidR="008E7783">
        <w:rPr>
          <w:rFonts w:ascii="Palatino Linotype" w:hAnsi="Palatino Linotype" w:eastAsia="Palatino Linotype" w:cs="Palatino Linotype"/>
          <w:sz w:val="24"/>
          <w:szCs w:val="24"/>
        </w:rPr>
        <w:t>-E</w:t>
      </w:r>
      <w:r w:rsidR="008E7783">
        <w:rPr>
          <w:rFonts w:ascii="Palatino Linotype" w:hAnsi="Palatino Linotype" w:eastAsia="Palatino Linotype" w:cs="Palatino Linotype"/>
          <w:sz w:val="24"/>
          <w:szCs w:val="24"/>
        </w:rPr>
        <w:t xml:space="preserve">-A, </w:t>
      </w:r>
      <w:r w:rsidRPr="00C20096" w:rsidR="008E7783">
        <w:rPr>
          <w:rFonts w:ascii="Palatino Linotype" w:hAnsi="Palatino Linotype" w:eastAsia="Palatino Linotype" w:cs="Palatino Linotype"/>
          <w:sz w:val="24"/>
          <w:szCs w:val="24"/>
        </w:rPr>
        <w:t xml:space="preserve">SCE </w:t>
      </w:r>
      <w:r w:rsidR="004812F5">
        <w:rPr>
          <w:rFonts w:ascii="Palatino Linotype" w:hAnsi="Palatino Linotype" w:eastAsia="Palatino Linotype" w:cs="Palatino Linotype"/>
          <w:sz w:val="24"/>
          <w:szCs w:val="24"/>
        </w:rPr>
        <w:t>AL</w:t>
      </w:r>
      <w:r w:rsidRPr="00C20096" w:rsidR="008E7783">
        <w:rPr>
          <w:rFonts w:ascii="Palatino Linotype" w:hAnsi="Palatino Linotype" w:eastAsia="Palatino Linotype" w:cs="Palatino Linotype"/>
          <w:sz w:val="24"/>
          <w:szCs w:val="24"/>
        </w:rPr>
        <w:t xml:space="preserve"> 4</w:t>
      </w:r>
      <w:r w:rsidR="008E7783">
        <w:rPr>
          <w:rFonts w:ascii="Palatino Linotype" w:hAnsi="Palatino Linotype" w:eastAsia="Palatino Linotype" w:cs="Palatino Linotype"/>
          <w:sz w:val="24"/>
          <w:szCs w:val="24"/>
        </w:rPr>
        <w:t>941</w:t>
      </w:r>
      <w:r w:rsidRPr="00C20096" w:rsidR="008E7783">
        <w:rPr>
          <w:rFonts w:ascii="Palatino Linotype" w:hAnsi="Palatino Linotype" w:eastAsia="Palatino Linotype" w:cs="Palatino Linotype"/>
          <w:sz w:val="24"/>
          <w:szCs w:val="24"/>
        </w:rPr>
        <w:t>-E</w:t>
      </w:r>
      <w:r w:rsidR="008E7783">
        <w:rPr>
          <w:rFonts w:ascii="Palatino Linotype" w:hAnsi="Palatino Linotype" w:eastAsia="Palatino Linotype" w:cs="Palatino Linotype"/>
          <w:sz w:val="24"/>
          <w:szCs w:val="24"/>
        </w:rPr>
        <w:t xml:space="preserve">-A, and </w:t>
      </w:r>
      <w:r w:rsidRPr="00C20096" w:rsidR="008E7783">
        <w:rPr>
          <w:rFonts w:ascii="Palatino Linotype" w:hAnsi="Palatino Linotype" w:eastAsia="Palatino Linotype" w:cs="Palatino Linotype"/>
          <w:sz w:val="24"/>
          <w:szCs w:val="24"/>
        </w:rPr>
        <w:t xml:space="preserve">SDG&amp;E </w:t>
      </w:r>
      <w:r w:rsidR="004812F5">
        <w:rPr>
          <w:rFonts w:ascii="Palatino Linotype" w:hAnsi="Palatino Linotype" w:eastAsia="Palatino Linotype" w:cs="Palatino Linotype"/>
          <w:sz w:val="24"/>
          <w:szCs w:val="24"/>
        </w:rPr>
        <w:t>AL</w:t>
      </w:r>
      <w:r w:rsidRPr="00C20096" w:rsidR="008E7783">
        <w:rPr>
          <w:rFonts w:ascii="Palatino Linotype" w:hAnsi="Palatino Linotype" w:eastAsia="Palatino Linotype" w:cs="Palatino Linotype"/>
          <w:sz w:val="24"/>
          <w:szCs w:val="24"/>
        </w:rPr>
        <w:t xml:space="preserve"> </w:t>
      </w:r>
      <w:r w:rsidR="008E7783">
        <w:rPr>
          <w:rFonts w:ascii="Palatino Linotype" w:hAnsi="Palatino Linotype" w:cstheme="minorHAnsi"/>
          <w:sz w:val="24"/>
          <w:szCs w:val="24"/>
        </w:rPr>
        <w:t>4138</w:t>
      </w:r>
      <w:r w:rsidRPr="00C20096" w:rsidR="008E7783">
        <w:rPr>
          <w:rFonts w:ascii="Palatino Linotype" w:hAnsi="Palatino Linotype" w:cstheme="minorHAnsi"/>
          <w:sz w:val="24"/>
          <w:szCs w:val="24"/>
        </w:rPr>
        <w:t>-E</w:t>
      </w:r>
      <w:r w:rsidR="008E7783">
        <w:rPr>
          <w:rFonts w:ascii="Palatino Linotype" w:hAnsi="Palatino Linotype" w:cstheme="minorHAnsi"/>
          <w:sz w:val="24"/>
          <w:szCs w:val="24"/>
        </w:rPr>
        <w:t>-A filed on January 23, 2023</w:t>
      </w:r>
      <w:r w:rsidR="00EA14C8">
        <w:rPr>
          <w:rFonts w:ascii="Palatino Linotype" w:hAnsi="Palatino Linotype" w:cstheme="minorHAnsi"/>
          <w:sz w:val="24"/>
          <w:szCs w:val="24"/>
        </w:rPr>
        <w:t>; and (</w:t>
      </w:r>
      <w:r w:rsidR="00E101B0">
        <w:rPr>
          <w:rFonts w:ascii="Palatino Linotype" w:hAnsi="Palatino Linotype" w:cstheme="minorHAnsi"/>
          <w:sz w:val="24"/>
          <w:szCs w:val="24"/>
        </w:rPr>
        <w:t>2</w:t>
      </w:r>
      <w:r w:rsidR="00EA14C8">
        <w:rPr>
          <w:rFonts w:ascii="Palatino Linotype" w:hAnsi="Palatino Linotype" w:cstheme="minorHAnsi"/>
          <w:sz w:val="24"/>
          <w:szCs w:val="24"/>
        </w:rPr>
        <w:t xml:space="preserve">) PG&amp;E </w:t>
      </w:r>
      <w:r w:rsidR="004812F5">
        <w:rPr>
          <w:rFonts w:ascii="Palatino Linotype" w:hAnsi="Palatino Linotype" w:cstheme="minorHAnsi"/>
          <w:sz w:val="24"/>
          <w:szCs w:val="24"/>
        </w:rPr>
        <w:t>AL</w:t>
      </w:r>
      <w:r w:rsidR="005A1DF5">
        <w:rPr>
          <w:rFonts w:ascii="Palatino Linotype" w:hAnsi="Palatino Linotype" w:cstheme="minorHAnsi"/>
          <w:sz w:val="24"/>
          <w:szCs w:val="24"/>
        </w:rPr>
        <w:t xml:space="preserve"> 6929-E</w:t>
      </w:r>
      <w:r w:rsidR="00A90D81">
        <w:rPr>
          <w:rFonts w:ascii="Palatino Linotype" w:hAnsi="Palatino Linotype" w:cstheme="minorHAnsi"/>
          <w:sz w:val="24"/>
          <w:szCs w:val="24"/>
        </w:rPr>
        <w:t xml:space="preserve">, SCE </w:t>
      </w:r>
      <w:r w:rsidR="004812F5">
        <w:rPr>
          <w:rFonts w:ascii="Palatino Linotype" w:hAnsi="Palatino Linotype" w:cstheme="minorHAnsi"/>
          <w:sz w:val="24"/>
          <w:szCs w:val="24"/>
        </w:rPr>
        <w:t>AL</w:t>
      </w:r>
      <w:r w:rsidR="005E7623">
        <w:rPr>
          <w:rFonts w:ascii="Palatino Linotype" w:hAnsi="Palatino Linotype" w:cstheme="minorHAnsi"/>
          <w:sz w:val="24"/>
          <w:szCs w:val="24"/>
        </w:rPr>
        <w:t xml:space="preserve"> 5025-E</w:t>
      </w:r>
      <w:r w:rsidR="00A90D81">
        <w:rPr>
          <w:rFonts w:ascii="Palatino Linotype" w:hAnsi="Palatino Linotype" w:cstheme="minorHAnsi"/>
          <w:sz w:val="24"/>
          <w:szCs w:val="24"/>
        </w:rPr>
        <w:t xml:space="preserve">, and SDG&amp;E </w:t>
      </w:r>
      <w:r w:rsidR="004812F5">
        <w:rPr>
          <w:rFonts w:ascii="Palatino Linotype" w:hAnsi="Palatino Linotype" w:cstheme="minorHAnsi"/>
          <w:sz w:val="24"/>
          <w:szCs w:val="24"/>
        </w:rPr>
        <w:t>AL</w:t>
      </w:r>
      <w:r w:rsidR="00A90D81">
        <w:rPr>
          <w:rFonts w:ascii="Palatino Linotype" w:hAnsi="Palatino Linotype" w:cstheme="minorHAnsi"/>
          <w:sz w:val="24"/>
          <w:szCs w:val="24"/>
        </w:rPr>
        <w:t xml:space="preserve"> </w:t>
      </w:r>
      <w:r w:rsidR="005A1DF5">
        <w:rPr>
          <w:rFonts w:ascii="Palatino Linotype" w:hAnsi="Palatino Linotype" w:cstheme="minorHAnsi"/>
          <w:sz w:val="24"/>
          <w:szCs w:val="24"/>
        </w:rPr>
        <w:t xml:space="preserve">4215-E </w:t>
      </w:r>
      <w:r w:rsidR="00A90D81">
        <w:rPr>
          <w:rFonts w:ascii="Palatino Linotype" w:hAnsi="Palatino Linotype" w:cstheme="minorHAnsi"/>
          <w:sz w:val="24"/>
          <w:szCs w:val="24"/>
        </w:rPr>
        <w:t>filed on May 1, 2023</w:t>
      </w:r>
      <w:r w:rsidR="002F1850">
        <w:rPr>
          <w:rFonts w:ascii="Palatino Linotype" w:hAnsi="Palatino Linotype" w:cstheme="minorHAnsi"/>
          <w:sz w:val="24"/>
          <w:szCs w:val="24"/>
        </w:rPr>
        <w:t xml:space="preserve">; </w:t>
      </w:r>
      <w:r w:rsidR="00B16E9E">
        <w:rPr>
          <w:rFonts w:ascii="Palatino Linotype" w:hAnsi="Palatino Linotype" w:cstheme="minorHAnsi"/>
          <w:sz w:val="24"/>
          <w:szCs w:val="24"/>
        </w:rPr>
        <w:t xml:space="preserve">PG&amp;E </w:t>
      </w:r>
      <w:r w:rsidR="004812F5">
        <w:rPr>
          <w:rFonts w:ascii="Palatino Linotype" w:hAnsi="Palatino Linotype" w:cstheme="minorHAnsi"/>
          <w:sz w:val="24"/>
          <w:szCs w:val="24"/>
        </w:rPr>
        <w:t>AL</w:t>
      </w:r>
      <w:r w:rsidR="00B16E9E">
        <w:rPr>
          <w:rFonts w:ascii="Palatino Linotype" w:hAnsi="Palatino Linotype" w:cstheme="minorHAnsi"/>
          <w:sz w:val="24"/>
          <w:szCs w:val="24"/>
        </w:rPr>
        <w:t xml:space="preserve"> 6929-E-A, and SCE </w:t>
      </w:r>
      <w:r w:rsidR="004812F5">
        <w:rPr>
          <w:rFonts w:ascii="Palatino Linotype" w:hAnsi="Palatino Linotype" w:cstheme="minorHAnsi"/>
          <w:sz w:val="24"/>
          <w:szCs w:val="24"/>
        </w:rPr>
        <w:t>AL</w:t>
      </w:r>
      <w:r w:rsidR="00B16E9E">
        <w:rPr>
          <w:rFonts w:ascii="Palatino Linotype" w:hAnsi="Palatino Linotype" w:cstheme="minorHAnsi"/>
          <w:sz w:val="24"/>
          <w:szCs w:val="24"/>
        </w:rPr>
        <w:t xml:space="preserve"> 5025-E-A</w:t>
      </w:r>
      <w:r w:rsidR="002F1850">
        <w:rPr>
          <w:rFonts w:ascii="Palatino Linotype" w:hAnsi="Palatino Linotype" w:cstheme="minorHAnsi"/>
          <w:sz w:val="24"/>
          <w:szCs w:val="24"/>
        </w:rPr>
        <w:t xml:space="preserve"> filed on August 3</w:t>
      </w:r>
      <w:r w:rsidR="00B16E9E">
        <w:rPr>
          <w:rFonts w:ascii="Palatino Linotype" w:hAnsi="Palatino Linotype" w:cstheme="minorHAnsi"/>
          <w:sz w:val="24"/>
          <w:szCs w:val="24"/>
        </w:rPr>
        <w:t>1</w:t>
      </w:r>
      <w:r w:rsidR="002F1850">
        <w:rPr>
          <w:rFonts w:ascii="Palatino Linotype" w:hAnsi="Palatino Linotype" w:cstheme="minorHAnsi"/>
          <w:sz w:val="24"/>
          <w:szCs w:val="24"/>
        </w:rPr>
        <w:t>, 2023</w:t>
      </w:r>
      <w:r w:rsidR="00B63CEC">
        <w:rPr>
          <w:rFonts w:ascii="Palatino Linotype" w:hAnsi="Palatino Linotype" w:cstheme="minorHAnsi"/>
          <w:sz w:val="24"/>
          <w:szCs w:val="24"/>
        </w:rPr>
        <w:t xml:space="preserve">; </w:t>
      </w:r>
      <w:r w:rsidR="00C701F9">
        <w:rPr>
          <w:rFonts w:ascii="Palatino Linotype" w:hAnsi="Palatino Linotype" w:cstheme="minorHAnsi"/>
          <w:sz w:val="24"/>
          <w:szCs w:val="24"/>
        </w:rPr>
        <w:t>and SCE AL 50</w:t>
      </w:r>
      <w:r w:rsidR="00661714">
        <w:rPr>
          <w:rFonts w:ascii="Palatino Linotype" w:hAnsi="Palatino Linotype" w:cstheme="minorHAnsi"/>
          <w:sz w:val="24"/>
          <w:szCs w:val="24"/>
        </w:rPr>
        <w:t xml:space="preserve">25-E-B filed on </w:t>
      </w:r>
      <w:r w:rsidR="00712765">
        <w:rPr>
          <w:rFonts w:ascii="Palatino Linotype" w:hAnsi="Palatino Linotype" w:cstheme="minorHAnsi"/>
          <w:sz w:val="24"/>
          <w:szCs w:val="24"/>
        </w:rPr>
        <w:t>September 26, 2023</w:t>
      </w:r>
      <w:r w:rsidR="00A90D81">
        <w:rPr>
          <w:rFonts w:ascii="Palatino Linotype" w:hAnsi="Palatino Linotype" w:cstheme="minorHAnsi"/>
          <w:sz w:val="24"/>
          <w:szCs w:val="24"/>
        </w:rPr>
        <w:t>.</w:t>
      </w:r>
      <w:bookmarkEnd w:id="0"/>
      <w:r w:rsidRPr="00C20096">
        <w:rPr>
          <w:rFonts w:ascii="Palatino Linotype" w:hAnsi="Palatino Linotype" w:eastAsia="Palatino Linotype" w:cs="Palatino Linotype"/>
          <w:sz w:val="24"/>
          <w:szCs w:val="24"/>
        </w:rPr>
        <w:t xml:space="preserve"> </w:t>
      </w:r>
    </w:p>
    <w:p w:rsidR="00580718" w:rsidRDefault="004D7874" w14:paraId="72E725C7" w14:textId="77777777">
      <w:pPr>
        <w:pStyle w:val="Body"/>
        <w:jc w:val="center"/>
      </w:pPr>
      <w:r>
        <w:t>__________________________________________________________</w:t>
      </w:r>
    </w:p>
    <w:p w:rsidRPr="000671C1" w:rsidR="00580718" w:rsidRDefault="004D7874" w14:paraId="28A13137" w14:textId="77777777">
      <w:pPr>
        <w:pStyle w:val="Heading"/>
        <w:rPr>
          <w:rFonts w:ascii="Palatino Linotype" w:hAnsi="Palatino Linotype"/>
          <w:sz w:val="24"/>
          <w:szCs w:val="24"/>
        </w:rPr>
      </w:pPr>
      <w:r w:rsidRPr="000671C1">
        <w:rPr>
          <w:rFonts w:ascii="Palatino Linotype" w:hAnsi="Palatino Linotype"/>
          <w:sz w:val="24"/>
          <w:szCs w:val="24"/>
        </w:rPr>
        <w:t>Summary</w:t>
      </w:r>
    </w:p>
    <w:p w:rsidR="00AF1619" w:rsidP="00BE12FE" w:rsidRDefault="00F7230B" w14:paraId="4AE9D070"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P</w:t>
      </w:r>
      <w:r w:rsidRPr="00C20096" w:rsidR="00B70C16">
        <w:rPr>
          <w:rFonts w:ascii="Palatino Linotype" w:hAnsi="Palatino Linotype" w:eastAsia="Palatino Linotype" w:cs="Palatino Linotype"/>
          <w:sz w:val="24"/>
          <w:szCs w:val="24"/>
        </w:rPr>
        <w:t>acific Gas and Electric Company</w:t>
      </w:r>
      <w:r w:rsidRPr="00C20096">
        <w:rPr>
          <w:rFonts w:ascii="Palatino Linotype" w:hAnsi="Palatino Linotype" w:eastAsia="Palatino Linotype" w:cs="Palatino Linotype"/>
          <w:sz w:val="24"/>
          <w:szCs w:val="24"/>
        </w:rPr>
        <w:t xml:space="preserve"> (PG&amp;E), Southern California Edi</w:t>
      </w:r>
      <w:r w:rsidRPr="00C20096" w:rsidR="00AA12F9">
        <w:rPr>
          <w:rFonts w:ascii="Palatino Linotype" w:hAnsi="Palatino Linotype" w:eastAsia="Palatino Linotype" w:cs="Palatino Linotype"/>
          <w:sz w:val="24"/>
          <w:szCs w:val="24"/>
        </w:rPr>
        <w:t>so</w:t>
      </w:r>
      <w:r w:rsidRPr="00C20096" w:rsidR="00B70C16">
        <w:rPr>
          <w:rFonts w:ascii="Palatino Linotype" w:hAnsi="Palatino Linotype" w:eastAsia="Palatino Linotype" w:cs="Palatino Linotype"/>
          <w:sz w:val="24"/>
          <w:szCs w:val="24"/>
        </w:rPr>
        <w:t>n Company</w:t>
      </w:r>
      <w:r w:rsidRPr="00C20096">
        <w:rPr>
          <w:rFonts w:ascii="Palatino Linotype" w:hAnsi="Palatino Linotype" w:eastAsia="Palatino Linotype" w:cs="Palatino Linotype"/>
          <w:sz w:val="24"/>
          <w:szCs w:val="24"/>
        </w:rPr>
        <w:t xml:space="preserve"> (SCE), and Sa</w:t>
      </w:r>
      <w:r w:rsidRPr="00C20096" w:rsidR="00B70C16">
        <w:rPr>
          <w:rFonts w:ascii="Palatino Linotype" w:hAnsi="Palatino Linotype" w:eastAsia="Palatino Linotype" w:cs="Palatino Linotype"/>
          <w:sz w:val="24"/>
          <w:szCs w:val="24"/>
        </w:rPr>
        <w:t>n Diego Gas &amp; Electric Company</w:t>
      </w:r>
      <w:r w:rsidRPr="00C20096">
        <w:rPr>
          <w:rFonts w:ascii="Palatino Linotype" w:hAnsi="Palatino Linotype" w:eastAsia="Palatino Linotype" w:cs="Palatino Linotype"/>
          <w:sz w:val="24"/>
          <w:szCs w:val="24"/>
        </w:rPr>
        <w:t xml:space="preserve"> (SDG&amp;E)</w:t>
      </w:r>
      <w:r w:rsidRPr="00C20096" w:rsidR="00A560C1">
        <w:rPr>
          <w:rFonts w:ascii="Palatino Linotype" w:hAnsi="Palatino Linotype" w:eastAsia="Palatino Linotype" w:cs="Palatino Linotype"/>
          <w:sz w:val="24"/>
          <w:szCs w:val="24"/>
        </w:rPr>
        <w:t xml:space="preserve">, collectively the </w:t>
      </w:r>
      <w:r w:rsidRPr="00C20096" w:rsidR="005A147B">
        <w:rPr>
          <w:rFonts w:ascii="Palatino Linotype" w:hAnsi="Palatino Linotype" w:eastAsia="Palatino Linotype" w:cs="Palatino Linotype"/>
          <w:sz w:val="24"/>
          <w:szCs w:val="24"/>
        </w:rPr>
        <w:t xml:space="preserve">large </w:t>
      </w:r>
      <w:r w:rsidRPr="00C20096" w:rsidR="00A560C1">
        <w:rPr>
          <w:rFonts w:ascii="Palatino Linotype" w:hAnsi="Palatino Linotype" w:eastAsia="Palatino Linotype" w:cs="Palatino Linotype"/>
          <w:sz w:val="24"/>
          <w:szCs w:val="24"/>
        </w:rPr>
        <w:t>investor-owned utilities (</w:t>
      </w:r>
      <w:r w:rsidRPr="00C20096" w:rsidR="00157A85">
        <w:rPr>
          <w:rFonts w:ascii="Palatino Linotype" w:hAnsi="Palatino Linotype" w:eastAsia="Palatino Linotype" w:cs="Palatino Linotype"/>
          <w:sz w:val="24"/>
          <w:szCs w:val="24"/>
        </w:rPr>
        <w:t>L</w:t>
      </w:r>
      <w:r w:rsidRPr="00C20096" w:rsidR="005A147B">
        <w:rPr>
          <w:rFonts w:ascii="Palatino Linotype" w:hAnsi="Palatino Linotype" w:eastAsia="Palatino Linotype" w:cs="Palatino Linotype"/>
          <w:sz w:val="24"/>
          <w:szCs w:val="24"/>
        </w:rPr>
        <w:t xml:space="preserve">arge </w:t>
      </w:r>
      <w:r w:rsidRPr="00C20096" w:rsidR="00A560C1">
        <w:rPr>
          <w:rFonts w:ascii="Palatino Linotype" w:hAnsi="Palatino Linotype" w:eastAsia="Palatino Linotype" w:cs="Palatino Linotype"/>
          <w:sz w:val="24"/>
          <w:szCs w:val="24"/>
        </w:rPr>
        <w:t xml:space="preserve">IOUs), </w:t>
      </w:r>
      <w:r w:rsidR="007E6950">
        <w:rPr>
          <w:rFonts w:ascii="Palatino Linotype" w:hAnsi="Palatino Linotype" w:eastAsia="Palatino Linotype" w:cs="Palatino Linotype"/>
          <w:sz w:val="24"/>
          <w:szCs w:val="24"/>
        </w:rPr>
        <w:t>jointly</w:t>
      </w:r>
      <w:r w:rsidRPr="00C20096" w:rsidR="007E6950">
        <w:rPr>
          <w:rFonts w:ascii="Palatino Linotype" w:hAnsi="Palatino Linotype" w:eastAsia="Palatino Linotype" w:cs="Palatino Linotype"/>
          <w:sz w:val="24"/>
          <w:szCs w:val="24"/>
        </w:rPr>
        <w:t xml:space="preserve"> </w:t>
      </w:r>
      <w:r w:rsidRPr="00C20096" w:rsidR="005E0046">
        <w:rPr>
          <w:rFonts w:ascii="Palatino Linotype" w:hAnsi="Palatino Linotype" w:eastAsia="Palatino Linotype" w:cs="Palatino Linotype"/>
          <w:sz w:val="24"/>
          <w:szCs w:val="24"/>
        </w:rPr>
        <w:t>submitted</w:t>
      </w:r>
      <w:r w:rsidR="00B7713E">
        <w:rPr>
          <w:rFonts w:ascii="Palatino Linotype" w:hAnsi="Palatino Linotype" w:eastAsia="Palatino Linotype" w:cs="Palatino Linotype"/>
          <w:sz w:val="24"/>
          <w:szCs w:val="24"/>
        </w:rPr>
        <w:t xml:space="preserve"> </w:t>
      </w:r>
      <w:r w:rsidR="00442C59">
        <w:rPr>
          <w:rFonts w:ascii="Palatino Linotype" w:hAnsi="Palatino Linotype" w:eastAsia="Palatino Linotype" w:cs="Palatino Linotype"/>
          <w:sz w:val="24"/>
          <w:szCs w:val="24"/>
        </w:rPr>
        <w:t xml:space="preserve">two sets of </w:t>
      </w:r>
      <w:r w:rsidRPr="00C20096">
        <w:rPr>
          <w:rFonts w:ascii="Palatino Linotype" w:hAnsi="Palatino Linotype" w:eastAsia="Palatino Linotype" w:cs="Palatino Linotype"/>
          <w:sz w:val="24"/>
          <w:szCs w:val="24"/>
        </w:rPr>
        <w:t xml:space="preserve">Tier </w:t>
      </w:r>
      <w:r w:rsidRPr="00C20096" w:rsidR="000B37D9">
        <w:rPr>
          <w:rFonts w:ascii="Palatino Linotype" w:hAnsi="Palatino Linotype" w:eastAsia="Palatino Linotype" w:cs="Palatino Linotype"/>
          <w:sz w:val="24"/>
          <w:szCs w:val="24"/>
        </w:rPr>
        <w:t xml:space="preserve">3 </w:t>
      </w:r>
      <w:r w:rsidRPr="00C20096">
        <w:rPr>
          <w:rFonts w:ascii="Palatino Linotype" w:hAnsi="Palatino Linotype" w:eastAsia="Palatino Linotype" w:cs="Palatino Linotype"/>
          <w:sz w:val="24"/>
          <w:szCs w:val="24"/>
        </w:rPr>
        <w:t>Advice Letter</w:t>
      </w:r>
      <w:r w:rsidR="00B7713E">
        <w:rPr>
          <w:rFonts w:ascii="Palatino Linotype" w:hAnsi="Palatino Linotype" w:eastAsia="Palatino Linotype" w:cs="Palatino Linotype"/>
          <w:sz w:val="24"/>
          <w:szCs w:val="24"/>
        </w:rPr>
        <w:t>s</w:t>
      </w:r>
      <w:r w:rsidRPr="00C20096">
        <w:rPr>
          <w:rFonts w:ascii="Palatino Linotype" w:hAnsi="Palatino Linotype" w:eastAsia="Palatino Linotype" w:cs="Palatino Linotype"/>
          <w:sz w:val="24"/>
          <w:szCs w:val="24"/>
        </w:rPr>
        <w:t xml:space="preserve"> </w:t>
      </w:r>
      <w:r w:rsidRPr="00C20096" w:rsidR="004E3492">
        <w:rPr>
          <w:rFonts w:ascii="Palatino Linotype" w:hAnsi="Palatino Linotype" w:eastAsia="Palatino Linotype" w:cs="Palatino Linotype"/>
          <w:sz w:val="24"/>
          <w:szCs w:val="24"/>
        </w:rPr>
        <w:t>(ALs)</w:t>
      </w:r>
      <w:r w:rsidR="004A01DB">
        <w:rPr>
          <w:rFonts w:ascii="Palatino Linotype" w:hAnsi="Palatino Linotype" w:eastAsia="Palatino Linotype" w:cs="Palatino Linotype"/>
          <w:sz w:val="24"/>
          <w:szCs w:val="24"/>
        </w:rPr>
        <w:t>:</w:t>
      </w:r>
    </w:p>
    <w:p w:rsidR="00AF1619" w:rsidP="009551A2" w:rsidRDefault="007D62C5" w14:paraId="06EE4124" w14:textId="77777777">
      <w:pPr>
        <w:pStyle w:val="Body"/>
        <w:numPr>
          <w:ilvl w:val="0"/>
          <w:numId w:val="11"/>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The Joint January LGP AL and Supplement—</w:t>
      </w:r>
      <w:r w:rsidRPr="00C20096" w:rsidR="00C22FAC">
        <w:rPr>
          <w:rFonts w:ascii="Palatino Linotype" w:hAnsi="Palatino Linotype" w:eastAsia="Palatino Linotype" w:cs="Palatino Linotype"/>
          <w:sz w:val="24"/>
          <w:szCs w:val="24"/>
        </w:rPr>
        <w:t xml:space="preserve">PG&amp;E AL </w:t>
      </w:r>
      <w:r w:rsidRPr="00C20096" w:rsidR="00F761D9">
        <w:rPr>
          <w:rFonts w:ascii="Palatino Linotype" w:hAnsi="Palatino Linotype" w:eastAsia="Palatino Linotype" w:cs="Palatino Linotype"/>
          <w:sz w:val="24"/>
          <w:szCs w:val="24"/>
        </w:rPr>
        <w:t>6</w:t>
      </w:r>
      <w:r w:rsidR="00F761D9">
        <w:rPr>
          <w:rFonts w:ascii="Palatino Linotype" w:hAnsi="Palatino Linotype" w:eastAsia="Palatino Linotype" w:cs="Palatino Linotype"/>
          <w:sz w:val="24"/>
          <w:szCs w:val="24"/>
        </w:rPr>
        <w:t>816</w:t>
      </w:r>
      <w:r w:rsidRPr="00C20096" w:rsidR="00C22FAC">
        <w:rPr>
          <w:rFonts w:ascii="Palatino Linotype" w:hAnsi="Palatino Linotype" w:eastAsia="Palatino Linotype" w:cs="Palatino Linotype"/>
          <w:sz w:val="24"/>
          <w:szCs w:val="24"/>
        </w:rPr>
        <w:t xml:space="preserve">-E, SCE AL </w:t>
      </w:r>
      <w:r w:rsidRPr="00C20096" w:rsidR="00F761D9">
        <w:rPr>
          <w:rFonts w:ascii="Palatino Linotype" w:hAnsi="Palatino Linotype" w:eastAsia="Palatino Linotype" w:cs="Palatino Linotype"/>
          <w:sz w:val="24"/>
          <w:szCs w:val="24"/>
        </w:rPr>
        <w:t>4</w:t>
      </w:r>
      <w:r w:rsidR="00F761D9">
        <w:rPr>
          <w:rFonts w:ascii="Palatino Linotype" w:hAnsi="Palatino Linotype" w:eastAsia="Palatino Linotype" w:cs="Palatino Linotype"/>
          <w:sz w:val="24"/>
          <w:szCs w:val="24"/>
        </w:rPr>
        <w:t>941</w:t>
      </w:r>
      <w:r w:rsidRPr="00C20096" w:rsidR="00C22FAC">
        <w:rPr>
          <w:rFonts w:ascii="Palatino Linotype" w:hAnsi="Palatino Linotype" w:eastAsia="Palatino Linotype" w:cs="Palatino Linotype"/>
          <w:sz w:val="24"/>
          <w:szCs w:val="24"/>
        </w:rPr>
        <w:t xml:space="preserve">-E, and SDG&amp;E AL </w:t>
      </w:r>
      <w:r w:rsidR="00F761D9">
        <w:rPr>
          <w:rFonts w:ascii="Palatino Linotype" w:hAnsi="Palatino Linotype" w:cstheme="minorHAnsi"/>
          <w:sz w:val="24"/>
          <w:szCs w:val="24"/>
        </w:rPr>
        <w:t>4138</w:t>
      </w:r>
      <w:r w:rsidRPr="00C20096" w:rsidR="00C22FAC">
        <w:rPr>
          <w:rFonts w:ascii="Palatino Linotype" w:hAnsi="Palatino Linotype" w:eastAsia="Palatino Linotype" w:cs="Palatino Linotype"/>
          <w:sz w:val="24"/>
          <w:szCs w:val="24"/>
        </w:rPr>
        <w:t>-E</w:t>
      </w:r>
      <w:r w:rsidR="00E5258E">
        <w:rPr>
          <w:rFonts w:ascii="Palatino Linotype" w:hAnsi="Palatino Linotype" w:eastAsia="Palatino Linotype" w:cs="Palatino Linotype"/>
          <w:sz w:val="24"/>
          <w:szCs w:val="24"/>
        </w:rPr>
        <w:t xml:space="preserve"> </w:t>
      </w:r>
      <w:r w:rsidR="009C60F0">
        <w:rPr>
          <w:rFonts w:ascii="Palatino Linotype" w:hAnsi="Palatino Linotype" w:cstheme="minorHAnsi"/>
          <w:sz w:val="24"/>
          <w:szCs w:val="24"/>
        </w:rPr>
        <w:t>(</w:t>
      </w:r>
      <w:r w:rsidR="0043121C">
        <w:rPr>
          <w:rFonts w:ascii="Palatino Linotype" w:hAnsi="Palatino Linotype" w:cstheme="minorHAnsi"/>
          <w:sz w:val="24"/>
          <w:szCs w:val="24"/>
        </w:rPr>
        <w:t xml:space="preserve">collectively the </w:t>
      </w:r>
      <w:r w:rsidR="009C60F0">
        <w:rPr>
          <w:rFonts w:ascii="Palatino Linotype" w:hAnsi="Palatino Linotype" w:cstheme="minorHAnsi"/>
          <w:sz w:val="24"/>
          <w:szCs w:val="24"/>
        </w:rPr>
        <w:t xml:space="preserve">Joint </w:t>
      </w:r>
      <w:r w:rsidR="004D26FB">
        <w:rPr>
          <w:rFonts w:ascii="Palatino Linotype" w:hAnsi="Palatino Linotype" w:cstheme="minorHAnsi"/>
          <w:sz w:val="24"/>
          <w:szCs w:val="24"/>
        </w:rPr>
        <w:t xml:space="preserve">January LGP </w:t>
      </w:r>
      <w:r w:rsidRPr="00B53FCE" w:rsidR="009C60F0">
        <w:rPr>
          <w:rFonts w:ascii="Palatino Linotype" w:hAnsi="Palatino Linotype" w:cstheme="minorHAnsi"/>
          <w:sz w:val="24"/>
          <w:szCs w:val="24"/>
        </w:rPr>
        <w:t>AL</w:t>
      </w:r>
      <w:r w:rsidR="00C50F00">
        <w:rPr>
          <w:rFonts w:ascii="Palatino Linotype" w:hAnsi="Palatino Linotype" w:cstheme="minorHAnsi"/>
          <w:sz w:val="24"/>
          <w:szCs w:val="24"/>
        </w:rPr>
        <w:t>s</w:t>
      </w:r>
      <w:r w:rsidR="00DF41ED">
        <w:rPr>
          <w:rStyle w:val="FootnoteReference"/>
          <w:rFonts w:ascii="Palatino Linotype" w:hAnsi="Palatino Linotype" w:cstheme="minorHAnsi"/>
          <w:sz w:val="24"/>
          <w:szCs w:val="24"/>
        </w:rPr>
        <w:footnoteReference w:id="2"/>
      </w:r>
      <w:r w:rsidR="009C60F0">
        <w:rPr>
          <w:rFonts w:ascii="Palatino Linotype" w:hAnsi="Palatino Linotype" w:cstheme="minorHAnsi"/>
          <w:sz w:val="24"/>
          <w:szCs w:val="24"/>
        </w:rPr>
        <w:t>)</w:t>
      </w:r>
      <w:r w:rsidR="00CD23D5">
        <w:rPr>
          <w:rFonts w:ascii="Palatino Linotype" w:hAnsi="Palatino Linotype" w:cstheme="minorHAnsi"/>
          <w:sz w:val="24"/>
          <w:szCs w:val="24"/>
        </w:rPr>
        <w:t xml:space="preserve"> </w:t>
      </w:r>
      <w:r w:rsidR="00CD23D5">
        <w:rPr>
          <w:rFonts w:ascii="Palatino Linotype" w:hAnsi="Palatino Linotype" w:eastAsia="Palatino Linotype" w:cs="Palatino Linotype"/>
          <w:sz w:val="24"/>
          <w:szCs w:val="24"/>
        </w:rPr>
        <w:t xml:space="preserve">on </w:t>
      </w:r>
      <w:r w:rsidR="00751CAA">
        <w:rPr>
          <w:rFonts w:ascii="Palatino Linotype" w:hAnsi="Palatino Linotype" w:eastAsia="Palatino Linotype" w:cs="Palatino Linotype"/>
          <w:sz w:val="24"/>
          <w:szCs w:val="24"/>
        </w:rPr>
        <w:br/>
      </w:r>
      <w:r w:rsidR="00CD23D5">
        <w:rPr>
          <w:rFonts w:ascii="Palatino Linotype" w:hAnsi="Palatino Linotype" w:eastAsia="Palatino Linotype" w:cs="Palatino Linotype"/>
          <w:sz w:val="24"/>
          <w:szCs w:val="24"/>
        </w:rPr>
        <w:t>January 9, 2023</w:t>
      </w:r>
      <w:r w:rsidR="009C60F0">
        <w:rPr>
          <w:rFonts w:ascii="Palatino Linotype" w:hAnsi="Palatino Linotype" w:cstheme="minorHAnsi"/>
          <w:sz w:val="24"/>
          <w:szCs w:val="24"/>
        </w:rPr>
        <w:t xml:space="preserve"> and </w:t>
      </w:r>
      <w:r w:rsidRPr="00C20096" w:rsidR="00F91E07">
        <w:rPr>
          <w:rFonts w:ascii="Palatino Linotype" w:hAnsi="Palatino Linotype" w:eastAsia="Palatino Linotype" w:cs="Palatino Linotype"/>
          <w:sz w:val="24"/>
          <w:szCs w:val="24"/>
        </w:rPr>
        <w:t>PG&amp;E AL 6</w:t>
      </w:r>
      <w:r w:rsidR="00F91E07">
        <w:rPr>
          <w:rFonts w:ascii="Palatino Linotype" w:hAnsi="Palatino Linotype" w:eastAsia="Palatino Linotype" w:cs="Palatino Linotype"/>
          <w:sz w:val="24"/>
          <w:szCs w:val="24"/>
        </w:rPr>
        <w:t>816</w:t>
      </w:r>
      <w:r w:rsidRPr="00C20096" w:rsidR="00F91E07">
        <w:rPr>
          <w:rFonts w:ascii="Palatino Linotype" w:hAnsi="Palatino Linotype" w:eastAsia="Palatino Linotype" w:cs="Palatino Linotype"/>
          <w:sz w:val="24"/>
          <w:szCs w:val="24"/>
        </w:rPr>
        <w:t>-E</w:t>
      </w:r>
      <w:r w:rsidR="00F91E07">
        <w:rPr>
          <w:rFonts w:ascii="Palatino Linotype" w:hAnsi="Palatino Linotype" w:eastAsia="Palatino Linotype" w:cs="Palatino Linotype"/>
          <w:sz w:val="24"/>
          <w:szCs w:val="24"/>
        </w:rPr>
        <w:t>-A</w:t>
      </w:r>
      <w:r w:rsidRPr="00C20096" w:rsidR="00F91E07">
        <w:rPr>
          <w:rFonts w:ascii="Palatino Linotype" w:hAnsi="Palatino Linotype" w:eastAsia="Palatino Linotype" w:cs="Palatino Linotype"/>
          <w:sz w:val="24"/>
          <w:szCs w:val="24"/>
        </w:rPr>
        <w:t>, SCE AL 4</w:t>
      </w:r>
      <w:r w:rsidR="00F91E07">
        <w:rPr>
          <w:rFonts w:ascii="Palatino Linotype" w:hAnsi="Palatino Linotype" w:eastAsia="Palatino Linotype" w:cs="Palatino Linotype"/>
          <w:sz w:val="24"/>
          <w:szCs w:val="24"/>
        </w:rPr>
        <w:t>941</w:t>
      </w:r>
      <w:r w:rsidRPr="00C20096" w:rsidR="00F91E07">
        <w:rPr>
          <w:rFonts w:ascii="Palatino Linotype" w:hAnsi="Palatino Linotype" w:eastAsia="Palatino Linotype" w:cs="Palatino Linotype"/>
          <w:sz w:val="24"/>
          <w:szCs w:val="24"/>
        </w:rPr>
        <w:t>-E</w:t>
      </w:r>
      <w:r w:rsidR="00F91E07">
        <w:rPr>
          <w:rFonts w:ascii="Palatino Linotype" w:hAnsi="Palatino Linotype" w:eastAsia="Palatino Linotype" w:cs="Palatino Linotype"/>
          <w:sz w:val="24"/>
          <w:szCs w:val="24"/>
        </w:rPr>
        <w:t>-A</w:t>
      </w:r>
      <w:r w:rsidRPr="00C20096" w:rsidR="00F91E07">
        <w:rPr>
          <w:rFonts w:ascii="Palatino Linotype" w:hAnsi="Palatino Linotype" w:eastAsia="Palatino Linotype" w:cs="Palatino Linotype"/>
          <w:sz w:val="24"/>
          <w:szCs w:val="24"/>
        </w:rPr>
        <w:t xml:space="preserve">, and SDG&amp;E AL </w:t>
      </w:r>
      <w:r w:rsidR="00F91E07">
        <w:rPr>
          <w:rFonts w:ascii="Palatino Linotype" w:hAnsi="Palatino Linotype" w:cstheme="minorHAnsi"/>
          <w:sz w:val="24"/>
          <w:szCs w:val="24"/>
        </w:rPr>
        <w:t>4138-E-A (</w:t>
      </w:r>
      <w:r w:rsidR="0043121C">
        <w:rPr>
          <w:rFonts w:ascii="Palatino Linotype" w:hAnsi="Palatino Linotype" w:cstheme="minorHAnsi"/>
          <w:sz w:val="24"/>
          <w:szCs w:val="24"/>
        </w:rPr>
        <w:t xml:space="preserve">collectively the </w:t>
      </w:r>
      <w:r w:rsidR="00F91E07">
        <w:rPr>
          <w:rFonts w:ascii="Palatino Linotype" w:hAnsi="Palatino Linotype" w:cstheme="minorHAnsi"/>
          <w:sz w:val="24"/>
          <w:szCs w:val="24"/>
        </w:rPr>
        <w:t>Supplement</w:t>
      </w:r>
      <w:r w:rsidR="00C50F00">
        <w:rPr>
          <w:rFonts w:ascii="Palatino Linotype" w:hAnsi="Palatino Linotype" w:cstheme="minorHAnsi"/>
          <w:sz w:val="24"/>
          <w:szCs w:val="24"/>
        </w:rPr>
        <w:t>s</w:t>
      </w:r>
      <w:r w:rsidR="00F91E07">
        <w:rPr>
          <w:rFonts w:ascii="Palatino Linotype" w:hAnsi="Palatino Linotype" w:cstheme="minorHAnsi"/>
          <w:sz w:val="24"/>
          <w:szCs w:val="24"/>
        </w:rPr>
        <w:t xml:space="preserve"> to Join</w:t>
      </w:r>
      <w:r w:rsidR="00975605">
        <w:rPr>
          <w:rFonts w:ascii="Palatino Linotype" w:hAnsi="Palatino Linotype" w:cstheme="minorHAnsi"/>
          <w:sz w:val="24"/>
          <w:szCs w:val="24"/>
        </w:rPr>
        <w:t>t</w:t>
      </w:r>
      <w:r w:rsidR="00F91E07">
        <w:rPr>
          <w:rFonts w:ascii="Palatino Linotype" w:hAnsi="Palatino Linotype" w:cstheme="minorHAnsi"/>
          <w:sz w:val="24"/>
          <w:szCs w:val="24"/>
        </w:rPr>
        <w:t xml:space="preserve"> </w:t>
      </w:r>
      <w:r w:rsidR="004D26FB">
        <w:rPr>
          <w:rFonts w:ascii="Palatino Linotype" w:hAnsi="Palatino Linotype" w:cstheme="minorHAnsi"/>
          <w:sz w:val="24"/>
          <w:szCs w:val="24"/>
        </w:rPr>
        <w:t xml:space="preserve">January LGP </w:t>
      </w:r>
      <w:r w:rsidR="00F91E07">
        <w:rPr>
          <w:rFonts w:ascii="Palatino Linotype" w:hAnsi="Palatino Linotype" w:cstheme="minorHAnsi"/>
          <w:sz w:val="24"/>
          <w:szCs w:val="24"/>
        </w:rPr>
        <w:t>AL</w:t>
      </w:r>
      <w:r w:rsidR="00C50F00">
        <w:rPr>
          <w:rFonts w:ascii="Palatino Linotype" w:hAnsi="Palatino Linotype" w:cstheme="minorHAnsi"/>
          <w:sz w:val="24"/>
          <w:szCs w:val="24"/>
        </w:rPr>
        <w:t>s</w:t>
      </w:r>
      <w:r w:rsidR="0049043F">
        <w:rPr>
          <w:rStyle w:val="FootnoteReference"/>
          <w:rFonts w:ascii="Palatino Linotype" w:hAnsi="Palatino Linotype" w:cstheme="minorHAnsi"/>
          <w:sz w:val="24"/>
          <w:szCs w:val="24"/>
        </w:rPr>
        <w:footnoteReference w:id="3"/>
      </w:r>
      <w:r w:rsidR="00F91E07">
        <w:rPr>
          <w:rFonts w:ascii="Palatino Linotype" w:hAnsi="Palatino Linotype" w:cstheme="minorHAnsi"/>
          <w:sz w:val="24"/>
          <w:szCs w:val="24"/>
        </w:rPr>
        <w:t>)</w:t>
      </w:r>
      <w:r w:rsidR="00CD23D5">
        <w:rPr>
          <w:rFonts w:ascii="Palatino Linotype" w:hAnsi="Palatino Linotype" w:cstheme="minorHAnsi"/>
          <w:sz w:val="24"/>
          <w:szCs w:val="24"/>
        </w:rPr>
        <w:t xml:space="preserve"> on January 23, 2023</w:t>
      </w:r>
      <w:r w:rsidR="007E7E09">
        <w:rPr>
          <w:rFonts w:ascii="Palatino Linotype" w:hAnsi="Palatino Linotype" w:cstheme="minorHAnsi"/>
          <w:sz w:val="24"/>
          <w:szCs w:val="24"/>
        </w:rPr>
        <w:t xml:space="preserve"> </w:t>
      </w:r>
      <w:r w:rsidRPr="00C20096" w:rsidR="000B37D9">
        <w:rPr>
          <w:rFonts w:ascii="Palatino Linotype" w:hAnsi="Palatino Linotype" w:eastAsia="Palatino Linotype" w:cs="Palatino Linotype"/>
          <w:sz w:val="24"/>
          <w:szCs w:val="24"/>
        </w:rPr>
        <w:t xml:space="preserve">to comply with </w:t>
      </w:r>
      <w:r w:rsidRPr="00C20096" w:rsidR="00DA7803">
        <w:rPr>
          <w:rFonts w:ascii="Palatino Linotype" w:hAnsi="Palatino Linotype" w:eastAsia="Palatino Linotype" w:cs="Palatino Linotype"/>
          <w:sz w:val="24"/>
          <w:szCs w:val="24"/>
        </w:rPr>
        <w:t>Ordering Paragraph</w:t>
      </w:r>
      <w:r w:rsidRPr="00C20096" w:rsidR="004D520A">
        <w:rPr>
          <w:rFonts w:ascii="Palatino Linotype" w:hAnsi="Palatino Linotype" w:eastAsia="Palatino Linotype" w:cs="Palatino Linotype"/>
          <w:sz w:val="24"/>
          <w:szCs w:val="24"/>
        </w:rPr>
        <w:t xml:space="preserve"> (OP</w:t>
      </w:r>
      <w:r w:rsidR="00C50F00">
        <w:rPr>
          <w:rFonts w:ascii="Palatino Linotype" w:hAnsi="Palatino Linotype" w:eastAsia="Palatino Linotype" w:cs="Palatino Linotype"/>
          <w:sz w:val="24"/>
          <w:szCs w:val="24"/>
        </w:rPr>
        <w:t>s</w:t>
      </w:r>
      <w:r w:rsidRPr="00C20096" w:rsidR="004D520A">
        <w:rPr>
          <w:rFonts w:ascii="Palatino Linotype" w:hAnsi="Palatino Linotype" w:eastAsia="Palatino Linotype" w:cs="Palatino Linotype"/>
          <w:sz w:val="24"/>
          <w:szCs w:val="24"/>
        </w:rPr>
        <w:t>)</w:t>
      </w:r>
      <w:r w:rsidRPr="00C20096" w:rsidR="00DB3BA8">
        <w:rPr>
          <w:rFonts w:ascii="Palatino Linotype" w:hAnsi="Palatino Linotype" w:eastAsia="Palatino Linotype" w:cs="Palatino Linotype"/>
          <w:sz w:val="24"/>
          <w:szCs w:val="24"/>
        </w:rPr>
        <w:t xml:space="preserve"> </w:t>
      </w:r>
      <w:r w:rsidR="00F761D9">
        <w:rPr>
          <w:rFonts w:ascii="Palatino Linotype" w:hAnsi="Palatino Linotype" w:eastAsia="Palatino Linotype" w:cs="Palatino Linotype"/>
          <w:sz w:val="24"/>
          <w:szCs w:val="24"/>
        </w:rPr>
        <w:t>2 and 3</w:t>
      </w:r>
      <w:r w:rsidRPr="00C20096" w:rsidR="00F761D9">
        <w:rPr>
          <w:rFonts w:ascii="Palatino Linotype" w:hAnsi="Palatino Linotype" w:eastAsia="Palatino Linotype" w:cs="Palatino Linotype"/>
          <w:sz w:val="24"/>
          <w:szCs w:val="24"/>
        </w:rPr>
        <w:t xml:space="preserve"> </w:t>
      </w:r>
      <w:r w:rsidRPr="00C20096" w:rsidR="00DA7803">
        <w:rPr>
          <w:rFonts w:ascii="Palatino Linotype" w:hAnsi="Palatino Linotype" w:eastAsia="Palatino Linotype" w:cs="Palatino Linotype"/>
          <w:sz w:val="24"/>
          <w:szCs w:val="24"/>
        </w:rPr>
        <w:t xml:space="preserve">of </w:t>
      </w:r>
      <w:r w:rsidR="00F761D9">
        <w:rPr>
          <w:rFonts w:ascii="Palatino Linotype" w:hAnsi="Palatino Linotype" w:eastAsia="Palatino Linotype" w:cs="Palatino Linotype"/>
          <w:sz w:val="24"/>
          <w:szCs w:val="24"/>
        </w:rPr>
        <w:t>Resolution E-5211 and OP 16</w:t>
      </w:r>
      <w:r w:rsidR="00F56A91">
        <w:rPr>
          <w:rFonts w:ascii="Palatino Linotype" w:hAnsi="Palatino Linotype" w:eastAsia="Palatino Linotype" w:cs="Palatino Linotype"/>
          <w:sz w:val="24"/>
          <w:szCs w:val="24"/>
        </w:rPr>
        <w:t xml:space="preserve"> </w:t>
      </w:r>
      <w:r w:rsidR="00F761D9">
        <w:rPr>
          <w:rFonts w:ascii="Palatino Linotype" w:hAnsi="Palatino Linotype" w:eastAsia="Palatino Linotype" w:cs="Palatino Linotype"/>
          <w:sz w:val="24"/>
          <w:szCs w:val="24"/>
        </w:rPr>
        <w:t xml:space="preserve">of </w:t>
      </w:r>
      <w:r w:rsidRPr="00C20096" w:rsidR="000B37D9">
        <w:rPr>
          <w:rFonts w:ascii="Palatino Linotype" w:hAnsi="Palatino Linotype" w:eastAsia="Palatino Linotype" w:cs="Palatino Linotype"/>
          <w:sz w:val="24"/>
          <w:szCs w:val="24"/>
        </w:rPr>
        <w:t>Decision (D.) 20-09-035</w:t>
      </w:r>
      <w:r w:rsidRPr="00C20096" w:rsidR="00BF67E1">
        <w:rPr>
          <w:rFonts w:ascii="Palatino Linotype" w:hAnsi="Palatino Linotype" w:eastAsia="Palatino Linotype" w:cs="Palatino Linotype"/>
          <w:sz w:val="24"/>
          <w:szCs w:val="24"/>
        </w:rPr>
        <w:t xml:space="preserve"> (the Decision)</w:t>
      </w:r>
      <w:r w:rsidR="004F0343">
        <w:rPr>
          <w:rFonts w:ascii="Palatino Linotype" w:hAnsi="Palatino Linotype" w:eastAsia="Palatino Linotype" w:cs="Palatino Linotype"/>
          <w:sz w:val="24"/>
          <w:szCs w:val="24"/>
        </w:rPr>
        <w:t>;</w:t>
      </w:r>
      <w:r w:rsidRPr="00C20096" w:rsidR="00DB3BA8">
        <w:rPr>
          <w:rFonts w:ascii="Palatino Linotype" w:hAnsi="Palatino Linotype" w:eastAsia="Palatino Linotype" w:cs="Palatino Linotype"/>
          <w:sz w:val="24"/>
          <w:szCs w:val="24"/>
        </w:rPr>
        <w:t xml:space="preserve"> </w:t>
      </w:r>
      <w:r w:rsidR="004F0343">
        <w:rPr>
          <w:rFonts w:ascii="Palatino Linotype" w:hAnsi="Palatino Linotype" w:eastAsia="Palatino Linotype" w:cs="Palatino Linotype"/>
          <w:sz w:val="24"/>
          <w:szCs w:val="24"/>
        </w:rPr>
        <w:t>a</w:t>
      </w:r>
      <w:r w:rsidR="00AF1619">
        <w:rPr>
          <w:rFonts w:ascii="Palatino Linotype" w:hAnsi="Palatino Linotype" w:eastAsia="Palatino Linotype" w:cs="Palatino Linotype"/>
          <w:sz w:val="24"/>
          <w:szCs w:val="24"/>
        </w:rPr>
        <w:t>nd</w:t>
      </w:r>
    </w:p>
    <w:p w:rsidRPr="00C20096" w:rsidR="00157A82" w:rsidP="009551A2" w:rsidRDefault="007D62C5" w14:paraId="7D45BD7E" w14:textId="77777777">
      <w:pPr>
        <w:pStyle w:val="Body"/>
        <w:numPr>
          <w:ilvl w:val="0"/>
          <w:numId w:val="11"/>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The Joint May LGP AL and Supplement</w:t>
      </w:r>
      <w:r w:rsidR="000B209B">
        <w:rPr>
          <w:rFonts w:ascii="Palatino Linotype" w:hAnsi="Palatino Linotype" w:eastAsia="Palatino Linotype" w:cs="Palatino Linotype"/>
          <w:sz w:val="24"/>
          <w:szCs w:val="24"/>
        </w:rPr>
        <w:t>s</w:t>
      </w:r>
      <w:r>
        <w:rPr>
          <w:rFonts w:ascii="Palatino Linotype" w:hAnsi="Palatino Linotype" w:eastAsia="Palatino Linotype" w:cs="Palatino Linotype"/>
          <w:sz w:val="24"/>
          <w:szCs w:val="24"/>
        </w:rPr>
        <w:t>—</w:t>
      </w:r>
      <w:r w:rsidR="006F3CE3">
        <w:rPr>
          <w:rFonts w:ascii="Palatino Linotype" w:hAnsi="Palatino Linotype" w:cstheme="minorHAnsi"/>
          <w:sz w:val="24"/>
          <w:szCs w:val="24"/>
        </w:rPr>
        <w:t xml:space="preserve">PG&amp;E </w:t>
      </w:r>
      <w:r w:rsidR="004F0343">
        <w:rPr>
          <w:rFonts w:ascii="Palatino Linotype" w:hAnsi="Palatino Linotype" w:cstheme="minorHAnsi"/>
          <w:sz w:val="24"/>
          <w:szCs w:val="24"/>
        </w:rPr>
        <w:t>AL</w:t>
      </w:r>
      <w:r w:rsidR="006F3CE3">
        <w:rPr>
          <w:rFonts w:ascii="Palatino Linotype" w:hAnsi="Palatino Linotype" w:cstheme="minorHAnsi"/>
          <w:sz w:val="24"/>
          <w:szCs w:val="24"/>
        </w:rPr>
        <w:t xml:space="preserve"> 6929-E, SCE </w:t>
      </w:r>
      <w:r w:rsidR="004F0343">
        <w:rPr>
          <w:rFonts w:ascii="Palatino Linotype" w:hAnsi="Palatino Linotype" w:cstheme="minorHAnsi"/>
          <w:sz w:val="24"/>
          <w:szCs w:val="24"/>
        </w:rPr>
        <w:t>AL</w:t>
      </w:r>
      <w:r w:rsidR="006F3CE3">
        <w:rPr>
          <w:rFonts w:ascii="Palatino Linotype" w:hAnsi="Palatino Linotype" w:cstheme="minorHAnsi"/>
          <w:sz w:val="24"/>
          <w:szCs w:val="24"/>
        </w:rPr>
        <w:t xml:space="preserve"> 5025-E, and SDG&amp;E </w:t>
      </w:r>
      <w:r w:rsidR="004F0343">
        <w:rPr>
          <w:rFonts w:ascii="Palatino Linotype" w:hAnsi="Palatino Linotype" w:cstheme="minorHAnsi"/>
          <w:sz w:val="24"/>
          <w:szCs w:val="24"/>
        </w:rPr>
        <w:t>AL</w:t>
      </w:r>
      <w:r w:rsidR="006F3CE3">
        <w:rPr>
          <w:rFonts w:ascii="Palatino Linotype" w:hAnsi="Palatino Linotype" w:cstheme="minorHAnsi"/>
          <w:sz w:val="24"/>
          <w:szCs w:val="24"/>
        </w:rPr>
        <w:t xml:space="preserve"> 4215-E </w:t>
      </w:r>
      <w:r w:rsidR="004F0343">
        <w:rPr>
          <w:rFonts w:ascii="Palatino Linotype" w:hAnsi="Palatino Linotype" w:cstheme="minorHAnsi"/>
          <w:sz w:val="24"/>
          <w:szCs w:val="24"/>
        </w:rPr>
        <w:t xml:space="preserve">on May 1, 2023 </w:t>
      </w:r>
      <w:r w:rsidR="00025799">
        <w:rPr>
          <w:rFonts w:ascii="Palatino Linotype" w:hAnsi="Palatino Linotype" w:cstheme="minorHAnsi"/>
          <w:sz w:val="24"/>
          <w:szCs w:val="24"/>
        </w:rPr>
        <w:t>(</w:t>
      </w:r>
      <w:r w:rsidR="00442C59">
        <w:rPr>
          <w:rFonts w:ascii="Palatino Linotype" w:hAnsi="Palatino Linotype" w:cstheme="minorHAnsi"/>
          <w:sz w:val="24"/>
          <w:szCs w:val="24"/>
        </w:rPr>
        <w:t xml:space="preserve">collectively the </w:t>
      </w:r>
      <w:r w:rsidR="00025799">
        <w:rPr>
          <w:rFonts w:ascii="Palatino Linotype" w:hAnsi="Palatino Linotype" w:cstheme="minorHAnsi"/>
          <w:sz w:val="24"/>
          <w:szCs w:val="24"/>
        </w:rPr>
        <w:t>Joint May LGP AL</w:t>
      </w:r>
      <w:r w:rsidR="00C50F00">
        <w:rPr>
          <w:rFonts w:ascii="Palatino Linotype" w:hAnsi="Palatino Linotype" w:cstheme="minorHAnsi"/>
          <w:sz w:val="24"/>
          <w:szCs w:val="24"/>
        </w:rPr>
        <w:t>s</w:t>
      </w:r>
      <w:r w:rsidR="00BB5435">
        <w:rPr>
          <w:rStyle w:val="FootnoteReference"/>
          <w:rFonts w:ascii="Palatino Linotype" w:hAnsi="Palatino Linotype" w:cstheme="minorHAnsi"/>
          <w:sz w:val="24"/>
          <w:szCs w:val="24"/>
        </w:rPr>
        <w:footnoteReference w:id="4"/>
      </w:r>
      <w:r w:rsidR="00025799">
        <w:rPr>
          <w:rFonts w:ascii="Palatino Linotype" w:hAnsi="Palatino Linotype" w:cstheme="minorHAnsi"/>
          <w:sz w:val="24"/>
          <w:szCs w:val="24"/>
        </w:rPr>
        <w:t>)</w:t>
      </w:r>
      <w:r w:rsidR="002A58FA">
        <w:rPr>
          <w:rFonts w:ascii="Palatino Linotype" w:hAnsi="Palatino Linotype" w:cstheme="minorHAnsi"/>
          <w:sz w:val="24"/>
          <w:szCs w:val="24"/>
        </w:rPr>
        <w:t>,</w:t>
      </w:r>
      <w:r w:rsidR="00376C53">
        <w:rPr>
          <w:rFonts w:ascii="Palatino Linotype" w:hAnsi="Palatino Linotype" w:cstheme="minorHAnsi"/>
          <w:sz w:val="24"/>
          <w:szCs w:val="24"/>
        </w:rPr>
        <w:t xml:space="preserve"> PG&amp;E AL 6929-E-A </w:t>
      </w:r>
      <w:r w:rsidR="00415C52">
        <w:rPr>
          <w:rFonts w:ascii="Palatino Linotype" w:hAnsi="Palatino Linotype" w:cstheme="minorHAnsi"/>
          <w:sz w:val="24"/>
          <w:szCs w:val="24"/>
        </w:rPr>
        <w:t xml:space="preserve">and </w:t>
      </w:r>
      <w:r w:rsidR="00376C53">
        <w:rPr>
          <w:rFonts w:ascii="Palatino Linotype" w:hAnsi="Palatino Linotype" w:cstheme="minorHAnsi"/>
          <w:sz w:val="24"/>
          <w:szCs w:val="24"/>
        </w:rPr>
        <w:t xml:space="preserve">SCE AL 5025-E-A on </w:t>
      </w:r>
      <w:r w:rsidR="002A0CDD">
        <w:rPr>
          <w:rFonts w:ascii="Palatino Linotype" w:hAnsi="Palatino Linotype" w:cstheme="minorHAnsi"/>
          <w:sz w:val="24"/>
          <w:szCs w:val="24"/>
        </w:rPr>
        <w:t>August 31, 2023</w:t>
      </w:r>
      <w:r w:rsidR="00B16E9E">
        <w:rPr>
          <w:rFonts w:ascii="Palatino Linotype" w:hAnsi="Palatino Linotype" w:cstheme="minorHAnsi"/>
          <w:sz w:val="24"/>
          <w:szCs w:val="24"/>
        </w:rPr>
        <w:t xml:space="preserve"> (collectively the </w:t>
      </w:r>
      <w:r w:rsidR="00B16E9E">
        <w:rPr>
          <w:rFonts w:ascii="Palatino Linotype" w:hAnsi="Palatino Linotype" w:cstheme="minorHAnsi"/>
          <w:sz w:val="24"/>
          <w:szCs w:val="24"/>
        </w:rPr>
        <w:lastRenderedPageBreak/>
        <w:t>Supplement</w:t>
      </w:r>
      <w:r w:rsidR="00C50F00">
        <w:rPr>
          <w:rFonts w:ascii="Palatino Linotype" w:hAnsi="Palatino Linotype" w:cstheme="minorHAnsi"/>
          <w:sz w:val="24"/>
          <w:szCs w:val="24"/>
        </w:rPr>
        <w:t>s</w:t>
      </w:r>
      <w:r w:rsidR="00B16E9E">
        <w:rPr>
          <w:rFonts w:ascii="Palatino Linotype" w:hAnsi="Palatino Linotype" w:cstheme="minorHAnsi"/>
          <w:sz w:val="24"/>
          <w:szCs w:val="24"/>
        </w:rPr>
        <w:t xml:space="preserve"> to the Joint May LGP AL</w:t>
      </w:r>
      <w:r w:rsidR="00C50F00">
        <w:rPr>
          <w:rFonts w:ascii="Palatino Linotype" w:hAnsi="Palatino Linotype" w:cstheme="minorHAnsi"/>
          <w:sz w:val="24"/>
          <w:szCs w:val="24"/>
        </w:rPr>
        <w:t>s</w:t>
      </w:r>
      <w:r w:rsidR="007E507F">
        <w:rPr>
          <w:rStyle w:val="FootnoteReference"/>
          <w:rFonts w:ascii="Palatino Linotype" w:hAnsi="Palatino Linotype" w:cstheme="minorHAnsi"/>
          <w:sz w:val="24"/>
          <w:szCs w:val="24"/>
        </w:rPr>
        <w:footnoteReference w:id="5"/>
      </w:r>
      <w:r w:rsidR="00B16E9E">
        <w:rPr>
          <w:rFonts w:ascii="Palatino Linotype" w:hAnsi="Palatino Linotype" w:cstheme="minorHAnsi"/>
          <w:sz w:val="24"/>
          <w:szCs w:val="24"/>
        </w:rPr>
        <w:t>)</w:t>
      </w:r>
      <w:r w:rsidR="00990C76">
        <w:rPr>
          <w:rFonts w:ascii="Palatino Linotype" w:hAnsi="Palatino Linotype" w:cstheme="minorHAnsi"/>
          <w:sz w:val="24"/>
          <w:szCs w:val="24"/>
        </w:rPr>
        <w:t>, and SCE AL 5025-E-B</w:t>
      </w:r>
      <w:r w:rsidR="007E507F">
        <w:rPr>
          <w:rStyle w:val="FootnoteReference"/>
          <w:rFonts w:ascii="Palatino Linotype" w:hAnsi="Palatino Linotype" w:cstheme="minorHAnsi"/>
          <w:sz w:val="24"/>
          <w:szCs w:val="24"/>
        </w:rPr>
        <w:footnoteReference w:id="6"/>
      </w:r>
      <w:r w:rsidR="008C2769">
        <w:rPr>
          <w:rFonts w:ascii="Palatino Linotype" w:hAnsi="Palatino Linotype" w:cstheme="minorHAnsi"/>
          <w:sz w:val="24"/>
          <w:szCs w:val="24"/>
        </w:rPr>
        <w:t xml:space="preserve"> on September 26, 2023</w:t>
      </w:r>
      <w:r w:rsidR="00990C76">
        <w:rPr>
          <w:rFonts w:ascii="Palatino Linotype" w:hAnsi="Palatino Linotype" w:cstheme="minorHAnsi"/>
          <w:sz w:val="24"/>
          <w:szCs w:val="24"/>
        </w:rPr>
        <w:t xml:space="preserve">, replacing </w:t>
      </w:r>
      <w:r w:rsidR="00935638">
        <w:rPr>
          <w:rFonts w:ascii="Palatino Linotype" w:hAnsi="Palatino Linotype" w:cstheme="minorHAnsi"/>
          <w:sz w:val="24"/>
          <w:szCs w:val="24"/>
        </w:rPr>
        <w:t xml:space="preserve">SCE </w:t>
      </w:r>
      <w:r w:rsidR="00990C76">
        <w:rPr>
          <w:rFonts w:ascii="Palatino Linotype" w:hAnsi="Palatino Linotype" w:cstheme="minorHAnsi"/>
          <w:sz w:val="24"/>
          <w:szCs w:val="24"/>
        </w:rPr>
        <w:t>AL 5025-E-A in its entirety,</w:t>
      </w:r>
      <w:r w:rsidR="00376C53">
        <w:rPr>
          <w:rFonts w:ascii="Palatino Linotype" w:hAnsi="Palatino Linotype" w:cstheme="minorHAnsi"/>
          <w:sz w:val="24"/>
          <w:szCs w:val="24"/>
        </w:rPr>
        <w:t xml:space="preserve"> </w:t>
      </w:r>
      <w:r w:rsidR="004F0343">
        <w:rPr>
          <w:rFonts w:ascii="Palatino Linotype" w:hAnsi="Palatino Linotype" w:cstheme="minorHAnsi"/>
          <w:sz w:val="24"/>
          <w:szCs w:val="24"/>
        </w:rPr>
        <w:t xml:space="preserve">to </w:t>
      </w:r>
      <w:r w:rsidR="00DF4224">
        <w:rPr>
          <w:rFonts w:ascii="Palatino Linotype" w:hAnsi="Palatino Linotype" w:cstheme="minorHAnsi"/>
          <w:sz w:val="24"/>
          <w:szCs w:val="24"/>
        </w:rPr>
        <w:t xml:space="preserve">comply with Resolution </w:t>
      </w:r>
      <w:r w:rsidR="00751CAA">
        <w:rPr>
          <w:rFonts w:ascii="Palatino Linotype" w:hAnsi="Palatino Linotype" w:cstheme="minorHAnsi"/>
          <w:sz w:val="24"/>
          <w:szCs w:val="24"/>
        </w:rPr>
        <w:br/>
      </w:r>
      <w:r w:rsidR="00DF4224">
        <w:rPr>
          <w:rFonts w:ascii="Palatino Linotype" w:hAnsi="Palatino Linotype" w:cstheme="minorHAnsi"/>
          <w:sz w:val="24"/>
          <w:szCs w:val="24"/>
        </w:rPr>
        <w:t>E-5230 and OP 15 of the Decision.</w:t>
      </w:r>
      <w:r w:rsidRPr="00C20096" w:rsidR="00807F79">
        <w:rPr>
          <w:rFonts w:ascii="Palatino Linotype" w:hAnsi="Palatino Linotype" w:eastAsia="Palatino Linotype" w:cs="Palatino Linotype"/>
          <w:sz w:val="24"/>
          <w:szCs w:val="24"/>
        </w:rPr>
        <w:t xml:space="preserve"> </w:t>
      </w:r>
    </w:p>
    <w:p w:rsidR="00580718" w:rsidP="00BE12FE" w:rsidRDefault="004D7874" w14:paraId="77838C8C"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This</w:t>
      </w:r>
      <w:r w:rsidRPr="00C20096" w:rsidR="00096618">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Resolution </w:t>
      </w:r>
      <w:bookmarkStart w:name="_Hlk6829317" w:id="1"/>
      <w:r w:rsidR="00AD2FD1">
        <w:rPr>
          <w:rFonts w:ascii="Palatino Linotype" w:hAnsi="Palatino Linotype" w:eastAsia="Palatino Linotype" w:cs="Palatino Linotype"/>
          <w:sz w:val="24"/>
          <w:szCs w:val="24"/>
        </w:rPr>
        <w:t xml:space="preserve">approves in part and </w:t>
      </w:r>
      <w:r w:rsidR="006807BC">
        <w:rPr>
          <w:rFonts w:ascii="Palatino Linotype" w:hAnsi="Palatino Linotype" w:eastAsia="Palatino Linotype" w:cs="Palatino Linotype"/>
          <w:sz w:val="24"/>
          <w:szCs w:val="24"/>
        </w:rPr>
        <w:t xml:space="preserve">modifies </w:t>
      </w:r>
      <w:r w:rsidR="00AD2FD1">
        <w:rPr>
          <w:rFonts w:ascii="Palatino Linotype" w:hAnsi="Palatino Linotype" w:eastAsia="Palatino Linotype" w:cs="Palatino Linotype"/>
          <w:sz w:val="24"/>
          <w:szCs w:val="24"/>
        </w:rPr>
        <w:t>these advice letters</w:t>
      </w:r>
      <w:r w:rsidR="007255FE">
        <w:rPr>
          <w:rFonts w:ascii="Palatino Linotype" w:hAnsi="Palatino Linotype" w:eastAsia="Palatino Linotype" w:cs="Palatino Linotype"/>
          <w:sz w:val="24"/>
          <w:szCs w:val="24"/>
        </w:rPr>
        <w:t xml:space="preserve"> and direct</w:t>
      </w:r>
      <w:bookmarkEnd w:id="1"/>
      <w:r w:rsidR="00AD2FD1">
        <w:rPr>
          <w:rFonts w:ascii="Palatino Linotype" w:hAnsi="Palatino Linotype" w:eastAsia="Palatino Linotype" w:cs="Palatino Linotype"/>
          <w:sz w:val="24"/>
          <w:szCs w:val="24"/>
        </w:rPr>
        <w:t xml:space="preserve">s the Large IOUs to implement the LGP option according to the </w:t>
      </w:r>
      <w:r w:rsidRPr="005F578D" w:rsidR="00AD2FD1">
        <w:rPr>
          <w:rFonts w:ascii="Palatino Linotype" w:hAnsi="Palatino Linotype" w:eastAsia="Palatino Linotype" w:cs="Palatino Linotype"/>
          <w:sz w:val="24"/>
          <w:szCs w:val="24"/>
        </w:rPr>
        <w:t>standard review, certification requirements, and interconnection processes</w:t>
      </w:r>
      <w:r w:rsidR="00AD2FD1">
        <w:rPr>
          <w:rFonts w:ascii="Palatino Linotype" w:hAnsi="Palatino Linotype" w:eastAsia="Palatino Linotype" w:cs="Palatino Linotype"/>
          <w:sz w:val="24"/>
          <w:szCs w:val="24"/>
        </w:rPr>
        <w:t xml:space="preserve"> ordered in this Resolution.  The LGP option will become effective within </w:t>
      </w:r>
      <w:r w:rsidR="004C4DE2">
        <w:rPr>
          <w:rFonts w:ascii="Palatino Linotype" w:hAnsi="Palatino Linotype" w:eastAsia="Palatino Linotype" w:cs="Palatino Linotype"/>
          <w:sz w:val="24"/>
          <w:szCs w:val="24"/>
        </w:rPr>
        <w:t>nine</w:t>
      </w:r>
      <w:r w:rsidR="00AD2FD1">
        <w:rPr>
          <w:rFonts w:ascii="Palatino Linotype" w:hAnsi="Palatino Linotype" w:eastAsia="Palatino Linotype" w:cs="Palatino Linotype"/>
          <w:sz w:val="24"/>
          <w:szCs w:val="24"/>
        </w:rPr>
        <w:t xml:space="preserve"> months of a</w:t>
      </w:r>
      <w:r w:rsidR="00F804DF">
        <w:rPr>
          <w:rFonts w:ascii="Palatino Linotype" w:hAnsi="Palatino Linotype" w:eastAsia="Palatino Linotype" w:cs="Palatino Linotype"/>
          <w:sz w:val="24"/>
          <w:szCs w:val="24"/>
        </w:rPr>
        <w:t>n</w:t>
      </w:r>
      <w:r w:rsidR="00AD2FD1">
        <w:rPr>
          <w:rFonts w:ascii="Palatino Linotype" w:hAnsi="Palatino Linotype" w:eastAsia="Palatino Linotype" w:cs="Palatino Linotype"/>
          <w:sz w:val="24"/>
          <w:szCs w:val="24"/>
        </w:rPr>
        <w:t xml:space="preserve"> U</w:t>
      </w:r>
      <w:r w:rsidR="00C50F00">
        <w:rPr>
          <w:rFonts w:ascii="Palatino Linotype" w:hAnsi="Palatino Linotype" w:eastAsia="Palatino Linotype" w:cs="Palatino Linotype"/>
          <w:sz w:val="24"/>
          <w:szCs w:val="24"/>
        </w:rPr>
        <w:t>nderw</w:t>
      </w:r>
      <w:r w:rsidR="006D2660">
        <w:rPr>
          <w:rFonts w:ascii="Palatino Linotype" w:hAnsi="Palatino Linotype" w:eastAsia="Palatino Linotype" w:cs="Palatino Linotype"/>
          <w:sz w:val="24"/>
          <w:szCs w:val="24"/>
        </w:rPr>
        <w:t>r</w:t>
      </w:r>
      <w:r w:rsidR="00C50F00">
        <w:rPr>
          <w:rFonts w:ascii="Palatino Linotype" w:hAnsi="Palatino Linotype" w:eastAsia="Palatino Linotype" w:cs="Palatino Linotype"/>
          <w:sz w:val="24"/>
          <w:szCs w:val="24"/>
        </w:rPr>
        <w:t xml:space="preserve">iters </w:t>
      </w:r>
      <w:r w:rsidR="00AD2FD1">
        <w:rPr>
          <w:rFonts w:ascii="Palatino Linotype" w:hAnsi="Palatino Linotype" w:eastAsia="Palatino Linotype" w:cs="Palatino Linotype"/>
          <w:sz w:val="24"/>
          <w:szCs w:val="24"/>
        </w:rPr>
        <w:t>L</w:t>
      </w:r>
      <w:r w:rsidR="00C50F00">
        <w:rPr>
          <w:rFonts w:ascii="Palatino Linotype" w:hAnsi="Palatino Linotype" w:eastAsia="Palatino Linotype" w:cs="Palatino Linotype"/>
          <w:sz w:val="24"/>
          <w:szCs w:val="24"/>
        </w:rPr>
        <w:t>aboratory (UL)</w:t>
      </w:r>
      <w:r w:rsidR="00AD2FD1">
        <w:rPr>
          <w:rFonts w:ascii="Palatino Linotype" w:hAnsi="Palatino Linotype" w:eastAsia="Palatino Linotype" w:cs="Palatino Linotype"/>
          <w:sz w:val="24"/>
          <w:szCs w:val="24"/>
        </w:rPr>
        <w:t xml:space="preserve"> certification standard being a</w:t>
      </w:r>
      <w:r w:rsidR="00400C20">
        <w:rPr>
          <w:rFonts w:ascii="Palatino Linotype" w:hAnsi="Palatino Linotype" w:eastAsia="Palatino Linotype" w:cs="Palatino Linotype"/>
          <w:sz w:val="24"/>
          <w:szCs w:val="24"/>
        </w:rPr>
        <w:t xml:space="preserve">pproved </w:t>
      </w:r>
      <w:r w:rsidR="00AD2FD1">
        <w:rPr>
          <w:rFonts w:ascii="Palatino Linotype" w:hAnsi="Palatino Linotype" w:eastAsia="Palatino Linotype" w:cs="Palatino Linotype"/>
          <w:sz w:val="24"/>
          <w:szCs w:val="24"/>
        </w:rPr>
        <w:t xml:space="preserve">for </w:t>
      </w:r>
      <w:r w:rsidR="00400C20">
        <w:rPr>
          <w:rFonts w:ascii="Palatino Linotype" w:hAnsi="Palatino Linotype" w:eastAsia="Palatino Linotype" w:cs="Palatino Linotype"/>
          <w:sz w:val="24"/>
          <w:szCs w:val="24"/>
        </w:rPr>
        <w:t>P</w:t>
      </w:r>
      <w:r w:rsidR="006D2660">
        <w:rPr>
          <w:rFonts w:ascii="Palatino Linotype" w:hAnsi="Palatino Linotype" w:eastAsia="Palatino Linotype" w:cs="Palatino Linotype"/>
          <w:sz w:val="24"/>
          <w:szCs w:val="24"/>
        </w:rPr>
        <w:t>ower Control System</w:t>
      </w:r>
      <w:r w:rsidR="00400C20">
        <w:rPr>
          <w:rFonts w:ascii="Palatino Linotype" w:hAnsi="Palatino Linotype" w:eastAsia="Palatino Linotype" w:cs="Palatino Linotype"/>
          <w:sz w:val="24"/>
          <w:szCs w:val="24"/>
        </w:rPr>
        <w:t>s</w:t>
      </w:r>
      <w:r w:rsidR="006D2660">
        <w:rPr>
          <w:rFonts w:ascii="Palatino Linotype" w:hAnsi="Palatino Linotype" w:eastAsia="Palatino Linotype" w:cs="Palatino Linotype"/>
          <w:sz w:val="24"/>
          <w:szCs w:val="24"/>
        </w:rPr>
        <w:t xml:space="preserve"> (</w:t>
      </w:r>
      <w:r w:rsidR="00AD2FD1">
        <w:rPr>
          <w:rFonts w:ascii="Palatino Linotype" w:hAnsi="Palatino Linotype" w:eastAsia="Palatino Linotype" w:cs="Palatino Linotype"/>
          <w:sz w:val="24"/>
          <w:szCs w:val="24"/>
        </w:rPr>
        <w:t>PCS</w:t>
      </w:r>
      <w:r w:rsidR="006D2660">
        <w:rPr>
          <w:rFonts w:ascii="Palatino Linotype" w:hAnsi="Palatino Linotype" w:eastAsia="Palatino Linotype" w:cs="Palatino Linotype"/>
          <w:sz w:val="24"/>
          <w:szCs w:val="24"/>
        </w:rPr>
        <w:t>)</w:t>
      </w:r>
      <w:r w:rsidR="00400C20">
        <w:rPr>
          <w:rFonts w:ascii="Palatino Linotype" w:hAnsi="Palatino Linotype" w:eastAsia="Palatino Linotype" w:cs="Palatino Linotype"/>
          <w:sz w:val="24"/>
          <w:szCs w:val="24"/>
        </w:rPr>
        <w:t xml:space="preserve"> with integrated schedule</w:t>
      </w:r>
      <w:r w:rsidR="00AD2FD1">
        <w:rPr>
          <w:rFonts w:ascii="Palatino Linotype" w:hAnsi="Palatino Linotype" w:eastAsia="Palatino Linotype" w:cs="Palatino Linotype"/>
          <w:sz w:val="24"/>
          <w:szCs w:val="24"/>
        </w:rPr>
        <w:t>, as directed by OP 51 of D.20-09-035.</w:t>
      </w:r>
    </w:p>
    <w:p w:rsidR="00AD2FD1" w:rsidP="00BE12FE" w:rsidRDefault="00D6298A" w14:paraId="0CB3C7C8" w14:textId="77777777">
      <w:pPr>
        <w:pStyle w:val="Body"/>
        <w:rPr>
          <w:rFonts w:ascii="Palatino Linotype" w:hAnsi="Palatino Linotype" w:eastAsia="Palatino Linotype" w:cs="Palatino Linotype"/>
          <w:sz w:val="24"/>
          <w:szCs w:val="24"/>
        </w:rPr>
      </w:pPr>
      <w:r w:rsidRPr="002C4535">
        <w:rPr>
          <w:rFonts w:ascii="Palatino Linotype" w:hAnsi="Palatino Linotype" w:eastAsia="Palatino Linotype" w:cs="Palatino Linotype"/>
          <w:sz w:val="24"/>
          <w:szCs w:val="24"/>
        </w:rPr>
        <w:t xml:space="preserve">This </w:t>
      </w:r>
      <w:r w:rsidRPr="002C4535" w:rsidR="00EC5B38">
        <w:rPr>
          <w:rFonts w:ascii="Palatino Linotype" w:hAnsi="Palatino Linotype" w:eastAsia="Palatino Linotype" w:cs="Palatino Linotype"/>
          <w:sz w:val="24"/>
          <w:szCs w:val="24"/>
        </w:rPr>
        <w:t>Resolution</w:t>
      </w:r>
      <w:r w:rsidRPr="002C4535" w:rsidR="00AD2FD1">
        <w:rPr>
          <w:rFonts w:ascii="Palatino Linotype" w:hAnsi="Palatino Linotype" w:eastAsia="Palatino Linotype" w:cs="Palatino Linotype"/>
          <w:sz w:val="24"/>
          <w:szCs w:val="24"/>
        </w:rPr>
        <w:t xml:space="preserve"> </w:t>
      </w:r>
      <w:r w:rsidRPr="002C4535" w:rsidR="00632A8E">
        <w:rPr>
          <w:rFonts w:ascii="Palatino Linotype" w:hAnsi="Palatino Linotype" w:eastAsia="Palatino Linotype" w:cs="Palatino Linotype"/>
          <w:sz w:val="24"/>
          <w:szCs w:val="24"/>
        </w:rPr>
        <w:t xml:space="preserve">discusses </w:t>
      </w:r>
      <w:r w:rsidRPr="002C4535">
        <w:rPr>
          <w:rFonts w:ascii="Palatino Linotype" w:hAnsi="Palatino Linotype" w:eastAsia="Palatino Linotype" w:cs="Palatino Linotype"/>
          <w:sz w:val="24"/>
          <w:szCs w:val="24"/>
        </w:rPr>
        <w:t>find</w:t>
      </w:r>
      <w:r w:rsidRPr="002C4535" w:rsidR="00632A8E">
        <w:rPr>
          <w:rFonts w:ascii="Palatino Linotype" w:hAnsi="Palatino Linotype" w:eastAsia="Palatino Linotype" w:cs="Palatino Linotype"/>
          <w:sz w:val="24"/>
          <w:szCs w:val="24"/>
        </w:rPr>
        <w:t xml:space="preserve">ings on </w:t>
      </w:r>
      <w:r w:rsidRPr="002C4535" w:rsidR="00AD2FD1">
        <w:rPr>
          <w:rFonts w:ascii="Palatino Linotype" w:hAnsi="Palatino Linotype" w:eastAsia="Palatino Linotype" w:cs="Palatino Linotype"/>
          <w:sz w:val="24"/>
          <w:szCs w:val="24"/>
        </w:rPr>
        <w:t>the following</w:t>
      </w:r>
      <w:r w:rsidRPr="002C4535" w:rsidR="00632A8E">
        <w:rPr>
          <w:rFonts w:ascii="Palatino Linotype" w:hAnsi="Palatino Linotype" w:eastAsia="Palatino Linotype" w:cs="Palatino Linotype"/>
          <w:sz w:val="24"/>
          <w:szCs w:val="24"/>
        </w:rPr>
        <w:t xml:space="preserve"> topics</w:t>
      </w:r>
      <w:r w:rsidRPr="002C4535" w:rsidR="00AD2FD1">
        <w:rPr>
          <w:rFonts w:ascii="Palatino Linotype" w:hAnsi="Palatino Linotype" w:eastAsia="Palatino Linotype" w:cs="Palatino Linotype"/>
          <w:sz w:val="24"/>
          <w:szCs w:val="24"/>
        </w:rPr>
        <w:t>:</w:t>
      </w:r>
      <w:r w:rsidR="00AD2FD1">
        <w:rPr>
          <w:rFonts w:ascii="Palatino Linotype" w:hAnsi="Palatino Linotype" w:eastAsia="Palatino Linotype" w:cs="Palatino Linotype"/>
          <w:sz w:val="24"/>
          <w:szCs w:val="24"/>
        </w:rPr>
        <w:t xml:space="preserve"> </w:t>
      </w:r>
    </w:p>
    <w:p w:rsidR="00AD2FD1" w:rsidP="00363DD7" w:rsidRDefault="00AD2FD1" w14:paraId="6803ECF1"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Curtailment of LGP facilities under business-as-usual and LGP-specific circumstances</w:t>
      </w:r>
      <w:r w:rsidR="00C50F00">
        <w:rPr>
          <w:rFonts w:ascii="Palatino Linotype" w:hAnsi="Palatino Linotype" w:eastAsia="Palatino Linotype" w:cs="Palatino Linotype"/>
          <w:sz w:val="24"/>
          <w:szCs w:val="24"/>
        </w:rPr>
        <w:t>;</w:t>
      </w:r>
    </w:p>
    <w:p w:rsidR="00AD2FD1" w:rsidP="00363DD7" w:rsidRDefault="00AD2FD1" w14:paraId="79A5B69C"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Disparate treatment of LGP facilities versus non-LGP facilities</w:t>
      </w:r>
      <w:r w:rsidR="00C50F00">
        <w:rPr>
          <w:rFonts w:ascii="Palatino Linotype" w:hAnsi="Palatino Linotype" w:eastAsia="Palatino Linotype" w:cs="Palatino Linotype"/>
          <w:sz w:val="24"/>
          <w:szCs w:val="24"/>
        </w:rPr>
        <w:t>;</w:t>
      </w:r>
    </w:p>
    <w:p w:rsidR="00AD2FD1" w:rsidP="00363DD7" w:rsidRDefault="00AD2FD1" w14:paraId="655B6F70"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Data monitoring and reporting of curtailment of LGP facilities</w:t>
      </w:r>
      <w:r w:rsidR="00C50F00">
        <w:rPr>
          <w:rFonts w:ascii="Palatino Linotype" w:hAnsi="Palatino Linotype" w:eastAsia="Palatino Linotype" w:cs="Palatino Linotype"/>
          <w:sz w:val="24"/>
          <w:szCs w:val="24"/>
        </w:rPr>
        <w:t>;</w:t>
      </w:r>
    </w:p>
    <w:p w:rsidR="00AD2FD1" w:rsidP="00363DD7" w:rsidRDefault="00AD2FD1" w14:paraId="7FCF03C2"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Use of Gross Nameplate Rating of L</w:t>
      </w:r>
      <w:r w:rsidR="00EC5B38">
        <w:rPr>
          <w:rFonts w:ascii="Palatino Linotype" w:hAnsi="Palatino Linotype" w:eastAsia="Palatino Linotype" w:cs="Palatino Linotype"/>
          <w:sz w:val="24"/>
          <w:szCs w:val="24"/>
        </w:rPr>
        <w:t>GP</w:t>
      </w:r>
      <w:r>
        <w:rPr>
          <w:rFonts w:ascii="Palatino Linotype" w:hAnsi="Palatino Linotype" w:eastAsia="Palatino Linotype" w:cs="Palatino Linotype"/>
          <w:sz w:val="24"/>
          <w:szCs w:val="24"/>
        </w:rPr>
        <w:t xml:space="preserve"> facilities in Rule 21 screens</w:t>
      </w:r>
      <w:r w:rsidR="00C50F00">
        <w:rPr>
          <w:rFonts w:ascii="Palatino Linotype" w:hAnsi="Palatino Linotype" w:eastAsia="Palatino Linotype" w:cs="Palatino Linotype"/>
          <w:sz w:val="24"/>
          <w:szCs w:val="24"/>
        </w:rPr>
        <w:t>;</w:t>
      </w:r>
    </w:p>
    <w:p w:rsidR="00AD2FD1" w:rsidP="00363DD7" w:rsidRDefault="00AD2FD1" w14:paraId="43D03525"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Use of non-certified devices, use of current smart inverter functions, and publication of technical requirements</w:t>
      </w:r>
      <w:r w:rsidR="00C50F00">
        <w:rPr>
          <w:rFonts w:ascii="Palatino Linotype" w:hAnsi="Palatino Linotype" w:eastAsia="Palatino Linotype" w:cs="Palatino Linotype"/>
          <w:sz w:val="24"/>
          <w:szCs w:val="24"/>
        </w:rPr>
        <w:t>;</w:t>
      </w:r>
    </w:p>
    <w:p w:rsidR="00AD2FD1" w:rsidP="00363DD7" w:rsidRDefault="00AD2FD1" w14:paraId="25939619" w14:textId="77777777">
      <w:pPr>
        <w:pStyle w:val="Body"/>
        <w:numPr>
          <w:ilvl w:val="0"/>
          <w:numId w:val="18"/>
        </w:numPr>
        <w:spacing w:after="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Clarification of interconnection process for LGP projects and alignment of Rule 21 Tariff language with process proposal</w:t>
      </w:r>
      <w:r w:rsidR="00C50F00">
        <w:rPr>
          <w:rFonts w:ascii="Palatino Linotype" w:hAnsi="Palatino Linotype" w:eastAsia="Palatino Linotype" w:cs="Palatino Linotype"/>
          <w:sz w:val="24"/>
          <w:szCs w:val="24"/>
        </w:rPr>
        <w:t>;</w:t>
      </w:r>
    </w:p>
    <w:p w:rsidR="00AD2FD1" w:rsidP="00363DD7" w:rsidRDefault="00AD2FD1" w14:paraId="29F205C4" w14:textId="77777777">
      <w:pPr>
        <w:pStyle w:val="Body"/>
        <w:numPr>
          <w:ilvl w:val="0"/>
          <w:numId w:val="18"/>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Granularity of LGP values (number of unique LGP values per year) and future assessment of LGP granularity</w:t>
      </w:r>
      <w:r w:rsidR="00632A8E">
        <w:rPr>
          <w:rFonts w:ascii="Palatino Linotype" w:hAnsi="Palatino Linotype" w:eastAsia="Palatino Linotype" w:cs="Palatino Linotype"/>
          <w:sz w:val="24"/>
          <w:szCs w:val="24"/>
        </w:rPr>
        <w:t>.</w:t>
      </w:r>
    </w:p>
    <w:p w:rsidR="00632A8E" w:rsidP="00632A8E" w:rsidRDefault="00632A8E" w14:paraId="44D3EB06" w14:textId="77777777">
      <w:pPr>
        <w:pStyle w:val="Body"/>
        <w:rPr>
          <w:rFonts w:ascii="Palatino Linotype" w:hAnsi="Palatino Linotype" w:eastAsia="Palatino Linotype" w:cs="Palatino Linotype"/>
          <w:sz w:val="24"/>
          <w:szCs w:val="24"/>
        </w:rPr>
      </w:pPr>
      <w:r w:rsidRPr="002C4535">
        <w:rPr>
          <w:rFonts w:ascii="Palatino Linotype" w:hAnsi="Palatino Linotype" w:eastAsia="Palatino Linotype" w:cs="Palatino Linotype"/>
          <w:sz w:val="24"/>
          <w:szCs w:val="24"/>
        </w:rPr>
        <w:t xml:space="preserve">This Resolution orders </w:t>
      </w:r>
      <w:r w:rsidRPr="002C4535" w:rsidR="00EC21E7">
        <w:rPr>
          <w:rFonts w:ascii="Palatino Linotype" w:hAnsi="Palatino Linotype" w:eastAsia="Palatino Linotype" w:cs="Palatino Linotype"/>
          <w:sz w:val="24"/>
          <w:szCs w:val="24"/>
        </w:rPr>
        <w:t xml:space="preserve">Advice Letters on Rule 21 Tariff changes, </w:t>
      </w:r>
      <w:r w:rsidR="002C4535">
        <w:rPr>
          <w:rFonts w:ascii="Palatino Linotype" w:hAnsi="Palatino Linotype" w:eastAsia="Palatino Linotype" w:cs="Palatino Linotype"/>
          <w:sz w:val="24"/>
          <w:szCs w:val="24"/>
        </w:rPr>
        <w:t xml:space="preserve">and </w:t>
      </w:r>
      <w:r w:rsidR="005C1AF2">
        <w:rPr>
          <w:rFonts w:ascii="Palatino Linotype" w:hAnsi="Palatino Linotype" w:eastAsia="Palatino Linotype" w:cs="Palatino Linotype"/>
          <w:sz w:val="24"/>
          <w:szCs w:val="24"/>
        </w:rPr>
        <w:t xml:space="preserve">also </w:t>
      </w:r>
      <w:r w:rsidRPr="002C4535" w:rsidR="002C4535">
        <w:rPr>
          <w:rFonts w:ascii="Palatino Linotype" w:hAnsi="Palatino Linotype" w:eastAsia="Palatino Linotype" w:cs="Palatino Linotype"/>
          <w:sz w:val="24"/>
          <w:szCs w:val="24"/>
        </w:rPr>
        <w:t>orders</w:t>
      </w:r>
      <w:r w:rsidR="005C1AF2">
        <w:rPr>
          <w:rFonts w:ascii="Palatino Linotype" w:hAnsi="Palatino Linotype" w:eastAsia="Palatino Linotype" w:cs="Palatino Linotype"/>
          <w:sz w:val="24"/>
          <w:szCs w:val="24"/>
        </w:rPr>
        <w:t xml:space="preserve">: </w:t>
      </w:r>
      <w:r w:rsidRPr="002C4535" w:rsidR="002C4535">
        <w:rPr>
          <w:rFonts w:ascii="Palatino Linotype" w:hAnsi="Palatino Linotype" w:eastAsia="Palatino Linotype" w:cs="Palatino Linotype"/>
          <w:sz w:val="24"/>
          <w:szCs w:val="24"/>
        </w:rPr>
        <w:t xml:space="preserve"> </w:t>
      </w:r>
      <w:r w:rsidRPr="002C4535" w:rsidR="00EC21E7">
        <w:rPr>
          <w:rFonts w:ascii="Palatino Linotype" w:hAnsi="Palatino Linotype" w:cstheme="minorHAnsi"/>
          <w:color w:val="000000" w:themeColor="text1"/>
          <w:sz w:val="24"/>
          <w:szCs w:val="24"/>
        </w:rPr>
        <w:t>adopting the process and steps for curtailing LGP projects</w:t>
      </w:r>
      <w:r w:rsidR="005C1AF2">
        <w:rPr>
          <w:rFonts w:ascii="Palatino Linotype" w:hAnsi="Palatino Linotype" w:cstheme="minorHAnsi"/>
          <w:color w:val="000000" w:themeColor="text1"/>
          <w:sz w:val="24"/>
          <w:szCs w:val="24"/>
        </w:rPr>
        <w:t xml:space="preserve">; adopting the process for implementing LGP projects; adopting the granularity of LGP values; adopting </w:t>
      </w:r>
      <w:r w:rsidRPr="002C4535" w:rsidR="00EC21E7">
        <w:rPr>
          <w:rFonts w:ascii="Palatino Linotype" w:hAnsi="Palatino Linotype" w:eastAsia="Palatino Linotype" w:cs="Palatino Linotype"/>
          <w:sz w:val="24"/>
          <w:szCs w:val="24"/>
        </w:rPr>
        <w:t>data monitoring and reporting requirements</w:t>
      </w:r>
      <w:r w:rsidR="005C1AF2">
        <w:rPr>
          <w:rFonts w:ascii="Palatino Linotype" w:hAnsi="Palatino Linotype" w:eastAsia="Palatino Linotype" w:cs="Palatino Linotype"/>
          <w:sz w:val="24"/>
          <w:szCs w:val="24"/>
        </w:rPr>
        <w:t>;</w:t>
      </w:r>
      <w:r w:rsidRPr="002C4535" w:rsidR="00EC21E7">
        <w:rPr>
          <w:rFonts w:ascii="Palatino Linotype" w:hAnsi="Palatino Linotype" w:eastAsia="Palatino Linotype" w:cs="Palatino Linotype"/>
          <w:sz w:val="24"/>
          <w:szCs w:val="24"/>
        </w:rPr>
        <w:t xml:space="preserve"> specif</w:t>
      </w:r>
      <w:r w:rsidR="00251267">
        <w:rPr>
          <w:rFonts w:ascii="Palatino Linotype" w:hAnsi="Palatino Linotype" w:eastAsia="Palatino Linotype" w:cs="Palatino Linotype"/>
          <w:sz w:val="24"/>
          <w:szCs w:val="24"/>
        </w:rPr>
        <w:t xml:space="preserve">ying </w:t>
      </w:r>
      <w:r w:rsidRPr="002C4535" w:rsidR="00EC21E7">
        <w:rPr>
          <w:rFonts w:ascii="Palatino Linotype" w:hAnsi="Palatino Linotype" w:eastAsia="Palatino Linotype" w:cs="Palatino Linotype"/>
          <w:sz w:val="24"/>
          <w:szCs w:val="24"/>
        </w:rPr>
        <w:t>the data format of LGP values to be submitted by customers</w:t>
      </w:r>
      <w:r w:rsidR="005C1AF2">
        <w:rPr>
          <w:rFonts w:ascii="Palatino Linotype" w:hAnsi="Palatino Linotype" w:eastAsia="Palatino Linotype" w:cs="Palatino Linotype"/>
          <w:sz w:val="24"/>
          <w:szCs w:val="24"/>
        </w:rPr>
        <w:t>;</w:t>
      </w:r>
      <w:r w:rsidRPr="002C4535" w:rsidR="00EC21E7">
        <w:rPr>
          <w:rFonts w:ascii="Palatino Linotype" w:hAnsi="Palatino Linotype" w:eastAsia="Palatino Linotype" w:cs="Palatino Linotype"/>
          <w:sz w:val="24"/>
          <w:szCs w:val="24"/>
        </w:rPr>
        <w:t xml:space="preserve"> and develop</w:t>
      </w:r>
      <w:r w:rsidR="00251267">
        <w:rPr>
          <w:rFonts w:ascii="Palatino Linotype" w:hAnsi="Palatino Linotype" w:eastAsia="Palatino Linotype" w:cs="Palatino Linotype"/>
          <w:sz w:val="24"/>
          <w:szCs w:val="24"/>
        </w:rPr>
        <w:t>ing</w:t>
      </w:r>
      <w:r w:rsidRPr="002C4535" w:rsidR="00EC21E7">
        <w:rPr>
          <w:rFonts w:ascii="Palatino Linotype" w:hAnsi="Palatino Linotype" w:eastAsia="Palatino Linotype" w:cs="Palatino Linotype"/>
          <w:sz w:val="24"/>
          <w:szCs w:val="24"/>
        </w:rPr>
        <w:t xml:space="preserve"> a plan for conducting assessments </w:t>
      </w:r>
      <w:r w:rsidRPr="002C4535" w:rsidR="002C4535">
        <w:rPr>
          <w:rFonts w:ascii="Palatino Linotype" w:hAnsi="Palatino Linotype" w:eastAsia="Palatino Linotype" w:cs="Palatino Linotype"/>
          <w:sz w:val="24"/>
          <w:szCs w:val="24"/>
        </w:rPr>
        <w:t>of the LGP option</w:t>
      </w:r>
      <w:r w:rsidRPr="002C4535" w:rsidR="00EC21E7">
        <w:rPr>
          <w:rFonts w:ascii="Palatino Linotype" w:hAnsi="Palatino Linotype" w:eastAsia="Palatino Linotype" w:cs="Palatino Linotype"/>
          <w:sz w:val="24"/>
          <w:szCs w:val="24"/>
        </w:rPr>
        <w:t>.</w:t>
      </w:r>
    </w:p>
    <w:p w:rsidRPr="000671C1" w:rsidR="00580718" w:rsidP="00DF2511" w:rsidRDefault="004D7874" w14:paraId="10EC0F36" w14:textId="77777777">
      <w:pPr>
        <w:pStyle w:val="Heading"/>
        <w:rPr>
          <w:rFonts w:ascii="Palatino Linotype" w:hAnsi="Palatino Linotype"/>
          <w:sz w:val="24"/>
          <w:szCs w:val="24"/>
          <w:lang w:val="en-US"/>
        </w:rPr>
      </w:pPr>
      <w:r w:rsidRPr="000671C1">
        <w:rPr>
          <w:rFonts w:ascii="Palatino Linotype" w:hAnsi="Palatino Linotype"/>
          <w:sz w:val="24"/>
          <w:szCs w:val="24"/>
          <w:lang w:val="en-US"/>
        </w:rPr>
        <w:lastRenderedPageBreak/>
        <w:t>Background</w:t>
      </w:r>
    </w:p>
    <w:p w:rsidR="006807BC" w:rsidP="009551A2" w:rsidRDefault="006807BC" w14:paraId="4B104FC7" w14:textId="77777777">
      <w:pPr>
        <w:pStyle w:val="Body"/>
        <w:numPr>
          <w:ilvl w:val="0"/>
          <w:numId w:val="8"/>
        </w:num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Reference List of Documents</w:t>
      </w:r>
    </w:p>
    <w:p w:rsidR="006807BC" w:rsidP="006807BC" w:rsidRDefault="006807BC" w14:paraId="4BD151DF"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w:t>
      </w:r>
      <w:r w:rsidR="00FA4A29">
        <w:rPr>
          <w:rFonts w:ascii="Palatino Linotype" w:hAnsi="Palatino Linotype" w:eastAsia="Palatino Linotype" w:cs="Palatino Linotype"/>
          <w:sz w:val="24"/>
          <w:szCs w:val="24"/>
        </w:rPr>
        <w:t>e subject matter of th</w:t>
      </w:r>
      <w:r>
        <w:rPr>
          <w:rFonts w:ascii="Palatino Linotype" w:hAnsi="Palatino Linotype" w:eastAsia="Palatino Linotype" w:cs="Palatino Linotype"/>
          <w:sz w:val="24"/>
          <w:szCs w:val="24"/>
        </w:rPr>
        <w:t xml:space="preserve">is </w:t>
      </w:r>
      <w:r w:rsidR="00FA4A29">
        <w:rPr>
          <w:rFonts w:ascii="Palatino Linotype" w:hAnsi="Palatino Linotype" w:eastAsia="Palatino Linotype" w:cs="Palatino Linotype"/>
          <w:sz w:val="24"/>
          <w:szCs w:val="24"/>
        </w:rPr>
        <w:t>R</w:t>
      </w:r>
      <w:r>
        <w:rPr>
          <w:rFonts w:ascii="Palatino Linotype" w:hAnsi="Palatino Linotype" w:eastAsia="Palatino Linotype" w:cs="Palatino Linotype"/>
          <w:sz w:val="24"/>
          <w:szCs w:val="24"/>
        </w:rPr>
        <w:t xml:space="preserve">esolution </w:t>
      </w:r>
      <w:r w:rsidR="00FA4A29">
        <w:rPr>
          <w:rFonts w:ascii="Palatino Linotype" w:hAnsi="Palatino Linotype" w:eastAsia="Palatino Linotype" w:cs="Palatino Linotype"/>
          <w:sz w:val="24"/>
          <w:szCs w:val="24"/>
        </w:rPr>
        <w:t xml:space="preserve">encompasses </w:t>
      </w:r>
      <w:r>
        <w:rPr>
          <w:rFonts w:ascii="Palatino Linotype" w:hAnsi="Palatino Linotype" w:eastAsia="Palatino Linotype" w:cs="Palatino Linotype"/>
          <w:sz w:val="24"/>
          <w:szCs w:val="24"/>
        </w:rPr>
        <w:t xml:space="preserve">a large number of documents, summarized in Table 1. </w:t>
      </w:r>
      <w:r w:rsidR="007C6BCB">
        <w:rPr>
          <w:rFonts w:ascii="Palatino Linotype" w:hAnsi="Palatino Linotype" w:eastAsia="Palatino Linotype" w:cs="Palatino Linotype"/>
          <w:sz w:val="24"/>
          <w:szCs w:val="24"/>
        </w:rPr>
        <w:t>Some</w:t>
      </w:r>
      <w:r>
        <w:rPr>
          <w:rFonts w:ascii="Palatino Linotype" w:hAnsi="Palatino Linotype" w:eastAsia="Palatino Linotype" w:cs="Palatino Linotype"/>
          <w:sz w:val="24"/>
          <w:szCs w:val="24"/>
        </w:rPr>
        <w:t xml:space="preserve"> of these documents refer to </w:t>
      </w:r>
      <w:r w:rsidR="00E81C80">
        <w:rPr>
          <w:rFonts w:ascii="Palatino Linotype" w:hAnsi="Palatino Linotype" w:eastAsia="Palatino Linotype" w:cs="Palatino Linotype"/>
          <w:sz w:val="24"/>
          <w:szCs w:val="24"/>
        </w:rPr>
        <w:t xml:space="preserve">or draw upon </w:t>
      </w:r>
      <w:r>
        <w:rPr>
          <w:rFonts w:ascii="Palatino Linotype" w:hAnsi="Palatino Linotype" w:eastAsia="Palatino Linotype" w:cs="Palatino Linotype"/>
          <w:sz w:val="24"/>
          <w:szCs w:val="24"/>
        </w:rPr>
        <w:t>a series of seven workshops that occurred between November 7, 2022 and April 7, 2023, as ordered by Resolutions E-5211 and E-5230</w:t>
      </w:r>
      <w:r w:rsidR="00E81C80">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to discuss a</w:t>
      </w:r>
      <w:r w:rsidR="00E81C80">
        <w:rPr>
          <w:rFonts w:ascii="Palatino Linotype" w:hAnsi="Palatino Linotype" w:eastAsia="Palatino Linotype" w:cs="Palatino Linotype"/>
          <w:sz w:val="24"/>
          <w:szCs w:val="24"/>
        </w:rPr>
        <w:t xml:space="preserve"> series </w:t>
      </w:r>
      <w:r>
        <w:rPr>
          <w:rFonts w:ascii="Palatino Linotype" w:hAnsi="Palatino Linotype" w:eastAsia="Palatino Linotype" w:cs="Palatino Linotype"/>
          <w:sz w:val="24"/>
          <w:szCs w:val="24"/>
        </w:rPr>
        <w:t xml:space="preserve">of LGP topics; </w:t>
      </w:r>
      <w:r w:rsidR="007C6BCB">
        <w:rPr>
          <w:rFonts w:ascii="Palatino Linotype" w:hAnsi="Palatino Linotype" w:eastAsia="Palatino Linotype" w:cs="Palatino Linotype"/>
          <w:sz w:val="24"/>
          <w:szCs w:val="24"/>
        </w:rPr>
        <w:t xml:space="preserve">the proposals and discussions from these </w:t>
      </w:r>
      <w:r w:rsidR="00214C5F">
        <w:rPr>
          <w:rFonts w:ascii="Palatino Linotype" w:hAnsi="Palatino Linotype" w:eastAsia="Palatino Linotype" w:cs="Palatino Linotype"/>
          <w:sz w:val="24"/>
          <w:szCs w:val="24"/>
        </w:rPr>
        <w:t>workshops</w:t>
      </w:r>
      <w:r>
        <w:rPr>
          <w:rFonts w:ascii="Palatino Linotype" w:hAnsi="Palatino Linotype" w:eastAsia="Palatino Linotype" w:cs="Palatino Linotype"/>
          <w:sz w:val="24"/>
          <w:szCs w:val="24"/>
        </w:rPr>
        <w:t xml:space="preserve"> </w:t>
      </w:r>
      <w:r w:rsidR="00214C5F">
        <w:rPr>
          <w:rFonts w:ascii="Palatino Linotype" w:hAnsi="Palatino Linotype" w:eastAsia="Palatino Linotype" w:cs="Palatino Linotype"/>
          <w:sz w:val="24"/>
          <w:szCs w:val="24"/>
        </w:rPr>
        <w:t>h</w:t>
      </w:r>
      <w:r>
        <w:rPr>
          <w:rFonts w:ascii="Palatino Linotype" w:hAnsi="Palatino Linotype" w:eastAsia="Palatino Linotype" w:cs="Palatino Linotype"/>
          <w:sz w:val="24"/>
          <w:szCs w:val="24"/>
        </w:rPr>
        <w:t>ave been used and memorialized by the Large IOUs and by non-IOU parties in their formal submissions</w:t>
      </w:r>
      <w:r w:rsidR="00FA4A29">
        <w:rPr>
          <w:rFonts w:ascii="Palatino Linotype" w:hAnsi="Palatino Linotype" w:eastAsia="Palatino Linotype" w:cs="Palatino Linotype"/>
          <w:sz w:val="24"/>
          <w:szCs w:val="24"/>
        </w:rPr>
        <w:t xml:space="preserve"> to the Advice Letter process</w:t>
      </w:r>
      <w:r>
        <w:rPr>
          <w:rFonts w:ascii="Palatino Linotype" w:hAnsi="Palatino Linotype" w:eastAsia="Palatino Linotype" w:cs="Palatino Linotype"/>
          <w:sz w:val="24"/>
          <w:szCs w:val="24"/>
        </w:rPr>
        <w:t>.</w:t>
      </w:r>
    </w:p>
    <w:p w:rsidRPr="006807BC" w:rsidR="006807BC" w:rsidP="006807BC" w:rsidRDefault="006807BC" w14:paraId="383EA3EA" w14:textId="77777777">
      <w:pPr>
        <w:rPr>
          <w:b/>
          <w:bCs/>
        </w:rPr>
      </w:pPr>
      <w:r w:rsidRPr="006807BC">
        <w:rPr>
          <w:b/>
          <w:bCs/>
        </w:rPr>
        <w:t xml:space="preserve">Table </w:t>
      </w:r>
      <w:r>
        <w:rPr>
          <w:b/>
          <w:bCs/>
        </w:rPr>
        <w:t>1</w:t>
      </w:r>
      <w:r w:rsidRPr="006807BC">
        <w:rPr>
          <w:b/>
          <w:bCs/>
        </w:rPr>
        <w:t>:  Reference List of Documents</w:t>
      </w:r>
    </w:p>
    <w:tbl>
      <w:tblPr>
        <w:tblStyle w:val="TableGrid"/>
        <w:tblW w:w="9360" w:type="dxa"/>
        <w:tblInd w:w="-5" w:type="dxa"/>
        <w:tblLook w:val="04A0" w:firstRow="1" w:lastRow="0" w:firstColumn="1" w:lastColumn="0" w:noHBand="0" w:noVBand="1"/>
      </w:tblPr>
      <w:tblGrid>
        <w:gridCol w:w="1980"/>
        <w:gridCol w:w="1980"/>
        <w:gridCol w:w="5400"/>
      </w:tblGrid>
      <w:tr w:rsidRPr="006807BC" w:rsidR="006807BC" w:rsidTr="000671C1" w14:paraId="0C75BD0B" w14:textId="77777777">
        <w:trPr>
          <w:tblHeader/>
        </w:trPr>
        <w:tc>
          <w:tcPr>
            <w:tcW w:w="1980" w:type="dxa"/>
            <w:shd w:val="clear" w:color="auto" w:fill="F2F2F2" w:themeFill="background1" w:themeFillShade="F2"/>
          </w:tcPr>
          <w:p w:rsidRPr="006807BC" w:rsidR="006807BC" w:rsidP="00C9613A" w:rsidRDefault="006807BC" w14:paraId="562321EC" w14:textId="77777777">
            <w:pPr>
              <w:rPr>
                <w:rFonts w:cstheme="minorHAnsi"/>
                <w:b/>
                <w:bCs/>
                <w:sz w:val="20"/>
                <w:szCs w:val="20"/>
              </w:rPr>
            </w:pPr>
            <w:r w:rsidRPr="006807BC">
              <w:rPr>
                <w:rFonts w:cstheme="minorHAnsi"/>
                <w:b/>
                <w:bCs/>
                <w:sz w:val="20"/>
                <w:szCs w:val="20"/>
              </w:rPr>
              <w:t>Date</w:t>
            </w:r>
          </w:p>
        </w:tc>
        <w:tc>
          <w:tcPr>
            <w:tcW w:w="1980" w:type="dxa"/>
            <w:shd w:val="clear" w:color="auto" w:fill="F2F2F2" w:themeFill="background1" w:themeFillShade="F2"/>
          </w:tcPr>
          <w:p w:rsidRPr="006807BC" w:rsidR="006807BC" w:rsidP="00C9613A" w:rsidRDefault="006807BC" w14:paraId="1CD93361" w14:textId="77777777">
            <w:pPr>
              <w:rPr>
                <w:rFonts w:cstheme="minorHAnsi"/>
                <w:b/>
                <w:bCs/>
                <w:sz w:val="20"/>
                <w:szCs w:val="20"/>
              </w:rPr>
            </w:pPr>
            <w:r w:rsidRPr="006807BC">
              <w:rPr>
                <w:rFonts w:cstheme="minorHAnsi"/>
                <w:b/>
                <w:bCs/>
                <w:sz w:val="20"/>
                <w:szCs w:val="20"/>
              </w:rPr>
              <w:t>Document</w:t>
            </w:r>
          </w:p>
        </w:tc>
        <w:tc>
          <w:tcPr>
            <w:tcW w:w="5400" w:type="dxa"/>
            <w:shd w:val="clear" w:color="auto" w:fill="F2F2F2" w:themeFill="background1" w:themeFillShade="F2"/>
          </w:tcPr>
          <w:p w:rsidRPr="006807BC" w:rsidR="006807BC" w:rsidP="00C9613A" w:rsidRDefault="006807BC" w14:paraId="5394BF24" w14:textId="77777777">
            <w:pPr>
              <w:rPr>
                <w:rFonts w:cstheme="minorHAnsi"/>
                <w:b/>
                <w:bCs/>
                <w:sz w:val="20"/>
                <w:szCs w:val="20"/>
              </w:rPr>
            </w:pPr>
            <w:r w:rsidRPr="006807BC">
              <w:rPr>
                <w:rFonts w:cstheme="minorHAnsi"/>
                <w:b/>
                <w:bCs/>
                <w:sz w:val="20"/>
                <w:szCs w:val="20"/>
              </w:rPr>
              <w:t>Notes</w:t>
            </w:r>
          </w:p>
        </w:tc>
      </w:tr>
      <w:tr w:rsidRPr="006807BC" w:rsidR="006807BC" w:rsidTr="00C37577" w14:paraId="3AD39821" w14:textId="77777777">
        <w:tc>
          <w:tcPr>
            <w:tcW w:w="1980" w:type="dxa"/>
          </w:tcPr>
          <w:p w:rsidRPr="006807BC" w:rsidR="006807BC" w:rsidP="00C9613A" w:rsidRDefault="006807BC" w14:paraId="1BE2173B" w14:textId="77777777">
            <w:pPr>
              <w:rPr>
                <w:rFonts w:cstheme="minorHAnsi"/>
                <w:sz w:val="20"/>
                <w:szCs w:val="20"/>
              </w:rPr>
            </w:pPr>
            <w:r w:rsidRPr="006807BC">
              <w:rPr>
                <w:rFonts w:cstheme="minorHAnsi"/>
                <w:sz w:val="20"/>
                <w:szCs w:val="20"/>
              </w:rPr>
              <w:t>October 31, 2018</w:t>
            </w:r>
          </w:p>
        </w:tc>
        <w:tc>
          <w:tcPr>
            <w:tcW w:w="1980" w:type="dxa"/>
          </w:tcPr>
          <w:p w:rsidRPr="006807BC" w:rsidR="006807BC" w:rsidP="00C9613A" w:rsidRDefault="006807BC" w14:paraId="4BA1E9CE" w14:textId="77777777">
            <w:pPr>
              <w:rPr>
                <w:rFonts w:cstheme="minorHAnsi"/>
                <w:sz w:val="20"/>
                <w:szCs w:val="20"/>
              </w:rPr>
            </w:pPr>
            <w:r w:rsidRPr="006807BC">
              <w:rPr>
                <w:rFonts w:cstheme="minorHAnsi"/>
                <w:sz w:val="20"/>
                <w:szCs w:val="20"/>
              </w:rPr>
              <w:t>Rule 21 Working Group Two</w:t>
            </w:r>
            <w:r w:rsidR="007E6950">
              <w:rPr>
                <w:rFonts w:cstheme="minorHAnsi"/>
                <w:sz w:val="20"/>
                <w:szCs w:val="20"/>
              </w:rPr>
              <w:t>,</w:t>
            </w:r>
            <w:r w:rsidRPr="006807BC">
              <w:rPr>
                <w:rFonts w:cstheme="minorHAnsi"/>
                <w:sz w:val="20"/>
                <w:szCs w:val="20"/>
              </w:rPr>
              <w:t xml:space="preserve"> Final Report</w:t>
            </w:r>
          </w:p>
        </w:tc>
        <w:tc>
          <w:tcPr>
            <w:tcW w:w="5400" w:type="dxa"/>
          </w:tcPr>
          <w:p w:rsidRPr="006807BC" w:rsidR="006807BC" w:rsidP="00C9613A" w:rsidRDefault="006807BC" w14:paraId="1D936698" w14:textId="77777777">
            <w:pPr>
              <w:rPr>
                <w:rFonts w:cstheme="minorHAnsi"/>
                <w:sz w:val="20"/>
                <w:szCs w:val="20"/>
              </w:rPr>
            </w:pPr>
            <w:r w:rsidRPr="006807BC">
              <w:rPr>
                <w:rFonts w:cstheme="minorHAnsi"/>
                <w:sz w:val="20"/>
                <w:szCs w:val="20"/>
              </w:rPr>
              <w:t>Working Group ordered by Rulemaking 17-07-007. Issue 9 of that Rulemaking addresses incorporation of ICA into Rule 21 and also proposes the LGP option</w:t>
            </w:r>
          </w:p>
        </w:tc>
      </w:tr>
      <w:tr w:rsidRPr="006807BC" w:rsidR="006807BC" w:rsidTr="00C37577" w14:paraId="37B3D408" w14:textId="77777777">
        <w:tc>
          <w:tcPr>
            <w:tcW w:w="1980" w:type="dxa"/>
          </w:tcPr>
          <w:p w:rsidRPr="006807BC" w:rsidR="006807BC" w:rsidP="00C9613A" w:rsidRDefault="006807BC" w14:paraId="62800BB1" w14:textId="77777777">
            <w:pPr>
              <w:rPr>
                <w:rFonts w:cstheme="minorHAnsi"/>
                <w:sz w:val="20"/>
                <w:szCs w:val="20"/>
              </w:rPr>
            </w:pPr>
            <w:r w:rsidRPr="006807BC">
              <w:rPr>
                <w:rFonts w:cstheme="minorHAnsi"/>
                <w:sz w:val="20"/>
                <w:szCs w:val="20"/>
              </w:rPr>
              <w:t>September 30, 2020</w:t>
            </w:r>
          </w:p>
        </w:tc>
        <w:tc>
          <w:tcPr>
            <w:tcW w:w="1980" w:type="dxa"/>
          </w:tcPr>
          <w:p w:rsidRPr="006807BC" w:rsidR="006807BC" w:rsidP="00C9613A" w:rsidRDefault="006807BC" w14:paraId="654D801B" w14:textId="77777777">
            <w:pPr>
              <w:rPr>
                <w:rFonts w:cstheme="minorHAnsi"/>
                <w:sz w:val="20"/>
                <w:szCs w:val="20"/>
              </w:rPr>
            </w:pPr>
            <w:r w:rsidRPr="006807BC">
              <w:rPr>
                <w:rFonts w:cstheme="minorHAnsi"/>
                <w:sz w:val="20"/>
                <w:szCs w:val="20"/>
              </w:rPr>
              <w:t>D.20-09-035</w:t>
            </w:r>
          </w:p>
        </w:tc>
        <w:tc>
          <w:tcPr>
            <w:tcW w:w="5400" w:type="dxa"/>
          </w:tcPr>
          <w:p w:rsidRPr="006807BC" w:rsidR="006807BC" w:rsidP="00C9613A" w:rsidRDefault="006807BC" w14:paraId="693880D8" w14:textId="77777777">
            <w:pPr>
              <w:rPr>
                <w:rFonts w:cstheme="minorHAnsi"/>
                <w:sz w:val="20"/>
                <w:szCs w:val="20"/>
              </w:rPr>
            </w:pPr>
            <w:r w:rsidRPr="006807BC">
              <w:rPr>
                <w:rFonts w:cstheme="minorHAnsi"/>
                <w:sz w:val="20"/>
                <w:szCs w:val="20"/>
              </w:rPr>
              <w:t>OP 15 and OP 16 called for Large IOUs to recommend implementation details of LGP; OP 51 also contains provision</w:t>
            </w:r>
            <w:r w:rsidR="007E6950">
              <w:rPr>
                <w:rFonts w:cstheme="minorHAnsi"/>
                <w:sz w:val="20"/>
                <w:szCs w:val="20"/>
              </w:rPr>
              <w:t>s</w:t>
            </w:r>
            <w:r w:rsidRPr="006807BC">
              <w:rPr>
                <w:rFonts w:cstheme="minorHAnsi"/>
                <w:sz w:val="20"/>
                <w:szCs w:val="20"/>
              </w:rPr>
              <w:t xml:space="preserve"> related to LGP as part of Issue A-B 3 on smart inverter settings from Rule 21 Working Group Three</w:t>
            </w:r>
          </w:p>
        </w:tc>
      </w:tr>
      <w:tr w:rsidRPr="006807BC" w:rsidR="006807BC" w:rsidTr="00C37577" w14:paraId="170CD6BA" w14:textId="77777777">
        <w:tc>
          <w:tcPr>
            <w:tcW w:w="1980" w:type="dxa"/>
          </w:tcPr>
          <w:p w:rsidRPr="006807BC" w:rsidR="006807BC" w:rsidP="00C9613A" w:rsidRDefault="006807BC" w14:paraId="08DA1086" w14:textId="77777777">
            <w:pPr>
              <w:rPr>
                <w:rFonts w:cstheme="minorHAnsi"/>
                <w:sz w:val="20"/>
                <w:szCs w:val="20"/>
              </w:rPr>
            </w:pPr>
            <w:r w:rsidRPr="006807BC">
              <w:rPr>
                <w:rFonts w:cstheme="minorHAnsi"/>
                <w:sz w:val="20"/>
                <w:szCs w:val="20"/>
              </w:rPr>
              <w:t>January 28, 2021</w:t>
            </w:r>
          </w:p>
        </w:tc>
        <w:tc>
          <w:tcPr>
            <w:tcW w:w="1980" w:type="dxa"/>
          </w:tcPr>
          <w:p w:rsidRPr="007E6950" w:rsidR="006807BC" w:rsidP="00C9613A" w:rsidRDefault="006807BC" w14:paraId="30B8A173" w14:textId="77777777">
            <w:pPr>
              <w:rPr>
                <w:rFonts w:cstheme="minorHAnsi"/>
                <w:sz w:val="20"/>
                <w:szCs w:val="20"/>
                <w:lang w:val="pt-BR"/>
              </w:rPr>
            </w:pPr>
            <w:r w:rsidRPr="007E6950">
              <w:rPr>
                <w:rFonts w:cstheme="minorHAnsi"/>
                <w:sz w:val="20"/>
                <w:szCs w:val="20"/>
                <w:lang w:val="pt-BR"/>
              </w:rPr>
              <w:t>PG&amp;E AL 6058-E SCE AL 4404-E SDG&amp;E AL 3678-E</w:t>
            </w:r>
          </w:p>
        </w:tc>
        <w:tc>
          <w:tcPr>
            <w:tcW w:w="5400" w:type="dxa"/>
          </w:tcPr>
          <w:p w:rsidRPr="006807BC" w:rsidR="006807BC" w:rsidP="00C9613A" w:rsidRDefault="006807BC" w14:paraId="3616782B" w14:textId="77777777">
            <w:pPr>
              <w:rPr>
                <w:rFonts w:cstheme="minorHAnsi"/>
                <w:sz w:val="20"/>
                <w:szCs w:val="20"/>
              </w:rPr>
            </w:pPr>
            <w:r w:rsidRPr="006807BC">
              <w:rPr>
                <w:rFonts w:cstheme="minorHAnsi"/>
                <w:sz w:val="20"/>
                <w:szCs w:val="20"/>
              </w:rPr>
              <w:t>First set of advice letters to comply with D.20-09-035 OP 16; rejected in Resolution E-5211</w:t>
            </w:r>
          </w:p>
        </w:tc>
      </w:tr>
      <w:tr w:rsidRPr="006807BC" w:rsidR="006807BC" w:rsidTr="00C37577" w14:paraId="744F774D" w14:textId="77777777">
        <w:tc>
          <w:tcPr>
            <w:tcW w:w="1980" w:type="dxa"/>
          </w:tcPr>
          <w:p w:rsidRPr="006807BC" w:rsidR="006807BC" w:rsidP="00C9613A" w:rsidRDefault="006807BC" w14:paraId="62964D86" w14:textId="77777777">
            <w:pPr>
              <w:rPr>
                <w:rFonts w:cstheme="minorHAnsi"/>
                <w:sz w:val="20"/>
                <w:szCs w:val="20"/>
              </w:rPr>
            </w:pPr>
            <w:r w:rsidRPr="006807BC">
              <w:rPr>
                <w:rFonts w:cstheme="minorHAnsi"/>
                <w:sz w:val="20"/>
                <w:szCs w:val="20"/>
              </w:rPr>
              <w:t>March 30, 2021</w:t>
            </w:r>
          </w:p>
        </w:tc>
        <w:tc>
          <w:tcPr>
            <w:tcW w:w="1980" w:type="dxa"/>
          </w:tcPr>
          <w:p w:rsidRPr="007E6950" w:rsidR="006807BC" w:rsidP="00C9613A" w:rsidRDefault="006807BC" w14:paraId="3B28F11C" w14:textId="77777777">
            <w:pPr>
              <w:rPr>
                <w:rFonts w:cstheme="minorHAnsi"/>
                <w:sz w:val="20"/>
                <w:szCs w:val="20"/>
                <w:lang w:val="pt-BR"/>
              </w:rPr>
            </w:pPr>
            <w:r w:rsidRPr="007E6950">
              <w:rPr>
                <w:sz w:val="20"/>
                <w:szCs w:val="20"/>
                <w:lang w:val="pt-BR"/>
              </w:rPr>
              <w:t>PG&amp;E AL 6141-E SCE AL 4455-E SDG&amp;E AL 3721-E</w:t>
            </w:r>
          </w:p>
        </w:tc>
        <w:tc>
          <w:tcPr>
            <w:tcW w:w="5400" w:type="dxa"/>
          </w:tcPr>
          <w:p w:rsidRPr="006807BC" w:rsidR="006807BC" w:rsidP="00C9613A" w:rsidRDefault="006807BC" w14:paraId="2CB69A70" w14:textId="77777777">
            <w:pPr>
              <w:rPr>
                <w:rFonts w:cstheme="minorHAnsi"/>
                <w:sz w:val="20"/>
                <w:szCs w:val="20"/>
              </w:rPr>
            </w:pPr>
            <w:r w:rsidRPr="006807BC">
              <w:rPr>
                <w:rFonts w:cstheme="minorHAnsi"/>
                <w:sz w:val="20"/>
                <w:szCs w:val="20"/>
              </w:rPr>
              <w:t xml:space="preserve">Second set of advice letters to comply with D.20-09-035 OP 15 and OP 51; </w:t>
            </w:r>
            <w:r w:rsidR="00E161E6">
              <w:rPr>
                <w:rFonts w:cstheme="minorHAnsi"/>
                <w:sz w:val="20"/>
                <w:szCs w:val="20"/>
              </w:rPr>
              <w:t xml:space="preserve">approved in part and modified </w:t>
            </w:r>
            <w:r w:rsidRPr="006807BC">
              <w:rPr>
                <w:rFonts w:cstheme="minorHAnsi"/>
                <w:sz w:val="20"/>
                <w:szCs w:val="20"/>
              </w:rPr>
              <w:t xml:space="preserve">in Resolution </w:t>
            </w:r>
            <w:r w:rsidR="00E161E6">
              <w:rPr>
                <w:rFonts w:cstheme="minorHAnsi"/>
                <w:sz w:val="20"/>
                <w:szCs w:val="20"/>
              </w:rPr>
              <w:t>E-5230</w:t>
            </w:r>
          </w:p>
        </w:tc>
      </w:tr>
      <w:tr w:rsidRPr="006807BC" w:rsidR="006807BC" w:rsidTr="00C37577" w14:paraId="7D66C800" w14:textId="77777777">
        <w:tc>
          <w:tcPr>
            <w:tcW w:w="1980" w:type="dxa"/>
          </w:tcPr>
          <w:p w:rsidRPr="006807BC" w:rsidR="006807BC" w:rsidP="00C9613A" w:rsidRDefault="006807BC" w14:paraId="27A0C327" w14:textId="77777777">
            <w:pPr>
              <w:rPr>
                <w:rFonts w:cstheme="minorHAnsi"/>
                <w:sz w:val="20"/>
                <w:szCs w:val="20"/>
              </w:rPr>
            </w:pPr>
            <w:r w:rsidRPr="006807BC">
              <w:rPr>
                <w:rFonts w:cstheme="minorHAnsi"/>
                <w:sz w:val="20"/>
                <w:szCs w:val="20"/>
              </w:rPr>
              <w:t>October 10, 2022</w:t>
            </w:r>
          </w:p>
        </w:tc>
        <w:tc>
          <w:tcPr>
            <w:tcW w:w="1980" w:type="dxa"/>
          </w:tcPr>
          <w:p w:rsidRPr="006807BC" w:rsidR="006807BC" w:rsidP="00C9613A" w:rsidRDefault="006807BC" w14:paraId="5D6B8483" w14:textId="77777777">
            <w:pPr>
              <w:rPr>
                <w:rFonts w:cstheme="minorHAnsi"/>
                <w:sz w:val="20"/>
                <w:szCs w:val="20"/>
              </w:rPr>
            </w:pPr>
            <w:r w:rsidRPr="006807BC">
              <w:rPr>
                <w:rFonts w:cstheme="minorHAnsi"/>
                <w:sz w:val="20"/>
                <w:szCs w:val="20"/>
              </w:rPr>
              <w:t>Resolution E-5211</w:t>
            </w:r>
          </w:p>
        </w:tc>
        <w:tc>
          <w:tcPr>
            <w:tcW w:w="5400" w:type="dxa"/>
          </w:tcPr>
          <w:p w:rsidRPr="006807BC" w:rsidR="006807BC" w:rsidP="00C9613A" w:rsidRDefault="006807BC" w14:paraId="00C76B2A" w14:textId="77777777">
            <w:pPr>
              <w:rPr>
                <w:rFonts w:cstheme="minorHAnsi"/>
                <w:sz w:val="20"/>
                <w:szCs w:val="20"/>
              </w:rPr>
            </w:pPr>
            <w:r w:rsidRPr="006807BC">
              <w:rPr>
                <w:rFonts w:cstheme="minorHAnsi"/>
                <w:sz w:val="20"/>
                <w:szCs w:val="20"/>
              </w:rPr>
              <w:t xml:space="preserve">OP 2 called for workshops to discuss LGP implementation issues </w:t>
            </w:r>
            <w:r w:rsidR="007E6950">
              <w:rPr>
                <w:rFonts w:cstheme="minorHAnsi"/>
                <w:sz w:val="20"/>
                <w:szCs w:val="20"/>
              </w:rPr>
              <w:t>regarding</w:t>
            </w:r>
            <w:r w:rsidRPr="006807BC">
              <w:rPr>
                <w:rFonts w:cstheme="minorHAnsi"/>
                <w:sz w:val="20"/>
                <w:szCs w:val="20"/>
              </w:rPr>
              <w:t xml:space="preserve"> </w:t>
            </w:r>
            <w:r w:rsidR="007E6950">
              <w:rPr>
                <w:rFonts w:cstheme="minorHAnsi"/>
                <w:sz w:val="20"/>
                <w:szCs w:val="20"/>
              </w:rPr>
              <w:t xml:space="preserve">whether/how </w:t>
            </w:r>
            <w:r w:rsidRPr="006807BC">
              <w:rPr>
                <w:rFonts w:cstheme="minorHAnsi"/>
                <w:sz w:val="20"/>
                <w:szCs w:val="20"/>
              </w:rPr>
              <w:t>curtailment</w:t>
            </w:r>
            <w:r w:rsidR="007E6950">
              <w:rPr>
                <w:rFonts w:cstheme="minorHAnsi"/>
                <w:sz w:val="20"/>
                <w:szCs w:val="20"/>
              </w:rPr>
              <w:t xml:space="preserve"> should occur</w:t>
            </w:r>
            <w:r w:rsidRPr="006807BC">
              <w:rPr>
                <w:rFonts w:cstheme="minorHAnsi"/>
                <w:sz w:val="20"/>
                <w:szCs w:val="20"/>
              </w:rPr>
              <w:t xml:space="preserve">; OP 3 called for Large IOUs </w:t>
            </w:r>
            <w:r w:rsidR="0056536C">
              <w:rPr>
                <w:rFonts w:cstheme="minorHAnsi"/>
                <w:sz w:val="20"/>
                <w:szCs w:val="20"/>
              </w:rPr>
              <w:t>recommendations</w:t>
            </w:r>
          </w:p>
        </w:tc>
      </w:tr>
      <w:tr w:rsidRPr="006807BC" w:rsidR="006807BC" w:rsidTr="00C37577" w14:paraId="6E309347" w14:textId="77777777">
        <w:tc>
          <w:tcPr>
            <w:tcW w:w="1980" w:type="dxa"/>
          </w:tcPr>
          <w:p w:rsidRPr="006807BC" w:rsidR="006807BC" w:rsidP="00C9613A" w:rsidRDefault="006807BC" w14:paraId="6B13AC79" w14:textId="77777777">
            <w:pPr>
              <w:rPr>
                <w:rFonts w:cstheme="minorHAnsi"/>
                <w:sz w:val="20"/>
                <w:szCs w:val="20"/>
              </w:rPr>
            </w:pPr>
            <w:r w:rsidRPr="006807BC">
              <w:rPr>
                <w:rFonts w:cstheme="minorHAnsi"/>
                <w:sz w:val="20"/>
                <w:szCs w:val="20"/>
              </w:rPr>
              <w:t>December 1, 2022</w:t>
            </w:r>
          </w:p>
        </w:tc>
        <w:tc>
          <w:tcPr>
            <w:tcW w:w="1980" w:type="dxa"/>
          </w:tcPr>
          <w:p w:rsidRPr="006807BC" w:rsidR="006807BC" w:rsidP="00C9613A" w:rsidRDefault="006807BC" w14:paraId="6CCC88BA" w14:textId="77777777">
            <w:pPr>
              <w:rPr>
                <w:rFonts w:cstheme="minorHAnsi"/>
                <w:sz w:val="20"/>
                <w:szCs w:val="20"/>
              </w:rPr>
            </w:pPr>
            <w:r w:rsidRPr="006807BC">
              <w:rPr>
                <w:rFonts w:cstheme="minorHAnsi"/>
                <w:sz w:val="20"/>
                <w:szCs w:val="20"/>
              </w:rPr>
              <w:t>Resolution E-5230</w:t>
            </w:r>
          </w:p>
        </w:tc>
        <w:tc>
          <w:tcPr>
            <w:tcW w:w="5400" w:type="dxa"/>
          </w:tcPr>
          <w:p w:rsidRPr="006807BC" w:rsidR="006807BC" w:rsidP="00C9613A" w:rsidRDefault="006807BC" w14:paraId="7DA641A0" w14:textId="77777777">
            <w:pPr>
              <w:rPr>
                <w:rFonts w:cstheme="minorHAnsi"/>
                <w:sz w:val="20"/>
                <w:szCs w:val="20"/>
              </w:rPr>
            </w:pPr>
            <w:r w:rsidRPr="006807BC">
              <w:rPr>
                <w:rFonts w:cstheme="minorHAnsi"/>
                <w:sz w:val="20"/>
                <w:szCs w:val="20"/>
              </w:rPr>
              <w:t xml:space="preserve">OP 2 called for workshops to discuss several other LGP implementation issues; OP 3 called for Large IOUs </w:t>
            </w:r>
            <w:r w:rsidR="0056536C">
              <w:rPr>
                <w:rFonts w:cstheme="minorHAnsi"/>
                <w:sz w:val="20"/>
                <w:szCs w:val="20"/>
              </w:rPr>
              <w:t>recommendations</w:t>
            </w:r>
          </w:p>
        </w:tc>
      </w:tr>
      <w:tr w:rsidRPr="006807BC" w:rsidR="006807BC" w:rsidTr="00C37577" w14:paraId="2307F273" w14:textId="77777777">
        <w:tc>
          <w:tcPr>
            <w:tcW w:w="1980" w:type="dxa"/>
          </w:tcPr>
          <w:p w:rsidRPr="006807BC" w:rsidR="006807BC" w:rsidP="00C9613A" w:rsidRDefault="006807BC" w14:paraId="588F0A3F" w14:textId="77777777">
            <w:pPr>
              <w:rPr>
                <w:rFonts w:cstheme="minorHAnsi"/>
                <w:sz w:val="20"/>
                <w:szCs w:val="20"/>
              </w:rPr>
            </w:pPr>
            <w:r w:rsidRPr="006807BC">
              <w:rPr>
                <w:rFonts w:cstheme="minorHAnsi"/>
                <w:sz w:val="20"/>
                <w:szCs w:val="20"/>
              </w:rPr>
              <w:t>January 5, 2023</w:t>
            </w:r>
          </w:p>
        </w:tc>
        <w:tc>
          <w:tcPr>
            <w:tcW w:w="1980" w:type="dxa"/>
          </w:tcPr>
          <w:p w:rsidRPr="006807BC" w:rsidR="006807BC" w:rsidP="00C9613A" w:rsidRDefault="006807BC" w14:paraId="0288EBAE" w14:textId="77777777">
            <w:pPr>
              <w:rPr>
                <w:rFonts w:eastAsia="Palatino Linotype" w:cstheme="minorHAnsi"/>
                <w:sz w:val="20"/>
                <w:szCs w:val="20"/>
              </w:rPr>
            </w:pPr>
            <w:r w:rsidRPr="006807BC">
              <w:rPr>
                <w:rFonts w:eastAsia="Palatino Linotype" w:cstheme="minorHAnsi"/>
                <w:sz w:val="20"/>
                <w:szCs w:val="20"/>
              </w:rPr>
              <w:t>Alternate Proposal</w:t>
            </w:r>
          </w:p>
        </w:tc>
        <w:tc>
          <w:tcPr>
            <w:tcW w:w="5400" w:type="dxa"/>
          </w:tcPr>
          <w:p w:rsidRPr="006807BC" w:rsidR="006807BC" w:rsidP="00C9613A" w:rsidRDefault="006807BC" w14:paraId="59C62F0D" w14:textId="77777777">
            <w:pPr>
              <w:rPr>
                <w:rFonts w:cstheme="minorHAnsi"/>
                <w:sz w:val="20"/>
                <w:szCs w:val="20"/>
              </w:rPr>
            </w:pPr>
            <w:r w:rsidRPr="006807BC">
              <w:rPr>
                <w:rFonts w:cstheme="minorHAnsi"/>
                <w:sz w:val="20"/>
                <w:szCs w:val="20"/>
              </w:rPr>
              <w:t xml:space="preserve">Submitted by IREC, Cal Advocates, CALSSA, </w:t>
            </w:r>
            <w:r w:rsidR="00E81C80">
              <w:rPr>
                <w:rFonts w:cstheme="minorHAnsi"/>
                <w:sz w:val="20"/>
                <w:szCs w:val="20"/>
              </w:rPr>
              <w:t xml:space="preserve">and </w:t>
            </w:r>
            <w:r w:rsidRPr="006807BC">
              <w:rPr>
                <w:rFonts w:cstheme="minorHAnsi"/>
                <w:sz w:val="20"/>
                <w:szCs w:val="20"/>
              </w:rPr>
              <w:t>Applied Systems Engineering; included as Attachment A in the Joint January LGP AL</w:t>
            </w:r>
            <w:r w:rsidR="00B6759B">
              <w:rPr>
                <w:rFonts w:cstheme="minorHAnsi"/>
                <w:sz w:val="20"/>
                <w:szCs w:val="20"/>
              </w:rPr>
              <w:t>s</w:t>
            </w:r>
          </w:p>
        </w:tc>
      </w:tr>
      <w:tr w:rsidRPr="006807BC" w:rsidR="006807BC" w:rsidTr="00C37577" w14:paraId="198D0981" w14:textId="77777777">
        <w:tc>
          <w:tcPr>
            <w:tcW w:w="1980" w:type="dxa"/>
          </w:tcPr>
          <w:p w:rsidRPr="006807BC" w:rsidR="006807BC" w:rsidP="00C9613A" w:rsidRDefault="006807BC" w14:paraId="02ECDF67" w14:textId="77777777">
            <w:pPr>
              <w:rPr>
                <w:rFonts w:cstheme="minorHAnsi"/>
                <w:sz w:val="20"/>
                <w:szCs w:val="20"/>
              </w:rPr>
            </w:pPr>
            <w:r w:rsidRPr="006807BC">
              <w:rPr>
                <w:rFonts w:cstheme="minorHAnsi"/>
                <w:sz w:val="20"/>
                <w:szCs w:val="20"/>
              </w:rPr>
              <w:t>January 9, 2023</w:t>
            </w:r>
          </w:p>
        </w:tc>
        <w:tc>
          <w:tcPr>
            <w:tcW w:w="1980" w:type="dxa"/>
          </w:tcPr>
          <w:p w:rsidRPr="007E6950" w:rsidR="006807BC" w:rsidP="00C9613A" w:rsidRDefault="006807BC" w14:paraId="544319AE" w14:textId="77777777">
            <w:pPr>
              <w:rPr>
                <w:rFonts w:cstheme="minorHAnsi"/>
                <w:sz w:val="20"/>
                <w:szCs w:val="20"/>
                <w:lang w:val="pt-BR"/>
              </w:rPr>
            </w:pPr>
            <w:r w:rsidRPr="007E6950">
              <w:rPr>
                <w:rFonts w:eastAsia="Palatino Linotype" w:cstheme="minorHAnsi"/>
                <w:sz w:val="20"/>
                <w:szCs w:val="20"/>
                <w:lang w:val="pt-BR"/>
              </w:rPr>
              <w:t xml:space="preserve">PG&amp;E AL 6816-E SCE AL 4941-E SDG&amp;E AL </w:t>
            </w:r>
            <w:r w:rsidRPr="007E6950">
              <w:rPr>
                <w:rFonts w:cstheme="minorHAnsi"/>
                <w:sz w:val="20"/>
                <w:szCs w:val="20"/>
                <w:lang w:val="pt-BR"/>
              </w:rPr>
              <w:t>4138</w:t>
            </w:r>
            <w:r w:rsidRPr="007E6950">
              <w:rPr>
                <w:rFonts w:eastAsia="Palatino Linotype" w:cstheme="minorHAnsi"/>
                <w:sz w:val="20"/>
                <w:szCs w:val="20"/>
                <w:lang w:val="pt-BR"/>
              </w:rPr>
              <w:t>-E</w:t>
            </w:r>
          </w:p>
        </w:tc>
        <w:tc>
          <w:tcPr>
            <w:tcW w:w="5400" w:type="dxa"/>
          </w:tcPr>
          <w:p w:rsidRPr="006807BC" w:rsidR="006807BC" w:rsidP="00C9613A" w:rsidRDefault="006807BC" w14:paraId="2D3D08F2" w14:textId="77777777">
            <w:pPr>
              <w:rPr>
                <w:rFonts w:cstheme="minorHAnsi"/>
                <w:sz w:val="20"/>
                <w:szCs w:val="20"/>
              </w:rPr>
            </w:pPr>
            <w:r w:rsidRPr="006807BC">
              <w:rPr>
                <w:rFonts w:cstheme="minorHAnsi"/>
                <w:sz w:val="20"/>
                <w:szCs w:val="20"/>
              </w:rPr>
              <w:t>Collectively called Joint January LGP AL</w:t>
            </w:r>
            <w:r w:rsidR="00B6759B">
              <w:rPr>
                <w:rFonts w:cstheme="minorHAnsi"/>
                <w:sz w:val="20"/>
                <w:szCs w:val="20"/>
              </w:rPr>
              <w:t>s</w:t>
            </w:r>
            <w:r w:rsidRPr="006807BC">
              <w:rPr>
                <w:rFonts w:cstheme="minorHAnsi"/>
                <w:sz w:val="20"/>
                <w:szCs w:val="20"/>
              </w:rPr>
              <w:t>; addresse</w:t>
            </w:r>
            <w:r w:rsidR="00E81C80">
              <w:rPr>
                <w:rFonts w:cstheme="minorHAnsi"/>
                <w:sz w:val="20"/>
                <w:szCs w:val="20"/>
              </w:rPr>
              <w:t>s</w:t>
            </w:r>
            <w:r w:rsidRPr="006807BC">
              <w:rPr>
                <w:rFonts w:cstheme="minorHAnsi"/>
                <w:sz w:val="20"/>
                <w:szCs w:val="20"/>
              </w:rPr>
              <w:t xml:space="preserve"> issues from Resolution E-5211</w:t>
            </w:r>
          </w:p>
        </w:tc>
      </w:tr>
      <w:tr w:rsidRPr="006807BC" w:rsidR="006807BC" w:rsidTr="00C37577" w14:paraId="35D0B8B7" w14:textId="77777777">
        <w:tc>
          <w:tcPr>
            <w:tcW w:w="1980" w:type="dxa"/>
          </w:tcPr>
          <w:p w:rsidRPr="006807BC" w:rsidR="006807BC" w:rsidP="00C9613A" w:rsidRDefault="006807BC" w14:paraId="52B24851" w14:textId="77777777">
            <w:pPr>
              <w:rPr>
                <w:rFonts w:cstheme="minorHAnsi"/>
                <w:sz w:val="20"/>
                <w:szCs w:val="20"/>
              </w:rPr>
            </w:pPr>
            <w:r w:rsidRPr="006807BC">
              <w:rPr>
                <w:rFonts w:cstheme="minorHAnsi"/>
                <w:sz w:val="20"/>
                <w:szCs w:val="20"/>
              </w:rPr>
              <w:t>January 23, 2023</w:t>
            </w:r>
          </w:p>
        </w:tc>
        <w:tc>
          <w:tcPr>
            <w:tcW w:w="1980" w:type="dxa"/>
          </w:tcPr>
          <w:p w:rsidRPr="007E6950" w:rsidR="006807BC" w:rsidP="00C9613A" w:rsidRDefault="006807BC" w14:paraId="1C8D3CF2" w14:textId="77777777">
            <w:pPr>
              <w:rPr>
                <w:rFonts w:cstheme="minorHAnsi"/>
                <w:sz w:val="20"/>
                <w:szCs w:val="20"/>
                <w:lang w:val="pt-BR"/>
              </w:rPr>
            </w:pPr>
            <w:r w:rsidRPr="007E6950">
              <w:rPr>
                <w:rFonts w:eastAsia="Palatino Linotype" w:cstheme="minorHAnsi"/>
                <w:sz w:val="20"/>
                <w:szCs w:val="20"/>
                <w:lang w:val="pt-BR"/>
              </w:rPr>
              <w:t>PG&amp;E AL 6816-E-A SCE AL 4941-E-A SDG&amp;E AL</w:t>
            </w:r>
            <w:r w:rsidRPr="007E6950" w:rsidR="00C37577">
              <w:rPr>
                <w:rFonts w:eastAsia="Palatino Linotype" w:cstheme="minorHAnsi"/>
                <w:sz w:val="20"/>
                <w:szCs w:val="20"/>
                <w:lang w:val="pt-BR"/>
              </w:rPr>
              <w:t xml:space="preserve"> </w:t>
            </w:r>
            <w:r w:rsidRPr="007E6950">
              <w:rPr>
                <w:rFonts w:cstheme="minorHAnsi"/>
                <w:sz w:val="20"/>
                <w:szCs w:val="20"/>
                <w:lang w:val="pt-BR"/>
              </w:rPr>
              <w:t>4138-E-A</w:t>
            </w:r>
          </w:p>
        </w:tc>
        <w:tc>
          <w:tcPr>
            <w:tcW w:w="5400" w:type="dxa"/>
          </w:tcPr>
          <w:p w:rsidRPr="006807BC" w:rsidR="006807BC" w:rsidP="00C9613A" w:rsidRDefault="006807BC" w14:paraId="7167CA81" w14:textId="77777777">
            <w:pPr>
              <w:rPr>
                <w:rFonts w:cstheme="minorHAnsi"/>
                <w:sz w:val="20"/>
                <w:szCs w:val="20"/>
              </w:rPr>
            </w:pPr>
            <w:r w:rsidRPr="006807BC">
              <w:rPr>
                <w:rFonts w:cstheme="minorHAnsi"/>
                <w:sz w:val="20"/>
                <w:szCs w:val="20"/>
              </w:rPr>
              <w:t>Collectively called Supplement to Joint January LGP AL</w:t>
            </w:r>
            <w:r w:rsidR="00B6759B">
              <w:rPr>
                <w:rFonts w:cstheme="minorHAnsi"/>
                <w:sz w:val="20"/>
                <w:szCs w:val="20"/>
              </w:rPr>
              <w:t>s</w:t>
            </w:r>
            <w:r w:rsidRPr="006807BC">
              <w:rPr>
                <w:rFonts w:cstheme="minorHAnsi"/>
                <w:sz w:val="20"/>
                <w:szCs w:val="20"/>
              </w:rPr>
              <w:t>; Large IOUs commented on the Alternative Proposal</w:t>
            </w:r>
          </w:p>
        </w:tc>
      </w:tr>
      <w:tr w:rsidRPr="006807BC" w:rsidR="006807BC" w:rsidTr="00C37577" w14:paraId="21206CE6" w14:textId="77777777">
        <w:tc>
          <w:tcPr>
            <w:tcW w:w="1980" w:type="dxa"/>
          </w:tcPr>
          <w:p w:rsidRPr="006807BC" w:rsidR="006807BC" w:rsidP="00C9613A" w:rsidRDefault="006807BC" w14:paraId="234B1614" w14:textId="77777777">
            <w:pPr>
              <w:rPr>
                <w:rFonts w:cstheme="minorHAnsi"/>
                <w:sz w:val="20"/>
                <w:szCs w:val="20"/>
              </w:rPr>
            </w:pPr>
            <w:r w:rsidRPr="006807BC">
              <w:rPr>
                <w:rFonts w:cstheme="minorHAnsi"/>
                <w:sz w:val="20"/>
                <w:szCs w:val="20"/>
              </w:rPr>
              <w:lastRenderedPageBreak/>
              <w:t>January 30, 2023</w:t>
            </w:r>
          </w:p>
        </w:tc>
        <w:tc>
          <w:tcPr>
            <w:tcW w:w="1980" w:type="dxa"/>
          </w:tcPr>
          <w:p w:rsidRPr="006807BC" w:rsidR="006807BC" w:rsidP="00C9613A" w:rsidRDefault="006807BC" w14:paraId="129ACFB1" w14:textId="77777777">
            <w:pPr>
              <w:rPr>
                <w:rFonts w:cstheme="minorHAnsi"/>
                <w:sz w:val="20"/>
                <w:szCs w:val="20"/>
              </w:rPr>
            </w:pPr>
            <w:r w:rsidRPr="006807BC">
              <w:rPr>
                <w:rFonts w:cstheme="minorHAnsi"/>
                <w:sz w:val="20"/>
                <w:szCs w:val="20"/>
              </w:rPr>
              <w:t>Protests to Joint January LGP AL</w:t>
            </w:r>
          </w:p>
        </w:tc>
        <w:tc>
          <w:tcPr>
            <w:tcW w:w="5400" w:type="dxa"/>
          </w:tcPr>
          <w:p w:rsidRPr="006807BC" w:rsidR="006807BC" w:rsidP="00C9613A" w:rsidRDefault="006807BC" w14:paraId="581E6548" w14:textId="77777777">
            <w:pPr>
              <w:rPr>
                <w:rFonts w:cstheme="minorHAnsi"/>
                <w:sz w:val="20"/>
                <w:szCs w:val="20"/>
              </w:rPr>
            </w:pPr>
            <w:r w:rsidRPr="006807BC">
              <w:rPr>
                <w:rFonts w:cstheme="minorHAnsi"/>
                <w:sz w:val="20"/>
                <w:szCs w:val="20"/>
              </w:rPr>
              <w:t>Separate protests submitted by IREC and Cal Advocates; IREC’s protest also included protests to the Supplement to the Joint January LGP AL</w:t>
            </w:r>
            <w:r w:rsidR="00B6759B">
              <w:rPr>
                <w:rFonts w:cstheme="minorHAnsi"/>
                <w:sz w:val="20"/>
                <w:szCs w:val="20"/>
              </w:rPr>
              <w:t>s</w:t>
            </w:r>
          </w:p>
        </w:tc>
      </w:tr>
      <w:tr w:rsidRPr="006807BC" w:rsidR="006807BC" w:rsidTr="00C37577" w14:paraId="77B8AA97" w14:textId="77777777">
        <w:tc>
          <w:tcPr>
            <w:tcW w:w="1980" w:type="dxa"/>
          </w:tcPr>
          <w:p w:rsidRPr="006807BC" w:rsidR="006807BC" w:rsidP="00C9613A" w:rsidRDefault="006807BC" w14:paraId="73FE830D" w14:textId="77777777">
            <w:pPr>
              <w:rPr>
                <w:rFonts w:cstheme="minorHAnsi"/>
                <w:sz w:val="20"/>
                <w:szCs w:val="20"/>
              </w:rPr>
            </w:pPr>
            <w:r w:rsidRPr="006807BC">
              <w:rPr>
                <w:rFonts w:cstheme="minorHAnsi"/>
                <w:sz w:val="20"/>
                <w:szCs w:val="20"/>
              </w:rPr>
              <w:t>February 6, 2023</w:t>
            </w:r>
          </w:p>
        </w:tc>
        <w:tc>
          <w:tcPr>
            <w:tcW w:w="1980" w:type="dxa"/>
          </w:tcPr>
          <w:p w:rsidRPr="006807BC" w:rsidR="006807BC" w:rsidP="00C9613A" w:rsidRDefault="006807BC" w14:paraId="05F67F37" w14:textId="77777777">
            <w:pPr>
              <w:rPr>
                <w:rFonts w:cstheme="minorHAnsi"/>
                <w:sz w:val="20"/>
                <w:szCs w:val="20"/>
              </w:rPr>
            </w:pPr>
            <w:r w:rsidRPr="006807BC">
              <w:rPr>
                <w:rFonts w:cstheme="minorHAnsi"/>
                <w:sz w:val="20"/>
                <w:szCs w:val="20"/>
              </w:rPr>
              <w:t>Protest to Supplement to the Joint January LGP AL</w:t>
            </w:r>
          </w:p>
        </w:tc>
        <w:tc>
          <w:tcPr>
            <w:tcW w:w="5400" w:type="dxa"/>
          </w:tcPr>
          <w:p w:rsidRPr="006807BC" w:rsidR="006807BC" w:rsidP="00C9613A" w:rsidRDefault="006807BC" w14:paraId="5C7B0D43" w14:textId="77777777">
            <w:pPr>
              <w:rPr>
                <w:rFonts w:cstheme="minorHAnsi"/>
                <w:sz w:val="20"/>
                <w:szCs w:val="20"/>
              </w:rPr>
            </w:pPr>
            <w:r w:rsidRPr="006807BC">
              <w:rPr>
                <w:rFonts w:cstheme="minorHAnsi"/>
                <w:sz w:val="20"/>
                <w:szCs w:val="20"/>
              </w:rPr>
              <w:t>Submitted by Cal Advocates (accepted late)</w:t>
            </w:r>
          </w:p>
        </w:tc>
      </w:tr>
      <w:tr w:rsidRPr="006807BC" w:rsidR="006807BC" w:rsidTr="00C37577" w14:paraId="42C73B32" w14:textId="77777777">
        <w:tc>
          <w:tcPr>
            <w:tcW w:w="1980" w:type="dxa"/>
          </w:tcPr>
          <w:p w:rsidRPr="006807BC" w:rsidR="006807BC" w:rsidP="00C9613A" w:rsidRDefault="006807BC" w14:paraId="0275483D" w14:textId="77777777">
            <w:pPr>
              <w:rPr>
                <w:rFonts w:cstheme="minorHAnsi"/>
                <w:sz w:val="20"/>
                <w:szCs w:val="20"/>
              </w:rPr>
            </w:pPr>
            <w:r w:rsidRPr="006807BC">
              <w:rPr>
                <w:rFonts w:cstheme="minorHAnsi"/>
                <w:sz w:val="20"/>
                <w:szCs w:val="20"/>
              </w:rPr>
              <w:t>February 6, 2023</w:t>
            </w:r>
          </w:p>
        </w:tc>
        <w:tc>
          <w:tcPr>
            <w:tcW w:w="1980" w:type="dxa"/>
          </w:tcPr>
          <w:p w:rsidRPr="006807BC" w:rsidR="006807BC" w:rsidP="00C9613A" w:rsidRDefault="006807BC" w14:paraId="6860F67E" w14:textId="77777777">
            <w:pPr>
              <w:rPr>
                <w:rFonts w:cstheme="minorHAnsi"/>
                <w:sz w:val="20"/>
                <w:szCs w:val="20"/>
              </w:rPr>
            </w:pPr>
            <w:r w:rsidRPr="006807BC">
              <w:rPr>
                <w:rFonts w:cstheme="minorHAnsi"/>
                <w:sz w:val="20"/>
                <w:szCs w:val="20"/>
              </w:rPr>
              <w:t>Re</w:t>
            </w:r>
            <w:r w:rsidR="00D93352">
              <w:rPr>
                <w:rFonts w:cstheme="minorHAnsi"/>
                <w:sz w:val="20"/>
                <w:szCs w:val="20"/>
              </w:rPr>
              <w:t>ply</w:t>
            </w:r>
            <w:r w:rsidRPr="006807BC">
              <w:rPr>
                <w:rFonts w:cstheme="minorHAnsi"/>
                <w:sz w:val="20"/>
                <w:szCs w:val="20"/>
              </w:rPr>
              <w:t xml:space="preserve"> to protest</w:t>
            </w:r>
          </w:p>
        </w:tc>
        <w:tc>
          <w:tcPr>
            <w:tcW w:w="5400" w:type="dxa"/>
          </w:tcPr>
          <w:p w:rsidRPr="006807BC" w:rsidR="006807BC" w:rsidP="00C9613A" w:rsidRDefault="006807BC" w14:paraId="6ADD31AA" w14:textId="77777777">
            <w:pPr>
              <w:rPr>
                <w:rFonts w:cstheme="minorHAnsi"/>
                <w:sz w:val="20"/>
                <w:szCs w:val="20"/>
              </w:rPr>
            </w:pPr>
            <w:r w:rsidRPr="006807BC">
              <w:rPr>
                <w:rFonts w:cstheme="minorHAnsi"/>
                <w:sz w:val="20"/>
                <w:szCs w:val="20"/>
              </w:rPr>
              <w:t>Joint Large IOUs re</w:t>
            </w:r>
            <w:r w:rsidR="00D93352">
              <w:rPr>
                <w:rFonts w:cstheme="minorHAnsi"/>
                <w:sz w:val="20"/>
                <w:szCs w:val="20"/>
              </w:rPr>
              <w:t xml:space="preserve">ply </w:t>
            </w:r>
            <w:r w:rsidRPr="006807BC">
              <w:rPr>
                <w:rFonts w:cstheme="minorHAnsi"/>
                <w:sz w:val="20"/>
                <w:szCs w:val="20"/>
              </w:rPr>
              <w:t>to IREC and Cal Advocates January 30, 2023 protests to Joint January LGP AL</w:t>
            </w:r>
            <w:r w:rsidR="00B6759B">
              <w:rPr>
                <w:rFonts w:cstheme="minorHAnsi"/>
                <w:sz w:val="20"/>
                <w:szCs w:val="20"/>
              </w:rPr>
              <w:t>s</w:t>
            </w:r>
          </w:p>
        </w:tc>
      </w:tr>
      <w:tr w:rsidRPr="006807BC" w:rsidR="006807BC" w:rsidTr="00C37577" w14:paraId="3C40DFF5" w14:textId="77777777">
        <w:tc>
          <w:tcPr>
            <w:tcW w:w="1980" w:type="dxa"/>
          </w:tcPr>
          <w:p w:rsidR="006807BC" w:rsidP="00C9613A" w:rsidRDefault="006807BC" w14:paraId="7036D17E" w14:textId="77777777">
            <w:pPr>
              <w:rPr>
                <w:rFonts w:cstheme="minorHAnsi"/>
                <w:sz w:val="20"/>
                <w:szCs w:val="20"/>
              </w:rPr>
            </w:pPr>
            <w:r w:rsidRPr="006807BC">
              <w:rPr>
                <w:rFonts w:cstheme="minorHAnsi"/>
                <w:sz w:val="20"/>
                <w:szCs w:val="20"/>
              </w:rPr>
              <w:t>February 14, 2023</w:t>
            </w:r>
          </w:p>
          <w:p w:rsidRPr="006807BC" w:rsidR="00706ACD" w:rsidP="00C9613A" w:rsidRDefault="00706ACD" w14:paraId="020FB0EF" w14:textId="77777777">
            <w:pPr>
              <w:rPr>
                <w:rFonts w:cstheme="minorHAnsi"/>
                <w:sz w:val="20"/>
                <w:szCs w:val="20"/>
              </w:rPr>
            </w:pPr>
          </w:p>
        </w:tc>
        <w:tc>
          <w:tcPr>
            <w:tcW w:w="1980" w:type="dxa"/>
          </w:tcPr>
          <w:p w:rsidRPr="006807BC" w:rsidR="006807BC" w:rsidP="00C9613A" w:rsidRDefault="006807BC" w14:paraId="2F037281" w14:textId="77777777">
            <w:pPr>
              <w:rPr>
                <w:rFonts w:cstheme="minorHAnsi"/>
                <w:sz w:val="20"/>
                <w:szCs w:val="20"/>
              </w:rPr>
            </w:pPr>
            <w:r w:rsidRPr="006807BC">
              <w:rPr>
                <w:rFonts w:cstheme="minorHAnsi"/>
                <w:sz w:val="20"/>
                <w:szCs w:val="20"/>
              </w:rPr>
              <w:t>Re</w:t>
            </w:r>
            <w:r w:rsidR="00D93352">
              <w:rPr>
                <w:rFonts w:cstheme="minorHAnsi"/>
                <w:sz w:val="20"/>
                <w:szCs w:val="20"/>
              </w:rPr>
              <w:t xml:space="preserve">ply </w:t>
            </w:r>
            <w:r w:rsidRPr="006807BC">
              <w:rPr>
                <w:rFonts w:cstheme="minorHAnsi"/>
                <w:sz w:val="20"/>
                <w:szCs w:val="20"/>
              </w:rPr>
              <w:t>to protest</w:t>
            </w:r>
          </w:p>
        </w:tc>
        <w:tc>
          <w:tcPr>
            <w:tcW w:w="5400" w:type="dxa"/>
          </w:tcPr>
          <w:p w:rsidRPr="006807BC" w:rsidR="006807BC" w:rsidP="00C9613A" w:rsidRDefault="006807BC" w14:paraId="324C82C0" w14:textId="77777777">
            <w:pPr>
              <w:rPr>
                <w:rFonts w:cstheme="minorHAnsi"/>
                <w:sz w:val="20"/>
                <w:szCs w:val="20"/>
              </w:rPr>
            </w:pPr>
            <w:r w:rsidRPr="006807BC">
              <w:rPr>
                <w:rFonts w:cstheme="minorHAnsi"/>
                <w:sz w:val="20"/>
                <w:szCs w:val="20"/>
              </w:rPr>
              <w:t>Joint Large IOUs re</w:t>
            </w:r>
            <w:r w:rsidR="00D93352">
              <w:rPr>
                <w:rFonts w:cstheme="minorHAnsi"/>
                <w:sz w:val="20"/>
                <w:szCs w:val="20"/>
              </w:rPr>
              <w:t xml:space="preserve">ply </w:t>
            </w:r>
            <w:r w:rsidRPr="006807BC">
              <w:rPr>
                <w:rFonts w:cstheme="minorHAnsi"/>
                <w:sz w:val="20"/>
                <w:szCs w:val="20"/>
              </w:rPr>
              <w:t>to Cal Advocates protest</w:t>
            </w:r>
          </w:p>
        </w:tc>
      </w:tr>
      <w:tr w:rsidRPr="006807BC" w:rsidR="006807BC" w:rsidTr="00C37577" w14:paraId="4299366A" w14:textId="77777777">
        <w:tc>
          <w:tcPr>
            <w:tcW w:w="1980" w:type="dxa"/>
          </w:tcPr>
          <w:p w:rsidRPr="006807BC" w:rsidR="006807BC" w:rsidP="00C9613A" w:rsidRDefault="006807BC" w14:paraId="1FDC9C89" w14:textId="77777777">
            <w:pPr>
              <w:rPr>
                <w:rFonts w:cstheme="minorHAnsi"/>
                <w:sz w:val="20"/>
                <w:szCs w:val="20"/>
              </w:rPr>
            </w:pPr>
            <w:r w:rsidRPr="006807BC">
              <w:rPr>
                <w:rFonts w:cstheme="minorHAnsi"/>
                <w:sz w:val="20"/>
                <w:szCs w:val="20"/>
              </w:rPr>
              <w:t>May 1, 2023</w:t>
            </w:r>
          </w:p>
        </w:tc>
        <w:tc>
          <w:tcPr>
            <w:tcW w:w="1980" w:type="dxa"/>
          </w:tcPr>
          <w:p w:rsidRPr="007E6950" w:rsidR="006807BC" w:rsidP="00C9613A" w:rsidRDefault="006807BC" w14:paraId="6D6E0823" w14:textId="77777777">
            <w:pPr>
              <w:rPr>
                <w:rFonts w:cstheme="minorHAnsi"/>
                <w:sz w:val="20"/>
                <w:szCs w:val="20"/>
                <w:lang w:val="pt-BR"/>
              </w:rPr>
            </w:pPr>
            <w:r w:rsidRPr="007E6950">
              <w:rPr>
                <w:rFonts w:cstheme="minorHAnsi"/>
                <w:sz w:val="20"/>
                <w:szCs w:val="20"/>
                <w:lang w:val="pt-BR"/>
              </w:rPr>
              <w:t>PG&amp;E AL 6929-E SCE AL 5025-E SDG&amp;E AL 4215-E</w:t>
            </w:r>
          </w:p>
        </w:tc>
        <w:tc>
          <w:tcPr>
            <w:tcW w:w="5400" w:type="dxa"/>
          </w:tcPr>
          <w:p w:rsidRPr="006807BC" w:rsidR="006807BC" w:rsidP="00C9613A" w:rsidRDefault="006807BC" w14:paraId="313B14C9" w14:textId="77777777">
            <w:pPr>
              <w:rPr>
                <w:rFonts w:cstheme="minorHAnsi"/>
                <w:sz w:val="20"/>
                <w:szCs w:val="20"/>
              </w:rPr>
            </w:pPr>
            <w:r w:rsidRPr="006807BC">
              <w:rPr>
                <w:rFonts w:cstheme="minorHAnsi"/>
                <w:sz w:val="20"/>
                <w:szCs w:val="20"/>
              </w:rPr>
              <w:t>Collectively called Joint May LGP AL</w:t>
            </w:r>
            <w:r w:rsidR="00B6759B">
              <w:rPr>
                <w:rFonts w:cstheme="minorHAnsi"/>
                <w:sz w:val="20"/>
                <w:szCs w:val="20"/>
              </w:rPr>
              <w:t>s</w:t>
            </w:r>
            <w:r w:rsidRPr="006807BC">
              <w:rPr>
                <w:rFonts w:cstheme="minorHAnsi"/>
                <w:sz w:val="20"/>
                <w:szCs w:val="20"/>
              </w:rPr>
              <w:t>; addresse</w:t>
            </w:r>
            <w:r w:rsidR="00E81C80">
              <w:rPr>
                <w:rFonts w:cstheme="minorHAnsi"/>
                <w:sz w:val="20"/>
                <w:szCs w:val="20"/>
              </w:rPr>
              <w:t>s</w:t>
            </w:r>
            <w:r w:rsidRPr="006807BC">
              <w:rPr>
                <w:rFonts w:cstheme="minorHAnsi"/>
                <w:sz w:val="20"/>
                <w:szCs w:val="20"/>
              </w:rPr>
              <w:t xml:space="preserve"> issues from Resolution E-5230</w:t>
            </w:r>
          </w:p>
        </w:tc>
      </w:tr>
      <w:tr w:rsidRPr="006807BC" w:rsidR="006807BC" w:rsidTr="00C37577" w14:paraId="16632894" w14:textId="77777777">
        <w:tc>
          <w:tcPr>
            <w:tcW w:w="1980" w:type="dxa"/>
          </w:tcPr>
          <w:p w:rsidRPr="006807BC" w:rsidR="006807BC" w:rsidP="00C9613A" w:rsidRDefault="006807BC" w14:paraId="0AC960B8" w14:textId="77777777">
            <w:pPr>
              <w:rPr>
                <w:rFonts w:cstheme="minorHAnsi"/>
                <w:sz w:val="20"/>
                <w:szCs w:val="20"/>
              </w:rPr>
            </w:pPr>
            <w:r w:rsidRPr="006807BC">
              <w:rPr>
                <w:rFonts w:cstheme="minorHAnsi"/>
                <w:sz w:val="20"/>
                <w:szCs w:val="20"/>
              </w:rPr>
              <w:t>May 22, 2023</w:t>
            </w:r>
          </w:p>
        </w:tc>
        <w:tc>
          <w:tcPr>
            <w:tcW w:w="1980" w:type="dxa"/>
          </w:tcPr>
          <w:p w:rsidRPr="006807BC" w:rsidR="006807BC" w:rsidP="00C9613A" w:rsidRDefault="006807BC" w14:paraId="6A902F02" w14:textId="77777777">
            <w:pPr>
              <w:rPr>
                <w:rFonts w:cstheme="minorHAnsi"/>
                <w:sz w:val="20"/>
                <w:szCs w:val="20"/>
              </w:rPr>
            </w:pPr>
            <w:r w:rsidRPr="006807BC">
              <w:rPr>
                <w:rFonts w:cstheme="minorHAnsi"/>
                <w:sz w:val="20"/>
                <w:szCs w:val="20"/>
              </w:rPr>
              <w:t>Protest to Joint May LGP AL</w:t>
            </w:r>
          </w:p>
        </w:tc>
        <w:tc>
          <w:tcPr>
            <w:tcW w:w="5400" w:type="dxa"/>
          </w:tcPr>
          <w:p w:rsidRPr="006807BC" w:rsidR="006807BC" w:rsidP="00C9613A" w:rsidRDefault="006807BC" w14:paraId="38685A76" w14:textId="77777777">
            <w:pPr>
              <w:rPr>
                <w:rFonts w:cstheme="minorHAnsi"/>
                <w:sz w:val="20"/>
                <w:szCs w:val="20"/>
              </w:rPr>
            </w:pPr>
            <w:r w:rsidRPr="006807BC">
              <w:rPr>
                <w:rFonts w:cstheme="minorHAnsi"/>
                <w:sz w:val="20"/>
                <w:szCs w:val="20"/>
              </w:rPr>
              <w:t>Submitted by Cal Advocates</w:t>
            </w:r>
          </w:p>
        </w:tc>
      </w:tr>
      <w:tr w:rsidRPr="006807BC" w:rsidR="006807BC" w:rsidTr="00C37577" w14:paraId="390D580B" w14:textId="77777777">
        <w:tc>
          <w:tcPr>
            <w:tcW w:w="1980" w:type="dxa"/>
          </w:tcPr>
          <w:p w:rsidRPr="006807BC" w:rsidR="006807BC" w:rsidP="00C9613A" w:rsidRDefault="006807BC" w14:paraId="751862B8" w14:textId="77777777">
            <w:pPr>
              <w:rPr>
                <w:rFonts w:cstheme="minorHAnsi"/>
                <w:sz w:val="20"/>
                <w:szCs w:val="20"/>
              </w:rPr>
            </w:pPr>
            <w:r w:rsidRPr="006807BC">
              <w:rPr>
                <w:rFonts w:cstheme="minorHAnsi"/>
                <w:sz w:val="20"/>
                <w:szCs w:val="20"/>
              </w:rPr>
              <w:t>May 30, 2023</w:t>
            </w:r>
          </w:p>
        </w:tc>
        <w:tc>
          <w:tcPr>
            <w:tcW w:w="1980" w:type="dxa"/>
          </w:tcPr>
          <w:p w:rsidRPr="006807BC" w:rsidR="006807BC" w:rsidP="00C9613A" w:rsidRDefault="006807BC" w14:paraId="43902C72" w14:textId="77777777">
            <w:pPr>
              <w:rPr>
                <w:rFonts w:cstheme="minorHAnsi"/>
                <w:sz w:val="20"/>
                <w:szCs w:val="20"/>
              </w:rPr>
            </w:pPr>
            <w:r w:rsidRPr="006807BC">
              <w:rPr>
                <w:rFonts w:cstheme="minorHAnsi"/>
                <w:sz w:val="20"/>
                <w:szCs w:val="20"/>
              </w:rPr>
              <w:t>Re</w:t>
            </w:r>
            <w:r w:rsidR="00F8224E">
              <w:rPr>
                <w:rFonts w:cstheme="minorHAnsi"/>
                <w:sz w:val="20"/>
                <w:szCs w:val="20"/>
              </w:rPr>
              <w:t>ply</w:t>
            </w:r>
            <w:r w:rsidRPr="006807BC">
              <w:rPr>
                <w:rFonts w:cstheme="minorHAnsi"/>
                <w:sz w:val="20"/>
                <w:szCs w:val="20"/>
              </w:rPr>
              <w:t xml:space="preserve"> to protest</w:t>
            </w:r>
          </w:p>
        </w:tc>
        <w:tc>
          <w:tcPr>
            <w:tcW w:w="5400" w:type="dxa"/>
          </w:tcPr>
          <w:p w:rsidRPr="006807BC" w:rsidR="006807BC" w:rsidP="00C9613A" w:rsidRDefault="006807BC" w14:paraId="0D05F825" w14:textId="77777777">
            <w:pPr>
              <w:rPr>
                <w:rFonts w:cstheme="minorHAnsi"/>
                <w:sz w:val="20"/>
                <w:szCs w:val="20"/>
              </w:rPr>
            </w:pPr>
            <w:r w:rsidRPr="006807BC">
              <w:rPr>
                <w:rFonts w:cstheme="minorHAnsi"/>
                <w:sz w:val="20"/>
                <w:szCs w:val="20"/>
              </w:rPr>
              <w:t>Large IOUs’ re</w:t>
            </w:r>
            <w:r w:rsidR="00F8224E">
              <w:rPr>
                <w:rFonts w:cstheme="minorHAnsi"/>
                <w:sz w:val="20"/>
                <w:szCs w:val="20"/>
              </w:rPr>
              <w:t xml:space="preserve">ply </w:t>
            </w:r>
            <w:r w:rsidRPr="006807BC">
              <w:rPr>
                <w:rFonts w:cstheme="minorHAnsi"/>
                <w:sz w:val="20"/>
                <w:szCs w:val="20"/>
              </w:rPr>
              <w:t>to May 22, 2023 protest by Cal Advocates</w:t>
            </w:r>
          </w:p>
        </w:tc>
      </w:tr>
      <w:tr w:rsidRPr="006807BC" w:rsidR="006807BC" w:rsidTr="00C37577" w14:paraId="507D7016" w14:textId="77777777">
        <w:tc>
          <w:tcPr>
            <w:tcW w:w="1980" w:type="dxa"/>
          </w:tcPr>
          <w:p w:rsidRPr="006807BC" w:rsidR="006807BC" w:rsidP="00C9613A" w:rsidRDefault="006807BC" w14:paraId="4FF7651A" w14:textId="77777777">
            <w:pPr>
              <w:rPr>
                <w:rFonts w:cstheme="minorHAnsi"/>
                <w:sz w:val="20"/>
                <w:szCs w:val="20"/>
              </w:rPr>
            </w:pPr>
            <w:r w:rsidRPr="006807BC">
              <w:rPr>
                <w:rFonts w:cstheme="minorHAnsi"/>
                <w:sz w:val="20"/>
                <w:szCs w:val="20"/>
              </w:rPr>
              <w:t>June 5, 2023</w:t>
            </w:r>
          </w:p>
        </w:tc>
        <w:tc>
          <w:tcPr>
            <w:tcW w:w="1980" w:type="dxa"/>
          </w:tcPr>
          <w:p w:rsidRPr="006807BC" w:rsidR="006807BC" w:rsidP="00C9613A" w:rsidRDefault="006807BC" w14:paraId="60EE7EBE" w14:textId="77777777">
            <w:pPr>
              <w:rPr>
                <w:rFonts w:cstheme="minorHAnsi"/>
                <w:sz w:val="20"/>
                <w:szCs w:val="20"/>
              </w:rPr>
            </w:pPr>
            <w:r w:rsidRPr="006807BC">
              <w:rPr>
                <w:rFonts w:cstheme="minorHAnsi"/>
                <w:sz w:val="20"/>
                <w:szCs w:val="20"/>
              </w:rPr>
              <w:t>Protest to Joint May LGP AL</w:t>
            </w:r>
          </w:p>
        </w:tc>
        <w:tc>
          <w:tcPr>
            <w:tcW w:w="5400" w:type="dxa"/>
          </w:tcPr>
          <w:p w:rsidRPr="006807BC" w:rsidR="006807BC" w:rsidP="00C9613A" w:rsidRDefault="006807BC" w14:paraId="3881393B" w14:textId="77777777">
            <w:pPr>
              <w:rPr>
                <w:rFonts w:cstheme="minorHAnsi"/>
                <w:sz w:val="20"/>
                <w:szCs w:val="20"/>
              </w:rPr>
            </w:pPr>
            <w:r w:rsidRPr="006807BC">
              <w:rPr>
                <w:rFonts w:cstheme="minorHAnsi"/>
                <w:sz w:val="20"/>
                <w:szCs w:val="20"/>
              </w:rPr>
              <w:t>Submitted by IREC (accepted late)</w:t>
            </w:r>
          </w:p>
        </w:tc>
      </w:tr>
      <w:tr w:rsidRPr="006807BC" w:rsidR="006807BC" w:rsidTr="00C37577" w14:paraId="2AE92D30" w14:textId="77777777">
        <w:tc>
          <w:tcPr>
            <w:tcW w:w="1980" w:type="dxa"/>
          </w:tcPr>
          <w:p w:rsidRPr="006807BC" w:rsidR="006807BC" w:rsidP="00C9613A" w:rsidRDefault="006807BC" w14:paraId="7741EC28" w14:textId="77777777">
            <w:pPr>
              <w:rPr>
                <w:rFonts w:cstheme="minorHAnsi"/>
                <w:sz w:val="20"/>
                <w:szCs w:val="20"/>
              </w:rPr>
            </w:pPr>
            <w:r w:rsidRPr="006807BC">
              <w:rPr>
                <w:rFonts w:cstheme="minorHAnsi"/>
                <w:sz w:val="20"/>
                <w:szCs w:val="20"/>
              </w:rPr>
              <w:t>June 23, 2023</w:t>
            </w:r>
          </w:p>
        </w:tc>
        <w:tc>
          <w:tcPr>
            <w:tcW w:w="1980" w:type="dxa"/>
          </w:tcPr>
          <w:p w:rsidRPr="006807BC" w:rsidR="006807BC" w:rsidP="00C9613A" w:rsidRDefault="006807BC" w14:paraId="370DB783" w14:textId="77777777">
            <w:pPr>
              <w:rPr>
                <w:rFonts w:cstheme="minorHAnsi"/>
                <w:sz w:val="20"/>
                <w:szCs w:val="20"/>
              </w:rPr>
            </w:pPr>
            <w:r w:rsidRPr="006807BC">
              <w:rPr>
                <w:rFonts w:cstheme="minorHAnsi"/>
                <w:sz w:val="20"/>
                <w:szCs w:val="20"/>
              </w:rPr>
              <w:t>Re</w:t>
            </w:r>
            <w:r w:rsidR="00F8224E">
              <w:rPr>
                <w:rFonts w:cstheme="minorHAnsi"/>
                <w:sz w:val="20"/>
                <w:szCs w:val="20"/>
              </w:rPr>
              <w:t>ply</w:t>
            </w:r>
            <w:r w:rsidRPr="006807BC">
              <w:rPr>
                <w:rFonts w:cstheme="minorHAnsi"/>
                <w:sz w:val="20"/>
                <w:szCs w:val="20"/>
              </w:rPr>
              <w:t xml:space="preserve"> to protest</w:t>
            </w:r>
          </w:p>
        </w:tc>
        <w:tc>
          <w:tcPr>
            <w:tcW w:w="5400" w:type="dxa"/>
          </w:tcPr>
          <w:p w:rsidRPr="006807BC" w:rsidR="006807BC" w:rsidP="00C9613A" w:rsidRDefault="006807BC" w14:paraId="2445F588" w14:textId="77777777">
            <w:pPr>
              <w:rPr>
                <w:rFonts w:cstheme="minorHAnsi"/>
                <w:sz w:val="20"/>
                <w:szCs w:val="20"/>
              </w:rPr>
            </w:pPr>
            <w:r w:rsidRPr="006807BC">
              <w:rPr>
                <w:rFonts w:cstheme="minorHAnsi"/>
                <w:sz w:val="20"/>
                <w:szCs w:val="20"/>
              </w:rPr>
              <w:t>Large IOUs’ re</w:t>
            </w:r>
            <w:r w:rsidR="00F8224E">
              <w:rPr>
                <w:rFonts w:cstheme="minorHAnsi"/>
                <w:sz w:val="20"/>
                <w:szCs w:val="20"/>
              </w:rPr>
              <w:t>ply</w:t>
            </w:r>
            <w:r w:rsidRPr="006807BC">
              <w:rPr>
                <w:rFonts w:cstheme="minorHAnsi"/>
                <w:sz w:val="20"/>
                <w:szCs w:val="20"/>
              </w:rPr>
              <w:t xml:space="preserve"> to June 5, 2023 protest by IREC</w:t>
            </w:r>
          </w:p>
        </w:tc>
      </w:tr>
      <w:tr w:rsidRPr="006807BC" w:rsidR="006807BC" w:rsidTr="00C37577" w14:paraId="5B12BDF6" w14:textId="77777777">
        <w:tc>
          <w:tcPr>
            <w:tcW w:w="1980" w:type="dxa"/>
          </w:tcPr>
          <w:p w:rsidRPr="006807BC" w:rsidR="006807BC" w:rsidP="00C9613A" w:rsidRDefault="006807BC" w14:paraId="4E77488D" w14:textId="77777777">
            <w:pPr>
              <w:rPr>
                <w:rFonts w:cstheme="minorHAnsi"/>
                <w:sz w:val="20"/>
                <w:szCs w:val="20"/>
              </w:rPr>
            </w:pPr>
            <w:r w:rsidRPr="006807BC">
              <w:rPr>
                <w:rFonts w:cstheme="minorHAnsi"/>
                <w:sz w:val="20"/>
                <w:szCs w:val="20"/>
              </w:rPr>
              <w:t>June 27, 2023</w:t>
            </w:r>
          </w:p>
        </w:tc>
        <w:tc>
          <w:tcPr>
            <w:tcW w:w="1980" w:type="dxa"/>
          </w:tcPr>
          <w:p w:rsidRPr="006807BC" w:rsidR="006807BC" w:rsidP="00C9613A" w:rsidRDefault="006807BC" w14:paraId="51273951" w14:textId="77777777">
            <w:pPr>
              <w:rPr>
                <w:rFonts w:cstheme="minorHAnsi"/>
                <w:sz w:val="20"/>
                <w:szCs w:val="20"/>
              </w:rPr>
            </w:pPr>
            <w:r w:rsidRPr="006807BC">
              <w:rPr>
                <w:rFonts w:cstheme="minorHAnsi"/>
                <w:sz w:val="20"/>
                <w:szCs w:val="20"/>
              </w:rPr>
              <w:t>Energy Division Data Request</w:t>
            </w:r>
          </w:p>
        </w:tc>
        <w:tc>
          <w:tcPr>
            <w:tcW w:w="5400" w:type="dxa"/>
          </w:tcPr>
          <w:p w:rsidRPr="006807BC" w:rsidR="006807BC" w:rsidP="00C9613A" w:rsidRDefault="00F8224E" w14:paraId="68CEA813" w14:textId="77777777">
            <w:pPr>
              <w:rPr>
                <w:rFonts w:cstheme="minorHAnsi"/>
                <w:sz w:val="20"/>
                <w:szCs w:val="20"/>
              </w:rPr>
            </w:pPr>
            <w:r>
              <w:rPr>
                <w:rFonts w:cstheme="minorHAnsi"/>
                <w:sz w:val="20"/>
                <w:szCs w:val="20"/>
              </w:rPr>
              <w:t xml:space="preserve">Energy Division </w:t>
            </w:r>
            <w:r w:rsidRPr="006807BC" w:rsidR="006807BC">
              <w:rPr>
                <w:rFonts w:cstheme="minorHAnsi"/>
                <w:sz w:val="20"/>
                <w:szCs w:val="20"/>
              </w:rPr>
              <w:t>request</w:t>
            </w:r>
            <w:r>
              <w:rPr>
                <w:rFonts w:cstheme="minorHAnsi"/>
                <w:sz w:val="20"/>
                <w:szCs w:val="20"/>
              </w:rPr>
              <w:t xml:space="preserve"> asking the Large IOUs to provide analysis and data related to granularity of LGP values</w:t>
            </w:r>
          </w:p>
        </w:tc>
      </w:tr>
      <w:tr w:rsidRPr="006807BC" w:rsidR="006807BC" w:rsidTr="00C37577" w14:paraId="278562AF" w14:textId="77777777">
        <w:tc>
          <w:tcPr>
            <w:tcW w:w="1980" w:type="dxa"/>
          </w:tcPr>
          <w:p w:rsidRPr="006807BC" w:rsidR="006807BC" w:rsidP="00C9613A" w:rsidRDefault="006807BC" w14:paraId="790E7722" w14:textId="77777777">
            <w:pPr>
              <w:rPr>
                <w:rFonts w:cstheme="minorHAnsi"/>
                <w:sz w:val="20"/>
                <w:szCs w:val="20"/>
              </w:rPr>
            </w:pPr>
            <w:r w:rsidRPr="006807BC">
              <w:rPr>
                <w:rFonts w:cstheme="minorHAnsi"/>
                <w:sz w:val="20"/>
                <w:szCs w:val="20"/>
              </w:rPr>
              <w:t>July 21, 2023</w:t>
            </w:r>
          </w:p>
        </w:tc>
        <w:tc>
          <w:tcPr>
            <w:tcW w:w="1980" w:type="dxa"/>
          </w:tcPr>
          <w:p w:rsidRPr="006807BC" w:rsidR="006807BC" w:rsidP="00C9613A" w:rsidRDefault="006807BC" w14:paraId="3AFD3B5A" w14:textId="77777777">
            <w:pPr>
              <w:rPr>
                <w:rFonts w:cstheme="minorHAnsi"/>
                <w:sz w:val="20"/>
                <w:szCs w:val="20"/>
              </w:rPr>
            </w:pPr>
            <w:r w:rsidRPr="006807BC">
              <w:rPr>
                <w:rFonts w:cstheme="minorHAnsi"/>
                <w:sz w:val="20"/>
                <w:szCs w:val="20"/>
              </w:rPr>
              <w:t>Energy Division Data Request</w:t>
            </w:r>
          </w:p>
        </w:tc>
        <w:tc>
          <w:tcPr>
            <w:tcW w:w="5400" w:type="dxa"/>
          </w:tcPr>
          <w:p w:rsidRPr="006807BC" w:rsidR="006807BC" w:rsidP="00C9613A" w:rsidRDefault="006807BC" w14:paraId="1FDACA08" w14:textId="77777777">
            <w:pPr>
              <w:rPr>
                <w:rFonts w:cstheme="minorHAnsi"/>
                <w:sz w:val="20"/>
                <w:szCs w:val="20"/>
              </w:rPr>
            </w:pPr>
            <w:r w:rsidRPr="006807BC">
              <w:rPr>
                <w:rFonts w:cstheme="minorHAnsi"/>
                <w:sz w:val="20"/>
                <w:szCs w:val="20"/>
              </w:rPr>
              <w:t>Update #1</w:t>
            </w:r>
            <w:r w:rsidR="00F8224E">
              <w:rPr>
                <w:rFonts w:cstheme="minorHAnsi"/>
                <w:sz w:val="20"/>
                <w:szCs w:val="20"/>
              </w:rPr>
              <w:t xml:space="preserve"> of Data Request</w:t>
            </w:r>
          </w:p>
        </w:tc>
      </w:tr>
      <w:tr w:rsidRPr="006807BC" w:rsidR="006807BC" w:rsidTr="00C37577" w14:paraId="080B1F3A" w14:textId="77777777">
        <w:tc>
          <w:tcPr>
            <w:tcW w:w="1980" w:type="dxa"/>
          </w:tcPr>
          <w:p w:rsidRPr="006807BC" w:rsidR="006807BC" w:rsidP="00C9613A" w:rsidRDefault="006807BC" w14:paraId="43279BE1" w14:textId="77777777">
            <w:pPr>
              <w:rPr>
                <w:rFonts w:cstheme="minorHAnsi"/>
                <w:sz w:val="20"/>
                <w:szCs w:val="20"/>
              </w:rPr>
            </w:pPr>
            <w:r w:rsidRPr="006807BC">
              <w:rPr>
                <w:rFonts w:cstheme="minorHAnsi"/>
                <w:sz w:val="20"/>
                <w:szCs w:val="20"/>
              </w:rPr>
              <w:t>August 14, 2023</w:t>
            </w:r>
          </w:p>
        </w:tc>
        <w:tc>
          <w:tcPr>
            <w:tcW w:w="1980" w:type="dxa"/>
          </w:tcPr>
          <w:p w:rsidRPr="006807BC" w:rsidR="006807BC" w:rsidP="00C9613A" w:rsidRDefault="006807BC" w14:paraId="6193EB71" w14:textId="77777777">
            <w:pPr>
              <w:rPr>
                <w:rFonts w:cstheme="minorHAnsi"/>
                <w:sz w:val="20"/>
                <w:szCs w:val="20"/>
              </w:rPr>
            </w:pPr>
            <w:r w:rsidRPr="006807BC">
              <w:rPr>
                <w:rFonts w:cstheme="minorHAnsi"/>
                <w:sz w:val="20"/>
                <w:szCs w:val="20"/>
              </w:rPr>
              <w:t>Energy Division Data Request</w:t>
            </w:r>
          </w:p>
        </w:tc>
        <w:tc>
          <w:tcPr>
            <w:tcW w:w="5400" w:type="dxa"/>
          </w:tcPr>
          <w:p w:rsidRPr="006807BC" w:rsidR="006807BC" w:rsidP="00C9613A" w:rsidRDefault="006807BC" w14:paraId="02BC2CB0" w14:textId="77777777">
            <w:pPr>
              <w:rPr>
                <w:rFonts w:cstheme="minorHAnsi"/>
                <w:sz w:val="20"/>
                <w:szCs w:val="20"/>
              </w:rPr>
            </w:pPr>
            <w:r w:rsidRPr="006807BC">
              <w:rPr>
                <w:rFonts w:cstheme="minorHAnsi"/>
                <w:sz w:val="20"/>
                <w:szCs w:val="20"/>
              </w:rPr>
              <w:t>Update #2</w:t>
            </w:r>
            <w:r w:rsidR="00F8224E">
              <w:rPr>
                <w:rFonts w:cstheme="minorHAnsi"/>
                <w:sz w:val="20"/>
                <w:szCs w:val="20"/>
              </w:rPr>
              <w:t xml:space="preserve"> of Data Request</w:t>
            </w:r>
          </w:p>
        </w:tc>
      </w:tr>
      <w:tr w:rsidRPr="006807BC" w:rsidR="006807BC" w:rsidTr="00C37577" w14:paraId="5E099850" w14:textId="77777777">
        <w:tc>
          <w:tcPr>
            <w:tcW w:w="1980" w:type="dxa"/>
          </w:tcPr>
          <w:p w:rsidRPr="006807BC" w:rsidR="006807BC" w:rsidP="00C9613A" w:rsidRDefault="006807BC" w14:paraId="2DB9ABE5" w14:textId="77777777">
            <w:pPr>
              <w:rPr>
                <w:rFonts w:cstheme="minorHAnsi"/>
                <w:sz w:val="20"/>
                <w:szCs w:val="20"/>
              </w:rPr>
            </w:pPr>
            <w:r w:rsidRPr="006807BC">
              <w:rPr>
                <w:rFonts w:cstheme="minorHAnsi"/>
                <w:sz w:val="20"/>
                <w:szCs w:val="20"/>
              </w:rPr>
              <w:t>August 31, 2023</w:t>
            </w:r>
          </w:p>
        </w:tc>
        <w:tc>
          <w:tcPr>
            <w:tcW w:w="1980" w:type="dxa"/>
          </w:tcPr>
          <w:p w:rsidRPr="007E6950" w:rsidR="006807BC" w:rsidP="00C9613A" w:rsidRDefault="006807BC" w14:paraId="47044706" w14:textId="77777777">
            <w:pPr>
              <w:rPr>
                <w:rFonts w:cstheme="minorHAnsi"/>
                <w:sz w:val="20"/>
                <w:szCs w:val="20"/>
                <w:lang w:val="pt-BR"/>
              </w:rPr>
            </w:pPr>
            <w:r w:rsidRPr="007E6950">
              <w:rPr>
                <w:rFonts w:cstheme="minorHAnsi"/>
                <w:sz w:val="20"/>
                <w:szCs w:val="20"/>
                <w:lang w:val="pt-BR"/>
              </w:rPr>
              <w:t>PG&amp;E AL 6929-E-A SCE AL 5025-E-A</w:t>
            </w:r>
          </w:p>
        </w:tc>
        <w:tc>
          <w:tcPr>
            <w:tcW w:w="5400" w:type="dxa"/>
          </w:tcPr>
          <w:p w:rsidRPr="006807BC" w:rsidR="006807BC" w:rsidP="00C9613A" w:rsidRDefault="006807BC" w14:paraId="0A258FC8" w14:textId="77777777">
            <w:pPr>
              <w:rPr>
                <w:rFonts w:cstheme="minorHAnsi"/>
                <w:sz w:val="20"/>
                <w:szCs w:val="20"/>
              </w:rPr>
            </w:pPr>
            <w:r w:rsidRPr="006807BC">
              <w:rPr>
                <w:rFonts w:cstheme="minorHAnsi"/>
                <w:sz w:val="20"/>
                <w:szCs w:val="20"/>
              </w:rPr>
              <w:t>Collectively called Supplement to the Joint May LGP AL</w:t>
            </w:r>
            <w:r w:rsidR="00B6759B">
              <w:rPr>
                <w:rFonts w:cstheme="minorHAnsi"/>
                <w:sz w:val="20"/>
                <w:szCs w:val="20"/>
              </w:rPr>
              <w:t>s</w:t>
            </w:r>
            <w:r w:rsidRPr="006807BC">
              <w:rPr>
                <w:rFonts w:cstheme="minorHAnsi"/>
                <w:sz w:val="20"/>
                <w:szCs w:val="20"/>
              </w:rPr>
              <w:t xml:space="preserve">; response to </w:t>
            </w:r>
            <w:r w:rsidR="00E26DBC">
              <w:rPr>
                <w:rFonts w:cstheme="minorHAnsi"/>
                <w:sz w:val="20"/>
                <w:szCs w:val="20"/>
              </w:rPr>
              <w:t xml:space="preserve">original </w:t>
            </w:r>
            <w:r w:rsidRPr="006807BC">
              <w:rPr>
                <w:rFonts w:cstheme="minorHAnsi"/>
                <w:sz w:val="20"/>
                <w:szCs w:val="20"/>
              </w:rPr>
              <w:t>Energy Division Data Request and Updates #1 and #2</w:t>
            </w:r>
          </w:p>
        </w:tc>
      </w:tr>
      <w:tr w:rsidRPr="006807BC" w:rsidR="006807BC" w:rsidTr="00C37577" w14:paraId="0F4958F5" w14:textId="77777777">
        <w:tc>
          <w:tcPr>
            <w:tcW w:w="1980" w:type="dxa"/>
          </w:tcPr>
          <w:p w:rsidRPr="006807BC" w:rsidR="006807BC" w:rsidP="00C9613A" w:rsidRDefault="006807BC" w14:paraId="312518CB" w14:textId="77777777">
            <w:pPr>
              <w:rPr>
                <w:rFonts w:cstheme="minorHAnsi"/>
                <w:sz w:val="20"/>
                <w:szCs w:val="20"/>
              </w:rPr>
            </w:pPr>
            <w:r w:rsidRPr="006807BC">
              <w:rPr>
                <w:rFonts w:cstheme="minorHAnsi"/>
                <w:sz w:val="20"/>
                <w:szCs w:val="20"/>
              </w:rPr>
              <w:t>September 20, 2023</w:t>
            </w:r>
          </w:p>
        </w:tc>
        <w:tc>
          <w:tcPr>
            <w:tcW w:w="1980" w:type="dxa"/>
          </w:tcPr>
          <w:p w:rsidRPr="006807BC" w:rsidR="006807BC" w:rsidP="00C9613A" w:rsidRDefault="006807BC" w14:paraId="7734F484" w14:textId="77777777">
            <w:pPr>
              <w:rPr>
                <w:rFonts w:cstheme="minorHAnsi"/>
                <w:sz w:val="20"/>
                <w:szCs w:val="20"/>
              </w:rPr>
            </w:pPr>
            <w:r w:rsidRPr="006807BC">
              <w:rPr>
                <w:rFonts w:cstheme="minorHAnsi"/>
                <w:sz w:val="20"/>
                <w:szCs w:val="20"/>
              </w:rPr>
              <w:t>Energy Division Data Request</w:t>
            </w:r>
          </w:p>
        </w:tc>
        <w:tc>
          <w:tcPr>
            <w:tcW w:w="5400" w:type="dxa"/>
          </w:tcPr>
          <w:p w:rsidRPr="006807BC" w:rsidR="006807BC" w:rsidP="00C9613A" w:rsidRDefault="006807BC" w14:paraId="459564D0" w14:textId="77777777">
            <w:pPr>
              <w:rPr>
                <w:rFonts w:cstheme="minorHAnsi"/>
                <w:sz w:val="20"/>
                <w:szCs w:val="20"/>
              </w:rPr>
            </w:pPr>
            <w:r w:rsidRPr="006807BC">
              <w:rPr>
                <w:rFonts w:cstheme="minorHAnsi"/>
                <w:sz w:val="20"/>
                <w:szCs w:val="20"/>
              </w:rPr>
              <w:t>Update #3</w:t>
            </w:r>
            <w:r w:rsidR="00F8224E">
              <w:rPr>
                <w:rFonts w:cstheme="minorHAnsi"/>
                <w:sz w:val="20"/>
                <w:szCs w:val="20"/>
              </w:rPr>
              <w:t xml:space="preserve"> of Data Request</w:t>
            </w:r>
          </w:p>
        </w:tc>
      </w:tr>
      <w:tr w:rsidRPr="006807BC" w:rsidR="006807BC" w:rsidTr="00C37577" w14:paraId="7EC9B092" w14:textId="77777777">
        <w:tc>
          <w:tcPr>
            <w:tcW w:w="1980" w:type="dxa"/>
          </w:tcPr>
          <w:p w:rsidRPr="006807BC" w:rsidR="006807BC" w:rsidP="00C9613A" w:rsidRDefault="006807BC" w14:paraId="0BE656DF" w14:textId="77777777">
            <w:pPr>
              <w:rPr>
                <w:rFonts w:cstheme="minorHAnsi"/>
                <w:sz w:val="20"/>
                <w:szCs w:val="20"/>
              </w:rPr>
            </w:pPr>
            <w:r w:rsidRPr="006807BC">
              <w:rPr>
                <w:rFonts w:cstheme="minorHAnsi"/>
                <w:sz w:val="20"/>
                <w:szCs w:val="20"/>
              </w:rPr>
              <w:t>September 26, 2023</w:t>
            </w:r>
          </w:p>
        </w:tc>
        <w:tc>
          <w:tcPr>
            <w:tcW w:w="1980" w:type="dxa"/>
          </w:tcPr>
          <w:p w:rsidRPr="006807BC" w:rsidR="006807BC" w:rsidP="00C9613A" w:rsidRDefault="006807BC" w14:paraId="1E9F4E67" w14:textId="77777777">
            <w:pPr>
              <w:rPr>
                <w:rFonts w:cstheme="minorHAnsi"/>
                <w:sz w:val="20"/>
                <w:szCs w:val="20"/>
              </w:rPr>
            </w:pPr>
            <w:r w:rsidRPr="006807BC">
              <w:rPr>
                <w:rFonts w:cstheme="minorHAnsi"/>
                <w:sz w:val="20"/>
                <w:szCs w:val="20"/>
              </w:rPr>
              <w:t>SCE AL 5025-E-B</w:t>
            </w:r>
          </w:p>
        </w:tc>
        <w:tc>
          <w:tcPr>
            <w:tcW w:w="5400" w:type="dxa"/>
          </w:tcPr>
          <w:p w:rsidRPr="006807BC" w:rsidR="006807BC" w:rsidP="00C9613A" w:rsidRDefault="006807BC" w14:paraId="608F9165" w14:textId="77777777">
            <w:pPr>
              <w:rPr>
                <w:rFonts w:cstheme="minorHAnsi"/>
                <w:sz w:val="20"/>
                <w:szCs w:val="20"/>
              </w:rPr>
            </w:pPr>
            <w:r w:rsidRPr="006807BC">
              <w:rPr>
                <w:rFonts w:cstheme="minorHAnsi"/>
                <w:sz w:val="20"/>
                <w:szCs w:val="20"/>
              </w:rPr>
              <w:t>Replaces SCE AL 5025-E-A in entirety</w:t>
            </w:r>
          </w:p>
        </w:tc>
      </w:tr>
      <w:tr w:rsidRPr="006807BC" w:rsidR="006807BC" w:rsidTr="00C37577" w14:paraId="6A3C836A" w14:textId="77777777">
        <w:tc>
          <w:tcPr>
            <w:tcW w:w="1980" w:type="dxa"/>
          </w:tcPr>
          <w:p w:rsidRPr="006807BC" w:rsidR="006807BC" w:rsidP="00C9613A" w:rsidRDefault="006807BC" w14:paraId="1A87CBED" w14:textId="77777777">
            <w:pPr>
              <w:rPr>
                <w:rFonts w:cstheme="minorHAnsi"/>
                <w:sz w:val="20"/>
                <w:szCs w:val="20"/>
              </w:rPr>
            </w:pPr>
            <w:r w:rsidRPr="006807BC">
              <w:rPr>
                <w:rFonts w:cstheme="minorHAnsi"/>
                <w:sz w:val="20"/>
                <w:szCs w:val="20"/>
              </w:rPr>
              <w:t>September 26, 2023</w:t>
            </w:r>
          </w:p>
        </w:tc>
        <w:tc>
          <w:tcPr>
            <w:tcW w:w="1980" w:type="dxa"/>
          </w:tcPr>
          <w:p w:rsidRPr="006807BC" w:rsidR="006807BC" w:rsidP="00C9613A" w:rsidRDefault="006807BC" w14:paraId="66A6F260" w14:textId="77777777">
            <w:pPr>
              <w:rPr>
                <w:rFonts w:cstheme="minorHAnsi"/>
                <w:sz w:val="20"/>
                <w:szCs w:val="20"/>
              </w:rPr>
            </w:pPr>
            <w:r w:rsidRPr="006807BC">
              <w:rPr>
                <w:rFonts w:cstheme="minorHAnsi"/>
                <w:sz w:val="20"/>
                <w:szCs w:val="20"/>
              </w:rPr>
              <w:t>Response to data request</w:t>
            </w:r>
          </w:p>
        </w:tc>
        <w:tc>
          <w:tcPr>
            <w:tcW w:w="5400" w:type="dxa"/>
          </w:tcPr>
          <w:p w:rsidRPr="006807BC" w:rsidR="006807BC" w:rsidP="00C9613A" w:rsidRDefault="006807BC" w14:paraId="2DAD3E51" w14:textId="77777777">
            <w:pPr>
              <w:rPr>
                <w:rFonts w:cstheme="minorHAnsi"/>
                <w:sz w:val="20"/>
                <w:szCs w:val="20"/>
              </w:rPr>
            </w:pPr>
            <w:r w:rsidRPr="006807BC">
              <w:rPr>
                <w:rFonts w:cstheme="minorHAnsi"/>
                <w:sz w:val="20"/>
                <w:szCs w:val="20"/>
              </w:rPr>
              <w:t>PG&amp;E and SCE responses to Energy Division Data Request Update #3</w:t>
            </w:r>
            <w:r w:rsidR="00E26DBC">
              <w:rPr>
                <w:rFonts w:cstheme="minorHAnsi"/>
                <w:sz w:val="20"/>
                <w:szCs w:val="20"/>
              </w:rPr>
              <w:t xml:space="preserve"> (provided in Appendices J and K)</w:t>
            </w:r>
          </w:p>
        </w:tc>
      </w:tr>
      <w:tr w:rsidRPr="006807BC" w:rsidR="006807BC" w:rsidTr="00C37577" w14:paraId="2C4D83F4" w14:textId="77777777">
        <w:tc>
          <w:tcPr>
            <w:tcW w:w="1980" w:type="dxa"/>
          </w:tcPr>
          <w:p w:rsidRPr="006807BC" w:rsidR="006807BC" w:rsidP="00C9613A" w:rsidRDefault="006807BC" w14:paraId="2E8A591E" w14:textId="77777777">
            <w:pPr>
              <w:rPr>
                <w:rFonts w:cstheme="minorHAnsi"/>
                <w:sz w:val="20"/>
                <w:szCs w:val="20"/>
              </w:rPr>
            </w:pPr>
            <w:r w:rsidRPr="006807BC">
              <w:rPr>
                <w:rFonts w:cstheme="minorHAnsi"/>
                <w:sz w:val="20"/>
                <w:szCs w:val="20"/>
              </w:rPr>
              <w:t>October 16, 2023</w:t>
            </w:r>
          </w:p>
        </w:tc>
        <w:tc>
          <w:tcPr>
            <w:tcW w:w="1980" w:type="dxa"/>
          </w:tcPr>
          <w:p w:rsidRPr="006807BC" w:rsidR="006807BC" w:rsidP="00C9613A" w:rsidRDefault="006807BC" w14:paraId="0C89A50D" w14:textId="77777777">
            <w:pPr>
              <w:rPr>
                <w:rFonts w:cstheme="minorHAnsi"/>
                <w:sz w:val="20"/>
                <w:szCs w:val="20"/>
              </w:rPr>
            </w:pPr>
            <w:r w:rsidRPr="006807BC">
              <w:rPr>
                <w:rFonts w:cstheme="minorHAnsi"/>
                <w:sz w:val="20"/>
                <w:szCs w:val="20"/>
              </w:rPr>
              <w:t>Response</w:t>
            </w:r>
          </w:p>
        </w:tc>
        <w:tc>
          <w:tcPr>
            <w:tcW w:w="5400" w:type="dxa"/>
          </w:tcPr>
          <w:p w:rsidRPr="006807BC" w:rsidR="006807BC" w:rsidP="00C9613A" w:rsidRDefault="006807BC" w14:paraId="178D8C56" w14:textId="77777777">
            <w:pPr>
              <w:rPr>
                <w:rFonts w:cstheme="minorHAnsi"/>
                <w:sz w:val="20"/>
                <w:szCs w:val="20"/>
              </w:rPr>
            </w:pPr>
            <w:r w:rsidRPr="006807BC">
              <w:rPr>
                <w:rFonts w:cstheme="minorHAnsi"/>
                <w:sz w:val="20"/>
                <w:szCs w:val="20"/>
              </w:rPr>
              <w:t xml:space="preserve">Cal Advocates response to </w:t>
            </w:r>
            <w:r w:rsidR="00F009CB">
              <w:rPr>
                <w:rFonts w:cstheme="minorHAnsi"/>
                <w:sz w:val="20"/>
                <w:szCs w:val="20"/>
              </w:rPr>
              <w:t xml:space="preserve">August 31, 2023 Supplement to Joint May LGP </w:t>
            </w:r>
            <w:r w:rsidR="00B6759B">
              <w:rPr>
                <w:rFonts w:cstheme="minorHAnsi"/>
                <w:sz w:val="20"/>
                <w:szCs w:val="20"/>
              </w:rPr>
              <w:t xml:space="preserve">ALs </w:t>
            </w:r>
            <w:r w:rsidR="00F009CB">
              <w:rPr>
                <w:rFonts w:cstheme="minorHAnsi"/>
                <w:sz w:val="20"/>
                <w:szCs w:val="20"/>
              </w:rPr>
              <w:t xml:space="preserve">and </w:t>
            </w:r>
            <w:r w:rsidRPr="006807BC">
              <w:rPr>
                <w:rFonts w:cstheme="minorHAnsi"/>
                <w:sz w:val="20"/>
                <w:szCs w:val="20"/>
              </w:rPr>
              <w:t xml:space="preserve">September 26, 2023 </w:t>
            </w:r>
            <w:r w:rsidR="00B6759B">
              <w:rPr>
                <w:rFonts w:cstheme="minorHAnsi"/>
                <w:sz w:val="20"/>
                <w:szCs w:val="20"/>
              </w:rPr>
              <w:t>A</w:t>
            </w:r>
            <w:r w:rsidRPr="006807BC" w:rsidR="00F009CB">
              <w:rPr>
                <w:rFonts w:cstheme="minorHAnsi"/>
                <w:sz w:val="20"/>
                <w:szCs w:val="20"/>
              </w:rPr>
              <w:t>L 5025-E-</w:t>
            </w:r>
            <w:r w:rsidR="00F009CB">
              <w:rPr>
                <w:rFonts w:cstheme="minorHAnsi"/>
                <w:sz w:val="20"/>
                <w:szCs w:val="20"/>
              </w:rPr>
              <w:t>B</w:t>
            </w:r>
          </w:p>
        </w:tc>
      </w:tr>
    </w:tbl>
    <w:p w:rsidR="006807BC" w:rsidP="006807BC" w:rsidRDefault="006807BC" w14:paraId="34CBF0C6" w14:textId="77777777">
      <w:pPr>
        <w:pStyle w:val="Body"/>
        <w:rPr>
          <w:rFonts w:ascii="Palatino Linotype" w:hAnsi="Palatino Linotype" w:eastAsia="Palatino Linotype" w:cs="Palatino Linotype"/>
          <w:sz w:val="24"/>
          <w:szCs w:val="24"/>
        </w:rPr>
      </w:pPr>
    </w:p>
    <w:p w:rsidR="00484648" w:rsidP="00751CAA" w:rsidRDefault="00484648" w14:paraId="0EE09A33" w14:textId="77777777">
      <w:pPr>
        <w:pStyle w:val="Body"/>
        <w:keepNext/>
        <w:keepLines/>
        <w:numPr>
          <w:ilvl w:val="0"/>
          <w:numId w:val="8"/>
        </w:numPr>
        <w:rPr>
          <w:rFonts w:ascii="Palatino Linotype" w:hAnsi="Palatino Linotype" w:eastAsia="Palatino Linotype" w:cs="Palatino Linotype"/>
          <w:b/>
          <w:bCs/>
          <w:sz w:val="24"/>
          <w:szCs w:val="24"/>
        </w:rPr>
      </w:pPr>
      <w:r w:rsidRPr="00C20096">
        <w:rPr>
          <w:rFonts w:ascii="Palatino Linotype" w:hAnsi="Palatino Linotype" w:eastAsia="Palatino Linotype" w:cs="Palatino Linotype"/>
          <w:b/>
          <w:bCs/>
          <w:sz w:val="24"/>
          <w:szCs w:val="24"/>
        </w:rPr>
        <w:lastRenderedPageBreak/>
        <w:t>Rulemaking 17-07-007</w:t>
      </w:r>
    </w:p>
    <w:p w:rsidR="00857B0B" w:rsidP="00751CAA" w:rsidRDefault="00857B0B" w14:paraId="598847D4" w14:textId="77777777">
      <w:pPr>
        <w:pStyle w:val="Body"/>
        <w:keepNext/>
        <w:keepLines/>
        <w:rPr>
          <w:rFonts w:ascii="Palatino Linotype" w:hAnsi="Palatino Linotype" w:eastAsia="Palatino Linotype" w:cs="Palatino Linotype"/>
          <w:b/>
          <w:bCs/>
          <w:sz w:val="24"/>
          <w:szCs w:val="24"/>
        </w:rPr>
      </w:pPr>
      <w:r w:rsidRPr="00C20096">
        <w:rPr>
          <w:rFonts w:ascii="Palatino Linotype" w:hAnsi="Palatino Linotype" w:eastAsia="Palatino Linotype" w:cs="Palatino Linotype"/>
          <w:sz w:val="24"/>
          <w:szCs w:val="24"/>
        </w:rPr>
        <w:t xml:space="preserve">The California Public Utilities Commission (Commission) initiated Rulemaking </w:t>
      </w:r>
      <w:r w:rsidR="000671C1">
        <w:rPr>
          <w:rFonts w:ascii="Palatino Linotype" w:hAnsi="Palatino Linotype" w:eastAsia="Palatino Linotype" w:cs="Palatino Linotype"/>
          <w:sz w:val="24"/>
          <w:szCs w:val="24"/>
        </w:rPr>
        <w:br/>
      </w:r>
      <w:r w:rsidRPr="00C20096">
        <w:rPr>
          <w:rFonts w:ascii="Palatino Linotype" w:hAnsi="Palatino Linotype" w:eastAsia="Palatino Linotype" w:cs="Palatino Linotype"/>
          <w:sz w:val="24"/>
          <w:szCs w:val="24"/>
        </w:rPr>
        <w:t>(R.) 17-07-007 on July 13, 2017</w:t>
      </w:r>
      <w:r>
        <w:rPr>
          <w:rFonts w:ascii="Palatino Linotype" w:hAnsi="Palatino Linotype" w:eastAsia="Palatino Linotype" w:cs="Palatino Linotype"/>
          <w:sz w:val="24"/>
          <w:szCs w:val="24"/>
        </w:rPr>
        <w:t>,</w:t>
      </w:r>
      <w:r w:rsidRPr="00C20096">
        <w:rPr>
          <w:rFonts w:ascii="Palatino Linotype" w:hAnsi="Palatino Linotype" w:eastAsia="Palatino Linotype" w:cs="Palatino Linotype"/>
          <w:sz w:val="24"/>
          <w:szCs w:val="24"/>
        </w:rPr>
        <w:t xml:space="preserve"> to consider refinements and, if necessary, revise the rules and regulations governing the interconnection of generation, distributed energy resources (DERs) and storage facilities to the electric distribution systems of the Large IOUs. </w:t>
      </w:r>
      <w:r w:rsidR="00FA3097">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The Large IOUs’ rules and regulations pertaining to the interconnection of generating facilities are set forth in Electric Rule 21 Tariff (Rule 21).  As part of </w:t>
      </w:r>
      <w:r w:rsidR="00751CAA">
        <w:rPr>
          <w:rFonts w:ascii="Palatino Linotype" w:hAnsi="Palatino Linotype" w:eastAsia="Palatino Linotype" w:cs="Palatino Linotype"/>
          <w:sz w:val="24"/>
          <w:szCs w:val="24"/>
        </w:rPr>
        <w:br/>
      </w:r>
      <w:r w:rsidRPr="00C20096">
        <w:rPr>
          <w:rFonts w:ascii="Palatino Linotype" w:hAnsi="Palatino Linotype" w:eastAsia="Palatino Linotype" w:cs="Palatino Linotype"/>
          <w:sz w:val="24"/>
          <w:szCs w:val="24"/>
        </w:rPr>
        <w:t>R.17-07-007 the Large IOUs and other stakeholders participated in four working groups</w:t>
      </w:r>
      <w:r>
        <w:rPr>
          <w:rFonts w:ascii="Palatino Linotype" w:hAnsi="Palatino Linotype" w:eastAsia="Palatino Linotype" w:cs="Palatino Linotype"/>
          <w:sz w:val="24"/>
          <w:szCs w:val="24"/>
        </w:rPr>
        <w:t xml:space="preserve">, </w:t>
      </w:r>
      <w:r w:rsidR="002F167F">
        <w:rPr>
          <w:rFonts w:ascii="Palatino Linotype" w:hAnsi="Palatino Linotype" w:eastAsia="Palatino Linotype" w:cs="Palatino Linotype"/>
          <w:sz w:val="24"/>
          <w:szCs w:val="24"/>
        </w:rPr>
        <w:t xml:space="preserve">of which </w:t>
      </w:r>
      <w:r>
        <w:rPr>
          <w:rFonts w:ascii="Palatino Linotype" w:hAnsi="Palatino Linotype" w:eastAsia="Palatino Linotype" w:cs="Palatino Linotype"/>
          <w:sz w:val="24"/>
          <w:szCs w:val="24"/>
        </w:rPr>
        <w:t>Working Group Two</w:t>
      </w:r>
      <w:r w:rsidR="002F167F">
        <w:rPr>
          <w:rFonts w:ascii="Palatino Linotype" w:hAnsi="Palatino Linotype" w:eastAsia="Palatino Linotype" w:cs="Palatino Linotype"/>
          <w:sz w:val="24"/>
          <w:szCs w:val="24"/>
        </w:rPr>
        <w:t xml:space="preserve"> </w:t>
      </w:r>
      <w:r w:rsidR="004B411C">
        <w:rPr>
          <w:rFonts w:ascii="Palatino Linotype" w:hAnsi="Palatino Linotype" w:eastAsia="Palatino Linotype" w:cs="Palatino Linotype"/>
          <w:sz w:val="24"/>
          <w:szCs w:val="24"/>
        </w:rPr>
        <w:t>pertains</w:t>
      </w:r>
      <w:r w:rsidR="002F167F">
        <w:rPr>
          <w:rFonts w:ascii="Palatino Linotype" w:hAnsi="Palatino Linotype" w:eastAsia="Palatino Linotype" w:cs="Palatino Linotype"/>
          <w:sz w:val="24"/>
          <w:szCs w:val="24"/>
        </w:rPr>
        <w:t xml:space="preserve"> to this Resolution</w:t>
      </w:r>
      <w:r w:rsidRPr="00C20096">
        <w:rPr>
          <w:rFonts w:ascii="Palatino Linotype" w:hAnsi="Palatino Linotype" w:eastAsia="Palatino Linotype" w:cs="Palatino Linotype"/>
          <w:sz w:val="24"/>
          <w:szCs w:val="24"/>
        </w:rPr>
        <w:t xml:space="preserve">.  Proposals from </w:t>
      </w:r>
      <w:r>
        <w:rPr>
          <w:rFonts w:ascii="Palatino Linotype" w:hAnsi="Palatino Linotype" w:eastAsia="Palatino Linotype" w:cs="Palatino Linotype"/>
          <w:sz w:val="24"/>
          <w:szCs w:val="24"/>
        </w:rPr>
        <w:t>Working Group Two</w:t>
      </w:r>
      <w:r w:rsidRPr="00C20096">
        <w:rPr>
          <w:rFonts w:ascii="Palatino Linotype" w:hAnsi="Palatino Linotype" w:eastAsia="Palatino Linotype" w:cs="Palatino Linotype"/>
          <w:sz w:val="24"/>
          <w:szCs w:val="24"/>
        </w:rPr>
        <w:t xml:space="preserve"> included how to incorporate the Integration Capacity Analysis </w:t>
      </w:r>
      <w:r>
        <w:rPr>
          <w:rFonts w:ascii="Palatino Linotype" w:hAnsi="Palatino Linotype" w:eastAsia="Palatino Linotype" w:cs="Palatino Linotype"/>
          <w:sz w:val="24"/>
          <w:szCs w:val="24"/>
        </w:rPr>
        <w:t>(</w:t>
      </w:r>
      <w:r w:rsidRPr="00C20096">
        <w:rPr>
          <w:rFonts w:ascii="Palatino Linotype" w:hAnsi="Palatino Linotype" w:eastAsia="Palatino Linotype" w:cs="Palatino Linotype"/>
          <w:sz w:val="24"/>
          <w:szCs w:val="24"/>
        </w:rPr>
        <w:t>ICA</w:t>
      </w:r>
      <w:r>
        <w:rPr>
          <w:rFonts w:ascii="Palatino Linotype" w:hAnsi="Palatino Linotype" w:eastAsia="Palatino Linotype" w:cs="Palatino Linotype"/>
          <w:sz w:val="24"/>
          <w:szCs w:val="24"/>
        </w:rPr>
        <w:t>)</w:t>
      </w:r>
      <w:r w:rsidRPr="00C20096">
        <w:rPr>
          <w:rStyle w:val="FootnoteReference"/>
          <w:rFonts w:ascii="Palatino Linotype" w:hAnsi="Palatino Linotype" w:eastAsia="Palatino Linotype" w:cs="Palatino Linotype"/>
          <w:sz w:val="24"/>
          <w:szCs w:val="24"/>
        </w:rPr>
        <w:footnoteReference w:id="7"/>
      </w:r>
      <w:r w:rsidRPr="00C20096">
        <w:rPr>
          <w:rFonts w:ascii="Palatino Linotype" w:hAnsi="Palatino Linotype" w:eastAsia="Palatino Linotype" w:cs="Palatino Linotype"/>
          <w:sz w:val="24"/>
          <w:szCs w:val="24"/>
        </w:rPr>
        <w:t xml:space="preserve"> into Rule 21 and use Limited Generation Profiles (LGP)</w:t>
      </w:r>
      <w:r w:rsidRPr="00C20096">
        <w:rPr>
          <w:rStyle w:val="FootnoteReference"/>
          <w:rFonts w:ascii="Palatino Linotype" w:hAnsi="Palatino Linotype" w:eastAsia="Palatino Linotype" w:cs="Palatino Linotype"/>
          <w:sz w:val="24"/>
          <w:szCs w:val="24"/>
        </w:rPr>
        <w:footnoteReference w:id="8"/>
      </w:r>
      <w:r w:rsidRPr="00C20096">
        <w:rPr>
          <w:rFonts w:ascii="Palatino Linotype" w:hAnsi="Palatino Linotype" w:eastAsia="Palatino Linotype" w:cs="Palatino Linotype"/>
          <w:sz w:val="24"/>
          <w:szCs w:val="24"/>
        </w:rPr>
        <w:t xml:space="preserve"> </w:t>
      </w:r>
      <w:r w:rsidRPr="004D7D30" w:rsidR="004D7D30">
        <w:rPr>
          <w:rFonts w:ascii="Palatino Linotype" w:hAnsi="Palatino Linotype" w:eastAsia="Palatino Linotype" w:cs="Palatino Linotype"/>
          <w:sz w:val="24"/>
          <w:szCs w:val="24"/>
        </w:rPr>
        <w:t xml:space="preserve">(henceforth </w:t>
      </w:r>
      <w:r w:rsidR="00233146">
        <w:rPr>
          <w:rFonts w:ascii="Palatino Linotype" w:hAnsi="Palatino Linotype" w:eastAsia="Palatino Linotype" w:cs="Palatino Linotype"/>
          <w:sz w:val="24"/>
          <w:szCs w:val="24"/>
        </w:rPr>
        <w:t xml:space="preserve">the use of LGPs for interconnection </w:t>
      </w:r>
      <w:r w:rsidR="006E0BE6">
        <w:rPr>
          <w:rFonts w:ascii="Palatino Linotype" w:hAnsi="Palatino Linotype" w:eastAsia="Palatino Linotype" w:cs="Palatino Linotype"/>
          <w:sz w:val="24"/>
          <w:szCs w:val="24"/>
        </w:rPr>
        <w:t xml:space="preserve">purposes </w:t>
      </w:r>
      <w:r w:rsidR="004D7D30">
        <w:rPr>
          <w:rFonts w:ascii="Palatino Linotype" w:hAnsi="Palatino Linotype" w:eastAsia="Palatino Linotype" w:cs="Palatino Linotype"/>
          <w:sz w:val="24"/>
          <w:szCs w:val="24"/>
        </w:rPr>
        <w:t xml:space="preserve">is </w:t>
      </w:r>
      <w:r w:rsidRPr="004D7D30" w:rsidR="004D7D30">
        <w:rPr>
          <w:rFonts w:ascii="Palatino Linotype" w:hAnsi="Palatino Linotype" w:eastAsia="Palatino Linotype" w:cs="Palatino Linotype"/>
          <w:sz w:val="24"/>
          <w:szCs w:val="24"/>
        </w:rPr>
        <w:t xml:space="preserve">referred </w:t>
      </w:r>
      <w:r w:rsidR="00233146">
        <w:rPr>
          <w:rFonts w:ascii="Palatino Linotype" w:hAnsi="Palatino Linotype" w:eastAsia="Palatino Linotype" w:cs="Palatino Linotype"/>
          <w:sz w:val="24"/>
          <w:szCs w:val="24"/>
        </w:rPr>
        <w:t xml:space="preserve">to </w:t>
      </w:r>
      <w:r w:rsidR="004D7D30">
        <w:rPr>
          <w:rFonts w:ascii="Palatino Linotype" w:hAnsi="Palatino Linotype" w:eastAsia="Palatino Linotype" w:cs="Palatino Linotype"/>
          <w:sz w:val="24"/>
          <w:szCs w:val="24"/>
        </w:rPr>
        <w:t xml:space="preserve">as </w:t>
      </w:r>
      <w:r w:rsidRPr="004D7D30" w:rsidR="004D7D30">
        <w:rPr>
          <w:rFonts w:ascii="Palatino Linotype" w:hAnsi="Palatino Linotype" w:eastAsia="Palatino Linotype" w:cs="Palatino Linotype"/>
          <w:sz w:val="24"/>
          <w:szCs w:val="24"/>
        </w:rPr>
        <w:t>the “LGP-option”</w:t>
      </w:r>
      <w:r w:rsidR="004D7D30">
        <w:rPr>
          <w:rFonts w:ascii="Palatino Linotype" w:hAnsi="Palatino Linotype" w:eastAsia="Palatino Linotype" w:cs="Palatino Linotype"/>
          <w:sz w:val="24"/>
          <w:szCs w:val="24"/>
        </w:rPr>
        <w:t xml:space="preserve"> to distinguish it from the profile itself, the </w:t>
      </w:r>
      <w:r w:rsidR="00E0012E">
        <w:rPr>
          <w:rFonts w:ascii="Palatino Linotype" w:hAnsi="Palatino Linotype" w:eastAsia="Palatino Linotype" w:cs="Palatino Linotype"/>
          <w:sz w:val="24"/>
          <w:szCs w:val="24"/>
        </w:rPr>
        <w:t>“</w:t>
      </w:r>
      <w:r w:rsidR="004D7D30">
        <w:rPr>
          <w:rFonts w:ascii="Palatino Linotype" w:hAnsi="Palatino Linotype" w:eastAsia="Palatino Linotype" w:cs="Palatino Linotype"/>
          <w:sz w:val="24"/>
          <w:szCs w:val="24"/>
        </w:rPr>
        <w:t>LGP</w:t>
      </w:r>
      <w:r w:rsidR="00E0012E">
        <w:rPr>
          <w:rFonts w:ascii="Palatino Linotype" w:hAnsi="Palatino Linotype" w:eastAsia="Palatino Linotype" w:cs="Palatino Linotype"/>
          <w:sz w:val="24"/>
          <w:szCs w:val="24"/>
        </w:rPr>
        <w:t>”</w:t>
      </w:r>
      <w:r w:rsidRPr="004D7D30" w:rsidR="004D7D30">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to allow DERs to perform within existing ICA hosting capacity to avoid distribution grid upgrades</w:t>
      </w:r>
      <w:r>
        <w:rPr>
          <w:rFonts w:ascii="Palatino Linotype" w:hAnsi="Palatino Linotype" w:eastAsia="Palatino Linotype" w:cs="Palatino Linotype"/>
          <w:sz w:val="24"/>
          <w:szCs w:val="24"/>
        </w:rPr>
        <w:t>.</w:t>
      </w:r>
      <w:r w:rsidR="00033FE0">
        <w:rPr>
          <w:rFonts w:ascii="Palatino Linotype" w:hAnsi="Palatino Linotype" w:eastAsia="Palatino Linotype" w:cs="Palatino Linotype"/>
          <w:sz w:val="24"/>
          <w:szCs w:val="24"/>
        </w:rPr>
        <w:t xml:space="preserve">  </w:t>
      </w:r>
      <w:r w:rsidRPr="00033FE0" w:rsidR="00033FE0">
        <w:rPr>
          <w:rFonts w:ascii="Palatino Linotype" w:hAnsi="Palatino Linotype" w:eastAsia="Palatino Linotype" w:cs="Palatino Linotype"/>
          <w:sz w:val="24"/>
          <w:szCs w:val="24"/>
        </w:rPr>
        <w:t>D</w:t>
      </w:r>
      <w:r w:rsidR="00E81C80">
        <w:rPr>
          <w:rFonts w:ascii="Palatino Linotype" w:hAnsi="Palatino Linotype" w:eastAsia="Palatino Linotype" w:cs="Palatino Linotype"/>
          <w:sz w:val="24"/>
          <w:szCs w:val="24"/>
        </w:rPr>
        <w:t xml:space="preserve">ecision </w:t>
      </w:r>
      <w:r w:rsidRPr="00033FE0" w:rsidR="00033FE0">
        <w:rPr>
          <w:rFonts w:ascii="Palatino Linotype" w:hAnsi="Palatino Linotype" w:eastAsia="Palatino Linotype" w:cs="Palatino Linotype"/>
          <w:sz w:val="24"/>
          <w:szCs w:val="24"/>
        </w:rPr>
        <w:t>20-09-035 ruled on the proposals from Working Group Two.</w:t>
      </w:r>
    </w:p>
    <w:p w:rsidRPr="00857B0B" w:rsidR="00857B0B" w:rsidP="009551A2" w:rsidRDefault="00857B0B" w14:paraId="5C387DC9" w14:textId="77777777">
      <w:pPr>
        <w:pStyle w:val="Body"/>
        <w:numPr>
          <w:ilvl w:val="0"/>
          <w:numId w:val="8"/>
        </w:numPr>
        <w:rPr>
          <w:rFonts w:ascii="Palatino Linotype" w:hAnsi="Palatino Linotype" w:eastAsia="Palatino Linotype" w:cs="Palatino Linotype"/>
          <w:b/>
          <w:bCs/>
          <w:sz w:val="24"/>
          <w:szCs w:val="24"/>
        </w:rPr>
      </w:pPr>
      <w:r w:rsidRPr="00857B0B">
        <w:rPr>
          <w:rFonts w:ascii="Palatino Linotype" w:hAnsi="Palatino Linotype" w:eastAsia="Palatino Linotype" w:cs="Palatino Linotype"/>
          <w:b/>
          <w:bCs/>
          <w:sz w:val="24"/>
          <w:szCs w:val="24"/>
        </w:rPr>
        <w:t>Decision 20-09-035</w:t>
      </w:r>
    </w:p>
    <w:p w:rsidR="00604693" w:rsidP="000B0EA5" w:rsidRDefault="004D7874" w14:paraId="7E3E65D4"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D.</w:t>
      </w:r>
      <w:r w:rsidRPr="00C20096" w:rsidR="00A17EEE">
        <w:rPr>
          <w:rFonts w:ascii="Palatino Linotype" w:hAnsi="Palatino Linotype" w:eastAsia="Palatino Linotype" w:cs="Palatino Linotype"/>
          <w:sz w:val="24"/>
          <w:szCs w:val="24"/>
        </w:rPr>
        <w:t>20-09-035</w:t>
      </w:r>
      <w:r w:rsidRPr="00C20096">
        <w:rPr>
          <w:rFonts w:ascii="Palatino Linotype" w:hAnsi="Palatino Linotype" w:eastAsia="Palatino Linotype" w:cs="Palatino Linotype"/>
          <w:sz w:val="24"/>
          <w:szCs w:val="24"/>
        </w:rPr>
        <w:t xml:space="preserve">, </w:t>
      </w:r>
      <w:r w:rsidRPr="00C20096" w:rsidR="00530A69">
        <w:rPr>
          <w:rFonts w:ascii="Palatino Linotype" w:hAnsi="Palatino Linotype" w:eastAsia="Palatino Linotype" w:cs="Palatino Linotype"/>
          <w:sz w:val="24"/>
          <w:szCs w:val="24"/>
        </w:rPr>
        <w:t>issued by the Commission on September 30, 202</w:t>
      </w:r>
      <w:r w:rsidRPr="00C20096" w:rsidR="00A95102">
        <w:rPr>
          <w:rFonts w:ascii="Palatino Linotype" w:hAnsi="Palatino Linotype" w:eastAsia="Palatino Linotype" w:cs="Palatino Linotype"/>
          <w:sz w:val="24"/>
          <w:szCs w:val="24"/>
        </w:rPr>
        <w:t>0</w:t>
      </w:r>
      <w:r w:rsidRPr="00C20096" w:rsidR="00530A69">
        <w:rPr>
          <w:rFonts w:ascii="Palatino Linotype" w:hAnsi="Palatino Linotype" w:eastAsia="Palatino Linotype" w:cs="Palatino Linotype"/>
          <w:sz w:val="24"/>
          <w:szCs w:val="24"/>
        </w:rPr>
        <w:t xml:space="preserve">, </w:t>
      </w:r>
      <w:r w:rsidRPr="00353164" w:rsidR="00353164">
        <w:rPr>
          <w:rFonts w:ascii="Palatino Linotype" w:hAnsi="Palatino Linotype" w:eastAsia="Palatino Linotype" w:cs="Palatino Linotype"/>
          <w:sz w:val="24"/>
          <w:szCs w:val="24"/>
        </w:rPr>
        <w:t xml:space="preserve">directed the Large IOUs to submit ALs proposing revisions to Rule 21 addressing recommendations of Working Group Two. OP </w:t>
      </w:r>
      <w:r w:rsidR="00EA0418">
        <w:rPr>
          <w:rFonts w:ascii="Palatino Linotype" w:hAnsi="Palatino Linotype" w:eastAsia="Palatino Linotype" w:cs="Palatino Linotype"/>
          <w:sz w:val="24"/>
          <w:szCs w:val="24"/>
        </w:rPr>
        <w:t xml:space="preserve">15 and OP </w:t>
      </w:r>
      <w:r w:rsidRPr="00353164" w:rsidR="00353164">
        <w:rPr>
          <w:rFonts w:ascii="Palatino Linotype" w:hAnsi="Palatino Linotype" w:eastAsia="Palatino Linotype" w:cs="Palatino Linotype"/>
          <w:sz w:val="24"/>
          <w:szCs w:val="24"/>
        </w:rPr>
        <w:t>16 of the Decision state</w:t>
      </w:r>
      <w:r w:rsidR="00AD36BD">
        <w:rPr>
          <w:rFonts w:ascii="Palatino Linotype" w:hAnsi="Palatino Linotype" w:eastAsia="Palatino Linotype" w:cs="Palatino Linotype"/>
          <w:sz w:val="24"/>
          <w:szCs w:val="24"/>
        </w:rPr>
        <w:t xml:space="preserve">, </w:t>
      </w:r>
      <w:r w:rsidR="00DC60F0">
        <w:rPr>
          <w:rFonts w:ascii="Palatino Linotype" w:hAnsi="Palatino Linotype" w:eastAsia="Palatino Linotype" w:cs="Palatino Linotype"/>
          <w:sz w:val="24"/>
          <w:szCs w:val="24"/>
        </w:rPr>
        <w:t>respectively</w:t>
      </w:r>
      <w:r w:rsidRPr="00353164" w:rsidR="00353164">
        <w:rPr>
          <w:rFonts w:ascii="Palatino Linotype" w:hAnsi="Palatino Linotype" w:eastAsia="Palatino Linotype" w:cs="Palatino Linotype"/>
          <w:sz w:val="24"/>
          <w:szCs w:val="24"/>
        </w:rPr>
        <w:t>:</w:t>
      </w:r>
      <w:r w:rsidR="00531F2A">
        <w:rPr>
          <w:rStyle w:val="FootnoteReference"/>
          <w:rFonts w:ascii="Palatino Linotype" w:hAnsi="Palatino Linotype" w:eastAsia="Palatino Linotype" w:cs="Palatino Linotype"/>
          <w:sz w:val="24"/>
          <w:szCs w:val="24"/>
        </w:rPr>
        <w:footnoteReference w:id="9"/>
      </w:r>
    </w:p>
    <w:p w:rsidRPr="00831A9D" w:rsidR="00DC60F0" w:rsidP="009551A2" w:rsidRDefault="00C11CF2" w14:paraId="3AD55FBD" w14:textId="77777777">
      <w:pPr>
        <w:pStyle w:val="Body"/>
        <w:numPr>
          <w:ilvl w:val="0"/>
          <w:numId w:val="12"/>
        </w:numPr>
        <w:rPr>
          <w:rFonts w:ascii="Palatino Linotype" w:hAnsi="Palatino Linotype" w:eastAsia="Palatino Linotype" w:cs="Palatino Linotype"/>
          <w:sz w:val="24"/>
          <w:szCs w:val="24"/>
        </w:rPr>
      </w:pPr>
      <w:r w:rsidRPr="00831A9D">
        <w:rPr>
          <w:rFonts w:ascii="Palatino Linotype" w:hAnsi="Palatino Linotype" w:eastAsia="Palatino Linotype" w:cs="Palatino Linotype"/>
          <w:sz w:val="24"/>
          <w:szCs w:val="24"/>
        </w:rPr>
        <w:t xml:space="preserve">OP 15:  </w:t>
      </w:r>
      <w:r w:rsidRPr="00831A9D" w:rsidR="00FF40A4">
        <w:rPr>
          <w:rFonts w:ascii="Palatino Linotype" w:hAnsi="Palatino Linotype" w:eastAsia="Palatino Linotype" w:cs="Palatino Linotype"/>
          <w:sz w:val="24"/>
          <w:szCs w:val="24"/>
        </w:rPr>
        <w:t xml:space="preserve">The counter proposal from </w:t>
      </w:r>
      <w:r w:rsidRPr="00831A9D" w:rsidR="00F13F0A">
        <w:rPr>
          <w:rFonts w:ascii="Palatino Linotype" w:hAnsi="Palatino Linotype" w:eastAsia="Palatino Linotype" w:cs="Palatino Linotype"/>
          <w:sz w:val="24"/>
          <w:szCs w:val="24"/>
        </w:rPr>
        <w:t xml:space="preserve">[the Large IOUs] </w:t>
      </w:r>
      <w:r w:rsidRPr="00831A9D" w:rsidR="00FF40A4">
        <w:rPr>
          <w:rFonts w:ascii="Palatino Linotype" w:hAnsi="Palatino Linotype" w:eastAsia="Palatino Linotype" w:cs="Palatino Linotype"/>
          <w:sz w:val="24"/>
          <w:szCs w:val="24"/>
        </w:rPr>
        <w:t>to resolve Issue 9 is adopted with modification</w:t>
      </w:r>
      <w:r w:rsidRPr="00831A9D" w:rsidR="008F67FE">
        <w:rPr>
          <w:rFonts w:ascii="Palatino Linotype" w:hAnsi="Palatino Linotype" w:eastAsia="Palatino Linotype" w:cs="Palatino Linotype"/>
          <w:sz w:val="24"/>
          <w:szCs w:val="24"/>
        </w:rPr>
        <w:t>…</w:t>
      </w:r>
      <w:r w:rsidRPr="00831A9D" w:rsidR="00C94AA7">
        <w:rPr>
          <w:rFonts w:ascii="Palatino Linotype" w:hAnsi="Palatino Linotype" w:eastAsia="Palatino Linotype" w:cs="Palatino Linotype"/>
          <w:sz w:val="24"/>
          <w:szCs w:val="24"/>
        </w:rPr>
        <w:t xml:space="preserve"> </w:t>
      </w:r>
      <w:r w:rsidRPr="00831A9D" w:rsidR="00FF40A4">
        <w:rPr>
          <w:rFonts w:ascii="Palatino Linotype" w:hAnsi="Palatino Linotype" w:eastAsia="Palatino Linotype" w:cs="Palatino Linotype"/>
          <w:sz w:val="24"/>
          <w:szCs w:val="24"/>
        </w:rPr>
        <w:t>Utilities shall submit a Tier 3 Advice Letter providing recommendations (as applicable) regarding the standard review,</w:t>
      </w:r>
      <w:r w:rsidRPr="00831A9D" w:rsidR="00316FF7">
        <w:rPr>
          <w:rFonts w:ascii="Palatino Linotype" w:hAnsi="Palatino Linotype" w:eastAsia="Palatino Linotype" w:cs="Palatino Linotype"/>
          <w:sz w:val="24"/>
          <w:szCs w:val="24"/>
        </w:rPr>
        <w:t xml:space="preserve"> certification requirements, and interconnection processes necessary for implementation of the proposal. Within 60 days of adoption of a certification scheme for the Limited Generation Profile, Utilities shall modify the Rule 21 Interconnection Application Process to allow a distributed energy resources customer to include a Limited </w:t>
      </w:r>
      <w:r w:rsidRPr="00831A9D" w:rsidR="00316FF7">
        <w:rPr>
          <w:rFonts w:ascii="Palatino Linotype" w:hAnsi="Palatino Linotype" w:eastAsia="Palatino Linotype" w:cs="Palatino Linotype"/>
          <w:sz w:val="24"/>
          <w:szCs w:val="24"/>
        </w:rPr>
        <w:lastRenderedPageBreak/>
        <w:t xml:space="preserve">Generation Profile with their application, require the customer to enable generation profile limiting functionality, and allow Utilities opportunity to alter the profile if safety and reliability concerns warrant it. Retroactive alterations to generation profiles shall not reduce generation to below a pre-defined static level, i.e., the lowest Integrated Capacity Analysis – Static Grid </w:t>
      </w:r>
      <w:r w:rsidRPr="00831A9D" w:rsidR="00B83B57">
        <w:rPr>
          <w:rFonts w:ascii="Palatino Linotype" w:hAnsi="Palatino Linotype" w:eastAsia="Palatino Linotype" w:cs="Palatino Linotype"/>
          <w:sz w:val="24"/>
          <w:szCs w:val="24"/>
        </w:rPr>
        <w:t xml:space="preserve">[ICA-SG] </w:t>
      </w:r>
      <w:r w:rsidRPr="00831A9D" w:rsidR="00316FF7">
        <w:rPr>
          <w:rFonts w:ascii="Palatino Linotype" w:hAnsi="Palatino Linotype" w:eastAsia="Palatino Linotype" w:cs="Palatino Linotype"/>
          <w:sz w:val="24"/>
          <w:szCs w:val="24"/>
        </w:rPr>
        <w:t>typical profile value identified at the time of the Interconnection Application. As part of the proposal, Utilities shall: i) allow customers to utilize a smart inverter’s ability to increase its output on a monthly basis; and ii) use a 10 percent buffer, which shall be revisited.</w:t>
      </w:r>
      <w:r w:rsidRPr="00831A9D" w:rsidR="00831A9D">
        <w:rPr>
          <w:rFonts w:ascii="Palatino Linotype" w:hAnsi="Palatino Linotype" w:eastAsia="Palatino Linotype" w:cs="Palatino Linotype"/>
          <w:sz w:val="24"/>
          <w:szCs w:val="24"/>
        </w:rPr>
        <w:t>..</w:t>
      </w:r>
      <w:r w:rsidRPr="00831A9D" w:rsidR="00346C17">
        <w:rPr>
          <w:rFonts w:ascii="Palatino Linotype" w:hAnsi="Palatino Linotype" w:eastAsia="Palatino Linotype" w:cs="Palatino Linotype"/>
          <w:sz w:val="24"/>
          <w:szCs w:val="24"/>
        </w:rPr>
        <w:t xml:space="preserve"> </w:t>
      </w:r>
    </w:p>
    <w:p w:rsidR="002D6E6F" w:rsidP="009551A2" w:rsidRDefault="00C11CF2" w14:paraId="26C6BAE4" w14:textId="77777777">
      <w:pPr>
        <w:pStyle w:val="Body"/>
        <w:numPr>
          <w:ilvl w:val="0"/>
          <w:numId w:val="12"/>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OP </w:t>
      </w:r>
      <w:r w:rsidRPr="00831A9D">
        <w:rPr>
          <w:rFonts w:ascii="Palatino Linotype" w:hAnsi="Palatino Linotype" w:eastAsia="Palatino Linotype" w:cs="Palatino Linotype"/>
          <w:sz w:val="24"/>
          <w:szCs w:val="24"/>
        </w:rPr>
        <w:t xml:space="preserve">16: </w:t>
      </w:r>
      <w:r w:rsidRPr="00831A9D" w:rsidR="00531F2A">
        <w:rPr>
          <w:rFonts w:ascii="Palatino Linotype" w:hAnsi="Palatino Linotype" w:eastAsia="Palatino Linotype" w:cs="Palatino Linotype"/>
          <w:sz w:val="24"/>
          <w:szCs w:val="24"/>
        </w:rPr>
        <w:t>[The Large IOUs] shall submit a Tier 3 Advice Letter</w:t>
      </w:r>
      <w:r w:rsidRPr="00831A9D" w:rsidR="006F78FE">
        <w:rPr>
          <w:rFonts w:ascii="Palatino Linotype" w:hAnsi="Palatino Linotype" w:eastAsia="Palatino Linotype" w:cs="Palatino Linotype"/>
          <w:sz w:val="24"/>
          <w:szCs w:val="24"/>
        </w:rPr>
        <w:t xml:space="preserve">… </w:t>
      </w:r>
      <w:r w:rsidRPr="00831A9D" w:rsidR="00531F2A">
        <w:rPr>
          <w:rFonts w:ascii="Palatino Linotype" w:hAnsi="Palatino Linotype" w:eastAsia="Palatino Linotype" w:cs="Palatino Linotype"/>
          <w:sz w:val="24"/>
          <w:szCs w:val="24"/>
        </w:rPr>
        <w:t>providing the specifics of whether and how reductions to a customer’s Limited Generation Profile are determined. The Advice Letter shall include a description of how the Utilities will implement Ordering Paragraph 15</w:t>
      </w:r>
      <w:r w:rsidRPr="00831A9D" w:rsidR="007A19D3">
        <w:rPr>
          <w:rFonts w:ascii="Palatino Linotype" w:hAnsi="Palatino Linotype" w:eastAsia="Palatino Linotype" w:cs="Palatino Linotype"/>
          <w:sz w:val="24"/>
          <w:szCs w:val="24"/>
        </w:rPr>
        <w:t>…</w:t>
      </w:r>
      <w:r w:rsidR="00346C17">
        <w:rPr>
          <w:rFonts w:ascii="Palatino Linotype" w:hAnsi="Palatino Linotype" w:eastAsia="Palatino Linotype" w:cs="Palatino Linotype"/>
          <w:b/>
          <w:bCs/>
          <w:sz w:val="24"/>
          <w:szCs w:val="24"/>
        </w:rPr>
        <w:t xml:space="preserve"> </w:t>
      </w:r>
    </w:p>
    <w:p w:rsidRPr="002D6E6F" w:rsidR="002D6E6F" w:rsidP="002D6E6F" w:rsidRDefault="002B036A" w14:paraId="30FC7F84"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The Large IOUs submitted ALs</w:t>
      </w:r>
      <w:r w:rsidR="00F330FE">
        <w:rPr>
          <w:rFonts w:ascii="Palatino Linotype" w:hAnsi="Palatino Linotype" w:eastAsia="Palatino Linotype" w:cs="Palatino Linotype"/>
          <w:sz w:val="24"/>
          <w:szCs w:val="24"/>
        </w:rPr>
        <w:t xml:space="preserve"> </w:t>
      </w:r>
      <w:r w:rsidR="00506742">
        <w:rPr>
          <w:rFonts w:ascii="Palatino Linotype" w:hAnsi="Palatino Linotype" w:eastAsia="Palatino Linotype" w:cs="Palatino Linotype"/>
          <w:sz w:val="24"/>
          <w:szCs w:val="24"/>
        </w:rPr>
        <w:t xml:space="preserve">on </w:t>
      </w:r>
      <w:r w:rsidR="003D6F05">
        <w:rPr>
          <w:rFonts w:ascii="Palatino Linotype" w:hAnsi="Palatino Linotype" w:eastAsia="Palatino Linotype" w:cs="Palatino Linotype"/>
          <w:sz w:val="24"/>
          <w:szCs w:val="24"/>
        </w:rPr>
        <w:t>January 28, 2021</w:t>
      </w:r>
      <w:r w:rsidR="00506742">
        <w:rPr>
          <w:rStyle w:val="FootnoteReference"/>
          <w:rFonts w:ascii="Palatino Linotype" w:hAnsi="Palatino Linotype" w:eastAsia="Palatino Linotype" w:cs="Palatino Linotype"/>
          <w:sz w:val="24"/>
          <w:szCs w:val="24"/>
        </w:rPr>
        <w:footnoteReference w:id="10"/>
      </w:r>
      <w:r w:rsidR="003D6F05">
        <w:rPr>
          <w:rFonts w:ascii="Palatino Linotype" w:hAnsi="Palatino Linotype" w:eastAsia="Palatino Linotype" w:cs="Palatino Linotype"/>
          <w:sz w:val="24"/>
          <w:szCs w:val="24"/>
        </w:rPr>
        <w:t xml:space="preserve"> </w:t>
      </w:r>
      <w:r w:rsidR="004B79E4">
        <w:rPr>
          <w:rFonts w:ascii="Palatino Linotype" w:hAnsi="Palatino Linotype" w:eastAsia="Palatino Linotype" w:cs="Palatino Linotype"/>
          <w:sz w:val="24"/>
          <w:szCs w:val="24"/>
        </w:rPr>
        <w:t>and</w:t>
      </w:r>
      <w:r w:rsidR="00220054">
        <w:rPr>
          <w:rFonts w:ascii="Palatino Linotype" w:hAnsi="Palatino Linotype" w:eastAsia="Palatino Linotype" w:cs="Palatino Linotype"/>
          <w:sz w:val="24"/>
          <w:szCs w:val="24"/>
        </w:rPr>
        <w:t xml:space="preserve"> </w:t>
      </w:r>
      <w:r w:rsidRPr="00D062C6" w:rsidR="00220054">
        <w:rPr>
          <w:rFonts w:ascii="Palatino Linotype" w:hAnsi="Palatino Linotype" w:eastAsia="Palatino Linotype" w:cs="Palatino Linotype"/>
          <w:sz w:val="24"/>
          <w:szCs w:val="24"/>
        </w:rPr>
        <w:t>March 30, 2021</w:t>
      </w:r>
      <w:r w:rsidR="00220054">
        <w:rPr>
          <w:rFonts w:ascii="Palatino Linotype" w:hAnsi="Palatino Linotype" w:eastAsia="Palatino Linotype" w:cs="Palatino Linotype"/>
          <w:sz w:val="24"/>
          <w:szCs w:val="24"/>
        </w:rPr>
        <w:t>,</w:t>
      </w:r>
      <w:r w:rsidR="002D27BC">
        <w:rPr>
          <w:rStyle w:val="FootnoteReference"/>
          <w:rFonts w:ascii="Palatino Linotype" w:hAnsi="Palatino Linotype" w:eastAsia="Palatino Linotype" w:cs="Palatino Linotype"/>
          <w:sz w:val="24"/>
          <w:szCs w:val="24"/>
        </w:rPr>
        <w:footnoteReference w:id="11"/>
      </w:r>
      <w:r w:rsidR="00220054">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to comply with OP 1</w:t>
      </w:r>
      <w:r w:rsidR="00506742">
        <w:rPr>
          <w:rFonts w:ascii="Palatino Linotype" w:hAnsi="Palatino Linotype" w:eastAsia="Palatino Linotype" w:cs="Palatino Linotype"/>
          <w:sz w:val="24"/>
          <w:szCs w:val="24"/>
        </w:rPr>
        <w:t>6</w:t>
      </w:r>
      <w:r>
        <w:rPr>
          <w:rFonts w:ascii="Palatino Linotype" w:hAnsi="Palatino Linotype" w:eastAsia="Palatino Linotype" w:cs="Palatino Linotype"/>
          <w:sz w:val="24"/>
          <w:szCs w:val="24"/>
        </w:rPr>
        <w:t xml:space="preserve"> and OP 1</w:t>
      </w:r>
      <w:r w:rsidR="00506742">
        <w:rPr>
          <w:rFonts w:ascii="Palatino Linotype" w:hAnsi="Palatino Linotype" w:eastAsia="Palatino Linotype" w:cs="Palatino Linotype"/>
          <w:sz w:val="24"/>
          <w:szCs w:val="24"/>
        </w:rPr>
        <w:t>5</w:t>
      </w:r>
      <w:r w:rsidR="002D27BC">
        <w:rPr>
          <w:rFonts w:ascii="Palatino Linotype" w:hAnsi="Palatino Linotype" w:eastAsia="Palatino Linotype" w:cs="Palatino Linotype"/>
          <w:sz w:val="24"/>
          <w:szCs w:val="24"/>
        </w:rPr>
        <w:t xml:space="preserve"> (and 51</w:t>
      </w:r>
      <w:r w:rsidR="003856F6">
        <w:rPr>
          <w:rStyle w:val="FootnoteReference"/>
          <w:rFonts w:ascii="Palatino Linotype" w:hAnsi="Palatino Linotype" w:eastAsia="Palatino Linotype" w:cs="Palatino Linotype"/>
          <w:sz w:val="24"/>
          <w:szCs w:val="24"/>
        </w:rPr>
        <w:footnoteReference w:id="12"/>
      </w:r>
      <w:r w:rsidR="002D27BC">
        <w:rPr>
          <w:rFonts w:ascii="Palatino Linotype" w:hAnsi="Palatino Linotype" w:eastAsia="Palatino Linotype" w:cs="Palatino Linotype"/>
          <w:sz w:val="24"/>
          <w:szCs w:val="24"/>
        </w:rPr>
        <w:t>), respectively,</w:t>
      </w:r>
      <w:r w:rsidR="00506742">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of the Decision.  </w:t>
      </w:r>
      <w:r w:rsidR="00F330FE">
        <w:rPr>
          <w:rFonts w:ascii="Palatino Linotype" w:hAnsi="Palatino Linotype" w:eastAsia="Palatino Linotype" w:cs="Palatino Linotype"/>
          <w:sz w:val="24"/>
          <w:szCs w:val="24"/>
        </w:rPr>
        <w:t xml:space="preserve">Resolution E-5211 and </w:t>
      </w:r>
      <w:r w:rsidR="00751CAA">
        <w:rPr>
          <w:rFonts w:ascii="Palatino Linotype" w:hAnsi="Palatino Linotype" w:eastAsia="Palatino Linotype" w:cs="Palatino Linotype"/>
          <w:sz w:val="24"/>
          <w:szCs w:val="24"/>
        </w:rPr>
        <w:br/>
      </w:r>
      <w:r w:rsidR="00F330FE">
        <w:rPr>
          <w:rFonts w:ascii="Palatino Linotype" w:hAnsi="Palatino Linotype" w:eastAsia="Palatino Linotype" w:cs="Palatino Linotype"/>
          <w:sz w:val="24"/>
          <w:szCs w:val="24"/>
        </w:rPr>
        <w:t>E-5230 disposed of th</w:t>
      </w:r>
      <w:r w:rsidR="004B79E4">
        <w:rPr>
          <w:rFonts w:ascii="Palatino Linotype" w:hAnsi="Palatino Linotype" w:eastAsia="Palatino Linotype" w:cs="Palatino Linotype"/>
          <w:sz w:val="24"/>
          <w:szCs w:val="24"/>
        </w:rPr>
        <w:t>ose</w:t>
      </w:r>
      <w:r w:rsidR="00F330FE">
        <w:rPr>
          <w:rFonts w:ascii="Palatino Linotype" w:hAnsi="Palatino Linotype" w:eastAsia="Palatino Linotype" w:cs="Palatino Linotype"/>
          <w:sz w:val="24"/>
          <w:szCs w:val="24"/>
        </w:rPr>
        <w:t xml:space="preserve"> ALs.  </w:t>
      </w:r>
      <w:r w:rsidR="004B79E4">
        <w:rPr>
          <w:rFonts w:ascii="Palatino Linotype" w:hAnsi="Palatino Linotype" w:eastAsia="Palatino Linotype" w:cs="Palatino Linotype"/>
          <w:sz w:val="24"/>
          <w:szCs w:val="24"/>
        </w:rPr>
        <w:t>These resolutions are discussed further</w:t>
      </w:r>
      <w:r w:rsidR="00F330FE">
        <w:rPr>
          <w:rFonts w:ascii="Palatino Linotype" w:hAnsi="Palatino Linotype" w:eastAsia="Palatino Linotype" w:cs="Palatino Linotype"/>
          <w:sz w:val="24"/>
          <w:szCs w:val="24"/>
        </w:rPr>
        <w:t xml:space="preserve"> below. </w:t>
      </w:r>
    </w:p>
    <w:p w:rsidRPr="00E32C39" w:rsidR="00E32C39" w:rsidP="009551A2" w:rsidRDefault="00175F6E" w14:paraId="61B4B7C1" w14:textId="77777777">
      <w:pPr>
        <w:pStyle w:val="ListParagraph"/>
        <w:numPr>
          <w:ilvl w:val="0"/>
          <w:numId w:val="8"/>
        </w:num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 xml:space="preserve">Rule 21 Working Group Two </w:t>
      </w:r>
      <w:r w:rsidRPr="00E32C39" w:rsidR="00E32C39">
        <w:rPr>
          <w:rFonts w:ascii="Palatino Linotype" w:hAnsi="Palatino Linotype" w:eastAsia="Palatino Linotype" w:cs="Palatino Linotype"/>
          <w:b/>
          <w:bCs/>
          <w:sz w:val="24"/>
          <w:szCs w:val="24"/>
        </w:rPr>
        <w:t>Issue 9:  Limited Generation Profiles (LGP)</w:t>
      </w:r>
    </w:p>
    <w:p w:rsidR="00A72DD7" w:rsidP="00A72DD7" w:rsidRDefault="00A72DD7" w14:paraId="6CFA47EB" w14:textId="77777777">
      <w:pPr>
        <w:pStyle w:val="NoSpacing"/>
      </w:pPr>
    </w:p>
    <w:p w:rsidRPr="00C20096" w:rsidR="009C093C" w:rsidP="009C093C" w:rsidRDefault="009C093C" w14:paraId="58A5F649" w14:textId="77777777">
      <w:pPr>
        <w:pStyle w:val="Body"/>
        <w:rPr>
          <w:rFonts w:ascii="Palatino Linotype" w:hAnsi="Palatino Linotype" w:eastAsia="Palatino Linotype" w:cs="Palatino Linotype"/>
          <w:sz w:val="24"/>
          <w:szCs w:val="24"/>
        </w:rPr>
      </w:pPr>
      <w:r w:rsidRPr="00C8307A">
        <w:rPr>
          <w:rFonts w:ascii="Palatino Linotype" w:hAnsi="Palatino Linotype" w:eastAsia="Palatino Linotype" w:cs="Palatino Linotype"/>
          <w:sz w:val="24"/>
          <w:szCs w:val="24"/>
        </w:rPr>
        <w:t xml:space="preserve">The Decision </w:t>
      </w:r>
      <w:r w:rsidRPr="00C20096">
        <w:rPr>
          <w:rFonts w:ascii="Palatino Linotype" w:hAnsi="Palatino Linotype" w:eastAsia="Palatino Linotype" w:cs="Palatino Linotype"/>
          <w:sz w:val="24"/>
          <w:szCs w:val="24"/>
        </w:rPr>
        <w:t>resolved Issue 9 from Working Group Two.  As stated in the Decision:</w:t>
      </w:r>
    </w:p>
    <w:p w:rsidRPr="00C20096" w:rsidR="009C093C" w:rsidP="009C093C" w:rsidRDefault="009C093C" w14:paraId="71E6285B" w14:textId="77777777">
      <w:pPr>
        <w:pStyle w:val="Body"/>
        <w:ind w:left="720" w:right="720"/>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Issue 9 looks at the conditions of operations the Commission should adopt to allow distributed energy resources to perform within existing hosting capacity constraints and avoid triggering [distribution grid] upgrades… The purpose of resolving Issue 9, as highlighted by IREC, is to utilize the Integration Capacity Analysis data to allow modern inverters, storage, and other technologies to confidently respond to grid conditions while ensuring safety and reliability.</w:t>
      </w:r>
      <w:r w:rsidRPr="00C20096">
        <w:rPr>
          <w:rStyle w:val="FootnoteReference"/>
          <w:rFonts w:ascii="Palatino Linotype" w:hAnsi="Palatino Linotype" w:eastAsia="Palatino Linotype" w:cs="Palatino Linotype"/>
          <w:sz w:val="24"/>
          <w:szCs w:val="24"/>
        </w:rPr>
        <w:footnoteReference w:id="13"/>
      </w:r>
      <w:r w:rsidRPr="00C20096">
        <w:rPr>
          <w:rFonts w:ascii="Palatino Linotype" w:hAnsi="Palatino Linotype" w:eastAsia="Palatino Linotype" w:cs="Palatino Linotype"/>
          <w:sz w:val="24"/>
          <w:szCs w:val="24"/>
        </w:rPr>
        <w:t xml:space="preserve"> </w:t>
      </w:r>
    </w:p>
    <w:p w:rsidRPr="00C20096" w:rsidR="00787DA1" w:rsidP="00787DA1" w:rsidRDefault="00787DA1" w14:paraId="25A7231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lastRenderedPageBreak/>
        <w:t xml:space="preserve">The electric grid has a finite </w:t>
      </w:r>
      <w:r w:rsidR="00C751B9">
        <w:rPr>
          <w:rFonts w:ascii="Palatino Linotype" w:hAnsi="Palatino Linotype" w:eastAsia="Palatino Linotype" w:cs="Palatino Linotype"/>
          <w:sz w:val="24"/>
          <w:szCs w:val="24"/>
        </w:rPr>
        <w:t>ability</w:t>
      </w:r>
      <w:r w:rsidR="009C3E7D">
        <w:rPr>
          <w:rFonts w:ascii="Palatino Linotype" w:hAnsi="Palatino Linotype" w:eastAsia="Palatino Linotype" w:cs="Palatino Linotype"/>
          <w:sz w:val="24"/>
          <w:szCs w:val="24"/>
        </w:rPr>
        <w:t>, at any time,</w:t>
      </w:r>
      <w:r>
        <w:rPr>
          <w:rFonts w:ascii="Palatino Linotype" w:hAnsi="Palatino Linotype" w:eastAsia="Palatino Linotype" w:cs="Palatino Linotype"/>
          <w:sz w:val="24"/>
          <w:szCs w:val="24"/>
        </w:rPr>
        <w:t xml:space="preserve"> to accept power export from generating systems without needing grid upgrades</w:t>
      </w:r>
      <w:r w:rsidR="00C751B9">
        <w:rPr>
          <w:rFonts w:ascii="Palatino Linotype" w:hAnsi="Palatino Linotype" w:eastAsia="Palatino Linotype" w:cs="Palatino Linotype"/>
          <w:sz w:val="24"/>
          <w:szCs w:val="24"/>
        </w:rPr>
        <w:t>.  This ability, known as hosting</w:t>
      </w:r>
      <w:r w:rsidR="00040585">
        <w:rPr>
          <w:rFonts w:ascii="Palatino Linotype" w:hAnsi="Palatino Linotype" w:eastAsia="Palatino Linotype" w:cs="Palatino Linotype"/>
          <w:sz w:val="24"/>
          <w:szCs w:val="24"/>
        </w:rPr>
        <w:t xml:space="preserve"> capacity</w:t>
      </w:r>
      <w:r w:rsidR="009D5B14">
        <w:rPr>
          <w:rFonts w:ascii="Palatino Linotype" w:hAnsi="Palatino Linotype" w:eastAsia="Palatino Linotype" w:cs="Palatino Linotype"/>
          <w:sz w:val="24"/>
          <w:szCs w:val="24"/>
        </w:rPr>
        <w:t>,</w:t>
      </w:r>
      <w:r w:rsidR="00040585">
        <w:rPr>
          <w:rFonts w:ascii="Palatino Linotype" w:hAnsi="Palatino Linotype" w:eastAsia="Palatino Linotype" w:cs="Palatino Linotype"/>
          <w:sz w:val="24"/>
          <w:szCs w:val="24"/>
        </w:rPr>
        <w:t xml:space="preserve"> changes over time</w:t>
      </w:r>
      <w:r w:rsidR="0097692E">
        <w:rPr>
          <w:rFonts w:ascii="Palatino Linotype" w:hAnsi="Palatino Linotype" w:eastAsia="Palatino Linotype" w:cs="Palatino Linotype"/>
          <w:sz w:val="24"/>
          <w:szCs w:val="24"/>
        </w:rPr>
        <w:t xml:space="preserve"> based on grid conditions</w:t>
      </w:r>
      <w:r>
        <w:rPr>
          <w:rFonts w:ascii="Palatino Linotype" w:hAnsi="Palatino Linotype" w:eastAsia="Palatino Linotype" w:cs="Palatino Linotype"/>
          <w:sz w:val="24"/>
          <w:szCs w:val="24"/>
        </w:rPr>
        <w:t>.</w:t>
      </w:r>
      <w:r w:rsidR="00132676">
        <w:rPr>
          <w:rFonts w:ascii="Palatino Linotype" w:hAnsi="Palatino Linotype" w:eastAsia="Palatino Linotype" w:cs="Palatino Linotype"/>
          <w:sz w:val="24"/>
          <w:szCs w:val="24"/>
        </w:rPr>
        <w:t xml:space="preserve">  </w:t>
      </w:r>
      <w:r w:rsidR="002572A5">
        <w:rPr>
          <w:rFonts w:ascii="Palatino Linotype" w:hAnsi="Palatino Linotype" w:eastAsia="Palatino Linotype" w:cs="Palatino Linotype"/>
          <w:sz w:val="24"/>
          <w:szCs w:val="24"/>
        </w:rPr>
        <w:t>Presently</w:t>
      </w:r>
      <w:r w:rsidR="00BE2D29">
        <w:rPr>
          <w:rFonts w:ascii="Palatino Linotype" w:hAnsi="Palatino Linotype" w:eastAsia="Palatino Linotype" w:cs="Palatino Linotype"/>
          <w:sz w:val="24"/>
          <w:szCs w:val="24"/>
        </w:rPr>
        <w:t xml:space="preserve">, </w:t>
      </w:r>
      <w:r w:rsidR="0004184F">
        <w:rPr>
          <w:rFonts w:ascii="Palatino Linotype" w:hAnsi="Palatino Linotype" w:eastAsia="Palatino Linotype" w:cs="Palatino Linotype"/>
          <w:sz w:val="24"/>
          <w:szCs w:val="24"/>
        </w:rPr>
        <w:t xml:space="preserve">to </w:t>
      </w:r>
      <w:r w:rsidR="0048053C">
        <w:rPr>
          <w:rFonts w:ascii="Palatino Linotype" w:hAnsi="Palatino Linotype" w:eastAsia="Palatino Linotype" w:cs="Palatino Linotype"/>
          <w:sz w:val="24"/>
          <w:szCs w:val="24"/>
        </w:rPr>
        <w:t>pass</w:t>
      </w:r>
      <w:r w:rsidR="00711414">
        <w:rPr>
          <w:rFonts w:ascii="Palatino Linotype" w:hAnsi="Palatino Linotype" w:eastAsia="Palatino Linotype" w:cs="Palatino Linotype"/>
          <w:sz w:val="24"/>
          <w:szCs w:val="24"/>
        </w:rPr>
        <w:t xml:space="preserve"> the Fast</w:t>
      </w:r>
      <w:r w:rsidR="00783F51">
        <w:rPr>
          <w:rFonts w:ascii="Palatino Linotype" w:hAnsi="Palatino Linotype" w:eastAsia="Palatino Linotype" w:cs="Palatino Linotype"/>
          <w:sz w:val="24"/>
          <w:szCs w:val="24"/>
        </w:rPr>
        <w:t xml:space="preserve"> </w:t>
      </w:r>
      <w:r w:rsidR="00711414">
        <w:rPr>
          <w:rFonts w:ascii="Palatino Linotype" w:hAnsi="Palatino Linotype" w:eastAsia="Palatino Linotype" w:cs="Palatino Linotype"/>
          <w:sz w:val="24"/>
          <w:szCs w:val="24"/>
        </w:rPr>
        <w:t xml:space="preserve">Track </w:t>
      </w:r>
      <w:r w:rsidR="0004184F">
        <w:rPr>
          <w:rFonts w:ascii="Palatino Linotype" w:hAnsi="Palatino Linotype" w:eastAsia="Palatino Linotype" w:cs="Palatino Linotype"/>
          <w:sz w:val="24"/>
          <w:szCs w:val="24"/>
        </w:rPr>
        <w:t>Screen M</w:t>
      </w:r>
      <w:r w:rsidR="006A3BD0">
        <w:rPr>
          <w:rFonts w:ascii="Palatino Linotype" w:hAnsi="Palatino Linotype" w:eastAsia="Palatino Linotype" w:cs="Palatino Linotype"/>
          <w:sz w:val="24"/>
          <w:szCs w:val="24"/>
        </w:rPr>
        <w:t xml:space="preserve">, </w:t>
      </w:r>
      <w:r w:rsidR="00BE2D29">
        <w:rPr>
          <w:rFonts w:ascii="Palatino Linotype" w:hAnsi="Palatino Linotype" w:eastAsia="Palatino Linotype" w:cs="Palatino Linotype"/>
          <w:sz w:val="24"/>
          <w:szCs w:val="24"/>
        </w:rPr>
        <w:t xml:space="preserve">a generating system interconnects </w:t>
      </w:r>
      <w:r w:rsidR="006A3BD0">
        <w:rPr>
          <w:rFonts w:ascii="Palatino Linotype" w:hAnsi="Palatino Linotype" w:eastAsia="Palatino Linotype" w:cs="Palatino Linotype"/>
          <w:sz w:val="24"/>
          <w:szCs w:val="24"/>
        </w:rPr>
        <w:t xml:space="preserve">at </w:t>
      </w:r>
      <w:r w:rsidR="007B2DB7">
        <w:rPr>
          <w:rFonts w:ascii="Palatino Linotype" w:hAnsi="Palatino Linotype" w:eastAsia="Palatino Linotype" w:cs="Palatino Linotype"/>
          <w:sz w:val="24"/>
          <w:szCs w:val="24"/>
        </w:rPr>
        <w:t xml:space="preserve">the </w:t>
      </w:r>
      <w:r w:rsidRPr="00B61831" w:rsidR="00B61831">
        <w:rPr>
          <w:rFonts w:ascii="Palatino Linotype" w:hAnsi="Palatino Linotype" w:eastAsia="Palatino Linotype" w:cs="Palatino Linotype"/>
          <w:sz w:val="24"/>
          <w:szCs w:val="24"/>
        </w:rPr>
        <w:t xml:space="preserve">lesser of 90% of the </w:t>
      </w:r>
      <w:r w:rsidR="0063240E">
        <w:rPr>
          <w:rFonts w:ascii="Palatino Linotype" w:hAnsi="Palatino Linotype" w:eastAsia="Palatino Linotype" w:cs="Palatino Linotype"/>
          <w:sz w:val="24"/>
          <w:szCs w:val="24"/>
        </w:rPr>
        <w:t xml:space="preserve">minimum </w:t>
      </w:r>
      <w:r w:rsidRPr="00B61831" w:rsidR="00B61831">
        <w:rPr>
          <w:rFonts w:ascii="Palatino Linotype" w:hAnsi="Palatino Linotype" w:eastAsia="Palatino Linotype" w:cs="Palatino Linotype"/>
          <w:sz w:val="24"/>
          <w:szCs w:val="24"/>
        </w:rPr>
        <w:t>ICA</w:t>
      </w:r>
      <w:r w:rsidR="00393CA0">
        <w:rPr>
          <w:rFonts w:ascii="Palatino Linotype" w:hAnsi="Palatino Linotype" w:eastAsia="Palatino Linotype" w:cs="Palatino Linotype"/>
          <w:sz w:val="24"/>
          <w:szCs w:val="24"/>
        </w:rPr>
        <w:t>-</w:t>
      </w:r>
      <w:r w:rsidRPr="00B61831" w:rsidR="00B61831">
        <w:rPr>
          <w:rFonts w:ascii="Palatino Linotype" w:hAnsi="Palatino Linotype" w:eastAsia="Palatino Linotype" w:cs="Palatino Linotype"/>
          <w:sz w:val="24"/>
          <w:szCs w:val="24"/>
        </w:rPr>
        <w:t xml:space="preserve">Static Grid </w:t>
      </w:r>
      <w:r w:rsidR="00393CA0">
        <w:rPr>
          <w:rFonts w:ascii="Palatino Linotype" w:hAnsi="Palatino Linotype" w:eastAsia="Palatino Linotype" w:cs="Palatino Linotype"/>
          <w:sz w:val="24"/>
          <w:szCs w:val="24"/>
        </w:rPr>
        <w:t xml:space="preserve">(ICA-SG) </w:t>
      </w:r>
      <w:r w:rsidRPr="00B61831" w:rsidR="00B61831">
        <w:rPr>
          <w:rFonts w:ascii="Palatino Linotype" w:hAnsi="Palatino Linotype" w:eastAsia="Palatino Linotype" w:cs="Palatino Linotype"/>
          <w:sz w:val="24"/>
          <w:szCs w:val="24"/>
        </w:rPr>
        <w:t>and 90% of the minimum ICA</w:t>
      </w:r>
      <w:r w:rsidR="00393CA0">
        <w:rPr>
          <w:rFonts w:ascii="Palatino Linotype" w:hAnsi="Palatino Linotype" w:eastAsia="Palatino Linotype" w:cs="Palatino Linotype"/>
          <w:sz w:val="24"/>
          <w:szCs w:val="24"/>
        </w:rPr>
        <w:t>-</w:t>
      </w:r>
      <w:r w:rsidRPr="00B61831" w:rsidR="00B61831">
        <w:rPr>
          <w:rFonts w:ascii="Palatino Linotype" w:hAnsi="Palatino Linotype" w:eastAsia="Palatino Linotype" w:cs="Palatino Linotype"/>
          <w:sz w:val="24"/>
          <w:szCs w:val="24"/>
        </w:rPr>
        <w:t>Operational Flexibility</w:t>
      </w:r>
      <w:r w:rsidR="00393CA0">
        <w:rPr>
          <w:rFonts w:ascii="Palatino Linotype" w:hAnsi="Palatino Linotype" w:eastAsia="Palatino Linotype" w:cs="Palatino Linotype"/>
          <w:sz w:val="24"/>
          <w:szCs w:val="24"/>
        </w:rPr>
        <w:t xml:space="preserve"> (ICA-OF)</w:t>
      </w:r>
      <w:r w:rsidRPr="00D062C6" w:rsidR="00393CA0">
        <w:rPr>
          <w:rStyle w:val="FootnoteReference"/>
          <w:rFonts w:ascii="Palatino Linotype" w:hAnsi="Palatino Linotype" w:eastAsia="Palatino Linotype" w:cs="Palatino Linotype"/>
          <w:sz w:val="24"/>
          <w:szCs w:val="24"/>
        </w:rPr>
        <w:footnoteReference w:id="14"/>
      </w:r>
      <w:r w:rsidRPr="00FE58B3" w:rsidR="00393CA0">
        <w:rPr>
          <w:rFonts w:ascii="Palatino Linotype" w:hAnsi="Palatino Linotype" w:eastAsia="Palatino Linotype" w:cs="Palatino Linotype"/>
          <w:sz w:val="24"/>
          <w:szCs w:val="24"/>
          <w:vertAlign w:val="superscript"/>
        </w:rPr>
        <w:t>,</w:t>
      </w:r>
      <w:r w:rsidR="00393CA0">
        <w:rPr>
          <w:rStyle w:val="FootnoteReference"/>
          <w:rFonts w:ascii="Palatino Linotype" w:hAnsi="Palatino Linotype" w:eastAsia="Palatino Linotype" w:cs="Palatino Linotype"/>
          <w:sz w:val="24"/>
          <w:szCs w:val="24"/>
        </w:rPr>
        <w:footnoteReference w:id="15"/>
      </w:r>
      <w:r w:rsidR="0063240E">
        <w:rPr>
          <w:rFonts w:ascii="Palatino Linotype" w:hAnsi="Palatino Linotype" w:eastAsia="Palatino Linotype" w:cs="Palatino Linotype"/>
          <w:sz w:val="24"/>
          <w:szCs w:val="24"/>
        </w:rPr>
        <w:t xml:space="preserve"> value</w:t>
      </w:r>
      <w:r w:rsidR="00C17B9F">
        <w:rPr>
          <w:rFonts w:ascii="Palatino Linotype" w:hAnsi="Palatino Linotype" w:eastAsia="Palatino Linotype" w:cs="Palatino Linotype"/>
          <w:sz w:val="24"/>
          <w:szCs w:val="24"/>
        </w:rPr>
        <w:t>.  This</w:t>
      </w:r>
      <w:r w:rsidR="002F5B4E">
        <w:rPr>
          <w:rFonts w:ascii="Palatino Linotype" w:hAnsi="Palatino Linotype" w:eastAsia="Palatino Linotype" w:cs="Palatino Linotype"/>
          <w:sz w:val="24"/>
          <w:szCs w:val="24"/>
        </w:rPr>
        <w:t xml:space="preserve"> is the most limiting case </w:t>
      </w:r>
      <w:r w:rsidR="00CF769E">
        <w:rPr>
          <w:rFonts w:ascii="Palatino Linotype" w:hAnsi="Palatino Linotype" w:eastAsia="Palatino Linotype" w:cs="Palatino Linotype"/>
          <w:sz w:val="24"/>
          <w:szCs w:val="24"/>
        </w:rPr>
        <w:t>for hosting capacity</w:t>
      </w:r>
      <w:r w:rsidR="00703073">
        <w:rPr>
          <w:rFonts w:ascii="Palatino Linotype" w:hAnsi="Palatino Linotype" w:eastAsia="Palatino Linotype" w:cs="Palatino Linotype"/>
          <w:sz w:val="24"/>
          <w:szCs w:val="24"/>
        </w:rPr>
        <w:t xml:space="preserve"> to pass Screen M</w:t>
      </w:r>
      <w:r w:rsidR="0063240E">
        <w:rPr>
          <w:rFonts w:ascii="Palatino Linotype" w:hAnsi="Palatino Linotype" w:eastAsia="Palatino Linotype" w:cs="Palatino Linotype"/>
          <w:sz w:val="24"/>
          <w:szCs w:val="24"/>
        </w:rPr>
        <w:t>.</w:t>
      </w:r>
    </w:p>
    <w:p w:rsidR="00591D87" w:rsidP="00787DA1" w:rsidRDefault="00783F51" w14:paraId="17FA2943"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The </w:t>
      </w:r>
      <w:r w:rsidR="005C5788">
        <w:rPr>
          <w:rFonts w:ascii="Palatino Linotype" w:hAnsi="Palatino Linotype" w:eastAsia="Palatino Linotype" w:cs="Palatino Linotype"/>
          <w:sz w:val="24"/>
          <w:szCs w:val="24"/>
        </w:rPr>
        <w:t xml:space="preserve">LGP </w:t>
      </w:r>
      <w:r>
        <w:rPr>
          <w:rFonts w:ascii="Palatino Linotype" w:hAnsi="Palatino Linotype" w:eastAsia="Palatino Linotype" w:cs="Palatino Linotype"/>
          <w:sz w:val="24"/>
          <w:szCs w:val="24"/>
        </w:rPr>
        <w:t xml:space="preserve">option </w:t>
      </w:r>
      <w:r w:rsidR="005C5788">
        <w:rPr>
          <w:rFonts w:ascii="Palatino Linotype" w:hAnsi="Palatino Linotype" w:eastAsia="Palatino Linotype" w:cs="Palatino Linotype"/>
          <w:sz w:val="24"/>
          <w:szCs w:val="24"/>
        </w:rPr>
        <w:t>makes better use of the existing hosting capacity</w:t>
      </w:r>
      <w:r w:rsidR="00624843">
        <w:rPr>
          <w:rFonts w:ascii="Palatino Linotype" w:hAnsi="Palatino Linotype" w:eastAsia="Palatino Linotype" w:cs="Palatino Linotype"/>
          <w:sz w:val="24"/>
          <w:szCs w:val="24"/>
        </w:rPr>
        <w:t>—</w:t>
      </w:r>
      <w:r w:rsidR="005A4D48">
        <w:rPr>
          <w:rFonts w:ascii="Palatino Linotype" w:hAnsi="Palatino Linotype" w:eastAsia="Palatino Linotype" w:cs="Palatino Linotype"/>
          <w:sz w:val="24"/>
          <w:szCs w:val="24"/>
        </w:rPr>
        <w:t>a</w:t>
      </w:r>
      <w:r>
        <w:rPr>
          <w:rFonts w:ascii="Palatino Linotype" w:hAnsi="Palatino Linotype" w:eastAsia="Palatino Linotype" w:cs="Palatino Linotype"/>
          <w:sz w:val="24"/>
          <w:szCs w:val="24"/>
        </w:rPr>
        <w:t>n</w:t>
      </w:r>
      <w:r w:rsidR="00624843">
        <w:rPr>
          <w:rFonts w:ascii="Palatino Linotype" w:hAnsi="Palatino Linotype" w:eastAsia="Palatino Linotype" w:cs="Palatino Linotype"/>
          <w:sz w:val="24"/>
          <w:szCs w:val="24"/>
        </w:rPr>
        <w:t xml:space="preserve"> LGP more</w:t>
      </w:r>
      <w:r w:rsidR="005A4D48">
        <w:rPr>
          <w:rFonts w:ascii="Palatino Linotype" w:hAnsi="Palatino Linotype" w:eastAsia="Palatino Linotype" w:cs="Palatino Linotype"/>
          <w:sz w:val="24"/>
          <w:szCs w:val="24"/>
        </w:rPr>
        <w:t xml:space="preserve"> closely</w:t>
      </w:r>
      <w:r w:rsidR="00624843">
        <w:rPr>
          <w:rFonts w:ascii="Palatino Linotype" w:hAnsi="Palatino Linotype" w:eastAsia="Palatino Linotype" w:cs="Palatino Linotype"/>
          <w:sz w:val="24"/>
          <w:szCs w:val="24"/>
        </w:rPr>
        <w:t xml:space="preserve"> </w:t>
      </w:r>
      <w:r w:rsidR="005A4D48">
        <w:rPr>
          <w:rFonts w:ascii="Palatino Linotype" w:hAnsi="Palatino Linotype" w:eastAsia="Palatino Linotype" w:cs="Palatino Linotype"/>
          <w:sz w:val="24"/>
          <w:szCs w:val="24"/>
        </w:rPr>
        <w:t xml:space="preserve">resembles </w:t>
      </w:r>
      <w:r w:rsidR="00624843">
        <w:rPr>
          <w:rFonts w:ascii="Palatino Linotype" w:hAnsi="Palatino Linotype" w:eastAsia="Palatino Linotype" w:cs="Palatino Linotype"/>
          <w:sz w:val="24"/>
          <w:szCs w:val="24"/>
        </w:rPr>
        <w:t>the ICA-SG curve</w:t>
      </w:r>
      <w:r w:rsidR="0089544D">
        <w:rPr>
          <w:rFonts w:ascii="Palatino Linotype" w:hAnsi="Palatino Linotype" w:eastAsia="Palatino Linotype" w:cs="Palatino Linotype"/>
          <w:sz w:val="24"/>
          <w:szCs w:val="24"/>
        </w:rPr>
        <w:t>—</w:t>
      </w:r>
      <w:r w:rsidR="005C5788">
        <w:rPr>
          <w:rFonts w:ascii="Palatino Linotype" w:hAnsi="Palatino Linotype" w:eastAsia="Palatino Linotype" w:cs="Palatino Linotype"/>
          <w:sz w:val="24"/>
          <w:szCs w:val="24"/>
        </w:rPr>
        <w:t>by allowing a generating system to vary its export of power</w:t>
      </w:r>
      <w:r w:rsidR="00C95F90">
        <w:rPr>
          <w:rStyle w:val="FootnoteReference"/>
          <w:rFonts w:ascii="Palatino Linotype" w:hAnsi="Palatino Linotype" w:eastAsia="Palatino Linotype" w:cs="Palatino Linotype"/>
          <w:sz w:val="24"/>
          <w:szCs w:val="24"/>
        </w:rPr>
        <w:footnoteReference w:id="16"/>
      </w:r>
      <w:r w:rsidR="005C5788">
        <w:rPr>
          <w:rFonts w:ascii="Palatino Linotype" w:hAnsi="Palatino Linotype" w:eastAsia="Palatino Linotype" w:cs="Palatino Linotype"/>
          <w:sz w:val="24"/>
          <w:szCs w:val="24"/>
        </w:rPr>
        <w:t xml:space="preserve"> to the electric grid and to limit it to stay below the available hosting capacity at any given time.  By doing so, </w:t>
      </w:r>
      <w:r>
        <w:rPr>
          <w:rFonts w:ascii="Palatino Linotype" w:hAnsi="Palatino Linotype" w:eastAsia="Palatino Linotype" w:cs="Palatino Linotype"/>
          <w:sz w:val="24"/>
          <w:szCs w:val="24"/>
        </w:rPr>
        <w:t xml:space="preserve">the </w:t>
      </w:r>
      <w:r w:rsidRPr="00D062C6" w:rsidR="005C5788">
        <w:rPr>
          <w:rFonts w:ascii="Palatino Linotype" w:hAnsi="Palatino Linotype" w:eastAsia="Palatino Linotype" w:cs="Palatino Linotype"/>
          <w:sz w:val="24"/>
          <w:szCs w:val="24"/>
        </w:rPr>
        <w:t xml:space="preserve">LGP </w:t>
      </w:r>
      <w:r>
        <w:rPr>
          <w:rFonts w:ascii="Palatino Linotype" w:hAnsi="Palatino Linotype" w:eastAsia="Palatino Linotype" w:cs="Palatino Linotype"/>
          <w:sz w:val="24"/>
          <w:szCs w:val="24"/>
        </w:rPr>
        <w:t xml:space="preserve">option </w:t>
      </w:r>
      <w:r w:rsidRPr="00D062C6" w:rsidR="005C5788">
        <w:rPr>
          <w:rFonts w:ascii="Palatino Linotype" w:hAnsi="Palatino Linotype" w:eastAsia="Palatino Linotype" w:cs="Palatino Linotype"/>
          <w:sz w:val="24"/>
          <w:szCs w:val="24"/>
        </w:rPr>
        <w:t>allow</w:t>
      </w:r>
      <w:r w:rsidR="005C5788">
        <w:rPr>
          <w:rFonts w:ascii="Palatino Linotype" w:hAnsi="Palatino Linotype" w:eastAsia="Palatino Linotype" w:cs="Palatino Linotype"/>
          <w:sz w:val="24"/>
          <w:szCs w:val="24"/>
        </w:rPr>
        <w:t>s</w:t>
      </w:r>
      <w:r w:rsidRPr="00D062C6" w:rsidR="005C5788">
        <w:rPr>
          <w:rFonts w:ascii="Palatino Linotype" w:hAnsi="Palatino Linotype" w:eastAsia="Palatino Linotype" w:cs="Palatino Linotype"/>
          <w:sz w:val="24"/>
          <w:szCs w:val="24"/>
        </w:rPr>
        <w:t xml:space="preserve"> a generator to interconnect generation capacity </w:t>
      </w:r>
      <w:r w:rsidR="005C5788">
        <w:rPr>
          <w:rFonts w:ascii="Palatino Linotype" w:hAnsi="Palatino Linotype" w:eastAsia="Palatino Linotype" w:cs="Palatino Linotype"/>
          <w:sz w:val="24"/>
          <w:szCs w:val="24"/>
        </w:rPr>
        <w:t xml:space="preserve">without the need for grid upgrades at the time of application.  The LGP option allows the interconnected system to </w:t>
      </w:r>
      <w:r w:rsidRPr="00D062C6" w:rsidR="005C5788">
        <w:rPr>
          <w:rFonts w:ascii="Palatino Linotype" w:hAnsi="Palatino Linotype" w:eastAsia="Palatino Linotype" w:cs="Palatino Linotype"/>
          <w:sz w:val="24"/>
          <w:szCs w:val="24"/>
        </w:rPr>
        <w:t>“</w:t>
      </w:r>
      <w:r w:rsidR="005C5788">
        <w:rPr>
          <w:rFonts w:ascii="Palatino Linotype" w:hAnsi="Palatino Linotype" w:eastAsia="Palatino Linotype" w:cs="Palatino Linotype"/>
          <w:sz w:val="24"/>
          <w:szCs w:val="24"/>
        </w:rPr>
        <w:t>[</w:t>
      </w:r>
      <w:r w:rsidRPr="00D062C6" w:rsidR="005C5788">
        <w:rPr>
          <w:rFonts w:ascii="Palatino Linotype" w:hAnsi="Palatino Linotype" w:eastAsia="Palatino Linotype" w:cs="Palatino Linotype"/>
          <w:sz w:val="24"/>
          <w:szCs w:val="24"/>
        </w:rPr>
        <w:t>exceed</w:t>
      </w:r>
      <w:r w:rsidR="005C5788">
        <w:rPr>
          <w:rFonts w:ascii="Palatino Linotype" w:hAnsi="Palatino Linotype" w:eastAsia="Palatino Linotype" w:cs="Palatino Linotype"/>
          <w:sz w:val="24"/>
          <w:szCs w:val="24"/>
        </w:rPr>
        <w:t>]</w:t>
      </w:r>
      <w:r w:rsidRPr="00D062C6" w:rsidR="005C5788">
        <w:rPr>
          <w:rFonts w:ascii="Palatino Linotype" w:hAnsi="Palatino Linotype" w:eastAsia="Palatino Linotype" w:cs="Palatino Linotype"/>
          <w:sz w:val="24"/>
          <w:szCs w:val="24"/>
        </w:rPr>
        <w:t xml:space="preserve"> the minimum annual Interconnection Capacity Analysis-Static Grid (ICA-SG) value while remaining below the maximum ICA-SG at any given time.”</w:t>
      </w:r>
      <w:r w:rsidRPr="00D062C6" w:rsidR="005C5788">
        <w:rPr>
          <w:rStyle w:val="FootnoteReference"/>
          <w:rFonts w:ascii="Palatino Linotype" w:hAnsi="Palatino Linotype" w:eastAsia="Palatino Linotype" w:cs="Palatino Linotype"/>
          <w:sz w:val="24"/>
          <w:szCs w:val="24"/>
        </w:rPr>
        <w:footnoteReference w:id="17"/>
      </w:r>
      <w:r w:rsidR="00591D87">
        <w:rPr>
          <w:rFonts w:ascii="Palatino Linotype" w:hAnsi="Palatino Linotype" w:eastAsia="Palatino Linotype" w:cs="Palatino Linotype"/>
          <w:sz w:val="24"/>
          <w:szCs w:val="24"/>
        </w:rPr>
        <w:t xml:space="preserve"> Figures 1 and 2 in Appendix A provide further illustration and explanation of the LGP option.</w:t>
      </w:r>
    </w:p>
    <w:p w:rsidR="00787DA1" w:rsidP="00787DA1" w:rsidRDefault="00787DA1" w14:paraId="730DA523"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Despite </w:t>
      </w:r>
      <w:r w:rsidR="004861AE">
        <w:rPr>
          <w:rFonts w:ascii="Palatino Linotype" w:hAnsi="Palatino Linotype" w:eastAsia="Palatino Linotype" w:cs="Palatino Linotype"/>
          <w:sz w:val="24"/>
          <w:szCs w:val="24"/>
        </w:rPr>
        <w:t>a</w:t>
      </w:r>
      <w:r w:rsidR="00783F51">
        <w:rPr>
          <w:rFonts w:ascii="Palatino Linotype" w:hAnsi="Palatino Linotype" w:eastAsia="Palatino Linotype" w:cs="Palatino Linotype"/>
          <w:sz w:val="24"/>
          <w:szCs w:val="24"/>
        </w:rPr>
        <w:t>n</w:t>
      </w:r>
      <w:r w:rsidR="004861AE">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LGP</w:t>
      </w:r>
      <w:r w:rsidR="00783F51">
        <w:rPr>
          <w:rFonts w:ascii="Palatino Linotype" w:hAnsi="Palatino Linotype" w:eastAsia="Palatino Linotype" w:cs="Palatino Linotype"/>
          <w:sz w:val="24"/>
          <w:szCs w:val="24"/>
        </w:rPr>
        <w:t xml:space="preserve"> facility’s </w:t>
      </w:r>
      <w:r>
        <w:rPr>
          <w:rFonts w:ascii="Palatino Linotype" w:hAnsi="Palatino Linotype" w:eastAsia="Palatino Linotype" w:cs="Palatino Linotype"/>
          <w:sz w:val="24"/>
          <w:szCs w:val="24"/>
        </w:rPr>
        <w:t xml:space="preserve">ability to better utilize existing hosting capacity, the LGP </w:t>
      </w:r>
      <w:r w:rsidR="00783F51">
        <w:rPr>
          <w:rFonts w:ascii="Palatino Linotype" w:hAnsi="Palatino Linotype" w:eastAsia="Palatino Linotype" w:cs="Palatino Linotype"/>
          <w:sz w:val="24"/>
          <w:szCs w:val="24"/>
        </w:rPr>
        <w:t xml:space="preserve">option </w:t>
      </w:r>
      <w:r>
        <w:rPr>
          <w:rFonts w:ascii="Palatino Linotype" w:hAnsi="Palatino Linotype" w:eastAsia="Palatino Linotype" w:cs="Palatino Linotype"/>
          <w:sz w:val="24"/>
          <w:szCs w:val="24"/>
        </w:rPr>
        <w:t xml:space="preserve">is a static </w:t>
      </w:r>
      <w:r w:rsidR="0083704F">
        <w:rPr>
          <w:rFonts w:ascii="Palatino Linotype" w:hAnsi="Palatino Linotype" w:eastAsia="Palatino Linotype" w:cs="Palatino Linotype"/>
          <w:sz w:val="24"/>
          <w:szCs w:val="24"/>
        </w:rPr>
        <w:t xml:space="preserve">set of </w:t>
      </w:r>
      <w:r>
        <w:rPr>
          <w:rFonts w:ascii="Palatino Linotype" w:hAnsi="Palatino Linotype" w:eastAsia="Palatino Linotype" w:cs="Palatino Linotype"/>
          <w:sz w:val="24"/>
          <w:szCs w:val="24"/>
        </w:rPr>
        <w:t>value</w:t>
      </w:r>
      <w:r w:rsidR="0083704F">
        <w:rPr>
          <w:rFonts w:ascii="Palatino Linotype" w:hAnsi="Palatino Linotype" w:eastAsia="Palatino Linotype" w:cs="Palatino Linotype"/>
          <w:sz w:val="24"/>
          <w:szCs w:val="24"/>
        </w:rPr>
        <w:t>s</w:t>
      </w:r>
      <w:r>
        <w:rPr>
          <w:rFonts w:ascii="Palatino Linotype" w:hAnsi="Palatino Linotype" w:eastAsia="Palatino Linotype" w:cs="Palatino Linotype"/>
          <w:sz w:val="24"/>
          <w:szCs w:val="24"/>
        </w:rPr>
        <w:t xml:space="preserve"> </w:t>
      </w:r>
      <w:r w:rsidR="004179F8">
        <w:rPr>
          <w:rFonts w:ascii="Palatino Linotype" w:hAnsi="Palatino Linotype" w:eastAsia="Palatino Linotype" w:cs="Palatino Linotype"/>
          <w:sz w:val="24"/>
          <w:szCs w:val="24"/>
        </w:rPr>
        <w:t>that do</w:t>
      </w:r>
      <w:r w:rsidDel="004179F8">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not change </w:t>
      </w:r>
      <w:r w:rsidR="00282FF9">
        <w:rPr>
          <w:rFonts w:ascii="Palatino Linotype" w:hAnsi="Palatino Linotype" w:eastAsia="Palatino Linotype" w:cs="Palatino Linotype"/>
          <w:sz w:val="24"/>
          <w:szCs w:val="24"/>
        </w:rPr>
        <w:t>over time</w:t>
      </w:r>
      <w:r>
        <w:rPr>
          <w:rFonts w:ascii="Palatino Linotype" w:hAnsi="Palatino Linotype" w:eastAsia="Palatino Linotype" w:cs="Palatino Linotype"/>
          <w:sz w:val="24"/>
          <w:szCs w:val="24"/>
        </w:rPr>
        <w:t>—</w:t>
      </w:r>
      <w:r w:rsidR="0083704F">
        <w:rPr>
          <w:rFonts w:ascii="Palatino Linotype" w:hAnsi="Palatino Linotype" w:eastAsia="Palatino Linotype" w:cs="Palatino Linotype"/>
          <w:sz w:val="24"/>
          <w:szCs w:val="24"/>
        </w:rPr>
        <w:t xml:space="preserve">the profile </w:t>
      </w:r>
      <w:r>
        <w:rPr>
          <w:rFonts w:ascii="Palatino Linotype" w:hAnsi="Palatino Linotype" w:eastAsia="Palatino Linotype" w:cs="Palatino Linotype"/>
          <w:sz w:val="24"/>
          <w:szCs w:val="24"/>
        </w:rPr>
        <w:t xml:space="preserve">is determined and agreed upon through the interconnection process. </w:t>
      </w:r>
      <w:r w:rsidR="00840282">
        <w:rPr>
          <w:rFonts w:ascii="Palatino Linotype" w:hAnsi="Palatino Linotype" w:eastAsia="Palatino Linotype" w:cs="Palatino Linotype"/>
          <w:sz w:val="24"/>
          <w:szCs w:val="24"/>
        </w:rPr>
        <w:t xml:space="preserve"> </w:t>
      </w:r>
      <w:r w:rsidR="00505F86">
        <w:rPr>
          <w:rFonts w:ascii="Palatino Linotype" w:hAnsi="Palatino Linotype" w:eastAsia="Palatino Linotype" w:cs="Palatino Linotype"/>
          <w:sz w:val="24"/>
          <w:szCs w:val="24"/>
        </w:rPr>
        <w:t xml:space="preserve">Available hosting capacity, however, does change over time as </w:t>
      </w:r>
      <w:r w:rsidR="003971AB">
        <w:rPr>
          <w:rFonts w:ascii="Palatino Linotype" w:hAnsi="Palatino Linotype" w:eastAsia="Palatino Linotype" w:cs="Palatino Linotype"/>
          <w:sz w:val="24"/>
          <w:szCs w:val="24"/>
        </w:rPr>
        <w:t>grid conditions</w:t>
      </w:r>
      <w:r w:rsidR="007E7BA8">
        <w:rPr>
          <w:rFonts w:ascii="Palatino Linotype" w:hAnsi="Palatino Linotype" w:eastAsia="Palatino Linotype" w:cs="Palatino Linotype"/>
          <w:sz w:val="24"/>
          <w:szCs w:val="24"/>
        </w:rPr>
        <w:t xml:space="preserve"> evolve</w:t>
      </w:r>
      <w:r w:rsidR="00505F86">
        <w:rPr>
          <w:rFonts w:ascii="Palatino Linotype" w:hAnsi="Palatino Linotype" w:eastAsia="Palatino Linotype" w:cs="Palatino Linotype"/>
          <w:sz w:val="24"/>
          <w:szCs w:val="24"/>
        </w:rPr>
        <w:t xml:space="preserve">.  This changes </w:t>
      </w:r>
      <w:r w:rsidR="006822A7">
        <w:rPr>
          <w:rFonts w:ascii="Palatino Linotype" w:hAnsi="Palatino Linotype" w:eastAsia="Palatino Linotype" w:cs="Palatino Linotype"/>
          <w:sz w:val="24"/>
          <w:szCs w:val="24"/>
        </w:rPr>
        <w:t>the ICA-SG values</w:t>
      </w:r>
      <w:r w:rsidR="00505F86">
        <w:rPr>
          <w:rFonts w:ascii="Palatino Linotype" w:hAnsi="Palatino Linotype" w:eastAsia="Palatino Linotype" w:cs="Palatino Linotype"/>
          <w:sz w:val="24"/>
          <w:szCs w:val="24"/>
        </w:rPr>
        <w:t xml:space="preserve"> over time</w:t>
      </w:r>
      <w:r w:rsidR="002D5830">
        <w:rPr>
          <w:rFonts w:ascii="Palatino Linotype" w:hAnsi="Palatino Linotype" w:eastAsia="Palatino Linotype" w:cs="Palatino Linotype"/>
          <w:sz w:val="24"/>
          <w:szCs w:val="24"/>
        </w:rPr>
        <w:t>.  Future hosting capacity</w:t>
      </w:r>
      <w:r w:rsidR="002E5539">
        <w:rPr>
          <w:rFonts w:ascii="Palatino Linotype" w:hAnsi="Palatino Linotype" w:eastAsia="Palatino Linotype" w:cs="Palatino Linotype"/>
          <w:sz w:val="24"/>
          <w:szCs w:val="24"/>
        </w:rPr>
        <w:t xml:space="preserve"> </w:t>
      </w:r>
      <w:r w:rsidR="001E36BC">
        <w:rPr>
          <w:rFonts w:ascii="Palatino Linotype" w:hAnsi="Palatino Linotype" w:eastAsia="Palatino Linotype" w:cs="Palatino Linotype"/>
          <w:sz w:val="24"/>
          <w:szCs w:val="24"/>
        </w:rPr>
        <w:t xml:space="preserve">limits </w:t>
      </w:r>
      <w:r w:rsidR="002E5539">
        <w:rPr>
          <w:rFonts w:ascii="Palatino Linotype" w:hAnsi="Palatino Linotype" w:eastAsia="Palatino Linotype" w:cs="Palatino Linotype"/>
          <w:sz w:val="24"/>
          <w:szCs w:val="24"/>
        </w:rPr>
        <w:t xml:space="preserve">may </w:t>
      </w:r>
      <w:r w:rsidR="001E36BC">
        <w:rPr>
          <w:rFonts w:ascii="Palatino Linotype" w:hAnsi="Palatino Linotype" w:eastAsia="Palatino Linotype" w:cs="Palatino Linotype"/>
          <w:sz w:val="24"/>
          <w:szCs w:val="24"/>
        </w:rPr>
        <w:t>decrease</w:t>
      </w:r>
      <w:r w:rsidR="008164C8">
        <w:rPr>
          <w:rFonts w:ascii="Palatino Linotype" w:hAnsi="Palatino Linotype" w:eastAsia="Palatino Linotype" w:cs="Palatino Linotype"/>
          <w:sz w:val="24"/>
          <w:szCs w:val="24"/>
        </w:rPr>
        <w:t xml:space="preserve"> </w:t>
      </w:r>
      <w:r w:rsidR="00897250">
        <w:rPr>
          <w:rFonts w:ascii="Palatino Linotype" w:hAnsi="Palatino Linotype" w:eastAsia="Palatino Linotype" w:cs="Palatino Linotype"/>
          <w:sz w:val="24"/>
          <w:szCs w:val="24"/>
        </w:rPr>
        <w:t xml:space="preserve">and </w:t>
      </w:r>
      <w:r w:rsidR="004A5417">
        <w:rPr>
          <w:rFonts w:ascii="Palatino Linotype" w:hAnsi="Palatino Linotype" w:eastAsia="Palatino Linotype" w:cs="Palatino Linotype"/>
          <w:sz w:val="24"/>
          <w:szCs w:val="24"/>
        </w:rPr>
        <w:t xml:space="preserve">impede </w:t>
      </w:r>
      <w:r w:rsidR="00897250">
        <w:rPr>
          <w:rFonts w:ascii="Palatino Linotype" w:hAnsi="Palatino Linotype" w:eastAsia="Palatino Linotype" w:cs="Palatino Linotype"/>
          <w:sz w:val="24"/>
          <w:szCs w:val="24"/>
        </w:rPr>
        <w:t xml:space="preserve">a </w:t>
      </w:r>
      <w:r w:rsidR="004A5417">
        <w:rPr>
          <w:rFonts w:ascii="Palatino Linotype" w:hAnsi="Palatino Linotype" w:eastAsia="Palatino Linotype" w:cs="Palatino Linotype"/>
          <w:sz w:val="24"/>
          <w:szCs w:val="24"/>
        </w:rPr>
        <w:t xml:space="preserve">generating </w:t>
      </w:r>
      <w:r w:rsidR="00897250">
        <w:rPr>
          <w:rFonts w:ascii="Palatino Linotype" w:hAnsi="Palatino Linotype" w:eastAsia="Palatino Linotype" w:cs="Palatino Linotype"/>
          <w:sz w:val="24"/>
          <w:szCs w:val="24"/>
        </w:rPr>
        <w:t xml:space="preserve">system </w:t>
      </w:r>
      <w:r w:rsidR="004A5417">
        <w:rPr>
          <w:rFonts w:ascii="Palatino Linotype" w:hAnsi="Palatino Linotype" w:eastAsia="Palatino Linotype" w:cs="Palatino Linotype"/>
          <w:sz w:val="24"/>
          <w:szCs w:val="24"/>
        </w:rPr>
        <w:t xml:space="preserve">from </w:t>
      </w:r>
      <w:r w:rsidR="00897250">
        <w:rPr>
          <w:rFonts w:ascii="Palatino Linotype" w:hAnsi="Palatino Linotype" w:eastAsia="Palatino Linotype" w:cs="Palatino Linotype"/>
          <w:sz w:val="24"/>
          <w:szCs w:val="24"/>
        </w:rPr>
        <w:t>export</w:t>
      </w:r>
      <w:r w:rsidR="004A5417">
        <w:rPr>
          <w:rFonts w:ascii="Palatino Linotype" w:hAnsi="Palatino Linotype" w:eastAsia="Palatino Linotype" w:cs="Palatino Linotype"/>
          <w:sz w:val="24"/>
          <w:szCs w:val="24"/>
        </w:rPr>
        <w:t>ing power</w:t>
      </w:r>
      <w:r w:rsidR="00897250">
        <w:rPr>
          <w:rFonts w:ascii="Palatino Linotype" w:hAnsi="Palatino Linotype" w:eastAsia="Palatino Linotype" w:cs="Palatino Linotype"/>
          <w:sz w:val="24"/>
          <w:szCs w:val="24"/>
        </w:rPr>
        <w:t xml:space="preserve"> at the </w:t>
      </w:r>
      <w:r w:rsidR="003D212D">
        <w:rPr>
          <w:rFonts w:ascii="Palatino Linotype" w:hAnsi="Palatino Linotype" w:eastAsia="Palatino Linotype" w:cs="Palatino Linotype"/>
          <w:sz w:val="24"/>
          <w:szCs w:val="24"/>
        </w:rPr>
        <w:t xml:space="preserve">initially </w:t>
      </w:r>
      <w:r w:rsidR="00897250">
        <w:rPr>
          <w:rFonts w:ascii="Palatino Linotype" w:hAnsi="Palatino Linotype" w:eastAsia="Palatino Linotype" w:cs="Palatino Linotype"/>
          <w:sz w:val="24"/>
          <w:szCs w:val="24"/>
        </w:rPr>
        <w:t>agreed upon LGP</w:t>
      </w:r>
      <w:r w:rsidR="004A5417">
        <w:rPr>
          <w:rFonts w:ascii="Palatino Linotype" w:hAnsi="Palatino Linotype" w:eastAsia="Palatino Linotype" w:cs="Palatino Linotype"/>
          <w:sz w:val="24"/>
          <w:szCs w:val="24"/>
        </w:rPr>
        <w:t xml:space="preserve"> levels</w:t>
      </w:r>
      <w:r w:rsidR="003A186E">
        <w:rPr>
          <w:rFonts w:ascii="Palatino Linotype" w:hAnsi="Palatino Linotype" w:eastAsia="Palatino Linotype" w:cs="Palatino Linotype"/>
          <w:sz w:val="24"/>
          <w:szCs w:val="24"/>
        </w:rPr>
        <w:t xml:space="preserve">.  </w:t>
      </w:r>
      <w:r w:rsidR="002774C4">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  </w:t>
      </w:r>
    </w:p>
    <w:p w:rsidR="00851395" w:rsidP="00787DA1" w:rsidRDefault="00851395" w14:paraId="6D851996" w14:textId="77777777">
      <w:pPr>
        <w:pStyle w:val="Body"/>
        <w:rPr>
          <w:rFonts w:ascii="Palatino Linotype" w:hAnsi="Palatino Linotype" w:eastAsia="Palatino Linotype" w:cs="Palatino Linotype"/>
          <w:sz w:val="24"/>
          <w:szCs w:val="24"/>
        </w:rPr>
      </w:pPr>
      <w:r w:rsidRPr="00851395">
        <w:rPr>
          <w:rFonts w:ascii="Palatino Linotype" w:hAnsi="Palatino Linotype" w:eastAsia="Palatino Linotype" w:cs="Palatino Linotype"/>
          <w:sz w:val="24"/>
          <w:szCs w:val="24"/>
        </w:rPr>
        <w:lastRenderedPageBreak/>
        <w:t xml:space="preserve">According to the Working Group Two </w:t>
      </w:r>
      <w:r w:rsidR="00175F6E">
        <w:rPr>
          <w:rFonts w:ascii="Palatino Linotype" w:hAnsi="Palatino Linotype" w:eastAsia="Palatino Linotype" w:cs="Palatino Linotype"/>
          <w:sz w:val="24"/>
          <w:szCs w:val="24"/>
        </w:rPr>
        <w:t xml:space="preserve">Final </w:t>
      </w:r>
      <w:r w:rsidRPr="00851395">
        <w:rPr>
          <w:rFonts w:ascii="Palatino Linotype" w:hAnsi="Palatino Linotype" w:eastAsia="Palatino Linotype" w:cs="Palatino Linotype"/>
          <w:sz w:val="24"/>
          <w:szCs w:val="24"/>
        </w:rPr>
        <w:t>Report</w:t>
      </w:r>
      <w:r w:rsidR="006B0A8A">
        <w:rPr>
          <w:rFonts w:ascii="Palatino Linotype" w:hAnsi="Palatino Linotype" w:eastAsia="Palatino Linotype" w:cs="Palatino Linotype"/>
          <w:sz w:val="24"/>
          <w:szCs w:val="24"/>
        </w:rPr>
        <w:t>’s account of</w:t>
      </w:r>
      <w:r w:rsidRPr="00851395" w:rsidDel="006B0A8A">
        <w:rPr>
          <w:rFonts w:ascii="Palatino Linotype" w:hAnsi="Palatino Linotype" w:eastAsia="Palatino Linotype" w:cs="Palatino Linotype"/>
          <w:sz w:val="24"/>
          <w:szCs w:val="24"/>
        </w:rPr>
        <w:t xml:space="preserve"> </w:t>
      </w:r>
      <w:r w:rsidRPr="00851395">
        <w:rPr>
          <w:rFonts w:ascii="Palatino Linotype" w:hAnsi="Palatino Linotype" w:eastAsia="Palatino Linotype" w:cs="Palatino Linotype"/>
          <w:sz w:val="24"/>
          <w:szCs w:val="24"/>
        </w:rPr>
        <w:t xml:space="preserve">the </w:t>
      </w:r>
      <w:r w:rsidR="004D2BA9">
        <w:rPr>
          <w:rFonts w:ascii="Palatino Linotype" w:hAnsi="Palatino Linotype" w:eastAsia="Palatino Linotype" w:cs="Palatino Linotype"/>
          <w:sz w:val="24"/>
          <w:szCs w:val="24"/>
        </w:rPr>
        <w:t>Large</w:t>
      </w:r>
      <w:r w:rsidRPr="00851395">
        <w:rPr>
          <w:rFonts w:ascii="Palatino Linotype" w:hAnsi="Palatino Linotype" w:eastAsia="Palatino Linotype" w:cs="Palatino Linotype"/>
          <w:sz w:val="24"/>
          <w:szCs w:val="24"/>
        </w:rPr>
        <w:t xml:space="preserve"> IOUs’ counter proposal</w:t>
      </w:r>
      <w:r w:rsidR="000B5260">
        <w:rPr>
          <w:rFonts w:ascii="Palatino Linotype" w:hAnsi="Palatino Linotype" w:eastAsia="Palatino Linotype" w:cs="Palatino Linotype"/>
          <w:sz w:val="24"/>
          <w:szCs w:val="24"/>
        </w:rPr>
        <w:t>,</w:t>
      </w:r>
      <w:r w:rsidRPr="00851395">
        <w:rPr>
          <w:rFonts w:ascii="Palatino Linotype" w:hAnsi="Palatino Linotype" w:eastAsia="Palatino Linotype" w:cs="Palatino Linotype"/>
          <w:sz w:val="24"/>
          <w:szCs w:val="24"/>
        </w:rPr>
        <w:t xml:space="preserve"> a customer would agree to “to allow future reductions to generation profile. Determination of such reductions would be made by IOUs under defined circumstance.”</w:t>
      </w:r>
      <w:r w:rsidRPr="00851395">
        <w:rPr>
          <w:rStyle w:val="FootnoteReference"/>
          <w:rFonts w:ascii="Palatino Linotype" w:hAnsi="Palatino Linotype" w:eastAsia="Palatino Linotype" w:cs="Palatino Linotype"/>
          <w:sz w:val="24"/>
          <w:szCs w:val="24"/>
        </w:rPr>
        <w:footnoteReference w:id="18"/>
      </w:r>
      <w:r w:rsidRPr="00851395">
        <w:rPr>
          <w:rFonts w:ascii="Palatino Linotype" w:hAnsi="Palatino Linotype" w:eastAsia="Palatino Linotype" w:cs="Palatino Linotype"/>
          <w:sz w:val="24"/>
          <w:szCs w:val="24"/>
        </w:rPr>
        <w:t xml:space="preserve">  Furthermore, “the proposal acknowledges future grid conditions could result in actual hosting capacity being below the published [ICA-SG]. Under such circumstances, the utility may need to reduce generation to ensure safe and reliable service without grid upgrades.”</w:t>
      </w:r>
      <w:r w:rsidRPr="00851395">
        <w:rPr>
          <w:rStyle w:val="FootnoteReference"/>
          <w:rFonts w:ascii="Palatino Linotype" w:hAnsi="Palatino Linotype" w:eastAsia="Palatino Linotype" w:cs="Palatino Linotype"/>
          <w:sz w:val="24"/>
          <w:szCs w:val="24"/>
        </w:rPr>
        <w:footnoteReference w:id="19"/>
      </w:r>
      <w:r w:rsidRPr="00851395">
        <w:rPr>
          <w:rFonts w:ascii="Palatino Linotype" w:hAnsi="Palatino Linotype" w:eastAsia="Palatino Linotype" w:cs="Palatino Linotype"/>
          <w:sz w:val="24"/>
          <w:szCs w:val="24"/>
        </w:rPr>
        <w:t xml:space="preserve">  In adopting the Large IOUs’ counter proposal, the Decision “allow[s] Utilities opportunity to alter the profile if circumstances warranted.”</w:t>
      </w:r>
      <w:r w:rsidRPr="00851395">
        <w:rPr>
          <w:rStyle w:val="FootnoteReference"/>
          <w:rFonts w:ascii="Palatino Linotype" w:hAnsi="Palatino Linotype" w:eastAsia="Palatino Linotype" w:cs="Palatino Linotype"/>
          <w:sz w:val="24"/>
          <w:szCs w:val="24"/>
        </w:rPr>
        <w:footnoteReference w:id="20"/>
      </w:r>
      <w:r w:rsidRPr="00851395">
        <w:rPr>
          <w:rFonts w:ascii="Palatino Linotype" w:hAnsi="Palatino Linotype" w:eastAsia="Palatino Linotype" w:cs="Palatino Linotype"/>
          <w:sz w:val="24"/>
          <w:szCs w:val="24"/>
        </w:rPr>
        <w:t xml:space="preserve">  The Decision adopted this concept stating “Accordingly, we adopt the element that the utility may need to reduce generation to ensure safe and reliable service without grid updates.”</w:t>
      </w:r>
      <w:r w:rsidRPr="00851395">
        <w:rPr>
          <w:rStyle w:val="FootnoteReference"/>
          <w:rFonts w:ascii="Palatino Linotype" w:hAnsi="Palatino Linotype" w:eastAsia="Palatino Linotype" w:cs="Palatino Linotype"/>
          <w:sz w:val="24"/>
          <w:szCs w:val="24"/>
        </w:rPr>
        <w:footnoteReference w:id="21"/>
      </w:r>
      <w:r w:rsidR="00447E70">
        <w:rPr>
          <w:rFonts w:ascii="Palatino Linotype" w:hAnsi="Palatino Linotype" w:eastAsia="Palatino Linotype" w:cs="Palatino Linotype"/>
          <w:sz w:val="24"/>
          <w:szCs w:val="24"/>
        </w:rPr>
        <w:t xml:space="preserve">  </w:t>
      </w:r>
      <w:r w:rsidR="000413F1">
        <w:rPr>
          <w:rFonts w:ascii="Palatino Linotype" w:hAnsi="Palatino Linotype" w:eastAsia="Palatino Linotype" w:cs="Palatino Linotype"/>
          <w:sz w:val="24"/>
          <w:szCs w:val="24"/>
        </w:rPr>
        <w:t>Resolution E-5211 clarifie</w:t>
      </w:r>
      <w:r w:rsidR="001B0FAD">
        <w:rPr>
          <w:rFonts w:ascii="Palatino Linotype" w:hAnsi="Palatino Linotype" w:eastAsia="Palatino Linotype" w:cs="Palatino Linotype"/>
          <w:sz w:val="24"/>
          <w:szCs w:val="24"/>
        </w:rPr>
        <w:t>s</w:t>
      </w:r>
      <w:r w:rsidR="000413F1">
        <w:rPr>
          <w:rFonts w:ascii="Palatino Linotype" w:hAnsi="Palatino Linotype" w:eastAsia="Palatino Linotype" w:cs="Palatino Linotype"/>
          <w:sz w:val="24"/>
          <w:szCs w:val="24"/>
        </w:rPr>
        <w:t xml:space="preserve"> </w:t>
      </w:r>
      <w:r w:rsidR="009903C9">
        <w:rPr>
          <w:rFonts w:ascii="Palatino Linotype" w:hAnsi="Palatino Linotype" w:eastAsia="Palatino Linotype" w:cs="Palatino Linotype"/>
          <w:sz w:val="24"/>
          <w:szCs w:val="24"/>
        </w:rPr>
        <w:t xml:space="preserve">that reduction of the export value </w:t>
      </w:r>
      <w:r w:rsidR="00DF11B5">
        <w:rPr>
          <w:rFonts w:ascii="Palatino Linotype" w:hAnsi="Palatino Linotype" w:eastAsia="Palatino Linotype" w:cs="Palatino Linotype"/>
          <w:sz w:val="24"/>
          <w:szCs w:val="24"/>
        </w:rPr>
        <w:t>in response to future grid conditions is a limitation and not a requirement.</w:t>
      </w:r>
      <w:r w:rsidR="00DF11B5">
        <w:rPr>
          <w:rStyle w:val="FootnoteReference"/>
          <w:rFonts w:ascii="Palatino Linotype" w:hAnsi="Palatino Linotype" w:eastAsia="Palatino Linotype" w:cs="Palatino Linotype"/>
          <w:sz w:val="24"/>
          <w:szCs w:val="24"/>
        </w:rPr>
        <w:footnoteReference w:id="22"/>
      </w:r>
    </w:p>
    <w:p w:rsidRPr="00851395" w:rsidR="004421D6" w:rsidP="004421D6" w:rsidRDefault="004421D6" w14:paraId="263382A9" w14:textId="77777777">
      <w:pPr>
        <w:pStyle w:val="Body"/>
        <w:rPr>
          <w:rFonts w:ascii="Palatino Linotype" w:hAnsi="Palatino Linotype" w:eastAsia="Palatino Linotype" w:cs="Palatino Linotype"/>
          <w:sz w:val="24"/>
          <w:szCs w:val="24"/>
          <w:u w:val="single"/>
        </w:rPr>
      </w:pPr>
      <w:r w:rsidRPr="00851395">
        <w:rPr>
          <w:rFonts w:ascii="Palatino Linotype" w:hAnsi="Palatino Linotype" w:eastAsia="Palatino Linotype" w:cs="Palatino Linotype"/>
          <w:sz w:val="24"/>
          <w:szCs w:val="24"/>
          <w:u w:val="single"/>
        </w:rPr>
        <w:t>Use of Smart Inverter Functions</w:t>
      </w:r>
    </w:p>
    <w:p w:rsidRPr="00851395" w:rsidR="004421D6" w:rsidP="004421D6" w:rsidRDefault="004421D6" w14:paraId="212847EA" w14:textId="77777777">
      <w:pPr>
        <w:pStyle w:val="Body"/>
        <w:rPr>
          <w:rFonts w:ascii="Palatino Linotype" w:hAnsi="Palatino Linotype" w:eastAsia="Palatino Linotype" w:cs="Palatino Linotype"/>
          <w:sz w:val="24"/>
          <w:szCs w:val="24"/>
        </w:rPr>
      </w:pPr>
      <w:r w:rsidRPr="00851395">
        <w:rPr>
          <w:rFonts w:ascii="Palatino Linotype" w:hAnsi="Palatino Linotype" w:eastAsia="Palatino Linotype" w:cs="Palatino Linotype"/>
          <w:sz w:val="24"/>
          <w:szCs w:val="24"/>
        </w:rPr>
        <w:t xml:space="preserve">The </w:t>
      </w:r>
      <w:r>
        <w:rPr>
          <w:rFonts w:ascii="Palatino Linotype" w:hAnsi="Palatino Linotype" w:eastAsia="Palatino Linotype" w:cs="Palatino Linotype"/>
          <w:sz w:val="24"/>
          <w:szCs w:val="24"/>
        </w:rPr>
        <w:t xml:space="preserve">Large </w:t>
      </w:r>
      <w:r w:rsidRPr="00851395">
        <w:rPr>
          <w:rFonts w:ascii="Palatino Linotype" w:hAnsi="Palatino Linotype" w:eastAsia="Palatino Linotype" w:cs="Palatino Linotype"/>
          <w:sz w:val="24"/>
          <w:szCs w:val="24"/>
        </w:rPr>
        <w:t>IOU</w:t>
      </w:r>
      <w:r>
        <w:rPr>
          <w:rFonts w:ascii="Palatino Linotype" w:hAnsi="Palatino Linotype" w:eastAsia="Palatino Linotype" w:cs="Palatino Linotype"/>
          <w:sz w:val="24"/>
          <w:szCs w:val="24"/>
        </w:rPr>
        <w:t>s’</w:t>
      </w:r>
      <w:r w:rsidRPr="00851395">
        <w:rPr>
          <w:rFonts w:ascii="Palatino Linotype" w:hAnsi="Palatino Linotype" w:eastAsia="Palatino Linotype" w:cs="Palatino Linotype"/>
          <w:sz w:val="24"/>
          <w:szCs w:val="24"/>
        </w:rPr>
        <w:t xml:space="preserve"> counter proposal adopted by D.20-09-035 would “Allow Interconnecting DER To Be Evaluated and Operate Under Limited Generation Operation Limits Leveraging Smart Inverter Phase III Function 3 (Limit Maximum Real Power Mode).”</w:t>
      </w:r>
      <w:r w:rsidRPr="00851395">
        <w:rPr>
          <w:rStyle w:val="FootnoteReference"/>
          <w:rFonts w:ascii="Palatino Linotype" w:hAnsi="Palatino Linotype" w:eastAsia="Palatino Linotype" w:cs="Palatino Linotype"/>
          <w:sz w:val="24"/>
          <w:szCs w:val="24"/>
        </w:rPr>
        <w:footnoteReference w:id="23"/>
      </w:r>
      <w:r w:rsidRPr="00851395">
        <w:rPr>
          <w:rFonts w:ascii="Palatino Linotype" w:hAnsi="Palatino Linotype" w:eastAsia="Palatino Linotype" w:cs="Palatino Linotype"/>
          <w:sz w:val="24"/>
          <w:szCs w:val="24"/>
        </w:rPr>
        <w:t xml:space="preserve">  According to the Working Group Two Report the proposal requires:</w:t>
      </w:r>
    </w:p>
    <w:p w:rsidRPr="00851395" w:rsidR="004421D6" w:rsidP="004421D6" w:rsidRDefault="004421D6" w14:paraId="215BB087" w14:textId="77777777">
      <w:pPr>
        <w:pStyle w:val="Body"/>
        <w:ind w:left="720" w:right="720"/>
        <w:rPr>
          <w:rFonts w:ascii="Palatino Linotype" w:hAnsi="Palatino Linotype" w:eastAsia="Palatino Linotype" w:cs="Palatino Linotype"/>
          <w:sz w:val="24"/>
          <w:szCs w:val="24"/>
        </w:rPr>
      </w:pPr>
      <w:r w:rsidRPr="00851395">
        <w:rPr>
          <w:rFonts w:ascii="Palatino Linotype" w:hAnsi="Palatino Linotype" w:eastAsia="Palatino Linotype" w:cs="Palatino Linotype"/>
          <w:sz w:val="24"/>
          <w:szCs w:val="24"/>
        </w:rPr>
        <w:t>Update [of] the interconnection procedures to allow customers which have certified [smart inverter functions] Phase III inverters to use Phase III Function 3 (Limited Maximum Real Power Mode) in order to limit maximum power output based on seasons of the year.  This functionality must account for future changes in load profiles, which may require the Function 3 limits to be updated in order to prevent distribution safety and reliability issues.</w:t>
      </w:r>
      <w:r w:rsidRPr="00851395">
        <w:rPr>
          <w:rStyle w:val="FootnoteReference"/>
          <w:rFonts w:ascii="Palatino Linotype" w:hAnsi="Palatino Linotype" w:eastAsia="Palatino Linotype" w:cs="Palatino Linotype"/>
          <w:sz w:val="24"/>
          <w:szCs w:val="24"/>
        </w:rPr>
        <w:footnoteReference w:id="24"/>
      </w:r>
    </w:p>
    <w:p w:rsidRPr="00851395" w:rsidR="004421D6" w:rsidP="004421D6" w:rsidRDefault="004421D6" w14:paraId="559000AF" w14:textId="77777777">
      <w:pPr>
        <w:pStyle w:val="Body"/>
        <w:rPr>
          <w:rFonts w:ascii="Palatino Linotype" w:hAnsi="Palatino Linotype" w:eastAsia="Palatino Linotype" w:cs="Palatino Linotype"/>
          <w:sz w:val="24"/>
          <w:szCs w:val="24"/>
        </w:rPr>
      </w:pPr>
      <w:r w:rsidRPr="00851395">
        <w:rPr>
          <w:rFonts w:ascii="Palatino Linotype" w:hAnsi="Palatino Linotype" w:eastAsia="Palatino Linotype" w:cs="Palatino Linotype"/>
          <w:sz w:val="24"/>
          <w:szCs w:val="24"/>
        </w:rPr>
        <w:lastRenderedPageBreak/>
        <w:t>This allows DER customers to use a system’s ability to increase monthly generation output during times of the year when a higher level of ICA hosting capacity is available and decrease it during times when it is not available.  As part of using the LGP-option, a DER customer would agree to enable smart inverter functionality of Phase II communications and Phase III Function 3 “to ensure actual operations conform to the submitted Limited Generation Profile.”</w:t>
      </w:r>
      <w:r w:rsidRPr="00851395">
        <w:rPr>
          <w:rStyle w:val="FootnoteReference"/>
          <w:rFonts w:ascii="Palatino Linotype" w:hAnsi="Palatino Linotype" w:eastAsia="Palatino Linotype" w:cs="Palatino Linotype"/>
          <w:sz w:val="24"/>
          <w:szCs w:val="24"/>
        </w:rPr>
        <w:footnoteReference w:id="25"/>
      </w:r>
      <w:r w:rsidRPr="00851395">
        <w:rPr>
          <w:rFonts w:ascii="Palatino Linotype" w:hAnsi="Palatino Linotype" w:eastAsia="Palatino Linotype" w:cs="Palatino Linotype"/>
          <w:sz w:val="24"/>
          <w:szCs w:val="24"/>
        </w:rPr>
        <w:t xml:space="preserve">  </w:t>
      </w:r>
    </w:p>
    <w:p w:rsidRPr="00EC652B" w:rsidR="004421D6" w:rsidP="004421D6" w:rsidRDefault="004421D6" w14:paraId="10772B05" w14:textId="77777777">
      <w:pPr>
        <w:pStyle w:val="Body"/>
        <w:rPr>
          <w:rFonts w:ascii="Palatino Linotype" w:hAnsi="Palatino Linotype" w:eastAsia="Palatino Linotype" w:cs="Palatino Linotype"/>
          <w:sz w:val="24"/>
          <w:szCs w:val="24"/>
          <w:u w:val="single"/>
        </w:rPr>
      </w:pPr>
      <w:r w:rsidRPr="00EC652B">
        <w:rPr>
          <w:rFonts w:ascii="Palatino Linotype" w:hAnsi="Palatino Linotype" w:eastAsia="Palatino Linotype" w:cs="Palatino Linotype"/>
          <w:sz w:val="24"/>
          <w:szCs w:val="24"/>
          <w:u w:val="single"/>
        </w:rPr>
        <w:t xml:space="preserve">The Ten Percent (10%) Buffer  </w:t>
      </w:r>
    </w:p>
    <w:p w:rsidR="004421D6" w:rsidP="000E2B41" w:rsidRDefault="004421D6" w14:paraId="46BA1271"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The Decision adopted a 10</w:t>
      </w:r>
      <w:r w:rsidR="00550902">
        <w:rPr>
          <w:rFonts w:ascii="Palatino Linotype" w:hAnsi="Palatino Linotype" w:eastAsia="Palatino Linotype" w:cs="Palatino Linotype"/>
          <w:sz w:val="24"/>
          <w:szCs w:val="24"/>
        </w:rPr>
        <w:t xml:space="preserve"> percent </w:t>
      </w:r>
      <w:r>
        <w:rPr>
          <w:rFonts w:ascii="Palatino Linotype" w:hAnsi="Palatino Linotype" w:eastAsia="Palatino Linotype" w:cs="Palatino Linotype"/>
          <w:sz w:val="24"/>
          <w:szCs w:val="24"/>
        </w:rPr>
        <w:t>buffer on the ICA-SG value</w:t>
      </w:r>
      <w:r w:rsidR="00D32CB1">
        <w:rPr>
          <w:rFonts w:ascii="Palatino Linotype" w:hAnsi="Palatino Linotype" w:eastAsia="Palatino Linotype" w:cs="Palatino Linotype"/>
          <w:sz w:val="24"/>
          <w:szCs w:val="24"/>
        </w:rPr>
        <w:t>s</w:t>
      </w:r>
      <w:r>
        <w:rPr>
          <w:rFonts w:ascii="Palatino Linotype" w:hAnsi="Palatino Linotype" w:eastAsia="Palatino Linotype" w:cs="Palatino Linotype"/>
          <w:sz w:val="24"/>
          <w:szCs w:val="24"/>
        </w:rPr>
        <w:t xml:space="preserve"> to use for interconnections using the LGP option.  The 10</w:t>
      </w:r>
      <w:r w:rsidR="00550902">
        <w:rPr>
          <w:rFonts w:ascii="Palatino Linotype" w:hAnsi="Palatino Linotype" w:eastAsia="Palatino Linotype" w:cs="Palatino Linotype"/>
          <w:sz w:val="24"/>
          <w:szCs w:val="24"/>
        </w:rPr>
        <w:t xml:space="preserve"> percent</w:t>
      </w:r>
      <w:r>
        <w:rPr>
          <w:rFonts w:ascii="Palatino Linotype" w:hAnsi="Palatino Linotype" w:eastAsia="Palatino Linotype" w:cs="Palatino Linotype"/>
          <w:sz w:val="24"/>
          <w:szCs w:val="24"/>
        </w:rPr>
        <w:t xml:space="preserve"> buffer was adopted because the ICA </w:t>
      </w:r>
      <w:r w:rsidR="00BB5E1C">
        <w:rPr>
          <w:rFonts w:ascii="Palatino Linotype" w:hAnsi="Palatino Linotype" w:eastAsia="Palatino Linotype" w:cs="Palatino Linotype"/>
          <w:sz w:val="24"/>
          <w:szCs w:val="24"/>
        </w:rPr>
        <w:t>wa</w:t>
      </w:r>
      <w:r>
        <w:rPr>
          <w:rFonts w:ascii="Palatino Linotype" w:hAnsi="Palatino Linotype" w:eastAsia="Palatino Linotype" w:cs="Palatino Linotype"/>
          <w:sz w:val="24"/>
          <w:szCs w:val="24"/>
        </w:rPr>
        <w:t xml:space="preserve">s a new tool for interconnection purposes whose accuracy </w:t>
      </w:r>
      <w:r w:rsidR="00180BB5">
        <w:rPr>
          <w:rFonts w:ascii="Palatino Linotype" w:hAnsi="Palatino Linotype" w:eastAsia="Palatino Linotype" w:cs="Palatino Linotype"/>
          <w:sz w:val="24"/>
          <w:szCs w:val="24"/>
        </w:rPr>
        <w:t>wa</w:t>
      </w:r>
      <w:r>
        <w:rPr>
          <w:rFonts w:ascii="Palatino Linotype" w:hAnsi="Palatino Linotype" w:eastAsia="Palatino Linotype" w:cs="Palatino Linotype"/>
          <w:sz w:val="24"/>
          <w:szCs w:val="24"/>
        </w:rPr>
        <w:t>s untested in real-world situations</w:t>
      </w:r>
      <w:r w:rsidR="003D212D">
        <w:rPr>
          <w:rFonts w:ascii="Palatino Linotype" w:hAnsi="Palatino Linotype" w:eastAsia="Palatino Linotype" w:cs="Palatino Linotype"/>
          <w:sz w:val="24"/>
          <w:szCs w:val="24"/>
        </w:rPr>
        <w:t>. T</w:t>
      </w:r>
      <w:r>
        <w:rPr>
          <w:rFonts w:ascii="Palatino Linotype" w:hAnsi="Palatino Linotype" w:eastAsia="Palatino Linotype" w:cs="Palatino Linotype"/>
          <w:sz w:val="24"/>
          <w:szCs w:val="24"/>
        </w:rPr>
        <w:t xml:space="preserve">he Decision states “…[the] </w:t>
      </w:r>
      <w:r w:rsidRPr="00896A25">
        <w:rPr>
          <w:rFonts w:ascii="Palatino Linotype" w:hAnsi="Palatino Linotype" w:eastAsia="Palatino Linotype" w:cs="Palatino Linotype"/>
          <w:sz w:val="24"/>
          <w:szCs w:val="24"/>
        </w:rPr>
        <w:t>10</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percent</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buffer</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for</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the</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Issue</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9</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proposal</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will</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ensure</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the</w:t>
      </w:r>
      <w:r>
        <w:rPr>
          <w:rFonts w:ascii="Palatino Linotype" w:hAnsi="Palatino Linotype" w:eastAsia="Palatino Linotype" w:cs="Palatino Linotype"/>
          <w:sz w:val="24"/>
          <w:szCs w:val="24"/>
        </w:rPr>
        <w:t xml:space="preserve"> </w:t>
      </w:r>
      <w:r w:rsidRPr="00896A25">
        <w:rPr>
          <w:rFonts w:ascii="Palatino Linotype" w:hAnsi="Palatino Linotype" w:eastAsia="Palatino Linotype" w:cs="Palatino Linotype"/>
          <w:sz w:val="24"/>
          <w:szCs w:val="24"/>
        </w:rPr>
        <w:t xml:space="preserve">safety and reliability of the grid </w:t>
      </w:r>
      <w:r w:rsidRPr="000A5758">
        <w:rPr>
          <w:rFonts w:ascii="Palatino Linotype" w:hAnsi="Palatino Linotype" w:eastAsia="Palatino Linotype" w:cs="Palatino Linotype"/>
          <w:sz w:val="24"/>
          <w:szCs w:val="24"/>
        </w:rPr>
        <w:t>while we gather data on the accuracy of the Integration Capacity Analysis</w:t>
      </w:r>
      <w:r w:rsidRPr="00896A25">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w:t>
      </w:r>
      <w:r>
        <w:rPr>
          <w:rStyle w:val="FootnoteReference"/>
          <w:rFonts w:ascii="Palatino Linotype" w:hAnsi="Palatino Linotype" w:eastAsia="Palatino Linotype" w:cs="Palatino Linotype"/>
          <w:sz w:val="24"/>
          <w:szCs w:val="24"/>
        </w:rPr>
        <w:footnoteReference w:id="26"/>
      </w:r>
      <w:r>
        <w:rPr>
          <w:rFonts w:ascii="Palatino Linotype" w:hAnsi="Palatino Linotype" w:eastAsia="Palatino Linotype" w:cs="Palatino Linotype"/>
          <w:sz w:val="24"/>
          <w:szCs w:val="24"/>
        </w:rPr>
        <w:t xml:space="preserve"> </w:t>
      </w:r>
    </w:p>
    <w:p w:rsidR="00334DF4" w:rsidP="00334DF4" w:rsidRDefault="00873024" w14:paraId="6B6258A8" w14:textId="77777777">
      <w:pPr>
        <w:pStyle w:val="NormalWeb"/>
      </w:pPr>
      <w:r w:rsidRPr="00C11790">
        <w:rPr>
          <w:rFonts w:eastAsia="Palatino Linotype" w:cs="Palatino Linotype"/>
          <w:u w:val="single"/>
        </w:rPr>
        <w:t>Granularity of LGP</w:t>
      </w:r>
      <w:r w:rsidRPr="00C11790" w:rsidR="00334DF4">
        <w:rPr>
          <w:rFonts w:eastAsia="Palatino Linotype" w:cs="Palatino Linotype"/>
          <w:u w:val="single"/>
        </w:rPr>
        <w:t>—I</w:t>
      </w:r>
      <w:r w:rsidRPr="00C11790" w:rsidR="00334DF4">
        <w:rPr>
          <w:rFonts w:ascii="PalatinoLinotype" w:hAnsi="PalatinoLinotype"/>
          <w:u w:val="single"/>
        </w:rPr>
        <w:t>mplementing</w:t>
      </w:r>
      <w:r w:rsidR="00C11790">
        <w:rPr>
          <w:rFonts w:ascii="PalatinoLinotype" w:hAnsi="PalatinoLinotype"/>
          <w:u w:val="single"/>
        </w:rPr>
        <w:t xml:space="preserve"> </w:t>
      </w:r>
      <w:r w:rsidRPr="00C11790" w:rsidR="00334DF4">
        <w:rPr>
          <w:rFonts w:ascii="PalatinoLinotype" w:hAnsi="PalatinoLinotype"/>
          <w:u w:val="single"/>
        </w:rPr>
        <w:t>More</w:t>
      </w:r>
      <w:r w:rsidR="00C11790">
        <w:rPr>
          <w:rFonts w:ascii="PalatinoLinotype" w:hAnsi="PalatinoLinotype"/>
          <w:u w:val="single"/>
        </w:rPr>
        <w:t xml:space="preserve"> </w:t>
      </w:r>
      <w:r w:rsidRPr="00C11790" w:rsidR="00334DF4">
        <w:rPr>
          <w:rFonts w:ascii="PalatinoLinotype" w:hAnsi="PalatinoLinotype"/>
          <w:u w:val="single"/>
        </w:rPr>
        <w:t>Than</w:t>
      </w:r>
      <w:r w:rsidR="00C11790">
        <w:rPr>
          <w:rFonts w:ascii="PalatinoLinotype" w:hAnsi="PalatinoLinotype"/>
          <w:u w:val="single"/>
        </w:rPr>
        <w:t xml:space="preserve"> </w:t>
      </w:r>
      <w:r w:rsidRPr="00C11790" w:rsidR="00334DF4">
        <w:rPr>
          <w:rFonts w:ascii="PalatinoLinotype" w:hAnsi="PalatinoLinotype"/>
          <w:u w:val="single"/>
        </w:rPr>
        <w:t>12</w:t>
      </w:r>
      <w:r w:rsidR="00C11790">
        <w:rPr>
          <w:rFonts w:ascii="PalatinoLinotype" w:hAnsi="PalatinoLinotype"/>
          <w:u w:val="single"/>
        </w:rPr>
        <w:t xml:space="preserve"> </w:t>
      </w:r>
      <w:r w:rsidRPr="00C11790" w:rsidR="00334DF4">
        <w:rPr>
          <w:rFonts w:ascii="PalatinoLinotype" w:hAnsi="PalatinoLinotype"/>
          <w:u w:val="single"/>
        </w:rPr>
        <w:t>LGP</w:t>
      </w:r>
      <w:r w:rsidR="00C11790">
        <w:rPr>
          <w:rFonts w:ascii="PalatinoLinotype" w:hAnsi="PalatinoLinotype"/>
          <w:u w:val="single"/>
        </w:rPr>
        <w:t xml:space="preserve"> </w:t>
      </w:r>
      <w:r w:rsidRPr="00C11790" w:rsidR="00334DF4">
        <w:rPr>
          <w:rFonts w:ascii="PalatinoLinotype" w:hAnsi="PalatinoLinotype"/>
          <w:u w:val="single"/>
        </w:rPr>
        <w:t>Values</w:t>
      </w:r>
      <w:r w:rsidR="00C11790">
        <w:rPr>
          <w:rFonts w:ascii="PalatinoLinotype" w:hAnsi="PalatinoLinotype"/>
          <w:u w:val="single"/>
        </w:rPr>
        <w:t xml:space="preserve"> </w:t>
      </w:r>
      <w:r w:rsidRPr="00C11790" w:rsidR="00334DF4">
        <w:rPr>
          <w:rFonts w:ascii="PalatinoLinotype" w:hAnsi="PalatinoLinotype"/>
          <w:u w:val="single"/>
        </w:rPr>
        <w:t>Per</w:t>
      </w:r>
      <w:r w:rsidR="00C11790">
        <w:rPr>
          <w:rFonts w:ascii="PalatinoLinotype" w:hAnsi="PalatinoLinotype"/>
          <w:u w:val="single"/>
        </w:rPr>
        <w:t xml:space="preserve"> </w:t>
      </w:r>
      <w:r w:rsidRPr="00C11790" w:rsidR="00334DF4">
        <w:rPr>
          <w:rFonts w:ascii="PalatinoLinotype" w:hAnsi="PalatinoLinotype"/>
          <w:u w:val="single"/>
        </w:rPr>
        <w:t>Year</w:t>
      </w:r>
      <w:r w:rsidR="00334DF4">
        <w:rPr>
          <w:rFonts w:ascii="PalatinoLinotype" w:hAnsi="PalatinoLinotype"/>
          <w:b/>
          <w:bCs/>
        </w:rPr>
        <w:t xml:space="preserve"> </w:t>
      </w:r>
    </w:p>
    <w:p w:rsidR="00A43B33" w:rsidP="00FD62EB" w:rsidRDefault="00AE3932" w14:paraId="36F01C8B" w14:textId="77777777">
      <w:pPr>
        <w:pStyle w:val="NormalWeb"/>
        <w:rPr>
          <w:rFonts w:ascii="PalatinoLinotype" w:hAnsi="PalatinoLinotype"/>
        </w:rPr>
      </w:pPr>
      <w:r>
        <w:rPr>
          <w:rFonts w:ascii="PalatinoLinotype" w:hAnsi="PalatinoLinotype"/>
        </w:rPr>
        <w:t>Resolution E-5230 states</w:t>
      </w:r>
      <w:r w:rsidR="00C11790">
        <w:rPr>
          <w:rFonts w:ascii="PalatinoLinotype" w:hAnsi="PalatinoLinotype"/>
        </w:rPr>
        <w:t xml:space="preserve"> “</w:t>
      </w:r>
      <w:r w:rsidR="009D3933">
        <w:rPr>
          <w:rFonts w:ascii="PalatinoLinotype" w:hAnsi="PalatinoLinotype"/>
        </w:rPr>
        <w:t xml:space="preserve">In the Working Group Two Report discussion of LGP (Issue 9) </w:t>
      </w:r>
      <w:r w:rsidR="00180C3A">
        <w:rPr>
          <w:rFonts w:ascii="PalatinoLinotype" w:hAnsi="PalatinoLinotype"/>
        </w:rPr>
        <w:t>t</w:t>
      </w:r>
      <w:r w:rsidR="00FD62EB">
        <w:rPr>
          <w:rFonts w:ascii="PalatinoLinotype" w:hAnsi="PalatinoLinotype"/>
        </w:rPr>
        <w:t>he Large IOUs counter proposal, which was modified and adapted by the Decision, proposed to submit the LGP in a standard 288-hour format</w:t>
      </w:r>
      <w:r w:rsidR="00C11790">
        <w:rPr>
          <w:rFonts w:ascii="PalatinoLinotype" w:hAnsi="PalatinoLinotype"/>
        </w:rPr>
        <w:t>”</w:t>
      </w:r>
      <w:r w:rsidR="00180C3A">
        <w:rPr>
          <w:rStyle w:val="FootnoteReference"/>
          <w:rFonts w:ascii="PalatinoLinotype" w:hAnsi="PalatinoLinotype"/>
        </w:rPr>
        <w:footnoteReference w:id="27"/>
      </w:r>
      <w:r w:rsidR="008D3244">
        <w:rPr>
          <w:rFonts w:ascii="PalatinoLinotype" w:hAnsi="PalatinoLinotype"/>
        </w:rPr>
        <w:t xml:space="preserve"> a</w:t>
      </w:r>
      <w:r w:rsidR="00A43B33">
        <w:rPr>
          <w:rFonts w:ascii="PalatinoLinotype" w:hAnsi="PalatinoLinotype"/>
        </w:rPr>
        <w:t>nd</w:t>
      </w:r>
      <w:r w:rsidR="008D3244">
        <w:rPr>
          <w:rFonts w:ascii="PalatinoLinotype" w:hAnsi="PalatinoLinotype"/>
        </w:rPr>
        <w:t>:</w:t>
      </w:r>
    </w:p>
    <w:p w:rsidR="008D3244" w:rsidP="008D3244" w:rsidRDefault="00A43B33" w14:paraId="3483CF8C" w14:textId="77777777">
      <w:pPr>
        <w:pStyle w:val="NormalWeb"/>
        <w:ind w:left="720"/>
        <w:rPr>
          <w:rFonts w:ascii="PalatinoLinotype" w:hAnsi="PalatinoLinotype"/>
        </w:rPr>
      </w:pPr>
      <w:r>
        <w:rPr>
          <w:rFonts w:ascii="PalatinoLinotype" w:hAnsi="PalatinoLinotype"/>
        </w:rPr>
        <w:t xml:space="preserve">In adopting a modified version of the Large IOUs’ counter proposal, the Decision modified the proposal such that the “frequency of changes is expanded to monthly limits to align with the Integration Capacity Analysis.” </w:t>
      </w:r>
      <w:r w:rsidR="00F85F2E">
        <w:rPr>
          <w:rFonts w:ascii="PalatinoLinotype" w:hAnsi="PalatinoLinotype"/>
        </w:rPr>
        <w:t xml:space="preserve">The Decision, however, did not specify that the monthly profile was limited to only one value. The Decision addressed the frequency of change and did not restrict the number of values within a month to be only one </w:t>
      </w:r>
      <w:proofErr w:type="gramStart"/>
      <w:r w:rsidR="00F85F2E">
        <w:rPr>
          <w:rFonts w:ascii="PalatinoLinotype" w:hAnsi="PalatinoLinotype"/>
        </w:rPr>
        <w:t>…</w:t>
      </w:r>
      <w:r w:rsidR="00CF5556">
        <w:rPr>
          <w:rFonts w:ascii="PalatinoLinotype" w:hAnsi="PalatinoLinotype"/>
        </w:rPr>
        <w:t xml:space="preserve"> .</w:t>
      </w:r>
      <w:proofErr w:type="gramEnd"/>
      <w:r w:rsidR="00F85F2E">
        <w:rPr>
          <w:rFonts w:ascii="PalatinoLinotype" w:hAnsi="PalatinoLinotype"/>
        </w:rPr>
        <w:t xml:space="preserve"> </w:t>
      </w:r>
      <w:r w:rsidR="008D3244">
        <w:rPr>
          <w:rFonts w:ascii="PalatinoLinotype" w:hAnsi="PalatinoLinotype"/>
        </w:rPr>
        <w:t>Large IOUs are therefore directed to discuss the 288-hour format and how it may allow for more than one value per month.</w:t>
      </w:r>
      <w:r w:rsidR="0074534D">
        <w:rPr>
          <w:rStyle w:val="FootnoteReference"/>
          <w:rFonts w:ascii="PalatinoLinotype" w:hAnsi="PalatinoLinotype"/>
        </w:rPr>
        <w:footnoteReference w:id="28"/>
      </w:r>
      <w:r w:rsidR="008D3244">
        <w:rPr>
          <w:rFonts w:ascii="PalatinoLinotype" w:hAnsi="PalatinoLinotype"/>
        </w:rPr>
        <w:t xml:space="preserve"> </w:t>
      </w:r>
    </w:p>
    <w:p w:rsidR="002D3E69" w:rsidP="00C94542" w:rsidRDefault="00E316BB" w14:paraId="3FBDF98A" w14:textId="77777777">
      <w:pPr>
        <w:pStyle w:val="NormalWeb"/>
        <w:rPr>
          <w:rFonts w:ascii="PalatinoLinotype" w:hAnsi="PalatinoLinotype"/>
        </w:rPr>
      </w:pPr>
      <w:r>
        <w:rPr>
          <w:rFonts w:ascii="PalatinoLinotype" w:hAnsi="PalatinoLinotype"/>
        </w:rPr>
        <w:t>In comments to the draft Resolution E-5230, the</w:t>
      </w:r>
      <w:r w:rsidR="00C94542">
        <w:rPr>
          <w:rFonts w:ascii="PalatinoLinotype" w:hAnsi="PalatinoLinotype"/>
        </w:rPr>
        <w:t xml:space="preserve"> Large IOUs </w:t>
      </w:r>
      <w:r>
        <w:rPr>
          <w:rFonts w:ascii="PalatinoLinotype" w:hAnsi="PalatinoLinotype"/>
        </w:rPr>
        <w:t>stated</w:t>
      </w:r>
      <w:r w:rsidR="00C94542">
        <w:rPr>
          <w:rFonts w:ascii="PalatinoLinotype" w:hAnsi="PalatinoLinotype"/>
        </w:rPr>
        <w:t xml:space="preserve"> “the </w:t>
      </w:r>
      <w:r w:rsidR="0069071C">
        <w:rPr>
          <w:rFonts w:ascii="PalatinoLinotype" w:hAnsi="PalatinoLinotype"/>
        </w:rPr>
        <w:t>[D]</w:t>
      </w:r>
      <w:proofErr w:type="spellStart"/>
      <w:r w:rsidR="00C94542">
        <w:rPr>
          <w:rFonts w:ascii="PalatinoLinotype" w:hAnsi="PalatinoLinotype"/>
        </w:rPr>
        <w:t>ecision’s</w:t>
      </w:r>
      <w:proofErr w:type="spellEnd"/>
      <w:r w:rsidR="00C94542">
        <w:rPr>
          <w:rFonts w:ascii="PalatinoLinotype" w:hAnsi="PalatinoLinotype"/>
        </w:rPr>
        <w:t xml:space="preserve"> “modification” of the “Utilities’ counter proposal” adopted monthly limits, i.e., </w:t>
      </w:r>
      <w:r w:rsidR="00751CAA">
        <w:rPr>
          <w:rFonts w:ascii="PalatinoLinotype" w:hAnsi="PalatinoLinotype"/>
        </w:rPr>
        <w:br/>
      </w:r>
      <w:r w:rsidR="00C94542">
        <w:rPr>
          <w:rFonts w:ascii="PalatinoLinotype" w:hAnsi="PalatinoLinotype"/>
        </w:rPr>
        <w:lastRenderedPageBreak/>
        <w:t>12 different limits per year (one per month); it did not allow different hourly limits within a month."</w:t>
      </w:r>
      <w:r w:rsidR="0023784C">
        <w:rPr>
          <w:rStyle w:val="FootnoteReference"/>
          <w:rFonts w:ascii="PalatinoLinotype" w:hAnsi="PalatinoLinotype"/>
        </w:rPr>
        <w:footnoteReference w:id="29"/>
      </w:r>
      <w:r w:rsidR="00C94542">
        <w:rPr>
          <w:rFonts w:ascii="PalatinoLinotype" w:hAnsi="PalatinoLinotype"/>
        </w:rPr>
        <w:t xml:space="preserve">  </w:t>
      </w:r>
    </w:p>
    <w:p w:rsidR="00E65875" w:rsidP="002D3E69" w:rsidRDefault="002D3E69" w14:paraId="761AE824" w14:textId="77777777">
      <w:pPr>
        <w:pStyle w:val="NormalWeb"/>
        <w:rPr>
          <w:rFonts w:ascii="PalatinoLinotype" w:hAnsi="PalatinoLinotype"/>
        </w:rPr>
      </w:pPr>
      <w:r>
        <w:rPr>
          <w:rFonts w:ascii="PalatinoLinotype" w:hAnsi="PalatinoLinotype"/>
        </w:rPr>
        <w:t>In response to the Large IOUs</w:t>
      </w:r>
      <w:r w:rsidR="006B17BB">
        <w:rPr>
          <w:rFonts w:ascii="PalatinoLinotype" w:hAnsi="PalatinoLinotype"/>
        </w:rPr>
        <w:t>’</w:t>
      </w:r>
      <w:r>
        <w:rPr>
          <w:rFonts w:ascii="PalatinoLinotype" w:hAnsi="PalatinoLinotype"/>
        </w:rPr>
        <w:t xml:space="preserve"> argument, Resolution E-5230 </w:t>
      </w:r>
      <w:r w:rsidR="004B1216">
        <w:rPr>
          <w:rFonts w:ascii="PalatinoLinotype" w:hAnsi="PalatinoLinotype"/>
        </w:rPr>
        <w:t xml:space="preserve">clarifies </w:t>
      </w:r>
      <w:r>
        <w:rPr>
          <w:rFonts w:ascii="PalatinoLinotype" w:hAnsi="PalatinoLinotype"/>
        </w:rPr>
        <w:t>the Commission did not “agree with the Large IOUs that the draft Resolution mischaracterizes what was adopted in the Decision with regards to the granularity of LGP schedules. As stated in the draft Resolution, the Decision did not specify the monthly profile was limited to only one value”</w:t>
      </w:r>
      <w:r w:rsidR="0023784C">
        <w:rPr>
          <w:rStyle w:val="FootnoteReference"/>
          <w:rFonts w:ascii="PalatinoLinotype" w:hAnsi="PalatinoLinotype"/>
        </w:rPr>
        <w:footnoteReference w:id="30"/>
      </w:r>
      <w:r w:rsidR="00E65875">
        <w:rPr>
          <w:rFonts w:ascii="PalatinoLinotype" w:hAnsi="PalatinoLinotype"/>
        </w:rPr>
        <w:t xml:space="preserve"> and the original language </w:t>
      </w:r>
      <w:r w:rsidR="00CB136C">
        <w:rPr>
          <w:rFonts w:ascii="PalatinoLinotype" w:hAnsi="PalatinoLinotype"/>
        </w:rPr>
        <w:t>of</w:t>
      </w:r>
      <w:r w:rsidR="00E65875">
        <w:rPr>
          <w:rFonts w:ascii="PalatinoLinotype" w:hAnsi="PalatinoLinotype"/>
        </w:rPr>
        <w:t xml:space="preserve"> the draft Resolution was not altered.</w:t>
      </w:r>
    </w:p>
    <w:p w:rsidRPr="00331656" w:rsidR="00331656" w:rsidP="009551A2" w:rsidRDefault="00331656" w14:paraId="01489216" w14:textId="77777777">
      <w:pPr>
        <w:pStyle w:val="Body"/>
        <w:numPr>
          <w:ilvl w:val="0"/>
          <w:numId w:val="8"/>
        </w:numPr>
        <w:rPr>
          <w:rFonts w:ascii="Palatino Linotype" w:hAnsi="Palatino Linotype" w:eastAsia="Palatino Linotype" w:cs="Palatino Linotype"/>
          <w:b/>
          <w:bCs/>
          <w:sz w:val="24"/>
          <w:szCs w:val="24"/>
        </w:rPr>
      </w:pPr>
      <w:r w:rsidRPr="00331656">
        <w:rPr>
          <w:rFonts w:ascii="Palatino Linotype" w:hAnsi="Palatino Linotype" w:eastAsia="Palatino Linotype" w:cs="Palatino Linotype"/>
          <w:b/>
          <w:bCs/>
          <w:sz w:val="24"/>
          <w:szCs w:val="24"/>
        </w:rPr>
        <w:t>Resolution E-5211, J</w:t>
      </w:r>
      <w:r w:rsidRPr="00331656">
        <w:rPr>
          <w:rFonts w:ascii="Palatino Linotype" w:hAnsi="Palatino Linotype" w:cstheme="minorHAnsi"/>
          <w:b/>
          <w:bCs/>
          <w:sz w:val="24"/>
          <w:szCs w:val="24"/>
        </w:rPr>
        <w:t xml:space="preserve">oint January LGP AL, </w:t>
      </w:r>
      <w:r w:rsidRPr="00331656">
        <w:rPr>
          <w:rFonts w:ascii="Palatino Linotype" w:hAnsi="Palatino Linotype" w:eastAsia="Palatino Linotype" w:cs="Palatino Linotype"/>
          <w:b/>
          <w:bCs/>
          <w:sz w:val="24"/>
          <w:szCs w:val="24"/>
        </w:rPr>
        <w:t>Joint Alternate Proposal, and Supplement to Joi</w:t>
      </w:r>
      <w:r w:rsidRPr="00331656">
        <w:rPr>
          <w:rFonts w:ascii="Palatino Linotype" w:hAnsi="Palatino Linotype" w:cstheme="minorHAnsi"/>
          <w:b/>
          <w:bCs/>
          <w:sz w:val="24"/>
          <w:szCs w:val="24"/>
        </w:rPr>
        <w:t>nt January LGP AL Responding to Joint Alternate Proposal</w:t>
      </w:r>
    </w:p>
    <w:p w:rsidR="00CF5556" w:rsidP="00331656" w:rsidRDefault="00331656" w14:paraId="581903C6" w14:textId="77777777">
      <w:pPr>
        <w:pStyle w:val="Body"/>
        <w:rPr>
          <w:rFonts w:ascii="Palatino Linotype" w:hAnsi="Palatino Linotype" w:eastAsia="Palatino Linotype" w:cs="Palatino Linotype"/>
          <w:sz w:val="24"/>
          <w:szCs w:val="24"/>
          <w:u w:val="single"/>
        </w:rPr>
      </w:pPr>
      <w:r w:rsidRPr="00331656">
        <w:rPr>
          <w:rFonts w:ascii="Palatino Linotype" w:hAnsi="Palatino Linotype" w:eastAsia="Palatino Linotype" w:cs="Palatino Linotype"/>
          <w:sz w:val="24"/>
          <w:szCs w:val="24"/>
          <w:u w:val="single"/>
        </w:rPr>
        <w:t xml:space="preserve">January 2021 Advice Letters </w:t>
      </w:r>
      <w:r w:rsidR="007F2CEA">
        <w:rPr>
          <w:rFonts w:ascii="Palatino Linotype" w:hAnsi="Palatino Linotype" w:eastAsia="Palatino Linotype" w:cs="Palatino Linotype"/>
          <w:sz w:val="24"/>
          <w:szCs w:val="24"/>
          <w:u w:val="single"/>
        </w:rPr>
        <w:t xml:space="preserve">to comply with </w:t>
      </w:r>
      <w:r w:rsidRPr="00331656">
        <w:rPr>
          <w:rFonts w:ascii="Palatino Linotype" w:hAnsi="Palatino Linotype" w:eastAsia="Palatino Linotype" w:cs="Palatino Linotype"/>
          <w:sz w:val="24"/>
          <w:szCs w:val="24"/>
          <w:u w:val="single"/>
        </w:rPr>
        <w:t>OP 16 of Decision</w:t>
      </w:r>
      <w:r>
        <w:rPr>
          <w:rFonts w:ascii="Palatino Linotype" w:hAnsi="Palatino Linotype" w:eastAsia="Palatino Linotype" w:cs="Palatino Linotype"/>
          <w:sz w:val="24"/>
          <w:szCs w:val="24"/>
          <w:u w:val="single"/>
        </w:rPr>
        <w:t xml:space="preserve"> </w:t>
      </w:r>
    </w:p>
    <w:p w:rsidR="00331656" w:rsidP="00331656" w:rsidRDefault="00331656" w14:paraId="52B29C1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On January 28, 2021, the Large IOUs submitted </w:t>
      </w:r>
      <w:r w:rsidRPr="00C20096">
        <w:rPr>
          <w:rFonts w:ascii="Palatino Linotype" w:hAnsi="Palatino Linotype" w:eastAsia="Palatino Linotype" w:cs="Palatino Linotype"/>
          <w:sz w:val="24"/>
          <w:szCs w:val="24"/>
        </w:rPr>
        <w:t>PG&amp;E AL 6058-E, SCE AL 4404-E, and SDG&amp;E AL 3678-E</w:t>
      </w:r>
      <w:r>
        <w:rPr>
          <w:rFonts w:ascii="Palatino Linotype" w:hAnsi="Palatino Linotype" w:eastAsia="Palatino Linotype" w:cs="Palatino Linotype"/>
          <w:sz w:val="24"/>
          <w:szCs w:val="24"/>
        </w:rPr>
        <w:t xml:space="preserve"> to comply with OP 16 of the Decision.  </w:t>
      </w:r>
      <w:r w:rsidRPr="006215E1">
        <w:rPr>
          <w:rFonts w:ascii="Palatino Linotype" w:hAnsi="Palatino Linotype" w:eastAsia="Palatino Linotype" w:cs="Palatino Linotype"/>
          <w:sz w:val="24"/>
          <w:szCs w:val="24"/>
        </w:rPr>
        <w:t>In the ALs the Large IOUs identified a set of initial factors that could contribute to a customer’s revised LGP.</w:t>
      </w:r>
    </w:p>
    <w:p w:rsidR="00CF5556" w:rsidRDefault="00331656" w14:paraId="291B2FDE" w14:textId="77777777">
      <w:pPr>
        <w:pStyle w:val="Body"/>
        <w:rPr>
          <w:rFonts w:ascii="Palatino Linotype" w:hAnsi="Palatino Linotype" w:eastAsia="Palatino Linotype" w:cs="Palatino Linotype"/>
          <w:sz w:val="24"/>
          <w:szCs w:val="24"/>
        </w:rPr>
      </w:pPr>
      <w:r w:rsidRPr="00331656">
        <w:rPr>
          <w:rFonts w:ascii="Palatino Linotype" w:hAnsi="Palatino Linotype" w:eastAsia="Palatino Linotype" w:cs="Palatino Linotype"/>
          <w:sz w:val="24"/>
          <w:szCs w:val="24"/>
          <w:u w:val="single"/>
        </w:rPr>
        <w:t>Resolution E-5211</w:t>
      </w:r>
      <w:r>
        <w:rPr>
          <w:rFonts w:ascii="Palatino Linotype" w:hAnsi="Palatino Linotype" w:eastAsia="Palatino Linotype" w:cs="Palatino Linotype"/>
          <w:sz w:val="24"/>
          <w:szCs w:val="24"/>
        </w:rPr>
        <w:t xml:space="preserve"> </w:t>
      </w:r>
    </w:p>
    <w:p w:rsidRPr="00C20096" w:rsidR="00580718" w:rsidRDefault="00E56D9D" w14:paraId="130827C0"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Resolution </w:t>
      </w:r>
      <w:r>
        <w:rPr>
          <w:rFonts w:ascii="Palatino Linotype" w:hAnsi="Palatino Linotype" w:eastAsia="Palatino Linotype" w:cs="Palatino Linotype"/>
          <w:sz w:val="24"/>
          <w:szCs w:val="24"/>
        </w:rPr>
        <w:t>E-5211</w:t>
      </w:r>
      <w:r w:rsidR="00CD33D2">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issued on October 10, 2022</w:t>
      </w:r>
      <w:r w:rsidR="00CD33D2">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reject</w:t>
      </w:r>
      <w:r>
        <w:rPr>
          <w:rFonts w:ascii="Palatino Linotype" w:hAnsi="Palatino Linotype" w:eastAsia="Palatino Linotype" w:cs="Palatino Linotype"/>
          <w:sz w:val="24"/>
          <w:szCs w:val="24"/>
        </w:rPr>
        <w:t>ed</w:t>
      </w:r>
      <w:r w:rsidRPr="00C20096">
        <w:rPr>
          <w:rFonts w:ascii="Palatino Linotype" w:hAnsi="Palatino Linotype" w:eastAsia="Palatino Linotype" w:cs="Palatino Linotype"/>
          <w:sz w:val="24"/>
          <w:szCs w:val="24"/>
        </w:rPr>
        <w:t xml:space="preserve"> </w:t>
      </w:r>
      <w:r w:rsidR="00D11967">
        <w:rPr>
          <w:rFonts w:ascii="Palatino Linotype" w:hAnsi="Palatino Linotype" w:eastAsia="Palatino Linotype" w:cs="Palatino Linotype"/>
          <w:sz w:val="24"/>
          <w:szCs w:val="24"/>
        </w:rPr>
        <w:t>th</w:t>
      </w:r>
      <w:r w:rsidR="00331656">
        <w:rPr>
          <w:rFonts w:ascii="Palatino Linotype" w:hAnsi="Palatino Linotype" w:eastAsia="Palatino Linotype" w:cs="Palatino Linotype"/>
          <w:sz w:val="24"/>
          <w:szCs w:val="24"/>
        </w:rPr>
        <w:t xml:space="preserve">e January 2021 </w:t>
      </w:r>
      <w:r w:rsidR="00FD7EE4">
        <w:rPr>
          <w:rFonts w:ascii="Palatino Linotype" w:hAnsi="Palatino Linotype" w:eastAsia="Palatino Linotype" w:cs="Palatino Linotype"/>
          <w:sz w:val="24"/>
          <w:szCs w:val="24"/>
        </w:rPr>
        <w:t>set of</w:t>
      </w:r>
      <w:r w:rsidR="005839C4">
        <w:rPr>
          <w:rFonts w:ascii="Palatino Linotype" w:hAnsi="Palatino Linotype" w:eastAsia="Palatino Linotype" w:cs="Palatino Linotype"/>
          <w:sz w:val="24"/>
          <w:szCs w:val="24"/>
        </w:rPr>
        <w:t xml:space="preserve"> ALs</w:t>
      </w:r>
      <w:r w:rsidRPr="00C20096">
        <w:rPr>
          <w:rFonts w:ascii="Palatino Linotype" w:hAnsi="Palatino Linotype" w:eastAsia="Palatino Linotype" w:cs="Palatino Linotype"/>
          <w:sz w:val="24"/>
          <w:szCs w:val="24"/>
        </w:rPr>
        <w:t xml:space="preserve"> without prejudice.</w:t>
      </w:r>
      <w:r w:rsidR="008452B8">
        <w:rPr>
          <w:rFonts w:ascii="Palatino Linotype" w:hAnsi="Palatino Linotype" w:eastAsia="Palatino Linotype" w:cs="Palatino Linotype"/>
          <w:sz w:val="24"/>
          <w:szCs w:val="24"/>
        </w:rPr>
        <w:t xml:space="preserve">  </w:t>
      </w:r>
      <w:r w:rsidR="00CD33D2">
        <w:rPr>
          <w:rFonts w:ascii="Palatino Linotype" w:hAnsi="Palatino Linotype" w:eastAsia="Palatino Linotype" w:cs="Palatino Linotype"/>
          <w:sz w:val="24"/>
          <w:szCs w:val="24"/>
        </w:rPr>
        <w:t>Resolution</w:t>
      </w:r>
      <w:r w:rsidR="00832DCA">
        <w:rPr>
          <w:rFonts w:ascii="Palatino Linotype" w:hAnsi="Palatino Linotype" w:eastAsia="Palatino Linotype" w:cs="Palatino Linotype"/>
          <w:sz w:val="24"/>
          <w:szCs w:val="24"/>
        </w:rPr>
        <w:t xml:space="preserve"> E-5211</w:t>
      </w:r>
      <w:r w:rsidRPr="00C20096" w:rsidR="00514587">
        <w:rPr>
          <w:rFonts w:ascii="Palatino Linotype" w:hAnsi="Palatino Linotype" w:eastAsia="Palatino Linotype" w:cs="Palatino Linotype"/>
          <w:sz w:val="24"/>
          <w:szCs w:val="24"/>
        </w:rPr>
        <w:t xml:space="preserve"> f</w:t>
      </w:r>
      <w:r w:rsidR="00CD33D2">
        <w:rPr>
          <w:rFonts w:ascii="Palatino Linotype" w:hAnsi="Palatino Linotype" w:eastAsia="Palatino Linotype" w:cs="Palatino Linotype"/>
          <w:sz w:val="24"/>
          <w:szCs w:val="24"/>
        </w:rPr>
        <w:t>ound</w:t>
      </w:r>
      <w:r w:rsidRPr="00C20096" w:rsidR="00514587">
        <w:rPr>
          <w:rFonts w:ascii="Palatino Linotype" w:hAnsi="Palatino Linotype" w:eastAsia="Palatino Linotype" w:cs="Palatino Linotype"/>
          <w:sz w:val="24"/>
          <w:szCs w:val="24"/>
        </w:rPr>
        <w:t xml:space="preserve"> the </w:t>
      </w:r>
      <w:r w:rsidR="0074483D">
        <w:rPr>
          <w:rFonts w:ascii="Palatino Linotype" w:hAnsi="Palatino Linotype" w:eastAsia="Palatino Linotype" w:cs="Palatino Linotype"/>
          <w:sz w:val="24"/>
          <w:szCs w:val="24"/>
        </w:rPr>
        <w:t>ALs</w:t>
      </w:r>
      <w:r w:rsidRPr="00C20096" w:rsidR="00514587">
        <w:rPr>
          <w:rFonts w:ascii="Palatino Linotype" w:hAnsi="Palatino Linotype" w:eastAsia="Palatino Linotype" w:cs="Palatino Linotype"/>
          <w:sz w:val="24"/>
          <w:szCs w:val="24"/>
        </w:rPr>
        <w:t xml:space="preserve"> lack</w:t>
      </w:r>
      <w:r w:rsidR="00CD33D2">
        <w:rPr>
          <w:rFonts w:ascii="Palatino Linotype" w:hAnsi="Palatino Linotype" w:eastAsia="Palatino Linotype" w:cs="Palatino Linotype"/>
          <w:sz w:val="24"/>
          <w:szCs w:val="24"/>
        </w:rPr>
        <w:t>ed</w:t>
      </w:r>
      <w:r w:rsidRPr="00C20096" w:rsidR="00514587">
        <w:rPr>
          <w:rFonts w:ascii="Palatino Linotype" w:hAnsi="Palatino Linotype" w:eastAsia="Palatino Linotype" w:cs="Palatino Linotype"/>
          <w:sz w:val="24"/>
          <w:szCs w:val="24"/>
        </w:rPr>
        <w:t xml:space="preserve"> specificity and fail</w:t>
      </w:r>
      <w:r w:rsidR="00CD33D2">
        <w:rPr>
          <w:rFonts w:ascii="Palatino Linotype" w:hAnsi="Palatino Linotype" w:eastAsia="Palatino Linotype" w:cs="Palatino Linotype"/>
          <w:sz w:val="24"/>
          <w:szCs w:val="24"/>
        </w:rPr>
        <w:t>ed</w:t>
      </w:r>
      <w:r w:rsidRPr="00C20096" w:rsidR="00514587">
        <w:rPr>
          <w:rFonts w:ascii="Palatino Linotype" w:hAnsi="Palatino Linotype" w:eastAsia="Palatino Linotype" w:cs="Palatino Linotype"/>
          <w:sz w:val="24"/>
          <w:szCs w:val="24"/>
        </w:rPr>
        <w:t xml:space="preserve"> to meet the requirements of all three elements articulated in OP 16 of the Decision:  specificity on (1) whether and (2) how reductions to a customer’s LGP are determined, </w:t>
      </w:r>
      <w:r w:rsidR="00615A36">
        <w:rPr>
          <w:rFonts w:ascii="Palatino Linotype" w:hAnsi="Palatino Linotype" w:eastAsia="Palatino Linotype" w:cs="Palatino Linotype"/>
          <w:sz w:val="24"/>
          <w:szCs w:val="24"/>
        </w:rPr>
        <w:t>as well as</w:t>
      </w:r>
      <w:r w:rsidRPr="00C20096" w:rsidR="00615A36">
        <w:rPr>
          <w:rFonts w:ascii="Palatino Linotype" w:hAnsi="Palatino Linotype" w:eastAsia="Palatino Linotype" w:cs="Palatino Linotype"/>
          <w:sz w:val="24"/>
          <w:szCs w:val="24"/>
        </w:rPr>
        <w:t xml:space="preserve"> </w:t>
      </w:r>
      <w:r w:rsidRPr="00C20096" w:rsidR="00514587">
        <w:rPr>
          <w:rFonts w:ascii="Palatino Linotype" w:hAnsi="Palatino Linotype" w:eastAsia="Palatino Linotype" w:cs="Palatino Linotype"/>
          <w:sz w:val="24"/>
          <w:szCs w:val="24"/>
        </w:rPr>
        <w:t xml:space="preserve">(3) inclusion of a description of how the Large IOUs will implement OP 15.  </w:t>
      </w:r>
      <w:r w:rsidR="00146F62">
        <w:rPr>
          <w:rFonts w:ascii="Palatino Linotype" w:hAnsi="Palatino Linotype" w:eastAsia="Palatino Linotype" w:cs="Palatino Linotype"/>
          <w:sz w:val="24"/>
          <w:szCs w:val="24"/>
        </w:rPr>
        <w:t>Resolution E-5211</w:t>
      </w:r>
      <w:r w:rsidRPr="00C20096" w:rsidR="00146F62">
        <w:rPr>
          <w:rFonts w:ascii="Palatino Linotype" w:hAnsi="Palatino Linotype" w:eastAsia="Palatino Linotype" w:cs="Palatino Linotype"/>
          <w:sz w:val="24"/>
          <w:szCs w:val="24"/>
        </w:rPr>
        <w:t xml:space="preserve"> </w:t>
      </w:r>
      <w:r w:rsidR="00453714">
        <w:rPr>
          <w:rFonts w:ascii="Palatino Linotype" w:hAnsi="Palatino Linotype" w:eastAsia="Palatino Linotype" w:cs="Palatino Linotype"/>
          <w:sz w:val="24"/>
          <w:szCs w:val="24"/>
        </w:rPr>
        <w:t xml:space="preserve">found </w:t>
      </w:r>
      <w:r w:rsidR="00514587">
        <w:rPr>
          <w:rFonts w:ascii="Palatino Linotype" w:hAnsi="Palatino Linotype" w:eastAsia="Palatino Linotype" w:cs="Palatino Linotype"/>
          <w:sz w:val="24"/>
          <w:szCs w:val="24"/>
        </w:rPr>
        <w:t xml:space="preserve">the </w:t>
      </w:r>
      <w:r w:rsidR="009764B0">
        <w:rPr>
          <w:rFonts w:ascii="Palatino Linotype" w:hAnsi="Palatino Linotype" w:eastAsia="Palatino Linotype" w:cs="Palatino Linotype"/>
          <w:sz w:val="24"/>
          <w:szCs w:val="24"/>
        </w:rPr>
        <w:t xml:space="preserve">submitted </w:t>
      </w:r>
      <w:r w:rsidR="00514587">
        <w:rPr>
          <w:rFonts w:ascii="Palatino Linotype" w:hAnsi="Palatino Linotype" w:eastAsia="Palatino Linotype" w:cs="Palatino Linotype"/>
          <w:sz w:val="24"/>
          <w:szCs w:val="24"/>
        </w:rPr>
        <w:t xml:space="preserve">ALs </w:t>
      </w:r>
      <w:r w:rsidR="00F26ADD">
        <w:rPr>
          <w:rFonts w:ascii="Palatino Linotype" w:hAnsi="Palatino Linotype" w:eastAsia="Palatino Linotype" w:cs="Palatino Linotype"/>
          <w:sz w:val="24"/>
          <w:szCs w:val="24"/>
        </w:rPr>
        <w:t xml:space="preserve">did </w:t>
      </w:r>
      <w:r w:rsidR="00514587">
        <w:rPr>
          <w:rFonts w:ascii="Palatino Linotype" w:hAnsi="Palatino Linotype" w:eastAsia="Palatino Linotype" w:cs="Palatino Linotype"/>
          <w:sz w:val="24"/>
          <w:szCs w:val="24"/>
        </w:rPr>
        <w:t xml:space="preserve">not </w:t>
      </w:r>
      <w:r w:rsidRPr="00930978" w:rsidR="00514587">
        <w:rPr>
          <w:rFonts w:ascii="Palatino Linotype" w:hAnsi="Palatino Linotype" w:eastAsia="Palatino Linotype" w:cs="Palatino Linotype"/>
          <w:sz w:val="24"/>
          <w:szCs w:val="24"/>
        </w:rPr>
        <w:t>suppl</w:t>
      </w:r>
      <w:r w:rsidR="00514587">
        <w:rPr>
          <w:rFonts w:ascii="Palatino Linotype" w:hAnsi="Palatino Linotype" w:eastAsia="Palatino Linotype" w:cs="Palatino Linotype"/>
          <w:sz w:val="24"/>
          <w:szCs w:val="24"/>
        </w:rPr>
        <w:t>y</w:t>
      </w:r>
      <w:r w:rsidRPr="00930978" w:rsidR="00514587">
        <w:rPr>
          <w:rFonts w:ascii="Palatino Linotype" w:hAnsi="Palatino Linotype" w:eastAsia="Palatino Linotype" w:cs="Palatino Linotype"/>
          <w:sz w:val="24"/>
          <w:szCs w:val="24"/>
        </w:rPr>
        <w:t xml:space="preserve"> specific information on the circumstances under which reduction of an LGP export power will occur, </w:t>
      </w:r>
      <w:r w:rsidR="00514587">
        <w:rPr>
          <w:rFonts w:ascii="Palatino Linotype" w:hAnsi="Palatino Linotype" w:eastAsia="Palatino Linotype" w:cs="Palatino Linotype"/>
          <w:sz w:val="24"/>
          <w:szCs w:val="24"/>
        </w:rPr>
        <w:t xml:space="preserve">or </w:t>
      </w:r>
      <w:r w:rsidRPr="00930978" w:rsidR="00514587">
        <w:rPr>
          <w:rFonts w:ascii="Palatino Linotype" w:hAnsi="Palatino Linotype" w:eastAsia="Palatino Linotype" w:cs="Palatino Linotype"/>
          <w:sz w:val="24"/>
          <w:szCs w:val="24"/>
        </w:rPr>
        <w:t xml:space="preserve">how reductions to a customer’s LGP are determined </w:t>
      </w:r>
      <w:r w:rsidR="00CF5556">
        <w:rPr>
          <w:rFonts w:ascii="Palatino Linotype" w:hAnsi="Palatino Linotype" w:eastAsia="Palatino Linotype" w:cs="Palatino Linotype"/>
          <w:sz w:val="24"/>
          <w:szCs w:val="24"/>
        </w:rPr>
        <w:t>(</w:t>
      </w:r>
      <w:r w:rsidRPr="00930978" w:rsidR="00514587">
        <w:rPr>
          <w:rFonts w:ascii="Palatino Linotype" w:hAnsi="Palatino Linotype" w:eastAsia="Palatino Linotype" w:cs="Palatino Linotype"/>
          <w:sz w:val="24"/>
          <w:szCs w:val="24"/>
        </w:rPr>
        <w:t xml:space="preserve">as </w:t>
      </w:r>
      <w:r w:rsidR="00CF5556">
        <w:rPr>
          <w:rFonts w:ascii="Palatino Linotype" w:hAnsi="Palatino Linotype" w:eastAsia="Palatino Linotype" w:cs="Palatino Linotype"/>
          <w:sz w:val="24"/>
          <w:szCs w:val="24"/>
        </w:rPr>
        <w:t>direct</w:t>
      </w:r>
      <w:r w:rsidRPr="00930978" w:rsidR="00514587">
        <w:rPr>
          <w:rFonts w:ascii="Palatino Linotype" w:hAnsi="Palatino Linotype" w:eastAsia="Palatino Linotype" w:cs="Palatino Linotype"/>
          <w:sz w:val="24"/>
          <w:szCs w:val="24"/>
        </w:rPr>
        <w:t xml:space="preserve">ed </w:t>
      </w:r>
      <w:r w:rsidR="00CF5556">
        <w:rPr>
          <w:rFonts w:ascii="Palatino Linotype" w:hAnsi="Palatino Linotype" w:eastAsia="Palatino Linotype" w:cs="Palatino Linotype"/>
          <w:sz w:val="24"/>
          <w:szCs w:val="24"/>
        </w:rPr>
        <w:t xml:space="preserve">in </w:t>
      </w:r>
      <w:r w:rsidRPr="00930978" w:rsidR="00514587">
        <w:rPr>
          <w:rFonts w:ascii="Palatino Linotype" w:hAnsi="Palatino Linotype" w:eastAsia="Palatino Linotype" w:cs="Palatino Linotype"/>
          <w:sz w:val="24"/>
          <w:szCs w:val="24"/>
        </w:rPr>
        <w:t>OP 16</w:t>
      </w:r>
      <w:r w:rsidR="00CF5556">
        <w:rPr>
          <w:rFonts w:ascii="Palatino Linotype" w:hAnsi="Palatino Linotype" w:eastAsia="Palatino Linotype" w:cs="Palatino Linotype"/>
          <w:sz w:val="24"/>
          <w:szCs w:val="24"/>
        </w:rPr>
        <w:t>)</w:t>
      </w:r>
      <w:r w:rsidR="00345FA1">
        <w:rPr>
          <w:rFonts w:ascii="Palatino Linotype" w:hAnsi="Palatino Linotype" w:eastAsia="Palatino Linotype" w:cs="Palatino Linotype"/>
          <w:sz w:val="24"/>
          <w:szCs w:val="24"/>
        </w:rPr>
        <w:t>,</w:t>
      </w:r>
      <w:r w:rsidRPr="00930978" w:rsidR="00514587">
        <w:rPr>
          <w:rFonts w:ascii="Palatino Linotype" w:hAnsi="Palatino Linotype" w:eastAsia="Palatino Linotype" w:cs="Palatino Linotype"/>
          <w:sz w:val="24"/>
          <w:szCs w:val="24"/>
        </w:rPr>
        <w:t xml:space="preserve"> </w:t>
      </w:r>
      <w:r w:rsidR="00514587">
        <w:rPr>
          <w:rFonts w:ascii="Palatino Linotype" w:hAnsi="Palatino Linotype" w:eastAsia="Palatino Linotype" w:cs="Palatino Linotype"/>
          <w:sz w:val="24"/>
          <w:szCs w:val="24"/>
        </w:rPr>
        <w:t xml:space="preserve">and </w:t>
      </w:r>
      <w:r w:rsidR="00F26ADD">
        <w:rPr>
          <w:rFonts w:ascii="Palatino Linotype" w:hAnsi="Palatino Linotype" w:eastAsia="Palatino Linotype" w:cs="Palatino Linotype"/>
          <w:sz w:val="24"/>
          <w:szCs w:val="24"/>
        </w:rPr>
        <w:t xml:space="preserve">did </w:t>
      </w:r>
      <w:r w:rsidR="00514587">
        <w:rPr>
          <w:rFonts w:ascii="Palatino Linotype" w:hAnsi="Palatino Linotype" w:eastAsia="Palatino Linotype" w:cs="Palatino Linotype"/>
          <w:sz w:val="24"/>
          <w:szCs w:val="24"/>
        </w:rPr>
        <w:t>not</w:t>
      </w:r>
      <w:r w:rsidRPr="00930978" w:rsidR="00514587">
        <w:rPr>
          <w:rFonts w:ascii="Palatino Linotype" w:hAnsi="Palatino Linotype" w:eastAsia="Palatino Linotype" w:cs="Palatino Linotype"/>
          <w:sz w:val="24"/>
          <w:szCs w:val="24"/>
        </w:rPr>
        <w:t xml:space="preserve"> address that export values may only be lowered to the pre-defined ICA-SG level identified at the time of interconnection, as ordered </w:t>
      </w:r>
      <w:r w:rsidR="00CF5556">
        <w:rPr>
          <w:rFonts w:ascii="Palatino Linotype" w:hAnsi="Palatino Linotype" w:eastAsia="Palatino Linotype" w:cs="Palatino Linotype"/>
          <w:sz w:val="24"/>
          <w:szCs w:val="24"/>
        </w:rPr>
        <w:t xml:space="preserve">in </w:t>
      </w:r>
      <w:r w:rsidRPr="00930978" w:rsidR="00514587">
        <w:rPr>
          <w:rFonts w:ascii="Palatino Linotype" w:hAnsi="Palatino Linotype" w:eastAsia="Palatino Linotype" w:cs="Palatino Linotype"/>
          <w:sz w:val="24"/>
          <w:szCs w:val="24"/>
        </w:rPr>
        <w:t>OP 15</w:t>
      </w:r>
      <w:r w:rsidR="00514587">
        <w:rPr>
          <w:rFonts w:ascii="Palatino Linotype" w:hAnsi="Palatino Linotype" w:eastAsia="Palatino Linotype" w:cs="Palatino Linotype"/>
          <w:sz w:val="24"/>
          <w:szCs w:val="24"/>
        </w:rPr>
        <w:t xml:space="preserve">.  </w:t>
      </w:r>
      <w:r w:rsidR="00CD33D2">
        <w:rPr>
          <w:rFonts w:ascii="Palatino Linotype" w:hAnsi="Palatino Linotype" w:eastAsia="Palatino Linotype" w:cs="Palatino Linotype"/>
          <w:sz w:val="24"/>
          <w:szCs w:val="24"/>
        </w:rPr>
        <w:t>Resolution E-5211</w:t>
      </w:r>
      <w:r w:rsidR="00725EEC">
        <w:rPr>
          <w:rFonts w:ascii="Palatino Linotype" w:hAnsi="Palatino Linotype" w:eastAsia="Palatino Linotype" w:cs="Palatino Linotype"/>
          <w:sz w:val="24"/>
          <w:szCs w:val="24"/>
        </w:rPr>
        <w:t xml:space="preserve"> </w:t>
      </w:r>
      <w:r w:rsidRPr="00C20096" w:rsidR="00514587">
        <w:rPr>
          <w:rFonts w:ascii="Palatino Linotype" w:hAnsi="Palatino Linotype" w:eastAsia="Palatino Linotype" w:cs="Palatino Linotype"/>
          <w:sz w:val="24"/>
          <w:szCs w:val="24"/>
        </w:rPr>
        <w:t xml:space="preserve">ordered </w:t>
      </w:r>
      <w:r w:rsidR="005A0318">
        <w:rPr>
          <w:rFonts w:ascii="Palatino Linotype" w:hAnsi="Palatino Linotype" w:eastAsia="Palatino Linotype" w:cs="Palatino Linotype"/>
          <w:sz w:val="24"/>
          <w:szCs w:val="24"/>
        </w:rPr>
        <w:t>the Large IOUs</w:t>
      </w:r>
      <w:r w:rsidR="0043713F">
        <w:rPr>
          <w:rFonts w:ascii="Palatino Linotype" w:hAnsi="Palatino Linotype" w:eastAsia="Palatino Linotype" w:cs="Palatino Linotype"/>
          <w:sz w:val="24"/>
          <w:szCs w:val="24"/>
        </w:rPr>
        <w:t xml:space="preserve">: </w:t>
      </w:r>
      <w:r w:rsidR="0078510D">
        <w:rPr>
          <w:rFonts w:ascii="Palatino Linotype" w:hAnsi="Palatino Linotype" w:eastAsia="Palatino Linotype" w:cs="Palatino Linotype"/>
          <w:sz w:val="24"/>
          <w:szCs w:val="24"/>
        </w:rPr>
        <w:t xml:space="preserve">(1) </w:t>
      </w:r>
      <w:r w:rsidRPr="00C20096" w:rsidR="00514587">
        <w:rPr>
          <w:rFonts w:ascii="Palatino Linotype" w:hAnsi="Palatino Linotype" w:eastAsia="Palatino Linotype" w:cs="Palatino Linotype"/>
          <w:sz w:val="24"/>
          <w:szCs w:val="24"/>
        </w:rPr>
        <w:t>to participate in a minimum of two full-day workshops</w:t>
      </w:r>
      <w:r w:rsidR="002A54AF">
        <w:rPr>
          <w:rFonts w:ascii="Palatino Linotype" w:hAnsi="Palatino Linotype" w:eastAsia="Palatino Linotype" w:cs="Palatino Linotype"/>
          <w:sz w:val="24"/>
          <w:szCs w:val="24"/>
        </w:rPr>
        <w:t xml:space="preserve">, and </w:t>
      </w:r>
      <w:r w:rsidR="00F4309A">
        <w:rPr>
          <w:rFonts w:ascii="Palatino Linotype" w:hAnsi="Palatino Linotype" w:eastAsia="Palatino Linotype" w:cs="Palatino Linotype"/>
          <w:sz w:val="24"/>
          <w:szCs w:val="24"/>
        </w:rPr>
        <w:t xml:space="preserve">attend and </w:t>
      </w:r>
      <w:r w:rsidR="002A54AF">
        <w:rPr>
          <w:rFonts w:ascii="Palatino Linotype" w:hAnsi="Palatino Linotype" w:eastAsia="Palatino Linotype" w:cs="Palatino Linotype"/>
          <w:sz w:val="24"/>
          <w:szCs w:val="24"/>
        </w:rPr>
        <w:t>participate in Smart Inverter Working Group (SIWG) meetings</w:t>
      </w:r>
      <w:r w:rsidR="00F4309A">
        <w:rPr>
          <w:rFonts w:ascii="Palatino Linotype" w:hAnsi="Palatino Linotype" w:eastAsia="Palatino Linotype" w:cs="Palatino Linotype"/>
          <w:sz w:val="24"/>
          <w:szCs w:val="24"/>
        </w:rPr>
        <w:t xml:space="preserve"> </w:t>
      </w:r>
      <w:r w:rsidRPr="00C20096" w:rsidR="00514587">
        <w:rPr>
          <w:rFonts w:ascii="Palatino Linotype" w:hAnsi="Palatino Linotype" w:eastAsia="Palatino Linotype" w:cs="Palatino Linotype"/>
          <w:sz w:val="24"/>
          <w:szCs w:val="24"/>
        </w:rPr>
        <w:t xml:space="preserve">to </w:t>
      </w:r>
      <w:r w:rsidR="00BA0445">
        <w:rPr>
          <w:rFonts w:ascii="Palatino Linotype" w:hAnsi="Palatino Linotype" w:eastAsia="Palatino Linotype" w:cs="Palatino Linotype"/>
          <w:sz w:val="24"/>
          <w:szCs w:val="24"/>
        </w:rPr>
        <w:t>discuss all material</w:t>
      </w:r>
      <w:r w:rsidRPr="00C20096" w:rsidR="00514587">
        <w:rPr>
          <w:rFonts w:ascii="Palatino Linotype" w:hAnsi="Palatino Linotype" w:eastAsia="Palatino Linotype" w:cs="Palatino Linotype"/>
          <w:sz w:val="24"/>
          <w:szCs w:val="24"/>
        </w:rPr>
        <w:t xml:space="preserve"> identified </w:t>
      </w:r>
      <w:r w:rsidR="00CA147C">
        <w:rPr>
          <w:rFonts w:ascii="Palatino Linotype" w:hAnsi="Palatino Linotype" w:eastAsia="Palatino Linotype" w:cs="Palatino Linotype"/>
          <w:sz w:val="24"/>
          <w:szCs w:val="24"/>
        </w:rPr>
        <w:t>therein</w:t>
      </w:r>
      <w:r w:rsidRPr="00C20096" w:rsidR="00514587">
        <w:rPr>
          <w:rFonts w:ascii="Palatino Linotype" w:hAnsi="Palatino Linotype" w:eastAsia="Palatino Linotype" w:cs="Palatino Linotype"/>
          <w:sz w:val="24"/>
          <w:szCs w:val="24"/>
        </w:rPr>
        <w:t xml:space="preserve"> as needing discussion</w:t>
      </w:r>
      <w:r w:rsidR="00CD33D2">
        <w:rPr>
          <w:rFonts w:ascii="Palatino Linotype" w:hAnsi="Palatino Linotype" w:eastAsia="Palatino Linotype" w:cs="Palatino Linotype"/>
          <w:sz w:val="24"/>
          <w:szCs w:val="24"/>
        </w:rPr>
        <w:t>;</w:t>
      </w:r>
      <w:r w:rsidR="00B5257F">
        <w:rPr>
          <w:rStyle w:val="FootnoteReference"/>
          <w:rFonts w:ascii="Palatino Linotype" w:hAnsi="Palatino Linotype" w:eastAsia="Palatino Linotype" w:cs="Palatino Linotype"/>
          <w:sz w:val="24"/>
          <w:szCs w:val="24"/>
        </w:rPr>
        <w:footnoteReference w:id="31"/>
      </w:r>
      <w:r w:rsidR="00CD33D2">
        <w:rPr>
          <w:rFonts w:ascii="Palatino Linotype" w:hAnsi="Palatino Linotype" w:eastAsia="Palatino Linotype" w:cs="Palatino Linotype"/>
          <w:sz w:val="24"/>
          <w:szCs w:val="24"/>
        </w:rPr>
        <w:t xml:space="preserve"> and </w:t>
      </w:r>
      <w:r w:rsidR="0078510D">
        <w:rPr>
          <w:rFonts w:ascii="Palatino Linotype" w:hAnsi="Palatino Linotype" w:eastAsia="Palatino Linotype" w:cs="Palatino Linotype"/>
          <w:sz w:val="24"/>
          <w:szCs w:val="24"/>
        </w:rPr>
        <w:t xml:space="preserve">(2) </w:t>
      </w:r>
      <w:r w:rsidRPr="00C20096" w:rsidR="00514587">
        <w:rPr>
          <w:rFonts w:ascii="Palatino Linotype" w:hAnsi="Palatino Linotype" w:eastAsia="Palatino Linotype" w:cs="Palatino Linotype"/>
          <w:sz w:val="24"/>
          <w:szCs w:val="24"/>
        </w:rPr>
        <w:t xml:space="preserve">to file new </w:t>
      </w:r>
      <w:r w:rsidRPr="00C20096" w:rsidR="00514587">
        <w:rPr>
          <w:rFonts w:ascii="Palatino Linotype" w:hAnsi="Palatino Linotype" w:eastAsia="Palatino Linotype" w:cs="Palatino Linotype"/>
          <w:sz w:val="24"/>
          <w:szCs w:val="24"/>
        </w:rPr>
        <w:lastRenderedPageBreak/>
        <w:t>subsequent Tier 3 ALs that meet the requirements of OP 16</w:t>
      </w:r>
      <w:r w:rsidR="00B422A0">
        <w:rPr>
          <w:rFonts w:ascii="Palatino Linotype" w:hAnsi="Palatino Linotype" w:eastAsia="Palatino Linotype" w:cs="Palatino Linotype"/>
          <w:sz w:val="24"/>
          <w:szCs w:val="24"/>
        </w:rPr>
        <w:t xml:space="preserve"> </w:t>
      </w:r>
      <w:r w:rsidRPr="00C20096" w:rsidR="00514587">
        <w:rPr>
          <w:rFonts w:ascii="Palatino Linotype" w:hAnsi="Palatino Linotype" w:eastAsia="Palatino Linotype" w:cs="Palatino Linotype"/>
          <w:sz w:val="24"/>
          <w:szCs w:val="24"/>
        </w:rPr>
        <w:t xml:space="preserve">of the Decision and address the </w:t>
      </w:r>
      <w:r w:rsidR="00EE29AB">
        <w:rPr>
          <w:rFonts w:ascii="Palatino Linotype" w:hAnsi="Palatino Linotype" w:eastAsia="Palatino Linotype" w:cs="Palatino Linotype"/>
          <w:sz w:val="24"/>
          <w:szCs w:val="24"/>
        </w:rPr>
        <w:t>material</w:t>
      </w:r>
      <w:r w:rsidRPr="00C20096" w:rsidR="00EE29AB">
        <w:rPr>
          <w:rFonts w:ascii="Palatino Linotype" w:hAnsi="Palatino Linotype" w:eastAsia="Palatino Linotype" w:cs="Palatino Linotype"/>
          <w:sz w:val="24"/>
          <w:szCs w:val="24"/>
        </w:rPr>
        <w:t xml:space="preserve"> </w:t>
      </w:r>
      <w:r w:rsidRPr="00C20096" w:rsidR="00514587">
        <w:rPr>
          <w:rFonts w:ascii="Palatino Linotype" w:hAnsi="Palatino Linotype" w:eastAsia="Palatino Linotype" w:cs="Palatino Linotype"/>
          <w:sz w:val="24"/>
          <w:szCs w:val="24"/>
        </w:rPr>
        <w:t xml:space="preserve">identified </w:t>
      </w:r>
      <w:r w:rsidR="00EE29AB">
        <w:rPr>
          <w:rFonts w:ascii="Palatino Linotype" w:hAnsi="Palatino Linotype" w:eastAsia="Palatino Linotype" w:cs="Palatino Linotype"/>
          <w:sz w:val="24"/>
          <w:szCs w:val="24"/>
        </w:rPr>
        <w:t>therein</w:t>
      </w:r>
      <w:r w:rsidR="008452B8">
        <w:rPr>
          <w:rFonts w:ascii="Palatino Linotype" w:hAnsi="Palatino Linotype" w:eastAsia="Palatino Linotype" w:cs="Palatino Linotype"/>
          <w:sz w:val="24"/>
          <w:szCs w:val="24"/>
        </w:rPr>
        <w:t>.</w:t>
      </w:r>
      <w:r w:rsidR="00B5257F">
        <w:rPr>
          <w:rStyle w:val="FootnoteReference"/>
          <w:rFonts w:ascii="Palatino Linotype" w:hAnsi="Palatino Linotype" w:eastAsia="Palatino Linotype" w:cs="Palatino Linotype"/>
          <w:sz w:val="24"/>
          <w:szCs w:val="24"/>
        </w:rPr>
        <w:footnoteReference w:id="32"/>
      </w:r>
      <w:r w:rsidR="008452B8">
        <w:rPr>
          <w:rFonts w:ascii="Palatino Linotype" w:hAnsi="Palatino Linotype" w:eastAsia="Palatino Linotype" w:cs="Palatino Linotype"/>
          <w:sz w:val="24"/>
          <w:szCs w:val="24"/>
        </w:rPr>
        <w:t xml:space="preserve">  </w:t>
      </w:r>
      <w:r w:rsidRPr="00C20096" w:rsidR="00310A3D">
        <w:rPr>
          <w:rFonts w:ascii="Palatino Linotype" w:hAnsi="Palatino Linotype" w:eastAsia="Palatino Linotype" w:cs="Palatino Linotype"/>
          <w:sz w:val="24"/>
          <w:szCs w:val="24"/>
        </w:rPr>
        <w:t xml:space="preserve">  </w:t>
      </w:r>
    </w:p>
    <w:p w:rsidR="00CF5556" w:rsidP="00E67768" w:rsidRDefault="007B7B5F" w14:paraId="3AE9AAE5" w14:textId="77777777">
      <w:pPr>
        <w:pStyle w:val="Body"/>
        <w:rPr>
          <w:rFonts w:ascii="Palatino Linotype" w:hAnsi="Palatino Linotype" w:cstheme="minorHAnsi"/>
          <w:sz w:val="24"/>
          <w:szCs w:val="24"/>
        </w:rPr>
      </w:pPr>
      <w:r w:rsidRPr="005C416B">
        <w:rPr>
          <w:rFonts w:ascii="Palatino Linotype" w:hAnsi="Palatino Linotype" w:cstheme="minorHAnsi"/>
          <w:sz w:val="24"/>
          <w:szCs w:val="24"/>
          <w:u w:val="single"/>
        </w:rPr>
        <w:t>Joint January LGP AL</w:t>
      </w:r>
      <w:r w:rsidRPr="00331656" w:rsidR="00D8058B">
        <w:rPr>
          <w:rFonts w:ascii="Palatino Linotype" w:hAnsi="Palatino Linotype" w:cstheme="minorHAnsi"/>
          <w:sz w:val="24"/>
          <w:szCs w:val="24"/>
        </w:rPr>
        <w:t xml:space="preserve"> </w:t>
      </w:r>
      <w:r w:rsidRPr="00331656" w:rsidR="00331656">
        <w:rPr>
          <w:rFonts w:ascii="Palatino Linotype" w:hAnsi="Palatino Linotype" w:cstheme="minorHAnsi"/>
          <w:sz w:val="24"/>
          <w:szCs w:val="24"/>
        </w:rPr>
        <w:t xml:space="preserve"> </w:t>
      </w:r>
    </w:p>
    <w:p w:rsidR="005D7D57" w:rsidP="00E67768" w:rsidRDefault="00175D33" w14:paraId="314DEB3C"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On January 9, 2023</w:t>
      </w:r>
      <w:r w:rsidR="00BA502F">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w:t>
      </w:r>
      <w:r w:rsidR="00C66F8A">
        <w:rPr>
          <w:rFonts w:ascii="Palatino Linotype" w:hAnsi="Palatino Linotype" w:eastAsia="Palatino Linotype" w:cs="Palatino Linotype"/>
          <w:sz w:val="24"/>
          <w:szCs w:val="24"/>
        </w:rPr>
        <w:t>t</w:t>
      </w:r>
      <w:r w:rsidR="0019572F">
        <w:rPr>
          <w:rFonts w:ascii="Palatino Linotype" w:hAnsi="Palatino Linotype" w:eastAsia="Palatino Linotype" w:cs="Palatino Linotype"/>
          <w:sz w:val="24"/>
          <w:szCs w:val="24"/>
        </w:rPr>
        <w:t xml:space="preserve">he </w:t>
      </w:r>
      <w:r w:rsidRPr="00C20096" w:rsidR="00C65E32">
        <w:rPr>
          <w:rFonts w:ascii="Palatino Linotype" w:hAnsi="Palatino Linotype" w:eastAsia="Palatino Linotype" w:cs="Palatino Linotype"/>
          <w:sz w:val="24"/>
          <w:szCs w:val="24"/>
        </w:rPr>
        <w:t>Large IOUs submitted</w:t>
      </w:r>
      <w:r w:rsidR="00C65E32">
        <w:rPr>
          <w:rFonts w:ascii="Palatino Linotype" w:hAnsi="Palatino Linotype" w:eastAsia="Palatino Linotype" w:cs="Palatino Linotype"/>
          <w:sz w:val="24"/>
          <w:szCs w:val="24"/>
        </w:rPr>
        <w:t xml:space="preserve"> </w:t>
      </w:r>
      <w:r w:rsidR="0056058B">
        <w:rPr>
          <w:rFonts w:ascii="Palatino Linotype" w:hAnsi="Palatino Linotype" w:eastAsia="Palatino Linotype" w:cs="Palatino Linotype"/>
          <w:sz w:val="24"/>
          <w:szCs w:val="24"/>
        </w:rPr>
        <w:t xml:space="preserve">the </w:t>
      </w:r>
      <w:r w:rsidR="00ED1DDE">
        <w:rPr>
          <w:rFonts w:ascii="Palatino Linotype" w:hAnsi="Palatino Linotype" w:cstheme="minorHAnsi"/>
          <w:sz w:val="24"/>
          <w:szCs w:val="24"/>
        </w:rPr>
        <w:t>Joint January LGP AL</w:t>
      </w:r>
      <w:r w:rsidR="00ED1DDE">
        <w:rPr>
          <w:rFonts w:ascii="Palatino Linotype" w:hAnsi="Palatino Linotype" w:eastAsia="Palatino Linotype" w:cs="Palatino Linotype"/>
          <w:sz w:val="24"/>
          <w:szCs w:val="24"/>
        </w:rPr>
        <w:t xml:space="preserve"> </w:t>
      </w:r>
      <w:r w:rsidRPr="00175F6E" w:rsidR="00175F6E">
        <w:rPr>
          <w:rFonts w:ascii="Palatino Linotype" w:hAnsi="Palatino Linotype" w:eastAsia="Palatino Linotype" w:cs="Palatino Linotype"/>
          <w:sz w:val="24"/>
          <w:szCs w:val="24"/>
        </w:rPr>
        <w:t xml:space="preserve">(PG&amp;E AL 6816-E, SCE AL 4941-E, </w:t>
      </w:r>
      <w:r w:rsidR="00180B92">
        <w:rPr>
          <w:rFonts w:ascii="Palatino Linotype" w:hAnsi="Palatino Linotype" w:eastAsia="Palatino Linotype" w:cs="Palatino Linotype"/>
          <w:sz w:val="24"/>
          <w:szCs w:val="24"/>
        </w:rPr>
        <w:t>&amp;</w:t>
      </w:r>
      <w:r w:rsidRPr="00175F6E" w:rsidR="00175F6E">
        <w:rPr>
          <w:rFonts w:ascii="Palatino Linotype" w:hAnsi="Palatino Linotype" w:eastAsia="Palatino Linotype" w:cs="Palatino Linotype"/>
          <w:sz w:val="24"/>
          <w:szCs w:val="24"/>
        </w:rPr>
        <w:t xml:space="preserve"> SDG&amp;E AL </w:t>
      </w:r>
      <w:r w:rsidRPr="00175F6E" w:rsidR="00175F6E">
        <w:rPr>
          <w:rFonts w:ascii="Palatino Linotype" w:hAnsi="Palatino Linotype" w:cstheme="minorHAnsi"/>
          <w:sz w:val="24"/>
          <w:szCs w:val="24"/>
        </w:rPr>
        <w:t>4138</w:t>
      </w:r>
      <w:r w:rsidRPr="00175F6E" w:rsidR="00175F6E">
        <w:rPr>
          <w:rFonts w:ascii="Palatino Linotype" w:hAnsi="Palatino Linotype" w:eastAsia="Palatino Linotype" w:cs="Palatino Linotype"/>
          <w:sz w:val="24"/>
          <w:szCs w:val="24"/>
        </w:rPr>
        <w:t>-E</w:t>
      </w:r>
      <w:r w:rsidRPr="00175F6E" w:rsidR="00175F6E">
        <w:rPr>
          <w:rFonts w:ascii="Palatino Linotype" w:hAnsi="Palatino Linotype" w:cstheme="minorHAnsi"/>
          <w:sz w:val="24"/>
          <w:szCs w:val="24"/>
        </w:rPr>
        <w:t>)</w:t>
      </w:r>
      <w:r w:rsidR="00175F6E">
        <w:rPr>
          <w:rFonts w:ascii="Palatino Linotype" w:hAnsi="Palatino Linotype" w:cstheme="minorHAnsi"/>
          <w:sz w:val="24"/>
          <w:szCs w:val="24"/>
        </w:rPr>
        <w:t xml:space="preserve"> </w:t>
      </w:r>
      <w:r w:rsidRPr="00C20096" w:rsidR="00C65E32">
        <w:rPr>
          <w:rFonts w:ascii="Palatino Linotype" w:hAnsi="Palatino Linotype" w:eastAsia="Palatino Linotype" w:cs="Palatino Linotype"/>
          <w:sz w:val="24"/>
          <w:szCs w:val="24"/>
        </w:rPr>
        <w:t xml:space="preserve">to comply with </w:t>
      </w:r>
      <w:r w:rsidR="00496180">
        <w:rPr>
          <w:rFonts w:ascii="Palatino Linotype" w:hAnsi="Palatino Linotype" w:eastAsia="Palatino Linotype" w:cs="Palatino Linotype"/>
          <w:sz w:val="24"/>
          <w:szCs w:val="24"/>
        </w:rPr>
        <w:t xml:space="preserve">the requirements </w:t>
      </w:r>
      <w:r w:rsidRPr="00C20096" w:rsidR="00C65E32">
        <w:rPr>
          <w:rFonts w:ascii="Palatino Linotype" w:hAnsi="Palatino Linotype" w:eastAsia="Palatino Linotype" w:cs="Palatino Linotype"/>
          <w:sz w:val="24"/>
          <w:szCs w:val="24"/>
        </w:rPr>
        <w:t xml:space="preserve">of </w:t>
      </w:r>
      <w:r w:rsidR="00C65E32">
        <w:rPr>
          <w:rFonts w:ascii="Palatino Linotype" w:hAnsi="Palatino Linotype" w:eastAsia="Palatino Linotype" w:cs="Palatino Linotype"/>
          <w:sz w:val="24"/>
          <w:szCs w:val="24"/>
        </w:rPr>
        <w:t>Resolution E-5211</w:t>
      </w:r>
      <w:r w:rsidRPr="00C20096" w:rsidR="00C65E32">
        <w:rPr>
          <w:rFonts w:ascii="Palatino Linotype" w:hAnsi="Palatino Linotype" w:eastAsia="Palatino Linotype" w:cs="Palatino Linotype"/>
          <w:sz w:val="24"/>
          <w:szCs w:val="24"/>
        </w:rPr>
        <w:t>.</w:t>
      </w:r>
      <w:r w:rsidR="00FB7258">
        <w:rPr>
          <w:rFonts w:ascii="Palatino Linotype" w:hAnsi="Palatino Linotype" w:eastAsia="Palatino Linotype" w:cs="Palatino Linotype"/>
          <w:sz w:val="24"/>
          <w:szCs w:val="24"/>
        </w:rPr>
        <w:t xml:space="preserve">  </w:t>
      </w:r>
      <w:r w:rsidRPr="00C20096" w:rsidR="00A46083">
        <w:rPr>
          <w:rFonts w:ascii="Palatino Linotype" w:hAnsi="Palatino Linotype" w:eastAsia="Palatino Linotype" w:cs="Palatino Linotype"/>
          <w:sz w:val="24"/>
          <w:szCs w:val="24"/>
        </w:rPr>
        <w:t xml:space="preserve">In the </w:t>
      </w:r>
      <w:r w:rsidR="00A46083">
        <w:rPr>
          <w:rFonts w:ascii="Palatino Linotype" w:hAnsi="Palatino Linotype" w:eastAsia="Palatino Linotype" w:cs="Palatino Linotype"/>
          <w:sz w:val="24"/>
          <w:szCs w:val="24"/>
        </w:rPr>
        <w:t xml:space="preserve">Joint </w:t>
      </w:r>
      <w:r w:rsidR="000F5AE6">
        <w:rPr>
          <w:rFonts w:ascii="Palatino Linotype" w:hAnsi="Palatino Linotype" w:eastAsia="Palatino Linotype" w:cs="Palatino Linotype"/>
          <w:sz w:val="24"/>
          <w:szCs w:val="24"/>
        </w:rPr>
        <w:t xml:space="preserve">January LGP </w:t>
      </w:r>
      <w:r w:rsidRPr="00C20096" w:rsidR="00A46083">
        <w:rPr>
          <w:rFonts w:ascii="Palatino Linotype" w:hAnsi="Palatino Linotype" w:eastAsia="Palatino Linotype" w:cs="Palatino Linotype"/>
          <w:sz w:val="24"/>
          <w:szCs w:val="24"/>
        </w:rPr>
        <w:t xml:space="preserve">AL the Large IOUs </w:t>
      </w:r>
      <w:r w:rsidR="00A46083">
        <w:rPr>
          <w:rFonts w:ascii="Palatino Linotype" w:hAnsi="Palatino Linotype" w:eastAsia="Palatino Linotype" w:cs="Palatino Linotype"/>
          <w:sz w:val="24"/>
          <w:szCs w:val="24"/>
        </w:rPr>
        <w:t xml:space="preserve">discuss compliance with OP 2 and OP 3 of Resolution E-5211 by discussing: </w:t>
      </w:r>
      <w:r w:rsidR="00435D3F">
        <w:rPr>
          <w:rFonts w:ascii="Palatino Linotype" w:hAnsi="Palatino Linotype" w:eastAsia="Palatino Linotype" w:cs="Palatino Linotype"/>
          <w:sz w:val="24"/>
          <w:szCs w:val="24"/>
        </w:rPr>
        <w:t>(1) p</w:t>
      </w:r>
      <w:r w:rsidR="00A46083">
        <w:rPr>
          <w:rFonts w:ascii="Palatino Linotype" w:hAnsi="Palatino Linotype" w:eastAsia="Palatino Linotype" w:cs="Palatino Linotype"/>
          <w:sz w:val="24"/>
          <w:szCs w:val="24"/>
        </w:rPr>
        <w:t>articipation in workshops and the SIWG;</w:t>
      </w:r>
      <w:r w:rsidRPr="00E67768" w:rsidR="00861B19">
        <w:rPr>
          <w:rFonts w:ascii="Palatino Linotype" w:hAnsi="Palatino Linotype" w:eastAsia="Palatino Linotype" w:cs="Palatino Linotype"/>
          <w:sz w:val="24"/>
          <w:szCs w:val="24"/>
        </w:rPr>
        <w:t xml:space="preserve"> </w:t>
      </w:r>
      <w:r w:rsidR="00435D3F">
        <w:rPr>
          <w:rFonts w:ascii="Palatino Linotype" w:hAnsi="Palatino Linotype" w:eastAsia="Palatino Linotype" w:cs="Palatino Linotype"/>
          <w:sz w:val="24"/>
          <w:szCs w:val="24"/>
        </w:rPr>
        <w:t xml:space="preserve">(2) </w:t>
      </w:r>
      <w:r w:rsidR="00A46083">
        <w:rPr>
          <w:rFonts w:ascii="Palatino Linotype" w:hAnsi="Palatino Linotype" w:eastAsia="Palatino Linotype" w:cs="Palatino Linotype"/>
          <w:sz w:val="24"/>
          <w:szCs w:val="24"/>
        </w:rPr>
        <w:t>Providing information on</w:t>
      </w:r>
      <w:r w:rsidR="003550D2">
        <w:rPr>
          <w:rFonts w:ascii="Palatino Linotype" w:hAnsi="Palatino Linotype" w:eastAsia="Palatino Linotype" w:cs="Palatino Linotype"/>
          <w:sz w:val="24"/>
          <w:szCs w:val="24"/>
        </w:rPr>
        <w:t xml:space="preserve"> </w:t>
      </w:r>
      <w:r w:rsidR="004335F7">
        <w:rPr>
          <w:rFonts w:ascii="Palatino Linotype" w:hAnsi="Palatino Linotype" w:eastAsia="Palatino Linotype" w:cs="Palatino Linotype"/>
          <w:sz w:val="24"/>
          <w:szCs w:val="24"/>
        </w:rPr>
        <w:t>c</w:t>
      </w:r>
      <w:r w:rsidRPr="00CD5CD8" w:rsidR="00A46083">
        <w:rPr>
          <w:rFonts w:ascii="Palatino Linotype" w:hAnsi="Palatino Linotype" w:eastAsia="Palatino Linotype" w:cs="Palatino Linotype"/>
          <w:sz w:val="24"/>
          <w:szCs w:val="24"/>
        </w:rPr>
        <w:t>ircumstances that lead to a reduction of export power</w:t>
      </w:r>
      <w:r w:rsidR="00C67A49">
        <w:rPr>
          <w:rFonts w:ascii="Palatino Linotype" w:hAnsi="Palatino Linotype" w:eastAsia="Palatino Linotype" w:cs="Palatino Linotype"/>
          <w:sz w:val="24"/>
          <w:szCs w:val="24"/>
        </w:rPr>
        <w:t xml:space="preserve"> and </w:t>
      </w:r>
      <w:r w:rsidRPr="00E67768" w:rsidR="003550D2">
        <w:rPr>
          <w:rFonts w:ascii="Palatino Linotype" w:hAnsi="Palatino Linotype" w:eastAsia="Palatino Linotype" w:cs="Palatino Linotype"/>
          <w:sz w:val="24"/>
          <w:szCs w:val="24"/>
        </w:rPr>
        <w:t>t</w:t>
      </w:r>
      <w:r w:rsidRPr="003550D2" w:rsidR="00A46083">
        <w:rPr>
          <w:rFonts w:ascii="Palatino Linotype" w:hAnsi="Palatino Linotype" w:eastAsia="Palatino Linotype" w:cs="Palatino Linotype"/>
          <w:sz w:val="24"/>
          <w:szCs w:val="24"/>
        </w:rPr>
        <w:t>he</w:t>
      </w:r>
      <w:r w:rsidR="00A46083">
        <w:rPr>
          <w:rFonts w:ascii="Palatino Linotype" w:hAnsi="Palatino Linotype" w:eastAsia="Palatino Linotype" w:cs="Palatino Linotype"/>
          <w:sz w:val="24"/>
          <w:szCs w:val="24"/>
        </w:rPr>
        <w:t xml:space="preserve"> </w:t>
      </w:r>
      <w:r w:rsidR="00C67A49">
        <w:rPr>
          <w:rFonts w:ascii="Palatino Linotype" w:hAnsi="Palatino Linotype" w:eastAsia="Palatino Linotype" w:cs="Palatino Linotype"/>
          <w:sz w:val="24"/>
          <w:szCs w:val="24"/>
        </w:rPr>
        <w:t>p</w:t>
      </w:r>
      <w:r w:rsidRPr="004F6706" w:rsidR="00A46083">
        <w:rPr>
          <w:rFonts w:ascii="Palatino Linotype" w:hAnsi="Palatino Linotype" w:eastAsia="Palatino Linotype" w:cs="Palatino Linotype"/>
          <w:sz w:val="24"/>
          <w:szCs w:val="24"/>
        </w:rPr>
        <w:t xml:space="preserve">rocedure to </w:t>
      </w:r>
      <w:r w:rsidR="00C67A49">
        <w:rPr>
          <w:rFonts w:ascii="Palatino Linotype" w:hAnsi="Palatino Linotype" w:eastAsia="Palatino Linotype" w:cs="Palatino Linotype"/>
          <w:sz w:val="24"/>
          <w:szCs w:val="24"/>
        </w:rPr>
        <w:t>d</w:t>
      </w:r>
      <w:r w:rsidRPr="004F6706" w:rsidR="00C67A49">
        <w:rPr>
          <w:rFonts w:ascii="Palatino Linotype" w:hAnsi="Palatino Linotype" w:eastAsia="Palatino Linotype" w:cs="Palatino Linotype"/>
          <w:sz w:val="24"/>
          <w:szCs w:val="24"/>
        </w:rPr>
        <w:t xml:space="preserve">etermine </w:t>
      </w:r>
      <w:r w:rsidRPr="004F6706" w:rsidR="00A46083">
        <w:rPr>
          <w:rFonts w:ascii="Palatino Linotype" w:hAnsi="Palatino Linotype" w:eastAsia="Palatino Linotype" w:cs="Palatino Linotype"/>
          <w:sz w:val="24"/>
          <w:szCs w:val="24"/>
        </w:rPr>
        <w:t xml:space="preserve">the </w:t>
      </w:r>
      <w:r w:rsidR="00C67A49">
        <w:rPr>
          <w:rFonts w:ascii="Palatino Linotype" w:hAnsi="Palatino Linotype" w:eastAsia="Palatino Linotype" w:cs="Palatino Linotype"/>
          <w:sz w:val="24"/>
          <w:szCs w:val="24"/>
        </w:rPr>
        <w:t>r</w:t>
      </w:r>
      <w:r w:rsidRPr="004F6706" w:rsidR="00C67A49">
        <w:rPr>
          <w:rFonts w:ascii="Palatino Linotype" w:hAnsi="Palatino Linotype" w:eastAsia="Palatino Linotype" w:cs="Palatino Linotype"/>
          <w:sz w:val="24"/>
          <w:szCs w:val="24"/>
        </w:rPr>
        <w:t xml:space="preserve">eduction </w:t>
      </w:r>
      <w:r w:rsidRPr="004F6706" w:rsidR="00A46083">
        <w:rPr>
          <w:rFonts w:ascii="Palatino Linotype" w:hAnsi="Palatino Linotype" w:eastAsia="Palatino Linotype" w:cs="Palatino Linotype"/>
          <w:sz w:val="24"/>
          <w:szCs w:val="24"/>
        </w:rPr>
        <w:t xml:space="preserve">of </w:t>
      </w:r>
      <w:r w:rsidR="00C67A49">
        <w:rPr>
          <w:rFonts w:ascii="Palatino Linotype" w:hAnsi="Palatino Linotype" w:eastAsia="Palatino Linotype" w:cs="Palatino Linotype"/>
          <w:sz w:val="24"/>
          <w:szCs w:val="24"/>
        </w:rPr>
        <w:t>e</w:t>
      </w:r>
      <w:r w:rsidRPr="004F6706" w:rsidR="00C67A49">
        <w:rPr>
          <w:rFonts w:ascii="Palatino Linotype" w:hAnsi="Palatino Linotype" w:eastAsia="Palatino Linotype" w:cs="Palatino Linotype"/>
          <w:sz w:val="24"/>
          <w:szCs w:val="24"/>
        </w:rPr>
        <w:t xml:space="preserve">xport </w:t>
      </w:r>
      <w:r w:rsidR="00C67A49">
        <w:rPr>
          <w:rFonts w:ascii="Palatino Linotype" w:hAnsi="Palatino Linotype" w:eastAsia="Palatino Linotype" w:cs="Palatino Linotype"/>
          <w:sz w:val="24"/>
          <w:szCs w:val="24"/>
        </w:rPr>
        <w:t>p</w:t>
      </w:r>
      <w:r w:rsidRPr="004F6706" w:rsidR="00A46083">
        <w:rPr>
          <w:rFonts w:ascii="Palatino Linotype" w:hAnsi="Palatino Linotype" w:eastAsia="Palatino Linotype" w:cs="Palatino Linotype"/>
          <w:sz w:val="24"/>
          <w:szCs w:val="24"/>
        </w:rPr>
        <w:t>ower</w:t>
      </w:r>
      <w:r w:rsidR="00435D3F">
        <w:rPr>
          <w:rFonts w:ascii="Palatino Linotype" w:hAnsi="Palatino Linotype" w:eastAsia="Palatino Linotype" w:cs="Palatino Linotype"/>
          <w:sz w:val="24"/>
          <w:szCs w:val="24"/>
        </w:rPr>
        <w:t>;</w:t>
      </w:r>
      <w:r w:rsidR="004335F7">
        <w:rPr>
          <w:rFonts w:ascii="Palatino Linotype" w:hAnsi="Palatino Linotype" w:eastAsia="Palatino Linotype" w:cs="Palatino Linotype"/>
          <w:sz w:val="24"/>
          <w:szCs w:val="24"/>
        </w:rPr>
        <w:t xml:space="preserve"> </w:t>
      </w:r>
      <w:r w:rsidR="00C67A49">
        <w:rPr>
          <w:rFonts w:ascii="Palatino Linotype" w:hAnsi="Palatino Linotype" w:eastAsia="Palatino Linotype" w:cs="Palatino Linotype"/>
          <w:sz w:val="24"/>
          <w:szCs w:val="24"/>
        </w:rPr>
        <w:t xml:space="preserve">(3) </w:t>
      </w:r>
      <w:r w:rsidR="004335F7">
        <w:rPr>
          <w:rFonts w:ascii="Palatino Linotype" w:hAnsi="Palatino Linotype" w:eastAsia="Palatino Linotype" w:cs="Palatino Linotype"/>
          <w:sz w:val="24"/>
          <w:szCs w:val="24"/>
        </w:rPr>
        <w:t>t</w:t>
      </w:r>
      <w:r w:rsidR="00A46083">
        <w:rPr>
          <w:rFonts w:ascii="Palatino Linotype" w:hAnsi="Palatino Linotype" w:eastAsia="Palatino Linotype" w:cs="Palatino Linotype"/>
          <w:sz w:val="24"/>
          <w:szCs w:val="24"/>
        </w:rPr>
        <w:t>he areas of consensus and non-consensus of the topics discussed in the workshops; and</w:t>
      </w:r>
      <w:r w:rsidR="00435D3F">
        <w:rPr>
          <w:rFonts w:ascii="Palatino Linotype" w:hAnsi="Palatino Linotype" w:eastAsia="Palatino Linotype" w:cs="Palatino Linotype"/>
          <w:sz w:val="24"/>
          <w:szCs w:val="24"/>
        </w:rPr>
        <w:t xml:space="preserve"> </w:t>
      </w:r>
      <w:r w:rsidR="00751CAA">
        <w:rPr>
          <w:rFonts w:ascii="Palatino Linotype" w:hAnsi="Palatino Linotype" w:eastAsia="Palatino Linotype" w:cs="Palatino Linotype"/>
          <w:sz w:val="24"/>
          <w:szCs w:val="24"/>
        </w:rPr>
        <w:br/>
      </w:r>
      <w:r w:rsidR="00C67A49">
        <w:rPr>
          <w:rFonts w:ascii="Palatino Linotype" w:hAnsi="Palatino Linotype" w:eastAsia="Palatino Linotype" w:cs="Palatino Linotype"/>
          <w:sz w:val="24"/>
          <w:szCs w:val="24"/>
        </w:rPr>
        <w:t xml:space="preserve">(4) </w:t>
      </w:r>
      <w:r w:rsidR="00435D3F">
        <w:rPr>
          <w:rFonts w:ascii="Palatino Linotype" w:hAnsi="Palatino Linotype" w:eastAsia="Palatino Linotype" w:cs="Palatino Linotype"/>
          <w:sz w:val="24"/>
          <w:szCs w:val="24"/>
        </w:rPr>
        <w:t>p</w:t>
      </w:r>
      <w:r w:rsidRPr="000F5AE6" w:rsidR="00A46083">
        <w:rPr>
          <w:rFonts w:ascii="Palatino Linotype" w:hAnsi="Palatino Linotype" w:eastAsia="Palatino Linotype" w:cs="Palatino Linotype"/>
          <w:sz w:val="24"/>
          <w:szCs w:val="24"/>
        </w:rPr>
        <w:t>resenting proposed tariff change to Section D.9 of Rule 21.</w:t>
      </w:r>
      <w:r w:rsidR="00A46083">
        <w:rPr>
          <w:rStyle w:val="FootnoteReference"/>
          <w:rFonts w:ascii="Palatino Linotype" w:hAnsi="Palatino Linotype" w:eastAsia="Palatino Linotype" w:cs="Palatino Linotype"/>
          <w:sz w:val="24"/>
          <w:szCs w:val="24"/>
        </w:rPr>
        <w:footnoteReference w:id="33"/>
      </w:r>
    </w:p>
    <w:p w:rsidR="00CF5556" w:rsidP="00444B2E" w:rsidRDefault="00A46083" w14:paraId="154620AF" w14:textId="77777777">
      <w:pPr>
        <w:pStyle w:val="Body"/>
        <w:rPr>
          <w:rFonts w:ascii="Palatino Linotype" w:hAnsi="Palatino Linotype" w:eastAsia="Palatino Linotype" w:cs="Palatino Linotype"/>
          <w:sz w:val="24"/>
          <w:szCs w:val="24"/>
        </w:rPr>
      </w:pPr>
      <w:r w:rsidRPr="00A23474">
        <w:rPr>
          <w:rFonts w:ascii="Palatino Linotype" w:hAnsi="Palatino Linotype" w:eastAsia="Palatino Linotype" w:cs="Palatino Linotype"/>
          <w:sz w:val="24"/>
          <w:szCs w:val="24"/>
          <w:u w:val="single"/>
        </w:rPr>
        <w:t>Joint Alternate Proposal</w:t>
      </w:r>
      <w:r w:rsidR="00331656">
        <w:rPr>
          <w:rFonts w:ascii="Palatino Linotype" w:hAnsi="Palatino Linotype" w:eastAsia="Palatino Linotype" w:cs="Palatino Linotype"/>
          <w:sz w:val="24"/>
          <w:szCs w:val="24"/>
        </w:rPr>
        <w:t xml:space="preserve">  </w:t>
      </w:r>
    </w:p>
    <w:p w:rsidR="00444B2E" w:rsidP="00444B2E" w:rsidRDefault="00444B2E" w14:paraId="3E60A2C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On January 5, 2023, </w:t>
      </w:r>
      <w:r w:rsidR="00BD7218">
        <w:rPr>
          <w:rFonts w:ascii="Palatino Linotype" w:hAnsi="Palatino Linotype" w:eastAsia="Palatino Linotype" w:cs="Palatino Linotype"/>
          <w:sz w:val="24"/>
          <w:szCs w:val="24"/>
        </w:rPr>
        <w:t xml:space="preserve">the </w:t>
      </w:r>
      <w:r w:rsidRPr="00665D3B" w:rsidR="00BD7218">
        <w:rPr>
          <w:rFonts w:ascii="Palatino Linotype" w:hAnsi="Palatino Linotype" w:eastAsia="Palatino Linotype" w:cs="Palatino Linotype"/>
          <w:sz w:val="24"/>
          <w:szCs w:val="24"/>
        </w:rPr>
        <w:t xml:space="preserve">Interstate Renewable Energy Council, Inc. (IREC), </w:t>
      </w:r>
      <w:r w:rsidR="00BD7218">
        <w:rPr>
          <w:rFonts w:ascii="Palatino Linotype" w:hAnsi="Palatino Linotype" w:eastAsia="Palatino Linotype" w:cs="Palatino Linotype"/>
          <w:sz w:val="24"/>
          <w:szCs w:val="24"/>
        </w:rPr>
        <w:t>o</w:t>
      </w:r>
      <w:r w:rsidRPr="004574CD" w:rsidR="00BD7218">
        <w:rPr>
          <w:rFonts w:ascii="Palatino Linotype" w:hAnsi="Palatino Linotype" w:eastAsia="Palatino Linotype" w:cs="Palatino Linotype"/>
          <w:sz w:val="24"/>
          <w:szCs w:val="24"/>
        </w:rPr>
        <w:t xml:space="preserve">n behalf of </w:t>
      </w:r>
      <w:r w:rsidR="00BD7218">
        <w:rPr>
          <w:rFonts w:ascii="Palatino Linotype" w:hAnsi="Palatino Linotype" w:eastAsia="Palatino Linotype" w:cs="Palatino Linotype"/>
          <w:sz w:val="24"/>
          <w:szCs w:val="24"/>
        </w:rPr>
        <w:t>itself,</w:t>
      </w:r>
      <w:r w:rsidRPr="004574CD" w:rsidR="00BD7218">
        <w:rPr>
          <w:rFonts w:ascii="Palatino Linotype" w:hAnsi="Palatino Linotype" w:eastAsia="Palatino Linotype" w:cs="Palatino Linotype"/>
          <w:sz w:val="24"/>
          <w:szCs w:val="24"/>
        </w:rPr>
        <w:t xml:space="preserve"> </w:t>
      </w:r>
      <w:r w:rsidRPr="00665D3B" w:rsidR="00BD7218">
        <w:rPr>
          <w:rFonts w:ascii="Palatino Linotype" w:hAnsi="Palatino Linotype" w:eastAsia="Palatino Linotype" w:cs="Palatino Linotype"/>
          <w:sz w:val="24"/>
          <w:szCs w:val="24"/>
        </w:rPr>
        <w:t>the Public Advocates Office at the California Public Utilities Commission (Cal Advocates), the California Solar and Storage Association (CALSSA), and Applied Systems Engineering Inc. (collectively, Alternate Proposal Parties)</w:t>
      </w:r>
      <w:r w:rsidRPr="004574CD">
        <w:rPr>
          <w:rFonts w:ascii="Palatino Linotype" w:hAnsi="Palatino Linotype" w:eastAsia="Palatino Linotype" w:cs="Palatino Linotype"/>
          <w:sz w:val="24"/>
          <w:szCs w:val="24"/>
        </w:rPr>
        <w:t>, submit</w:t>
      </w:r>
      <w:r>
        <w:rPr>
          <w:rFonts w:ascii="Palatino Linotype" w:hAnsi="Palatino Linotype" w:eastAsia="Palatino Linotype" w:cs="Palatino Linotype"/>
          <w:sz w:val="24"/>
          <w:szCs w:val="24"/>
        </w:rPr>
        <w:t>ted</w:t>
      </w:r>
      <w:r w:rsidRPr="004574CD">
        <w:rPr>
          <w:rFonts w:ascii="Palatino Linotype" w:hAnsi="Palatino Linotype" w:eastAsia="Palatino Linotype" w:cs="Palatino Linotype"/>
          <w:sz w:val="24"/>
          <w:szCs w:val="24"/>
        </w:rPr>
        <w:t xml:space="preserve"> </w:t>
      </w:r>
      <w:r w:rsidR="0025084F">
        <w:rPr>
          <w:rFonts w:ascii="Palatino Linotype" w:hAnsi="Palatino Linotype" w:eastAsia="Palatino Linotype" w:cs="Palatino Linotype"/>
          <w:sz w:val="24"/>
          <w:szCs w:val="24"/>
        </w:rPr>
        <w:t xml:space="preserve">to the Large IOUs </w:t>
      </w:r>
      <w:r>
        <w:rPr>
          <w:rFonts w:ascii="Palatino Linotype" w:hAnsi="Palatino Linotype" w:eastAsia="Palatino Linotype" w:cs="Palatino Linotype"/>
          <w:sz w:val="24"/>
          <w:szCs w:val="24"/>
        </w:rPr>
        <w:t xml:space="preserve">an </w:t>
      </w:r>
      <w:r w:rsidRPr="004574CD">
        <w:rPr>
          <w:rFonts w:ascii="Palatino Linotype" w:hAnsi="Palatino Linotype" w:eastAsia="Palatino Linotype" w:cs="Palatino Linotype"/>
          <w:sz w:val="24"/>
          <w:szCs w:val="24"/>
        </w:rPr>
        <w:t xml:space="preserve">alternate proposal for how to resolve whether and how reductions to a customer’s LGP are determined pursuant to </w:t>
      </w:r>
      <w:r>
        <w:rPr>
          <w:rFonts w:ascii="Palatino Linotype" w:hAnsi="Palatino Linotype" w:eastAsia="Palatino Linotype" w:cs="Palatino Linotype"/>
          <w:sz w:val="24"/>
          <w:szCs w:val="24"/>
        </w:rPr>
        <w:t>OP</w:t>
      </w:r>
      <w:r w:rsidRPr="004574CD">
        <w:rPr>
          <w:rFonts w:ascii="Palatino Linotype" w:hAnsi="Palatino Linotype" w:eastAsia="Palatino Linotype" w:cs="Palatino Linotype"/>
          <w:sz w:val="24"/>
          <w:szCs w:val="24"/>
        </w:rPr>
        <w:t xml:space="preserve"> 16</w:t>
      </w:r>
      <w:r>
        <w:rPr>
          <w:rFonts w:ascii="Palatino Linotype" w:hAnsi="Palatino Linotype" w:eastAsia="Palatino Linotype" w:cs="Palatino Linotype"/>
          <w:sz w:val="24"/>
          <w:szCs w:val="24"/>
        </w:rPr>
        <w:t xml:space="preserve"> of the Decision</w:t>
      </w:r>
      <w:r w:rsidRPr="004574CD">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The Alternate Proposal was included in the Joint </w:t>
      </w:r>
      <w:r w:rsidR="00027F0D">
        <w:rPr>
          <w:rFonts w:ascii="Palatino Linotype" w:hAnsi="Palatino Linotype" w:eastAsia="Palatino Linotype" w:cs="Palatino Linotype"/>
          <w:sz w:val="24"/>
          <w:szCs w:val="24"/>
        </w:rPr>
        <w:t xml:space="preserve">January LGP </w:t>
      </w:r>
      <w:r>
        <w:rPr>
          <w:rFonts w:ascii="Palatino Linotype" w:hAnsi="Palatino Linotype" w:eastAsia="Palatino Linotype" w:cs="Palatino Linotype"/>
          <w:sz w:val="24"/>
          <w:szCs w:val="24"/>
        </w:rPr>
        <w:t>AL as Attachment A.</w:t>
      </w:r>
      <w:r w:rsidR="00180B92">
        <w:rPr>
          <w:rStyle w:val="FootnoteReference"/>
          <w:rFonts w:ascii="Palatino Linotype" w:hAnsi="Palatino Linotype" w:eastAsia="Palatino Linotype" w:cs="Palatino Linotype"/>
          <w:sz w:val="24"/>
          <w:szCs w:val="24"/>
        </w:rPr>
        <w:footnoteReference w:id="34"/>
      </w:r>
      <w:r>
        <w:rPr>
          <w:rFonts w:ascii="Palatino Linotype" w:hAnsi="Palatino Linotype" w:eastAsia="Palatino Linotype" w:cs="Palatino Linotype"/>
          <w:sz w:val="24"/>
          <w:szCs w:val="24"/>
        </w:rPr>
        <w:t xml:space="preserve">  </w:t>
      </w:r>
    </w:p>
    <w:p w:rsidR="00CF5556" w:rsidP="00751CAA" w:rsidRDefault="00CA4213" w14:paraId="1C5197E4" w14:textId="77777777">
      <w:pPr>
        <w:pStyle w:val="Body"/>
        <w:keepNext/>
        <w:keepLines/>
        <w:rPr>
          <w:rFonts w:ascii="Palatino Linotype" w:hAnsi="Palatino Linotype" w:eastAsia="Palatino Linotype" w:cs="Palatino Linotype"/>
          <w:sz w:val="24"/>
          <w:szCs w:val="24"/>
        </w:rPr>
      </w:pPr>
      <w:r w:rsidRPr="00EA23D1">
        <w:rPr>
          <w:rFonts w:ascii="Palatino Linotype" w:hAnsi="Palatino Linotype" w:eastAsia="Palatino Linotype" w:cs="Palatino Linotype"/>
          <w:sz w:val="24"/>
          <w:szCs w:val="24"/>
          <w:u w:val="single"/>
        </w:rPr>
        <w:lastRenderedPageBreak/>
        <w:t>Supplement to Joint January LGP AL</w:t>
      </w:r>
      <w:r w:rsidR="00331656">
        <w:rPr>
          <w:rFonts w:ascii="Palatino Linotype" w:hAnsi="Palatino Linotype" w:eastAsia="Palatino Linotype" w:cs="Palatino Linotype"/>
          <w:sz w:val="24"/>
          <w:szCs w:val="24"/>
        </w:rPr>
        <w:t xml:space="preserve">  </w:t>
      </w:r>
    </w:p>
    <w:p w:rsidR="001C689C" w:rsidP="00751CAA" w:rsidRDefault="00DD1CD1" w14:paraId="013CD961" w14:textId="77777777">
      <w:pPr>
        <w:pStyle w:val="Body"/>
        <w:keepNext/>
        <w:keepLines/>
        <w:rPr>
          <w:rFonts w:ascii="Palatino Linotype" w:hAnsi="Palatino Linotype" w:eastAsia="Palatino Linotype" w:cs="Palatino Linotype"/>
          <w:sz w:val="24"/>
          <w:szCs w:val="24"/>
        </w:rPr>
      </w:pPr>
      <w:r>
        <w:rPr>
          <w:rFonts w:ascii="Palatino Linotype" w:hAnsi="Palatino Linotype" w:cstheme="minorHAnsi"/>
          <w:sz w:val="24"/>
          <w:szCs w:val="24"/>
        </w:rPr>
        <w:t xml:space="preserve">On January 23, 2023 </w:t>
      </w:r>
      <w:r>
        <w:rPr>
          <w:rFonts w:ascii="Palatino Linotype" w:hAnsi="Palatino Linotype" w:eastAsia="Palatino Linotype" w:cs="Palatino Linotype"/>
          <w:sz w:val="24"/>
          <w:szCs w:val="24"/>
        </w:rPr>
        <w:t xml:space="preserve">the </w:t>
      </w:r>
      <w:r w:rsidRPr="00C20096">
        <w:rPr>
          <w:rFonts w:ascii="Palatino Linotype" w:hAnsi="Palatino Linotype" w:eastAsia="Palatino Linotype" w:cs="Palatino Linotype"/>
          <w:sz w:val="24"/>
          <w:szCs w:val="24"/>
        </w:rPr>
        <w:t>Large IOUs submitted</w:t>
      </w:r>
      <w:r>
        <w:rPr>
          <w:rFonts w:ascii="Palatino Linotype" w:hAnsi="Palatino Linotype" w:eastAsia="Palatino Linotype" w:cs="Palatino Linotype"/>
          <w:sz w:val="24"/>
          <w:szCs w:val="24"/>
        </w:rPr>
        <w:t xml:space="preserve"> </w:t>
      </w:r>
      <w:r w:rsidR="00EA23D1">
        <w:rPr>
          <w:rFonts w:ascii="Palatino Linotype" w:hAnsi="Palatino Linotype" w:cstheme="minorHAnsi"/>
          <w:sz w:val="24"/>
          <w:szCs w:val="24"/>
        </w:rPr>
        <w:t xml:space="preserve">the Supplement to the Joint January LGP </w:t>
      </w:r>
      <w:r w:rsidRPr="00175F6E" w:rsidR="00EA23D1">
        <w:rPr>
          <w:rFonts w:ascii="Palatino Linotype" w:hAnsi="Palatino Linotype" w:cstheme="minorHAnsi"/>
          <w:sz w:val="24"/>
          <w:szCs w:val="24"/>
        </w:rPr>
        <w:t>AL</w:t>
      </w:r>
      <w:r w:rsidRPr="00175F6E" w:rsidR="00175F6E">
        <w:rPr>
          <w:rFonts w:ascii="Palatino Linotype" w:hAnsi="Palatino Linotype" w:cstheme="minorHAnsi"/>
          <w:sz w:val="24"/>
          <w:szCs w:val="24"/>
        </w:rPr>
        <w:t xml:space="preserve"> </w:t>
      </w:r>
      <w:r w:rsidRPr="00175F6E" w:rsidR="00175F6E">
        <w:rPr>
          <w:rFonts w:ascii="Palatino Linotype" w:hAnsi="Palatino Linotype" w:eastAsia="Palatino Linotype" w:cs="Palatino Linotype"/>
          <w:sz w:val="24"/>
          <w:szCs w:val="24"/>
        </w:rPr>
        <w:t xml:space="preserve">(PG&amp;E AL 6816-E-A, SCE AL 4941-E-A, </w:t>
      </w:r>
      <w:r w:rsidR="00180B92">
        <w:rPr>
          <w:rFonts w:ascii="Palatino Linotype" w:hAnsi="Palatino Linotype" w:eastAsia="Palatino Linotype" w:cs="Palatino Linotype"/>
          <w:sz w:val="24"/>
          <w:szCs w:val="24"/>
        </w:rPr>
        <w:t xml:space="preserve">&amp; </w:t>
      </w:r>
      <w:r w:rsidRPr="00175F6E" w:rsidR="00175F6E">
        <w:rPr>
          <w:rFonts w:ascii="Palatino Linotype" w:hAnsi="Palatino Linotype" w:eastAsia="Palatino Linotype" w:cs="Palatino Linotype"/>
          <w:sz w:val="24"/>
          <w:szCs w:val="24"/>
        </w:rPr>
        <w:t>SDG&amp;E AL 4138-E-A)</w:t>
      </w:r>
      <w:r w:rsidRPr="00175F6E" w:rsidR="00220B4E">
        <w:rPr>
          <w:rFonts w:ascii="Palatino Linotype" w:hAnsi="Palatino Linotype" w:eastAsia="Palatino Linotype" w:cs="Palatino Linotype"/>
          <w:sz w:val="24"/>
          <w:szCs w:val="24"/>
        </w:rPr>
        <w:t>.</w:t>
      </w:r>
      <w:r w:rsidR="00180B92">
        <w:rPr>
          <w:rFonts w:ascii="Palatino Linotype" w:hAnsi="Palatino Linotype" w:eastAsia="Palatino Linotype" w:cs="Palatino Linotype"/>
          <w:sz w:val="24"/>
          <w:szCs w:val="24"/>
        </w:rPr>
        <w:t xml:space="preserve"> </w:t>
      </w:r>
      <w:r w:rsidR="00D02B37">
        <w:rPr>
          <w:rFonts w:ascii="Palatino Linotype" w:hAnsi="Palatino Linotype" w:eastAsia="Palatino Linotype" w:cs="Palatino Linotype"/>
          <w:sz w:val="24"/>
          <w:szCs w:val="24"/>
        </w:rPr>
        <w:t>In th</w:t>
      </w:r>
      <w:r w:rsidR="00815ADF">
        <w:rPr>
          <w:rFonts w:ascii="Palatino Linotype" w:hAnsi="Palatino Linotype" w:eastAsia="Palatino Linotype" w:cs="Palatino Linotype"/>
          <w:sz w:val="24"/>
          <w:szCs w:val="24"/>
        </w:rPr>
        <w:t xml:space="preserve">is </w:t>
      </w:r>
      <w:r w:rsidR="00D02B37">
        <w:rPr>
          <w:rFonts w:ascii="Palatino Linotype" w:hAnsi="Palatino Linotype" w:eastAsia="Palatino Linotype" w:cs="Palatino Linotype"/>
          <w:sz w:val="24"/>
          <w:szCs w:val="24"/>
        </w:rPr>
        <w:t xml:space="preserve">Supplement the Large IOUs </w:t>
      </w:r>
      <w:r w:rsidR="00180B92">
        <w:rPr>
          <w:rFonts w:ascii="Palatino Linotype" w:hAnsi="Palatino Linotype" w:eastAsia="Palatino Linotype" w:cs="Palatino Linotype"/>
          <w:sz w:val="24"/>
          <w:szCs w:val="24"/>
        </w:rPr>
        <w:t xml:space="preserve">respond to the proposals in </w:t>
      </w:r>
      <w:r w:rsidR="00D02B37">
        <w:rPr>
          <w:rFonts w:ascii="Palatino Linotype" w:hAnsi="Palatino Linotype" w:eastAsia="Palatino Linotype" w:cs="Palatino Linotype"/>
          <w:sz w:val="24"/>
          <w:szCs w:val="24"/>
        </w:rPr>
        <w:t>the Joint Alternate Proposal</w:t>
      </w:r>
      <w:r w:rsidR="00815ADF">
        <w:rPr>
          <w:rFonts w:ascii="Palatino Linotype" w:hAnsi="Palatino Linotype" w:eastAsia="Palatino Linotype" w:cs="Palatino Linotype"/>
          <w:sz w:val="24"/>
          <w:szCs w:val="24"/>
        </w:rPr>
        <w:t>.</w:t>
      </w:r>
      <w:r w:rsidR="00050EEE">
        <w:rPr>
          <w:rFonts w:ascii="Palatino Linotype" w:hAnsi="Palatino Linotype" w:eastAsia="Palatino Linotype" w:cs="Palatino Linotype"/>
          <w:sz w:val="24"/>
          <w:szCs w:val="24"/>
        </w:rPr>
        <w:t xml:space="preserve">  </w:t>
      </w:r>
    </w:p>
    <w:p w:rsidRPr="00331656" w:rsidR="00331656" w:rsidP="009551A2" w:rsidRDefault="00331656" w14:paraId="166BFFA9" w14:textId="77777777">
      <w:pPr>
        <w:pStyle w:val="Body"/>
        <w:numPr>
          <w:ilvl w:val="0"/>
          <w:numId w:val="8"/>
        </w:numPr>
        <w:rPr>
          <w:rFonts w:ascii="Palatino Linotype" w:hAnsi="Palatino Linotype" w:eastAsia="Palatino Linotype" w:cs="Palatino Linotype"/>
          <w:b/>
          <w:bCs/>
          <w:sz w:val="24"/>
          <w:szCs w:val="24"/>
        </w:rPr>
      </w:pPr>
      <w:r w:rsidRPr="00331656">
        <w:rPr>
          <w:rFonts w:ascii="Palatino Linotype" w:hAnsi="Palatino Linotype" w:eastAsia="Palatino Linotype" w:cs="Palatino Linotype"/>
          <w:b/>
          <w:bCs/>
          <w:sz w:val="24"/>
          <w:szCs w:val="24"/>
        </w:rPr>
        <w:t>Resolution E-5230 and Joint May LGP AL</w:t>
      </w:r>
    </w:p>
    <w:p w:rsidR="00CF5556" w:rsidP="009D25F5" w:rsidRDefault="009D25F5" w14:paraId="483BAA52" w14:textId="77777777">
      <w:pPr>
        <w:pStyle w:val="Body"/>
        <w:rPr>
          <w:rFonts w:ascii="Palatino Linotype" w:hAnsi="Palatino Linotype" w:eastAsia="Palatino Linotype" w:cs="Palatino Linotype"/>
          <w:sz w:val="24"/>
          <w:szCs w:val="24"/>
        </w:rPr>
      </w:pPr>
      <w:r w:rsidRPr="009D25F5">
        <w:rPr>
          <w:rFonts w:ascii="Palatino Linotype" w:hAnsi="Palatino Linotype" w:eastAsia="Palatino Linotype" w:cs="Palatino Linotype"/>
          <w:sz w:val="24"/>
          <w:szCs w:val="24"/>
          <w:u w:val="single"/>
        </w:rPr>
        <w:t>March 2021 Advice Letters to Comply with OP 15 and 51 of Decision</w:t>
      </w:r>
      <w:r>
        <w:rPr>
          <w:rFonts w:ascii="Palatino Linotype" w:hAnsi="Palatino Linotype" w:eastAsia="Palatino Linotype" w:cs="Palatino Linotype"/>
          <w:sz w:val="24"/>
          <w:szCs w:val="24"/>
        </w:rPr>
        <w:t xml:space="preserve">  </w:t>
      </w:r>
    </w:p>
    <w:p w:rsidRPr="009D25F5" w:rsidR="009D25F5" w:rsidP="009D25F5" w:rsidRDefault="009D25F5" w14:paraId="3401EC69"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On </w:t>
      </w:r>
      <w:r w:rsidRPr="00D062C6">
        <w:rPr>
          <w:rFonts w:ascii="Palatino Linotype" w:hAnsi="Palatino Linotype" w:eastAsia="Palatino Linotype" w:cs="Palatino Linotype"/>
          <w:sz w:val="24"/>
          <w:szCs w:val="24"/>
        </w:rPr>
        <w:t>March 30, 2021</w:t>
      </w:r>
      <w:r>
        <w:rPr>
          <w:rFonts w:ascii="Palatino Linotype" w:hAnsi="Palatino Linotype" w:eastAsia="Palatino Linotype" w:cs="Palatino Linotype"/>
          <w:sz w:val="24"/>
          <w:szCs w:val="24"/>
        </w:rPr>
        <w:t>, the L</w:t>
      </w:r>
      <w:r w:rsidRPr="007F5767">
        <w:rPr>
          <w:rFonts w:ascii="Palatino Linotype" w:hAnsi="Palatino Linotype" w:eastAsia="Palatino Linotype" w:cs="Palatino Linotype"/>
          <w:sz w:val="24"/>
          <w:szCs w:val="24"/>
        </w:rPr>
        <w:t xml:space="preserve">arge IOUs, submitted </w:t>
      </w:r>
      <w:r w:rsidRPr="00D062C6">
        <w:rPr>
          <w:rFonts w:ascii="Palatino Linotype" w:hAnsi="Palatino Linotype" w:eastAsia="Palatino Linotype" w:cs="Palatino Linotype"/>
          <w:sz w:val="24"/>
          <w:szCs w:val="24"/>
        </w:rPr>
        <w:t xml:space="preserve">PG&amp;E </w:t>
      </w:r>
      <w:r>
        <w:rPr>
          <w:rFonts w:ascii="Palatino Linotype" w:hAnsi="Palatino Linotype" w:eastAsia="Palatino Linotype" w:cs="Palatino Linotype"/>
          <w:sz w:val="24"/>
          <w:szCs w:val="24"/>
        </w:rPr>
        <w:t>AL</w:t>
      </w:r>
      <w:r w:rsidRPr="00D062C6">
        <w:rPr>
          <w:rFonts w:ascii="Palatino Linotype" w:hAnsi="Palatino Linotype" w:eastAsia="Palatino Linotype" w:cs="Palatino Linotype"/>
          <w:sz w:val="24"/>
          <w:szCs w:val="24"/>
        </w:rPr>
        <w:t xml:space="preserve"> 6141-E, SCE </w:t>
      </w:r>
      <w:r>
        <w:rPr>
          <w:rFonts w:ascii="Palatino Linotype" w:hAnsi="Palatino Linotype" w:eastAsia="Palatino Linotype" w:cs="Palatino Linotype"/>
          <w:sz w:val="24"/>
          <w:szCs w:val="24"/>
        </w:rPr>
        <w:t>AL</w:t>
      </w:r>
      <w:r w:rsidRPr="00D062C6">
        <w:rPr>
          <w:rFonts w:ascii="Palatino Linotype" w:hAnsi="Palatino Linotype" w:eastAsia="Palatino Linotype" w:cs="Palatino Linotype"/>
          <w:sz w:val="24"/>
          <w:szCs w:val="24"/>
        </w:rPr>
        <w:t xml:space="preserve"> 4455-E, and SDG&amp;E </w:t>
      </w:r>
      <w:r>
        <w:rPr>
          <w:rFonts w:ascii="Palatino Linotype" w:hAnsi="Palatino Linotype" w:eastAsia="Palatino Linotype" w:cs="Palatino Linotype"/>
          <w:sz w:val="24"/>
          <w:szCs w:val="24"/>
        </w:rPr>
        <w:t>AL</w:t>
      </w:r>
      <w:r w:rsidRPr="00D062C6">
        <w:rPr>
          <w:rFonts w:ascii="Palatino Linotype" w:hAnsi="Palatino Linotype" w:eastAsia="Palatino Linotype" w:cs="Palatino Linotype"/>
          <w:sz w:val="24"/>
          <w:szCs w:val="24"/>
        </w:rPr>
        <w:t xml:space="preserve"> 3721-E</w:t>
      </w:r>
      <w:r w:rsidRPr="00D062C6" w:rsidDel="00311DB3">
        <w:rPr>
          <w:rFonts w:ascii="Palatino Linotype" w:hAnsi="Palatino Linotype" w:eastAsia="Palatino Linotype" w:cs="Palatino Linotype"/>
          <w:sz w:val="24"/>
          <w:szCs w:val="24"/>
        </w:rPr>
        <w:t xml:space="preserve"> </w:t>
      </w:r>
      <w:r w:rsidRPr="007F5767">
        <w:rPr>
          <w:rFonts w:ascii="Palatino Linotype" w:hAnsi="Palatino Linotype" w:eastAsia="Palatino Linotype" w:cs="Palatino Linotype"/>
          <w:sz w:val="24"/>
          <w:szCs w:val="24"/>
        </w:rPr>
        <w:t>to comply with OP</w:t>
      </w:r>
      <w:r>
        <w:rPr>
          <w:rFonts w:ascii="Palatino Linotype" w:hAnsi="Palatino Linotype" w:eastAsia="Palatino Linotype" w:cs="Palatino Linotype"/>
          <w:sz w:val="24"/>
          <w:szCs w:val="24"/>
        </w:rPr>
        <w:t xml:space="preserve"> </w:t>
      </w:r>
      <w:r w:rsidRPr="007F5767">
        <w:rPr>
          <w:rFonts w:ascii="Palatino Linotype" w:hAnsi="Palatino Linotype" w:eastAsia="Palatino Linotype" w:cs="Palatino Linotype"/>
          <w:sz w:val="24"/>
          <w:szCs w:val="24"/>
        </w:rPr>
        <w:t xml:space="preserve">15 and 51 of </w:t>
      </w:r>
      <w:r>
        <w:rPr>
          <w:rFonts w:ascii="Palatino Linotype" w:hAnsi="Palatino Linotype" w:eastAsia="Palatino Linotype" w:cs="Palatino Linotype"/>
          <w:sz w:val="24"/>
          <w:szCs w:val="24"/>
        </w:rPr>
        <w:t xml:space="preserve">the </w:t>
      </w:r>
      <w:r w:rsidRPr="007F5767">
        <w:rPr>
          <w:rFonts w:ascii="Palatino Linotype" w:hAnsi="Palatino Linotype" w:eastAsia="Palatino Linotype" w:cs="Palatino Linotype"/>
          <w:sz w:val="24"/>
          <w:szCs w:val="24"/>
        </w:rPr>
        <w:t>Decision.</w:t>
      </w:r>
      <w:r w:rsidRPr="00FF2120">
        <w:rPr>
          <w:rFonts w:ascii="Palatino Linotype" w:hAnsi="Palatino Linotype" w:eastAsia="Palatino Linotype" w:cs="Palatino Linotype"/>
          <w:b/>
          <w:bCs/>
          <w:sz w:val="24"/>
          <w:szCs w:val="24"/>
        </w:rPr>
        <w:t xml:space="preserve"> </w:t>
      </w:r>
      <w:r w:rsidRPr="009A2E7F">
        <w:rPr>
          <w:rFonts w:ascii="Palatino Linotype" w:hAnsi="Palatino Linotype" w:eastAsia="Palatino Linotype" w:cs="Palatino Linotype"/>
          <w:sz w:val="24"/>
          <w:szCs w:val="24"/>
        </w:rPr>
        <w:t xml:space="preserve">In the ALs the Large IOUs outlined the interconnection process </w:t>
      </w:r>
      <w:r>
        <w:rPr>
          <w:rFonts w:ascii="Palatino Linotype" w:hAnsi="Palatino Linotype" w:eastAsia="Palatino Linotype" w:cs="Palatino Linotype"/>
          <w:sz w:val="24"/>
          <w:szCs w:val="24"/>
        </w:rPr>
        <w:t xml:space="preserve">for LGP </w:t>
      </w:r>
      <w:r w:rsidRPr="009A2E7F">
        <w:rPr>
          <w:rFonts w:ascii="Palatino Linotype" w:hAnsi="Palatino Linotype" w:eastAsia="Palatino Linotype" w:cs="Palatino Linotype"/>
          <w:sz w:val="24"/>
          <w:szCs w:val="24"/>
        </w:rPr>
        <w:t>in five phases: (1) Customer Preparation, (2) Interconnection Request, (3) Technical Evaluation, (4) Interconnection Agreement/Permission to Operate</w:t>
      </w:r>
      <w:r>
        <w:rPr>
          <w:rFonts w:ascii="Palatino Linotype" w:hAnsi="Palatino Linotype" w:eastAsia="Palatino Linotype" w:cs="Palatino Linotype"/>
          <w:sz w:val="24"/>
          <w:szCs w:val="24"/>
        </w:rPr>
        <w:t xml:space="preserve"> (PTO)</w:t>
      </w:r>
      <w:r w:rsidRPr="009A2E7F">
        <w:rPr>
          <w:rFonts w:ascii="Palatino Linotype" w:hAnsi="Palatino Linotype" w:eastAsia="Palatino Linotype" w:cs="Palatino Linotype"/>
          <w:sz w:val="24"/>
          <w:szCs w:val="24"/>
        </w:rPr>
        <w:t xml:space="preserve">, and (5), Operation Performance. The Large IOUs also provided information on the implementation requirements and changes needed in their systems to implement </w:t>
      </w:r>
      <w:r>
        <w:rPr>
          <w:rFonts w:ascii="Palatino Linotype" w:hAnsi="Palatino Linotype" w:eastAsia="Palatino Linotype" w:cs="Palatino Linotype"/>
          <w:sz w:val="24"/>
          <w:szCs w:val="24"/>
        </w:rPr>
        <w:t>LGPs</w:t>
      </w:r>
      <w:r w:rsidRPr="009A2E7F">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w:t>
      </w:r>
      <w:r w:rsidRPr="00D062C6">
        <w:rPr>
          <w:rFonts w:ascii="Palatino Linotype" w:hAnsi="Palatino Linotype"/>
          <w:sz w:val="24"/>
          <w:szCs w:val="24"/>
        </w:rPr>
        <w:t xml:space="preserve">  </w:t>
      </w:r>
    </w:p>
    <w:p w:rsidR="00973266" w:rsidP="00524139" w:rsidRDefault="00331656" w14:paraId="48D7476B" w14:textId="77777777">
      <w:pPr>
        <w:pStyle w:val="Body"/>
        <w:rPr>
          <w:rFonts w:ascii="Palatino Linotype" w:hAnsi="Palatino Linotype" w:eastAsia="Palatino Linotype" w:cs="Palatino Linotype"/>
          <w:sz w:val="24"/>
          <w:szCs w:val="24"/>
        </w:rPr>
      </w:pPr>
      <w:r w:rsidRPr="00331656">
        <w:rPr>
          <w:rFonts w:ascii="Palatino Linotype" w:hAnsi="Palatino Linotype" w:eastAsia="Palatino Linotype" w:cs="Palatino Linotype"/>
          <w:sz w:val="24"/>
          <w:szCs w:val="24"/>
          <w:u w:val="single"/>
        </w:rPr>
        <w:t>Resolution E-5230</w:t>
      </w:r>
      <w:r>
        <w:rPr>
          <w:rFonts w:ascii="Palatino Linotype" w:hAnsi="Palatino Linotype" w:eastAsia="Palatino Linotype" w:cs="Palatino Linotype"/>
          <w:sz w:val="24"/>
          <w:szCs w:val="24"/>
        </w:rPr>
        <w:t xml:space="preserve"> </w:t>
      </w:r>
      <w:r w:rsidR="00F15427">
        <w:rPr>
          <w:rFonts w:ascii="Palatino Linotype" w:hAnsi="Palatino Linotype" w:eastAsia="Palatino Linotype" w:cs="Palatino Linotype"/>
          <w:sz w:val="24"/>
          <w:szCs w:val="24"/>
        </w:rPr>
        <w:t xml:space="preserve"> </w:t>
      </w:r>
    </w:p>
    <w:p w:rsidR="007E3138" w:rsidP="00524139" w:rsidRDefault="008B2B86" w14:paraId="05DBB475" w14:textId="77777777">
      <w:pPr>
        <w:pStyle w:val="Body"/>
        <w:rPr>
          <w:rFonts w:ascii="Palatino Linotype" w:hAnsi="Palatino Linotype" w:eastAsia="Palatino Linotype" w:cs="Palatino Linotype"/>
          <w:b/>
          <w:bCs/>
          <w:sz w:val="24"/>
          <w:szCs w:val="24"/>
        </w:rPr>
      </w:pPr>
      <w:r w:rsidRPr="00D062C6">
        <w:rPr>
          <w:rFonts w:ascii="Palatino Linotype" w:hAnsi="Palatino Linotype" w:eastAsia="Palatino Linotype" w:cs="Palatino Linotype"/>
          <w:sz w:val="24"/>
          <w:szCs w:val="24"/>
        </w:rPr>
        <w:t>Resolution</w:t>
      </w:r>
      <w:r>
        <w:rPr>
          <w:rFonts w:ascii="Palatino Linotype" w:hAnsi="Palatino Linotype" w:eastAsia="Palatino Linotype" w:cs="Palatino Linotype"/>
          <w:sz w:val="24"/>
          <w:szCs w:val="24"/>
        </w:rPr>
        <w:t xml:space="preserve"> E-5230, issued on </w:t>
      </w:r>
      <w:r w:rsidR="006E3A4B">
        <w:rPr>
          <w:rFonts w:ascii="Palatino Linotype" w:hAnsi="Palatino Linotype" w:eastAsia="Palatino Linotype" w:cs="Palatino Linotype"/>
          <w:sz w:val="24"/>
          <w:szCs w:val="24"/>
        </w:rPr>
        <w:t>December 1, 202</w:t>
      </w:r>
      <w:r w:rsidR="00550902">
        <w:rPr>
          <w:rFonts w:ascii="Palatino Linotype" w:hAnsi="Palatino Linotype" w:eastAsia="Palatino Linotype" w:cs="Palatino Linotype"/>
          <w:sz w:val="24"/>
          <w:szCs w:val="24"/>
        </w:rPr>
        <w:t>2</w:t>
      </w:r>
      <w:r w:rsidR="006E3A4B">
        <w:rPr>
          <w:rFonts w:ascii="Palatino Linotype" w:hAnsi="Palatino Linotype" w:eastAsia="Palatino Linotype" w:cs="Palatino Linotype"/>
          <w:sz w:val="24"/>
          <w:szCs w:val="24"/>
        </w:rPr>
        <w:t>,</w:t>
      </w:r>
      <w:r w:rsidRPr="00D062C6">
        <w:rPr>
          <w:rFonts w:ascii="Palatino Linotype" w:hAnsi="Palatino Linotype" w:eastAsia="Palatino Linotype" w:cs="Palatino Linotype"/>
          <w:sz w:val="24"/>
          <w:szCs w:val="24"/>
        </w:rPr>
        <w:t xml:space="preserve"> approve</w:t>
      </w:r>
      <w:r w:rsidR="006E3A4B">
        <w:rPr>
          <w:rFonts w:ascii="Palatino Linotype" w:hAnsi="Palatino Linotype" w:eastAsia="Palatino Linotype" w:cs="Palatino Linotype"/>
          <w:sz w:val="24"/>
          <w:szCs w:val="24"/>
        </w:rPr>
        <w:t>d</w:t>
      </w:r>
      <w:r w:rsidRPr="00D062C6">
        <w:rPr>
          <w:rFonts w:ascii="Palatino Linotype" w:hAnsi="Palatino Linotype" w:eastAsia="Palatino Linotype" w:cs="Palatino Linotype"/>
          <w:sz w:val="24"/>
          <w:szCs w:val="24"/>
        </w:rPr>
        <w:t xml:space="preserve"> in part and modifie</w:t>
      </w:r>
      <w:r w:rsidR="006E3A4B">
        <w:rPr>
          <w:rFonts w:ascii="Palatino Linotype" w:hAnsi="Palatino Linotype" w:eastAsia="Palatino Linotype" w:cs="Palatino Linotype"/>
          <w:sz w:val="24"/>
          <w:szCs w:val="24"/>
        </w:rPr>
        <w:t>d</w:t>
      </w:r>
      <w:r w:rsidR="00973266">
        <w:rPr>
          <w:rFonts w:ascii="Palatino Linotype" w:hAnsi="Palatino Linotype" w:eastAsia="Palatino Linotype" w:cs="Palatino Linotype"/>
          <w:sz w:val="24"/>
          <w:szCs w:val="24"/>
        </w:rPr>
        <w:t xml:space="preserve"> the </w:t>
      </w:r>
      <w:r w:rsidR="00425D91">
        <w:rPr>
          <w:rFonts w:ascii="Palatino Linotype" w:hAnsi="Palatino Linotype" w:eastAsia="Palatino Linotype" w:cs="Palatino Linotype"/>
          <w:sz w:val="24"/>
          <w:szCs w:val="24"/>
        </w:rPr>
        <w:t xml:space="preserve">March 2021 </w:t>
      </w:r>
      <w:r w:rsidR="006E3A4B">
        <w:rPr>
          <w:rFonts w:ascii="Palatino Linotype" w:hAnsi="Palatino Linotype" w:eastAsia="Palatino Linotype" w:cs="Palatino Linotype"/>
          <w:sz w:val="24"/>
          <w:szCs w:val="24"/>
        </w:rPr>
        <w:t>set of ALs</w:t>
      </w:r>
      <w:r w:rsidRPr="00D062C6">
        <w:rPr>
          <w:rFonts w:ascii="Palatino Linotype" w:hAnsi="Palatino Linotype" w:eastAsia="Palatino Linotype" w:cs="Palatino Linotype"/>
          <w:sz w:val="24"/>
          <w:szCs w:val="24"/>
        </w:rPr>
        <w:t xml:space="preserve">.  Resolution </w:t>
      </w:r>
      <w:r w:rsidR="006E3A4B">
        <w:rPr>
          <w:rFonts w:ascii="Palatino Linotype" w:hAnsi="Palatino Linotype" w:eastAsia="Palatino Linotype" w:cs="Palatino Linotype"/>
          <w:sz w:val="24"/>
          <w:szCs w:val="24"/>
        </w:rPr>
        <w:t>E-5230 found</w:t>
      </w:r>
      <w:r w:rsidRPr="00D062C6">
        <w:rPr>
          <w:rFonts w:ascii="Palatino Linotype" w:hAnsi="Palatino Linotype" w:eastAsia="Palatino Linotype" w:cs="Palatino Linotype"/>
          <w:sz w:val="24"/>
          <w:szCs w:val="24"/>
        </w:rPr>
        <w:t xml:space="preserve"> the ALs largely compl</w:t>
      </w:r>
      <w:r w:rsidR="006E3A4B">
        <w:rPr>
          <w:rFonts w:ascii="Palatino Linotype" w:hAnsi="Palatino Linotype" w:eastAsia="Palatino Linotype" w:cs="Palatino Linotype"/>
          <w:sz w:val="24"/>
          <w:szCs w:val="24"/>
        </w:rPr>
        <w:t>ied</w:t>
      </w:r>
      <w:r w:rsidRPr="00D062C6">
        <w:rPr>
          <w:rFonts w:ascii="Palatino Linotype" w:hAnsi="Palatino Linotype" w:eastAsia="Palatino Linotype" w:cs="Palatino Linotype"/>
          <w:sz w:val="24"/>
          <w:szCs w:val="24"/>
        </w:rPr>
        <w:t xml:space="preserve"> with OPs 15 and 51</w:t>
      </w:r>
      <w:r w:rsidR="00243A07">
        <w:rPr>
          <w:rFonts w:ascii="Palatino Linotype" w:hAnsi="Palatino Linotype" w:eastAsia="Palatino Linotype" w:cs="Palatino Linotype"/>
          <w:sz w:val="24"/>
          <w:szCs w:val="24"/>
        </w:rPr>
        <w:t xml:space="preserve">, which </w:t>
      </w:r>
      <w:r w:rsidRPr="009A2E7F" w:rsidR="00243A07">
        <w:rPr>
          <w:rFonts w:ascii="Palatino Linotype" w:hAnsi="Palatino Linotype" w:eastAsia="Palatino Linotype" w:cs="Palatino Linotype"/>
          <w:sz w:val="24"/>
          <w:szCs w:val="24"/>
        </w:rPr>
        <w:t xml:space="preserve">required the Large IOUs to provide recommendations (as applicable) regarding the standard review, certification requirements, and interconnection processes necessary for implementation of the </w:t>
      </w:r>
      <w:r w:rsidR="00243A07">
        <w:rPr>
          <w:rFonts w:ascii="Palatino Linotype" w:hAnsi="Palatino Linotype" w:eastAsia="Palatino Linotype" w:cs="Palatino Linotype"/>
          <w:sz w:val="24"/>
          <w:szCs w:val="24"/>
        </w:rPr>
        <w:t>LGP</w:t>
      </w:r>
      <w:r w:rsidRPr="00D062C6">
        <w:rPr>
          <w:rFonts w:ascii="Palatino Linotype" w:hAnsi="Palatino Linotype" w:eastAsia="Palatino Linotype" w:cs="Palatino Linotype"/>
          <w:sz w:val="24"/>
          <w:szCs w:val="24"/>
        </w:rPr>
        <w:t xml:space="preserve">.  There </w:t>
      </w:r>
      <w:r w:rsidR="00D66828">
        <w:rPr>
          <w:rFonts w:ascii="Palatino Linotype" w:hAnsi="Palatino Linotype" w:eastAsia="Palatino Linotype" w:cs="Palatino Linotype"/>
          <w:sz w:val="24"/>
          <w:szCs w:val="24"/>
        </w:rPr>
        <w:t>were</w:t>
      </w:r>
      <w:r w:rsidRPr="00D062C6" w:rsidR="00D66828">
        <w:rPr>
          <w:rFonts w:ascii="Palatino Linotype" w:hAnsi="Palatino Linotype" w:eastAsia="Palatino Linotype" w:cs="Palatino Linotype"/>
          <w:sz w:val="24"/>
          <w:szCs w:val="24"/>
        </w:rPr>
        <w:t xml:space="preserve"> </w:t>
      </w:r>
      <w:r w:rsidRPr="00D062C6">
        <w:rPr>
          <w:rFonts w:ascii="Palatino Linotype" w:hAnsi="Palatino Linotype" w:eastAsia="Palatino Linotype" w:cs="Palatino Linotype"/>
          <w:sz w:val="24"/>
          <w:szCs w:val="24"/>
        </w:rPr>
        <w:t>issues, however, that call</w:t>
      </w:r>
      <w:r w:rsidR="00D66828">
        <w:rPr>
          <w:rFonts w:ascii="Palatino Linotype" w:hAnsi="Palatino Linotype" w:eastAsia="Palatino Linotype" w:cs="Palatino Linotype"/>
          <w:sz w:val="24"/>
          <w:szCs w:val="24"/>
        </w:rPr>
        <w:t>ed</w:t>
      </w:r>
      <w:r w:rsidRPr="00D062C6">
        <w:rPr>
          <w:rFonts w:ascii="Palatino Linotype" w:hAnsi="Palatino Linotype" w:eastAsia="Palatino Linotype" w:cs="Palatino Linotype"/>
          <w:sz w:val="24"/>
          <w:szCs w:val="24"/>
        </w:rPr>
        <w:t xml:space="preserve"> for further discussion and clarification</w:t>
      </w:r>
      <w:r w:rsidR="00B12009">
        <w:rPr>
          <w:rFonts w:ascii="Palatino Linotype" w:hAnsi="Palatino Linotype" w:eastAsia="Palatino Linotype" w:cs="Palatino Linotype"/>
          <w:sz w:val="24"/>
          <w:szCs w:val="24"/>
        </w:rPr>
        <w:t xml:space="preserve">; </w:t>
      </w:r>
      <w:r w:rsidRPr="00B1510B" w:rsidR="00890A45">
        <w:rPr>
          <w:rFonts w:ascii="Palatino Linotype" w:hAnsi="Palatino Linotype" w:eastAsia="Palatino Linotype" w:cs="Palatino Linotype"/>
          <w:sz w:val="24"/>
          <w:szCs w:val="24"/>
        </w:rPr>
        <w:t>a</w:t>
      </w:r>
      <w:r w:rsidR="00771FB5">
        <w:rPr>
          <w:rFonts w:ascii="Palatino Linotype" w:hAnsi="Palatino Linotype" w:eastAsia="Palatino Linotype" w:cs="Palatino Linotype"/>
          <w:sz w:val="24"/>
          <w:szCs w:val="24"/>
        </w:rPr>
        <w:t>mong them w</w:t>
      </w:r>
      <w:r w:rsidR="00B1510B">
        <w:rPr>
          <w:rFonts w:ascii="Palatino Linotype" w:hAnsi="Palatino Linotype" w:eastAsia="Palatino Linotype" w:cs="Palatino Linotype"/>
          <w:sz w:val="24"/>
          <w:szCs w:val="24"/>
        </w:rPr>
        <w:t>ere the topi</w:t>
      </w:r>
      <w:r w:rsidR="001C744C">
        <w:rPr>
          <w:rFonts w:ascii="Palatino Linotype" w:hAnsi="Palatino Linotype" w:eastAsia="Palatino Linotype" w:cs="Palatino Linotype"/>
          <w:sz w:val="24"/>
          <w:szCs w:val="24"/>
        </w:rPr>
        <w:t>cs of</w:t>
      </w:r>
      <w:r w:rsidR="00771FB5">
        <w:rPr>
          <w:rFonts w:ascii="Palatino Linotype" w:hAnsi="Palatino Linotype" w:eastAsia="Palatino Linotype" w:cs="Palatino Linotype"/>
          <w:sz w:val="24"/>
          <w:szCs w:val="24"/>
        </w:rPr>
        <w:t xml:space="preserve"> </w:t>
      </w:r>
      <w:r w:rsidR="00DD6E5A">
        <w:rPr>
          <w:rFonts w:ascii="Palatino Linotype" w:hAnsi="Palatino Linotype" w:eastAsia="Palatino Linotype" w:cs="Palatino Linotype"/>
          <w:sz w:val="24"/>
          <w:szCs w:val="24"/>
        </w:rPr>
        <w:t xml:space="preserve">(1) </w:t>
      </w:r>
      <w:r w:rsidR="00771FB5">
        <w:rPr>
          <w:rFonts w:ascii="Palatino Linotype" w:hAnsi="Palatino Linotype" w:eastAsia="Palatino Linotype" w:cs="Palatino Linotype"/>
          <w:sz w:val="24"/>
          <w:szCs w:val="24"/>
        </w:rPr>
        <w:t xml:space="preserve">the use of smart inverter functions to implement the LGP option before </w:t>
      </w:r>
      <w:r w:rsidR="00890A45">
        <w:rPr>
          <w:rFonts w:ascii="Palatino Linotype" w:hAnsi="Palatino Linotype" w:eastAsia="Palatino Linotype" w:cs="Palatino Linotype"/>
          <w:sz w:val="24"/>
          <w:szCs w:val="24"/>
        </w:rPr>
        <w:t>certification standards are approved</w:t>
      </w:r>
      <w:r w:rsidR="00ED0EB6">
        <w:rPr>
          <w:rFonts w:ascii="Palatino Linotype" w:hAnsi="Palatino Linotype" w:eastAsia="Palatino Linotype" w:cs="Palatino Linotype"/>
          <w:sz w:val="24"/>
          <w:szCs w:val="24"/>
        </w:rPr>
        <w:t xml:space="preserve"> and </w:t>
      </w:r>
      <w:r w:rsidR="00DD6E5A">
        <w:rPr>
          <w:rFonts w:ascii="Palatino Linotype" w:hAnsi="Palatino Linotype" w:eastAsia="Palatino Linotype" w:cs="Palatino Linotype"/>
          <w:sz w:val="24"/>
          <w:szCs w:val="24"/>
        </w:rPr>
        <w:t xml:space="preserve">(2) </w:t>
      </w:r>
      <w:r w:rsidR="00ED0EB6">
        <w:rPr>
          <w:rFonts w:ascii="Palatino Linotype" w:hAnsi="Palatino Linotype" w:eastAsia="Palatino Linotype" w:cs="Palatino Linotype"/>
          <w:sz w:val="24"/>
          <w:szCs w:val="24"/>
        </w:rPr>
        <w:t>the level of granularity for LGPs</w:t>
      </w:r>
      <w:r w:rsidR="00890A45">
        <w:rPr>
          <w:rFonts w:ascii="Palatino Linotype" w:hAnsi="Palatino Linotype" w:eastAsia="Palatino Linotype" w:cs="Palatino Linotype"/>
          <w:sz w:val="24"/>
          <w:szCs w:val="24"/>
        </w:rPr>
        <w:t xml:space="preserve">.  </w:t>
      </w:r>
      <w:r w:rsidR="00524139">
        <w:rPr>
          <w:rFonts w:ascii="Palatino Linotype" w:hAnsi="Palatino Linotype"/>
          <w:sz w:val="24"/>
          <w:szCs w:val="24"/>
        </w:rPr>
        <w:t xml:space="preserve">Resolution E-5230 </w:t>
      </w:r>
      <w:r w:rsidRPr="00932731" w:rsidR="00932731">
        <w:rPr>
          <w:rFonts w:ascii="Palatino Linotype" w:hAnsi="Palatino Linotype"/>
          <w:sz w:val="24"/>
          <w:szCs w:val="24"/>
        </w:rPr>
        <w:t>directed</w:t>
      </w:r>
      <w:r w:rsidR="00524139">
        <w:rPr>
          <w:rFonts w:ascii="Palatino Linotype" w:hAnsi="Palatino Linotype"/>
          <w:sz w:val="24"/>
          <w:szCs w:val="24"/>
        </w:rPr>
        <w:t xml:space="preserve"> the Large IOUs</w:t>
      </w:r>
      <w:r w:rsidRPr="00932731" w:rsidR="00932731">
        <w:rPr>
          <w:rFonts w:ascii="Palatino Linotype" w:hAnsi="Palatino Linotype"/>
          <w:sz w:val="24"/>
          <w:szCs w:val="24"/>
        </w:rPr>
        <w:t xml:space="preserve"> to participate in workshops</w:t>
      </w:r>
      <w:r w:rsidR="00524139">
        <w:rPr>
          <w:rFonts w:ascii="Palatino Linotype" w:hAnsi="Palatino Linotype"/>
          <w:sz w:val="24"/>
          <w:szCs w:val="24"/>
        </w:rPr>
        <w:t xml:space="preserve"> and </w:t>
      </w:r>
      <w:r w:rsidRPr="00E75109" w:rsidR="00E75109">
        <w:rPr>
          <w:rFonts w:ascii="Palatino Linotype" w:hAnsi="Palatino Linotype"/>
          <w:sz w:val="24"/>
          <w:szCs w:val="24"/>
        </w:rPr>
        <w:t xml:space="preserve">ordered </w:t>
      </w:r>
      <w:r w:rsidR="00F96D8E">
        <w:rPr>
          <w:rFonts w:ascii="Palatino Linotype" w:hAnsi="Palatino Linotype"/>
          <w:sz w:val="24"/>
          <w:szCs w:val="24"/>
        </w:rPr>
        <w:t xml:space="preserve">them </w:t>
      </w:r>
      <w:r w:rsidRPr="00E75109" w:rsidR="00E75109">
        <w:rPr>
          <w:rFonts w:ascii="Palatino Linotype" w:hAnsi="Palatino Linotype"/>
          <w:sz w:val="24"/>
          <w:szCs w:val="24"/>
        </w:rPr>
        <w:t xml:space="preserve">to submit Tier 3 ALs by May 1, 2023 to address the topics identified </w:t>
      </w:r>
      <w:r w:rsidR="00625342">
        <w:rPr>
          <w:rFonts w:ascii="Palatino Linotype" w:hAnsi="Palatino Linotype"/>
          <w:sz w:val="24"/>
          <w:szCs w:val="24"/>
        </w:rPr>
        <w:t>therein</w:t>
      </w:r>
      <w:r w:rsidRPr="00E75109" w:rsidR="00E75109">
        <w:rPr>
          <w:rFonts w:ascii="Palatino Linotype" w:hAnsi="Palatino Linotype"/>
          <w:sz w:val="24"/>
          <w:szCs w:val="24"/>
        </w:rPr>
        <w:t xml:space="preserve"> as well as those raised in the workshops.</w:t>
      </w:r>
      <w:r w:rsidR="00BA77A7">
        <w:rPr>
          <w:rFonts w:ascii="Palatino Linotype" w:hAnsi="Palatino Linotype" w:eastAsia="Palatino Linotype" w:cs="Palatino Linotype"/>
          <w:b/>
          <w:bCs/>
          <w:sz w:val="24"/>
          <w:szCs w:val="24"/>
        </w:rPr>
        <w:t xml:space="preserve"> </w:t>
      </w:r>
    </w:p>
    <w:p w:rsidR="00973266" w:rsidP="00751CAA" w:rsidRDefault="0027356F" w14:paraId="58A6A526" w14:textId="77777777">
      <w:pPr>
        <w:pStyle w:val="Body"/>
        <w:keepNext/>
        <w:keepLines/>
        <w:rPr>
          <w:rFonts w:ascii="Palatino Linotype" w:hAnsi="Palatino Linotype" w:eastAsia="Palatino Linotype" w:cs="Palatino Linotype"/>
          <w:sz w:val="24"/>
          <w:szCs w:val="24"/>
          <w:lang w:val="it-IT"/>
        </w:rPr>
      </w:pPr>
      <w:r w:rsidRPr="00822BB3">
        <w:rPr>
          <w:rFonts w:ascii="Palatino Linotype" w:hAnsi="Palatino Linotype" w:eastAsia="Palatino Linotype" w:cs="Palatino Linotype"/>
          <w:sz w:val="24"/>
          <w:szCs w:val="24"/>
          <w:u w:val="single"/>
          <w:lang w:val="it-IT"/>
        </w:rPr>
        <w:lastRenderedPageBreak/>
        <w:t>Joint May LGP AL</w:t>
      </w:r>
      <w:r w:rsidRPr="00F15427" w:rsidR="00331656">
        <w:rPr>
          <w:rFonts w:ascii="Palatino Linotype" w:hAnsi="Palatino Linotype" w:eastAsia="Palatino Linotype" w:cs="Palatino Linotype"/>
          <w:sz w:val="24"/>
          <w:szCs w:val="24"/>
          <w:lang w:val="it-IT"/>
        </w:rPr>
        <w:t xml:space="preserve"> </w:t>
      </w:r>
      <w:r w:rsidRPr="00F15427" w:rsidR="008C255F">
        <w:rPr>
          <w:rFonts w:ascii="Palatino Linotype" w:hAnsi="Palatino Linotype" w:eastAsia="Palatino Linotype" w:cs="Palatino Linotype"/>
          <w:sz w:val="24"/>
          <w:szCs w:val="24"/>
          <w:lang w:val="it-IT"/>
        </w:rPr>
        <w:t xml:space="preserve"> </w:t>
      </w:r>
    </w:p>
    <w:p w:rsidR="004403B8" w:rsidP="00751CAA" w:rsidRDefault="004403B8" w14:paraId="0C1A88EF" w14:textId="77777777">
      <w:pPr>
        <w:pStyle w:val="Body"/>
        <w:keepNext/>
        <w:keepLines/>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On </w:t>
      </w:r>
      <w:r w:rsidR="007947F0">
        <w:rPr>
          <w:rFonts w:ascii="Palatino Linotype" w:hAnsi="Palatino Linotype" w:eastAsia="Palatino Linotype" w:cs="Palatino Linotype"/>
          <w:sz w:val="24"/>
          <w:szCs w:val="24"/>
        </w:rPr>
        <w:t>May 1, 2023</w:t>
      </w:r>
      <w:r>
        <w:rPr>
          <w:rFonts w:ascii="Palatino Linotype" w:hAnsi="Palatino Linotype" w:eastAsia="Palatino Linotype" w:cs="Palatino Linotype"/>
          <w:sz w:val="24"/>
          <w:szCs w:val="24"/>
        </w:rPr>
        <w:t xml:space="preserve">, the </w:t>
      </w:r>
      <w:r w:rsidRPr="00C20096">
        <w:rPr>
          <w:rFonts w:ascii="Palatino Linotype" w:hAnsi="Palatino Linotype" w:eastAsia="Palatino Linotype" w:cs="Palatino Linotype"/>
          <w:sz w:val="24"/>
          <w:szCs w:val="24"/>
        </w:rPr>
        <w:t>Large IOUs submitted</w:t>
      </w:r>
      <w:r>
        <w:rPr>
          <w:rFonts w:ascii="Palatino Linotype" w:hAnsi="Palatino Linotype" w:eastAsia="Palatino Linotype" w:cs="Palatino Linotype"/>
          <w:sz w:val="24"/>
          <w:szCs w:val="24"/>
        </w:rPr>
        <w:t xml:space="preserve"> the </w:t>
      </w:r>
      <w:r>
        <w:rPr>
          <w:rFonts w:ascii="Palatino Linotype" w:hAnsi="Palatino Linotype" w:cstheme="minorHAnsi"/>
          <w:sz w:val="24"/>
          <w:szCs w:val="24"/>
        </w:rPr>
        <w:t xml:space="preserve">Joint </w:t>
      </w:r>
      <w:r w:rsidR="007256EE">
        <w:rPr>
          <w:rFonts w:ascii="Palatino Linotype" w:hAnsi="Palatino Linotype" w:cstheme="minorHAnsi"/>
          <w:sz w:val="24"/>
          <w:szCs w:val="24"/>
        </w:rPr>
        <w:t xml:space="preserve">May </w:t>
      </w:r>
      <w:r>
        <w:rPr>
          <w:rFonts w:ascii="Palatino Linotype" w:hAnsi="Palatino Linotype" w:cstheme="minorHAnsi"/>
          <w:sz w:val="24"/>
          <w:szCs w:val="24"/>
        </w:rPr>
        <w:t>LGP AL</w:t>
      </w:r>
      <w:r>
        <w:rPr>
          <w:rFonts w:ascii="Palatino Linotype" w:hAnsi="Palatino Linotype" w:eastAsia="Palatino Linotype" w:cs="Palatino Linotype"/>
          <w:sz w:val="24"/>
          <w:szCs w:val="24"/>
        </w:rPr>
        <w:t xml:space="preserve"> </w:t>
      </w:r>
      <w:r w:rsidRPr="00175F6E" w:rsidR="00175F6E">
        <w:rPr>
          <w:rFonts w:ascii="Palatino Linotype" w:hAnsi="Palatino Linotype" w:eastAsia="Palatino Linotype" w:cs="Palatino Linotype"/>
          <w:sz w:val="24"/>
          <w:szCs w:val="24"/>
          <w:lang w:val="it-IT"/>
        </w:rPr>
        <w:t>(</w:t>
      </w:r>
      <w:r w:rsidRPr="00175F6E" w:rsidR="00175F6E">
        <w:rPr>
          <w:rFonts w:ascii="Palatino Linotype" w:hAnsi="Palatino Linotype" w:cstheme="minorHAnsi"/>
          <w:sz w:val="24"/>
          <w:szCs w:val="24"/>
          <w:lang w:val="it-IT"/>
        </w:rPr>
        <w:t xml:space="preserve">PG&amp;E AL 6929-E, SCE AL 5025-E, </w:t>
      </w:r>
      <w:r w:rsidR="00180B92">
        <w:rPr>
          <w:rFonts w:ascii="Palatino Linotype" w:hAnsi="Palatino Linotype" w:cstheme="minorHAnsi"/>
          <w:sz w:val="24"/>
          <w:szCs w:val="24"/>
          <w:lang w:val="it-IT"/>
        </w:rPr>
        <w:t xml:space="preserve">&amp; </w:t>
      </w:r>
      <w:r w:rsidRPr="00175F6E" w:rsidR="00175F6E">
        <w:rPr>
          <w:rFonts w:ascii="Palatino Linotype" w:hAnsi="Palatino Linotype" w:cstheme="minorHAnsi"/>
          <w:sz w:val="24"/>
          <w:szCs w:val="24"/>
          <w:lang w:val="it-IT"/>
        </w:rPr>
        <w:t xml:space="preserve">SDG&amp;E AL 4215-E) </w:t>
      </w:r>
      <w:r w:rsidRPr="00C20096">
        <w:rPr>
          <w:rFonts w:ascii="Palatino Linotype" w:hAnsi="Palatino Linotype" w:eastAsia="Palatino Linotype" w:cs="Palatino Linotype"/>
          <w:sz w:val="24"/>
          <w:szCs w:val="24"/>
        </w:rPr>
        <w:t xml:space="preserve">to comply </w:t>
      </w:r>
      <w:r w:rsidR="00331656">
        <w:rPr>
          <w:rFonts w:ascii="Palatino Linotype" w:hAnsi="Palatino Linotype" w:eastAsia="Palatino Linotype" w:cs="Palatino Linotype"/>
          <w:sz w:val="24"/>
          <w:szCs w:val="24"/>
        </w:rPr>
        <w:t>the requirements of Re</w:t>
      </w:r>
      <w:r>
        <w:rPr>
          <w:rFonts w:ascii="Palatino Linotype" w:hAnsi="Palatino Linotype" w:eastAsia="Palatino Linotype" w:cs="Palatino Linotype"/>
          <w:sz w:val="24"/>
          <w:szCs w:val="24"/>
        </w:rPr>
        <w:t>solution E-</w:t>
      </w:r>
      <w:r w:rsidR="007256EE">
        <w:rPr>
          <w:rFonts w:ascii="Palatino Linotype" w:hAnsi="Palatino Linotype" w:eastAsia="Palatino Linotype" w:cs="Palatino Linotype"/>
          <w:sz w:val="24"/>
          <w:szCs w:val="24"/>
        </w:rPr>
        <w:t>5230</w:t>
      </w:r>
      <w:r w:rsidRPr="00C20096">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In the </w:t>
      </w:r>
      <w:r>
        <w:rPr>
          <w:rFonts w:ascii="Palatino Linotype" w:hAnsi="Palatino Linotype" w:eastAsia="Palatino Linotype" w:cs="Palatino Linotype"/>
          <w:sz w:val="24"/>
          <w:szCs w:val="24"/>
        </w:rPr>
        <w:t xml:space="preserve">Joint May LGP </w:t>
      </w:r>
      <w:r w:rsidRPr="00C20096">
        <w:rPr>
          <w:rFonts w:ascii="Palatino Linotype" w:hAnsi="Palatino Linotype" w:eastAsia="Palatino Linotype" w:cs="Palatino Linotype"/>
          <w:sz w:val="24"/>
          <w:szCs w:val="24"/>
        </w:rPr>
        <w:t xml:space="preserve">AL the Large IOUs </w:t>
      </w:r>
      <w:r>
        <w:rPr>
          <w:rFonts w:ascii="Palatino Linotype" w:hAnsi="Palatino Linotype" w:eastAsia="Palatino Linotype" w:cs="Palatino Linotype"/>
          <w:sz w:val="24"/>
          <w:szCs w:val="24"/>
        </w:rPr>
        <w:t>discuss compliance with Resolution E-</w:t>
      </w:r>
      <w:r w:rsidR="00910364">
        <w:rPr>
          <w:rFonts w:ascii="Palatino Linotype" w:hAnsi="Palatino Linotype" w:eastAsia="Palatino Linotype" w:cs="Palatino Linotype"/>
          <w:sz w:val="24"/>
          <w:szCs w:val="24"/>
        </w:rPr>
        <w:t xml:space="preserve">5230 </w:t>
      </w:r>
      <w:r>
        <w:rPr>
          <w:rFonts w:ascii="Palatino Linotype" w:hAnsi="Palatino Linotype" w:eastAsia="Palatino Linotype" w:cs="Palatino Linotype"/>
          <w:sz w:val="24"/>
          <w:szCs w:val="24"/>
        </w:rPr>
        <w:t xml:space="preserve">by discussing:  </w:t>
      </w:r>
      <w:r w:rsidR="00FF1E06">
        <w:rPr>
          <w:rFonts w:ascii="Palatino Linotype" w:hAnsi="Palatino Linotype" w:eastAsia="Palatino Linotype" w:cs="Palatino Linotype"/>
          <w:sz w:val="24"/>
          <w:szCs w:val="24"/>
        </w:rPr>
        <w:t>(1) participation in workshops and the SIWG;</w:t>
      </w:r>
      <w:r w:rsidRPr="00E67768" w:rsidR="00FF1E06">
        <w:rPr>
          <w:rFonts w:ascii="Palatino Linotype" w:hAnsi="Palatino Linotype" w:eastAsia="Palatino Linotype" w:cs="Palatino Linotype"/>
          <w:sz w:val="24"/>
          <w:szCs w:val="24"/>
        </w:rPr>
        <w:t xml:space="preserve"> </w:t>
      </w:r>
      <w:r w:rsidR="00FF1E06">
        <w:rPr>
          <w:rFonts w:ascii="Palatino Linotype" w:hAnsi="Palatino Linotype" w:eastAsia="Palatino Linotype" w:cs="Palatino Linotype"/>
          <w:sz w:val="24"/>
          <w:szCs w:val="24"/>
        </w:rPr>
        <w:t xml:space="preserve"> </w:t>
      </w:r>
      <w:r w:rsidR="007947F0">
        <w:rPr>
          <w:rFonts w:ascii="Palatino Linotype" w:hAnsi="Palatino Linotype" w:eastAsia="Palatino Linotype" w:cs="Palatino Linotype"/>
          <w:sz w:val="24"/>
          <w:szCs w:val="24"/>
        </w:rPr>
        <w:t xml:space="preserve">(2) </w:t>
      </w:r>
      <w:r w:rsidR="003D5196">
        <w:rPr>
          <w:rFonts w:ascii="Palatino Linotype" w:hAnsi="Palatino Linotype" w:eastAsia="Palatino Linotype" w:cs="Palatino Linotype"/>
          <w:sz w:val="24"/>
          <w:szCs w:val="24"/>
        </w:rPr>
        <w:t>quarterly reporting requirements; (3) use of gross nameplate rating</w:t>
      </w:r>
      <w:r w:rsidR="00240DD4">
        <w:rPr>
          <w:rFonts w:ascii="Palatino Linotype" w:hAnsi="Palatino Linotype" w:eastAsia="Palatino Linotype" w:cs="Palatino Linotype"/>
          <w:sz w:val="24"/>
          <w:szCs w:val="24"/>
        </w:rPr>
        <w:t xml:space="preserve"> for LGP projects; (</w:t>
      </w:r>
      <w:r w:rsidR="006E5A6E">
        <w:rPr>
          <w:rFonts w:ascii="Palatino Linotype" w:hAnsi="Palatino Linotype" w:eastAsia="Palatino Linotype" w:cs="Palatino Linotype"/>
          <w:sz w:val="24"/>
          <w:szCs w:val="24"/>
        </w:rPr>
        <w:t>4</w:t>
      </w:r>
      <w:r w:rsidR="00240DD4">
        <w:rPr>
          <w:rFonts w:ascii="Palatino Linotype" w:hAnsi="Palatino Linotype" w:eastAsia="Palatino Linotype" w:cs="Palatino Linotype"/>
          <w:sz w:val="24"/>
          <w:szCs w:val="24"/>
        </w:rPr>
        <w:t xml:space="preserve">) </w:t>
      </w:r>
      <w:r w:rsidR="00F23FC9">
        <w:rPr>
          <w:rFonts w:ascii="Palatino Linotype" w:hAnsi="Palatino Linotype" w:eastAsia="Palatino Linotype" w:cs="Palatino Linotype"/>
          <w:sz w:val="24"/>
          <w:szCs w:val="24"/>
        </w:rPr>
        <w:t>use of no</w:t>
      </w:r>
      <w:r w:rsidR="002651D5">
        <w:rPr>
          <w:rFonts w:ascii="Palatino Linotype" w:hAnsi="Palatino Linotype" w:eastAsia="Palatino Linotype" w:cs="Palatino Linotype"/>
          <w:sz w:val="24"/>
          <w:szCs w:val="24"/>
        </w:rPr>
        <w:t>n</w:t>
      </w:r>
      <w:r w:rsidR="00F23FC9">
        <w:rPr>
          <w:rFonts w:ascii="Palatino Linotype" w:hAnsi="Palatino Linotype" w:eastAsia="Palatino Linotype" w:cs="Palatino Linotype"/>
          <w:sz w:val="24"/>
          <w:szCs w:val="24"/>
        </w:rPr>
        <w:t>-certified devices by mutual agreement; (</w:t>
      </w:r>
      <w:r w:rsidR="006E5A6E">
        <w:rPr>
          <w:rFonts w:ascii="Palatino Linotype" w:hAnsi="Palatino Linotype" w:eastAsia="Palatino Linotype" w:cs="Palatino Linotype"/>
          <w:sz w:val="24"/>
          <w:szCs w:val="24"/>
        </w:rPr>
        <w:t>5</w:t>
      </w:r>
      <w:r w:rsidR="00F23FC9">
        <w:rPr>
          <w:rFonts w:ascii="Palatino Linotype" w:hAnsi="Palatino Linotype" w:eastAsia="Palatino Linotype" w:cs="Palatino Linotype"/>
          <w:sz w:val="24"/>
          <w:szCs w:val="24"/>
        </w:rPr>
        <w:t xml:space="preserve">) </w:t>
      </w:r>
      <w:r w:rsidR="00194034">
        <w:rPr>
          <w:rFonts w:ascii="Palatino Linotype" w:hAnsi="Palatino Linotype" w:eastAsia="Palatino Linotype" w:cs="Palatino Linotype"/>
          <w:sz w:val="24"/>
          <w:szCs w:val="24"/>
        </w:rPr>
        <w:t>the proposals submitted by the Large IOUs</w:t>
      </w:r>
      <w:r w:rsidR="00622F4D">
        <w:rPr>
          <w:rFonts w:ascii="Palatino Linotype" w:hAnsi="Palatino Linotype" w:eastAsia="Palatino Linotype" w:cs="Palatino Linotype"/>
          <w:sz w:val="24"/>
          <w:szCs w:val="24"/>
        </w:rPr>
        <w:t xml:space="preserve"> on the interconnection process for </w:t>
      </w:r>
      <w:r w:rsidR="0006502A">
        <w:rPr>
          <w:rFonts w:ascii="Palatino Linotype" w:hAnsi="Palatino Linotype" w:eastAsia="Palatino Linotype" w:cs="Palatino Linotype"/>
          <w:sz w:val="24"/>
          <w:szCs w:val="24"/>
        </w:rPr>
        <w:t>the LGP option</w:t>
      </w:r>
      <w:r w:rsidR="00194034">
        <w:rPr>
          <w:rFonts w:ascii="Palatino Linotype" w:hAnsi="Palatino Linotype" w:eastAsia="Palatino Linotype" w:cs="Palatino Linotype"/>
          <w:sz w:val="24"/>
          <w:szCs w:val="24"/>
        </w:rPr>
        <w:t>, (</w:t>
      </w:r>
      <w:r w:rsidR="006E5A6E">
        <w:rPr>
          <w:rFonts w:ascii="Palatino Linotype" w:hAnsi="Palatino Linotype" w:eastAsia="Palatino Linotype" w:cs="Palatino Linotype"/>
          <w:sz w:val="24"/>
          <w:szCs w:val="24"/>
        </w:rPr>
        <w:t>6</w:t>
      </w:r>
      <w:r w:rsidR="00194034">
        <w:rPr>
          <w:rFonts w:ascii="Palatino Linotype" w:hAnsi="Palatino Linotype" w:eastAsia="Palatino Linotype" w:cs="Palatino Linotype"/>
          <w:sz w:val="24"/>
          <w:szCs w:val="24"/>
        </w:rPr>
        <w:t xml:space="preserve">) </w:t>
      </w:r>
      <w:r w:rsidR="00F5168F">
        <w:rPr>
          <w:rFonts w:ascii="Palatino Linotype" w:hAnsi="Palatino Linotype" w:eastAsia="Palatino Linotype" w:cs="Palatino Linotype"/>
          <w:sz w:val="24"/>
          <w:szCs w:val="24"/>
        </w:rPr>
        <w:t>implementation of LGP</w:t>
      </w:r>
      <w:r w:rsidR="00F67577">
        <w:rPr>
          <w:rFonts w:ascii="Palatino Linotype" w:hAnsi="Palatino Linotype" w:eastAsia="Palatino Linotype" w:cs="Palatino Linotype"/>
          <w:sz w:val="24"/>
          <w:szCs w:val="24"/>
        </w:rPr>
        <w:t xml:space="preserve"> </w:t>
      </w:r>
      <w:r w:rsidR="00D3006F">
        <w:rPr>
          <w:rFonts w:ascii="Palatino Linotype" w:hAnsi="Palatino Linotype" w:eastAsia="Palatino Linotype" w:cs="Palatino Linotype"/>
          <w:sz w:val="24"/>
          <w:szCs w:val="24"/>
        </w:rPr>
        <w:t>option</w:t>
      </w:r>
      <w:r w:rsidR="00F5168F">
        <w:rPr>
          <w:rFonts w:ascii="Palatino Linotype" w:hAnsi="Palatino Linotype" w:eastAsia="Palatino Linotype" w:cs="Palatino Linotype"/>
          <w:sz w:val="24"/>
          <w:szCs w:val="24"/>
        </w:rPr>
        <w:t xml:space="preserve"> using current smart inverter functions; </w:t>
      </w:r>
      <w:r w:rsidR="008B51C3">
        <w:rPr>
          <w:rFonts w:ascii="Palatino Linotype" w:hAnsi="Palatino Linotype" w:eastAsia="Palatino Linotype" w:cs="Palatino Linotype"/>
          <w:sz w:val="24"/>
          <w:szCs w:val="24"/>
        </w:rPr>
        <w:t>(</w:t>
      </w:r>
      <w:r w:rsidR="006E5A6E">
        <w:rPr>
          <w:rFonts w:ascii="Palatino Linotype" w:hAnsi="Palatino Linotype" w:eastAsia="Palatino Linotype" w:cs="Palatino Linotype"/>
          <w:sz w:val="24"/>
          <w:szCs w:val="24"/>
        </w:rPr>
        <w:t>7</w:t>
      </w:r>
      <w:r w:rsidR="008B51C3">
        <w:rPr>
          <w:rFonts w:ascii="Palatino Linotype" w:hAnsi="Palatino Linotype" w:eastAsia="Palatino Linotype" w:cs="Palatino Linotype"/>
          <w:sz w:val="24"/>
          <w:szCs w:val="24"/>
        </w:rPr>
        <w:t xml:space="preserve">) </w:t>
      </w:r>
      <w:r w:rsidR="00A45DAC">
        <w:rPr>
          <w:rFonts w:ascii="Palatino Linotype" w:hAnsi="Palatino Linotype" w:eastAsia="Palatino Linotype" w:cs="Palatino Linotype"/>
          <w:sz w:val="24"/>
          <w:szCs w:val="24"/>
        </w:rPr>
        <w:t xml:space="preserve">and </w:t>
      </w:r>
      <w:r w:rsidR="008B51C3">
        <w:rPr>
          <w:rFonts w:ascii="Palatino Linotype" w:hAnsi="Palatino Linotype" w:eastAsia="Palatino Linotype" w:cs="Palatino Linotype"/>
          <w:sz w:val="24"/>
          <w:szCs w:val="24"/>
        </w:rPr>
        <w:t xml:space="preserve">granularity of the LGP.  </w:t>
      </w:r>
    </w:p>
    <w:p w:rsidR="00973266" w:rsidP="009D25F5" w:rsidRDefault="00604332" w14:paraId="71040267" w14:textId="77777777">
      <w:pPr>
        <w:pStyle w:val="Body"/>
        <w:rPr>
          <w:rFonts w:ascii="Palatino Linotype" w:hAnsi="Palatino Linotype" w:eastAsia="Palatino Linotype" w:cs="Palatino Linotype"/>
          <w:sz w:val="24"/>
          <w:szCs w:val="24"/>
        </w:rPr>
      </w:pPr>
      <w:r w:rsidRPr="009D25F5">
        <w:rPr>
          <w:rFonts w:ascii="Palatino Linotype" w:hAnsi="Palatino Linotype" w:eastAsia="Palatino Linotype" w:cs="Palatino Linotype"/>
          <w:sz w:val="24"/>
          <w:szCs w:val="24"/>
          <w:u w:val="single"/>
        </w:rPr>
        <w:t>Supplement</w:t>
      </w:r>
      <w:r w:rsidRPr="009D25F5" w:rsidR="0093373A">
        <w:rPr>
          <w:rFonts w:ascii="Palatino Linotype" w:hAnsi="Palatino Linotype" w:eastAsia="Palatino Linotype" w:cs="Palatino Linotype"/>
          <w:sz w:val="24"/>
          <w:szCs w:val="24"/>
          <w:u w:val="single"/>
        </w:rPr>
        <w:t>s</w:t>
      </w:r>
      <w:r w:rsidRPr="009D25F5">
        <w:rPr>
          <w:rFonts w:ascii="Palatino Linotype" w:hAnsi="Palatino Linotype" w:eastAsia="Palatino Linotype" w:cs="Palatino Linotype"/>
          <w:sz w:val="24"/>
          <w:szCs w:val="24"/>
          <w:u w:val="single"/>
        </w:rPr>
        <w:t xml:space="preserve"> to the Joint May LGP AL</w:t>
      </w:r>
      <w:r w:rsidRPr="009D25F5" w:rsidR="009D25F5">
        <w:rPr>
          <w:rFonts w:ascii="Palatino Linotype" w:hAnsi="Palatino Linotype" w:eastAsia="Palatino Linotype" w:cs="Palatino Linotype"/>
          <w:sz w:val="24"/>
          <w:szCs w:val="24"/>
        </w:rPr>
        <w:t xml:space="preserve">  </w:t>
      </w:r>
    </w:p>
    <w:p w:rsidRPr="009D25F5" w:rsidR="002970E0" w:rsidP="009D25F5" w:rsidRDefault="002970E0" w14:paraId="41DD117E" w14:textId="77777777">
      <w:pPr>
        <w:pStyle w:val="Body"/>
        <w:rPr>
          <w:rFonts w:ascii="Palatino Linotype" w:hAnsi="Palatino Linotype" w:eastAsia="Palatino Linotype" w:cs="Palatino Linotype"/>
          <w:sz w:val="24"/>
          <w:szCs w:val="24"/>
        </w:rPr>
      </w:pPr>
      <w:r w:rsidRPr="009D25F5">
        <w:rPr>
          <w:rFonts w:ascii="Palatino Linotype" w:hAnsi="Palatino Linotype" w:cstheme="minorHAnsi"/>
          <w:sz w:val="24"/>
          <w:szCs w:val="24"/>
        </w:rPr>
        <w:t xml:space="preserve">On </w:t>
      </w:r>
      <w:r w:rsidRPr="009D25F5" w:rsidR="00026038">
        <w:rPr>
          <w:rFonts w:ascii="Palatino Linotype" w:hAnsi="Palatino Linotype" w:cstheme="minorHAnsi"/>
          <w:sz w:val="24"/>
          <w:szCs w:val="24"/>
        </w:rPr>
        <w:t>August 31, 2023</w:t>
      </w:r>
      <w:r w:rsidRPr="009D25F5" w:rsidR="00170600">
        <w:rPr>
          <w:rFonts w:ascii="Palatino Linotype" w:hAnsi="Palatino Linotype" w:cstheme="minorHAnsi"/>
          <w:sz w:val="24"/>
          <w:szCs w:val="24"/>
        </w:rPr>
        <w:t>,</w:t>
      </w:r>
      <w:r w:rsidRPr="009D25F5" w:rsidDel="00170600">
        <w:rPr>
          <w:rFonts w:ascii="Palatino Linotype" w:hAnsi="Palatino Linotype" w:cstheme="minorHAnsi"/>
          <w:sz w:val="24"/>
          <w:szCs w:val="24"/>
        </w:rPr>
        <w:t xml:space="preserve"> </w:t>
      </w:r>
      <w:r w:rsidRPr="009D25F5" w:rsidR="00E932FD">
        <w:rPr>
          <w:rFonts w:ascii="Palatino Linotype" w:hAnsi="Palatino Linotype" w:eastAsia="Palatino Linotype" w:cs="Palatino Linotype"/>
          <w:sz w:val="24"/>
          <w:szCs w:val="24"/>
        </w:rPr>
        <w:t>PG&amp;E and SCE</w:t>
      </w:r>
      <w:r w:rsidRPr="009D25F5">
        <w:rPr>
          <w:rFonts w:ascii="Palatino Linotype" w:hAnsi="Palatino Linotype" w:eastAsia="Palatino Linotype" w:cs="Palatino Linotype"/>
          <w:sz w:val="24"/>
          <w:szCs w:val="24"/>
        </w:rPr>
        <w:t xml:space="preserve"> submitted </w:t>
      </w:r>
      <w:r w:rsidRPr="009D25F5" w:rsidR="00285806">
        <w:rPr>
          <w:rFonts w:ascii="Palatino Linotype" w:hAnsi="Palatino Linotype" w:eastAsia="Palatino Linotype" w:cs="Palatino Linotype"/>
          <w:sz w:val="24"/>
          <w:szCs w:val="24"/>
        </w:rPr>
        <w:t xml:space="preserve">a </w:t>
      </w:r>
      <w:r w:rsidRPr="009D25F5">
        <w:rPr>
          <w:rFonts w:ascii="Palatino Linotype" w:hAnsi="Palatino Linotype" w:cstheme="minorHAnsi"/>
          <w:sz w:val="24"/>
          <w:szCs w:val="24"/>
        </w:rPr>
        <w:t>Supplement to the Joint May LGP AL</w:t>
      </w:r>
      <w:r w:rsidRPr="009D25F5" w:rsidR="00ED704C">
        <w:rPr>
          <w:rFonts w:ascii="Palatino Linotype" w:hAnsi="Palatino Linotype" w:cstheme="minorHAnsi"/>
          <w:sz w:val="24"/>
          <w:szCs w:val="24"/>
        </w:rPr>
        <w:t xml:space="preserve"> </w:t>
      </w:r>
      <w:r w:rsidRPr="009D25F5" w:rsidR="00175F6E">
        <w:rPr>
          <w:rFonts w:ascii="Palatino Linotype" w:hAnsi="Palatino Linotype" w:eastAsia="Palatino Linotype" w:cs="Palatino Linotype"/>
          <w:sz w:val="24"/>
          <w:szCs w:val="24"/>
        </w:rPr>
        <w:t>(</w:t>
      </w:r>
      <w:r w:rsidRPr="009D25F5" w:rsidR="00175F6E">
        <w:rPr>
          <w:rFonts w:ascii="Palatino Linotype" w:hAnsi="Palatino Linotype" w:cstheme="minorHAnsi"/>
          <w:sz w:val="24"/>
          <w:szCs w:val="24"/>
        </w:rPr>
        <w:t>PG&amp;E AL 6929-E-A, and SCE AL 5025-E-A and SCE AL 5025-E-B</w:t>
      </w:r>
      <w:r w:rsidRPr="009D25F5" w:rsidR="00285806">
        <w:rPr>
          <w:rFonts w:ascii="Palatino Linotype" w:hAnsi="Palatino Linotype" w:cstheme="minorHAnsi"/>
          <w:sz w:val="24"/>
          <w:szCs w:val="24"/>
        </w:rPr>
        <w:t xml:space="preserve">) in response to </w:t>
      </w:r>
      <w:r w:rsidR="00F15427">
        <w:rPr>
          <w:rFonts w:ascii="Palatino Linotype" w:hAnsi="Palatino Linotype" w:cstheme="minorHAnsi"/>
          <w:sz w:val="24"/>
          <w:szCs w:val="24"/>
        </w:rPr>
        <w:t xml:space="preserve">Part 1 and Part 2 of </w:t>
      </w:r>
      <w:r w:rsidRPr="009D25F5" w:rsidR="00285806">
        <w:rPr>
          <w:rFonts w:ascii="Palatino Linotype" w:hAnsi="Palatino Linotype" w:cstheme="minorHAnsi"/>
          <w:sz w:val="24"/>
          <w:szCs w:val="24"/>
        </w:rPr>
        <w:t>an Energy Division Data Request</w:t>
      </w:r>
      <w:r w:rsidRPr="009D25F5">
        <w:rPr>
          <w:rFonts w:ascii="Palatino Linotype" w:hAnsi="Palatino Linotype" w:eastAsia="Palatino Linotype" w:cs="Palatino Linotype"/>
          <w:sz w:val="24"/>
          <w:szCs w:val="24"/>
        </w:rPr>
        <w:t>.</w:t>
      </w:r>
      <w:r w:rsidR="00F15427">
        <w:rPr>
          <w:rStyle w:val="FootnoteReference"/>
          <w:rFonts w:ascii="Palatino Linotype" w:hAnsi="Palatino Linotype" w:eastAsia="Palatino Linotype" w:cs="Palatino Linotype"/>
          <w:sz w:val="24"/>
          <w:szCs w:val="24"/>
        </w:rPr>
        <w:footnoteReference w:id="35"/>
      </w:r>
      <w:r w:rsidRPr="009D25F5" w:rsidR="00594A03">
        <w:rPr>
          <w:rFonts w:ascii="Palatino Linotype" w:hAnsi="Palatino Linotype" w:eastAsia="Palatino Linotype" w:cs="Palatino Linotype"/>
          <w:sz w:val="24"/>
          <w:szCs w:val="24"/>
        </w:rPr>
        <w:t xml:space="preserve"> </w:t>
      </w:r>
      <w:r w:rsidRPr="009D25F5" w:rsidR="003213C8">
        <w:rPr>
          <w:rFonts w:ascii="Palatino Linotype" w:hAnsi="Palatino Linotype" w:eastAsia="Palatino Linotype" w:cs="Palatino Linotype"/>
          <w:sz w:val="24"/>
          <w:szCs w:val="24"/>
        </w:rPr>
        <w:t xml:space="preserve"> </w:t>
      </w:r>
      <w:r w:rsidRPr="009D25F5" w:rsidR="00446EAD">
        <w:rPr>
          <w:rFonts w:ascii="Palatino Linotype" w:hAnsi="Palatino Linotype" w:eastAsia="Palatino Linotype" w:cs="Palatino Linotype"/>
          <w:sz w:val="24"/>
          <w:szCs w:val="24"/>
        </w:rPr>
        <w:t xml:space="preserve">On </w:t>
      </w:r>
      <w:r w:rsidRPr="009D25F5" w:rsidR="0093373A">
        <w:rPr>
          <w:rFonts w:ascii="Palatino Linotype" w:hAnsi="Palatino Linotype" w:eastAsia="Palatino Linotype" w:cs="Palatino Linotype"/>
          <w:sz w:val="24"/>
          <w:szCs w:val="24"/>
        </w:rPr>
        <w:t>September 26, 2023</w:t>
      </w:r>
      <w:r w:rsidRPr="009D25F5" w:rsidR="00D108CF">
        <w:rPr>
          <w:rFonts w:ascii="Palatino Linotype" w:hAnsi="Palatino Linotype" w:eastAsia="Palatino Linotype" w:cs="Palatino Linotype"/>
          <w:sz w:val="24"/>
          <w:szCs w:val="24"/>
        </w:rPr>
        <w:t>,</w:t>
      </w:r>
      <w:r w:rsidRPr="009D25F5" w:rsidR="00446EAD">
        <w:rPr>
          <w:rFonts w:ascii="Palatino Linotype" w:hAnsi="Palatino Linotype" w:eastAsia="Palatino Linotype" w:cs="Palatino Linotype"/>
          <w:sz w:val="24"/>
          <w:szCs w:val="24"/>
        </w:rPr>
        <w:t xml:space="preserve"> SCE submitted </w:t>
      </w:r>
      <w:r w:rsidRPr="009D25F5" w:rsidR="00285806">
        <w:rPr>
          <w:rFonts w:ascii="Palatino Linotype" w:hAnsi="Palatino Linotype" w:eastAsia="Palatino Linotype" w:cs="Palatino Linotype"/>
          <w:sz w:val="24"/>
          <w:szCs w:val="24"/>
        </w:rPr>
        <w:t>SCE 5</w:t>
      </w:r>
      <w:r w:rsidRPr="009D25F5" w:rsidR="00446EAD">
        <w:rPr>
          <w:rFonts w:ascii="Palatino Linotype" w:hAnsi="Palatino Linotype" w:eastAsia="Palatino Linotype" w:cs="Palatino Linotype"/>
          <w:sz w:val="24"/>
          <w:szCs w:val="24"/>
        </w:rPr>
        <w:t xml:space="preserve">025-E-B replacing </w:t>
      </w:r>
      <w:r w:rsidRPr="009D25F5" w:rsidR="00285806">
        <w:rPr>
          <w:rFonts w:ascii="Palatino Linotype" w:hAnsi="Palatino Linotype" w:eastAsia="Palatino Linotype" w:cs="Palatino Linotype"/>
          <w:sz w:val="24"/>
          <w:szCs w:val="24"/>
        </w:rPr>
        <w:t xml:space="preserve">SCE 5025-E-A </w:t>
      </w:r>
      <w:r w:rsidRPr="009D25F5" w:rsidR="00446EAD">
        <w:rPr>
          <w:rFonts w:ascii="Palatino Linotype" w:hAnsi="Palatino Linotype" w:eastAsia="Palatino Linotype" w:cs="Palatino Linotype"/>
          <w:sz w:val="24"/>
          <w:szCs w:val="24"/>
        </w:rPr>
        <w:t>in its entirety</w:t>
      </w:r>
      <w:r w:rsidRPr="009D25F5" w:rsidR="00285806">
        <w:rPr>
          <w:rFonts w:ascii="Palatino Linotype" w:hAnsi="Palatino Linotype" w:eastAsia="Palatino Linotype" w:cs="Palatino Linotype"/>
          <w:sz w:val="24"/>
          <w:szCs w:val="24"/>
        </w:rPr>
        <w:t>.</w:t>
      </w:r>
      <w:r w:rsidR="009B2E67">
        <w:rPr>
          <w:rStyle w:val="FootnoteReference"/>
          <w:rFonts w:ascii="Palatino Linotype" w:hAnsi="Palatino Linotype" w:eastAsia="Palatino Linotype" w:cs="Palatino Linotype"/>
          <w:sz w:val="24"/>
          <w:szCs w:val="24"/>
        </w:rPr>
        <w:footnoteReference w:id="36"/>
      </w:r>
      <w:r w:rsidRPr="009D25F5" w:rsidR="00285806">
        <w:rPr>
          <w:rFonts w:ascii="Palatino Linotype" w:hAnsi="Palatino Linotype" w:eastAsia="Palatino Linotype" w:cs="Palatino Linotype"/>
          <w:sz w:val="24"/>
          <w:szCs w:val="24"/>
        </w:rPr>
        <w:t xml:space="preserve"> On </w:t>
      </w:r>
      <w:r w:rsidR="00751CAA">
        <w:rPr>
          <w:rFonts w:ascii="Palatino Linotype" w:hAnsi="Palatino Linotype" w:eastAsia="Palatino Linotype" w:cs="Palatino Linotype"/>
          <w:sz w:val="24"/>
          <w:szCs w:val="24"/>
        </w:rPr>
        <w:br/>
      </w:r>
      <w:r w:rsidRPr="009D25F5" w:rsidR="00285806">
        <w:rPr>
          <w:rFonts w:ascii="Palatino Linotype" w:hAnsi="Palatino Linotype" w:eastAsia="Palatino Linotype" w:cs="Palatino Linotype"/>
          <w:sz w:val="24"/>
          <w:szCs w:val="24"/>
        </w:rPr>
        <w:t xml:space="preserve">September 26, 2023, PG&amp;E and SCE </w:t>
      </w:r>
      <w:r w:rsidR="00A43214">
        <w:rPr>
          <w:rFonts w:ascii="Palatino Linotype" w:hAnsi="Palatino Linotype" w:eastAsia="Palatino Linotype" w:cs="Palatino Linotype"/>
          <w:sz w:val="24"/>
          <w:szCs w:val="24"/>
        </w:rPr>
        <w:t xml:space="preserve">provided </w:t>
      </w:r>
      <w:r w:rsidRPr="009D25F5" w:rsidR="00285806">
        <w:rPr>
          <w:rFonts w:ascii="Palatino Linotype" w:hAnsi="Palatino Linotype" w:eastAsia="Palatino Linotype" w:cs="Palatino Linotype"/>
          <w:sz w:val="24"/>
          <w:szCs w:val="24"/>
        </w:rPr>
        <w:t xml:space="preserve">responses to </w:t>
      </w:r>
      <w:r w:rsidRPr="009D25F5" w:rsidR="00887851">
        <w:rPr>
          <w:rFonts w:ascii="Palatino Linotype" w:hAnsi="Palatino Linotype" w:eastAsia="Palatino Linotype" w:cs="Palatino Linotype"/>
          <w:sz w:val="24"/>
          <w:szCs w:val="24"/>
        </w:rPr>
        <w:t xml:space="preserve">Part 3 of </w:t>
      </w:r>
      <w:r w:rsidRPr="009D25F5" w:rsidR="00285806">
        <w:rPr>
          <w:rFonts w:ascii="Palatino Linotype" w:hAnsi="Palatino Linotype" w:eastAsia="Palatino Linotype" w:cs="Palatino Linotype"/>
          <w:sz w:val="24"/>
          <w:szCs w:val="24"/>
        </w:rPr>
        <w:t>the Data Request</w:t>
      </w:r>
      <w:r w:rsidR="00A43214">
        <w:rPr>
          <w:rFonts w:ascii="Palatino Linotype" w:hAnsi="Palatino Linotype" w:eastAsia="Palatino Linotype" w:cs="Palatino Linotype"/>
          <w:sz w:val="24"/>
          <w:szCs w:val="24"/>
        </w:rPr>
        <w:t>.</w:t>
      </w:r>
      <w:r w:rsidRPr="009D25F5" w:rsidR="00285806">
        <w:rPr>
          <w:rFonts w:ascii="Palatino Linotype" w:hAnsi="Palatino Linotype" w:eastAsia="Palatino Linotype" w:cs="Palatino Linotype"/>
          <w:sz w:val="24"/>
          <w:szCs w:val="24"/>
          <w:vertAlign w:val="superscript"/>
        </w:rPr>
        <w:t xml:space="preserve"> </w:t>
      </w:r>
      <w:r w:rsidRPr="009D25F5" w:rsidR="004A12B4">
        <w:rPr>
          <w:rFonts w:ascii="Palatino Linotype" w:hAnsi="Palatino Linotype" w:eastAsia="Palatino Linotype" w:cs="Palatino Linotype"/>
          <w:sz w:val="24"/>
          <w:szCs w:val="24"/>
        </w:rPr>
        <w:t xml:space="preserve"> </w:t>
      </w:r>
      <w:r w:rsidRPr="009D25F5" w:rsidR="00594A03">
        <w:rPr>
          <w:rFonts w:ascii="Palatino Linotype" w:hAnsi="Palatino Linotype" w:eastAsia="Palatino Linotype" w:cs="Palatino Linotype"/>
          <w:sz w:val="24"/>
          <w:szCs w:val="24"/>
        </w:rPr>
        <w:t xml:space="preserve">SDG&amp;E did not submit a supplement </w:t>
      </w:r>
      <w:r w:rsidRPr="009D25F5" w:rsidR="00285806">
        <w:rPr>
          <w:rFonts w:ascii="Palatino Linotype" w:hAnsi="Palatino Linotype" w:eastAsia="Palatino Linotype" w:cs="Palatino Linotype"/>
          <w:sz w:val="24"/>
          <w:szCs w:val="24"/>
        </w:rPr>
        <w:t xml:space="preserve">or response </w:t>
      </w:r>
      <w:r w:rsidRPr="009D25F5" w:rsidR="004812F5">
        <w:rPr>
          <w:rFonts w:ascii="Palatino Linotype" w:hAnsi="Palatino Linotype" w:eastAsia="Palatino Linotype" w:cs="Palatino Linotype"/>
          <w:sz w:val="24"/>
          <w:szCs w:val="24"/>
        </w:rPr>
        <w:t xml:space="preserve">to </w:t>
      </w:r>
      <w:r w:rsidRPr="009D25F5" w:rsidR="007509F2">
        <w:rPr>
          <w:rFonts w:ascii="Palatino Linotype" w:hAnsi="Palatino Linotype" w:eastAsia="Palatino Linotype" w:cs="Palatino Linotype"/>
          <w:sz w:val="24"/>
          <w:szCs w:val="24"/>
        </w:rPr>
        <w:t>the</w:t>
      </w:r>
      <w:r w:rsidRPr="009D25F5" w:rsidR="004812F5">
        <w:rPr>
          <w:rFonts w:ascii="Palatino Linotype" w:hAnsi="Palatino Linotype" w:eastAsia="Palatino Linotype" w:cs="Palatino Linotype"/>
          <w:sz w:val="24"/>
          <w:szCs w:val="24"/>
        </w:rPr>
        <w:t xml:space="preserve"> Data Request </w:t>
      </w:r>
      <w:r w:rsidRPr="009D25F5" w:rsidR="00285806">
        <w:rPr>
          <w:rFonts w:ascii="Palatino Linotype" w:hAnsi="Palatino Linotype" w:eastAsia="Palatino Linotype" w:cs="Palatino Linotype"/>
          <w:sz w:val="24"/>
          <w:szCs w:val="24"/>
        </w:rPr>
        <w:t xml:space="preserve">because </w:t>
      </w:r>
      <w:r w:rsidRPr="009D25F5" w:rsidR="005356F3">
        <w:rPr>
          <w:rFonts w:ascii="Palatino Linotype" w:hAnsi="Palatino Linotype" w:eastAsia="Palatino Linotype" w:cs="Palatino Linotype"/>
          <w:sz w:val="24"/>
          <w:szCs w:val="24"/>
        </w:rPr>
        <w:t xml:space="preserve">they noted they lacked the data to complete </w:t>
      </w:r>
      <w:r w:rsidRPr="009D25F5" w:rsidR="00285806">
        <w:rPr>
          <w:rFonts w:ascii="Palatino Linotype" w:hAnsi="Palatino Linotype" w:eastAsia="Palatino Linotype" w:cs="Palatino Linotype"/>
          <w:sz w:val="24"/>
          <w:szCs w:val="24"/>
        </w:rPr>
        <w:t>the request.</w:t>
      </w:r>
    </w:p>
    <w:p w:rsidRPr="00751CAA" w:rsidR="00580718" w:rsidRDefault="004D7874" w14:paraId="58F4F426" w14:textId="77777777">
      <w:pPr>
        <w:pStyle w:val="Heading"/>
        <w:rPr>
          <w:rFonts w:ascii="Palatino Linotype" w:hAnsi="Palatino Linotype"/>
          <w:sz w:val="24"/>
          <w:szCs w:val="24"/>
          <w:lang w:val="en-US"/>
        </w:rPr>
      </w:pPr>
      <w:r w:rsidRPr="00751CAA">
        <w:rPr>
          <w:rFonts w:ascii="Palatino Linotype" w:hAnsi="Palatino Linotype"/>
          <w:sz w:val="24"/>
          <w:szCs w:val="24"/>
          <w:lang w:val="en-US"/>
        </w:rPr>
        <w:t xml:space="preserve">Notice </w:t>
      </w:r>
    </w:p>
    <w:p w:rsidRPr="00930978" w:rsidR="00580718" w:rsidRDefault="00110D2C" w14:paraId="48474CCA"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The </w:t>
      </w:r>
      <w:r w:rsidR="00936520">
        <w:rPr>
          <w:rFonts w:ascii="Palatino Linotype" w:hAnsi="Palatino Linotype" w:eastAsia="Palatino Linotype" w:cs="Palatino Linotype"/>
          <w:sz w:val="24"/>
          <w:szCs w:val="24"/>
        </w:rPr>
        <w:t xml:space="preserve">Large </w:t>
      </w:r>
      <w:r>
        <w:rPr>
          <w:rFonts w:ascii="Palatino Linotype" w:hAnsi="Palatino Linotype" w:eastAsia="Palatino Linotype" w:cs="Palatino Linotype"/>
          <w:sz w:val="24"/>
          <w:szCs w:val="24"/>
        </w:rPr>
        <w:t>IOUs state that n</w:t>
      </w:r>
      <w:r w:rsidRPr="00930978" w:rsidR="004D7874">
        <w:rPr>
          <w:rFonts w:ascii="Palatino Linotype" w:hAnsi="Palatino Linotype" w:eastAsia="Palatino Linotype" w:cs="Palatino Linotype"/>
          <w:sz w:val="24"/>
          <w:szCs w:val="24"/>
        </w:rPr>
        <w:t xml:space="preserve">otice of </w:t>
      </w:r>
      <w:r w:rsidRPr="008646C9" w:rsidR="00801627">
        <w:rPr>
          <w:rFonts w:ascii="Palatino Linotype" w:hAnsi="Palatino Linotype" w:eastAsia="Palatino Linotype" w:cs="Palatino Linotype"/>
          <w:sz w:val="24"/>
          <w:szCs w:val="24"/>
        </w:rPr>
        <w:t>PG&amp;E AL 6816-E</w:t>
      </w:r>
      <w:r w:rsidR="00815228">
        <w:rPr>
          <w:rFonts w:ascii="Palatino Linotype" w:hAnsi="Palatino Linotype" w:eastAsia="Palatino Linotype" w:cs="Palatino Linotype"/>
          <w:sz w:val="24"/>
          <w:szCs w:val="24"/>
        </w:rPr>
        <w:t xml:space="preserve">, </w:t>
      </w:r>
      <w:r w:rsidRPr="008646C9" w:rsidR="00801627">
        <w:rPr>
          <w:rFonts w:ascii="Palatino Linotype" w:hAnsi="Palatino Linotype" w:eastAsia="Palatino Linotype" w:cs="Palatino Linotype"/>
          <w:sz w:val="24"/>
          <w:szCs w:val="24"/>
        </w:rPr>
        <w:t xml:space="preserve">816-E-A, </w:t>
      </w:r>
      <w:r w:rsidR="00815228">
        <w:rPr>
          <w:rFonts w:ascii="Palatino Linotype" w:hAnsi="Palatino Linotype" w:cstheme="minorHAnsi"/>
          <w:sz w:val="24"/>
          <w:szCs w:val="24"/>
        </w:rPr>
        <w:t xml:space="preserve">6929-E, and </w:t>
      </w:r>
      <w:r w:rsidRPr="005356F3" w:rsidR="00815228">
        <w:rPr>
          <w:rFonts w:ascii="Palatino Linotype" w:hAnsi="Palatino Linotype" w:cstheme="minorHAnsi"/>
          <w:sz w:val="24"/>
          <w:szCs w:val="24"/>
        </w:rPr>
        <w:t>6929-E-A</w:t>
      </w:r>
      <w:r w:rsidR="00815228">
        <w:rPr>
          <w:rFonts w:ascii="Palatino Linotype" w:hAnsi="Palatino Linotype" w:cstheme="minorHAnsi"/>
          <w:sz w:val="24"/>
          <w:szCs w:val="24"/>
        </w:rPr>
        <w:t xml:space="preserve">; </w:t>
      </w:r>
      <w:r w:rsidRPr="008646C9" w:rsidR="00801627">
        <w:rPr>
          <w:rFonts w:ascii="Palatino Linotype" w:hAnsi="Palatino Linotype" w:eastAsia="Palatino Linotype" w:cs="Palatino Linotype"/>
          <w:sz w:val="24"/>
          <w:szCs w:val="24"/>
        </w:rPr>
        <w:t>SCE AL 4941-E</w:t>
      </w:r>
      <w:r w:rsidR="00815228">
        <w:rPr>
          <w:rFonts w:ascii="Palatino Linotype" w:hAnsi="Palatino Linotype" w:eastAsia="Palatino Linotype" w:cs="Palatino Linotype"/>
          <w:sz w:val="24"/>
          <w:szCs w:val="24"/>
        </w:rPr>
        <w:t xml:space="preserve">, </w:t>
      </w:r>
      <w:r w:rsidRPr="008646C9" w:rsidR="00801627">
        <w:rPr>
          <w:rFonts w:ascii="Palatino Linotype" w:hAnsi="Palatino Linotype" w:eastAsia="Palatino Linotype" w:cs="Palatino Linotype"/>
          <w:sz w:val="24"/>
          <w:szCs w:val="24"/>
        </w:rPr>
        <w:t xml:space="preserve">4941-E-A, </w:t>
      </w:r>
      <w:r w:rsidR="00815228">
        <w:rPr>
          <w:rFonts w:ascii="Palatino Linotype" w:hAnsi="Palatino Linotype" w:cstheme="minorHAnsi"/>
          <w:sz w:val="24"/>
          <w:szCs w:val="24"/>
        </w:rPr>
        <w:t xml:space="preserve">5025-E, </w:t>
      </w:r>
      <w:r w:rsidRPr="005356F3" w:rsidR="00815228">
        <w:rPr>
          <w:rFonts w:ascii="Palatino Linotype" w:hAnsi="Palatino Linotype" w:cstheme="minorHAnsi"/>
          <w:sz w:val="24"/>
          <w:szCs w:val="24"/>
        </w:rPr>
        <w:t>5025-E-A</w:t>
      </w:r>
      <w:r w:rsidR="00815228">
        <w:rPr>
          <w:rFonts w:ascii="Palatino Linotype" w:hAnsi="Palatino Linotype" w:cstheme="minorHAnsi"/>
          <w:sz w:val="24"/>
          <w:szCs w:val="24"/>
        </w:rPr>
        <w:t xml:space="preserve"> &amp; 5025-E-B</w:t>
      </w:r>
      <w:r w:rsidR="00815228">
        <w:rPr>
          <w:rFonts w:ascii="Palatino Linotype" w:hAnsi="Palatino Linotype" w:eastAsia="Palatino Linotype" w:cs="Palatino Linotype"/>
          <w:sz w:val="24"/>
          <w:szCs w:val="24"/>
        </w:rPr>
        <w:t xml:space="preserve">; </w:t>
      </w:r>
      <w:r w:rsidRPr="008646C9" w:rsidR="00801627">
        <w:rPr>
          <w:rFonts w:ascii="Palatino Linotype" w:hAnsi="Palatino Linotype" w:eastAsia="Palatino Linotype" w:cs="Palatino Linotype"/>
          <w:sz w:val="24"/>
          <w:szCs w:val="24"/>
        </w:rPr>
        <w:t>and SDG&amp;E AL 4138-E</w:t>
      </w:r>
      <w:r w:rsidR="00815228">
        <w:rPr>
          <w:rFonts w:ascii="Palatino Linotype" w:hAnsi="Palatino Linotype" w:eastAsia="Palatino Linotype" w:cs="Palatino Linotype"/>
          <w:sz w:val="24"/>
          <w:szCs w:val="24"/>
        </w:rPr>
        <w:t xml:space="preserve">, </w:t>
      </w:r>
      <w:r w:rsidR="00751CAA">
        <w:rPr>
          <w:rFonts w:ascii="Palatino Linotype" w:hAnsi="Palatino Linotype" w:eastAsia="Palatino Linotype" w:cs="Palatino Linotype"/>
          <w:sz w:val="24"/>
          <w:szCs w:val="24"/>
        </w:rPr>
        <w:br/>
      </w:r>
      <w:r w:rsidRPr="008646C9" w:rsidR="00801627">
        <w:rPr>
          <w:rFonts w:ascii="Palatino Linotype" w:hAnsi="Palatino Linotype" w:eastAsia="Palatino Linotype" w:cs="Palatino Linotype"/>
          <w:sz w:val="24"/>
          <w:szCs w:val="24"/>
        </w:rPr>
        <w:t>4138-E-A</w:t>
      </w:r>
      <w:r w:rsidR="00815228">
        <w:rPr>
          <w:rFonts w:ascii="Palatino Linotype" w:hAnsi="Palatino Linotype" w:eastAsia="Palatino Linotype" w:cs="Palatino Linotype"/>
          <w:sz w:val="24"/>
          <w:szCs w:val="24"/>
        </w:rPr>
        <w:t xml:space="preserve">, and </w:t>
      </w:r>
      <w:r w:rsidR="002037AB">
        <w:rPr>
          <w:rFonts w:ascii="Palatino Linotype" w:hAnsi="Palatino Linotype" w:cstheme="minorHAnsi"/>
          <w:sz w:val="24"/>
          <w:szCs w:val="24"/>
        </w:rPr>
        <w:t>AL 4215</w:t>
      </w:r>
      <w:r w:rsidRPr="005356F3" w:rsidR="002037AB">
        <w:rPr>
          <w:rFonts w:ascii="Palatino Linotype" w:hAnsi="Palatino Linotype" w:cstheme="minorHAnsi"/>
          <w:sz w:val="24"/>
          <w:szCs w:val="24"/>
        </w:rPr>
        <w:t>-E</w:t>
      </w:r>
      <w:r w:rsidRPr="005356F3" w:rsidR="002037AB">
        <w:rPr>
          <w:rFonts w:ascii="Palatino Linotype" w:hAnsi="Palatino Linotype" w:eastAsia="Palatino Linotype" w:cs="Palatino Linotype"/>
          <w:sz w:val="24"/>
          <w:szCs w:val="24"/>
        </w:rPr>
        <w:t xml:space="preserve"> </w:t>
      </w:r>
      <w:r w:rsidRPr="00930978" w:rsidR="004D7874">
        <w:rPr>
          <w:rFonts w:ascii="Palatino Linotype" w:hAnsi="Palatino Linotype" w:eastAsia="Palatino Linotype" w:cs="Palatino Linotype"/>
          <w:sz w:val="24"/>
          <w:szCs w:val="24"/>
        </w:rPr>
        <w:t xml:space="preserve">were made by publication in the Commission’s Daily Calendar.  The </w:t>
      </w:r>
      <w:r w:rsidRPr="00930978" w:rsidR="00410A2C">
        <w:rPr>
          <w:rFonts w:ascii="Palatino Linotype" w:hAnsi="Palatino Linotype" w:eastAsia="Palatino Linotype" w:cs="Palatino Linotype"/>
          <w:sz w:val="24"/>
          <w:szCs w:val="24"/>
        </w:rPr>
        <w:t>Large</w:t>
      </w:r>
      <w:r w:rsidRPr="00930978" w:rsidR="008E25FF">
        <w:rPr>
          <w:rFonts w:ascii="Palatino Linotype" w:hAnsi="Palatino Linotype" w:eastAsia="Palatino Linotype" w:cs="Palatino Linotype"/>
          <w:sz w:val="24"/>
          <w:szCs w:val="24"/>
        </w:rPr>
        <w:t xml:space="preserve"> </w:t>
      </w:r>
      <w:r w:rsidRPr="00930978" w:rsidR="004D7874">
        <w:rPr>
          <w:rFonts w:ascii="Palatino Linotype" w:hAnsi="Palatino Linotype" w:eastAsia="Palatino Linotype" w:cs="Palatino Linotype"/>
          <w:sz w:val="24"/>
          <w:szCs w:val="24"/>
        </w:rPr>
        <w:t>IOUs state that they served copies of the ALs to the interested parties on the GO</w:t>
      </w:r>
      <w:r w:rsidRPr="00930978" w:rsidR="002A5771">
        <w:rPr>
          <w:rFonts w:ascii="Palatino Linotype" w:hAnsi="Palatino Linotype" w:eastAsia="Palatino Linotype" w:cs="Palatino Linotype"/>
          <w:sz w:val="24"/>
          <w:szCs w:val="24"/>
        </w:rPr>
        <w:t xml:space="preserve"> </w:t>
      </w:r>
      <w:r w:rsidRPr="00930978" w:rsidR="004D7874">
        <w:rPr>
          <w:rFonts w:ascii="Palatino Linotype" w:hAnsi="Palatino Linotype" w:eastAsia="Palatino Linotype" w:cs="Palatino Linotype"/>
          <w:sz w:val="24"/>
          <w:szCs w:val="24"/>
        </w:rPr>
        <w:t>96-B</w:t>
      </w:r>
      <w:r w:rsidRPr="00930978" w:rsidR="00154B35">
        <w:rPr>
          <w:rFonts w:ascii="Palatino Linotype" w:hAnsi="Palatino Linotype" w:eastAsia="Palatino Linotype" w:cs="Palatino Linotype"/>
          <w:sz w:val="24"/>
          <w:szCs w:val="24"/>
        </w:rPr>
        <w:t>,</w:t>
      </w:r>
      <w:r w:rsidRPr="00930978" w:rsidR="004D7874">
        <w:rPr>
          <w:rFonts w:ascii="Palatino Linotype" w:hAnsi="Palatino Linotype" w:eastAsia="Palatino Linotype" w:cs="Palatino Linotype"/>
          <w:sz w:val="24"/>
          <w:szCs w:val="24"/>
        </w:rPr>
        <w:t xml:space="preserve"> R.11-09-011</w:t>
      </w:r>
      <w:r w:rsidRPr="00930978" w:rsidR="00154B35">
        <w:rPr>
          <w:rFonts w:ascii="Palatino Linotype" w:hAnsi="Palatino Linotype" w:eastAsia="Palatino Linotype" w:cs="Palatino Linotype"/>
          <w:sz w:val="24"/>
          <w:szCs w:val="24"/>
        </w:rPr>
        <w:t>,</w:t>
      </w:r>
      <w:r w:rsidRPr="00930978" w:rsidR="004D7874">
        <w:rPr>
          <w:rFonts w:ascii="Palatino Linotype" w:hAnsi="Palatino Linotype" w:eastAsia="Palatino Linotype" w:cs="Palatino Linotype"/>
          <w:sz w:val="24"/>
          <w:szCs w:val="24"/>
        </w:rPr>
        <w:t xml:space="preserve"> and R.17-07-007 service lists. </w:t>
      </w:r>
    </w:p>
    <w:p w:rsidRPr="00751CAA" w:rsidR="00580718" w:rsidRDefault="004D7874" w14:paraId="7259CC4E" w14:textId="77777777">
      <w:pPr>
        <w:pStyle w:val="Heading"/>
        <w:rPr>
          <w:rFonts w:ascii="Palatino Linotype" w:hAnsi="Palatino Linotype"/>
          <w:sz w:val="24"/>
          <w:szCs w:val="24"/>
        </w:rPr>
      </w:pPr>
      <w:r w:rsidRPr="00751CAA">
        <w:rPr>
          <w:rFonts w:ascii="Palatino Linotype" w:hAnsi="Palatino Linotype"/>
          <w:sz w:val="24"/>
          <w:szCs w:val="24"/>
        </w:rPr>
        <w:lastRenderedPageBreak/>
        <w:t>Protests/RESPONSES</w:t>
      </w:r>
    </w:p>
    <w:p w:rsidR="00F15427" w:rsidRDefault="00F15E32" w14:paraId="79FFADE4"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w:t>
      </w:r>
      <w:r w:rsidR="00173B23">
        <w:rPr>
          <w:rFonts w:ascii="Palatino Linotype" w:hAnsi="Palatino Linotype" w:eastAsia="Palatino Linotype" w:cs="Palatino Linotype"/>
          <w:sz w:val="24"/>
          <w:szCs w:val="24"/>
        </w:rPr>
        <w:t>Public Advocates Office</w:t>
      </w:r>
      <w:r w:rsidRPr="00930978">
        <w:rPr>
          <w:rFonts w:ascii="Palatino Linotype" w:hAnsi="Palatino Linotype" w:eastAsia="Palatino Linotype" w:cs="Palatino Linotype"/>
          <w:sz w:val="24"/>
          <w:szCs w:val="24"/>
        </w:rPr>
        <w:t xml:space="preserve"> (</w:t>
      </w:r>
      <w:r w:rsidRPr="00930978" w:rsidR="00173B23">
        <w:rPr>
          <w:rFonts w:ascii="Palatino Linotype" w:hAnsi="Palatino Linotype" w:eastAsia="Palatino Linotype" w:cs="Palatino Linotype"/>
          <w:sz w:val="24"/>
          <w:szCs w:val="24"/>
        </w:rPr>
        <w:t>C</w:t>
      </w:r>
      <w:r w:rsidR="00173B23">
        <w:rPr>
          <w:rFonts w:ascii="Palatino Linotype" w:hAnsi="Palatino Linotype" w:eastAsia="Palatino Linotype" w:cs="Palatino Linotype"/>
          <w:sz w:val="24"/>
          <w:szCs w:val="24"/>
        </w:rPr>
        <w:t>al Advocates</w:t>
      </w:r>
      <w:r w:rsidRPr="00930978">
        <w:rPr>
          <w:rFonts w:ascii="Palatino Linotype" w:hAnsi="Palatino Linotype" w:eastAsia="Palatino Linotype" w:cs="Palatino Linotype"/>
          <w:sz w:val="24"/>
          <w:szCs w:val="24"/>
        </w:rPr>
        <w:t>) and the Interstate Renewable Energy Council, Inc. (IREC) submitted separate timely protests</w:t>
      </w:r>
      <w:r w:rsidRPr="00930978" w:rsidR="00FF28C2">
        <w:rPr>
          <w:rFonts w:ascii="Palatino Linotype" w:hAnsi="Palatino Linotype" w:eastAsia="Palatino Linotype" w:cs="Palatino Linotype"/>
          <w:sz w:val="24"/>
          <w:szCs w:val="24"/>
        </w:rPr>
        <w:t xml:space="preserve"> on </w:t>
      </w:r>
      <w:r w:rsidR="00C3112C">
        <w:rPr>
          <w:rFonts w:ascii="Palatino Linotype" w:hAnsi="Palatino Linotype" w:eastAsia="Palatino Linotype" w:cs="Palatino Linotype"/>
          <w:sz w:val="24"/>
          <w:szCs w:val="24"/>
        </w:rPr>
        <w:t>January 30</w:t>
      </w:r>
      <w:r w:rsidRPr="00930978" w:rsidR="00FF28C2">
        <w:rPr>
          <w:rFonts w:ascii="Palatino Linotype" w:hAnsi="Palatino Linotype" w:eastAsia="Palatino Linotype" w:cs="Palatino Linotype"/>
          <w:sz w:val="24"/>
          <w:szCs w:val="24"/>
        </w:rPr>
        <w:t xml:space="preserve">, </w:t>
      </w:r>
      <w:r w:rsidRPr="00930978" w:rsidR="003D219C">
        <w:rPr>
          <w:rFonts w:ascii="Palatino Linotype" w:hAnsi="Palatino Linotype" w:eastAsia="Palatino Linotype" w:cs="Palatino Linotype"/>
          <w:sz w:val="24"/>
          <w:szCs w:val="24"/>
        </w:rPr>
        <w:t>202</w:t>
      </w:r>
      <w:r w:rsidR="003D219C">
        <w:rPr>
          <w:rFonts w:ascii="Palatino Linotype" w:hAnsi="Palatino Linotype" w:eastAsia="Palatino Linotype" w:cs="Palatino Linotype"/>
          <w:sz w:val="24"/>
          <w:szCs w:val="24"/>
        </w:rPr>
        <w:t>3</w:t>
      </w:r>
      <w:r w:rsidRPr="00930978" w:rsidR="003D219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to </w:t>
      </w:r>
      <w:r w:rsidRPr="00930978" w:rsidR="0071541C">
        <w:rPr>
          <w:rFonts w:ascii="Palatino Linotype" w:hAnsi="Palatino Linotype" w:eastAsia="Palatino Linotype" w:cs="Palatino Linotype"/>
          <w:sz w:val="24"/>
          <w:szCs w:val="24"/>
        </w:rPr>
        <w:t xml:space="preserve">the </w:t>
      </w:r>
      <w:r w:rsidR="00651DFB">
        <w:rPr>
          <w:rFonts w:ascii="Palatino Linotype" w:hAnsi="Palatino Linotype" w:eastAsia="Palatino Linotype" w:cs="Palatino Linotype"/>
          <w:sz w:val="24"/>
          <w:szCs w:val="24"/>
        </w:rPr>
        <w:t xml:space="preserve">Joint </w:t>
      </w:r>
      <w:r w:rsidR="00FB6FA4">
        <w:rPr>
          <w:rFonts w:ascii="Palatino Linotype" w:hAnsi="Palatino Linotype" w:eastAsia="Palatino Linotype" w:cs="Palatino Linotype"/>
          <w:sz w:val="24"/>
          <w:szCs w:val="24"/>
        </w:rPr>
        <w:t>January LGP</w:t>
      </w:r>
      <w:r w:rsidR="00212677">
        <w:rPr>
          <w:rFonts w:ascii="Palatino Linotype" w:hAnsi="Palatino Linotype" w:eastAsia="Palatino Linotype" w:cs="Palatino Linotype"/>
          <w:sz w:val="24"/>
          <w:szCs w:val="24"/>
        </w:rPr>
        <w:t xml:space="preserve"> </w:t>
      </w:r>
      <w:r w:rsidR="00651DFB">
        <w:rPr>
          <w:rFonts w:ascii="Palatino Linotype" w:hAnsi="Palatino Linotype" w:eastAsia="Palatino Linotype" w:cs="Palatino Linotype"/>
          <w:sz w:val="24"/>
          <w:szCs w:val="24"/>
        </w:rPr>
        <w:t>AL</w:t>
      </w:r>
      <w:r w:rsidR="00C70921">
        <w:rPr>
          <w:rFonts w:ascii="Palatino Linotype" w:hAnsi="Palatino Linotype" w:eastAsia="Palatino Linotype" w:cs="Palatino Linotype"/>
          <w:sz w:val="24"/>
          <w:szCs w:val="24"/>
        </w:rPr>
        <w:t>. I</w:t>
      </w:r>
      <w:r w:rsidR="00B12B64">
        <w:rPr>
          <w:rFonts w:ascii="Palatino Linotype" w:hAnsi="Palatino Linotype" w:eastAsia="Palatino Linotype" w:cs="Palatino Linotype"/>
          <w:sz w:val="24"/>
          <w:szCs w:val="24"/>
        </w:rPr>
        <w:t xml:space="preserve">REC’s protest also </w:t>
      </w:r>
      <w:r w:rsidR="009D25F5">
        <w:rPr>
          <w:rFonts w:ascii="Palatino Linotype" w:hAnsi="Palatino Linotype" w:eastAsia="Palatino Linotype" w:cs="Palatino Linotype"/>
          <w:sz w:val="24"/>
          <w:szCs w:val="24"/>
        </w:rPr>
        <w:t xml:space="preserve">addressed </w:t>
      </w:r>
      <w:r w:rsidR="00B12B64">
        <w:rPr>
          <w:rFonts w:ascii="Palatino Linotype" w:hAnsi="Palatino Linotype" w:eastAsia="Palatino Linotype" w:cs="Palatino Linotype"/>
          <w:sz w:val="24"/>
          <w:szCs w:val="24"/>
        </w:rPr>
        <w:t>the</w:t>
      </w:r>
      <w:r w:rsidR="00592760">
        <w:rPr>
          <w:rFonts w:ascii="Palatino Linotype" w:hAnsi="Palatino Linotype" w:eastAsia="Palatino Linotype" w:cs="Palatino Linotype"/>
          <w:sz w:val="24"/>
          <w:szCs w:val="24"/>
        </w:rPr>
        <w:t xml:space="preserve"> Supplement to the Joint </w:t>
      </w:r>
      <w:r w:rsidR="00212677">
        <w:rPr>
          <w:rFonts w:ascii="Palatino Linotype" w:hAnsi="Palatino Linotype" w:eastAsia="Palatino Linotype" w:cs="Palatino Linotype"/>
          <w:sz w:val="24"/>
          <w:szCs w:val="24"/>
        </w:rPr>
        <w:t xml:space="preserve">January LGP </w:t>
      </w:r>
      <w:r w:rsidR="00592760">
        <w:rPr>
          <w:rFonts w:ascii="Palatino Linotype" w:hAnsi="Palatino Linotype" w:eastAsia="Palatino Linotype" w:cs="Palatino Linotype"/>
          <w:sz w:val="24"/>
          <w:szCs w:val="24"/>
        </w:rPr>
        <w:t>AL.</w:t>
      </w:r>
      <w:r w:rsidRPr="00930978" w:rsidR="00337422">
        <w:rPr>
          <w:rFonts w:ascii="Palatino Linotype" w:hAnsi="Palatino Linotype" w:eastAsia="Palatino Linotype" w:cs="Palatino Linotype"/>
          <w:sz w:val="24"/>
          <w:szCs w:val="24"/>
        </w:rPr>
        <w:t xml:space="preserve">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337422">
        <w:rPr>
          <w:rFonts w:ascii="Palatino Linotype" w:hAnsi="Palatino Linotype" w:eastAsia="Palatino Linotype" w:cs="Palatino Linotype"/>
          <w:sz w:val="24"/>
          <w:szCs w:val="24"/>
        </w:rPr>
        <w:t xml:space="preserve">IOUs submitted </w:t>
      </w:r>
      <w:r w:rsidR="007143D3">
        <w:rPr>
          <w:rFonts w:ascii="Palatino Linotype" w:hAnsi="Palatino Linotype" w:eastAsia="Palatino Linotype" w:cs="Palatino Linotype"/>
          <w:sz w:val="24"/>
          <w:szCs w:val="24"/>
        </w:rPr>
        <w:t xml:space="preserve">a </w:t>
      </w:r>
      <w:r w:rsidR="00987C4D">
        <w:rPr>
          <w:rFonts w:ascii="Palatino Linotype" w:hAnsi="Palatino Linotype" w:eastAsia="Palatino Linotype" w:cs="Palatino Linotype"/>
          <w:sz w:val="24"/>
          <w:szCs w:val="24"/>
        </w:rPr>
        <w:t xml:space="preserve">joint </w:t>
      </w:r>
      <w:r w:rsidRPr="00930978" w:rsidR="00337422">
        <w:rPr>
          <w:rFonts w:ascii="Palatino Linotype" w:hAnsi="Palatino Linotype" w:eastAsia="Palatino Linotype" w:cs="Palatino Linotype"/>
          <w:sz w:val="24"/>
          <w:szCs w:val="24"/>
        </w:rPr>
        <w:t xml:space="preserve">timely </w:t>
      </w:r>
      <w:r w:rsidRPr="00930978" w:rsidR="000568DD">
        <w:rPr>
          <w:rFonts w:ascii="Palatino Linotype" w:hAnsi="Palatino Linotype" w:eastAsia="Palatino Linotype" w:cs="Palatino Linotype"/>
          <w:sz w:val="24"/>
          <w:szCs w:val="24"/>
        </w:rPr>
        <w:t>re</w:t>
      </w:r>
      <w:r w:rsidR="00476D33">
        <w:rPr>
          <w:rFonts w:ascii="Palatino Linotype" w:hAnsi="Palatino Linotype" w:eastAsia="Palatino Linotype" w:cs="Palatino Linotype"/>
          <w:sz w:val="24"/>
          <w:szCs w:val="24"/>
        </w:rPr>
        <w:t>ply</w:t>
      </w:r>
      <w:r w:rsidRPr="00930978" w:rsidR="000568DD">
        <w:rPr>
          <w:rFonts w:ascii="Palatino Linotype" w:hAnsi="Palatino Linotype" w:eastAsia="Palatino Linotype" w:cs="Palatino Linotype"/>
          <w:sz w:val="24"/>
          <w:szCs w:val="24"/>
        </w:rPr>
        <w:t xml:space="preserve"> </w:t>
      </w:r>
      <w:r w:rsidRPr="00930978" w:rsidR="00DA6900">
        <w:rPr>
          <w:rFonts w:ascii="Palatino Linotype" w:hAnsi="Palatino Linotype" w:eastAsia="Palatino Linotype" w:cs="Palatino Linotype"/>
          <w:sz w:val="24"/>
          <w:szCs w:val="24"/>
        </w:rPr>
        <w:t xml:space="preserve">on </w:t>
      </w:r>
      <w:r w:rsidRPr="00930978" w:rsidR="001C2499">
        <w:rPr>
          <w:rFonts w:ascii="Palatino Linotype" w:hAnsi="Palatino Linotype" w:eastAsia="Palatino Linotype" w:cs="Palatino Linotype"/>
          <w:sz w:val="24"/>
          <w:szCs w:val="24"/>
        </w:rPr>
        <w:t xml:space="preserve">February </w:t>
      </w:r>
      <w:r w:rsidR="009005C9">
        <w:rPr>
          <w:rFonts w:ascii="Palatino Linotype" w:hAnsi="Palatino Linotype" w:eastAsia="Palatino Linotype" w:cs="Palatino Linotype"/>
          <w:sz w:val="24"/>
          <w:szCs w:val="24"/>
        </w:rPr>
        <w:t>6</w:t>
      </w:r>
      <w:r w:rsidRPr="00930978" w:rsidR="001C2499">
        <w:rPr>
          <w:rFonts w:ascii="Palatino Linotype" w:hAnsi="Palatino Linotype" w:eastAsia="Palatino Linotype" w:cs="Palatino Linotype"/>
          <w:sz w:val="24"/>
          <w:szCs w:val="24"/>
        </w:rPr>
        <w:t xml:space="preserve">, </w:t>
      </w:r>
      <w:r w:rsidRPr="00930978" w:rsidR="009005C9">
        <w:rPr>
          <w:rFonts w:ascii="Palatino Linotype" w:hAnsi="Palatino Linotype" w:eastAsia="Palatino Linotype" w:cs="Palatino Linotype"/>
          <w:sz w:val="24"/>
          <w:szCs w:val="24"/>
        </w:rPr>
        <w:t>202</w:t>
      </w:r>
      <w:r w:rsidR="009005C9">
        <w:rPr>
          <w:rFonts w:ascii="Palatino Linotype" w:hAnsi="Palatino Linotype" w:eastAsia="Palatino Linotype" w:cs="Palatino Linotype"/>
          <w:sz w:val="24"/>
          <w:szCs w:val="24"/>
        </w:rPr>
        <w:t>3</w:t>
      </w:r>
      <w:r w:rsidRPr="00930978" w:rsidR="00337422">
        <w:rPr>
          <w:rFonts w:ascii="Palatino Linotype" w:hAnsi="Palatino Linotype" w:eastAsia="Palatino Linotype" w:cs="Palatino Linotype"/>
          <w:sz w:val="24"/>
          <w:szCs w:val="24"/>
        </w:rPr>
        <w:t>.</w:t>
      </w:r>
      <w:r w:rsidRPr="00930978" w:rsidR="006E2788">
        <w:rPr>
          <w:rFonts w:ascii="Palatino Linotype" w:hAnsi="Palatino Linotype" w:eastAsia="Palatino Linotype" w:cs="Palatino Linotype"/>
          <w:sz w:val="24"/>
          <w:szCs w:val="24"/>
        </w:rPr>
        <w:t xml:space="preserve"> </w:t>
      </w:r>
    </w:p>
    <w:p w:rsidR="002634D7" w:rsidRDefault="0040652D" w14:paraId="60BEF0D9"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Cal Advocates submitted a late protest to the </w:t>
      </w:r>
      <w:r w:rsidR="00B849D6">
        <w:rPr>
          <w:rFonts w:ascii="Palatino Linotype" w:hAnsi="Palatino Linotype" w:eastAsia="Palatino Linotype" w:cs="Palatino Linotype"/>
          <w:sz w:val="24"/>
          <w:szCs w:val="24"/>
        </w:rPr>
        <w:t>S</w:t>
      </w:r>
      <w:r>
        <w:rPr>
          <w:rFonts w:ascii="Palatino Linotype" w:hAnsi="Palatino Linotype" w:eastAsia="Palatino Linotype" w:cs="Palatino Linotype"/>
          <w:sz w:val="24"/>
          <w:szCs w:val="24"/>
        </w:rPr>
        <w:t xml:space="preserve">upplement </w:t>
      </w:r>
      <w:r w:rsidR="00D873FD">
        <w:rPr>
          <w:rFonts w:ascii="Palatino Linotype" w:hAnsi="Palatino Linotype" w:eastAsia="Palatino Linotype" w:cs="Palatino Linotype"/>
          <w:sz w:val="24"/>
          <w:szCs w:val="24"/>
        </w:rPr>
        <w:t>to</w:t>
      </w:r>
      <w:r w:rsidR="00D80517">
        <w:rPr>
          <w:rFonts w:ascii="Palatino Linotype" w:hAnsi="Palatino Linotype" w:eastAsia="Palatino Linotype" w:cs="Palatino Linotype"/>
          <w:sz w:val="24"/>
          <w:szCs w:val="24"/>
        </w:rPr>
        <w:t xml:space="preserve"> the Joint </w:t>
      </w:r>
      <w:r w:rsidR="00C0068D">
        <w:rPr>
          <w:rFonts w:ascii="Palatino Linotype" w:hAnsi="Palatino Linotype" w:eastAsia="Palatino Linotype" w:cs="Palatino Linotype"/>
          <w:sz w:val="24"/>
          <w:szCs w:val="24"/>
        </w:rPr>
        <w:t xml:space="preserve">January LGP </w:t>
      </w:r>
      <w:r>
        <w:rPr>
          <w:rFonts w:ascii="Palatino Linotype" w:hAnsi="Palatino Linotype" w:eastAsia="Palatino Linotype" w:cs="Palatino Linotype"/>
          <w:sz w:val="24"/>
          <w:szCs w:val="24"/>
        </w:rPr>
        <w:t>AL on</w:t>
      </w:r>
      <w:r w:rsidR="00A43214">
        <w:rPr>
          <w:rFonts w:ascii="Palatino Linotype" w:hAnsi="Palatino Linotype" w:eastAsia="Palatino Linotype" w:cs="Palatino Linotype"/>
          <w:sz w:val="24"/>
          <w:szCs w:val="24"/>
        </w:rPr>
        <w:t xml:space="preserve"> </w:t>
      </w:r>
      <w:r w:rsidR="00404A91">
        <w:rPr>
          <w:rFonts w:ascii="Palatino Linotype" w:hAnsi="Palatino Linotype" w:eastAsia="Palatino Linotype" w:cs="Palatino Linotype"/>
          <w:sz w:val="24"/>
          <w:szCs w:val="24"/>
        </w:rPr>
        <w:t>February 6, 2023</w:t>
      </w:r>
      <w:r w:rsidR="00F15427">
        <w:rPr>
          <w:rFonts w:ascii="Palatino Linotype" w:hAnsi="Palatino Linotype" w:eastAsia="Palatino Linotype" w:cs="Palatino Linotype"/>
          <w:sz w:val="24"/>
          <w:szCs w:val="24"/>
        </w:rPr>
        <w:t>,</w:t>
      </w:r>
      <w:r w:rsidR="00404A91">
        <w:rPr>
          <w:rFonts w:ascii="Palatino Linotype" w:hAnsi="Palatino Linotype" w:eastAsia="Palatino Linotype" w:cs="Palatino Linotype"/>
          <w:sz w:val="24"/>
          <w:szCs w:val="24"/>
        </w:rPr>
        <w:t xml:space="preserve"> </w:t>
      </w:r>
      <w:r w:rsidR="00F15427">
        <w:rPr>
          <w:rFonts w:ascii="Palatino Linotype" w:hAnsi="Palatino Linotype" w:eastAsia="Palatino Linotype" w:cs="Palatino Linotype"/>
          <w:sz w:val="24"/>
          <w:szCs w:val="24"/>
        </w:rPr>
        <w:t xml:space="preserve">which </w:t>
      </w:r>
      <w:r w:rsidR="008C20BA">
        <w:rPr>
          <w:rFonts w:ascii="Palatino Linotype" w:hAnsi="Palatino Linotype" w:eastAsia="Palatino Linotype" w:cs="Palatino Linotype"/>
          <w:sz w:val="24"/>
          <w:szCs w:val="24"/>
        </w:rPr>
        <w:t>was accepted by Energy Division</w:t>
      </w:r>
      <w:r w:rsidR="00F15427">
        <w:rPr>
          <w:rFonts w:ascii="Palatino Linotype" w:hAnsi="Palatino Linotype" w:eastAsia="Palatino Linotype" w:cs="Palatino Linotype"/>
          <w:sz w:val="24"/>
          <w:szCs w:val="24"/>
        </w:rPr>
        <w:t>.</w:t>
      </w:r>
      <w:r w:rsidR="00F15427">
        <w:rPr>
          <w:rStyle w:val="FootnoteReference"/>
          <w:rFonts w:ascii="Palatino Linotype" w:hAnsi="Palatino Linotype" w:eastAsia="Palatino Linotype" w:cs="Palatino Linotype"/>
          <w:sz w:val="24"/>
          <w:szCs w:val="24"/>
        </w:rPr>
        <w:footnoteReference w:id="37"/>
      </w:r>
      <w:r w:rsidR="00DD64AE">
        <w:rPr>
          <w:rFonts w:ascii="Palatino Linotype" w:hAnsi="Palatino Linotype" w:eastAsia="Palatino Linotype" w:cs="Palatino Linotype"/>
          <w:sz w:val="24"/>
          <w:szCs w:val="24"/>
        </w:rPr>
        <w:t xml:space="preserve"> </w:t>
      </w:r>
      <w:r w:rsidR="00F15427">
        <w:rPr>
          <w:rFonts w:ascii="Palatino Linotype" w:hAnsi="Palatino Linotype" w:eastAsia="Palatino Linotype" w:cs="Palatino Linotype"/>
          <w:sz w:val="24"/>
          <w:szCs w:val="24"/>
        </w:rPr>
        <w:t>T</w:t>
      </w:r>
      <w:r w:rsidR="00DD64AE">
        <w:rPr>
          <w:rFonts w:ascii="Palatino Linotype" w:hAnsi="Palatino Linotype" w:eastAsia="Palatino Linotype" w:cs="Palatino Linotype"/>
          <w:sz w:val="24"/>
          <w:szCs w:val="24"/>
        </w:rPr>
        <w:t>he Large IOUs were properly notified</w:t>
      </w:r>
      <w:r w:rsidR="002903B1">
        <w:rPr>
          <w:rFonts w:ascii="Palatino Linotype" w:hAnsi="Palatino Linotype" w:eastAsia="Palatino Linotype" w:cs="Palatino Linotype"/>
          <w:sz w:val="24"/>
          <w:szCs w:val="24"/>
        </w:rPr>
        <w:t xml:space="preserve"> on February 7, 2023</w:t>
      </w:r>
      <w:r w:rsidR="00DD64AE">
        <w:rPr>
          <w:rFonts w:ascii="Palatino Linotype" w:hAnsi="Palatino Linotype" w:eastAsia="Palatino Linotype" w:cs="Palatino Linotype"/>
          <w:sz w:val="24"/>
          <w:szCs w:val="24"/>
        </w:rPr>
        <w:t>.</w:t>
      </w:r>
      <w:r w:rsidR="00F3060A">
        <w:rPr>
          <w:rStyle w:val="FootnoteReference"/>
          <w:rFonts w:ascii="Palatino Linotype" w:hAnsi="Palatino Linotype" w:eastAsia="Palatino Linotype" w:cs="Palatino Linotype"/>
          <w:sz w:val="24"/>
          <w:szCs w:val="24"/>
        </w:rPr>
        <w:footnoteReference w:id="38"/>
      </w:r>
      <w:r w:rsidR="002044C0">
        <w:rPr>
          <w:rFonts w:ascii="Palatino Linotype" w:hAnsi="Palatino Linotype" w:eastAsia="Palatino Linotype" w:cs="Palatino Linotype"/>
          <w:sz w:val="24"/>
          <w:szCs w:val="24"/>
        </w:rPr>
        <w:t xml:space="preserve"> </w:t>
      </w:r>
      <w:r w:rsidRPr="00930978" w:rsidR="00D873FD">
        <w:rPr>
          <w:rFonts w:ascii="Palatino Linotype" w:hAnsi="Palatino Linotype" w:eastAsia="Palatino Linotype" w:cs="Palatino Linotype"/>
          <w:sz w:val="24"/>
          <w:szCs w:val="24"/>
        </w:rPr>
        <w:t xml:space="preserve">The Large IOUs submitted </w:t>
      </w:r>
      <w:r w:rsidR="0013619F">
        <w:rPr>
          <w:rFonts w:ascii="Palatino Linotype" w:hAnsi="Palatino Linotype" w:eastAsia="Palatino Linotype" w:cs="Palatino Linotype"/>
          <w:sz w:val="24"/>
          <w:szCs w:val="24"/>
        </w:rPr>
        <w:t xml:space="preserve">a </w:t>
      </w:r>
      <w:r w:rsidR="00987C4D">
        <w:rPr>
          <w:rFonts w:ascii="Palatino Linotype" w:hAnsi="Palatino Linotype" w:eastAsia="Palatino Linotype" w:cs="Palatino Linotype"/>
          <w:sz w:val="24"/>
          <w:szCs w:val="24"/>
        </w:rPr>
        <w:t xml:space="preserve">joint </w:t>
      </w:r>
      <w:r w:rsidRPr="00930978" w:rsidR="00D873FD">
        <w:rPr>
          <w:rFonts w:ascii="Palatino Linotype" w:hAnsi="Palatino Linotype" w:eastAsia="Palatino Linotype" w:cs="Palatino Linotype"/>
          <w:sz w:val="24"/>
          <w:szCs w:val="24"/>
        </w:rPr>
        <w:t>timely re</w:t>
      </w:r>
      <w:r w:rsidR="00476D33">
        <w:rPr>
          <w:rFonts w:ascii="Palatino Linotype" w:hAnsi="Palatino Linotype" w:eastAsia="Palatino Linotype" w:cs="Palatino Linotype"/>
          <w:sz w:val="24"/>
          <w:szCs w:val="24"/>
        </w:rPr>
        <w:t>ply t</w:t>
      </w:r>
      <w:r w:rsidR="0013619F">
        <w:rPr>
          <w:rFonts w:ascii="Palatino Linotype" w:hAnsi="Palatino Linotype" w:eastAsia="Palatino Linotype" w:cs="Palatino Linotype"/>
          <w:sz w:val="24"/>
          <w:szCs w:val="24"/>
        </w:rPr>
        <w:t>o Cal Advocate’s late protest</w:t>
      </w:r>
      <w:r w:rsidRPr="00930978" w:rsidR="00D873FD">
        <w:rPr>
          <w:rFonts w:ascii="Palatino Linotype" w:hAnsi="Palatino Linotype" w:eastAsia="Palatino Linotype" w:cs="Palatino Linotype"/>
          <w:sz w:val="24"/>
          <w:szCs w:val="24"/>
        </w:rPr>
        <w:t xml:space="preserve"> on February </w:t>
      </w:r>
      <w:r w:rsidR="003D219C">
        <w:rPr>
          <w:rFonts w:ascii="Palatino Linotype" w:hAnsi="Palatino Linotype" w:eastAsia="Palatino Linotype" w:cs="Palatino Linotype"/>
          <w:sz w:val="24"/>
          <w:szCs w:val="24"/>
        </w:rPr>
        <w:t>14</w:t>
      </w:r>
      <w:r w:rsidRPr="00930978" w:rsidR="00D873FD">
        <w:rPr>
          <w:rFonts w:ascii="Palatino Linotype" w:hAnsi="Palatino Linotype" w:eastAsia="Palatino Linotype" w:cs="Palatino Linotype"/>
          <w:sz w:val="24"/>
          <w:szCs w:val="24"/>
        </w:rPr>
        <w:t>, 202</w:t>
      </w:r>
      <w:r w:rsidR="00D873FD">
        <w:rPr>
          <w:rFonts w:ascii="Palatino Linotype" w:hAnsi="Palatino Linotype" w:eastAsia="Palatino Linotype" w:cs="Palatino Linotype"/>
          <w:sz w:val="24"/>
          <w:szCs w:val="24"/>
        </w:rPr>
        <w:t>3</w:t>
      </w:r>
      <w:r w:rsidR="003D219C">
        <w:rPr>
          <w:rFonts w:ascii="Palatino Linotype" w:hAnsi="Palatino Linotype" w:eastAsia="Palatino Linotype" w:cs="Palatino Linotype"/>
          <w:sz w:val="24"/>
          <w:szCs w:val="24"/>
        </w:rPr>
        <w:t xml:space="preserve">.  </w:t>
      </w:r>
    </w:p>
    <w:p w:rsidR="00C0068D" w:rsidRDefault="0001153B" w14:paraId="182A99C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C</w:t>
      </w:r>
      <w:r>
        <w:rPr>
          <w:rFonts w:ascii="Palatino Linotype" w:hAnsi="Palatino Linotype" w:eastAsia="Palatino Linotype" w:cs="Palatino Linotype"/>
          <w:sz w:val="24"/>
          <w:szCs w:val="24"/>
        </w:rPr>
        <w:t>al Advocates</w:t>
      </w:r>
      <w:r w:rsidRPr="00930978">
        <w:rPr>
          <w:rFonts w:ascii="Palatino Linotype" w:hAnsi="Palatino Linotype" w:eastAsia="Palatino Linotype" w:cs="Palatino Linotype"/>
          <w:sz w:val="24"/>
          <w:szCs w:val="24"/>
        </w:rPr>
        <w:t xml:space="preserve"> </w:t>
      </w:r>
      <w:r w:rsidR="00B9098D">
        <w:rPr>
          <w:rFonts w:ascii="Palatino Linotype" w:hAnsi="Palatino Linotype" w:eastAsia="Palatino Linotype" w:cs="Palatino Linotype"/>
          <w:sz w:val="24"/>
          <w:szCs w:val="24"/>
        </w:rPr>
        <w:t xml:space="preserve">submitted a timely protest on May 22, 2023 to the Joint May LGP AL.  The Large IOUs </w:t>
      </w:r>
      <w:r w:rsidR="00C1248C">
        <w:rPr>
          <w:rFonts w:ascii="Palatino Linotype" w:hAnsi="Palatino Linotype" w:eastAsia="Palatino Linotype" w:cs="Palatino Linotype"/>
          <w:sz w:val="24"/>
          <w:szCs w:val="24"/>
        </w:rPr>
        <w:t xml:space="preserve">submitted a jointly timely response on May 30, 2023.  </w:t>
      </w:r>
      <w:r w:rsidRPr="00930978">
        <w:rPr>
          <w:rFonts w:ascii="Palatino Linotype" w:hAnsi="Palatino Linotype" w:eastAsia="Palatino Linotype" w:cs="Palatino Linotype"/>
          <w:sz w:val="24"/>
          <w:szCs w:val="24"/>
        </w:rPr>
        <w:t>IREC</w:t>
      </w:r>
      <w:r w:rsidR="00C1248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submitted</w:t>
      </w:r>
      <w:r w:rsidR="008311C6">
        <w:rPr>
          <w:rFonts w:ascii="Palatino Linotype" w:hAnsi="Palatino Linotype" w:eastAsia="Palatino Linotype" w:cs="Palatino Linotype"/>
          <w:sz w:val="24"/>
          <w:szCs w:val="24"/>
        </w:rPr>
        <w:t xml:space="preserve"> a late protest on </w:t>
      </w:r>
      <w:r w:rsidR="000C5CF4">
        <w:rPr>
          <w:rFonts w:ascii="Palatino Linotype" w:hAnsi="Palatino Linotype" w:eastAsia="Palatino Linotype" w:cs="Palatino Linotype"/>
          <w:sz w:val="24"/>
          <w:szCs w:val="24"/>
        </w:rPr>
        <w:t xml:space="preserve">June 5, 2023.  </w:t>
      </w:r>
      <w:r w:rsidR="00BA12E2">
        <w:rPr>
          <w:rFonts w:ascii="Palatino Linotype" w:hAnsi="Palatino Linotype" w:eastAsia="Palatino Linotype" w:cs="Palatino Linotype"/>
          <w:sz w:val="24"/>
          <w:szCs w:val="24"/>
        </w:rPr>
        <w:t>The late protest was accepted by Energy Division and the Large IOUs were properly notified</w:t>
      </w:r>
      <w:r w:rsidR="00BD3D1D">
        <w:rPr>
          <w:rFonts w:ascii="Palatino Linotype" w:hAnsi="Palatino Linotype" w:eastAsia="Palatino Linotype" w:cs="Palatino Linotype"/>
          <w:sz w:val="24"/>
          <w:szCs w:val="24"/>
        </w:rPr>
        <w:t xml:space="preserve"> on </w:t>
      </w:r>
      <w:r w:rsidR="00C85D3D">
        <w:rPr>
          <w:rFonts w:ascii="Palatino Linotype" w:hAnsi="Palatino Linotype" w:eastAsia="Palatino Linotype" w:cs="Palatino Linotype"/>
          <w:sz w:val="24"/>
          <w:szCs w:val="24"/>
        </w:rPr>
        <w:t>June 16, 2023</w:t>
      </w:r>
      <w:r w:rsidR="00BA12E2">
        <w:rPr>
          <w:rFonts w:ascii="Palatino Linotype" w:hAnsi="Palatino Linotype" w:eastAsia="Palatino Linotype" w:cs="Palatino Linotype"/>
          <w:sz w:val="24"/>
          <w:szCs w:val="24"/>
        </w:rPr>
        <w:t xml:space="preserve">. </w:t>
      </w:r>
      <w:r w:rsidRPr="00930978" w:rsidR="00BA12E2">
        <w:rPr>
          <w:rFonts w:ascii="Palatino Linotype" w:hAnsi="Palatino Linotype" w:eastAsia="Palatino Linotype" w:cs="Palatino Linotype"/>
          <w:sz w:val="24"/>
          <w:szCs w:val="24"/>
        </w:rPr>
        <w:t xml:space="preserve">The Large IOUs </w:t>
      </w:r>
      <w:r w:rsidR="005E371C">
        <w:rPr>
          <w:rFonts w:ascii="Palatino Linotype" w:hAnsi="Palatino Linotype" w:eastAsia="Palatino Linotype" w:cs="Palatino Linotype"/>
          <w:sz w:val="24"/>
          <w:szCs w:val="24"/>
        </w:rPr>
        <w:t xml:space="preserve">jointly </w:t>
      </w:r>
      <w:r w:rsidRPr="00930978" w:rsidR="00BA12E2">
        <w:rPr>
          <w:rFonts w:ascii="Palatino Linotype" w:hAnsi="Palatino Linotype" w:eastAsia="Palatino Linotype" w:cs="Palatino Linotype"/>
          <w:sz w:val="24"/>
          <w:szCs w:val="24"/>
        </w:rPr>
        <w:t xml:space="preserve">submitted </w:t>
      </w:r>
      <w:r w:rsidR="00BA12E2">
        <w:rPr>
          <w:rFonts w:ascii="Palatino Linotype" w:hAnsi="Palatino Linotype" w:eastAsia="Palatino Linotype" w:cs="Palatino Linotype"/>
          <w:sz w:val="24"/>
          <w:szCs w:val="24"/>
        </w:rPr>
        <w:t xml:space="preserve">a </w:t>
      </w:r>
      <w:r w:rsidRPr="00930978" w:rsidR="00BA12E2">
        <w:rPr>
          <w:rFonts w:ascii="Palatino Linotype" w:hAnsi="Palatino Linotype" w:eastAsia="Palatino Linotype" w:cs="Palatino Linotype"/>
          <w:sz w:val="24"/>
          <w:szCs w:val="24"/>
        </w:rPr>
        <w:t>timely re</w:t>
      </w:r>
      <w:r w:rsidR="00476D33">
        <w:rPr>
          <w:rFonts w:ascii="Palatino Linotype" w:hAnsi="Palatino Linotype" w:eastAsia="Palatino Linotype" w:cs="Palatino Linotype"/>
          <w:sz w:val="24"/>
          <w:szCs w:val="24"/>
        </w:rPr>
        <w:t>ply</w:t>
      </w:r>
      <w:r w:rsidR="00BA12E2">
        <w:rPr>
          <w:rFonts w:ascii="Palatino Linotype" w:hAnsi="Palatino Linotype" w:eastAsia="Palatino Linotype" w:cs="Palatino Linotype"/>
          <w:sz w:val="24"/>
          <w:szCs w:val="24"/>
        </w:rPr>
        <w:t xml:space="preserve"> to </w:t>
      </w:r>
      <w:r w:rsidR="00BD3D1D">
        <w:rPr>
          <w:rFonts w:ascii="Palatino Linotype" w:hAnsi="Palatino Linotype" w:eastAsia="Palatino Linotype" w:cs="Palatino Linotype"/>
          <w:sz w:val="24"/>
          <w:szCs w:val="24"/>
        </w:rPr>
        <w:t>IREC’s</w:t>
      </w:r>
      <w:r w:rsidR="00BA12E2">
        <w:rPr>
          <w:rFonts w:ascii="Palatino Linotype" w:hAnsi="Palatino Linotype" w:eastAsia="Palatino Linotype" w:cs="Palatino Linotype"/>
          <w:sz w:val="24"/>
          <w:szCs w:val="24"/>
        </w:rPr>
        <w:t xml:space="preserve"> late protest</w:t>
      </w:r>
      <w:r w:rsidRPr="00930978" w:rsidR="00BA12E2">
        <w:rPr>
          <w:rFonts w:ascii="Palatino Linotype" w:hAnsi="Palatino Linotype" w:eastAsia="Palatino Linotype" w:cs="Palatino Linotype"/>
          <w:sz w:val="24"/>
          <w:szCs w:val="24"/>
        </w:rPr>
        <w:t xml:space="preserve"> on </w:t>
      </w:r>
      <w:r w:rsidR="00BD3D1D">
        <w:rPr>
          <w:rFonts w:ascii="Palatino Linotype" w:hAnsi="Palatino Linotype" w:eastAsia="Palatino Linotype" w:cs="Palatino Linotype"/>
          <w:sz w:val="24"/>
          <w:szCs w:val="24"/>
        </w:rPr>
        <w:t>June 23</w:t>
      </w:r>
      <w:r w:rsidRPr="00930978" w:rsidR="00BA12E2">
        <w:rPr>
          <w:rFonts w:ascii="Palatino Linotype" w:hAnsi="Palatino Linotype" w:eastAsia="Palatino Linotype" w:cs="Palatino Linotype"/>
          <w:sz w:val="24"/>
          <w:szCs w:val="24"/>
        </w:rPr>
        <w:t>, 202</w:t>
      </w:r>
      <w:r w:rsidR="00BA12E2">
        <w:rPr>
          <w:rFonts w:ascii="Palatino Linotype" w:hAnsi="Palatino Linotype" w:eastAsia="Palatino Linotype" w:cs="Palatino Linotype"/>
          <w:sz w:val="24"/>
          <w:szCs w:val="24"/>
        </w:rPr>
        <w:t xml:space="preserve">3.  </w:t>
      </w:r>
    </w:p>
    <w:p w:rsidR="00CD6E64" w:rsidRDefault="00F74C56" w14:paraId="35599B04" w14:textId="77777777">
      <w:pPr>
        <w:pStyle w:val="Body"/>
        <w:rPr>
          <w:rFonts w:ascii="Palatino Linotype" w:hAnsi="Palatino Linotype" w:cstheme="minorHAnsi"/>
          <w:sz w:val="24"/>
          <w:szCs w:val="24"/>
        </w:rPr>
      </w:pPr>
      <w:r w:rsidRPr="005356F3">
        <w:rPr>
          <w:rFonts w:ascii="Palatino Linotype" w:hAnsi="Palatino Linotype" w:eastAsia="Palatino Linotype" w:cs="Palatino Linotype"/>
          <w:sz w:val="24"/>
          <w:szCs w:val="24"/>
        </w:rPr>
        <w:t xml:space="preserve">On </w:t>
      </w:r>
      <w:r w:rsidRPr="005356F3" w:rsidR="00236241">
        <w:rPr>
          <w:rFonts w:ascii="Palatino Linotype" w:hAnsi="Palatino Linotype" w:eastAsia="Palatino Linotype" w:cs="Palatino Linotype"/>
          <w:sz w:val="24"/>
          <w:szCs w:val="24"/>
        </w:rPr>
        <w:t>August 31, 2023,</w:t>
      </w:r>
      <w:r w:rsidRPr="005356F3">
        <w:rPr>
          <w:rFonts w:ascii="Palatino Linotype" w:hAnsi="Palatino Linotype" w:eastAsia="Palatino Linotype" w:cs="Palatino Linotype"/>
          <w:sz w:val="24"/>
          <w:szCs w:val="24"/>
        </w:rPr>
        <w:t xml:space="preserve"> the protest </w:t>
      </w:r>
      <w:r w:rsidRPr="005356F3" w:rsidR="00501E28">
        <w:rPr>
          <w:rFonts w:ascii="Palatino Linotype" w:hAnsi="Palatino Linotype" w:eastAsia="Palatino Linotype" w:cs="Palatino Linotype"/>
          <w:sz w:val="24"/>
          <w:szCs w:val="24"/>
        </w:rPr>
        <w:t xml:space="preserve">period for </w:t>
      </w:r>
      <w:r w:rsidRPr="005356F3" w:rsidR="003F29F5">
        <w:rPr>
          <w:rFonts w:ascii="Palatino Linotype" w:hAnsi="Palatino Linotype" w:cstheme="minorHAnsi"/>
          <w:sz w:val="24"/>
          <w:szCs w:val="24"/>
        </w:rPr>
        <w:t>the Supplement to the Joint May LGP AL</w:t>
      </w:r>
      <w:r w:rsidR="008A1CEF">
        <w:rPr>
          <w:rFonts w:ascii="Palatino Linotype" w:hAnsi="Palatino Linotype" w:cstheme="minorHAnsi"/>
          <w:sz w:val="24"/>
          <w:szCs w:val="24"/>
        </w:rPr>
        <w:t xml:space="preserve"> </w:t>
      </w:r>
      <w:r w:rsidRPr="005356F3" w:rsidR="0046433D">
        <w:rPr>
          <w:rFonts w:ascii="Palatino Linotype" w:hAnsi="Palatino Linotype" w:cstheme="minorHAnsi"/>
          <w:sz w:val="24"/>
          <w:szCs w:val="24"/>
        </w:rPr>
        <w:t>commenced</w:t>
      </w:r>
      <w:r w:rsidRPr="005356F3" w:rsidR="00501E28">
        <w:rPr>
          <w:rFonts w:ascii="Palatino Linotype" w:hAnsi="Palatino Linotype" w:cstheme="minorHAnsi"/>
          <w:sz w:val="24"/>
          <w:szCs w:val="24"/>
        </w:rPr>
        <w:t xml:space="preserve">.  </w:t>
      </w:r>
      <w:r w:rsidR="00E84158">
        <w:rPr>
          <w:rFonts w:ascii="Palatino Linotype" w:hAnsi="Palatino Linotype" w:cstheme="minorHAnsi"/>
          <w:sz w:val="24"/>
          <w:szCs w:val="24"/>
        </w:rPr>
        <w:t xml:space="preserve">On </w:t>
      </w:r>
      <w:r w:rsidR="00502624">
        <w:rPr>
          <w:rFonts w:ascii="Palatino Linotype" w:hAnsi="Palatino Linotype" w:cstheme="minorHAnsi"/>
          <w:sz w:val="24"/>
          <w:szCs w:val="24"/>
        </w:rPr>
        <w:t>September 18, 2023, Energy Division notified the R.17-07-007</w:t>
      </w:r>
      <w:r w:rsidR="008A1CEF">
        <w:rPr>
          <w:rFonts w:ascii="Palatino Linotype" w:hAnsi="Palatino Linotype" w:cstheme="minorHAnsi"/>
          <w:sz w:val="24"/>
          <w:szCs w:val="24"/>
        </w:rPr>
        <w:t xml:space="preserve"> service list</w:t>
      </w:r>
      <w:r w:rsidR="00502624">
        <w:rPr>
          <w:rFonts w:ascii="Palatino Linotype" w:hAnsi="Palatino Linotype" w:cstheme="minorHAnsi"/>
          <w:sz w:val="24"/>
          <w:szCs w:val="24"/>
        </w:rPr>
        <w:t xml:space="preserve"> that SCE’s portion of the </w:t>
      </w:r>
      <w:r w:rsidR="00C643D3">
        <w:rPr>
          <w:rFonts w:ascii="Palatino Linotype" w:hAnsi="Palatino Linotype" w:cstheme="minorHAnsi"/>
          <w:sz w:val="24"/>
          <w:szCs w:val="24"/>
        </w:rPr>
        <w:t xml:space="preserve">Supplement </w:t>
      </w:r>
      <w:r w:rsidR="00203B56">
        <w:rPr>
          <w:rFonts w:ascii="Palatino Linotype" w:hAnsi="Palatino Linotype" w:cstheme="minorHAnsi"/>
          <w:sz w:val="24"/>
          <w:szCs w:val="24"/>
        </w:rPr>
        <w:t>contained an error and that SCE would file a new supplement (SCE AL 50</w:t>
      </w:r>
      <w:r w:rsidR="008A1CEF">
        <w:rPr>
          <w:rFonts w:ascii="Palatino Linotype" w:hAnsi="Palatino Linotype" w:cstheme="minorHAnsi"/>
          <w:sz w:val="24"/>
          <w:szCs w:val="24"/>
        </w:rPr>
        <w:t>2</w:t>
      </w:r>
      <w:r w:rsidR="00203B56">
        <w:rPr>
          <w:rFonts w:ascii="Palatino Linotype" w:hAnsi="Palatino Linotype" w:cstheme="minorHAnsi"/>
          <w:sz w:val="24"/>
          <w:szCs w:val="24"/>
        </w:rPr>
        <w:t>5-E-B) to correct the error.</w:t>
      </w:r>
      <w:r w:rsidR="00A43214">
        <w:rPr>
          <w:rStyle w:val="FootnoteReference"/>
          <w:rFonts w:ascii="Palatino Linotype" w:hAnsi="Palatino Linotype" w:cstheme="minorHAnsi"/>
          <w:sz w:val="24"/>
          <w:szCs w:val="24"/>
        </w:rPr>
        <w:footnoteReference w:id="39"/>
      </w:r>
      <w:r w:rsidR="00203B56">
        <w:rPr>
          <w:rFonts w:ascii="Palatino Linotype" w:hAnsi="Palatino Linotype" w:cstheme="minorHAnsi"/>
          <w:sz w:val="24"/>
          <w:szCs w:val="24"/>
        </w:rPr>
        <w:t xml:space="preserve">  </w:t>
      </w:r>
      <w:r w:rsidRPr="009D25F5" w:rsidR="00175F6E">
        <w:rPr>
          <w:rFonts w:ascii="Palatino Linotype" w:hAnsi="Palatino Linotype" w:cstheme="minorHAnsi"/>
          <w:sz w:val="24"/>
          <w:szCs w:val="24"/>
        </w:rPr>
        <w:t xml:space="preserve">On October 16, 2023, Cal Advocates filed a timely response to </w:t>
      </w:r>
      <w:r w:rsidRPr="009D25F5" w:rsidR="009D25F5">
        <w:rPr>
          <w:rFonts w:ascii="Palatino Linotype" w:hAnsi="Palatino Linotype" w:cstheme="minorHAnsi"/>
          <w:sz w:val="24"/>
          <w:szCs w:val="24"/>
        </w:rPr>
        <w:t xml:space="preserve">PG&amp;E AL 6929-E-A and </w:t>
      </w:r>
      <w:r w:rsidRPr="009D25F5" w:rsidR="00887851">
        <w:rPr>
          <w:rFonts w:ascii="Palatino Linotype" w:hAnsi="Palatino Linotype" w:cstheme="minorHAnsi"/>
          <w:sz w:val="24"/>
          <w:szCs w:val="24"/>
        </w:rPr>
        <w:t>SCE AL 5025-E-B.</w:t>
      </w:r>
      <w:r w:rsidR="00B12009">
        <w:rPr>
          <w:rFonts w:ascii="Palatino Linotype" w:hAnsi="Palatino Linotype" w:cstheme="minorHAnsi"/>
          <w:sz w:val="24"/>
          <w:szCs w:val="24"/>
        </w:rPr>
        <w:t xml:space="preserve"> The Large IOUs did not submit a reply to Cal Advocate’s response.</w:t>
      </w:r>
    </w:p>
    <w:p w:rsidRPr="00751CAA" w:rsidR="00B020B1" w:rsidP="00751CAA" w:rsidRDefault="00B020B1" w14:paraId="499CC5BD" w14:textId="77777777">
      <w:pPr>
        <w:pStyle w:val="Heading"/>
        <w:keepLines/>
        <w:spacing w:before="480"/>
        <w:rPr>
          <w:rFonts w:ascii="Palatino Linotype" w:hAnsi="Palatino Linotype"/>
          <w:sz w:val="24"/>
          <w:szCs w:val="24"/>
          <w:lang w:val="de-DE"/>
        </w:rPr>
      </w:pPr>
      <w:r w:rsidRPr="00751CAA">
        <w:rPr>
          <w:rFonts w:ascii="Palatino Linotype" w:hAnsi="Palatino Linotype"/>
          <w:sz w:val="24"/>
          <w:szCs w:val="24"/>
          <w:lang w:val="de-DE"/>
        </w:rPr>
        <w:lastRenderedPageBreak/>
        <w:t>DISCUSSION</w:t>
      </w:r>
    </w:p>
    <w:p w:rsidR="003D39C3" w:rsidP="00751CAA" w:rsidRDefault="003D39C3" w14:paraId="1E5AC2F9" w14:textId="77777777">
      <w:pPr>
        <w:keepNext/>
        <w:keepLines/>
        <w:snapToGrid w:val="0"/>
        <w:spacing w:after="200" w:line="276" w:lineRule="auto"/>
        <w:rPr>
          <w:b/>
          <w:bCs/>
          <w:u w:val="single"/>
        </w:rPr>
      </w:pPr>
      <w:r w:rsidRPr="00D22027">
        <w:rPr>
          <w:b/>
          <w:bCs/>
          <w:u w:val="single"/>
        </w:rPr>
        <w:t>Summary</w:t>
      </w:r>
    </w:p>
    <w:p w:rsidR="00C80E25" w:rsidP="00751CAA" w:rsidRDefault="003D39C3" w14:paraId="1AF67FBC" w14:textId="77777777">
      <w:pPr>
        <w:keepNext/>
        <w:keepLines/>
        <w:snapToGrid w:val="0"/>
        <w:spacing w:after="200" w:line="276" w:lineRule="auto"/>
      </w:pPr>
      <w:r w:rsidRPr="00D22027">
        <w:t xml:space="preserve">This discussion </w:t>
      </w:r>
      <w:r w:rsidR="009F024A">
        <w:t xml:space="preserve">summarizes </w:t>
      </w:r>
      <w:r w:rsidRPr="00D22027">
        <w:t xml:space="preserve">proposals, positions, and responses </w:t>
      </w:r>
      <w:r w:rsidR="009F024A">
        <w:t xml:space="preserve">provided </w:t>
      </w:r>
      <w:r w:rsidRPr="00D22027">
        <w:t>by the Large IOUs and by the non-IOU parties</w:t>
      </w:r>
      <w:r w:rsidR="009F024A">
        <w:t xml:space="preserve"> in the Joint January LGP AL and Joint May LGP AL and associated documents</w:t>
      </w:r>
      <w:r w:rsidRPr="00D22027">
        <w:t xml:space="preserve">, along with our findings and dispositions. We dispose of </w:t>
      </w:r>
      <w:r w:rsidR="00751CAA">
        <w:br/>
      </w:r>
      <w:r w:rsidRPr="00D22027">
        <w:t>2</w:t>
      </w:r>
      <w:r w:rsidR="009F024A">
        <w:t>2</w:t>
      </w:r>
      <w:r w:rsidRPr="00D22027">
        <w:t xml:space="preserve"> distinct topics requiring resolution for the LGP option, </w:t>
      </w:r>
      <w:r w:rsidR="00C80E25">
        <w:t>as listed in Table 2.</w:t>
      </w:r>
    </w:p>
    <w:p w:rsidRPr="00CC5010" w:rsidR="00FA3828" w:rsidP="00CC5010" w:rsidRDefault="00FA3828" w14:paraId="7D8F0864" w14:textId="77777777">
      <w:pPr>
        <w:snapToGrid w:val="0"/>
        <w:rPr>
          <w:b/>
          <w:bCs/>
        </w:rPr>
      </w:pPr>
      <w:r w:rsidRPr="00CC5010">
        <w:rPr>
          <w:b/>
          <w:bCs/>
        </w:rPr>
        <w:t xml:space="preserve">Table 2: </w:t>
      </w:r>
      <w:r w:rsidR="00CC5010">
        <w:rPr>
          <w:b/>
          <w:bCs/>
        </w:rPr>
        <w:t xml:space="preserve"> </w:t>
      </w:r>
      <w:r w:rsidRPr="00CC5010">
        <w:rPr>
          <w:b/>
          <w:bCs/>
        </w:rPr>
        <w:t>Outline of Discussion</w:t>
      </w:r>
    </w:p>
    <w:tbl>
      <w:tblPr>
        <w:tblStyle w:val="TableGrid"/>
        <w:tblW w:w="9445" w:type="dxa"/>
        <w:tblLook w:val="04A0" w:firstRow="1" w:lastRow="0" w:firstColumn="1" w:lastColumn="0" w:noHBand="0" w:noVBand="1"/>
      </w:tblPr>
      <w:tblGrid>
        <w:gridCol w:w="6925"/>
        <w:gridCol w:w="2520"/>
      </w:tblGrid>
      <w:tr w:rsidRPr="004E3E01" w:rsidR="00FA3828" w:rsidTr="0039541D" w14:paraId="0CB358A0" w14:textId="77777777">
        <w:tc>
          <w:tcPr>
            <w:tcW w:w="6925" w:type="dxa"/>
          </w:tcPr>
          <w:p w:rsidRPr="008B21F0" w:rsidR="00FA3828" w:rsidP="0039541D" w:rsidRDefault="00FA3828" w14:paraId="7341CDE6" w14:textId="77777777">
            <w:pPr>
              <w:snapToGrid w:val="0"/>
              <w:rPr>
                <w:sz w:val="22"/>
                <w:szCs w:val="22"/>
              </w:rPr>
            </w:pPr>
            <w:r w:rsidRPr="008B21F0">
              <w:rPr>
                <w:sz w:val="22"/>
                <w:szCs w:val="22"/>
              </w:rPr>
              <w:t>Section</w:t>
            </w:r>
            <w:r>
              <w:rPr>
                <w:sz w:val="22"/>
                <w:szCs w:val="22"/>
              </w:rPr>
              <w:t xml:space="preserve"> of Discussion</w:t>
            </w:r>
          </w:p>
        </w:tc>
        <w:tc>
          <w:tcPr>
            <w:tcW w:w="2520" w:type="dxa"/>
          </w:tcPr>
          <w:p w:rsidRPr="008B21F0" w:rsidR="00FA3828" w:rsidP="0039541D" w:rsidRDefault="00FA3828" w14:paraId="3E84EE36" w14:textId="77777777">
            <w:pPr>
              <w:snapToGrid w:val="0"/>
              <w:rPr>
                <w:sz w:val="22"/>
                <w:szCs w:val="22"/>
              </w:rPr>
            </w:pPr>
            <w:r w:rsidRPr="008B21F0">
              <w:rPr>
                <w:sz w:val="22"/>
                <w:szCs w:val="22"/>
              </w:rPr>
              <w:t>Reference to Resolutions</w:t>
            </w:r>
          </w:p>
        </w:tc>
      </w:tr>
      <w:tr w:rsidRPr="004E3E01" w:rsidR="00FA3828" w:rsidTr="00FA3828" w14:paraId="2E25454F" w14:textId="77777777">
        <w:tc>
          <w:tcPr>
            <w:tcW w:w="6925" w:type="dxa"/>
          </w:tcPr>
          <w:p w:rsidRPr="008B21F0" w:rsidR="00FA3828" w:rsidP="00FA3828" w:rsidRDefault="00FA3828" w14:paraId="575B9EC8" w14:textId="77777777">
            <w:pPr>
              <w:pStyle w:val="ListParagraph"/>
              <w:numPr>
                <w:ilvl w:val="0"/>
                <w:numId w:val="26"/>
              </w:numPr>
              <w:snapToGrid w:val="0"/>
              <w:spacing w:before="240"/>
              <w:ind w:left="360"/>
              <w:contextualSpacing/>
              <w:rPr>
                <w:b/>
                <w:bCs/>
                <w:sz w:val="22"/>
                <w:szCs w:val="22"/>
              </w:rPr>
            </w:pPr>
            <w:r w:rsidRPr="008B21F0">
              <w:rPr>
                <w:b/>
                <w:bCs/>
                <w:sz w:val="22"/>
                <w:szCs w:val="22"/>
              </w:rPr>
              <w:t>Ordered Participation in Workshops and Smart Inverter Working Group Meetings</w:t>
            </w:r>
          </w:p>
        </w:tc>
        <w:tc>
          <w:tcPr>
            <w:tcW w:w="2520" w:type="dxa"/>
            <w:vAlign w:val="bottom"/>
          </w:tcPr>
          <w:p w:rsidR="00FA3828" w:rsidP="00FA3828" w:rsidRDefault="00FA3828" w14:paraId="70E74262" w14:textId="77777777">
            <w:pPr>
              <w:snapToGrid w:val="0"/>
              <w:rPr>
                <w:sz w:val="22"/>
                <w:szCs w:val="22"/>
              </w:rPr>
            </w:pPr>
            <w:r w:rsidRPr="004E3E01">
              <w:rPr>
                <w:sz w:val="22"/>
                <w:szCs w:val="22"/>
              </w:rPr>
              <w:t xml:space="preserve">E-5211 Issue </w:t>
            </w:r>
            <w:r>
              <w:rPr>
                <w:sz w:val="22"/>
                <w:szCs w:val="22"/>
              </w:rPr>
              <w:t xml:space="preserve">1; and </w:t>
            </w:r>
          </w:p>
          <w:p w:rsidRPr="004E3E01" w:rsidR="00FA3828" w:rsidP="00FA3828" w:rsidRDefault="00FA3828" w14:paraId="72EAA0BC" w14:textId="77777777">
            <w:pPr>
              <w:snapToGrid w:val="0"/>
              <w:rPr>
                <w:sz w:val="22"/>
                <w:szCs w:val="22"/>
              </w:rPr>
            </w:pPr>
            <w:r w:rsidRPr="004E3E01">
              <w:rPr>
                <w:sz w:val="22"/>
                <w:szCs w:val="22"/>
              </w:rPr>
              <w:t>E-5230 Topic A</w:t>
            </w:r>
          </w:p>
        </w:tc>
      </w:tr>
      <w:tr w:rsidRPr="004E3E01" w:rsidR="00FA3828" w:rsidTr="0039541D" w14:paraId="1FD41087" w14:textId="77777777">
        <w:tc>
          <w:tcPr>
            <w:tcW w:w="6925" w:type="dxa"/>
          </w:tcPr>
          <w:p w:rsidRPr="008B21F0" w:rsidR="00FA3828" w:rsidP="00FA3828" w:rsidRDefault="00FA3828" w14:paraId="66E0A8A9" w14:textId="77777777">
            <w:pPr>
              <w:pStyle w:val="ListParagraph"/>
              <w:numPr>
                <w:ilvl w:val="0"/>
                <w:numId w:val="26"/>
              </w:numPr>
              <w:snapToGrid w:val="0"/>
              <w:spacing w:before="240"/>
              <w:ind w:left="360"/>
              <w:contextualSpacing/>
              <w:rPr>
                <w:b/>
                <w:bCs/>
                <w:sz w:val="22"/>
                <w:szCs w:val="22"/>
              </w:rPr>
            </w:pPr>
            <w:r w:rsidRPr="008B21F0">
              <w:rPr>
                <w:b/>
                <w:bCs/>
                <w:sz w:val="22"/>
                <w:szCs w:val="22"/>
              </w:rPr>
              <w:t>Discussion Background on Resolution E-5211 Issues 2A and 2B</w:t>
            </w:r>
          </w:p>
        </w:tc>
        <w:tc>
          <w:tcPr>
            <w:tcW w:w="2520" w:type="dxa"/>
          </w:tcPr>
          <w:p w:rsidRPr="004E3E01" w:rsidR="00FA3828" w:rsidP="0039541D" w:rsidRDefault="00FA3828" w14:paraId="53B347BD" w14:textId="77777777">
            <w:pPr>
              <w:snapToGrid w:val="0"/>
              <w:rPr>
                <w:sz w:val="22"/>
                <w:szCs w:val="22"/>
              </w:rPr>
            </w:pPr>
          </w:p>
        </w:tc>
      </w:tr>
      <w:tr w:rsidRPr="004E3E01" w:rsidR="00FA3828" w:rsidTr="0039541D" w14:paraId="5ABDB4D3" w14:textId="77777777">
        <w:tc>
          <w:tcPr>
            <w:tcW w:w="6925" w:type="dxa"/>
          </w:tcPr>
          <w:p w:rsidRPr="004E3E01" w:rsidR="00FA3828" w:rsidP="0039541D" w:rsidRDefault="00FA3828" w14:paraId="258ACFFB" w14:textId="77777777">
            <w:pPr>
              <w:snapToGrid w:val="0"/>
              <w:ind w:left="360"/>
              <w:rPr>
                <w:sz w:val="22"/>
                <w:szCs w:val="22"/>
              </w:rPr>
            </w:pPr>
            <w:r w:rsidRPr="004E3E01">
              <w:rPr>
                <w:sz w:val="22"/>
                <w:szCs w:val="22"/>
              </w:rPr>
              <w:t>Disposition #1: Temporary Curtailment as Business-as-Usual Practice</w:t>
            </w:r>
          </w:p>
        </w:tc>
        <w:tc>
          <w:tcPr>
            <w:tcW w:w="2520" w:type="dxa"/>
          </w:tcPr>
          <w:p w:rsidRPr="004E3E01" w:rsidR="00FA3828" w:rsidP="0039541D" w:rsidRDefault="00FA3828" w14:paraId="595987DB" w14:textId="77777777">
            <w:pPr>
              <w:snapToGrid w:val="0"/>
              <w:rPr>
                <w:sz w:val="22"/>
                <w:szCs w:val="22"/>
              </w:rPr>
            </w:pPr>
            <w:r w:rsidRPr="004E3E01">
              <w:rPr>
                <w:sz w:val="22"/>
                <w:szCs w:val="22"/>
              </w:rPr>
              <w:t>E-5211 Issues 2A/2B</w:t>
            </w:r>
          </w:p>
        </w:tc>
      </w:tr>
      <w:tr w:rsidRPr="004E3E01" w:rsidR="00FA3828" w:rsidTr="0039541D" w14:paraId="2B30E756" w14:textId="77777777">
        <w:tc>
          <w:tcPr>
            <w:tcW w:w="6925" w:type="dxa"/>
          </w:tcPr>
          <w:p w:rsidRPr="004E3E01" w:rsidR="00FA3828" w:rsidP="0039541D" w:rsidRDefault="00FA3828" w14:paraId="3ACEDB71" w14:textId="77777777">
            <w:pPr>
              <w:snapToGrid w:val="0"/>
              <w:ind w:left="360"/>
              <w:rPr>
                <w:sz w:val="22"/>
                <w:szCs w:val="22"/>
              </w:rPr>
            </w:pPr>
            <w:r w:rsidRPr="004E3E01">
              <w:rPr>
                <w:sz w:val="22"/>
                <w:szCs w:val="22"/>
              </w:rPr>
              <w:t>Disposition #2: Curtailment Specific to the LGP Option</w:t>
            </w:r>
          </w:p>
        </w:tc>
        <w:tc>
          <w:tcPr>
            <w:tcW w:w="2520" w:type="dxa"/>
          </w:tcPr>
          <w:p w:rsidRPr="004E3E01" w:rsidR="00FA3828" w:rsidP="0039541D" w:rsidRDefault="00FA3828" w14:paraId="2CC56142" w14:textId="77777777">
            <w:pPr>
              <w:snapToGrid w:val="0"/>
              <w:rPr>
                <w:sz w:val="22"/>
                <w:szCs w:val="22"/>
              </w:rPr>
            </w:pPr>
            <w:r w:rsidRPr="004E3E01">
              <w:rPr>
                <w:sz w:val="22"/>
                <w:szCs w:val="22"/>
              </w:rPr>
              <w:t>E-5211 Issues 2A/2B</w:t>
            </w:r>
          </w:p>
        </w:tc>
      </w:tr>
      <w:tr w:rsidRPr="004E3E01" w:rsidR="00FA3828" w:rsidTr="0039541D" w14:paraId="1ED6F4F7" w14:textId="77777777">
        <w:tc>
          <w:tcPr>
            <w:tcW w:w="6925" w:type="dxa"/>
          </w:tcPr>
          <w:p w:rsidRPr="004E3E01" w:rsidR="00FA3828" w:rsidP="0039541D" w:rsidRDefault="00FA3828" w14:paraId="0E27973A" w14:textId="77777777">
            <w:pPr>
              <w:snapToGrid w:val="0"/>
              <w:ind w:left="360"/>
              <w:rPr>
                <w:sz w:val="22"/>
                <w:szCs w:val="22"/>
              </w:rPr>
            </w:pPr>
            <w:r w:rsidRPr="004E3E01">
              <w:rPr>
                <w:sz w:val="22"/>
                <w:szCs w:val="22"/>
              </w:rPr>
              <w:t>Disposition #3: Disparate Treatment of LGP and non-LGP Facilities</w:t>
            </w:r>
          </w:p>
        </w:tc>
        <w:tc>
          <w:tcPr>
            <w:tcW w:w="2520" w:type="dxa"/>
          </w:tcPr>
          <w:p w:rsidRPr="004E3E01" w:rsidR="00FA3828" w:rsidP="0039541D" w:rsidRDefault="00FA3828" w14:paraId="1FE13C67" w14:textId="77777777">
            <w:pPr>
              <w:snapToGrid w:val="0"/>
              <w:rPr>
                <w:sz w:val="22"/>
                <w:szCs w:val="22"/>
              </w:rPr>
            </w:pPr>
            <w:r w:rsidRPr="004E3E01">
              <w:rPr>
                <w:sz w:val="22"/>
                <w:szCs w:val="22"/>
              </w:rPr>
              <w:t>E-5211 Issues 2A/2B</w:t>
            </w:r>
          </w:p>
        </w:tc>
      </w:tr>
      <w:tr w:rsidRPr="004E3E01" w:rsidR="00FA3828" w:rsidTr="0039541D" w14:paraId="08E72E80" w14:textId="77777777">
        <w:tc>
          <w:tcPr>
            <w:tcW w:w="6925" w:type="dxa"/>
          </w:tcPr>
          <w:p w:rsidRPr="004E3E01" w:rsidR="00FA3828" w:rsidP="0039541D" w:rsidRDefault="00FA3828" w14:paraId="37806E64" w14:textId="77777777">
            <w:pPr>
              <w:snapToGrid w:val="0"/>
              <w:ind w:left="360"/>
              <w:rPr>
                <w:sz w:val="22"/>
                <w:szCs w:val="22"/>
              </w:rPr>
            </w:pPr>
            <w:r w:rsidRPr="004E3E01">
              <w:rPr>
                <w:sz w:val="22"/>
                <w:szCs w:val="22"/>
              </w:rPr>
              <w:t>Disposition #4: Cost Responsibility Associated with Curtailments</w:t>
            </w:r>
          </w:p>
        </w:tc>
        <w:tc>
          <w:tcPr>
            <w:tcW w:w="2520" w:type="dxa"/>
          </w:tcPr>
          <w:p w:rsidRPr="004E3E01" w:rsidR="00FA3828" w:rsidP="0039541D" w:rsidRDefault="00FA3828" w14:paraId="5517B0D1" w14:textId="77777777">
            <w:pPr>
              <w:snapToGrid w:val="0"/>
              <w:rPr>
                <w:sz w:val="22"/>
                <w:szCs w:val="22"/>
              </w:rPr>
            </w:pPr>
            <w:r w:rsidRPr="004E3E01">
              <w:rPr>
                <w:sz w:val="22"/>
                <w:szCs w:val="22"/>
              </w:rPr>
              <w:t>E-5211 Issues 2A/2B</w:t>
            </w:r>
          </w:p>
        </w:tc>
      </w:tr>
      <w:tr w:rsidRPr="004E3E01" w:rsidR="00FA3828" w:rsidTr="0039541D" w14:paraId="5B74391E" w14:textId="77777777">
        <w:tc>
          <w:tcPr>
            <w:tcW w:w="6925" w:type="dxa"/>
          </w:tcPr>
          <w:p w:rsidRPr="004E3E01" w:rsidR="00FA3828" w:rsidP="0039541D" w:rsidRDefault="00FA3828" w14:paraId="27EF9F8C" w14:textId="77777777">
            <w:pPr>
              <w:snapToGrid w:val="0"/>
              <w:ind w:left="360"/>
              <w:rPr>
                <w:sz w:val="22"/>
                <w:szCs w:val="22"/>
              </w:rPr>
            </w:pPr>
            <w:r w:rsidRPr="004E3E01">
              <w:rPr>
                <w:sz w:val="22"/>
                <w:szCs w:val="22"/>
              </w:rPr>
              <w:t>Disposition #5: Cost Causation Principles</w:t>
            </w:r>
            <w:r w:rsidR="00095208">
              <w:rPr>
                <w:sz w:val="22"/>
                <w:szCs w:val="22"/>
              </w:rPr>
              <w:t xml:space="preserve"> Are Not Changed</w:t>
            </w:r>
          </w:p>
        </w:tc>
        <w:tc>
          <w:tcPr>
            <w:tcW w:w="2520" w:type="dxa"/>
          </w:tcPr>
          <w:p w:rsidRPr="004E3E01" w:rsidR="00FA3828" w:rsidP="0039541D" w:rsidRDefault="00FA3828" w14:paraId="2EC8766E" w14:textId="77777777">
            <w:pPr>
              <w:snapToGrid w:val="0"/>
              <w:rPr>
                <w:sz w:val="22"/>
                <w:szCs w:val="22"/>
              </w:rPr>
            </w:pPr>
            <w:r w:rsidRPr="004E3E01">
              <w:rPr>
                <w:sz w:val="22"/>
                <w:szCs w:val="22"/>
              </w:rPr>
              <w:t>E-5211 Issues 2A/2B</w:t>
            </w:r>
          </w:p>
        </w:tc>
      </w:tr>
      <w:tr w:rsidRPr="004E3E01" w:rsidR="00FA3828" w:rsidTr="0039541D" w14:paraId="200BA501" w14:textId="77777777">
        <w:tc>
          <w:tcPr>
            <w:tcW w:w="6925" w:type="dxa"/>
          </w:tcPr>
          <w:p w:rsidRPr="004E3E01" w:rsidR="00FA3828" w:rsidP="0039541D" w:rsidRDefault="00FA3828" w14:paraId="14C027F7" w14:textId="77777777">
            <w:pPr>
              <w:snapToGrid w:val="0"/>
              <w:ind w:left="360"/>
              <w:rPr>
                <w:sz w:val="22"/>
                <w:szCs w:val="22"/>
              </w:rPr>
            </w:pPr>
            <w:r w:rsidRPr="004E3E01">
              <w:rPr>
                <w:sz w:val="22"/>
                <w:szCs w:val="22"/>
              </w:rPr>
              <w:t xml:space="preserve">Disposition #6: Magnitude of Curtailment </w:t>
            </w:r>
            <w:r>
              <w:rPr>
                <w:sz w:val="22"/>
                <w:szCs w:val="22"/>
              </w:rPr>
              <w:t xml:space="preserve">&amp; </w:t>
            </w:r>
            <w:r w:rsidRPr="004E3E01">
              <w:rPr>
                <w:sz w:val="22"/>
                <w:szCs w:val="22"/>
              </w:rPr>
              <w:t xml:space="preserve">Rule 21 </w:t>
            </w:r>
            <w:r w:rsidR="007F38E2">
              <w:rPr>
                <w:sz w:val="22"/>
                <w:szCs w:val="22"/>
              </w:rPr>
              <w:t xml:space="preserve">Tariff </w:t>
            </w:r>
            <w:r w:rsidRPr="004E3E01">
              <w:rPr>
                <w:sz w:val="22"/>
                <w:szCs w:val="22"/>
              </w:rPr>
              <w:t>Language Changes</w:t>
            </w:r>
          </w:p>
        </w:tc>
        <w:tc>
          <w:tcPr>
            <w:tcW w:w="2520" w:type="dxa"/>
          </w:tcPr>
          <w:p w:rsidRPr="004E3E01" w:rsidR="00FA3828" w:rsidP="0039541D" w:rsidRDefault="00FA3828" w14:paraId="2AC9F012" w14:textId="77777777">
            <w:pPr>
              <w:snapToGrid w:val="0"/>
              <w:rPr>
                <w:sz w:val="22"/>
                <w:szCs w:val="22"/>
              </w:rPr>
            </w:pPr>
            <w:r w:rsidRPr="004E3E01">
              <w:rPr>
                <w:sz w:val="22"/>
                <w:szCs w:val="22"/>
              </w:rPr>
              <w:t>E-5211 Issues 2A/2B</w:t>
            </w:r>
          </w:p>
        </w:tc>
      </w:tr>
      <w:tr w:rsidRPr="004E3E01" w:rsidR="00FA3828" w:rsidTr="0039541D" w14:paraId="6C84F24E" w14:textId="77777777">
        <w:tc>
          <w:tcPr>
            <w:tcW w:w="6925" w:type="dxa"/>
          </w:tcPr>
          <w:p w:rsidRPr="004E3E01" w:rsidR="00FA3828" w:rsidP="0039541D" w:rsidRDefault="00FA3828" w14:paraId="79C5CF42" w14:textId="77777777">
            <w:pPr>
              <w:snapToGrid w:val="0"/>
              <w:ind w:left="360"/>
              <w:rPr>
                <w:sz w:val="22"/>
                <w:szCs w:val="22"/>
              </w:rPr>
            </w:pPr>
            <w:r w:rsidRPr="004E3E01">
              <w:rPr>
                <w:sz w:val="22"/>
                <w:szCs w:val="22"/>
              </w:rPr>
              <w:t>Disposition #7: Procedure and Steps for LGP Curtailment</w:t>
            </w:r>
          </w:p>
        </w:tc>
        <w:tc>
          <w:tcPr>
            <w:tcW w:w="2520" w:type="dxa"/>
          </w:tcPr>
          <w:p w:rsidRPr="004E3E01" w:rsidR="00FA3828" w:rsidP="0039541D" w:rsidRDefault="00FA3828" w14:paraId="34AD0426" w14:textId="77777777">
            <w:pPr>
              <w:snapToGrid w:val="0"/>
              <w:rPr>
                <w:sz w:val="22"/>
                <w:szCs w:val="22"/>
              </w:rPr>
            </w:pPr>
            <w:r w:rsidRPr="004E3E01">
              <w:rPr>
                <w:sz w:val="22"/>
                <w:szCs w:val="22"/>
              </w:rPr>
              <w:t>E-5211 Issues 2A/2B</w:t>
            </w:r>
          </w:p>
        </w:tc>
      </w:tr>
      <w:tr w:rsidRPr="004E3E01" w:rsidR="00FA3828" w:rsidTr="0039541D" w14:paraId="026E5DBC" w14:textId="77777777">
        <w:tc>
          <w:tcPr>
            <w:tcW w:w="6925" w:type="dxa"/>
          </w:tcPr>
          <w:p w:rsidRPr="004E3E01" w:rsidR="00FA3828" w:rsidP="0039541D" w:rsidRDefault="00FA3828" w14:paraId="435085A2" w14:textId="77777777">
            <w:pPr>
              <w:snapToGrid w:val="0"/>
              <w:ind w:left="360"/>
              <w:rPr>
                <w:sz w:val="22"/>
                <w:szCs w:val="22"/>
              </w:rPr>
            </w:pPr>
            <w:r w:rsidRPr="004E3E01">
              <w:rPr>
                <w:sz w:val="22"/>
                <w:szCs w:val="22"/>
              </w:rPr>
              <w:t>Disposition #8: Data Monitoring and Reporting of LGP Facility Curtailments</w:t>
            </w:r>
          </w:p>
        </w:tc>
        <w:tc>
          <w:tcPr>
            <w:tcW w:w="2520" w:type="dxa"/>
          </w:tcPr>
          <w:p w:rsidRPr="004E3E01" w:rsidR="00FA3828" w:rsidP="0039541D" w:rsidRDefault="00FA3828" w14:paraId="032375E4" w14:textId="77777777">
            <w:pPr>
              <w:snapToGrid w:val="0"/>
              <w:rPr>
                <w:sz w:val="22"/>
                <w:szCs w:val="22"/>
              </w:rPr>
            </w:pPr>
            <w:r w:rsidRPr="004E3E01">
              <w:rPr>
                <w:sz w:val="22"/>
                <w:szCs w:val="22"/>
              </w:rPr>
              <w:t>E-5211 Issues 2A/2B</w:t>
            </w:r>
          </w:p>
        </w:tc>
      </w:tr>
      <w:tr w:rsidRPr="004E3E01" w:rsidR="00FA3828" w:rsidTr="0039541D" w14:paraId="1043BE29" w14:textId="77777777">
        <w:tc>
          <w:tcPr>
            <w:tcW w:w="6925" w:type="dxa"/>
          </w:tcPr>
          <w:p w:rsidRPr="008B21F0" w:rsidR="00FA3828" w:rsidP="00FA3828" w:rsidRDefault="00373C9F" w14:paraId="5F0EA7B9" w14:textId="77777777">
            <w:pPr>
              <w:pStyle w:val="ListParagraph"/>
              <w:numPr>
                <w:ilvl w:val="0"/>
                <w:numId w:val="26"/>
              </w:numPr>
              <w:spacing w:before="240"/>
              <w:ind w:left="360"/>
              <w:contextualSpacing/>
              <w:rPr>
                <w:b/>
                <w:bCs/>
                <w:sz w:val="22"/>
                <w:szCs w:val="22"/>
              </w:rPr>
            </w:pPr>
            <w:r>
              <w:rPr>
                <w:b/>
                <w:bCs/>
                <w:sz w:val="22"/>
                <w:szCs w:val="22"/>
              </w:rPr>
              <w:t xml:space="preserve">Discussion </w:t>
            </w:r>
            <w:r w:rsidRPr="008B21F0" w:rsidR="00FA3828">
              <w:rPr>
                <w:b/>
                <w:bCs/>
                <w:sz w:val="22"/>
                <w:szCs w:val="22"/>
              </w:rPr>
              <w:t>Background on Resolution E-5230 Topics B</w:t>
            </w:r>
            <w:r>
              <w:rPr>
                <w:b/>
                <w:bCs/>
                <w:sz w:val="22"/>
                <w:szCs w:val="22"/>
              </w:rPr>
              <w:t xml:space="preserve"> thru </w:t>
            </w:r>
            <w:r w:rsidRPr="008B21F0" w:rsidR="00FA3828">
              <w:rPr>
                <w:b/>
                <w:bCs/>
                <w:sz w:val="22"/>
                <w:szCs w:val="22"/>
              </w:rPr>
              <w:t>E</w:t>
            </w:r>
          </w:p>
        </w:tc>
        <w:tc>
          <w:tcPr>
            <w:tcW w:w="2520" w:type="dxa"/>
          </w:tcPr>
          <w:p w:rsidRPr="004E3E01" w:rsidR="00FA3828" w:rsidP="0039541D" w:rsidRDefault="00FA3828" w14:paraId="50455E69" w14:textId="77777777">
            <w:pPr>
              <w:rPr>
                <w:sz w:val="22"/>
                <w:szCs w:val="22"/>
              </w:rPr>
            </w:pPr>
          </w:p>
        </w:tc>
      </w:tr>
      <w:tr w:rsidRPr="004E3E01" w:rsidR="00FA3828" w:rsidTr="0039541D" w14:paraId="32B5DD67" w14:textId="77777777">
        <w:tc>
          <w:tcPr>
            <w:tcW w:w="6925" w:type="dxa"/>
          </w:tcPr>
          <w:p w:rsidRPr="004E3E01" w:rsidR="00FA3828" w:rsidP="0039541D" w:rsidRDefault="00FA3828" w14:paraId="11E2E079" w14:textId="77777777">
            <w:pPr>
              <w:ind w:left="360"/>
              <w:rPr>
                <w:sz w:val="22"/>
                <w:szCs w:val="22"/>
              </w:rPr>
            </w:pPr>
            <w:r w:rsidRPr="004E3E01">
              <w:rPr>
                <w:sz w:val="22"/>
                <w:szCs w:val="22"/>
              </w:rPr>
              <w:t>Disposition #</w:t>
            </w:r>
            <w:r>
              <w:rPr>
                <w:sz w:val="22"/>
                <w:szCs w:val="22"/>
              </w:rPr>
              <w:t>9</w:t>
            </w:r>
            <w:r w:rsidRPr="004E3E01">
              <w:rPr>
                <w:sz w:val="22"/>
                <w:szCs w:val="22"/>
              </w:rPr>
              <w:t>: Quarterly Reporting</w:t>
            </w:r>
          </w:p>
        </w:tc>
        <w:tc>
          <w:tcPr>
            <w:tcW w:w="2520" w:type="dxa"/>
          </w:tcPr>
          <w:p w:rsidRPr="004E3E01" w:rsidR="00FA3828" w:rsidP="0039541D" w:rsidRDefault="00FA3828" w14:paraId="47CA3090" w14:textId="77777777">
            <w:pPr>
              <w:rPr>
                <w:sz w:val="22"/>
                <w:szCs w:val="22"/>
              </w:rPr>
            </w:pPr>
            <w:r w:rsidRPr="004E3E01">
              <w:rPr>
                <w:sz w:val="22"/>
                <w:szCs w:val="22"/>
              </w:rPr>
              <w:t>E-5230 Topic B, Issue 1</w:t>
            </w:r>
          </w:p>
        </w:tc>
      </w:tr>
      <w:tr w:rsidRPr="004E3E01" w:rsidR="00FA3828" w:rsidTr="0039541D" w14:paraId="3672E856" w14:textId="77777777">
        <w:tc>
          <w:tcPr>
            <w:tcW w:w="6925" w:type="dxa"/>
          </w:tcPr>
          <w:p w:rsidRPr="004E3E01" w:rsidR="00FA3828" w:rsidP="0039541D" w:rsidRDefault="00FA3828" w14:paraId="05FB9123" w14:textId="77777777">
            <w:pPr>
              <w:ind w:left="360"/>
              <w:rPr>
                <w:sz w:val="22"/>
                <w:szCs w:val="22"/>
              </w:rPr>
            </w:pPr>
            <w:r w:rsidRPr="004E3E01">
              <w:rPr>
                <w:sz w:val="22"/>
                <w:szCs w:val="22"/>
              </w:rPr>
              <w:t>Disposition #1</w:t>
            </w:r>
            <w:r>
              <w:rPr>
                <w:sz w:val="22"/>
                <w:szCs w:val="22"/>
              </w:rPr>
              <w:t>0</w:t>
            </w:r>
            <w:r w:rsidRPr="004E3E01">
              <w:rPr>
                <w:sz w:val="22"/>
                <w:szCs w:val="22"/>
              </w:rPr>
              <w:t>: Use of Gross Nameplate Rating in Initial Review</w:t>
            </w:r>
          </w:p>
        </w:tc>
        <w:tc>
          <w:tcPr>
            <w:tcW w:w="2520" w:type="dxa"/>
          </w:tcPr>
          <w:p w:rsidRPr="004E3E01" w:rsidR="00FA3828" w:rsidP="0039541D" w:rsidRDefault="00FA3828" w14:paraId="1EFBA197" w14:textId="77777777">
            <w:pPr>
              <w:rPr>
                <w:sz w:val="22"/>
                <w:szCs w:val="22"/>
              </w:rPr>
            </w:pPr>
            <w:r w:rsidRPr="004E3E01">
              <w:rPr>
                <w:sz w:val="22"/>
                <w:szCs w:val="22"/>
              </w:rPr>
              <w:t>E-5230 Topic B, Issue 2</w:t>
            </w:r>
          </w:p>
        </w:tc>
      </w:tr>
      <w:tr w:rsidRPr="004E3E01" w:rsidR="00FA3828" w:rsidTr="0039541D" w14:paraId="1388E883" w14:textId="77777777">
        <w:tc>
          <w:tcPr>
            <w:tcW w:w="6925" w:type="dxa"/>
          </w:tcPr>
          <w:p w:rsidRPr="004E3E01" w:rsidR="00FA3828" w:rsidP="0039541D" w:rsidRDefault="00FA3828" w14:paraId="7147F3D8" w14:textId="77777777">
            <w:pPr>
              <w:ind w:left="360"/>
              <w:rPr>
                <w:sz w:val="22"/>
                <w:szCs w:val="22"/>
              </w:rPr>
            </w:pPr>
            <w:r w:rsidRPr="004E3E01">
              <w:rPr>
                <w:sz w:val="22"/>
                <w:szCs w:val="22"/>
              </w:rPr>
              <w:t>Disposition #11: Use of Gross Nameplate Rating in Supplemental Review</w:t>
            </w:r>
          </w:p>
        </w:tc>
        <w:tc>
          <w:tcPr>
            <w:tcW w:w="2520" w:type="dxa"/>
          </w:tcPr>
          <w:p w:rsidRPr="004E3E01" w:rsidR="00FA3828" w:rsidP="0039541D" w:rsidRDefault="00FA3828" w14:paraId="7062A60B" w14:textId="77777777">
            <w:pPr>
              <w:rPr>
                <w:sz w:val="22"/>
                <w:szCs w:val="22"/>
              </w:rPr>
            </w:pPr>
            <w:r w:rsidRPr="004E3E01">
              <w:rPr>
                <w:sz w:val="22"/>
                <w:szCs w:val="22"/>
              </w:rPr>
              <w:t>E-5230 Topic B, Issue 2</w:t>
            </w:r>
          </w:p>
        </w:tc>
      </w:tr>
      <w:tr w:rsidRPr="004E3E01" w:rsidR="00FA3828" w:rsidTr="0039541D" w14:paraId="4C7062DB" w14:textId="77777777">
        <w:tc>
          <w:tcPr>
            <w:tcW w:w="6925" w:type="dxa"/>
          </w:tcPr>
          <w:p w:rsidRPr="004E3E01" w:rsidR="00FA3828" w:rsidP="0039541D" w:rsidRDefault="00FA3828" w14:paraId="064CAE74" w14:textId="77777777">
            <w:pPr>
              <w:ind w:left="360"/>
              <w:rPr>
                <w:sz w:val="22"/>
                <w:szCs w:val="22"/>
              </w:rPr>
            </w:pPr>
            <w:r w:rsidRPr="004E3E01">
              <w:rPr>
                <w:sz w:val="22"/>
                <w:szCs w:val="22"/>
              </w:rPr>
              <w:t>Disposition #12: Tariff Language and New Mm5 Option 12</w:t>
            </w:r>
          </w:p>
        </w:tc>
        <w:tc>
          <w:tcPr>
            <w:tcW w:w="2520" w:type="dxa"/>
          </w:tcPr>
          <w:p w:rsidRPr="004E3E01" w:rsidR="00FA3828" w:rsidP="0039541D" w:rsidRDefault="00FA3828" w14:paraId="46CD48D8" w14:textId="77777777">
            <w:pPr>
              <w:rPr>
                <w:sz w:val="22"/>
                <w:szCs w:val="22"/>
              </w:rPr>
            </w:pPr>
            <w:r w:rsidRPr="004E3E01">
              <w:rPr>
                <w:sz w:val="22"/>
                <w:szCs w:val="22"/>
              </w:rPr>
              <w:t>E-5230 Topic B, Issue 2</w:t>
            </w:r>
          </w:p>
        </w:tc>
      </w:tr>
      <w:tr w:rsidRPr="004E3E01" w:rsidR="00FA3828" w:rsidTr="0039541D" w14:paraId="24DC7C0A" w14:textId="77777777">
        <w:tc>
          <w:tcPr>
            <w:tcW w:w="6925" w:type="dxa"/>
          </w:tcPr>
          <w:p w:rsidRPr="004E3E01" w:rsidR="00FA3828" w:rsidP="0039541D" w:rsidRDefault="00FA3828" w14:paraId="0E8D43FA" w14:textId="77777777">
            <w:pPr>
              <w:ind w:left="360"/>
              <w:rPr>
                <w:sz w:val="22"/>
                <w:szCs w:val="22"/>
              </w:rPr>
            </w:pPr>
            <w:r w:rsidRPr="004E3E01">
              <w:rPr>
                <w:sz w:val="22"/>
                <w:szCs w:val="22"/>
              </w:rPr>
              <w:t>Disposition #1</w:t>
            </w:r>
            <w:r>
              <w:rPr>
                <w:sz w:val="22"/>
                <w:szCs w:val="22"/>
              </w:rPr>
              <w:t>3</w:t>
            </w:r>
            <w:r w:rsidRPr="004E3E01">
              <w:rPr>
                <w:sz w:val="22"/>
                <w:szCs w:val="22"/>
              </w:rPr>
              <w:t>: Reductions to Limited Generating Profiles</w:t>
            </w:r>
          </w:p>
        </w:tc>
        <w:tc>
          <w:tcPr>
            <w:tcW w:w="2520" w:type="dxa"/>
          </w:tcPr>
          <w:p w:rsidRPr="004E3E01" w:rsidR="00FA3828" w:rsidP="0039541D" w:rsidRDefault="00FA3828" w14:paraId="5C758E2F" w14:textId="77777777">
            <w:pPr>
              <w:rPr>
                <w:sz w:val="22"/>
                <w:szCs w:val="22"/>
              </w:rPr>
            </w:pPr>
            <w:r w:rsidRPr="004E3E01">
              <w:rPr>
                <w:sz w:val="22"/>
                <w:szCs w:val="22"/>
              </w:rPr>
              <w:t>E-5230 Topic B, Issue 3</w:t>
            </w:r>
          </w:p>
        </w:tc>
      </w:tr>
      <w:tr w:rsidRPr="004E3E01" w:rsidR="00FA3828" w:rsidTr="0039541D" w14:paraId="46D92536" w14:textId="77777777">
        <w:tc>
          <w:tcPr>
            <w:tcW w:w="6925" w:type="dxa"/>
          </w:tcPr>
          <w:p w:rsidRPr="004E3E01" w:rsidR="00FA3828" w:rsidP="0039541D" w:rsidRDefault="00FA3828" w14:paraId="398F52BE" w14:textId="77777777">
            <w:pPr>
              <w:ind w:left="360"/>
              <w:rPr>
                <w:sz w:val="22"/>
                <w:szCs w:val="22"/>
              </w:rPr>
            </w:pPr>
            <w:r w:rsidRPr="004E3E01">
              <w:rPr>
                <w:sz w:val="22"/>
                <w:szCs w:val="22"/>
              </w:rPr>
              <w:t>Disposition #1</w:t>
            </w:r>
            <w:r>
              <w:rPr>
                <w:sz w:val="22"/>
                <w:szCs w:val="22"/>
              </w:rPr>
              <w:t>4</w:t>
            </w:r>
            <w:r w:rsidRPr="004E3E01">
              <w:rPr>
                <w:sz w:val="22"/>
                <w:szCs w:val="22"/>
              </w:rPr>
              <w:t>: Use of Non-Certified Devices for LGP by Mutual Agreement</w:t>
            </w:r>
          </w:p>
        </w:tc>
        <w:tc>
          <w:tcPr>
            <w:tcW w:w="2520" w:type="dxa"/>
          </w:tcPr>
          <w:p w:rsidRPr="004E3E01" w:rsidR="00FA3828" w:rsidP="0039541D" w:rsidRDefault="00FA3828" w14:paraId="4A6604F6" w14:textId="77777777">
            <w:pPr>
              <w:rPr>
                <w:sz w:val="22"/>
                <w:szCs w:val="22"/>
              </w:rPr>
            </w:pPr>
            <w:r w:rsidRPr="004E3E01">
              <w:rPr>
                <w:sz w:val="22"/>
                <w:szCs w:val="22"/>
              </w:rPr>
              <w:t>E-5230 Topic B, Issue 4</w:t>
            </w:r>
          </w:p>
        </w:tc>
      </w:tr>
      <w:tr w:rsidRPr="004E3E01" w:rsidR="00FA3828" w:rsidTr="0039541D" w14:paraId="73026B69" w14:textId="77777777">
        <w:tc>
          <w:tcPr>
            <w:tcW w:w="6925" w:type="dxa"/>
          </w:tcPr>
          <w:p w:rsidRPr="004E3E01" w:rsidR="00FA3828" w:rsidP="0039541D" w:rsidRDefault="00FA3828" w14:paraId="13756C46" w14:textId="77777777">
            <w:pPr>
              <w:ind w:left="360"/>
              <w:rPr>
                <w:sz w:val="22"/>
                <w:szCs w:val="22"/>
              </w:rPr>
            </w:pPr>
            <w:r w:rsidRPr="004E3E01">
              <w:rPr>
                <w:sz w:val="22"/>
                <w:szCs w:val="22"/>
              </w:rPr>
              <w:t>Disposition #1</w:t>
            </w:r>
            <w:r>
              <w:rPr>
                <w:sz w:val="22"/>
                <w:szCs w:val="22"/>
              </w:rPr>
              <w:t>5</w:t>
            </w:r>
            <w:r w:rsidRPr="004E3E01">
              <w:rPr>
                <w:sz w:val="22"/>
                <w:szCs w:val="22"/>
              </w:rPr>
              <w:t>: Alignment of the Timelines for OP 15 and OP 51</w:t>
            </w:r>
          </w:p>
        </w:tc>
        <w:tc>
          <w:tcPr>
            <w:tcW w:w="2520" w:type="dxa"/>
          </w:tcPr>
          <w:p w:rsidRPr="004E3E01" w:rsidR="00FA3828" w:rsidP="0039541D" w:rsidRDefault="00FA3828" w14:paraId="1AC7833D" w14:textId="77777777">
            <w:pPr>
              <w:rPr>
                <w:sz w:val="22"/>
                <w:szCs w:val="22"/>
              </w:rPr>
            </w:pPr>
            <w:r w:rsidRPr="004E3E01">
              <w:rPr>
                <w:sz w:val="22"/>
                <w:szCs w:val="22"/>
              </w:rPr>
              <w:t>E-5230 Topic B, Issue 5</w:t>
            </w:r>
          </w:p>
        </w:tc>
      </w:tr>
      <w:tr w:rsidRPr="004E3E01" w:rsidR="00FA3828" w:rsidTr="0039541D" w14:paraId="423323F0" w14:textId="77777777">
        <w:tc>
          <w:tcPr>
            <w:tcW w:w="6925" w:type="dxa"/>
          </w:tcPr>
          <w:p w:rsidRPr="004E3E01" w:rsidR="00FA3828" w:rsidP="0039541D" w:rsidRDefault="00FA3828" w14:paraId="3EDF9A73" w14:textId="77777777">
            <w:pPr>
              <w:ind w:left="360"/>
              <w:rPr>
                <w:sz w:val="22"/>
                <w:szCs w:val="22"/>
              </w:rPr>
            </w:pPr>
            <w:r w:rsidRPr="004E3E01">
              <w:rPr>
                <w:sz w:val="22"/>
                <w:szCs w:val="22"/>
              </w:rPr>
              <w:t>Disposition #1</w:t>
            </w:r>
            <w:r>
              <w:rPr>
                <w:sz w:val="22"/>
                <w:szCs w:val="22"/>
              </w:rPr>
              <w:t>6</w:t>
            </w:r>
            <w:r w:rsidRPr="004E3E01">
              <w:rPr>
                <w:sz w:val="22"/>
                <w:szCs w:val="22"/>
              </w:rPr>
              <w:t>: Publication of Technical Requirements</w:t>
            </w:r>
          </w:p>
        </w:tc>
        <w:tc>
          <w:tcPr>
            <w:tcW w:w="2520" w:type="dxa"/>
          </w:tcPr>
          <w:p w:rsidRPr="004E3E01" w:rsidR="00FA3828" w:rsidP="0039541D" w:rsidRDefault="00FA3828" w14:paraId="2334F8A2" w14:textId="77777777">
            <w:pPr>
              <w:rPr>
                <w:sz w:val="22"/>
                <w:szCs w:val="22"/>
              </w:rPr>
            </w:pPr>
            <w:r w:rsidRPr="004E3E01">
              <w:rPr>
                <w:sz w:val="22"/>
                <w:szCs w:val="22"/>
              </w:rPr>
              <w:t>E-5230 Topic B, Issue 5</w:t>
            </w:r>
          </w:p>
        </w:tc>
      </w:tr>
      <w:tr w:rsidRPr="004E3E01" w:rsidR="00FA3828" w:rsidTr="0039541D" w14:paraId="19C7D6E5" w14:textId="77777777">
        <w:tc>
          <w:tcPr>
            <w:tcW w:w="6925" w:type="dxa"/>
          </w:tcPr>
          <w:p w:rsidRPr="004E3E01" w:rsidR="00FA3828" w:rsidP="0039541D" w:rsidRDefault="00FA3828" w14:paraId="3EF673CC" w14:textId="77777777">
            <w:pPr>
              <w:ind w:left="360"/>
              <w:rPr>
                <w:sz w:val="22"/>
                <w:szCs w:val="22"/>
              </w:rPr>
            </w:pPr>
            <w:r w:rsidRPr="004E3E01">
              <w:rPr>
                <w:sz w:val="22"/>
                <w:szCs w:val="22"/>
              </w:rPr>
              <w:lastRenderedPageBreak/>
              <w:t>Disposition #1</w:t>
            </w:r>
            <w:r>
              <w:rPr>
                <w:sz w:val="22"/>
                <w:szCs w:val="22"/>
              </w:rPr>
              <w:t>7</w:t>
            </w:r>
            <w:r w:rsidRPr="004E3E01">
              <w:rPr>
                <w:sz w:val="22"/>
                <w:szCs w:val="22"/>
              </w:rPr>
              <w:t>: Clarification of the Interconnection Process for LGP Projects</w:t>
            </w:r>
          </w:p>
        </w:tc>
        <w:tc>
          <w:tcPr>
            <w:tcW w:w="2520" w:type="dxa"/>
          </w:tcPr>
          <w:p w:rsidRPr="004E3E01" w:rsidR="00FA3828" w:rsidP="0039541D" w:rsidRDefault="00FA3828" w14:paraId="0FC52923" w14:textId="77777777">
            <w:pPr>
              <w:rPr>
                <w:sz w:val="22"/>
                <w:szCs w:val="22"/>
              </w:rPr>
            </w:pPr>
            <w:r w:rsidRPr="004E3E01">
              <w:rPr>
                <w:sz w:val="22"/>
                <w:szCs w:val="22"/>
              </w:rPr>
              <w:t>E-5230 Topic C</w:t>
            </w:r>
          </w:p>
        </w:tc>
      </w:tr>
      <w:tr w:rsidRPr="004E3E01" w:rsidR="00FA3828" w:rsidTr="0039541D" w14:paraId="136476C0" w14:textId="77777777">
        <w:tc>
          <w:tcPr>
            <w:tcW w:w="6925" w:type="dxa"/>
          </w:tcPr>
          <w:p w:rsidRPr="004E3E01" w:rsidR="00FA3828" w:rsidP="0039541D" w:rsidRDefault="00FA3828" w14:paraId="228BC4FE" w14:textId="77777777">
            <w:pPr>
              <w:ind w:left="360"/>
              <w:rPr>
                <w:sz w:val="22"/>
                <w:szCs w:val="22"/>
              </w:rPr>
            </w:pPr>
            <w:r w:rsidRPr="004E3E01">
              <w:rPr>
                <w:sz w:val="22"/>
                <w:szCs w:val="22"/>
              </w:rPr>
              <w:t>Disposition #1</w:t>
            </w:r>
            <w:r>
              <w:rPr>
                <w:sz w:val="22"/>
                <w:szCs w:val="22"/>
              </w:rPr>
              <w:t>8</w:t>
            </w:r>
            <w:r w:rsidRPr="004E3E01">
              <w:rPr>
                <w:sz w:val="22"/>
                <w:szCs w:val="22"/>
              </w:rPr>
              <w:t>: IOUs’ Proposed Tariff and Process Proposal Language Alignment</w:t>
            </w:r>
          </w:p>
        </w:tc>
        <w:tc>
          <w:tcPr>
            <w:tcW w:w="2520" w:type="dxa"/>
          </w:tcPr>
          <w:p w:rsidRPr="004E3E01" w:rsidR="00FA3828" w:rsidP="0039541D" w:rsidRDefault="00FA3828" w14:paraId="671107C8" w14:textId="77777777">
            <w:pPr>
              <w:rPr>
                <w:sz w:val="22"/>
                <w:szCs w:val="22"/>
              </w:rPr>
            </w:pPr>
            <w:r w:rsidRPr="004E3E01">
              <w:rPr>
                <w:sz w:val="22"/>
                <w:szCs w:val="22"/>
              </w:rPr>
              <w:t>E-5230 Topic D</w:t>
            </w:r>
          </w:p>
        </w:tc>
      </w:tr>
      <w:tr w:rsidRPr="004E3E01" w:rsidR="00FA3828" w:rsidTr="0039541D" w14:paraId="7B50DB69" w14:textId="77777777">
        <w:tc>
          <w:tcPr>
            <w:tcW w:w="6925" w:type="dxa"/>
          </w:tcPr>
          <w:p w:rsidRPr="004E3E01" w:rsidR="00FA3828" w:rsidP="0039541D" w:rsidRDefault="00FA3828" w14:paraId="102C573B" w14:textId="77777777">
            <w:pPr>
              <w:ind w:left="360"/>
              <w:rPr>
                <w:sz w:val="22"/>
                <w:szCs w:val="22"/>
              </w:rPr>
            </w:pPr>
            <w:r w:rsidRPr="004E3E01">
              <w:rPr>
                <w:sz w:val="22"/>
                <w:szCs w:val="22"/>
              </w:rPr>
              <w:t>Disposition #</w:t>
            </w:r>
            <w:r>
              <w:rPr>
                <w:sz w:val="22"/>
                <w:szCs w:val="22"/>
              </w:rPr>
              <w:t>19</w:t>
            </w:r>
            <w:r w:rsidRPr="004E3E01">
              <w:rPr>
                <w:sz w:val="22"/>
                <w:szCs w:val="22"/>
              </w:rPr>
              <w:t>: Implementation of LGP Using Current Smart Inverter Functions</w:t>
            </w:r>
          </w:p>
        </w:tc>
        <w:tc>
          <w:tcPr>
            <w:tcW w:w="2520" w:type="dxa"/>
          </w:tcPr>
          <w:p w:rsidRPr="004E3E01" w:rsidR="00FA3828" w:rsidP="0039541D" w:rsidRDefault="00FA3828" w14:paraId="101B1DBF" w14:textId="77777777">
            <w:pPr>
              <w:rPr>
                <w:sz w:val="22"/>
                <w:szCs w:val="22"/>
              </w:rPr>
            </w:pPr>
            <w:r w:rsidRPr="004E3E01">
              <w:rPr>
                <w:sz w:val="22"/>
                <w:szCs w:val="22"/>
              </w:rPr>
              <w:t>E-5230 Topic E</w:t>
            </w:r>
          </w:p>
        </w:tc>
      </w:tr>
      <w:tr w:rsidRPr="004E3E01" w:rsidR="00FA3828" w:rsidTr="0039541D" w14:paraId="69E34DB3" w14:textId="77777777">
        <w:tc>
          <w:tcPr>
            <w:tcW w:w="6925" w:type="dxa"/>
          </w:tcPr>
          <w:p w:rsidRPr="008B21F0" w:rsidR="00FA3828" w:rsidP="00FA3828" w:rsidRDefault="00FA3828" w14:paraId="67FE3FBB" w14:textId="77777777">
            <w:pPr>
              <w:pStyle w:val="Body"/>
              <w:numPr>
                <w:ilvl w:val="0"/>
                <w:numId w:val="26"/>
              </w:numPr>
              <w:snapToGrid w:val="0"/>
              <w:spacing w:before="240" w:after="0" w:line="240" w:lineRule="auto"/>
              <w:ind w:left="360"/>
              <w:rPr>
                <w:rFonts w:ascii="Palatino Linotype" w:hAnsi="Palatino Linotype" w:cstheme="minorHAnsi"/>
                <w:b/>
                <w:bCs/>
              </w:rPr>
            </w:pPr>
            <w:r w:rsidRPr="008B21F0">
              <w:rPr>
                <w:rFonts w:ascii="Palatino Linotype" w:hAnsi="Palatino Linotype" w:eastAsia="Palatino Linotype" w:cstheme="minorHAnsi"/>
                <w:b/>
                <w:bCs/>
              </w:rPr>
              <w:t xml:space="preserve">Discussion Background on </w:t>
            </w:r>
            <w:r w:rsidR="009958E2">
              <w:rPr>
                <w:rFonts w:ascii="Palatino Linotype" w:hAnsi="Palatino Linotype" w:eastAsia="Palatino Linotype" w:cstheme="minorHAnsi"/>
                <w:b/>
                <w:bCs/>
              </w:rPr>
              <w:t xml:space="preserve">Resolution </w:t>
            </w:r>
            <w:r w:rsidRPr="008B21F0">
              <w:rPr>
                <w:rFonts w:ascii="Palatino Linotype" w:hAnsi="Palatino Linotype" w:eastAsia="Palatino Linotype" w:cstheme="minorHAnsi"/>
                <w:b/>
                <w:bCs/>
              </w:rPr>
              <w:t>E-5230 Topic F Scheduling and Implementing More Than 12 LGP Values</w:t>
            </w:r>
          </w:p>
        </w:tc>
        <w:tc>
          <w:tcPr>
            <w:tcW w:w="2520" w:type="dxa"/>
          </w:tcPr>
          <w:p w:rsidRPr="004E3E01" w:rsidR="00FA3828" w:rsidP="0039541D" w:rsidRDefault="00FA3828" w14:paraId="1FDFDB0D" w14:textId="77777777">
            <w:pPr>
              <w:pStyle w:val="Body"/>
              <w:snapToGrid w:val="0"/>
              <w:spacing w:after="0" w:line="240" w:lineRule="auto"/>
              <w:rPr>
                <w:rFonts w:ascii="Palatino Linotype" w:hAnsi="Palatino Linotype" w:eastAsia="Palatino Linotype" w:cstheme="minorHAnsi"/>
              </w:rPr>
            </w:pPr>
          </w:p>
        </w:tc>
      </w:tr>
      <w:tr w:rsidRPr="004E3E01" w:rsidR="00FA3828" w:rsidTr="0039541D" w14:paraId="5CB08FE6" w14:textId="77777777">
        <w:tc>
          <w:tcPr>
            <w:tcW w:w="6925" w:type="dxa"/>
          </w:tcPr>
          <w:p w:rsidRPr="00373C9F" w:rsidR="00FA3828" w:rsidP="00373C9F" w:rsidRDefault="00FA3828" w14:paraId="5028ACE9" w14:textId="77777777">
            <w:pPr>
              <w:pStyle w:val="Body"/>
              <w:snapToGrid w:val="0"/>
              <w:spacing w:after="0" w:line="240" w:lineRule="auto"/>
              <w:ind w:left="360"/>
              <w:rPr>
                <w:rFonts w:ascii="Palatino Linotype" w:hAnsi="Palatino Linotype" w:cstheme="minorHAnsi"/>
              </w:rPr>
            </w:pPr>
            <w:r w:rsidRPr="00373C9F">
              <w:rPr>
                <w:rFonts w:ascii="Palatino Linotype" w:hAnsi="Palatino Linotype" w:cstheme="minorHAnsi"/>
              </w:rPr>
              <w:t xml:space="preserve">Energy Division Data Request </w:t>
            </w:r>
          </w:p>
        </w:tc>
        <w:tc>
          <w:tcPr>
            <w:tcW w:w="2520" w:type="dxa"/>
          </w:tcPr>
          <w:p w:rsidRPr="004E3E01" w:rsidR="00FA3828" w:rsidP="0039541D" w:rsidRDefault="00373C9F" w14:paraId="437E3B2A" w14:textId="77777777">
            <w:pPr>
              <w:pStyle w:val="Body"/>
              <w:snapToGrid w:val="0"/>
              <w:spacing w:after="0" w:line="240" w:lineRule="auto"/>
              <w:rPr>
                <w:rFonts w:ascii="Palatino Linotype" w:hAnsi="Palatino Linotype" w:cstheme="minorHAnsi"/>
              </w:rPr>
            </w:pPr>
            <w:r w:rsidRPr="004E3E01">
              <w:rPr>
                <w:rFonts w:ascii="Palatino Linotype" w:hAnsi="Palatino Linotype" w:cstheme="minorHAnsi"/>
              </w:rPr>
              <w:t>E-5230 Topic F</w:t>
            </w:r>
          </w:p>
        </w:tc>
      </w:tr>
      <w:tr w:rsidRPr="004E3E01" w:rsidR="00FA3828" w:rsidTr="0039541D" w14:paraId="1D3D1CD0" w14:textId="77777777">
        <w:tc>
          <w:tcPr>
            <w:tcW w:w="6925" w:type="dxa"/>
          </w:tcPr>
          <w:p w:rsidRPr="004E3E01" w:rsidR="00FA3828" w:rsidP="0039541D" w:rsidRDefault="00FA3828" w14:paraId="7C8D5BFE" w14:textId="77777777">
            <w:pPr>
              <w:pStyle w:val="Body"/>
              <w:snapToGrid w:val="0"/>
              <w:spacing w:after="0" w:line="240" w:lineRule="auto"/>
              <w:ind w:left="360"/>
              <w:rPr>
                <w:rFonts w:ascii="Palatino Linotype" w:hAnsi="Palatino Linotype" w:cstheme="minorHAnsi"/>
              </w:rPr>
            </w:pPr>
            <w:r w:rsidRPr="004E3E01">
              <w:rPr>
                <w:rFonts w:ascii="Palatino Linotype" w:hAnsi="Palatino Linotype" w:cstheme="minorHAnsi"/>
              </w:rPr>
              <w:t>Disposition #2</w:t>
            </w:r>
            <w:r>
              <w:rPr>
                <w:rFonts w:ascii="Palatino Linotype" w:hAnsi="Palatino Linotype" w:cstheme="minorHAnsi"/>
              </w:rPr>
              <w:t>0</w:t>
            </w:r>
            <w:r w:rsidRPr="004E3E01">
              <w:rPr>
                <w:rFonts w:ascii="Palatino Linotype" w:hAnsi="Palatino Linotype" w:cstheme="minorHAnsi"/>
              </w:rPr>
              <w:t>:  Choice of LGP Configuration(s) to Adopt</w:t>
            </w:r>
          </w:p>
        </w:tc>
        <w:tc>
          <w:tcPr>
            <w:tcW w:w="2520" w:type="dxa"/>
          </w:tcPr>
          <w:p w:rsidRPr="004E3E01" w:rsidR="00FA3828" w:rsidP="0039541D" w:rsidRDefault="00FA3828" w14:paraId="560F1FA0" w14:textId="77777777">
            <w:pPr>
              <w:pStyle w:val="Body"/>
              <w:snapToGrid w:val="0"/>
              <w:spacing w:after="0" w:line="240" w:lineRule="auto"/>
              <w:rPr>
                <w:rFonts w:ascii="Palatino Linotype" w:hAnsi="Palatino Linotype" w:cstheme="minorHAnsi"/>
              </w:rPr>
            </w:pPr>
            <w:r w:rsidRPr="004E3E01">
              <w:rPr>
                <w:rFonts w:ascii="Palatino Linotype" w:hAnsi="Palatino Linotype" w:cstheme="minorHAnsi"/>
              </w:rPr>
              <w:t>E-5230 Topic F</w:t>
            </w:r>
          </w:p>
        </w:tc>
      </w:tr>
      <w:tr w:rsidRPr="004E3E01" w:rsidR="00FA3828" w:rsidTr="0039541D" w14:paraId="2525163E" w14:textId="77777777">
        <w:tc>
          <w:tcPr>
            <w:tcW w:w="6925" w:type="dxa"/>
          </w:tcPr>
          <w:p w:rsidRPr="004E3E01" w:rsidR="00FA3828" w:rsidP="0039541D" w:rsidRDefault="00FA3828" w14:paraId="4C870950" w14:textId="77777777">
            <w:pPr>
              <w:pStyle w:val="Body"/>
              <w:snapToGrid w:val="0"/>
              <w:spacing w:after="0" w:line="240" w:lineRule="auto"/>
              <w:ind w:left="360"/>
              <w:rPr>
                <w:rFonts w:ascii="Palatino Linotype" w:hAnsi="Palatino Linotype" w:cstheme="minorHAnsi"/>
              </w:rPr>
            </w:pPr>
            <w:r w:rsidRPr="004E3E01">
              <w:rPr>
                <w:rFonts w:ascii="Palatino Linotype" w:hAnsi="Palatino Linotype" w:cstheme="minorHAnsi"/>
              </w:rPr>
              <w:t>Disposition #2</w:t>
            </w:r>
            <w:r>
              <w:rPr>
                <w:rFonts w:ascii="Palatino Linotype" w:hAnsi="Palatino Linotype" w:cstheme="minorHAnsi"/>
              </w:rPr>
              <w:t>1</w:t>
            </w:r>
            <w:r w:rsidRPr="004E3E01">
              <w:rPr>
                <w:rFonts w:ascii="Palatino Linotype" w:hAnsi="Palatino Linotype" w:cstheme="minorHAnsi"/>
              </w:rPr>
              <w:t>:  Assessment of LGP Configurations After Three Years</w:t>
            </w:r>
          </w:p>
        </w:tc>
        <w:tc>
          <w:tcPr>
            <w:tcW w:w="2520" w:type="dxa"/>
          </w:tcPr>
          <w:p w:rsidRPr="004E3E01" w:rsidR="00FA3828" w:rsidP="0039541D" w:rsidRDefault="00FA3828" w14:paraId="737D3347" w14:textId="77777777">
            <w:pPr>
              <w:pStyle w:val="Body"/>
              <w:snapToGrid w:val="0"/>
              <w:spacing w:after="0" w:line="240" w:lineRule="auto"/>
              <w:rPr>
                <w:rFonts w:ascii="Palatino Linotype" w:hAnsi="Palatino Linotype" w:cstheme="minorHAnsi"/>
              </w:rPr>
            </w:pPr>
            <w:r w:rsidRPr="004E3E01">
              <w:rPr>
                <w:rFonts w:ascii="Palatino Linotype" w:hAnsi="Palatino Linotype" w:cstheme="minorHAnsi"/>
              </w:rPr>
              <w:t>E-5230 Topic F</w:t>
            </w:r>
          </w:p>
        </w:tc>
      </w:tr>
      <w:tr w:rsidRPr="004E3E01" w:rsidR="00FA3828" w:rsidTr="0039541D" w14:paraId="48A55632" w14:textId="77777777">
        <w:tc>
          <w:tcPr>
            <w:tcW w:w="6925" w:type="dxa"/>
          </w:tcPr>
          <w:p w:rsidRPr="004E3E01" w:rsidR="00FA3828" w:rsidP="0039541D" w:rsidRDefault="00FA3828" w14:paraId="1AD30E49" w14:textId="77777777">
            <w:pPr>
              <w:pStyle w:val="Body"/>
              <w:snapToGrid w:val="0"/>
              <w:spacing w:after="0" w:line="240" w:lineRule="auto"/>
              <w:ind w:left="360"/>
              <w:rPr>
                <w:rFonts w:ascii="Palatino Linotype" w:hAnsi="Palatino Linotype" w:cstheme="minorHAnsi"/>
              </w:rPr>
            </w:pPr>
            <w:r w:rsidRPr="004E3E01">
              <w:rPr>
                <w:rFonts w:ascii="Palatino Linotype" w:hAnsi="Palatino Linotype" w:cstheme="minorHAnsi"/>
              </w:rPr>
              <w:t>Disposition #2</w:t>
            </w:r>
            <w:r>
              <w:rPr>
                <w:rFonts w:ascii="Palatino Linotype" w:hAnsi="Palatino Linotype" w:cstheme="minorHAnsi"/>
              </w:rPr>
              <w:t>2</w:t>
            </w:r>
            <w:r w:rsidRPr="004E3E01">
              <w:rPr>
                <w:rFonts w:ascii="Palatino Linotype" w:hAnsi="Palatino Linotype" w:cstheme="minorHAnsi"/>
              </w:rPr>
              <w:t>:  Data Format of LGP values to be Submitted by Customers</w:t>
            </w:r>
          </w:p>
        </w:tc>
        <w:tc>
          <w:tcPr>
            <w:tcW w:w="2520" w:type="dxa"/>
          </w:tcPr>
          <w:p w:rsidRPr="004E3E01" w:rsidR="00FA3828" w:rsidP="0039541D" w:rsidRDefault="00FA3828" w14:paraId="2DD7BE1E" w14:textId="77777777">
            <w:pPr>
              <w:pStyle w:val="Body"/>
              <w:snapToGrid w:val="0"/>
              <w:spacing w:after="0" w:line="240" w:lineRule="auto"/>
              <w:rPr>
                <w:rFonts w:ascii="Palatino Linotype" w:hAnsi="Palatino Linotype" w:cstheme="minorHAnsi"/>
              </w:rPr>
            </w:pPr>
            <w:r w:rsidRPr="004E3E01">
              <w:rPr>
                <w:rFonts w:ascii="Palatino Linotype" w:hAnsi="Palatino Linotype" w:cstheme="minorHAnsi"/>
              </w:rPr>
              <w:t>E-5230 Topic F</w:t>
            </w:r>
          </w:p>
        </w:tc>
      </w:tr>
    </w:tbl>
    <w:p w:rsidRPr="004E3E01" w:rsidR="00FA3828" w:rsidP="00FA3828" w:rsidRDefault="00FA3828" w14:paraId="09E89914" w14:textId="77777777">
      <w:pPr>
        <w:snapToGrid w:val="0"/>
        <w:spacing w:after="240"/>
        <w:rPr>
          <w:sz w:val="22"/>
          <w:szCs w:val="22"/>
        </w:rPr>
      </w:pPr>
    </w:p>
    <w:p w:rsidR="003D39C3" w:rsidP="003D39C3" w:rsidRDefault="002B631F" w14:paraId="3B4550BC" w14:textId="77777777">
      <w:pPr>
        <w:snapToGrid w:val="0"/>
        <w:spacing w:after="200" w:line="276" w:lineRule="auto"/>
      </w:pPr>
      <w:r>
        <w:t xml:space="preserve">Dispositions #1 through #22 shown in Table 2 </w:t>
      </w:r>
      <w:r w:rsidR="00C80E25">
        <w:t>r</w:t>
      </w:r>
      <w:r w:rsidRPr="00D22027" w:rsidR="003D39C3">
        <w:t xml:space="preserve">esulted from the questions posed and discussions ordered by Resolutions E-5211 and E-5230. The ordered discussions took place over the course of seven workshops, additional Smart Inverter Working Group meetings, and de facto through the interplay of </w:t>
      </w:r>
      <w:r w:rsidR="00C80E25">
        <w:t>Large IOUs Advice Letters, the Alternative Proposal by non-IOUs parties, non-IOU protests and responses to the Advice Letters, and the Large IOUs replies, for</w:t>
      </w:r>
      <w:r w:rsidRPr="00D22027" w:rsidR="003D39C3">
        <w:t xml:space="preserve"> </w:t>
      </w:r>
      <w:r w:rsidR="00B57176">
        <w:t xml:space="preserve">the </w:t>
      </w:r>
      <w:r w:rsidRPr="00D22027" w:rsidR="003D39C3">
        <w:t>t</w:t>
      </w:r>
      <w:r w:rsidR="00C80E25">
        <w:t xml:space="preserve">wo </w:t>
      </w:r>
      <w:r w:rsidRPr="00D22027" w:rsidR="003D39C3">
        <w:t>sets of advice letters</w:t>
      </w:r>
      <w:r w:rsidR="00C80E25">
        <w:t xml:space="preserve"> including supplementals</w:t>
      </w:r>
      <w:r w:rsidRPr="00D22027" w:rsidR="003D39C3">
        <w:t xml:space="preserve">. </w:t>
      </w:r>
    </w:p>
    <w:p w:rsidR="00CC5010" w:rsidP="003D39C3" w:rsidRDefault="003D39C3" w14:paraId="6D37062C" w14:textId="77777777">
      <w:pPr>
        <w:snapToGrid w:val="0"/>
        <w:spacing w:after="200" w:line="276" w:lineRule="auto"/>
      </w:pPr>
      <w:r w:rsidRPr="00D22027">
        <w:t>Dispositions #1 through #</w:t>
      </w:r>
      <w:r w:rsidR="002B631F">
        <w:t>8</w:t>
      </w:r>
      <w:r w:rsidRPr="00D22027">
        <w:t xml:space="preserve"> address the questions and issues raised in Resolution E-5211 on “whether” and “how” to curtail an LGP project, including circumstances leading to curtailment, permanence of curtailment, disparate treatment of LGP and non-LGP generator facilities, </w:t>
      </w:r>
      <w:r w:rsidR="00CC5010">
        <w:t xml:space="preserve">and </w:t>
      </w:r>
      <w:r w:rsidRPr="00D22027">
        <w:t>cost responsibility associated with curtailment</w:t>
      </w:r>
      <w:r w:rsidR="00CC5010">
        <w:t xml:space="preserve">. </w:t>
      </w:r>
      <w:r w:rsidR="002B631F">
        <w:t>We find t</w:t>
      </w:r>
      <w:r w:rsidRPr="00D22027">
        <w:t xml:space="preserve">here is fundamental disagreement between the Large IOUs and non-IOU parties on virtually all aspects of Resolution E-5211 </w:t>
      </w:r>
      <w:r w:rsidR="002B631F">
        <w:t>Topics 2A/2B</w:t>
      </w:r>
      <w:r w:rsidR="005952A7">
        <w:t xml:space="preserve"> (as contained in the Joint January LGP Advice Letters and associated documents)</w:t>
      </w:r>
      <w:r w:rsidR="002B631F">
        <w:t xml:space="preserve">, </w:t>
      </w:r>
      <w:r w:rsidRPr="00D22027">
        <w:t xml:space="preserve">and we have to account for large differences of positions and arguments on both sides, along with current practice of Rule 21 generating facility curtailment and associated cost-causation principles. </w:t>
      </w:r>
    </w:p>
    <w:p w:rsidRPr="00D22027" w:rsidR="003D39C3" w:rsidP="003D39C3" w:rsidRDefault="00CC5010" w14:paraId="72F4C9EE" w14:textId="77777777">
      <w:pPr>
        <w:snapToGrid w:val="0"/>
        <w:spacing w:after="200" w:line="276" w:lineRule="auto"/>
      </w:pPr>
      <w:r w:rsidRPr="00D22027">
        <w:t>Dispositions #</w:t>
      </w:r>
      <w:r>
        <w:t>9</w:t>
      </w:r>
      <w:r w:rsidRPr="00D22027">
        <w:t xml:space="preserve"> through #2</w:t>
      </w:r>
      <w:r>
        <w:t>2</w:t>
      </w:r>
      <w:r w:rsidRPr="00D22027">
        <w:t xml:space="preserve"> address the questions and issues raised in Resolution </w:t>
      </w:r>
      <w:r w:rsidR="00751CAA">
        <w:br/>
      </w:r>
      <w:r w:rsidRPr="00D22027">
        <w:t>E-5230, on the ordered topics for implementing the LGP option</w:t>
      </w:r>
      <w:r>
        <w:t>.</w:t>
      </w:r>
      <w:r w:rsidRPr="00D22027">
        <w:t xml:space="preserve">  </w:t>
      </w:r>
      <w:r w:rsidRPr="00D22027" w:rsidR="003D39C3">
        <w:t xml:space="preserve">We find there is mostly agreement between the Large IOUs and non-IOU parties on the questions and issues of </w:t>
      </w:r>
      <w:r w:rsidRPr="00D22027" w:rsidR="003D39C3">
        <w:lastRenderedPageBreak/>
        <w:t>Resolution E-5230</w:t>
      </w:r>
      <w:r w:rsidR="005952A7">
        <w:t xml:space="preserve"> (as contained in the Joint May LGP Advice Letters and associated documents)</w:t>
      </w:r>
      <w:r w:rsidRPr="00D22027" w:rsidR="003D39C3">
        <w:t>, with the exception of scheduling and implementing more than 12 unique LGP values, use of Gross Nameplate Rating in Supplemental Review, and addition of the relay-plus-automation-controller option into Rule 21 Tariff language.</w:t>
      </w:r>
    </w:p>
    <w:p w:rsidR="003D39C3" w:rsidP="003D39C3" w:rsidRDefault="00A44960" w14:paraId="33F3AAB8" w14:textId="77777777">
      <w:pPr>
        <w:snapToGrid w:val="0"/>
        <w:spacing w:after="200" w:line="276" w:lineRule="auto"/>
      </w:pPr>
      <w:r>
        <w:rPr>
          <w:rFonts w:eastAsia="Palatino Linotype" w:cs="Palatino Linotype"/>
        </w:rPr>
        <w:t xml:space="preserve">The subject matter of this Resolution encompasses a large number of documents, as summarized in Table 1 </w:t>
      </w:r>
      <w:r w:rsidRPr="00D22027" w:rsidR="003D39C3">
        <w:t>in the Background section of this Resolution. We have placed some material in the Appendices and make reference back to the original material rather than reproducing large amounts of text from the</w:t>
      </w:r>
      <w:r>
        <w:t>se documents</w:t>
      </w:r>
      <w:r w:rsidRPr="00D22027" w:rsidR="003D39C3">
        <w:t xml:space="preserve">. In particular, for </w:t>
      </w:r>
      <w:r w:rsidR="002B631F">
        <w:t>the Joint January LGP Advice Letters and associated documents</w:t>
      </w:r>
      <w:r w:rsidR="005952A7">
        <w:t xml:space="preserve"> (concerning Resolution E-5211), </w:t>
      </w:r>
      <w:r w:rsidRPr="00D22027" w:rsidR="003D39C3">
        <w:t>we find that many of the same arguments appear in multiple places</w:t>
      </w:r>
      <w:r w:rsidR="00023841">
        <w:t xml:space="preserve"> in the documents</w:t>
      </w:r>
      <w:r w:rsidRPr="00D22027" w:rsidR="003D39C3">
        <w:t>. We have organized the dispositions in a manner that provides both clarity and brevity while capturing what we believe to be the important aspects of proposals, arguments and positions.</w:t>
      </w:r>
    </w:p>
    <w:p w:rsidRPr="0001162E" w:rsidR="003D39C3" w:rsidP="009447CD" w:rsidRDefault="003D39C3" w14:paraId="25E9270B" w14:textId="77777777">
      <w:pPr>
        <w:pStyle w:val="ListParagraph"/>
        <w:numPr>
          <w:ilvl w:val="0"/>
          <w:numId w:val="27"/>
        </w:numPr>
        <w:snapToGrid w:val="0"/>
        <w:spacing w:before="480" w:after="200" w:line="276" w:lineRule="auto"/>
        <w:rPr>
          <w:b/>
          <w:bCs/>
          <w:sz w:val="24"/>
          <w:szCs w:val="24"/>
        </w:rPr>
      </w:pPr>
      <w:r w:rsidRPr="0001162E">
        <w:rPr>
          <w:b/>
          <w:bCs/>
          <w:sz w:val="24"/>
          <w:szCs w:val="24"/>
        </w:rPr>
        <w:t>Ordered Participation in Workshops and Smart Inverter Working Group Meetings</w:t>
      </w:r>
    </w:p>
    <w:p w:rsidR="003D39C3" w:rsidP="003D39C3" w:rsidRDefault="003D39C3" w14:paraId="7C8B8E6F" w14:textId="77777777">
      <w:pPr>
        <w:snapToGrid w:val="0"/>
        <w:spacing w:after="200" w:line="276" w:lineRule="auto"/>
      </w:pPr>
      <w:r w:rsidRPr="00D22027">
        <w:t>Resolutions E-5211 and E-5230 ordered discussion of several distinct issues related to the LGP option that are disposed of in this Resolution.</w:t>
      </w:r>
      <w:r w:rsidRPr="00D22027">
        <w:rPr>
          <w:rStyle w:val="FootnoteReference"/>
        </w:rPr>
        <w:footnoteReference w:id="40"/>
      </w:r>
      <w:r w:rsidRPr="00D22027">
        <w:rPr>
          <w:rFonts w:cs="Times New Roman (Body CS)"/>
          <w:vertAlign w:val="superscript"/>
        </w:rPr>
        <w:t xml:space="preserve">, </w:t>
      </w:r>
      <w:r w:rsidRPr="00D22027">
        <w:rPr>
          <w:rStyle w:val="FootnoteReference"/>
        </w:rPr>
        <w:footnoteReference w:id="41"/>
      </w:r>
      <w:r w:rsidRPr="00D22027">
        <w:t xml:space="preserve"> Resolution E-5211 required the Large IOUs to participate in at least two workshops and to participate in Smart Inverter Working Group (SIWG) meetings to address identified discussion topics.</w:t>
      </w:r>
      <w:r w:rsidRPr="00D22027">
        <w:rPr>
          <w:rStyle w:val="FootnoteReference"/>
        </w:rPr>
        <w:footnoteReference w:id="42"/>
      </w:r>
      <w:r w:rsidRPr="00D22027">
        <w:t xml:space="preserve"> Resolution E-5230 similarly required the Large IOUs to participate in at least two additional workshops and to participate in SIWG meetings to address identified discussion topics.</w:t>
      </w:r>
      <w:r w:rsidRPr="00D22027">
        <w:rPr>
          <w:rStyle w:val="FootnoteReference"/>
        </w:rPr>
        <w:footnoteReference w:id="43"/>
      </w:r>
    </w:p>
    <w:p w:rsidR="003D39C3" w:rsidP="003D39C3" w:rsidRDefault="003D39C3" w14:paraId="10E4366F" w14:textId="77777777">
      <w:pPr>
        <w:snapToGrid w:val="0"/>
        <w:spacing w:after="200" w:line="276" w:lineRule="auto"/>
        <w:rPr>
          <w:b/>
          <w:bCs/>
        </w:rPr>
      </w:pPr>
      <w:r w:rsidRPr="00D22027">
        <w:lastRenderedPageBreak/>
        <w:t xml:space="preserve">Energy Division </w:t>
      </w:r>
      <w:r w:rsidR="00B57176">
        <w:t xml:space="preserve">staff </w:t>
      </w:r>
      <w:r w:rsidRPr="00D22027">
        <w:t xml:space="preserve">confirms that the Large IOUs participated in discussions with </w:t>
      </w:r>
      <w:r w:rsidR="00B57176">
        <w:t>staff</w:t>
      </w:r>
      <w:r w:rsidRPr="00D22027">
        <w:t xml:space="preserve"> to prepare for the workshops and SIWG meetings and to issue presentations ahead of scheduled meetings.  </w:t>
      </w:r>
      <w:r w:rsidR="00023841">
        <w:t xml:space="preserve">As evidenced in their Advice Letters, </w:t>
      </w:r>
      <w:r w:rsidRPr="00D22027">
        <w:t>The IOUs participate</w:t>
      </w:r>
      <w:r w:rsidR="00023841">
        <w:t>d</w:t>
      </w:r>
      <w:r w:rsidRPr="00D22027">
        <w:t xml:space="preserve"> in three workshops associated with Resolution E-5211 and four workshops associated with Resolution E-5230, as well as participation in SIWG meetings. </w:t>
      </w:r>
    </w:p>
    <w:p w:rsidRPr="009447CD" w:rsidR="003D39C3" w:rsidP="003D39C3" w:rsidRDefault="003D39C3" w14:paraId="1E08E86A" w14:textId="77777777">
      <w:pPr>
        <w:spacing w:after="200" w:line="276" w:lineRule="auto"/>
      </w:pPr>
      <w:r w:rsidRPr="009447CD">
        <w:t xml:space="preserve">We find that the Large IOUs have complied with </w:t>
      </w:r>
      <w:r w:rsidRPr="009447CD" w:rsidR="00396B1D">
        <w:t>the</w:t>
      </w:r>
      <w:r w:rsidRPr="009447CD">
        <w:t xml:space="preserve"> requirements </w:t>
      </w:r>
      <w:r w:rsidRPr="009447CD" w:rsidR="00396B1D">
        <w:t>of</w:t>
      </w:r>
      <w:r w:rsidRPr="009447CD">
        <w:t xml:space="preserve"> Resolutions </w:t>
      </w:r>
      <w:r w:rsidR="00653A72">
        <w:br/>
      </w:r>
      <w:r w:rsidRPr="009447CD">
        <w:t xml:space="preserve">E-5211 and E-5230 for participation in workshops and SIWG meetings to discuss the ordered LGP topics.  </w:t>
      </w:r>
    </w:p>
    <w:p w:rsidRPr="0001162E" w:rsidR="003D39C3" w:rsidP="009447CD" w:rsidRDefault="003D39C3" w14:paraId="56C8E4CD" w14:textId="77777777">
      <w:pPr>
        <w:pStyle w:val="ListParagraph"/>
        <w:numPr>
          <w:ilvl w:val="0"/>
          <w:numId w:val="27"/>
        </w:numPr>
        <w:snapToGrid w:val="0"/>
        <w:spacing w:before="480" w:after="200" w:line="276" w:lineRule="auto"/>
        <w:rPr>
          <w:b/>
          <w:bCs/>
          <w:sz w:val="24"/>
          <w:szCs w:val="24"/>
        </w:rPr>
      </w:pPr>
      <w:r w:rsidRPr="0001162E">
        <w:rPr>
          <w:b/>
          <w:bCs/>
          <w:sz w:val="24"/>
          <w:szCs w:val="24"/>
        </w:rPr>
        <w:t>Discussion Background on Resolution E-5211 Issues 2A and 2B</w:t>
      </w:r>
    </w:p>
    <w:p w:rsidR="003D39C3" w:rsidP="003D39C3" w:rsidRDefault="003D39C3" w14:paraId="73FE7272" w14:textId="77777777">
      <w:pPr>
        <w:snapToGrid w:val="0"/>
        <w:spacing w:after="200" w:line="276" w:lineRule="auto"/>
      </w:pPr>
      <w:r w:rsidRPr="00D22027">
        <w:t xml:space="preserve">Resolution E-5211 Issues 2A and 2B were framed as “whether” and “how” to curtail an LGP project as well as the permanence of such curtailment.  </w:t>
      </w:r>
      <w:r w:rsidR="00F24CAE">
        <w:t xml:space="preserve">Resolution </w:t>
      </w:r>
      <w:r w:rsidRPr="00D22027">
        <w:t>E-5211 clarifies that “whether” means the circumstances that lead to a reduction of export (e.g., a “yes or no” response to a specific scenario or question) and that “how” means the procedure to determine the level of reduction of export power (e.g., the process to determine an updated LGP and what changes are required to interconnection agreements or the grid).”</w:t>
      </w:r>
      <w:r w:rsidRPr="00D22027">
        <w:rPr>
          <w:vertAlign w:val="superscript"/>
        </w:rPr>
        <w:footnoteReference w:id="44"/>
      </w:r>
    </w:p>
    <w:p w:rsidR="003D39C3" w:rsidP="003D39C3" w:rsidRDefault="003D39C3" w14:paraId="037987CA" w14:textId="77777777">
      <w:pPr>
        <w:snapToGrid w:val="0"/>
        <w:spacing w:after="200" w:line="276" w:lineRule="auto"/>
      </w:pPr>
      <w:r w:rsidRPr="00D22027">
        <w:t xml:space="preserve">Issue 2A, “Specifics of Whether Reduction to a Customer’s Limited Generation Profile Are Determined,” ordered the discussion of three associated sub-issues:  (1) the extent to which the LGP- option allows for performance that avoids triggering upgrades within existing hosting capacity constraints; (2) if future grid conditions reduce the hosting capacity, the extent to which Large IOUs may need to reduce generation to ensure safety and reliability without grid upgrades; and (3) the permanence of that reduction of capacity in generation. Resolution E-5211 also states that the second </w:t>
      </w:r>
      <w:r w:rsidR="00653A72">
        <w:br/>
      </w:r>
      <w:r w:rsidRPr="00D22027">
        <w:t>sub-issue (2) raises fairness and cost causation issues.</w:t>
      </w:r>
      <w:r w:rsidRPr="00D22027">
        <w:rPr>
          <w:rStyle w:val="FootnoteReference"/>
        </w:rPr>
        <w:footnoteReference w:id="45"/>
      </w:r>
    </w:p>
    <w:p w:rsidR="003D39C3" w:rsidP="003D39C3" w:rsidRDefault="003D39C3" w14:paraId="685AF3F9" w14:textId="77777777">
      <w:pPr>
        <w:snapToGrid w:val="0"/>
        <w:spacing w:after="200" w:line="276" w:lineRule="auto"/>
      </w:pPr>
      <w:r w:rsidRPr="00D22027">
        <w:t xml:space="preserve">Issue 2B, “Specifics of How Reduction to a Customer’s Limited Generation Profile are Determined” ordered the discussion of five sub-issues:  (1) understanding of the Large IOUs’ current business-as-usual practices on curtailment of export power and how they apply to the LGP-option, including circumstances in which export power may be </w:t>
      </w:r>
      <w:r w:rsidRPr="00D22027">
        <w:lastRenderedPageBreak/>
        <w:t xml:space="preserve">reduced to below the lowest ICA-SG value identified at time of interconnection; </w:t>
      </w:r>
      <w:r w:rsidR="00653A72">
        <w:br/>
      </w:r>
      <w:r w:rsidRPr="00D22027">
        <w:t>(2) process for curtailment of export power for LGP customers and fairness to non-LGP customers who may have paid for grid upgrades; (3) defining Future Grid Conditions and the effect they may have on LGP customers; (4) defining and evaluating the availability of mitigation options, and how mitigation options differ from upgrade measures; and (5) criteria to establish a new LGP option and the process to implement it.</w:t>
      </w:r>
      <w:r w:rsidRPr="00D22027">
        <w:rPr>
          <w:rStyle w:val="FootnoteReference"/>
        </w:rPr>
        <w:footnoteReference w:id="46"/>
      </w:r>
    </w:p>
    <w:p w:rsidR="00E15214" w:rsidP="00E15214" w:rsidRDefault="003D39C3" w14:paraId="044E7C04" w14:textId="77777777">
      <w:pPr>
        <w:snapToGrid w:val="0"/>
        <w:spacing w:after="200" w:line="276" w:lineRule="auto"/>
      </w:pPr>
      <w:r w:rsidRPr="00D22027">
        <w:t>All of the Issue 2A and 2B sub-issues were discussed in the workshops and SIWG meetings and the results of those discussions are memorialized in the Joint January LGP Advice Letter</w:t>
      </w:r>
      <w:r w:rsidR="001D5EE6">
        <w:t>s and associated documents</w:t>
      </w:r>
      <w:r w:rsidRPr="00D22027">
        <w:t>.</w:t>
      </w:r>
      <w:r w:rsidRPr="00D22027">
        <w:rPr>
          <w:rStyle w:val="FootnoteReference"/>
        </w:rPr>
        <w:footnoteReference w:id="47"/>
      </w:r>
      <w:r w:rsidR="00E15214">
        <w:t xml:space="preserve"> </w:t>
      </w:r>
      <w:r w:rsidRPr="00D22027" w:rsidR="00E15214">
        <w:t xml:space="preserve">We dispose of Resolution E-5211 Issues 2A and 2B below with </w:t>
      </w:r>
      <w:r w:rsidR="00E15214">
        <w:t xml:space="preserve">eight </w:t>
      </w:r>
      <w:r w:rsidRPr="00D22027" w:rsidR="00E15214">
        <w:t>distinct dispositions</w:t>
      </w:r>
      <w:r w:rsidR="00E15214">
        <w:t>, Dispositions #1 through #8.</w:t>
      </w:r>
    </w:p>
    <w:p w:rsidR="003D39C3" w:rsidP="003D39C3" w:rsidRDefault="003D39C3" w14:paraId="51F84FC9" w14:textId="77777777">
      <w:pPr>
        <w:snapToGrid w:val="0"/>
        <w:spacing w:after="200" w:line="276" w:lineRule="auto"/>
      </w:pPr>
      <w:r w:rsidRPr="00D22027">
        <w:t>Resolution E-5211 ordered that the Large IOUs advice letters “specify which items have reached consensus within the workshop participants and which items have not reached consensus.  If an item has not reached consensus, the Large IOUs shall provide details as to the bases for lack of consensus and the alternative proposals, if any.”</w:t>
      </w:r>
      <w:r>
        <w:rPr>
          <w:rStyle w:val="FootnoteReference"/>
        </w:rPr>
        <w:footnoteReference w:id="48"/>
      </w:r>
      <w:r w:rsidRPr="00D22027">
        <w:t xml:space="preserve">  </w:t>
      </w:r>
      <w:r w:rsidR="00E15214">
        <w:t>The Large IOUs provide a list of the consensus items in the Joint January LGP AL.</w:t>
      </w:r>
      <w:r w:rsidR="00E15214">
        <w:rPr>
          <w:rStyle w:val="FootnoteReference"/>
        </w:rPr>
        <w:footnoteReference w:id="49"/>
      </w:r>
      <w:r w:rsidR="00E15214">
        <w:t xml:space="preserve"> </w:t>
      </w:r>
      <w:r w:rsidRPr="00D22027">
        <w:t>We find the IOUs have met this requirement in listing the areas of consensus or non-consensus of the topics in scope for the Joint January LGP Advice Letters</w:t>
      </w:r>
      <w:r w:rsidR="00E15214">
        <w:t>. W</w:t>
      </w:r>
      <w:r w:rsidRPr="00D22027">
        <w:t>e also find</w:t>
      </w:r>
      <w:r w:rsidR="00E15214">
        <w:t>, however,</w:t>
      </w:r>
      <w:r w:rsidRPr="00D22027">
        <w:t xml:space="preserve"> that the Large IOUs have not provided sufficiently explicit explanations as to the bases for lack of consensus and we therefore provide further explanations in the following sections.</w:t>
      </w:r>
    </w:p>
    <w:p w:rsidR="003D39C3" w:rsidP="00653A72" w:rsidRDefault="003D39C3" w14:paraId="3E19C3E9" w14:textId="77777777">
      <w:pPr>
        <w:keepNext/>
        <w:keepLines/>
        <w:snapToGrid w:val="0"/>
        <w:spacing w:before="360" w:after="200" w:line="276" w:lineRule="auto"/>
        <w:rPr>
          <w:b/>
          <w:bCs/>
          <w:u w:val="single"/>
        </w:rPr>
      </w:pPr>
      <w:r w:rsidRPr="00D22027">
        <w:rPr>
          <w:b/>
          <w:bCs/>
          <w:u w:val="single"/>
        </w:rPr>
        <w:lastRenderedPageBreak/>
        <w:t>Disposition #1:  Temporary Curtailment as Business-as-Usual Practice</w:t>
      </w:r>
    </w:p>
    <w:p w:rsidR="003D39C3" w:rsidP="00653A72" w:rsidRDefault="003D39C3" w14:paraId="7D7D9F14" w14:textId="77777777">
      <w:pPr>
        <w:keepNext/>
        <w:keepLines/>
        <w:snapToGrid w:val="0"/>
        <w:spacing w:after="200" w:line="276" w:lineRule="auto"/>
      </w:pPr>
      <w:r w:rsidRPr="00D22027">
        <w:t>Resolution E-5211 made the distinction “between reducing a customer’s export of power under the LGP option, and the Large IOUs’ current business-as-usual process to reduce a customer’s</w:t>
      </w:r>
      <w:r w:rsidRPr="00D22027" w:rsidDel="005D7D22">
        <w:t xml:space="preserve"> </w:t>
      </w:r>
      <w:r w:rsidRPr="00D22027">
        <w:t>export of power.”</w:t>
      </w:r>
      <w:r w:rsidRPr="00D22027">
        <w:rPr>
          <w:vertAlign w:val="superscript"/>
        </w:rPr>
        <w:footnoteReference w:id="50"/>
      </w:r>
      <w:r w:rsidRPr="00D22027">
        <w:t xml:space="preserve">  The Resolution found “that existing rules should address circumstances that fall within the business-as-usual process irrespective of whether these apply to non-LGP or to LGP customers.”</w:t>
      </w:r>
      <w:r w:rsidRPr="00D22027">
        <w:rPr>
          <w:vertAlign w:val="superscript"/>
        </w:rPr>
        <w:footnoteReference w:id="51"/>
      </w:r>
      <w:r w:rsidRPr="00D22027">
        <w:t xml:space="preserve">  Resolution E-52</w:t>
      </w:r>
      <w:r w:rsidR="009447CD">
        <w:t>11</w:t>
      </w:r>
      <w:r w:rsidRPr="00D22027">
        <w:t xml:space="preserve"> requires the Large IOUs to “identify any circumstances that are already applicable to generating facilities (i.e., business-as-usual, or existing practices).”</w:t>
      </w:r>
      <w:r w:rsidRPr="00D22027">
        <w:rPr>
          <w:vertAlign w:val="superscript"/>
        </w:rPr>
        <w:footnoteReference w:id="52"/>
      </w:r>
      <w:r w:rsidRPr="00D22027">
        <w:t xml:space="preserve"> </w:t>
      </w:r>
    </w:p>
    <w:p w:rsidR="003D39C3" w:rsidP="003D39C3" w:rsidRDefault="009447CD" w14:paraId="574CAF83" w14:textId="77777777">
      <w:pPr>
        <w:spacing w:after="200" w:line="276" w:lineRule="auto"/>
      </w:pPr>
      <w:r>
        <w:t>We find th</w:t>
      </w:r>
      <w:r w:rsidRPr="00D22027" w:rsidR="003D39C3">
        <w:t xml:space="preserve">ere </w:t>
      </w:r>
      <w:r>
        <w:t>is</w:t>
      </w:r>
      <w:r w:rsidRPr="00D22027" w:rsidR="003D39C3">
        <w:t xml:space="preserve"> consensus that Rule 21 Section D.9 already provides for temporary curtailment of any generator.  Those existing provisions will apply equally to LGP facilities as to non-LGP facilities and are not disputed.  Section D.9 describes the conditions under which the Large IOUs currently curtail or disconnect generation.  </w:t>
      </w:r>
      <w:r w:rsidR="00653A72">
        <w:br/>
      </w:r>
      <w:r w:rsidRPr="00D22027" w:rsidR="003D39C3">
        <w:t>It states:</w:t>
      </w:r>
    </w:p>
    <w:p w:rsidR="003D39C3" w:rsidP="003D39C3" w:rsidRDefault="003D39C3" w14:paraId="33F60823" w14:textId="77777777">
      <w:pPr>
        <w:snapToGrid w:val="0"/>
        <w:spacing w:after="200" w:line="276" w:lineRule="auto"/>
        <w:ind w:left="720"/>
      </w:pPr>
      <w:r w:rsidRPr="00D22027">
        <w:t>Distribution Provider may limit the operation or disconnect or require the disconnection of a Producer’s Generating Facility from Distribution Provider’s Distribution or Transmission System at any time, with or without notice, in the event of an Emergency, or to correct Unsafe Operating Conditions. Distribution Provider may also limit the operation or disconnect or require the disconnection of a Producer’s Generating Facility from Distribution Provider’s Distribution or Transmission System upon the provision of reasonable written notice: 1) to allow for routine maintenance, repairs or modifications to Distribution Provider’s  Distribution or Transmission System; 2) upon Distribution Provider’s  determination that a Producer’s Generating Facility is not in compliance with this Rule; or 3) upon termination of the Generator Interconnection Agreement. Upon Producer’s written request, Distribution Provider shall provide a written explanation of the reason for such curtailment or disconnection.</w:t>
      </w:r>
      <w:r w:rsidRPr="00D22027">
        <w:rPr>
          <w:vertAlign w:val="superscript"/>
        </w:rPr>
        <w:footnoteReference w:id="53"/>
      </w:r>
    </w:p>
    <w:p w:rsidR="003D39C3" w:rsidP="003D39C3" w:rsidRDefault="003D39C3" w14:paraId="00A2EE80" w14:textId="77777777">
      <w:pPr>
        <w:snapToGrid w:val="0"/>
        <w:spacing w:after="200" w:line="276" w:lineRule="auto"/>
      </w:pPr>
      <w:r w:rsidRPr="00D22027">
        <w:lastRenderedPageBreak/>
        <w:t>The Large IOUs clarif</w:t>
      </w:r>
      <w:r w:rsidR="009447CD">
        <w:t xml:space="preserve">y </w:t>
      </w:r>
      <w:r w:rsidRPr="00D22027">
        <w:t>that they must have the latitude to respond to abnormal conditions:</w:t>
      </w:r>
    </w:p>
    <w:p w:rsidR="00BE33E0" w:rsidP="003D39C3" w:rsidRDefault="003D39C3" w14:paraId="05A4586E" w14:textId="77777777">
      <w:pPr>
        <w:snapToGrid w:val="0"/>
        <w:spacing w:after="200" w:line="276" w:lineRule="auto"/>
        <w:ind w:left="720"/>
      </w:pPr>
      <w:r w:rsidRPr="00D22027">
        <w:t>The circumstances under which curtailment of exports or disconnection of generating facilities may be required are varied…</w:t>
      </w:r>
      <w:r w:rsidR="00151811">
        <w:t xml:space="preserve"> </w:t>
      </w:r>
      <w:r w:rsidRPr="00D22027">
        <w:t xml:space="preserve"> Such circumstances include emergency conditions with little or no advance knowledge … and planned outages where some amount of advance knowledge exists”</w:t>
      </w:r>
      <w:r w:rsidRPr="00D22027">
        <w:rPr>
          <w:vertAlign w:val="superscript"/>
        </w:rPr>
        <w:footnoteReference w:id="54"/>
      </w:r>
      <w:r w:rsidRPr="00D22027">
        <w:t xml:space="preserve"> </w:t>
      </w:r>
    </w:p>
    <w:p w:rsidR="003D39C3" w:rsidP="00BE33E0" w:rsidRDefault="00BE33E0" w14:paraId="0CE122B9" w14:textId="77777777">
      <w:pPr>
        <w:snapToGrid w:val="0"/>
        <w:spacing w:after="200" w:line="276" w:lineRule="auto"/>
      </w:pPr>
      <w:r>
        <w:t>A</w:t>
      </w:r>
      <w:r w:rsidRPr="00D22027" w:rsidR="003D39C3">
        <w:t xml:space="preserve">nd </w:t>
      </w:r>
      <w:r>
        <w:t xml:space="preserve">the Large IOUs </w:t>
      </w:r>
      <w:r w:rsidRPr="00D22027" w:rsidR="003D39C3">
        <w:t>maintain they must have the ability to respond to such conditions “in accordance with good utility practice, as they determine best suits the particular situation and without regard to whether the owner of the generating facility has elected the LGP option.”</w:t>
      </w:r>
      <w:r w:rsidRPr="00D22027" w:rsidR="003D39C3">
        <w:rPr>
          <w:vertAlign w:val="superscript"/>
        </w:rPr>
        <w:footnoteReference w:id="55"/>
      </w:r>
      <w:r w:rsidRPr="00D22027" w:rsidR="003D39C3">
        <w:t xml:space="preserve"> </w:t>
      </w:r>
      <w:r>
        <w:t>The Large IOUs state:</w:t>
      </w:r>
    </w:p>
    <w:p w:rsidR="003D39C3" w:rsidP="003D39C3" w:rsidRDefault="003D39C3" w14:paraId="33FDB901" w14:textId="77777777">
      <w:pPr>
        <w:snapToGrid w:val="0"/>
        <w:spacing w:after="200" w:line="276" w:lineRule="auto"/>
        <w:ind w:left="720"/>
      </w:pPr>
      <w:r w:rsidRPr="00D22027">
        <w:t>The Utilities must… have the ability—as necessary to ensure safe and reliable operation of the grid—to secure the reduction of exports from customers with generating facilities, to remotely disconnect the generator or customer where such capability exists, or to deenergize an entire circuit or portions of a circuit where the capability to remotely disconnect the generator or customer does not exist. This ability applies to all customers with connected generating facilities regardless of whether they have elected the LGP option.</w:t>
      </w:r>
      <w:r w:rsidRPr="00D22027">
        <w:rPr>
          <w:vertAlign w:val="superscript"/>
        </w:rPr>
        <w:footnoteReference w:id="56"/>
      </w:r>
      <w:r w:rsidRPr="00D22027">
        <w:t xml:space="preserve"> </w:t>
      </w:r>
    </w:p>
    <w:p w:rsidR="003D39C3" w:rsidP="003D39C3" w:rsidRDefault="003D39C3" w14:paraId="27AF32DD" w14:textId="77777777">
      <w:pPr>
        <w:snapToGrid w:val="0"/>
        <w:spacing w:after="200" w:line="276" w:lineRule="auto"/>
      </w:pPr>
      <w:r w:rsidRPr="00D22027">
        <w:t xml:space="preserve">IREC does not object to the authority provided under Section D.9 of Rule 21 being applied to LGP projects and does not disagree that circumstances (predictable and unpredictable) </w:t>
      </w:r>
      <w:r w:rsidR="00C9613A">
        <w:t>may</w:t>
      </w:r>
      <w:r w:rsidRPr="00D22027">
        <w:t xml:space="preserve"> arise that </w:t>
      </w:r>
      <w:r w:rsidR="00C9613A">
        <w:t>can</w:t>
      </w:r>
      <w:r w:rsidRPr="00D22027">
        <w:t xml:space="preserve"> cause safety and reliability issues, and recognizes “that Rule 21 section D.9 already provides that authority [to reduce output from generating facilities, remotely disconnect generators, or deenergize circuits].”</w:t>
      </w:r>
      <w:r w:rsidRPr="00D22027">
        <w:rPr>
          <w:vertAlign w:val="superscript"/>
        </w:rPr>
        <w:footnoteReference w:id="57"/>
      </w:r>
      <w:r w:rsidRPr="00D22027">
        <w:t xml:space="preserve"> IREC “urges the Commission to anchor any authorization for this sort of curtailment to the language in Rule 21. It is essential that when the authority provided by D.9 is exercised, it be done in a fair manner for all generators, regardless of whether they are using an LGP or not.”</w:t>
      </w:r>
      <w:r w:rsidRPr="00D22027">
        <w:rPr>
          <w:vertAlign w:val="superscript"/>
        </w:rPr>
        <w:footnoteReference w:id="58"/>
      </w:r>
      <w:r w:rsidRPr="00D22027" w:rsidDel="00E61B94">
        <w:t xml:space="preserve"> </w:t>
      </w:r>
    </w:p>
    <w:p w:rsidR="003D39C3" w:rsidP="003D39C3" w:rsidRDefault="003D39C3" w14:paraId="073F09A0" w14:textId="77777777">
      <w:pPr>
        <w:snapToGrid w:val="0"/>
        <w:spacing w:after="200" w:line="276" w:lineRule="auto"/>
      </w:pPr>
      <w:r w:rsidRPr="00D22027">
        <w:lastRenderedPageBreak/>
        <w:t>Cal Advocates also concurs</w:t>
      </w:r>
      <w:r w:rsidR="00C9613A">
        <w:t>:</w:t>
      </w:r>
      <w:r w:rsidRPr="00D22027">
        <w:t xml:space="preserve"> “the IOUs should exercise their power according to section D.9 of Rule 21 to solve temporary safety and reliability issues.”</w:t>
      </w:r>
      <w:r w:rsidRPr="00D22027">
        <w:rPr>
          <w:vertAlign w:val="superscript"/>
        </w:rPr>
        <w:footnoteReference w:id="59"/>
      </w:r>
      <w:r w:rsidRPr="00D22027">
        <w:t xml:space="preserve">  </w:t>
      </w:r>
    </w:p>
    <w:p w:rsidR="003D39C3" w:rsidP="003D39C3" w:rsidRDefault="0010458A" w14:paraId="18610197" w14:textId="77777777">
      <w:pPr>
        <w:spacing w:after="200" w:line="276" w:lineRule="auto"/>
        <w:rPr>
          <w:b/>
          <w:bCs/>
        </w:rPr>
      </w:pPr>
      <w:r>
        <w:rPr>
          <w:b/>
          <w:bCs/>
        </w:rPr>
        <w:t xml:space="preserve">We </w:t>
      </w:r>
      <w:r w:rsidRPr="00D22027" w:rsidR="003D39C3">
        <w:rPr>
          <w:b/>
          <w:bCs/>
        </w:rPr>
        <w:t>affirm Rule 21</w:t>
      </w:r>
      <w:r w:rsidR="00C9613A">
        <w:rPr>
          <w:b/>
          <w:bCs/>
        </w:rPr>
        <w:t>,</w:t>
      </w:r>
      <w:r w:rsidRPr="00D22027" w:rsidR="003D39C3">
        <w:rPr>
          <w:b/>
          <w:bCs/>
        </w:rPr>
        <w:t xml:space="preserve"> Section D.9 applies to both LGP and non-LGP customers.  </w:t>
      </w:r>
      <w:r w:rsidR="00EF0836">
        <w:rPr>
          <w:b/>
          <w:bCs/>
        </w:rPr>
        <w:t xml:space="preserve"> </w:t>
      </w:r>
    </w:p>
    <w:p w:rsidR="003D39C3" w:rsidP="003D39C3" w:rsidRDefault="003D39C3" w14:paraId="5C86B5C0" w14:textId="77777777">
      <w:pPr>
        <w:snapToGrid w:val="0"/>
        <w:spacing w:before="480" w:after="200" w:line="276" w:lineRule="auto"/>
        <w:rPr>
          <w:b/>
          <w:bCs/>
          <w:u w:val="single"/>
        </w:rPr>
      </w:pPr>
      <w:r w:rsidRPr="00D22027">
        <w:rPr>
          <w:b/>
          <w:bCs/>
          <w:u w:val="single"/>
        </w:rPr>
        <w:t>Disposition #2:  Curtailment Specific to the LGP Option</w:t>
      </w:r>
    </w:p>
    <w:p w:rsidR="003D39C3" w:rsidP="003D39C3" w:rsidRDefault="003D39C3" w14:paraId="36F773EC" w14:textId="77777777">
      <w:pPr>
        <w:snapToGrid w:val="0"/>
        <w:spacing w:after="200" w:line="276" w:lineRule="auto"/>
      </w:pPr>
      <w:r w:rsidRPr="00D22027">
        <w:t>Resolution E-5211 made the distinction “between reducing a customer’s export of power under the LGP option, and the Large IOUs’ current business-as-usual process to reduce a customer’s</w:t>
      </w:r>
      <w:r w:rsidRPr="00D22027" w:rsidDel="005D7D22">
        <w:t xml:space="preserve"> </w:t>
      </w:r>
      <w:r w:rsidRPr="00D22027">
        <w:t>export of power,” as noted in Disposition #1.</w:t>
      </w:r>
      <w:r w:rsidRPr="00D22027">
        <w:rPr>
          <w:vertAlign w:val="superscript"/>
        </w:rPr>
        <w:footnoteReference w:id="60"/>
      </w:r>
      <w:r w:rsidRPr="00D22027">
        <w:t xml:space="preserve">  Resolution </w:t>
      </w:r>
      <w:r w:rsidR="001B4BFB">
        <w:t xml:space="preserve">E-5211 </w:t>
      </w:r>
      <w:r w:rsidRPr="00D22027">
        <w:t>required the Large IOUs to “identify circumstances that would normally be applicable to existing practices but have specific considerations that are only applicable under the LGP-option (LGP-only practices).”</w:t>
      </w:r>
      <w:r w:rsidRPr="00D22027">
        <w:rPr>
          <w:vertAlign w:val="superscript"/>
        </w:rPr>
        <w:footnoteReference w:id="61"/>
      </w:r>
    </w:p>
    <w:p w:rsidR="003D39C3" w:rsidP="003D39C3" w:rsidRDefault="003D39C3" w14:paraId="4E26F129" w14:textId="77777777">
      <w:pPr>
        <w:snapToGrid w:val="0"/>
        <w:spacing w:after="200" w:line="276" w:lineRule="auto"/>
      </w:pPr>
      <w:r w:rsidRPr="00D22027">
        <w:t xml:space="preserve">There is </w:t>
      </w:r>
      <w:r w:rsidR="00C9613A">
        <w:t xml:space="preserve">a lack of </w:t>
      </w:r>
      <w:r w:rsidRPr="00D22027">
        <w:t>consensus between non-IOU parties and the Large IOUs as to whether further specific considerations for curtailment of LGP facilities would apply beyond those currently in Rule 21 Section D.9.  The five issues of non-consensus are: (1) whether the Large IOUs may permanently curtail exports of LGP facilities; (2) the rationale for disparate treatment of LGP and non-LGP facilities under Rule 21; (3) whether the Large IOUs (and by extension</w:t>
      </w:r>
      <w:r w:rsidR="00C9613A">
        <w:t>,</w:t>
      </w:r>
      <w:r w:rsidRPr="00D22027">
        <w:t xml:space="preserve"> ratepayers) should be responsible for mitigation or upgrade costs to restore curtailed LGP facilities back to the levels originally specified in the interconnection agreement; (4) the magnitude of curtailment allowed, based on future grid conditions for system safety and reliability; and (5) whether data on LGP facilities should be monitored and reported to allow a potential future re-assessment of these issues. We address the first issue here and return to the remaining issues in the sections following.</w:t>
      </w:r>
    </w:p>
    <w:p w:rsidR="003D39C3" w:rsidP="003D39C3" w:rsidRDefault="003D39C3" w14:paraId="46FE9639" w14:textId="77777777">
      <w:pPr>
        <w:spacing w:after="200" w:line="276" w:lineRule="auto"/>
      </w:pPr>
      <w:r w:rsidRPr="00D22027">
        <w:t xml:space="preserve">The Large IOUs argue that they should be allowed to </w:t>
      </w:r>
      <w:r w:rsidRPr="00D22027">
        <w:rPr>
          <w:i/>
          <w:iCs/>
        </w:rPr>
        <w:t>permanently</w:t>
      </w:r>
      <w:r w:rsidRPr="00D22027">
        <w:t xml:space="preserve"> reduce an LGP facility’s export power to the minimum ICA-SG value in effect at the time of the interconnection application in the event of a specific set of circumstances – namely, that long-term or permanent reductions in metered load on a given circuit occur. The Large IOUs stated that such </w:t>
      </w:r>
      <w:r w:rsidR="00EF6C14">
        <w:t xml:space="preserve">sustained </w:t>
      </w:r>
      <w:r w:rsidRPr="00D22027">
        <w:t xml:space="preserve">reductions </w:t>
      </w:r>
      <w:r w:rsidR="00EF6C14">
        <w:t>in load</w:t>
      </w:r>
      <w:r w:rsidRPr="00D22027">
        <w:t xml:space="preserve"> could arise from two specific </w:t>
      </w:r>
      <w:r w:rsidRPr="00D22027">
        <w:lastRenderedPageBreak/>
        <w:t>circumstances, either of which would reduce metered load on the circuit to which an LGP generating facility is connected: (1) unexpected business wind-downs, and/or (2) the unanticipated addition of energy efficiency or other load management technologies.</w:t>
      </w:r>
      <w:r w:rsidRPr="00D22027">
        <w:rPr>
          <w:vertAlign w:val="superscript"/>
        </w:rPr>
        <w:footnoteReference w:id="62"/>
      </w:r>
      <w:r w:rsidRPr="00D22027">
        <w:t xml:space="preserve">  Such </w:t>
      </w:r>
      <w:r w:rsidR="00EF6C14">
        <w:t>s</w:t>
      </w:r>
      <w:r w:rsidRPr="00D22027">
        <w:t xml:space="preserve">ustained </w:t>
      </w:r>
      <w:r w:rsidR="00EF6C14">
        <w:t>reductions in lo</w:t>
      </w:r>
      <w:r w:rsidRPr="00D22027">
        <w:t xml:space="preserve">ad could potentially permanently reduce the circuit’s hosting capacity.  </w:t>
      </w:r>
    </w:p>
    <w:p w:rsidR="003D39C3" w:rsidP="003D39C3" w:rsidRDefault="003D39C3" w14:paraId="2FD5EADD" w14:textId="77777777">
      <w:pPr>
        <w:spacing w:after="200" w:line="276" w:lineRule="auto"/>
      </w:pPr>
      <w:r w:rsidRPr="00D22027">
        <w:t xml:space="preserve">The Large IOUs argue that in such cases an LGP facility’s maximum export might need to be permanently curtailed to the minimum ICA-SG value at the time of interconnection application: </w:t>
      </w:r>
    </w:p>
    <w:p w:rsidR="003D39C3" w:rsidP="003D39C3" w:rsidRDefault="003D39C3" w14:paraId="3C9FF82D" w14:textId="77777777">
      <w:pPr>
        <w:snapToGrid w:val="0"/>
        <w:spacing w:after="200" w:line="276" w:lineRule="auto"/>
        <w:ind w:left="720"/>
      </w:pPr>
      <w:r w:rsidRPr="00D22027">
        <w:t>The Commission has given the Utilities the right to reduce exports from a customer with an LGP generator to the lowest value of the ICA-SG profile if required to maintain safety and reliability while avoiding circuit upgrades. Specifically, the Commission adopted “the element that the utility may need to reduce generation to ensure safe and reliable service without grid updates.”</w:t>
      </w:r>
      <w:r w:rsidRPr="00D22027">
        <w:rPr>
          <w:rStyle w:val="FootnoteReference"/>
        </w:rPr>
        <w:footnoteReference w:id="63"/>
      </w:r>
      <w:r w:rsidRPr="00D22027">
        <w:t xml:space="preserve"> The Resolution [E-5211] clarifies that this element only applies “during future grid conditions,” such as when load reduction on the circuit has caused the ICA- SG values at the location of the LGP generating facility to be lower than the LGP values approved in the Interconnection Agreement.</w:t>
      </w:r>
      <w:r w:rsidRPr="00D22027">
        <w:rPr>
          <w:rStyle w:val="FootnoteReference"/>
        </w:rPr>
        <w:footnoteReference w:id="64"/>
      </w:r>
      <w:r w:rsidRPr="00D22027">
        <w:t xml:space="preserve"> Providing the Utilities with this right is consistent with the objective of minimizing ratepayer costs.</w:t>
      </w:r>
      <w:r w:rsidRPr="00D22027">
        <w:rPr>
          <w:vertAlign w:val="superscript"/>
        </w:rPr>
        <w:footnoteReference w:id="65"/>
      </w:r>
    </w:p>
    <w:p w:rsidR="003D39C3" w:rsidP="003D39C3" w:rsidRDefault="003D39C3" w14:paraId="6000B2A8" w14:textId="77777777">
      <w:pPr>
        <w:snapToGrid w:val="0"/>
        <w:spacing w:after="200" w:line="276" w:lineRule="auto"/>
      </w:pPr>
      <w:r w:rsidRPr="00D22027">
        <w:t>The Large IOUs also state that situations explicitly not leading to curtailment would include system changes planned by the utility or changes in a utility’s input data or modeling assumptions.</w:t>
      </w:r>
      <w:r w:rsidRPr="00D22027">
        <w:rPr>
          <w:rStyle w:val="FootnoteReference"/>
        </w:rPr>
        <w:footnoteReference w:id="66"/>
      </w:r>
      <w:r w:rsidRPr="00D22027">
        <w:t xml:space="preserve"> However, the Large IOUs left open the possibility of other </w:t>
      </w:r>
      <w:r w:rsidRPr="00D22027">
        <w:lastRenderedPageBreak/>
        <w:t>situations leading to curtailment, saying “it is not possible to conceive of every potential circumstance that might lead to a curtailment decision.”</w:t>
      </w:r>
      <w:r w:rsidRPr="00D22027">
        <w:rPr>
          <w:vertAlign w:val="superscript"/>
        </w:rPr>
        <w:footnoteReference w:id="67"/>
      </w:r>
    </w:p>
    <w:p w:rsidR="003D39C3" w:rsidP="003D39C3" w:rsidRDefault="003D39C3" w14:paraId="15D2CED8" w14:textId="77777777">
      <w:pPr>
        <w:snapToGrid w:val="0"/>
        <w:spacing w:after="200" w:line="276" w:lineRule="auto"/>
      </w:pPr>
      <w:r w:rsidRPr="00D22027">
        <w:t>In their proposals for long-term or permanent curtailment, the Large IOUs argue that because LGP projects do create a higher risk of reaching or surpassing the hosting capacity of a given node, that it is reasonable to expect any required curtailment to apply differently to LGP versus non-LGP facilities.</w:t>
      </w:r>
      <w:r w:rsidRPr="00D22027">
        <w:rPr>
          <w:rStyle w:val="FootnoteReference"/>
        </w:rPr>
        <w:footnoteReference w:id="68"/>
      </w:r>
      <w:r w:rsidRPr="00D22027">
        <w:t xml:space="preserve"> This issue of “disparate treatment of LGP facilities” is addressed in the following section</w:t>
      </w:r>
      <w:r>
        <w:t xml:space="preserve"> (Disposition #3)</w:t>
      </w:r>
      <w:r w:rsidRPr="00D22027">
        <w:t>.</w:t>
      </w:r>
    </w:p>
    <w:p w:rsidR="003D39C3" w:rsidP="003D39C3" w:rsidRDefault="003D39C3" w14:paraId="5355F8F4" w14:textId="77777777">
      <w:pPr>
        <w:snapToGrid w:val="0"/>
        <w:spacing w:after="200" w:line="276" w:lineRule="auto"/>
      </w:pPr>
      <w:r w:rsidRPr="00D22027">
        <w:t>IREC argues that the Joint January LGP ALs fail “to define with adequate specificity both the conditions which would trigger curtailment of an LGP project, and importantly, how that curtailment will be determined.”</w:t>
      </w:r>
      <w:r w:rsidRPr="00D22027">
        <w:rPr>
          <w:vertAlign w:val="superscript"/>
        </w:rPr>
        <w:footnoteReference w:id="69"/>
      </w:r>
      <w:r>
        <w:t xml:space="preserve"> </w:t>
      </w:r>
      <w:r w:rsidRPr="00D22027">
        <w:t xml:space="preserve"> IREC argues the Large IOUs have not explained whether curtailment is appropriate, when considering other conditions on the grid may have changed since interconnection of the LGP project.  Specifically, IREC states “The IOUs have not explained how they will determine whether to curtail an LGP customer following a reduction in load when multiple other conditions on the feeder may have also changed.”</w:t>
      </w:r>
      <w:r w:rsidRPr="00D22027">
        <w:rPr>
          <w:vertAlign w:val="superscript"/>
        </w:rPr>
        <w:footnoteReference w:id="70"/>
      </w:r>
      <w:r w:rsidRPr="00D22027">
        <w:t xml:space="preserve">  </w:t>
      </w:r>
    </w:p>
    <w:p w:rsidR="003D39C3" w:rsidP="003D39C3" w:rsidRDefault="003D39C3" w14:paraId="243C833B" w14:textId="77777777">
      <w:pPr>
        <w:spacing w:after="200" w:line="276" w:lineRule="auto"/>
      </w:pPr>
      <w:r w:rsidRPr="00D22027">
        <w:t>The Large IOUs stated that circumstances which could lead to curtailment “</w:t>
      </w:r>
      <w:r w:rsidRPr="00D22027">
        <w:rPr>
          <w:b/>
          <w:bCs/>
        </w:rPr>
        <w:t>include</w:t>
      </w:r>
      <w:r w:rsidRPr="00D22027">
        <w:t xml:space="preserve"> [emphasis ours] unexpected business wind-downs and/or the unanticipated addition of energy efficiency or other load management technologies that reduce metered load (and therefore hosting capacity) on the circuit to which an LGP generating facility is connected.”</w:t>
      </w:r>
      <w:r w:rsidRPr="00D22027">
        <w:rPr>
          <w:vertAlign w:val="superscript"/>
        </w:rPr>
        <w:footnoteReference w:id="71"/>
      </w:r>
    </w:p>
    <w:p w:rsidR="003D39C3" w:rsidP="003D39C3" w:rsidRDefault="003D39C3" w14:paraId="40833910" w14:textId="77777777">
      <w:pPr>
        <w:spacing w:after="200" w:line="276" w:lineRule="auto"/>
      </w:pPr>
      <w:r w:rsidRPr="00D22027">
        <w:t>IREC protest</w:t>
      </w:r>
      <w:r w:rsidR="007230A3">
        <w:t>s the</w:t>
      </w:r>
      <w:r w:rsidRPr="00D22027">
        <w:t xml:space="preserve"> use of the word “include”</w:t>
      </w:r>
      <w:r w:rsidR="007230A3">
        <w:t xml:space="preserve"> by the Large IOUs,</w:t>
      </w:r>
      <w:r w:rsidRPr="00D22027">
        <w:t xml:space="preserve"> stating that use of this word “suggests that other, unnamed circumstances may also apply.”</w:t>
      </w:r>
      <w:r w:rsidRPr="00D22027">
        <w:rPr>
          <w:vertAlign w:val="superscript"/>
        </w:rPr>
        <w:footnoteReference w:id="72"/>
      </w:r>
      <w:r>
        <w:t xml:space="preserve"> </w:t>
      </w:r>
      <w:r w:rsidRPr="00D22027">
        <w:t xml:space="preserve"> IREC states: “despite the lOUs’ statements during the working group process that the only circumstances that would result in the need for curtailment was a reduction in load, the </w:t>
      </w:r>
      <w:r w:rsidRPr="00D22027">
        <w:lastRenderedPageBreak/>
        <w:t>IOUs appear to have backtracked and defaulted to more ambiguous, and not specific, language.</w:t>
      </w:r>
      <w:r w:rsidRPr="00D22027">
        <w:rPr>
          <w:vertAlign w:val="superscript"/>
        </w:rPr>
        <w:footnoteReference w:id="73"/>
      </w:r>
    </w:p>
    <w:p w:rsidR="003D39C3" w:rsidP="003D39C3" w:rsidRDefault="003D39C3" w14:paraId="0530F15C" w14:textId="77777777">
      <w:pPr>
        <w:snapToGrid w:val="0"/>
        <w:spacing w:after="200" w:line="276" w:lineRule="auto"/>
      </w:pPr>
      <w:r w:rsidRPr="00D22027">
        <w:t>IREC and the other Alternate Proposal parties argue that the Large IOUs’ proposal to curtail export power beyond the circumstances in Rule 21 Section D.9, on an extended or permanent basis, is likely to make LGP projects difficult to finance and state:</w:t>
      </w:r>
    </w:p>
    <w:p w:rsidR="003D39C3" w:rsidP="003D39C3" w:rsidRDefault="003D39C3" w14:paraId="41A80208" w14:textId="77777777">
      <w:pPr>
        <w:snapToGrid w:val="0"/>
        <w:spacing w:after="200" w:line="276" w:lineRule="auto"/>
        <w:ind w:left="720"/>
      </w:pPr>
      <w:r w:rsidRPr="00D22027">
        <w:t>The IOUs’ proposal currently exposes the customer to risk that at any point during the life of the project, the full value of the additional capacity [from the LGP option] could be entirely eliminated. Developers stated at the workshops that this risk would likely be unfinanceable. It is also reasonable to assume that, in any case, financing this risk would increase the development costs. Perhaps more critically, however, there has been no meaningful data presented to demonstrate that it is necessary to expose LGP customers to this risk or that LGP interconnections pose greater risk than non-LGP interconnections.</w:t>
      </w:r>
      <w:r w:rsidRPr="00D22027">
        <w:rPr>
          <w:rStyle w:val="FootnoteReference"/>
        </w:rPr>
        <w:footnoteReference w:id="74"/>
      </w:r>
    </w:p>
    <w:p w:rsidR="00EE0D39" w:rsidP="003D39C3" w:rsidRDefault="003D39C3" w14:paraId="6562BBCE" w14:textId="77777777">
      <w:pPr>
        <w:snapToGrid w:val="0"/>
        <w:spacing w:after="200" w:line="276" w:lineRule="auto"/>
      </w:pPr>
      <w:r w:rsidRPr="00D22027">
        <w:t>IREC and the other Alternate Proposal parties</w:t>
      </w:r>
      <w:r w:rsidR="00EE0D39">
        <w:t xml:space="preserve"> propose that:</w:t>
      </w:r>
    </w:p>
    <w:p w:rsidR="003D39C3" w:rsidP="00EE0D39" w:rsidRDefault="003D39C3" w14:paraId="17CBB1F1" w14:textId="77777777">
      <w:pPr>
        <w:snapToGrid w:val="0"/>
        <w:spacing w:after="200" w:line="276" w:lineRule="auto"/>
        <w:ind w:left="720"/>
      </w:pPr>
      <w:r w:rsidRPr="00D22027">
        <w:t>the Commission authorize the utilization of LGP and that the IOUs address system safety and reliability after interconnection using the methods available to them under Rule 21 section D.9... The IOUs should not be authorized to curtail LGP projects for extended or unlimited durations and should treat LGP projects the same as they treat any other interconnection when applying section D.9.</w:t>
      </w:r>
      <w:r w:rsidRPr="00D22027">
        <w:rPr>
          <w:rStyle w:val="FootnoteReference"/>
        </w:rPr>
        <w:footnoteReference w:id="75"/>
      </w:r>
    </w:p>
    <w:p w:rsidR="003D39C3" w:rsidP="003D39C3" w:rsidRDefault="003D39C3" w14:paraId="7C7637CC" w14:textId="77777777">
      <w:pPr>
        <w:snapToGrid w:val="0"/>
        <w:spacing w:after="200" w:line="276" w:lineRule="auto"/>
      </w:pPr>
      <w:r w:rsidRPr="00D22027">
        <w:t xml:space="preserve">Regarding the issue of whether LGP-specific curtailment renders LGP projects more difficult to finance, we find that neither the Large IOUs nor non-IOU parties have provided satisfactory evidence to demonstrate their stance on whether the risk of curtailment of LGP projects would have an impact on projects being financeable.  </w:t>
      </w:r>
      <w:r w:rsidR="00EE0D39">
        <w:t xml:space="preserve">We therefore </w:t>
      </w:r>
      <w:r w:rsidRPr="00D22027">
        <w:t>dismiss this argument.</w:t>
      </w:r>
    </w:p>
    <w:p w:rsidR="003D39C3" w:rsidP="003D39C3" w:rsidRDefault="003D39C3" w14:paraId="5E4797BA" w14:textId="77777777">
      <w:pPr>
        <w:snapToGrid w:val="0"/>
        <w:spacing w:after="200" w:line="276" w:lineRule="auto"/>
      </w:pPr>
      <w:r w:rsidRPr="00D22027">
        <w:t xml:space="preserve">We agree with the Large IOUs that LGP facilities do merit some form of disparate treatment related to cost responsibility, a subject to be taken up in Dispositions #3 and #4.  We also agree with IREC that the Large IOUs have identified only one LGP-specific </w:t>
      </w:r>
      <w:r w:rsidRPr="00D22027">
        <w:lastRenderedPageBreak/>
        <w:t>circumstance (</w:t>
      </w:r>
      <w:r w:rsidR="00EF6C14">
        <w:t>s</w:t>
      </w:r>
      <w:r w:rsidRPr="00D22027">
        <w:t xml:space="preserve">ustained </w:t>
      </w:r>
      <w:r w:rsidR="00EF6C14">
        <w:t>reduction in l</w:t>
      </w:r>
      <w:r w:rsidRPr="00D22027">
        <w:t>oad) that would trigger curtailment of an LGP facility beyond the conditions already enumerated in Rule 21 Section D.9, and that other open-ended or ambiguous text by the Large IOUs on conditions for long-term or permanent curtailment does not meet the requirements of Resolution E-5211.</w:t>
      </w:r>
    </w:p>
    <w:p w:rsidRPr="008330BD" w:rsidR="008330BD" w:rsidP="003D39C3" w:rsidRDefault="008330BD" w14:paraId="7B9495E8" w14:textId="77777777">
      <w:pPr>
        <w:snapToGrid w:val="0"/>
        <w:spacing w:after="200" w:line="276" w:lineRule="auto"/>
      </w:pPr>
      <w:r>
        <w:t>W</w:t>
      </w:r>
      <w:r w:rsidRPr="008330BD">
        <w:t xml:space="preserve">e note that long-term or permanent curtailment must also depend on what upgrades may be required to fully or partially reverse the curtailment, along with the cost-responsibility for those upgrades.  Thus, the issue of long-term or permanent curtailments cannot be fully disposed until those topics are discussed in the sections below.  </w:t>
      </w:r>
    </w:p>
    <w:p w:rsidR="003D39C3" w:rsidP="003D39C3" w:rsidRDefault="003D39C3" w14:paraId="0E47CF3C" w14:textId="77777777">
      <w:pPr>
        <w:snapToGrid w:val="0"/>
        <w:spacing w:after="200" w:line="276" w:lineRule="auto"/>
        <w:rPr>
          <w:b/>
          <w:bCs/>
        </w:rPr>
      </w:pPr>
      <w:r w:rsidRPr="00D22027">
        <w:rPr>
          <w:b/>
          <w:bCs/>
        </w:rPr>
        <w:t xml:space="preserve">We find that a </w:t>
      </w:r>
      <w:r w:rsidR="00957B8E">
        <w:rPr>
          <w:b/>
          <w:bCs/>
        </w:rPr>
        <w:t>S</w:t>
      </w:r>
      <w:r w:rsidRPr="00D22027">
        <w:rPr>
          <w:b/>
          <w:bCs/>
        </w:rPr>
        <w:t xml:space="preserve">ustained </w:t>
      </w:r>
      <w:r w:rsidR="00957B8E">
        <w:rPr>
          <w:b/>
          <w:bCs/>
        </w:rPr>
        <w:t>L</w:t>
      </w:r>
      <w:r w:rsidRPr="00D22027">
        <w:rPr>
          <w:b/>
          <w:bCs/>
        </w:rPr>
        <w:t xml:space="preserve">oad </w:t>
      </w:r>
      <w:r w:rsidR="00957B8E">
        <w:rPr>
          <w:b/>
          <w:bCs/>
        </w:rPr>
        <w:t>R</w:t>
      </w:r>
      <w:r w:rsidRPr="00D22027">
        <w:rPr>
          <w:b/>
          <w:bCs/>
        </w:rPr>
        <w:t>eduction on a circuit or feeder</w:t>
      </w:r>
      <w:r w:rsidR="00957B8E">
        <w:rPr>
          <w:b/>
          <w:bCs/>
        </w:rPr>
        <w:t>, defined as a permanent decrease in the load (exclusive of the addition of any generation DERs)</w:t>
      </w:r>
      <w:r w:rsidRPr="00D22027">
        <w:rPr>
          <w:b/>
          <w:bCs/>
        </w:rPr>
        <w:t xml:space="preserve"> </w:t>
      </w:r>
      <w:r w:rsidRPr="00957B8E" w:rsidR="00957B8E">
        <w:rPr>
          <w:b/>
          <w:bCs/>
        </w:rPr>
        <w:t>of one or more customers on that circuit resulting from business wind-downs, unanticipated addition of energy efficiency or other load management technologies, and/or other permanent circumstances that reduce the load of one or more customers on that circuit</w:t>
      </w:r>
      <w:r w:rsidR="00957B8E">
        <w:rPr>
          <w:b/>
          <w:bCs/>
        </w:rPr>
        <w:t xml:space="preserve">, </w:t>
      </w:r>
      <w:r w:rsidRPr="00D22027">
        <w:rPr>
          <w:b/>
          <w:bCs/>
        </w:rPr>
        <w:t xml:space="preserve">is the only LGP-specific circumstance that shall be considered when deciding on curtailment of the export power of an LGP facility.  We clarify this provision applies to systems interconnected under the LGP option, and is independent of the requirements already set forth in Rule 21 Section D.9.  </w:t>
      </w:r>
    </w:p>
    <w:p w:rsidR="003D39C3" w:rsidP="000572B8" w:rsidRDefault="003D39C3" w14:paraId="73E5DE47" w14:textId="77777777">
      <w:pPr>
        <w:snapToGrid w:val="0"/>
        <w:spacing w:before="360" w:after="200" w:line="276" w:lineRule="auto"/>
        <w:rPr>
          <w:b/>
          <w:bCs/>
          <w:u w:val="single"/>
        </w:rPr>
      </w:pPr>
      <w:r w:rsidRPr="00D22027">
        <w:rPr>
          <w:b/>
          <w:bCs/>
          <w:u w:val="single"/>
        </w:rPr>
        <w:t>Disposition #3:  Disparate Treatment of LGP and non-LGP Facilities</w:t>
      </w:r>
    </w:p>
    <w:p w:rsidR="003D39C3" w:rsidP="003D39C3" w:rsidRDefault="003D39C3" w14:paraId="548D2D72" w14:textId="77777777">
      <w:pPr>
        <w:snapToGrid w:val="0"/>
        <w:spacing w:after="200" w:line="276" w:lineRule="auto"/>
      </w:pPr>
      <w:r w:rsidRPr="00D22027">
        <w:t>Resolution E-5211 required the Large IOUs to “detail the cause for why disparate treatment for LGP-option systems may be necessary.”</w:t>
      </w:r>
      <w:r w:rsidRPr="00D22027">
        <w:rPr>
          <w:vertAlign w:val="superscript"/>
        </w:rPr>
        <w:footnoteReference w:id="76"/>
      </w:r>
      <w:r w:rsidRPr="00D22027">
        <w:t xml:space="preserve"> The Resolution states that “the ability of LGP customers to dial back [curtail] production to the grid hosting capacity is a convenient and expedient short-term fix, but this expediency alone is not justification for a permanent reduction of export </w:t>
      </w:r>
      <w:r w:rsidRPr="00D22027">
        <w:rPr>
          <w:rFonts w:cstheme="minorHAnsi"/>
        </w:rPr>
        <w:t>power…”</w:t>
      </w:r>
      <w:r w:rsidRPr="00D22027">
        <w:rPr>
          <w:rStyle w:val="FootnoteReference"/>
          <w:rFonts w:cstheme="minorHAnsi"/>
        </w:rPr>
        <w:footnoteReference w:id="77"/>
      </w:r>
      <w:r w:rsidR="00400A70">
        <w:rPr>
          <w:rFonts w:cstheme="minorHAnsi"/>
        </w:rPr>
        <w:t xml:space="preserve"> </w:t>
      </w:r>
      <w:r w:rsidRPr="00D22027" w:rsidR="00400A70">
        <w:t>Resolution E-5211 clarified that the Decision is silent on specifics of how to implement the provision that “the utility may need to reduce generation to ensure safe and reliable service without grid upgrades.”</w:t>
      </w:r>
      <w:r w:rsidRPr="00D22027" w:rsidR="00400A70">
        <w:rPr>
          <w:rStyle w:val="FootnoteReference"/>
          <w:rFonts w:eastAsia="Palatino Linotype" w:cstheme="minorHAnsi"/>
        </w:rPr>
        <w:footnoteReference w:id="78"/>
      </w:r>
    </w:p>
    <w:p w:rsidR="003D39C3" w:rsidP="003D39C3" w:rsidRDefault="00E33F49" w14:paraId="47155EBB" w14:textId="77777777">
      <w:pPr>
        <w:spacing w:after="200" w:line="276" w:lineRule="auto"/>
      </w:pPr>
      <w:r>
        <w:lastRenderedPageBreak/>
        <w:t>The Large IOUs argue in favor of d</w:t>
      </w:r>
      <w:r w:rsidRPr="00D22027" w:rsidR="003D39C3">
        <w:t xml:space="preserve">isparate treatment of LGP facilities relative to non-LGP facilities, in terms of curtailing export limits on a long-term or permanent basis should ICA-SG values on a circuit change. </w:t>
      </w:r>
    </w:p>
    <w:p w:rsidR="003D39C3" w:rsidP="003D39C3" w:rsidRDefault="003D39C3" w14:paraId="19E0107D" w14:textId="77777777">
      <w:pPr>
        <w:snapToGrid w:val="0"/>
        <w:spacing w:after="200" w:line="276" w:lineRule="auto"/>
      </w:pPr>
      <w:r w:rsidRPr="00D22027">
        <w:t>To justify disparate treatment, the Large IOUs rely on the Decision giving them authority to curtail export power and state</w:t>
      </w:r>
      <w:r>
        <w:t xml:space="preserve"> </w:t>
      </w:r>
      <w:r w:rsidRPr="00D22027">
        <w:t xml:space="preserve">that there </w:t>
      </w:r>
      <w:r>
        <w:t xml:space="preserve">are </w:t>
      </w:r>
      <w:r w:rsidRPr="00D22027">
        <w:t>“special considerations for LGP facilities.”</w:t>
      </w:r>
      <w:r>
        <w:rPr>
          <w:rStyle w:val="FootnoteReference"/>
        </w:rPr>
        <w:footnoteReference w:id="79"/>
      </w:r>
      <w:r>
        <w:t xml:space="preserve">  </w:t>
      </w:r>
      <w:r w:rsidRPr="00D22027">
        <w:t>These special considerations are outlined in several places in the Joint January LGP Advice Letter</w:t>
      </w:r>
      <w:r w:rsidR="00434F97">
        <w:t>s</w:t>
      </w:r>
      <w:r w:rsidRPr="00D22027">
        <w:t xml:space="preserve">, </w:t>
      </w:r>
      <w:r>
        <w:t>and t</w:t>
      </w:r>
      <w:r w:rsidRPr="00D22027">
        <w:t xml:space="preserve">he Large IOUs make </w:t>
      </w:r>
      <w:r>
        <w:t>the following s</w:t>
      </w:r>
      <w:r w:rsidRPr="00D22027">
        <w:t>tatement:</w:t>
      </w:r>
      <w:r>
        <w:rPr>
          <w:rStyle w:val="FootnoteReference"/>
        </w:rPr>
        <w:footnoteReference w:id="80"/>
      </w:r>
    </w:p>
    <w:p w:rsidR="003D39C3" w:rsidP="003D39C3" w:rsidRDefault="003D39C3" w14:paraId="43E55C1C" w14:textId="77777777">
      <w:pPr>
        <w:snapToGrid w:val="0"/>
        <w:spacing w:after="200" w:line="276" w:lineRule="auto"/>
        <w:ind w:left="720"/>
      </w:pPr>
      <w:r w:rsidRPr="00D22027">
        <w:t xml:space="preserve">The Commission has given the Utilities the right to reduce exports from a customer with an LGP generator to the lowest value of the ICA-SG profile if required to maintain safety and reliability while avoiding circuit upgrades. … the Commission adopted “the element that the utility may need to reduce generation to ensure safe and reliable service without grid updates … Providing the Utilities with this right is consistent with the objective of minimizing ratepayer costs. </w:t>
      </w:r>
    </w:p>
    <w:p w:rsidR="003D39C3" w:rsidP="003D39C3" w:rsidRDefault="003D39C3" w14:paraId="510B69B3" w14:textId="77777777">
      <w:pPr>
        <w:snapToGrid w:val="0"/>
        <w:spacing w:after="200" w:line="276" w:lineRule="auto"/>
        <w:ind w:left="720"/>
      </w:pPr>
      <w:r w:rsidRPr="00D22027">
        <w:t>In the event the utility determines that the customer’s LGP generating facility does not operate as approved, such as exporting at a higher output than allowed in the interconnection agreement or operating in an unsafe manner, the Utilities have the right to reduce the export to the maximum accepted level or shut the generating facility down until the issue is resolved. While the Utilities currently have the ability to interrupt or reduce deliveries or disconnect a non-LGP generating facility in these circumstances, there are special considerations for LGP facilities given that they will be required to operate in accordance with the LGP set forth in the interconnection agreement.</w:t>
      </w:r>
    </w:p>
    <w:p w:rsidR="003D39C3" w:rsidP="003D39C3" w:rsidRDefault="003D39C3" w14:paraId="3DE2D577" w14:textId="77777777">
      <w:pPr>
        <w:spacing w:after="200" w:line="276" w:lineRule="auto"/>
      </w:pPr>
      <w:r w:rsidRPr="00D22027">
        <w:t>IREC and Cal</w:t>
      </w:r>
      <w:r>
        <w:t xml:space="preserve"> </w:t>
      </w:r>
      <w:r w:rsidRPr="00D22027">
        <w:t xml:space="preserve">Advocates </w:t>
      </w:r>
      <w:r w:rsidRPr="00D22027" w:rsidR="00E33F49">
        <w:t xml:space="preserve">argue against </w:t>
      </w:r>
      <w:r w:rsidR="00E33F49">
        <w:t>disparate treatment and d</w:t>
      </w:r>
      <w:r w:rsidRPr="00D22027">
        <w:t>isagree with the utility statements, stating that permanent curtailment would unfairly discriminate against LGP facilities relative to non-LGP facilities, would create disparate treatment of LGP facilities and non-LGP facilities</w:t>
      </w:r>
      <w:r w:rsidR="00FC0829">
        <w:t xml:space="preserve"> which they claim is </w:t>
      </w:r>
      <w:r w:rsidRPr="00D22027">
        <w:t xml:space="preserve">contrary to the requirements of Resolution E-5211, and would open the door to curtailment in potentially other unspecified circumstances. </w:t>
      </w:r>
      <w:r>
        <w:t>IREC and Cal Advocates</w:t>
      </w:r>
      <w:r w:rsidRPr="00D22027">
        <w:t xml:space="preserve"> call such disparate treatment </w:t>
      </w:r>
      <w:r w:rsidRPr="00D22027">
        <w:lastRenderedPageBreak/>
        <w:t>“unjust, unreasonable, and discriminatory.”</w:t>
      </w:r>
      <w:r w:rsidRPr="00D22027">
        <w:rPr>
          <w:vertAlign w:val="superscript"/>
        </w:rPr>
        <w:footnoteReference w:id="81"/>
      </w:r>
      <w:r w:rsidRPr="00D22027">
        <w:t xml:space="preserve"> </w:t>
      </w:r>
      <w:r>
        <w:t xml:space="preserve"> They</w:t>
      </w:r>
      <w:r w:rsidRPr="00D22027">
        <w:t xml:space="preserve"> also argue that the ongoing risk of such long-term or permanent curtailments of LGP facilities would dissuade developers from choosing the LGP option in the first place.</w:t>
      </w:r>
    </w:p>
    <w:p w:rsidR="003D39C3" w:rsidP="003D39C3" w:rsidRDefault="003D39C3" w14:paraId="4223FD1D" w14:textId="77777777">
      <w:pPr>
        <w:snapToGrid w:val="0"/>
        <w:spacing w:after="200" w:line="276" w:lineRule="auto"/>
      </w:pPr>
      <w:r w:rsidRPr="00D22027">
        <w:t>IREC argues that “while load reductions are unlikely to occur frequently, the IOUs’ proposal requires each individual project to bear the full risk of a load reduction occurring.”</w:t>
      </w:r>
      <w:r w:rsidRPr="00D22027">
        <w:rPr>
          <w:vertAlign w:val="superscript"/>
        </w:rPr>
        <w:footnoteReference w:id="82"/>
      </w:r>
      <w:r w:rsidRPr="00D22027">
        <w:t xml:space="preserve"> And “If the Commission fundamentally alters interconnection cost responsibility principles to hold LGP customers responsible for changes on the feeder that occur for reasons entirely outside their control, it must do so based on evidence that justifies disparate treatment.”</w:t>
      </w:r>
      <w:r w:rsidRPr="00D22027">
        <w:rPr>
          <w:vertAlign w:val="superscript"/>
        </w:rPr>
        <w:footnoteReference w:id="83"/>
      </w:r>
    </w:p>
    <w:p w:rsidR="003D39C3" w:rsidP="003D39C3" w:rsidRDefault="003D39C3" w14:paraId="79B214ED" w14:textId="77777777">
      <w:pPr>
        <w:snapToGrid w:val="0"/>
        <w:spacing w:after="200" w:line="276" w:lineRule="auto"/>
      </w:pPr>
      <w:r w:rsidRPr="00D22027">
        <w:t>IREC further argues that the Large IOUs have not provided sufficient justification for why disparate treatment, between LGP and non-LGP projects, is appropriate and thus failed to comply with Resolution E-5211’s requirement.  IREC asserts that the Large IOUs have not provided evidence to demonstrate LGP projects pose safety and reliability risks different from non-LGP projects, and argues</w:t>
      </w:r>
      <w:proofErr w:type="gramStart"/>
      <w:r w:rsidRPr="00D22027">
        <w:t>: ”if</w:t>
      </w:r>
      <w:proofErr w:type="gramEnd"/>
      <w:r w:rsidRPr="00D22027">
        <w:t xml:space="preserve"> this is not the case, then establishing a different policy for LGP customers will create a practice that unjustly discriminates against LGP customers.”</w:t>
      </w:r>
      <w:r w:rsidRPr="00D22027">
        <w:rPr>
          <w:vertAlign w:val="superscript"/>
        </w:rPr>
        <w:footnoteReference w:id="84"/>
      </w:r>
      <w:r w:rsidRPr="00D22027">
        <w:t xml:space="preserve"> </w:t>
      </w:r>
      <w:r>
        <w:t xml:space="preserve">IREC </w:t>
      </w:r>
      <w:r w:rsidRPr="00D22027">
        <w:t xml:space="preserve">states: </w:t>
      </w:r>
    </w:p>
    <w:p w:rsidR="003D39C3" w:rsidP="003D39C3" w:rsidRDefault="003D39C3" w14:paraId="3FD9CEAB" w14:textId="77777777">
      <w:pPr>
        <w:snapToGrid w:val="0"/>
        <w:spacing w:after="200" w:line="276" w:lineRule="auto"/>
        <w:ind w:left="720"/>
      </w:pPr>
      <w:r w:rsidRPr="00D22027">
        <w:t>The lOUs have not provided any data or modeling to demonstrate that LGP projects pose an appreciably greater risk than other projects … [and] even if that data existed, it would be necessary to show why this increased risk (if it does exist) justifies disparate treatment. Since the circumstances that would trigger curtailment, i.e., [sustained] reduction in load, are entirely outside of the LGP project’s control, the Commission needs to have justification for why it is reasonable to ask the LGP projects to assume responsibility for circumstances outside their control.</w:t>
      </w:r>
      <w:r>
        <w:rPr>
          <w:rStyle w:val="FootnoteReference"/>
        </w:rPr>
        <w:footnoteReference w:id="85"/>
      </w:r>
    </w:p>
    <w:p w:rsidR="003D39C3" w:rsidP="003D39C3" w:rsidRDefault="003D39C3" w14:paraId="21DA58A7" w14:textId="77777777">
      <w:pPr>
        <w:spacing w:after="200" w:line="276" w:lineRule="auto"/>
        <w:ind w:left="720"/>
      </w:pPr>
      <w:r w:rsidRPr="00D22027">
        <w:t xml:space="preserve">The repeated failure of the utilities to adequately define the reasons for disparate treatment also brings into doubt the basic premise of the </w:t>
      </w:r>
      <w:proofErr w:type="spellStart"/>
      <w:r w:rsidRPr="00D22027">
        <w:t>lOU’s</w:t>
      </w:r>
      <w:proofErr w:type="spellEnd"/>
      <w:r w:rsidRPr="00D22027">
        <w:t xml:space="preserve"> proposal: that LGP projects should be subject to permanent curtailment for circumstances not </w:t>
      </w:r>
      <w:r w:rsidRPr="00D22027">
        <w:lastRenderedPageBreak/>
        <w:t>caused by the project or within the applicant’s control. These projects will be treated differently from all other interconnections. The workshops and the multiple rounds of advice letters have revealed that this drastic change to the cost responsibility principles is fundamentally unjust, unreasonable, and discriminatory. The Commission has an obligation to ensure that its actions are reasonable, justified and not unduly discriminatory. That standard has not been met here.</w:t>
      </w:r>
      <w:r w:rsidRPr="00D22027">
        <w:rPr>
          <w:vertAlign w:val="superscript"/>
        </w:rPr>
        <w:footnoteReference w:id="86"/>
      </w:r>
    </w:p>
    <w:p w:rsidR="003D39C3" w:rsidP="003D39C3" w:rsidRDefault="003D39C3" w14:paraId="5087D309" w14:textId="77777777">
      <w:pPr>
        <w:spacing w:after="200" w:line="276" w:lineRule="auto"/>
      </w:pPr>
      <w:r w:rsidRPr="00D22027">
        <w:t>IREC notes that load is expected to change, and generally grow, due to building and transportation electrification and states “it is reasonable to suspect that incidents where net feeder loads decrease will become less likely. It is possible that many changes, like additional energy efficiency efforts, may be offset by load growth from electrification.”</w:t>
      </w:r>
      <w:r w:rsidRPr="00D22027">
        <w:rPr>
          <w:vertAlign w:val="superscript"/>
        </w:rPr>
        <w:footnoteReference w:id="87"/>
      </w:r>
    </w:p>
    <w:p w:rsidR="003D39C3" w:rsidP="003D39C3" w:rsidRDefault="003D39C3" w14:paraId="05B7EE58" w14:textId="77777777">
      <w:pPr>
        <w:spacing w:after="200" w:line="276" w:lineRule="auto"/>
      </w:pPr>
      <w:r w:rsidRPr="00D22027">
        <w:t>IREC further notes that in response to a data request from IREC</w:t>
      </w:r>
      <w:r w:rsidRPr="00D22027">
        <w:rPr>
          <w:vertAlign w:val="superscript"/>
        </w:rPr>
        <w:footnoteReference w:id="88"/>
      </w:r>
      <w:r w:rsidRPr="00D22027">
        <w:t xml:space="preserve"> the Large IOUs “indicated that they were not aware of even a single incident in the last five years in which a distribution system violation occurred due to load loss.”</w:t>
      </w:r>
      <w:r w:rsidRPr="00D22027">
        <w:rPr>
          <w:vertAlign w:val="superscript"/>
        </w:rPr>
        <w:footnoteReference w:id="89"/>
      </w:r>
      <w:r w:rsidRPr="00D22027">
        <w:rPr>
          <w:vertAlign w:val="superscript"/>
        </w:rPr>
        <w:t xml:space="preserve">, </w:t>
      </w:r>
      <w:r w:rsidRPr="00D22027">
        <w:rPr>
          <w:vertAlign w:val="superscript"/>
        </w:rPr>
        <w:footnoteReference w:id="90"/>
      </w:r>
      <w:r w:rsidRPr="00D22027">
        <w:rPr>
          <w:vertAlign w:val="superscript"/>
        </w:rPr>
        <w:t xml:space="preserve">, </w:t>
      </w:r>
      <w:r w:rsidRPr="00D22027">
        <w:rPr>
          <w:rStyle w:val="FootnoteReference"/>
        </w:rPr>
        <w:footnoteReference w:id="91"/>
      </w:r>
      <w:r w:rsidRPr="00D22027">
        <w:rPr>
          <w:vertAlign w:val="superscript"/>
        </w:rPr>
        <w:t xml:space="preserve"> </w:t>
      </w:r>
      <w:r w:rsidRPr="00D22027" w:rsidDel="002D149C">
        <w:t xml:space="preserve"> </w:t>
      </w:r>
      <w:r w:rsidRPr="00D22027">
        <w:t xml:space="preserve"> </w:t>
      </w:r>
    </w:p>
    <w:p w:rsidR="003D39C3" w:rsidP="003D39C3" w:rsidRDefault="003D39C3" w14:paraId="7C3F52EC" w14:textId="77777777">
      <w:pPr>
        <w:spacing w:after="200" w:line="276" w:lineRule="auto"/>
      </w:pPr>
      <w:r w:rsidRPr="00D22027">
        <w:t xml:space="preserve">Cal Advocates argues similarly to IREC that the Large IOUs’ request to allow permanent curtailment is discriminatory toward LGP customers because all other interconnection customers maintain their interconnection rights, and that different </w:t>
      </w:r>
      <w:r w:rsidRPr="00D22027">
        <w:lastRenderedPageBreak/>
        <w:t>treatment for LGP customers</w:t>
      </w:r>
      <w:r w:rsidR="00E27510">
        <w:t xml:space="preserve"> is not justified</w:t>
      </w:r>
      <w:r w:rsidRPr="00D22027">
        <w:t>.  Cal Advocates states “The IOUs’ proposal to make permanent curtailments to LGP projects after the GIA is signed violates Rule 21 by treating interconnected LGP customers differently than all other interconnected generation customers, who maintain their interconnection rights in perpetuity.”</w:t>
      </w:r>
      <w:r w:rsidRPr="00D22027">
        <w:rPr>
          <w:vertAlign w:val="superscript"/>
        </w:rPr>
        <w:footnoteReference w:id="92"/>
      </w:r>
      <w:r w:rsidRPr="00D22027">
        <w:t xml:space="preserve">  Cal Advocates </w:t>
      </w:r>
      <w:r w:rsidR="00CB600D">
        <w:t xml:space="preserve">points to </w:t>
      </w:r>
      <w:r w:rsidRPr="00D22027">
        <w:t>PG&amp;E’s Rule 21, Section D.1. which provides that “Distribution Provider shall apply this Rule [Rule 21] in a non-discriminatory manner and shall not unreasonably withhold its permission for Parallel Operation of Producer’s Generating Facility with Distribution Provider’s Distribution or Transmission System…”</w:t>
      </w:r>
      <w:r w:rsidRPr="00D22027">
        <w:rPr>
          <w:vertAlign w:val="superscript"/>
        </w:rPr>
        <w:footnoteReference w:id="93"/>
      </w:r>
    </w:p>
    <w:p w:rsidR="003D39C3" w:rsidP="003D39C3" w:rsidRDefault="003D39C3" w14:paraId="245D2757" w14:textId="77777777">
      <w:pPr>
        <w:spacing w:after="200" w:line="276" w:lineRule="auto"/>
      </w:pPr>
      <w:r w:rsidRPr="00D22027">
        <w:t>Cal Advocates argues similarly to IREC that the IOUs could make projects unfinanceable and that the IOUs have not provided evidence of the magnitude of any offsetting risk that would justify permanent curtailment. Cal Advocates notes developers may find the risk of curtailment unacceptable and could result in the LGP option being unused.  Cal Advocates argues that in assessing the risks associated with the possibility of LGP projects being permanently curtailed—potentially causing projects to be unfinanceable and causing the LGP option to be underutilized—versus the risks of additional costs to ratepayers for mitigations or upgrades to reverse any curtailments, the value of the LGP option to ratepayers must be considered.  Cal Advocates states:</w:t>
      </w:r>
    </w:p>
    <w:p w:rsidR="003D39C3" w:rsidP="003D39C3" w:rsidRDefault="003D39C3" w14:paraId="24BAF4F9" w14:textId="77777777">
      <w:pPr>
        <w:spacing w:after="200" w:line="276" w:lineRule="auto"/>
        <w:ind w:left="720"/>
      </w:pPr>
      <w:r w:rsidRPr="00D22027">
        <w:t>LGP could bring... otherwise uneconomical DERs online which could increase grid reliability (i.e., by mitigating rolling blackouts during system peak) and [create] a more economical system in general by more fully utilizing the distribution grid and DERs. The IOUs’ proposal is likely to foreclose realization of those benefits by shifting an unreasonable amount of risk onto each LGP project.</w:t>
      </w:r>
      <w:r w:rsidRPr="00D22027">
        <w:rPr>
          <w:vertAlign w:val="superscript"/>
        </w:rPr>
        <w:footnoteReference w:id="94"/>
      </w:r>
    </w:p>
    <w:p w:rsidR="003D39C3" w:rsidP="003D39C3" w:rsidRDefault="003D39C3" w14:paraId="3354A90F" w14:textId="77777777">
      <w:pPr>
        <w:spacing w:after="200" w:line="276" w:lineRule="auto"/>
      </w:pPr>
      <w:r w:rsidRPr="00D22027">
        <w:t>The Large IOUs argue in response to IREC and Cal</w:t>
      </w:r>
      <w:r>
        <w:t xml:space="preserve"> </w:t>
      </w:r>
      <w:r w:rsidRPr="00D22027">
        <w:t xml:space="preserve">Advocates that LGP projects do </w:t>
      </w:r>
      <w:r>
        <w:t>“</w:t>
      </w:r>
      <w:r w:rsidRPr="00D22027">
        <w:t>create a higher risk of reaching or surpassing the hosting capacity of a given node,</w:t>
      </w:r>
      <w:r>
        <w:t>”</w:t>
      </w:r>
      <w:r w:rsidR="00144FD3">
        <w:rPr>
          <w:rStyle w:val="FootnoteReference"/>
        </w:rPr>
        <w:footnoteReference w:id="95"/>
      </w:r>
      <w:r w:rsidRPr="00D22027">
        <w:t xml:space="preserve"> that it is reasonable to expect any required curtailment to apply differently to LGP </w:t>
      </w:r>
      <w:r w:rsidRPr="00D22027">
        <w:lastRenderedPageBreak/>
        <w:t>versus non-LGP facilities, and that there is nothing unjust, unreasonable, or discriminatory about these differences – that LGP and non-LGP projects are not the same with respect to benefits and costs.</w:t>
      </w:r>
      <w:r w:rsidRPr="00D22027">
        <w:rPr>
          <w:iCs/>
          <w:vertAlign w:val="superscript"/>
        </w:rPr>
        <w:footnoteReference w:id="96"/>
      </w:r>
    </w:p>
    <w:p w:rsidR="003D39C3" w:rsidP="003D39C3" w:rsidRDefault="003D39C3" w14:paraId="51E66B8E" w14:textId="77777777">
      <w:pPr>
        <w:snapToGrid w:val="0"/>
        <w:spacing w:after="200" w:line="276" w:lineRule="auto"/>
        <w:rPr>
          <w:iCs/>
        </w:rPr>
      </w:pPr>
      <w:r w:rsidRPr="00D22027">
        <w:rPr>
          <w:iCs/>
        </w:rPr>
        <w:t>In response to IREC’s and Cal Advocates</w:t>
      </w:r>
      <w:r>
        <w:rPr>
          <w:iCs/>
        </w:rPr>
        <w:t>’</w:t>
      </w:r>
      <w:r w:rsidRPr="00D22027">
        <w:rPr>
          <w:iCs/>
        </w:rPr>
        <w:t xml:space="preserve"> assertion that curtailment of LGP projects is unjust, unreasonable, and discriminatory, the Large IOUs maintain “the Decision explicitly allows for disparate treatment between LGP and non-LGP projects. Moreover, different treatment of LGP projects is justified given that they are studied and screened differently than non-LGP projects.”</w:t>
      </w:r>
      <w:r>
        <w:rPr>
          <w:rStyle w:val="FootnoteReference"/>
          <w:iCs/>
        </w:rPr>
        <w:footnoteReference w:id="97"/>
      </w:r>
      <w:r w:rsidRPr="00D22027">
        <w:rPr>
          <w:iCs/>
        </w:rPr>
        <w:t xml:space="preserve">  The Large IOUs </w:t>
      </w:r>
      <w:r>
        <w:rPr>
          <w:iCs/>
        </w:rPr>
        <w:t>argue t</w:t>
      </w:r>
      <w:r w:rsidRPr="00D22027">
        <w:rPr>
          <w:iCs/>
        </w:rPr>
        <w:t>hat while the LGP option enables the use of more generation</w:t>
      </w:r>
      <w:r>
        <w:rPr>
          <w:iCs/>
        </w:rPr>
        <w:t>, it is also different from non-LGP projects:</w:t>
      </w:r>
    </w:p>
    <w:p w:rsidR="003D39C3" w:rsidP="003D39C3" w:rsidRDefault="003D39C3" w14:paraId="0FB90EE4" w14:textId="77777777">
      <w:pPr>
        <w:snapToGrid w:val="0"/>
        <w:spacing w:after="200" w:line="276" w:lineRule="auto"/>
        <w:ind w:left="720"/>
        <w:rPr>
          <w:iCs/>
        </w:rPr>
      </w:pPr>
      <w:r w:rsidRPr="00D22027">
        <w:rPr>
          <w:iCs/>
        </w:rPr>
        <w:t>LGP projects benefit from not being subject to ICA-</w:t>
      </w:r>
      <w:r w:rsidRPr="00D22027">
        <w:t>Operational Flexibility (ICA-OF)</w:t>
      </w:r>
      <w:r w:rsidRPr="00D22027">
        <w:rPr>
          <w:iCs/>
        </w:rPr>
        <w:t xml:space="preserve"> limits and by avoiding distribution upgrades for which they would otherwise be responsible. Non-LGP projects (other than Net Energy Metering (NEM) projects less than 1 MW) do not have these benefits; they are subject to ICA-OF limits and are required to pay for distribution upgrades.</w:t>
      </w:r>
    </w:p>
    <w:p w:rsidR="003D39C3" w:rsidP="003D39C3" w:rsidRDefault="003D39C3" w14:paraId="497CEE4F" w14:textId="77777777">
      <w:pPr>
        <w:snapToGrid w:val="0"/>
        <w:spacing w:after="200" w:line="276" w:lineRule="auto"/>
        <w:ind w:left="720"/>
        <w:rPr>
          <w:iCs/>
        </w:rPr>
      </w:pPr>
      <w:r w:rsidRPr="00D22027">
        <w:rPr>
          <w:iCs/>
        </w:rPr>
        <w:t>It is therefore reasonable to expect any required curtailment to apply differently to LGP versus non-LGP projects. LGP projects can potentially be curtailed for indefinite time periods (but not below the lowest ICA-SG level as set forth in the LGP customer’s generator interconnection agreement). Non-LGP projects will be restored to their interconnection capacity at ratepayer expense. There is nothing unjust, unreasonable, or discriminatory about these differences – LGP and non-LGP projects are simply not in the same position with respect to their benefits and their costs.</w:t>
      </w:r>
      <w:r w:rsidRPr="00D22027">
        <w:rPr>
          <w:iCs/>
          <w:vertAlign w:val="superscript"/>
        </w:rPr>
        <w:footnoteReference w:id="98"/>
      </w:r>
    </w:p>
    <w:p w:rsidR="003D39C3" w:rsidP="003D39C3" w:rsidRDefault="003D39C3" w14:paraId="58CF305A" w14:textId="77777777">
      <w:pPr>
        <w:snapToGrid w:val="0"/>
        <w:spacing w:after="200" w:line="276" w:lineRule="auto"/>
        <w:rPr>
          <w:iCs/>
        </w:rPr>
      </w:pPr>
      <w:r w:rsidRPr="00D22027">
        <w:rPr>
          <w:iCs/>
        </w:rPr>
        <w:t xml:space="preserve">Regarding the assertion by IREC and Cal Advocates that evidence is lacking that LGP projects pose an increase in safety or reliability risks, the Large IOUs point out there haven’t been any LGP projects interconnected to have real-world data pertaining to risks.  The Large IOUs state: </w:t>
      </w:r>
    </w:p>
    <w:p w:rsidR="003D39C3" w:rsidP="003D39C3" w:rsidRDefault="003D39C3" w14:paraId="1F7EDCDE" w14:textId="77777777">
      <w:pPr>
        <w:snapToGrid w:val="0"/>
        <w:spacing w:after="200" w:line="276" w:lineRule="auto"/>
        <w:ind w:left="720"/>
        <w:rPr>
          <w:iCs/>
        </w:rPr>
      </w:pPr>
      <w:r w:rsidRPr="00D22027">
        <w:rPr>
          <w:iCs/>
        </w:rPr>
        <w:t xml:space="preserve">LGP projects are designed to go through a different interconnection process, bypassing the ICA-OF screening, and will be screened against the monthly ICA </w:t>
      </w:r>
      <w:r w:rsidRPr="00D22027">
        <w:rPr>
          <w:iCs/>
        </w:rPr>
        <w:lastRenderedPageBreak/>
        <w:t>static grid values.</w:t>
      </w:r>
      <w:r w:rsidRPr="00D22027">
        <w:rPr>
          <w:rStyle w:val="FootnoteReference"/>
          <w:iCs/>
        </w:rPr>
        <w:footnoteReference w:id="99"/>
      </w:r>
      <w:r w:rsidRPr="00D22027">
        <w:rPr>
          <w:iCs/>
        </w:rPr>
        <w:t xml:space="preserve"> This difference in utilizing relaxed limits is effectively the reason why parties in Working Group Two proposed to allow curtailment of LGP projects under future grid conditions unanticipated at the time of interconnection so that the utilities can manage safety and reliability risks. The Decision adopted this proposal.</w:t>
      </w:r>
      <w:r w:rsidRPr="00D22027">
        <w:rPr>
          <w:iCs/>
          <w:vertAlign w:val="superscript"/>
        </w:rPr>
        <w:footnoteReference w:id="100"/>
      </w:r>
    </w:p>
    <w:p w:rsidR="003B43A8" w:rsidP="003D39C3" w:rsidRDefault="003D39C3" w14:paraId="60EBE0E7" w14:textId="77777777">
      <w:pPr>
        <w:snapToGrid w:val="0"/>
        <w:spacing w:after="200" w:line="276" w:lineRule="auto"/>
        <w:rPr>
          <w:iCs/>
        </w:rPr>
      </w:pPr>
      <w:r w:rsidRPr="00D22027">
        <w:rPr>
          <w:iCs/>
        </w:rPr>
        <w:t xml:space="preserve">Regarding IREC’s comment of the lack of incidents of sustained </w:t>
      </w:r>
      <w:r w:rsidR="00EF6C14">
        <w:rPr>
          <w:iCs/>
        </w:rPr>
        <w:t xml:space="preserve">reductions in </w:t>
      </w:r>
      <w:r w:rsidRPr="00D22027">
        <w:rPr>
          <w:iCs/>
        </w:rPr>
        <w:t xml:space="preserve">load having an effect on the system, the Large IOUs state: </w:t>
      </w:r>
    </w:p>
    <w:p w:rsidR="003D39C3" w:rsidP="003B43A8" w:rsidRDefault="003D39C3" w14:paraId="541FD6DB" w14:textId="77777777">
      <w:pPr>
        <w:snapToGrid w:val="0"/>
        <w:spacing w:after="200" w:line="276" w:lineRule="auto"/>
        <w:ind w:left="720"/>
        <w:rPr>
          <w:iCs/>
        </w:rPr>
      </w:pPr>
      <w:r w:rsidRPr="00D22027">
        <w:rPr>
          <w:iCs/>
        </w:rPr>
        <w:t>these observations do not support the conclusion that the Joint Utilities should not have the ability to curtail LGP projects for safety and reliability purposes should the need arise, but do reinforce the Joint Utilities’ expectation that the likelihood of extended LGP export curtailments is quite low.</w:t>
      </w:r>
      <w:r w:rsidRPr="00D22027">
        <w:rPr>
          <w:iCs/>
          <w:vertAlign w:val="superscript"/>
        </w:rPr>
        <w:footnoteReference w:id="101"/>
      </w:r>
    </w:p>
    <w:p w:rsidR="003D39C3" w:rsidP="003D39C3" w:rsidRDefault="003D39C3" w14:paraId="648280B3" w14:textId="77777777">
      <w:pPr>
        <w:snapToGrid w:val="0"/>
        <w:spacing w:after="200" w:line="276" w:lineRule="auto"/>
        <w:rPr>
          <w:iCs/>
        </w:rPr>
      </w:pPr>
      <w:r w:rsidRPr="00D22027">
        <w:rPr>
          <w:iCs/>
        </w:rPr>
        <w:t xml:space="preserve">In response to the assertion that LGP projects would be difficult to finance given the potential for future curtailment the Large IOUs argue:  </w:t>
      </w:r>
    </w:p>
    <w:p w:rsidR="003D39C3" w:rsidP="003D39C3" w:rsidRDefault="003D39C3" w14:paraId="7D903781" w14:textId="77777777">
      <w:pPr>
        <w:snapToGrid w:val="0"/>
        <w:spacing w:after="200" w:line="276" w:lineRule="auto"/>
        <w:ind w:left="720"/>
        <w:rPr>
          <w:iCs/>
        </w:rPr>
      </w:pPr>
      <w:r w:rsidRPr="00D22027">
        <w:rPr>
          <w:iCs/>
        </w:rPr>
        <w:t>Protesting Parties have provided only colloquial observations from developers in support of this assertion… [the Large IOUs] do not believe that ratepayers should be required to mitigate financial risks associated with LGP projects. Developers must evaluate the risks of interconnecting projects under available interconnection options, including by utilizing an LGP, and adjust appropriately to the risk of curtailment.</w:t>
      </w:r>
      <w:r w:rsidRPr="00D22027">
        <w:rPr>
          <w:iCs/>
          <w:vertAlign w:val="superscript"/>
        </w:rPr>
        <w:footnoteReference w:id="102"/>
      </w:r>
    </w:p>
    <w:p w:rsidR="003D39C3" w:rsidP="003D39C3" w:rsidRDefault="003D39C3" w14:paraId="20AE3FF5" w14:textId="77777777">
      <w:pPr>
        <w:snapToGrid w:val="0"/>
        <w:spacing w:after="200" w:line="276" w:lineRule="auto"/>
        <w:rPr>
          <w:iCs/>
        </w:rPr>
      </w:pPr>
      <w:r w:rsidRPr="00D22027">
        <w:rPr>
          <w:iCs/>
        </w:rPr>
        <w:t xml:space="preserve">The Large IOUs continue by expressing: </w:t>
      </w:r>
    </w:p>
    <w:p w:rsidR="003D39C3" w:rsidP="003D39C3" w:rsidRDefault="003D39C3" w14:paraId="57D869A7" w14:textId="77777777">
      <w:pPr>
        <w:snapToGrid w:val="0"/>
        <w:spacing w:after="200" w:line="276" w:lineRule="auto"/>
        <w:ind w:left="720"/>
        <w:rPr>
          <w:iCs/>
        </w:rPr>
      </w:pPr>
      <w:r w:rsidRPr="00D22027">
        <w:rPr>
          <w:iCs/>
        </w:rPr>
        <w:t xml:space="preserve">The Commission has already determined the appropriate allocation of risk by permitting the curtailment of LGP projects under specified circumstances. Through the Advice Letter, the Joint Utilities have identified appropriate limits on such curtailments and a process to minimize the need for such curtailments </w:t>
      </w:r>
      <w:r w:rsidRPr="00D22027">
        <w:rPr>
          <w:iCs/>
        </w:rPr>
        <w:lastRenderedPageBreak/>
        <w:t>by first identifying low-cost mitigation alternatives. No further allocation of risk to ratepayers is necessary or appropriate.</w:t>
      </w:r>
      <w:r w:rsidRPr="00D22027">
        <w:rPr>
          <w:iCs/>
          <w:vertAlign w:val="superscript"/>
        </w:rPr>
        <w:footnoteReference w:id="103"/>
      </w:r>
    </w:p>
    <w:p w:rsidR="003D39C3" w:rsidP="003D39C3" w:rsidRDefault="003D39C3" w14:paraId="245A08BB" w14:textId="77777777">
      <w:pPr>
        <w:snapToGrid w:val="0"/>
        <w:spacing w:after="200" w:line="276" w:lineRule="auto"/>
        <w:rPr>
          <w:iCs/>
        </w:rPr>
      </w:pPr>
      <w:r w:rsidRPr="00D22027">
        <w:rPr>
          <w:iCs/>
        </w:rPr>
        <w:t>With regards to the Cal Advocates allegation that the Large IOUs proposal is in violation of Rule 21 by treating interconnection LGP customers differently than other customers, the Large IOUs argue:</w:t>
      </w:r>
    </w:p>
    <w:p w:rsidR="003D39C3" w:rsidP="003D39C3" w:rsidRDefault="003D39C3" w14:paraId="2D0DB857" w14:textId="77777777">
      <w:pPr>
        <w:snapToGrid w:val="0"/>
        <w:spacing w:after="200" w:line="276" w:lineRule="auto"/>
        <w:ind w:left="720"/>
        <w:rPr>
          <w:iCs/>
        </w:rPr>
      </w:pPr>
      <w:r w:rsidRPr="00D22027">
        <w:rPr>
          <w:iCs/>
        </w:rPr>
        <w:t>The requirement to apply Rule 21 in a non-discriminatory manner does not mean that all projects are necessarily treated the same. Indeed, Rule 21 already imposes different cost responsibility and technical requirements for different types of projects. The Decision created a new type of interconnection for LGP projects, so it is reasonable (and permitted in the Decision) for those projects to be subject to a potential for curtailment that may not be applicable to other types of projects.</w:t>
      </w:r>
      <w:r w:rsidRPr="00D22027">
        <w:rPr>
          <w:iCs/>
          <w:vertAlign w:val="superscript"/>
        </w:rPr>
        <w:footnoteReference w:id="104"/>
      </w:r>
    </w:p>
    <w:p w:rsidR="003D39C3" w:rsidP="003D39C3" w:rsidRDefault="003D39C3" w14:paraId="0265A33F" w14:textId="77777777">
      <w:pPr>
        <w:spacing w:after="200" w:line="276" w:lineRule="auto"/>
      </w:pPr>
      <w:r w:rsidRPr="00D22027">
        <w:t>In disposing of the issue of disparate treatment, we find that the IOUs have failed to show that LGP projects constitute a fundamentally different risk to the distribution grid than conventionally interconnected projects.  And we find that such fundamentally different risk would be the only rationale for justifying disparate treatment.</w:t>
      </w:r>
    </w:p>
    <w:p w:rsidR="003D39C3" w:rsidP="003D39C3" w:rsidRDefault="003D39C3" w14:paraId="10345FDD" w14:textId="77777777">
      <w:pPr>
        <w:spacing w:after="200" w:line="276" w:lineRule="auto"/>
      </w:pPr>
      <w:r w:rsidRPr="00D22027">
        <w:t xml:space="preserve">We note the limitation of circumstances allowed for curtailing export power from the previous section—a </w:t>
      </w:r>
      <w:r w:rsidR="00EF6C14">
        <w:t>S</w:t>
      </w:r>
      <w:r w:rsidRPr="00D22027">
        <w:t xml:space="preserve">ustained </w:t>
      </w:r>
      <w:r w:rsidR="00EF6C14">
        <w:t>L</w:t>
      </w:r>
      <w:r w:rsidRPr="00D22027">
        <w:t xml:space="preserve">oad </w:t>
      </w:r>
      <w:r w:rsidR="00EF6C14">
        <w:t>R</w:t>
      </w:r>
      <w:r w:rsidRPr="00D22027">
        <w:t xml:space="preserve">eduction </w:t>
      </w:r>
      <w:r w:rsidR="00EF6C14">
        <w:t>as defined in Disposition #2</w:t>
      </w:r>
      <w:r w:rsidRPr="00D22027">
        <w:t xml:space="preserve">–already constrains the risk of curtailment.  </w:t>
      </w:r>
    </w:p>
    <w:p w:rsidR="003D39C3" w:rsidP="003D39C3" w:rsidRDefault="003D39C3" w14:paraId="444E48B3" w14:textId="77777777">
      <w:pPr>
        <w:spacing w:after="200" w:line="276" w:lineRule="auto"/>
      </w:pPr>
      <w:r w:rsidRPr="00D22027">
        <w:rPr>
          <w:rFonts w:cs="Calibri"/>
          <w:color w:val="000000"/>
          <w:shd w:val="clear" w:color="auto" w:fill="FFFFFF"/>
        </w:rPr>
        <w:t>We further take note of the statement by IREC</w:t>
      </w:r>
      <w:r w:rsidRPr="00D22027">
        <w:t xml:space="preserve">, that in response to a data request by IREC to the Large IOUs, the Large IOUs indicated that they were not aware of even a single incident in the last five years in which a distribution system violation occurred due to sustained </w:t>
      </w:r>
      <w:r w:rsidR="00EF6C14">
        <w:t xml:space="preserve">reduction in </w:t>
      </w:r>
      <w:r w:rsidRPr="00D22027">
        <w:t>load.  Given this re</w:t>
      </w:r>
      <w:r w:rsidR="00A47C18">
        <w:t>sponse</w:t>
      </w:r>
      <w:r w:rsidRPr="00D22027">
        <w:t xml:space="preserve">, we find that sustained </w:t>
      </w:r>
      <w:r w:rsidR="00EF6C14">
        <w:t xml:space="preserve">reductions in </w:t>
      </w:r>
      <w:r w:rsidRPr="00D22027">
        <w:t xml:space="preserve">load, while certainly possible, remain somewhat speculative.  We can’t say </w:t>
      </w:r>
      <w:r w:rsidR="00EF6C14">
        <w:t xml:space="preserve">such </w:t>
      </w:r>
      <w:r w:rsidRPr="00D22027">
        <w:t xml:space="preserve">load reductions won’t happen, but are swayed by IREC’s argument that the likelihood appears low, particularly </w:t>
      </w:r>
      <w:r w:rsidR="00F46962">
        <w:t>given California’s electrification mandates</w:t>
      </w:r>
      <w:r w:rsidRPr="00D22027">
        <w:t>.</w:t>
      </w:r>
    </w:p>
    <w:p w:rsidR="003D39C3" w:rsidP="003D39C3" w:rsidRDefault="00F46962" w14:paraId="0A47DA57" w14:textId="77777777">
      <w:pPr>
        <w:spacing w:after="200" w:line="276" w:lineRule="auto"/>
        <w:rPr>
          <w:rFonts w:cs="Calibri"/>
          <w:color w:val="000000"/>
          <w:shd w:val="clear" w:color="auto" w:fill="FFFFFF"/>
        </w:rPr>
      </w:pPr>
      <w:r>
        <w:t>As discussed in the next section, Disposition #4 Cost Responsibility of LGP Curtailments, w</w:t>
      </w:r>
      <w:r w:rsidRPr="00D22027" w:rsidR="003D39C3">
        <w:t>e find that “</w:t>
      </w:r>
      <w:r w:rsidRPr="00D22027" w:rsidR="003D39C3">
        <w:rPr>
          <w:rFonts w:cs="Calibri"/>
          <w:color w:val="000000"/>
          <w:shd w:val="clear" w:color="auto" w:fill="FFFFFF"/>
        </w:rPr>
        <w:t xml:space="preserve">low-cost mitigations” will likely be sufficient in the large majority of curtailment cases to partially or fully reverse curtailment and restore export </w:t>
      </w:r>
      <w:r w:rsidRPr="00D22027" w:rsidR="003D39C3">
        <w:rPr>
          <w:rFonts w:cs="Calibri"/>
          <w:color w:val="000000"/>
          <w:shd w:val="clear" w:color="auto" w:fill="FFFFFF"/>
        </w:rPr>
        <w:lastRenderedPageBreak/>
        <w:t>values to the LGP values in the interconnection agreement. Thus, any curtailments are very likely to be avoidable or reversible at minimal cost and as part of ordinary utility maintenance budgets, thus also posing low or de minimis cost risk to ratepayers. We return to the issue of cost responsibility in the following section.</w:t>
      </w:r>
    </w:p>
    <w:p w:rsidR="003D39C3" w:rsidP="003D39C3" w:rsidRDefault="003D39C3" w14:paraId="018FF0E2" w14:textId="77777777">
      <w:pPr>
        <w:spacing w:after="200" w:line="276" w:lineRule="auto"/>
        <w:rPr>
          <w:rFonts w:cs="Calibri"/>
          <w:color w:val="000000"/>
          <w:shd w:val="clear" w:color="auto" w:fill="FFFFFF"/>
        </w:rPr>
      </w:pPr>
      <w:r w:rsidRPr="00D22027">
        <w:rPr>
          <w:rFonts w:cs="Calibri"/>
          <w:color w:val="000000"/>
          <w:shd w:val="clear" w:color="auto" w:fill="FFFFFF"/>
        </w:rPr>
        <w:t xml:space="preserve">Finally, we also provide safeguards in the actual event that some LGP facilities do pose higher risks than non-LGP facilities, by ordering modest Data Monitoring and Reporting requirements, including reviews at 3-year intervals of any LGP facility curtailments, discussed further in </w:t>
      </w:r>
      <w:r>
        <w:rPr>
          <w:rFonts w:cs="Calibri"/>
          <w:color w:val="000000"/>
          <w:shd w:val="clear" w:color="auto" w:fill="FFFFFF"/>
        </w:rPr>
        <w:t>Disposition #8 on Data Monitoring and Reporting.</w:t>
      </w:r>
    </w:p>
    <w:p w:rsidR="003D39C3" w:rsidP="003D39C3" w:rsidRDefault="003D39C3" w14:paraId="0A18C733" w14:textId="77777777">
      <w:pPr>
        <w:spacing w:after="200" w:line="276" w:lineRule="auto"/>
        <w:rPr>
          <w:b/>
          <w:bCs/>
        </w:rPr>
      </w:pPr>
      <w:r w:rsidRPr="00D22027">
        <w:rPr>
          <w:b/>
          <w:bCs/>
        </w:rPr>
        <w:t xml:space="preserve">We therefore reject, with </w:t>
      </w:r>
      <w:r>
        <w:rPr>
          <w:b/>
          <w:bCs/>
        </w:rPr>
        <w:t xml:space="preserve">two </w:t>
      </w:r>
      <w:r w:rsidRPr="00D22027">
        <w:rPr>
          <w:b/>
          <w:bCs/>
        </w:rPr>
        <w:t>exceptions, the Large IOUs argument for disparate treatment of LGP facilities vs non-LGP facilities. We find that the circumstances leading to curtailments of LGP facilities, and the durations of such curtailments, shall adhere to the same provisions of Rule 21 Section D.9 as non-LGP facilities</w:t>
      </w:r>
      <w:r w:rsidR="00725EEC">
        <w:rPr>
          <w:b/>
          <w:bCs/>
        </w:rPr>
        <w:t xml:space="preserve">. </w:t>
      </w:r>
      <w:r w:rsidR="000D5CD6">
        <w:rPr>
          <w:b/>
          <w:bCs/>
        </w:rPr>
        <w:t>The two e</w:t>
      </w:r>
      <w:r w:rsidRPr="00D22027">
        <w:rPr>
          <w:b/>
          <w:bCs/>
        </w:rPr>
        <w:t>xceptions for disparate treatment of LGP facilities</w:t>
      </w:r>
      <w:r w:rsidR="000D5CD6">
        <w:rPr>
          <w:b/>
          <w:bCs/>
        </w:rPr>
        <w:t xml:space="preserve"> that we accept are</w:t>
      </w:r>
      <w:r w:rsidRPr="00D22027">
        <w:rPr>
          <w:b/>
          <w:bCs/>
        </w:rPr>
        <w:t xml:space="preserve">:  </w:t>
      </w:r>
    </w:p>
    <w:p w:rsidR="003D39C3" w:rsidP="003D39C3" w:rsidRDefault="003D39C3" w14:paraId="739EB2BD" w14:textId="77777777">
      <w:pPr>
        <w:spacing w:after="200" w:line="276" w:lineRule="auto"/>
        <w:rPr>
          <w:b/>
          <w:bCs/>
        </w:rPr>
      </w:pPr>
      <w:r w:rsidRPr="00D22027">
        <w:rPr>
          <w:b/>
          <w:bCs/>
        </w:rPr>
        <w:t xml:space="preserve">(1) </w:t>
      </w:r>
      <w:r w:rsidR="00CC48B0">
        <w:rPr>
          <w:b/>
          <w:bCs/>
        </w:rPr>
        <w:t>T</w:t>
      </w:r>
      <w:r w:rsidRPr="00D22027">
        <w:rPr>
          <w:b/>
          <w:bCs/>
        </w:rPr>
        <w:t xml:space="preserve">he modification to Rule 21 </w:t>
      </w:r>
      <w:r w:rsidR="00CC48B0">
        <w:rPr>
          <w:b/>
          <w:bCs/>
        </w:rPr>
        <w:t xml:space="preserve">Tariff </w:t>
      </w:r>
      <w:r w:rsidRPr="00D22027">
        <w:rPr>
          <w:b/>
          <w:bCs/>
        </w:rPr>
        <w:t xml:space="preserve">provisions related to curtailment for the </w:t>
      </w:r>
      <w:r>
        <w:rPr>
          <w:b/>
          <w:bCs/>
        </w:rPr>
        <w:t xml:space="preserve">LGP-specific </w:t>
      </w:r>
      <w:r w:rsidRPr="00D22027">
        <w:rPr>
          <w:b/>
          <w:bCs/>
        </w:rPr>
        <w:t xml:space="preserve">circumstances given in </w:t>
      </w:r>
      <w:r>
        <w:rPr>
          <w:b/>
          <w:bCs/>
        </w:rPr>
        <w:t>D</w:t>
      </w:r>
      <w:r w:rsidRPr="00D22027">
        <w:rPr>
          <w:b/>
          <w:bCs/>
        </w:rPr>
        <w:t>isposition #2</w:t>
      </w:r>
      <w:r w:rsidR="009551A2">
        <w:rPr>
          <w:b/>
          <w:bCs/>
        </w:rPr>
        <w:t>:</w:t>
      </w:r>
      <w:r w:rsidRPr="00D22027">
        <w:rPr>
          <w:b/>
          <w:bCs/>
        </w:rPr>
        <w:t xml:space="preserve"> namely for a </w:t>
      </w:r>
      <w:r w:rsidR="00EF6C14">
        <w:rPr>
          <w:b/>
          <w:bCs/>
        </w:rPr>
        <w:t>S</w:t>
      </w:r>
      <w:r w:rsidRPr="00D22027">
        <w:rPr>
          <w:b/>
          <w:bCs/>
        </w:rPr>
        <w:t xml:space="preserve">ustained </w:t>
      </w:r>
      <w:r w:rsidR="00EF6C14">
        <w:rPr>
          <w:b/>
          <w:bCs/>
        </w:rPr>
        <w:t>L</w:t>
      </w:r>
      <w:r w:rsidRPr="00D22027">
        <w:rPr>
          <w:b/>
          <w:bCs/>
        </w:rPr>
        <w:t xml:space="preserve">oad </w:t>
      </w:r>
      <w:r w:rsidR="00EF6C14">
        <w:rPr>
          <w:b/>
          <w:bCs/>
        </w:rPr>
        <w:t>R</w:t>
      </w:r>
      <w:r w:rsidRPr="00D22027">
        <w:rPr>
          <w:b/>
          <w:bCs/>
        </w:rPr>
        <w:t>eduction</w:t>
      </w:r>
      <w:r w:rsidR="00EF6C14">
        <w:rPr>
          <w:b/>
          <w:bCs/>
        </w:rPr>
        <w:t>.</w:t>
      </w:r>
      <w:r w:rsidRPr="00D22027">
        <w:rPr>
          <w:b/>
          <w:bCs/>
        </w:rPr>
        <w:t xml:space="preserve"> </w:t>
      </w:r>
    </w:p>
    <w:p w:rsidR="003D39C3" w:rsidP="003D39C3" w:rsidRDefault="003D39C3" w14:paraId="2A3BDF61" w14:textId="77777777">
      <w:pPr>
        <w:spacing w:after="200" w:line="276" w:lineRule="auto"/>
        <w:rPr>
          <w:b/>
          <w:bCs/>
        </w:rPr>
      </w:pPr>
      <w:r w:rsidRPr="00D22027">
        <w:rPr>
          <w:b/>
          <w:bCs/>
        </w:rPr>
        <w:t xml:space="preserve">(2) </w:t>
      </w:r>
      <w:r w:rsidR="00CC48B0">
        <w:rPr>
          <w:b/>
          <w:bCs/>
        </w:rPr>
        <w:t>D</w:t>
      </w:r>
      <w:r w:rsidRPr="00D22027">
        <w:rPr>
          <w:b/>
          <w:bCs/>
        </w:rPr>
        <w:t>isparate treatment on cost responsibility may be warranted in exceptional cases, as discussed in Disposition #4.</w:t>
      </w:r>
    </w:p>
    <w:p w:rsidR="00171F35" w:rsidP="003D39C3" w:rsidRDefault="00171F35" w14:paraId="55F55EE2" w14:textId="77777777">
      <w:pPr>
        <w:spacing w:after="200" w:line="276" w:lineRule="auto"/>
        <w:rPr>
          <w:b/>
          <w:bCs/>
        </w:rPr>
      </w:pPr>
    </w:p>
    <w:p w:rsidR="00171F35" w:rsidP="003D39C3" w:rsidRDefault="00171F35" w14:paraId="4145EB5A" w14:textId="77777777">
      <w:pPr>
        <w:spacing w:after="200" w:line="276" w:lineRule="auto"/>
        <w:rPr>
          <w:b/>
          <w:bCs/>
        </w:rPr>
      </w:pPr>
    </w:p>
    <w:p w:rsidR="003D39C3" w:rsidP="00653A72" w:rsidRDefault="003D39C3" w14:paraId="3262C113" w14:textId="77777777">
      <w:pPr>
        <w:keepNext/>
        <w:keepLines/>
        <w:snapToGrid w:val="0"/>
        <w:spacing w:before="360" w:after="200" w:line="276" w:lineRule="auto"/>
        <w:rPr>
          <w:b/>
          <w:bCs/>
          <w:u w:val="single"/>
        </w:rPr>
      </w:pPr>
      <w:r w:rsidRPr="00D22027">
        <w:rPr>
          <w:b/>
          <w:bCs/>
          <w:u w:val="single"/>
        </w:rPr>
        <w:t>Disposition #4:  Cost Responsibility Associated with Curtailments</w:t>
      </w:r>
    </w:p>
    <w:p w:rsidR="003D39C3" w:rsidP="00653A72" w:rsidRDefault="003D39C3" w14:paraId="1195C687" w14:textId="77777777">
      <w:pPr>
        <w:keepNext/>
        <w:keepLines/>
        <w:snapToGrid w:val="0"/>
        <w:spacing w:after="200" w:line="276" w:lineRule="auto"/>
      </w:pPr>
      <w:r w:rsidRPr="00D22027">
        <w:t xml:space="preserve">Resolution E-5211 ordered the Large IOUs to “define and discuss what low-cost and common mitigations are available (and if the mitigations include grid upgrades) to avoid curtailment </w:t>
      </w:r>
      <w:r w:rsidR="004009EB">
        <w:t xml:space="preserve">[of export power], </w:t>
      </w:r>
      <w:r w:rsidRPr="00D22027">
        <w:t>and under what circumstances they could be applied</w:t>
      </w:r>
      <w:r w:rsidR="009551A2">
        <w:t>.</w:t>
      </w:r>
      <w:r w:rsidRPr="00D22027">
        <w:t>”</w:t>
      </w:r>
      <w:r w:rsidRPr="00D22027">
        <w:rPr>
          <w:vertAlign w:val="superscript"/>
        </w:rPr>
        <w:footnoteReference w:id="105"/>
      </w:r>
    </w:p>
    <w:p w:rsidR="003D39C3" w:rsidP="003D39C3" w:rsidRDefault="00855191" w14:paraId="39EDED9A" w14:textId="77777777">
      <w:pPr>
        <w:spacing w:after="200" w:line="276" w:lineRule="auto"/>
      </w:pPr>
      <w:r>
        <w:t xml:space="preserve">We find a </w:t>
      </w:r>
      <w:r w:rsidR="004009EB">
        <w:t xml:space="preserve">lack of </w:t>
      </w:r>
      <w:r w:rsidRPr="00D22027" w:rsidR="003D39C3">
        <w:t>consensus between the Large IOUs and non-IOU parties on the question of cost responsibility</w:t>
      </w:r>
      <w:r w:rsidR="009551A2">
        <w:t>:</w:t>
      </w:r>
      <w:r w:rsidRPr="00D22027" w:rsidR="003D39C3">
        <w:t xml:space="preserve"> who pays for any mitigations or upgrades that would be </w:t>
      </w:r>
      <w:r w:rsidRPr="00D22027" w:rsidR="003D39C3">
        <w:lastRenderedPageBreak/>
        <w:t xml:space="preserve">required to reverse the curtailment of an LGP facility and </w:t>
      </w:r>
      <w:r w:rsidR="004009EB">
        <w:t xml:space="preserve">partially or fully </w:t>
      </w:r>
      <w:r w:rsidRPr="00D22027" w:rsidR="003D39C3">
        <w:t xml:space="preserve">restore LGP values to those of the LGP facility’s interconnection agreement (herein called “restoration costs”). The Large IOUs argued that restoration costs should be paid by the LGP facility at its discretion, with the exception of “low-cost mitigations” that would be paid by the utility.  </w:t>
      </w:r>
      <w:r w:rsidR="004009EB">
        <w:t xml:space="preserve">Both IREC and Cal Advocates </w:t>
      </w:r>
      <w:r w:rsidRPr="00D22027" w:rsidR="003D39C3">
        <w:t xml:space="preserve">argue that such restoration costs should always be paid by the utility, as to do otherwise would discriminate against LGP facilities relative to non-LGP facilities and result in the disparate treatment that was discussed in the previous section (Disposition #3). </w:t>
      </w:r>
    </w:p>
    <w:p w:rsidR="003D39C3" w:rsidP="003D39C3" w:rsidRDefault="003D39C3" w14:paraId="77C10E80" w14:textId="77777777">
      <w:pPr>
        <w:snapToGrid w:val="0"/>
        <w:spacing w:after="200" w:line="276" w:lineRule="auto"/>
      </w:pPr>
      <w:r w:rsidRPr="00D22027">
        <w:t>D</w:t>
      </w:r>
      <w:r w:rsidR="00855191">
        <w:t>.</w:t>
      </w:r>
      <w:r w:rsidRPr="00D22027">
        <w:t>20-09-035</w:t>
      </w:r>
      <w:r w:rsidR="00855191">
        <w:t xml:space="preserve"> </w:t>
      </w:r>
      <w:r w:rsidRPr="00D22027">
        <w:t>did not specify whether such reductions could be temporary or permanent.  This lack of specificity has led to two differing opinions—the Large IOUs contend the Decision allows them to curtail power indefinitely in the absence of customer-funded upgrades</w:t>
      </w:r>
      <w:r w:rsidR="00855191">
        <w:t xml:space="preserve">.  IREC and Cal Advocates </w:t>
      </w:r>
      <w:r w:rsidRPr="00D22027">
        <w:t>argue that the LGP in effect at the signing of the interconnection agreement must be adhered to and that ratepayers must bear the costs for any mitigations or upgrades whose need only arises after an interconnection agreement has been executed with the generation customer, consistent with current practice</w:t>
      </w:r>
      <w:r w:rsidR="00D955FD">
        <w:t xml:space="preserve"> that customers only pay for upgrades at the time of an interconnection agreement</w:t>
      </w:r>
      <w:r w:rsidRPr="00D22027">
        <w:t xml:space="preserve">.  </w:t>
      </w:r>
    </w:p>
    <w:p w:rsidR="003D39C3" w:rsidP="003D39C3" w:rsidRDefault="003D39C3" w14:paraId="4456315F" w14:textId="77777777">
      <w:pPr>
        <w:snapToGrid w:val="0"/>
        <w:spacing w:after="200" w:line="276" w:lineRule="auto"/>
      </w:pPr>
      <w:r w:rsidRPr="00D22027">
        <w:t xml:space="preserve">Resolution E-5211 clearly contemplates and differentiates between “low-cost mitigations” and “grid upgrades.” The Resolution states “nothing in the Decision </w:t>
      </w:r>
      <w:r w:rsidR="00653A72">
        <w:br/>
      </w:r>
      <w:r w:rsidRPr="00D22027">
        <w:t xml:space="preserve">pre-empts the Large IOUs from taking proper action to avoid such curtailments </w:t>
      </w:r>
      <w:r w:rsidR="00653A72">
        <w:br/>
      </w:r>
      <w:r w:rsidRPr="00D22027">
        <w:t xml:space="preserve">(e.g., circuit reconfiguration) or from utilizing existing </w:t>
      </w:r>
      <w:proofErr w:type="gramStart"/>
      <w:r w:rsidRPr="00D22027">
        <w:t>mitigations</w:t>
      </w:r>
      <w:r>
        <w:t>.</w:t>
      </w:r>
      <w:r w:rsidRPr="00D22027">
        <w:t>“</w:t>
      </w:r>
      <w:proofErr w:type="gramEnd"/>
      <w:r>
        <w:rPr>
          <w:rStyle w:val="FootnoteReference"/>
        </w:rPr>
        <w:footnoteReference w:id="106"/>
      </w:r>
    </w:p>
    <w:p w:rsidR="003D39C3" w:rsidP="003D39C3" w:rsidRDefault="00855191" w14:paraId="39B0E081" w14:textId="77777777">
      <w:pPr>
        <w:spacing w:after="200" w:line="276" w:lineRule="auto"/>
      </w:pPr>
      <w:r>
        <w:t>T</w:t>
      </w:r>
      <w:r w:rsidRPr="00D22027" w:rsidR="003D39C3">
        <w:t>he Large IOUs s</w:t>
      </w:r>
      <w:r>
        <w:t xml:space="preserve">tate that </w:t>
      </w:r>
      <w:r w:rsidRPr="00D22027" w:rsidR="003D39C3">
        <w:t xml:space="preserve">any curtailment would be accompanied by an assessment of whether low-cost mitigations can be implemented to restore full or partial curtailment. They </w:t>
      </w:r>
      <w:r>
        <w:t>state</w:t>
      </w:r>
      <w:r w:rsidRPr="00D22027" w:rsidR="003D39C3">
        <w:t>:</w:t>
      </w:r>
    </w:p>
    <w:p w:rsidR="003D39C3" w:rsidP="003D39C3" w:rsidRDefault="003D39C3" w14:paraId="51A18A48" w14:textId="77777777">
      <w:pPr>
        <w:spacing w:after="200" w:line="276" w:lineRule="auto"/>
        <w:ind w:left="720"/>
      </w:pPr>
      <w:r w:rsidRPr="00D22027">
        <w:t>Following any urgent actions, the Utilities will undertake an initial assessment to determine whether low-cost mitigation measures can be implemented to restore some or all of the LGP exports and output of non-LGP generating facilities.</w:t>
      </w:r>
    </w:p>
    <w:p w:rsidR="003D39C3" w:rsidP="003D39C3" w:rsidRDefault="003D39C3" w14:paraId="3D42C8B1" w14:textId="77777777">
      <w:pPr>
        <w:spacing w:after="200" w:line="276" w:lineRule="auto"/>
        <w:ind w:left="720"/>
      </w:pPr>
      <w:r w:rsidRPr="00D22027">
        <w:t xml:space="preserve">Low-cost mitigation measures may include the following: (a) reconfiguring circuits on a permanent basis; (b) installing or relocating low-cost voltage </w:t>
      </w:r>
      <w:r w:rsidRPr="00D22027">
        <w:lastRenderedPageBreak/>
        <w:t xml:space="preserve">regulating equipment; (c) adjusting existing equipment settings; (d) enabling or disabling existing capacitor banks; (e) if determined to be viable, utilizing Smart Inverter capabilities to adjust generating facility volt/var and volt/watt functions. </w:t>
      </w:r>
    </w:p>
    <w:p w:rsidR="003D39C3" w:rsidP="003D39C3" w:rsidRDefault="003D39C3" w14:paraId="461A14A7" w14:textId="77777777">
      <w:pPr>
        <w:spacing w:after="200" w:line="276" w:lineRule="auto"/>
        <w:ind w:left="720"/>
      </w:pPr>
      <w:r w:rsidRPr="00D22027">
        <w:t>The list above is non-exhaustive given that the availability and feasibility of low-cost mitigation measures are highly dependent on the specific circumstances giving rise to the reduction in LGP exports and the output of non-LGP generating facilities.</w:t>
      </w:r>
      <w:r w:rsidRPr="00D22027">
        <w:rPr>
          <w:vertAlign w:val="superscript"/>
        </w:rPr>
        <w:footnoteReference w:id="107"/>
      </w:r>
    </w:p>
    <w:p w:rsidR="003D39C3" w:rsidP="003D39C3" w:rsidRDefault="00855191" w14:paraId="71972926" w14:textId="77777777">
      <w:pPr>
        <w:spacing w:after="200" w:line="276" w:lineRule="auto"/>
      </w:pPr>
      <w:r>
        <w:t>T</w:t>
      </w:r>
      <w:r w:rsidRPr="00D22027" w:rsidR="003D39C3">
        <w:t xml:space="preserve">he Large IOUs </w:t>
      </w:r>
      <w:r>
        <w:t xml:space="preserve">do not agree </w:t>
      </w:r>
      <w:r w:rsidRPr="00D22027" w:rsidR="003D39C3">
        <w:t>that cost-responsibility for grid upgrades, in contrast to low-cost mitigations, should be borne by ratepayers. They state:</w:t>
      </w:r>
    </w:p>
    <w:p w:rsidR="003D39C3" w:rsidP="003D39C3" w:rsidRDefault="003D39C3" w14:paraId="4F1298E1" w14:textId="77777777">
      <w:pPr>
        <w:spacing w:after="200" w:line="276" w:lineRule="auto"/>
        <w:ind w:left="720"/>
        <w:rPr>
          <w:iCs/>
        </w:rPr>
      </w:pPr>
      <w:r w:rsidRPr="00D22027">
        <w:rPr>
          <w:iCs/>
        </w:rPr>
        <w:t>The Commission has already determined the appropriate allocation of risk by permitting the curtailment of LGP projects under specified circumstances. Through the Advice Letter, the Joint Utilities have identified appropriate limits on such curtailments and a process to minimize the need for such curtailments by first identifying low-cost mitigation alternatives. No further allocation of risk to ratepayers is necessary or appropriate.</w:t>
      </w:r>
      <w:r w:rsidRPr="00D22027">
        <w:rPr>
          <w:iCs/>
          <w:vertAlign w:val="superscript"/>
        </w:rPr>
        <w:footnoteReference w:id="108"/>
      </w:r>
    </w:p>
    <w:p w:rsidR="003D39C3" w:rsidP="00855191" w:rsidRDefault="003D39C3" w14:paraId="177FD62B" w14:textId="77777777">
      <w:pPr>
        <w:spacing w:after="200" w:line="276" w:lineRule="auto"/>
      </w:pPr>
      <w:r w:rsidRPr="00D22027">
        <w:t xml:space="preserve">IREC and other </w:t>
      </w:r>
      <w:r>
        <w:t xml:space="preserve">Alternate Proposal </w:t>
      </w:r>
      <w:r w:rsidRPr="00D22027">
        <w:t>parties argue that such restoration costs should always be paid by the utility, as to do otherwise would discriminate against LGP facilities relative to non-LGP facilities. That is, parties argue that non-LGP projects are not subject to such upgrade costs should sustained load reduction on a circuit occur</w:t>
      </w:r>
      <w:r>
        <w:t xml:space="preserve">, and that </w:t>
      </w:r>
      <w:r w:rsidRPr="00D22027">
        <w:t>should circumstances arise where the distribution system requires modifications in order to address long-term system issues (i.e., violations of voltage thresholds, equipment ratings, etc.) that are triggered by sustained load reduction</w:t>
      </w:r>
      <w:r>
        <w:t>, then</w:t>
      </w:r>
      <w:r w:rsidR="00855191">
        <w:t xml:space="preserve"> “t</w:t>
      </w:r>
      <w:r w:rsidRPr="00D22027">
        <w:t>he IOUs shall treat the issue as it would were no LGP projects present: make any mitigations or system modifications necessary to resolve the issue and recover costs via its rate case</w:t>
      </w:r>
      <w:r>
        <w:t>.</w:t>
      </w:r>
      <w:r w:rsidR="00855191">
        <w:t>”</w:t>
      </w:r>
      <w:r>
        <w:rPr>
          <w:rStyle w:val="FootnoteReference"/>
        </w:rPr>
        <w:footnoteReference w:id="109"/>
      </w:r>
    </w:p>
    <w:p w:rsidR="003D39C3" w:rsidP="003D39C3" w:rsidRDefault="003D39C3" w14:paraId="1E47EEB7" w14:textId="77777777">
      <w:pPr>
        <w:snapToGrid w:val="0"/>
        <w:spacing w:after="200" w:line="276" w:lineRule="auto"/>
      </w:pPr>
      <w:r w:rsidRPr="00D22027">
        <w:lastRenderedPageBreak/>
        <w:t xml:space="preserve">IREC and other </w:t>
      </w:r>
      <w:r w:rsidRPr="008469B6">
        <w:t>Alternate Proposal</w:t>
      </w:r>
      <w:r w:rsidRPr="00D22027">
        <w:t xml:space="preserve"> parties also argue that “the IOUs’ proposal is likely to foreclose realization of those benefits [bringing DERs online to increase grid reliability] by shifting an unreasonable amount of risk onto each LGP project.”</w:t>
      </w:r>
      <w:r w:rsidRPr="00D22027">
        <w:rPr>
          <w:vertAlign w:val="superscript"/>
        </w:rPr>
        <w:footnoteReference w:id="110"/>
      </w:r>
      <w:r w:rsidRPr="00D22027">
        <w:t xml:space="preserve"> </w:t>
      </w:r>
    </w:p>
    <w:p w:rsidR="003D39C3" w:rsidP="003D39C3" w:rsidRDefault="003D39C3" w14:paraId="489D93B5" w14:textId="77777777">
      <w:pPr>
        <w:snapToGrid w:val="0"/>
        <w:spacing w:after="200" w:line="276" w:lineRule="auto"/>
      </w:pPr>
      <w:r w:rsidRPr="00D22027">
        <w:t>IREC ask</w:t>
      </w:r>
      <w:r>
        <w:t>s</w:t>
      </w:r>
      <w:r w:rsidRPr="00D22027">
        <w:t xml:space="preserve"> the Commission </w:t>
      </w:r>
      <w:r w:rsidR="008012BB">
        <w:t xml:space="preserve">for </w:t>
      </w:r>
      <w:r w:rsidRPr="00D22027">
        <w:t>clarity as to who is responsible for the costs of mitigations or upgrades.  IREC states: “although the IOUs indicated during the workshop process that the low-cost mitigations that may be undertaken to avoid the need for curtailment, where available, would be funded by the utility, the advice letter does not explicitly state as much. The Commission should confirm that these costs will be borne by the utility.”</w:t>
      </w:r>
      <w:r w:rsidRPr="00D22027">
        <w:rPr>
          <w:vertAlign w:val="superscript"/>
        </w:rPr>
        <w:footnoteReference w:id="111"/>
      </w:r>
    </w:p>
    <w:p w:rsidR="003D39C3" w:rsidP="003D39C3" w:rsidRDefault="003D39C3" w14:paraId="60386D8E" w14:textId="77777777">
      <w:pPr>
        <w:snapToGrid w:val="0"/>
        <w:spacing w:after="200" w:line="276" w:lineRule="auto"/>
      </w:pPr>
      <w:r w:rsidRPr="00D22027">
        <w:t xml:space="preserve">IREC </w:t>
      </w:r>
      <w:r w:rsidR="00EE6C5A">
        <w:t xml:space="preserve">and the other Alternate Proposal Parties </w:t>
      </w:r>
      <w:r w:rsidRPr="00D22027">
        <w:t xml:space="preserve">also suggest a “trial period” </w:t>
      </w:r>
      <w:r>
        <w:t xml:space="preserve">of up to </w:t>
      </w:r>
      <w:r w:rsidR="00653A72">
        <w:br/>
      </w:r>
      <w:r>
        <w:t xml:space="preserve">8 years, </w:t>
      </w:r>
      <w:r w:rsidRPr="00D22027">
        <w:t>during which ratepayers would pay for all mitigations and upgrades to allow for real-world data gathering to inform “the Commission to develop a better method for defined risk sharing”</w:t>
      </w:r>
      <w:r w:rsidRPr="00D22027">
        <w:rPr>
          <w:vertAlign w:val="superscript"/>
        </w:rPr>
        <w:footnoteReference w:id="112"/>
      </w:r>
      <w:r w:rsidRPr="00D22027">
        <w:t xml:space="preserve"> and load drop “events either never occur, or occur so rarely that the ratepayer costs are minimal (relative to the ratepayer benefits of LGP), or are non-existent…</w:t>
      </w:r>
      <w:r w:rsidR="009551A2">
        <w:t xml:space="preserve"> .</w:t>
      </w:r>
      <w:r w:rsidRPr="00D22027">
        <w:t>”</w:t>
      </w:r>
      <w:r w:rsidRPr="00D22027">
        <w:rPr>
          <w:vertAlign w:val="superscript"/>
        </w:rPr>
        <w:footnoteReference w:id="113"/>
      </w:r>
      <w:r w:rsidRPr="00D22027">
        <w:t xml:space="preserve"> IREC states: “the proposal would limit the ratepayer exposure to these events by capping the number of times these mitigations or modifications could occur before re-evaluation.</w:t>
      </w:r>
      <w:r w:rsidRPr="00D22027">
        <w:rPr>
          <w:vertAlign w:val="superscript"/>
        </w:rPr>
        <w:footnoteReference w:id="114"/>
      </w:r>
    </w:p>
    <w:p w:rsidR="003D39C3" w:rsidP="003D39C3" w:rsidRDefault="003D39C3" w14:paraId="6FCFC284" w14:textId="77777777">
      <w:pPr>
        <w:spacing w:after="200" w:line="276" w:lineRule="auto"/>
      </w:pPr>
      <w:r w:rsidRPr="00D22027">
        <w:t xml:space="preserve">In the previous section (Disposition #3), we found that disparate treatment of LGP facilities was warranted in relation to cost responsibility in exceptional circumstances.  Here we define those circumstances. In order to </w:t>
      </w:r>
      <w:r w:rsidR="009551A2">
        <w:t xml:space="preserve">do </w:t>
      </w:r>
      <w:r w:rsidRPr="00D22027">
        <w:t xml:space="preserve">that, we discuss and provide guidelines on a distinction between “low-cost mitigations” and “grid upgrades” for the purposes of the LGP option.    </w:t>
      </w:r>
    </w:p>
    <w:p w:rsidR="003D39C3" w:rsidP="003D39C3" w:rsidRDefault="003D39C3" w14:paraId="10662B4E" w14:textId="77777777">
      <w:pPr>
        <w:spacing w:after="200" w:line="276" w:lineRule="auto"/>
      </w:pPr>
      <w:r w:rsidRPr="00D22027">
        <w:t>Discussions during the three workshops ordered by Resolution E-5211</w:t>
      </w:r>
      <w:r w:rsidRPr="00D22027" w:rsidDel="00C51525">
        <w:t xml:space="preserve"> </w:t>
      </w:r>
      <w:r w:rsidRPr="00D22027">
        <w:t>addressed the definition of low-cost mitigations.</w:t>
      </w:r>
      <w:r w:rsidRPr="00D22027">
        <w:rPr>
          <w:vertAlign w:val="superscript"/>
        </w:rPr>
        <w:footnoteReference w:id="115"/>
      </w:r>
      <w:r w:rsidRPr="00D22027">
        <w:t xml:space="preserve">  In its presentation slides during the </w:t>
      </w:r>
      <w:r w:rsidR="00653A72">
        <w:br/>
      </w:r>
      <w:r w:rsidRPr="00D22027">
        <w:t xml:space="preserve">November 29, 2022, workshop, IREC wrote “If the conditions arose where a minor </w:t>
      </w:r>
      <w:r w:rsidRPr="00D22027">
        <w:lastRenderedPageBreak/>
        <w:t>upgrade was required, the IOUs have indicated they (aka the ratepayers) may be willing to absorb the costs of mitigating that risk.”</w:t>
      </w:r>
      <w:r w:rsidR="001053C5">
        <w:rPr>
          <w:rStyle w:val="FootnoteReference"/>
        </w:rPr>
        <w:footnoteReference w:id="116"/>
      </w:r>
      <w:r w:rsidRPr="00D22027">
        <w:t xml:space="preserve"> While that discussion attempted to delineate “minor upgrade” vs “major upgrade” we find it more consistent with Resolution E-5211 to define “low-cost mitigation” vs “grid upgrade.”</w:t>
      </w:r>
    </w:p>
    <w:p w:rsidR="003D39C3" w:rsidP="003D39C3" w:rsidRDefault="003D39C3" w14:paraId="3A9811CC" w14:textId="77777777">
      <w:pPr>
        <w:spacing w:after="200" w:line="276" w:lineRule="auto"/>
      </w:pPr>
      <w:r w:rsidRPr="00D22027">
        <w:t>Each of the Large IOUs’ Rule 21 currently define Distribution Upgrades as:</w:t>
      </w:r>
    </w:p>
    <w:p w:rsidR="003D39C3" w:rsidP="003D39C3" w:rsidRDefault="003D39C3" w14:paraId="76EF9D5E" w14:textId="77777777">
      <w:pPr>
        <w:spacing w:after="200" w:line="276" w:lineRule="auto"/>
        <w:ind w:left="720"/>
      </w:pPr>
      <w:r w:rsidRPr="00D22027">
        <w:t>The additions, modifications, and upgrades to Distribution Provider's Distribution System at or beyond the Point of Interconnection to facilitate interconnection of the Generating Facility and render the Distribution Service. Distribution Upgrades do not include Interconnection Facilities.</w:t>
      </w:r>
      <w:r w:rsidRPr="00D22027">
        <w:rPr>
          <w:vertAlign w:val="superscript"/>
        </w:rPr>
        <w:footnoteReference w:id="117"/>
      </w:r>
      <w:r w:rsidRPr="00D22027">
        <w:t xml:space="preserve"> </w:t>
      </w:r>
    </w:p>
    <w:p w:rsidR="003D39C3" w:rsidP="003D39C3" w:rsidRDefault="003D39C3" w14:paraId="61750C51" w14:textId="77777777">
      <w:pPr>
        <w:spacing w:after="200" w:line="276" w:lineRule="auto"/>
      </w:pPr>
      <w:r w:rsidRPr="00D22027">
        <w:t>While Rule 21 does not explicitly define “mitigations,” it does use the term “mitigations” in addition to “upgrades.”</w:t>
      </w:r>
      <w:r w:rsidRPr="00D22027">
        <w:rPr>
          <w:vertAlign w:val="superscript"/>
        </w:rPr>
        <w:footnoteReference w:id="118"/>
      </w:r>
      <w:r w:rsidRPr="00D22027">
        <w:t xml:space="preserve">  Rule 21 also employs the term “mitigate” in relation to mitigating failed Fast Track Screens A-M or failed Supplemental Review Screens N-Q. For Fast Track screens, Rule 21 Section </w:t>
      </w:r>
      <w:r>
        <w:t>G.1</w:t>
      </w:r>
      <w:r w:rsidRPr="00D22027">
        <w:t xml:space="preserve"> states “</w:t>
      </w:r>
      <w:r>
        <w:t xml:space="preserve">some examples of </w:t>
      </w:r>
      <w:r w:rsidRPr="00D22027">
        <w:t>solutions that may be available to mitigate the impact of a failed Screen A through H” are:</w:t>
      </w:r>
      <w:r w:rsidRPr="00D22027">
        <w:rPr>
          <w:vertAlign w:val="superscript"/>
        </w:rPr>
        <w:footnoteReference w:id="119"/>
      </w:r>
    </w:p>
    <w:p w:rsidRPr="00D22027" w:rsidR="003D39C3" w:rsidP="002C1CC3" w:rsidRDefault="003D39C3" w14:paraId="6266724A"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76" w:lineRule="auto"/>
      </w:pPr>
      <w:r w:rsidRPr="00D22027">
        <w:t>Replace an overloaded distribution transformer with a larger transformer</w:t>
      </w:r>
    </w:p>
    <w:p w:rsidRPr="00D22027" w:rsidR="003D39C3" w:rsidP="002C1CC3" w:rsidRDefault="003D39C3" w14:paraId="0F3B6C2F"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76" w:lineRule="auto"/>
      </w:pPr>
      <w:r w:rsidRPr="00D22027">
        <w:t>Replace overloaded secondary conductors with larger conductor</w:t>
      </w:r>
    </w:p>
    <w:p w:rsidRPr="00D22027" w:rsidR="003D39C3" w:rsidP="002C1CC3" w:rsidRDefault="003D39C3" w14:paraId="75B1FEBE"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76" w:lineRule="auto"/>
      </w:pPr>
      <w:r w:rsidRPr="00D22027">
        <w:t>Determine if phase balancing on the transformer is possible with minimal review</w:t>
      </w:r>
    </w:p>
    <w:p w:rsidR="003D39C3" w:rsidP="002C1CC3" w:rsidRDefault="003D39C3" w14:paraId="4886BDA7"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pPr>
      <w:r w:rsidRPr="00D22027">
        <w:t xml:space="preserve">If </w:t>
      </w:r>
      <w:proofErr w:type="gramStart"/>
      <w:r w:rsidRPr="00D22027">
        <w:t>possible</w:t>
      </w:r>
      <w:proofErr w:type="gramEnd"/>
      <w:r w:rsidRPr="00D22027">
        <w:t xml:space="preserve"> without further study, check if the Generating Facility will actually overstress equipment</w:t>
      </w:r>
    </w:p>
    <w:p w:rsidR="003D39C3" w:rsidP="003D39C3" w:rsidRDefault="003D39C3" w14:paraId="7426889B" w14:textId="77777777">
      <w:pPr>
        <w:spacing w:after="200" w:line="276" w:lineRule="auto"/>
      </w:pPr>
      <w:r w:rsidRPr="00D22027">
        <w:t>For Supplemental Review Screens, Rule 21 states “some examples of solutions that may be available to mitigate the impact of a failed screen</w:t>
      </w:r>
      <w:r w:rsidR="001746A2">
        <w:t>”</w:t>
      </w:r>
      <w:r w:rsidRPr="00D22027">
        <w:t xml:space="preserve"> are:</w:t>
      </w:r>
      <w:r w:rsidRPr="00D22027">
        <w:rPr>
          <w:vertAlign w:val="superscript"/>
        </w:rPr>
        <w:footnoteReference w:id="120"/>
      </w:r>
      <w:r w:rsidRPr="00D22027">
        <w:t xml:space="preserve"> </w:t>
      </w:r>
    </w:p>
    <w:p w:rsidRPr="00D22027" w:rsidR="003D39C3" w:rsidP="002C1CC3" w:rsidRDefault="003D39C3" w14:paraId="05539374"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Replacing a fixed capacitor bank with a switched capacitor bank</w:t>
      </w:r>
    </w:p>
    <w:p w:rsidRPr="00D22027" w:rsidR="003D39C3" w:rsidP="002C1CC3" w:rsidRDefault="003D39C3" w14:paraId="724C8767"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Adjustment of line regulation settings</w:t>
      </w:r>
    </w:p>
    <w:p w:rsidR="003D39C3" w:rsidP="002C1CC3" w:rsidRDefault="003D39C3" w14:paraId="7CF37872" w14:textId="77777777">
      <w:pPr>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pPr>
      <w:r w:rsidRPr="00D22027">
        <w:t>Simple reconfiguration of the distribution circuit</w:t>
      </w:r>
    </w:p>
    <w:p w:rsidR="003D39C3" w:rsidP="003D39C3" w:rsidRDefault="003D39C3" w14:paraId="23609B56" w14:textId="77777777">
      <w:pPr>
        <w:spacing w:after="200" w:line="276" w:lineRule="auto"/>
      </w:pPr>
      <w:r w:rsidRPr="00D22027">
        <w:lastRenderedPageBreak/>
        <w:t xml:space="preserve">The above language from Rule 21 gives us a foundation to delineate between low-cost mitigation and grid upgrades. We, however, also consider other proceedings to define, and give guidance on what constitutes “low-cost mitigations” and “upgrades” for the purposes of the LGP-option.  </w:t>
      </w:r>
    </w:p>
    <w:p w:rsidR="003D39C3" w:rsidP="003D39C3" w:rsidRDefault="003D39C3" w14:paraId="4C33F7B3" w14:textId="77777777">
      <w:pPr>
        <w:spacing w:after="200" w:line="276" w:lineRule="auto"/>
      </w:pPr>
      <w:r w:rsidRPr="00D22027">
        <w:t>The General Rate Cases (GRC) allow cost recovery to the Large IOUs for daily operations expense and delineates between (a) maintenance functions as part of normal distribution system operations and daily operations expense, and (b) upgrade functions involving new capital expenditure associated with forecasting, planning, modernization, and improvement of electric distribution infrastructure.</w:t>
      </w:r>
      <w:r w:rsidRPr="00D22027">
        <w:rPr>
          <w:vertAlign w:val="superscript"/>
        </w:rPr>
        <w:footnoteReference w:id="121"/>
      </w:r>
      <w:r w:rsidRPr="00D22027">
        <w:t xml:space="preserve">  </w:t>
      </w:r>
    </w:p>
    <w:p w:rsidR="003D39C3" w:rsidP="003D39C3" w:rsidRDefault="003D39C3" w14:paraId="00B2767B" w14:textId="77777777">
      <w:pPr>
        <w:spacing w:after="200" w:line="276" w:lineRule="auto"/>
      </w:pPr>
      <w:r w:rsidRPr="00D22027">
        <w:t>The GRCs’ delineation between maintenance and upgrade functions is consistent with our finding that low-cost mitigation</w:t>
      </w:r>
      <w:r w:rsidR="0038682C">
        <w:t>s</w:t>
      </w:r>
      <w:r w:rsidRPr="00D22027">
        <w:t xml:space="preserve"> are consistent with maintenance functions and daily operation expenses.  As such, current utility practice dictates that they should be p</w:t>
      </w:r>
      <w:r w:rsidR="0038682C">
        <w:t>aid for b</w:t>
      </w:r>
      <w:r w:rsidRPr="00D22027">
        <w:t xml:space="preserve">y </w:t>
      </w:r>
      <w:r w:rsidR="00A502BF">
        <w:t xml:space="preserve">ratepayers </w:t>
      </w:r>
      <w:r w:rsidRPr="00D22027">
        <w:t>and not the LGP customer.</w:t>
      </w:r>
    </w:p>
    <w:p w:rsidR="003D39C3" w:rsidP="003D39C3" w:rsidRDefault="003D39C3" w14:paraId="5978081A" w14:textId="77777777">
      <w:pPr>
        <w:spacing w:after="200" w:line="276" w:lineRule="auto"/>
        <w:rPr>
          <w:vertAlign w:val="superscript"/>
        </w:rPr>
      </w:pPr>
      <w:r w:rsidRPr="00D22027">
        <w:t>In a 2018 study of the costs of distribution system mitigations and upgrades in relation to distribution system hosting capacity of distributed generation, the National Renewable Energy Laboratory (NREL) found:</w:t>
      </w:r>
      <w:r w:rsidRPr="00D22027">
        <w:rPr>
          <w:vertAlign w:val="superscript"/>
        </w:rPr>
        <w:t xml:space="preserve"> </w:t>
      </w:r>
      <w:r w:rsidRPr="00D22027">
        <w:rPr>
          <w:vertAlign w:val="superscript"/>
        </w:rPr>
        <w:footnoteReference w:id="122"/>
      </w:r>
    </w:p>
    <w:p w:rsidR="003D39C3" w:rsidP="003D39C3" w:rsidRDefault="003D39C3" w14:paraId="6CDBA8DB" w14:textId="77777777">
      <w:pPr>
        <w:spacing w:after="200" w:line="276" w:lineRule="auto"/>
        <w:ind w:left="720"/>
      </w:pPr>
      <w:r w:rsidRPr="00D22027">
        <w:t xml:space="preserve">In general, </w:t>
      </w:r>
      <w:r w:rsidRPr="00DF0379">
        <w:t>voltage violations were relatively low-cost to mitigate</w:t>
      </w:r>
      <w:r w:rsidRPr="00D22027">
        <w:t xml:space="preserve"> by using advanced inverters, and then adding line voltage regulators or capacitors and/or adjusting the set points of existing voltage regulating equipment…</w:t>
      </w:r>
      <w:r w:rsidR="009551A2">
        <w:t>.</w:t>
      </w:r>
      <w:r w:rsidRPr="00D22027">
        <w:t xml:space="preserve"> Upgrades to mitigate thermal overloads, including reconductoring or replacement of transformers, are generally expensive.</w:t>
      </w:r>
      <w:r w:rsidRPr="00D22027">
        <w:rPr>
          <w:vertAlign w:val="superscript"/>
        </w:rPr>
        <w:footnoteReference w:id="123"/>
      </w:r>
    </w:p>
    <w:p w:rsidR="00B939C6" w:rsidP="00B939C6" w:rsidRDefault="00B939C6" w14:paraId="41E9D5F1" w14:textId="77777777">
      <w:pPr>
        <w:spacing w:after="200" w:line="276" w:lineRule="auto"/>
      </w:pPr>
      <w:r>
        <w:rPr>
          <w:rFonts w:cs="Calibri"/>
          <w:color w:val="000000"/>
          <w:shd w:val="clear" w:color="auto" w:fill="FFFFFF"/>
        </w:rPr>
        <w:t xml:space="preserve">We note that the </w:t>
      </w:r>
      <w:r w:rsidRPr="00D22027">
        <w:rPr>
          <w:rFonts w:cs="Calibri"/>
          <w:color w:val="000000"/>
          <w:shd w:val="clear" w:color="auto" w:fill="FFFFFF"/>
        </w:rPr>
        <w:t xml:space="preserve">LGP configuration analyses presented by the Large IOUs in response to the Energy Division Data Request show that ICA-SG violations for 24-value LGP configurations are primarily voltage-related, and that load reductions and hence export reductions will be de minimis in many cases. That is, voltage-related violations are </w:t>
      </w:r>
      <w:r w:rsidRPr="00D22027">
        <w:rPr>
          <w:rFonts w:cs="Calibri"/>
          <w:color w:val="000000"/>
          <w:shd w:val="clear" w:color="auto" w:fill="FFFFFF"/>
        </w:rPr>
        <w:lastRenderedPageBreak/>
        <w:t xml:space="preserve">more likely to require no mitigations or only low-cost mitigations.  (See </w:t>
      </w:r>
      <w:r>
        <w:rPr>
          <w:rFonts w:cs="Calibri"/>
          <w:color w:val="000000"/>
          <w:shd w:val="clear" w:color="auto" w:fill="FFFFFF"/>
        </w:rPr>
        <w:t xml:space="preserve">Disposition #20 </w:t>
      </w:r>
      <w:r w:rsidRPr="00D22027">
        <w:rPr>
          <w:rFonts w:cs="Calibri"/>
          <w:color w:val="000000"/>
          <w:shd w:val="clear" w:color="auto" w:fill="FFFFFF"/>
        </w:rPr>
        <w:t>on Resolution E-5230 Topic F for more details</w:t>
      </w:r>
      <w:r>
        <w:rPr>
          <w:rFonts w:cs="Calibri"/>
          <w:color w:val="000000"/>
          <w:shd w:val="clear" w:color="auto" w:fill="FFFFFF"/>
        </w:rPr>
        <w:t>.</w:t>
      </w:r>
      <w:r w:rsidRPr="00D22027">
        <w:rPr>
          <w:rFonts w:cs="Calibri"/>
          <w:color w:val="000000"/>
          <w:shd w:val="clear" w:color="auto" w:fill="FFFFFF"/>
        </w:rPr>
        <w:t>)</w:t>
      </w:r>
    </w:p>
    <w:p w:rsidR="003D39C3" w:rsidP="003D39C3" w:rsidRDefault="003D39C3" w14:paraId="42C1461C" w14:textId="77777777">
      <w:pPr>
        <w:spacing w:after="200" w:line="276" w:lineRule="auto"/>
      </w:pPr>
      <w:r w:rsidRPr="00D22027">
        <w:t>For the purposes of the LGP option, we draw from the above sources to modify the definition of “low-cost mitigation” put forth by the Large IOUs and adopt the following delineation between “low-cost mitigations” and “grid upgrades:”</w:t>
      </w:r>
    </w:p>
    <w:p w:rsidR="003D39C3" w:rsidP="002C1CC3" w:rsidRDefault="003D39C3" w14:paraId="0BAB658F" w14:textId="77777777">
      <w:pPr>
        <w:spacing w:after="200" w:line="276" w:lineRule="auto"/>
      </w:pPr>
      <w:r w:rsidRPr="00D22027">
        <w:rPr>
          <w:iCs/>
        </w:rPr>
        <w:t>Low-Cost Mitigations</w:t>
      </w:r>
      <w:r w:rsidRPr="00D22027">
        <w:t xml:space="preserve"> are:</w:t>
      </w:r>
    </w:p>
    <w:p w:rsidRPr="00D22027" w:rsidR="003D39C3" w:rsidP="009551A2" w:rsidRDefault="003D39C3" w14:paraId="4963DA11" w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Routine or minor in nature and have historically been performed on the order of days, weeks, or a few months for design, procurement, and construction.</w:t>
      </w:r>
    </w:p>
    <w:p w:rsidRPr="00D22027" w:rsidR="003D39C3" w:rsidP="009551A2" w:rsidRDefault="003D39C3" w14:paraId="16B1A415" w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Efforts that can be classified in the GRC as maintenance functions that are part of ordinary distribution system operations.</w:t>
      </w:r>
      <w:r w:rsidRPr="00D22027">
        <w:rPr>
          <w:vertAlign w:val="superscript"/>
        </w:rPr>
        <w:footnoteReference w:id="124"/>
      </w:r>
    </w:p>
    <w:p w:rsidRPr="00D22027" w:rsidR="003D39C3" w:rsidP="009551A2" w:rsidRDefault="003D39C3" w14:paraId="37F06E4E" w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Expected to cost in the range of thousands or tens of thousands of dollars.  (These dollar figures shall serve as a general guideline)</w:t>
      </w:r>
    </w:p>
    <w:p w:rsidRPr="00D22027" w:rsidR="003D39C3" w:rsidP="009551A2" w:rsidRDefault="003D39C3" w14:paraId="1DC4746A" w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Items defined</w:t>
      </w:r>
      <w:r w:rsidR="009551A2">
        <w:t xml:space="preserve"> </w:t>
      </w:r>
      <w:r w:rsidRPr="00D22027">
        <w:t>in the Joint January LGP A</w:t>
      </w:r>
      <w:r w:rsidR="002C1CC3">
        <w:t>L</w:t>
      </w:r>
      <w:r w:rsidRPr="00D22027">
        <w:t xml:space="preserve">, noting that </w:t>
      </w:r>
      <w:r w:rsidR="002C1CC3">
        <w:t>t</w:t>
      </w:r>
      <w:r w:rsidRPr="00D22027">
        <w:t xml:space="preserve">he list </w:t>
      </w:r>
      <w:r w:rsidR="002C1CC3">
        <w:t xml:space="preserve">is </w:t>
      </w:r>
      <w:r w:rsidRPr="00D22027">
        <w:t>“non-exhaustive given that the availability and feasibility of low-cost mitigation measures are highly dependent on the specific circumstances giving rise to the reduction in LGP exports and the output of non-LGP generating facilities.”</w:t>
      </w:r>
      <w:r w:rsidRPr="00D22027">
        <w:rPr>
          <w:vertAlign w:val="superscript"/>
        </w:rPr>
        <w:footnoteReference w:id="125"/>
      </w:r>
      <w:r w:rsidRPr="00D22027">
        <w:t xml:space="preserve"> </w:t>
      </w:r>
    </w:p>
    <w:p w:rsidR="003D39C3" w:rsidP="009551A2" w:rsidRDefault="003D39C3" w14:paraId="14B2C454" w14:textId="77777777">
      <w:pPr>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pPr>
      <w:r w:rsidRPr="00D22027">
        <w:t>Items that are called out in Rule 21 as “solutions that may be available to mitigate the impact of a failed screen.”</w:t>
      </w:r>
      <w:r>
        <w:rPr>
          <w:rStyle w:val="FootnoteReference"/>
        </w:rPr>
        <w:footnoteReference w:id="126"/>
      </w:r>
    </w:p>
    <w:p w:rsidR="003D39C3" w:rsidP="00653A72" w:rsidRDefault="003D39C3" w14:paraId="29227860" w14:textId="77777777">
      <w:pPr>
        <w:keepNext/>
        <w:keepLines/>
        <w:spacing w:after="200" w:line="276" w:lineRule="auto"/>
      </w:pPr>
      <w:r w:rsidRPr="00D22027">
        <w:t>Grid Upgrades:</w:t>
      </w:r>
    </w:p>
    <w:p w:rsidRPr="00D22027" w:rsidR="003D39C3" w:rsidP="00653A72" w:rsidRDefault="003D39C3" w14:paraId="2A70B4A5" w14:textId="77777777">
      <w:pPr>
        <w:keepNext/>
        <w:keepLines/>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Require significantly longer design, procurement and construction times than low-cost mitigations, on the order of several months or multiple years.</w:t>
      </w:r>
    </w:p>
    <w:p w:rsidRPr="00D22027" w:rsidR="003D39C3" w:rsidP="009551A2" w:rsidRDefault="003D39C3" w14:paraId="40CEF981" w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Require capital equipment expenditures on the order of hundreds of thousands or millions of dollars.</w:t>
      </w:r>
    </w:p>
    <w:p w:rsidRPr="00D22027" w:rsidR="003D39C3" w:rsidP="009551A2" w:rsidRDefault="003D39C3" w14:paraId="5F46A25A" w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Normally include such items as primary line reconductoring, substation transformer replacement, and protective equipment replacement.</w:t>
      </w:r>
    </w:p>
    <w:p w:rsidR="002C1CC3" w:rsidP="009551A2" w:rsidRDefault="003D39C3" w14:paraId="33CF4464" w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 xml:space="preserve">May include measures to address excess generation on a feeder, such as </w:t>
      </w:r>
      <w:r w:rsidR="009551A2">
        <w:t>in-</w:t>
      </w:r>
      <w:r w:rsidRPr="00D22027">
        <w:t xml:space="preserve">front-of-the-meter storage, or installing or upgrading infrastructure to route excess </w:t>
      </w:r>
      <w:r w:rsidRPr="00D22027">
        <w:lastRenderedPageBreak/>
        <w:t xml:space="preserve">generation to areas of higher </w:t>
      </w:r>
      <w:r w:rsidR="002C1CC3">
        <w:t xml:space="preserve">or new </w:t>
      </w:r>
      <w:r w:rsidRPr="00D22027">
        <w:t>demand such as transportation electrification.</w:t>
      </w:r>
    </w:p>
    <w:p w:rsidR="003D39C3" w:rsidP="009551A2" w:rsidRDefault="003D39C3" w14:paraId="317F872C" w14:textId="77777777">
      <w:pPr>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pPr>
      <w:r w:rsidRPr="00D22027">
        <w:t>Are those that can be classified in the GRC as DER interconnections funded by the interconnection applicants and associated with grid changes required by new generation at the time of interconnection application.</w:t>
      </w:r>
      <w:r w:rsidRPr="00D22027">
        <w:rPr>
          <w:vertAlign w:val="superscript"/>
        </w:rPr>
        <w:footnoteReference w:id="127"/>
      </w:r>
    </w:p>
    <w:p w:rsidR="003D39C3" w:rsidP="003D39C3" w:rsidRDefault="003D39C3" w14:paraId="04716A78" w14:textId="77777777">
      <w:pPr>
        <w:spacing w:after="200" w:line="276" w:lineRule="auto"/>
        <w:rPr>
          <w:rFonts w:cs="Calibri"/>
          <w:color w:val="000000"/>
          <w:shd w:val="clear" w:color="auto" w:fill="FFFFFF"/>
        </w:rPr>
      </w:pPr>
      <w:r w:rsidRPr="00D22027">
        <w:t xml:space="preserve">In disposing of this issue, we find the IOU proposal around low-cost mitigations reasonable but extend it according to our definition above. </w:t>
      </w:r>
      <w:r w:rsidR="0005670E">
        <w:t>Given the information presented above by NREL and the response by the Large IOUs to Energy Division’s Data Request (See Discussion Background on Resolution E-5230 Topic F), w</w:t>
      </w:r>
      <w:r w:rsidRPr="00D22027" w:rsidR="0005670E">
        <w:t xml:space="preserve">e </w:t>
      </w:r>
      <w:r w:rsidR="0005670E">
        <w:t xml:space="preserve">also </w:t>
      </w:r>
      <w:r w:rsidRPr="00D22027">
        <w:t xml:space="preserve">find that </w:t>
      </w:r>
      <w:r w:rsidRPr="00D22027">
        <w:rPr>
          <w:rFonts w:cs="Calibri"/>
          <w:color w:val="000000"/>
          <w:shd w:val="clear" w:color="auto" w:fill="FFFFFF"/>
        </w:rPr>
        <w:t xml:space="preserve">low-cost mitigations will likely be sufficient in the large majority of curtailment cases to partially or fully restore curtailed LGP values. </w:t>
      </w:r>
    </w:p>
    <w:p w:rsidR="003D39C3" w:rsidP="003D39C3" w:rsidRDefault="0005670E" w14:paraId="0E0E3C03" w14:textId="77777777">
      <w:pPr>
        <w:spacing w:after="200" w:line="276" w:lineRule="auto"/>
        <w:rPr>
          <w:rFonts w:cs="Calibri"/>
          <w:color w:val="000000"/>
          <w:shd w:val="clear" w:color="auto" w:fill="FFFFFF"/>
        </w:rPr>
      </w:pPr>
      <w:r>
        <w:rPr>
          <w:rFonts w:cs="Calibri"/>
          <w:color w:val="000000"/>
          <w:shd w:val="clear" w:color="auto" w:fill="FFFFFF"/>
        </w:rPr>
        <w:t>C</w:t>
      </w:r>
      <w:r w:rsidRPr="00D22027" w:rsidR="003D39C3">
        <w:rPr>
          <w:rFonts w:cs="Calibri"/>
          <w:color w:val="000000"/>
          <w:shd w:val="clear" w:color="auto" w:fill="FFFFFF"/>
        </w:rPr>
        <w:t>urrent practice assures that grid upgrade</w:t>
      </w:r>
      <w:r w:rsidR="00491323">
        <w:rPr>
          <w:rFonts w:cs="Calibri"/>
          <w:color w:val="000000"/>
          <w:shd w:val="clear" w:color="auto" w:fill="FFFFFF"/>
        </w:rPr>
        <w:t xml:space="preserve"> costs</w:t>
      </w:r>
      <w:r w:rsidRPr="00D22027" w:rsidR="003D39C3">
        <w:rPr>
          <w:rFonts w:cs="Calibri"/>
          <w:color w:val="000000"/>
          <w:shd w:val="clear" w:color="auto" w:fill="FFFFFF"/>
        </w:rPr>
        <w:t xml:space="preserve"> are </w:t>
      </w:r>
      <w:r w:rsidR="00491323">
        <w:rPr>
          <w:rFonts w:cs="Calibri"/>
          <w:color w:val="000000"/>
          <w:shd w:val="clear" w:color="auto" w:fill="FFFFFF"/>
        </w:rPr>
        <w:t>recovered from ratepayers</w:t>
      </w:r>
      <w:r w:rsidRPr="00D22027" w:rsidR="003D39C3">
        <w:rPr>
          <w:rFonts w:cs="Calibri"/>
          <w:color w:val="000000"/>
          <w:shd w:val="clear" w:color="auto" w:fill="FFFFFF"/>
        </w:rPr>
        <w:t xml:space="preserve"> for any circumstances arising after an interconnection agreement has been executed.</w:t>
      </w:r>
      <w:r w:rsidRPr="00D22027" w:rsidR="003D39C3">
        <w:t xml:space="preserve">  We assert that the proper venue for any changes to this practice is Phase II of proceeding R.17-07-007</w:t>
      </w:r>
      <w:r>
        <w:t xml:space="preserve"> (on cost responsibility)</w:t>
      </w:r>
      <w:r w:rsidRPr="00D22027" w:rsidR="003D39C3">
        <w:t xml:space="preserve">. </w:t>
      </w:r>
      <w:r w:rsidR="009551A2">
        <w:rPr>
          <w:rFonts w:cs="Calibri"/>
          <w:color w:val="000000"/>
          <w:shd w:val="clear" w:color="auto" w:fill="FFFFFF"/>
        </w:rPr>
        <w:t>W</w:t>
      </w:r>
      <w:r w:rsidRPr="00D22027" w:rsidR="003D39C3">
        <w:rPr>
          <w:rFonts w:cs="Calibri"/>
          <w:color w:val="000000"/>
          <w:shd w:val="clear" w:color="auto" w:fill="FFFFFF"/>
        </w:rPr>
        <w:t>e are mindful of the fact</w:t>
      </w:r>
      <w:r w:rsidR="009551A2">
        <w:rPr>
          <w:rFonts w:cs="Calibri"/>
          <w:color w:val="000000"/>
          <w:shd w:val="clear" w:color="auto" w:fill="FFFFFF"/>
        </w:rPr>
        <w:t>, however,</w:t>
      </w:r>
      <w:r w:rsidRPr="00D22027" w:rsidR="003D39C3">
        <w:rPr>
          <w:rFonts w:cs="Calibri"/>
          <w:color w:val="000000"/>
          <w:shd w:val="clear" w:color="auto" w:fill="FFFFFF"/>
        </w:rPr>
        <w:t xml:space="preserve"> that one purpose of the LGP option is to avoid grid upgrades. We find that, in the specific event of </w:t>
      </w:r>
      <w:r w:rsidR="00255D81">
        <w:rPr>
          <w:rFonts w:cs="Calibri"/>
          <w:color w:val="000000"/>
          <w:shd w:val="clear" w:color="auto" w:fill="FFFFFF"/>
        </w:rPr>
        <w:t>S</w:t>
      </w:r>
      <w:r w:rsidRPr="00D22027" w:rsidR="003D39C3">
        <w:rPr>
          <w:rFonts w:cs="Calibri"/>
          <w:color w:val="000000"/>
          <w:shd w:val="clear" w:color="auto" w:fill="FFFFFF"/>
        </w:rPr>
        <w:t xml:space="preserve">ustained </w:t>
      </w:r>
      <w:r w:rsidR="00255D81">
        <w:rPr>
          <w:rFonts w:cs="Calibri"/>
          <w:color w:val="000000"/>
          <w:shd w:val="clear" w:color="auto" w:fill="FFFFFF"/>
        </w:rPr>
        <w:t>L</w:t>
      </w:r>
      <w:r w:rsidRPr="00D22027" w:rsidR="003D39C3">
        <w:rPr>
          <w:rFonts w:cs="Calibri"/>
          <w:color w:val="000000"/>
          <w:shd w:val="clear" w:color="auto" w:fill="FFFFFF"/>
        </w:rPr>
        <w:t xml:space="preserve">oad </w:t>
      </w:r>
      <w:r w:rsidR="00255D81">
        <w:rPr>
          <w:rFonts w:cs="Calibri"/>
          <w:color w:val="000000"/>
          <w:shd w:val="clear" w:color="auto" w:fill="FFFFFF"/>
        </w:rPr>
        <w:t>R</w:t>
      </w:r>
      <w:r w:rsidRPr="00D22027" w:rsidR="003D39C3">
        <w:rPr>
          <w:rFonts w:cs="Calibri"/>
          <w:color w:val="000000"/>
          <w:shd w:val="clear" w:color="auto" w:fill="FFFFFF"/>
        </w:rPr>
        <w:t>eductions causing curtailment of an LGP facility, there is a lack of evidence to support the view that grid upgrades beyond low-cost mitigations will be required to restore the LGP facility curtailment. And we refer back to statements in Disposition #3 on disparate treatment</w:t>
      </w:r>
      <w:r w:rsidR="009551A2">
        <w:rPr>
          <w:rFonts w:cs="Calibri"/>
          <w:color w:val="000000"/>
          <w:shd w:val="clear" w:color="auto" w:fill="FFFFFF"/>
        </w:rPr>
        <w:t xml:space="preserve">: </w:t>
      </w:r>
      <w:r w:rsidRPr="00D22027" w:rsidR="003D39C3">
        <w:rPr>
          <w:rFonts w:cs="Calibri"/>
          <w:color w:val="000000"/>
          <w:shd w:val="clear" w:color="auto" w:fill="FFFFFF"/>
        </w:rPr>
        <w:t xml:space="preserve">there is </w:t>
      </w:r>
      <w:r w:rsidR="00A47C18">
        <w:rPr>
          <w:rFonts w:cs="Calibri"/>
          <w:color w:val="000000"/>
          <w:shd w:val="clear" w:color="auto" w:fill="FFFFFF"/>
        </w:rPr>
        <w:t xml:space="preserve">a lack of evidence that </w:t>
      </w:r>
      <w:r w:rsidRPr="00D22027" w:rsidR="003D39C3">
        <w:rPr>
          <w:rFonts w:cs="Calibri"/>
          <w:color w:val="000000"/>
          <w:shd w:val="clear" w:color="auto" w:fill="FFFFFF"/>
        </w:rPr>
        <w:t xml:space="preserve">over the past five years any sustained load reductions </w:t>
      </w:r>
      <w:r w:rsidR="00A47C18">
        <w:rPr>
          <w:rFonts w:cs="Calibri"/>
          <w:color w:val="000000"/>
          <w:shd w:val="clear" w:color="auto" w:fill="FFFFFF"/>
        </w:rPr>
        <w:t xml:space="preserve">have </w:t>
      </w:r>
      <w:r w:rsidRPr="00D22027" w:rsidR="003D39C3">
        <w:rPr>
          <w:rFonts w:cs="Calibri"/>
          <w:color w:val="000000"/>
          <w:shd w:val="clear" w:color="auto" w:fill="FFFFFF"/>
        </w:rPr>
        <w:t>caus</w:t>
      </w:r>
      <w:r w:rsidR="00A47C18">
        <w:rPr>
          <w:rFonts w:cs="Calibri"/>
          <w:color w:val="000000"/>
          <w:shd w:val="clear" w:color="auto" w:fill="FFFFFF"/>
        </w:rPr>
        <w:t>ed</w:t>
      </w:r>
      <w:r w:rsidRPr="00D22027" w:rsidR="003D39C3">
        <w:rPr>
          <w:rFonts w:cs="Calibri"/>
          <w:color w:val="000000"/>
          <w:shd w:val="clear" w:color="auto" w:fill="FFFFFF"/>
        </w:rPr>
        <w:t xml:space="preserve"> violations need</w:t>
      </w:r>
      <w:r w:rsidR="00A47C18">
        <w:rPr>
          <w:rFonts w:cs="Calibri"/>
          <w:color w:val="000000"/>
          <w:shd w:val="clear" w:color="auto" w:fill="FFFFFF"/>
        </w:rPr>
        <w:t>ing</w:t>
      </w:r>
      <w:r w:rsidRPr="00D22027" w:rsidR="003D39C3">
        <w:rPr>
          <w:rFonts w:cs="Calibri"/>
          <w:color w:val="000000"/>
          <w:shd w:val="clear" w:color="auto" w:fill="FFFFFF"/>
        </w:rPr>
        <w:t xml:space="preserve"> to be mitigated.</w:t>
      </w:r>
    </w:p>
    <w:p w:rsidR="003D39C3" w:rsidP="003D39C3" w:rsidRDefault="003D39C3" w14:paraId="5320FE54" w14:textId="77777777">
      <w:pPr>
        <w:spacing w:after="200" w:line="276" w:lineRule="auto"/>
        <w:rPr>
          <w:rFonts w:cs="Calibri"/>
          <w:color w:val="000000"/>
          <w:shd w:val="clear" w:color="auto" w:fill="FFFFFF"/>
        </w:rPr>
      </w:pPr>
      <w:r w:rsidRPr="00D22027">
        <w:rPr>
          <w:rFonts w:cs="Calibri"/>
          <w:color w:val="000000"/>
          <w:shd w:val="clear" w:color="auto" w:fill="FFFFFF"/>
        </w:rPr>
        <w:t xml:space="preserve">Nevertheless, we find that there should be some mechanism or option(s) for IOUs to safeguard ratepayer interests against unreasonable costs of upgrades. We take note of </w:t>
      </w:r>
      <w:r w:rsidR="00BD7DF5">
        <w:rPr>
          <w:rFonts w:cs="Calibri"/>
          <w:color w:val="000000"/>
          <w:shd w:val="clear" w:color="auto" w:fill="FFFFFF"/>
        </w:rPr>
        <w:t xml:space="preserve">IREC and the other Alternate Proposal Parties’ </w:t>
      </w:r>
      <w:r w:rsidRPr="00D22027">
        <w:rPr>
          <w:rFonts w:cs="Calibri"/>
          <w:color w:val="000000"/>
          <w:shd w:val="clear" w:color="auto" w:fill="FFFFFF"/>
        </w:rPr>
        <w:t>proposal for a “trial period” after which re-evaluation could occur</w:t>
      </w:r>
      <w:r w:rsidR="00BD7DF5">
        <w:rPr>
          <w:rStyle w:val="FootnoteReference"/>
          <w:rFonts w:cs="Calibri"/>
          <w:color w:val="000000"/>
          <w:shd w:val="clear" w:color="auto" w:fill="FFFFFF"/>
        </w:rPr>
        <w:footnoteReference w:id="128"/>
      </w:r>
      <w:r w:rsidRPr="00D22027">
        <w:rPr>
          <w:rFonts w:cs="Calibri"/>
          <w:color w:val="000000"/>
          <w:shd w:val="clear" w:color="auto" w:fill="FFFFFF"/>
        </w:rPr>
        <w:t xml:space="preserve">, and modify this idea to set a </w:t>
      </w:r>
      <w:r w:rsidR="0091548C">
        <w:rPr>
          <w:rFonts w:cs="Calibri"/>
          <w:color w:val="000000"/>
          <w:shd w:val="clear" w:color="auto" w:fill="FFFFFF"/>
        </w:rPr>
        <w:t>10</w:t>
      </w:r>
      <w:r w:rsidRPr="00D22027">
        <w:rPr>
          <w:rFonts w:cs="Calibri"/>
          <w:color w:val="000000"/>
          <w:shd w:val="clear" w:color="auto" w:fill="FFFFFF"/>
        </w:rPr>
        <w:t>% threshold for upgrades that might warrant re-evaluation. We also take note of the existing Rule 21 tariff deviation option.</w:t>
      </w:r>
    </w:p>
    <w:p w:rsidR="003D39C3" w:rsidP="003D39C3" w:rsidRDefault="003D39C3" w14:paraId="33C9C20B" w14:textId="77777777">
      <w:pPr>
        <w:spacing w:after="200" w:line="276" w:lineRule="auto"/>
        <w:rPr>
          <w:b/>
          <w:bCs/>
        </w:rPr>
      </w:pPr>
      <w:r w:rsidRPr="00D22027">
        <w:rPr>
          <w:b/>
          <w:bCs/>
        </w:rPr>
        <w:lastRenderedPageBreak/>
        <w:t xml:space="preserve">In summary, we find the utility shall pay for any low-cost mitigations, as defined in this section, that are required to fully restore curtailed LGP export values to those specified in the interconnection agreement, consistent with normal utility practices and consistent with the cost principles from the GRCs that such low-cost mitigations are covered through normal operations and maintenance budgets. </w:t>
      </w:r>
    </w:p>
    <w:p w:rsidR="003D39C3" w:rsidP="003D39C3" w:rsidRDefault="003D39C3" w14:paraId="5E25FE8E" w14:textId="77777777">
      <w:pPr>
        <w:spacing w:after="200" w:line="276" w:lineRule="auto"/>
        <w:rPr>
          <w:b/>
          <w:bCs/>
        </w:rPr>
      </w:pPr>
      <w:r w:rsidRPr="00D22027">
        <w:rPr>
          <w:b/>
          <w:bCs/>
        </w:rPr>
        <w:t xml:space="preserve">We find that grid upgrades required to fully restore curtailed LGP export values shall also be paid by the utility, but based on the available evidence, we expect required grid upgrades to be rare and that most curtailments can be addressed through low-cost mitigations. </w:t>
      </w:r>
      <w:r w:rsidR="009551A2">
        <w:rPr>
          <w:b/>
          <w:bCs/>
        </w:rPr>
        <w:t>G</w:t>
      </w:r>
      <w:r w:rsidRPr="00D22027">
        <w:rPr>
          <w:b/>
          <w:bCs/>
        </w:rPr>
        <w:t xml:space="preserve">iven that one intention of the LGP option is to avoid grid upgrades, </w:t>
      </w:r>
      <w:r w:rsidR="009551A2">
        <w:rPr>
          <w:b/>
          <w:bCs/>
        </w:rPr>
        <w:t xml:space="preserve">however, </w:t>
      </w:r>
      <w:r w:rsidRPr="00D22027">
        <w:rPr>
          <w:b/>
          <w:bCs/>
        </w:rPr>
        <w:t xml:space="preserve">we also </w:t>
      </w:r>
      <w:r w:rsidR="00743517">
        <w:rPr>
          <w:b/>
          <w:bCs/>
        </w:rPr>
        <w:t>note two processes available</w:t>
      </w:r>
      <w:r w:rsidRPr="00D22027" w:rsidR="00491323">
        <w:rPr>
          <w:b/>
          <w:bCs/>
        </w:rPr>
        <w:t xml:space="preserve"> </w:t>
      </w:r>
      <w:r w:rsidRPr="00D22027">
        <w:rPr>
          <w:b/>
          <w:bCs/>
        </w:rPr>
        <w:t>to safeguard ratepayer interests:</w:t>
      </w:r>
    </w:p>
    <w:p w:rsidR="003D39C3" w:rsidP="003D39C3" w:rsidRDefault="003D39C3" w14:paraId="72A37044" w14:textId="77777777">
      <w:pPr>
        <w:spacing w:after="200" w:line="276" w:lineRule="auto"/>
        <w:rPr>
          <w:b/>
          <w:bCs/>
        </w:rPr>
      </w:pPr>
      <w:r w:rsidRPr="00D22027">
        <w:rPr>
          <w:b/>
          <w:bCs/>
        </w:rPr>
        <w:t xml:space="preserve">(1) In case of exceptional circumstances where grid upgrades would be required to restore curtailed export values of an LGP facility, the Large IOUs </w:t>
      </w:r>
      <w:r w:rsidR="00D1150D">
        <w:rPr>
          <w:b/>
          <w:bCs/>
        </w:rPr>
        <w:t>already have discretion</w:t>
      </w:r>
      <w:r w:rsidR="00491323">
        <w:rPr>
          <w:b/>
          <w:bCs/>
        </w:rPr>
        <w:t xml:space="preserve">, </w:t>
      </w:r>
      <w:r w:rsidRPr="00D22027">
        <w:rPr>
          <w:b/>
          <w:bCs/>
        </w:rPr>
        <w:t>under existing Commission rules</w:t>
      </w:r>
      <w:r w:rsidR="00491323">
        <w:rPr>
          <w:b/>
          <w:bCs/>
        </w:rPr>
        <w:t>,</w:t>
      </w:r>
      <w:r w:rsidRPr="00D22027">
        <w:rPr>
          <w:b/>
          <w:bCs/>
        </w:rPr>
        <w:t xml:space="preserve"> </w:t>
      </w:r>
      <w:r w:rsidR="00AB2464">
        <w:rPr>
          <w:b/>
          <w:bCs/>
        </w:rPr>
        <w:t xml:space="preserve">to </w:t>
      </w:r>
      <w:r w:rsidRPr="00D22027">
        <w:rPr>
          <w:b/>
          <w:bCs/>
        </w:rPr>
        <w:t xml:space="preserve">apply for a tariff deviation if they believe that undertaking an upgrade is not a reasonable use of ratepayer funds or is unreasonably costly in a particular case. </w:t>
      </w:r>
    </w:p>
    <w:p w:rsidR="003D39C3" w:rsidP="003D39C3" w:rsidRDefault="003D39C3" w14:paraId="0316C303" w14:textId="77777777">
      <w:pPr>
        <w:spacing w:after="200" w:line="276" w:lineRule="auto"/>
        <w:rPr>
          <w:b/>
          <w:bCs/>
        </w:rPr>
      </w:pPr>
      <w:r w:rsidRPr="00D22027">
        <w:rPr>
          <w:b/>
          <w:bCs/>
        </w:rPr>
        <w:t xml:space="preserve">(2) </w:t>
      </w:r>
      <w:r w:rsidR="00D1150D">
        <w:rPr>
          <w:b/>
          <w:bCs/>
        </w:rPr>
        <w:t>We adopt a safeguard</w:t>
      </w:r>
      <w:r w:rsidR="005C6338">
        <w:rPr>
          <w:b/>
          <w:bCs/>
        </w:rPr>
        <w:t>,</w:t>
      </w:r>
      <w:r w:rsidR="00D1150D">
        <w:rPr>
          <w:b/>
          <w:bCs/>
        </w:rPr>
        <w:t xml:space="preserve"> </w:t>
      </w:r>
      <w:r w:rsidR="005C6338">
        <w:rPr>
          <w:b/>
          <w:bCs/>
        </w:rPr>
        <w:t xml:space="preserve">as to the circumstances of LGP-specific curtailment, </w:t>
      </w:r>
      <w:r w:rsidR="00D1150D">
        <w:rPr>
          <w:b/>
          <w:bCs/>
        </w:rPr>
        <w:t>that the</w:t>
      </w:r>
      <w:r w:rsidRPr="00D22027">
        <w:rPr>
          <w:b/>
          <w:bCs/>
        </w:rPr>
        <w:t xml:space="preserve"> Large IOUs </w:t>
      </w:r>
      <w:r w:rsidR="00491323">
        <w:rPr>
          <w:b/>
          <w:bCs/>
        </w:rPr>
        <w:t>may</w:t>
      </w:r>
      <w:r w:rsidRPr="00D22027" w:rsidR="00491323">
        <w:rPr>
          <w:b/>
          <w:bCs/>
        </w:rPr>
        <w:t xml:space="preserve"> </w:t>
      </w:r>
      <w:r w:rsidRPr="00D22027">
        <w:rPr>
          <w:b/>
          <w:bCs/>
        </w:rPr>
        <w:t>submit a</w:t>
      </w:r>
      <w:r w:rsidR="000121BA">
        <w:rPr>
          <w:b/>
          <w:bCs/>
        </w:rPr>
        <w:t>n a</w:t>
      </w:r>
      <w:r w:rsidRPr="00D22027">
        <w:rPr>
          <w:b/>
          <w:bCs/>
        </w:rPr>
        <w:t xml:space="preserve">dvice </w:t>
      </w:r>
      <w:r w:rsidR="000121BA">
        <w:rPr>
          <w:b/>
          <w:bCs/>
        </w:rPr>
        <w:t>l</w:t>
      </w:r>
      <w:r w:rsidRPr="00D22027">
        <w:rPr>
          <w:b/>
          <w:bCs/>
        </w:rPr>
        <w:t>etter proposing reconsideration of these findings on cost responsibility if</w:t>
      </w:r>
      <w:r w:rsidR="00DF0379">
        <w:rPr>
          <w:b/>
          <w:bCs/>
        </w:rPr>
        <w:t xml:space="preserve">, </w:t>
      </w:r>
      <w:r w:rsidR="00A62115">
        <w:rPr>
          <w:b/>
          <w:bCs/>
        </w:rPr>
        <w:t xml:space="preserve">during </w:t>
      </w:r>
      <w:r w:rsidR="00DF0379">
        <w:rPr>
          <w:b/>
          <w:bCs/>
        </w:rPr>
        <w:t>the first t</w:t>
      </w:r>
      <w:r w:rsidR="00460842">
        <w:rPr>
          <w:b/>
          <w:bCs/>
        </w:rPr>
        <w:t>hree</w:t>
      </w:r>
      <w:r w:rsidR="00DF0379">
        <w:rPr>
          <w:b/>
          <w:bCs/>
        </w:rPr>
        <w:t xml:space="preserve"> years of the LGP option be</w:t>
      </w:r>
      <w:r w:rsidR="008134DD">
        <w:rPr>
          <w:b/>
          <w:bCs/>
        </w:rPr>
        <w:t>ing e</w:t>
      </w:r>
      <w:r w:rsidR="00DF0379">
        <w:rPr>
          <w:b/>
          <w:bCs/>
        </w:rPr>
        <w:t>ffective,</w:t>
      </w:r>
      <w:r w:rsidRPr="00D22027">
        <w:rPr>
          <w:b/>
          <w:bCs/>
        </w:rPr>
        <w:t xml:space="preserve"> cumulatively more than </w:t>
      </w:r>
      <w:r w:rsidR="000121BA">
        <w:rPr>
          <w:b/>
          <w:bCs/>
        </w:rPr>
        <w:t>10</w:t>
      </w:r>
      <w:r w:rsidRPr="00D22027">
        <w:rPr>
          <w:b/>
          <w:bCs/>
        </w:rPr>
        <w:t>% of actual LGP facility curtailments</w:t>
      </w:r>
      <w:r w:rsidR="009551A2">
        <w:rPr>
          <w:b/>
          <w:bCs/>
        </w:rPr>
        <w:t xml:space="preserve">, </w:t>
      </w:r>
      <w:r w:rsidRPr="00D22027">
        <w:rPr>
          <w:b/>
          <w:bCs/>
        </w:rPr>
        <w:t xml:space="preserve">due strictly to </w:t>
      </w:r>
      <w:r w:rsidR="000121BA">
        <w:rPr>
          <w:b/>
          <w:bCs/>
        </w:rPr>
        <w:t xml:space="preserve">the LGP-specific circumstance of </w:t>
      </w:r>
      <w:r w:rsidR="00255D81">
        <w:rPr>
          <w:b/>
          <w:bCs/>
        </w:rPr>
        <w:t>S</w:t>
      </w:r>
      <w:r w:rsidRPr="00D22027">
        <w:rPr>
          <w:b/>
          <w:bCs/>
        </w:rPr>
        <w:t xml:space="preserve">ustained </w:t>
      </w:r>
      <w:r w:rsidR="00255D81">
        <w:rPr>
          <w:b/>
          <w:bCs/>
        </w:rPr>
        <w:t>L</w:t>
      </w:r>
      <w:r w:rsidRPr="00D22027">
        <w:rPr>
          <w:b/>
          <w:bCs/>
        </w:rPr>
        <w:t xml:space="preserve">oad </w:t>
      </w:r>
      <w:r w:rsidR="00255D81">
        <w:rPr>
          <w:b/>
          <w:bCs/>
        </w:rPr>
        <w:t>R</w:t>
      </w:r>
      <w:r w:rsidRPr="00D22027">
        <w:rPr>
          <w:b/>
          <w:bCs/>
        </w:rPr>
        <w:t>eductions</w:t>
      </w:r>
      <w:r w:rsidR="009551A2">
        <w:rPr>
          <w:b/>
          <w:bCs/>
        </w:rPr>
        <w:t xml:space="preserve">, </w:t>
      </w:r>
      <w:r w:rsidRPr="00D22027">
        <w:rPr>
          <w:b/>
          <w:bCs/>
        </w:rPr>
        <w:t xml:space="preserve">have required grid upgrades </w:t>
      </w:r>
      <w:r w:rsidR="00B26E2F">
        <w:rPr>
          <w:b/>
          <w:bCs/>
        </w:rPr>
        <w:t xml:space="preserve">(rather than low-cost mitigations) </w:t>
      </w:r>
      <w:r w:rsidRPr="00D22027">
        <w:rPr>
          <w:b/>
          <w:bCs/>
        </w:rPr>
        <w:t xml:space="preserve">to restore curtailed LGP export values. </w:t>
      </w:r>
    </w:p>
    <w:p w:rsidR="003D39C3" w:rsidP="000572B8" w:rsidRDefault="003D39C3" w14:paraId="1B44098F" w14:textId="77777777">
      <w:pPr>
        <w:snapToGrid w:val="0"/>
        <w:spacing w:before="360" w:after="200" w:line="276" w:lineRule="auto"/>
        <w:rPr>
          <w:b/>
          <w:bCs/>
          <w:u w:val="single"/>
        </w:rPr>
      </w:pPr>
      <w:r w:rsidRPr="00D22027">
        <w:rPr>
          <w:b/>
          <w:bCs/>
          <w:u w:val="single"/>
        </w:rPr>
        <w:t>Disposition #5:  Cost Causation Principles</w:t>
      </w:r>
      <w:r w:rsidR="006D50CF">
        <w:rPr>
          <w:b/>
          <w:bCs/>
          <w:u w:val="single"/>
        </w:rPr>
        <w:t xml:space="preserve"> Are Not Changed</w:t>
      </w:r>
    </w:p>
    <w:p w:rsidR="003D39C3" w:rsidP="003D39C3" w:rsidRDefault="003D39C3" w14:paraId="1C2F60A9" w14:textId="77777777">
      <w:pPr>
        <w:snapToGrid w:val="0"/>
        <w:spacing w:after="200" w:line="276" w:lineRule="auto"/>
      </w:pPr>
      <w:r w:rsidRPr="00D22027">
        <w:t xml:space="preserve">We </w:t>
      </w:r>
      <w:r w:rsidR="008238F9">
        <w:t xml:space="preserve">affirm </w:t>
      </w:r>
      <w:r w:rsidRPr="00D22027">
        <w:t>that cost causation principles</w:t>
      </w:r>
      <w:r w:rsidR="008B7312">
        <w:t xml:space="preserve"> are not changed</w:t>
      </w:r>
      <w:r w:rsidRPr="00D22027">
        <w:t xml:space="preserve">. Indeed, </w:t>
      </w:r>
      <w:r w:rsidR="008B7312">
        <w:t xml:space="preserve">any changes are </w:t>
      </w:r>
      <w:r w:rsidRPr="00D22027">
        <w:t xml:space="preserve">outside the scope of </w:t>
      </w:r>
      <w:r w:rsidR="008B7312">
        <w:t xml:space="preserve">a </w:t>
      </w:r>
      <w:r w:rsidRPr="00D22027">
        <w:t xml:space="preserve">resolution and must be addressed within a formal proceeding. </w:t>
      </w:r>
    </w:p>
    <w:p w:rsidR="003D39C3" w:rsidP="003D39C3" w:rsidRDefault="008238F9" w14:paraId="609BF63B" w14:textId="77777777">
      <w:pPr>
        <w:snapToGrid w:val="0"/>
        <w:spacing w:after="200" w:line="276" w:lineRule="auto"/>
      </w:pPr>
      <w:r>
        <w:t>W</w:t>
      </w:r>
      <w:r w:rsidRPr="00D22027" w:rsidR="003D39C3">
        <w:t xml:space="preserve">e uphold the existing cost causation principle, that the costs of any mitigations or upgrades required subsequent to the execution of an interconnection agreement be borne by ratepayers for all generating facilities. It is the Commission’s policy to determine costs are just and reasonable (Cal. Pub. Util. Code § 451).  So far, sufficient </w:t>
      </w:r>
      <w:r w:rsidRPr="00D22027" w:rsidR="003D39C3">
        <w:lastRenderedPageBreak/>
        <w:t xml:space="preserve">rationale has not been provided that any costs to ratepayers associated with the LGP option </w:t>
      </w:r>
      <w:r w:rsidR="006D50CF">
        <w:t xml:space="preserve">will be an undue burden on </w:t>
      </w:r>
      <w:r w:rsidRPr="00D22027" w:rsidR="003D39C3">
        <w:t xml:space="preserve">ratepayers.  </w:t>
      </w:r>
    </w:p>
    <w:p w:rsidR="003D39C3" w:rsidP="003D39C3" w:rsidRDefault="009B56B1" w14:paraId="5A42102C" w14:textId="77777777">
      <w:pPr>
        <w:snapToGrid w:val="0"/>
        <w:spacing w:after="200" w:line="276" w:lineRule="auto"/>
      </w:pPr>
      <w:r>
        <w:t>Any</w:t>
      </w:r>
      <w:r w:rsidRPr="00D22027" w:rsidR="003D39C3">
        <w:t xml:space="preserve"> change</w:t>
      </w:r>
      <w:r>
        <w:t>s</w:t>
      </w:r>
      <w:r w:rsidRPr="00D22027" w:rsidR="003D39C3">
        <w:t xml:space="preserve"> to cost causation </w:t>
      </w:r>
      <w:r>
        <w:t xml:space="preserve">proposed </w:t>
      </w:r>
      <w:r w:rsidRPr="00D22027" w:rsidR="003D39C3">
        <w:t xml:space="preserve">by the Large IOUs and non-IOU parties </w:t>
      </w:r>
      <w:r>
        <w:t>are</w:t>
      </w:r>
      <w:r w:rsidRPr="00D22027" w:rsidR="003D39C3">
        <w:t xml:space="preserve"> more appropriate for Phase II of R.17-07-007, the ratemaking phase. In arriving at this opinion, we rely on GO 96-B and the scope of issues for Phase II o</w:t>
      </w:r>
      <w:r w:rsidR="001672C4">
        <w:t>f</w:t>
      </w:r>
      <w:r w:rsidRPr="00D22027" w:rsidR="003D39C3">
        <w:t xml:space="preserve"> R.17-07-007. </w:t>
      </w:r>
    </w:p>
    <w:p w:rsidR="003D39C3" w:rsidP="003D39C3" w:rsidRDefault="003D39C3" w14:paraId="3373408D" w14:textId="77777777">
      <w:pPr>
        <w:snapToGrid w:val="0"/>
        <w:spacing w:after="200" w:line="276" w:lineRule="auto"/>
      </w:pPr>
      <w:r w:rsidRPr="00D22027">
        <w:t>Per GO 96-B Section 5.1 “The advice letter process provides a quick and simplified review of the types of utility requests that are expected neither to be controversial nor to raise important policy questions. The advice letter process does not provide for an evidentiary hearing; a matter that requires an evidentiary hearing may be considered only in a formal proceeding.”</w:t>
      </w:r>
      <w:r w:rsidRPr="00D22027">
        <w:rPr>
          <w:vertAlign w:val="superscript"/>
        </w:rPr>
        <w:footnoteReference w:id="129"/>
      </w:r>
      <w:r w:rsidRPr="00D22027">
        <w:t xml:space="preserve"> Thus, the topic of cost-responsibility is not </w:t>
      </w:r>
      <w:r w:rsidR="009551A2">
        <w:t xml:space="preserve">appropriately </w:t>
      </w:r>
      <w:r w:rsidRPr="00D22027">
        <w:t xml:space="preserve">subject to disposition via the AL resolution process.  </w:t>
      </w:r>
    </w:p>
    <w:p w:rsidR="003D39C3" w:rsidP="003D39C3" w:rsidRDefault="003D39C3" w14:paraId="67802F85" w14:textId="77777777">
      <w:pPr>
        <w:snapToGrid w:val="0"/>
        <w:spacing w:after="200" w:line="276" w:lineRule="auto"/>
      </w:pPr>
      <w:r w:rsidRPr="00D22027">
        <w:t xml:space="preserve">Additionally, R.17-07-007 has already scoped cost-recovery issues. </w:t>
      </w:r>
      <w:r w:rsidR="007A4C8D">
        <w:t xml:space="preserve"> S</w:t>
      </w:r>
      <w:r w:rsidRPr="00D22027" w:rsidR="007A4C8D">
        <w:t>pecifically</w:t>
      </w:r>
      <w:r w:rsidRPr="00D22027">
        <w:t xml:space="preserve">, the scoping memo states </w:t>
      </w:r>
      <w:r w:rsidR="001672C4">
        <w:t xml:space="preserve">agreement </w:t>
      </w:r>
      <w:r w:rsidRPr="00D22027">
        <w:t xml:space="preserve">with SCE </w:t>
      </w:r>
      <w:r w:rsidR="001672C4">
        <w:t>“</w:t>
      </w:r>
      <w:r w:rsidRPr="00D22027">
        <w:t>that discussion in this proceeding is warranted regarding potential funding for implementation costs and cost recovery.”</w:t>
      </w:r>
      <w:r w:rsidRPr="00D22027">
        <w:rPr>
          <w:vertAlign w:val="superscript"/>
        </w:rPr>
        <w:footnoteReference w:id="130"/>
      </w:r>
      <w:r>
        <w:t xml:space="preserve">  A</w:t>
      </w:r>
      <w:r w:rsidRPr="00D22027">
        <w:t>nd that “due to the overlap of the issue of cost sharing of distribution upgrade costs across several issues listed above, Phase II will address the issue of cost sharing of distribution upgrade costs, in general.”</w:t>
      </w:r>
      <w:r w:rsidRPr="00D22027">
        <w:rPr>
          <w:vertAlign w:val="superscript"/>
        </w:rPr>
        <w:footnoteReference w:id="131"/>
      </w:r>
      <w:r>
        <w:t xml:space="preserve"> </w:t>
      </w:r>
      <w:r w:rsidRPr="00D22027">
        <w:t xml:space="preserve"> The R.17-07-007 scoping memo has adopted these issues to be determined in Phase II as follows:</w:t>
      </w:r>
    </w:p>
    <w:p w:rsidR="003D39C3" w:rsidP="009551A2" w:rsidRDefault="003D39C3" w14:paraId="3BABFA67"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pPr>
      <w:r w:rsidRPr="00D22027">
        <w:t>[Issue 3] What are the infrastructure and costs necessary to implement the Utilities’ counter proposal for Issue 9 regarding Limited Generation Profile (adopted in D.20-09-035)? Are these costs reasonable? How should upgrade costs be treated in the event a circuit’s hosting capacity is exhausted by developers using the Limited Generation Profile of Issue 9?</w:t>
      </w:r>
      <w:r w:rsidRPr="00D22027">
        <w:rPr>
          <w:vertAlign w:val="superscript"/>
        </w:rPr>
        <w:footnoteReference w:id="132"/>
      </w:r>
    </w:p>
    <w:p w:rsidR="003D39C3" w:rsidP="009551A2" w:rsidRDefault="003D39C3" w14:paraId="4FB20946"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pPr>
      <w:r w:rsidRPr="00D22027">
        <w:t>[Issue 12] How should the Commission address cost sharing of distribution upgrade costs in general?</w:t>
      </w:r>
      <w:r>
        <w:rPr>
          <w:rStyle w:val="FootnoteReference"/>
        </w:rPr>
        <w:footnoteReference w:id="133"/>
      </w:r>
    </w:p>
    <w:p w:rsidRPr="008B7312" w:rsidR="003D39C3" w:rsidP="003D39C3" w:rsidRDefault="008B7312" w14:paraId="7C1AA3AF" w14:textId="77777777">
      <w:pPr>
        <w:snapToGrid w:val="0"/>
        <w:spacing w:after="200" w:line="276" w:lineRule="auto"/>
        <w:rPr>
          <w:b/>
          <w:bCs/>
        </w:rPr>
      </w:pPr>
      <w:r w:rsidRPr="008B7312">
        <w:rPr>
          <w:b/>
          <w:bCs/>
        </w:rPr>
        <w:lastRenderedPageBreak/>
        <w:t>We uphold the existing cost causation principle, that the costs of any mitigations or upgrades required subsequent to the execution of an interconnection agreement be borne by ratepayers for all generating facilities.</w:t>
      </w:r>
      <w:r w:rsidRPr="008B7312" w:rsidR="003D39C3">
        <w:rPr>
          <w:b/>
          <w:bCs/>
        </w:rPr>
        <w:t xml:space="preserve"> </w:t>
      </w:r>
      <w:r w:rsidRPr="000940E6" w:rsidR="000940E6">
        <w:rPr>
          <w:b/>
          <w:bCs/>
        </w:rPr>
        <w:t>Phase II of the R</w:t>
      </w:r>
      <w:r w:rsidR="000940E6">
        <w:rPr>
          <w:b/>
          <w:bCs/>
        </w:rPr>
        <w:t>.</w:t>
      </w:r>
      <w:r w:rsidRPr="000940E6" w:rsidR="000940E6">
        <w:rPr>
          <w:b/>
          <w:bCs/>
        </w:rPr>
        <w:t xml:space="preserve">17-07-007 proceeding </w:t>
      </w:r>
      <w:r w:rsidR="000940E6">
        <w:rPr>
          <w:b/>
          <w:bCs/>
        </w:rPr>
        <w:t xml:space="preserve">may </w:t>
      </w:r>
      <w:r w:rsidRPr="000940E6" w:rsidR="000940E6">
        <w:rPr>
          <w:b/>
          <w:bCs/>
        </w:rPr>
        <w:t>determine alternative cost-responsibility principles</w:t>
      </w:r>
      <w:r w:rsidR="000940E6">
        <w:rPr>
          <w:b/>
          <w:bCs/>
        </w:rPr>
        <w:t>.</w:t>
      </w:r>
    </w:p>
    <w:p w:rsidR="003D39C3" w:rsidP="000572B8" w:rsidRDefault="003D39C3" w14:paraId="250667F0" w14:textId="77777777">
      <w:pPr>
        <w:snapToGrid w:val="0"/>
        <w:spacing w:before="360" w:after="200" w:line="276" w:lineRule="auto"/>
        <w:rPr>
          <w:b/>
          <w:bCs/>
          <w:u w:val="single"/>
        </w:rPr>
      </w:pPr>
      <w:r w:rsidRPr="00D22027">
        <w:rPr>
          <w:b/>
          <w:bCs/>
          <w:u w:val="single"/>
        </w:rPr>
        <w:t xml:space="preserve">Disposition #6:  Magnitude of Curtailment and Rule 21 </w:t>
      </w:r>
      <w:r w:rsidR="00F73164">
        <w:rPr>
          <w:b/>
          <w:bCs/>
          <w:u w:val="single"/>
        </w:rPr>
        <w:t xml:space="preserve">Tariff </w:t>
      </w:r>
      <w:r w:rsidRPr="00D22027">
        <w:rPr>
          <w:b/>
          <w:bCs/>
          <w:u w:val="single"/>
        </w:rPr>
        <w:t>Language Changes</w:t>
      </w:r>
    </w:p>
    <w:p w:rsidR="003D39C3" w:rsidP="003D39C3" w:rsidRDefault="003D39C3" w14:paraId="01CE234E" w14:textId="77777777">
      <w:pPr>
        <w:snapToGrid w:val="0"/>
        <w:spacing w:after="200" w:line="276" w:lineRule="auto"/>
      </w:pPr>
      <w:r w:rsidRPr="00D22027">
        <w:t>Decision 20-09-035 allowed for curtailment of LGP facilities down to the minimum ICA-SG value identified at the time of the Interconnection Application.</w:t>
      </w:r>
      <w:r>
        <w:rPr>
          <w:rStyle w:val="FootnoteReference"/>
        </w:rPr>
        <w:footnoteReference w:id="134"/>
      </w:r>
      <w:r w:rsidRPr="00D22027">
        <w:t xml:space="preserve">  The Large IOUs propose to memorialize this curtailment provision in Rule 21 Section D.9 as follows:</w:t>
      </w:r>
    </w:p>
    <w:p w:rsidR="003D39C3" w:rsidP="003D39C3" w:rsidRDefault="003D39C3" w14:paraId="5C2D14E4" w14:textId="77777777">
      <w:pPr>
        <w:snapToGrid w:val="0"/>
        <w:spacing w:after="200" w:line="276" w:lineRule="auto"/>
        <w:ind w:left="720"/>
      </w:pPr>
      <w:r w:rsidRPr="00D22027">
        <w:t>For Generating Facilities approved to utilize Limited Generation Profiles, Producer acknowledges that future grid conditions could result in actual hosting capacity being below the published ICA-SG value identified at the time of the Interconnection Application and that Distribution Provider may need to reduce generation to ensure safe and reliable service. Accordingly, if necessary to maintain safe and reliable operation of Distribution Provider’s Distribution or Transmission System, Distribution Provider may reduce the approved Limited Generation Profile level to the lowest ICA-SG value identified at the time of the Interconnection Application.</w:t>
      </w:r>
    </w:p>
    <w:p w:rsidR="003D39C3" w:rsidP="003D39C3" w:rsidRDefault="003D39C3" w14:paraId="48875974" w14:textId="77777777">
      <w:pPr>
        <w:snapToGrid w:val="0"/>
        <w:spacing w:after="200" w:line="276" w:lineRule="auto"/>
        <w:ind w:left="720"/>
      </w:pPr>
      <w:r w:rsidRPr="00D22027">
        <w:t>If the Distribution Provider must limit the operation of a Producer’s Generating Facility to a level that is below the lowest ICA-SG value in effect at the time of the Interconnection Application to maintain safe and reliable operation of Distribution Provider’s Distribution or Transmission System, then Distribution Provider shall implement measures – in accordance with Distribution Provider’s practices for design and construction –to restore operation of Producer’s Generating Facility to, at a minimum, the lowest ICA-SG value identified at the time of the Interconnection Application.</w:t>
      </w:r>
      <w:r w:rsidRPr="00D22027">
        <w:rPr>
          <w:vertAlign w:val="superscript"/>
        </w:rPr>
        <w:footnoteReference w:id="135"/>
      </w:r>
    </w:p>
    <w:p w:rsidR="003D39C3" w:rsidP="003D39C3" w:rsidRDefault="003D39C3" w14:paraId="0B7F93D5" w14:textId="77777777">
      <w:pPr>
        <w:snapToGrid w:val="0"/>
        <w:spacing w:after="200" w:line="276" w:lineRule="auto"/>
      </w:pPr>
      <w:r w:rsidRPr="00D22027">
        <w:t>The Large IOUs also propose to include in the Rule 21 language that “This reduction could be temporary or permanent</w:t>
      </w:r>
      <w:r>
        <w:t>.</w:t>
      </w:r>
      <w:r w:rsidRPr="00D22027">
        <w:t>”</w:t>
      </w:r>
      <w:r>
        <w:rPr>
          <w:rStyle w:val="FootnoteReference"/>
        </w:rPr>
        <w:footnoteReference w:id="136"/>
      </w:r>
      <w:r w:rsidR="00F6404A">
        <w:t xml:space="preserve"> </w:t>
      </w:r>
      <w:r w:rsidR="009551A2">
        <w:t>T</w:t>
      </w:r>
      <w:r w:rsidRPr="00D22027">
        <w:t>he Large IOUs also state:</w:t>
      </w:r>
    </w:p>
    <w:p w:rsidR="003D39C3" w:rsidP="003D39C3" w:rsidRDefault="003D39C3" w14:paraId="3856F9F1" w14:textId="77777777">
      <w:pPr>
        <w:snapToGrid w:val="0"/>
        <w:spacing w:after="200" w:line="276" w:lineRule="auto"/>
        <w:ind w:left="720"/>
      </w:pPr>
      <w:r w:rsidRPr="00D22027">
        <w:lastRenderedPageBreak/>
        <w:t>As set forth in the Resolution, the Utilities will not request curtailment of LGP exports in excess of the amount required to preserve safety and reliability. Any reductions will be justified by the Utilities when providing notices to customers with LGP generating facilities.</w:t>
      </w:r>
      <w:r w:rsidRPr="00D22027">
        <w:rPr>
          <w:vertAlign w:val="superscript"/>
        </w:rPr>
        <w:footnoteReference w:id="137"/>
      </w:r>
    </w:p>
    <w:p w:rsidR="003D39C3" w:rsidP="003D39C3" w:rsidRDefault="003D39C3" w14:paraId="7BBF68CA" w14:textId="77777777">
      <w:pPr>
        <w:snapToGrid w:val="0"/>
        <w:spacing w:after="200" w:line="276" w:lineRule="auto"/>
      </w:pPr>
      <w:r w:rsidRPr="00D22027">
        <w:t>Both IREC and Cal Advocates argue that the proposed Rule 21 language should be rejected, and that the existing Section D.9 is adequate to cover LGP facilities. They argue any added language to Section D.9 is unnecessary, and that the proposed language is overly broad</w:t>
      </w:r>
      <w:r w:rsidR="003E34E9">
        <w:t xml:space="preserve"> and</w:t>
      </w:r>
      <w:r w:rsidRPr="00D22027">
        <w:t xml:space="preserve"> does not provide “specifics on when curtailment would occur beyond </w:t>
      </w:r>
      <w:r>
        <w:t>‘</w:t>
      </w:r>
      <w:r w:rsidRPr="00D22027">
        <w:t>future grid conditions</w:t>
      </w:r>
      <w:r w:rsidR="00F6404A">
        <w:t>.</w:t>
      </w:r>
      <w:r>
        <w:t>’</w:t>
      </w:r>
      <w:r w:rsidRPr="00D22027">
        <w:t>”</w:t>
      </w:r>
      <w:r w:rsidRPr="00D22027">
        <w:rPr>
          <w:vertAlign w:val="superscript"/>
        </w:rPr>
        <w:footnoteReference w:id="138"/>
      </w:r>
    </w:p>
    <w:p w:rsidR="003D39C3" w:rsidP="003D39C3" w:rsidRDefault="003D39C3" w14:paraId="79241034" w14:textId="77777777">
      <w:pPr>
        <w:snapToGrid w:val="0"/>
        <w:spacing w:after="200" w:line="276" w:lineRule="auto"/>
      </w:pPr>
      <w:r w:rsidRPr="00D22027">
        <w:t>As a minor point, IREC recommends that if any tariff change is adopted, it should be numbered “in accordance with the format used in</w:t>
      </w:r>
      <w:r w:rsidR="009551A2">
        <w:t xml:space="preserve"> </w:t>
      </w:r>
      <w:r w:rsidRPr="00D22027">
        <w:t>…</w:t>
      </w:r>
      <w:r w:rsidR="009551A2">
        <w:t xml:space="preserve"> </w:t>
      </w:r>
      <w:r w:rsidRPr="00D22027">
        <w:t>Rule 21 (i.e.</w:t>
      </w:r>
      <w:r>
        <w:t>,</w:t>
      </w:r>
      <w:r w:rsidRPr="00D22027">
        <w:t xml:space="preserve"> current section D.9 should be identified as D.9.a and the new section should be numbered D.9.b).”</w:t>
      </w:r>
      <w:r>
        <w:rPr>
          <w:rStyle w:val="FootnoteReference"/>
        </w:rPr>
        <w:footnoteReference w:id="139"/>
      </w:r>
      <w:r w:rsidRPr="00D22027">
        <w:t xml:space="preserve"> </w:t>
      </w:r>
      <w:r>
        <w:t xml:space="preserve"> </w:t>
      </w:r>
      <w:r w:rsidRPr="00D22027">
        <w:t>We agree with this point.</w:t>
      </w:r>
    </w:p>
    <w:p w:rsidR="003D39C3" w:rsidP="003D39C3" w:rsidRDefault="003D39C3" w14:paraId="778EA0C9" w14:textId="77777777">
      <w:pPr>
        <w:snapToGrid w:val="0"/>
        <w:spacing w:after="200" w:line="276" w:lineRule="auto"/>
      </w:pPr>
      <w:r w:rsidRPr="00D22027">
        <w:t xml:space="preserve">Regarding reductions being temporary or permanent, we find that that current practice assures that any reduction is temporary, until mitigations or grid upgrades can be performed. We note that Disposition #1 above has already addressed the second paragraph of the Large IOUs proposed Rule 21 language, on business-as-usual temporary curtailments to maintain safe and reliable operation, and find that such added language is not required. We note that the issue of disparate treatment related to any curtailment of an LGP facility that is due to sustained load reduction, as well as the issue of cost responsibility, have both been </w:t>
      </w:r>
      <w:r>
        <w:t xml:space="preserve">discussed in </w:t>
      </w:r>
      <w:r w:rsidRPr="00D22027">
        <w:t xml:space="preserve">Dispositions #3 and #4. </w:t>
      </w:r>
    </w:p>
    <w:p w:rsidR="00F6404A" w:rsidP="003D39C3" w:rsidRDefault="003D39C3" w14:paraId="35BB2FA3" w14:textId="77777777">
      <w:pPr>
        <w:snapToGrid w:val="0"/>
        <w:spacing w:after="200" w:line="276" w:lineRule="auto"/>
      </w:pPr>
      <w:r w:rsidRPr="00D22027">
        <w:t>Regarding the need to add Rule 21 language specific to the LGP option related to the magnitude of curtailment, we disagree with IREC that no additional Rule 21 language is required.  We conclude that new additional language is required for Section D.9, to address the additional circumstances under which an LGP facility can be curtailed, consistent with our findings in Disposition #2 on those circumstances being limited to sustained load reduction. We agree with IREC that the tariff language proposed by the Large IOUs does not provide specifics on when curtailment would occur.</w:t>
      </w:r>
    </w:p>
    <w:p w:rsidR="003D39C3" w:rsidP="003D39C3" w:rsidRDefault="0022451A" w14:paraId="691F5A5A" w14:textId="77777777">
      <w:pPr>
        <w:snapToGrid w:val="0"/>
        <w:spacing w:after="200" w:line="276" w:lineRule="auto"/>
      </w:pPr>
      <w:r>
        <w:lastRenderedPageBreak/>
        <w:t xml:space="preserve">As previously stated, </w:t>
      </w:r>
      <w:r w:rsidR="00F6404A">
        <w:t xml:space="preserve">D.20-09-035 allows </w:t>
      </w:r>
      <w:r>
        <w:t xml:space="preserve">extended or permanent </w:t>
      </w:r>
      <w:r w:rsidR="00F6404A">
        <w:t xml:space="preserve">curtailment </w:t>
      </w:r>
      <w:r>
        <w:t xml:space="preserve">of an LGP facility </w:t>
      </w:r>
      <w:r w:rsidR="00F6404A">
        <w:t>down to the lowest ICA-SG value</w:t>
      </w:r>
      <w:r>
        <w:t xml:space="preserve">. In this circumstance </w:t>
      </w:r>
      <w:r w:rsidR="00F6404A">
        <w:t xml:space="preserve">we note there is also the question of what further </w:t>
      </w:r>
      <w:r>
        <w:t>c</w:t>
      </w:r>
      <w:r w:rsidR="00F6404A">
        <w:t xml:space="preserve">urtailment(s) are required </w:t>
      </w:r>
      <w:r>
        <w:t xml:space="preserve">on a circuit </w:t>
      </w:r>
      <w:r w:rsidR="00F6404A">
        <w:t xml:space="preserve">if curtailment </w:t>
      </w:r>
      <w:r>
        <w:t xml:space="preserve">of an LGP facility </w:t>
      </w:r>
      <w:r w:rsidR="00F6404A">
        <w:t xml:space="preserve">down to the lowest ICA-SG value is </w:t>
      </w:r>
      <w:r>
        <w:t>in</w:t>
      </w:r>
      <w:r w:rsidR="00F6404A">
        <w:t xml:space="preserve">sufficient to ensure safety and reliability.  </w:t>
      </w:r>
      <w:r>
        <w:t xml:space="preserve">We find that in such cases the utility is already allowed to curtail any </w:t>
      </w:r>
      <w:r w:rsidR="004403E7">
        <w:t xml:space="preserve">interconnection </w:t>
      </w:r>
      <w:r>
        <w:t>customer to any level, which in its judgement best ensures safety and reliability, in accordance with existing Rule 21 Section D.9.</w:t>
      </w:r>
    </w:p>
    <w:p w:rsidR="003D39C3" w:rsidP="003D39C3" w:rsidRDefault="003D39C3" w14:paraId="72DA1C3D" w14:textId="77777777">
      <w:pPr>
        <w:snapToGrid w:val="0"/>
        <w:spacing w:after="200" w:line="276" w:lineRule="auto"/>
        <w:rPr>
          <w:b/>
          <w:bCs/>
        </w:rPr>
      </w:pPr>
      <w:r w:rsidRPr="00D22027">
        <w:rPr>
          <w:b/>
          <w:bCs/>
        </w:rPr>
        <w:t>We modify the Large IOUs proposed Rule 21 language to read as follows:</w:t>
      </w:r>
    </w:p>
    <w:p w:rsidR="003D39C3" w:rsidP="003D39C3" w:rsidRDefault="003D39C3" w14:paraId="347A3F6E" w14:textId="77777777">
      <w:pPr>
        <w:snapToGrid w:val="0"/>
        <w:spacing w:after="200" w:line="276" w:lineRule="auto"/>
        <w:ind w:left="720"/>
        <w:rPr>
          <w:i/>
          <w:iCs/>
        </w:rPr>
      </w:pPr>
      <w:r w:rsidRPr="00D22027">
        <w:rPr>
          <w:i/>
          <w:iCs/>
        </w:rPr>
        <w:t>D.9.a. [No change to existing text of Section D.9, just renumbered]</w:t>
      </w:r>
    </w:p>
    <w:p w:rsidR="003D39C3" w:rsidP="003D39C3" w:rsidRDefault="003D39C3" w14:paraId="50E02EC2" w14:textId="77777777">
      <w:pPr>
        <w:snapToGrid w:val="0"/>
        <w:spacing w:after="200" w:line="276" w:lineRule="auto"/>
        <w:ind w:left="720"/>
        <w:rPr>
          <w:i/>
          <w:iCs/>
        </w:rPr>
      </w:pPr>
      <w:r w:rsidRPr="00D22027">
        <w:rPr>
          <w:i/>
          <w:iCs/>
        </w:rPr>
        <w:t xml:space="preserve">D.9.b. For Generating Facilities approved to utilize Limited Generation Profiles, Producer acknowledges that if a </w:t>
      </w:r>
      <w:r w:rsidR="00953E10">
        <w:rPr>
          <w:i/>
          <w:iCs/>
        </w:rPr>
        <w:t>S</w:t>
      </w:r>
      <w:r w:rsidRPr="00D22027">
        <w:rPr>
          <w:i/>
          <w:iCs/>
        </w:rPr>
        <w:t xml:space="preserve">ustained </w:t>
      </w:r>
      <w:r w:rsidR="00953E10">
        <w:rPr>
          <w:i/>
          <w:iCs/>
        </w:rPr>
        <w:t>L</w:t>
      </w:r>
      <w:r w:rsidRPr="00D22027">
        <w:rPr>
          <w:i/>
          <w:iCs/>
        </w:rPr>
        <w:t xml:space="preserve">oad </w:t>
      </w:r>
      <w:r w:rsidR="00953E10">
        <w:rPr>
          <w:i/>
          <w:iCs/>
        </w:rPr>
        <w:t>R</w:t>
      </w:r>
      <w:r w:rsidRPr="00D22027">
        <w:rPr>
          <w:i/>
          <w:iCs/>
        </w:rPr>
        <w:t xml:space="preserve">eduction should occur on the circuit to which an LGP facility is interconnected, such that the circuit’s hosting capacity is reduced, that Distribution Provider may need to reduce generation to ensure safe and reliable service. Accordingly, if necessary to maintain safe and reliable operation of Distribution Provider’s Distribution or Transmission System, Distribution Provider may temporarily reduce the approved Limited Generation Profile level </w:t>
      </w:r>
      <w:r w:rsidR="00DF17DF">
        <w:rPr>
          <w:i/>
          <w:iCs/>
        </w:rPr>
        <w:t xml:space="preserve">to </w:t>
      </w:r>
      <w:r w:rsidRPr="00D22027">
        <w:rPr>
          <w:i/>
          <w:iCs/>
        </w:rPr>
        <w:t>the lowest ICA-SG value identified at the time of the Interconnection Application</w:t>
      </w:r>
      <w:r w:rsidR="00F6404A">
        <w:rPr>
          <w:i/>
          <w:iCs/>
        </w:rPr>
        <w:t>, or to any other level that the Distribution Provider determines is required to ensure safety and reliability</w:t>
      </w:r>
      <w:r w:rsidR="008439EC">
        <w:rPr>
          <w:i/>
          <w:iCs/>
        </w:rPr>
        <w:t xml:space="preserve"> </w:t>
      </w:r>
      <w:r w:rsidR="00F6404A">
        <w:rPr>
          <w:i/>
          <w:iCs/>
        </w:rPr>
        <w:t xml:space="preserve">in accordance with Section D.9.a. </w:t>
      </w:r>
      <w:r w:rsidRPr="00D22027">
        <w:rPr>
          <w:i/>
          <w:iCs/>
        </w:rPr>
        <w:t>Distribution Provider will undertake any required mitigations or upgrades to allow the Limited Generation Profile level to be restored to the approved level in the facility’s Generator Interconnection Agreement.</w:t>
      </w:r>
    </w:p>
    <w:p w:rsidR="003D39C3" w:rsidP="003D39C3" w:rsidRDefault="003D39C3" w14:paraId="436EB379" w14:textId="77777777">
      <w:pPr>
        <w:snapToGrid w:val="0"/>
        <w:spacing w:after="200" w:line="276" w:lineRule="auto"/>
        <w:rPr>
          <w:b/>
          <w:bCs/>
        </w:rPr>
      </w:pPr>
      <w:r w:rsidRPr="00D22027">
        <w:rPr>
          <w:b/>
          <w:bCs/>
        </w:rPr>
        <w:t>And under the definitions section in Rule 21, a definition for “</w:t>
      </w:r>
      <w:r w:rsidR="00953E10">
        <w:rPr>
          <w:b/>
          <w:bCs/>
        </w:rPr>
        <w:t>S</w:t>
      </w:r>
      <w:r w:rsidRPr="00D22027">
        <w:rPr>
          <w:b/>
          <w:bCs/>
        </w:rPr>
        <w:t xml:space="preserve">ustained </w:t>
      </w:r>
      <w:r w:rsidR="00953E10">
        <w:rPr>
          <w:b/>
          <w:bCs/>
        </w:rPr>
        <w:t>L</w:t>
      </w:r>
      <w:r w:rsidRPr="00D22027">
        <w:rPr>
          <w:b/>
          <w:bCs/>
        </w:rPr>
        <w:t xml:space="preserve">oad </w:t>
      </w:r>
      <w:r w:rsidR="00953E10">
        <w:rPr>
          <w:b/>
          <w:bCs/>
        </w:rPr>
        <w:t>R</w:t>
      </w:r>
      <w:r w:rsidRPr="00D22027">
        <w:rPr>
          <w:b/>
          <w:bCs/>
        </w:rPr>
        <w:t>eduction” shall be added:</w:t>
      </w:r>
    </w:p>
    <w:p w:rsidRPr="00953E10" w:rsidR="00953E10" w:rsidP="00953E10" w:rsidRDefault="00953E10" w14:paraId="08E8117C" w14:textId="77777777">
      <w:pPr>
        <w:snapToGrid w:val="0"/>
        <w:spacing w:after="200" w:line="276" w:lineRule="auto"/>
        <w:ind w:left="720"/>
        <w:rPr>
          <w:i/>
          <w:iCs/>
        </w:rPr>
      </w:pPr>
      <w:r w:rsidRPr="00953E10">
        <w:rPr>
          <w:i/>
          <w:iCs/>
        </w:rPr>
        <w:t>A Sustained Load Reduction on a circuit is a permanent decrease in the load (exclusive of the addition of any generation DERs) of one or more customers on that circuit resulting from business wind-downs, unanticipated addition of energy efficiency or other load management technologies, and/or other permanent circumstances that reduce the load of one or more customers on that circuit.</w:t>
      </w:r>
    </w:p>
    <w:p w:rsidR="003D39C3" w:rsidP="000572B8" w:rsidRDefault="003D39C3" w14:paraId="49F3846F" w14:textId="77777777">
      <w:pPr>
        <w:snapToGrid w:val="0"/>
        <w:spacing w:before="360" w:after="200" w:line="276" w:lineRule="auto"/>
        <w:rPr>
          <w:b/>
          <w:bCs/>
          <w:u w:val="single"/>
        </w:rPr>
      </w:pPr>
      <w:r w:rsidRPr="00D22027">
        <w:rPr>
          <w:b/>
          <w:bCs/>
          <w:u w:val="single"/>
        </w:rPr>
        <w:t>Disposition #7:  Procedure and Steps for LGP Curtailment</w:t>
      </w:r>
    </w:p>
    <w:p w:rsidR="003D39C3" w:rsidP="003D39C3" w:rsidRDefault="003D39C3" w14:paraId="1E2C6D9E" w14:textId="77777777">
      <w:pPr>
        <w:snapToGrid w:val="0"/>
        <w:spacing w:after="200" w:line="276" w:lineRule="auto"/>
      </w:pPr>
      <w:r w:rsidRPr="00D22027">
        <w:lastRenderedPageBreak/>
        <w:t xml:space="preserve">Resolution E-5211 ordered discussion of the process for curtailing LGP facilities when identified circumstances require curtailment. These circumstances were identified and defined in Disposition #1 (for business-as-usual practice) and Disposition #2 (for practices specific to LGP facilities).  </w:t>
      </w:r>
    </w:p>
    <w:p w:rsidR="003D39C3" w:rsidP="003D39C3" w:rsidRDefault="003D39C3" w14:paraId="29761154" w14:textId="77777777">
      <w:pPr>
        <w:snapToGrid w:val="0"/>
        <w:spacing w:after="200" w:line="276" w:lineRule="auto"/>
      </w:pPr>
      <w:r w:rsidRPr="00D22027">
        <w:t xml:space="preserve">The Large IOUs propose the procedure and steps for curtailing an LGP facility given in Appendix C. </w:t>
      </w:r>
      <w:r>
        <w:t xml:space="preserve"> </w:t>
      </w:r>
      <w:r w:rsidRPr="00D22027">
        <w:t xml:space="preserve">These steps first have the utility identify any low-cost mitigations that may partially or fully restore curtailment, then undertake to study whether upgrades are required.  Based on study results, the utility will either undertake the upgrades at its own expense to restore curtailment to the minimum ICA-SG value at the time of the original interconnection application, or if curtailment is already above that value, ask the LGP customer if the customer is willing to pay for the upgrades required to restore full LGP values given in the interconnection agreement. </w:t>
      </w:r>
    </w:p>
    <w:p w:rsidR="003D39C3" w:rsidP="003D39C3" w:rsidRDefault="003D39C3" w14:paraId="31838F92" w14:textId="77777777">
      <w:pPr>
        <w:spacing w:after="200" w:line="276" w:lineRule="auto"/>
      </w:pPr>
      <w:r w:rsidRPr="00D22027">
        <w:t>IREC expresses concerns about the Large IOUs proposal and notes the IOUs have not proposed tariff language or provided timelines for how long these three steps will take.  IREC states “the Commission should ensure that the steps are well defined, with reasonably efficient timelines specified for the utility’s review process, and that it is documented in Rule 21, a Commission approved LGP agreement, or another document.”</w:t>
      </w:r>
      <w:r w:rsidRPr="00D22027">
        <w:rPr>
          <w:vertAlign w:val="superscript"/>
        </w:rPr>
        <w:footnoteReference w:id="140"/>
      </w:r>
      <w:r w:rsidRPr="00D22027">
        <w:t xml:space="preserve">  </w:t>
      </w:r>
    </w:p>
    <w:p w:rsidR="003D39C3" w:rsidP="003D39C3" w:rsidRDefault="003D39C3" w14:paraId="1F279587" w14:textId="77777777">
      <w:pPr>
        <w:snapToGrid w:val="0"/>
        <w:spacing w:after="200" w:line="276" w:lineRule="auto"/>
        <w:rPr>
          <w:b/>
          <w:bCs/>
        </w:rPr>
      </w:pPr>
      <w:r w:rsidRPr="00D22027">
        <w:rPr>
          <w:b/>
          <w:bCs/>
        </w:rPr>
        <w:t xml:space="preserve">We accept Steps 1 and 2 of the Large IOUs proposed procedure for LGP facility curtailment, but modify Step 3, with modified language as </w:t>
      </w:r>
      <w:r w:rsidR="00FF1FB9">
        <w:rPr>
          <w:b/>
          <w:bCs/>
        </w:rPr>
        <w:t>provided i</w:t>
      </w:r>
      <w:r w:rsidRPr="00D22027">
        <w:rPr>
          <w:b/>
          <w:bCs/>
        </w:rPr>
        <w:t>n Appendix C, to be consistent with Disposition #4 on cost responsibility.</w:t>
      </w:r>
    </w:p>
    <w:p w:rsidR="003D39C3" w:rsidP="000572B8" w:rsidRDefault="003D39C3" w14:paraId="4CA02C71" w14:textId="77777777">
      <w:pPr>
        <w:snapToGrid w:val="0"/>
        <w:spacing w:before="360" w:after="200" w:line="276" w:lineRule="auto"/>
        <w:rPr>
          <w:b/>
          <w:bCs/>
          <w:u w:val="single"/>
        </w:rPr>
      </w:pPr>
      <w:r w:rsidRPr="00D22027">
        <w:rPr>
          <w:b/>
          <w:bCs/>
          <w:u w:val="single"/>
        </w:rPr>
        <w:t>Disposition #8:  Data Monitoring and Reporting of LGP Facility Curtailments</w:t>
      </w:r>
    </w:p>
    <w:p w:rsidR="003D39C3" w:rsidP="003D39C3" w:rsidRDefault="003D39C3" w14:paraId="37D5C112" w14:textId="77777777">
      <w:pPr>
        <w:snapToGrid w:val="0"/>
        <w:spacing w:after="200" w:line="276" w:lineRule="auto"/>
      </w:pPr>
      <w:r w:rsidRPr="00D22027">
        <w:t>Both D.20-09-035 and Resolution E-5211 did not contemplate or discuss data monitoring and reporting. However, we find merit in requiring some modest data tracking and reporting requirements on curtailments, to inform possible future refinements to the LGP option, including on the issues of disparate treatment, cost responsibility, and impacts on ratepayers.</w:t>
      </w:r>
    </w:p>
    <w:p w:rsidR="003B6F17" w:rsidP="003D39C3" w:rsidRDefault="003D39C3" w14:paraId="1E5C9719" w14:textId="77777777">
      <w:pPr>
        <w:snapToGrid w:val="0"/>
        <w:spacing w:after="200" w:line="276" w:lineRule="auto"/>
      </w:pPr>
      <w:r w:rsidRPr="00D22027">
        <w:t xml:space="preserve">IREC and </w:t>
      </w:r>
      <w:r>
        <w:t xml:space="preserve">the other Alternate Proposal </w:t>
      </w:r>
      <w:r w:rsidRPr="00D22027">
        <w:t xml:space="preserve">parties </w:t>
      </w:r>
      <w:r w:rsidR="003B6F17">
        <w:t xml:space="preserve">propose </w:t>
      </w:r>
      <w:r w:rsidRPr="00D22027">
        <w:t>that</w:t>
      </w:r>
      <w:r w:rsidR="003B6F17">
        <w:t>:</w:t>
      </w:r>
    </w:p>
    <w:p w:rsidR="003D39C3" w:rsidP="003B6F17" w:rsidRDefault="003B6F17" w14:paraId="611D5F77" w14:textId="77777777">
      <w:pPr>
        <w:snapToGrid w:val="0"/>
        <w:spacing w:after="200" w:line="276" w:lineRule="auto"/>
        <w:ind w:left="720"/>
      </w:pPr>
      <w:r>
        <w:lastRenderedPageBreak/>
        <w:t xml:space="preserve">[The Large IOUs] </w:t>
      </w:r>
      <w:r w:rsidRPr="00D22027" w:rsidR="003D39C3">
        <w:t>should be required to track and provide documentation of all mitigations or system modifications that it believes are necessary due to [sustained] reductions in load (regardless of whether an LGP project exists or not). By tracking this data, the Commission can revisit its policy regarding distribution upgrades caused by reductions in load with more information in the future.</w:t>
      </w:r>
      <w:r w:rsidRPr="00D22027" w:rsidR="003D39C3">
        <w:rPr>
          <w:vertAlign w:val="superscript"/>
        </w:rPr>
        <w:footnoteReference w:id="141"/>
      </w:r>
      <w:r w:rsidRPr="00D22027" w:rsidR="003D39C3">
        <w:t xml:space="preserve"> </w:t>
      </w:r>
    </w:p>
    <w:p w:rsidR="003D39C3" w:rsidP="003D39C3" w:rsidRDefault="003D39C3" w14:paraId="3EE439B6" w14:textId="77777777">
      <w:pPr>
        <w:snapToGrid w:val="0"/>
        <w:spacing w:after="200" w:line="276" w:lineRule="auto"/>
      </w:pPr>
      <w:r w:rsidRPr="00D22027">
        <w:t xml:space="preserve">IREC </w:t>
      </w:r>
      <w:r w:rsidR="003B6F17">
        <w:t xml:space="preserve">independently </w:t>
      </w:r>
      <w:r w:rsidRPr="00D22027">
        <w:t>stresses the Commission’s need to better understand the frequency of occurrence of sustained load reductions, the drivers, if they pose safety and reliability issues unique to LGP projects, and the associated costs of upgrades.  IREC states the Commission would then have:</w:t>
      </w:r>
    </w:p>
    <w:p w:rsidR="003D39C3" w:rsidP="003D39C3" w:rsidRDefault="003D39C3" w14:paraId="5486E105" w14:textId="77777777">
      <w:pPr>
        <w:snapToGrid w:val="0"/>
        <w:spacing w:after="200" w:line="276" w:lineRule="auto"/>
        <w:ind w:left="720"/>
      </w:pPr>
      <w:r w:rsidRPr="00D22027">
        <w:t>A better ability to determine how the risks, and associated costs, should be allocated. IREC’s central concern with the IOU proposal is that it will likely result in no LGP projects being built, and thus provide no opportunity to learn from and refine the cost responsibility rules accordingly.</w:t>
      </w:r>
      <w:r w:rsidRPr="00D22027">
        <w:rPr>
          <w:vertAlign w:val="superscript"/>
        </w:rPr>
        <w:footnoteReference w:id="142"/>
      </w:r>
    </w:p>
    <w:p w:rsidR="003D39C3" w:rsidP="003D39C3" w:rsidRDefault="003D39C3" w14:paraId="557357DA" w14:textId="77777777">
      <w:pPr>
        <w:snapToGrid w:val="0"/>
        <w:spacing w:after="200" w:line="276" w:lineRule="auto"/>
      </w:pPr>
      <w:r w:rsidRPr="00D22027">
        <w:t xml:space="preserve">The proposed data in the Alternate Proposal for monitoring and reporting is provided in Appendix </w:t>
      </w:r>
      <w:r>
        <w:t>D</w:t>
      </w:r>
      <w:r w:rsidRPr="00D22027">
        <w:t xml:space="preserve">, along with point-by-point responses by the Large IOUs. This data focused on all mitigations taken across the entire utility system in response to sustained load reduction, and includes how the need for mitigations was identified, the cost of mitigation, the time taken to implement the mitigation, details on all generation facilities on the circuit, whether an LGP facility is located on the circuit, information on that LGP facility, and whether curtailment of that LGP facility would have avoided the need for mitigation, whether any other projects have interconnected to the circuit subsequent to the LGP projects, and the load profile in existence at the time the LGP project applied for interconnection. </w:t>
      </w:r>
    </w:p>
    <w:p w:rsidR="003D39C3" w:rsidP="003D39C3" w:rsidRDefault="003D39C3" w14:paraId="44FE3AA2" w14:textId="77777777">
      <w:pPr>
        <w:snapToGrid w:val="0"/>
        <w:spacing w:after="200" w:line="276" w:lineRule="auto"/>
      </w:pPr>
      <w:r w:rsidRPr="00D22027">
        <w:t xml:space="preserve">The Alternate Proposal also requires tracking of all feeders across the entire utility system in terms of how many feeders have LGP facilities, how many feeders have only non-LGP facilities, and how many feeders have both types of facilities. Finally, the proposal includes the provision that “if after 8 years of tracking and reporting, no IOU has identified ten or more of the mitigations or modifications described above, the </w:t>
      </w:r>
      <w:r w:rsidRPr="00D22027">
        <w:lastRenderedPageBreak/>
        <w:t>reporting requirement shall be terminated and the trial period for the LGP considered complete.”</w:t>
      </w:r>
      <w:r w:rsidRPr="00D22027">
        <w:rPr>
          <w:rStyle w:val="FootnoteReference"/>
        </w:rPr>
        <w:footnoteReference w:id="143"/>
      </w:r>
    </w:p>
    <w:p w:rsidR="003D39C3" w:rsidP="003D39C3" w:rsidRDefault="003D39C3" w14:paraId="681C3D07" w14:textId="77777777">
      <w:pPr>
        <w:snapToGrid w:val="0"/>
        <w:spacing w:after="200" w:line="276" w:lineRule="auto"/>
      </w:pPr>
      <w:r w:rsidRPr="00D22027">
        <w:t>The Large IOUs argue that the proposed data is burdensome and unsupported by the Decision. They respond to some specific items in the proposal by saying that some data may be available but reporting processes do not exist, and that needed tracking systems do not exist. They state:</w:t>
      </w:r>
    </w:p>
    <w:p w:rsidR="003D39C3" w:rsidP="003D39C3" w:rsidRDefault="003D39C3" w14:paraId="1E5E3021" w14:textId="77777777">
      <w:pPr>
        <w:snapToGrid w:val="0"/>
        <w:spacing w:after="200" w:line="276" w:lineRule="auto"/>
        <w:ind w:left="720"/>
      </w:pPr>
      <w:r w:rsidRPr="00D22027">
        <w:t>The Alternate Proposal states that the Utilities “should be required to track and provide documentation of all mitigations or system modifications that it believes are necessary due to reductions in load (regardless of whether an LGP project exists or not).” There are tens of thousands of distribution circuits across the Utilities’ distribution service territories and the number of load customers is in the millions (residential, commercial, industrial, agricultural and other categories). Developing a system to track mitigations/system modifications due to reductions in load “regardless of whether an LGP project exists on the circuit” is a significant undertaking.</w:t>
      </w:r>
      <w:r w:rsidRPr="00D22027">
        <w:rPr>
          <w:vertAlign w:val="superscript"/>
        </w:rPr>
        <w:footnoteReference w:id="144"/>
      </w:r>
    </w:p>
    <w:p w:rsidR="003D39C3" w:rsidP="003D39C3" w:rsidRDefault="003B6F17" w14:paraId="1E691BC3" w14:textId="77777777">
      <w:pPr>
        <w:snapToGrid w:val="0"/>
        <w:spacing w:after="200" w:line="276" w:lineRule="auto"/>
      </w:pPr>
      <w:r>
        <w:t>I</w:t>
      </w:r>
      <w:r w:rsidRPr="00D22027" w:rsidR="003D39C3">
        <w:t>n response to a Cal Advocates’ assertion that the burden is rendered smaller by the fact that “the likelihood of extended curtailments of LGP projects is low,”</w:t>
      </w:r>
      <w:r w:rsidR="00A34020">
        <w:rPr>
          <w:rStyle w:val="FootnoteReference"/>
        </w:rPr>
        <w:footnoteReference w:id="145"/>
      </w:r>
      <w:r w:rsidRPr="00D22027" w:rsidR="003D39C3">
        <w:t xml:space="preserve"> the Large IOUs reply that:</w:t>
      </w:r>
    </w:p>
    <w:p w:rsidR="003D39C3" w:rsidP="003D39C3" w:rsidRDefault="003D39C3" w14:paraId="415ABD0A" w14:textId="77777777">
      <w:pPr>
        <w:snapToGrid w:val="0"/>
        <w:spacing w:after="200" w:line="276" w:lineRule="auto"/>
        <w:ind w:left="720"/>
      </w:pPr>
      <w:r w:rsidRPr="00D22027">
        <w:t>Tracking extended LGP project curtailments would require new systems to be built at considerable expense</w:t>
      </w:r>
      <w:r w:rsidR="009551A2">
        <w:t>…</w:t>
      </w:r>
      <w:r w:rsidRPr="00D22027">
        <w:t xml:space="preserve"> The number of extended curtailments has no bearing on whether new tools and systems would have to be built at considerable expense to implement the Alternate Proposal. Whether the Joint Utilities have to track one curtailment or hundreds, the same tools must be built. The associated expenses will be borne by ratepayers.</w:t>
      </w:r>
      <w:r w:rsidRPr="00D22027">
        <w:rPr>
          <w:vertAlign w:val="superscript"/>
        </w:rPr>
        <w:footnoteReference w:id="146"/>
      </w:r>
    </w:p>
    <w:p w:rsidR="003D39C3" w:rsidP="003D39C3" w:rsidRDefault="003D39C3" w14:paraId="5113011F" w14:textId="77777777">
      <w:pPr>
        <w:snapToGrid w:val="0"/>
        <w:spacing w:after="200" w:line="276" w:lineRule="auto"/>
      </w:pPr>
      <w:r w:rsidRPr="00D22027">
        <w:lastRenderedPageBreak/>
        <w:t>The Large IOUs do not support the Alternate Proposal because “[it] would require extensive reporting with no corresponding value.”</w:t>
      </w:r>
      <w:r>
        <w:rPr>
          <w:rStyle w:val="FootnoteReference"/>
        </w:rPr>
        <w:footnoteReference w:id="147"/>
      </w:r>
      <w:r w:rsidRPr="00D22027">
        <w:t xml:space="preserve"> They argue several points in opposition to the proposal:</w:t>
      </w:r>
    </w:p>
    <w:p w:rsidR="003D39C3" w:rsidP="003D39C3" w:rsidRDefault="003D39C3" w14:paraId="611EEFF4" w14:textId="77777777">
      <w:pPr>
        <w:snapToGrid w:val="0"/>
        <w:spacing w:after="200" w:line="276" w:lineRule="auto"/>
        <w:ind w:left="720"/>
      </w:pPr>
      <w:r w:rsidRPr="00D22027">
        <w:t xml:space="preserve">1. They may not know immediately if a safety/reliability event causing reduction in export power is caused by load loss and contend: </w:t>
      </w:r>
    </w:p>
    <w:p w:rsidR="003D39C3" w:rsidP="003D39C3" w:rsidRDefault="003D39C3" w14:paraId="7AE860D8" w14:textId="77777777">
      <w:pPr>
        <w:snapToGrid w:val="0"/>
        <w:spacing w:after="200" w:line="276" w:lineRule="auto"/>
        <w:ind w:left="1440"/>
      </w:pPr>
      <w:r w:rsidRPr="00D22027">
        <w:t>The Alternate Proposal is practically asking the Utilities to track and provide documentation of mitigation or system modifications associated with every safety or reliability event. Such an unreasonable ask will add unnecessary administrative overhead to Utilities’ operational responses in these events, which typically are time sensitive. In addition, the distribution system is highly dynamic in nature. The Joint Utilities' Distribution System Operations groups respond to and manage hundreds of system modifications on a daily basis to maintain safe and reliable service. It would be extremely cumbersome to document and track each of these jobs to the level of detail contemplated by the Alternate Proposal.</w:t>
      </w:r>
      <w:r w:rsidRPr="00D22027">
        <w:rPr>
          <w:vertAlign w:val="superscript"/>
        </w:rPr>
        <w:footnoteReference w:id="148"/>
      </w:r>
    </w:p>
    <w:p w:rsidR="003D39C3" w:rsidP="003D39C3" w:rsidRDefault="003D39C3" w14:paraId="3FD82C50" w14:textId="77777777">
      <w:pPr>
        <w:snapToGrid w:val="0"/>
        <w:spacing w:after="200" w:line="276" w:lineRule="auto"/>
        <w:ind w:left="720"/>
      </w:pPr>
      <w:r w:rsidRPr="00D22027">
        <w:t>2. That the data reporting and collection is outside the Large IOUs’ normal course of business—The Large IOUs oppose the Alternate Proposal arguing “it exposes ratepayers to costs that the Commission decision does not require ratepayers to bear, and therefore do not see any benefit in the data tracking included in the Alternate Proposal”</w:t>
      </w:r>
      <w:r w:rsidRPr="00D22027">
        <w:rPr>
          <w:vertAlign w:val="superscript"/>
        </w:rPr>
        <w:footnoteReference w:id="149"/>
      </w:r>
      <w:r w:rsidRPr="00D22027">
        <w:t xml:space="preserve"> and argue it “would require extensive data reporting above and beyond these operational requirements, and this reporting would extend for </w:t>
      </w:r>
      <w:r w:rsidRPr="00A34020">
        <w:t>eight years.</w:t>
      </w:r>
      <w:r w:rsidRPr="00D22027">
        <w:t>”</w:t>
      </w:r>
      <w:r w:rsidRPr="00D22027">
        <w:rPr>
          <w:vertAlign w:val="superscript"/>
        </w:rPr>
        <w:footnoteReference w:id="150"/>
      </w:r>
      <w:r w:rsidRPr="00D22027">
        <w:t xml:space="preserve"> </w:t>
      </w:r>
    </w:p>
    <w:p w:rsidR="003D39C3" w:rsidP="003D39C3" w:rsidRDefault="003D39C3" w14:paraId="6328DDFD" w14:textId="77777777">
      <w:pPr>
        <w:snapToGrid w:val="0"/>
        <w:spacing w:after="200" w:line="276" w:lineRule="auto"/>
        <w:ind w:left="720"/>
      </w:pPr>
      <w:r w:rsidRPr="00D22027">
        <w:t xml:space="preserve">3. That there are no existing processes … to link mitigations or modifications, and their associated costs, to specific instances of load reduction. Moreover, any tracking and reporting on “mitigations or modifications” should be limited to significant modifications (e.g., equipment replacement), and should not address </w:t>
      </w:r>
      <w:r w:rsidRPr="00D22027">
        <w:lastRenderedPageBreak/>
        <w:t>system modifications or low-cost mitigation alternatives, including those that are part of the utilities’ day-to-day operational activities</w:t>
      </w:r>
      <w:r w:rsidRPr="00D22027">
        <w:rPr>
          <w:vertAlign w:val="superscript"/>
        </w:rPr>
        <w:footnoteReference w:id="151"/>
      </w:r>
      <w:r w:rsidRPr="00D22027">
        <w:t xml:space="preserve">  </w:t>
      </w:r>
    </w:p>
    <w:p w:rsidR="003D39C3" w:rsidP="003D39C3" w:rsidRDefault="003D39C3" w14:paraId="31D92673" w14:textId="77777777">
      <w:pPr>
        <w:snapToGrid w:val="0"/>
        <w:spacing w:after="200" w:line="276" w:lineRule="auto"/>
      </w:pPr>
      <w:r w:rsidRPr="00D22027">
        <w:t>The Large IOUs do acknowledge that they will track certain data as part of their normal business practices and give the following examples:</w:t>
      </w:r>
      <w:r w:rsidRPr="00D22027">
        <w:rPr>
          <w:vertAlign w:val="superscript"/>
        </w:rPr>
        <w:footnoteReference w:id="152"/>
      </w:r>
    </w:p>
    <w:p w:rsidRPr="00D22027" w:rsidR="003D39C3" w:rsidP="00076313" w:rsidRDefault="003D39C3" w14:paraId="72A4E70F" w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76" w:lineRule="auto"/>
      </w:pPr>
      <w:r w:rsidRPr="00D22027">
        <w:t>Enhance the interconnection portals to allow interconnecting generators to elect the LGP-option</w:t>
      </w:r>
      <w:r w:rsidR="00076313">
        <w:t>;</w:t>
      </w:r>
    </w:p>
    <w:p w:rsidR="003D39C3" w:rsidP="009551A2" w:rsidRDefault="003D39C3" w14:paraId="3B41301F" w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pPr>
      <w:r w:rsidRPr="00D22027">
        <w:t>Track issues such as whether the LGP customer is complying with its LGP or if it needs to be curtailed for safety and/or reliability reasons</w:t>
      </w:r>
      <w:r w:rsidR="009551A2">
        <w:t>.</w:t>
      </w:r>
    </w:p>
    <w:p w:rsidR="003D39C3" w:rsidP="003D39C3" w:rsidRDefault="003D39C3" w14:paraId="4EDFF0E6" w14:textId="77777777">
      <w:pPr>
        <w:snapToGrid w:val="0"/>
        <w:spacing w:after="200" w:line="276" w:lineRule="auto"/>
      </w:pPr>
      <w:r w:rsidRPr="00D22027">
        <w:t>IREC, in response to the Large IOUs’ comment that the data requirements in the Alternate Proposal are burdensome, point</w:t>
      </w:r>
      <w:r w:rsidR="00A34020">
        <w:t>s</w:t>
      </w:r>
      <w:r w:rsidRPr="00D22027">
        <w:t xml:space="preserve"> out that the Large IOUs have not identified what data will be used to determine LGP curtailment.  IREC further argue</w:t>
      </w:r>
      <w:r w:rsidR="00A34020">
        <w:t>s</w:t>
      </w:r>
      <w:r w:rsidRPr="00D22027">
        <w:t xml:space="preserve"> that the Large IOUs “continue to resist data collection that would help demonstrate whether their assumption [of the likelihood that distribution system violations caused by loss of load will arise because of an LGP project] is correct or not.”</w:t>
      </w:r>
      <w:r w:rsidRPr="00D22027">
        <w:rPr>
          <w:vertAlign w:val="superscript"/>
        </w:rPr>
        <w:footnoteReference w:id="153"/>
      </w:r>
      <w:r w:rsidRPr="00D22027">
        <w:t xml:space="preserve">  </w:t>
      </w:r>
    </w:p>
    <w:p w:rsidR="003D39C3" w:rsidP="003D39C3" w:rsidRDefault="003D39C3" w14:paraId="00298704" w14:textId="77777777">
      <w:pPr>
        <w:snapToGrid w:val="0"/>
        <w:spacing w:after="200" w:line="276" w:lineRule="auto"/>
      </w:pPr>
      <w:r w:rsidRPr="00D22027">
        <w:t xml:space="preserve">We reject the data monitoring and reporting proposal by IREC and </w:t>
      </w:r>
      <w:r w:rsidR="0063135A">
        <w:t xml:space="preserve">the </w:t>
      </w:r>
      <w:r w:rsidRPr="00D22027">
        <w:t xml:space="preserve">other </w:t>
      </w:r>
      <w:r w:rsidR="0063135A">
        <w:t xml:space="preserve">Alternate Proposal </w:t>
      </w:r>
      <w:r w:rsidRPr="00D22027">
        <w:t xml:space="preserve">parties. We agree with the Large IOUs that such system-wide and comprehensive data, going well beyond data on LGP project curtailments, is burdensome and costly.  IREC and other </w:t>
      </w:r>
      <w:r w:rsidR="00006DBB">
        <w:t xml:space="preserve">Alternative Proposal </w:t>
      </w:r>
      <w:r w:rsidRPr="00D22027">
        <w:t xml:space="preserve">parties have not sufficiently justified how these requirements would advance the LGP process and also appear to go well beyond what might usefully refine the LGP process. Finally, the requirements were only proposed after all workshops were completed and thus </w:t>
      </w:r>
      <w:r w:rsidR="00CE18FE">
        <w:t>were not</w:t>
      </w:r>
      <w:r w:rsidR="003C795D">
        <w:t xml:space="preserve"> </w:t>
      </w:r>
      <w:r w:rsidRPr="00D22027">
        <w:t>vetted through the workshop discussions.</w:t>
      </w:r>
    </w:p>
    <w:p w:rsidR="003D39C3" w:rsidP="003D39C3" w:rsidRDefault="003D39C3" w14:paraId="542D67AA" w14:textId="77777777">
      <w:pPr>
        <w:spacing w:after="200" w:line="276" w:lineRule="auto"/>
      </w:pPr>
      <w:r w:rsidRPr="00D22027">
        <w:t xml:space="preserve">Nevertheless, and while data reporting requirements were not contemplated in the original Decision, we find merit in requiring some data tracking and reporting requirements to inform future refinements to the LGP option.  </w:t>
      </w:r>
      <w:r w:rsidR="00006DBB">
        <w:t>IREC and the other Alternate Proposal p</w:t>
      </w:r>
      <w:r w:rsidRPr="00D22027">
        <w:t xml:space="preserve">arties argue that data monitoring and reporting is needed to assess </w:t>
      </w:r>
      <w:r w:rsidRPr="00D22027">
        <w:lastRenderedPageBreak/>
        <w:t>the risks associated with curtailment and the overall value of the LGP option</w:t>
      </w:r>
      <w:r w:rsidR="00006DBB">
        <w:rPr>
          <w:rStyle w:val="FootnoteReference"/>
        </w:rPr>
        <w:footnoteReference w:id="154"/>
      </w:r>
      <w:r w:rsidRPr="00D22027">
        <w:t xml:space="preserve"> and we find that modest monitoring and reporting could accomplish those goals.</w:t>
      </w:r>
    </w:p>
    <w:p w:rsidR="003D39C3" w:rsidP="003D39C3" w:rsidRDefault="003D39C3" w14:paraId="6CEEBBF9" w14:textId="77777777">
      <w:pPr>
        <w:spacing w:after="200" w:line="276" w:lineRule="auto"/>
      </w:pPr>
      <w:r w:rsidRPr="00D22027">
        <w:t xml:space="preserve">The purpose of the data monitoring and reporting requirements we adopt is to identify whether load reductions and impacts to LGP customers (i.e., export power curtailment) are actually </w:t>
      </w:r>
      <w:r w:rsidRPr="00D22027">
        <w:rPr>
          <w:i/>
          <w:iCs/>
        </w:rPr>
        <w:t>de minimis</w:t>
      </w:r>
      <w:r w:rsidRPr="00D22027">
        <w:t xml:space="preserve"> or pose safety and reliability concerns in real-world application of the LGP option. Also, the purpose is to determine the impact of curtailments on power export as well as to determine the extent to which low-cost mitigations or upgrades can effectively restore partial or full LGP values after curtailment.</w:t>
      </w:r>
    </w:p>
    <w:p w:rsidR="003D39C3" w:rsidP="003D39C3" w:rsidRDefault="003D39C3" w14:paraId="1DAE382B" w14:textId="77777777">
      <w:pPr>
        <w:spacing w:after="200" w:line="276" w:lineRule="auto"/>
        <w:rPr>
          <w:b/>
          <w:bCs/>
        </w:rPr>
      </w:pPr>
      <w:r w:rsidRPr="00D22027">
        <w:rPr>
          <w:b/>
          <w:bCs/>
        </w:rPr>
        <w:t xml:space="preserve">We adopt the five data monitoring and reporting requirements given in Appendix </w:t>
      </w:r>
      <w:r>
        <w:rPr>
          <w:b/>
          <w:bCs/>
        </w:rPr>
        <w:t>E</w:t>
      </w:r>
      <w:r w:rsidRPr="00D22027">
        <w:rPr>
          <w:b/>
          <w:bCs/>
        </w:rPr>
        <w:t xml:space="preserve">, to apply only to each LGP interconnection customer whose LGP values have been curtailed due to </w:t>
      </w:r>
      <w:r w:rsidR="00255D81">
        <w:rPr>
          <w:b/>
          <w:bCs/>
        </w:rPr>
        <w:t>S</w:t>
      </w:r>
      <w:r w:rsidRPr="00D22027">
        <w:rPr>
          <w:b/>
          <w:bCs/>
        </w:rPr>
        <w:t xml:space="preserve">ustained </w:t>
      </w:r>
      <w:r w:rsidR="00255D81">
        <w:rPr>
          <w:b/>
          <w:bCs/>
        </w:rPr>
        <w:t>L</w:t>
      </w:r>
      <w:r w:rsidRPr="00D22027">
        <w:rPr>
          <w:b/>
          <w:bCs/>
        </w:rPr>
        <w:t xml:space="preserve">oad </w:t>
      </w:r>
      <w:r w:rsidR="00255D81">
        <w:rPr>
          <w:b/>
          <w:bCs/>
        </w:rPr>
        <w:t>R</w:t>
      </w:r>
      <w:r w:rsidRPr="00D22027">
        <w:rPr>
          <w:b/>
          <w:bCs/>
        </w:rPr>
        <w:t>eductions on the circuit.  These requirements apply to any such curtailment at any time after the Interconnection Agreement has been signed, regardless of how long the curtailment lasted and whether the curtailment remains in effect.</w:t>
      </w:r>
    </w:p>
    <w:p w:rsidRPr="0001162E" w:rsidR="003D39C3" w:rsidP="00653A72" w:rsidRDefault="00DB11C0" w14:paraId="3FAD9513" w14:textId="77777777">
      <w:pPr>
        <w:pStyle w:val="ListParagraph"/>
        <w:keepNext/>
        <w:keepLines/>
        <w:numPr>
          <w:ilvl w:val="0"/>
          <w:numId w:val="27"/>
        </w:numPr>
        <w:spacing w:before="360" w:after="200" w:line="276" w:lineRule="auto"/>
        <w:rPr>
          <w:b/>
          <w:bCs/>
          <w:sz w:val="24"/>
          <w:szCs w:val="24"/>
        </w:rPr>
      </w:pPr>
      <w:r w:rsidRPr="0001162E">
        <w:rPr>
          <w:b/>
          <w:bCs/>
          <w:sz w:val="24"/>
          <w:szCs w:val="24"/>
        </w:rPr>
        <w:t xml:space="preserve">Discussion </w:t>
      </w:r>
      <w:r w:rsidRPr="0001162E" w:rsidR="003D39C3">
        <w:rPr>
          <w:b/>
          <w:bCs/>
          <w:sz w:val="24"/>
          <w:szCs w:val="24"/>
        </w:rPr>
        <w:t>Background on Resolution E-5230 Topics B through E</w:t>
      </w:r>
    </w:p>
    <w:p w:rsidR="003D39C3" w:rsidP="00653A72" w:rsidRDefault="003D39C3" w14:paraId="013CD060" w14:textId="77777777">
      <w:pPr>
        <w:keepNext/>
        <w:keepLines/>
        <w:spacing w:after="200" w:line="276" w:lineRule="auto"/>
      </w:pPr>
      <w:r w:rsidRPr="00D22027">
        <w:t>Resolution E-5230 addressed a number of topics on implementing the LGP option. For most of these topics, consensus was achieved between the Large IOUs and non-IOU parties during workshop discussions and then reflected in the Joint May 2023 LGP Advice Letter</w:t>
      </w:r>
      <w:r w:rsidR="00434F97">
        <w:t>s</w:t>
      </w:r>
      <w:r w:rsidRPr="00D22027">
        <w:t>.</w:t>
      </w:r>
      <w:r w:rsidRPr="00D22027">
        <w:rPr>
          <w:rStyle w:val="FootnoteReference"/>
        </w:rPr>
        <w:footnoteReference w:id="155"/>
      </w:r>
      <w:r w:rsidRPr="00D22027">
        <w:t xml:space="preserve"> The Large IOUs’ proposals for Topics B through E are largely or wholly adopted, with modifications as noted in the sections below.</w:t>
      </w:r>
    </w:p>
    <w:p w:rsidR="003D39C3" w:rsidP="003D39C3" w:rsidRDefault="003D39C3" w14:paraId="15129785" w14:textId="77777777">
      <w:pPr>
        <w:spacing w:after="200" w:line="276" w:lineRule="auto"/>
      </w:pPr>
      <w:r w:rsidRPr="00D22027">
        <w:t>Decision 20-09-035 OP 15 required the Large IOUs to provide recommendations (as applicable) regarding the standard review, certification requirements, and interconnection processes necessary for implementation of the LGP proposal.</w:t>
      </w:r>
      <w:r w:rsidRPr="00D22027">
        <w:rPr>
          <w:rStyle w:val="FootnoteReference"/>
        </w:rPr>
        <w:footnoteReference w:id="156"/>
      </w:r>
      <w:r w:rsidRPr="00D22027">
        <w:t xml:space="preserve"> We find </w:t>
      </w:r>
      <w:r w:rsidRPr="00D22027">
        <w:lastRenderedPageBreak/>
        <w:t xml:space="preserve">this requirement </w:t>
      </w:r>
      <w:r w:rsidR="00F50A25">
        <w:t xml:space="preserve">is </w:t>
      </w:r>
      <w:r w:rsidRPr="00D22027">
        <w:t xml:space="preserve">satisfied as these topics are addressed in the Joint May LGP Advice Letters. Those recommendations and their disposition are the subject of the sections below on Topics B through E. </w:t>
      </w:r>
    </w:p>
    <w:p w:rsidR="003D39C3" w:rsidP="000572B8" w:rsidRDefault="003D39C3" w14:paraId="054B75FB" w14:textId="77777777">
      <w:pPr>
        <w:spacing w:before="360" w:after="200" w:line="276" w:lineRule="auto"/>
        <w:rPr>
          <w:b/>
          <w:bCs/>
          <w:u w:val="single"/>
        </w:rPr>
      </w:pPr>
      <w:r w:rsidRPr="00D22027">
        <w:rPr>
          <w:b/>
          <w:bCs/>
          <w:u w:val="single"/>
        </w:rPr>
        <w:t>Disposition #</w:t>
      </w:r>
      <w:r w:rsidR="00E97DDB">
        <w:rPr>
          <w:b/>
          <w:bCs/>
          <w:u w:val="single"/>
        </w:rPr>
        <w:t>9</w:t>
      </w:r>
      <w:r w:rsidRPr="00D22027">
        <w:rPr>
          <w:b/>
          <w:bCs/>
          <w:u w:val="single"/>
        </w:rPr>
        <w:t>:   Quarterly Reporting (E-5230 Topic B, Issue 1)</w:t>
      </w:r>
    </w:p>
    <w:p w:rsidR="003D39C3" w:rsidP="003D39C3" w:rsidRDefault="003D39C3" w14:paraId="3AF9C0B0" w14:textId="77777777">
      <w:pPr>
        <w:spacing w:after="200" w:line="276" w:lineRule="auto"/>
      </w:pPr>
      <w:r w:rsidRPr="00D22027">
        <w:t>Resolution E-5230 found that quarterly reporting of LGP facilities is not required. The Resolution states “As presented during the November 29, 2022 workshop, the Large IOUs shall utilize Advanced Metering Infrastructure (AMI) data for projects with a nameplate of less than 1 MW and telemetry for LGP projects with a nameplate over 1 MW as telemetry is already a requirement per the current Rule 21 for projects sized above 1 MW.”</w:t>
      </w:r>
      <w:r w:rsidRPr="00D22027">
        <w:rPr>
          <w:vertAlign w:val="superscript"/>
        </w:rPr>
        <w:footnoteReference w:id="157"/>
      </w:r>
      <w:r w:rsidRPr="00D22027">
        <w:t xml:space="preserve"> Resolution E-5230 directed the Large IOUs to finalize details and tariff language during the ordered workshops.  </w:t>
      </w:r>
    </w:p>
    <w:p w:rsidR="003D39C3" w:rsidP="003D39C3" w:rsidRDefault="003D39C3" w14:paraId="1A61FF5C" w14:textId="77777777">
      <w:pPr>
        <w:spacing w:after="200" w:line="276" w:lineRule="auto"/>
      </w:pPr>
      <w:r w:rsidRPr="00D22027">
        <w:t>There was consensus on the proposed Large IOUs language with one modification. The Large IOUs propose the following:</w:t>
      </w:r>
    </w:p>
    <w:p w:rsidRPr="00D22027" w:rsidR="003D39C3" w:rsidP="00864730" w:rsidRDefault="003D39C3" w14:paraId="3C8E3F4B" w14:textId="77777777">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pPr>
      <w:r w:rsidRPr="00D22027">
        <w:t>For LGP projects with nameplate under 1 MW, AMI data will be utilized where available. If AMI is not available, telemetry will be required to monitor export at the Point of Common Coupling (PCC).</w:t>
      </w:r>
    </w:p>
    <w:p w:rsidR="003D39C3" w:rsidP="009551A2" w:rsidRDefault="003D39C3" w14:paraId="381EF60A" w14:textId="77777777">
      <w:pPr>
        <w:numPr>
          <w:ilvl w:val="0"/>
          <w:numId w:val="13"/>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pPr>
      <w:r w:rsidRPr="00D22027">
        <w:t>For LGP projects with nameplate greater than or equal to 1 MW, telemetry is required. If telemetry is monitoring only the generation output, utilities may also leverage AMI data, where available, to monitor export at the PCC.</w:t>
      </w:r>
    </w:p>
    <w:p w:rsidR="003D39C3" w:rsidP="003D39C3" w:rsidRDefault="003D39C3" w14:paraId="16D1B6A7" w14:textId="77777777">
      <w:pPr>
        <w:spacing w:after="200" w:line="276" w:lineRule="auto"/>
      </w:pPr>
      <w:r w:rsidRPr="00D22027">
        <w:t>And the Large IOUs propose to add the following language to section J.5 of Rule 21:</w:t>
      </w:r>
    </w:p>
    <w:p w:rsidR="003D39C3" w:rsidP="003D39C3" w:rsidRDefault="003D39C3" w14:paraId="0658D00E" w14:textId="77777777">
      <w:pPr>
        <w:spacing w:after="200" w:line="276" w:lineRule="auto"/>
        <w:ind w:left="720"/>
      </w:pPr>
      <w:r w:rsidRPr="00D22027">
        <w:t>For Generating Facilities with a Limited Generation Profile attached to their Generator Interconnection Agreement, if AMI [Advanced Metering Infrastructure] is not available, or Customer opts out, telemetry at the point of common coupling will be required at the Producer’s expense.</w:t>
      </w:r>
      <w:r w:rsidRPr="00D22027">
        <w:rPr>
          <w:vertAlign w:val="superscript"/>
        </w:rPr>
        <w:footnoteReference w:id="158"/>
      </w:r>
    </w:p>
    <w:p w:rsidR="003D39C3" w:rsidP="003D39C3" w:rsidRDefault="003D39C3" w14:paraId="18326315" w14:textId="77777777">
      <w:pPr>
        <w:spacing w:after="200" w:line="276" w:lineRule="auto"/>
      </w:pPr>
      <w:r w:rsidRPr="00D22027">
        <w:lastRenderedPageBreak/>
        <w:t>IREC agree</w:t>
      </w:r>
      <w:r w:rsidR="00F50A25">
        <w:t>s</w:t>
      </w:r>
      <w:r w:rsidRPr="00D22027">
        <w:t xml:space="preserve"> with the Large IOUs language but suggests “that in the proposed language for section J.5, it is advisable that the word “telemetry” be replaced with “Telemetering equipment” defined term used in Rule 21 and elsewhere in that section.”</w:t>
      </w:r>
      <w:r w:rsidRPr="00D22027">
        <w:rPr>
          <w:vertAlign w:val="superscript"/>
        </w:rPr>
        <w:footnoteReference w:id="159"/>
      </w:r>
    </w:p>
    <w:p w:rsidR="003D39C3" w:rsidP="003D39C3" w:rsidRDefault="003D39C3" w14:paraId="600FE6BB" w14:textId="77777777">
      <w:pPr>
        <w:spacing w:after="200" w:line="276" w:lineRule="auto"/>
        <w:rPr>
          <w:b/>
          <w:bCs/>
        </w:rPr>
      </w:pPr>
      <w:r w:rsidRPr="00D22027">
        <w:rPr>
          <w:b/>
          <w:bCs/>
        </w:rPr>
        <w:t>We agree with the Large IOUs language and adopt the following addition to Section J.5 of Rule 21 (added in Appendix B):</w:t>
      </w:r>
    </w:p>
    <w:p w:rsidR="003D39C3" w:rsidP="003D39C3" w:rsidRDefault="003D39C3" w14:paraId="5D13866C" w14:textId="77777777">
      <w:pPr>
        <w:spacing w:after="200" w:line="276" w:lineRule="auto"/>
        <w:ind w:left="720"/>
        <w:rPr>
          <w:i/>
          <w:iCs/>
        </w:rPr>
      </w:pPr>
      <w:r w:rsidRPr="00D22027">
        <w:rPr>
          <w:i/>
          <w:iCs/>
        </w:rPr>
        <w:t>For Generating Facilities with a Limited Generation Profile attached to their Generator Interconnection Agreement, if AMI [Advanced Metering Infrastructure] is not available, or Customer opts out, tele</w:t>
      </w:r>
      <w:r w:rsidR="00956385">
        <w:rPr>
          <w:i/>
          <w:iCs/>
        </w:rPr>
        <w:t>metry</w:t>
      </w:r>
      <w:r w:rsidRPr="00D22027">
        <w:rPr>
          <w:i/>
          <w:iCs/>
        </w:rPr>
        <w:t xml:space="preserve"> at the point of common coupling will be required at the Producer’s expense.</w:t>
      </w:r>
    </w:p>
    <w:p w:rsidR="003D39C3" w:rsidP="00864730" w:rsidRDefault="003D39C3" w14:paraId="5118CC0D" w14:textId="77777777">
      <w:pPr>
        <w:spacing w:before="360" w:after="200" w:line="276" w:lineRule="auto"/>
        <w:rPr>
          <w:b/>
          <w:bCs/>
          <w:u w:val="single"/>
        </w:rPr>
      </w:pPr>
      <w:r w:rsidRPr="00D22027">
        <w:rPr>
          <w:b/>
          <w:bCs/>
          <w:u w:val="single"/>
        </w:rPr>
        <w:t>Disposition #1</w:t>
      </w:r>
      <w:r w:rsidR="00E97DDB">
        <w:rPr>
          <w:b/>
          <w:bCs/>
          <w:u w:val="single"/>
        </w:rPr>
        <w:t>0</w:t>
      </w:r>
      <w:r w:rsidRPr="00D22027">
        <w:rPr>
          <w:b/>
          <w:bCs/>
          <w:u w:val="single"/>
        </w:rPr>
        <w:t>:   Use of Gross Nameplate Rating in Initial Review (E-5230 Topic B, Issue 2)</w:t>
      </w:r>
    </w:p>
    <w:p w:rsidR="003D39C3" w:rsidP="003D39C3" w:rsidRDefault="003D39C3" w14:paraId="3F59015D" w14:textId="77777777">
      <w:pPr>
        <w:spacing w:after="200" w:line="276" w:lineRule="auto"/>
      </w:pPr>
      <w:r w:rsidRPr="00D22027">
        <w:t xml:space="preserve">Resolution E-5230 directed the Large IOUs to further discuss, and justify, the use of gross nameplate for Rule 21 screens. Resolution E-5230 specified that should the IOUs continue to propose the use of gross nameplate for screens D, I, J, and K, the IOUs were to discuss the proposal at workshops and in their subsequent AL—the Joint May LGP AL. Resolution E-5230 Section B Issue 2 states: </w:t>
      </w:r>
    </w:p>
    <w:p w:rsidR="003D39C3" w:rsidP="003D39C3" w:rsidRDefault="003D39C3" w14:paraId="5496232D" w14:textId="77777777">
      <w:pPr>
        <w:spacing w:after="200" w:line="276" w:lineRule="auto"/>
        <w:ind w:left="720"/>
      </w:pPr>
      <w:r w:rsidRPr="00D22027">
        <w:t>We direct the Large IOUs to discuss tariff language modifications during the workshops and to provide more information on which aspects of Screen P will be studied using the LGP value and which will not, if this is the case. In the November 10, 2022 SIWG meeting, the Large IOUs also state that Screens F, G, and H will be evaluated on nameplate rating. The Large IOUs note that ‘Screens A-E are also not included in ICA calculation. The evaluation is not based on nameplate rating but will depend on aspects of each screen.’ As it is still in unclear how screens D, I, J, and K will be studied, discussions regarding these screens should continue within the workshop discussions. … the Large IOUs are directed to fully justify their arguments.</w:t>
      </w:r>
      <w:r>
        <w:rPr>
          <w:rStyle w:val="FootnoteReference"/>
        </w:rPr>
        <w:footnoteReference w:id="160"/>
      </w:r>
      <w:r w:rsidRPr="00D22027">
        <w:t xml:space="preserve"> </w:t>
      </w:r>
    </w:p>
    <w:p w:rsidR="003D39C3" w:rsidP="003D39C3" w:rsidRDefault="003D39C3" w14:paraId="1ED05FC0" w14:textId="77777777">
      <w:pPr>
        <w:spacing w:after="200" w:line="276" w:lineRule="auto"/>
      </w:pPr>
      <w:r w:rsidRPr="00D22027">
        <w:t xml:space="preserve">General consensus among parties was reached on use of Gross Nameplate Rating in the Rule 21 Initial Review screens. Consensus was not reached on the use of Gross </w:t>
      </w:r>
      <w:r w:rsidRPr="00D22027">
        <w:lastRenderedPageBreak/>
        <w:t>Nameplate Rating in Screens N, O, and P during Supplemental Review, which we discuss in Disposition #1</w:t>
      </w:r>
      <w:r w:rsidR="00E97DDB">
        <w:t>1</w:t>
      </w:r>
      <w:r w:rsidRPr="00D22027">
        <w:t xml:space="preserve">.  In summary, the following was agreed or uncontested for Initial Review: </w:t>
      </w:r>
    </w:p>
    <w:p w:rsidR="003D39C3" w:rsidP="00864730" w:rsidRDefault="003D39C3" w14:paraId="3AF5F987" w14:textId="77777777">
      <w:pPr>
        <w:pStyle w:val="ListParagraph"/>
        <w:numPr>
          <w:ilvl w:val="0"/>
          <w:numId w:val="28"/>
        </w:numPr>
        <w:spacing w:line="276" w:lineRule="auto"/>
      </w:pPr>
      <w:r w:rsidRPr="00D22027">
        <w:t>Screens F, F1, G, and H:  Gross Nameplate Rating will be used</w:t>
      </w:r>
      <w:r w:rsidR="009551A2">
        <w:t>;</w:t>
      </w:r>
      <w:r w:rsidRPr="00D22027">
        <w:t xml:space="preserve"> </w:t>
      </w:r>
    </w:p>
    <w:p w:rsidR="003D39C3" w:rsidP="00864730" w:rsidRDefault="003D39C3" w14:paraId="09729367" w14:textId="77777777">
      <w:pPr>
        <w:pStyle w:val="ListParagraph"/>
        <w:numPr>
          <w:ilvl w:val="0"/>
          <w:numId w:val="28"/>
        </w:numPr>
        <w:spacing w:line="276" w:lineRule="auto"/>
      </w:pPr>
      <w:r w:rsidRPr="00D22027">
        <w:t>Screen P:  Gross Nameplate Rating will be used solely for aspects involving fault current calculations</w:t>
      </w:r>
      <w:r w:rsidR="009551A2">
        <w:t>;</w:t>
      </w:r>
    </w:p>
    <w:p w:rsidR="003D39C3" w:rsidP="00864730" w:rsidRDefault="003D39C3" w14:paraId="0B8D845A" w14:textId="77777777">
      <w:pPr>
        <w:pStyle w:val="ListParagraph"/>
        <w:numPr>
          <w:ilvl w:val="0"/>
          <w:numId w:val="28"/>
        </w:numPr>
        <w:spacing w:after="200" w:line="276" w:lineRule="auto"/>
      </w:pPr>
      <w:r w:rsidRPr="00D22027">
        <w:t>Screens D, J, K, M, N, and O:  Gross Nameplate Rating will not be used</w:t>
      </w:r>
      <w:r w:rsidR="009551A2">
        <w:t>.</w:t>
      </w:r>
    </w:p>
    <w:p w:rsidR="003D39C3" w:rsidP="003D39C3" w:rsidRDefault="003D39C3" w14:paraId="4F1B316F" w14:textId="77777777">
      <w:pPr>
        <w:spacing w:after="200" w:line="276" w:lineRule="auto"/>
      </w:pPr>
      <w:r w:rsidRPr="00D22027">
        <w:t>We note for the above agreed use of Gross Nameplate Rating:</w:t>
      </w:r>
    </w:p>
    <w:p w:rsidRPr="003B59FD" w:rsidR="003D39C3" w:rsidP="00864730" w:rsidRDefault="003D39C3" w14:paraId="614446C4"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Palatino Linotype" w:hAnsi="Palatino Linotype"/>
          <w:sz w:val="24"/>
          <w:szCs w:val="24"/>
        </w:rPr>
      </w:pPr>
      <w:r w:rsidRPr="003B59FD">
        <w:rPr>
          <w:rFonts w:ascii="Palatino Linotype" w:hAnsi="Palatino Linotype"/>
          <w:sz w:val="24"/>
          <w:szCs w:val="24"/>
        </w:rPr>
        <w:t>Screens F, F1, G, and H:  the Large IOUs proposal was uncontested.</w:t>
      </w:r>
    </w:p>
    <w:p w:rsidRPr="003B59FD" w:rsidR="003D39C3" w:rsidP="00864730" w:rsidRDefault="003D39C3" w14:paraId="135BA612"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Palatino Linotype" w:hAnsi="Palatino Linotype"/>
          <w:sz w:val="24"/>
          <w:szCs w:val="24"/>
        </w:rPr>
      </w:pPr>
      <w:r w:rsidRPr="003B59FD">
        <w:rPr>
          <w:rFonts w:ascii="Palatino Linotype" w:hAnsi="Palatino Linotype"/>
          <w:sz w:val="24"/>
          <w:szCs w:val="24"/>
        </w:rPr>
        <w:t>Screen P:  the Large IOUs justified use of Gross Nameplate Rating for aspects involving fault current calculation to ensure safety and reliability.</w:t>
      </w:r>
    </w:p>
    <w:p w:rsidRPr="003B59FD" w:rsidR="003D39C3" w:rsidP="009551A2" w:rsidRDefault="003D39C3" w14:paraId="3DFEC45A" w14:textId="77777777">
      <w:pPr>
        <w:pStyle w:val="ListParagraph"/>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Palatino Linotype" w:hAnsi="Palatino Linotype"/>
          <w:sz w:val="24"/>
          <w:szCs w:val="24"/>
        </w:rPr>
      </w:pPr>
      <w:r w:rsidRPr="003B59FD">
        <w:rPr>
          <w:rFonts w:ascii="Palatino Linotype" w:hAnsi="Palatino Linotype"/>
          <w:sz w:val="24"/>
          <w:szCs w:val="24"/>
        </w:rPr>
        <w:t xml:space="preserve">Screens D, J, K, M, N, O, and P:  we find that the Large IOUs have complied with the directive in Resolution E-5230 on Section B Issue 2, in that Gross Nameplate Rating is not to be utilized in any other screens and thus further justification for use of Gross Nameplate Rating is no longer necessary.  </w:t>
      </w:r>
    </w:p>
    <w:p w:rsidR="003D39C3" w:rsidP="003D39C3" w:rsidRDefault="003D39C3" w14:paraId="71BF72EE" w14:textId="77777777">
      <w:pPr>
        <w:spacing w:after="200" w:line="276" w:lineRule="auto"/>
        <w:rPr>
          <w:b/>
          <w:bCs/>
        </w:rPr>
      </w:pPr>
      <w:r w:rsidRPr="00D22027">
        <w:rPr>
          <w:b/>
          <w:bCs/>
        </w:rPr>
        <w:t>We adopt the following use of Gross Nameplate Rating in Initial Review:  Screens F, F1, G, and H:  Gross Nameplate Rating will be used; Screen P:  Gross Nameplate Rating will be used solely for aspects involving fault current calculations</w:t>
      </w:r>
      <w:r w:rsidR="003D7535">
        <w:rPr>
          <w:b/>
          <w:bCs/>
        </w:rPr>
        <w:t xml:space="preserve"> (and noting </w:t>
      </w:r>
      <w:r w:rsidRPr="003D7535" w:rsidR="003D7535">
        <w:rPr>
          <w:b/>
          <w:bCs/>
        </w:rPr>
        <w:t>the Large IOUs justified use of Gross Nameplate Rating for aspects involving fault current calculation to ensure safety and reliability)</w:t>
      </w:r>
      <w:r w:rsidRPr="003D7535">
        <w:rPr>
          <w:b/>
          <w:bCs/>
        </w:rPr>
        <w:t>;</w:t>
      </w:r>
      <w:r w:rsidRPr="00D22027">
        <w:rPr>
          <w:b/>
          <w:bCs/>
        </w:rPr>
        <w:t xml:space="preserve"> Screens D, J, K, M, N, and O:  Gross Nameplate Rating will not be used.</w:t>
      </w:r>
    </w:p>
    <w:p w:rsidR="003D39C3" w:rsidP="00864730" w:rsidRDefault="003D39C3" w14:paraId="58A9042E" w14:textId="77777777">
      <w:pPr>
        <w:spacing w:before="360" w:after="200" w:line="276" w:lineRule="auto"/>
        <w:rPr>
          <w:b/>
          <w:bCs/>
          <w:u w:val="single"/>
        </w:rPr>
      </w:pPr>
      <w:r w:rsidRPr="00D22027">
        <w:rPr>
          <w:b/>
          <w:bCs/>
          <w:u w:val="single"/>
        </w:rPr>
        <w:t xml:space="preserve">Disposition #11:   Use of Gross Nameplate Rating in Supplemental Review (E-5230 Topic B, Issue 2).  </w:t>
      </w:r>
    </w:p>
    <w:p w:rsidR="003D39C3" w:rsidP="003D39C3" w:rsidRDefault="003D39C3" w14:paraId="67122BF4" w14:textId="77777777">
      <w:pPr>
        <w:spacing w:after="200" w:line="276" w:lineRule="auto"/>
      </w:pPr>
      <w:r w:rsidRPr="00D22027">
        <w:t>The Large IOUs propose the following procedure for Supplemental Review and use of Gross Nameplate Rating in Supplemental review:</w:t>
      </w:r>
      <w:r>
        <w:rPr>
          <w:rStyle w:val="FootnoteReference"/>
        </w:rPr>
        <w:footnoteReference w:id="161"/>
      </w:r>
    </w:p>
    <w:p w:rsidR="003D39C3" w:rsidP="003D39C3" w:rsidRDefault="003D39C3" w14:paraId="3F2D2847" w14:textId="77777777">
      <w:pPr>
        <w:spacing w:after="200" w:line="276" w:lineRule="auto"/>
        <w:ind w:left="720"/>
      </w:pPr>
      <w:r w:rsidRPr="00D22027">
        <w:t xml:space="preserve">If the Initial Review fails due to the LGP values requested by the Customer in its interconnection application exceeding 90% of ICA SG Profile for any hour, the </w:t>
      </w:r>
      <w:r w:rsidRPr="00D22027">
        <w:lastRenderedPageBreak/>
        <w:t>project will fail Screen M /Initial Review. The Customer will be notified of Initial Review failure and offered an Optional Results Meeting. If modifications that can mitigate the Initial Review failure are identified during the Optional Results Meeting as per section F.2.b. of Rule 21, the Customer must provide updated LGP values within 5 business days:</w:t>
      </w:r>
    </w:p>
    <w:p w:rsidRPr="00D22027" w:rsidR="003D39C3" w:rsidP="00864730" w:rsidRDefault="003D39C3" w14:paraId="426EF034" w14:textId="77777777">
      <w:pPr>
        <w:numPr>
          <w:ilvl w:val="1"/>
          <w:numId w:val="1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1800"/>
      </w:pPr>
      <w:r w:rsidRPr="00D22027">
        <w:t xml:space="preserve">Reduction at each hour of the updated LGP values must comply with Rule 21 Table F.1. Each hour may not be reduced by more than 20% of the original request. </w:t>
      </w:r>
    </w:p>
    <w:p w:rsidRPr="00D22027" w:rsidR="003D39C3" w:rsidP="00864730" w:rsidRDefault="003D39C3" w14:paraId="3501CE83" w14:textId="77777777">
      <w:pPr>
        <w:numPr>
          <w:ilvl w:val="1"/>
          <w:numId w:val="1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1800"/>
      </w:pPr>
      <w:r w:rsidRPr="00D22027">
        <w:t>If IOU determines that the ICA results are outdated and the project would fail Screen M based on the updated ICA results, the Customer will be allowed to update their proposed LGP values with no restrictions on the amount of reduction.</w:t>
      </w:r>
    </w:p>
    <w:p w:rsidRPr="00D22027" w:rsidR="003D39C3" w:rsidP="00864730" w:rsidRDefault="003D39C3" w14:paraId="215C4657" w14:textId="77777777">
      <w:pPr>
        <w:numPr>
          <w:ilvl w:val="1"/>
          <w:numId w:val="1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1800"/>
      </w:pPr>
      <w:r w:rsidRPr="00D22027">
        <w:t>Where reduction of LGP impacts other failed screens (such screen D), the cost and time for the restudy will be based on Rule 21 Table F.1.</w:t>
      </w:r>
    </w:p>
    <w:p w:rsidR="003D39C3" w:rsidP="009551A2" w:rsidRDefault="003D39C3" w14:paraId="6C034DC5" w14:textId="77777777">
      <w:pPr>
        <w:numPr>
          <w:ilvl w:val="1"/>
          <w:numId w:val="14"/>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1800"/>
      </w:pPr>
      <w:r w:rsidRPr="00D22027">
        <w:t>Increases in generator size, i.e., increases in generator nameplate or LGP values, are not allowed under Fast Track.</w:t>
      </w:r>
    </w:p>
    <w:p w:rsidR="003D39C3" w:rsidP="003D39C3" w:rsidRDefault="003D39C3" w14:paraId="55CB7A6C" w14:textId="77777777">
      <w:pPr>
        <w:spacing w:after="200" w:line="276" w:lineRule="auto"/>
        <w:ind w:left="720"/>
      </w:pPr>
      <w:r w:rsidRPr="00D22027">
        <w:t>Updated LGP values must be provided 5 business days after Optional Initial Review Results Meeting. If the IOU’s do not receive the updated LGP within 5 business days, and the project proceeds to Supplemental Review as per Rule 21, section F.2.c., the project would be studied using the generator nameplate capability for Screen N and applicable portions of Screens O and P.</w:t>
      </w:r>
    </w:p>
    <w:p w:rsidR="003D39C3" w:rsidP="003D39C3" w:rsidRDefault="003D39C3" w14:paraId="7A2464D0" w14:textId="77777777">
      <w:pPr>
        <w:spacing w:after="200" w:line="276" w:lineRule="auto"/>
      </w:pPr>
      <w:r w:rsidRPr="00D22027">
        <w:t>The Large IOUs argue that any LGP interconnection application with LGP values exceeding 90% of ICA-SG values must either be revised or must proceed to Supplemental Review using the Generator Nameplate Rating. They reiterate that the requirement of the LGP option is for it to be at or below 90% of ICA-SG values, and allowing projects that have an LGP that exceeds 90% of the ICA-SG values is counter to the intent of the LGP option.</w:t>
      </w:r>
      <w:r>
        <w:rPr>
          <w:rStyle w:val="FootnoteReference"/>
        </w:rPr>
        <w:footnoteReference w:id="162"/>
      </w:r>
    </w:p>
    <w:p w:rsidR="003D39C3" w:rsidP="003D39C3" w:rsidRDefault="003D39C3" w14:paraId="613C68C3" w14:textId="77777777">
      <w:pPr>
        <w:spacing w:after="200" w:line="276" w:lineRule="auto"/>
      </w:pPr>
      <w:r w:rsidRPr="00D22027">
        <w:t xml:space="preserve">IREC protests the Large IOUs proposal and provides a counter-proposal that all LGP interconnection applications proceed to Supplemental Review and be analyzed using LGP values, regardless of whether LGP values exceed 90% ICA-SG values. IREC </w:t>
      </w:r>
      <w:r w:rsidRPr="00D22027">
        <w:lastRenderedPageBreak/>
        <w:t>proposes that if the LGP profile contains one or more LGP values that exceed the 90% of the most up-to-date ICA-SG profile, the IOUs should perform a load flow analysis for the hours that exceeded the 90% ICA-SG.</w:t>
      </w:r>
      <w:r>
        <w:rPr>
          <w:rStyle w:val="FootnoteReference"/>
        </w:rPr>
        <w:footnoteReference w:id="163"/>
      </w:r>
    </w:p>
    <w:p w:rsidR="003D39C3" w:rsidP="003D39C3" w:rsidRDefault="003D39C3" w14:paraId="658BDB93" w14:textId="77777777">
      <w:pPr>
        <w:spacing w:after="200" w:line="276" w:lineRule="auto"/>
      </w:pPr>
      <w:r w:rsidRPr="00D22027">
        <w:t>IREC states “There is nothing in the Decision or in the Resolutions which indicate that an LGP project should be prevented from taking full advantage of supplemental review. As such, IREC protests this unjust and unreasonable proposal”</w:t>
      </w:r>
      <w:r w:rsidRPr="00D22027">
        <w:rPr>
          <w:vertAlign w:val="superscript"/>
        </w:rPr>
        <w:footnoteReference w:id="164"/>
      </w:r>
      <w:r w:rsidRPr="00D22027">
        <w:t xml:space="preserve"> for two reasons: (a) that it seems unlikely that a project that proposed an LGP would be inclined to switch to being a full export project; (b) that Screen N in Supplemental Review requires that if voltage is a prevailing constraint, the utility must conduct a power flow analysis that evaluates whether “the full range of smart inverter functions including the volt/var function” eliminate the constraint."</w:t>
      </w:r>
      <w:r w:rsidRPr="00D22027">
        <w:rPr>
          <w:vertAlign w:val="superscript"/>
        </w:rPr>
        <w:footnoteReference w:id="165"/>
      </w:r>
      <w:r w:rsidRPr="00D22027">
        <w:t xml:space="preserve"> </w:t>
      </w:r>
    </w:p>
    <w:p w:rsidR="003D39C3" w:rsidP="003D39C3" w:rsidRDefault="003D39C3" w14:paraId="41739555" w14:textId="77777777">
      <w:pPr>
        <w:spacing w:after="200" w:line="276" w:lineRule="auto"/>
      </w:pPr>
      <w:r w:rsidRPr="00D22027">
        <w:t>In response to IREC’s protest and counter-proposal, the Large IOUs argue their position as follows:</w:t>
      </w:r>
      <w:r>
        <w:rPr>
          <w:rStyle w:val="FootnoteReference"/>
        </w:rPr>
        <w:footnoteReference w:id="166"/>
      </w:r>
    </w:p>
    <w:p w:rsidR="003D39C3" w:rsidP="003D39C3" w:rsidRDefault="003D39C3" w14:paraId="0A34AC2F" w14:textId="77777777">
      <w:pPr>
        <w:spacing w:after="200" w:line="276" w:lineRule="auto"/>
        <w:ind w:left="720"/>
      </w:pPr>
      <w:r w:rsidRPr="00D22027">
        <w:t>Allowing a project that intentionally chooses not to abide by the limits to continue to Supplemental Review with its LGP unchanged is counter to the goal of streamlining the generator interconnection process. For this reason, the Joint Utilities request that the Commission dismiss IREC’s proclamation that the Joint Utilities’ approach is “unjust” and “unreasonable.”</w:t>
      </w:r>
    </w:p>
    <w:p w:rsidR="003D39C3" w:rsidP="003D39C3" w:rsidRDefault="003D39C3" w14:paraId="21BE336F" w14:textId="77777777">
      <w:pPr>
        <w:spacing w:after="200" w:line="276" w:lineRule="auto"/>
        <w:ind w:left="720"/>
      </w:pPr>
      <w:r w:rsidRPr="00D22027">
        <w:t xml:space="preserve">As discussed at LGP Workshop 4, and generally acknowledged by IREC itself, it takes significantly more computational effort and time to perform time-series power flow analysis to address each constraint violation associated with a proposed LGP schedule. For example, if the interconnecting generator submitted LGP values that exceeded 90% of the ICA Static Grid results (incorrect values), and chose not to update the incorrect values, the interconnection engineer would need to perform power flow analysis for all hours having incorrect values. If criteria violations were identified for any of the incorrect values, the interconnection engineer would then need to evaluate the appropriate mitigation </w:t>
      </w:r>
      <w:r w:rsidRPr="00D22027">
        <w:lastRenderedPageBreak/>
        <w:t>and re-run the power flow analysis for those hours. This cycle would repeat until the appropriate mitigation is identified.</w:t>
      </w:r>
    </w:p>
    <w:p w:rsidR="003D39C3" w:rsidP="003D39C3" w:rsidRDefault="003D39C3" w14:paraId="18C7F12F" w14:textId="77777777">
      <w:pPr>
        <w:spacing w:after="200" w:line="276" w:lineRule="auto"/>
        <w:ind w:left="720"/>
      </w:pPr>
      <w:r w:rsidRPr="00D22027">
        <w:t>Even if only a small number of LGP values exceeded 90% of ICA Static Grid results, the amount of analysis required would exceed that of a typical interconnection study. This is a problem, especially considering the much tighter interconnection process timelines that apply to Fast Track interconnections. IREC’s approach defeats the purpose of having a streamlined interconnection process and will almost certainly lead to delays that further challenge the utilities’ ability to meet established deadlines.</w:t>
      </w:r>
    </w:p>
    <w:p w:rsidR="003D39C3" w:rsidP="003D39C3" w:rsidRDefault="003D39C3" w14:paraId="497C52F8" w14:textId="77777777">
      <w:pPr>
        <w:spacing w:after="200" w:line="276" w:lineRule="auto"/>
      </w:pPr>
      <w:r w:rsidRPr="00D22027">
        <w:t xml:space="preserve">We find that the Large IOUs make a compelling argument </w:t>
      </w:r>
      <w:r w:rsidR="00F50A25">
        <w:t>on t</w:t>
      </w:r>
      <w:r w:rsidRPr="00D22027">
        <w:t xml:space="preserve">he difficulties of </w:t>
      </w:r>
      <w:r w:rsidR="00F50A25">
        <w:t xml:space="preserve">implementing </w:t>
      </w:r>
      <w:r w:rsidRPr="00D22027">
        <w:t xml:space="preserve">IREC’s proposed approach. </w:t>
      </w:r>
      <w:r w:rsidR="00F50A25">
        <w:t xml:space="preserve"> W</w:t>
      </w:r>
      <w:r w:rsidRPr="00D22027">
        <w:t>e agree with the Large IOUs that allowing projects that have an LGP that exceeds 90% of the ICA-SG values is counter to the intent of the LGP option.</w:t>
      </w:r>
    </w:p>
    <w:p w:rsidR="003D39C3" w:rsidP="003D39C3" w:rsidRDefault="003D39C3" w14:paraId="4187C517" w14:textId="77777777">
      <w:pPr>
        <w:spacing w:after="200" w:line="276" w:lineRule="auto"/>
        <w:rPr>
          <w:b/>
          <w:bCs/>
        </w:rPr>
      </w:pPr>
      <w:r w:rsidRPr="00D22027">
        <w:rPr>
          <w:b/>
          <w:bCs/>
        </w:rPr>
        <w:t>We adopt the Large IOUs proposal without modification—projects with LGP values exceeding the 90% ICA-SG values must either revise the LGP or proceed to Supplemental Review to be studied using the generator Gross Nameplate Rating.</w:t>
      </w:r>
    </w:p>
    <w:p w:rsidR="003D39C3" w:rsidP="00864730" w:rsidRDefault="003D39C3" w14:paraId="10A0EAC2" w14:textId="77777777">
      <w:pPr>
        <w:spacing w:before="360" w:after="200" w:line="276" w:lineRule="auto"/>
        <w:rPr>
          <w:b/>
          <w:bCs/>
          <w:u w:val="single"/>
        </w:rPr>
      </w:pPr>
      <w:r w:rsidRPr="00D22027">
        <w:rPr>
          <w:b/>
          <w:bCs/>
          <w:u w:val="single"/>
        </w:rPr>
        <w:t>Disposition #12:   Tariff Language and New Mm5 Option 12 (E-5230 Topic B, Issue 2)</w:t>
      </w:r>
    </w:p>
    <w:p w:rsidR="003D39C3" w:rsidP="003D39C3" w:rsidRDefault="003D39C3" w14:paraId="085AE16F" w14:textId="77777777">
      <w:pPr>
        <w:spacing w:after="200" w:line="276" w:lineRule="auto"/>
      </w:pPr>
      <w:r w:rsidRPr="00D22027">
        <w:t>Based on the discussions for use of Generator Nameplate Rating and modifications to Rule 21 Tariff language as discussed in Disposition</w:t>
      </w:r>
      <w:r>
        <w:t>s</w:t>
      </w:r>
      <w:r w:rsidRPr="00D22027">
        <w:t xml:space="preserve"> #10 and #11, the Large IOUs propose edits to the Rule 21 Tariff that were also discussed by the non-IOU parties in the workshops and commented upon in their protests.</w:t>
      </w:r>
    </w:p>
    <w:p w:rsidR="003D39C3" w:rsidP="003D39C3" w:rsidRDefault="003D39C3" w14:paraId="21870158" w14:textId="77777777">
      <w:pPr>
        <w:spacing w:after="200" w:line="276" w:lineRule="auto"/>
      </w:pPr>
      <w:r w:rsidRPr="00D22027">
        <w:t>The Large IOUs propose to add a 12th option under Section Mm5 for Screen I to provide better clarity and minimize the number of required tariff revisions.</w:t>
      </w:r>
      <w:r>
        <w:rPr>
          <w:rStyle w:val="FootnoteReference"/>
        </w:rPr>
        <w:footnoteReference w:id="167"/>
      </w:r>
      <w:r w:rsidRPr="00D22027">
        <w:t xml:space="preserve"> All parties agreed on this approach.</w:t>
      </w:r>
    </w:p>
    <w:p w:rsidR="003D39C3" w:rsidP="003D39C3" w:rsidRDefault="003D39C3" w14:paraId="534B5247" w14:textId="77777777">
      <w:pPr>
        <w:spacing w:after="200" w:line="276" w:lineRule="auto"/>
      </w:pPr>
      <w:r w:rsidRPr="00D22027">
        <w:t>IREC propose</w:t>
      </w:r>
      <w:r w:rsidR="00F50A25">
        <w:t>s</w:t>
      </w:r>
      <w:r w:rsidRPr="00D22027">
        <w:t xml:space="preserve"> several redlines to the Large IOUs proposal for this 12</w:t>
      </w:r>
      <w:r w:rsidRPr="00D22027">
        <w:rPr>
          <w:vertAlign w:val="superscript"/>
        </w:rPr>
        <w:t>th</w:t>
      </w:r>
      <w:r w:rsidRPr="00D22027">
        <w:t xml:space="preserve"> option</w:t>
      </w:r>
      <w:r w:rsidR="009551A2">
        <w:t>,</w:t>
      </w:r>
      <w:r>
        <w:rPr>
          <w:rStyle w:val="FootnoteReference"/>
        </w:rPr>
        <w:footnoteReference w:id="168"/>
      </w:r>
      <w:r w:rsidRPr="00D22027">
        <w:t xml:space="preserve"> t</w:t>
      </w:r>
      <w:r w:rsidR="00D94FD4">
        <w:t>wo</w:t>
      </w:r>
      <w:r w:rsidRPr="00D22027">
        <w:t xml:space="preserve"> of which the Large IOUs agreed with, as discussed below. In relation to the Tariff language, IREC also disagree</w:t>
      </w:r>
      <w:r w:rsidR="00F50A25">
        <w:t>s</w:t>
      </w:r>
      <w:r w:rsidRPr="00D22027">
        <w:t xml:space="preserve"> with language on use of Generator Nameplate Rating in </w:t>
      </w:r>
      <w:r w:rsidRPr="00D22027">
        <w:lastRenderedPageBreak/>
        <w:t xml:space="preserve">Supplemental Review, </w:t>
      </w:r>
      <w:r w:rsidR="00F50A25">
        <w:t>which i</w:t>
      </w:r>
      <w:r w:rsidRPr="00D22027">
        <w:t>s discussed in Disposition #11</w:t>
      </w:r>
      <w:r w:rsidR="00F50A25">
        <w:t>.  B</w:t>
      </w:r>
      <w:r w:rsidRPr="00D22027">
        <w:t xml:space="preserve">ased on </w:t>
      </w:r>
      <w:r w:rsidR="00F50A25">
        <w:t>D</w:t>
      </w:r>
      <w:r w:rsidRPr="00D22027">
        <w:t xml:space="preserve">isposition </w:t>
      </w:r>
      <w:r w:rsidR="00F50A25">
        <w:t xml:space="preserve">#11 </w:t>
      </w:r>
      <w:r w:rsidRPr="00D22027">
        <w:t>we find no language changes are required related to Supplemental Review. The t</w:t>
      </w:r>
      <w:r w:rsidR="002B6D54">
        <w:t>wo</w:t>
      </w:r>
      <w:r w:rsidRPr="00D22027">
        <w:t xml:space="preserve"> IREC proposals that we adopt</w:t>
      </w:r>
      <w:r w:rsidR="00796807">
        <w:t xml:space="preserve"> are as follows</w:t>
      </w:r>
      <w:r w:rsidRPr="00D22027">
        <w:t>:</w:t>
      </w:r>
    </w:p>
    <w:p w:rsidR="003D39C3" w:rsidP="003D39C3" w:rsidRDefault="003D39C3" w14:paraId="0BA0484F" w14:textId="77777777">
      <w:pPr>
        <w:spacing w:after="200" w:line="276" w:lineRule="auto"/>
      </w:pPr>
      <w:r w:rsidRPr="00D22027">
        <w:t>1. IREC propose</w:t>
      </w:r>
      <w:r w:rsidR="00F50A25">
        <w:t>s</w:t>
      </w:r>
      <w:r w:rsidRPr="00D22027">
        <w:t xml:space="preserve"> adding “according to a set schedule” after “generator nameplate” in the first paragraph.</w:t>
      </w:r>
      <w:r>
        <w:rPr>
          <w:rStyle w:val="FootnoteReference"/>
        </w:rPr>
        <w:footnoteReference w:id="169"/>
      </w:r>
      <w:r w:rsidRPr="00D22027">
        <w:t xml:space="preserve"> The Large IOUs agree</w:t>
      </w:r>
      <w:r w:rsidR="00F50A25">
        <w:t xml:space="preserve"> and the language is modified to read</w:t>
      </w:r>
      <w:r w:rsidRPr="00D22027">
        <w:t>:</w:t>
      </w:r>
    </w:p>
    <w:p w:rsidR="003D39C3" w:rsidP="003D39C3" w:rsidRDefault="003D39C3" w14:paraId="1F02C25D" w14:textId="77777777">
      <w:pPr>
        <w:spacing w:after="200" w:line="276" w:lineRule="auto"/>
        <w:ind w:left="720"/>
      </w:pPr>
      <w:r w:rsidRPr="00D22027">
        <w:t xml:space="preserve">The following are minimum requirements for limited export systems that use certified power control systems (PCS) with an open loop response time (OLRT) no more than two seconds to maintain a level of export that is lower than the generator nameplate rating </w:t>
      </w:r>
      <w:r w:rsidRPr="00D22027">
        <w:rPr>
          <w:u w:val="single"/>
        </w:rPr>
        <w:t>according to a set schedule</w:t>
      </w:r>
      <w:r w:rsidRPr="00D22027">
        <w:t>. It should be noted that other factors relevant to the Interconnection Study process may necessitate additional technical requirements that are not explicitly noted here.</w:t>
      </w:r>
    </w:p>
    <w:p w:rsidR="003D39C3" w:rsidP="003D39C3" w:rsidRDefault="007755FE" w14:paraId="47E71E16" w14:textId="77777777">
      <w:pPr>
        <w:spacing w:after="200" w:line="276" w:lineRule="auto"/>
        <w:rPr>
          <w:rFonts w:eastAsia="Palatino" w:cstheme="minorHAnsi"/>
          <w:color w:val="000000" w:themeColor="text1"/>
          <w:u w:val="single"/>
        </w:rPr>
      </w:pPr>
      <w:r>
        <w:rPr>
          <w:rFonts w:cstheme="minorHAnsi"/>
        </w:rPr>
        <w:t>2</w:t>
      </w:r>
      <w:r w:rsidRPr="00D22027" w:rsidR="003D39C3">
        <w:rPr>
          <w:rFonts w:cstheme="minorHAnsi"/>
        </w:rPr>
        <w:t xml:space="preserve">. IREC </w:t>
      </w:r>
      <w:r w:rsidR="00F50A25">
        <w:rPr>
          <w:rFonts w:cstheme="minorHAnsi"/>
        </w:rPr>
        <w:t xml:space="preserve">notes </w:t>
      </w:r>
      <w:r w:rsidRPr="00D22027" w:rsidR="003D39C3">
        <w:rPr>
          <w:rFonts w:cstheme="minorHAnsi"/>
        </w:rPr>
        <w:t>an inconsistency in the language for Screen O applicability in two different parts of the Large IOUs proposal</w:t>
      </w:r>
      <w:r w:rsidR="00F50A25">
        <w:rPr>
          <w:rFonts w:cstheme="minorHAnsi"/>
        </w:rPr>
        <w:t xml:space="preserve">; </w:t>
      </w:r>
      <w:r w:rsidRPr="00D22027" w:rsidR="003D39C3">
        <w:rPr>
          <w:rFonts w:cstheme="minorHAnsi"/>
        </w:rPr>
        <w:t>the Large IOUs agree and made the necessary correction. The correction made is: “</w:t>
      </w:r>
      <w:r w:rsidRPr="00D22027" w:rsidR="003D39C3">
        <w:rPr>
          <w:rFonts w:eastAsia="Palatino" w:cstheme="minorHAnsi"/>
          <w:color w:val="000000" w:themeColor="text1"/>
        </w:rPr>
        <w:t xml:space="preserve">Screen O: Use </w:t>
      </w:r>
      <w:r w:rsidRPr="00D22027" w:rsidR="003D39C3">
        <w:rPr>
          <w:rFonts w:eastAsia="Palatino" w:cstheme="minorHAnsi"/>
          <w:strike/>
          <w:color w:val="000000" w:themeColor="text1"/>
        </w:rPr>
        <w:t>the requested LGP values</w:t>
      </w:r>
      <w:r w:rsidRPr="00D22027" w:rsidR="003D39C3">
        <w:rPr>
          <w:rFonts w:eastAsia="Palatino" w:cstheme="minorHAnsi"/>
          <w:color w:val="000000" w:themeColor="text1"/>
        </w:rPr>
        <w:t xml:space="preserve"> </w:t>
      </w:r>
      <w:r w:rsidRPr="00D22027" w:rsidR="003D39C3">
        <w:rPr>
          <w:rFonts w:eastAsia="Palatino" w:cstheme="minorHAnsi"/>
          <w:color w:val="000000" w:themeColor="text1"/>
          <w:u w:val="single"/>
        </w:rPr>
        <w:t>the maximum LGP value</w:t>
      </w:r>
      <w:r w:rsidRPr="00DC21F2" w:rsidR="003D39C3">
        <w:rPr>
          <w:rFonts w:eastAsia="Palatino" w:cstheme="minorHAnsi"/>
          <w:color w:val="000000" w:themeColor="text1"/>
        </w:rPr>
        <w:t>.”</w:t>
      </w:r>
      <w:r w:rsidRPr="00D22027" w:rsidR="003D39C3">
        <w:rPr>
          <w:rStyle w:val="FootnoteReference"/>
          <w:rFonts w:cstheme="minorHAnsi"/>
        </w:rPr>
        <w:footnoteReference w:id="170"/>
      </w:r>
    </w:p>
    <w:p w:rsidR="003D39C3" w:rsidP="003D39C3" w:rsidRDefault="003D39C3" w14:paraId="087A0398" w14:textId="77777777">
      <w:pPr>
        <w:spacing w:after="200" w:line="276" w:lineRule="auto"/>
      </w:pPr>
      <w:r w:rsidRPr="00D22027">
        <w:t xml:space="preserve">IREC also makes </w:t>
      </w:r>
      <w:r w:rsidR="00D94FD4">
        <w:t xml:space="preserve">four </w:t>
      </w:r>
      <w:r w:rsidRPr="00D22027">
        <w:t>proposals for language changes that we reject:</w:t>
      </w:r>
    </w:p>
    <w:p w:rsidR="003D39C3" w:rsidP="003D39C3" w:rsidRDefault="003D39C3" w14:paraId="4BE88A47" w14:textId="77777777">
      <w:pPr>
        <w:spacing w:after="200" w:line="276" w:lineRule="auto"/>
      </w:pPr>
      <w:r w:rsidRPr="00D22027">
        <w:t>1. IREC proposes adding a reference in Screen I to the newly proposed LGP option, which the Large IOUs initially agreed with, but later stated that the entire “Mm5 – Option 12” language, including its title, should be located within Section Mm5, thus making a reference to Section Mm5 redundant.</w:t>
      </w:r>
    </w:p>
    <w:p w:rsidR="002308AB" w:rsidP="003D39C3" w:rsidRDefault="00D94FD4" w14:paraId="330D9824" w14:textId="77777777">
      <w:pPr>
        <w:spacing w:after="200" w:line="276" w:lineRule="auto"/>
      </w:pPr>
      <w:r>
        <w:t xml:space="preserve">2. IREC proposes </w:t>
      </w:r>
      <w:r w:rsidR="002308AB">
        <w:t>modifying the first minimum requirement to read: “</w:t>
      </w:r>
      <w:r w:rsidRPr="00D22027" w:rsidR="002308AB">
        <w:t>Use a PCS that is certified to the UL 1741 Supplement SE.</w:t>
      </w:r>
      <w:r w:rsidR="002308AB">
        <w:rPr>
          <w:rStyle w:val="FootnoteReference"/>
        </w:rPr>
        <w:footnoteReference w:id="171"/>
      </w:r>
      <w:r w:rsidRPr="00D22027" w:rsidR="002308AB">
        <w:t xml:space="preserve"> The Nationally Recognized Testing Lab (NRTL) evaluation must have determined that the PCS conforms to the export limiting scheduling functionality.</w:t>
      </w:r>
      <w:r w:rsidR="002308AB">
        <w:rPr>
          <w:rStyle w:val="FootnoteReference"/>
        </w:rPr>
        <w:footnoteReference w:id="172"/>
      </w:r>
      <w:r w:rsidR="002308AB">
        <w:t xml:space="preserve">  </w:t>
      </w:r>
      <w:r w:rsidRPr="00D22027" w:rsidR="002308AB">
        <w:t xml:space="preserve">We agree with the Large IOUs that </w:t>
      </w:r>
      <w:r w:rsidR="002308AB">
        <w:t>this re</w:t>
      </w:r>
      <w:r w:rsidRPr="00D22027" w:rsidR="002308AB">
        <w:t xml:space="preserve">quirement </w:t>
      </w:r>
      <w:r w:rsidR="002B6D54">
        <w:t xml:space="preserve">should </w:t>
      </w:r>
      <w:r w:rsidRPr="00D22027" w:rsidR="002308AB">
        <w:lastRenderedPageBreak/>
        <w:t xml:space="preserve">be finalized only after </w:t>
      </w:r>
      <w:r w:rsidR="00D65BFB">
        <w:t xml:space="preserve">a standard for UL </w:t>
      </w:r>
      <w:r w:rsidRPr="00D22027" w:rsidR="002308AB">
        <w:t>PCS</w:t>
      </w:r>
      <w:r w:rsidR="00D65BFB">
        <w:t xml:space="preserve"> with integrated schedule has </w:t>
      </w:r>
      <w:r w:rsidRPr="00D22027" w:rsidR="002308AB">
        <w:t xml:space="preserve">been incorporated into UL </w:t>
      </w:r>
      <w:r w:rsidR="00D65BFB">
        <w:t>3141</w:t>
      </w:r>
      <w:r w:rsidRPr="00D22027" w:rsidR="002308AB">
        <w:t xml:space="preserve"> revisions.</w:t>
      </w:r>
      <w:r w:rsidR="00D65BFB">
        <w:rPr>
          <w:rStyle w:val="FootnoteReference"/>
        </w:rPr>
        <w:footnoteReference w:id="173"/>
      </w:r>
    </w:p>
    <w:p w:rsidR="003D39C3" w:rsidP="003D39C3" w:rsidRDefault="00D94FD4" w14:paraId="2B926875" w14:textId="77777777">
      <w:pPr>
        <w:spacing w:after="200" w:line="276" w:lineRule="auto"/>
      </w:pPr>
      <w:r>
        <w:t>3</w:t>
      </w:r>
      <w:r w:rsidRPr="00D22027" w:rsidR="003D39C3">
        <w:t>. IREC proposes adding one additional minimum requirement: “Use a PCS that is certified to implement the schedule configuration requested in the Interconnection Request.”</w:t>
      </w:r>
      <w:r w:rsidR="003D39C3">
        <w:rPr>
          <w:rStyle w:val="FootnoteReference"/>
        </w:rPr>
        <w:footnoteReference w:id="174"/>
      </w:r>
      <w:r w:rsidR="003D39C3">
        <w:t xml:space="preserve">  </w:t>
      </w:r>
      <w:r w:rsidRPr="00D22027" w:rsidR="003D39C3">
        <w:t>The Large IOUs do not believe that this added minimum requirement is necessary. They state that given this section describes the minimum requirements of the PCS, its unnecessary to reference the “schedule configuration.” The Large IOUs note that the PCS needs to implement a “schedule” per the LGP attachment to the “Interconnection Agreement,” not a “schedule configuration” per the “Interconnection Request.”</w:t>
      </w:r>
      <w:r w:rsidR="00561D78">
        <w:rPr>
          <w:rStyle w:val="FootnoteReference"/>
        </w:rPr>
        <w:footnoteReference w:id="175"/>
      </w:r>
      <w:r w:rsidR="00561D78">
        <w:t xml:space="preserve"> </w:t>
      </w:r>
      <w:r w:rsidRPr="00D22027" w:rsidR="003D39C3">
        <w:t xml:space="preserve"> Thus, we reject the IREC proposed additional minimum requirement.</w:t>
      </w:r>
    </w:p>
    <w:p w:rsidR="003D39C3" w:rsidP="003D39C3" w:rsidRDefault="002308AB" w14:paraId="2ABE2001" w14:textId="77777777">
      <w:pPr>
        <w:spacing w:after="200" w:line="276" w:lineRule="auto"/>
      </w:pPr>
      <w:r>
        <w:t>4</w:t>
      </w:r>
      <w:r w:rsidRPr="00D22027" w:rsidR="003D39C3">
        <w:t>. IREC proposes that Rule 21 should also describe how screens will be applied for other acceptable (non-PCS) export control options, including relays with automation controllers, and proposes adding an additional Option 13 and Mm6 for the relay with automation controller option.</w:t>
      </w:r>
      <w:r w:rsidR="003D39C3">
        <w:rPr>
          <w:rStyle w:val="FootnoteReference"/>
        </w:rPr>
        <w:footnoteReference w:id="176"/>
      </w:r>
      <w:r w:rsidRPr="00D22027" w:rsidR="003D39C3">
        <w:t xml:space="preserve">  We reject adding language on relay with automation controller into Rule 21 Tariff language and discuss this issue further in Disposition #1</w:t>
      </w:r>
      <w:r w:rsidR="00E97DDB">
        <w:t>4</w:t>
      </w:r>
      <w:r w:rsidRPr="00D22027" w:rsidR="003D39C3">
        <w:t xml:space="preserve"> on Use of Non-Certified Devices.</w:t>
      </w:r>
    </w:p>
    <w:p w:rsidR="003D39C3" w:rsidP="003D39C3" w:rsidRDefault="003D39C3" w14:paraId="5ADE957C" w14:textId="77777777">
      <w:pPr>
        <w:spacing w:after="200" w:line="276" w:lineRule="auto"/>
      </w:pPr>
      <w:r w:rsidRPr="00D22027">
        <w:t xml:space="preserve">Given the above accepted and rejected revisions to the Large IOUs proposed language for Mm5: Option 12, and also incorporating the findings from Dispositions #10 and #11 on use of Generator Nameplate Rating, we modify the final Rule 21 Tariff language for Mm5 Option 12 to be as </w:t>
      </w:r>
      <w:r w:rsidR="002308AB">
        <w:t xml:space="preserve">provided </w:t>
      </w:r>
      <w:r w:rsidRPr="00D22027">
        <w:t xml:space="preserve">in </w:t>
      </w:r>
      <w:r w:rsidRPr="00072D3F">
        <w:t>Appendix B.</w:t>
      </w:r>
    </w:p>
    <w:p w:rsidR="003D39C3" w:rsidP="003D39C3" w:rsidRDefault="003D39C3" w14:paraId="2819AF0F" w14:textId="77777777">
      <w:pPr>
        <w:spacing w:after="200" w:line="276" w:lineRule="auto"/>
        <w:rPr>
          <w:b/>
          <w:bCs/>
        </w:rPr>
      </w:pPr>
      <w:r w:rsidRPr="00D22027">
        <w:rPr>
          <w:b/>
          <w:bCs/>
        </w:rPr>
        <w:t xml:space="preserve">We adopt the Rule 21 Tariff language for Section Mm5 – Option 12 as </w:t>
      </w:r>
      <w:r w:rsidR="002308AB">
        <w:rPr>
          <w:b/>
          <w:bCs/>
        </w:rPr>
        <w:t xml:space="preserve">provided </w:t>
      </w:r>
      <w:r w:rsidRPr="00D22027">
        <w:rPr>
          <w:b/>
          <w:bCs/>
        </w:rPr>
        <w:t xml:space="preserve">in Appendix B. We note, however, that after </w:t>
      </w:r>
      <w:r w:rsidR="00D65BFB">
        <w:rPr>
          <w:b/>
          <w:bCs/>
        </w:rPr>
        <w:t xml:space="preserve">a </w:t>
      </w:r>
      <w:r w:rsidRPr="00D22027">
        <w:rPr>
          <w:b/>
          <w:bCs/>
        </w:rPr>
        <w:t>standard</w:t>
      </w:r>
      <w:r w:rsidR="00D65BFB">
        <w:rPr>
          <w:b/>
          <w:bCs/>
        </w:rPr>
        <w:t xml:space="preserve"> for UL PCS with integrated </w:t>
      </w:r>
      <w:r w:rsidR="00D65BFB">
        <w:rPr>
          <w:b/>
          <w:bCs/>
        </w:rPr>
        <w:lastRenderedPageBreak/>
        <w:t xml:space="preserve">schedule has </w:t>
      </w:r>
      <w:r w:rsidRPr="00D22027">
        <w:rPr>
          <w:b/>
          <w:bCs/>
        </w:rPr>
        <w:t xml:space="preserve">been incorporated into UL </w:t>
      </w:r>
      <w:r w:rsidR="00D65BFB">
        <w:rPr>
          <w:b/>
          <w:bCs/>
        </w:rPr>
        <w:t xml:space="preserve">3141 </w:t>
      </w:r>
      <w:r w:rsidRPr="00D22027">
        <w:rPr>
          <w:b/>
          <w:bCs/>
        </w:rPr>
        <w:t>revisions, the Large IOUs may need to propose revised language.</w:t>
      </w:r>
    </w:p>
    <w:p w:rsidR="003D39C3" w:rsidP="002308AB" w:rsidRDefault="003D39C3" w14:paraId="7C5D9355" w14:textId="77777777">
      <w:pPr>
        <w:spacing w:before="360" w:after="200" w:line="276" w:lineRule="auto"/>
        <w:rPr>
          <w:b/>
          <w:bCs/>
          <w:u w:val="single"/>
        </w:rPr>
      </w:pPr>
      <w:r w:rsidRPr="00D22027">
        <w:rPr>
          <w:b/>
          <w:bCs/>
          <w:u w:val="single"/>
        </w:rPr>
        <w:t>Disposition #1</w:t>
      </w:r>
      <w:r w:rsidR="00F41F44">
        <w:rPr>
          <w:b/>
          <w:bCs/>
          <w:u w:val="single"/>
        </w:rPr>
        <w:t>3</w:t>
      </w:r>
      <w:r w:rsidRPr="00D22027">
        <w:rPr>
          <w:b/>
          <w:bCs/>
          <w:u w:val="single"/>
        </w:rPr>
        <w:t>:  Reductions to Limited Generating Profiles (E-5230 Topic B, Issue 3)</w:t>
      </w:r>
    </w:p>
    <w:p w:rsidR="003D39C3" w:rsidP="003D39C3" w:rsidRDefault="003D39C3" w14:paraId="2CEA2F9F" w14:textId="77777777">
      <w:pPr>
        <w:spacing w:after="200" w:line="276" w:lineRule="auto"/>
      </w:pPr>
      <w:r w:rsidRPr="00D22027">
        <w:t>Resolution E-5230 states that this topic was addressed in Resolution E-5211.”</w:t>
      </w:r>
      <w:r w:rsidRPr="00D22027">
        <w:rPr>
          <w:vertAlign w:val="superscript"/>
        </w:rPr>
        <w:footnoteReference w:id="177"/>
      </w:r>
    </w:p>
    <w:p w:rsidR="003D39C3" w:rsidP="003D39C3" w:rsidRDefault="003D39C3" w14:paraId="2F31B776" w14:textId="77777777">
      <w:pPr>
        <w:spacing w:after="200" w:line="276" w:lineRule="auto"/>
        <w:rPr>
          <w:b/>
          <w:bCs/>
        </w:rPr>
      </w:pPr>
      <w:r w:rsidRPr="00D22027">
        <w:rPr>
          <w:b/>
          <w:bCs/>
        </w:rPr>
        <w:t>We find no need for any disposition in relation to Resolution E-5230 and have already disposed of this topic in Dispositions #1 through #9 for Resolution E-5211.</w:t>
      </w:r>
    </w:p>
    <w:p w:rsidR="003D39C3" w:rsidP="003D39C3" w:rsidRDefault="003D39C3" w14:paraId="2157F566" w14:textId="77777777">
      <w:pPr>
        <w:spacing w:before="480" w:after="200" w:line="276" w:lineRule="auto"/>
        <w:rPr>
          <w:b/>
          <w:bCs/>
          <w:u w:val="single"/>
        </w:rPr>
      </w:pPr>
      <w:r w:rsidRPr="00D22027">
        <w:rPr>
          <w:b/>
          <w:bCs/>
          <w:u w:val="single"/>
        </w:rPr>
        <w:t>Disposition #1</w:t>
      </w:r>
      <w:r w:rsidR="00F41F44">
        <w:rPr>
          <w:b/>
          <w:bCs/>
          <w:u w:val="single"/>
        </w:rPr>
        <w:t>4</w:t>
      </w:r>
      <w:r w:rsidRPr="00D22027">
        <w:rPr>
          <w:b/>
          <w:bCs/>
          <w:u w:val="single"/>
        </w:rPr>
        <w:t xml:space="preserve">:   Use of Non-Certified Devices for LGP by Mutual Agreement </w:t>
      </w:r>
      <w:r w:rsidR="00653A72">
        <w:rPr>
          <w:b/>
          <w:bCs/>
          <w:u w:val="single"/>
        </w:rPr>
        <w:br/>
      </w:r>
      <w:r w:rsidRPr="00D22027">
        <w:rPr>
          <w:b/>
          <w:bCs/>
          <w:u w:val="single"/>
        </w:rPr>
        <w:t>(E-5230 Topic B, Issue 4)</w:t>
      </w:r>
    </w:p>
    <w:p w:rsidR="003D39C3" w:rsidP="003D39C3" w:rsidRDefault="003D39C3" w14:paraId="466E0120" w14:textId="77777777">
      <w:pPr>
        <w:spacing w:after="200" w:line="276" w:lineRule="auto"/>
      </w:pPr>
      <w:r w:rsidRPr="00D22027">
        <w:t xml:space="preserve">Resolution E-5230 found that the use of non-certified devices for LGP is </w:t>
      </w:r>
      <w:r>
        <w:t xml:space="preserve">not mandatory and is </w:t>
      </w:r>
      <w:r w:rsidRPr="00D22027">
        <w:t>allowed by mutual agreement between the interconnection customer and the utility.</w:t>
      </w:r>
      <w:r>
        <w:rPr>
          <w:rStyle w:val="FootnoteReference"/>
        </w:rPr>
        <w:footnoteReference w:id="178"/>
      </w:r>
      <w:r w:rsidRPr="00D22027">
        <w:t xml:space="preserve">  The use of non-certified devices was neither addressed in the Rule 21 Working Group Two Final Report nor in D.20-09-035.</w:t>
      </w:r>
    </w:p>
    <w:p w:rsidR="003D39C3" w:rsidP="003D39C3" w:rsidRDefault="003D39C3" w14:paraId="052E15E0" w14:textId="77777777">
      <w:pPr>
        <w:spacing w:after="200" w:line="276" w:lineRule="auto"/>
      </w:pPr>
      <w:r w:rsidRPr="00D22027">
        <w:t xml:space="preserve">One specific non-certified device option, relay with automation controller, was discussed in workshops and considered by the Large IOUs and other parties. IREC states there is concern about whether large generating facilities could make use of UL CRD PCS certified devices given the more complex design and configuration of those systems. IREC </w:t>
      </w:r>
      <w:r w:rsidR="009551A2">
        <w:t>asserts</w:t>
      </w:r>
      <w:r w:rsidRPr="00D22027" w:rsidR="009551A2">
        <w:t xml:space="preserve"> </w:t>
      </w:r>
      <w:r w:rsidRPr="00D22027">
        <w:t>that Rule 21 should also clearly describe how screens will be applied for other acceptable (non-PCS) export control options, including relays with automation controllers</w:t>
      </w:r>
      <w:r w:rsidR="009551A2">
        <w:t>,</w:t>
      </w:r>
      <w:r w:rsidR="00F41F44">
        <w:t xml:space="preserve"> </w:t>
      </w:r>
      <w:r>
        <w:t>a proposal we reject</w:t>
      </w:r>
      <w:r w:rsidR="0070623D">
        <w:t xml:space="preserve"> in Disposition #12</w:t>
      </w:r>
      <w:r>
        <w:t>.</w:t>
      </w:r>
      <w:r w:rsidRPr="00D22027">
        <w:t xml:space="preserve"> </w:t>
      </w:r>
    </w:p>
    <w:p w:rsidR="003D39C3" w:rsidP="003D39C3" w:rsidRDefault="003D39C3" w14:paraId="5409DF68" w14:textId="77777777">
      <w:pPr>
        <w:spacing w:after="200" w:line="276" w:lineRule="auto"/>
      </w:pPr>
      <w:r w:rsidRPr="00D22027">
        <w:t>The Large IOUs argue that this option is still untested and premature for inclusion in the Rule 21 Tariff, and note that this option is available by mutual agreement with the utility</w:t>
      </w:r>
      <w:r>
        <w:t>:</w:t>
      </w:r>
    </w:p>
    <w:p w:rsidR="003D39C3" w:rsidP="003D39C3" w:rsidRDefault="003D39C3" w14:paraId="19CC78FE" w14:textId="77777777">
      <w:pPr>
        <w:spacing w:after="200" w:line="276" w:lineRule="auto"/>
        <w:ind w:left="720"/>
      </w:pPr>
      <w:r w:rsidRPr="00D22027">
        <w:t xml:space="preserve">Given that the relays and real-time automation controllers in this option will not go through certification testing to confirm the design and configuration would work, it is not possible to simply select a relay and a real-time automation controller from a list and have confidence they would immediately work with </w:t>
      </w:r>
      <w:r w:rsidRPr="00D22027">
        <w:lastRenderedPageBreak/>
        <w:t>one another. Review of the equipment, and potentially complicated architecture and communication files, are necessary to ensure these types of equipment can be installed safely and function as intended on the distribution system. The creation of a list that includes “relay with real-time automation controller” options is not feasible and would be misleading to customers as there is no certainty these options would work.</w:t>
      </w:r>
      <w:r w:rsidRPr="009820B0">
        <w:rPr>
          <w:rStyle w:val="FootnoteReference"/>
        </w:rPr>
        <w:t xml:space="preserve"> </w:t>
      </w:r>
      <w:r>
        <w:rPr>
          <w:rStyle w:val="FootnoteReference"/>
        </w:rPr>
        <w:footnoteReference w:id="179"/>
      </w:r>
    </w:p>
    <w:p w:rsidR="003D39C3" w:rsidP="003D39C3" w:rsidRDefault="003D39C3" w14:paraId="544A6471" w14:textId="77777777">
      <w:pPr>
        <w:spacing w:after="200" w:line="276" w:lineRule="auto"/>
      </w:pPr>
      <w:r w:rsidRPr="00D22027">
        <w:t>We find that sufficient consideration was given in the workshops to technical options allowing use of non-certified devices. We find that while there was consensus to utilize the option of relay with automation controller for larger generating facilities, we agree with the Large IOUs that this option is still premature, untested, and is already available by mutual agreement with the utility. Further, we find that the scheduling function for an automation controller is out-of-scope for this resolution because it does not involve use of smart inverter functionalities.</w:t>
      </w:r>
    </w:p>
    <w:p w:rsidR="003D39C3" w:rsidP="003D39C3" w:rsidRDefault="003D39C3" w14:paraId="44FC176C" w14:textId="77777777">
      <w:pPr>
        <w:spacing w:after="200" w:line="276" w:lineRule="auto"/>
        <w:rPr>
          <w:b/>
          <w:bCs/>
        </w:rPr>
      </w:pPr>
      <w:r w:rsidRPr="00D22027">
        <w:rPr>
          <w:b/>
          <w:bCs/>
        </w:rPr>
        <w:t>We therefore reject the proposal by IREC to add an Mm6 Option 13 to the Rule 21 Tariff for relay with automation controller and affirm that this option is available by mutual agreement with the utility.</w:t>
      </w:r>
    </w:p>
    <w:p w:rsidR="003D39C3" w:rsidP="009E7D5F" w:rsidRDefault="003D39C3" w14:paraId="161B51F2" w14:textId="77777777">
      <w:pPr>
        <w:spacing w:before="360" w:after="200" w:line="276" w:lineRule="auto"/>
        <w:rPr>
          <w:b/>
          <w:bCs/>
          <w:u w:val="single"/>
        </w:rPr>
      </w:pPr>
      <w:r w:rsidRPr="00D22027">
        <w:rPr>
          <w:b/>
          <w:bCs/>
          <w:u w:val="single"/>
        </w:rPr>
        <w:t>Disposition #1</w:t>
      </w:r>
      <w:r w:rsidR="00F41F44">
        <w:rPr>
          <w:b/>
          <w:bCs/>
          <w:u w:val="single"/>
        </w:rPr>
        <w:t>5</w:t>
      </w:r>
      <w:r w:rsidRPr="00D22027">
        <w:rPr>
          <w:b/>
          <w:bCs/>
          <w:u w:val="single"/>
        </w:rPr>
        <w:t>:   Alignment of the Timelines for OP 15 and OP 51 (E-5230 Topic B, Issue 5)</w:t>
      </w:r>
    </w:p>
    <w:p w:rsidR="003D39C3" w:rsidP="003D39C3" w:rsidRDefault="003D39C3" w14:paraId="31235DDF" w14:textId="77777777">
      <w:pPr>
        <w:spacing w:after="200" w:line="276" w:lineRule="auto"/>
      </w:pPr>
      <w:r w:rsidRPr="00D22027">
        <w:t>Resolution E-5230 found the timelines updating Rule 21 for OP 15 and OP 51 of D.20-09-035 have been aligned by mutual agreement.</w:t>
      </w:r>
      <w:r>
        <w:rPr>
          <w:rStyle w:val="FootnoteReference"/>
        </w:rPr>
        <w:footnoteReference w:id="180"/>
      </w:r>
      <w:r w:rsidRPr="00D22027">
        <w:t xml:space="preserve">  The timing for updates to Rule 21 once </w:t>
      </w:r>
      <w:r w:rsidR="00CC158F">
        <w:t xml:space="preserve">PCS </w:t>
      </w:r>
      <w:r w:rsidRPr="00D22027">
        <w:t xml:space="preserve">certification standards are approved shall be within 60 days, and implementation </w:t>
      </w:r>
      <w:r w:rsidR="00CC158F">
        <w:t xml:space="preserve">of the LGP option </w:t>
      </w:r>
      <w:r w:rsidRPr="00D22027">
        <w:t xml:space="preserve">shall </w:t>
      </w:r>
      <w:r w:rsidR="00CC158F">
        <w:t xml:space="preserve">begin </w:t>
      </w:r>
      <w:r w:rsidRPr="00D22027">
        <w:t>9 months following</w:t>
      </w:r>
      <w:r w:rsidRPr="00CC158F" w:rsidR="00CC158F">
        <w:t xml:space="preserve"> </w:t>
      </w:r>
      <w:r w:rsidR="00CC158F">
        <w:t xml:space="preserve">approval of PCS </w:t>
      </w:r>
      <w:r w:rsidRPr="00D22027" w:rsidR="00CC158F">
        <w:t>certification standards</w:t>
      </w:r>
      <w:r w:rsidR="00CC158F">
        <w:t>.</w:t>
      </w:r>
    </w:p>
    <w:p w:rsidR="003D39C3" w:rsidP="003D39C3" w:rsidRDefault="003D39C3" w14:paraId="34D50D41" w14:textId="77777777">
      <w:pPr>
        <w:spacing w:after="200" w:line="276" w:lineRule="auto"/>
      </w:pPr>
      <w:r w:rsidRPr="00D22027">
        <w:t xml:space="preserve">IREC takes issue with these adopted timelines, stating that there is no need to wait. IREC re-states the Ordering Paragraphs: </w:t>
      </w:r>
    </w:p>
    <w:p w:rsidR="003D39C3" w:rsidP="003D39C3" w:rsidRDefault="003D39C3" w14:paraId="6C6A36E6" w14:textId="77777777">
      <w:pPr>
        <w:spacing w:after="200" w:line="276" w:lineRule="auto"/>
        <w:ind w:left="720"/>
      </w:pPr>
      <w:r w:rsidRPr="00D22027">
        <w:t xml:space="preserve">Ordering paragraph 15 indicates that Rule 21 shall be modified to allow applicants to propose an LGP within their application. Ordering paragraph 51, on the other hand, indicates that a proposal (A-B #3) related to export limiting </w:t>
      </w:r>
      <w:r w:rsidRPr="00D22027">
        <w:lastRenderedPageBreak/>
        <w:t>according to a schedule, shall not be implemented “until nine months after the technical specifications standards, and a certification scheme for a Limited Generation Profile have been approved by the standards approving bodies.”</w:t>
      </w:r>
      <w:r w:rsidRPr="00D22027">
        <w:rPr>
          <w:vertAlign w:val="superscript"/>
        </w:rPr>
        <w:footnoteReference w:id="181"/>
      </w:r>
    </w:p>
    <w:p w:rsidR="003D39C3" w:rsidP="003D39C3" w:rsidRDefault="003D39C3" w14:paraId="41C90FEA" w14:textId="77777777">
      <w:pPr>
        <w:spacing w:after="200" w:line="276" w:lineRule="auto"/>
      </w:pPr>
      <w:r w:rsidRPr="00D22027">
        <w:t>IREC notes that standards for the agreed option for LGP, a PCS certified by UL to control scheduling of export, is expected to be finalized by the end of 2023, and encourages the Commission to adopt a new timeline that allows the LGP to be effective as soon as Rule 21 tariff language is adopted, rather than the nine-month timeline established in Resolution E-5230.</w:t>
      </w:r>
      <w:r w:rsidRPr="00D22027">
        <w:rPr>
          <w:vertAlign w:val="superscript"/>
        </w:rPr>
        <w:footnoteReference w:id="182"/>
      </w:r>
    </w:p>
    <w:p w:rsidR="003D39C3" w:rsidP="003D39C3" w:rsidRDefault="003D39C3" w14:paraId="59744F4F" w14:textId="77777777">
      <w:pPr>
        <w:spacing w:after="200" w:line="276" w:lineRule="auto"/>
      </w:pPr>
      <w:r w:rsidRPr="00D22027">
        <w:t xml:space="preserve">The Large IOUs, however, express concern with IREC’s suggestion. They argue they will need time to perform certain functions to implement.  These actions include developing business processes and training materials that implement what is approved; building and/or modifying online interconnection application portals and building infrastructure for customers to develop LGP profiles; implementing changes to interconnection application forms and interconnection agreements; and writing up new procedures and training employees on those procedures. </w:t>
      </w:r>
    </w:p>
    <w:p w:rsidR="003D39C3" w:rsidP="003D39C3" w:rsidRDefault="003D39C3" w14:paraId="5E137897" w14:textId="77777777">
      <w:pPr>
        <w:spacing w:after="200" w:line="276" w:lineRule="auto"/>
      </w:pPr>
      <w:r w:rsidRPr="00D22027">
        <w:t>We find the Larger IOUs concern reasonable, and also note that the adopted data monitoring and reporting requirements of Disposition #8</w:t>
      </w:r>
      <w:r w:rsidR="00E832CD">
        <w:t xml:space="preserve"> </w:t>
      </w:r>
      <w:r w:rsidRPr="00D22027">
        <w:t>have not been contemplated by the Large IOUs and will likely take some time to establish.</w:t>
      </w:r>
    </w:p>
    <w:p w:rsidR="003D39C3" w:rsidP="003D39C3" w:rsidRDefault="003D39C3" w14:paraId="2C063277" w14:textId="77777777">
      <w:pPr>
        <w:spacing w:after="200" w:line="276" w:lineRule="auto"/>
        <w:rPr>
          <w:b/>
          <w:bCs/>
        </w:rPr>
      </w:pPr>
      <w:r w:rsidRPr="00D22027">
        <w:rPr>
          <w:b/>
          <w:bCs/>
        </w:rPr>
        <w:t xml:space="preserve">We find no cause to modify the timelines as set forth in Resolution E-5230.  </w:t>
      </w:r>
    </w:p>
    <w:p w:rsidR="003D39C3" w:rsidP="009E7D5F" w:rsidRDefault="003D39C3" w14:paraId="04CAD181" w14:textId="77777777">
      <w:pPr>
        <w:spacing w:before="360" w:after="200" w:line="276" w:lineRule="auto"/>
        <w:rPr>
          <w:b/>
          <w:bCs/>
          <w:u w:val="single"/>
        </w:rPr>
      </w:pPr>
      <w:r w:rsidRPr="00D22027">
        <w:rPr>
          <w:b/>
          <w:bCs/>
          <w:u w:val="single"/>
        </w:rPr>
        <w:t>Disposition #1</w:t>
      </w:r>
      <w:r w:rsidR="00F41F44">
        <w:rPr>
          <w:b/>
          <w:bCs/>
          <w:u w:val="single"/>
        </w:rPr>
        <w:t>6</w:t>
      </w:r>
      <w:r w:rsidRPr="00D22027">
        <w:rPr>
          <w:b/>
          <w:bCs/>
          <w:u w:val="single"/>
        </w:rPr>
        <w:t>:   Publication of Technical Requirements (E-5230 Topic B, Issue 5)</w:t>
      </w:r>
    </w:p>
    <w:p w:rsidR="003D39C3" w:rsidP="003D39C3" w:rsidRDefault="003D39C3" w14:paraId="73D40645" w14:textId="77777777">
      <w:pPr>
        <w:spacing w:after="200" w:line="276" w:lineRule="auto"/>
        <w:rPr>
          <w:color w:val="000000" w:themeColor="text1"/>
        </w:rPr>
      </w:pPr>
      <w:r w:rsidRPr="00D22027">
        <w:rPr>
          <w:color w:val="000000" w:themeColor="text1"/>
        </w:rPr>
        <w:t>Resolution E-5230 noted that PG&amp;E and SCE committed to publishing technical requirements after real-world installations are performed.</w:t>
      </w:r>
      <w:r>
        <w:rPr>
          <w:rStyle w:val="FootnoteReference"/>
          <w:color w:val="000000" w:themeColor="text1"/>
        </w:rPr>
        <w:footnoteReference w:id="183"/>
      </w:r>
      <w:r w:rsidRPr="00D22027">
        <w:rPr>
          <w:color w:val="000000" w:themeColor="text1"/>
        </w:rPr>
        <w:t xml:space="preserve">  </w:t>
      </w:r>
    </w:p>
    <w:p w:rsidR="003D39C3" w:rsidP="003D39C3" w:rsidRDefault="003D39C3" w14:paraId="28017F0D" w14:textId="77777777">
      <w:pPr>
        <w:spacing w:after="200" w:line="276" w:lineRule="auto"/>
        <w:rPr>
          <w:b/>
          <w:bCs/>
        </w:rPr>
      </w:pPr>
      <w:r w:rsidRPr="00D22027">
        <w:rPr>
          <w:b/>
          <w:bCs/>
          <w:color w:val="000000" w:themeColor="text1"/>
        </w:rPr>
        <w:t>We support this commitment and direct the Large IOUs to discuss with the SIWG the need for publication of</w:t>
      </w:r>
      <w:r w:rsidR="00CA655C">
        <w:rPr>
          <w:b/>
          <w:bCs/>
          <w:color w:val="000000" w:themeColor="text1"/>
        </w:rPr>
        <w:t>,</w:t>
      </w:r>
      <w:r w:rsidRPr="00D22027">
        <w:rPr>
          <w:b/>
          <w:bCs/>
          <w:color w:val="000000" w:themeColor="text1"/>
        </w:rPr>
        <w:t xml:space="preserve"> and the specific technical requirements needed by</w:t>
      </w:r>
      <w:r w:rsidR="00CA655C">
        <w:rPr>
          <w:b/>
          <w:bCs/>
          <w:color w:val="000000" w:themeColor="text1"/>
        </w:rPr>
        <w:t>,</w:t>
      </w:r>
      <w:r w:rsidRPr="00D22027">
        <w:rPr>
          <w:b/>
          <w:bCs/>
          <w:color w:val="000000" w:themeColor="text1"/>
        </w:rPr>
        <w:t xml:space="preserve"> interconnection customers. Because the detailed requirements may change over time, we find it would be unduly burdensome to continuously update Rule 21, so such </w:t>
      </w:r>
      <w:r w:rsidRPr="00D22027">
        <w:rPr>
          <w:b/>
          <w:bCs/>
          <w:color w:val="000000" w:themeColor="text1"/>
        </w:rPr>
        <w:lastRenderedPageBreak/>
        <w:t>requirements shall be published on the Large IOUs Rule 21 interconnection web site, or otherwise appropriate web site, for developers to use as reference.</w:t>
      </w:r>
    </w:p>
    <w:p w:rsidR="003D39C3" w:rsidP="009E7D5F" w:rsidRDefault="003D39C3" w14:paraId="5C73E479" w14:textId="77777777">
      <w:pPr>
        <w:spacing w:before="360" w:after="200" w:line="276" w:lineRule="auto"/>
        <w:rPr>
          <w:b/>
          <w:bCs/>
          <w:u w:val="single"/>
        </w:rPr>
      </w:pPr>
      <w:r w:rsidRPr="00D22027">
        <w:rPr>
          <w:b/>
          <w:bCs/>
          <w:u w:val="single"/>
        </w:rPr>
        <w:t>Disposition #1</w:t>
      </w:r>
      <w:r w:rsidR="00F41F44">
        <w:rPr>
          <w:b/>
          <w:bCs/>
          <w:u w:val="single"/>
        </w:rPr>
        <w:t>7</w:t>
      </w:r>
      <w:r w:rsidRPr="00D22027">
        <w:rPr>
          <w:b/>
          <w:bCs/>
          <w:u w:val="single"/>
        </w:rPr>
        <w:t xml:space="preserve">:   Clarification of the Interconnection Process for LGP Projects </w:t>
      </w:r>
      <w:r w:rsidR="00653A72">
        <w:rPr>
          <w:b/>
          <w:bCs/>
          <w:u w:val="single"/>
        </w:rPr>
        <w:br/>
      </w:r>
      <w:r w:rsidRPr="00D22027">
        <w:rPr>
          <w:b/>
          <w:bCs/>
          <w:u w:val="single"/>
        </w:rPr>
        <w:t>(E-5230 Topic C)</w:t>
      </w:r>
    </w:p>
    <w:p w:rsidR="003D39C3" w:rsidP="003D39C3" w:rsidRDefault="003D39C3" w14:paraId="6510CC1F" w14:textId="77777777">
      <w:pPr>
        <w:spacing w:after="200" w:line="276" w:lineRule="auto"/>
      </w:pPr>
      <w:r w:rsidRPr="00D22027">
        <w:t>Resolution E-5230 directed the Large IOUs to discuss the interconnection process proposals step-by-step over the course of the workshops and SIWG meetings.</w:t>
      </w:r>
      <w:r>
        <w:rPr>
          <w:rStyle w:val="FootnoteReference"/>
        </w:rPr>
        <w:footnoteReference w:id="184"/>
      </w:r>
      <w:r w:rsidRPr="00D22027">
        <w:t xml:space="preserve">  We find the Large IOUs have complied with this requirement. </w:t>
      </w:r>
    </w:p>
    <w:p w:rsidR="00CA7F03" w:rsidP="003D39C3" w:rsidRDefault="00CA7F03" w14:paraId="5073BD1E" w14:textId="77777777">
      <w:pPr>
        <w:spacing w:after="200" w:line="276" w:lineRule="auto"/>
      </w:pPr>
      <w:r w:rsidRPr="00D22027">
        <w:t xml:space="preserve">The Large IOUs summarize the workshop discussions and append the updated proposal as </w:t>
      </w:r>
      <w:r>
        <w:t>A</w:t>
      </w:r>
      <w:r w:rsidRPr="00D22027">
        <w:t xml:space="preserve">ppendix </w:t>
      </w:r>
      <w:r>
        <w:t xml:space="preserve">A </w:t>
      </w:r>
      <w:r w:rsidRPr="00D22027">
        <w:t xml:space="preserve">to the Joint May LGP AL.  The Large IOUs’ </w:t>
      </w:r>
      <w:r>
        <w:t>A</w:t>
      </w:r>
      <w:r w:rsidRPr="00D22027">
        <w:t xml:space="preserve">ppendix </w:t>
      </w:r>
      <w:r>
        <w:t xml:space="preserve">A </w:t>
      </w:r>
      <w:r w:rsidRPr="00D22027">
        <w:t xml:space="preserve">is copied in this Resolution as Appendix </w:t>
      </w:r>
      <w:r>
        <w:t>F</w:t>
      </w:r>
      <w:r w:rsidRPr="00D22027">
        <w:t xml:space="preserve">.  The Large IOUs </w:t>
      </w:r>
      <w:r>
        <w:t>state t</w:t>
      </w:r>
      <w:r w:rsidRPr="00D22027">
        <w:t>hey discussed the interconnection process proposals step-by-step over the course of the workshops and SIWG meetings.</w:t>
      </w:r>
    </w:p>
    <w:p w:rsidR="003D39C3" w:rsidP="003D39C3" w:rsidRDefault="003D39C3" w14:paraId="032B0B68" w14:textId="77777777">
      <w:pPr>
        <w:spacing w:after="200" w:line="276" w:lineRule="auto"/>
      </w:pPr>
      <w:r w:rsidRPr="00D22027">
        <w:t xml:space="preserve">Appendix </w:t>
      </w:r>
      <w:r>
        <w:t>F</w:t>
      </w:r>
      <w:r w:rsidRPr="00D22027">
        <w:t xml:space="preserve"> gives details of the Large IOUs proposal for the phases and steps of the interconnection process, including customer preparation, interconnection request, technical evaluation, interconnection agreement and permission to operate, and operation performance phase.  There was consensus on this proposal with the exception of </w:t>
      </w:r>
      <w:r w:rsidR="00E832CD">
        <w:t xml:space="preserve">IREC’s </w:t>
      </w:r>
      <w:r w:rsidRPr="00D22027">
        <w:t>proposal</w:t>
      </w:r>
      <w:r w:rsidR="00E832CD">
        <w:t>s</w:t>
      </w:r>
      <w:r w:rsidRPr="00D22027">
        <w:t xml:space="preserve"> lodged as part of Topic B Issue 2 on Supplemental Review of LGP Projects and Topic B Issue 4 on </w:t>
      </w:r>
      <w:r w:rsidR="00E832CD">
        <w:t xml:space="preserve">the </w:t>
      </w:r>
      <w:r w:rsidRPr="00D22027">
        <w:t xml:space="preserve">Use of Non-Certified Devices, both of which proposals </w:t>
      </w:r>
      <w:r w:rsidR="00E832CD">
        <w:t xml:space="preserve">by IREC </w:t>
      </w:r>
      <w:r w:rsidRPr="00D22027">
        <w:t>are rejected</w:t>
      </w:r>
      <w:r>
        <w:t xml:space="preserve"> in Dispositions #1</w:t>
      </w:r>
      <w:r w:rsidR="00241EAB">
        <w:t>1</w:t>
      </w:r>
      <w:r>
        <w:t xml:space="preserve"> and #1</w:t>
      </w:r>
      <w:r w:rsidR="00241EAB">
        <w:t>4</w:t>
      </w:r>
      <w:r w:rsidRPr="00D22027">
        <w:t xml:space="preserve">. We therefore adopt in whole the Large IOUs proposal in Appendix </w:t>
      </w:r>
      <w:r>
        <w:t>F</w:t>
      </w:r>
      <w:r w:rsidRPr="00D22027">
        <w:t>.</w:t>
      </w:r>
      <w:r w:rsidR="00241EAB">
        <w:t xml:space="preserve">  </w:t>
      </w:r>
    </w:p>
    <w:p w:rsidR="003D39C3" w:rsidP="003D39C3" w:rsidRDefault="003D39C3" w14:paraId="256150A7" w14:textId="77777777">
      <w:pPr>
        <w:spacing w:after="200" w:line="276" w:lineRule="auto"/>
        <w:rPr>
          <w:b/>
          <w:bCs/>
        </w:rPr>
      </w:pPr>
      <w:r w:rsidRPr="00D22027">
        <w:rPr>
          <w:b/>
          <w:bCs/>
        </w:rPr>
        <w:t xml:space="preserve">We adopt the Large IOUs process proposals given in Appendix </w:t>
      </w:r>
      <w:r>
        <w:rPr>
          <w:b/>
          <w:bCs/>
        </w:rPr>
        <w:t>F</w:t>
      </w:r>
      <w:r w:rsidRPr="00D22027">
        <w:rPr>
          <w:b/>
          <w:bCs/>
        </w:rPr>
        <w:t xml:space="preserve"> without modification.</w:t>
      </w:r>
    </w:p>
    <w:p w:rsidR="003D39C3" w:rsidP="009E7D5F" w:rsidRDefault="003D39C3" w14:paraId="215FCF2B" w14:textId="77777777">
      <w:pPr>
        <w:spacing w:before="360" w:after="200" w:line="276" w:lineRule="auto"/>
        <w:rPr>
          <w:b/>
          <w:bCs/>
          <w:u w:val="single"/>
        </w:rPr>
      </w:pPr>
      <w:r w:rsidRPr="00D22027">
        <w:rPr>
          <w:b/>
          <w:bCs/>
          <w:u w:val="single"/>
        </w:rPr>
        <w:t>Disposition #1</w:t>
      </w:r>
      <w:r w:rsidR="007A7129">
        <w:rPr>
          <w:b/>
          <w:bCs/>
          <w:u w:val="single"/>
        </w:rPr>
        <w:t>8</w:t>
      </w:r>
      <w:r w:rsidRPr="00D22027">
        <w:rPr>
          <w:b/>
          <w:bCs/>
          <w:u w:val="single"/>
        </w:rPr>
        <w:t>:   IOUs’ Proposed Tariff and Process Proposal Language Alignment (E-5230 Topic D)</w:t>
      </w:r>
    </w:p>
    <w:p w:rsidR="003D39C3" w:rsidP="003D39C3" w:rsidRDefault="003D39C3" w14:paraId="739B6D73" w14:textId="77777777">
      <w:pPr>
        <w:spacing w:after="200" w:line="276" w:lineRule="auto"/>
      </w:pPr>
      <w:r w:rsidRPr="00D22027">
        <w:t xml:space="preserve">The Large IOUs have agreed on using consistent language in their tariff and process proposals and there were no protests or comments by other parties on this agreement.  </w:t>
      </w:r>
    </w:p>
    <w:p w:rsidR="003D39C3" w:rsidP="003D39C3" w:rsidRDefault="003D39C3" w14:paraId="2CC2C3E6" w14:textId="77777777">
      <w:pPr>
        <w:spacing w:after="200" w:line="276" w:lineRule="auto"/>
        <w:rPr>
          <w:b/>
          <w:bCs/>
        </w:rPr>
      </w:pPr>
      <w:r w:rsidRPr="00D22027">
        <w:rPr>
          <w:b/>
          <w:bCs/>
        </w:rPr>
        <w:lastRenderedPageBreak/>
        <w:t xml:space="preserve">We have reviewed the proposed process in Appendix </w:t>
      </w:r>
      <w:r>
        <w:rPr>
          <w:b/>
          <w:bCs/>
        </w:rPr>
        <w:t>F</w:t>
      </w:r>
      <w:r w:rsidRPr="00D22027">
        <w:rPr>
          <w:b/>
          <w:bCs/>
        </w:rPr>
        <w:t xml:space="preserve"> and confirm the Large IOUs utilize consistent language</w:t>
      </w:r>
      <w:r>
        <w:rPr>
          <w:b/>
          <w:bCs/>
        </w:rPr>
        <w:t>.</w:t>
      </w:r>
    </w:p>
    <w:p w:rsidR="003D39C3" w:rsidP="009E7D5F" w:rsidRDefault="003D39C3" w14:paraId="46E2106B" w14:textId="77777777">
      <w:pPr>
        <w:spacing w:before="360" w:after="200" w:line="276" w:lineRule="auto"/>
        <w:rPr>
          <w:b/>
          <w:bCs/>
          <w:u w:val="single"/>
        </w:rPr>
      </w:pPr>
      <w:r w:rsidRPr="00D22027">
        <w:rPr>
          <w:b/>
          <w:bCs/>
          <w:u w:val="single"/>
        </w:rPr>
        <w:t>Disposition #</w:t>
      </w:r>
      <w:r w:rsidR="007A7129">
        <w:rPr>
          <w:b/>
          <w:bCs/>
          <w:u w:val="single"/>
        </w:rPr>
        <w:t>19</w:t>
      </w:r>
      <w:r w:rsidRPr="00D22027">
        <w:rPr>
          <w:b/>
          <w:bCs/>
          <w:u w:val="single"/>
        </w:rPr>
        <w:t xml:space="preserve">:   Implementation of LGP Using Current Smart Inverter Functions </w:t>
      </w:r>
      <w:r w:rsidR="00653A72">
        <w:rPr>
          <w:b/>
          <w:bCs/>
          <w:u w:val="single"/>
        </w:rPr>
        <w:br/>
      </w:r>
      <w:r w:rsidRPr="00D22027">
        <w:rPr>
          <w:b/>
          <w:bCs/>
          <w:u w:val="single"/>
        </w:rPr>
        <w:t>(E-5230 Topic E)</w:t>
      </w:r>
    </w:p>
    <w:p w:rsidR="003D39C3" w:rsidP="003D39C3" w:rsidRDefault="003D39C3" w14:paraId="699CA5BF" w14:textId="77777777">
      <w:pPr>
        <w:spacing w:after="200" w:line="276" w:lineRule="auto"/>
      </w:pPr>
      <w:r w:rsidRPr="00D22027">
        <w:t>Resolution E-5230 directed the Large IOUs to discuss the possibility and challenges with implementing the LGP-option before standards are approved, listing five requirements to be met to address this issue:</w:t>
      </w:r>
      <w:r w:rsidRPr="00D22027">
        <w:rPr>
          <w:vertAlign w:val="superscript"/>
        </w:rPr>
        <w:footnoteReference w:id="185"/>
      </w:r>
      <w:r w:rsidRPr="00D22027">
        <w:t xml:space="preserve">  </w:t>
      </w:r>
    </w:p>
    <w:p w:rsidR="003D39C3" w:rsidP="003D39C3" w:rsidRDefault="003D39C3" w14:paraId="398F782A" w14:textId="77777777">
      <w:pPr>
        <w:spacing w:after="200" w:line="276" w:lineRule="auto"/>
        <w:ind w:left="720"/>
        <w:rPr>
          <w:rFonts w:eastAsia="Palatino Linotype" w:cs="Palatino Linotype"/>
          <w:i/>
          <w:iCs/>
          <w:color w:val="000000" w:themeColor="text1"/>
        </w:rPr>
      </w:pPr>
      <w:r w:rsidRPr="00D22027">
        <w:rPr>
          <w:rFonts w:eastAsia="Palatino Linotype" w:cs="Palatino Linotype"/>
          <w:i/>
          <w:iCs/>
          <w:color w:val="000000" w:themeColor="text1"/>
        </w:rPr>
        <w:t xml:space="preserve">1. To expedite the use of available hosting capacity it is prudent, for the Large IOUs to discuss any challenges to implement Issue 9 and Proposal A-B 3 using current smart inverter settings. </w:t>
      </w:r>
    </w:p>
    <w:p w:rsidR="003D39C3" w:rsidP="003D39C3" w:rsidRDefault="003D39C3" w14:paraId="5001ACB0" w14:textId="77777777">
      <w:pPr>
        <w:spacing w:after="200" w:line="276" w:lineRule="auto"/>
        <w:ind w:left="720"/>
        <w:rPr>
          <w:rFonts w:eastAsia="Palatino Linotype" w:cs="Palatino Linotype"/>
          <w:i/>
          <w:iCs/>
          <w:color w:val="000000" w:themeColor="text1"/>
        </w:rPr>
      </w:pPr>
      <w:r w:rsidRPr="00D22027">
        <w:rPr>
          <w:rFonts w:eastAsia="Palatino Linotype" w:cs="Palatino Linotype"/>
          <w:i/>
          <w:iCs/>
          <w:color w:val="000000" w:themeColor="text1"/>
        </w:rPr>
        <w:t xml:space="preserve">2. The Large IOUs shall elaborate on challenges and concerns as stated in the Working Group Reports and discuss and propose solutions. </w:t>
      </w:r>
    </w:p>
    <w:p w:rsidR="003D39C3" w:rsidP="003D39C3" w:rsidRDefault="003D39C3" w14:paraId="6B4AB613" w14:textId="77777777">
      <w:pPr>
        <w:spacing w:after="200" w:line="276" w:lineRule="auto"/>
        <w:ind w:left="720"/>
        <w:rPr>
          <w:rFonts w:eastAsia="Palatino Linotype" w:cs="Palatino Linotype"/>
          <w:i/>
          <w:iCs/>
          <w:color w:val="000000" w:themeColor="text1"/>
        </w:rPr>
      </w:pPr>
      <w:r w:rsidRPr="00D22027">
        <w:rPr>
          <w:rFonts w:eastAsia="Palatino Linotype" w:cs="Palatino Linotype"/>
          <w:i/>
          <w:iCs/>
          <w:color w:val="000000" w:themeColor="text1"/>
        </w:rPr>
        <w:t xml:space="preserve">3. The Large IOUs shall determine which functional elements are already present in commercially available inverters, and which are not, to establish LGP functionality prior to the approval of standards. </w:t>
      </w:r>
    </w:p>
    <w:p w:rsidR="003D39C3" w:rsidP="003D39C3" w:rsidRDefault="003D39C3" w14:paraId="2C37E473" w14:textId="77777777">
      <w:pPr>
        <w:spacing w:after="200" w:line="276" w:lineRule="auto"/>
        <w:ind w:left="720"/>
        <w:rPr>
          <w:rFonts w:eastAsia="Palatino Linotype" w:cs="Palatino Linotype"/>
          <w:i/>
          <w:iCs/>
          <w:color w:val="000000" w:themeColor="text1"/>
        </w:rPr>
      </w:pPr>
      <w:r w:rsidRPr="00D22027">
        <w:rPr>
          <w:rFonts w:eastAsia="Palatino Linotype" w:cs="Palatino Linotype"/>
          <w:i/>
          <w:iCs/>
          <w:color w:val="000000" w:themeColor="text1"/>
        </w:rPr>
        <w:t xml:space="preserve">4.  Should implementation of Issue 9 and Proposal A-B 3 be feasible before approval of standards, the Large IOUs shall outline a clear process and the requirements, including technical, to be considered in the implementation of the LGP option. </w:t>
      </w:r>
    </w:p>
    <w:p w:rsidR="003D39C3" w:rsidP="003D39C3" w:rsidRDefault="003D39C3" w14:paraId="7743D8D4" w14:textId="77777777">
      <w:pPr>
        <w:spacing w:after="200" w:line="276" w:lineRule="auto"/>
        <w:ind w:left="720"/>
        <w:rPr>
          <w:rFonts w:eastAsia="Palatino Linotype" w:cs="Palatino Linotype"/>
          <w:i/>
          <w:iCs/>
          <w:color w:val="000000" w:themeColor="text1"/>
        </w:rPr>
      </w:pPr>
      <w:r w:rsidRPr="00D22027">
        <w:rPr>
          <w:rFonts w:eastAsia="Palatino Linotype" w:cs="Palatino Linotype"/>
          <w:i/>
          <w:iCs/>
          <w:color w:val="000000" w:themeColor="text1"/>
        </w:rPr>
        <w:t xml:space="preserve">5. The Large IOUs shall also establish a mechanism for validating proposed profiles. If the implementation of this mechanism is not feasible, the Large IOUs shall clearly articulate the reasons. </w:t>
      </w:r>
    </w:p>
    <w:p w:rsidR="003D39C3" w:rsidP="003D39C3" w:rsidRDefault="003D39C3" w14:paraId="00E2410B" w14:textId="77777777">
      <w:pPr>
        <w:spacing w:after="200" w:line="276" w:lineRule="auto"/>
      </w:pPr>
      <w:r w:rsidRPr="00D22027">
        <w:t xml:space="preserve">We find that the Large IOUs have complied with all five requirements.  </w:t>
      </w:r>
    </w:p>
    <w:p w:rsidR="003D39C3" w:rsidP="003D39C3" w:rsidRDefault="003D39C3" w14:paraId="02E5F893" w14:textId="77777777">
      <w:pPr>
        <w:spacing w:after="200" w:line="276" w:lineRule="auto"/>
        <w:rPr>
          <w:color w:val="000000" w:themeColor="text1"/>
        </w:rPr>
      </w:pPr>
      <w:r w:rsidRPr="00D22027">
        <w:t xml:space="preserve">In response to the first three requirements, the Large IOUs report on workshop discussions in their </w:t>
      </w:r>
      <w:r w:rsidRPr="00D22027">
        <w:rPr>
          <w:color w:val="000000" w:themeColor="text1"/>
        </w:rPr>
        <w:t>Joint May 2023 LGP Advice Letter</w:t>
      </w:r>
      <w:r w:rsidR="00434F97">
        <w:rPr>
          <w:color w:val="000000" w:themeColor="text1"/>
        </w:rPr>
        <w:t>s</w:t>
      </w:r>
      <w:r w:rsidRPr="00D22027">
        <w:rPr>
          <w:color w:val="000000" w:themeColor="text1"/>
        </w:rPr>
        <w:t>. Several</w:t>
      </w:r>
      <w:r w:rsidRPr="00D22027">
        <w:t xml:space="preserve"> o</w:t>
      </w:r>
      <w:r w:rsidRPr="00D22027">
        <w:rPr>
          <w:color w:val="000000" w:themeColor="text1"/>
        </w:rPr>
        <w:t xml:space="preserve">perational options and </w:t>
      </w:r>
      <w:r w:rsidRPr="00D22027">
        <w:rPr>
          <w:color w:val="000000" w:themeColor="text1"/>
        </w:rPr>
        <w:lastRenderedPageBreak/>
        <w:t>methods were considered in the discussions and provided in a summary table as “Methods A-G.”</w:t>
      </w:r>
      <w:r>
        <w:rPr>
          <w:rStyle w:val="FootnoteReference"/>
          <w:color w:val="000000" w:themeColor="text1"/>
        </w:rPr>
        <w:footnoteReference w:id="186"/>
      </w:r>
    </w:p>
    <w:p w:rsidR="003D39C3" w:rsidP="003D39C3" w:rsidRDefault="003D39C3" w14:paraId="4B7DCE02" w14:textId="77777777">
      <w:pPr>
        <w:spacing w:after="200" w:line="276" w:lineRule="auto"/>
      </w:pPr>
      <w:r w:rsidRPr="00D22027">
        <w:rPr>
          <w:color w:val="000000" w:themeColor="text1"/>
        </w:rPr>
        <w:t xml:space="preserve">Six of the seven presented methods provide ways to implement LGP using current smart inverter functions via a remote </w:t>
      </w:r>
      <w:r w:rsidR="001E7740">
        <w:rPr>
          <w:color w:val="000000" w:themeColor="text1"/>
        </w:rPr>
        <w:t>Common Smart Inverter Profile (</w:t>
      </w:r>
      <w:r w:rsidRPr="00D22027">
        <w:rPr>
          <w:color w:val="000000" w:themeColor="text1"/>
        </w:rPr>
        <w:t>CSIP</w:t>
      </w:r>
      <w:r w:rsidR="001E7740">
        <w:rPr>
          <w:color w:val="000000" w:themeColor="text1"/>
        </w:rPr>
        <w:t>)</w:t>
      </w:r>
      <w:r w:rsidRPr="00D22027">
        <w:rPr>
          <w:color w:val="000000" w:themeColor="text1"/>
        </w:rPr>
        <w:t>-certified gateway</w:t>
      </w:r>
      <w:r w:rsidRPr="00B65F68" w:rsidR="00B65F68">
        <w:rPr>
          <w:color w:val="000000" w:themeColor="text1"/>
          <w:vertAlign w:val="superscript"/>
        </w:rPr>
        <w:footnoteReference w:id="187"/>
      </w:r>
      <w:r w:rsidRPr="00D22027">
        <w:rPr>
          <w:color w:val="000000" w:themeColor="text1"/>
        </w:rPr>
        <w:t xml:space="preserve"> or an inverter with a built-in CSIP-certified gateway. </w:t>
      </w:r>
      <w:r w:rsidR="009551A2">
        <w:rPr>
          <w:color w:val="000000" w:themeColor="text1"/>
        </w:rPr>
        <w:t>T</w:t>
      </w:r>
      <w:r w:rsidRPr="00D22027">
        <w:rPr>
          <w:color w:val="000000" w:themeColor="text1"/>
        </w:rPr>
        <w:t xml:space="preserve">hese six methods are not yet viable, </w:t>
      </w:r>
      <w:r w:rsidR="009551A2">
        <w:rPr>
          <w:color w:val="000000" w:themeColor="text1"/>
        </w:rPr>
        <w:t xml:space="preserve">however, </w:t>
      </w:r>
      <w:r w:rsidRPr="00D22027">
        <w:rPr>
          <w:color w:val="000000" w:themeColor="text1"/>
        </w:rPr>
        <w:t>according to the Large IOUs</w:t>
      </w:r>
      <w:r w:rsidR="00CA7F03">
        <w:rPr>
          <w:color w:val="000000" w:themeColor="text1"/>
        </w:rPr>
        <w:t xml:space="preserve">, as they </w:t>
      </w:r>
      <w:r w:rsidRPr="00D22027">
        <w:rPr>
          <w:color w:val="000000" w:themeColor="text1"/>
        </w:rPr>
        <w:t>claim the</w:t>
      </w:r>
      <w:r w:rsidR="00CA7F03">
        <w:rPr>
          <w:color w:val="000000" w:themeColor="text1"/>
        </w:rPr>
        <w:t xml:space="preserve"> smart inverter</w:t>
      </w:r>
      <w:r w:rsidRPr="00D22027">
        <w:rPr>
          <w:color w:val="000000" w:themeColor="text1"/>
        </w:rPr>
        <w:t xml:space="preserve"> industry is either not actively pursuing these options or that further validation and testing would be needed. </w:t>
      </w:r>
      <w:r w:rsidRPr="00D22027">
        <w:t xml:space="preserve"> </w:t>
      </w:r>
    </w:p>
    <w:p w:rsidR="003D39C3" w:rsidP="003D39C3" w:rsidRDefault="003D39C3" w14:paraId="34550751" w14:textId="77777777">
      <w:pPr>
        <w:spacing w:after="200" w:line="276" w:lineRule="auto"/>
        <w:rPr>
          <w:b/>
          <w:bCs/>
        </w:rPr>
      </w:pPr>
      <w:r w:rsidRPr="00D22027">
        <w:t>Only the seventh m</w:t>
      </w:r>
      <w:r w:rsidRPr="00D22027">
        <w:rPr>
          <w:color w:val="000000" w:themeColor="text1"/>
        </w:rPr>
        <w:t>ethod (Method G), which employs a UL PCS with integrated schedule, was deemed viable and recommended by the Large IOUs.</w:t>
      </w:r>
      <w:r w:rsidRPr="00D22027">
        <w:t xml:space="preserve"> Implementation of this method must await the completion of a standard for UL PCS with integrated schedule. </w:t>
      </w:r>
    </w:p>
    <w:p w:rsidR="003D39C3" w:rsidP="003D39C3" w:rsidRDefault="003D39C3" w14:paraId="3D067ED3" w14:textId="77777777">
      <w:pPr>
        <w:spacing w:after="200" w:line="276" w:lineRule="auto"/>
        <w:rPr>
          <w:color w:val="000000" w:themeColor="text1"/>
        </w:rPr>
      </w:pPr>
      <w:r w:rsidRPr="00D22027">
        <w:rPr>
          <w:rFonts w:eastAsia="Palatino Linotype" w:cs="Palatino Linotype"/>
          <w:color w:val="000000" w:themeColor="text1"/>
        </w:rPr>
        <w:t xml:space="preserve">The Large IOUs </w:t>
      </w:r>
      <w:r w:rsidRPr="00D22027">
        <w:rPr>
          <w:color w:val="000000" w:themeColor="text1"/>
        </w:rPr>
        <w:t xml:space="preserve">state that consensus has been achieved on </w:t>
      </w:r>
      <w:r w:rsidR="00B65F68">
        <w:rPr>
          <w:color w:val="000000" w:themeColor="text1"/>
        </w:rPr>
        <w:t xml:space="preserve">Resolution </w:t>
      </w:r>
      <w:r w:rsidRPr="00D22027">
        <w:rPr>
          <w:color w:val="000000" w:themeColor="text1"/>
        </w:rPr>
        <w:t>E-5230 Topic E.</w:t>
      </w:r>
      <w:r>
        <w:rPr>
          <w:rStyle w:val="FootnoteReference"/>
          <w:color w:val="000000" w:themeColor="text1"/>
        </w:rPr>
        <w:footnoteReference w:id="188"/>
      </w:r>
      <w:r w:rsidRPr="00D22027">
        <w:rPr>
          <w:color w:val="000000" w:themeColor="text1"/>
        </w:rPr>
        <w:t xml:space="preserve"> </w:t>
      </w:r>
      <w:r>
        <w:rPr>
          <w:color w:val="000000" w:themeColor="text1"/>
        </w:rPr>
        <w:t xml:space="preserve"> </w:t>
      </w:r>
      <w:r w:rsidRPr="00D22027">
        <w:rPr>
          <w:color w:val="000000" w:themeColor="text1"/>
        </w:rPr>
        <w:t>“IREC does not take issue with the Joint Utilities’ proposal for this Topic, aside from reiterating IREC’s concern with how the [Large IOUs] propose to conduct Supplemental Review and Screen N.”</w:t>
      </w:r>
      <w:r>
        <w:rPr>
          <w:rStyle w:val="FootnoteReference"/>
          <w:color w:val="000000" w:themeColor="text1"/>
        </w:rPr>
        <w:footnoteReference w:id="189"/>
      </w:r>
      <w:r w:rsidRPr="00D22027">
        <w:rPr>
          <w:color w:val="000000" w:themeColor="text1"/>
        </w:rPr>
        <w:t xml:space="preserve">  (A concern which is discussed </w:t>
      </w:r>
      <w:r>
        <w:rPr>
          <w:color w:val="000000" w:themeColor="text1"/>
        </w:rPr>
        <w:t>i</w:t>
      </w:r>
      <w:r w:rsidRPr="00D22027">
        <w:rPr>
          <w:color w:val="000000" w:themeColor="text1"/>
        </w:rPr>
        <w:t>n Di</w:t>
      </w:r>
      <w:r w:rsidRPr="00D22027">
        <w:t>sposition #11</w:t>
      </w:r>
      <w:r w:rsidR="00CA7F03">
        <w:t>)</w:t>
      </w:r>
    </w:p>
    <w:p w:rsidR="00B65F68" w:rsidP="003D39C3" w:rsidRDefault="003D39C3" w14:paraId="3D3C3AAC" w14:textId="77777777">
      <w:pPr>
        <w:spacing w:after="200" w:line="276" w:lineRule="auto"/>
        <w:rPr>
          <w:color w:val="000000" w:themeColor="text1"/>
        </w:rPr>
      </w:pPr>
      <w:r w:rsidRPr="00D22027">
        <w:rPr>
          <w:color w:val="000000" w:themeColor="text1"/>
        </w:rPr>
        <w:t xml:space="preserve">IREC </w:t>
      </w:r>
      <w:r w:rsidR="00B65F68">
        <w:rPr>
          <w:color w:val="000000" w:themeColor="text1"/>
        </w:rPr>
        <w:t>believes that:</w:t>
      </w:r>
    </w:p>
    <w:p w:rsidR="003D39C3" w:rsidP="00B65F68" w:rsidRDefault="00B65F68" w14:paraId="4AA3A00A" w14:textId="77777777">
      <w:pPr>
        <w:spacing w:after="200" w:line="276" w:lineRule="auto"/>
        <w:ind w:left="720"/>
        <w:rPr>
          <w:color w:val="000000" w:themeColor="text1"/>
        </w:rPr>
      </w:pPr>
      <w:r>
        <w:rPr>
          <w:color w:val="000000" w:themeColor="text1"/>
        </w:rPr>
        <w:t>U</w:t>
      </w:r>
      <w:r w:rsidRPr="00D22027" w:rsidR="003D39C3">
        <w:rPr>
          <w:color w:val="000000" w:themeColor="text1"/>
        </w:rPr>
        <w:t>se of a Common Smart Inverter Profile (CSIP) enabled gateway may be a viable option for implementing a limited export schedule, but is comfortable proceeding with only the two options already discussed (a UL certified PCS and a relay with automation controller). As more experience is gained with the use of smart inverters and CSIP gateways, the Commission could consider expanding the list of options.</w:t>
      </w:r>
      <w:r w:rsidRPr="00D22027" w:rsidR="003D39C3">
        <w:rPr>
          <w:color w:val="000000" w:themeColor="text1"/>
          <w:vertAlign w:val="superscript"/>
        </w:rPr>
        <w:footnoteReference w:id="190"/>
      </w:r>
    </w:p>
    <w:p w:rsidR="003D39C3" w:rsidP="003D39C3" w:rsidRDefault="003D39C3" w14:paraId="023F8B62" w14:textId="77777777">
      <w:pPr>
        <w:spacing w:after="200" w:line="276" w:lineRule="auto"/>
        <w:rPr>
          <w:color w:val="000000" w:themeColor="text1"/>
        </w:rPr>
      </w:pPr>
      <w:r w:rsidRPr="00D22027">
        <w:rPr>
          <w:color w:val="000000" w:themeColor="text1"/>
        </w:rPr>
        <w:lastRenderedPageBreak/>
        <w:t>We conclude that there was consensus on the seventh method (Method G) to employ a UL PCS with integrated schedule and that this method, along with relay with automation controller, are the only options fully viable at the present time.</w:t>
      </w:r>
    </w:p>
    <w:p w:rsidR="003D39C3" w:rsidP="003D39C3" w:rsidRDefault="003D39C3" w14:paraId="5AD2E9B8" w14:textId="77777777">
      <w:pPr>
        <w:spacing w:after="200" w:line="276" w:lineRule="auto"/>
        <w:rPr>
          <w:color w:val="000000" w:themeColor="text1"/>
        </w:rPr>
      </w:pPr>
      <w:r w:rsidRPr="00D22027">
        <w:rPr>
          <w:color w:val="000000" w:themeColor="text1"/>
        </w:rPr>
        <w:t xml:space="preserve">We find the fourth requirement not applicable in view of the conclusion </w:t>
      </w:r>
      <w:r w:rsidRPr="00D22027" w:rsidR="00B65F68">
        <w:rPr>
          <w:color w:val="000000" w:themeColor="text1"/>
        </w:rPr>
        <w:t>that there was consensus on the seventh method (Method G)</w:t>
      </w:r>
      <w:r w:rsidRPr="00D22027">
        <w:rPr>
          <w:color w:val="000000" w:themeColor="text1"/>
        </w:rPr>
        <w:t>, and also in view of the rejection of the proposal to add relay with automation controller to the Rule 21 Tariff, as discussed in Disposition #1</w:t>
      </w:r>
      <w:r w:rsidR="007A7129">
        <w:rPr>
          <w:color w:val="000000" w:themeColor="text1"/>
        </w:rPr>
        <w:t>4</w:t>
      </w:r>
      <w:r w:rsidRPr="00D22027">
        <w:rPr>
          <w:color w:val="000000" w:themeColor="text1"/>
        </w:rPr>
        <w:t>.</w:t>
      </w:r>
    </w:p>
    <w:p w:rsidR="003D39C3" w:rsidP="003D39C3" w:rsidRDefault="003D39C3" w14:paraId="685D1DBF" w14:textId="77777777">
      <w:pPr>
        <w:spacing w:after="200" w:line="276" w:lineRule="auto"/>
      </w:pPr>
      <w:r w:rsidRPr="00D22027">
        <w:rPr>
          <w:rFonts w:eastAsia="Palatino Linotype" w:cs="Palatino Linotype"/>
          <w:color w:val="000000" w:themeColor="text1"/>
        </w:rPr>
        <w:t>In response to the fifth requirement, the Large IOUs have pr</w:t>
      </w:r>
      <w:r w:rsidR="00B65F68">
        <w:rPr>
          <w:rFonts w:eastAsia="Palatino Linotype" w:cs="Palatino Linotype"/>
          <w:color w:val="000000" w:themeColor="text1"/>
        </w:rPr>
        <w:t xml:space="preserve">oposed </w:t>
      </w:r>
      <w:r w:rsidRPr="00D22027">
        <w:rPr>
          <w:rFonts w:eastAsia="Palatino Linotype" w:cs="Palatino Linotype"/>
          <w:color w:val="000000" w:themeColor="text1"/>
        </w:rPr>
        <w:t>six steps to validate proposed LGPs in the absence of a standard.</w:t>
      </w:r>
      <w:r>
        <w:rPr>
          <w:rStyle w:val="FootnoteReference"/>
          <w:rFonts w:eastAsia="Palatino Linotype" w:cs="Palatino Linotype"/>
          <w:color w:val="000000" w:themeColor="text1"/>
        </w:rPr>
        <w:footnoteReference w:id="191"/>
      </w:r>
      <w:r w:rsidRPr="00D22027">
        <w:rPr>
          <w:rFonts w:eastAsia="Palatino Linotype" w:cs="Palatino Linotype"/>
          <w:color w:val="000000" w:themeColor="text1"/>
        </w:rPr>
        <w:t xml:space="preserve">  </w:t>
      </w:r>
      <w:r w:rsidR="009551A2">
        <w:rPr>
          <w:rFonts w:eastAsia="Palatino Linotype" w:cs="Palatino Linotype"/>
          <w:color w:val="000000" w:themeColor="text1"/>
        </w:rPr>
        <w:t>G</w:t>
      </w:r>
      <w:r w:rsidRPr="00D22027">
        <w:rPr>
          <w:rFonts w:eastAsia="Palatino Linotype" w:cs="Palatino Linotype"/>
          <w:color w:val="000000" w:themeColor="text1"/>
        </w:rPr>
        <w:t xml:space="preserve">iven the above conclusion that no solution to use smart inverter functions is fully viable at the present time, </w:t>
      </w:r>
      <w:r w:rsidR="009E7D5F">
        <w:rPr>
          <w:rFonts w:eastAsia="Palatino Linotype" w:cs="Palatino Linotype"/>
          <w:color w:val="000000" w:themeColor="text1"/>
        </w:rPr>
        <w:t xml:space="preserve">we find </w:t>
      </w:r>
      <w:r w:rsidRPr="00D22027">
        <w:t xml:space="preserve">this proposal </w:t>
      </w:r>
      <w:r w:rsidR="009E7D5F">
        <w:t>u</w:t>
      </w:r>
      <w:r w:rsidRPr="00D22027">
        <w:t xml:space="preserve">nnecessary. </w:t>
      </w:r>
    </w:p>
    <w:p w:rsidR="003D39C3" w:rsidP="003D39C3" w:rsidRDefault="003D39C3" w14:paraId="574B1A6D" w14:textId="77777777">
      <w:pPr>
        <w:spacing w:after="200" w:line="276" w:lineRule="auto"/>
        <w:rPr>
          <w:b/>
          <w:bCs/>
        </w:rPr>
      </w:pPr>
      <w:r w:rsidRPr="00D22027">
        <w:rPr>
          <w:b/>
          <w:bCs/>
        </w:rPr>
        <w:t xml:space="preserve">We find that no options are, as yet, fully viable for utilizing current smart inverter functions in conjunction with a remote CSIP-certified gateway or CSIP-certified gateway integrated with a smart inverter. We find that LGP implementation must await the completion of a standard for UL PCS with integrated schedule. </w:t>
      </w:r>
    </w:p>
    <w:p w:rsidRPr="00DB11C0" w:rsidR="003D39C3" w:rsidP="00BB4B5A" w:rsidRDefault="003D39C3" w14:paraId="7741B2F8" w14:textId="77777777">
      <w:pPr>
        <w:pStyle w:val="Body"/>
        <w:numPr>
          <w:ilvl w:val="0"/>
          <w:numId w:val="27"/>
        </w:numPr>
        <w:snapToGrid w:val="0"/>
        <w:spacing w:before="360"/>
        <w:rPr>
          <w:rFonts w:ascii="Palatino Linotype" w:hAnsi="Palatino Linotype" w:cstheme="minorHAnsi"/>
          <w:b/>
          <w:bCs/>
          <w:sz w:val="24"/>
          <w:szCs w:val="24"/>
        </w:rPr>
      </w:pPr>
      <w:r w:rsidRPr="00DB11C0">
        <w:rPr>
          <w:rFonts w:ascii="Palatino Linotype" w:hAnsi="Palatino Linotype" w:eastAsia="Palatino Linotype" w:cstheme="minorHAnsi"/>
          <w:b/>
          <w:bCs/>
          <w:sz w:val="24"/>
          <w:szCs w:val="24"/>
        </w:rPr>
        <w:t>Discussion Background on E-5230 Topic F Scheduling and Implementing More Than 12 LGP Values</w:t>
      </w:r>
    </w:p>
    <w:p w:rsidR="003D39C3" w:rsidP="003D39C3" w:rsidRDefault="003D39C3" w14:paraId="2E7BB919" w14:textId="77777777">
      <w:pPr>
        <w:pStyle w:val="Body"/>
        <w:snapToGrid w:val="0"/>
        <w:rPr>
          <w:rFonts w:ascii="Palatino Linotype" w:hAnsi="Palatino Linotype" w:cstheme="minorHAnsi"/>
          <w:sz w:val="24"/>
          <w:szCs w:val="24"/>
        </w:rPr>
      </w:pPr>
      <w:r w:rsidRPr="00D22027">
        <w:rPr>
          <w:rFonts w:ascii="Palatino Linotype" w:hAnsi="Palatino Linotype" w:cstheme="minorHAnsi"/>
          <w:sz w:val="24"/>
          <w:szCs w:val="24"/>
        </w:rPr>
        <w:t xml:space="preserve">Resolution E-5230 ordered discussion on the question of how many unique LGP values per year should be implemented and scheduled by LGP facilities. The number of unique LGP values and the time periods those values represent is called an “LGP configuration” (see terminology definitions following). The disposition of this question is ultimately a choice of which LGP configurations(s) to adopt for the LGP option.  We first note that no prior determination on this question has been made. </w:t>
      </w:r>
      <w:r w:rsidR="000D7C8E">
        <w:rPr>
          <w:rFonts w:ascii="Palatino Linotype" w:hAnsi="Palatino Linotype" w:cstheme="minorHAnsi"/>
          <w:sz w:val="24"/>
          <w:szCs w:val="24"/>
        </w:rPr>
        <w:t xml:space="preserve"> </w:t>
      </w:r>
      <w:r w:rsidRPr="00D22027">
        <w:rPr>
          <w:rFonts w:ascii="Palatino Linotype" w:hAnsi="Palatino Linotype" w:cstheme="minorHAnsi"/>
          <w:sz w:val="24"/>
          <w:szCs w:val="24"/>
        </w:rPr>
        <w:t>Resolution</w:t>
      </w:r>
      <w:r w:rsidR="000D7C8E">
        <w:rPr>
          <w:rFonts w:ascii="Palatino Linotype" w:hAnsi="Palatino Linotype" w:cstheme="minorHAnsi"/>
          <w:sz w:val="24"/>
          <w:szCs w:val="24"/>
        </w:rPr>
        <w:t xml:space="preserve"> E-5230</w:t>
      </w:r>
      <w:r w:rsidRPr="00D22027">
        <w:rPr>
          <w:rFonts w:ascii="Palatino Linotype" w:hAnsi="Palatino Linotype" w:cstheme="minorHAnsi"/>
          <w:sz w:val="24"/>
          <w:szCs w:val="24"/>
        </w:rPr>
        <w:t xml:space="preserve"> stated:</w:t>
      </w:r>
    </w:p>
    <w:p w:rsidR="003D39C3" w:rsidP="003D39C3" w:rsidRDefault="003D39C3" w14:paraId="5B78C83A" w14:textId="77777777">
      <w:pPr>
        <w:pStyle w:val="Body"/>
        <w:snapToGrid w:val="0"/>
        <w:ind w:left="720"/>
        <w:rPr>
          <w:rFonts w:ascii="Palatino Linotype" w:hAnsi="Palatino Linotype" w:cstheme="minorHAnsi"/>
          <w:sz w:val="24"/>
          <w:szCs w:val="24"/>
        </w:rPr>
      </w:pPr>
      <w:r w:rsidRPr="00D22027">
        <w:rPr>
          <w:rFonts w:ascii="Palatino Linotype" w:hAnsi="Palatino Linotype" w:cstheme="minorHAnsi"/>
          <w:sz w:val="24"/>
          <w:szCs w:val="24"/>
        </w:rPr>
        <w:t xml:space="preserve">The Decision [D.20-09-35] addressed the frequency of change and did not restrict the number of values within a month to be only one. The adopted 288-hour format includes 24 values per each of the 12 months of the year... The Large IOUs are therefore directed to discuss the 288-hour format and how it may allow for </w:t>
      </w:r>
      <w:r w:rsidRPr="00D22027">
        <w:rPr>
          <w:rFonts w:ascii="Palatino Linotype" w:hAnsi="Palatino Linotype" w:cstheme="minorHAnsi"/>
          <w:sz w:val="24"/>
          <w:szCs w:val="24"/>
        </w:rPr>
        <w:lastRenderedPageBreak/>
        <w:t>more than one value per month. …. propose how implementation of more than one value per month may be accomplished to better take advantage of the available [hosting] capacity on a circuit to accomplish the goals of Issue 9.</w:t>
      </w:r>
      <w:r>
        <w:rPr>
          <w:rStyle w:val="FootnoteReference"/>
          <w:rFonts w:ascii="Palatino Linotype" w:hAnsi="Palatino Linotype" w:cstheme="minorHAnsi"/>
          <w:sz w:val="24"/>
          <w:szCs w:val="24"/>
        </w:rPr>
        <w:footnoteReference w:id="192"/>
      </w:r>
    </w:p>
    <w:p w:rsidR="003D39C3" w:rsidP="003D39C3" w:rsidRDefault="000D7C8E" w14:paraId="43A6323C" w14:textId="77777777">
      <w:pPr>
        <w:pStyle w:val="Body"/>
        <w:snapToGrid w:val="0"/>
        <w:rPr>
          <w:rFonts w:ascii="Palatino Linotype" w:hAnsi="Palatino Linotype" w:cstheme="minorHAnsi"/>
          <w:sz w:val="24"/>
          <w:szCs w:val="24"/>
        </w:rPr>
      </w:pPr>
      <w:r>
        <w:rPr>
          <w:rFonts w:ascii="Palatino Linotype" w:hAnsi="Palatino Linotype" w:cstheme="minorHAnsi"/>
          <w:sz w:val="24"/>
          <w:szCs w:val="24"/>
        </w:rPr>
        <w:t xml:space="preserve">To address this topic, we must define some terminology as follows.  </w:t>
      </w:r>
      <w:r w:rsidR="00BB4B5A">
        <w:rPr>
          <w:rFonts w:ascii="Palatino Linotype" w:hAnsi="Palatino Linotype" w:cstheme="minorHAnsi"/>
          <w:sz w:val="24"/>
          <w:szCs w:val="24"/>
        </w:rPr>
        <w:t xml:space="preserve">Along with this terminology, </w:t>
      </w:r>
      <w:r w:rsidRPr="00D22027" w:rsidR="003D39C3">
        <w:rPr>
          <w:rFonts w:ascii="Palatino Linotype" w:hAnsi="Palatino Linotype" w:cstheme="minorHAnsi"/>
          <w:sz w:val="24"/>
          <w:szCs w:val="24"/>
        </w:rPr>
        <w:t>Figure</w:t>
      </w:r>
      <w:r w:rsidR="00DD1641">
        <w:rPr>
          <w:rFonts w:ascii="Palatino Linotype" w:hAnsi="Palatino Linotype" w:cstheme="minorHAnsi"/>
          <w:sz w:val="24"/>
          <w:szCs w:val="24"/>
        </w:rPr>
        <w:t>s</w:t>
      </w:r>
      <w:r w:rsidRPr="00D22027" w:rsidR="003D39C3">
        <w:rPr>
          <w:rFonts w:ascii="Palatino Linotype" w:hAnsi="Palatino Linotype" w:cstheme="minorHAnsi"/>
          <w:sz w:val="24"/>
          <w:szCs w:val="24"/>
        </w:rPr>
        <w:t xml:space="preserve"> 3 through </w:t>
      </w:r>
      <w:r w:rsidR="00DD1641">
        <w:rPr>
          <w:rFonts w:ascii="Palatino Linotype" w:hAnsi="Palatino Linotype" w:cstheme="minorHAnsi"/>
          <w:sz w:val="24"/>
          <w:szCs w:val="24"/>
        </w:rPr>
        <w:t>8</w:t>
      </w:r>
      <w:r w:rsidRPr="00D22027" w:rsidR="003D39C3">
        <w:rPr>
          <w:rFonts w:ascii="Palatino Linotype" w:hAnsi="Palatino Linotype" w:cstheme="minorHAnsi"/>
          <w:sz w:val="24"/>
          <w:szCs w:val="24"/>
        </w:rPr>
        <w:t xml:space="preserve"> in Appendix </w:t>
      </w:r>
      <w:r w:rsidR="003D39C3">
        <w:rPr>
          <w:rFonts w:ascii="Palatino Linotype" w:hAnsi="Palatino Linotype" w:cstheme="minorHAnsi"/>
          <w:sz w:val="24"/>
          <w:szCs w:val="24"/>
        </w:rPr>
        <w:t>A</w:t>
      </w:r>
      <w:r w:rsidRPr="00D22027" w:rsidR="003D39C3">
        <w:rPr>
          <w:rFonts w:ascii="Palatino Linotype" w:hAnsi="Palatino Linotype" w:cstheme="minorHAnsi"/>
          <w:sz w:val="24"/>
          <w:szCs w:val="24"/>
        </w:rPr>
        <w:t xml:space="preserve"> </w:t>
      </w:r>
      <w:r>
        <w:rPr>
          <w:rFonts w:ascii="Palatino Linotype" w:hAnsi="Palatino Linotype" w:cstheme="minorHAnsi"/>
          <w:sz w:val="24"/>
          <w:szCs w:val="24"/>
        </w:rPr>
        <w:t xml:space="preserve">provide </w:t>
      </w:r>
      <w:r w:rsidRPr="00D22027" w:rsidR="003D39C3">
        <w:rPr>
          <w:rFonts w:ascii="Palatino Linotype" w:hAnsi="Palatino Linotype" w:cstheme="minorHAnsi"/>
          <w:sz w:val="24"/>
          <w:szCs w:val="24"/>
        </w:rPr>
        <w:t xml:space="preserve">graphical illustrations of four specific LGP configurations and </w:t>
      </w:r>
      <w:r w:rsidR="00DD1641">
        <w:rPr>
          <w:rFonts w:ascii="Palatino Linotype" w:hAnsi="Palatino Linotype" w:cstheme="minorHAnsi"/>
          <w:sz w:val="24"/>
          <w:szCs w:val="24"/>
        </w:rPr>
        <w:t xml:space="preserve">an </w:t>
      </w:r>
      <w:r w:rsidRPr="00D22027" w:rsidR="003D39C3">
        <w:rPr>
          <w:rFonts w:ascii="Palatino Linotype" w:hAnsi="Palatino Linotype" w:cstheme="minorHAnsi"/>
          <w:sz w:val="24"/>
          <w:szCs w:val="24"/>
        </w:rPr>
        <w:t xml:space="preserve">example ICA-SG violation.   </w:t>
      </w:r>
    </w:p>
    <w:p w:rsidR="003D39C3" w:rsidP="003D39C3" w:rsidRDefault="003D39C3" w14:paraId="59E2077B" w14:textId="77777777">
      <w:pPr>
        <w:pStyle w:val="Body"/>
        <w:snapToGrid w:val="0"/>
        <w:rPr>
          <w:rFonts w:ascii="Palatino Linotype" w:hAnsi="Palatino Linotype" w:cstheme="minorHAnsi"/>
          <w:sz w:val="24"/>
          <w:szCs w:val="24"/>
        </w:rPr>
      </w:pPr>
      <w:r w:rsidRPr="00D22027">
        <w:rPr>
          <w:rFonts w:ascii="Palatino Linotype" w:hAnsi="Palatino Linotype" w:cstheme="minorHAnsi"/>
          <w:i/>
          <w:iCs/>
          <w:sz w:val="24"/>
          <w:szCs w:val="24"/>
        </w:rPr>
        <w:t>LGP value.</w:t>
      </w:r>
      <w:r w:rsidRPr="00D22027">
        <w:rPr>
          <w:rFonts w:ascii="Palatino Linotype" w:hAnsi="Palatino Linotype" w:cstheme="minorHAnsi"/>
          <w:sz w:val="24"/>
          <w:szCs w:val="24"/>
        </w:rPr>
        <w:t xml:space="preserve">  Each LGP value represents the maximum export limit of an LGP project for a specific hourly time period during a specific month or block of months.  This export limit is 90% of the minimum ICA-Static Grid (ICA-SG) hourly value across all hours in that time period and across the entire month or block of months. That is, 90% of the single lowest ICA-SG hourly value considering all individual hours within the time period for any day of the given month or block of months.</w:t>
      </w:r>
    </w:p>
    <w:p w:rsidR="003D39C3" w:rsidP="003D39C3" w:rsidRDefault="003D39C3" w14:paraId="4F45D1CC" w14:textId="77777777">
      <w:pPr>
        <w:pStyle w:val="Body"/>
        <w:snapToGrid w:val="0"/>
        <w:rPr>
          <w:rFonts w:ascii="Palatino Linotype" w:hAnsi="Palatino Linotype" w:cstheme="minorHAnsi"/>
          <w:sz w:val="24"/>
          <w:szCs w:val="24"/>
        </w:rPr>
      </w:pPr>
      <w:r w:rsidRPr="00D22027">
        <w:rPr>
          <w:rFonts w:ascii="Palatino Linotype" w:hAnsi="Palatino Linotype" w:cstheme="minorHAnsi"/>
          <w:i/>
          <w:iCs/>
          <w:sz w:val="24"/>
          <w:szCs w:val="24"/>
        </w:rPr>
        <w:t>LGP configuration.</w:t>
      </w:r>
      <w:r w:rsidRPr="00D22027">
        <w:rPr>
          <w:rFonts w:ascii="Palatino Linotype" w:hAnsi="Palatino Linotype" w:cstheme="minorHAnsi"/>
          <w:sz w:val="24"/>
          <w:szCs w:val="24"/>
        </w:rPr>
        <w:t xml:space="preserve"> The number of unique LGP values per year together with the hourly time periods and months or blocks of months that each LGP value represents. An example configuration is “18-23-fixed,” which represents one unique LGP value for the time period from 6pm to midnight during  January, a second unique LGP value for the time period midnight to 6pm during January, and 22 additional unique values for those same time periods during each of the other eleven months of the year – representing a total of 24 unique values.</w:t>
      </w:r>
      <w:r w:rsidRPr="00D22027">
        <w:rPr>
          <w:rStyle w:val="FootnoteReference"/>
          <w:rFonts w:ascii="Palatino Linotype" w:hAnsi="Palatino Linotype" w:cstheme="minorHAnsi"/>
          <w:sz w:val="24"/>
          <w:szCs w:val="24"/>
        </w:rPr>
        <w:footnoteReference w:id="193"/>
      </w:r>
      <w:r w:rsidRPr="00D22027">
        <w:rPr>
          <w:rFonts w:ascii="Palatino Linotype" w:hAnsi="Palatino Linotype" w:cstheme="minorHAnsi"/>
          <w:sz w:val="24"/>
          <w:szCs w:val="24"/>
        </w:rPr>
        <w:t xml:space="preserve">  A second example is “12-monthly”, which represents one unique LGP value for all hours inclusive during January, and 11 other unique LGP values for all hours inclusive during each of the other 11 months of the year. Further details of specific LGP configurations are given in Table </w:t>
      </w:r>
      <w:r>
        <w:rPr>
          <w:rFonts w:ascii="Palatino Linotype" w:hAnsi="Palatino Linotype" w:cstheme="minorHAnsi"/>
          <w:sz w:val="24"/>
          <w:szCs w:val="24"/>
        </w:rPr>
        <w:t xml:space="preserve">2 </w:t>
      </w:r>
      <w:r w:rsidRPr="00D22027">
        <w:rPr>
          <w:rFonts w:ascii="Palatino Linotype" w:hAnsi="Palatino Linotype" w:cstheme="minorHAnsi"/>
          <w:sz w:val="24"/>
          <w:szCs w:val="24"/>
        </w:rPr>
        <w:t>in the following section.</w:t>
      </w:r>
    </w:p>
    <w:p w:rsidR="003D39C3" w:rsidP="003D39C3" w:rsidRDefault="003D39C3" w14:paraId="448E7053" w14:textId="77777777">
      <w:pPr>
        <w:pStyle w:val="Body"/>
        <w:snapToGrid w:val="0"/>
        <w:rPr>
          <w:rFonts w:ascii="Palatino Linotype" w:hAnsi="Palatino Linotype" w:cstheme="minorHAnsi"/>
          <w:sz w:val="24"/>
          <w:szCs w:val="24"/>
        </w:rPr>
      </w:pPr>
      <w:r w:rsidRPr="00D22027">
        <w:rPr>
          <w:rFonts w:ascii="Palatino Linotype" w:hAnsi="Palatino Linotype" w:cstheme="minorHAnsi"/>
          <w:i/>
          <w:iCs/>
          <w:sz w:val="24"/>
          <w:szCs w:val="24"/>
        </w:rPr>
        <w:t>Number of LGP values.</w:t>
      </w:r>
      <w:r w:rsidRPr="00D22027">
        <w:rPr>
          <w:rFonts w:ascii="Palatino Linotype" w:hAnsi="Palatino Linotype" w:cstheme="minorHAnsi"/>
          <w:sz w:val="24"/>
          <w:szCs w:val="24"/>
        </w:rPr>
        <w:t xml:space="preserve"> The total number of unique LGP values per year that result from a given LGP configuration. As noted above, the 18-23-fixed configuration contains a total of 24 unique values. The maximum number of unique LGP values is 288. This provides for up to 24 unique values each month for up to 12 unique monthly periods.</w:t>
      </w:r>
    </w:p>
    <w:p w:rsidR="003D39C3" w:rsidP="003D39C3" w:rsidRDefault="003D39C3" w14:paraId="27780B9A" w14:textId="77777777">
      <w:pPr>
        <w:spacing w:after="200" w:line="276" w:lineRule="auto"/>
        <w:rPr>
          <w:rFonts w:cstheme="minorHAnsi"/>
        </w:rPr>
      </w:pPr>
      <w:r w:rsidRPr="00D22027">
        <w:rPr>
          <w:rFonts w:cstheme="minorHAnsi"/>
          <w:i/>
          <w:iCs/>
        </w:rPr>
        <w:t>ICA-SG value.</w:t>
      </w:r>
      <w:r w:rsidRPr="00D22027">
        <w:rPr>
          <w:rFonts w:cstheme="minorHAnsi"/>
        </w:rPr>
        <w:t xml:space="preserve">  Integration Capacity Analysis--Static Grid (ICA-SG) values are calculated to conservatively estimate the amount of generation that can be installed at a given </w:t>
      </w:r>
      <w:r w:rsidRPr="00D22027">
        <w:rPr>
          <w:rFonts w:cstheme="minorHAnsi"/>
        </w:rPr>
        <w:lastRenderedPageBreak/>
        <w:t>location without any thermal, voltage, or protection violations occurring, not considering operational flexibility, at the time the ICA-SG calculations were performed. ICA-SG values consider line section load and identify the specific hour of the year in which generation has the most risk of causing such violations. An ICA-SG value represents the amount of generation able to export power to the grid at the worst-case hour of the year.</w:t>
      </w:r>
    </w:p>
    <w:p w:rsidR="003D39C3" w:rsidP="003D39C3" w:rsidRDefault="003D39C3" w14:paraId="4361D88E" w14:textId="77777777">
      <w:pPr>
        <w:spacing w:after="200" w:line="276" w:lineRule="auto"/>
        <w:rPr>
          <w:rFonts w:cstheme="minorHAnsi"/>
        </w:rPr>
      </w:pPr>
      <w:r w:rsidRPr="00D22027">
        <w:rPr>
          <w:rFonts w:cstheme="minorHAnsi"/>
          <w:i/>
          <w:iCs/>
        </w:rPr>
        <w:t>Calculated ICA-SG criteria violations.</w:t>
      </w:r>
      <w:r w:rsidRPr="00D22027">
        <w:rPr>
          <w:rFonts w:cstheme="minorHAnsi"/>
        </w:rPr>
        <w:t xml:space="preserve">  ICA-SG criteria violations (also called ICA-SG violations, ICA violations, or simply “violations”) are </w:t>
      </w:r>
      <w:r w:rsidR="000D7C8E">
        <w:rPr>
          <w:rFonts w:cstheme="minorHAnsi"/>
        </w:rPr>
        <w:t xml:space="preserve">violations </w:t>
      </w:r>
      <w:r w:rsidRPr="00D22027">
        <w:rPr>
          <w:rFonts w:cstheme="minorHAnsi"/>
        </w:rPr>
        <w:t xml:space="preserve">calculated by comparing a first year of LGP values against ICA-SG data for a second year on the same line section. If the first-year LGP value for any given hour is greater than the second-year ICA-SG value, then a violation is called for that hour. ICA violations can be separated into voltage, thermal, and protection constraints, based on how much generation would cause a computed violation of each limiting criterion for a given ICA-SG hour. In this case, the violation may be deemed a "voltage violation," "thermal violation," or “protection violation.”  </w:t>
      </w:r>
    </w:p>
    <w:p w:rsidR="003D39C3" w:rsidP="003D39C3" w:rsidRDefault="003D39C3" w14:paraId="1BBD8F9D" w14:textId="77777777">
      <w:pPr>
        <w:spacing w:after="200" w:line="276" w:lineRule="auto"/>
        <w:rPr>
          <w:rFonts w:cstheme="minorHAnsi"/>
        </w:rPr>
      </w:pPr>
      <w:r w:rsidRPr="00265020">
        <w:rPr>
          <w:rFonts w:cstheme="minorHAnsi"/>
        </w:rPr>
        <w:t xml:space="preserve">It is important to state that a lack of calculated ICA-SG violations is a reasonable proxy for safety and reliability being maintained, while the reverse is not necessarily true. A calculated violation does not necessarily mean there are physical grid impacts that compromise safety and reliability, </w:t>
      </w:r>
      <w:r w:rsidR="009551A2">
        <w:rPr>
          <w:rFonts w:cstheme="minorHAnsi"/>
        </w:rPr>
        <w:t>because</w:t>
      </w:r>
      <w:r w:rsidRPr="00265020" w:rsidR="009551A2">
        <w:rPr>
          <w:rFonts w:cstheme="minorHAnsi"/>
        </w:rPr>
        <w:t xml:space="preserve"> </w:t>
      </w:r>
      <w:r w:rsidRPr="00265020">
        <w:rPr>
          <w:rFonts w:cstheme="minorHAnsi"/>
        </w:rPr>
        <w:t xml:space="preserve">ICA-SG values represent worst-case limits across an entire year and </w:t>
      </w:r>
      <w:r w:rsidR="009551A2">
        <w:rPr>
          <w:rFonts w:cstheme="minorHAnsi"/>
        </w:rPr>
        <w:t xml:space="preserve">because </w:t>
      </w:r>
      <w:r w:rsidRPr="00265020">
        <w:rPr>
          <w:rFonts w:cstheme="minorHAnsi"/>
        </w:rPr>
        <w:t>safety and reliability depend on a range of real-world conditions. In contrast to ICA-SG violations, Rule 21 interconnection application screens are the established practice of ensuring safety and reliability when evaluating a generator interconnection.</w:t>
      </w:r>
    </w:p>
    <w:p w:rsidR="003D39C3" w:rsidP="003D39C3" w:rsidRDefault="003D39C3" w14:paraId="523B2D36" w14:textId="77777777">
      <w:pPr>
        <w:pStyle w:val="Body"/>
        <w:snapToGrid w:val="0"/>
        <w:spacing w:before="480"/>
        <w:rPr>
          <w:rFonts w:ascii="Palatino Linotype" w:hAnsi="Palatino Linotype" w:cstheme="minorHAnsi"/>
          <w:b/>
          <w:bCs/>
          <w:sz w:val="24"/>
          <w:szCs w:val="24"/>
          <w:u w:val="single"/>
        </w:rPr>
      </w:pPr>
      <w:r w:rsidRPr="00D22027">
        <w:rPr>
          <w:rFonts w:ascii="Palatino Linotype" w:hAnsi="Palatino Linotype" w:cstheme="minorHAnsi"/>
          <w:b/>
          <w:bCs/>
          <w:sz w:val="24"/>
          <w:szCs w:val="24"/>
          <w:u w:val="single"/>
        </w:rPr>
        <w:t>Energy Division Data Request as Supplemental to the Joint May LGP Advice Letters</w:t>
      </w:r>
    </w:p>
    <w:p w:rsidR="003D39C3" w:rsidP="003D39C3" w:rsidRDefault="003D39C3" w14:paraId="43424CC7"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 xml:space="preserve">Energy Division issued a Data Request </w:t>
      </w:r>
      <w:r w:rsidRPr="00265020">
        <w:rPr>
          <w:rFonts w:ascii="Palatino Linotype" w:hAnsi="Palatino Linotype" w:cstheme="minorHAnsi"/>
          <w:color w:val="000000" w:themeColor="text1"/>
          <w:sz w:val="24"/>
          <w:szCs w:val="24"/>
        </w:rPr>
        <w:t>to better ensure consistent comparisons and analyses of the different LGP configurations and to better understand the degree to which ICA violations coincide with “pass” and “fail” results of Rule 21 interconnection screens and with any physical grid impacts that might compromise safety and reliability. The</w:t>
      </w:r>
      <w:r w:rsidRPr="00D22027">
        <w:rPr>
          <w:rFonts w:ascii="Palatino Linotype" w:hAnsi="Palatino Linotype" w:cstheme="minorHAnsi"/>
          <w:color w:val="000000" w:themeColor="text1"/>
          <w:sz w:val="24"/>
          <w:szCs w:val="24"/>
        </w:rPr>
        <w:t xml:space="preserve"> Data Request focused on several LGP configurations that had been proposed and discussed in the workshops</w:t>
      </w:r>
      <w:r w:rsidRPr="00D22027">
        <w:rPr>
          <w:rFonts w:ascii="Palatino Linotype" w:hAnsi="Palatino Linotype" w:cstheme="minorHAnsi"/>
          <w:sz w:val="24"/>
          <w:szCs w:val="24"/>
        </w:rPr>
        <w:t xml:space="preserve">, as well as a </w:t>
      </w:r>
      <w:r w:rsidRPr="00D22027">
        <w:rPr>
          <w:rFonts w:ascii="Palatino Linotype" w:hAnsi="Palatino Linotype" w:cstheme="minorHAnsi"/>
          <w:color w:val="000000" w:themeColor="text1"/>
          <w:sz w:val="24"/>
          <w:szCs w:val="24"/>
        </w:rPr>
        <w:t xml:space="preserve">baseline configuration of </w:t>
      </w:r>
      <w:r w:rsidR="00D02F1F">
        <w:rPr>
          <w:rFonts w:ascii="Palatino Linotype" w:hAnsi="Palatino Linotype" w:cstheme="minorHAnsi"/>
          <w:color w:val="000000" w:themeColor="text1"/>
          <w:sz w:val="24"/>
          <w:szCs w:val="24"/>
        </w:rPr>
        <w:br/>
      </w:r>
      <w:r w:rsidRPr="00D22027">
        <w:rPr>
          <w:rFonts w:ascii="Palatino Linotype" w:hAnsi="Palatino Linotype" w:cstheme="minorHAnsi"/>
          <w:color w:val="000000" w:themeColor="text1"/>
          <w:sz w:val="24"/>
          <w:szCs w:val="24"/>
        </w:rPr>
        <w:lastRenderedPageBreak/>
        <w:t>12 monthly values. The Data Request was first issued on June 27, 2023 and subsequently updated and re-issued three times to refine and extend the analysis.</w:t>
      </w:r>
      <w:r>
        <w:rPr>
          <w:rStyle w:val="FootnoteReference"/>
          <w:rFonts w:ascii="Palatino Linotype" w:hAnsi="Palatino Linotype" w:cstheme="minorHAnsi"/>
          <w:color w:val="000000" w:themeColor="text1"/>
          <w:sz w:val="24"/>
          <w:szCs w:val="24"/>
        </w:rPr>
        <w:footnoteReference w:id="194"/>
      </w:r>
    </w:p>
    <w:p w:rsidR="003D39C3" w:rsidP="003D39C3" w:rsidRDefault="003D39C3" w14:paraId="6188582A" w14:textId="77777777">
      <w:pPr>
        <w:snapToGrid w:val="0"/>
        <w:spacing w:after="200" w:line="276" w:lineRule="auto"/>
        <w:rPr>
          <w:rFonts w:cstheme="minorHAnsi"/>
        </w:rPr>
      </w:pPr>
      <w:r w:rsidRPr="00D22027">
        <w:rPr>
          <w:rFonts w:cstheme="minorHAnsi"/>
        </w:rPr>
        <w:t xml:space="preserve">The Data Request consisted of three parts: </w:t>
      </w:r>
    </w:p>
    <w:p w:rsidRPr="004A43AF" w:rsidR="003D39C3" w:rsidP="009551A2" w:rsidRDefault="003D39C3" w14:paraId="46AB3659" w14:textId="77777777">
      <w:pPr>
        <w:pStyle w:val="ListParagraph"/>
        <w:numPr>
          <w:ilvl w:val="0"/>
          <w:numId w:val="24"/>
        </w:numPr>
        <w:snapToGrid w:val="0"/>
        <w:spacing w:after="200" w:line="276" w:lineRule="auto"/>
        <w:ind w:left="360"/>
        <w:rPr>
          <w:rFonts w:ascii="Palatino Linotype" w:hAnsi="Palatino Linotype" w:cstheme="minorHAnsi"/>
          <w:sz w:val="24"/>
          <w:szCs w:val="24"/>
        </w:rPr>
      </w:pPr>
      <w:r w:rsidRPr="004A43AF">
        <w:rPr>
          <w:rFonts w:ascii="Palatino Linotype" w:hAnsi="Palatino Linotype" w:cstheme="minorHAnsi"/>
          <w:sz w:val="24"/>
          <w:szCs w:val="24"/>
        </w:rPr>
        <w:t>The first part asked for analysis of five feeders in each of the Large IOUs’ respective service territories showing the exported energy and power values of LGP configurations using five different LGP configuration configurations, along with any violations that occur for the given configuration configurations, using the previous year’s ICA data for each feeder as the reference case against which to compare violations.  The Large IOUs were required to follow similar methodologies as they had employed for analyzing and presenting their 12-monthly configuration results in the workshops.</w:t>
      </w:r>
    </w:p>
    <w:p w:rsidRPr="004A43AF" w:rsidR="003D39C3" w:rsidP="009551A2" w:rsidRDefault="003D39C3" w14:paraId="3150CE2C" w14:textId="77777777">
      <w:pPr>
        <w:pStyle w:val="ListParagraph"/>
        <w:numPr>
          <w:ilvl w:val="0"/>
          <w:numId w:val="24"/>
        </w:numPr>
        <w:snapToGrid w:val="0"/>
        <w:spacing w:after="200" w:line="276" w:lineRule="auto"/>
        <w:ind w:left="360"/>
        <w:rPr>
          <w:rFonts w:ascii="Palatino Linotype" w:hAnsi="Palatino Linotype" w:cstheme="minorHAnsi"/>
          <w:color w:val="000000" w:themeColor="text1"/>
          <w:sz w:val="24"/>
          <w:szCs w:val="24"/>
        </w:rPr>
      </w:pPr>
      <w:r w:rsidRPr="004A43AF">
        <w:rPr>
          <w:rFonts w:ascii="Palatino Linotype" w:hAnsi="Palatino Linotype" w:cstheme="minorHAnsi"/>
          <w:color w:val="000000" w:themeColor="text1"/>
          <w:sz w:val="24"/>
          <w:szCs w:val="24"/>
        </w:rPr>
        <w:t xml:space="preserve">The second part asked for the Rule 21 screen results for Screens A-P for each of the five LGP configurations. The IOUs were directed to assume that many of the screens passed and to focus on only a selected subset of screens. The selected subset of screens was chosen to further analyze real grid impacts from the ICA violations. </w:t>
      </w:r>
    </w:p>
    <w:p w:rsidRPr="004A43AF" w:rsidR="003D39C3" w:rsidP="009551A2" w:rsidRDefault="003D39C3" w14:paraId="04023FA9" w14:textId="77777777">
      <w:pPr>
        <w:pStyle w:val="ListParagraph"/>
        <w:numPr>
          <w:ilvl w:val="0"/>
          <w:numId w:val="24"/>
        </w:numPr>
        <w:snapToGrid w:val="0"/>
        <w:spacing w:after="200" w:line="276" w:lineRule="auto"/>
        <w:ind w:left="360"/>
        <w:rPr>
          <w:rFonts w:ascii="Palatino Linotype" w:hAnsi="Palatino Linotype" w:cstheme="minorHAnsi"/>
          <w:color w:val="000000" w:themeColor="text1"/>
          <w:sz w:val="24"/>
          <w:szCs w:val="24"/>
        </w:rPr>
      </w:pPr>
      <w:r w:rsidRPr="004A43AF">
        <w:rPr>
          <w:rFonts w:ascii="Palatino Linotype" w:hAnsi="Palatino Linotype" w:cstheme="minorHAnsi"/>
          <w:color w:val="000000" w:themeColor="text1"/>
          <w:sz w:val="24"/>
          <w:szCs w:val="24"/>
        </w:rPr>
        <w:t>The third part asked for adding a comparison pre-LGP case for limiting DER system size (and therefore export limits) to the analyses, and also for calculating the average maximum power for an LGP project under the five configurations, on each of the analyzed circuits.</w:t>
      </w:r>
    </w:p>
    <w:p w:rsidR="003D39C3" w:rsidP="003D39C3" w:rsidRDefault="003D39C3" w14:paraId="6550E96B" w14:textId="77777777">
      <w:pPr>
        <w:snapToGrid w:val="0"/>
        <w:spacing w:after="480" w:line="276" w:lineRule="auto"/>
        <w:rPr>
          <w:rFonts w:cstheme="minorHAnsi"/>
          <w:color w:val="000000" w:themeColor="text1"/>
        </w:rPr>
      </w:pPr>
      <w:r w:rsidRPr="00D22027">
        <w:rPr>
          <w:rFonts w:cstheme="minorHAnsi"/>
          <w:color w:val="000000" w:themeColor="text1"/>
        </w:rPr>
        <w:t xml:space="preserve">The five LGP configurations included in the Data Request are shown in Table </w:t>
      </w:r>
      <w:r w:rsidR="004A43AF">
        <w:rPr>
          <w:rFonts w:cstheme="minorHAnsi"/>
          <w:color w:val="000000" w:themeColor="text1"/>
        </w:rPr>
        <w:t>3</w:t>
      </w:r>
      <w:r w:rsidRPr="00D22027">
        <w:rPr>
          <w:rFonts w:cstheme="minorHAnsi"/>
          <w:color w:val="000000" w:themeColor="text1"/>
        </w:rPr>
        <w:t xml:space="preserve">, along with the 288-value LGP configuration for </w:t>
      </w:r>
      <w:r w:rsidRPr="006C5884">
        <w:rPr>
          <w:rFonts w:cstheme="minorHAnsi"/>
          <w:color w:val="000000" w:themeColor="text1"/>
        </w:rPr>
        <w:t xml:space="preserve">reference. Summaries of the data provided by the Large </w:t>
      </w:r>
      <w:proofErr w:type="gramStart"/>
      <w:r w:rsidRPr="006C5884">
        <w:rPr>
          <w:rFonts w:cstheme="minorHAnsi"/>
          <w:color w:val="000000" w:themeColor="text1"/>
        </w:rPr>
        <w:t>IOUs’</w:t>
      </w:r>
      <w:proofErr w:type="gramEnd"/>
      <w:r w:rsidRPr="006C5884">
        <w:rPr>
          <w:rFonts w:cstheme="minorHAnsi"/>
          <w:color w:val="000000" w:themeColor="text1"/>
        </w:rPr>
        <w:t xml:space="preserve"> in response to the Data Request are provided in Appendix </w:t>
      </w:r>
      <w:r w:rsidR="007755FE">
        <w:rPr>
          <w:rFonts w:cstheme="minorHAnsi"/>
          <w:color w:val="000000" w:themeColor="text1"/>
        </w:rPr>
        <w:t>H</w:t>
      </w:r>
      <w:r w:rsidRPr="006C5884">
        <w:rPr>
          <w:rFonts w:cstheme="minorHAnsi"/>
          <w:color w:val="000000" w:themeColor="text1"/>
        </w:rPr>
        <w:t>, which contains an assessment by Energy Division of the 24-value configurations.</w:t>
      </w:r>
    </w:p>
    <w:p w:rsidRPr="00D22027" w:rsidR="003D39C3" w:rsidP="003D39C3" w:rsidRDefault="003D39C3" w14:paraId="6C17A275" w14:textId="77777777">
      <w:pPr>
        <w:snapToGrid w:val="0"/>
        <w:spacing w:line="276" w:lineRule="auto"/>
        <w:rPr>
          <w:rFonts w:cstheme="minorHAnsi"/>
          <w:b/>
          <w:bCs/>
          <w:color w:val="000000" w:themeColor="text1"/>
        </w:rPr>
      </w:pPr>
      <w:r w:rsidRPr="00D22027">
        <w:rPr>
          <w:rFonts w:cstheme="minorHAnsi"/>
          <w:b/>
          <w:bCs/>
          <w:color w:val="000000" w:themeColor="text1"/>
        </w:rPr>
        <w:t xml:space="preserve">Table </w:t>
      </w:r>
      <w:r w:rsidR="004A43AF">
        <w:rPr>
          <w:rFonts w:cstheme="minorHAnsi"/>
          <w:b/>
          <w:bCs/>
          <w:color w:val="000000" w:themeColor="text1"/>
        </w:rPr>
        <w:t>3</w:t>
      </w:r>
      <w:r w:rsidRPr="00D22027">
        <w:rPr>
          <w:rFonts w:cstheme="minorHAnsi"/>
          <w:b/>
          <w:bCs/>
          <w:color w:val="000000" w:themeColor="text1"/>
        </w:rPr>
        <w:t xml:space="preserve">:  LGP Configurations Included in </w:t>
      </w:r>
      <w:r w:rsidR="00A16F81">
        <w:rPr>
          <w:rFonts w:cstheme="minorHAnsi"/>
          <w:b/>
          <w:bCs/>
          <w:color w:val="000000" w:themeColor="text1"/>
        </w:rPr>
        <w:t xml:space="preserve">the Energy Division </w:t>
      </w:r>
      <w:r w:rsidRPr="00D22027">
        <w:rPr>
          <w:rFonts w:cstheme="minorHAnsi"/>
          <w:b/>
          <w:bCs/>
          <w:color w:val="000000" w:themeColor="text1"/>
        </w:rPr>
        <w:t>Data Request</w:t>
      </w:r>
    </w:p>
    <w:tbl>
      <w:tblPr>
        <w:tblStyle w:val="TableGrid"/>
        <w:tblW w:w="0" w:type="auto"/>
        <w:tblLayout w:type="fixed"/>
        <w:tblLook w:val="04A0" w:firstRow="1" w:lastRow="0" w:firstColumn="1" w:lastColumn="0" w:noHBand="0" w:noVBand="1"/>
      </w:tblPr>
      <w:tblGrid>
        <w:gridCol w:w="1615"/>
        <w:gridCol w:w="1080"/>
        <w:gridCol w:w="1080"/>
        <w:gridCol w:w="990"/>
        <w:gridCol w:w="1260"/>
        <w:gridCol w:w="3325"/>
      </w:tblGrid>
      <w:tr w:rsidRPr="00960669" w:rsidR="003D39C3" w:rsidTr="00A16F81" w14:paraId="075A91F8" w14:textId="77777777">
        <w:trPr>
          <w:trHeight w:val="1872"/>
        </w:trPr>
        <w:tc>
          <w:tcPr>
            <w:tcW w:w="1615" w:type="dxa"/>
            <w:tcMar>
              <w:left w:w="115" w:type="dxa"/>
              <w:right w:w="115" w:type="dxa"/>
            </w:tcMar>
            <w:vAlign w:val="bottom"/>
          </w:tcPr>
          <w:p w:rsidRPr="00960669" w:rsidR="003D39C3" w:rsidP="00C9613A" w:rsidRDefault="003D39C3" w14:paraId="61C0549E" w14:textId="77777777">
            <w:pPr>
              <w:snapToGrid w:val="0"/>
              <w:rPr>
                <w:rFonts w:cstheme="minorHAnsi"/>
                <w:b/>
                <w:bCs/>
                <w:color w:val="000000" w:themeColor="text1"/>
                <w:sz w:val="20"/>
                <w:szCs w:val="20"/>
              </w:rPr>
            </w:pPr>
          </w:p>
          <w:p w:rsidRPr="00960669" w:rsidR="003D39C3" w:rsidP="00C9613A" w:rsidRDefault="003D39C3" w14:paraId="2A7B23D1" w14:textId="77777777">
            <w:pPr>
              <w:snapToGrid w:val="0"/>
              <w:rPr>
                <w:rFonts w:cstheme="minorHAnsi"/>
                <w:b/>
                <w:bCs/>
                <w:color w:val="000000" w:themeColor="text1"/>
                <w:sz w:val="20"/>
                <w:szCs w:val="20"/>
              </w:rPr>
            </w:pPr>
            <w:r w:rsidRPr="00960669">
              <w:rPr>
                <w:rFonts w:cstheme="minorHAnsi"/>
                <w:b/>
                <w:bCs/>
                <w:color w:val="000000" w:themeColor="text1"/>
                <w:sz w:val="20"/>
                <w:szCs w:val="20"/>
              </w:rPr>
              <w:t>Configuration name</w:t>
            </w:r>
          </w:p>
        </w:tc>
        <w:tc>
          <w:tcPr>
            <w:tcW w:w="1080" w:type="dxa"/>
            <w:tcMar>
              <w:left w:w="115" w:type="dxa"/>
              <w:right w:w="115" w:type="dxa"/>
            </w:tcMar>
            <w:vAlign w:val="bottom"/>
          </w:tcPr>
          <w:p w:rsidRPr="00960669" w:rsidR="003D39C3" w:rsidP="00C9613A" w:rsidRDefault="003D39C3" w14:paraId="5119CA6A" w14:textId="77777777">
            <w:pPr>
              <w:snapToGrid w:val="0"/>
              <w:rPr>
                <w:rFonts w:cstheme="minorHAnsi"/>
                <w:b/>
                <w:bCs/>
                <w:color w:val="000000" w:themeColor="text1"/>
                <w:sz w:val="20"/>
                <w:szCs w:val="20"/>
              </w:rPr>
            </w:pPr>
          </w:p>
          <w:p w:rsidRPr="00960669" w:rsidR="003D39C3" w:rsidP="00C9613A" w:rsidRDefault="003D39C3" w14:paraId="657714E7" w14:textId="77777777">
            <w:pPr>
              <w:snapToGrid w:val="0"/>
              <w:rPr>
                <w:rFonts w:cstheme="minorHAnsi"/>
                <w:b/>
                <w:bCs/>
                <w:color w:val="000000" w:themeColor="text1"/>
                <w:sz w:val="20"/>
                <w:szCs w:val="20"/>
              </w:rPr>
            </w:pPr>
            <w:proofErr w:type="spellStart"/>
            <w:r>
              <w:rPr>
                <w:rFonts w:cstheme="minorHAnsi"/>
                <w:b/>
                <w:bCs/>
                <w:color w:val="000000" w:themeColor="text1"/>
                <w:sz w:val="20"/>
                <w:szCs w:val="20"/>
              </w:rPr>
              <w:t>Numberof</w:t>
            </w:r>
            <w:proofErr w:type="spellEnd"/>
            <w:r>
              <w:rPr>
                <w:rFonts w:cstheme="minorHAnsi"/>
                <w:b/>
                <w:bCs/>
                <w:color w:val="000000" w:themeColor="text1"/>
                <w:sz w:val="20"/>
                <w:szCs w:val="20"/>
              </w:rPr>
              <w:t xml:space="preserve"> </w:t>
            </w:r>
            <w:r w:rsidRPr="00960669">
              <w:rPr>
                <w:rFonts w:cstheme="minorHAnsi"/>
                <w:b/>
                <w:bCs/>
                <w:color w:val="000000" w:themeColor="text1"/>
                <w:sz w:val="20"/>
                <w:szCs w:val="20"/>
              </w:rPr>
              <w:t>unique LGP values</w:t>
            </w:r>
          </w:p>
        </w:tc>
        <w:tc>
          <w:tcPr>
            <w:tcW w:w="1080" w:type="dxa"/>
            <w:tcMar>
              <w:left w:w="115" w:type="dxa"/>
              <w:right w:w="115" w:type="dxa"/>
            </w:tcMar>
            <w:vAlign w:val="bottom"/>
          </w:tcPr>
          <w:p w:rsidRPr="00960669" w:rsidR="003D39C3" w:rsidP="00C9613A" w:rsidRDefault="003D39C3" w14:paraId="2469DE4D" w14:textId="77777777">
            <w:pPr>
              <w:snapToGrid w:val="0"/>
              <w:rPr>
                <w:rFonts w:cstheme="minorHAnsi"/>
                <w:b/>
                <w:bCs/>
                <w:color w:val="000000" w:themeColor="text1"/>
                <w:sz w:val="20"/>
                <w:szCs w:val="20"/>
              </w:rPr>
            </w:pPr>
          </w:p>
          <w:p w:rsidRPr="00960669" w:rsidR="003D39C3" w:rsidP="00C9613A" w:rsidRDefault="003D39C3" w14:paraId="0C81F788" w14:textId="77777777">
            <w:pPr>
              <w:snapToGrid w:val="0"/>
              <w:rPr>
                <w:rFonts w:cstheme="minorHAnsi"/>
                <w:b/>
                <w:bCs/>
                <w:color w:val="000000" w:themeColor="text1"/>
                <w:sz w:val="20"/>
                <w:szCs w:val="20"/>
              </w:rPr>
            </w:pPr>
            <w:r w:rsidRPr="00960669">
              <w:rPr>
                <w:rFonts w:cstheme="minorHAnsi"/>
                <w:b/>
                <w:bCs/>
                <w:color w:val="000000" w:themeColor="text1"/>
                <w:sz w:val="20"/>
                <w:szCs w:val="20"/>
              </w:rPr>
              <w:t>Monthly or seasonal values</w:t>
            </w:r>
          </w:p>
        </w:tc>
        <w:tc>
          <w:tcPr>
            <w:tcW w:w="990" w:type="dxa"/>
            <w:tcMar>
              <w:left w:w="115" w:type="dxa"/>
              <w:right w:w="115" w:type="dxa"/>
            </w:tcMar>
            <w:vAlign w:val="bottom"/>
          </w:tcPr>
          <w:p w:rsidRPr="00960669" w:rsidR="003D39C3" w:rsidP="00C9613A" w:rsidRDefault="003D39C3" w14:paraId="7101E1CA" w14:textId="77777777">
            <w:pPr>
              <w:snapToGrid w:val="0"/>
              <w:rPr>
                <w:rFonts w:cstheme="minorHAnsi"/>
                <w:b/>
                <w:bCs/>
                <w:color w:val="000000" w:themeColor="text1"/>
                <w:sz w:val="20"/>
                <w:szCs w:val="20"/>
              </w:rPr>
            </w:pPr>
          </w:p>
          <w:p w:rsidRPr="00960669" w:rsidR="003D39C3" w:rsidP="00C9613A" w:rsidRDefault="003D39C3" w14:paraId="703FE3DD" w14:textId="77777777">
            <w:pPr>
              <w:snapToGrid w:val="0"/>
              <w:rPr>
                <w:rFonts w:cstheme="minorHAnsi"/>
                <w:b/>
                <w:bCs/>
                <w:color w:val="000000" w:themeColor="text1"/>
                <w:sz w:val="20"/>
                <w:szCs w:val="20"/>
              </w:rPr>
            </w:pPr>
            <w:r w:rsidRPr="00960669">
              <w:rPr>
                <w:rFonts w:cstheme="minorHAnsi"/>
                <w:b/>
                <w:bCs/>
                <w:color w:val="000000" w:themeColor="text1"/>
                <w:sz w:val="20"/>
                <w:szCs w:val="20"/>
              </w:rPr>
              <w:t>Hourly values</w:t>
            </w:r>
          </w:p>
        </w:tc>
        <w:tc>
          <w:tcPr>
            <w:tcW w:w="1260" w:type="dxa"/>
            <w:tcMar>
              <w:left w:w="115" w:type="dxa"/>
              <w:right w:w="115" w:type="dxa"/>
            </w:tcMar>
            <w:vAlign w:val="bottom"/>
          </w:tcPr>
          <w:p w:rsidRPr="00960669" w:rsidR="003D39C3" w:rsidP="00C9613A" w:rsidRDefault="003D39C3" w14:paraId="5E157B43" w14:textId="77777777">
            <w:pPr>
              <w:snapToGrid w:val="0"/>
              <w:rPr>
                <w:rFonts w:cstheme="minorHAnsi"/>
                <w:b/>
                <w:bCs/>
                <w:color w:val="000000" w:themeColor="text1"/>
                <w:sz w:val="20"/>
                <w:szCs w:val="20"/>
              </w:rPr>
            </w:pPr>
            <w:r w:rsidRPr="00960669">
              <w:rPr>
                <w:rFonts w:cstheme="minorHAnsi"/>
                <w:b/>
                <w:bCs/>
                <w:color w:val="000000" w:themeColor="text1"/>
                <w:sz w:val="20"/>
                <w:szCs w:val="20"/>
              </w:rPr>
              <w:t>Values for blocks of evening peak load hours and non-peak hours</w:t>
            </w:r>
          </w:p>
        </w:tc>
        <w:tc>
          <w:tcPr>
            <w:tcW w:w="3325" w:type="dxa"/>
            <w:tcMar>
              <w:left w:w="115" w:type="dxa"/>
              <w:right w:w="115" w:type="dxa"/>
            </w:tcMar>
            <w:vAlign w:val="bottom"/>
          </w:tcPr>
          <w:p w:rsidRPr="00960669" w:rsidR="003D39C3" w:rsidP="00C9613A" w:rsidRDefault="003D39C3" w14:paraId="79269B6B" w14:textId="77777777">
            <w:pPr>
              <w:snapToGrid w:val="0"/>
              <w:rPr>
                <w:rFonts w:cstheme="minorHAnsi"/>
                <w:b/>
                <w:bCs/>
                <w:color w:val="000000" w:themeColor="text1"/>
                <w:sz w:val="20"/>
                <w:szCs w:val="20"/>
              </w:rPr>
            </w:pPr>
          </w:p>
          <w:p w:rsidRPr="00960669" w:rsidR="003D39C3" w:rsidP="00C9613A" w:rsidRDefault="003D39C3" w14:paraId="59254F28" w14:textId="77777777">
            <w:pPr>
              <w:snapToGrid w:val="0"/>
              <w:rPr>
                <w:rFonts w:cstheme="minorHAnsi"/>
                <w:b/>
                <w:bCs/>
                <w:color w:val="000000" w:themeColor="text1"/>
                <w:sz w:val="20"/>
                <w:szCs w:val="20"/>
              </w:rPr>
            </w:pPr>
            <w:r w:rsidRPr="00960669">
              <w:rPr>
                <w:rFonts w:cstheme="minorHAnsi"/>
                <w:b/>
                <w:bCs/>
                <w:color w:val="000000" w:themeColor="text1"/>
                <w:sz w:val="20"/>
                <w:szCs w:val="20"/>
              </w:rPr>
              <w:t>Description of LGP values</w:t>
            </w:r>
          </w:p>
        </w:tc>
      </w:tr>
      <w:tr w:rsidRPr="00960669" w:rsidR="003D39C3" w:rsidTr="00A16F81" w14:paraId="19435E6F" w14:textId="77777777">
        <w:tc>
          <w:tcPr>
            <w:tcW w:w="1615" w:type="dxa"/>
            <w:tcMar>
              <w:left w:w="115" w:type="dxa"/>
              <w:right w:w="115" w:type="dxa"/>
            </w:tcMar>
          </w:tcPr>
          <w:p w:rsidRPr="00960669" w:rsidR="003D39C3" w:rsidP="00C9613A" w:rsidRDefault="003D39C3" w14:paraId="389E81CE" w14:textId="77777777">
            <w:pPr>
              <w:snapToGrid w:val="0"/>
              <w:rPr>
                <w:rFonts w:cstheme="minorHAnsi"/>
                <w:color w:val="000000" w:themeColor="text1"/>
                <w:sz w:val="20"/>
                <w:szCs w:val="20"/>
              </w:rPr>
            </w:pPr>
            <w:r w:rsidRPr="00960669">
              <w:rPr>
                <w:rFonts w:cstheme="minorHAnsi"/>
                <w:sz w:val="20"/>
                <w:szCs w:val="20"/>
              </w:rPr>
              <w:t>“12-monthly”</w:t>
            </w:r>
          </w:p>
        </w:tc>
        <w:tc>
          <w:tcPr>
            <w:tcW w:w="1080" w:type="dxa"/>
            <w:tcMar>
              <w:left w:w="115" w:type="dxa"/>
              <w:right w:w="115" w:type="dxa"/>
            </w:tcMar>
          </w:tcPr>
          <w:p w:rsidRPr="00960669" w:rsidR="003D39C3" w:rsidP="00C9613A" w:rsidRDefault="003D39C3" w14:paraId="33E683D8" w14:textId="77777777">
            <w:pPr>
              <w:snapToGrid w:val="0"/>
              <w:jc w:val="center"/>
              <w:rPr>
                <w:rFonts w:cstheme="minorHAnsi"/>
                <w:color w:val="000000" w:themeColor="text1"/>
                <w:sz w:val="20"/>
                <w:szCs w:val="20"/>
              </w:rPr>
            </w:pPr>
            <w:r w:rsidRPr="00960669">
              <w:rPr>
                <w:rFonts w:cstheme="minorHAnsi"/>
                <w:color w:val="000000" w:themeColor="text1"/>
                <w:sz w:val="20"/>
                <w:szCs w:val="20"/>
              </w:rPr>
              <w:t>12</w:t>
            </w:r>
          </w:p>
        </w:tc>
        <w:tc>
          <w:tcPr>
            <w:tcW w:w="1080" w:type="dxa"/>
            <w:tcMar>
              <w:left w:w="115" w:type="dxa"/>
              <w:right w:w="115" w:type="dxa"/>
            </w:tcMar>
          </w:tcPr>
          <w:p w:rsidRPr="00960669" w:rsidR="003D39C3" w:rsidP="00C9613A" w:rsidRDefault="003D39C3" w14:paraId="2D5CBE4D"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tc>
        <w:tc>
          <w:tcPr>
            <w:tcW w:w="990" w:type="dxa"/>
            <w:tcMar>
              <w:left w:w="115" w:type="dxa"/>
              <w:right w:w="115" w:type="dxa"/>
            </w:tcMar>
          </w:tcPr>
          <w:p w:rsidRPr="00960669" w:rsidR="003D39C3" w:rsidP="00C9613A" w:rsidRDefault="003D39C3" w14:paraId="59FD58BA" w14:textId="77777777">
            <w:pPr>
              <w:snapToGrid w:val="0"/>
              <w:jc w:val="center"/>
              <w:rPr>
                <w:rFonts w:cstheme="minorHAnsi"/>
                <w:color w:val="000000" w:themeColor="text1"/>
                <w:sz w:val="20"/>
                <w:szCs w:val="20"/>
              </w:rPr>
            </w:pPr>
          </w:p>
        </w:tc>
        <w:tc>
          <w:tcPr>
            <w:tcW w:w="1260" w:type="dxa"/>
            <w:tcMar>
              <w:left w:w="115" w:type="dxa"/>
              <w:right w:w="115" w:type="dxa"/>
            </w:tcMar>
          </w:tcPr>
          <w:p w:rsidRPr="00960669" w:rsidR="003D39C3" w:rsidP="00C9613A" w:rsidRDefault="003D39C3" w14:paraId="6741BFB8" w14:textId="77777777">
            <w:pPr>
              <w:snapToGrid w:val="0"/>
              <w:jc w:val="center"/>
              <w:rPr>
                <w:rFonts w:cstheme="minorHAnsi"/>
                <w:color w:val="000000" w:themeColor="text1"/>
                <w:sz w:val="20"/>
                <w:szCs w:val="20"/>
              </w:rPr>
            </w:pPr>
          </w:p>
        </w:tc>
        <w:tc>
          <w:tcPr>
            <w:tcW w:w="3325" w:type="dxa"/>
            <w:tcMar>
              <w:left w:w="115" w:type="dxa"/>
              <w:right w:w="115" w:type="dxa"/>
            </w:tcMar>
          </w:tcPr>
          <w:p w:rsidRPr="00960669" w:rsidR="003D39C3" w:rsidP="00C9613A" w:rsidRDefault="003D39C3" w14:paraId="6064E21D" w14:textId="77777777">
            <w:pPr>
              <w:snapToGrid w:val="0"/>
              <w:rPr>
                <w:rFonts w:cstheme="minorHAnsi"/>
                <w:sz w:val="20"/>
                <w:szCs w:val="20"/>
              </w:rPr>
            </w:pPr>
            <w:r w:rsidRPr="00960669">
              <w:rPr>
                <w:rFonts w:cstheme="minorHAnsi"/>
                <w:sz w:val="20"/>
                <w:szCs w:val="20"/>
              </w:rPr>
              <w:t xml:space="preserve">One value for each month using the monthly minimum of ICA-SG </w:t>
            </w:r>
          </w:p>
        </w:tc>
      </w:tr>
      <w:tr w:rsidRPr="00960669" w:rsidR="003D39C3" w:rsidTr="00A16F81" w14:paraId="6AC8DBBF" w14:textId="77777777">
        <w:tc>
          <w:tcPr>
            <w:tcW w:w="1615" w:type="dxa"/>
            <w:tcMar>
              <w:left w:w="115" w:type="dxa"/>
              <w:right w:w="115" w:type="dxa"/>
            </w:tcMar>
          </w:tcPr>
          <w:p w:rsidRPr="00960669" w:rsidR="003D39C3" w:rsidP="00C9613A" w:rsidRDefault="003D39C3" w14:paraId="488A9161" w14:textId="77777777">
            <w:pPr>
              <w:snapToGrid w:val="0"/>
              <w:rPr>
                <w:rFonts w:cstheme="minorHAnsi"/>
                <w:color w:val="000000" w:themeColor="text1"/>
                <w:sz w:val="20"/>
                <w:szCs w:val="20"/>
              </w:rPr>
            </w:pPr>
            <w:r w:rsidRPr="00960669">
              <w:rPr>
                <w:rFonts w:cstheme="minorHAnsi"/>
                <w:sz w:val="20"/>
                <w:szCs w:val="20"/>
              </w:rPr>
              <w:t>“24-hourly”</w:t>
            </w:r>
          </w:p>
        </w:tc>
        <w:tc>
          <w:tcPr>
            <w:tcW w:w="1080" w:type="dxa"/>
            <w:tcMar>
              <w:left w:w="115" w:type="dxa"/>
              <w:right w:w="115" w:type="dxa"/>
            </w:tcMar>
          </w:tcPr>
          <w:p w:rsidRPr="00960669" w:rsidR="003D39C3" w:rsidP="00C9613A" w:rsidRDefault="003D39C3" w14:paraId="06F813E7" w14:textId="77777777">
            <w:pPr>
              <w:snapToGrid w:val="0"/>
              <w:jc w:val="center"/>
              <w:rPr>
                <w:rFonts w:cstheme="minorHAnsi"/>
                <w:color w:val="000000" w:themeColor="text1"/>
                <w:sz w:val="20"/>
                <w:szCs w:val="20"/>
              </w:rPr>
            </w:pPr>
            <w:r w:rsidRPr="00960669">
              <w:rPr>
                <w:rFonts w:cstheme="minorHAnsi"/>
                <w:color w:val="000000" w:themeColor="text1"/>
                <w:sz w:val="20"/>
                <w:szCs w:val="20"/>
              </w:rPr>
              <w:t>24</w:t>
            </w:r>
          </w:p>
        </w:tc>
        <w:tc>
          <w:tcPr>
            <w:tcW w:w="1080" w:type="dxa"/>
            <w:tcMar>
              <w:left w:w="115" w:type="dxa"/>
              <w:right w:w="115" w:type="dxa"/>
            </w:tcMar>
          </w:tcPr>
          <w:p w:rsidRPr="00960669" w:rsidR="003D39C3" w:rsidP="00C9613A" w:rsidRDefault="003D39C3" w14:paraId="76203A57" w14:textId="77777777">
            <w:pPr>
              <w:snapToGrid w:val="0"/>
              <w:jc w:val="center"/>
              <w:rPr>
                <w:rFonts w:cstheme="minorHAnsi"/>
                <w:color w:val="000000" w:themeColor="text1"/>
                <w:sz w:val="20"/>
                <w:szCs w:val="20"/>
              </w:rPr>
            </w:pPr>
          </w:p>
        </w:tc>
        <w:tc>
          <w:tcPr>
            <w:tcW w:w="990" w:type="dxa"/>
            <w:tcMar>
              <w:left w:w="115" w:type="dxa"/>
              <w:right w:w="115" w:type="dxa"/>
            </w:tcMar>
          </w:tcPr>
          <w:p w:rsidRPr="00960669" w:rsidR="003D39C3" w:rsidP="00C9613A" w:rsidRDefault="003D39C3" w14:paraId="4D6B0900"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tc>
        <w:tc>
          <w:tcPr>
            <w:tcW w:w="1260" w:type="dxa"/>
            <w:tcMar>
              <w:left w:w="115" w:type="dxa"/>
              <w:right w:w="115" w:type="dxa"/>
            </w:tcMar>
          </w:tcPr>
          <w:p w:rsidRPr="00960669" w:rsidR="003D39C3" w:rsidP="00C9613A" w:rsidRDefault="003D39C3" w14:paraId="1E452656" w14:textId="77777777">
            <w:pPr>
              <w:snapToGrid w:val="0"/>
              <w:jc w:val="center"/>
              <w:rPr>
                <w:rFonts w:cstheme="minorHAnsi"/>
                <w:color w:val="000000" w:themeColor="text1"/>
                <w:sz w:val="20"/>
                <w:szCs w:val="20"/>
              </w:rPr>
            </w:pPr>
          </w:p>
        </w:tc>
        <w:tc>
          <w:tcPr>
            <w:tcW w:w="3325" w:type="dxa"/>
            <w:tcMar>
              <w:left w:w="115" w:type="dxa"/>
              <w:right w:w="115" w:type="dxa"/>
            </w:tcMar>
          </w:tcPr>
          <w:p w:rsidRPr="00960669" w:rsidR="003D39C3" w:rsidP="00C9613A" w:rsidRDefault="003D39C3" w14:paraId="5DDC62D8" w14:textId="77777777">
            <w:pPr>
              <w:snapToGrid w:val="0"/>
              <w:rPr>
                <w:rFonts w:cstheme="minorHAnsi"/>
                <w:color w:val="000000" w:themeColor="text1"/>
                <w:sz w:val="20"/>
                <w:szCs w:val="20"/>
              </w:rPr>
            </w:pPr>
            <w:r w:rsidRPr="00960669">
              <w:rPr>
                <w:rFonts w:cstheme="minorHAnsi"/>
                <w:sz w:val="20"/>
                <w:szCs w:val="20"/>
              </w:rPr>
              <w:t>One value for each hour of the day across all 12 months using 90% of the minimum ICA-SG values for each hour’s lowest monthly value over the 12 months</w:t>
            </w:r>
          </w:p>
        </w:tc>
      </w:tr>
      <w:tr w:rsidRPr="00960669" w:rsidR="003D39C3" w:rsidTr="00A16F81" w14:paraId="17806886" w14:textId="77777777">
        <w:tc>
          <w:tcPr>
            <w:tcW w:w="1615" w:type="dxa"/>
            <w:tcMar>
              <w:left w:w="115" w:type="dxa"/>
              <w:right w:w="115" w:type="dxa"/>
            </w:tcMar>
          </w:tcPr>
          <w:p w:rsidRPr="00960669" w:rsidR="003D39C3" w:rsidP="00C9613A" w:rsidRDefault="003D39C3" w14:paraId="36A32214" w14:textId="77777777">
            <w:pPr>
              <w:snapToGrid w:val="0"/>
              <w:rPr>
                <w:rFonts w:cstheme="minorHAnsi"/>
                <w:color w:val="000000" w:themeColor="text1"/>
                <w:sz w:val="20"/>
                <w:szCs w:val="20"/>
              </w:rPr>
            </w:pPr>
            <w:r w:rsidRPr="00960669">
              <w:rPr>
                <w:rFonts w:cstheme="minorHAnsi"/>
                <w:sz w:val="20"/>
                <w:szCs w:val="20"/>
              </w:rPr>
              <w:t>“Block”</w:t>
            </w:r>
          </w:p>
        </w:tc>
        <w:tc>
          <w:tcPr>
            <w:tcW w:w="1080" w:type="dxa"/>
            <w:tcMar>
              <w:left w:w="115" w:type="dxa"/>
              <w:right w:w="115" w:type="dxa"/>
            </w:tcMar>
          </w:tcPr>
          <w:p w:rsidRPr="00960669" w:rsidR="003D39C3" w:rsidP="00C9613A" w:rsidRDefault="003D39C3" w14:paraId="2B5F1E20" w14:textId="77777777">
            <w:pPr>
              <w:snapToGrid w:val="0"/>
              <w:jc w:val="center"/>
              <w:rPr>
                <w:rFonts w:cstheme="minorHAnsi"/>
                <w:color w:val="000000" w:themeColor="text1"/>
                <w:sz w:val="20"/>
                <w:szCs w:val="20"/>
              </w:rPr>
            </w:pPr>
            <w:r w:rsidRPr="00960669">
              <w:rPr>
                <w:rFonts w:cstheme="minorHAnsi"/>
                <w:color w:val="000000" w:themeColor="text1"/>
                <w:sz w:val="20"/>
                <w:szCs w:val="20"/>
              </w:rPr>
              <w:t>24</w:t>
            </w:r>
          </w:p>
        </w:tc>
        <w:tc>
          <w:tcPr>
            <w:tcW w:w="1080" w:type="dxa"/>
            <w:tcMar>
              <w:left w:w="115" w:type="dxa"/>
              <w:right w:w="115" w:type="dxa"/>
            </w:tcMar>
          </w:tcPr>
          <w:p w:rsidRPr="00960669" w:rsidR="003D39C3" w:rsidP="00C9613A" w:rsidRDefault="003D39C3" w14:paraId="7B1388B0" w14:textId="77777777">
            <w:pPr>
              <w:snapToGrid w:val="0"/>
              <w:jc w:val="center"/>
              <w:rPr>
                <w:rFonts w:eastAsia="Symbol" w:cstheme="minorHAnsi"/>
                <w:color w:val="000000" w:themeColor="text1"/>
                <w:sz w:val="20"/>
                <w:szCs w:val="20"/>
              </w:rPr>
            </w:pPr>
            <w:r w:rsidRPr="00960669">
              <w:rPr>
                <w:rFonts w:eastAsia="Symbol" w:cstheme="minorHAnsi"/>
                <w:color w:val="000000" w:themeColor="text1"/>
                <w:sz w:val="20"/>
                <w:szCs w:val="20"/>
              </w:rPr>
              <w:t>X</w:t>
            </w:r>
          </w:p>
          <w:p w:rsidRPr="00960669" w:rsidR="003D39C3" w:rsidP="00C9613A" w:rsidRDefault="003D39C3" w14:paraId="376FCAB0"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 xml:space="preserve">(four </w:t>
            </w:r>
            <w:proofErr w:type="spellStart"/>
            <w:r w:rsidR="00A16F81">
              <w:rPr>
                <w:rFonts w:eastAsia="Symbol" w:cstheme="minorHAnsi"/>
                <w:color w:val="000000" w:themeColor="text1"/>
                <w:sz w:val="20"/>
                <w:szCs w:val="20"/>
              </w:rPr>
              <w:t>seasonal</w:t>
            </w:r>
            <w:r w:rsidRPr="00960669">
              <w:rPr>
                <w:rFonts w:eastAsia="Symbol" w:cstheme="minorHAnsi"/>
                <w:color w:val="000000" w:themeColor="text1"/>
                <w:sz w:val="20"/>
                <w:szCs w:val="20"/>
              </w:rPr>
              <w:t>blocks</w:t>
            </w:r>
            <w:proofErr w:type="spellEnd"/>
            <w:r w:rsidRPr="00960669">
              <w:rPr>
                <w:rFonts w:eastAsia="Symbol" w:cstheme="minorHAnsi"/>
                <w:color w:val="000000" w:themeColor="text1"/>
                <w:sz w:val="20"/>
                <w:szCs w:val="20"/>
              </w:rPr>
              <w:t>:  Jan-Mar, Apr-Jun, Jul-Sep, Oct-Dec)</w:t>
            </w:r>
          </w:p>
        </w:tc>
        <w:tc>
          <w:tcPr>
            <w:tcW w:w="990" w:type="dxa"/>
            <w:tcMar>
              <w:left w:w="115" w:type="dxa"/>
              <w:right w:w="115" w:type="dxa"/>
            </w:tcMar>
          </w:tcPr>
          <w:p w:rsidRPr="00960669" w:rsidR="003D39C3" w:rsidP="00C9613A" w:rsidRDefault="003D39C3" w14:paraId="56BF9A6D" w14:textId="77777777">
            <w:pPr>
              <w:snapToGrid w:val="0"/>
              <w:jc w:val="center"/>
              <w:rPr>
                <w:rFonts w:cstheme="minorHAnsi"/>
                <w:color w:val="000000" w:themeColor="text1"/>
                <w:sz w:val="20"/>
                <w:szCs w:val="20"/>
              </w:rPr>
            </w:pPr>
          </w:p>
        </w:tc>
        <w:tc>
          <w:tcPr>
            <w:tcW w:w="1260" w:type="dxa"/>
            <w:tcMar>
              <w:left w:w="115" w:type="dxa"/>
              <w:right w:w="115" w:type="dxa"/>
            </w:tcMar>
          </w:tcPr>
          <w:p w:rsidRPr="00960669" w:rsidR="003D39C3" w:rsidP="00C9613A" w:rsidRDefault="003D39C3" w14:paraId="0F94354C"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r w:rsidRPr="00960669">
              <w:rPr>
                <w:rFonts w:cstheme="minorHAnsi"/>
                <w:color w:val="000000" w:themeColor="text1"/>
                <w:sz w:val="20"/>
                <w:szCs w:val="20"/>
              </w:rPr>
              <w:t xml:space="preserve"> </w:t>
            </w:r>
          </w:p>
          <w:p w:rsidRPr="00960669" w:rsidR="003D39C3" w:rsidP="00C9613A" w:rsidRDefault="003D39C3" w14:paraId="43CD5517" w14:textId="77777777">
            <w:pPr>
              <w:snapToGrid w:val="0"/>
              <w:jc w:val="center"/>
              <w:rPr>
                <w:rFonts w:cstheme="minorHAnsi"/>
                <w:color w:val="000000" w:themeColor="text1"/>
                <w:sz w:val="20"/>
                <w:szCs w:val="20"/>
              </w:rPr>
            </w:pPr>
            <w:r w:rsidRPr="00960669">
              <w:rPr>
                <w:rFonts w:cstheme="minorHAnsi"/>
                <w:color w:val="000000" w:themeColor="text1"/>
                <w:sz w:val="20"/>
                <w:szCs w:val="20"/>
              </w:rPr>
              <w:t xml:space="preserve">(six </w:t>
            </w:r>
            <w:r w:rsidR="00A16F81">
              <w:rPr>
                <w:rFonts w:cstheme="minorHAnsi"/>
                <w:color w:val="000000" w:themeColor="text1"/>
                <w:sz w:val="20"/>
                <w:szCs w:val="20"/>
              </w:rPr>
              <w:t xml:space="preserve">hourly </w:t>
            </w:r>
            <w:r w:rsidRPr="00960669">
              <w:rPr>
                <w:rFonts w:cstheme="minorHAnsi"/>
                <w:color w:val="000000" w:themeColor="text1"/>
                <w:sz w:val="20"/>
                <w:szCs w:val="20"/>
              </w:rPr>
              <w:t xml:space="preserve">blocks: 5pm-9pm, 9pm-1am, 1am-5am, 5am-9am, 9am-1pm, 1pm-5pm)  </w:t>
            </w:r>
          </w:p>
        </w:tc>
        <w:tc>
          <w:tcPr>
            <w:tcW w:w="3325" w:type="dxa"/>
            <w:tcMar>
              <w:left w:w="115" w:type="dxa"/>
              <w:right w:w="115" w:type="dxa"/>
            </w:tcMar>
          </w:tcPr>
          <w:p w:rsidRPr="00960669" w:rsidR="003D39C3" w:rsidP="00C9613A" w:rsidRDefault="003D39C3" w14:paraId="37461AD7" w14:textId="77777777">
            <w:pPr>
              <w:snapToGrid w:val="0"/>
              <w:rPr>
                <w:rFonts w:cstheme="minorHAnsi"/>
                <w:color w:val="000000" w:themeColor="text1"/>
                <w:sz w:val="20"/>
                <w:szCs w:val="20"/>
              </w:rPr>
            </w:pPr>
            <w:r w:rsidRPr="00960669">
              <w:rPr>
                <w:rFonts w:cstheme="minorHAnsi"/>
                <w:sz w:val="20"/>
                <w:szCs w:val="20"/>
              </w:rPr>
              <w:t>One value for each pairing</w:t>
            </w:r>
            <w:r w:rsidR="00A16F81">
              <w:rPr>
                <w:rFonts w:cstheme="minorHAnsi"/>
                <w:sz w:val="20"/>
                <w:szCs w:val="20"/>
              </w:rPr>
              <w:t xml:space="preserve"> of a seasonal block and an hourly block</w:t>
            </w:r>
            <w:r w:rsidRPr="00960669">
              <w:rPr>
                <w:rFonts w:cstheme="minorHAnsi"/>
                <w:sz w:val="20"/>
                <w:szCs w:val="20"/>
              </w:rPr>
              <w:t>. Divides the year into blocks of 3-month intervals and each day into blocks of 4-hour intervals. Uses 90% of the minimum ICA-SG value for each pairing of month-block and hour-block (lowest month and hour)</w:t>
            </w:r>
          </w:p>
        </w:tc>
      </w:tr>
      <w:tr w:rsidRPr="00960669" w:rsidR="003D39C3" w:rsidTr="00A16F81" w14:paraId="47DEDED9" w14:textId="77777777">
        <w:tc>
          <w:tcPr>
            <w:tcW w:w="1615" w:type="dxa"/>
            <w:tcBorders>
              <w:bottom w:val="single" w:color="auto" w:sz="4" w:space="0"/>
            </w:tcBorders>
            <w:tcMar>
              <w:left w:w="115" w:type="dxa"/>
              <w:right w:w="115" w:type="dxa"/>
            </w:tcMar>
          </w:tcPr>
          <w:p w:rsidRPr="00960669" w:rsidR="003D39C3" w:rsidP="00C9613A" w:rsidRDefault="003D39C3" w14:paraId="34369BEC" w14:textId="77777777">
            <w:pPr>
              <w:snapToGrid w:val="0"/>
              <w:rPr>
                <w:rFonts w:cstheme="minorHAnsi"/>
                <w:color w:val="000000" w:themeColor="text1"/>
                <w:sz w:val="20"/>
                <w:szCs w:val="20"/>
              </w:rPr>
            </w:pPr>
            <w:r w:rsidRPr="00960669">
              <w:rPr>
                <w:rFonts w:cstheme="minorHAnsi"/>
                <w:sz w:val="20"/>
                <w:szCs w:val="20"/>
              </w:rPr>
              <w:t>“18-23-fixed”</w:t>
            </w:r>
          </w:p>
        </w:tc>
        <w:tc>
          <w:tcPr>
            <w:tcW w:w="1080" w:type="dxa"/>
            <w:tcBorders>
              <w:bottom w:val="single" w:color="auto" w:sz="4" w:space="0"/>
            </w:tcBorders>
            <w:tcMar>
              <w:left w:w="115" w:type="dxa"/>
              <w:right w:w="115" w:type="dxa"/>
            </w:tcMar>
          </w:tcPr>
          <w:p w:rsidRPr="00960669" w:rsidR="003D39C3" w:rsidP="00C9613A" w:rsidRDefault="003D39C3" w14:paraId="2E086BE6" w14:textId="77777777">
            <w:pPr>
              <w:snapToGrid w:val="0"/>
              <w:jc w:val="center"/>
              <w:rPr>
                <w:rFonts w:cstheme="minorHAnsi"/>
                <w:color w:val="000000" w:themeColor="text1"/>
                <w:sz w:val="20"/>
                <w:szCs w:val="20"/>
              </w:rPr>
            </w:pPr>
            <w:r w:rsidRPr="00960669">
              <w:rPr>
                <w:rFonts w:cstheme="minorHAnsi"/>
                <w:color w:val="000000" w:themeColor="text1"/>
                <w:sz w:val="20"/>
                <w:szCs w:val="20"/>
              </w:rPr>
              <w:t>24</w:t>
            </w:r>
          </w:p>
        </w:tc>
        <w:tc>
          <w:tcPr>
            <w:tcW w:w="1080" w:type="dxa"/>
            <w:tcBorders>
              <w:bottom w:val="single" w:color="auto" w:sz="4" w:space="0"/>
            </w:tcBorders>
            <w:tcMar>
              <w:left w:w="115" w:type="dxa"/>
              <w:right w:w="115" w:type="dxa"/>
            </w:tcMar>
          </w:tcPr>
          <w:p w:rsidRPr="00960669" w:rsidR="003D39C3" w:rsidP="00C9613A" w:rsidRDefault="003D39C3" w14:paraId="1420351E"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tc>
        <w:tc>
          <w:tcPr>
            <w:tcW w:w="990" w:type="dxa"/>
            <w:tcBorders>
              <w:bottom w:val="single" w:color="auto" w:sz="4" w:space="0"/>
            </w:tcBorders>
            <w:tcMar>
              <w:left w:w="115" w:type="dxa"/>
              <w:right w:w="115" w:type="dxa"/>
            </w:tcMar>
          </w:tcPr>
          <w:p w:rsidRPr="00960669" w:rsidR="003D39C3" w:rsidP="00C9613A" w:rsidRDefault="003D39C3" w14:paraId="32A27C38" w14:textId="77777777">
            <w:pPr>
              <w:snapToGrid w:val="0"/>
              <w:jc w:val="center"/>
              <w:rPr>
                <w:rFonts w:cstheme="minorHAnsi"/>
                <w:color w:val="000000" w:themeColor="text1"/>
                <w:sz w:val="20"/>
                <w:szCs w:val="20"/>
              </w:rPr>
            </w:pPr>
          </w:p>
        </w:tc>
        <w:tc>
          <w:tcPr>
            <w:tcW w:w="1260" w:type="dxa"/>
            <w:tcBorders>
              <w:bottom w:val="single" w:color="auto" w:sz="4" w:space="0"/>
            </w:tcBorders>
            <w:tcMar>
              <w:left w:w="115" w:type="dxa"/>
              <w:right w:w="115" w:type="dxa"/>
            </w:tcMar>
          </w:tcPr>
          <w:p w:rsidR="003D39C3" w:rsidP="00C9613A" w:rsidRDefault="003D39C3" w14:paraId="1E842C4A" w14:textId="77777777">
            <w:pPr>
              <w:snapToGrid w:val="0"/>
              <w:jc w:val="center"/>
              <w:rPr>
                <w:rFonts w:eastAsia="Symbol" w:cstheme="minorHAnsi"/>
                <w:color w:val="000000" w:themeColor="text1"/>
                <w:sz w:val="20"/>
                <w:szCs w:val="20"/>
              </w:rPr>
            </w:pPr>
            <w:r w:rsidRPr="00960669">
              <w:rPr>
                <w:rFonts w:eastAsia="Symbol" w:cstheme="minorHAnsi"/>
                <w:color w:val="000000" w:themeColor="text1"/>
                <w:sz w:val="20"/>
                <w:szCs w:val="20"/>
              </w:rPr>
              <w:t>X</w:t>
            </w:r>
          </w:p>
          <w:p w:rsidR="00A16F81" w:rsidP="00C9613A" w:rsidRDefault="00A16F81" w14:paraId="4FA3D259" w14:textId="77777777">
            <w:pPr>
              <w:snapToGrid w:val="0"/>
              <w:jc w:val="center"/>
              <w:rPr>
                <w:rFonts w:eastAsia="Symbol" w:cstheme="minorHAnsi"/>
                <w:color w:val="000000" w:themeColor="text1"/>
                <w:sz w:val="20"/>
                <w:szCs w:val="20"/>
              </w:rPr>
            </w:pPr>
            <w:r>
              <w:rPr>
                <w:rFonts w:eastAsia="Symbol" w:cstheme="minorHAnsi"/>
                <w:color w:val="000000" w:themeColor="text1"/>
                <w:sz w:val="20"/>
                <w:szCs w:val="20"/>
              </w:rPr>
              <w:t>(</w:t>
            </w:r>
            <w:proofErr w:type="gramStart"/>
            <w:r>
              <w:rPr>
                <w:rFonts w:eastAsia="Symbol" w:cstheme="minorHAnsi"/>
                <w:color w:val="000000" w:themeColor="text1"/>
                <w:sz w:val="20"/>
                <w:szCs w:val="20"/>
              </w:rPr>
              <w:t>two</w:t>
            </w:r>
            <w:proofErr w:type="gramEnd"/>
            <w:r>
              <w:rPr>
                <w:rFonts w:eastAsia="Symbol" w:cstheme="minorHAnsi"/>
                <w:color w:val="000000" w:themeColor="text1"/>
                <w:sz w:val="20"/>
                <w:szCs w:val="20"/>
              </w:rPr>
              <w:t xml:space="preserve"> hourly blocks:</w:t>
            </w:r>
          </w:p>
          <w:p w:rsidR="00A16F81" w:rsidP="00C9613A" w:rsidRDefault="00A16F81" w14:paraId="5AC97466" w14:textId="77777777">
            <w:pPr>
              <w:snapToGrid w:val="0"/>
              <w:jc w:val="center"/>
              <w:rPr>
                <w:rFonts w:eastAsia="Symbol" w:cstheme="minorHAnsi"/>
                <w:color w:val="000000" w:themeColor="text1"/>
                <w:sz w:val="20"/>
                <w:szCs w:val="20"/>
              </w:rPr>
            </w:pPr>
            <w:r>
              <w:rPr>
                <w:rFonts w:eastAsia="Symbol" w:cstheme="minorHAnsi"/>
                <w:color w:val="000000" w:themeColor="text1"/>
                <w:sz w:val="20"/>
                <w:szCs w:val="20"/>
              </w:rPr>
              <w:t>6pm-12am,</w:t>
            </w:r>
          </w:p>
          <w:p w:rsidRPr="00960669" w:rsidR="00A16F81" w:rsidP="00C9613A" w:rsidRDefault="00A16F81" w14:paraId="7D83659C" w14:textId="77777777">
            <w:pPr>
              <w:snapToGrid w:val="0"/>
              <w:jc w:val="center"/>
              <w:rPr>
                <w:rFonts w:cstheme="minorHAnsi"/>
                <w:color w:val="000000" w:themeColor="text1"/>
                <w:sz w:val="20"/>
                <w:szCs w:val="20"/>
              </w:rPr>
            </w:pPr>
            <w:r>
              <w:rPr>
                <w:rFonts w:eastAsia="Symbol" w:cstheme="minorHAnsi"/>
                <w:color w:val="000000" w:themeColor="text1"/>
                <w:sz w:val="20"/>
                <w:szCs w:val="20"/>
              </w:rPr>
              <w:t>12am-6pm</w:t>
            </w:r>
          </w:p>
        </w:tc>
        <w:tc>
          <w:tcPr>
            <w:tcW w:w="3325" w:type="dxa"/>
            <w:tcBorders>
              <w:bottom w:val="single" w:color="auto" w:sz="4" w:space="0"/>
            </w:tcBorders>
            <w:tcMar>
              <w:left w:w="115" w:type="dxa"/>
              <w:right w:w="115" w:type="dxa"/>
            </w:tcMar>
          </w:tcPr>
          <w:p w:rsidRPr="00960669" w:rsidR="003D39C3" w:rsidP="00C9613A" w:rsidRDefault="003D39C3" w14:paraId="34DE1BD7" w14:textId="77777777">
            <w:pPr>
              <w:snapToGrid w:val="0"/>
              <w:rPr>
                <w:rFonts w:cstheme="minorHAnsi"/>
                <w:color w:val="000000" w:themeColor="text1"/>
                <w:sz w:val="20"/>
                <w:szCs w:val="20"/>
              </w:rPr>
            </w:pPr>
            <w:r w:rsidRPr="00960669">
              <w:rPr>
                <w:rFonts w:cstheme="minorHAnsi"/>
                <w:sz w:val="20"/>
                <w:szCs w:val="20"/>
              </w:rPr>
              <w:t>One value for each of two different block intervals each day: 6pm-12am and 12am-6pm, uniquely for each month of the year. Uses 90% of minimum ICA-SG value for each block interval.</w:t>
            </w:r>
          </w:p>
        </w:tc>
      </w:tr>
      <w:tr w:rsidRPr="00960669" w:rsidR="003D39C3" w:rsidTr="00A16F81" w14:paraId="2DF1D820" w14:textId="77777777">
        <w:tc>
          <w:tcPr>
            <w:tcW w:w="1615" w:type="dxa"/>
            <w:tcBorders>
              <w:bottom w:val="single" w:color="auto" w:sz="6" w:space="0"/>
              <w:right w:val="single" w:color="auto" w:sz="6" w:space="0"/>
            </w:tcBorders>
            <w:tcMar>
              <w:left w:w="115" w:type="dxa"/>
              <w:right w:w="115" w:type="dxa"/>
            </w:tcMar>
          </w:tcPr>
          <w:p w:rsidRPr="00960669" w:rsidR="003D39C3" w:rsidP="00C9613A" w:rsidRDefault="003D39C3" w14:paraId="4C17F935" w14:textId="77777777">
            <w:pPr>
              <w:snapToGrid w:val="0"/>
              <w:rPr>
                <w:rFonts w:cstheme="minorHAnsi"/>
                <w:color w:val="000000" w:themeColor="text1"/>
                <w:sz w:val="20"/>
                <w:szCs w:val="20"/>
              </w:rPr>
            </w:pPr>
            <w:r w:rsidRPr="00960669">
              <w:rPr>
                <w:rFonts w:cstheme="minorHAnsi"/>
                <w:sz w:val="20"/>
                <w:szCs w:val="20"/>
              </w:rPr>
              <w:t>“16-21-hourly”</w:t>
            </w:r>
          </w:p>
        </w:tc>
        <w:tc>
          <w:tcPr>
            <w:tcW w:w="1080" w:type="dxa"/>
            <w:tcBorders>
              <w:left w:val="single" w:color="auto" w:sz="6" w:space="0"/>
              <w:bottom w:val="single" w:color="auto" w:sz="6" w:space="0"/>
              <w:right w:val="single" w:color="auto" w:sz="6" w:space="0"/>
            </w:tcBorders>
            <w:tcMar>
              <w:left w:w="115" w:type="dxa"/>
              <w:right w:w="115" w:type="dxa"/>
            </w:tcMar>
          </w:tcPr>
          <w:p w:rsidRPr="00960669" w:rsidR="003D39C3" w:rsidP="00C9613A" w:rsidRDefault="003D39C3" w14:paraId="4EC03FF1" w14:textId="77777777">
            <w:pPr>
              <w:snapToGrid w:val="0"/>
              <w:jc w:val="center"/>
              <w:rPr>
                <w:rFonts w:cstheme="minorHAnsi"/>
                <w:color w:val="000000" w:themeColor="text1"/>
                <w:sz w:val="20"/>
                <w:szCs w:val="20"/>
              </w:rPr>
            </w:pPr>
            <w:r w:rsidRPr="00960669">
              <w:rPr>
                <w:rFonts w:cstheme="minorHAnsi"/>
                <w:color w:val="000000" w:themeColor="text1"/>
                <w:sz w:val="20"/>
                <w:szCs w:val="20"/>
              </w:rPr>
              <w:t>84</w:t>
            </w:r>
          </w:p>
        </w:tc>
        <w:tc>
          <w:tcPr>
            <w:tcW w:w="1080" w:type="dxa"/>
            <w:tcBorders>
              <w:left w:val="single" w:color="auto" w:sz="6" w:space="0"/>
              <w:bottom w:val="single" w:color="auto" w:sz="6" w:space="0"/>
              <w:right w:val="single" w:color="auto" w:sz="6" w:space="0"/>
            </w:tcBorders>
            <w:tcMar>
              <w:left w:w="115" w:type="dxa"/>
              <w:right w:w="115" w:type="dxa"/>
            </w:tcMar>
          </w:tcPr>
          <w:p w:rsidRPr="00960669" w:rsidR="003D39C3" w:rsidP="00C9613A" w:rsidRDefault="003D39C3" w14:paraId="4061EAA6"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tc>
        <w:tc>
          <w:tcPr>
            <w:tcW w:w="990" w:type="dxa"/>
            <w:tcBorders>
              <w:left w:val="single" w:color="auto" w:sz="6" w:space="0"/>
              <w:bottom w:val="single" w:color="auto" w:sz="6" w:space="0"/>
              <w:right w:val="single" w:color="auto" w:sz="6" w:space="0"/>
            </w:tcBorders>
            <w:tcMar>
              <w:left w:w="115" w:type="dxa"/>
              <w:right w:w="115" w:type="dxa"/>
            </w:tcMar>
          </w:tcPr>
          <w:p w:rsidRPr="00960669" w:rsidR="003D39C3" w:rsidP="00C9613A" w:rsidRDefault="003D39C3" w14:paraId="0773C3F1"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p w:rsidRPr="00960669" w:rsidR="003D39C3" w:rsidP="00C9613A" w:rsidRDefault="003D39C3" w14:paraId="7F309BA9" w14:textId="77777777">
            <w:pPr>
              <w:snapToGrid w:val="0"/>
              <w:jc w:val="center"/>
              <w:rPr>
                <w:rFonts w:cstheme="minorHAnsi"/>
                <w:color w:val="000000" w:themeColor="text1"/>
                <w:sz w:val="20"/>
                <w:szCs w:val="20"/>
              </w:rPr>
            </w:pPr>
            <w:r w:rsidRPr="00960669">
              <w:rPr>
                <w:rFonts w:cstheme="minorHAnsi"/>
                <w:color w:val="000000" w:themeColor="text1"/>
                <w:sz w:val="20"/>
                <w:szCs w:val="20"/>
              </w:rPr>
              <w:t>(</w:t>
            </w:r>
            <w:proofErr w:type="gramStart"/>
            <w:r w:rsidRPr="00960669">
              <w:rPr>
                <w:rFonts w:cstheme="minorHAnsi"/>
                <w:color w:val="000000" w:themeColor="text1"/>
                <w:sz w:val="20"/>
                <w:szCs w:val="20"/>
              </w:rPr>
              <w:t>six</w:t>
            </w:r>
            <w:proofErr w:type="gramEnd"/>
            <w:r w:rsidRPr="00960669">
              <w:rPr>
                <w:rFonts w:cstheme="minorHAnsi"/>
                <w:color w:val="000000" w:themeColor="text1"/>
                <w:sz w:val="20"/>
                <w:szCs w:val="20"/>
              </w:rPr>
              <w:t xml:space="preserve"> unique hours </w:t>
            </w:r>
          </w:p>
          <w:p w:rsidRPr="00960669" w:rsidR="003D39C3" w:rsidP="00C9613A" w:rsidRDefault="003D39C3" w14:paraId="06D09B8F" w14:textId="77777777">
            <w:pPr>
              <w:snapToGrid w:val="0"/>
              <w:jc w:val="center"/>
              <w:rPr>
                <w:rFonts w:cstheme="minorHAnsi"/>
                <w:color w:val="000000" w:themeColor="text1"/>
                <w:sz w:val="20"/>
                <w:szCs w:val="20"/>
              </w:rPr>
            </w:pPr>
            <w:r w:rsidRPr="00960669">
              <w:rPr>
                <w:rFonts w:cstheme="minorHAnsi"/>
                <w:color w:val="000000" w:themeColor="text1"/>
                <w:sz w:val="20"/>
                <w:szCs w:val="20"/>
              </w:rPr>
              <w:t>4pm-10pm only)</w:t>
            </w:r>
          </w:p>
        </w:tc>
        <w:tc>
          <w:tcPr>
            <w:tcW w:w="1260" w:type="dxa"/>
            <w:tcBorders>
              <w:left w:val="single" w:color="auto" w:sz="6" w:space="0"/>
              <w:bottom w:val="single" w:color="auto" w:sz="6" w:space="0"/>
              <w:right w:val="single" w:color="auto" w:sz="6" w:space="0"/>
            </w:tcBorders>
            <w:tcMar>
              <w:left w:w="115" w:type="dxa"/>
              <w:right w:w="115" w:type="dxa"/>
            </w:tcMar>
          </w:tcPr>
          <w:p w:rsidRPr="00960669" w:rsidR="003D39C3" w:rsidP="00C9613A" w:rsidRDefault="003D39C3" w14:paraId="0BEC657D"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p w:rsidRPr="00960669" w:rsidR="003D39C3" w:rsidP="00C9613A" w:rsidRDefault="003D39C3" w14:paraId="06FE2A28" w14:textId="77777777">
            <w:pPr>
              <w:snapToGrid w:val="0"/>
              <w:jc w:val="center"/>
              <w:rPr>
                <w:rFonts w:cstheme="minorHAnsi"/>
                <w:color w:val="000000" w:themeColor="text1"/>
                <w:sz w:val="20"/>
                <w:szCs w:val="20"/>
              </w:rPr>
            </w:pPr>
            <w:r w:rsidRPr="00960669">
              <w:rPr>
                <w:rFonts w:cstheme="minorHAnsi"/>
                <w:color w:val="000000" w:themeColor="text1"/>
                <w:sz w:val="20"/>
                <w:szCs w:val="20"/>
              </w:rPr>
              <w:t xml:space="preserve">(one off-peak </w:t>
            </w:r>
            <w:r w:rsidR="00A16F81">
              <w:rPr>
                <w:rFonts w:cstheme="minorHAnsi"/>
                <w:color w:val="000000" w:themeColor="text1"/>
                <w:sz w:val="20"/>
                <w:szCs w:val="20"/>
              </w:rPr>
              <w:t xml:space="preserve">hourly </w:t>
            </w:r>
            <w:r w:rsidRPr="00960669">
              <w:rPr>
                <w:rFonts w:cstheme="minorHAnsi"/>
                <w:color w:val="000000" w:themeColor="text1"/>
                <w:sz w:val="20"/>
                <w:szCs w:val="20"/>
              </w:rPr>
              <w:t>block 10pm-4pm only)</w:t>
            </w:r>
          </w:p>
        </w:tc>
        <w:tc>
          <w:tcPr>
            <w:tcW w:w="3325" w:type="dxa"/>
            <w:tcBorders>
              <w:left w:val="single" w:color="auto" w:sz="6" w:space="0"/>
              <w:bottom w:val="single" w:color="auto" w:sz="6" w:space="0"/>
            </w:tcBorders>
            <w:tcMar>
              <w:left w:w="115" w:type="dxa"/>
              <w:right w:w="115" w:type="dxa"/>
            </w:tcMar>
          </w:tcPr>
          <w:p w:rsidRPr="00960669" w:rsidR="003D39C3" w:rsidP="00C9613A" w:rsidRDefault="003D39C3" w14:paraId="5FA3E76B" w14:textId="77777777">
            <w:pPr>
              <w:snapToGrid w:val="0"/>
              <w:rPr>
                <w:rFonts w:cstheme="minorHAnsi"/>
                <w:color w:val="000000" w:themeColor="text1"/>
                <w:sz w:val="20"/>
                <w:szCs w:val="20"/>
              </w:rPr>
            </w:pPr>
            <w:r w:rsidRPr="00960669">
              <w:rPr>
                <w:rFonts w:cstheme="minorHAnsi"/>
                <w:sz w:val="20"/>
                <w:szCs w:val="20"/>
              </w:rPr>
              <w:t>One value for each hour during the period 4pm-10pm, plus a single value for the block interval 10pm-4pm, for each month of the year. Uses 90% of ICA-SG for each hour 4pm-10pm; uses 90% of the monthly minimum of ICA-SG for the block interval 10pm-4pm.</w:t>
            </w:r>
          </w:p>
        </w:tc>
      </w:tr>
      <w:tr w:rsidRPr="00960669" w:rsidR="003D39C3" w:rsidTr="00A16F81" w14:paraId="5693ED93" w14:textId="77777777">
        <w:trPr>
          <w:trHeight w:val="432"/>
        </w:trPr>
        <w:tc>
          <w:tcPr>
            <w:tcW w:w="9350" w:type="dxa"/>
            <w:gridSpan w:val="6"/>
            <w:tcBorders>
              <w:top w:val="single" w:color="auto" w:sz="6" w:space="0"/>
            </w:tcBorders>
            <w:tcMar>
              <w:left w:w="115" w:type="dxa"/>
              <w:right w:w="115" w:type="dxa"/>
            </w:tcMar>
            <w:vAlign w:val="bottom"/>
          </w:tcPr>
          <w:p w:rsidRPr="00960669" w:rsidR="003D39C3" w:rsidP="00C9613A" w:rsidRDefault="003D39C3" w14:paraId="31FD1ED0" w14:textId="77777777">
            <w:pPr>
              <w:snapToGrid w:val="0"/>
              <w:rPr>
                <w:rFonts w:cstheme="minorHAnsi"/>
                <w:b/>
                <w:bCs/>
                <w:sz w:val="20"/>
                <w:szCs w:val="20"/>
              </w:rPr>
            </w:pPr>
            <w:r w:rsidRPr="00960669">
              <w:rPr>
                <w:rFonts w:cstheme="minorHAnsi"/>
                <w:b/>
                <w:bCs/>
                <w:sz w:val="20"/>
                <w:szCs w:val="20"/>
              </w:rPr>
              <w:t>For Reference</w:t>
            </w:r>
          </w:p>
        </w:tc>
      </w:tr>
      <w:tr w:rsidRPr="00960669" w:rsidR="003D39C3" w:rsidTr="00A16F81" w14:paraId="4CFDDCC6" w14:textId="77777777">
        <w:tc>
          <w:tcPr>
            <w:tcW w:w="1615" w:type="dxa"/>
            <w:tcBorders>
              <w:top w:val="single" w:color="auto" w:sz="6" w:space="0"/>
              <w:right w:val="single" w:color="auto" w:sz="6" w:space="0"/>
            </w:tcBorders>
            <w:tcMar>
              <w:left w:w="115" w:type="dxa"/>
              <w:right w:w="115" w:type="dxa"/>
            </w:tcMar>
          </w:tcPr>
          <w:p w:rsidRPr="00960669" w:rsidR="003D39C3" w:rsidP="00C9613A" w:rsidRDefault="003D39C3" w14:paraId="040DFC58" w14:textId="77777777">
            <w:pPr>
              <w:snapToGrid w:val="0"/>
              <w:rPr>
                <w:rFonts w:cstheme="minorHAnsi"/>
                <w:color w:val="000000" w:themeColor="text1"/>
                <w:sz w:val="20"/>
                <w:szCs w:val="20"/>
              </w:rPr>
            </w:pPr>
            <w:r w:rsidRPr="00960669">
              <w:rPr>
                <w:rFonts w:cstheme="minorHAnsi"/>
                <w:color w:val="000000" w:themeColor="text1"/>
                <w:sz w:val="20"/>
                <w:szCs w:val="20"/>
              </w:rPr>
              <w:t>“288-LGP”</w:t>
            </w:r>
          </w:p>
        </w:tc>
        <w:tc>
          <w:tcPr>
            <w:tcW w:w="1080" w:type="dxa"/>
            <w:tcBorders>
              <w:top w:val="single" w:color="auto" w:sz="6" w:space="0"/>
              <w:left w:val="single" w:color="auto" w:sz="6" w:space="0"/>
              <w:right w:val="single" w:color="auto" w:sz="6" w:space="0"/>
            </w:tcBorders>
            <w:tcMar>
              <w:left w:w="115" w:type="dxa"/>
              <w:right w:w="115" w:type="dxa"/>
            </w:tcMar>
          </w:tcPr>
          <w:p w:rsidRPr="00960669" w:rsidR="003D39C3" w:rsidP="00C9613A" w:rsidRDefault="003D39C3" w14:paraId="27966A93" w14:textId="77777777">
            <w:pPr>
              <w:snapToGrid w:val="0"/>
              <w:jc w:val="center"/>
              <w:rPr>
                <w:rFonts w:cstheme="minorHAnsi"/>
                <w:color w:val="000000" w:themeColor="text1"/>
                <w:sz w:val="20"/>
                <w:szCs w:val="20"/>
              </w:rPr>
            </w:pPr>
            <w:r w:rsidRPr="00960669">
              <w:rPr>
                <w:rFonts w:cstheme="minorHAnsi"/>
                <w:color w:val="000000" w:themeColor="text1"/>
                <w:sz w:val="20"/>
                <w:szCs w:val="20"/>
              </w:rPr>
              <w:t>288</w:t>
            </w:r>
          </w:p>
        </w:tc>
        <w:tc>
          <w:tcPr>
            <w:tcW w:w="1080" w:type="dxa"/>
            <w:tcBorders>
              <w:top w:val="single" w:color="auto" w:sz="6" w:space="0"/>
              <w:left w:val="single" w:color="auto" w:sz="6" w:space="0"/>
              <w:right w:val="single" w:color="auto" w:sz="6" w:space="0"/>
            </w:tcBorders>
            <w:tcMar>
              <w:left w:w="115" w:type="dxa"/>
              <w:right w:w="115" w:type="dxa"/>
            </w:tcMar>
          </w:tcPr>
          <w:p w:rsidRPr="00960669" w:rsidR="003D39C3" w:rsidP="00C9613A" w:rsidRDefault="003D39C3" w14:paraId="5083627E"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X</w:t>
            </w:r>
          </w:p>
        </w:tc>
        <w:tc>
          <w:tcPr>
            <w:tcW w:w="990" w:type="dxa"/>
            <w:tcBorders>
              <w:top w:val="single" w:color="auto" w:sz="6" w:space="0"/>
              <w:left w:val="single" w:color="auto" w:sz="6" w:space="0"/>
              <w:right w:val="single" w:color="auto" w:sz="6" w:space="0"/>
            </w:tcBorders>
            <w:tcMar>
              <w:left w:w="115" w:type="dxa"/>
              <w:right w:w="115" w:type="dxa"/>
            </w:tcMar>
          </w:tcPr>
          <w:p w:rsidRPr="00960669" w:rsidR="003D39C3" w:rsidP="00C9613A" w:rsidRDefault="003D39C3" w14:paraId="5B66547D" w14:textId="77777777">
            <w:pPr>
              <w:snapToGrid w:val="0"/>
              <w:jc w:val="center"/>
              <w:rPr>
                <w:rFonts w:cstheme="minorHAnsi"/>
                <w:color w:val="000000" w:themeColor="text1"/>
                <w:sz w:val="20"/>
                <w:szCs w:val="20"/>
              </w:rPr>
            </w:pPr>
            <w:r w:rsidRPr="00960669">
              <w:rPr>
                <w:rFonts w:eastAsia="Symbol" w:cstheme="minorHAnsi"/>
                <w:color w:val="000000" w:themeColor="text1"/>
                <w:sz w:val="20"/>
                <w:szCs w:val="20"/>
              </w:rPr>
              <w:t xml:space="preserve"> X</w:t>
            </w:r>
          </w:p>
        </w:tc>
        <w:tc>
          <w:tcPr>
            <w:tcW w:w="1260" w:type="dxa"/>
            <w:tcBorders>
              <w:top w:val="single" w:color="auto" w:sz="6" w:space="0"/>
              <w:left w:val="single" w:color="auto" w:sz="6" w:space="0"/>
              <w:right w:val="single" w:color="auto" w:sz="6" w:space="0"/>
            </w:tcBorders>
            <w:tcMar>
              <w:left w:w="115" w:type="dxa"/>
              <w:right w:w="115" w:type="dxa"/>
            </w:tcMar>
          </w:tcPr>
          <w:p w:rsidRPr="00960669" w:rsidR="003D39C3" w:rsidP="00C9613A" w:rsidRDefault="003D39C3" w14:paraId="7FC41BA5" w14:textId="77777777">
            <w:pPr>
              <w:snapToGrid w:val="0"/>
              <w:jc w:val="center"/>
              <w:rPr>
                <w:rFonts w:cstheme="minorHAnsi"/>
                <w:color w:val="000000" w:themeColor="text1"/>
                <w:sz w:val="20"/>
                <w:szCs w:val="20"/>
              </w:rPr>
            </w:pPr>
          </w:p>
        </w:tc>
        <w:tc>
          <w:tcPr>
            <w:tcW w:w="3325" w:type="dxa"/>
            <w:tcBorders>
              <w:top w:val="single" w:color="auto" w:sz="6" w:space="0"/>
              <w:left w:val="single" w:color="auto" w:sz="6" w:space="0"/>
            </w:tcBorders>
            <w:tcMar>
              <w:left w:w="115" w:type="dxa"/>
              <w:right w:w="115" w:type="dxa"/>
            </w:tcMar>
          </w:tcPr>
          <w:p w:rsidRPr="00960669" w:rsidR="003D39C3" w:rsidP="00C9613A" w:rsidRDefault="003D39C3" w14:paraId="216579C9" w14:textId="77777777">
            <w:pPr>
              <w:snapToGrid w:val="0"/>
              <w:rPr>
                <w:rFonts w:cstheme="minorHAnsi"/>
                <w:color w:val="000000" w:themeColor="text1"/>
                <w:sz w:val="20"/>
                <w:szCs w:val="20"/>
              </w:rPr>
            </w:pPr>
            <w:r w:rsidRPr="00960669">
              <w:rPr>
                <w:rFonts w:cstheme="minorHAnsi"/>
                <w:sz w:val="20"/>
                <w:szCs w:val="20"/>
              </w:rPr>
              <w:t>One value for each combination of hour of the day and month of the year, for each of two separate 24-hour periods during each month, using 90% of minimum ICA-SG values for each hour.</w:t>
            </w:r>
          </w:p>
        </w:tc>
      </w:tr>
    </w:tbl>
    <w:p w:rsidR="009551A2" w:rsidP="003D39C3" w:rsidRDefault="009551A2" w14:paraId="420B8015" w14:textId="77777777">
      <w:pPr>
        <w:pStyle w:val="Body"/>
        <w:snapToGrid w:val="0"/>
        <w:rPr>
          <w:rFonts w:ascii="Palatino Linotype" w:hAnsi="Palatino Linotype" w:cstheme="minorHAnsi"/>
          <w:b/>
          <w:bCs/>
          <w:sz w:val="24"/>
          <w:szCs w:val="24"/>
          <w:u w:val="single"/>
        </w:rPr>
      </w:pPr>
    </w:p>
    <w:p w:rsidR="003D39C3" w:rsidP="003D39C3" w:rsidRDefault="003D39C3" w14:paraId="4E3D6B89" w14:textId="77777777">
      <w:pPr>
        <w:pStyle w:val="Body"/>
        <w:snapToGrid w:val="0"/>
        <w:rPr>
          <w:rFonts w:ascii="Palatino Linotype" w:hAnsi="Palatino Linotype" w:cstheme="minorHAnsi"/>
          <w:b/>
          <w:bCs/>
          <w:sz w:val="24"/>
          <w:szCs w:val="24"/>
          <w:u w:val="single"/>
        </w:rPr>
      </w:pPr>
      <w:r w:rsidRPr="00D22027">
        <w:rPr>
          <w:rFonts w:ascii="Palatino Linotype" w:hAnsi="Palatino Linotype" w:cstheme="minorHAnsi"/>
          <w:b/>
          <w:bCs/>
          <w:sz w:val="24"/>
          <w:szCs w:val="24"/>
          <w:u w:val="single"/>
        </w:rPr>
        <w:lastRenderedPageBreak/>
        <w:t>Disposition #2</w:t>
      </w:r>
      <w:r w:rsidR="004A43AF">
        <w:rPr>
          <w:rFonts w:ascii="Palatino Linotype" w:hAnsi="Palatino Linotype" w:cstheme="minorHAnsi"/>
          <w:b/>
          <w:bCs/>
          <w:sz w:val="24"/>
          <w:szCs w:val="24"/>
          <w:u w:val="single"/>
        </w:rPr>
        <w:t>0</w:t>
      </w:r>
      <w:r w:rsidRPr="00D22027">
        <w:rPr>
          <w:rFonts w:ascii="Palatino Linotype" w:hAnsi="Palatino Linotype" w:cstheme="minorHAnsi"/>
          <w:b/>
          <w:bCs/>
          <w:sz w:val="24"/>
          <w:szCs w:val="24"/>
          <w:u w:val="single"/>
        </w:rPr>
        <w:t>:  Choice of LGP Configuration(s) to Adopt (E-5230 Topic F)</w:t>
      </w:r>
    </w:p>
    <w:p w:rsidR="003D39C3" w:rsidP="003D39C3" w:rsidRDefault="007C22E7" w14:paraId="255352AB" w14:textId="77777777">
      <w:pPr>
        <w:pStyle w:val="Body"/>
        <w:snapToGrid w:val="0"/>
        <w:rPr>
          <w:rFonts w:ascii="Palatino Linotype" w:hAnsi="Palatino Linotype" w:cstheme="minorHAnsi"/>
          <w:sz w:val="24"/>
          <w:szCs w:val="24"/>
        </w:rPr>
      </w:pPr>
      <w:r>
        <w:rPr>
          <w:rFonts w:ascii="Palatino Linotype" w:hAnsi="Palatino Linotype" w:cstheme="minorHAnsi"/>
          <w:sz w:val="24"/>
          <w:szCs w:val="24"/>
        </w:rPr>
        <w:t xml:space="preserve">We find there </w:t>
      </w:r>
      <w:r w:rsidRPr="00D22027" w:rsidR="003D39C3">
        <w:rPr>
          <w:rFonts w:ascii="Palatino Linotype" w:hAnsi="Palatino Linotype" w:cstheme="minorHAnsi"/>
          <w:sz w:val="24"/>
          <w:szCs w:val="24"/>
        </w:rPr>
        <w:t xml:space="preserve">was </w:t>
      </w:r>
      <w:r>
        <w:rPr>
          <w:rFonts w:ascii="Palatino Linotype" w:hAnsi="Palatino Linotype" w:cstheme="minorHAnsi"/>
          <w:sz w:val="24"/>
          <w:szCs w:val="24"/>
        </w:rPr>
        <w:t xml:space="preserve">a lack of </w:t>
      </w:r>
      <w:r w:rsidRPr="00D22027" w:rsidR="003D39C3">
        <w:rPr>
          <w:rFonts w:ascii="Palatino Linotype" w:hAnsi="Palatino Linotype" w:cstheme="minorHAnsi"/>
          <w:sz w:val="24"/>
          <w:szCs w:val="24"/>
        </w:rPr>
        <w:t xml:space="preserve">consensus between the Large IOUs and non-IOU parties as to the acceptable LGP configurations and the number of unique LGP values to adopt for implementation of the LGP option. In summary, the Large IOUs argue for a single </w:t>
      </w:r>
      <w:r w:rsidR="00D02F1F">
        <w:rPr>
          <w:rFonts w:ascii="Palatino Linotype" w:hAnsi="Palatino Linotype" w:cstheme="minorHAnsi"/>
          <w:sz w:val="24"/>
          <w:szCs w:val="24"/>
        </w:rPr>
        <w:br/>
      </w:r>
      <w:r w:rsidRPr="00D22027" w:rsidR="003D39C3">
        <w:rPr>
          <w:rFonts w:ascii="Palatino Linotype" w:hAnsi="Palatino Linotype" w:cstheme="minorHAnsi"/>
          <w:sz w:val="24"/>
          <w:szCs w:val="24"/>
        </w:rPr>
        <w:t>12-value configuration, while the non-IOU parties argue for several different configurations ranging from 24 values to 288 values.</w:t>
      </w:r>
    </w:p>
    <w:p w:rsidR="003D39C3" w:rsidP="003D39C3" w:rsidRDefault="003D39C3" w14:paraId="0897332E" w14:textId="77777777">
      <w:pPr>
        <w:pStyle w:val="Body"/>
        <w:snapToGrid w:val="0"/>
        <w:rPr>
          <w:rFonts w:ascii="Palatino Linotype" w:hAnsi="Palatino Linotype" w:cstheme="minorHAnsi"/>
          <w:sz w:val="24"/>
          <w:szCs w:val="24"/>
        </w:rPr>
      </w:pPr>
      <w:r w:rsidRPr="00D22027">
        <w:rPr>
          <w:rFonts w:ascii="Palatino Linotype" w:hAnsi="Palatino Linotype" w:cstheme="minorHAnsi"/>
          <w:sz w:val="24"/>
          <w:szCs w:val="24"/>
        </w:rPr>
        <w:t xml:space="preserve">The Large IOUs propose to utilize a configuration of 12 unique values, repeated </w:t>
      </w:r>
      <w:r w:rsidR="00D02F1F">
        <w:rPr>
          <w:rFonts w:ascii="Palatino Linotype" w:hAnsi="Palatino Linotype" w:cstheme="minorHAnsi"/>
          <w:sz w:val="24"/>
          <w:szCs w:val="24"/>
        </w:rPr>
        <w:br/>
      </w:r>
      <w:r w:rsidRPr="00D22027">
        <w:rPr>
          <w:rFonts w:ascii="Palatino Linotype" w:hAnsi="Palatino Linotype" w:cstheme="minorHAnsi"/>
          <w:sz w:val="24"/>
          <w:szCs w:val="24"/>
        </w:rPr>
        <w:t xml:space="preserve">24 times per month, to produce a 288-hour annual configuration. The Large IOUs assert that their analyses of circuit load configurations and ICA Static Grid (ICA-SG) results support their position to adopt 12 unique LGP values per year, one unique value for each month. The IOUs also claim this proposal is consistent with Resolution E-5230. </w:t>
      </w:r>
    </w:p>
    <w:p w:rsidR="003D39C3" w:rsidP="003D39C3" w:rsidRDefault="003D39C3" w14:paraId="2B932302" w14:textId="77777777">
      <w:pPr>
        <w:pStyle w:val="Body"/>
        <w:snapToGrid w:val="0"/>
        <w:rPr>
          <w:rFonts w:ascii="Palatino Linotype" w:hAnsi="Palatino Linotype" w:cstheme="minorHAnsi"/>
          <w:sz w:val="24"/>
          <w:szCs w:val="24"/>
        </w:rPr>
      </w:pPr>
      <w:r w:rsidRPr="00D22027">
        <w:rPr>
          <w:rFonts w:ascii="Palatino Linotype" w:hAnsi="Palatino Linotype" w:cstheme="minorHAnsi"/>
          <w:sz w:val="24"/>
          <w:szCs w:val="24"/>
        </w:rPr>
        <w:t>The Joint May LGP Advice Letter</w:t>
      </w:r>
      <w:r w:rsidR="00434F97">
        <w:rPr>
          <w:rFonts w:ascii="Palatino Linotype" w:hAnsi="Palatino Linotype" w:cstheme="minorHAnsi"/>
          <w:sz w:val="24"/>
          <w:szCs w:val="24"/>
        </w:rPr>
        <w:t>s</w:t>
      </w:r>
      <w:r w:rsidRPr="00D22027">
        <w:rPr>
          <w:rFonts w:ascii="Palatino Linotype" w:hAnsi="Palatino Linotype" w:cstheme="minorHAnsi"/>
          <w:sz w:val="24"/>
          <w:szCs w:val="24"/>
        </w:rPr>
        <w:t xml:space="preserve"> summarize the presentations of the IOUs during Workshops #2, #3, and #4, in which they presented analyses on ICA criteria violations resulting from LGP configurations of greater than 12 values, in comparison with violations for their proposed </w:t>
      </w:r>
      <w:r w:rsidR="00FA0CC2">
        <w:rPr>
          <w:rFonts w:ascii="Palatino Linotype" w:hAnsi="Palatino Linotype" w:cstheme="minorHAnsi"/>
          <w:sz w:val="24"/>
          <w:szCs w:val="24"/>
        </w:rPr>
        <w:t xml:space="preserve">configuration of </w:t>
      </w:r>
      <w:r w:rsidRPr="00D22027">
        <w:rPr>
          <w:rFonts w:ascii="Palatino Linotype" w:hAnsi="Palatino Linotype" w:cstheme="minorHAnsi"/>
          <w:sz w:val="24"/>
          <w:szCs w:val="24"/>
        </w:rPr>
        <w:t>12 monthly values</w:t>
      </w:r>
      <w:r w:rsidRPr="00D935AB">
        <w:rPr>
          <w:rFonts w:ascii="Palatino Linotype" w:hAnsi="Palatino Linotype" w:cstheme="minorHAnsi"/>
          <w:sz w:val="24"/>
          <w:szCs w:val="24"/>
        </w:rPr>
        <w:t xml:space="preserve">. A summary of these analyses, and of the non-IOU parties protests related to these analyses, are included in Appendix </w:t>
      </w:r>
      <w:r w:rsidR="007755FE">
        <w:rPr>
          <w:rFonts w:ascii="Palatino Linotype" w:hAnsi="Palatino Linotype" w:cstheme="minorHAnsi"/>
          <w:sz w:val="24"/>
          <w:szCs w:val="24"/>
        </w:rPr>
        <w:t>G</w:t>
      </w:r>
      <w:r w:rsidRPr="00D935AB">
        <w:rPr>
          <w:rFonts w:ascii="Palatino Linotype" w:hAnsi="Palatino Linotype" w:cstheme="minorHAnsi"/>
          <w:sz w:val="24"/>
          <w:szCs w:val="24"/>
        </w:rPr>
        <w:t>.</w:t>
      </w:r>
      <w:r w:rsidRPr="00D22027">
        <w:rPr>
          <w:rFonts w:ascii="Palatino Linotype" w:hAnsi="Palatino Linotype" w:cstheme="minorHAnsi"/>
          <w:sz w:val="24"/>
          <w:szCs w:val="24"/>
        </w:rPr>
        <w:t xml:space="preserve"> We refer back to these analyses and protests when disposing of the question of which LGP configuration(s) to use later in this section.</w:t>
      </w:r>
    </w:p>
    <w:p w:rsidR="003D39C3" w:rsidP="003D39C3" w:rsidRDefault="003D39C3" w14:paraId="46B2DF83" w14:textId="77777777">
      <w:pPr>
        <w:pStyle w:val="Body"/>
        <w:snapToGrid w:val="0"/>
        <w:rPr>
          <w:rFonts w:ascii="Palatino Linotype" w:hAnsi="Palatino Linotype" w:cstheme="minorHAnsi"/>
          <w:sz w:val="24"/>
          <w:szCs w:val="24"/>
        </w:rPr>
      </w:pPr>
      <w:r w:rsidRPr="00D22027">
        <w:rPr>
          <w:rFonts w:ascii="Palatino Linotype" w:hAnsi="Palatino Linotype" w:cstheme="minorHAnsi"/>
          <w:sz w:val="24"/>
          <w:szCs w:val="24"/>
        </w:rPr>
        <w:t>Based on their analyses, the Large IOUs assert that there is an increased risk of safety and reliability issues when LGP values are allowed to include up to 288 unique values per year as compared to one unique value for each month. SCE found that some analyzed circuit nodes showed higher risk of causing a criteria violation for all configurations greater than 12 values. SDG&amp;E analyzed circuit load variability for one actual circuit over two distinct 12-month periods and stated that such variability coupled with increased LGP granularity can result in ICA violations. PG&amp;E concluded that the risk of violating power system safety design criteria (protection, thermal, and voltage) increased using more granular LGPs.</w:t>
      </w:r>
    </w:p>
    <w:p w:rsidR="003D39C3" w:rsidP="003D39C3" w:rsidRDefault="003D39C3" w14:paraId="573591FC" w14:textId="77777777">
      <w:pPr>
        <w:pStyle w:val="Body"/>
        <w:snapToGrid w:val="0"/>
        <w:rPr>
          <w:rFonts w:ascii="Palatino Linotype" w:hAnsi="Palatino Linotype" w:cstheme="minorHAnsi"/>
          <w:sz w:val="24"/>
          <w:szCs w:val="24"/>
        </w:rPr>
      </w:pPr>
      <w:r w:rsidRPr="00D22027">
        <w:rPr>
          <w:rFonts w:ascii="Palatino Linotype" w:hAnsi="Palatino Linotype" w:cstheme="minorHAnsi"/>
          <w:sz w:val="24"/>
          <w:szCs w:val="24"/>
        </w:rPr>
        <w:t xml:space="preserve">The IOUs </w:t>
      </w:r>
      <w:r w:rsidR="00FA0CC2">
        <w:rPr>
          <w:rFonts w:ascii="Palatino Linotype" w:hAnsi="Palatino Linotype" w:cstheme="minorHAnsi"/>
          <w:sz w:val="24"/>
          <w:szCs w:val="24"/>
        </w:rPr>
        <w:t>state</w:t>
      </w:r>
      <w:r w:rsidRPr="00D22027">
        <w:rPr>
          <w:rFonts w:ascii="Palatino Linotype" w:hAnsi="Palatino Linotype" w:cstheme="minorHAnsi"/>
          <w:sz w:val="24"/>
          <w:szCs w:val="24"/>
        </w:rPr>
        <w:t>:</w:t>
      </w:r>
    </w:p>
    <w:p w:rsidR="003D39C3" w:rsidP="003D39C3" w:rsidRDefault="003D39C3" w14:paraId="3D2E51E1" w14:textId="77777777">
      <w:pPr>
        <w:pStyle w:val="Body"/>
        <w:snapToGrid w:val="0"/>
        <w:ind w:left="720"/>
        <w:rPr>
          <w:rFonts w:ascii="Palatino Linotype" w:hAnsi="Palatino Linotype" w:cstheme="minorHAnsi"/>
          <w:sz w:val="24"/>
          <w:szCs w:val="24"/>
        </w:rPr>
      </w:pPr>
      <w:r w:rsidRPr="00D22027">
        <w:rPr>
          <w:rFonts w:ascii="Palatino Linotype" w:hAnsi="Palatino Linotype" w:cstheme="minorHAnsi"/>
          <w:sz w:val="24"/>
          <w:szCs w:val="24"/>
        </w:rPr>
        <w:t xml:space="preserve">Generation ICA uses 12 months of historical loading information as an input, which is not an accurate predictor of real-time grid conditions at a granular level </w:t>
      </w:r>
      <w:r w:rsidRPr="00D22027">
        <w:rPr>
          <w:rFonts w:ascii="Palatino Linotype" w:hAnsi="Palatino Linotype" w:cstheme="minorHAnsi"/>
          <w:sz w:val="24"/>
          <w:szCs w:val="24"/>
        </w:rPr>
        <w:lastRenderedPageBreak/>
        <w:t xml:space="preserve">100% of the time. The IOUs highlighted that the lowest ICA Static Grid value will be closely correlated with the lowest circuit load. Therefore, if the real-time load on the circuit is less than it was assumed to be when ICA was performed, for any given hour, the circuit </w:t>
      </w:r>
      <w:r w:rsidRPr="00D22027">
        <w:rPr>
          <w:rFonts w:ascii="Palatino Linotype" w:hAnsi="Palatino Linotype" w:cstheme="minorHAnsi"/>
          <w:b/>
          <w:bCs/>
          <w:sz w:val="24"/>
          <w:szCs w:val="24"/>
        </w:rPr>
        <w:t xml:space="preserve">could be </w:t>
      </w:r>
      <w:r w:rsidRPr="00D22027">
        <w:rPr>
          <w:rFonts w:ascii="Palatino Linotype" w:hAnsi="Palatino Linotype" w:cstheme="minorHAnsi"/>
          <w:sz w:val="24"/>
          <w:szCs w:val="24"/>
        </w:rPr>
        <w:t>[emphasis added] exposed to a criteria violation.</w:t>
      </w:r>
      <w:r>
        <w:rPr>
          <w:rStyle w:val="FootnoteReference"/>
          <w:rFonts w:ascii="Palatino Linotype" w:hAnsi="Palatino Linotype" w:cstheme="minorHAnsi"/>
          <w:sz w:val="24"/>
          <w:szCs w:val="24"/>
        </w:rPr>
        <w:footnoteReference w:id="195"/>
      </w:r>
    </w:p>
    <w:p w:rsidR="003D39C3" w:rsidP="003D39C3" w:rsidRDefault="003D39C3" w14:paraId="3507FCB5" w14:textId="77777777">
      <w:pPr>
        <w:pStyle w:val="Body"/>
        <w:snapToGrid w:val="0"/>
        <w:rPr>
          <w:rFonts w:ascii="Palatino Linotype" w:hAnsi="Palatino Linotype" w:cstheme="minorHAnsi"/>
          <w:iCs/>
          <w:sz w:val="24"/>
          <w:szCs w:val="24"/>
        </w:rPr>
      </w:pPr>
      <w:r w:rsidRPr="00D22027">
        <w:rPr>
          <w:rFonts w:ascii="Palatino Linotype" w:hAnsi="Palatino Linotype" w:cstheme="minorHAnsi"/>
          <w:sz w:val="24"/>
          <w:szCs w:val="24"/>
        </w:rPr>
        <w:t>The Joint May LGP Advice Letter</w:t>
      </w:r>
      <w:r w:rsidR="00434F97">
        <w:rPr>
          <w:rFonts w:ascii="Palatino Linotype" w:hAnsi="Palatino Linotype" w:cstheme="minorHAnsi"/>
          <w:sz w:val="24"/>
          <w:szCs w:val="24"/>
        </w:rPr>
        <w:t>s</w:t>
      </w:r>
      <w:r w:rsidRPr="00D22027">
        <w:rPr>
          <w:rFonts w:ascii="Palatino Linotype" w:hAnsi="Palatino Linotype" w:cstheme="minorHAnsi"/>
          <w:iCs/>
          <w:sz w:val="24"/>
          <w:szCs w:val="24"/>
        </w:rPr>
        <w:t xml:space="preserve"> also acknowledge the non-consensus of parties on this question, and describe</w:t>
      </w:r>
      <w:r w:rsidR="00FA0CC2">
        <w:rPr>
          <w:rFonts w:ascii="Palatino Linotype" w:hAnsi="Palatino Linotype" w:cstheme="minorHAnsi"/>
          <w:iCs/>
          <w:sz w:val="24"/>
          <w:szCs w:val="24"/>
        </w:rPr>
        <w:t>s</w:t>
      </w:r>
      <w:r w:rsidRPr="00D22027">
        <w:rPr>
          <w:rFonts w:ascii="Palatino Linotype" w:hAnsi="Palatino Linotype" w:cstheme="minorHAnsi"/>
          <w:iCs/>
          <w:sz w:val="24"/>
          <w:szCs w:val="24"/>
        </w:rPr>
        <w:t xml:space="preserve"> the Large IOUs view of “basis for lack of consensus” as follows:</w:t>
      </w:r>
      <w:r>
        <w:rPr>
          <w:rStyle w:val="FootnoteReference"/>
          <w:rFonts w:ascii="Palatino Linotype" w:hAnsi="Palatino Linotype" w:cstheme="minorHAnsi"/>
          <w:iCs/>
          <w:sz w:val="24"/>
          <w:szCs w:val="24"/>
        </w:rPr>
        <w:footnoteReference w:id="196"/>
      </w:r>
    </w:p>
    <w:p w:rsidR="003D39C3" w:rsidP="003D39C3" w:rsidRDefault="003D39C3" w14:paraId="0E7668AD"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Some stakeholders contend that allowing a maximum of 12 unique LGP values per year, one per month, will not provide benefits to the interconnecting generators that are large enough to justify selection of the LGP option. These stakeholders believe that increasing the number of unique LGP values allowed each year will result in greater energy exports at the PCC and thereby provide (i) anticipated benefits to interconnecting generators that are large enough to cause the interconnecting generators to select the LGP option, and (ii) accompanying benefits to ratepayers.</w:t>
      </w:r>
    </w:p>
    <w:p w:rsidR="003D39C3" w:rsidP="003D39C3" w:rsidRDefault="003D39C3" w14:paraId="6F9A5BCF"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Some stakeholders suggested that there is a “sweet spot” whereby the maximum number of allowed unique LGP values per year could be increased to a number larger than 12 based on the extent to which safety and/or reliability risks increased. Different options were suggested for increasing the number of unique values. For example, an LGP could be created that allows four unique LGP values during each month, for example one value for hours-ending 1 through 17 and 21 through 24, and three values for the peak hours of 18 through 20 (a total of 48 unique values each year). Stakeholders did not propose any specific mechanism by which such a “sweet spot” would be identified.</w:t>
      </w:r>
    </w:p>
    <w:p w:rsidR="003D39C3" w:rsidP="003D39C3" w:rsidRDefault="003D39C3" w14:paraId="0FC0FF6D"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The IOUs question whether developers will actually choose not to select the LGP option if the maximum number of unique annual LGP values is limited to 12</w:t>
      </w:r>
      <w:r w:rsidR="009551A2">
        <w:rPr>
          <w:rFonts w:ascii="Palatino Linotype" w:hAnsi="Palatino Linotype" w:cstheme="minorHAnsi"/>
          <w:iCs/>
          <w:sz w:val="24"/>
          <w:szCs w:val="24"/>
        </w:rPr>
        <w:t xml:space="preserve">. </w:t>
      </w:r>
      <w:r w:rsidRPr="00D22027">
        <w:rPr>
          <w:rFonts w:ascii="Palatino Linotype" w:hAnsi="Palatino Linotype" w:cstheme="minorHAnsi"/>
          <w:iCs/>
          <w:sz w:val="24"/>
          <w:szCs w:val="24"/>
        </w:rPr>
        <w:t xml:space="preserve"> The IOUs suspect that the contention by some stakeholders that developers will </w:t>
      </w:r>
      <w:r w:rsidRPr="00D22027">
        <w:rPr>
          <w:rFonts w:ascii="Palatino Linotype" w:hAnsi="Palatino Linotype" w:cstheme="minorHAnsi"/>
          <w:iCs/>
          <w:sz w:val="24"/>
          <w:szCs w:val="24"/>
        </w:rPr>
        <w:lastRenderedPageBreak/>
        <w:t>not select the LGP option if a maximum of 12 unique values per year is allowed, is commercially motivated posturing</w:t>
      </w:r>
      <w:r w:rsidR="009551A2">
        <w:rPr>
          <w:rFonts w:ascii="Palatino Linotype" w:hAnsi="Palatino Linotype" w:cstheme="minorHAnsi"/>
          <w:iCs/>
          <w:sz w:val="24"/>
          <w:szCs w:val="24"/>
        </w:rPr>
        <w:t>.</w:t>
      </w:r>
      <w:r w:rsidRPr="00D22027">
        <w:rPr>
          <w:rFonts w:ascii="Palatino Linotype" w:hAnsi="Palatino Linotype" w:cstheme="minorHAnsi"/>
          <w:iCs/>
          <w:sz w:val="24"/>
          <w:szCs w:val="24"/>
        </w:rPr>
        <w:t xml:space="preserve"> </w:t>
      </w:r>
    </w:p>
    <w:p w:rsidR="003D39C3" w:rsidP="003D39C3" w:rsidRDefault="003D39C3" w14:paraId="7A13A95F"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The IOUs note that stakeholders have not provided any concrete evidence as to the magnitude of the benefits that ratepayers are expected to receive as a result of increasing the maximum allowed unique LGP values each year to a number greater than 12. Other than demonstrating that more energy could be exported, no evidence was provided to show that the economic value of these increased exports would accrue to ratepayers rather than to the developers.</w:t>
      </w:r>
    </w:p>
    <w:p w:rsidR="003D39C3" w:rsidP="003D39C3" w:rsidRDefault="003D39C3" w14:paraId="5F55AB3A"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Finally, while the IOUs understand the intuitive appeal of finding a “sweet spot,” the reality is that such a “sweet spot” necessarily means increased safety and reliability risk, something the IOUs are unwilling to accept. Moreover, stakeholders have offered no objective proposal by which an acceptable tradeoff between increased safety/reliability risk and increased LGP exports would be found.</w:t>
      </w:r>
    </w:p>
    <w:p w:rsidR="003D39C3" w:rsidP="003D39C3" w:rsidRDefault="003D39C3" w14:paraId="7496CAE0"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sz w:val="24"/>
          <w:szCs w:val="24"/>
        </w:rPr>
        <w:t xml:space="preserve">Non-IOU parties presented their own proposals for LGP configurations during the SIWG meetings and workshops. During the January 19, 2023 SIWG Meeting, </w:t>
      </w:r>
      <w:r>
        <w:rPr>
          <w:rFonts w:ascii="Palatino Linotype" w:hAnsi="Palatino Linotype" w:cstheme="minorHAnsi"/>
          <w:sz w:val="24"/>
          <w:szCs w:val="24"/>
        </w:rPr>
        <w:t>Cal</w:t>
      </w:r>
      <w:r w:rsidRPr="00D22027">
        <w:rPr>
          <w:rFonts w:ascii="Palatino Linotype" w:hAnsi="Palatino Linotype" w:cstheme="minorHAnsi"/>
          <w:sz w:val="24"/>
          <w:szCs w:val="24"/>
        </w:rPr>
        <w:t xml:space="preserve"> Advocates presented analysis based on 288 unique LGP values. During LGP Workshop #4, IREC presented a 24-value “Block” configuration</w:t>
      </w:r>
      <w:r>
        <w:rPr>
          <w:rFonts w:ascii="Palatino Linotype" w:hAnsi="Palatino Linotype" w:cstheme="minorHAnsi"/>
          <w:sz w:val="24"/>
          <w:szCs w:val="24"/>
        </w:rPr>
        <w:t>. N</w:t>
      </w:r>
      <w:r w:rsidRPr="00D22027">
        <w:rPr>
          <w:rFonts w:ascii="Palatino Linotype" w:hAnsi="Palatino Linotype" w:cstheme="minorHAnsi"/>
          <w:color w:val="000000" w:themeColor="text1"/>
          <w:sz w:val="24"/>
          <w:szCs w:val="24"/>
        </w:rPr>
        <w:t xml:space="preserve">on-IOU parties also protest the </w:t>
      </w:r>
      <w:r>
        <w:rPr>
          <w:rFonts w:ascii="Palatino Linotype" w:hAnsi="Palatino Linotype" w:cstheme="minorHAnsi"/>
          <w:color w:val="000000" w:themeColor="text1"/>
          <w:sz w:val="24"/>
          <w:szCs w:val="24"/>
        </w:rPr>
        <w:t xml:space="preserve">Large IOUs </w:t>
      </w:r>
      <w:r w:rsidRPr="00D22027">
        <w:rPr>
          <w:rFonts w:ascii="Palatino Linotype" w:hAnsi="Palatino Linotype" w:cstheme="minorHAnsi"/>
          <w:color w:val="000000" w:themeColor="text1"/>
          <w:sz w:val="24"/>
          <w:szCs w:val="24"/>
        </w:rPr>
        <w:t>proposal for a 12-value LGP configuration. Cal</w:t>
      </w:r>
      <w:r>
        <w:rPr>
          <w:rFonts w:ascii="Palatino Linotype" w:hAnsi="Palatino Linotype" w:cstheme="minorHAnsi"/>
          <w:color w:val="000000" w:themeColor="text1"/>
          <w:sz w:val="24"/>
          <w:szCs w:val="24"/>
        </w:rPr>
        <w:t xml:space="preserve"> </w:t>
      </w:r>
      <w:r w:rsidRPr="00D22027">
        <w:rPr>
          <w:rFonts w:ascii="Palatino Linotype" w:hAnsi="Palatino Linotype" w:cstheme="minorHAnsi"/>
          <w:color w:val="000000" w:themeColor="text1"/>
          <w:sz w:val="24"/>
          <w:szCs w:val="24"/>
        </w:rPr>
        <w:t>Advocates wr</w:t>
      </w:r>
      <w:r w:rsidR="00FA0CC2">
        <w:rPr>
          <w:rFonts w:ascii="Palatino Linotype" w:hAnsi="Palatino Linotype" w:cstheme="minorHAnsi"/>
          <w:color w:val="000000" w:themeColor="text1"/>
          <w:sz w:val="24"/>
          <w:szCs w:val="24"/>
        </w:rPr>
        <w:t>ites</w:t>
      </w:r>
      <w:r w:rsidRPr="00D22027">
        <w:rPr>
          <w:rFonts w:ascii="Palatino Linotype" w:hAnsi="Palatino Linotype" w:cstheme="minorHAnsi"/>
          <w:color w:val="000000" w:themeColor="text1"/>
          <w:sz w:val="24"/>
          <w:szCs w:val="24"/>
        </w:rPr>
        <w:t>:</w:t>
      </w:r>
      <w:r>
        <w:rPr>
          <w:rStyle w:val="FootnoteReference"/>
          <w:rFonts w:ascii="Palatino Linotype" w:hAnsi="Palatino Linotype" w:cstheme="minorHAnsi"/>
          <w:color w:val="000000" w:themeColor="text1"/>
          <w:sz w:val="24"/>
          <w:szCs w:val="24"/>
        </w:rPr>
        <w:footnoteReference w:id="197"/>
      </w:r>
    </w:p>
    <w:p w:rsidR="003D39C3" w:rsidP="003D39C3" w:rsidRDefault="003D39C3" w14:paraId="57F1E869" w14:textId="77777777">
      <w:pPr>
        <w:spacing w:after="200" w:line="276" w:lineRule="auto"/>
        <w:ind w:left="720"/>
        <w:rPr>
          <w:rFonts w:cstheme="minorHAnsi"/>
        </w:rPr>
      </w:pPr>
      <w:r w:rsidRPr="00D22027">
        <w:rPr>
          <w:rFonts w:cstheme="minorHAnsi"/>
        </w:rPr>
        <w:t xml:space="preserve">[The Joint May LGP Advice Letters] document the participation by the IOUs in workshops required by Resolution E- 5230 but fail to propose a reasonable implementation of LGPs. Specifically, the IOUs rely on questionable integration capacity analysis (ICA) data to justify limiting configurations to 12 values per year (i.e., a single limit in each month, or “monthly values”) through at least 2026, without any identified independent evaluation of the risks and benefits of LGP. </w:t>
      </w:r>
    </w:p>
    <w:p w:rsidR="003D39C3" w:rsidP="003D39C3" w:rsidRDefault="003D39C3" w14:paraId="766DF9DB" w14:textId="77777777">
      <w:pPr>
        <w:spacing w:after="200" w:line="276" w:lineRule="auto"/>
        <w:ind w:left="720"/>
        <w:rPr>
          <w:rFonts w:cstheme="minorHAnsi"/>
        </w:rPr>
      </w:pPr>
      <w:r w:rsidRPr="00D22027">
        <w:rPr>
          <w:rFonts w:cstheme="minorHAnsi"/>
        </w:rPr>
        <w:t xml:space="preserve">The IOUs incorrectly claim that limiting LGPs to monthly values is necessary to ensure safe and reliable service; PG&amp;E’s analysis shows that a 24-hour configuration (i.e., one value for each hour of the day regardless of day of the </w:t>
      </w:r>
      <w:r w:rsidRPr="00D22027">
        <w:rPr>
          <w:rFonts w:cstheme="minorHAnsi"/>
        </w:rPr>
        <w:lastRenderedPageBreak/>
        <w:t xml:space="preserve">year, “hourly values”) has lower risk and increased benefits compared to monthly values. The Commission should direct the IOUs to allow customers to choose between LGPs with monthly values and LGPs with hourly values. </w:t>
      </w:r>
    </w:p>
    <w:p w:rsidR="003D39C3" w:rsidP="003D39C3" w:rsidRDefault="003D39C3" w14:paraId="74172E1B"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Cal Advocates argues that the Large IOUs have not been willing to consider more than 12 values and protest</w:t>
      </w:r>
      <w:r w:rsidR="00FA0CC2">
        <w:rPr>
          <w:rFonts w:ascii="Palatino Linotype" w:hAnsi="Palatino Linotype" w:cstheme="minorHAnsi"/>
          <w:color w:val="000000" w:themeColor="text1"/>
          <w:sz w:val="24"/>
          <w:szCs w:val="24"/>
        </w:rPr>
        <w:t>s</w:t>
      </w:r>
      <w:r w:rsidRPr="00D22027">
        <w:rPr>
          <w:rFonts w:ascii="Palatino Linotype" w:hAnsi="Palatino Linotype" w:cstheme="minorHAnsi"/>
          <w:color w:val="000000" w:themeColor="text1"/>
          <w:sz w:val="24"/>
          <w:szCs w:val="24"/>
        </w:rPr>
        <w:t xml:space="preserve"> that </w:t>
      </w:r>
      <w:r w:rsidR="00FA0CC2">
        <w:rPr>
          <w:rFonts w:ascii="Palatino Linotype" w:hAnsi="Palatino Linotype" w:cstheme="minorHAnsi"/>
          <w:color w:val="000000" w:themeColor="text1"/>
          <w:sz w:val="24"/>
          <w:szCs w:val="24"/>
        </w:rPr>
        <w:t xml:space="preserve">their </w:t>
      </w:r>
      <w:r w:rsidRPr="00D22027">
        <w:rPr>
          <w:rFonts w:ascii="Palatino Linotype" w:hAnsi="Palatino Linotype" w:cstheme="minorHAnsi"/>
          <w:color w:val="000000" w:themeColor="text1"/>
          <w:sz w:val="24"/>
          <w:szCs w:val="24"/>
        </w:rPr>
        <w:t xml:space="preserve">assessments lack merit because they </w:t>
      </w:r>
      <w:r w:rsidR="00FA0CC2">
        <w:rPr>
          <w:rFonts w:ascii="Palatino Linotype" w:hAnsi="Palatino Linotype" w:cstheme="minorHAnsi"/>
          <w:color w:val="000000" w:themeColor="text1"/>
          <w:sz w:val="24"/>
          <w:szCs w:val="24"/>
        </w:rPr>
        <w:t xml:space="preserve">are </w:t>
      </w:r>
      <w:r w:rsidRPr="00D22027">
        <w:rPr>
          <w:rFonts w:ascii="Palatino Linotype" w:hAnsi="Palatino Linotype" w:cstheme="minorHAnsi"/>
          <w:color w:val="000000" w:themeColor="text1"/>
          <w:sz w:val="24"/>
          <w:szCs w:val="24"/>
        </w:rPr>
        <w:t>based on small samples of circuits that are not statistically valid. Cal</w:t>
      </w:r>
      <w:r>
        <w:rPr>
          <w:rFonts w:ascii="Palatino Linotype" w:hAnsi="Palatino Linotype" w:cstheme="minorHAnsi"/>
          <w:color w:val="000000" w:themeColor="text1"/>
          <w:sz w:val="24"/>
          <w:szCs w:val="24"/>
        </w:rPr>
        <w:t xml:space="preserve"> </w:t>
      </w:r>
      <w:r w:rsidRPr="00D22027">
        <w:rPr>
          <w:rFonts w:ascii="Palatino Linotype" w:hAnsi="Palatino Linotype" w:cstheme="minorHAnsi"/>
          <w:color w:val="000000" w:themeColor="text1"/>
          <w:sz w:val="24"/>
          <w:szCs w:val="24"/>
        </w:rPr>
        <w:t>Advocates took exception to the Large IOUs position that a “statistically valid” analysis “would not change the Large IOUs’ position that any increase in safety and/or reliability risks is unacceptable.”</w:t>
      </w:r>
      <w:r>
        <w:rPr>
          <w:rStyle w:val="FootnoteReference"/>
          <w:rFonts w:ascii="Palatino Linotype" w:hAnsi="Palatino Linotype" w:cstheme="minorHAnsi"/>
          <w:color w:val="000000" w:themeColor="text1"/>
          <w:sz w:val="24"/>
          <w:szCs w:val="24"/>
        </w:rPr>
        <w:footnoteReference w:id="198"/>
      </w:r>
      <w:r w:rsidRPr="00D22027">
        <w:rPr>
          <w:rFonts w:ascii="Palatino Linotype" w:hAnsi="Palatino Linotype" w:cstheme="minorHAnsi"/>
          <w:color w:val="000000" w:themeColor="text1"/>
          <w:sz w:val="24"/>
          <w:szCs w:val="24"/>
        </w:rPr>
        <w:t xml:space="preserve"> </w:t>
      </w:r>
      <w:r w:rsidRPr="00D22027">
        <w:rPr>
          <w:rFonts w:ascii="Palatino Linotype" w:hAnsi="Palatino Linotype" w:cstheme="minorHAnsi"/>
          <w:iCs/>
          <w:sz w:val="24"/>
          <w:szCs w:val="24"/>
        </w:rPr>
        <w:t xml:space="preserve"> </w:t>
      </w:r>
      <w:r w:rsidRPr="00D22027">
        <w:rPr>
          <w:rFonts w:ascii="Palatino Linotype" w:hAnsi="Palatino Linotype" w:cstheme="minorHAnsi"/>
          <w:color w:val="000000" w:themeColor="text1"/>
          <w:sz w:val="24"/>
          <w:szCs w:val="24"/>
        </w:rPr>
        <w:t>Cal</w:t>
      </w:r>
      <w:r>
        <w:rPr>
          <w:rFonts w:ascii="Palatino Linotype" w:hAnsi="Palatino Linotype" w:cstheme="minorHAnsi"/>
          <w:color w:val="000000" w:themeColor="text1"/>
          <w:sz w:val="24"/>
          <w:szCs w:val="24"/>
        </w:rPr>
        <w:t xml:space="preserve"> </w:t>
      </w:r>
      <w:r w:rsidRPr="00D22027">
        <w:rPr>
          <w:rFonts w:ascii="Palatino Linotype" w:hAnsi="Palatino Linotype" w:cstheme="minorHAnsi"/>
          <w:color w:val="000000" w:themeColor="text1"/>
          <w:sz w:val="24"/>
          <w:szCs w:val="24"/>
        </w:rPr>
        <w:t>Advocates also fault</w:t>
      </w:r>
      <w:r w:rsidR="00FA0CC2">
        <w:rPr>
          <w:rFonts w:ascii="Palatino Linotype" w:hAnsi="Palatino Linotype" w:cstheme="minorHAnsi"/>
          <w:color w:val="000000" w:themeColor="text1"/>
          <w:sz w:val="24"/>
          <w:szCs w:val="24"/>
        </w:rPr>
        <w:t>s</w:t>
      </w:r>
      <w:r w:rsidRPr="00D22027">
        <w:rPr>
          <w:rFonts w:ascii="Palatino Linotype" w:hAnsi="Palatino Linotype" w:cstheme="minorHAnsi"/>
          <w:color w:val="000000" w:themeColor="text1"/>
          <w:sz w:val="24"/>
          <w:szCs w:val="24"/>
        </w:rPr>
        <w:t xml:space="preserve"> the analyses provided by the Large IOUs as containing potential errors that could exaggerate the risks of violations, as detailed in Appendix </w:t>
      </w:r>
      <w:r w:rsidR="007755FE">
        <w:rPr>
          <w:rFonts w:ascii="Palatino Linotype" w:hAnsi="Palatino Linotype" w:cstheme="minorHAnsi"/>
          <w:color w:val="000000" w:themeColor="text1"/>
          <w:sz w:val="24"/>
          <w:szCs w:val="24"/>
        </w:rPr>
        <w:t>G</w:t>
      </w:r>
      <w:r w:rsidRPr="00D22027">
        <w:rPr>
          <w:rFonts w:ascii="Palatino Linotype" w:hAnsi="Palatino Linotype" w:cstheme="minorHAnsi"/>
          <w:color w:val="000000" w:themeColor="text1"/>
          <w:sz w:val="24"/>
          <w:szCs w:val="24"/>
        </w:rPr>
        <w:t xml:space="preserve">.  </w:t>
      </w:r>
    </w:p>
    <w:p w:rsidR="003D39C3" w:rsidP="003D39C3" w:rsidRDefault="003D39C3" w14:paraId="3850C336"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IREC point</w:t>
      </w:r>
      <w:r w:rsidR="00FA0CC2">
        <w:rPr>
          <w:rFonts w:ascii="Palatino Linotype" w:hAnsi="Palatino Linotype" w:cstheme="minorHAnsi"/>
          <w:color w:val="000000" w:themeColor="text1"/>
          <w:sz w:val="24"/>
          <w:szCs w:val="24"/>
        </w:rPr>
        <w:t>s</w:t>
      </w:r>
      <w:r w:rsidRPr="00D22027">
        <w:rPr>
          <w:rFonts w:ascii="Palatino Linotype" w:hAnsi="Palatino Linotype" w:cstheme="minorHAnsi"/>
          <w:color w:val="000000" w:themeColor="text1"/>
          <w:sz w:val="24"/>
          <w:szCs w:val="24"/>
        </w:rPr>
        <w:t xml:space="preserve"> out some methodological shortcomings and considerations about the types of analyses being performed by the Large IOUs (see Appendix </w:t>
      </w:r>
      <w:r w:rsidR="007755FE">
        <w:rPr>
          <w:rFonts w:ascii="Palatino Linotype" w:hAnsi="Palatino Linotype" w:cstheme="minorHAnsi"/>
          <w:color w:val="000000" w:themeColor="text1"/>
          <w:sz w:val="24"/>
          <w:szCs w:val="24"/>
        </w:rPr>
        <w:t>G</w:t>
      </w:r>
      <w:r w:rsidRPr="00D22027">
        <w:rPr>
          <w:rFonts w:ascii="Palatino Linotype" w:hAnsi="Palatino Linotype" w:cstheme="minorHAnsi"/>
          <w:color w:val="000000" w:themeColor="text1"/>
          <w:sz w:val="24"/>
          <w:szCs w:val="24"/>
        </w:rPr>
        <w:t xml:space="preserve">). IREC states: </w:t>
      </w:r>
    </w:p>
    <w:p w:rsidR="003D39C3" w:rsidP="003D39C3" w:rsidRDefault="003D39C3" w14:paraId="0D5DBCC5" w14:textId="77777777">
      <w:pPr>
        <w:pStyle w:val="Body"/>
        <w:snapToGrid w:val="0"/>
        <w:ind w:left="72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It is important to keep in mind that both IREC and the utilities’ analyses are based on a miniscule data set when one considers the overall number of nodes on these systems. It is difficult to know whether this sample, which is far from statistically significant, is going to be representative of broader trends on the system. Furthermore, as will be explained below, while changes in an ICA calculation from year to year can stand as a reasonable proxy for “risks,” it is important to recognize that this analysis did not look at any actual impacts on the system.</w:t>
      </w:r>
      <w:r>
        <w:rPr>
          <w:rStyle w:val="FootnoteReference"/>
          <w:rFonts w:ascii="Palatino Linotype" w:hAnsi="Palatino Linotype" w:cstheme="minorHAnsi"/>
          <w:color w:val="000000" w:themeColor="text1"/>
          <w:sz w:val="24"/>
          <w:szCs w:val="24"/>
        </w:rPr>
        <w:footnoteReference w:id="199"/>
      </w:r>
    </w:p>
    <w:p w:rsidR="003D39C3" w:rsidP="003D39C3" w:rsidRDefault="003D39C3" w14:paraId="601F9659"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IREC also replicate</w:t>
      </w:r>
      <w:r w:rsidR="00302317">
        <w:rPr>
          <w:rFonts w:ascii="Palatino Linotype" w:hAnsi="Palatino Linotype" w:cstheme="minorHAnsi"/>
          <w:color w:val="000000" w:themeColor="text1"/>
          <w:sz w:val="24"/>
          <w:szCs w:val="24"/>
        </w:rPr>
        <w:t>s</w:t>
      </w:r>
      <w:r w:rsidRPr="00D22027">
        <w:rPr>
          <w:rFonts w:ascii="Palatino Linotype" w:hAnsi="Palatino Linotype" w:cstheme="minorHAnsi"/>
          <w:color w:val="000000" w:themeColor="text1"/>
          <w:sz w:val="24"/>
          <w:szCs w:val="24"/>
        </w:rPr>
        <w:t xml:space="preserve"> the Large IOUs’ analysis for the 288-value configuration to validate its own analysis and then produced parallel results with the Large IOUs for the other configurations.  IREC s</w:t>
      </w:r>
      <w:r w:rsidR="00302317">
        <w:rPr>
          <w:rFonts w:ascii="Palatino Linotype" w:hAnsi="Palatino Linotype" w:cstheme="minorHAnsi"/>
          <w:color w:val="000000" w:themeColor="text1"/>
          <w:sz w:val="24"/>
          <w:szCs w:val="24"/>
        </w:rPr>
        <w:t xml:space="preserve">tates </w:t>
      </w:r>
      <w:r w:rsidRPr="00D22027">
        <w:rPr>
          <w:rFonts w:ascii="Palatino Linotype" w:hAnsi="Palatino Linotype" w:cstheme="minorHAnsi"/>
          <w:color w:val="000000" w:themeColor="text1"/>
          <w:sz w:val="24"/>
          <w:szCs w:val="24"/>
        </w:rPr>
        <w:t>its own analyses confirms that the PG&amp;E analysis “reflects a reasonable characterization of the number of potential ICA violations.” However, IREC concur</w:t>
      </w:r>
      <w:r w:rsidR="00302317">
        <w:rPr>
          <w:rFonts w:ascii="Palatino Linotype" w:hAnsi="Palatino Linotype" w:cstheme="minorHAnsi"/>
          <w:color w:val="000000" w:themeColor="text1"/>
          <w:sz w:val="24"/>
          <w:szCs w:val="24"/>
        </w:rPr>
        <w:t xml:space="preserve">s </w:t>
      </w:r>
      <w:r w:rsidRPr="00D22027">
        <w:rPr>
          <w:rFonts w:ascii="Palatino Linotype" w:hAnsi="Palatino Linotype" w:cstheme="minorHAnsi"/>
          <w:color w:val="000000" w:themeColor="text1"/>
          <w:sz w:val="24"/>
          <w:szCs w:val="24"/>
        </w:rPr>
        <w:t>with Cal</w:t>
      </w:r>
      <w:r>
        <w:rPr>
          <w:rFonts w:ascii="Palatino Linotype" w:hAnsi="Palatino Linotype" w:cstheme="minorHAnsi"/>
          <w:color w:val="000000" w:themeColor="text1"/>
          <w:sz w:val="24"/>
          <w:szCs w:val="24"/>
        </w:rPr>
        <w:t xml:space="preserve"> </w:t>
      </w:r>
      <w:r w:rsidRPr="00D22027">
        <w:rPr>
          <w:rFonts w:ascii="Palatino Linotype" w:hAnsi="Palatino Linotype" w:cstheme="minorHAnsi"/>
          <w:color w:val="000000" w:themeColor="text1"/>
          <w:sz w:val="24"/>
          <w:szCs w:val="24"/>
        </w:rPr>
        <w:t>Advocates that errors in SCE’s underlying ICA data exaggerate the maximum magnitude of violations in the SCE analysis. (Note: these issues were subsequently corrected by SCE in responding to the Data Request; see below.</w:t>
      </w:r>
      <w:r w:rsidR="00302317">
        <w:rPr>
          <w:rFonts w:ascii="Palatino Linotype" w:hAnsi="Palatino Linotype" w:cstheme="minorHAnsi"/>
          <w:color w:val="000000" w:themeColor="text1"/>
          <w:sz w:val="24"/>
          <w:szCs w:val="24"/>
        </w:rPr>
        <w:t>)</w:t>
      </w:r>
    </w:p>
    <w:p w:rsidR="003D39C3" w:rsidP="003D39C3" w:rsidRDefault="003D39C3" w14:paraId="36D7CACB"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IREC argue</w:t>
      </w:r>
      <w:r w:rsidR="00302317">
        <w:rPr>
          <w:rFonts w:ascii="Palatino Linotype" w:hAnsi="Palatino Linotype" w:cstheme="minorHAnsi"/>
          <w:color w:val="000000" w:themeColor="text1"/>
          <w:sz w:val="24"/>
          <w:szCs w:val="24"/>
        </w:rPr>
        <w:t>s</w:t>
      </w:r>
      <w:r w:rsidRPr="00D22027">
        <w:rPr>
          <w:rFonts w:ascii="Palatino Linotype" w:hAnsi="Palatino Linotype" w:cstheme="minorHAnsi"/>
          <w:color w:val="000000" w:themeColor="text1"/>
          <w:sz w:val="24"/>
          <w:szCs w:val="24"/>
        </w:rPr>
        <w:t xml:space="preserve"> that (a) the Commission should adopt a 24-value configuration; (b) the Commission should understand the factors, beyond the purely quantitative analyses </w:t>
      </w:r>
      <w:r w:rsidRPr="00D22027">
        <w:rPr>
          <w:rFonts w:ascii="Palatino Linotype" w:hAnsi="Palatino Linotype" w:cstheme="minorHAnsi"/>
          <w:color w:val="000000" w:themeColor="text1"/>
          <w:sz w:val="24"/>
          <w:szCs w:val="24"/>
        </w:rPr>
        <w:lastRenderedPageBreak/>
        <w:t xml:space="preserve">conducted, that point to why many violations can be minor, infrequent, and readily subject to mitigations; (c) that voltage violations may not rise to the need for mitigations, already occur routinely, and are already mitigated by smart inverter functions; and (d) impacts of short-duration thermal violations can arise with any varying distribution grid conditions and also with 12-value-configuration LGP projects. IREC </w:t>
      </w:r>
      <w:r w:rsidR="00302317">
        <w:rPr>
          <w:rFonts w:ascii="Palatino Linotype" w:hAnsi="Palatino Linotype" w:cstheme="minorHAnsi"/>
          <w:color w:val="000000" w:themeColor="text1"/>
          <w:sz w:val="24"/>
          <w:szCs w:val="24"/>
        </w:rPr>
        <w:t>provides an extended argument for more than 12 values</w:t>
      </w:r>
      <w:r w:rsidRPr="00D22027">
        <w:rPr>
          <w:rFonts w:ascii="Palatino Linotype" w:hAnsi="Palatino Linotype" w:cstheme="minorHAnsi"/>
          <w:color w:val="000000" w:themeColor="text1"/>
          <w:sz w:val="24"/>
          <w:szCs w:val="24"/>
        </w:rPr>
        <w:t>:</w:t>
      </w:r>
      <w:r>
        <w:rPr>
          <w:rStyle w:val="FootnoteReference"/>
          <w:rFonts w:ascii="Palatino Linotype" w:hAnsi="Palatino Linotype" w:cstheme="minorHAnsi"/>
          <w:color w:val="000000" w:themeColor="text1"/>
          <w:sz w:val="24"/>
          <w:szCs w:val="24"/>
        </w:rPr>
        <w:footnoteReference w:id="200"/>
      </w:r>
      <w:r w:rsidRPr="00D22027">
        <w:rPr>
          <w:rFonts w:ascii="Palatino Linotype" w:hAnsi="Palatino Linotype" w:cstheme="minorHAnsi"/>
          <w:color w:val="000000" w:themeColor="text1"/>
          <w:sz w:val="24"/>
          <w:szCs w:val="24"/>
        </w:rPr>
        <w:t xml:space="preserve">  </w:t>
      </w:r>
    </w:p>
    <w:p w:rsidR="003D39C3" w:rsidP="003D39C3" w:rsidRDefault="003D39C3" w14:paraId="0F8BAE42" w14:textId="77777777">
      <w:pPr>
        <w:pStyle w:val="Body"/>
        <w:snapToGrid w:val="0"/>
        <w:ind w:left="72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 xml:space="preserve">Each of the three analyses on this tiny sample of nodes show that even a 12-value LGP can potentially cause violations of hosting capacity limits. Where the </w:t>
      </w:r>
      <w:r w:rsidR="00D02F1F">
        <w:rPr>
          <w:rFonts w:ascii="Palatino Linotype" w:hAnsi="Palatino Linotype" w:cstheme="minorHAnsi"/>
          <w:color w:val="000000" w:themeColor="text1"/>
          <w:sz w:val="24"/>
          <w:szCs w:val="24"/>
        </w:rPr>
        <w:br/>
      </w:r>
      <w:r w:rsidRPr="00D22027">
        <w:rPr>
          <w:rFonts w:ascii="Palatino Linotype" w:hAnsi="Palatino Linotype" w:cstheme="minorHAnsi"/>
          <w:color w:val="000000" w:themeColor="text1"/>
          <w:sz w:val="24"/>
          <w:szCs w:val="24"/>
        </w:rPr>
        <w:t xml:space="preserve">12-value LGP would produce the fewest violations, relatively few violations are also seen in LGPs with more than 12 values. There is a demonstrated increased occurrence of violations for LGPs with higher numbers of values. Depending on the severity, if these violations arise in real life, they may need to be mitigated. </w:t>
      </w:r>
      <w:r w:rsidR="009551A2">
        <w:rPr>
          <w:rFonts w:ascii="Palatino Linotype" w:hAnsi="Palatino Linotype" w:cstheme="minorHAnsi"/>
          <w:color w:val="000000" w:themeColor="text1"/>
          <w:sz w:val="24"/>
          <w:szCs w:val="24"/>
        </w:rPr>
        <w:t>T</w:t>
      </w:r>
      <w:r w:rsidRPr="00D22027">
        <w:rPr>
          <w:rFonts w:ascii="Palatino Linotype" w:hAnsi="Palatino Linotype" w:cstheme="minorHAnsi"/>
          <w:color w:val="000000" w:themeColor="text1"/>
          <w:sz w:val="24"/>
          <w:szCs w:val="24"/>
        </w:rPr>
        <w:t>here are mitigation measures to address potential steady-state voltage, voltage variation, and thermal violations for any style of LGP. Crucially, LGP configurations with more than 12 values (or even a 12-value LGP, but structured differently) have a much greater potential to export more energy during the hours it is most needed, and better align with Commission energy and climate policy and project economics.</w:t>
      </w:r>
    </w:p>
    <w:p w:rsidR="003D39C3" w:rsidP="003D39C3" w:rsidRDefault="003D39C3" w14:paraId="7CA8CBA7" w14:textId="77777777">
      <w:pPr>
        <w:pStyle w:val="Body"/>
        <w:snapToGrid w:val="0"/>
        <w:ind w:left="72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 xml:space="preserve">With this understanding, it is important to first ask whether the ICA violations are likely to translate to actual system violations in the field simply because the LGP exceeds the ICA limits? The Commission must keep in mind that DERs are unlikely to be producing at full limited output every hour, meaning a violation is less likely to arise in reality. For instance, a PV plus storage system may choose to charge batteries until they are full and would only export power after the batteries are full. Depending on the weather, that action may take longer on some days than others, leading to different times and amounts that the PV would export. Additionally, there is already some conservatism built into the ICA, given that the 24-hour configuration within each month represents assumptions built on the worst-case hour of the month (e.g., the most lightly loaded hour at that time of the day for all 31 days, regardless of the day of the week). Those </w:t>
      </w:r>
      <w:r w:rsidRPr="00D22027">
        <w:rPr>
          <w:rFonts w:ascii="Palatino Linotype" w:hAnsi="Palatino Linotype" w:cstheme="minorHAnsi"/>
          <w:color w:val="000000" w:themeColor="text1"/>
          <w:sz w:val="24"/>
          <w:szCs w:val="24"/>
        </w:rPr>
        <w:lastRenderedPageBreak/>
        <w:t>worst- case scenarios may be unlikely to recur many times within a month, reducing the risk that actual system violations occur.</w:t>
      </w:r>
    </w:p>
    <w:p w:rsidR="003D39C3" w:rsidP="003D39C3" w:rsidRDefault="003D39C3" w14:paraId="7299AFEA" w14:textId="77777777">
      <w:pPr>
        <w:pStyle w:val="Body"/>
        <w:snapToGrid w:val="0"/>
        <w:ind w:left="72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Secondly, the severity (magnitude and duration) of the violation and the type of violation will dictate whether it would constitute a condition that would need to be mitigated. For instance, steady-state voltage violations of ANSI C84.1 Range A or B are allowed and occur regularly on the grid today, but do not generally rise to the need for mitigation as long as they are of short duration (which is a relative term, but can mean hours-long events for smaller excursions). Since smart inverters in the utilities’ territories have the volt-var function activated, this can help mitigate voltages outside the normal limits. If the voltage exceeds Range B, the volt-watt function will start to activate and curtail active power until voltage comes back toward the limit… Voltage variation may be mitigated if the DER is a PV system, or by using ramp rates if it is energy storage. Therefore, voltage violations are likely to be much less of an issue in real life.</w:t>
      </w:r>
    </w:p>
    <w:p w:rsidR="003D39C3" w:rsidP="003D39C3" w:rsidRDefault="003D39C3" w14:paraId="0CFE93BB" w14:textId="77777777">
      <w:pPr>
        <w:pStyle w:val="Body"/>
        <w:snapToGrid w:val="0"/>
        <w:ind w:left="72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 xml:space="preserve">Thermal violations could have more meaningful consequences because, if they are of sufficient magnitude and duration, conductors or other distribution system equipment could be damaged. </w:t>
      </w:r>
      <w:r w:rsidR="009551A2">
        <w:rPr>
          <w:rFonts w:ascii="Palatino Linotype" w:hAnsi="Palatino Linotype" w:cstheme="minorHAnsi"/>
          <w:color w:val="000000" w:themeColor="text1"/>
          <w:sz w:val="24"/>
          <w:szCs w:val="24"/>
        </w:rPr>
        <w:t>A</w:t>
      </w:r>
      <w:r w:rsidRPr="00D22027">
        <w:rPr>
          <w:rFonts w:ascii="Palatino Linotype" w:hAnsi="Palatino Linotype" w:cstheme="minorHAnsi"/>
          <w:color w:val="000000" w:themeColor="text1"/>
          <w:sz w:val="24"/>
          <w:szCs w:val="24"/>
        </w:rPr>
        <w:t xml:space="preserve">t shorter durations, </w:t>
      </w:r>
      <w:r w:rsidR="009551A2">
        <w:rPr>
          <w:rFonts w:ascii="Palatino Linotype" w:hAnsi="Palatino Linotype" w:cstheme="minorHAnsi"/>
          <w:color w:val="000000" w:themeColor="text1"/>
          <w:sz w:val="24"/>
          <w:szCs w:val="24"/>
        </w:rPr>
        <w:t xml:space="preserve">however, </w:t>
      </w:r>
      <w:r w:rsidRPr="00D22027">
        <w:rPr>
          <w:rFonts w:ascii="Palatino Linotype" w:hAnsi="Palatino Linotype" w:cstheme="minorHAnsi"/>
          <w:color w:val="000000" w:themeColor="text1"/>
          <w:sz w:val="24"/>
          <w:szCs w:val="24"/>
        </w:rPr>
        <w:t>conductors can typically endure significant overloads (on the order of two times their rating), and can endure smaller overloads for longer durations without damage. The utilities may need to be aware of these situations and take corrective action if thermal events reach the level of emergency. This is the case with a 12-value LGP or even traditional full export interconnections today, so monitoring and procedures that address those cases could be extended to apply to LGPs with more than 12 values as well.</w:t>
      </w:r>
    </w:p>
    <w:p w:rsidR="003D39C3" w:rsidP="003D39C3" w:rsidRDefault="003D39C3" w14:paraId="1D7619D1"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In conclusion, IREC wr</w:t>
      </w:r>
      <w:r w:rsidR="00302317">
        <w:rPr>
          <w:rFonts w:ascii="Palatino Linotype" w:hAnsi="Palatino Linotype" w:cstheme="minorHAnsi"/>
          <w:color w:val="000000" w:themeColor="text1"/>
          <w:sz w:val="24"/>
          <w:szCs w:val="24"/>
        </w:rPr>
        <w:t xml:space="preserve">ites </w:t>
      </w:r>
      <w:r w:rsidRPr="00D22027">
        <w:rPr>
          <w:rFonts w:ascii="Palatino Linotype" w:hAnsi="Palatino Linotype" w:cstheme="minorHAnsi"/>
          <w:color w:val="000000" w:themeColor="text1"/>
          <w:sz w:val="24"/>
          <w:szCs w:val="24"/>
        </w:rPr>
        <w:t xml:space="preserve">that the Commission should “reject the utility’s extremely limited and unproductive proposal for a 12-value monthly configuration. In its place, the Commission should allow applicants to propose LGPs, based upon the ICA at the point of interconnection, so long as it does not exceed 24 values. If the Commission would like to place more limits around the 24 values, it should direct the use of a configuration that allows for blocks that vary during the day, but also on a monthly or quarterly basis. This approach will allow projects to design configurations that take </w:t>
      </w:r>
      <w:r w:rsidRPr="00D22027">
        <w:rPr>
          <w:rFonts w:ascii="Palatino Linotype" w:hAnsi="Palatino Linotype" w:cstheme="minorHAnsi"/>
          <w:color w:val="000000" w:themeColor="text1"/>
          <w:sz w:val="24"/>
          <w:szCs w:val="24"/>
        </w:rPr>
        <w:lastRenderedPageBreak/>
        <w:t>advantage of the specific daily and seasonal peak periods that arise at the project’s proposed location on the grid.”</w:t>
      </w:r>
      <w:r>
        <w:rPr>
          <w:rStyle w:val="FootnoteReference"/>
          <w:rFonts w:ascii="Palatino Linotype" w:hAnsi="Palatino Linotype" w:cstheme="minorHAnsi"/>
          <w:color w:val="000000" w:themeColor="text1"/>
          <w:sz w:val="24"/>
          <w:szCs w:val="24"/>
        </w:rPr>
        <w:footnoteReference w:id="201"/>
      </w:r>
    </w:p>
    <w:p w:rsidR="003D39C3" w:rsidP="003D39C3" w:rsidRDefault="003D39C3" w14:paraId="56C93932"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The Large IOUs respond to Cal Advocates, saying that benefits have not been quantified and thus the Cal</w:t>
      </w:r>
      <w:r>
        <w:rPr>
          <w:rFonts w:ascii="Palatino Linotype" w:hAnsi="Palatino Linotype" w:cstheme="minorHAnsi"/>
          <w:iCs/>
          <w:sz w:val="24"/>
          <w:szCs w:val="24"/>
        </w:rPr>
        <w:t xml:space="preserve"> </w:t>
      </w:r>
      <w:r w:rsidRPr="00D22027">
        <w:rPr>
          <w:rFonts w:ascii="Palatino Linotype" w:hAnsi="Palatino Linotype" w:cstheme="minorHAnsi"/>
          <w:iCs/>
          <w:sz w:val="24"/>
          <w:szCs w:val="24"/>
        </w:rPr>
        <w:t>Advocates claim that utilities are ignoring the benefit-risk balance is false:</w:t>
      </w:r>
    </w:p>
    <w:p w:rsidR="003D39C3" w:rsidP="003D39C3" w:rsidRDefault="003D39C3" w14:paraId="00A41DF1"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To date, none of the analysis, including the analysis presented by Cal Advocates, have shown that the “benefits” provided by an alternative to the Joint Utilities’ proposal, would offset the consequences of the associated risks. Indeed, while there is a general expectation that increased exports will provide “benefits,” no party has quantified the economic value of these benefits nor the share, if any, of this economic value that will accrue to ratepayers rather than to the owners of the interconnecting generators.</w:t>
      </w:r>
      <w:r>
        <w:rPr>
          <w:rStyle w:val="FootnoteReference"/>
          <w:rFonts w:ascii="Palatino Linotype" w:hAnsi="Palatino Linotype" w:cstheme="minorHAnsi"/>
          <w:iCs/>
          <w:sz w:val="24"/>
          <w:szCs w:val="24"/>
        </w:rPr>
        <w:footnoteReference w:id="202"/>
      </w:r>
    </w:p>
    <w:p w:rsidRPr="00D22027" w:rsidR="003D39C3" w:rsidP="003D39C3" w:rsidRDefault="003D39C3" w14:paraId="331D53CF"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color w:val="000000" w:themeColor="text1"/>
          <w:sz w:val="24"/>
          <w:szCs w:val="24"/>
        </w:rPr>
        <w:t>The Large IOUs dismiss Cal Advocates assertion that that their proposal is “unjust and unreasonable</w:t>
      </w:r>
      <w:r w:rsidR="007F452A">
        <w:rPr>
          <w:rFonts w:ascii="Palatino Linotype" w:hAnsi="Palatino Linotype" w:cstheme="minorHAnsi"/>
          <w:color w:val="000000" w:themeColor="text1"/>
          <w:sz w:val="24"/>
          <w:szCs w:val="24"/>
        </w:rPr>
        <w:t>,</w:t>
      </w:r>
      <w:r w:rsidRPr="00D22027">
        <w:rPr>
          <w:rFonts w:ascii="Palatino Linotype" w:hAnsi="Palatino Linotype" w:cstheme="minorHAnsi"/>
          <w:color w:val="000000" w:themeColor="text1"/>
          <w:sz w:val="24"/>
          <w:szCs w:val="24"/>
        </w:rPr>
        <w:t>” s</w:t>
      </w:r>
      <w:r w:rsidR="00BE7531">
        <w:rPr>
          <w:rFonts w:ascii="Palatino Linotype" w:hAnsi="Palatino Linotype" w:cstheme="minorHAnsi"/>
          <w:color w:val="000000" w:themeColor="text1"/>
          <w:sz w:val="24"/>
          <w:szCs w:val="24"/>
        </w:rPr>
        <w:t xml:space="preserve">tating </w:t>
      </w:r>
      <w:r w:rsidRPr="00D22027">
        <w:rPr>
          <w:rFonts w:ascii="Palatino Linotype" w:hAnsi="Palatino Linotype" w:cstheme="minorHAnsi"/>
          <w:color w:val="000000" w:themeColor="text1"/>
          <w:sz w:val="24"/>
          <w:szCs w:val="24"/>
        </w:rPr>
        <w:t xml:space="preserve">that this characterization is based on the fact that particular </w:t>
      </w:r>
      <w:r w:rsidR="00D02F1F">
        <w:rPr>
          <w:rFonts w:ascii="Palatino Linotype" w:hAnsi="Palatino Linotype" w:cstheme="minorHAnsi"/>
          <w:color w:val="000000" w:themeColor="text1"/>
          <w:sz w:val="24"/>
          <w:szCs w:val="24"/>
        </w:rPr>
        <w:br/>
      </w:r>
      <w:r w:rsidRPr="00D22027">
        <w:rPr>
          <w:rFonts w:ascii="Palatino Linotype" w:hAnsi="Palatino Linotype" w:cstheme="minorHAnsi"/>
          <w:color w:val="000000" w:themeColor="text1"/>
          <w:sz w:val="24"/>
          <w:szCs w:val="24"/>
        </w:rPr>
        <w:t xml:space="preserve">24-value configurations on particular circuits show reduced risk compared to the </w:t>
      </w:r>
      <w:r w:rsidR="00D02F1F">
        <w:rPr>
          <w:rFonts w:ascii="Palatino Linotype" w:hAnsi="Palatino Linotype" w:cstheme="minorHAnsi"/>
          <w:color w:val="000000" w:themeColor="text1"/>
          <w:sz w:val="24"/>
          <w:szCs w:val="24"/>
        </w:rPr>
        <w:br/>
      </w:r>
      <w:r w:rsidRPr="00D22027">
        <w:rPr>
          <w:rFonts w:ascii="Palatino Linotype" w:hAnsi="Palatino Linotype" w:cstheme="minorHAnsi"/>
          <w:color w:val="000000" w:themeColor="text1"/>
          <w:sz w:val="24"/>
          <w:szCs w:val="24"/>
        </w:rPr>
        <w:t xml:space="preserve">12-value configuration, </w:t>
      </w:r>
      <w:r w:rsidR="00BE7531">
        <w:rPr>
          <w:rFonts w:ascii="Palatino Linotype" w:hAnsi="Palatino Linotype" w:cstheme="minorHAnsi"/>
          <w:color w:val="000000" w:themeColor="text1"/>
          <w:sz w:val="24"/>
          <w:szCs w:val="24"/>
        </w:rPr>
        <w:t xml:space="preserve">but </w:t>
      </w:r>
      <w:r w:rsidRPr="00D22027">
        <w:rPr>
          <w:rFonts w:ascii="Palatino Linotype" w:hAnsi="Palatino Linotype" w:cstheme="minorHAnsi"/>
          <w:color w:val="000000" w:themeColor="text1"/>
          <w:sz w:val="24"/>
          <w:szCs w:val="24"/>
        </w:rPr>
        <w:t xml:space="preserve">that </w:t>
      </w:r>
      <w:r w:rsidR="00BE7531">
        <w:rPr>
          <w:rFonts w:ascii="Palatino Linotype" w:hAnsi="Palatino Linotype" w:cstheme="minorHAnsi"/>
          <w:color w:val="000000" w:themeColor="text1"/>
          <w:sz w:val="24"/>
          <w:szCs w:val="24"/>
        </w:rPr>
        <w:t xml:space="preserve">does not </w:t>
      </w:r>
      <w:r w:rsidRPr="00D22027">
        <w:rPr>
          <w:rFonts w:ascii="Palatino Linotype" w:hAnsi="Palatino Linotype" w:cstheme="minorHAnsi"/>
          <w:color w:val="000000" w:themeColor="text1"/>
          <w:sz w:val="24"/>
          <w:szCs w:val="24"/>
        </w:rPr>
        <w:t>invalidate the Large IOUs’ conclusions or positions.</w:t>
      </w:r>
    </w:p>
    <w:p w:rsidR="003D39C3" w:rsidP="003D39C3" w:rsidRDefault="003D39C3" w14:paraId="0724FAF4" w14:textId="77777777">
      <w:pPr>
        <w:pStyle w:val="Body"/>
        <w:snapToGrid w:val="0"/>
        <w:rPr>
          <w:rFonts w:ascii="Palatino Linotype" w:hAnsi="Palatino Linotype" w:cstheme="minorHAnsi"/>
          <w:iCs/>
          <w:sz w:val="24"/>
          <w:szCs w:val="24"/>
        </w:rPr>
      </w:pPr>
      <w:r w:rsidRPr="00D22027">
        <w:rPr>
          <w:rFonts w:ascii="Palatino Linotype" w:hAnsi="Palatino Linotype" w:cstheme="minorHAnsi"/>
          <w:color w:val="000000" w:themeColor="text1"/>
          <w:sz w:val="24"/>
          <w:szCs w:val="24"/>
        </w:rPr>
        <w:t xml:space="preserve"> </w:t>
      </w:r>
      <w:r w:rsidRPr="00D22027">
        <w:rPr>
          <w:rFonts w:ascii="Palatino Linotype" w:hAnsi="Palatino Linotype" w:cstheme="minorHAnsi"/>
          <w:iCs/>
          <w:sz w:val="24"/>
          <w:szCs w:val="24"/>
        </w:rPr>
        <w:t>The Large IOUs respond</w:t>
      </w:r>
      <w:r w:rsidR="00302317">
        <w:rPr>
          <w:rFonts w:ascii="Palatino Linotype" w:hAnsi="Palatino Linotype" w:cstheme="minorHAnsi"/>
          <w:iCs/>
          <w:sz w:val="24"/>
          <w:szCs w:val="24"/>
        </w:rPr>
        <w:t xml:space="preserve"> </w:t>
      </w:r>
      <w:r w:rsidRPr="00D22027">
        <w:rPr>
          <w:rFonts w:ascii="Palatino Linotype" w:hAnsi="Palatino Linotype" w:cstheme="minorHAnsi"/>
          <w:iCs/>
          <w:sz w:val="24"/>
          <w:szCs w:val="24"/>
        </w:rPr>
        <w:t>to the IREC protest, s</w:t>
      </w:r>
      <w:r w:rsidR="00302317">
        <w:rPr>
          <w:rFonts w:ascii="Palatino Linotype" w:hAnsi="Palatino Linotype" w:cstheme="minorHAnsi"/>
          <w:iCs/>
          <w:sz w:val="24"/>
          <w:szCs w:val="24"/>
        </w:rPr>
        <w:t xml:space="preserve">tating </w:t>
      </w:r>
      <w:r w:rsidRPr="00D22027">
        <w:rPr>
          <w:rFonts w:ascii="Palatino Linotype" w:hAnsi="Palatino Linotype" w:cstheme="minorHAnsi"/>
          <w:iCs/>
          <w:sz w:val="24"/>
          <w:szCs w:val="24"/>
        </w:rPr>
        <w:t>that some of the</w:t>
      </w:r>
      <w:r w:rsidR="00302317">
        <w:rPr>
          <w:rFonts w:ascii="Palatino Linotype" w:hAnsi="Palatino Linotype" w:cstheme="minorHAnsi"/>
          <w:iCs/>
          <w:sz w:val="24"/>
          <w:szCs w:val="24"/>
        </w:rPr>
        <w:t>ir</w:t>
      </w:r>
      <w:r w:rsidRPr="00D22027">
        <w:rPr>
          <w:rFonts w:ascii="Palatino Linotype" w:hAnsi="Palatino Linotype" w:cstheme="minorHAnsi"/>
          <w:iCs/>
          <w:sz w:val="24"/>
          <w:szCs w:val="24"/>
        </w:rPr>
        <w:t xml:space="preserve"> analyses do represent a large and statistically significant data sample:</w:t>
      </w:r>
    </w:p>
    <w:p w:rsidR="003D39C3" w:rsidP="003D39C3" w:rsidRDefault="003D39C3" w14:paraId="30BC1DF3" w14:textId="77777777">
      <w:pPr>
        <w:spacing w:after="200" w:line="276" w:lineRule="auto"/>
        <w:ind w:left="720"/>
        <w:rPr>
          <w:rFonts w:cstheme="minorHAnsi"/>
        </w:rPr>
      </w:pPr>
      <w:r w:rsidRPr="00D22027">
        <w:rPr>
          <w:rFonts w:cstheme="minorHAnsi"/>
        </w:rPr>
        <w:t>The Joint Utilities disagree with IREC that “both IREC and the utilities’ analyses are based on a miniscule data set when one considers the overall number of nodes on these systems.” PG&amp;E performed analysis on more than 10% of PG&amp;E circuits, around 339 circuits comprised of 155,000 line-sections. This equates to about 44 million line-section-hours, which is a statistically significant data sample.</w:t>
      </w:r>
      <w:r>
        <w:rPr>
          <w:rStyle w:val="FootnoteReference"/>
          <w:rFonts w:cstheme="minorHAnsi"/>
        </w:rPr>
        <w:footnoteReference w:id="203"/>
      </w:r>
    </w:p>
    <w:p w:rsidR="003D39C3" w:rsidP="003D39C3" w:rsidRDefault="003D39C3" w14:paraId="3BD5B10E" w14:textId="77777777">
      <w:pPr>
        <w:spacing w:after="200" w:line="276" w:lineRule="auto"/>
        <w:rPr>
          <w:rFonts w:cstheme="minorHAnsi"/>
        </w:rPr>
      </w:pPr>
      <w:r w:rsidRPr="00D22027">
        <w:rPr>
          <w:rFonts w:cstheme="minorHAnsi"/>
        </w:rPr>
        <w:t xml:space="preserve">The Large IOUs strongly oppose IREC’s proposal to “allow applicants to propose LGPs, based upon the ICA at the point of interconnection, so long as it does not exceed </w:t>
      </w:r>
      <w:r w:rsidR="00D02F1F">
        <w:rPr>
          <w:rFonts w:cstheme="minorHAnsi"/>
        </w:rPr>
        <w:br/>
      </w:r>
      <w:r w:rsidRPr="00D22027">
        <w:rPr>
          <w:rFonts w:cstheme="minorHAnsi"/>
        </w:rPr>
        <w:lastRenderedPageBreak/>
        <w:t xml:space="preserve">24 values.” The Large IOUs </w:t>
      </w:r>
      <w:r w:rsidR="00FB1BB0">
        <w:rPr>
          <w:rFonts w:cstheme="minorHAnsi"/>
        </w:rPr>
        <w:t xml:space="preserve">state </w:t>
      </w:r>
      <w:r w:rsidRPr="00D22027">
        <w:rPr>
          <w:rFonts w:cstheme="minorHAnsi"/>
        </w:rPr>
        <w:t>that there are an enormous number of possible LGPs under IREC’s “free style” 24</w:t>
      </w:r>
      <w:r w:rsidR="00FB1BB0">
        <w:rPr>
          <w:rFonts w:cstheme="minorHAnsi"/>
        </w:rPr>
        <w:t>-value p</w:t>
      </w:r>
      <w:r w:rsidRPr="00D22027">
        <w:rPr>
          <w:rFonts w:cstheme="minorHAnsi"/>
        </w:rPr>
        <w:t>roposal, almost none of which have been assessed at a system-wide level. Absent analysis, at least as rigorous as PG&amp;E’s, each “free style” 24</w:t>
      </w:r>
      <w:r w:rsidR="00FB1BB0">
        <w:rPr>
          <w:rFonts w:cstheme="minorHAnsi"/>
        </w:rPr>
        <w:t>-</w:t>
      </w:r>
      <w:r w:rsidRPr="00D22027">
        <w:rPr>
          <w:rFonts w:cstheme="minorHAnsi"/>
        </w:rPr>
        <w:t xml:space="preserve">value configurations would constitute “unquantified” risk. </w:t>
      </w:r>
    </w:p>
    <w:p w:rsidR="003D39C3" w:rsidP="003D39C3" w:rsidRDefault="003D39C3" w14:paraId="0FF64A02" w14:textId="77777777">
      <w:pPr>
        <w:spacing w:after="200" w:line="276" w:lineRule="auto"/>
        <w:rPr>
          <w:rFonts w:cstheme="minorHAnsi"/>
        </w:rPr>
      </w:pPr>
      <w:r w:rsidRPr="00D22027">
        <w:rPr>
          <w:rFonts w:cstheme="minorHAnsi"/>
        </w:rPr>
        <w:t xml:space="preserve">The Large IOUs </w:t>
      </w:r>
      <w:r w:rsidR="007F452A">
        <w:rPr>
          <w:rFonts w:cstheme="minorHAnsi"/>
        </w:rPr>
        <w:t xml:space="preserve">dispute </w:t>
      </w:r>
      <w:r w:rsidRPr="00D22027">
        <w:rPr>
          <w:rFonts w:cstheme="minorHAnsi"/>
        </w:rPr>
        <w:t xml:space="preserve">IREC’s contention, from </w:t>
      </w:r>
      <w:r w:rsidR="007F452A">
        <w:rPr>
          <w:rFonts w:cstheme="minorHAnsi"/>
        </w:rPr>
        <w:t xml:space="preserve">IREC’s </w:t>
      </w:r>
      <w:r w:rsidRPr="00D22027">
        <w:rPr>
          <w:rFonts w:cstheme="minorHAnsi"/>
        </w:rPr>
        <w:t>own analysis of 24-value configurations, that at least some 24-value configurations do not increase risks. The Large IOUs s</w:t>
      </w:r>
      <w:r w:rsidR="00FB1BB0">
        <w:rPr>
          <w:rFonts w:cstheme="minorHAnsi"/>
        </w:rPr>
        <w:t xml:space="preserve">tate </w:t>
      </w:r>
      <w:r w:rsidRPr="00D22027">
        <w:rPr>
          <w:rFonts w:cstheme="minorHAnsi"/>
        </w:rPr>
        <w:t>that IREC’s analysis of one 24-value configuration shows increased risks and that one of the five nodes analyzed by SCE also shows increased violations.</w:t>
      </w:r>
    </w:p>
    <w:p w:rsidR="003D39C3" w:rsidP="003D39C3" w:rsidRDefault="00D97A4E" w14:paraId="7681D756" w14:textId="77777777">
      <w:pPr>
        <w:pStyle w:val="Body"/>
        <w:snapToGrid w:val="0"/>
        <w:rPr>
          <w:rFonts w:ascii="Palatino Linotype" w:hAnsi="Palatino Linotype" w:cstheme="minorHAnsi"/>
          <w:iCs/>
          <w:sz w:val="24"/>
          <w:szCs w:val="24"/>
        </w:rPr>
      </w:pPr>
      <w:r>
        <w:rPr>
          <w:rFonts w:ascii="Palatino Linotype" w:hAnsi="Palatino Linotype" w:cstheme="minorHAnsi"/>
          <w:iCs/>
          <w:sz w:val="24"/>
          <w:szCs w:val="24"/>
        </w:rPr>
        <w:t>W</w:t>
      </w:r>
      <w:r w:rsidRPr="00D22027" w:rsidR="003D39C3">
        <w:rPr>
          <w:rFonts w:ascii="Palatino Linotype" w:hAnsi="Palatino Linotype" w:cstheme="minorHAnsi"/>
          <w:iCs/>
          <w:sz w:val="24"/>
          <w:szCs w:val="24"/>
        </w:rPr>
        <w:t>e now turn to dispose of which LGP configuration to adopt and the number of unique LGP values. We find that the data and analysis provided by the Large IOUs in the Joint May LGP Advice Letter</w:t>
      </w:r>
      <w:r w:rsidR="00434F97">
        <w:rPr>
          <w:rFonts w:ascii="Palatino Linotype" w:hAnsi="Palatino Linotype" w:cstheme="minorHAnsi"/>
          <w:iCs/>
          <w:sz w:val="24"/>
          <w:szCs w:val="24"/>
        </w:rPr>
        <w:t>s</w:t>
      </w:r>
      <w:r w:rsidRPr="00D22027" w:rsidR="003D39C3">
        <w:rPr>
          <w:rFonts w:ascii="Palatino Linotype" w:hAnsi="Palatino Linotype" w:cstheme="minorHAnsi"/>
          <w:iCs/>
          <w:sz w:val="24"/>
          <w:szCs w:val="24"/>
        </w:rPr>
        <w:t xml:space="preserve"> and in the associated Protests, taken together with the additional data provided in the Large IOUs Supplemental Advice Letter</w:t>
      </w:r>
      <w:r w:rsidR="00434F97">
        <w:rPr>
          <w:rFonts w:ascii="Palatino Linotype" w:hAnsi="Palatino Linotype" w:cstheme="minorHAnsi"/>
          <w:iCs/>
          <w:sz w:val="24"/>
          <w:szCs w:val="24"/>
        </w:rPr>
        <w:t>s</w:t>
      </w:r>
      <w:r w:rsidRPr="00D22027" w:rsidR="003D39C3">
        <w:rPr>
          <w:rFonts w:ascii="Palatino Linotype" w:hAnsi="Palatino Linotype" w:cstheme="minorHAnsi"/>
          <w:iCs/>
          <w:sz w:val="24"/>
          <w:szCs w:val="24"/>
        </w:rPr>
        <w:t xml:space="preserve"> and Responses to the Energy Division Data Request, provide a sufficient basis to evaluate the risks and benefits of the different LGP configurations considered and to determine which LGP configuration to adopt for the LGP option.  </w:t>
      </w:r>
    </w:p>
    <w:p w:rsidR="003D39C3" w:rsidP="003D39C3" w:rsidRDefault="003D39C3" w14:paraId="6E2EE950" w14:textId="77777777">
      <w:pPr>
        <w:pStyle w:val="Body"/>
        <w:snapToGrid w:val="0"/>
        <w:rPr>
          <w:rFonts w:ascii="Palatino Linotype" w:hAnsi="Palatino Linotype" w:cstheme="minorHAnsi"/>
          <w:color w:val="000000" w:themeColor="text1"/>
          <w:sz w:val="24"/>
          <w:szCs w:val="24"/>
        </w:rPr>
      </w:pPr>
      <w:r w:rsidRPr="00D22027">
        <w:rPr>
          <w:rFonts w:ascii="Palatino Linotype" w:hAnsi="Palatino Linotype" w:cstheme="minorHAnsi"/>
          <w:iCs/>
          <w:sz w:val="24"/>
          <w:szCs w:val="24"/>
        </w:rPr>
        <w:t xml:space="preserve">Fundamentally, </w:t>
      </w:r>
      <w:r w:rsidRPr="00D22027">
        <w:rPr>
          <w:rFonts w:ascii="Palatino Linotype" w:hAnsi="Palatino Linotype" w:cstheme="minorHAnsi"/>
          <w:color w:val="000000" w:themeColor="text1"/>
          <w:sz w:val="24"/>
          <w:szCs w:val="24"/>
        </w:rPr>
        <w:t>the determination of which LGP configuration to adopt should balance safety and reliability risks against the benefits of increased energy and power exports from LGP projects, particularly at peak-load times when the grid especially benefits from added generation capacity.  Such increased energy and power exports benefit both interconnection customers and ratepayers. Further, such benefits can incentivize more DERs, and such DERs if exporting under the Net Billing Tariff will export power at the Avoided Cost Calculator (ACC) rate that considers benefits to ratepayers.</w:t>
      </w:r>
    </w:p>
    <w:p w:rsidR="003D39C3" w:rsidP="003D39C3" w:rsidRDefault="003D39C3" w14:paraId="18B991A2" w14:textId="77777777">
      <w:pPr>
        <w:pStyle w:val="Body"/>
        <w:snapToGrid w:val="0"/>
        <w:rPr>
          <w:rFonts w:ascii="Palatino Linotype" w:hAnsi="Palatino Linotype" w:cstheme="minorBidi"/>
          <w:sz w:val="24"/>
          <w:szCs w:val="24"/>
        </w:rPr>
      </w:pPr>
      <w:r w:rsidRPr="00D22027">
        <w:rPr>
          <w:rFonts w:ascii="Palatino Linotype" w:hAnsi="Palatino Linotype" w:cstheme="minorBidi"/>
          <w:sz w:val="24"/>
          <w:szCs w:val="24"/>
        </w:rPr>
        <w:t xml:space="preserve">We base our determination of which LGP configuration should be adopted on the following five criteria:  An LGP configuration should: (1) maximize the available hosting capacity (with the adopted 10% buffer); (2) minimize risk to safety and reliability; (3) have a low likelihood of causing upgrades should grid loading shift following interconnection. (4) maximize power output from LGP projects; and </w:t>
      </w:r>
      <w:r w:rsidR="00D02F1F">
        <w:rPr>
          <w:rFonts w:ascii="Palatino Linotype" w:hAnsi="Palatino Linotype" w:cstheme="minorBidi"/>
          <w:sz w:val="24"/>
          <w:szCs w:val="24"/>
        </w:rPr>
        <w:br/>
      </w:r>
      <w:r w:rsidRPr="00D22027">
        <w:rPr>
          <w:rFonts w:ascii="Palatino Linotype" w:hAnsi="Palatino Linotype" w:cstheme="minorBidi"/>
          <w:sz w:val="24"/>
          <w:szCs w:val="24"/>
        </w:rPr>
        <w:t xml:space="preserve">(5) maximize aggregate annual energy output from LGP projects; </w:t>
      </w:r>
    </w:p>
    <w:p w:rsidR="003D39C3" w:rsidP="003D39C3" w:rsidRDefault="003D39C3" w14:paraId="2214B92A"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 xml:space="preserve">Given the limited data set used in the analysis and the lack of real-world experience using LGP configurations and the ICA for interconnection purposes, we note there remains much to be learned on how the differing LGP configurations will perform to </w:t>
      </w:r>
      <w:r w:rsidRPr="00D22027">
        <w:rPr>
          <w:rFonts w:ascii="Palatino Linotype" w:hAnsi="Palatino Linotype" w:cstheme="minorHAnsi"/>
          <w:iCs/>
          <w:sz w:val="24"/>
          <w:szCs w:val="24"/>
        </w:rPr>
        <w:lastRenderedPageBreak/>
        <w:t xml:space="preserve">meet the criteria stated above.   The adoption of LGP projects and the data monitoring and reporting ordered in this Resolution should inform the Commission on how the LGP option will be modified during its second iteration. Due to these limitations, we rely not only on purely analytical determinations, but also an objective judgement to choose the LGP configurations to meet our five criteria. </w:t>
      </w:r>
    </w:p>
    <w:p w:rsidR="00D04887" w:rsidP="003D39C3" w:rsidRDefault="003D39C3" w14:paraId="10103469" w14:textId="77777777">
      <w:pPr>
        <w:pStyle w:val="Body"/>
        <w:snapToGrid w:val="0"/>
        <w:rPr>
          <w:rFonts w:ascii="Palatino Linotype" w:hAnsi="Palatino Linotype" w:cstheme="minorHAnsi"/>
          <w:iCs/>
          <w:sz w:val="24"/>
          <w:szCs w:val="24"/>
        </w:rPr>
      </w:pPr>
      <w:r w:rsidRPr="00D22027">
        <w:rPr>
          <w:rFonts w:ascii="Palatino Linotype" w:hAnsi="Palatino Linotype" w:cstheme="minorHAnsi"/>
          <w:sz w:val="24"/>
          <w:szCs w:val="24"/>
        </w:rPr>
        <w:t>The analyses provided by the Large IOUs in the Joint May LGP Advice Letter</w:t>
      </w:r>
      <w:r w:rsidR="00C1228C">
        <w:rPr>
          <w:rFonts w:ascii="Palatino Linotype" w:hAnsi="Palatino Linotype" w:cstheme="minorHAnsi"/>
          <w:sz w:val="24"/>
          <w:szCs w:val="24"/>
        </w:rPr>
        <w:t>s</w:t>
      </w:r>
      <w:r w:rsidRPr="00D22027">
        <w:rPr>
          <w:rFonts w:ascii="Palatino Linotype" w:hAnsi="Palatino Linotype" w:cstheme="minorHAnsi"/>
          <w:sz w:val="24"/>
          <w:szCs w:val="24"/>
        </w:rPr>
        <w:t xml:space="preserve">, in the Advice Letter Supplements, and in their responses to the Data Request, showed </w:t>
      </w:r>
      <w:r w:rsidR="00D04887">
        <w:rPr>
          <w:rFonts w:ascii="Palatino Linotype" w:hAnsi="Palatino Linotype" w:cstheme="minorHAnsi"/>
          <w:sz w:val="24"/>
          <w:szCs w:val="24"/>
        </w:rPr>
        <w:t xml:space="preserve">significantly </w:t>
      </w:r>
      <w:r w:rsidRPr="00D22027">
        <w:rPr>
          <w:rFonts w:ascii="Palatino Linotype" w:hAnsi="Palatino Linotype" w:cstheme="minorHAnsi"/>
          <w:sz w:val="24"/>
          <w:szCs w:val="24"/>
        </w:rPr>
        <w:t>e</w:t>
      </w:r>
      <w:r w:rsidRPr="00D22027">
        <w:rPr>
          <w:rFonts w:ascii="Palatino Linotype" w:hAnsi="Palatino Linotype" w:cstheme="minorHAnsi"/>
          <w:iCs/>
          <w:sz w:val="24"/>
          <w:szCs w:val="24"/>
        </w:rPr>
        <w:t>levated numbers of violations</w:t>
      </w:r>
      <w:r w:rsidRPr="00D22027">
        <w:rPr>
          <w:rFonts w:ascii="Palatino Linotype" w:hAnsi="Palatino Linotype" w:cstheme="minorHAnsi"/>
          <w:sz w:val="24"/>
          <w:szCs w:val="24"/>
        </w:rPr>
        <w:t xml:space="preserve"> for both the 288-value (“288-LGP”) and the 84-value (“16-21-hourly”) configuration</w:t>
      </w:r>
      <w:r w:rsidRPr="00D22027">
        <w:rPr>
          <w:rFonts w:ascii="Palatino Linotype" w:hAnsi="Palatino Linotype" w:cstheme="minorHAnsi"/>
          <w:iCs/>
          <w:sz w:val="24"/>
          <w:szCs w:val="24"/>
        </w:rPr>
        <w:t>, when compared with the LGP configurations of 12 or 24 values. We find that data persuasive</w:t>
      </w:r>
      <w:r w:rsidR="00D04887">
        <w:rPr>
          <w:rFonts w:ascii="Palatino Linotype" w:hAnsi="Palatino Linotype" w:cstheme="minorHAnsi"/>
          <w:iCs/>
          <w:sz w:val="24"/>
          <w:szCs w:val="24"/>
        </w:rPr>
        <w:t xml:space="preserve"> and </w:t>
      </w:r>
      <w:r w:rsidRPr="00D22027">
        <w:rPr>
          <w:rFonts w:ascii="Palatino Linotype" w:hAnsi="Palatino Linotype" w:cstheme="minorHAnsi"/>
          <w:iCs/>
          <w:sz w:val="24"/>
          <w:szCs w:val="24"/>
        </w:rPr>
        <w:t>therefore reject the use of a</w:t>
      </w:r>
      <w:r w:rsidR="00D04887">
        <w:rPr>
          <w:rFonts w:ascii="Palatino Linotype" w:hAnsi="Palatino Linotype" w:cstheme="minorHAnsi"/>
          <w:iCs/>
          <w:sz w:val="24"/>
          <w:szCs w:val="24"/>
        </w:rPr>
        <w:t>n</w:t>
      </w:r>
      <w:r w:rsidRPr="00D22027">
        <w:rPr>
          <w:rFonts w:ascii="Palatino Linotype" w:hAnsi="Palatino Linotype" w:cstheme="minorHAnsi"/>
          <w:iCs/>
          <w:sz w:val="24"/>
          <w:szCs w:val="24"/>
        </w:rPr>
        <w:t xml:space="preserve"> LGP configuration of more than 24 </w:t>
      </w:r>
      <w:r w:rsidR="00521268">
        <w:rPr>
          <w:rFonts w:ascii="Palatino Linotype" w:hAnsi="Palatino Linotype" w:cstheme="minorHAnsi"/>
          <w:iCs/>
          <w:sz w:val="24"/>
          <w:szCs w:val="24"/>
        </w:rPr>
        <w:t xml:space="preserve">unique </w:t>
      </w:r>
      <w:r w:rsidRPr="00D22027">
        <w:rPr>
          <w:rFonts w:ascii="Palatino Linotype" w:hAnsi="Palatino Linotype" w:cstheme="minorHAnsi"/>
          <w:iCs/>
          <w:sz w:val="24"/>
          <w:szCs w:val="24"/>
        </w:rPr>
        <w:t xml:space="preserve">values </w:t>
      </w:r>
      <w:r w:rsidR="00521268">
        <w:rPr>
          <w:rFonts w:ascii="Palatino Linotype" w:hAnsi="Palatino Linotype" w:cstheme="minorHAnsi"/>
          <w:iCs/>
          <w:sz w:val="24"/>
          <w:szCs w:val="24"/>
        </w:rPr>
        <w:t>per year</w:t>
      </w:r>
      <w:r w:rsidRPr="00D22027">
        <w:rPr>
          <w:rFonts w:ascii="Palatino Linotype" w:hAnsi="Palatino Linotype" w:cstheme="minorHAnsi"/>
          <w:iCs/>
          <w:sz w:val="24"/>
          <w:szCs w:val="24"/>
        </w:rPr>
        <w:t xml:space="preserve">.  </w:t>
      </w:r>
    </w:p>
    <w:p w:rsidR="003D39C3" w:rsidP="003D39C3" w:rsidRDefault="001C05E5" w14:paraId="58B763CE" w14:textId="77777777">
      <w:pPr>
        <w:pStyle w:val="Body"/>
        <w:snapToGrid w:val="0"/>
        <w:rPr>
          <w:rFonts w:ascii="Palatino Linotype" w:hAnsi="Palatino Linotype" w:cstheme="minorHAnsi"/>
          <w:color w:val="000000" w:themeColor="text1"/>
          <w:sz w:val="24"/>
          <w:szCs w:val="24"/>
        </w:rPr>
      </w:pPr>
      <w:r>
        <w:rPr>
          <w:rFonts w:ascii="Palatino Linotype" w:hAnsi="Palatino Linotype" w:cstheme="minorHAnsi"/>
          <w:iCs/>
          <w:sz w:val="24"/>
          <w:szCs w:val="24"/>
        </w:rPr>
        <w:t>W</w:t>
      </w:r>
      <w:r w:rsidRPr="00D22027" w:rsidR="003D39C3">
        <w:rPr>
          <w:rFonts w:ascii="Palatino Linotype" w:hAnsi="Palatino Linotype" w:cstheme="minorHAnsi"/>
          <w:iCs/>
          <w:sz w:val="24"/>
          <w:szCs w:val="24"/>
        </w:rPr>
        <w:t>e agree with IREC’s arguments t</w:t>
      </w:r>
      <w:r w:rsidRPr="00D22027" w:rsidR="003D39C3">
        <w:rPr>
          <w:rFonts w:ascii="Palatino Linotype" w:hAnsi="Palatino Linotype" w:cstheme="minorHAnsi"/>
          <w:color w:val="000000" w:themeColor="text1"/>
          <w:sz w:val="24"/>
          <w:szCs w:val="24"/>
        </w:rPr>
        <w:t>hat (a) the Commission should adopt a 24-value configuration</w:t>
      </w:r>
      <w:r w:rsidR="00734EA8">
        <w:rPr>
          <w:rFonts w:ascii="Palatino Linotype" w:hAnsi="Palatino Linotype" w:cstheme="minorHAnsi"/>
          <w:color w:val="000000" w:themeColor="text1"/>
          <w:sz w:val="24"/>
          <w:szCs w:val="24"/>
        </w:rPr>
        <w:t xml:space="preserve"> (24 unique values per year)</w:t>
      </w:r>
      <w:r w:rsidRPr="00D22027" w:rsidR="003D39C3">
        <w:rPr>
          <w:rFonts w:ascii="Palatino Linotype" w:hAnsi="Palatino Linotype" w:cstheme="minorHAnsi"/>
          <w:color w:val="000000" w:themeColor="text1"/>
          <w:sz w:val="24"/>
          <w:szCs w:val="24"/>
        </w:rPr>
        <w:t>; (b) the Commission should understand the factors, beyond the purely quantitative analyses conducted, that point to why many violations can be minor, infrequent, and readily subject to mitigations; (c) voltage violations may not rise to the need for mitigations, already occur routinely, and are already mitigated by smart inverter functions; and (d) impacts of short-duration thermal violations can arise with any varying distribution grid conditions and also with 12-value-configuration LGP projects.</w:t>
      </w:r>
    </w:p>
    <w:p w:rsidR="003D39C3" w:rsidP="003D39C3" w:rsidRDefault="003D39C3" w14:paraId="0E7CB081"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 xml:space="preserve">We find, therefore, that based on all the data provided and our five criteria above, it is reasonable to adopt a 24-value configuration for the LGP option.  We conclude that </w:t>
      </w:r>
      <w:r w:rsidR="00D02F1F">
        <w:rPr>
          <w:rFonts w:ascii="Palatino Linotype" w:hAnsi="Palatino Linotype" w:cstheme="minorHAnsi"/>
          <w:iCs/>
          <w:sz w:val="24"/>
          <w:szCs w:val="24"/>
        </w:rPr>
        <w:br/>
      </w:r>
      <w:r w:rsidRPr="00D22027">
        <w:rPr>
          <w:rFonts w:ascii="Palatino Linotype" w:hAnsi="Palatino Linotype" w:cstheme="minorHAnsi"/>
          <w:iCs/>
          <w:sz w:val="24"/>
          <w:szCs w:val="24"/>
        </w:rPr>
        <w:t>24-value configurations are most likely to result in voltage violations that can be corrected with low-cost mitigations as discussed in Disposition #</w:t>
      </w:r>
      <w:r w:rsidR="007A7129">
        <w:rPr>
          <w:rFonts w:ascii="Palatino Linotype" w:hAnsi="Palatino Linotype" w:cstheme="minorHAnsi"/>
          <w:iCs/>
          <w:sz w:val="24"/>
          <w:szCs w:val="24"/>
        </w:rPr>
        <w:t>4</w:t>
      </w:r>
      <w:r w:rsidRPr="00D22027">
        <w:rPr>
          <w:rFonts w:ascii="Palatino Linotype" w:hAnsi="Palatino Linotype" w:cstheme="minorHAnsi"/>
          <w:iCs/>
          <w:sz w:val="24"/>
          <w:szCs w:val="24"/>
        </w:rPr>
        <w:t xml:space="preserve"> as part of Resolution E-5211, and that any thermal or protection violations are likely to be much less frequent, and of short duration, and may not require upgrades.</w:t>
      </w:r>
    </w:p>
    <w:p w:rsidR="003D39C3" w:rsidP="003D39C3" w:rsidRDefault="003D39C3" w14:paraId="608BF018" w14:textId="77777777">
      <w:pPr>
        <w:spacing w:after="200" w:line="276" w:lineRule="auto"/>
        <w:rPr>
          <w:rFonts w:cstheme="minorHAnsi"/>
        </w:rPr>
      </w:pPr>
      <w:r w:rsidRPr="00D22027">
        <w:rPr>
          <w:rFonts w:cstheme="minorHAnsi"/>
        </w:rPr>
        <w:t xml:space="preserve">In finding in favor of 24-value configurations, we also note that an absence of an ICA violation indicates circumstances that are deemed safe but the converse is not necessarily true and must be analyzed further. Computed ICA-SG criteria violations do not necessarily indicate physical grid impacts compromising safety and reliability. Such impacts only become apparent when additional power flow studies are run on the specific hour(s) of the year when violations occur. The location and magnitude of the violation, along with the specific grid conditions present at that location at that time, </w:t>
      </w:r>
      <w:r w:rsidRPr="00D22027">
        <w:rPr>
          <w:rFonts w:cstheme="minorHAnsi"/>
        </w:rPr>
        <w:lastRenderedPageBreak/>
        <w:t>largely determine whether the violation can result in physical grid</w:t>
      </w:r>
      <w:r w:rsidR="00960FBD">
        <w:rPr>
          <w:rFonts w:cstheme="minorHAnsi"/>
        </w:rPr>
        <w:t xml:space="preserve"> impacts</w:t>
      </w:r>
      <w:r w:rsidRPr="00D22027">
        <w:rPr>
          <w:rFonts w:cstheme="minorHAnsi"/>
        </w:rPr>
        <w:t xml:space="preserve">. And ICA-SG values are themselves conservative and reflect annual worst-case conditions.  Computed violations of ICA-SG values that do not occur under worst-case conditions may have no physical impact or implications.  And violations of ICA-SG values can occur at any time from any interconnected generator, whether an LGP project or not.  Violations of voltage, thermal, and protection limits occur routinely on distribution systems in any case and are routinely handled by utilities. </w:t>
      </w:r>
    </w:p>
    <w:p w:rsidR="003D39C3" w:rsidP="003D39C3" w:rsidRDefault="003D39C3" w14:paraId="7386C180"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 xml:space="preserve">Turning to the question of which 24-value configuration(s) to adopt, Energy Division </w:t>
      </w:r>
      <w:r w:rsidR="0036754B">
        <w:rPr>
          <w:rFonts w:ascii="Palatino Linotype" w:hAnsi="Palatino Linotype" w:cstheme="minorHAnsi"/>
          <w:iCs/>
          <w:sz w:val="24"/>
          <w:szCs w:val="24"/>
        </w:rPr>
        <w:t xml:space="preserve">staff </w:t>
      </w:r>
      <w:r w:rsidRPr="00D22027">
        <w:rPr>
          <w:rFonts w:ascii="Palatino Linotype" w:hAnsi="Palatino Linotype" w:cstheme="minorHAnsi"/>
          <w:iCs/>
          <w:sz w:val="24"/>
          <w:szCs w:val="24"/>
        </w:rPr>
        <w:t xml:space="preserve">conducted an assessment of the three 24-value LGP configurations (24-hourly, Block, and 18-23-fixed), based on the data provided in response to the Data Request as given in the Advice Letter Supplements and responses to the Data Request. The details of this assessment are provided in Appendix </w:t>
      </w:r>
      <w:r w:rsidR="007755FE">
        <w:rPr>
          <w:rFonts w:ascii="Palatino Linotype" w:hAnsi="Palatino Linotype" w:cstheme="minorHAnsi"/>
          <w:iCs/>
          <w:sz w:val="24"/>
          <w:szCs w:val="24"/>
        </w:rPr>
        <w:t>H</w:t>
      </w:r>
      <w:r w:rsidRPr="00D22027">
        <w:rPr>
          <w:rFonts w:ascii="Palatino Linotype" w:hAnsi="Palatino Linotype" w:cstheme="minorHAnsi"/>
          <w:iCs/>
          <w:sz w:val="24"/>
          <w:szCs w:val="24"/>
        </w:rPr>
        <w:t>.</w:t>
      </w:r>
    </w:p>
    <w:p w:rsidR="003D39C3" w:rsidP="003D39C3" w:rsidRDefault="003D39C3" w14:paraId="13BA4436"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 xml:space="preserve">Based on this assessment, we conclude that no one configuration of the three 24-value configurations performs significantly better or significantly worse than the other two considering our four criteria.  However, on the basis of maximizing power output from LGP projects during peak load hours of the day, as well as minimizing thermal violations, the 18-23-fixed configuration does perform better than either 24-hourly or Block. All three show some low but present risk of </w:t>
      </w:r>
      <w:r w:rsidR="009551A2">
        <w:rPr>
          <w:rFonts w:ascii="Palatino Linotype" w:hAnsi="Palatino Linotype" w:cstheme="minorHAnsi"/>
          <w:iCs/>
          <w:sz w:val="24"/>
          <w:szCs w:val="24"/>
        </w:rPr>
        <w:t>necessitat</w:t>
      </w:r>
      <w:r w:rsidRPr="00D22027">
        <w:rPr>
          <w:rFonts w:ascii="Palatino Linotype" w:hAnsi="Palatino Linotype" w:cstheme="minorHAnsi"/>
          <w:iCs/>
          <w:sz w:val="24"/>
          <w:szCs w:val="24"/>
        </w:rPr>
        <w:t xml:space="preserve">ing grid upgrades should sustained load reduction occur following interconnection.  </w:t>
      </w:r>
    </w:p>
    <w:p w:rsidR="003D39C3" w:rsidP="003D39C3" w:rsidRDefault="003D39C3" w14:paraId="6BD79711" w14:textId="77777777">
      <w:pPr>
        <w:pStyle w:val="Body"/>
        <w:snapToGrid w:val="0"/>
        <w:rPr>
          <w:rFonts w:ascii="Palatino Linotype" w:hAnsi="Palatino Linotype" w:cstheme="minorHAnsi"/>
          <w:b/>
          <w:bCs/>
          <w:iCs/>
          <w:sz w:val="24"/>
          <w:szCs w:val="24"/>
        </w:rPr>
      </w:pPr>
      <w:r w:rsidRPr="00D22027">
        <w:rPr>
          <w:rFonts w:ascii="Palatino Linotype" w:hAnsi="Palatino Linotype" w:cstheme="minorHAnsi"/>
          <w:b/>
          <w:bCs/>
          <w:iCs/>
          <w:sz w:val="24"/>
          <w:szCs w:val="24"/>
        </w:rPr>
        <w:t>We adopt all three 24-value configurations</w:t>
      </w:r>
      <w:r w:rsidR="009551A2">
        <w:rPr>
          <w:rFonts w:ascii="Palatino Linotype" w:hAnsi="Palatino Linotype" w:cstheme="minorHAnsi"/>
          <w:b/>
          <w:bCs/>
          <w:iCs/>
          <w:sz w:val="24"/>
          <w:szCs w:val="24"/>
        </w:rPr>
        <w:t>;</w:t>
      </w:r>
      <w:r w:rsidRPr="00D22027">
        <w:rPr>
          <w:rFonts w:ascii="Palatino Linotype" w:hAnsi="Palatino Linotype" w:cstheme="minorHAnsi"/>
          <w:b/>
          <w:bCs/>
          <w:iCs/>
          <w:sz w:val="24"/>
          <w:szCs w:val="24"/>
        </w:rPr>
        <w:t xml:space="preserve"> 24-hourly, Block, and 18-23-fixed</w:t>
      </w:r>
      <w:r w:rsidR="009551A2">
        <w:rPr>
          <w:rFonts w:ascii="Palatino Linotype" w:hAnsi="Palatino Linotype" w:cstheme="minorHAnsi"/>
          <w:b/>
          <w:bCs/>
          <w:iCs/>
          <w:sz w:val="24"/>
          <w:szCs w:val="24"/>
        </w:rPr>
        <w:t>;</w:t>
      </w:r>
      <w:r w:rsidRPr="00D22027">
        <w:rPr>
          <w:rFonts w:ascii="Palatino Linotype" w:hAnsi="Palatino Linotype" w:cstheme="minorHAnsi"/>
          <w:b/>
          <w:bCs/>
          <w:iCs/>
          <w:sz w:val="24"/>
          <w:szCs w:val="24"/>
        </w:rPr>
        <w:t xml:space="preserve"> as a final resolution to Topic F, and find that customers should have the choice of specifying and using any one of these three 24-value configurations in an LGP interconnection application.</w:t>
      </w:r>
    </w:p>
    <w:p w:rsidR="003D39C3" w:rsidP="00585709" w:rsidRDefault="003D39C3" w14:paraId="48CB6402" w14:textId="77777777">
      <w:pPr>
        <w:pStyle w:val="Body"/>
        <w:snapToGrid w:val="0"/>
        <w:spacing w:before="360"/>
        <w:rPr>
          <w:rFonts w:ascii="Palatino Linotype" w:hAnsi="Palatino Linotype" w:cstheme="minorHAnsi"/>
          <w:b/>
          <w:bCs/>
          <w:sz w:val="24"/>
          <w:szCs w:val="24"/>
          <w:u w:val="single"/>
        </w:rPr>
      </w:pPr>
      <w:r w:rsidRPr="00D22027">
        <w:rPr>
          <w:rFonts w:ascii="Palatino Linotype" w:hAnsi="Palatino Linotype" w:cstheme="minorHAnsi"/>
          <w:b/>
          <w:bCs/>
          <w:sz w:val="24"/>
          <w:szCs w:val="24"/>
          <w:u w:val="single"/>
        </w:rPr>
        <w:t>Disposition #2</w:t>
      </w:r>
      <w:r w:rsidR="004A43AF">
        <w:rPr>
          <w:rFonts w:ascii="Palatino Linotype" w:hAnsi="Palatino Linotype" w:cstheme="minorHAnsi"/>
          <w:b/>
          <w:bCs/>
          <w:sz w:val="24"/>
          <w:szCs w:val="24"/>
          <w:u w:val="single"/>
        </w:rPr>
        <w:t>1</w:t>
      </w:r>
      <w:r w:rsidRPr="00D22027">
        <w:rPr>
          <w:rFonts w:ascii="Palatino Linotype" w:hAnsi="Palatino Linotype" w:cstheme="minorHAnsi"/>
          <w:b/>
          <w:bCs/>
          <w:sz w:val="24"/>
          <w:szCs w:val="24"/>
          <w:u w:val="single"/>
        </w:rPr>
        <w:t>:  Assessment of LGP Configurations After Three Years</w:t>
      </w:r>
    </w:p>
    <w:p w:rsidR="003D39C3" w:rsidP="003D39C3" w:rsidRDefault="003D39C3" w14:paraId="3DC86BE1" w14:textId="77777777">
      <w:pPr>
        <w:pStyle w:val="Body"/>
        <w:snapToGrid w:val="0"/>
        <w:rPr>
          <w:rFonts w:ascii="Palatino Linotype" w:hAnsi="Palatino Linotype" w:cstheme="minorHAnsi"/>
          <w:iCs/>
          <w:sz w:val="24"/>
          <w:szCs w:val="24"/>
        </w:rPr>
      </w:pPr>
      <w:r w:rsidRPr="00D22027">
        <w:rPr>
          <w:rFonts w:ascii="Palatino Linotype" w:hAnsi="Palatino Linotype" w:cstheme="minorHAnsi"/>
          <w:iCs/>
          <w:sz w:val="24"/>
          <w:szCs w:val="24"/>
        </w:rPr>
        <w:t>Given the LGP option is new, we believe it is prudent to conduct some assessment of real-world experience with LGP configurations to re-assess and refine our findings in the future.  The Large IOUs also imply such assessment with a “phased approach,” although starting from a baseline of using the 12-LGP configuration. They state:</w:t>
      </w:r>
    </w:p>
    <w:p w:rsidR="003D39C3" w:rsidP="003D39C3" w:rsidRDefault="003D39C3" w14:paraId="4CDF77B2" w14:textId="77777777">
      <w:pPr>
        <w:pStyle w:val="Body"/>
        <w:snapToGrid w:val="0"/>
        <w:ind w:left="720"/>
        <w:rPr>
          <w:rFonts w:ascii="Palatino Linotype" w:hAnsi="Palatino Linotype" w:cstheme="minorHAnsi"/>
          <w:iCs/>
          <w:sz w:val="24"/>
          <w:szCs w:val="24"/>
        </w:rPr>
      </w:pPr>
      <w:r w:rsidRPr="00D22027">
        <w:rPr>
          <w:rFonts w:ascii="Palatino Linotype" w:hAnsi="Palatino Linotype" w:cstheme="minorHAnsi"/>
          <w:iCs/>
          <w:sz w:val="24"/>
          <w:szCs w:val="24"/>
        </w:rPr>
        <w:t xml:space="preserve">... the Joint IOUs have repeatedly emphasized and as nearly all stakeholders acknowledge, even the 12 unique value LGP profile proposed by the Joint </w:t>
      </w:r>
      <w:r w:rsidRPr="00D22027">
        <w:rPr>
          <w:rFonts w:ascii="Palatino Linotype" w:hAnsi="Palatino Linotype" w:cstheme="minorHAnsi"/>
          <w:iCs/>
          <w:sz w:val="24"/>
          <w:szCs w:val="24"/>
        </w:rPr>
        <w:lastRenderedPageBreak/>
        <w:t>Utilities results in some level of increased risk compared to building the distribution upgrades that will allow an interconnecting generator to export up to its nameplate rating. Hence, the Joint Utilities’ phased approach for considering expanded LGP flexibility, which allows learning based on 12 unique values, is reasonable and prudent.</w:t>
      </w:r>
      <w:r w:rsidRPr="00D22027">
        <w:rPr>
          <w:rStyle w:val="FootnoteReference"/>
          <w:rFonts w:ascii="Palatino Linotype" w:hAnsi="Palatino Linotype" w:cstheme="minorHAnsi"/>
          <w:iCs/>
          <w:sz w:val="24"/>
          <w:szCs w:val="24"/>
        </w:rPr>
        <w:footnoteReference w:id="204"/>
      </w:r>
    </w:p>
    <w:p w:rsidR="003D39C3" w:rsidP="003D39C3" w:rsidRDefault="003D39C3" w14:paraId="33FFC327" w14:textId="77777777">
      <w:pPr>
        <w:pStyle w:val="Body"/>
        <w:snapToGrid w:val="0"/>
        <w:rPr>
          <w:rFonts w:ascii="Palatino Linotype" w:hAnsi="Palatino Linotype" w:cstheme="minorBidi"/>
          <w:sz w:val="24"/>
          <w:szCs w:val="24"/>
        </w:rPr>
      </w:pPr>
      <w:r w:rsidRPr="00D22027">
        <w:rPr>
          <w:rFonts w:ascii="Palatino Linotype" w:hAnsi="Palatino Linotype" w:cstheme="minorBidi"/>
          <w:sz w:val="24"/>
          <w:szCs w:val="24"/>
        </w:rPr>
        <w:t xml:space="preserve">In adopting these three 24-value configurations, we acknowledge along with the Large IOUs that LGP configurations of any type, including the 12-value configuration, pose some degree of uncertainty and risk. Uncertainties </w:t>
      </w:r>
      <w:r w:rsidR="00937FB7">
        <w:rPr>
          <w:rFonts w:ascii="Palatino Linotype" w:hAnsi="Palatino Linotype" w:cstheme="minorBidi"/>
          <w:sz w:val="24"/>
          <w:szCs w:val="24"/>
        </w:rPr>
        <w:t xml:space="preserve">can </w:t>
      </w:r>
      <w:r w:rsidRPr="00D22027">
        <w:rPr>
          <w:rFonts w:ascii="Palatino Linotype" w:hAnsi="Palatino Linotype" w:cstheme="minorBidi"/>
          <w:sz w:val="24"/>
          <w:szCs w:val="24"/>
        </w:rPr>
        <w:t>include</w:t>
      </w:r>
      <w:r w:rsidR="00937FB7">
        <w:rPr>
          <w:rFonts w:ascii="Palatino Linotype" w:hAnsi="Palatino Linotype" w:cstheme="minorBidi"/>
          <w:sz w:val="24"/>
          <w:szCs w:val="24"/>
        </w:rPr>
        <w:t>:</w:t>
      </w:r>
      <w:r w:rsidRPr="00D22027">
        <w:rPr>
          <w:rFonts w:ascii="Palatino Linotype" w:hAnsi="Palatino Linotype" w:cstheme="minorBidi"/>
          <w:sz w:val="24"/>
          <w:szCs w:val="24"/>
        </w:rPr>
        <w:t xml:space="preserve"> (a) the degree to which computed ICA-SG violations result in </w:t>
      </w:r>
      <w:r w:rsidR="00937FB7">
        <w:rPr>
          <w:rFonts w:ascii="Palatino Linotype" w:hAnsi="Palatino Linotype" w:cstheme="minorBidi"/>
          <w:sz w:val="24"/>
          <w:szCs w:val="24"/>
        </w:rPr>
        <w:t>p</w:t>
      </w:r>
      <w:r w:rsidRPr="00D22027">
        <w:rPr>
          <w:rFonts w:ascii="Palatino Linotype" w:hAnsi="Palatino Linotype" w:cstheme="minorBidi"/>
          <w:sz w:val="24"/>
          <w:szCs w:val="24"/>
        </w:rPr>
        <w:t xml:space="preserve">hysical grid impacts </w:t>
      </w:r>
      <w:r w:rsidR="00937FB7">
        <w:rPr>
          <w:rFonts w:ascii="Palatino Linotype" w:hAnsi="Palatino Linotype" w:cstheme="minorBidi"/>
          <w:sz w:val="24"/>
          <w:szCs w:val="24"/>
        </w:rPr>
        <w:t xml:space="preserve">compromising </w:t>
      </w:r>
      <w:r w:rsidRPr="00D22027">
        <w:rPr>
          <w:rFonts w:ascii="Palatino Linotype" w:hAnsi="Palatino Linotype" w:cstheme="minorBidi"/>
          <w:sz w:val="24"/>
          <w:szCs w:val="24"/>
        </w:rPr>
        <w:t xml:space="preserve">safety </w:t>
      </w:r>
      <w:r w:rsidR="00937FB7">
        <w:rPr>
          <w:rFonts w:ascii="Palatino Linotype" w:hAnsi="Palatino Linotype" w:cstheme="minorBidi"/>
          <w:sz w:val="24"/>
          <w:szCs w:val="24"/>
        </w:rPr>
        <w:t xml:space="preserve">and </w:t>
      </w:r>
      <w:r w:rsidRPr="00D22027">
        <w:rPr>
          <w:rFonts w:ascii="Palatino Linotype" w:hAnsi="Palatino Linotype" w:cstheme="minorBidi"/>
          <w:sz w:val="24"/>
          <w:szCs w:val="24"/>
        </w:rPr>
        <w:t>reliability, (b) whether individual feeders exhibit more or less risk, and (c) magnitude and character of any sustained load reductions that could reduce hosting capacity</w:t>
      </w:r>
      <w:r w:rsidR="00937FB7">
        <w:rPr>
          <w:rFonts w:ascii="Palatino Linotype" w:hAnsi="Palatino Linotype" w:cstheme="minorBidi"/>
          <w:sz w:val="24"/>
          <w:szCs w:val="24"/>
        </w:rPr>
        <w:t>.</w:t>
      </w:r>
    </w:p>
    <w:p w:rsidR="003D39C3" w:rsidP="003D39C3" w:rsidRDefault="003D39C3" w14:paraId="75EE80B0" w14:textId="77777777">
      <w:pPr>
        <w:pStyle w:val="Body"/>
        <w:snapToGrid w:val="0"/>
        <w:rPr>
          <w:rFonts w:ascii="Palatino Linotype" w:hAnsi="Palatino Linotype" w:cstheme="minorBidi"/>
          <w:b/>
          <w:bCs/>
          <w:sz w:val="24"/>
          <w:szCs w:val="24"/>
        </w:rPr>
      </w:pPr>
      <w:r w:rsidRPr="00D22027">
        <w:rPr>
          <w:rFonts w:ascii="Palatino Linotype" w:hAnsi="Palatino Linotype" w:cstheme="minorBidi"/>
          <w:b/>
          <w:bCs/>
          <w:sz w:val="24"/>
          <w:szCs w:val="24"/>
        </w:rPr>
        <w:t xml:space="preserve">We find that the Large IOUs shall provide assessments of the LGP option </w:t>
      </w:r>
      <w:r w:rsidR="0011077B">
        <w:rPr>
          <w:rFonts w:ascii="Palatino Linotype" w:hAnsi="Palatino Linotype" w:cstheme="minorBidi"/>
          <w:b/>
          <w:bCs/>
          <w:sz w:val="24"/>
          <w:szCs w:val="24"/>
        </w:rPr>
        <w:t xml:space="preserve">within one month after the </w:t>
      </w:r>
      <w:r w:rsidRPr="00D22027">
        <w:rPr>
          <w:rFonts w:ascii="Palatino Linotype" w:hAnsi="Palatino Linotype" w:cstheme="minorBidi"/>
          <w:b/>
          <w:bCs/>
          <w:sz w:val="24"/>
          <w:szCs w:val="24"/>
        </w:rPr>
        <w:t xml:space="preserve">LGP option </w:t>
      </w:r>
      <w:r w:rsidR="0011077B">
        <w:rPr>
          <w:rFonts w:ascii="Palatino Linotype" w:hAnsi="Palatino Linotype" w:cstheme="minorBidi"/>
          <w:b/>
          <w:bCs/>
          <w:sz w:val="24"/>
          <w:szCs w:val="24"/>
        </w:rPr>
        <w:t xml:space="preserve">has been </w:t>
      </w:r>
      <w:r w:rsidRPr="00D22027">
        <w:rPr>
          <w:rFonts w:ascii="Palatino Linotype" w:hAnsi="Palatino Linotype" w:cstheme="minorBidi"/>
          <w:b/>
          <w:bCs/>
          <w:sz w:val="24"/>
          <w:szCs w:val="24"/>
        </w:rPr>
        <w:t>effective</w:t>
      </w:r>
      <w:r w:rsidR="0011077B">
        <w:rPr>
          <w:rFonts w:ascii="Palatino Linotype" w:hAnsi="Palatino Linotype" w:cstheme="minorBidi"/>
          <w:b/>
          <w:bCs/>
          <w:sz w:val="24"/>
          <w:szCs w:val="24"/>
        </w:rPr>
        <w:t xml:space="preserve"> for three years, and again after six years and nine years</w:t>
      </w:r>
      <w:r w:rsidRPr="00D22027">
        <w:rPr>
          <w:rFonts w:ascii="Palatino Linotype" w:hAnsi="Palatino Linotype" w:cstheme="minorBidi"/>
          <w:b/>
          <w:bCs/>
          <w:sz w:val="24"/>
          <w:szCs w:val="24"/>
        </w:rPr>
        <w:t>, including better understanding of the uncertainties and risks associated with any LGP facility, especially related to sustained load reductions</w:t>
      </w:r>
      <w:r w:rsidR="009551A2">
        <w:rPr>
          <w:rFonts w:ascii="Palatino Linotype" w:hAnsi="Palatino Linotype" w:cstheme="minorBidi"/>
          <w:b/>
          <w:bCs/>
          <w:sz w:val="24"/>
          <w:szCs w:val="24"/>
        </w:rPr>
        <w:t>;</w:t>
      </w:r>
      <w:r w:rsidRPr="00D22027">
        <w:rPr>
          <w:rFonts w:ascii="Palatino Linotype" w:hAnsi="Palatino Linotype" w:cstheme="minorBidi"/>
          <w:b/>
          <w:bCs/>
          <w:sz w:val="24"/>
          <w:szCs w:val="24"/>
        </w:rPr>
        <w:t xml:space="preserve"> and that these assessments should incorporate and benefit from actual data of physical grid impacts and conditions rather than calculated ICA-SG violations.</w:t>
      </w:r>
    </w:p>
    <w:p w:rsidR="003D39C3" w:rsidP="00506622" w:rsidRDefault="003D39C3" w14:paraId="59CBD1C1" w14:textId="77777777">
      <w:pPr>
        <w:pStyle w:val="Body"/>
        <w:snapToGrid w:val="0"/>
        <w:spacing w:before="360"/>
        <w:rPr>
          <w:rFonts w:ascii="Palatino Linotype" w:hAnsi="Palatino Linotype" w:cstheme="minorHAnsi"/>
          <w:b/>
          <w:bCs/>
          <w:sz w:val="24"/>
          <w:szCs w:val="24"/>
          <w:u w:val="single"/>
        </w:rPr>
      </w:pPr>
      <w:r w:rsidRPr="00D22027">
        <w:rPr>
          <w:rFonts w:ascii="Palatino Linotype" w:hAnsi="Palatino Linotype" w:cstheme="minorHAnsi"/>
          <w:b/>
          <w:bCs/>
          <w:sz w:val="24"/>
          <w:szCs w:val="24"/>
          <w:u w:val="single"/>
        </w:rPr>
        <w:t>Disposition #2</w:t>
      </w:r>
      <w:r w:rsidR="004A43AF">
        <w:rPr>
          <w:rFonts w:ascii="Palatino Linotype" w:hAnsi="Palatino Linotype" w:cstheme="minorHAnsi"/>
          <w:b/>
          <w:bCs/>
          <w:sz w:val="24"/>
          <w:szCs w:val="24"/>
          <w:u w:val="single"/>
        </w:rPr>
        <w:t>2</w:t>
      </w:r>
      <w:r w:rsidRPr="00D22027">
        <w:rPr>
          <w:rFonts w:ascii="Palatino Linotype" w:hAnsi="Palatino Linotype" w:cstheme="minorHAnsi"/>
          <w:b/>
          <w:bCs/>
          <w:sz w:val="24"/>
          <w:szCs w:val="24"/>
          <w:u w:val="single"/>
        </w:rPr>
        <w:t>:  Data Format of LGP values to be Submitted by Customers</w:t>
      </w:r>
    </w:p>
    <w:p w:rsidR="003D39C3" w:rsidP="00585709" w:rsidRDefault="003D39C3" w14:paraId="7B3AAFA7" w14:textId="77777777">
      <w:pPr>
        <w:pStyle w:val="Body"/>
        <w:snapToGrid w:val="0"/>
        <w:rPr>
          <w:rFonts w:ascii="Palatino Linotype" w:hAnsi="Palatino Linotype" w:cstheme="minorHAnsi"/>
          <w:iCs/>
          <w:sz w:val="24"/>
          <w:szCs w:val="24"/>
        </w:rPr>
      </w:pPr>
      <w:r w:rsidRPr="00D22027">
        <w:rPr>
          <w:rFonts w:ascii="Palatino Linotype" w:hAnsi="Palatino Linotype" w:cstheme="minorHAnsi"/>
          <w:sz w:val="24"/>
          <w:szCs w:val="24"/>
        </w:rPr>
        <w:t>The Large IOUs propos</w:t>
      </w:r>
      <w:r w:rsidR="00585709">
        <w:rPr>
          <w:rFonts w:ascii="Palatino Linotype" w:hAnsi="Palatino Linotype" w:cstheme="minorHAnsi"/>
          <w:sz w:val="24"/>
          <w:szCs w:val="24"/>
        </w:rPr>
        <w:t xml:space="preserve">e a </w:t>
      </w:r>
      <w:r w:rsidRPr="00D22027">
        <w:rPr>
          <w:rFonts w:ascii="Palatino Linotype" w:hAnsi="Palatino Linotype" w:cstheme="minorHAnsi"/>
          <w:sz w:val="24"/>
          <w:szCs w:val="24"/>
        </w:rPr>
        <w:t>data format of LGP values to be submitted by customers along with their interconnection application</w:t>
      </w:r>
      <w:r w:rsidR="00585709">
        <w:rPr>
          <w:rFonts w:ascii="Palatino Linotype" w:hAnsi="Palatino Linotype" w:cstheme="minorHAnsi"/>
          <w:sz w:val="24"/>
          <w:szCs w:val="24"/>
        </w:rPr>
        <w:t>, given in Appendix I</w:t>
      </w:r>
      <w:r w:rsidRPr="00D22027">
        <w:rPr>
          <w:rFonts w:ascii="Palatino Linotype" w:hAnsi="Palatino Linotype" w:cstheme="minorHAnsi"/>
          <w:sz w:val="24"/>
          <w:szCs w:val="24"/>
        </w:rPr>
        <w:t>.</w:t>
      </w:r>
      <w:r>
        <w:rPr>
          <w:rStyle w:val="FootnoteReference"/>
          <w:rFonts w:ascii="Palatino Linotype" w:hAnsi="Palatino Linotype" w:cstheme="minorHAnsi"/>
          <w:sz w:val="24"/>
          <w:szCs w:val="24"/>
        </w:rPr>
        <w:footnoteReference w:id="205"/>
      </w:r>
      <w:r>
        <w:rPr>
          <w:rFonts w:ascii="Palatino Linotype" w:hAnsi="Palatino Linotype" w:cstheme="minorHAnsi"/>
          <w:sz w:val="24"/>
          <w:szCs w:val="24"/>
        </w:rPr>
        <w:t xml:space="preserve"> </w:t>
      </w:r>
      <w:r w:rsidR="00585709">
        <w:rPr>
          <w:rFonts w:ascii="Palatino Linotype" w:hAnsi="Palatino Linotype" w:cstheme="minorHAnsi"/>
          <w:sz w:val="24"/>
          <w:szCs w:val="24"/>
        </w:rPr>
        <w:t>W</w:t>
      </w:r>
      <w:r w:rsidRPr="00D22027">
        <w:rPr>
          <w:rFonts w:ascii="Palatino Linotype" w:hAnsi="Palatino Linotype" w:cstheme="minorHAnsi"/>
          <w:iCs/>
          <w:sz w:val="24"/>
          <w:szCs w:val="24"/>
        </w:rPr>
        <w:t>e note that wording of th</w:t>
      </w:r>
      <w:r w:rsidR="00585709">
        <w:rPr>
          <w:rFonts w:ascii="Palatino Linotype" w:hAnsi="Palatino Linotype" w:cstheme="minorHAnsi"/>
          <w:iCs/>
          <w:sz w:val="24"/>
          <w:szCs w:val="24"/>
        </w:rPr>
        <w:t xml:space="preserve">is </w:t>
      </w:r>
      <w:r w:rsidRPr="00D22027">
        <w:rPr>
          <w:rFonts w:ascii="Palatino Linotype" w:hAnsi="Palatino Linotype" w:cstheme="minorHAnsi"/>
          <w:iCs/>
          <w:sz w:val="24"/>
          <w:szCs w:val="24"/>
        </w:rPr>
        <w:t xml:space="preserve">proposal is specific to the 12-monthly configuration. Thus, </w:t>
      </w:r>
      <w:r w:rsidR="00585709">
        <w:rPr>
          <w:rFonts w:ascii="Palatino Linotype" w:hAnsi="Palatino Linotype" w:cstheme="minorHAnsi"/>
          <w:iCs/>
          <w:sz w:val="24"/>
          <w:szCs w:val="24"/>
        </w:rPr>
        <w:t xml:space="preserve">we find </w:t>
      </w:r>
      <w:r w:rsidRPr="00D22027">
        <w:rPr>
          <w:rFonts w:ascii="Palatino Linotype" w:hAnsi="Palatino Linotype" w:cstheme="minorHAnsi"/>
          <w:iCs/>
          <w:sz w:val="24"/>
          <w:szCs w:val="24"/>
        </w:rPr>
        <w:t>the description of the proposed format will need to be modified in accordance with the actual configurations adopted under this resolution</w:t>
      </w:r>
      <w:r w:rsidR="008A540F">
        <w:rPr>
          <w:rFonts w:ascii="Palatino Linotype" w:hAnsi="Palatino Linotype" w:cstheme="minorHAnsi"/>
          <w:iCs/>
          <w:sz w:val="24"/>
          <w:szCs w:val="24"/>
        </w:rPr>
        <w:t>. W</w:t>
      </w:r>
      <w:r w:rsidRPr="00D22027">
        <w:rPr>
          <w:rFonts w:ascii="Palatino Linotype" w:hAnsi="Palatino Linotype" w:cstheme="minorHAnsi"/>
          <w:iCs/>
          <w:sz w:val="24"/>
          <w:szCs w:val="24"/>
        </w:rPr>
        <w:t xml:space="preserve">e </w:t>
      </w:r>
      <w:r w:rsidR="00585709">
        <w:rPr>
          <w:rFonts w:ascii="Palatino Linotype" w:hAnsi="Palatino Linotype" w:cstheme="minorHAnsi"/>
          <w:iCs/>
          <w:sz w:val="24"/>
          <w:szCs w:val="24"/>
        </w:rPr>
        <w:t xml:space="preserve">also </w:t>
      </w:r>
      <w:r w:rsidRPr="00D22027">
        <w:rPr>
          <w:rFonts w:ascii="Palatino Linotype" w:hAnsi="Palatino Linotype" w:cstheme="minorHAnsi"/>
          <w:iCs/>
          <w:sz w:val="24"/>
          <w:szCs w:val="24"/>
        </w:rPr>
        <w:t xml:space="preserve">suggest the data format may need to be reconsidered to align with any naming or scheduling convention in the forthcoming UL PCS standard for scheduling functionality. </w:t>
      </w:r>
    </w:p>
    <w:p w:rsidR="003D39C3" w:rsidP="003D39C3" w:rsidRDefault="003D39C3" w14:paraId="15719201" w14:textId="77777777">
      <w:pPr>
        <w:pStyle w:val="Body"/>
        <w:snapToGrid w:val="0"/>
        <w:rPr>
          <w:rFonts w:ascii="Palatino Linotype" w:hAnsi="Palatino Linotype" w:cstheme="minorHAnsi"/>
          <w:b/>
          <w:bCs/>
          <w:sz w:val="24"/>
          <w:szCs w:val="24"/>
        </w:rPr>
      </w:pPr>
      <w:r w:rsidRPr="00D22027">
        <w:rPr>
          <w:rFonts w:ascii="Palatino Linotype" w:hAnsi="Palatino Linotype" w:cstheme="minorHAnsi"/>
          <w:b/>
          <w:bCs/>
          <w:sz w:val="24"/>
          <w:szCs w:val="24"/>
        </w:rPr>
        <w:t xml:space="preserve">We find the proposed data format </w:t>
      </w:r>
      <w:r w:rsidR="00585709">
        <w:rPr>
          <w:rFonts w:ascii="Palatino Linotype" w:hAnsi="Palatino Linotype" w:cstheme="minorHAnsi"/>
          <w:b/>
          <w:bCs/>
          <w:sz w:val="24"/>
          <w:szCs w:val="24"/>
        </w:rPr>
        <w:t xml:space="preserve">in Appendix I </w:t>
      </w:r>
      <w:r w:rsidRPr="00D22027">
        <w:rPr>
          <w:rFonts w:ascii="Palatino Linotype" w:hAnsi="Palatino Linotype" w:cstheme="minorHAnsi"/>
          <w:b/>
          <w:bCs/>
          <w:sz w:val="24"/>
          <w:szCs w:val="24"/>
        </w:rPr>
        <w:t>reasonable but require modification of the language to be consistent with the LGP configurations</w:t>
      </w:r>
      <w:r w:rsidR="008A540F">
        <w:rPr>
          <w:rFonts w:ascii="Palatino Linotype" w:hAnsi="Palatino Linotype" w:cstheme="minorHAnsi"/>
          <w:b/>
          <w:bCs/>
          <w:sz w:val="24"/>
          <w:szCs w:val="24"/>
        </w:rPr>
        <w:t xml:space="preserve"> </w:t>
      </w:r>
      <w:r w:rsidRPr="00D22027">
        <w:rPr>
          <w:rFonts w:ascii="Palatino Linotype" w:hAnsi="Palatino Linotype" w:cstheme="minorHAnsi"/>
          <w:b/>
          <w:bCs/>
          <w:sz w:val="24"/>
          <w:szCs w:val="24"/>
        </w:rPr>
        <w:t xml:space="preserve">24-hourly, Block, and </w:t>
      </w:r>
      <w:r w:rsidRPr="00D22027">
        <w:rPr>
          <w:rFonts w:ascii="Palatino Linotype" w:hAnsi="Palatino Linotype" w:cstheme="minorHAnsi"/>
          <w:b/>
          <w:bCs/>
          <w:sz w:val="24"/>
          <w:szCs w:val="24"/>
        </w:rPr>
        <w:lastRenderedPageBreak/>
        <w:t>18-23-fixed</w:t>
      </w:r>
      <w:r w:rsidR="008A540F">
        <w:rPr>
          <w:rFonts w:ascii="Palatino Linotype" w:hAnsi="Palatino Linotype" w:cstheme="minorHAnsi"/>
          <w:b/>
          <w:bCs/>
          <w:sz w:val="24"/>
          <w:szCs w:val="24"/>
        </w:rPr>
        <w:t>,</w:t>
      </w:r>
      <w:r w:rsidRPr="00D22027">
        <w:rPr>
          <w:rFonts w:ascii="Palatino Linotype" w:hAnsi="Palatino Linotype" w:cstheme="minorHAnsi"/>
          <w:b/>
          <w:bCs/>
          <w:sz w:val="24"/>
          <w:szCs w:val="24"/>
        </w:rPr>
        <w:t xml:space="preserve"> and also possible modification </w:t>
      </w:r>
      <w:r w:rsidRPr="00D22027">
        <w:rPr>
          <w:rFonts w:ascii="Palatino Linotype" w:hAnsi="Palatino Linotype" w:cstheme="minorHAnsi"/>
          <w:b/>
          <w:bCs/>
          <w:iCs/>
          <w:sz w:val="24"/>
          <w:szCs w:val="24"/>
        </w:rPr>
        <w:t>to align with any naming or scheduling convention in the forthcoming UL PCS standard for scheduling functionality.</w:t>
      </w:r>
    </w:p>
    <w:p w:rsidRPr="00D02F1F" w:rsidR="00377DCD" w:rsidP="003D7535" w:rsidRDefault="00377DCD" w14:paraId="40FAFF6A" w14:textId="77777777">
      <w:pPr>
        <w:pStyle w:val="Heading"/>
        <w:spacing w:before="360"/>
        <w:rPr>
          <w:rFonts w:ascii="Palatino Linotype" w:hAnsi="Palatino Linotype"/>
          <w:sz w:val="24"/>
          <w:szCs w:val="24"/>
          <w:lang w:val="fr-FR"/>
        </w:rPr>
      </w:pPr>
      <w:r w:rsidRPr="00D02F1F">
        <w:rPr>
          <w:rFonts w:ascii="Palatino Linotype" w:hAnsi="Palatino Linotype"/>
          <w:sz w:val="24"/>
          <w:szCs w:val="24"/>
          <w:lang w:val="fr-FR"/>
        </w:rPr>
        <w:t>Comments</w:t>
      </w:r>
    </w:p>
    <w:p w:rsidRPr="00C7767C" w:rsidR="00C7767C" w:rsidP="00C7767C" w:rsidRDefault="00C7767C" w14:paraId="7825512F" w14:textId="77777777">
      <w:pPr>
        <w:pStyle w:val="Heading"/>
        <w:spacing w:before="240" w:after="200" w:line="276" w:lineRule="auto"/>
        <w:rPr>
          <w:rFonts w:ascii="Palatino Linotype" w:hAnsi="Palatino Linotype" w:eastAsia="Palatino Linotype" w:cs="Palatino Linotype"/>
          <w:b w:val="0"/>
          <w:bCs w:val="0"/>
          <w:caps w:val="0"/>
          <w:kern w:val="0"/>
          <w:sz w:val="24"/>
          <w:szCs w:val="24"/>
          <w:u w:val="none"/>
          <w:lang w:val="en-US"/>
        </w:rPr>
      </w:pPr>
      <w:r w:rsidRPr="00C7767C">
        <w:rPr>
          <w:rFonts w:ascii="Palatino Linotype" w:hAnsi="Palatino Linotype" w:eastAsia="Palatino Linotype" w:cs="Palatino Linotype"/>
          <w:b w:val="0"/>
          <w:bCs w:val="0"/>
          <w:caps w:val="0"/>
          <w:kern w:val="0"/>
          <w:sz w:val="24"/>
          <w:szCs w:val="24"/>
          <w:u w:val="none"/>
          <w:lang w:val="en-US"/>
        </w:rPr>
        <w:t>Public Utilities Code section 311(g)(1) provides that this resolution must be served on all parties and subject to at least 30 days public review.</w:t>
      </w:r>
    </w:p>
    <w:p w:rsidRPr="00C7767C" w:rsidR="00C7767C" w:rsidP="00C7767C" w:rsidRDefault="00C7767C" w14:paraId="4AA86372" w14:textId="77777777">
      <w:pPr>
        <w:pStyle w:val="Heading"/>
        <w:spacing w:before="240" w:after="200" w:line="276" w:lineRule="auto"/>
        <w:rPr>
          <w:rFonts w:ascii="Palatino Linotype" w:hAnsi="Palatino Linotype" w:eastAsia="Palatino Linotype" w:cs="Palatino Linotype"/>
          <w:b w:val="0"/>
          <w:bCs w:val="0"/>
          <w:caps w:val="0"/>
          <w:kern w:val="0"/>
          <w:sz w:val="24"/>
          <w:szCs w:val="24"/>
          <w:u w:val="none"/>
          <w:lang w:val="en-US"/>
        </w:rPr>
      </w:pPr>
      <w:r w:rsidRPr="00C7767C">
        <w:rPr>
          <w:rFonts w:ascii="Palatino Linotype" w:hAnsi="Palatino Linotype" w:eastAsia="Palatino Linotype" w:cs="Palatino Linotype"/>
          <w:b w:val="0"/>
          <w:bCs w:val="0"/>
          <w:caps w:val="0"/>
          <w:kern w:val="0"/>
          <w:sz w:val="24"/>
          <w:szCs w:val="24"/>
          <w:u w:val="none"/>
          <w:lang w:val="en-US"/>
        </w:rPr>
        <w:t>Please note that comments are due 30 days from the mailing date of this resolution. Ordinarily, protests or comments regarding an Advice Letter are due within 20 days of the filing of the Advice Letter.  (G.O. 96-B, General Rule 7.4.1.)  Here, Staff observes that this is an unusually lengthy and complex Advice Letter as the AL itself is 90 pages and involves 22 dispositions.  Staff are authorized to consider late-filed protests or responses to Advice Letters.  (General Rule 7.4.4.)  Because of this complexity and in order to avoid the need for parties to submit comments that are not as thorough as is appropriate and helpful, Staff extend the comment period to 30 days without the need to request an extension of the comment period.  (See General Rule 1.3, which provides in part, the “Rules shall be liberally construed to secure a just, speedy, and inexpensive handling of informal matters . . ..”)</w:t>
      </w:r>
    </w:p>
    <w:p w:rsidR="00C7767C" w:rsidP="00C7767C" w:rsidRDefault="00C7767C" w14:paraId="38FBF17E" w14:textId="77777777">
      <w:pPr>
        <w:pStyle w:val="Heading"/>
        <w:spacing w:before="240" w:after="200" w:line="276" w:lineRule="auto"/>
        <w:rPr>
          <w:rFonts w:ascii="Palatino Linotype" w:hAnsi="Palatino Linotype" w:eastAsia="Palatino Linotype" w:cs="Palatino Linotype"/>
          <w:b w:val="0"/>
          <w:bCs w:val="0"/>
          <w:caps w:val="0"/>
          <w:kern w:val="0"/>
          <w:sz w:val="24"/>
          <w:szCs w:val="24"/>
          <w:u w:val="none"/>
          <w:lang w:val="en-US"/>
        </w:rPr>
      </w:pPr>
      <w:r w:rsidRPr="00C7767C">
        <w:rPr>
          <w:rFonts w:ascii="Palatino Linotype" w:hAnsi="Palatino Linotype" w:eastAsia="Palatino Linotype" w:cs="Palatino Linotype"/>
          <w:b w:val="0"/>
          <w:bCs w:val="0"/>
          <w:caps w:val="0"/>
          <w:kern w:val="0"/>
          <w:sz w:val="24"/>
          <w:szCs w:val="24"/>
          <w:u w:val="none"/>
          <w:lang w:val="en-US"/>
        </w:rPr>
        <w:t>Section 311(g)(2) provides that this 30-day review period and ordinary 20-day comment period may be reduced or waived upon the stipulation of all parties in the proceeding. The 30-day review and ordinary 20-day comment period for the draft of this resolution were neither waived nor reduced. Accordingly, this draft resolution was mailed to parties for comments, and will be placed on the Commission's agenda no earlier than 30 days from today.</w:t>
      </w:r>
    </w:p>
    <w:p w:rsidRPr="00134870" w:rsidR="004267CA" w:rsidP="003D7535" w:rsidRDefault="004267CA" w14:paraId="346C49E3" w14:textId="77777777">
      <w:pPr>
        <w:spacing w:after="200" w:line="276" w:lineRule="auto"/>
      </w:pPr>
      <w:r w:rsidRPr="00134870">
        <w:t>Public comments on the draft resolution were submitted timely from the Large IOUs jointly, from IREC, and from CALSSA. Here we discuss the comments and our edits to the resolution in response.</w:t>
      </w:r>
    </w:p>
    <w:p w:rsidRPr="00970E1F" w:rsidR="004267CA" w:rsidP="00770809" w:rsidRDefault="00970E1F" w14:paraId="395B5E82" w14:textId="77777777">
      <w:pPr>
        <w:spacing w:before="360" w:after="200" w:line="276" w:lineRule="auto"/>
        <w:rPr>
          <w:u w:val="single"/>
        </w:rPr>
      </w:pPr>
      <w:r>
        <w:rPr>
          <w:u w:val="single"/>
        </w:rPr>
        <w:t xml:space="preserve">Comments on </w:t>
      </w:r>
      <w:r w:rsidRPr="00970E1F" w:rsidR="004267CA">
        <w:rPr>
          <w:u w:val="single"/>
        </w:rPr>
        <w:t xml:space="preserve">Dispositions #2 and #6 on Definition of “Sustained Load Reduction” </w:t>
      </w:r>
    </w:p>
    <w:p w:rsidRPr="00134870" w:rsidR="004267CA" w:rsidP="003D7535" w:rsidRDefault="004267CA" w14:paraId="0145814A" w14:textId="77777777">
      <w:pPr>
        <w:spacing w:after="200" w:line="276" w:lineRule="auto"/>
      </w:pPr>
      <w:r w:rsidRPr="00134870">
        <w:t xml:space="preserve">The Large IOUs comment that the proposed definition of “sustained load reduction,” as the only LGP-specific circumstance for curtailment, is not sufficiently specific to be practically implemented by the Large IOUs, and further lacks clarity with respect to </w:t>
      </w:r>
      <w:r w:rsidRPr="00134870">
        <w:lastRenderedPageBreak/>
        <w:t>how a “business wind-down” is defined.</w:t>
      </w:r>
      <w:r w:rsidR="00970E1F">
        <w:rPr>
          <w:rStyle w:val="FootnoteReference"/>
        </w:rPr>
        <w:footnoteReference w:id="206"/>
      </w:r>
      <w:r w:rsidRPr="00134870">
        <w:t xml:space="preserve"> The Large IOUs are concerned with the uncertainty in being able to correctly identify when a decrease is due to a business wind-down, energy efficiency, or other load management technology. For instance, the Large IOUs state that a large customer’s energy usage may fluctuate over an extended period of time due to commercial considerations including seasonal demand, business profitability and supply chain issues. Or changes in manufacturing processes, maintenance requirements, and other events, such as a pandemic, can result in loads decreasing and later returning to equivalent or higher levels. Additionally, </w:t>
      </w:r>
      <w:r w:rsidR="00970E1F">
        <w:t xml:space="preserve">the Large IOUs state </w:t>
      </w:r>
      <w:r w:rsidRPr="00134870">
        <w:t xml:space="preserve">it would be difficult to identify the extent to which a reduction in load was the result of a customer’s adoption of energy efficiency or other load management technologies. </w:t>
      </w:r>
    </w:p>
    <w:p w:rsidRPr="00134870" w:rsidR="004267CA" w:rsidP="003D7535" w:rsidRDefault="004267CA" w14:paraId="627DA21D" w14:textId="77777777">
      <w:pPr>
        <w:spacing w:after="200" w:line="276" w:lineRule="auto"/>
      </w:pPr>
      <w:r w:rsidRPr="00134870">
        <w:t>IREC's comments on this issue only state that "sustained load reduction" should be capitalized throughout in keeping with Rule 21 syntax, to show it is a specific defined term in Rule 21.</w:t>
      </w:r>
      <w:r w:rsidR="00970E1F">
        <w:rPr>
          <w:rStyle w:val="FootnoteReference"/>
        </w:rPr>
        <w:footnoteReference w:id="207"/>
      </w:r>
    </w:p>
    <w:p w:rsidRPr="00134870" w:rsidR="004267CA" w:rsidP="003D7535" w:rsidRDefault="004267CA" w14:paraId="08C10F27" w14:textId="77777777">
      <w:pPr>
        <w:spacing w:after="200" w:line="276" w:lineRule="auto"/>
      </w:pPr>
      <w:r w:rsidRPr="00134870">
        <w:t>We note that the language in the draft resolution related to “sustained load reduction” comes directly from the Large IOUs’ original proposals in the Joint LGP January ALs, which included the language “business wind-downs” and “unanticipated addition of energy efficiency or other load management technologies that reduce metered load (and therefore hosting capacity) on the circuit to which an LGP generating facility is connected.”</w:t>
      </w:r>
      <w:r w:rsidR="00970E1F">
        <w:rPr>
          <w:rStyle w:val="FootnoteReference"/>
        </w:rPr>
        <w:footnoteReference w:id="208"/>
      </w:r>
    </w:p>
    <w:p w:rsidRPr="00134870" w:rsidR="004267CA" w:rsidP="003D7535" w:rsidRDefault="004267CA" w14:paraId="716EF739" w14:textId="77777777">
      <w:pPr>
        <w:spacing w:after="200" w:line="276" w:lineRule="auto"/>
      </w:pPr>
      <w:r w:rsidRPr="00134870">
        <w:t xml:space="preserve">We find that the Large IOUs’ </w:t>
      </w:r>
      <w:r w:rsidR="00A42723">
        <w:t xml:space="preserve">comments on the </w:t>
      </w:r>
      <w:r w:rsidRPr="00134870">
        <w:t xml:space="preserve">proposed use of “DER” or “net load” in a modified definition is overly broad and inconsistent with the focus on </w:t>
      </w:r>
      <w:r>
        <w:t xml:space="preserve">changes in customer </w:t>
      </w:r>
      <w:r w:rsidRPr="00134870">
        <w:t xml:space="preserve">load </w:t>
      </w:r>
      <w:r>
        <w:t>only</w:t>
      </w:r>
      <w:r w:rsidRPr="00134870">
        <w:t xml:space="preserve">, since “DER” or “net load” could also denote other customers adding generation.  We find that other customers adding generation is not a circumstance that would trigger LGP-specific curtailment, but is a circumstance covered by Disposition #2 on curtailment of any interconnection customer, LGP or non-LGP, under existing Rule 21 Section D.9.  We further find that using “DER” or “net load” is contrary to the intention of defining “sustained load reduction” as related to </w:t>
      </w:r>
      <w:r w:rsidRPr="00134870">
        <w:lastRenderedPageBreak/>
        <w:t xml:space="preserve">unanticipated and permanent </w:t>
      </w:r>
      <w:r>
        <w:t xml:space="preserve">customer </w:t>
      </w:r>
      <w:r w:rsidRPr="00134870">
        <w:t>load reductions only</w:t>
      </w:r>
      <w:r w:rsidR="00A42723">
        <w:t>, exclusive of the addition of generation DERs, and exclusive of any temporary changes in customer load.</w:t>
      </w:r>
    </w:p>
    <w:p w:rsidRPr="00134870" w:rsidR="004267CA" w:rsidP="003D7535" w:rsidRDefault="004267CA" w14:paraId="490F3E6B" w14:textId="77777777">
      <w:pPr>
        <w:spacing w:after="200" w:line="276" w:lineRule="auto"/>
      </w:pPr>
      <w:r w:rsidRPr="00134870">
        <w:t>In the draft comment resolution, we employed the following definition:</w:t>
      </w:r>
    </w:p>
    <w:p w:rsidRPr="00134870" w:rsidR="004267CA" w:rsidP="003D7535" w:rsidRDefault="004267CA" w14:paraId="68DA5A52" w14:textId="77777777">
      <w:pPr>
        <w:spacing w:after="200" w:line="276" w:lineRule="auto"/>
        <w:ind w:left="720"/>
      </w:pPr>
      <w:r w:rsidRPr="00134870">
        <w:t>A sustained load reduction on a circuit is a permanent decrease in the load of one or more customers on that circuit resulting from business wind-downs and/or the unanticipated addition of energy efficiency or other load management technologies.</w:t>
      </w:r>
    </w:p>
    <w:p w:rsidRPr="00134870" w:rsidR="004267CA" w:rsidP="003D7535" w:rsidRDefault="004267CA" w14:paraId="1BC7F89F" w14:textId="77777777">
      <w:pPr>
        <w:spacing w:after="200" w:line="276" w:lineRule="auto"/>
      </w:pPr>
      <w:r>
        <w:t>W</w:t>
      </w:r>
      <w:r w:rsidRPr="00134870">
        <w:t xml:space="preserve">e modify </w:t>
      </w:r>
      <w:r>
        <w:t xml:space="preserve">and clarify this </w:t>
      </w:r>
      <w:r w:rsidRPr="00134870">
        <w:t>definition slightly</w:t>
      </w:r>
      <w:r w:rsidR="00956385">
        <w:t>, in Dispositions #2 and #6 and in Appendix B</w:t>
      </w:r>
      <w:r w:rsidRPr="00134870">
        <w:t>:</w:t>
      </w:r>
    </w:p>
    <w:p w:rsidR="004267CA" w:rsidP="003D7535" w:rsidRDefault="004267CA" w14:paraId="6199B6C3" w14:textId="77777777">
      <w:pPr>
        <w:spacing w:after="200" w:line="276" w:lineRule="auto"/>
        <w:ind w:left="720"/>
      </w:pPr>
      <w:r w:rsidRPr="002A5429">
        <w:t>A Sustained Load Reduction on a circuit is a permanent decrease in the load (exclusive of the addition of any generation DERs) of one or more customers on that circuit resulting from business wind-downs, unanticipated addition of energy efficiency</w:t>
      </w:r>
      <w:r>
        <w:t xml:space="preserve"> or </w:t>
      </w:r>
      <w:r w:rsidRPr="002A5429">
        <w:t>other load management technologies</w:t>
      </w:r>
      <w:r>
        <w:t>,</w:t>
      </w:r>
      <w:r w:rsidRPr="002A5429">
        <w:t xml:space="preserve"> and/or other </w:t>
      </w:r>
      <w:r>
        <w:t xml:space="preserve">permanent </w:t>
      </w:r>
      <w:r w:rsidRPr="002A5429">
        <w:t>circumstances that reduce the load of one or more customers on that circuit</w:t>
      </w:r>
      <w:r>
        <w:t>.</w:t>
      </w:r>
    </w:p>
    <w:p w:rsidRPr="00E42C0F" w:rsidR="004267CA" w:rsidP="00770809" w:rsidRDefault="00AE1C4A" w14:paraId="61055039" w14:textId="77777777">
      <w:pPr>
        <w:pStyle w:val="NormalWeb"/>
        <w:shd w:val="clear" w:color="auto" w:fill="FFFFFF"/>
        <w:spacing w:before="360" w:beforeAutospacing="0" w:after="200" w:afterAutospacing="0" w:line="276" w:lineRule="auto"/>
        <w:rPr>
          <w:rFonts w:cstheme="minorHAnsi"/>
          <w:u w:val="single"/>
        </w:rPr>
      </w:pPr>
      <w:r>
        <w:rPr>
          <w:rFonts w:cstheme="minorHAnsi"/>
          <w:u w:val="single"/>
        </w:rPr>
        <w:t xml:space="preserve">Comments on </w:t>
      </w:r>
      <w:r w:rsidRPr="00E42C0F" w:rsidR="004267CA">
        <w:rPr>
          <w:rFonts w:cstheme="minorHAnsi"/>
          <w:u w:val="single"/>
        </w:rPr>
        <w:t xml:space="preserve">Disposition #4 on Granting a Tariff Deviation </w:t>
      </w:r>
    </w:p>
    <w:p w:rsidRPr="00A42723" w:rsidR="004267CA" w:rsidP="003D7535" w:rsidRDefault="004267CA" w14:paraId="23E37E70" w14:textId="77777777">
      <w:pPr>
        <w:pStyle w:val="NormalWeb"/>
        <w:shd w:val="clear" w:color="auto" w:fill="FFFFFF"/>
        <w:spacing w:after="200" w:afterAutospacing="0" w:line="276" w:lineRule="auto"/>
        <w:rPr>
          <w:rFonts w:cstheme="minorHAnsi"/>
        </w:rPr>
      </w:pPr>
      <w:r w:rsidRPr="00A42723">
        <w:rPr>
          <w:rFonts w:cstheme="minorHAnsi"/>
        </w:rPr>
        <w:t>IREC claims that the draft comment resolution allows a “sweeping exception” to cost-causation principles that would allow permanent curtailment of an LGP facility, and calls this a “legal error.”</w:t>
      </w:r>
      <w:r w:rsidR="00770809">
        <w:rPr>
          <w:rStyle w:val="FootnoteReference"/>
          <w:rFonts w:cstheme="minorHAnsi"/>
        </w:rPr>
        <w:footnoteReference w:id="209"/>
      </w:r>
      <w:r w:rsidRPr="00A42723">
        <w:rPr>
          <w:rFonts w:cstheme="minorHAnsi"/>
        </w:rPr>
        <w:t xml:space="preserve"> Our intention with the language in the draft comment resolution was simply to note that any project, LGP or non-LGP, can apply for a tariff deviation under existing Commission rules. We did not mean to imply that there is a special circumstance in the case of LGP projects regarding tariff deviations.</w:t>
      </w:r>
    </w:p>
    <w:p w:rsidRPr="00A42723" w:rsidR="004267CA" w:rsidP="003D7535" w:rsidRDefault="004267CA" w14:paraId="69765F75" w14:textId="77777777">
      <w:pPr>
        <w:pStyle w:val="NormalWeb"/>
        <w:shd w:val="clear" w:color="auto" w:fill="FFFFFF"/>
        <w:spacing w:after="200" w:afterAutospacing="0" w:line="276" w:lineRule="auto"/>
        <w:rPr>
          <w:rFonts w:cstheme="minorHAnsi"/>
        </w:rPr>
      </w:pPr>
      <w:r w:rsidRPr="00A42723">
        <w:rPr>
          <w:rFonts w:cstheme="minorHAnsi"/>
        </w:rPr>
        <w:t xml:space="preserve">The Joint IOUs ask for confirmation that in the event a tariff deviation is denied, that the Large IOUs may recover the costs of the distribution upgrade from ratepayers. IREC disputes any provision that could result in permanent curtailment of an LGP facility. We cannot provide such confirmation in response to either comment, because we </w:t>
      </w:r>
      <w:r w:rsidRPr="00A42723">
        <w:rPr>
          <w:rFonts w:cstheme="minorHAnsi"/>
        </w:rPr>
        <w:lastRenderedPageBreak/>
        <w:t xml:space="preserve">cannot presume in advance the outcome of any tariff deviation determination or resolution. </w:t>
      </w:r>
    </w:p>
    <w:p w:rsidRPr="00A42723" w:rsidR="004267CA" w:rsidP="003D7535" w:rsidRDefault="004267CA" w14:paraId="7D39045C" w14:textId="77777777">
      <w:pPr>
        <w:pStyle w:val="NormalWeb"/>
        <w:shd w:val="clear" w:color="auto" w:fill="FFFFFF"/>
        <w:spacing w:after="200" w:afterAutospacing="0" w:line="276" w:lineRule="auto"/>
        <w:rPr>
          <w:rFonts w:cstheme="minorHAnsi"/>
        </w:rPr>
      </w:pPr>
      <w:r w:rsidRPr="00A42723">
        <w:rPr>
          <w:rFonts w:cstheme="minorHAnsi"/>
        </w:rPr>
        <w:t>We modif</w:t>
      </w:r>
      <w:r w:rsidR="00A04077">
        <w:rPr>
          <w:rFonts w:cstheme="minorHAnsi"/>
        </w:rPr>
        <w:t>y</w:t>
      </w:r>
      <w:r w:rsidRPr="00A42723">
        <w:rPr>
          <w:rFonts w:cstheme="minorHAnsi"/>
        </w:rPr>
        <w:t xml:space="preserve"> </w:t>
      </w:r>
      <w:r w:rsidR="00AE1C4A">
        <w:rPr>
          <w:rFonts w:cstheme="minorHAnsi"/>
        </w:rPr>
        <w:t>and clarif</w:t>
      </w:r>
      <w:r w:rsidR="00A04077">
        <w:rPr>
          <w:rFonts w:cstheme="minorHAnsi"/>
        </w:rPr>
        <w:t>y</w:t>
      </w:r>
      <w:r w:rsidR="00AE1C4A">
        <w:rPr>
          <w:rFonts w:cstheme="minorHAnsi"/>
        </w:rPr>
        <w:t xml:space="preserve"> </w:t>
      </w:r>
      <w:r w:rsidRPr="00A42723">
        <w:rPr>
          <w:rFonts w:cstheme="minorHAnsi"/>
        </w:rPr>
        <w:t>the language of Disposition #4 as follows:</w:t>
      </w:r>
    </w:p>
    <w:p w:rsidRPr="00A42723" w:rsidR="004267CA" w:rsidP="003D7535" w:rsidRDefault="004267CA" w14:paraId="0F693D1A" w14:textId="77777777">
      <w:pPr>
        <w:spacing w:after="200" w:line="276" w:lineRule="auto"/>
        <w:ind w:left="720"/>
      </w:pPr>
      <w:r w:rsidRPr="00A42723">
        <w:t xml:space="preserve">We find that grid upgrades required to fully restore curtailed LGP export values shall also be paid by the utility, but based on the available evidence, we expect required grid upgrades to be rare and that most curtailments can be addressed through low-cost mitigations. Given that one intention of the LGP option is to avoid grid upgrades, however, we also </w:t>
      </w:r>
      <w:r w:rsidRPr="00953E10">
        <w:rPr>
          <w:u w:val="single"/>
        </w:rPr>
        <w:t>note two processes available</w:t>
      </w:r>
      <w:r w:rsidR="00953E10">
        <w:t xml:space="preserve"> </w:t>
      </w:r>
      <w:r w:rsidRPr="00953E10">
        <w:rPr>
          <w:strike/>
        </w:rPr>
        <w:t xml:space="preserve">adopt two additional provisions </w:t>
      </w:r>
      <w:r w:rsidRPr="00A42723">
        <w:t>to safeguard ratepayer interests:</w:t>
      </w:r>
    </w:p>
    <w:p w:rsidRPr="00A42723" w:rsidR="004267CA" w:rsidP="003D7535" w:rsidRDefault="004267CA" w14:paraId="5359D5B4" w14:textId="77777777">
      <w:pPr>
        <w:spacing w:after="200" w:line="276" w:lineRule="auto"/>
        <w:ind w:left="720"/>
      </w:pPr>
      <w:r w:rsidRPr="00A42723">
        <w:t xml:space="preserve">(1) In case of exceptional circumstances where grid upgrades would be required to restore curtailed export values of an LGP facility, the Large IOUs </w:t>
      </w:r>
      <w:r w:rsidRPr="00AE1C4A">
        <w:rPr>
          <w:u w:val="single"/>
        </w:rPr>
        <w:t>already have discretion</w:t>
      </w:r>
      <w:r w:rsidR="00AE1C4A">
        <w:t xml:space="preserve"> </w:t>
      </w:r>
      <w:r w:rsidRPr="00AE1C4A">
        <w:rPr>
          <w:strike/>
        </w:rPr>
        <w:t>may</w:t>
      </w:r>
      <w:r w:rsidRPr="00A42723">
        <w:t xml:space="preserve">, under existing Commission rules, </w:t>
      </w:r>
      <w:r w:rsidRPr="00AE1C4A">
        <w:rPr>
          <w:u w:val="single"/>
        </w:rPr>
        <w:t>to</w:t>
      </w:r>
      <w:r w:rsidR="00AE1C4A">
        <w:t xml:space="preserve"> </w:t>
      </w:r>
      <w:r w:rsidRPr="00A42723">
        <w:t xml:space="preserve">apply for a tariff deviation if they believe that undertaking an upgrade is not a reasonable use of ratepayer funds or is unreasonably costly in a particular case. </w:t>
      </w:r>
      <w:r w:rsidRPr="00AE1C4A">
        <w:rPr>
          <w:strike/>
        </w:rPr>
        <w:t>In the case of an approved tariff deviation, permanent curtailment of the LGP facility could result.</w:t>
      </w:r>
      <w:r w:rsidRPr="00A42723">
        <w:t xml:space="preserve"> </w:t>
      </w:r>
    </w:p>
    <w:p w:rsidR="004267CA" w:rsidP="003D7535" w:rsidRDefault="004267CA" w14:paraId="38682A44" w14:textId="77777777">
      <w:pPr>
        <w:spacing w:after="200" w:line="276" w:lineRule="auto"/>
        <w:ind w:left="720"/>
      </w:pPr>
      <w:r w:rsidRPr="00A42723">
        <w:t xml:space="preserve">(2) </w:t>
      </w:r>
      <w:r w:rsidRPr="00AE1C4A">
        <w:rPr>
          <w:u w:val="single"/>
        </w:rPr>
        <w:t>We adopt a safeguard, as to the circumstances of LGP-specific curtailment, that the</w:t>
      </w:r>
      <w:r w:rsidR="00AE1C4A">
        <w:t xml:space="preserve"> </w:t>
      </w:r>
      <w:r w:rsidRPr="00AE1C4A">
        <w:rPr>
          <w:strike/>
        </w:rPr>
        <w:t>The</w:t>
      </w:r>
      <w:r w:rsidRPr="00A42723">
        <w:t xml:space="preserve"> Large IOUs may submit an advice letter proposing reconsideration of these findings on cost responsibility if, during the first three years of the LGP option being effective, cumulatively more than 10% of actual LGP facility curtailments, due strictly to the LGP-specific circumstance of sustained load reductions, have required grid upgrades </w:t>
      </w:r>
      <w:r w:rsidRPr="00AE1C4A">
        <w:rPr>
          <w:u w:val="single"/>
        </w:rPr>
        <w:t>(rather than low-cost mitigations)</w:t>
      </w:r>
      <w:r w:rsidRPr="00A42723">
        <w:t xml:space="preserve"> to restore curtailed LGP export values.</w:t>
      </w:r>
    </w:p>
    <w:p w:rsidRPr="00A42723" w:rsidR="00CC34EF" w:rsidP="00CC34EF" w:rsidRDefault="00CC34EF" w14:paraId="0F2A3E4F" w14:textId="77777777">
      <w:pPr>
        <w:spacing w:after="200" w:line="276" w:lineRule="auto"/>
      </w:pPr>
      <w:r>
        <w:t xml:space="preserve">We also modify the language of Appendix C, Step 3, on the process to curtail LGP projects, to remove language on tariff deviations that presumed </w:t>
      </w:r>
      <w:r w:rsidRPr="00A42723">
        <w:rPr>
          <w:rFonts w:cstheme="minorHAnsi"/>
        </w:rPr>
        <w:t>in advance the outcome of any tariff deviation determination or resolution.</w:t>
      </w:r>
    </w:p>
    <w:p w:rsidRPr="00AE1C4A" w:rsidR="004267CA" w:rsidP="00770809" w:rsidRDefault="00AE1C4A" w14:paraId="62A51ABD" w14:textId="77777777">
      <w:pPr>
        <w:pStyle w:val="NormalWeb"/>
        <w:shd w:val="clear" w:color="auto" w:fill="FFFFFF"/>
        <w:spacing w:before="360" w:beforeAutospacing="0" w:after="200" w:afterAutospacing="0" w:line="276" w:lineRule="auto"/>
        <w:rPr>
          <w:rFonts w:cstheme="minorHAnsi"/>
          <w:u w:val="single"/>
        </w:rPr>
      </w:pPr>
      <w:r>
        <w:rPr>
          <w:rFonts w:cstheme="minorHAnsi"/>
          <w:u w:val="single"/>
        </w:rPr>
        <w:t xml:space="preserve">Comments on </w:t>
      </w:r>
      <w:r w:rsidRPr="00AE1C4A" w:rsidR="004267CA">
        <w:rPr>
          <w:rFonts w:cstheme="minorHAnsi"/>
          <w:u w:val="single"/>
        </w:rPr>
        <w:t>Disposition</w:t>
      </w:r>
      <w:r>
        <w:rPr>
          <w:rFonts w:cstheme="minorHAnsi"/>
          <w:u w:val="single"/>
        </w:rPr>
        <w:t>s</w:t>
      </w:r>
      <w:r w:rsidRPr="00AE1C4A" w:rsidR="004267CA">
        <w:rPr>
          <w:rFonts w:cstheme="minorHAnsi"/>
          <w:u w:val="single"/>
        </w:rPr>
        <w:t xml:space="preserve"> #3, #4, and #5 on Requiring a Workshop After One Year</w:t>
      </w:r>
    </w:p>
    <w:p w:rsidRPr="00A42723" w:rsidR="004267CA" w:rsidP="003D7535" w:rsidRDefault="004267CA" w14:paraId="72FFADC8" w14:textId="77777777">
      <w:pPr>
        <w:spacing w:after="200" w:line="276" w:lineRule="auto"/>
      </w:pPr>
      <w:r w:rsidRPr="00A42723">
        <w:t xml:space="preserve">IREC </w:t>
      </w:r>
      <w:r w:rsidR="00AE1C4A">
        <w:t xml:space="preserve">in its comments </w:t>
      </w:r>
      <w:r w:rsidRPr="00A42723">
        <w:t>proposes the following:</w:t>
      </w:r>
    </w:p>
    <w:p w:rsidR="004267CA" w:rsidP="003D7535" w:rsidRDefault="004267CA" w14:paraId="55BACBCA" w14:textId="77777777">
      <w:pPr>
        <w:spacing w:after="200" w:line="276" w:lineRule="auto"/>
        <w:ind w:left="720"/>
      </w:pPr>
      <w:r w:rsidRPr="00A42723">
        <w:t xml:space="preserve">Since the LGP is a new concept with numerous complex aspects that will need to be tested in practice, IREC recommends the Commission require the Energy </w:t>
      </w:r>
      <w:r w:rsidRPr="00A42723">
        <w:lastRenderedPageBreak/>
        <w:t>Division to host a workshop on LGP implementation one year after the program is implemented. This workshop would provide an opportunity to evaluate whether projects are using the LGP, and if not, why, and to explore any significant hurdles to its use, as well as potential improvements.</w:t>
      </w:r>
      <w:r w:rsidR="00AE1C4A">
        <w:rPr>
          <w:rStyle w:val="FootnoteReference"/>
        </w:rPr>
        <w:footnoteReference w:id="210"/>
      </w:r>
    </w:p>
    <w:p w:rsidRPr="00A42723" w:rsidR="004267CA" w:rsidP="003D7535" w:rsidRDefault="004267CA" w14:paraId="7A28E137" w14:textId="77777777">
      <w:pPr>
        <w:spacing w:after="200" w:line="276" w:lineRule="auto"/>
      </w:pPr>
      <w:r w:rsidRPr="00A42723">
        <w:t xml:space="preserve">We reject this proposal and find that one year is too soon for such evaluation. We note, however, that Energy Division always has discretion to issue data requests and may host stakeholder discussions or workshops as needed.  </w:t>
      </w:r>
      <w:r w:rsidR="00B25667">
        <w:t>We f</w:t>
      </w:r>
      <w:r w:rsidRPr="00A42723">
        <w:t>urther</w:t>
      </w:r>
      <w:r w:rsidR="00B25667">
        <w:t xml:space="preserve"> note that</w:t>
      </w:r>
      <w:r w:rsidRPr="00A42723">
        <w:t xml:space="preserve"> Disposition #8 on data monitoring and reporting of LGP facility curtailments, along with Disposition #21 on assessment of LGP configurations</w:t>
      </w:r>
      <w:r w:rsidR="00B25667">
        <w:t>,</w:t>
      </w:r>
      <w:r w:rsidRPr="00A42723">
        <w:t xml:space="preserve"> already provide sufficient opportunities to evaluate performance of the LGP option.</w:t>
      </w:r>
    </w:p>
    <w:p w:rsidRPr="00A42723" w:rsidR="004267CA" w:rsidP="003D7535" w:rsidRDefault="004267CA" w14:paraId="0D54FD36" w14:textId="77777777">
      <w:pPr>
        <w:spacing w:after="200" w:line="276" w:lineRule="auto"/>
      </w:pPr>
      <w:r w:rsidRPr="00A42723">
        <w:t xml:space="preserve">We add the following </w:t>
      </w:r>
      <w:r w:rsidR="00C97A2B">
        <w:t xml:space="preserve">text </w:t>
      </w:r>
      <w:r w:rsidRPr="00A42723">
        <w:t xml:space="preserve">to </w:t>
      </w:r>
      <w:r w:rsidR="00C97A2B">
        <w:t xml:space="preserve">OP 7 (which was </w:t>
      </w:r>
      <w:r w:rsidR="00CE01B0">
        <w:t xml:space="preserve">formerly </w:t>
      </w:r>
      <w:r w:rsidRPr="00A42723">
        <w:t>OP 6</w:t>
      </w:r>
      <w:r w:rsidR="000E2871">
        <w:t xml:space="preserve"> of the draft comment resolution)</w:t>
      </w:r>
      <w:r w:rsidR="00007530">
        <w:t>, to further clarify assessment of the LGP option and proposals for modification.</w:t>
      </w:r>
    </w:p>
    <w:p w:rsidRPr="00A42723" w:rsidR="004267CA" w:rsidP="003D7535" w:rsidRDefault="00CE01B0" w14:paraId="1082A868" w14:textId="77777777">
      <w:pPr>
        <w:spacing w:after="200" w:line="276" w:lineRule="auto"/>
        <w:ind w:left="720"/>
      </w:pPr>
      <w:r>
        <w:t xml:space="preserve">[Add to OP 7] </w:t>
      </w:r>
      <w:r w:rsidRPr="00A42723" w:rsidR="004267CA">
        <w:t>Pacific Gas and Electric Company, Southern California Edison Company, and San Diego Gas &amp; Electric Company are further ordered to conduct the assessment after three years following the LGP becoming effective, and to submit a Tier 2 Advice Letter containing the assessment and any proposals for modification to the LGP option, within 3 months after the date the LGP has been effective for three years.</w:t>
      </w:r>
    </w:p>
    <w:p w:rsidRPr="00A42723" w:rsidR="004267CA" w:rsidP="003D7535" w:rsidRDefault="004267CA" w14:paraId="7F836290" w14:textId="77777777">
      <w:pPr>
        <w:spacing w:after="200" w:line="276" w:lineRule="auto"/>
      </w:pPr>
      <w:r w:rsidRPr="00A42723">
        <w:t xml:space="preserve">We </w:t>
      </w:r>
      <w:r w:rsidR="00007530">
        <w:t xml:space="preserve">further </w:t>
      </w:r>
      <w:r w:rsidRPr="00A42723">
        <w:t>find that should circumstances warrant material modification to the LGP option prior to three years following the LGP option becoming effective, the Large IOUs may file a Tier 2 Advice Letter with proposals for modification to the LGP option.</w:t>
      </w:r>
    </w:p>
    <w:p w:rsidRPr="00B25667" w:rsidR="004267CA" w:rsidP="00770809" w:rsidRDefault="00B25667" w14:paraId="6E6924C6" w14:textId="77777777">
      <w:pPr>
        <w:spacing w:before="360" w:after="200" w:line="276" w:lineRule="auto"/>
        <w:rPr>
          <w:u w:val="single"/>
        </w:rPr>
      </w:pPr>
      <w:r>
        <w:rPr>
          <w:u w:val="single"/>
        </w:rPr>
        <w:t xml:space="preserve">Comments on </w:t>
      </w:r>
      <w:r w:rsidRPr="00B25667" w:rsidR="004267CA">
        <w:rPr>
          <w:u w:val="single"/>
        </w:rPr>
        <w:t>Disposition #7 on Process to Curtail LGP Projects</w:t>
      </w:r>
    </w:p>
    <w:p w:rsidRPr="00A42723" w:rsidR="004267CA" w:rsidP="003D7535" w:rsidRDefault="004267CA" w14:paraId="52B4A083" w14:textId="77777777">
      <w:pPr>
        <w:spacing w:after="200" w:line="276" w:lineRule="auto"/>
      </w:pPr>
      <w:r w:rsidRPr="00A42723">
        <w:t>IREC comments that “it is unclear how that process is to be adopted as the Ordering Paragraph [3] does not specify a deadline for filing an advice letter or another pathway for integration into the Rule 21 tariffs.”</w:t>
      </w:r>
      <w:r w:rsidR="00B25667">
        <w:rPr>
          <w:rStyle w:val="FootnoteReference"/>
        </w:rPr>
        <w:footnoteReference w:id="211"/>
      </w:r>
    </w:p>
    <w:p w:rsidRPr="00A42723" w:rsidR="004267CA" w:rsidP="003D7535" w:rsidRDefault="004267CA" w14:paraId="767EA0AC" w14:textId="77777777">
      <w:pPr>
        <w:spacing w:after="200" w:line="276" w:lineRule="auto"/>
      </w:pPr>
      <w:r w:rsidRPr="00A42723">
        <w:lastRenderedPageBreak/>
        <w:t>We note this comment is similar to that for OP 3 in relation to Appendix F in Dispositions #17 and #18. We modify OP 3 language to account for this comment, as described in the comments section below on Disposition #17 and #18 on Clarification of the Interconnection Process for LGP Projects.</w:t>
      </w:r>
    </w:p>
    <w:p w:rsidRPr="00A42723" w:rsidR="004267CA" w:rsidP="003D7535" w:rsidRDefault="004267CA" w14:paraId="72E6D394" w14:textId="77777777">
      <w:pPr>
        <w:spacing w:after="200" w:line="276" w:lineRule="auto"/>
      </w:pPr>
      <w:r w:rsidRPr="00A42723">
        <w:t>IREC also suggests a wording improvement for clarification on Step 3.a on restoring original LGP values to the original values in the interconnection agreement. We adopt this edit in Appendix C, as follows:</w:t>
      </w:r>
    </w:p>
    <w:p w:rsidRPr="00A42723" w:rsidR="004267CA" w:rsidP="003D7535" w:rsidRDefault="004267CA" w14:paraId="1C4FC097" w14:textId="77777777">
      <w:pPr>
        <w:spacing w:after="200" w:line="276" w:lineRule="auto"/>
        <w:ind w:left="720"/>
      </w:pPr>
      <w:r w:rsidRPr="00A42723">
        <w:t xml:space="preserve">Once the upgrades are operational, the Utility will provide the LGP customer with </w:t>
      </w:r>
      <w:r w:rsidRPr="00B25667">
        <w:rPr>
          <w:strike/>
          <w:color w:val="000000" w:themeColor="text1"/>
        </w:rPr>
        <w:t>a new</w:t>
      </w:r>
      <w:r w:rsidRPr="00B25667" w:rsidR="00B25667">
        <w:rPr>
          <w:strike/>
          <w:color w:val="000000" w:themeColor="text1"/>
        </w:rPr>
        <w:t xml:space="preserve"> </w:t>
      </w:r>
      <w:r w:rsidRPr="00B25667">
        <w:rPr>
          <w:color w:val="000000" w:themeColor="text1"/>
          <w:u w:val="single"/>
        </w:rPr>
        <w:t xml:space="preserve">the original </w:t>
      </w:r>
      <w:r w:rsidRPr="00B25667">
        <w:rPr>
          <w:color w:val="000000" w:themeColor="text1"/>
        </w:rPr>
        <w:t xml:space="preserve">LGP </w:t>
      </w:r>
      <w:r w:rsidRPr="00B25667">
        <w:rPr>
          <w:color w:val="000000" w:themeColor="text1"/>
          <w:u w:val="single"/>
        </w:rPr>
        <w:t>in the interconnection agreement</w:t>
      </w:r>
      <w:r w:rsidRPr="00B25667">
        <w:rPr>
          <w:color w:val="000000" w:themeColor="text1"/>
        </w:rPr>
        <w:t xml:space="preserve"> reflecting </w:t>
      </w:r>
      <w:r w:rsidRPr="00A42723">
        <w:t>the hosting capacity made available by the upgrades.</w:t>
      </w:r>
    </w:p>
    <w:p w:rsidRPr="001A5641" w:rsidR="004267CA" w:rsidP="00770809" w:rsidRDefault="001A5641" w14:paraId="3A9C2305" w14:textId="77777777">
      <w:pPr>
        <w:spacing w:before="360" w:after="200" w:line="276" w:lineRule="auto"/>
        <w:rPr>
          <w:u w:val="single"/>
        </w:rPr>
      </w:pPr>
      <w:r>
        <w:rPr>
          <w:u w:val="single"/>
        </w:rPr>
        <w:t xml:space="preserve">Comments on </w:t>
      </w:r>
      <w:r w:rsidRPr="001A5641" w:rsidR="004267CA">
        <w:rPr>
          <w:u w:val="single"/>
        </w:rPr>
        <w:t>Disposition #8 on Reporting Requirements for Curtailment</w:t>
      </w:r>
    </w:p>
    <w:p w:rsidRPr="00A42723" w:rsidR="004267CA" w:rsidP="003D7535" w:rsidRDefault="004267CA" w14:paraId="12F83935" w14:textId="77777777">
      <w:pPr>
        <w:spacing w:after="200" w:line="276" w:lineRule="auto"/>
      </w:pPr>
      <w:r w:rsidRPr="00A42723">
        <w:t xml:space="preserve">IREC comments that the reporting requirements in Appendix E are worded inconsistently with the rest of the resolution, in that Appendix E uses the phrases “partially restore” and “fully restore” when discussing restoration of curtailed LGP values. </w:t>
      </w:r>
    </w:p>
    <w:p w:rsidRPr="00A42723" w:rsidR="004267CA" w:rsidP="003D7535" w:rsidRDefault="004267CA" w14:paraId="57B7572E" w14:textId="77777777">
      <w:pPr>
        <w:spacing w:after="200" w:line="276" w:lineRule="auto"/>
      </w:pPr>
      <w:r w:rsidRPr="00A42723">
        <w:t xml:space="preserve">We have made no revisions in response to this comment. We note that the resolution uses the phases “partially restore” and “fully restore” in a number of places, and Appendix E is consistent with that usage. We note that the usage of “partially restore” in Dispositions #4 and #5 is intended to account for the use of low-cost mitigations that may or may not fully restore curtailed LGP values, which circumstance would require further grid upgrades to fully restore curtailed LGP values. In other words, there may be an intermediate phase of partial restoration before full restoration can be achieved, and the reporting requirements in Appendix E are intended to account for that situation.  </w:t>
      </w:r>
    </w:p>
    <w:p w:rsidRPr="00A42723" w:rsidR="004267CA" w:rsidP="003D7535" w:rsidRDefault="004267CA" w14:paraId="2F987101" w14:textId="77777777">
      <w:pPr>
        <w:spacing w:after="200" w:line="276" w:lineRule="auto"/>
      </w:pPr>
      <w:r w:rsidRPr="00A42723">
        <w:t xml:space="preserve">The Large IOUs request to have the reporting occur annually, three months after the end of each calendar year. We adopt this request and amend the language of OP </w:t>
      </w:r>
      <w:r w:rsidR="00CE01B0">
        <w:t>5</w:t>
      </w:r>
      <w:r w:rsidR="000E2871">
        <w:t xml:space="preserve"> of th</w:t>
      </w:r>
      <w:r w:rsidR="00CE01B0">
        <w:t>is resolution (which was formerly OP</w:t>
      </w:r>
      <w:r w:rsidR="000E2871">
        <w:t xml:space="preserve"> </w:t>
      </w:r>
      <w:r w:rsidR="00CE01B0">
        <w:t>4</w:t>
      </w:r>
      <w:r w:rsidR="000E2871">
        <w:t xml:space="preserve"> in th</w:t>
      </w:r>
      <w:r w:rsidR="00CE01B0">
        <w:t xml:space="preserve">e draft comment </w:t>
      </w:r>
      <w:r w:rsidR="000E2871">
        <w:t>resolution)</w:t>
      </w:r>
      <w:r w:rsidRPr="00A42723">
        <w:t>:</w:t>
      </w:r>
    </w:p>
    <w:p w:rsidRPr="00A42723" w:rsidR="004267CA" w:rsidP="003D7535" w:rsidRDefault="004267CA" w14:paraId="0633FF6B" w14:textId="77777777">
      <w:pPr>
        <w:spacing w:after="200" w:line="276" w:lineRule="auto"/>
        <w:ind w:left="720"/>
      </w:pPr>
      <w:r w:rsidRPr="00A42723">
        <w:t xml:space="preserve">OP </w:t>
      </w:r>
      <w:r w:rsidR="000E2871">
        <w:t>5</w:t>
      </w:r>
      <w:r w:rsidRPr="00A42723">
        <w:t xml:space="preserve">. Pacific Gas and Electric Company, Southern California Edison Company, and San Diego Gas &amp; Electric Company are ordered to adopt the data monitoring and reporting requirements on LGP facility curtailments described in Appendix </w:t>
      </w:r>
      <w:r w:rsidRPr="00A42723">
        <w:lastRenderedPageBreak/>
        <w:t xml:space="preserve">E, and submit a Tier 2 Advice Letter with the required data </w:t>
      </w:r>
      <w:r w:rsidRPr="00FF5312">
        <w:rPr>
          <w:u w:val="single"/>
        </w:rPr>
        <w:t xml:space="preserve">on an annual basis, within three months after the end of each calendar year. </w:t>
      </w:r>
      <w:r w:rsidRPr="00FF5312">
        <w:rPr>
          <w:strike/>
        </w:rPr>
        <w:t xml:space="preserve">within one month after the LGP option has been effective for three years, and again after six years and nine years. </w:t>
      </w:r>
    </w:p>
    <w:p w:rsidRPr="00956385" w:rsidR="004267CA" w:rsidP="00770809" w:rsidRDefault="00956385" w14:paraId="13DA6D5D" w14:textId="77777777">
      <w:pPr>
        <w:spacing w:before="360" w:after="200" w:line="276" w:lineRule="auto"/>
        <w:rPr>
          <w:u w:val="single"/>
        </w:rPr>
      </w:pPr>
      <w:r w:rsidRPr="00956385">
        <w:rPr>
          <w:u w:val="single"/>
        </w:rPr>
        <w:t xml:space="preserve">Comments on </w:t>
      </w:r>
      <w:r w:rsidRPr="00956385" w:rsidR="004267CA">
        <w:rPr>
          <w:u w:val="single"/>
        </w:rPr>
        <w:t>Disposition #9 on Quarterly Reporting</w:t>
      </w:r>
    </w:p>
    <w:p w:rsidRPr="00A42723" w:rsidR="004267CA" w:rsidP="003D7535" w:rsidRDefault="004267CA" w14:paraId="3DA232D2" w14:textId="77777777">
      <w:pPr>
        <w:spacing w:after="200" w:line="276" w:lineRule="auto"/>
      </w:pPr>
      <w:r w:rsidRPr="00A42723">
        <w:t>The Large IOUs propose a wording change in Disposition #9, to revert back to the original language in their Advice Letters that was modified in the draft comment resolution</w:t>
      </w:r>
      <w:r w:rsidR="00956385">
        <w:t xml:space="preserve"> in response to a proposed edit by IREC</w:t>
      </w:r>
      <w:r w:rsidRPr="00A42723">
        <w:t>.  We a</w:t>
      </w:r>
      <w:r w:rsidR="00956385">
        <w:t xml:space="preserve">gree with the Large IOUs argument for reverting back to their original language and </w:t>
      </w:r>
      <w:r w:rsidRPr="00A42723">
        <w:t>replace “telemetering equipment at the point of common coupling” with “telemetry at the point of common coupling”</w:t>
      </w:r>
      <w:r w:rsidR="00956385">
        <w:t xml:space="preserve"> in Disposition #9 and Appendix B.</w:t>
      </w:r>
    </w:p>
    <w:p w:rsidRPr="00793382" w:rsidR="004267CA" w:rsidP="00770809" w:rsidRDefault="00793382" w14:paraId="1284784F" w14:textId="77777777">
      <w:pPr>
        <w:spacing w:before="360" w:after="200" w:line="276" w:lineRule="auto"/>
        <w:rPr>
          <w:u w:val="single"/>
        </w:rPr>
      </w:pPr>
      <w:r w:rsidRPr="00793382">
        <w:rPr>
          <w:u w:val="single"/>
        </w:rPr>
        <w:t xml:space="preserve">Comments on </w:t>
      </w:r>
      <w:r w:rsidRPr="00793382" w:rsidR="004267CA">
        <w:rPr>
          <w:u w:val="single"/>
        </w:rPr>
        <w:t>Disposition #10 on Use of Gross Nameplate Rating</w:t>
      </w:r>
      <w:r w:rsidR="00934955">
        <w:rPr>
          <w:u w:val="single"/>
        </w:rPr>
        <w:t xml:space="preserve"> in Screen P</w:t>
      </w:r>
    </w:p>
    <w:p w:rsidRPr="00A42723" w:rsidR="004267CA" w:rsidP="003D7535" w:rsidRDefault="004267CA" w14:paraId="7F083641" w14:textId="77777777">
      <w:pPr>
        <w:spacing w:after="200" w:line="276" w:lineRule="auto"/>
      </w:pPr>
      <w:r w:rsidRPr="00A42723">
        <w:t>The Large IOUs propose and justify the following change in Disposition #10,</w:t>
      </w:r>
      <w:r w:rsidR="001F4766">
        <w:t xml:space="preserve"> for a note in the text on </w:t>
      </w:r>
      <w:r w:rsidR="00934955">
        <w:t xml:space="preserve">the use of Gross Nameplate Rating in Screen P, </w:t>
      </w:r>
      <w:r w:rsidRPr="00A42723">
        <w:t>which we adopt</w:t>
      </w:r>
      <w:r w:rsidR="00793382">
        <w:t xml:space="preserve"> in Disposition #10</w:t>
      </w:r>
      <w:r w:rsidR="001F4766">
        <w:t xml:space="preserve"> and include in the findings of Disposition #10</w:t>
      </w:r>
      <w:r w:rsidR="00770809">
        <w:t xml:space="preserve"> and also in Finding #24 of the resolution:</w:t>
      </w:r>
    </w:p>
    <w:p w:rsidRPr="00A42723" w:rsidR="004267CA" w:rsidP="003D7535" w:rsidRDefault="004267CA" w14:paraId="7916475B" w14:textId="77777777">
      <w:pPr>
        <w:spacing w:after="200" w:line="276" w:lineRule="auto"/>
        <w:ind w:left="720"/>
      </w:pPr>
      <w:r w:rsidRPr="00A42723">
        <w:t xml:space="preserve">Screen P: the Large IOUs justified use of Gross Nameplate Rating for aspects involving fault current calculation to ensure safety and reliability </w:t>
      </w:r>
      <w:r w:rsidRPr="00793382">
        <w:rPr>
          <w:strike/>
          <w:color w:val="000000" w:themeColor="text1"/>
        </w:rPr>
        <w:t>should the Generating Facility’s PCS fail and begin to export at Gross Nameplate Rating higher than the maximum LGP value</w:t>
      </w:r>
      <w:r w:rsidRPr="00A42723">
        <w:t>.</w:t>
      </w:r>
    </w:p>
    <w:p w:rsidRPr="007638DC" w:rsidR="004267CA" w:rsidP="00770809" w:rsidRDefault="007638DC" w14:paraId="66BC760D" w14:textId="77777777">
      <w:pPr>
        <w:spacing w:before="360" w:after="200" w:line="276" w:lineRule="auto"/>
        <w:rPr>
          <w:u w:val="single"/>
        </w:rPr>
      </w:pPr>
      <w:r>
        <w:rPr>
          <w:u w:val="single"/>
        </w:rPr>
        <w:t xml:space="preserve">Comments on </w:t>
      </w:r>
      <w:r w:rsidRPr="007638DC" w:rsidR="004267CA">
        <w:rPr>
          <w:u w:val="single"/>
        </w:rPr>
        <w:t>Disposition #12 on Standard for PCS Scheduling Functionality</w:t>
      </w:r>
    </w:p>
    <w:p w:rsidRPr="00A42723" w:rsidR="004267CA" w:rsidP="003D7535" w:rsidRDefault="004267CA" w14:paraId="6709C4A2" w14:textId="77777777">
      <w:pPr>
        <w:spacing w:after="200" w:line="276" w:lineRule="auto"/>
      </w:pPr>
      <w:r w:rsidRPr="00A42723">
        <w:t>Both the Large IOUs and IREC comment on the fact that development of a standard for PCS scheduling functionality has recently transitioned to new standard UL 3141, from the original expectation that a new Supplement SE to UL 1741 would be issued.</w:t>
      </w:r>
    </w:p>
    <w:p w:rsidR="0042043F" w:rsidP="003D7535" w:rsidRDefault="004267CA" w14:paraId="7CC97AFA" w14:textId="77777777">
      <w:pPr>
        <w:spacing w:after="200" w:line="276" w:lineRule="auto"/>
      </w:pPr>
      <w:r w:rsidRPr="00A42723">
        <w:t xml:space="preserve">We revise language </w:t>
      </w:r>
      <w:r w:rsidR="001F4766">
        <w:t xml:space="preserve">in Disposition #12 </w:t>
      </w:r>
      <w:r w:rsidR="00FE503A">
        <w:t xml:space="preserve">and Appendix B </w:t>
      </w:r>
      <w:r w:rsidRPr="00A42723">
        <w:t>to refer to UL 3141</w:t>
      </w:r>
      <w:r w:rsidR="005C781F">
        <w:t xml:space="preserve"> instead of UL 1741</w:t>
      </w:r>
      <w:r w:rsidR="00B81BD1">
        <w:t>,</w:t>
      </w:r>
      <w:r w:rsidR="005C781F">
        <w:t xml:space="preserve"> and add</w:t>
      </w:r>
      <w:r w:rsidR="00FE503A">
        <w:t xml:space="preserve"> </w:t>
      </w:r>
      <w:r w:rsidR="005C781F">
        <w:t>the clarification in Disposition #12 that f</w:t>
      </w:r>
      <w:r w:rsidRPr="005C781F" w:rsidR="005C781F">
        <w:t xml:space="preserve">or purposes of this resolution, a “standard for UL PCS with integrated schedule” refers to a future version of UL 3141 Outline of Investigation for Power Control Systems that includes </w:t>
      </w:r>
      <w:r w:rsidR="00C257FA">
        <w:t xml:space="preserve">the necessary </w:t>
      </w:r>
      <w:r w:rsidRPr="005C781F" w:rsidR="005C781F">
        <w:t xml:space="preserve">PCS </w:t>
      </w:r>
      <w:r w:rsidRPr="005C781F" w:rsidR="005C781F">
        <w:lastRenderedPageBreak/>
        <w:t xml:space="preserve">scheduling functionality </w:t>
      </w:r>
      <w:r w:rsidR="0042043F">
        <w:t xml:space="preserve">for implementing </w:t>
      </w:r>
      <w:r w:rsidRPr="005C781F" w:rsidR="005C781F">
        <w:t xml:space="preserve">the three </w:t>
      </w:r>
      <w:r w:rsidR="0026575F">
        <w:t xml:space="preserve">24-value </w:t>
      </w:r>
      <w:r w:rsidRPr="005C781F" w:rsidR="005C781F">
        <w:t>LGP configurations adopted in Disposition #20.</w:t>
      </w:r>
      <w:r w:rsidRPr="00A42723">
        <w:t xml:space="preserve"> </w:t>
      </w:r>
    </w:p>
    <w:p w:rsidRPr="00A42723" w:rsidR="004267CA" w:rsidP="003D7535" w:rsidRDefault="004267CA" w14:paraId="587FB9E3" w14:textId="77777777">
      <w:pPr>
        <w:spacing w:after="200" w:line="276" w:lineRule="auto"/>
      </w:pPr>
      <w:r w:rsidRPr="00A42723">
        <w:t xml:space="preserve">Once this </w:t>
      </w:r>
      <w:r w:rsidR="0042043F">
        <w:t xml:space="preserve">standard </w:t>
      </w:r>
      <w:r w:rsidRPr="00A42723">
        <w:t xml:space="preserve">UL </w:t>
      </w:r>
      <w:r w:rsidR="0042043F">
        <w:t xml:space="preserve">3141 </w:t>
      </w:r>
      <w:r w:rsidRPr="00A42723">
        <w:t xml:space="preserve">Outline of Investigation </w:t>
      </w:r>
      <w:r w:rsidR="0042043F">
        <w:t xml:space="preserve">for Power Control Systems is revised to </w:t>
      </w:r>
      <w:r w:rsidRPr="00A42723">
        <w:t>include PCS scheduling functionality, implementation of the LGP option will begin nine months later as ordered in OP 3 of this resolution.</w:t>
      </w:r>
    </w:p>
    <w:p w:rsidRPr="00A42723" w:rsidR="004267CA" w:rsidP="003D7535" w:rsidRDefault="004267CA" w14:paraId="370B170D" w14:textId="77777777">
      <w:pPr>
        <w:spacing w:after="200" w:line="276" w:lineRule="auto"/>
      </w:pPr>
      <w:r w:rsidRPr="00A42723">
        <w:t>IREC also comments that the draft comment resolution refers to PCS with scheduling functionality but not necessarily with the scheduling functionality required to implement the three adopted 24-value LGP configurations in Disposition #20. IREC recommends the language “use a PCS that is certified to implement the Limited Generation Profile configuration request in the Interconnection Request.”</w:t>
      </w:r>
      <w:r w:rsidR="00262573">
        <w:rPr>
          <w:rStyle w:val="FootnoteReference"/>
        </w:rPr>
        <w:footnoteReference w:id="212"/>
      </w:r>
      <w:r w:rsidRPr="00A42723">
        <w:t xml:space="preserve"> We find such clarification to be unnecessary because Energy Division has been following the development of UL 3141 and notes that PCS scheduling functionality being incorporated into UL 3141 will accommodate the adopted 24-value LGP configurations.</w:t>
      </w:r>
    </w:p>
    <w:p w:rsidRPr="00AC1888" w:rsidR="004267CA" w:rsidP="00AC1888" w:rsidRDefault="00AC1888" w14:paraId="3F80228B" w14:textId="77777777">
      <w:pPr>
        <w:spacing w:before="360" w:after="200" w:line="276" w:lineRule="auto"/>
        <w:rPr>
          <w:u w:val="single"/>
        </w:rPr>
      </w:pPr>
      <w:r>
        <w:rPr>
          <w:u w:val="single"/>
        </w:rPr>
        <w:t xml:space="preserve">Comments on </w:t>
      </w:r>
      <w:r w:rsidRPr="00AC1888" w:rsidR="004267CA">
        <w:rPr>
          <w:u w:val="single"/>
        </w:rPr>
        <w:t>Disposition #14 on Use of Non-Certified Devices</w:t>
      </w:r>
    </w:p>
    <w:p w:rsidRPr="00A42723" w:rsidR="004267CA" w:rsidP="003D7535" w:rsidRDefault="004267CA" w14:paraId="31B9F9A6" w14:textId="77777777">
      <w:pPr>
        <w:spacing w:after="200" w:line="276" w:lineRule="auto"/>
      </w:pPr>
      <w:r w:rsidRPr="00A42723">
        <w:t>IREC comments on further development of the relay option that was discussed in Disposition #14. Disposition #14 found that the relay option is available by mutual agreement with the utility. IREC is concerned that it may be difficult for an individual developer to obtain that agreement and asks what steps or pathways the Commission could take in that event, including one-year follow-up or mandating discussion in the Smart Inverter Working Group (SIWG) and development of requirements for the relay option.</w:t>
      </w:r>
    </w:p>
    <w:p w:rsidRPr="00A42723" w:rsidR="004267CA" w:rsidP="003D7535" w:rsidRDefault="004267CA" w14:paraId="46AB3643" w14:textId="77777777">
      <w:pPr>
        <w:spacing w:after="200" w:line="276" w:lineRule="auto"/>
      </w:pPr>
      <w:r w:rsidRPr="00A42723">
        <w:t>We take no action on this comment in this resolution. We find that our justification for excluding the relay option in Disposition #14 remains valid. We note that the SIWG is always free to discuss important and timely topics, and agree that the relay option merits further discussion. We cannot pre-judge at this time if further developments in technology, testing, and practice will suggest that the relay option merits inclusion in Rule 21.</w:t>
      </w:r>
    </w:p>
    <w:p w:rsidRPr="00262573" w:rsidR="004267CA" w:rsidP="00262573" w:rsidRDefault="00262573" w14:paraId="314D83D4" w14:textId="77777777">
      <w:pPr>
        <w:spacing w:before="360" w:after="200" w:line="276" w:lineRule="auto"/>
        <w:rPr>
          <w:u w:val="single"/>
        </w:rPr>
      </w:pPr>
      <w:r w:rsidRPr="00262573">
        <w:rPr>
          <w:u w:val="single"/>
        </w:rPr>
        <w:lastRenderedPageBreak/>
        <w:t xml:space="preserve">Comments on </w:t>
      </w:r>
      <w:r w:rsidRPr="00262573" w:rsidR="004267CA">
        <w:rPr>
          <w:u w:val="single"/>
        </w:rPr>
        <w:t>Disposition</w:t>
      </w:r>
      <w:r w:rsidRPr="00262573">
        <w:rPr>
          <w:u w:val="single"/>
        </w:rPr>
        <w:t>s</w:t>
      </w:r>
      <w:r w:rsidRPr="00262573" w:rsidR="004267CA">
        <w:rPr>
          <w:u w:val="single"/>
        </w:rPr>
        <w:t xml:space="preserve"> #17 and #18 on Clarification of the Interconnection Process for LGP Projects</w:t>
      </w:r>
    </w:p>
    <w:p w:rsidRPr="00A42723" w:rsidR="004267CA" w:rsidP="003D7535" w:rsidRDefault="004267CA" w14:paraId="05C72D8B" w14:textId="77777777">
      <w:pPr>
        <w:spacing w:after="200" w:line="276" w:lineRule="auto"/>
      </w:pPr>
      <w:r w:rsidRPr="00A42723">
        <w:t>Both the Large IOUs and IREC note correctly that Appendix F on the interconnection process for LGP projects needs to be revised to account for the three 24-value LGP configurations adopted in Disposition #20. IREC provides these corrections, which we have incorporated into a revised Appendix F. We note that the Large IOUs may still provide proposed corrections to Appendix F when submitting their Advice Letters in accordance with OP 3 of this resolution.</w:t>
      </w:r>
    </w:p>
    <w:p w:rsidR="008E166A" w:rsidP="003D7535" w:rsidRDefault="004267CA" w14:paraId="452AD296" w14:textId="77777777">
      <w:pPr>
        <w:spacing w:after="200" w:line="276" w:lineRule="auto"/>
      </w:pPr>
      <w:r w:rsidRPr="00A42723">
        <w:t>IREC also recommends that the interconnection process for LGP projects as specified in Appendix F should be incorporated formally into Rule 21 and that the Large IOUs should propose tariff language to be submitted in the same Tier 2 Advice Letter required by OP 2 of this resolution. Or, alternatively, that the Commission “should provide clear direction on where the process is to be posted and make clear that an advice letter must be filed if the utilities later want to make changes to that process.”</w:t>
      </w:r>
      <w:r w:rsidR="00262573">
        <w:rPr>
          <w:rStyle w:val="FootnoteReference"/>
        </w:rPr>
        <w:footnoteReference w:id="213"/>
      </w:r>
      <w:r w:rsidRPr="00A42723">
        <w:t xml:space="preserve"> </w:t>
      </w:r>
    </w:p>
    <w:p w:rsidRPr="00A42723" w:rsidR="004267CA" w:rsidP="003D7535" w:rsidRDefault="004267CA" w14:paraId="16DD9AF6" w14:textId="77777777">
      <w:pPr>
        <w:spacing w:after="200" w:line="276" w:lineRule="auto"/>
      </w:pPr>
      <w:r w:rsidRPr="00A42723">
        <w:t xml:space="preserve">We find that the Large IOUs may add any appropriate language to the </w:t>
      </w:r>
      <w:r w:rsidR="008E166A">
        <w:t xml:space="preserve">Rule 21 </w:t>
      </w:r>
      <w:r w:rsidRPr="00A42723">
        <w:t xml:space="preserve">Tariff at their discretion, on the interconnection process for LGP projects, to be submitted in accordance with OP 2. And </w:t>
      </w:r>
      <w:r w:rsidR="008E166A">
        <w:t xml:space="preserve">in response to IREC’s comments </w:t>
      </w:r>
      <w:r w:rsidRPr="00A42723">
        <w:t xml:space="preserve">we </w:t>
      </w:r>
      <w:r w:rsidR="00886D3E">
        <w:t xml:space="preserve">add </w:t>
      </w:r>
      <w:r w:rsidR="008E166A">
        <w:t xml:space="preserve">a new </w:t>
      </w:r>
      <w:r w:rsidRPr="00A42723">
        <w:t xml:space="preserve">OP </w:t>
      </w:r>
      <w:r w:rsidR="008E166A">
        <w:t>4</w:t>
      </w:r>
      <w:r w:rsidRPr="00A42723">
        <w:t xml:space="preserve"> </w:t>
      </w:r>
      <w:r w:rsidR="008E166A">
        <w:t xml:space="preserve">clarifying the locations and advice letter process for these two information items – (1) </w:t>
      </w:r>
      <w:r w:rsidRPr="00A42723">
        <w:t>the interconnection process in Appendix F</w:t>
      </w:r>
      <w:r w:rsidR="000E2871">
        <w:t xml:space="preserve">, </w:t>
      </w:r>
      <w:r w:rsidR="008E166A">
        <w:t xml:space="preserve">and (2) </w:t>
      </w:r>
      <w:r w:rsidR="000E2871">
        <w:t xml:space="preserve">the process and steps for curtailing LGP </w:t>
      </w:r>
      <w:r w:rsidR="008E166A">
        <w:t>in A</w:t>
      </w:r>
      <w:r w:rsidR="000E2871">
        <w:t xml:space="preserve">ppendix C </w:t>
      </w:r>
      <w:r w:rsidR="008E166A">
        <w:t xml:space="preserve">(in response also to </w:t>
      </w:r>
      <w:r w:rsidR="000E2871">
        <w:t>IREC’s comments above on Disposition #</w:t>
      </w:r>
      <w:r w:rsidRPr="000E2871" w:rsidR="000E2871">
        <w:t>8 on Reporting Requirements for Curtailment</w:t>
      </w:r>
      <w:r w:rsidR="008E166A">
        <w:t>).</w:t>
      </w:r>
    </w:p>
    <w:p w:rsidRPr="00A42723" w:rsidR="004267CA" w:rsidP="003D7535" w:rsidRDefault="004267CA" w14:paraId="4E8E9A5F" w14:textId="77777777">
      <w:pPr>
        <w:spacing w:after="200" w:line="276" w:lineRule="auto"/>
      </w:pPr>
      <w:r w:rsidRPr="00A42723">
        <w:t xml:space="preserve">IREC comments that Appendix F section 2.c.i is no longer necessary given that the LGP option will not be implemented until after the UL standard for PCS scheduling functionality is published.  And </w:t>
      </w:r>
      <w:r w:rsidR="0042079E">
        <w:t xml:space="preserve">IREC </w:t>
      </w:r>
      <w:r w:rsidRPr="00A42723">
        <w:t>further comments that section 5.b has been superseded by the content of Appendix C. We agree with both points and delete sections 2.c.i and 5.b from Appendix F.</w:t>
      </w:r>
    </w:p>
    <w:p w:rsidRPr="00A42723" w:rsidR="004267CA" w:rsidP="003D7535" w:rsidRDefault="004267CA" w14:paraId="4FC50188" w14:textId="77777777">
      <w:pPr>
        <w:spacing w:after="200" w:line="276" w:lineRule="auto"/>
      </w:pPr>
      <w:r w:rsidRPr="00A42723">
        <w:t>IREC also comments that Appendix F Section 4:</w:t>
      </w:r>
    </w:p>
    <w:p w:rsidRPr="00A42723" w:rsidR="004267CA" w:rsidP="003D7535" w:rsidRDefault="004267CA" w14:paraId="53D8A223" w14:textId="77777777">
      <w:pPr>
        <w:spacing w:after="200" w:line="276" w:lineRule="auto"/>
        <w:ind w:left="720"/>
      </w:pPr>
      <w:r w:rsidRPr="00A42723">
        <w:t xml:space="preserve">References the need to update the interconnection agreements to reflect the operational requirements of the LGP.  Since interconnection agreements are </w:t>
      </w:r>
      <w:r w:rsidRPr="00A42723">
        <w:lastRenderedPageBreak/>
        <w:t>adopted as part of Rule 21, the Commission should require the utilities to update these agreements and file them in the advice letter with the process language, as mentioned above, 60 days after the UL standard is complete.</w:t>
      </w:r>
      <w:r w:rsidR="00262573">
        <w:rPr>
          <w:rStyle w:val="FootnoteReference"/>
        </w:rPr>
        <w:footnoteReference w:id="214"/>
      </w:r>
    </w:p>
    <w:p w:rsidRPr="00A42723" w:rsidR="004267CA" w:rsidP="003D7535" w:rsidRDefault="004267CA" w14:paraId="38D0E97D" w14:textId="77777777">
      <w:pPr>
        <w:spacing w:after="200" w:line="276" w:lineRule="auto"/>
      </w:pPr>
      <w:r w:rsidRPr="00A42723">
        <w:t xml:space="preserve">IREC further comments on Appendix F Section 1.d, on the need for the Large IOUs to specify in an Advice Letter how the list of UL-certified PCS will be developed and created and where it will be located. </w:t>
      </w:r>
    </w:p>
    <w:p w:rsidRPr="00A42723" w:rsidR="004267CA" w:rsidP="003D7535" w:rsidRDefault="004267CA" w14:paraId="419A32E8" w14:textId="77777777">
      <w:pPr>
        <w:spacing w:after="200" w:line="276" w:lineRule="auto"/>
      </w:pPr>
      <w:r w:rsidRPr="00A42723">
        <w:t xml:space="preserve">We agree with both of IREC’s comments on Appendix F Sections 1.d and 4, and add the following </w:t>
      </w:r>
      <w:r w:rsidR="00846843">
        <w:t xml:space="preserve">clarifying </w:t>
      </w:r>
      <w:r w:rsidRPr="00A42723">
        <w:t>language to OP 2 of this resolution:</w:t>
      </w:r>
    </w:p>
    <w:p w:rsidR="004267CA" w:rsidP="003D7535" w:rsidRDefault="004267CA" w14:paraId="539FC798" w14:textId="77777777">
      <w:pPr>
        <w:spacing w:after="200" w:line="276" w:lineRule="auto"/>
        <w:ind w:left="720"/>
      </w:pPr>
      <w:r w:rsidRPr="00A42723">
        <w:t xml:space="preserve">[Add to OP 2] These Advice Letters shall also specify how the list of UL-certified PCS referenced in Appendix F Section 1.d will be developed and created and where the list will be located, and </w:t>
      </w:r>
      <w:r w:rsidR="00030B3C">
        <w:t>s</w:t>
      </w:r>
      <w:r w:rsidRPr="00A42723" w:rsidR="00030B3C">
        <w:t xml:space="preserve">hall </w:t>
      </w:r>
      <w:r w:rsidR="00030B3C">
        <w:t xml:space="preserve">further </w:t>
      </w:r>
      <w:r w:rsidRPr="00A42723" w:rsidR="00030B3C">
        <w:t xml:space="preserve">provide updated interconnection agreements to reflect the operational requirements of the LGP </w:t>
      </w:r>
      <w:r w:rsidR="00030B3C">
        <w:t xml:space="preserve">option from </w:t>
      </w:r>
      <w:r w:rsidRPr="00A42723" w:rsidR="00030B3C">
        <w:t>Appendix F Section 4.</w:t>
      </w:r>
    </w:p>
    <w:p w:rsidRPr="00A42723" w:rsidR="0042079E" w:rsidP="0042079E" w:rsidRDefault="0042079E" w14:paraId="33B8FFD7" w14:textId="77777777">
      <w:pPr>
        <w:spacing w:after="200" w:line="276" w:lineRule="auto"/>
      </w:pPr>
      <w:r>
        <w:t xml:space="preserve">IREC also comments on Appendix F that it was written based on a 12-monthly LGP configuration, and IREC provides edits to update Appendix F </w:t>
      </w:r>
      <w:r w:rsidR="00CA30C6">
        <w:t xml:space="preserve">to be compatible with </w:t>
      </w:r>
      <w:r>
        <w:t>the 24-value LGP configurations adopted in Disposition #20. We incorporate IREC’s edits into Appendix F and note that the Large IOUs may need to further revise the language in Appendix F to be consistent with the adopted 24-value LGP configurations</w:t>
      </w:r>
      <w:r w:rsidR="00867B60">
        <w:t xml:space="preserve"> and the adopted standard for UL PCS with integrated schedule, particularly Step 1.c on the format for specifying LGP values by an interconnection customer. We note the format for specifying LGP values is addressed in Disposition #22 and OP 6 of this resolution.</w:t>
      </w:r>
    </w:p>
    <w:p w:rsidRPr="00262573" w:rsidR="004267CA" w:rsidP="00262573" w:rsidRDefault="00262573" w14:paraId="5B3BAAFA" w14:textId="77777777">
      <w:pPr>
        <w:spacing w:before="360" w:after="200" w:line="276" w:lineRule="auto"/>
        <w:rPr>
          <w:u w:val="single"/>
        </w:rPr>
      </w:pPr>
      <w:r>
        <w:rPr>
          <w:u w:val="single"/>
        </w:rPr>
        <w:t xml:space="preserve">Comments on </w:t>
      </w:r>
      <w:r w:rsidRPr="00262573" w:rsidR="004267CA">
        <w:rPr>
          <w:u w:val="single"/>
        </w:rPr>
        <w:t>Disposition #19 on Timing of UL Adoption of Standard for PCS Scheduling Functionality</w:t>
      </w:r>
    </w:p>
    <w:p w:rsidRPr="00A42723" w:rsidR="004267CA" w:rsidP="003D7535" w:rsidRDefault="004267CA" w14:paraId="1B1B2ACA" w14:textId="77777777">
      <w:pPr>
        <w:spacing w:after="200" w:line="276" w:lineRule="auto"/>
      </w:pPr>
      <w:r w:rsidRPr="00A42723">
        <w:t>The Large IOUs take note of a sentence in Disposition #19 that states: “We expect that such a standard, which was originally targeted for the second half of 2023 but appears delayed, will still be completed in early 2024.</w:t>
      </w:r>
      <w:r w:rsidR="00262573">
        <w:t>”</w:t>
      </w:r>
      <w:r w:rsidR="00262573">
        <w:rPr>
          <w:rStyle w:val="FootnoteReference"/>
        </w:rPr>
        <w:footnoteReference w:id="215"/>
      </w:r>
      <w:r w:rsidR="00262573">
        <w:t xml:space="preserve"> </w:t>
      </w:r>
      <w:r w:rsidRPr="00A42723">
        <w:t>In response to this sentence, the Large IOUs note that:</w:t>
      </w:r>
    </w:p>
    <w:p w:rsidRPr="00A42723" w:rsidR="004267CA" w:rsidP="003D7535" w:rsidRDefault="004267CA" w14:paraId="7C45456C" w14:textId="77777777">
      <w:pPr>
        <w:spacing w:after="200" w:line="276" w:lineRule="auto"/>
        <w:ind w:left="720"/>
      </w:pPr>
      <w:r w:rsidRPr="00A42723">
        <w:lastRenderedPageBreak/>
        <w:t>The first edition of UL 3141, published in January 2024, does not address the requisite scheduling functionality, but it is expected that the second edition will. The Large IOUs note that work is currently underway on the second edition. The second edition should include, among other enhancements, being able to test and certify the functional ability to limit exports at the PCC as well as the scheduling functionality to set and change those limits. It would be more reasonable to expect the second edition in late 2024 or early 2025.</w:t>
      </w:r>
    </w:p>
    <w:p w:rsidRPr="00A42723" w:rsidR="004267CA" w:rsidP="003D7535" w:rsidRDefault="004267CA" w14:paraId="0885295D" w14:textId="77777777">
      <w:pPr>
        <w:spacing w:after="200" w:line="276" w:lineRule="auto"/>
      </w:pPr>
      <w:r w:rsidRPr="00A42723">
        <w:t>We remove the noted sentence from Disposition #19 and note that there is no definitive timeline as to the development or scope of the second edition of UL 3141.</w:t>
      </w:r>
    </w:p>
    <w:p w:rsidRPr="00505BB5" w:rsidR="004267CA" w:rsidP="003D7535" w:rsidRDefault="00505BB5" w14:paraId="77908243" w14:textId="77777777">
      <w:pPr>
        <w:spacing w:before="120" w:after="200" w:line="276" w:lineRule="auto"/>
        <w:rPr>
          <w:u w:val="single"/>
        </w:rPr>
      </w:pPr>
      <w:r w:rsidRPr="00505BB5">
        <w:rPr>
          <w:u w:val="single"/>
        </w:rPr>
        <w:t xml:space="preserve">Comments on </w:t>
      </w:r>
      <w:r w:rsidRPr="00505BB5" w:rsidR="004267CA">
        <w:rPr>
          <w:u w:val="single"/>
        </w:rPr>
        <w:t>Disposition #20 on Adoption of Three Specific 24-Value LGP Configurations</w:t>
      </w:r>
    </w:p>
    <w:p w:rsidRPr="00A42723" w:rsidR="004267CA" w:rsidP="003D7535" w:rsidRDefault="004267CA" w14:paraId="7DE24E5B" w14:textId="77777777">
      <w:pPr>
        <w:spacing w:after="200" w:line="276" w:lineRule="auto"/>
      </w:pPr>
      <w:r w:rsidRPr="00A42723">
        <w:t>Both IREC and CALSSA propose expanding the 24-value LGP configurations to allow any custom 24-value configuration, or at least allowing additional 24-value configurations that were already discussed during the LGP workshops and that better coincide with TOU rate periods and other time periods aligned with Commission policies. IREC states:</w:t>
      </w:r>
    </w:p>
    <w:p w:rsidRPr="00A42723" w:rsidR="004267CA" w:rsidP="003D7535" w:rsidRDefault="004267CA" w14:paraId="6DE4E960" w14:textId="77777777">
      <w:pPr>
        <w:spacing w:after="200" w:line="276" w:lineRule="auto"/>
        <w:ind w:left="720"/>
      </w:pPr>
      <w:r w:rsidRPr="00A42723">
        <w:t>We note that the three LGP configurations were somewhat arbitrary in design, and constrained to some extent to simplify analysis for comparison with other options, rather than being deliberately designed for the most benefit and alignment with other Commission policies... The IOUs’ final analysis, guided by the Commission’s data requests, did not consider all 24-value LGP configurations. However, in PG&amp;E’s earlier analysis, for instance, the “16_21fixed,” “16_23fixed,” and “Every12H” configurations performed similarly to the “18_23fixed.” Along with the “24-hourly” and “Block” configurations, a fairly wide variety of 24-value configurations have been analyzed in terms of various potential hourly periods and recurrence.</w:t>
      </w:r>
      <w:r w:rsidR="00505BB5">
        <w:rPr>
          <w:rStyle w:val="FootnoteReference"/>
        </w:rPr>
        <w:footnoteReference w:id="216"/>
      </w:r>
    </w:p>
    <w:p w:rsidRPr="00A42723" w:rsidR="004267CA" w:rsidP="003D7535" w:rsidRDefault="004267CA" w14:paraId="01D9EC82" w14:textId="77777777">
      <w:pPr>
        <w:spacing w:after="200" w:line="276" w:lineRule="auto"/>
      </w:pPr>
      <w:r w:rsidRPr="00A42723">
        <w:t xml:space="preserve">We agree with CALSSA and IREC that additional 24-value configurations have merit, including in terms of their alignment with other Commission policies. And we appreciate the logical arguments made by CALSSA and IREC in their comments as to </w:t>
      </w:r>
      <w:r w:rsidRPr="00A42723">
        <w:lastRenderedPageBreak/>
        <w:t xml:space="preserve">why any 24-value configuration should be equally acceptable compared to the three 24-value configurations we are adopting. </w:t>
      </w:r>
    </w:p>
    <w:p w:rsidRPr="00A42723" w:rsidR="004267CA" w:rsidP="003D7535" w:rsidRDefault="004267CA" w14:paraId="2052E89B" w14:textId="77777777">
      <w:pPr>
        <w:spacing w:after="200" w:line="276" w:lineRule="auto"/>
      </w:pPr>
      <w:r w:rsidRPr="00A42723">
        <w:t>We cannot, however, adopt any further configurations in this resolution. We find that such logical arguments alone, as made by CALSSA and IREC in their comments, are not a sufficient determinant of the validity of a given configuration. We note that the adoption of the three 24-value configurations in Disposition #20 was made based on extensive Energy Division analysis and Large IOU responses to Energy Division Data Requests. We highlight that this data included system-wide statistical analysis from PG&amp;E that studied the three adopted 24-value configurations, among others. Because LGP is a new process option, it is prudent to limit the number of configurations available to those that have undergone such analysis, and to limit the total initial number of configurations.</w:t>
      </w:r>
    </w:p>
    <w:p w:rsidRPr="00A42723" w:rsidR="004267CA" w:rsidP="003D7535" w:rsidRDefault="004267CA" w14:paraId="27B250B0" w14:textId="77777777">
      <w:pPr>
        <w:spacing w:after="200" w:line="276" w:lineRule="auto"/>
      </w:pPr>
      <w:r w:rsidRPr="00A42723">
        <w:t>We can certainly consider additional configurations in the future, and providing the basis for doing so is the intention of the assessments called for in Disposition #21. For example, if future data and experience shows that the three adopted 24-value configurations perform similarly, this could suggest that other 24-value configurations, or potentially all 24-value configurations, can provide similar results.</w:t>
      </w:r>
    </w:p>
    <w:p w:rsidRPr="00505BB5" w:rsidR="004267CA" w:rsidP="00505BB5" w:rsidRDefault="00505BB5" w14:paraId="7ECE3A43" w14:textId="77777777">
      <w:pPr>
        <w:spacing w:before="360" w:after="200" w:line="276" w:lineRule="auto"/>
        <w:rPr>
          <w:u w:val="single"/>
        </w:rPr>
      </w:pPr>
      <w:r>
        <w:rPr>
          <w:u w:val="single"/>
        </w:rPr>
        <w:t xml:space="preserve">Comments on </w:t>
      </w:r>
      <w:r w:rsidRPr="00505BB5" w:rsidR="004267CA">
        <w:rPr>
          <w:u w:val="single"/>
        </w:rPr>
        <w:t>Disposition #21 on Assessing the Performance of LGP Configurations</w:t>
      </w:r>
    </w:p>
    <w:p w:rsidRPr="00A42723" w:rsidR="004267CA" w:rsidP="003D7535" w:rsidRDefault="004267CA" w14:paraId="489E23BC" w14:textId="77777777">
      <w:pPr>
        <w:spacing w:after="200" w:line="276" w:lineRule="auto"/>
      </w:pPr>
      <w:r w:rsidRPr="00A42723">
        <w:t>The Large IOUs comment that the assessment provided in Disposition #21 is burdensome, vague, and unnecessary. They state:</w:t>
      </w:r>
    </w:p>
    <w:p w:rsidRPr="00A42723" w:rsidR="004267CA" w:rsidP="003D7535" w:rsidRDefault="004267CA" w14:paraId="75CDC5D3" w14:textId="77777777">
      <w:pPr>
        <w:spacing w:after="200" w:line="276" w:lineRule="auto"/>
        <w:ind w:left="720"/>
      </w:pPr>
      <w:r w:rsidRPr="00A42723">
        <w:t>Rather than mandate an intermittent reporting requirement that requires an undefined “assessment,” the Large IOUs believe that the data reporting required by Disposition #8 will provide the information that is useful for considering future revisions to the LGP interconnection option. Disposition #8 requires the collection and reporting of data for “each LGP interconnection customer whose LGP values have been curtailed due to sustained load reductions on the circuit.” The presence of curtailments is the clearest indication that the LGP interconnection option may need changes.</w:t>
      </w:r>
      <w:r w:rsidR="006F6443">
        <w:rPr>
          <w:rStyle w:val="FootnoteReference"/>
        </w:rPr>
        <w:footnoteReference w:id="217"/>
      </w:r>
    </w:p>
    <w:p w:rsidRPr="00A42723" w:rsidR="004267CA" w:rsidP="003D7535" w:rsidRDefault="004267CA" w14:paraId="722B2A62" w14:textId="77777777">
      <w:pPr>
        <w:spacing w:after="200" w:line="276" w:lineRule="auto"/>
      </w:pPr>
      <w:r w:rsidRPr="00A42723">
        <w:lastRenderedPageBreak/>
        <w:t xml:space="preserve">We reject this comment and uphold that the assessment called for in Disposition #21 is prudent and reasonable.  We note that the intention of such assessment relates to other stakeholder comments on Disposition #20 on expanding LGP configurations to other 24-value configurations or any custom configuration. We find that such assessment is needed to consider other LGP configurations in the future. We further note that if no LGP curtailments occur in practice, no data would be collected under the </w:t>
      </w:r>
      <w:r w:rsidR="00EE3E23">
        <w:t xml:space="preserve">data reporting </w:t>
      </w:r>
      <w:r w:rsidRPr="00A42723">
        <w:t>requirements of Disposition #8, and that other indicators besides curtailments may point to whether the LGP option needs modification. The language of Disposition #21 emphasizes understanding “uncertainties and risks” as well as “actual data of physical grid impacts and conditions.” We find that such language goes well beyond the circumstances of individual curtailment reporting in Disposition #8.</w:t>
      </w:r>
    </w:p>
    <w:p w:rsidR="004267CA" w:rsidP="003D7535" w:rsidRDefault="004267CA" w14:paraId="7D05DFD1" w14:textId="77777777">
      <w:pPr>
        <w:spacing w:after="200" w:line="276" w:lineRule="auto"/>
      </w:pPr>
      <w:r w:rsidRPr="00A42723">
        <w:t xml:space="preserve">We also note that OP </w:t>
      </w:r>
      <w:r w:rsidR="000E2871">
        <w:t>7</w:t>
      </w:r>
      <w:r w:rsidRPr="00A42723">
        <w:t xml:space="preserve"> of this resolution,</w:t>
      </w:r>
      <w:r w:rsidR="00FE503A">
        <w:rPr>
          <w:rStyle w:val="FootnoteReference"/>
        </w:rPr>
        <w:footnoteReference w:id="218"/>
      </w:r>
      <w:r w:rsidRPr="00A42723">
        <w:t xml:space="preserve"> which has been modified </w:t>
      </w:r>
      <w:r w:rsidR="00EE3E23">
        <w:t xml:space="preserve">and clarified </w:t>
      </w:r>
      <w:r w:rsidRPr="00A42723">
        <w:t>in response to IREC comments on the draft comment resolution, orders the Large IOUs to develop a plan for conducting the assessment, to conduct the assessment, and to propose any modifications to the LGP option. We expect that process to provide a basis for further development of the LGP option.</w:t>
      </w:r>
    </w:p>
    <w:p w:rsidRPr="0047075B" w:rsidR="0047075B" w:rsidP="0047075B" w:rsidRDefault="0047075B" w14:paraId="65685C9E" w14:textId="77777777">
      <w:pPr>
        <w:spacing w:before="360" w:after="200" w:line="276" w:lineRule="auto"/>
        <w:rPr>
          <w:u w:val="single"/>
        </w:rPr>
      </w:pPr>
      <w:r w:rsidRPr="0047075B">
        <w:rPr>
          <w:u w:val="single"/>
        </w:rPr>
        <w:t>Comments on Findings and Ordering Paragraphs by the Large IOUs</w:t>
      </w:r>
    </w:p>
    <w:p w:rsidRPr="00A42723" w:rsidR="0047075B" w:rsidP="003D7535" w:rsidRDefault="0047075B" w14:paraId="6FB617CD" w14:textId="77777777">
      <w:pPr>
        <w:spacing w:after="200" w:line="276" w:lineRule="auto"/>
      </w:pPr>
      <w:r>
        <w:t xml:space="preserve">The Large IOUs suggest a number of redlines to Findings and Ordering Paragraphs. The </w:t>
      </w:r>
      <w:r w:rsidR="00E31EA8">
        <w:t xml:space="preserve">proposed </w:t>
      </w:r>
      <w:r>
        <w:t xml:space="preserve">redlines for a few minor clarifications are incorporated, but the majority of the redlines are rejected in favor of the edits and clarifications discussed in the above two sections on Comments on Dispositions #2 and #6 on Definition of “Sustained Load Reduction,” and Comments on Disposition #12 on Standard for PCS Scheduling Functionality. </w:t>
      </w:r>
    </w:p>
    <w:p w:rsidRPr="00D02F1F" w:rsidR="00580718" w:rsidP="00C7767C" w:rsidRDefault="004D7874" w14:paraId="37BBFDB9" w14:textId="77777777">
      <w:pPr>
        <w:pStyle w:val="Heading"/>
        <w:spacing w:before="360"/>
        <w:rPr>
          <w:rFonts w:ascii="Palatino Linotype" w:hAnsi="Palatino Linotype"/>
          <w:sz w:val="24"/>
          <w:szCs w:val="24"/>
          <w:lang w:val="de-DE"/>
        </w:rPr>
      </w:pPr>
      <w:r w:rsidRPr="00D02F1F">
        <w:rPr>
          <w:rFonts w:ascii="Palatino Linotype" w:hAnsi="Palatino Linotype"/>
          <w:sz w:val="24"/>
          <w:szCs w:val="24"/>
          <w:lang w:val="de-DE"/>
        </w:rPr>
        <w:t>Findings</w:t>
      </w:r>
    </w:p>
    <w:p w:rsidRPr="00A43214" w:rsidR="00A43214" w:rsidP="009551A2" w:rsidRDefault="00A43214" w14:paraId="42016B90"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 xml:space="preserve">The Large IOUs have complied with all requirements </w:t>
      </w:r>
      <w:r w:rsidR="000E5939">
        <w:rPr>
          <w:rFonts w:ascii="Palatino Linotype" w:hAnsi="Palatino Linotype" w:cstheme="minorHAnsi"/>
          <w:sz w:val="24"/>
          <w:szCs w:val="24"/>
        </w:rPr>
        <w:t xml:space="preserve">of OP 2 of </w:t>
      </w:r>
      <w:r w:rsidRPr="00A43214">
        <w:rPr>
          <w:rFonts w:ascii="Palatino Linotype" w:hAnsi="Palatino Linotype" w:cstheme="minorHAnsi"/>
          <w:sz w:val="24"/>
          <w:szCs w:val="24"/>
        </w:rPr>
        <w:t>Resolutions E-5211</w:t>
      </w:r>
      <w:r w:rsidR="000E5939">
        <w:rPr>
          <w:rFonts w:ascii="Palatino Linotype" w:hAnsi="Palatino Linotype" w:cstheme="minorHAnsi"/>
          <w:sz w:val="24"/>
          <w:szCs w:val="24"/>
        </w:rPr>
        <w:t xml:space="preserve"> and OP 2 of Resolution E</w:t>
      </w:r>
      <w:r w:rsidRPr="00A43214">
        <w:rPr>
          <w:rFonts w:ascii="Palatino Linotype" w:hAnsi="Palatino Linotype" w:cstheme="minorHAnsi"/>
          <w:sz w:val="24"/>
          <w:szCs w:val="24"/>
        </w:rPr>
        <w:t xml:space="preserve">-5230 for participation in workshops and Smart Inverter Working Group meetings to discuss the ordered LGP topics.  </w:t>
      </w:r>
    </w:p>
    <w:p w:rsidRPr="00A43214" w:rsidR="00A43214" w:rsidP="009551A2" w:rsidRDefault="00A43214" w14:paraId="4B88467C"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lastRenderedPageBreak/>
        <w:t>Rule 21 Section D.9 applies to both LGP and non-LGP</w:t>
      </w:r>
      <w:r w:rsidR="0001162E">
        <w:rPr>
          <w:rFonts w:ascii="Palatino Linotype" w:hAnsi="Palatino Linotype" w:cstheme="minorHAnsi"/>
          <w:sz w:val="24"/>
          <w:szCs w:val="24"/>
        </w:rPr>
        <w:t xml:space="preserve"> facilities</w:t>
      </w:r>
      <w:r w:rsidRPr="00A43214">
        <w:rPr>
          <w:rFonts w:ascii="Palatino Linotype" w:hAnsi="Palatino Linotype" w:cstheme="minorHAnsi"/>
          <w:sz w:val="24"/>
          <w:szCs w:val="24"/>
        </w:rPr>
        <w:t>.</w:t>
      </w:r>
    </w:p>
    <w:p w:rsidRPr="00A43214" w:rsidR="00A43214" w:rsidP="009551A2" w:rsidRDefault="00A43214" w14:paraId="4604CE5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 xml:space="preserve">A </w:t>
      </w:r>
      <w:r w:rsidR="00A34460">
        <w:rPr>
          <w:rFonts w:ascii="Palatino Linotype" w:hAnsi="Palatino Linotype" w:cstheme="minorHAnsi"/>
          <w:sz w:val="24"/>
          <w:szCs w:val="24"/>
        </w:rPr>
        <w:t>S</w:t>
      </w:r>
      <w:r w:rsidRPr="00A43214">
        <w:rPr>
          <w:rFonts w:ascii="Palatino Linotype" w:hAnsi="Palatino Linotype" w:cstheme="minorHAnsi"/>
          <w:sz w:val="24"/>
          <w:szCs w:val="24"/>
        </w:rPr>
        <w:t xml:space="preserve">ustained </w:t>
      </w:r>
      <w:r w:rsidR="00A34460">
        <w:rPr>
          <w:rFonts w:ascii="Palatino Linotype" w:hAnsi="Palatino Linotype" w:cstheme="minorHAnsi"/>
          <w:sz w:val="24"/>
          <w:szCs w:val="24"/>
        </w:rPr>
        <w:t>L</w:t>
      </w:r>
      <w:r w:rsidRPr="00A43214">
        <w:rPr>
          <w:rFonts w:ascii="Palatino Linotype" w:hAnsi="Palatino Linotype" w:cstheme="minorHAnsi"/>
          <w:sz w:val="24"/>
          <w:szCs w:val="24"/>
        </w:rPr>
        <w:t xml:space="preserve">oad </w:t>
      </w:r>
      <w:r w:rsidR="00A34460">
        <w:rPr>
          <w:rFonts w:ascii="Palatino Linotype" w:hAnsi="Palatino Linotype" w:cstheme="minorHAnsi"/>
          <w:sz w:val="24"/>
          <w:szCs w:val="24"/>
        </w:rPr>
        <w:t>R</w:t>
      </w:r>
      <w:r w:rsidRPr="00A43214">
        <w:rPr>
          <w:rFonts w:ascii="Palatino Linotype" w:hAnsi="Palatino Linotype" w:cstheme="minorHAnsi"/>
          <w:sz w:val="24"/>
          <w:szCs w:val="24"/>
        </w:rPr>
        <w:t>eduction</w:t>
      </w:r>
      <w:r w:rsidR="00A34460">
        <w:rPr>
          <w:rFonts w:ascii="Palatino Linotype" w:hAnsi="Palatino Linotype" w:cstheme="minorHAnsi"/>
          <w:sz w:val="24"/>
          <w:szCs w:val="24"/>
        </w:rPr>
        <w:t>, as defined in this resolution as “</w:t>
      </w:r>
      <w:r w:rsidRPr="00A34460" w:rsidR="00A34460">
        <w:rPr>
          <w:rFonts w:ascii="Palatino Linotype" w:hAnsi="Palatino Linotype" w:cstheme="minorHAnsi"/>
          <w:sz w:val="24"/>
          <w:szCs w:val="24"/>
        </w:rPr>
        <w:t>a permanent decrease in the load (exclusive of the addition of any generation DERs) of one or more customers on that circuit resulting from business wind-downs, unanticipated addition of energy efficiency or other load management technologies, and/or other permanent circumstances that reduce the load of one or more customers on that circuit</w:t>
      </w:r>
      <w:r w:rsidR="00A34460">
        <w:rPr>
          <w:rFonts w:ascii="Palatino Linotype" w:hAnsi="Palatino Linotype" w:cstheme="minorHAnsi"/>
          <w:sz w:val="24"/>
          <w:szCs w:val="24"/>
        </w:rPr>
        <w:t>,” i</w:t>
      </w:r>
      <w:r w:rsidRPr="00A43214">
        <w:rPr>
          <w:rFonts w:ascii="Palatino Linotype" w:hAnsi="Palatino Linotype" w:cstheme="minorHAnsi"/>
          <w:sz w:val="24"/>
          <w:szCs w:val="24"/>
        </w:rPr>
        <w:t xml:space="preserve">s a reasonable </w:t>
      </w:r>
      <w:r w:rsidR="00C71EF3">
        <w:rPr>
          <w:rFonts w:ascii="Palatino Linotype" w:hAnsi="Palatino Linotype" w:cstheme="minorHAnsi"/>
          <w:sz w:val="24"/>
          <w:szCs w:val="24"/>
        </w:rPr>
        <w:t xml:space="preserve">LGP-specific </w:t>
      </w:r>
      <w:r w:rsidRPr="00A43214">
        <w:rPr>
          <w:rFonts w:ascii="Palatino Linotype" w:hAnsi="Palatino Linotype" w:cstheme="minorHAnsi"/>
          <w:sz w:val="24"/>
          <w:szCs w:val="24"/>
        </w:rPr>
        <w:t>circumstance</w:t>
      </w:r>
      <w:r w:rsidR="00147C59">
        <w:rPr>
          <w:rFonts w:ascii="Palatino Linotype" w:hAnsi="Palatino Linotype" w:cstheme="minorHAnsi"/>
          <w:sz w:val="24"/>
          <w:szCs w:val="24"/>
        </w:rPr>
        <w:t xml:space="preserve"> </w:t>
      </w:r>
      <w:r w:rsidRPr="00A43214">
        <w:rPr>
          <w:rFonts w:ascii="Palatino Linotype" w:hAnsi="Palatino Linotype" w:cstheme="minorHAnsi"/>
          <w:sz w:val="24"/>
          <w:szCs w:val="24"/>
        </w:rPr>
        <w:t>for temporary curtailment of an LGP facility beyond the circumstances already specified in Rule 21 Section D.9</w:t>
      </w:r>
      <w:r w:rsidR="00147C59">
        <w:rPr>
          <w:rFonts w:ascii="Palatino Linotype" w:hAnsi="Palatino Linotype" w:cstheme="minorHAnsi"/>
          <w:sz w:val="24"/>
          <w:szCs w:val="24"/>
        </w:rPr>
        <w:t xml:space="preserve">, </w:t>
      </w:r>
      <w:r w:rsidRPr="00A43214" w:rsidR="00147C59">
        <w:rPr>
          <w:rFonts w:ascii="Palatino Linotype" w:hAnsi="Palatino Linotype" w:cstheme="minorHAnsi"/>
          <w:sz w:val="24"/>
          <w:szCs w:val="24"/>
        </w:rPr>
        <w:t>given the unique characteristics of LGP facilities relative to non-LGP facilities</w:t>
      </w:r>
      <w:r w:rsidRPr="00A43214">
        <w:rPr>
          <w:rFonts w:ascii="Palatino Linotype" w:hAnsi="Palatino Linotype" w:cstheme="minorHAnsi"/>
          <w:sz w:val="24"/>
          <w:szCs w:val="24"/>
        </w:rPr>
        <w:t>.</w:t>
      </w:r>
    </w:p>
    <w:p w:rsidRPr="00A43214" w:rsidR="00A43214" w:rsidP="009551A2" w:rsidRDefault="009F1EBA" w14:paraId="416D1B3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 xml:space="preserve">Other than </w:t>
      </w:r>
      <w:r w:rsidR="00971B7D">
        <w:rPr>
          <w:rFonts w:ascii="Palatino Linotype" w:hAnsi="Palatino Linotype" w:cstheme="minorHAnsi"/>
          <w:sz w:val="24"/>
          <w:szCs w:val="24"/>
        </w:rPr>
        <w:t xml:space="preserve">the </w:t>
      </w:r>
      <w:r w:rsidR="00E40927">
        <w:rPr>
          <w:rFonts w:ascii="Palatino Linotype" w:hAnsi="Palatino Linotype" w:cstheme="minorHAnsi"/>
          <w:sz w:val="24"/>
          <w:szCs w:val="24"/>
        </w:rPr>
        <w:t xml:space="preserve">LGP-specific </w:t>
      </w:r>
      <w:r w:rsidR="00971B7D">
        <w:rPr>
          <w:rFonts w:ascii="Palatino Linotype" w:hAnsi="Palatino Linotype" w:cstheme="minorHAnsi"/>
          <w:sz w:val="24"/>
          <w:szCs w:val="24"/>
        </w:rPr>
        <w:t xml:space="preserve">circumstance of </w:t>
      </w:r>
      <w:r w:rsidR="00957B8E">
        <w:rPr>
          <w:rFonts w:ascii="Palatino Linotype" w:hAnsi="Palatino Linotype" w:cstheme="minorHAnsi"/>
          <w:sz w:val="24"/>
          <w:szCs w:val="24"/>
        </w:rPr>
        <w:t>S</w:t>
      </w:r>
      <w:r>
        <w:rPr>
          <w:rFonts w:ascii="Palatino Linotype" w:hAnsi="Palatino Linotype" w:cstheme="minorHAnsi"/>
          <w:sz w:val="24"/>
          <w:szCs w:val="24"/>
        </w:rPr>
        <w:t xml:space="preserve">ustained </w:t>
      </w:r>
      <w:r w:rsidR="00957B8E">
        <w:rPr>
          <w:rFonts w:ascii="Palatino Linotype" w:hAnsi="Palatino Linotype" w:cstheme="minorHAnsi"/>
          <w:sz w:val="24"/>
          <w:szCs w:val="24"/>
        </w:rPr>
        <w:t>L</w:t>
      </w:r>
      <w:r>
        <w:rPr>
          <w:rFonts w:ascii="Palatino Linotype" w:hAnsi="Palatino Linotype" w:cstheme="minorHAnsi"/>
          <w:sz w:val="24"/>
          <w:szCs w:val="24"/>
        </w:rPr>
        <w:t xml:space="preserve">oad </w:t>
      </w:r>
      <w:r w:rsidR="00957B8E">
        <w:rPr>
          <w:rFonts w:ascii="Palatino Linotype" w:hAnsi="Palatino Linotype" w:cstheme="minorHAnsi"/>
          <w:sz w:val="24"/>
          <w:szCs w:val="24"/>
        </w:rPr>
        <w:t>R</w:t>
      </w:r>
      <w:r>
        <w:rPr>
          <w:rFonts w:ascii="Palatino Linotype" w:hAnsi="Palatino Linotype" w:cstheme="minorHAnsi"/>
          <w:sz w:val="24"/>
          <w:szCs w:val="24"/>
        </w:rPr>
        <w:t>eduction</w:t>
      </w:r>
      <w:r w:rsidR="002F3714">
        <w:rPr>
          <w:rFonts w:ascii="Palatino Linotype" w:hAnsi="Palatino Linotype" w:cstheme="minorHAnsi"/>
          <w:sz w:val="24"/>
          <w:szCs w:val="24"/>
        </w:rPr>
        <w:t>, t</w:t>
      </w:r>
      <w:r w:rsidRPr="00A43214" w:rsidR="00A43214">
        <w:rPr>
          <w:rFonts w:ascii="Palatino Linotype" w:hAnsi="Palatino Linotype" w:cstheme="minorHAnsi"/>
          <w:sz w:val="24"/>
          <w:szCs w:val="24"/>
        </w:rPr>
        <w:t xml:space="preserve">here is a lack of evidence </w:t>
      </w:r>
      <w:r w:rsidR="00D44B9B">
        <w:rPr>
          <w:rFonts w:ascii="Palatino Linotype" w:hAnsi="Palatino Linotype" w:cstheme="minorHAnsi"/>
          <w:sz w:val="24"/>
          <w:szCs w:val="24"/>
        </w:rPr>
        <w:t xml:space="preserve">that </w:t>
      </w:r>
      <w:r w:rsidRPr="00A43214" w:rsidR="00A43214">
        <w:rPr>
          <w:rFonts w:ascii="Palatino Linotype" w:hAnsi="Palatino Linotype" w:cstheme="minorHAnsi"/>
          <w:sz w:val="24"/>
          <w:szCs w:val="24"/>
        </w:rPr>
        <w:t>any other circumstance</w:t>
      </w:r>
      <w:r w:rsidR="00451CC4">
        <w:rPr>
          <w:rFonts w:ascii="Palatino Linotype" w:hAnsi="Palatino Linotype" w:cstheme="minorHAnsi"/>
          <w:sz w:val="24"/>
          <w:szCs w:val="24"/>
        </w:rPr>
        <w:t xml:space="preserve"> is cause for curtailment of an LGP facility, </w:t>
      </w:r>
      <w:r w:rsidRPr="00A43214" w:rsidR="00D44B9B">
        <w:rPr>
          <w:rFonts w:ascii="Palatino Linotype" w:hAnsi="Palatino Linotype" w:cstheme="minorHAnsi"/>
          <w:sz w:val="24"/>
          <w:szCs w:val="24"/>
        </w:rPr>
        <w:t>beyond the circumstances already specified in Rule 21 Section D.</w:t>
      </w:r>
      <w:r w:rsidR="00451CC4">
        <w:rPr>
          <w:rFonts w:ascii="Palatino Linotype" w:hAnsi="Palatino Linotype" w:cstheme="minorHAnsi"/>
          <w:sz w:val="24"/>
          <w:szCs w:val="24"/>
        </w:rPr>
        <w:t>9</w:t>
      </w:r>
      <w:r w:rsidR="002F3714">
        <w:rPr>
          <w:rFonts w:ascii="Palatino Linotype" w:hAnsi="Palatino Linotype" w:cstheme="minorHAnsi"/>
          <w:sz w:val="24"/>
          <w:szCs w:val="24"/>
        </w:rPr>
        <w:t>.</w:t>
      </w:r>
    </w:p>
    <w:p w:rsidRPr="00A43214" w:rsidR="00A43214" w:rsidP="009551A2" w:rsidRDefault="00A43214" w14:paraId="11BA5352"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sz w:val="24"/>
          <w:szCs w:val="24"/>
        </w:rPr>
        <w:t xml:space="preserve">Under </w:t>
      </w:r>
      <w:r w:rsidR="00E40927">
        <w:rPr>
          <w:rFonts w:ascii="Palatino Linotype" w:hAnsi="Palatino Linotype"/>
          <w:sz w:val="24"/>
          <w:szCs w:val="24"/>
        </w:rPr>
        <w:t>t</w:t>
      </w:r>
      <w:r w:rsidRPr="00A43214">
        <w:rPr>
          <w:rFonts w:ascii="Palatino Linotype" w:hAnsi="Palatino Linotype"/>
          <w:sz w:val="24"/>
          <w:szCs w:val="24"/>
        </w:rPr>
        <w:t xml:space="preserve">he LGP-specific </w:t>
      </w:r>
      <w:r w:rsidR="007026EB">
        <w:rPr>
          <w:rFonts w:ascii="Palatino Linotype" w:hAnsi="Palatino Linotype"/>
          <w:sz w:val="24"/>
          <w:szCs w:val="24"/>
        </w:rPr>
        <w:t xml:space="preserve">circumstance of </w:t>
      </w:r>
      <w:r w:rsidRPr="00A43214">
        <w:rPr>
          <w:rFonts w:ascii="Palatino Linotype" w:hAnsi="Palatino Linotype"/>
          <w:sz w:val="24"/>
          <w:szCs w:val="24"/>
        </w:rPr>
        <w:t xml:space="preserve">curtailment </w:t>
      </w:r>
      <w:r w:rsidR="007026EB">
        <w:rPr>
          <w:rFonts w:ascii="Palatino Linotype" w:hAnsi="Palatino Linotype"/>
          <w:sz w:val="24"/>
          <w:szCs w:val="24"/>
        </w:rPr>
        <w:t xml:space="preserve">due to </w:t>
      </w:r>
      <w:r w:rsidR="00957B8E">
        <w:rPr>
          <w:rFonts w:ascii="Palatino Linotype" w:hAnsi="Palatino Linotype"/>
          <w:sz w:val="24"/>
          <w:szCs w:val="24"/>
        </w:rPr>
        <w:t>S</w:t>
      </w:r>
      <w:r w:rsidRPr="00A43214">
        <w:rPr>
          <w:rFonts w:ascii="Palatino Linotype" w:hAnsi="Palatino Linotype"/>
          <w:sz w:val="24"/>
          <w:szCs w:val="24"/>
        </w:rPr>
        <w:t xml:space="preserve">ustained </w:t>
      </w:r>
      <w:r w:rsidR="00957B8E">
        <w:rPr>
          <w:rFonts w:ascii="Palatino Linotype" w:hAnsi="Palatino Linotype"/>
          <w:sz w:val="24"/>
          <w:szCs w:val="24"/>
        </w:rPr>
        <w:t>L</w:t>
      </w:r>
      <w:r w:rsidRPr="00A43214">
        <w:rPr>
          <w:rFonts w:ascii="Palatino Linotype" w:hAnsi="Palatino Linotype"/>
          <w:sz w:val="24"/>
          <w:szCs w:val="24"/>
        </w:rPr>
        <w:t xml:space="preserve">oad </w:t>
      </w:r>
      <w:r w:rsidR="00957B8E">
        <w:rPr>
          <w:rFonts w:ascii="Palatino Linotype" w:hAnsi="Palatino Linotype"/>
          <w:sz w:val="24"/>
          <w:szCs w:val="24"/>
        </w:rPr>
        <w:t>R</w:t>
      </w:r>
      <w:r w:rsidRPr="00A43214">
        <w:rPr>
          <w:rFonts w:ascii="Palatino Linotype" w:hAnsi="Palatino Linotype"/>
          <w:sz w:val="24"/>
          <w:szCs w:val="24"/>
        </w:rPr>
        <w:t xml:space="preserve">eduction, </w:t>
      </w:r>
      <w:r w:rsidR="007026EB">
        <w:rPr>
          <w:rFonts w:ascii="Palatino Linotype" w:hAnsi="Palatino Linotype"/>
          <w:sz w:val="24"/>
          <w:szCs w:val="24"/>
        </w:rPr>
        <w:t xml:space="preserve">D.20-09-035 </w:t>
      </w:r>
      <w:r w:rsidRPr="00A43214">
        <w:rPr>
          <w:rFonts w:ascii="Palatino Linotype" w:hAnsi="Palatino Linotype"/>
          <w:sz w:val="24"/>
          <w:szCs w:val="24"/>
        </w:rPr>
        <w:t xml:space="preserve">allows the Large IOUs to reduce the approved Limited Generation Profile level to </w:t>
      </w:r>
      <w:r w:rsidR="007026EB">
        <w:rPr>
          <w:rFonts w:ascii="Palatino Linotype" w:hAnsi="Palatino Linotype"/>
          <w:sz w:val="24"/>
          <w:szCs w:val="24"/>
        </w:rPr>
        <w:t xml:space="preserve">the lowest </w:t>
      </w:r>
      <w:r w:rsidRPr="00A43214">
        <w:rPr>
          <w:rFonts w:ascii="Palatino Linotype" w:hAnsi="Palatino Linotype"/>
          <w:sz w:val="24"/>
          <w:szCs w:val="24"/>
        </w:rPr>
        <w:t xml:space="preserve">ICA-SG value identified at the time of the Interconnection Application. </w:t>
      </w:r>
      <w:r w:rsidR="007026EB">
        <w:rPr>
          <w:rFonts w:ascii="Palatino Linotype" w:hAnsi="Palatino Linotype"/>
          <w:sz w:val="24"/>
          <w:szCs w:val="24"/>
        </w:rPr>
        <w:t>I</w:t>
      </w:r>
      <w:r w:rsidRPr="007026EB" w:rsidR="007026EB">
        <w:rPr>
          <w:rFonts w:ascii="Palatino Linotype" w:hAnsi="Palatino Linotype"/>
          <w:sz w:val="24"/>
          <w:szCs w:val="24"/>
        </w:rPr>
        <w:t xml:space="preserve">f </w:t>
      </w:r>
      <w:r w:rsidR="007026EB">
        <w:rPr>
          <w:rFonts w:ascii="Palatino Linotype" w:hAnsi="Palatino Linotype"/>
          <w:sz w:val="24"/>
          <w:szCs w:val="24"/>
        </w:rPr>
        <w:t xml:space="preserve">such </w:t>
      </w:r>
      <w:r w:rsidRPr="007026EB" w:rsidR="007026EB">
        <w:rPr>
          <w:rFonts w:ascii="Palatino Linotype" w:hAnsi="Palatino Linotype"/>
          <w:sz w:val="24"/>
          <w:szCs w:val="24"/>
        </w:rPr>
        <w:t>curtailment is insufficient to ensure safety and reliability</w:t>
      </w:r>
      <w:r w:rsidR="007026EB">
        <w:rPr>
          <w:rFonts w:ascii="Palatino Linotype" w:hAnsi="Palatino Linotype"/>
          <w:sz w:val="24"/>
          <w:szCs w:val="24"/>
        </w:rPr>
        <w:t xml:space="preserve">, </w:t>
      </w:r>
      <w:r w:rsidRPr="007026EB" w:rsidR="007026EB">
        <w:rPr>
          <w:rFonts w:ascii="Palatino Linotype" w:hAnsi="Palatino Linotype"/>
          <w:sz w:val="24"/>
          <w:szCs w:val="24"/>
        </w:rPr>
        <w:t xml:space="preserve">the utility is already allowed to curtail any </w:t>
      </w:r>
      <w:r w:rsidR="00B00E26">
        <w:rPr>
          <w:rFonts w:ascii="Palatino Linotype" w:hAnsi="Palatino Linotype"/>
          <w:sz w:val="24"/>
          <w:szCs w:val="24"/>
        </w:rPr>
        <w:t xml:space="preserve">interconnection </w:t>
      </w:r>
      <w:r w:rsidRPr="007026EB" w:rsidR="007026EB">
        <w:rPr>
          <w:rFonts w:ascii="Palatino Linotype" w:hAnsi="Palatino Linotype"/>
          <w:sz w:val="24"/>
          <w:szCs w:val="24"/>
        </w:rPr>
        <w:t>customer to any level, which in its judgement best ensures safety and reliability, in accordance with existing Rule 21 Section D.9.</w:t>
      </w:r>
    </w:p>
    <w:p w:rsidRPr="00E40927" w:rsidR="00E40927" w:rsidP="009551A2" w:rsidRDefault="00E40927" w14:paraId="341B1CB3"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sz w:val="24"/>
          <w:szCs w:val="24"/>
        </w:rPr>
        <w:t xml:space="preserve">Current practice requires the Large IOUs </w:t>
      </w:r>
      <w:r w:rsidRPr="00A43214">
        <w:rPr>
          <w:rFonts w:ascii="Palatino Linotype" w:hAnsi="Palatino Linotype"/>
          <w:sz w:val="24"/>
          <w:szCs w:val="24"/>
        </w:rPr>
        <w:t>to undertake any required mitigations or upgrades to allow the Limited Generation Profile level to be restored to the approved level in the facility’s Generator Interconnection Agreement</w:t>
      </w:r>
      <w:r>
        <w:rPr>
          <w:rFonts w:ascii="Palatino Linotype" w:hAnsi="Palatino Linotype"/>
          <w:sz w:val="24"/>
          <w:szCs w:val="24"/>
        </w:rPr>
        <w:t>, if curtailment of an LGP facility occurs due to the circumstances already specified in Rule 21 Section D.9.</w:t>
      </w:r>
    </w:p>
    <w:p w:rsidRPr="00A43214" w:rsidR="00A43214" w:rsidP="009551A2" w:rsidRDefault="00E40927" w14:paraId="0F28C371"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sz w:val="24"/>
          <w:szCs w:val="24"/>
        </w:rPr>
        <w:t xml:space="preserve">If curtailment of an LGP facility occurs due to </w:t>
      </w:r>
      <w:r w:rsidRPr="00A43214" w:rsidR="00A43214">
        <w:rPr>
          <w:rFonts w:ascii="Palatino Linotype" w:hAnsi="Palatino Linotype"/>
          <w:sz w:val="24"/>
          <w:szCs w:val="24"/>
        </w:rPr>
        <w:t xml:space="preserve">the LGP-specific </w:t>
      </w:r>
      <w:r>
        <w:rPr>
          <w:rFonts w:ascii="Palatino Linotype" w:hAnsi="Palatino Linotype"/>
          <w:sz w:val="24"/>
          <w:szCs w:val="24"/>
        </w:rPr>
        <w:t xml:space="preserve">circumstance </w:t>
      </w:r>
      <w:r w:rsidRPr="00A43214" w:rsidR="00A43214">
        <w:rPr>
          <w:rFonts w:ascii="Palatino Linotype" w:hAnsi="Palatino Linotype"/>
          <w:sz w:val="24"/>
          <w:szCs w:val="24"/>
        </w:rPr>
        <w:t xml:space="preserve">of </w:t>
      </w:r>
      <w:r w:rsidR="00957B8E">
        <w:rPr>
          <w:rFonts w:ascii="Palatino Linotype" w:hAnsi="Palatino Linotype"/>
          <w:sz w:val="24"/>
          <w:szCs w:val="24"/>
        </w:rPr>
        <w:t>S</w:t>
      </w:r>
      <w:r w:rsidRPr="00A43214" w:rsidR="00A43214">
        <w:rPr>
          <w:rFonts w:ascii="Palatino Linotype" w:hAnsi="Palatino Linotype"/>
          <w:sz w:val="24"/>
          <w:szCs w:val="24"/>
        </w:rPr>
        <w:t xml:space="preserve">ustained </w:t>
      </w:r>
      <w:r w:rsidR="00957B8E">
        <w:rPr>
          <w:rFonts w:ascii="Palatino Linotype" w:hAnsi="Palatino Linotype"/>
          <w:sz w:val="24"/>
          <w:szCs w:val="24"/>
        </w:rPr>
        <w:t>L</w:t>
      </w:r>
      <w:r w:rsidRPr="00A43214" w:rsidR="00A43214">
        <w:rPr>
          <w:rFonts w:ascii="Palatino Linotype" w:hAnsi="Palatino Linotype"/>
          <w:sz w:val="24"/>
          <w:szCs w:val="24"/>
        </w:rPr>
        <w:t xml:space="preserve">oad </w:t>
      </w:r>
      <w:r w:rsidR="00957B8E">
        <w:rPr>
          <w:rFonts w:ascii="Palatino Linotype" w:hAnsi="Palatino Linotype"/>
          <w:sz w:val="24"/>
          <w:szCs w:val="24"/>
        </w:rPr>
        <w:t>R</w:t>
      </w:r>
      <w:r w:rsidRPr="00A43214" w:rsidR="00A43214">
        <w:rPr>
          <w:rFonts w:ascii="Palatino Linotype" w:hAnsi="Palatino Linotype"/>
          <w:sz w:val="24"/>
          <w:szCs w:val="24"/>
        </w:rPr>
        <w:t xml:space="preserve">eduction, </w:t>
      </w:r>
      <w:r>
        <w:rPr>
          <w:rFonts w:ascii="Palatino Linotype" w:hAnsi="Palatino Linotype"/>
          <w:sz w:val="24"/>
          <w:szCs w:val="24"/>
        </w:rPr>
        <w:t xml:space="preserve">it is reasonable that current practice also </w:t>
      </w:r>
      <w:r w:rsidR="003332DF">
        <w:rPr>
          <w:rFonts w:ascii="Palatino Linotype" w:hAnsi="Palatino Linotype"/>
          <w:sz w:val="24"/>
          <w:szCs w:val="24"/>
        </w:rPr>
        <w:t>applies</w:t>
      </w:r>
      <w:r>
        <w:rPr>
          <w:rFonts w:ascii="Palatino Linotype" w:hAnsi="Palatino Linotype"/>
          <w:sz w:val="24"/>
          <w:szCs w:val="24"/>
        </w:rPr>
        <w:t xml:space="preserve">, for </w:t>
      </w:r>
      <w:r w:rsidRPr="00A43214" w:rsidR="00A43214">
        <w:rPr>
          <w:rFonts w:ascii="Palatino Linotype" w:hAnsi="Palatino Linotype"/>
          <w:sz w:val="24"/>
          <w:szCs w:val="24"/>
        </w:rPr>
        <w:t>the Large IOUs to undertake any required mitigations or upgrades to allow the Limited Generation Profile level to be restored to the approved level in the facility’s Generator Interconnection Agreement.</w:t>
      </w:r>
    </w:p>
    <w:p w:rsidRPr="00A43214" w:rsidR="00A43214" w:rsidP="009551A2" w:rsidRDefault="00A43214" w14:paraId="29DE734F"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sz w:val="24"/>
          <w:szCs w:val="24"/>
        </w:rPr>
        <w:lastRenderedPageBreak/>
        <w:t xml:space="preserve">There is a lack of evidence </w:t>
      </w:r>
      <w:r w:rsidR="00F60A9F">
        <w:rPr>
          <w:rFonts w:ascii="Palatino Linotype" w:hAnsi="Palatino Linotype"/>
          <w:sz w:val="24"/>
          <w:szCs w:val="24"/>
        </w:rPr>
        <w:t>t</w:t>
      </w:r>
      <w:r w:rsidRPr="00A43214">
        <w:rPr>
          <w:rFonts w:ascii="Palatino Linotype" w:hAnsi="Palatino Linotype"/>
          <w:sz w:val="24"/>
          <w:szCs w:val="24"/>
        </w:rPr>
        <w:t xml:space="preserve">hat </w:t>
      </w:r>
      <w:r w:rsidR="00D97A4E">
        <w:rPr>
          <w:rFonts w:ascii="Palatino Linotype" w:hAnsi="Palatino Linotype"/>
          <w:sz w:val="24"/>
          <w:szCs w:val="24"/>
        </w:rPr>
        <w:t xml:space="preserve">any </w:t>
      </w:r>
      <w:r w:rsidR="00957B8E">
        <w:rPr>
          <w:rFonts w:ascii="Palatino Linotype" w:hAnsi="Palatino Linotype"/>
          <w:sz w:val="24"/>
          <w:szCs w:val="24"/>
        </w:rPr>
        <w:t>S</w:t>
      </w:r>
      <w:r w:rsidRPr="00A43214">
        <w:rPr>
          <w:rFonts w:ascii="Palatino Linotype" w:hAnsi="Palatino Linotype"/>
          <w:sz w:val="24"/>
          <w:szCs w:val="24"/>
        </w:rPr>
        <w:t xml:space="preserve">ustained </w:t>
      </w:r>
      <w:r w:rsidR="00957B8E">
        <w:rPr>
          <w:rFonts w:ascii="Palatino Linotype" w:hAnsi="Palatino Linotype"/>
          <w:sz w:val="24"/>
          <w:szCs w:val="24"/>
        </w:rPr>
        <w:t>L</w:t>
      </w:r>
      <w:r w:rsidRPr="00A43214">
        <w:rPr>
          <w:rFonts w:ascii="Palatino Linotype" w:hAnsi="Palatino Linotype"/>
          <w:sz w:val="24"/>
          <w:szCs w:val="24"/>
        </w:rPr>
        <w:t xml:space="preserve">oad </w:t>
      </w:r>
      <w:r w:rsidR="00957B8E">
        <w:rPr>
          <w:rFonts w:ascii="Palatino Linotype" w:hAnsi="Palatino Linotype"/>
          <w:sz w:val="24"/>
          <w:szCs w:val="24"/>
        </w:rPr>
        <w:t>R</w:t>
      </w:r>
      <w:r w:rsidRPr="00A43214">
        <w:rPr>
          <w:rFonts w:ascii="Palatino Linotype" w:hAnsi="Palatino Linotype"/>
          <w:sz w:val="24"/>
          <w:szCs w:val="24"/>
        </w:rPr>
        <w:t xml:space="preserve">eductions on a distribution </w:t>
      </w:r>
      <w:r w:rsidR="00D97A4E">
        <w:rPr>
          <w:rFonts w:ascii="Palatino Linotype" w:hAnsi="Palatino Linotype"/>
          <w:sz w:val="24"/>
          <w:szCs w:val="24"/>
        </w:rPr>
        <w:t xml:space="preserve">circuit </w:t>
      </w:r>
      <w:r w:rsidRPr="00A43214">
        <w:rPr>
          <w:rFonts w:ascii="Palatino Linotype" w:hAnsi="Palatino Linotype"/>
          <w:sz w:val="24"/>
          <w:szCs w:val="24"/>
        </w:rPr>
        <w:t>have occurred in recent years, or that if they have, that any distribution system operating criteria violation has occurred in a manner to compromise safety and reliability</w:t>
      </w:r>
      <w:r w:rsidR="00E40927">
        <w:rPr>
          <w:rFonts w:ascii="Palatino Linotype" w:hAnsi="Palatino Linotype"/>
          <w:sz w:val="24"/>
          <w:szCs w:val="24"/>
        </w:rPr>
        <w:t>, or that any mitigations or upgrades have been required.</w:t>
      </w:r>
    </w:p>
    <w:p w:rsidRPr="00A43214" w:rsidR="00A43214" w:rsidP="009551A2" w:rsidRDefault="00A43214" w14:paraId="55FA6C73"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Calibri"/>
          <w:sz w:val="24"/>
          <w:szCs w:val="24"/>
          <w:shd w:val="clear" w:color="auto" w:fill="FFFFFF"/>
        </w:rPr>
        <w:t xml:space="preserve">Current practice assures that grid upgrades are </w:t>
      </w:r>
      <w:r w:rsidR="00F60A9F">
        <w:rPr>
          <w:rFonts w:ascii="Palatino Linotype" w:hAnsi="Palatino Linotype" w:cs="Calibri"/>
          <w:sz w:val="24"/>
          <w:szCs w:val="24"/>
          <w:shd w:val="clear" w:color="auto" w:fill="FFFFFF"/>
        </w:rPr>
        <w:t xml:space="preserve">paid for by ratepayers </w:t>
      </w:r>
      <w:r w:rsidRPr="00A43214">
        <w:rPr>
          <w:rFonts w:ascii="Palatino Linotype" w:hAnsi="Palatino Linotype" w:cs="Calibri"/>
          <w:sz w:val="24"/>
          <w:szCs w:val="24"/>
          <w:shd w:val="clear" w:color="auto" w:fill="FFFFFF"/>
        </w:rPr>
        <w:t>for any circumstances arising after an interconnection agreement has been executed.</w:t>
      </w:r>
      <w:r w:rsidRPr="00A43214">
        <w:rPr>
          <w:rFonts w:ascii="Palatino Linotype" w:hAnsi="Palatino Linotype"/>
          <w:sz w:val="24"/>
          <w:szCs w:val="24"/>
        </w:rPr>
        <w:t xml:space="preserve">  The proper venue for any changes to this practice is Phase II of proceeding R.17-07-007.</w:t>
      </w:r>
    </w:p>
    <w:p w:rsidR="003332DF" w:rsidP="009551A2" w:rsidRDefault="003332DF" w14:paraId="031F4DF3"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Resolution E-5211 does not preclude d</w:t>
      </w:r>
      <w:r w:rsidRPr="00A43214">
        <w:rPr>
          <w:rFonts w:ascii="Palatino Linotype" w:hAnsi="Palatino Linotype" w:cstheme="minorHAnsi"/>
          <w:sz w:val="24"/>
          <w:szCs w:val="24"/>
        </w:rPr>
        <w:t>isparate treatment of cost responsibility of LGP facilities versus non-LGP facilities in exceptional cases.</w:t>
      </w:r>
    </w:p>
    <w:p w:rsidRPr="00A43214" w:rsidR="003332DF" w:rsidP="009551A2" w:rsidRDefault="003332DF" w14:paraId="62FE1268"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There is a lack of evidence that disparate treatment of cost responsibility of LGP facilities versus non-LGP facilities will impact ratepayer costs.</w:t>
      </w:r>
    </w:p>
    <w:p w:rsidRPr="00A43214" w:rsidR="00F1187D" w:rsidP="009551A2" w:rsidRDefault="00F1187D" w14:paraId="4815034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shd w:val="clear" w:color="auto" w:fill="FFFFFF"/>
        </w:rPr>
      </w:pPr>
      <w:r w:rsidRPr="00A43214">
        <w:rPr>
          <w:rFonts w:ascii="Palatino Linotype" w:hAnsi="Palatino Linotype" w:cstheme="minorHAnsi"/>
          <w:sz w:val="24"/>
          <w:szCs w:val="24"/>
        </w:rPr>
        <w:t>L</w:t>
      </w:r>
      <w:r w:rsidRPr="00A43214">
        <w:rPr>
          <w:rFonts w:ascii="Palatino Linotype" w:hAnsi="Palatino Linotype" w:cstheme="minorHAnsi"/>
          <w:sz w:val="24"/>
          <w:szCs w:val="24"/>
          <w:shd w:val="clear" w:color="auto" w:fill="FFFFFF"/>
        </w:rPr>
        <w:t xml:space="preserve">ow-cost mitigations will likely be sufficient in the large majority of </w:t>
      </w:r>
      <w:r>
        <w:rPr>
          <w:rFonts w:ascii="Palatino Linotype" w:hAnsi="Palatino Linotype" w:cstheme="minorHAnsi"/>
          <w:sz w:val="24"/>
          <w:szCs w:val="24"/>
          <w:shd w:val="clear" w:color="auto" w:fill="FFFFFF"/>
        </w:rPr>
        <w:t xml:space="preserve">LGP </w:t>
      </w:r>
      <w:r w:rsidRPr="00A43214">
        <w:rPr>
          <w:rFonts w:ascii="Palatino Linotype" w:hAnsi="Palatino Linotype" w:cstheme="minorHAnsi"/>
          <w:sz w:val="24"/>
          <w:szCs w:val="24"/>
          <w:shd w:val="clear" w:color="auto" w:fill="FFFFFF"/>
        </w:rPr>
        <w:t xml:space="preserve">curtailment cases to partially or fully reverse curtailment and restore export values </w:t>
      </w:r>
      <w:r w:rsidR="00F60A9F">
        <w:rPr>
          <w:rFonts w:ascii="Palatino Linotype" w:hAnsi="Palatino Linotype" w:cstheme="minorHAnsi"/>
          <w:sz w:val="24"/>
          <w:szCs w:val="24"/>
          <w:shd w:val="clear" w:color="auto" w:fill="FFFFFF"/>
        </w:rPr>
        <w:t xml:space="preserve">of an LGP facility </w:t>
      </w:r>
      <w:r w:rsidRPr="00A43214">
        <w:rPr>
          <w:rFonts w:ascii="Palatino Linotype" w:hAnsi="Palatino Linotype" w:cstheme="minorHAnsi"/>
          <w:sz w:val="24"/>
          <w:szCs w:val="24"/>
          <w:shd w:val="clear" w:color="auto" w:fill="FFFFFF"/>
        </w:rPr>
        <w:t>to the LGP values in the interconnection agreement.</w:t>
      </w:r>
    </w:p>
    <w:p w:rsidRPr="00A43214" w:rsidR="00F1187D" w:rsidP="009551A2" w:rsidRDefault="00F1187D" w14:paraId="692C00C0"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shd w:val="clear" w:color="auto" w:fill="FFFFFF"/>
        </w:rPr>
      </w:pPr>
      <w:r w:rsidRPr="00A43214">
        <w:rPr>
          <w:rFonts w:ascii="Palatino Linotype" w:hAnsi="Palatino Linotype" w:cstheme="minorHAnsi"/>
          <w:sz w:val="24"/>
          <w:szCs w:val="24"/>
          <w:shd w:val="clear" w:color="auto" w:fill="FFFFFF"/>
        </w:rPr>
        <w:t xml:space="preserve">It is reasonable to </w:t>
      </w:r>
      <w:r w:rsidR="007F593A">
        <w:rPr>
          <w:rFonts w:ascii="Palatino Linotype" w:hAnsi="Palatino Linotype" w:cstheme="minorHAnsi"/>
          <w:sz w:val="24"/>
          <w:szCs w:val="24"/>
          <w:shd w:val="clear" w:color="auto" w:fill="FFFFFF"/>
        </w:rPr>
        <w:t xml:space="preserve">define, for purposes of the LGP option, </w:t>
      </w:r>
      <w:r w:rsidRPr="00A43214">
        <w:rPr>
          <w:rFonts w:ascii="Palatino Linotype" w:hAnsi="Palatino Linotype" w:cstheme="minorHAnsi"/>
          <w:sz w:val="24"/>
          <w:szCs w:val="24"/>
          <w:shd w:val="clear" w:color="auto" w:fill="FFFFFF"/>
        </w:rPr>
        <w:t xml:space="preserve">low-cost mitigations </w:t>
      </w:r>
      <w:r>
        <w:rPr>
          <w:rFonts w:ascii="Palatino Linotype" w:hAnsi="Palatino Linotype" w:cstheme="minorHAnsi"/>
          <w:sz w:val="24"/>
          <w:szCs w:val="24"/>
          <w:shd w:val="clear" w:color="auto" w:fill="FFFFFF"/>
        </w:rPr>
        <w:t xml:space="preserve">as those that </w:t>
      </w:r>
      <w:r w:rsidRPr="00A43214">
        <w:rPr>
          <w:rFonts w:ascii="Palatino Linotype" w:hAnsi="Palatino Linotype" w:cstheme="minorHAnsi"/>
          <w:sz w:val="24"/>
          <w:szCs w:val="24"/>
          <w:shd w:val="clear" w:color="auto" w:fill="FFFFFF"/>
        </w:rPr>
        <w:t xml:space="preserve">are routine or minor in nature and have historically been performed on the order of days, weeks, or a few months for design, procurement, and construction; that low-cost mitigations can be considered </w:t>
      </w:r>
      <w:r>
        <w:rPr>
          <w:rFonts w:ascii="Palatino Linotype" w:hAnsi="Palatino Linotype" w:cstheme="minorHAnsi"/>
          <w:sz w:val="24"/>
          <w:szCs w:val="24"/>
          <w:shd w:val="clear" w:color="auto" w:fill="FFFFFF"/>
        </w:rPr>
        <w:t xml:space="preserve">as </w:t>
      </w:r>
      <w:r w:rsidRPr="00A43214">
        <w:rPr>
          <w:rFonts w:ascii="Palatino Linotype" w:hAnsi="Palatino Linotype" w:cstheme="minorHAnsi"/>
          <w:sz w:val="24"/>
          <w:szCs w:val="24"/>
          <w:shd w:val="clear" w:color="auto" w:fill="FFFFFF"/>
        </w:rPr>
        <w:t xml:space="preserve">efforts classified in the GRC as maintenance functions that are part of ordinary distribution system operations; that </w:t>
      </w:r>
      <w:r>
        <w:rPr>
          <w:rFonts w:ascii="Palatino Linotype" w:hAnsi="Palatino Linotype" w:cstheme="minorHAnsi"/>
          <w:sz w:val="24"/>
          <w:szCs w:val="24"/>
          <w:shd w:val="clear" w:color="auto" w:fill="FFFFFF"/>
        </w:rPr>
        <w:t xml:space="preserve">low-cost mitigations </w:t>
      </w:r>
      <w:r w:rsidRPr="00A43214">
        <w:rPr>
          <w:rFonts w:ascii="Palatino Linotype" w:hAnsi="Palatino Linotype" w:cstheme="minorHAnsi"/>
          <w:sz w:val="24"/>
          <w:szCs w:val="24"/>
          <w:shd w:val="clear" w:color="auto" w:fill="FFFFFF"/>
        </w:rPr>
        <w:t>are expected to cost in the range of thousands or tens of thousands of dollars as a general guideline; that low-cost mitigations include items as defined by the Large IOUs in the Joint January LGP Advice Letter</w:t>
      </w:r>
      <w:r w:rsidR="00434F97">
        <w:rPr>
          <w:rFonts w:ascii="Palatino Linotype" w:hAnsi="Palatino Linotype" w:cstheme="minorHAnsi"/>
          <w:sz w:val="24"/>
          <w:szCs w:val="24"/>
          <w:shd w:val="clear" w:color="auto" w:fill="FFFFFF"/>
        </w:rPr>
        <w:t>s</w:t>
      </w:r>
      <w:r w:rsidRPr="00A43214">
        <w:rPr>
          <w:rFonts w:ascii="Palatino Linotype" w:hAnsi="Palatino Linotype" w:cstheme="minorHAnsi"/>
          <w:sz w:val="24"/>
          <w:szCs w:val="24"/>
          <w:shd w:val="clear" w:color="auto" w:fill="FFFFFF"/>
        </w:rPr>
        <w:t xml:space="preserve">, and </w:t>
      </w:r>
      <w:r>
        <w:rPr>
          <w:rFonts w:ascii="Palatino Linotype" w:hAnsi="Palatino Linotype" w:cstheme="minorHAnsi"/>
          <w:sz w:val="24"/>
          <w:szCs w:val="24"/>
          <w:shd w:val="clear" w:color="auto" w:fill="FFFFFF"/>
        </w:rPr>
        <w:t xml:space="preserve">as those </w:t>
      </w:r>
      <w:r w:rsidRPr="00A43214">
        <w:rPr>
          <w:rFonts w:ascii="Palatino Linotype" w:hAnsi="Palatino Linotype" w:cstheme="minorHAnsi"/>
          <w:sz w:val="24"/>
          <w:szCs w:val="24"/>
          <w:shd w:val="clear" w:color="auto" w:fill="FFFFFF"/>
        </w:rPr>
        <w:t>items called out in Rule 21 as solutions that may be available to mitigate the impact of a failed screen.</w:t>
      </w:r>
    </w:p>
    <w:p w:rsidRPr="00A43214" w:rsidR="00F1187D" w:rsidP="009551A2" w:rsidRDefault="00F1187D" w14:paraId="5825C1E8"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 xml:space="preserve">Current practices and cost principles from the GRC </w:t>
      </w:r>
      <w:r w:rsidR="00F60A9F">
        <w:rPr>
          <w:rFonts w:ascii="Palatino Linotype" w:hAnsi="Palatino Linotype" w:cstheme="minorHAnsi"/>
          <w:sz w:val="24"/>
          <w:szCs w:val="24"/>
        </w:rPr>
        <w:t xml:space="preserve">provide that </w:t>
      </w:r>
      <w:r w:rsidR="00EB42C7">
        <w:rPr>
          <w:rFonts w:ascii="Palatino Linotype" w:hAnsi="Palatino Linotype" w:cstheme="minorHAnsi"/>
          <w:sz w:val="24"/>
          <w:szCs w:val="24"/>
        </w:rPr>
        <w:t>l</w:t>
      </w:r>
      <w:r w:rsidRPr="00A43214" w:rsidR="00EB42C7">
        <w:rPr>
          <w:rFonts w:ascii="Palatino Linotype" w:hAnsi="Palatino Linotype" w:cstheme="minorHAnsi"/>
          <w:sz w:val="24"/>
          <w:szCs w:val="24"/>
        </w:rPr>
        <w:t>ow-cost mitigations</w:t>
      </w:r>
      <w:r w:rsidR="00EB42C7">
        <w:rPr>
          <w:rFonts w:ascii="Palatino Linotype" w:hAnsi="Palatino Linotype" w:cstheme="minorHAnsi"/>
          <w:sz w:val="24"/>
          <w:szCs w:val="24"/>
        </w:rPr>
        <w:t xml:space="preserve"> are covered through </w:t>
      </w:r>
      <w:r w:rsidR="00F60A9F">
        <w:rPr>
          <w:rFonts w:ascii="Palatino Linotype" w:hAnsi="Palatino Linotype" w:cstheme="minorHAnsi"/>
          <w:sz w:val="24"/>
          <w:szCs w:val="24"/>
        </w:rPr>
        <w:t xml:space="preserve">ordinary </w:t>
      </w:r>
      <w:r w:rsidRPr="00A43214">
        <w:rPr>
          <w:rFonts w:ascii="Palatino Linotype" w:hAnsi="Palatino Linotype" w:cstheme="minorHAnsi"/>
          <w:sz w:val="24"/>
          <w:szCs w:val="24"/>
        </w:rPr>
        <w:t>operations and maintenance budgets</w:t>
      </w:r>
      <w:r w:rsidR="00EB42C7">
        <w:rPr>
          <w:rFonts w:ascii="Palatino Linotype" w:hAnsi="Palatino Linotype" w:cstheme="minorHAnsi"/>
          <w:sz w:val="24"/>
          <w:szCs w:val="24"/>
        </w:rPr>
        <w:t>.</w:t>
      </w:r>
    </w:p>
    <w:p w:rsidR="00F1187D" w:rsidP="009551A2" w:rsidRDefault="00F60A9F" w14:paraId="3B8CBA4C"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A</w:t>
      </w:r>
      <w:r w:rsidRPr="00A43214" w:rsidR="00F1187D">
        <w:rPr>
          <w:rFonts w:ascii="Palatino Linotype" w:hAnsi="Palatino Linotype" w:cstheme="minorHAnsi"/>
          <w:sz w:val="24"/>
          <w:szCs w:val="24"/>
        </w:rPr>
        <w:t xml:space="preserve">vailable evidence suggests that grid upgrades required to restore curtailed LGP facility exports to the values in the original Interconnection Agreement, in the </w:t>
      </w:r>
      <w:r w:rsidR="00F23E57">
        <w:rPr>
          <w:rFonts w:ascii="Palatino Linotype" w:hAnsi="Palatino Linotype" w:cstheme="minorHAnsi"/>
          <w:sz w:val="24"/>
          <w:szCs w:val="24"/>
        </w:rPr>
        <w:t>LGP-</w:t>
      </w:r>
      <w:r w:rsidRPr="00A43214" w:rsidR="00F1187D">
        <w:rPr>
          <w:rFonts w:ascii="Palatino Linotype" w:hAnsi="Palatino Linotype" w:cstheme="minorHAnsi"/>
          <w:sz w:val="24"/>
          <w:szCs w:val="24"/>
        </w:rPr>
        <w:t xml:space="preserve">specific circumstance of </w:t>
      </w:r>
      <w:r w:rsidR="00957B8E">
        <w:rPr>
          <w:rFonts w:ascii="Palatino Linotype" w:hAnsi="Palatino Linotype" w:cstheme="minorHAnsi"/>
          <w:sz w:val="24"/>
          <w:szCs w:val="24"/>
        </w:rPr>
        <w:t>S</w:t>
      </w:r>
      <w:r w:rsidRPr="00A43214" w:rsidR="00F1187D">
        <w:rPr>
          <w:rFonts w:ascii="Palatino Linotype" w:hAnsi="Palatino Linotype" w:cstheme="minorHAnsi"/>
          <w:sz w:val="24"/>
          <w:szCs w:val="24"/>
        </w:rPr>
        <w:t xml:space="preserve">ustained </w:t>
      </w:r>
      <w:r w:rsidR="00957B8E">
        <w:rPr>
          <w:rFonts w:ascii="Palatino Linotype" w:hAnsi="Palatino Linotype" w:cstheme="minorHAnsi"/>
          <w:sz w:val="24"/>
          <w:szCs w:val="24"/>
        </w:rPr>
        <w:t>L</w:t>
      </w:r>
      <w:r w:rsidRPr="00A43214" w:rsidR="00F1187D">
        <w:rPr>
          <w:rFonts w:ascii="Palatino Linotype" w:hAnsi="Palatino Linotype" w:cstheme="minorHAnsi"/>
          <w:sz w:val="24"/>
          <w:szCs w:val="24"/>
        </w:rPr>
        <w:t xml:space="preserve">oad </w:t>
      </w:r>
      <w:r w:rsidR="00957B8E">
        <w:rPr>
          <w:rFonts w:ascii="Palatino Linotype" w:hAnsi="Palatino Linotype" w:cstheme="minorHAnsi"/>
          <w:sz w:val="24"/>
          <w:szCs w:val="24"/>
        </w:rPr>
        <w:t>R</w:t>
      </w:r>
      <w:r w:rsidRPr="00A43214" w:rsidR="00F1187D">
        <w:rPr>
          <w:rFonts w:ascii="Palatino Linotype" w:hAnsi="Palatino Linotype" w:cstheme="minorHAnsi"/>
          <w:sz w:val="24"/>
          <w:szCs w:val="24"/>
        </w:rPr>
        <w:t xml:space="preserve">eduction, are likely to be rare and that most curtailments can be addressed through low-cost mitigations. </w:t>
      </w:r>
    </w:p>
    <w:p w:rsidRPr="00A43214" w:rsidR="00A43214" w:rsidP="009551A2" w:rsidRDefault="003332DF" w14:paraId="20D3C75C"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Calibri"/>
          <w:sz w:val="24"/>
          <w:szCs w:val="24"/>
          <w:shd w:val="clear" w:color="auto" w:fill="FFFFFF"/>
        </w:rPr>
        <w:lastRenderedPageBreak/>
        <w:t>Given the long-term uncertainties concerning the risks and costs of the LGP option, i</w:t>
      </w:r>
      <w:r w:rsidRPr="00A43214" w:rsidR="00A43214">
        <w:rPr>
          <w:rFonts w:ascii="Palatino Linotype" w:hAnsi="Palatino Linotype" w:cs="Calibri"/>
          <w:sz w:val="24"/>
          <w:szCs w:val="24"/>
          <w:shd w:val="clear" w:color="auto" w:fill="FFFFFF"/>
        </w:rPr>
        <w:t xml:space="preserve">t is </w:t>
      </w:r>
      <w:r w:rsidR="00F1187D">
        <w:rPr>
          <w:rFonts w:ascii="Palatino Linotype" w:hAnsi="Palatino Linotype" w:cs="Calibri"/>
          <w:sz w:val="24"/>
          <w:szCs w:val="24"/>
          <w:shd w:val="clear" w:color="auto" w:fill="FFFFFF"/>
        </w:rPr>
        <w:t xml:space="preserve">nevertheless </w:t>
      </w:r>
      <w:r w:rsidRPr="00A43214" w:rsidR="00A43214">
        <w:rPr>
          <w:rFonts w:ascii="Palatino Linotype" w:hAnsi="Palatino Linotype" w:cs="Calibri"/>
          <w:sz w:val="24"/>
          <w:szCs w:val="24"/>
          <w:shd w:val="clear" w:color="auto" w:fill="FFFFFF"/>
        </w:rPr>
        <w:t xml:space="preserve">prudent that there should be some options for the Large IOUs to safeguard ratepayer interests against unreasonable costs of upgrades in circumstances of LGP curtailment due to </w:t>
      </w:r>
      <w:r w:rsidR="00957B8E">
        <w:rPr>
          <w:rFonts w:ascii="Palatino Linotype" w:hAnsi="Palatino Linotype" w:cs="Calibri"/>
          <w:sz w:val="24"/>
          <w:szCs w:val="24"/>
          <w:shd w:val="clear" w:color="auto" w:fill="FFFFFF"/>
        </w:rPr>
        <w:t>S</w:t>
      </w:r>
      <w:r w:rsidRPr="00A43214" w:rsidR="00A43214">
        <w:rPr>
          <w:rFonts w:ascii="Palatino Linotype" w:hAnsi="Palatino Linotype" w:cs="Calibri"/>
          <w:sz w:val="24"/>
          <w:szCs w:val="24"/>
          <w:shd w:val="clear" w:color="auto" w:fill="FFFFFF"/>
        </w:rPr>
        <w:t xml:space="preserve">ustained </w:t>
      </w:r>
      <w:r w:rsidR="00957B8E">
        <w:rPr>
          <w:rFonts w:ascii="Palatino Linotype" w:hAnsi="Palatino Linotype" w:cs="Calibri"/>
          <w:sz w:val="24"/>
          <w:szCs w:val="24"/>
          <w:shd w:val="clear" w:color="auto" w:fill="FFFFFF"/>
        </w:rPr>
        <w:t>L</w:t>
      </w:r>
      <w:r w:rsidRPr="00A43214" w:rsidR="00A43214">
        <w:rPr>
          <w:rFonts w:ascii="Palatino Linotype" w:hAnsi="Palatino Linotype" w:cs="Calibri"/>
          <w:sz w:val="24"/>
          <w:szCs w:val="24"/>
          <w:shd w:val="clear" w:color="auto" w:fill="FFFFFF"/>
        </w:rPr>
        <w:t xml:space="preserve">oad </w:t>
      </w:r>
      <w:r w:rsidR="00957B8E">
        <w:rPr>
          <w:rFonts w:ascii="Palatino Linotype" w:hAnsi="Palatino Linotype" w:cs="Calibri"/>
          <w:sz w:val="24"/>
          <w:szCs w:val="24"/>
          <w:shd w:val="clear" w:color="auto" w:fill="FFFFFF"/>
        </w:rPr>
        <w:t>R</w:t>
      </w:r>
      <w:r w:rsidRPr="00A43214" w:rsidR="00A43214">
        <w:rPr>
          <w:rFonts w:ascii="Palatino Linotype" w:hAnsi="Palatino Linotype" w:cs="Calibri"/>
          <w:sz w:val="24"/>
          <w:szCs w:val="24"/>
          <w:shd w:val="clear" w:color="auto" w:fill="FFFFFF"/>
        </w:rPr>
        <w:t>eduction</w:t>
      </w:r>
      <w:r w:rsidR="00F60A9F">
        <w:rPr>
          <w:rFonts w:ascii="Palatino Linotype" w:hAnsi="Palatino Linotype" w:cs="Calibri"/>
          <w:sz w:val="24"/>
          <w:szCs w:val="24"/>
          <w:shd w:val="clear" w:color="auto" w:fill="FFFFFF"/>
        </w:rPr>
        <w:t>.</w:t>
      </w:r>
    </w:p>
    <w:p w:rsidRPr="000E0B14" w:rsidR="00A43214" w:rsidP="009551A2" w:rsidRDefault="00A43214" w14:paraId="7793CE6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sz w:val="24"/>
          <w:szCs w:val="24"/>
        </w:rPr>
        <w:t>It is prudent to allow the Large IOUs to propos</w:t>
      </w:r>
      <w:r w:rsidR="00BD107E">
        <w:rPr>
          <w:rFonts w:ascii="Palatino Linotype" w:hAnsi="Palatino Linotype"/>
          <w:sz w:val="24"/>
          <w:szCs w:val="24"/>
        </w:rPr>
        <w:t>e</w:t>
      </w:r>
      <w:r w:rsidRPr="00A43214">
        <w:rPr>
          <w:rFonts w:ascii="Palatino Linotype" w:hAnsi="Palatino Linotype"/>
          <w:sz w:val="24"/>
          <w:szCs w:val="24"/>
        </w:rPr>
        <w:t xml:space="preserve"> reconsideration of cost responsibility for LGP-specific curtailments </w:t>
      </w:r>
      <w:r w:rsidR="00BD107E">
        <w:rPr>
          <w:rFonts w:ascii="Palatino Linotype" w:hAnsi="Palatino Linotype"/>
          <w:sz w:val="24"/>
          <w:szCs w:val="24"/>
        </w:rPr>
        <w:t xml:space="preserve">in circumstances of </w:t>
      </w:r>
      <w:r w:rsidR="00957B8E">
        <w:rPr>
          <w:rFonts w:ascii="Palatino Linotype" w:hAnsi="Palatino Linotype"/>
          <w:sz w:val="24"/>
          <w:szCs w:val="24"/>
        </w:rPr>
        <w:t>S</w:t>
      </w:r>
      <w:r w:rsidRPr="00A43214">
        <w:rPr>
          <w:rFonts w:ascii="Palatino Linotype" w:hAnsi="Palatino Linotype"/>
          <w:sz w:val="24"/>
          <w:szCs w:val="24"/>
        </w:rPr>
        <w:t xml:space="preserve">ustained </w:t>
      </w:r>
      <w:r w:rsidR="00957B8E">
        <w:rPr>
          <w:rFonts w:ascii="Palatino Linotype" w:hAnsi="Palatino Linotype"/>
          <w:sz w:val="24"/>
          <w:szCs w:val="24"/>
        </w:rPr>
        <w:t>L</w:t>
      </w:r>
      <w:r w:rsidRPr="00A43214">
        <w:rPr>
          <w:rFonts w:ascii="Palatino Linotype" w:hAnsi="Palatino Linotype"/>
          <w:sz w:val="24"/>
          <w:szCs w:val="24"/>
        </w:rPr>
        <w:t xml:space="preserve">oad </w:t>
      </w:r>
      <w:r w:rsidR="00957B8E">
        <w:rPr>
          <w:rFonts w:ascii="Palatino Linotype" w:hAnsi="Palatino Linotype"/>
          <w:sz w:val="24"/>
          <w:szCs w:val="24"/>
        </w:rPr>
        <w:t>R</w:t>
      </w:r>
      <w:r w:rsidRPr="00A43214">
        <w:rPr>
          <w:rFonts w:ascii="Palatino Linotype" w:hAnsi="Palatino Linotype"/>
          <w:sz w:val="24"/>
          <w:szCs w:val="24"/>
        </w:rPr>
        <w:t>eduction</w:t>
      </w:r>
      <w:r w:rsidR="000121BA">
        <w:rPr>
          <w:rFonts w:ascii="Palatino Linotype" w:hAnsi="Palatino Linotype"/>
          <w:sz w:val="24"/>
          <w:szCs w:val="24"/>
        </w:rPr>
        <w:t xml:space="preserve"> </w:t>
      </w:r>
      <w:r w:rsidRPr="00A43214">
        <w:rPr>
          <w:rFonts w:ascii="Palatino Linotype" w:hAnsi="Palatino Linotype"/>
          <w:sz w:val="24"/>
          <w:szCs w:val="24"/>
        </w:rPr>
        <w:t>if</w:t>
      </w:r>
      <w:r w:rsidR="000121BA">
        <w:rPr>
          <w:rFonts w:ascii="Palatino Linotype" w:hAnsi="Palatino Linotype"/>
          <w:sz w:val="24"/>
          <w:szCs w:val="24"/>
        </w:rPr>
        <w:t>, during the first t</w:t>
      </w:r>
      <w:r w:rsidR="00EB42C7">
        <w:rPr>
          <w:rFonts w:ascii="Palatino Linotype" w:hAnsi="Palatino Linotype"/>
          <w:sz w:val="24"/>
          <w:szCs w:val="24"/>
        </w:rPr>
        <w:t xml:space="preserve">hree </w:t>
      </w:r>
      <w:r w:rsidR="000121BA">
        <w:rPr>
          <w:rFonts w:ascii="Palatino Linotype" w:hAnsi="Palatino Linotype"/>
          <w:sz w:val="24"/>
          <w:szCs w:val="24"/>
        </w:rPr>
        <w:t>years of the LGP option being effective,</w:t>
      </w:r>
      <w:r w:rsidRPr="00A43214">
        <w:rPr>
          <w:rFonts w:ascii="Palatino Linotype" w:hAnsi="Palatino Linotype"/>
          <w:sz w:val="24"/>
          <w:szCs w:val="24"/>
        </w:rPr>
        <w:t xml:space="preserve"> cumulatively more than </w:t>
      </w:r>
      <w:r w:rsidR="000121BA">
        <w:rPr>
          <w:rFonts w:ascii="Palatino Linotype" w:hAnsi="Palatino Linotype"/>
          <w:sz w:val="24"/>
          <w:szCs w:val="24"/>
        </w:rPr>
        <w:t>10</w:t>
      </w:r>
      <w:r w:rsidRPr="00A43214">
        <w:rPr>
          <w:rFonts w:ascii="Palatino Linotype" w:hAnsi="Palatino Linotype"/>
          <w:sz w:val="24"/>
          <w:szCs w:val="24"/>
        </w:rPr>
        <w:t>% of actual LGP facility curtailments</w:t>
      </w:r>
      <w:r w:rsidR="000121BA">
        <w:rPr>
          <w:rFonts w:ascii="Palatino Linotype" w:hAnsi="Palatino Linotype"/>
          <w:sz w:val="24"/>
          <w:szCs w:val="24"/>
        </w:rPr>
        <w:t>,</w:t>
      </w:r>
      <w:r w:rsidR="009551A2">
        <w:rPr>
          <w:rFonts w:ascii="Palatino Linotype" w:hAnsi="Palatino Linotype"/>
          <w:sz w:val="24"/>
          <w:szCs w:val="24"/>
        </w:rPr>
        <w:t xml:space="preserve"> </w:t>
      </w:r>
      <w:r w:rsidRPr="00A43214">
        <w:rPr>
          <w:rFonts w:ascii="Palatino Linotype" w:hAnsi="Palatino Linotype"/>
          <w:sz w:val="24"/>
          <w:szCs w:val="24"/>
        </w:rPr>
        <w:t xml:space="preserve">due strictly to </w:t>
      </w:r>
      <w:r w:rsidR="000121BA">
        <w:rPr>
          <w:rFonts w:ascii="Palatino Linotype" w:hAnsi="Palatino Linotype"/>
          <w:sz w:val="24"/>
          <w:szCs w:val="24"/>
        </w:rPr>
        <w:t xml:space="preserve">the LGP-specific circumstance of </w:t>
      </w:r>
      <w:r w:rsidR="00957B8E">
        <w:rPr>
          <w:rFonts w:ascii="Palatino Linotype" w:hAnsi="Palatino Linotype"/>
          <w:sz w:val="24"/>
          <w:szCs w:val="24"/>
        </w:rPr>
        <w:t>S</w:t>
      </w:r>
      <w:r w:rsidRPr="00A43214">
        <w:rPr>
          <w:rFonts w:ascii="Palatino Linotype" w:hAnsi="Palatino Linotype"/>
          <w:sz w:val="24"/>
          <w:szCs w:val="24"/>
        </w:rPr>
        <w:t xml:space="preserve">ustained </w:t>
      </w:r>
      <w:r w:rsidR="00957B8E">
        <w:rPr>
          <w:rFonts w:ascii="Palatino Linotype" w:hAnsi="Palatino Linotype"/>
          <w:sz w:val="24"/>
          <w:szCs w:val="24"/>
        </w:rPr>
        <w:t>L</w:t>
      </w:r>
      <w:r w:rsidRPr="00A43214">
        <w:rPr>
          <w:rFonts w:ascii="Palatino Linotype" w:hAnsi="Palatino Linotype"/>
          <w:sz w:val="24"/>
          <w:szCs w:val="24"/>
        </w:rPr>
        <w:t xml:space="preserve">oad </w:t>
      </w:r>
      <w:r w:rsidR="00957B8E">
        <w:rPr>
          <w:rFonts w:ascii="Palatino Linotype" w:hAnsi="Palatino Linotype"/>
          <w:sz w:val="24"/>
          <w:szCs w:val="24"/>
        </w:rPr>
        <w:t>R</w:t>
      </w:r>
      <w:r w:rsidRPr="00A43214">
        <w:rPr>
          <w:rFonts w:ascii="Palatino Linotype" w:hAnsi="Palatino Linotype"/>
          <w:sz w:val="24"/>
          <w:szCs w:val="24"/>
        </w:rPr>
        <w:t>eduction</w:t>
      </w:r>
      <w:r w:rsidR="000121BA">
        <w:rPr>
          <w:rFonts w:ascii="Palatino Linotype" w:hAnsi="Palatino Linotype"/>
          <w:sz w:val="24"/>
          <w:szCs w:val="24"/>
        </w:rPr>
        <w:t>,</w:t>
      </w:r>
      <w:r w:rsidR="009551A2">
        <w:rPr>
          <w:rFonts w:ascii="Palatino Linotype" w:hAnsi="Palatino Linotype"/>
          <w:sz w:val="24"/>
          <w:szCs w:val="24"/>
        </w:rPr>
        <w:t xml:space="preserve"> </w:t>
      </w:r>
      <w:r w:rsidRPr="00A43214">
        <w:rPr>
          <w:rFonts w:ascii="Palatino Linotype" w:hAnsi="Palatino Linotype"/>
          <w:sz w:val="24"/>
          <w:szCs w:val="24"/>
        </w:rPr>
        <w:t>have required grid upgrades to restore curtailed LGP export values.</w:t>
      </w:r>
    </w:p>
    <w:p w:rsidRPr="0001162E" w:rsidR="000E0B14" w:rsidP="009551A2" w:rsidRDefault="000E0B14" w14:paraId="7C62A8F9"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w:t>
      </w:r>
      <w:r w:rsidRPr="000E0B14">
        <w:rPr>
          <w:rFonts w:ascii="Palatino Linotype" w:hAnsi="Palatino Linotype" w:cstheme="minorHAnsi"/>
          <w:sz w:val="24"/>
          <w:szCs w:val="24"/>
        </w:rPr>
        <w:t xml:space="preserve">he Large IOUs </w:t>
      </w:r>
      <w:r w:rsidR="00BF0445">
        <w:rPr>
          <w:rFonts w:ascii="Palatino Linotype" w:hAnsi="Palatino Linotype" w:cstheme="minorHAnsi"/>
          <w:sz w:val="24"/>
          <w:szCs w:val="24"/>
        </w:rPr>
        <w:t xml:space="preserve">already </w:t>
      </w:r>
      <w:r w:rsidRPr="000E0B14">
        <w:rPr>
          <w:rFonts w:ascii="Palatino Linotype" w:hAnsi="Palatino Linotype" w:cstheme="minorHAnsi"/>
          <w:sz w:val="24"/>
          <w:szCs w:val="24"/>
        </w:rPr>
        <w:t xml:space="preserve">have the option under existing Commission rules to apply for a tariff deviation if they believe that undertaking an upgrade is not a reasonable use of ratepayer funds or is unreasonably costly in a particular case. </w:t>
      </w:r>
    </w:p>
    <w:p w:rsidRPr="0001162E" w:rsidR="00A43214" w:rsidP="009551A2" w:rsidRDefault="00BD412D" w14:paraId="6FF94B05"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01162E">
        <w:rPr>
          <w:sz w:val="24"/>
          <w:szCs w:val="24"/>
        </w:rPr>
        <w:t>This resolution does not and cannot change cost causation principles</w:t>
      </w:r>
      <w:r w:rsidRPr="0001162E" w:rsidR="00A43214">
        <w:rPr>
          <w:rFonts w:ascii="Palatino Linotype" w:hAnsi="Palatino Linotype" w:cstheme="minorHAnsi"/>
          <w:sz w:val="24"/>
          <w:szCs w:val="24"/>
        </w:rPr>
        <w:t xml:space="preserve">. </w:t>
      </w:r>
    </w:p>
    <w:p w:rsidR="00A43214" w:rsidP="009551A2" w:rsidRDefault="000E0B14" w14:paraId="49BFF4AE"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w:t>
      </w:r>
      <w:r w:rsidRPr="00A43214" w:rsidR="00A43214">
        <w:rPr>
          <w:rFonts w:ascii="Palatino Linotype" w:hAnsi="Palatino Linotype" w:cstheme="minorHAnsi"/>
          <w:sz w:val="24"/>
          <w:szCs w:val="24"/>
        </w:rPr>
        <w:t xml:space="preserve">he Large IOUs proposed </w:t>
      </w:r>
      <w:r>
        <w:rPr>
          <w:rFonts w:ascii="Palatino Linotype" w:hAnsi="Palatino Linotype" w:cstheme="minorHAnsi"/>
          <w:sz w:val="24"/>
          <w:szCs w:val="24"/>
        </w:rPr>
        <w:t xml:space="preserve">3-step </w:t>
      </w:r>
      <w:r w:rsidRPr="00A43214" w:rsidR="00A43214">
        <w:rPr>
          <w:rFonts w:ascii="Palatino Linotype" w:hAnsi="Palatino Linotype" w:cstheme="minorHAnsi"/>
          <w:sz w:val="24"/>
          <w:szCs w:val="24"/>
        </w:rPr>
        <w:t>procedure for LGP facility curtailment</w:t>
      </w:r>
      <w:r w:rsidR="000B6353">
        <w:rPr>
          <w:rFonts w:ascii="Palatino Linotype" w:hAnsi="Palatino Linotype" w:cstheme="minorHAnsi"/>
          <w:sz w:val="24"/>
          <w:szCs w:val="24"/>
        </w:rPr>
        <w:t xml:space="preserve">, as </w:t>
      </w:r>
      <w:r w:rsidR="009551A2">
        <w:rPr>
          <w:rFonts w:ascii="Palatino Linotype" w:hAnsi="Palatino Linotype" w:cstheme="minorHAnsi"/>
          <w:sz w:val="24"/>
          <w:szCs w:val="24"/>
        </w:rPr>
        <w:t xml:space="preserve">described </w:t>
      </w:r>
      <w:r w:rsidR="000B6353">
        <w:rPr>
          <w:rFonts w:ascii="Palatino Linotype" w:hAnsi="Palatino Linotype" w:cstheme="minorHAnsi"/>
          <w:sz w:val="24"/>
          <w:szCs w:val="24"/>
        </w:rPr>
        <w:t xml:space="preserve">in Appendix </w:t>
      </w:r>
      <w:r w:rsidR="008D4829">
        <w:rPr>
          <w:rFonts w:ascii="Palatino Linotype" w:hAnsi="Palatino Linotype" w:cstheme="minorHAnsi"/>
          <w:sz w:val="24"/>
          <w:szCs w:val="24"/>
        </w:rPr>
        <w:t>C</w:t>
      </w:r>
      <w:r w:rsidR="000B6353">
        <w:rPr>
          <w:rFonts w:ascii="Palatino Linotype" w:hAnsi="Palatino Linotype" w:cstheme="minorHAnsi"/>
          <w:sz w:val="24"/>
          <w:szCs w:val="24"/>
        </w:rPr>
        <w:t>, is inconsistent with our findings on cost responsibility.</w:t>
      </w:r>
      <w:r w:rsidR="007F593A">
        <w:rPr>
          <w:rFonts w:ascii="Palatino Linotype" w:hAnsi="Palatino Linotype" w:cstheme="minorHAnsi"/>
          <w:sz w:val="24"/>
          <w:szCs w:val="24"/>
        </w:rPr>
        <w:t xml:space="preserve"> It is reasonable to require that this language be made consistent</w:t>
      </w:r>
      <w:r w:rsidR="009551A2">
        <w:rPr>
          <w:rFonts w:ascii="Palatino Linotype" w:hAnsi="Palatino Linotype" w:cstheme="minorHAnsi"/>
          <w:sz w:val="24"/>
          <w:szCs w:val="24"/>
        </w:rPr>
        <w:t xml:space="preserve"> with </w:t>
      </w:r>
      <w:r w:rsidR="00BD412D">
        <w:rPr>
          <w:rFonts w:ascii="Palatino Linotype" w:hAnsi="Palatino Linotype" w:cstheme="minorHAnsi"/>
          <w:sz w:val="24"/>
          <w:szCs w:val="24"/>
        </w:rPr>
        <w:t>our findings</w:t>
      </w:r>
      <w:r w:rsidR="007F593A">
        <w:rPr>
          <w:rFonts w:ascii="Palatino Linotype" w:hAnsi="Palatino Linotype" w:cstheme="minorHAnsi"/>
          <w:sz w:val="24"/>
          <w:szCs w:val="24"/>
        </w:rPr>
        <w:t>.</w:t>
      </w:r>
    </w:p>
    <w:p w:rsidR="00A43214" w:rsidP="009551A2" w:rsidRDefault="00A92295" w14:paraId="641A8669"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w:t>
      </w:r>
      <w:r w:rsidRPr="00A43214">
        <w:rPr>
          <w:rFonts w:ascii="Palatino Linotype" w:hAnsi="Palatino Linotype" w:cstheme="minorHAnsi"/>
          <w:sz w:val="24"/>
          <w:szCs w:val="24"/>
        </w:rPr>
        <w:t>o inform future refinements to the LGP option</w:t>
      </w:r>
      <w:r>
        <w:rPr>
          <w:rFonts w:ascii="Palatino Linotype" w:hAnsi="Palatino Linotype" w:cstheme="minorHAnsi"/>
          <w:sz w:val="24"/>
          <w:szCs w:val="24"/>
        </w:rPr>
        <w:t>, it</w:t>
      </w:r>
      <w:r w:rsidRPr="00A43214" w:rsidR="00A43214">
        <w:rPr>
          <w:rFonts w:ascii="Palatino Linotype" w:hAnsi="Palatino Linotype" w:cstheme="minorHAnsi"/>
          <w:sz w:val="24"/>
          <w:szCs w:val="24"/>
        </w:rPr>
        <w:t xml:space="preserve"> is reasonable to </w:t>
      </w:r>
      <w:r w:rsidR="007F593A">
        <w:rPr>
          <w:rFonts w:ascii="Palatino Linotype" w:hAnsi="Palatino Linotype" w:cstheme="minorHAnsi"/>
          <w:sz w:val="24"/>
          <w:szCs w:val="24"/>
        </w:rPr>
        <w:t xml:space="preserve">require </w:t>
      </w:r>
      <w:r w:rsidR="00CD0159">
        <w:rPr>
          <w:rFonts w:ascii="Palatino Linotype" w:hAnsi="Palatino Linotype" w:cstheme="minorHAnsi"/>
          <w:sz w:val="24"/>
          <w:szCs w:val="24"/>
        </w:rPr>
        <w:t xml:space="preserve">some level of </w:t>
      </w:r>
      <w:r w:rsidRPr="00A43214" w:rsidR="00A43214">
        <w:rPr>
          <w:rFonts w:ascii="Palatino Linotype" w:hAnsi="Palatino Linotype" w:cstheme="minorHAnsi"/>
          <w:sz w:val="24"/>
          <w:szCs w:val="24"/>
        </w:rPr>
        <w:t xml:space="preserve">data monitoring and reporting requirements, to apply only to each LGP interconnection customer whose LGP values have been curtailed due to </w:t>
      </w:r>
      <w:r w:rsidR="00CD0159">
        <w:rPr>
          <w:rFonts w:ascii="Palatino Linotype" w:hAnsi="Palatino Linotype" w:cstheme="minorHAnsi"/>
          <w:sz w:val="24"/>
          <w:szCs w:val="24"/>
        </w:rPr>
        <w:t xml:space="preserve">the LGP-specific circumstance of </w:t>
      </w:r>
      <w:r w:rsidR="00957B8E">
        <w:rPr>
          <w:rFonts w:ascii="Palatino Linotype" w:hAnsi="Palatino Linotype" w:cstheme="minorHAnsi"/>
          <w:sz w:val="24"/>
          <w:szCs w:val="24"/>
        </w:rPr>
        <w:t>S</w:t>
      </w:r>
      <w:r w:rsidRPr="00A43214" w:rsidR="00A43214">
        <w:rPr>
          <w:rFonts w:ascii="Palatino Linotype" w:hAnsi="Palatino Linotype" w:cstheme="minorHAnsi"/>
          <w:sz w:val="24"/>
          <w:szCs w:val="24"/>
        </w:rPr>
        <w:t xml:space="preserve">ustained </w:t>
      </w:r>
      <w:r w:rsidR="00957B8E">
        <w:rPr>
          <w:rFonts w:ascii="Palatino Linotype" w:hAnsi="Palatino Linotype" w:cstheme="minorHAnsi"/>
          <w:sz w:val="24"/>
          <w:szCs w:val="24"/>
        </w:rPr>
        <w:t>L</w:t>
      </w:r>
      <w:r w:rsidRPr="00A43214" w:rsidR="00A43214">
        <w:rPr>
          <w:rFonts w:ascii="Palatino Linotype" w:hAnsi="Palatino Linotype" w:cstheme="minorHAnsi"/>
          <w:sz w:val="24"/>
          <w:szCs w:val="24"/>
        </w:rPr>
        <w:t xml:space="preserve">oad </w:t>
      </w:r>
      <w:r w:rsidR="00957B8E">
        <w:rPr>
          <w:rFonts w:ascii="Palatino Linotype" w:hAnsi="Palatino Linotype" w:cstheme="minorHAnsi"/>
          <w:sz w:val="24"/>
          <w:szCs w:val="24"/>
        </w:rPr>
        <w:t>R</w:t>
      </w:r>
      <w:r w:rsidRPr="00A43214" w:rsidR="00A43214">
        <w:rPr>
          <w:rFonts w:ascii="Palatino Linotype" w:hAnsi="Palatino Linotype" w:cstheme="minorHAnsi"/>
          <w:sz w:val="24"/>
          <w:szCs w:val="24"/>
        </w:rPr>
        <w:t xml:space="preserve">eductions on </w:t>
      </w:r>
      <w:r w:rsidR="00552651">
        <w:rPr>
          <w:rFonts w:ascii="Palatino Linotype" w:hAnsi="Palatino Linotype" w:cstheme="minorHAnsi"/>
          <w:sz w:val="24"/>
          <w:szCs w:val="24"/>
        </w:rPr>
        <w:t>a</w:t>
      </w:r>
      <w:r w:rsidRPr="00A43214" w:rsidR="00A43214">
        <w:rPr>
          <w:rFonts w:ascii="Palatino Linotype" w:hAnsi="Palatino Linotype" w:cstheme="minorHAnsi"/>
          <w:sz w:val="24"/>
          <w:szCs w:val="24"/>
        </w:rPr>
        <w:t xml:space="preserve"> circuit.  </w:t>
      </w:r>
      <w:r w:rsidR="00552651">
        <w:rPr>
          <w:rFonts w:ascii="Palatino Linotype" w:hAnsi="Palatino Linotype" w:cstheme="minorHAnsi"/>
          <w:sz w:val="24"/>
          <w:szCs w:val="24"/>
        </w:rPr>
        <w:t>It is reasonable that t</w:t>
      </w:r>
      <w:r w:rsidRPr="00A43214" w:rsidR="00A43214">
        <w:rPr>
          <w:rFonts w:ascii="Palatino Linotype" w:hAnsi="Palatino Linotype" w:cstheme="minorHAnsi"/>
          <w:sz w:val="24"/>
          <w:szCs w:val="24"/>
        </w:rPr>
        <w:t>hese requirements apply to any such curtailment at any time after the Interconnection Agreement has been signed, regardless of how long the curtailment lasted and whether or not the curtailment remains in effect.</w:t>
      </w:r>
    </w:p>
    <w:p w:rsidR="00A43214" w:rsidP="009551A2" w:rsidRDefault="00A43214" w14:paraId="68A343C2"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Disparate treatment of LGP facilities is not “discriminatory” under Rule 21.</w:t>
      </w:r>
    </w:p>
    <w:p w:rsidR="00A43214" w:rsidP="009551A2" w:rsidRDefault="00FC51B3" w14:paraId="5A6B4C9B"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The</w:t>
      </w:r>
      <w:r w:rsidR="00E27510">
        <w:rPr>
          <w:rFonts w:ascii="Palatino Linotype" w:hAnsi="Palatino Linotype" w:cstheme="minorHAnsi"/>
          <w:sz w:val="24"/>
          <w:szCs w:val="24"/>
        </w:rPr>
        <w:t xml:space="preserve">re </w:t>
      </w:r>
      <w:r>
        <w:rPr>
          <w:rFonts w:ascii="Palatino Linotype" w:hAnsi="Palatino Linotype" w:cstheme="minorHAnsi"/>
          <w:sz w:val="24"/>
          <w:szCs w:val="24"/>
        </w:rPr>
        <w:t>is agreement on t</w:t>
      </w:r>
      <w:r w:rsidRPr="00A43214" w:rsidR="00A43214">
        <w:rPr>
          <w:rFonts w:ascii="Palatino Linotype" w:hAnsi="Palatino Linotype" w:cstheme="minorHAnsi"/>
          <w:sz w:val="24"/>
          <w:szCs w:val="24"/>
        </w:rPr>
        <w:t>he Large IOUs language</w:t>
      </w:r>
      <w:r w:rsidR="00BF0445">
        <w:rPr>
          <w:rFonts w:ascii="Palatino Linotype" w:hAnsi="Palatino Linotype" w:cstheme="minorHAnsi"/>
          <w:sz w:val="24"/>
          <w:szCs w:val="24"/>
        </w:rPr>
        <w:t xml:space="preserve"> </w:t>
      </w:r>
      <w:r w:rsidRPr="00A43214" w:rsidR="00A43214">
        <w:rPr>
          <w:rFonts w:ascii="Palatino Linotype" w:hAnsi="Palatino Linotype" w:cstheme="minorHAnsi"/>
          <w:sz w:val="24"/>
          <w:szCs w:val="24"/>
        </w:rPr>
        <w:t xml:space="preserve">for Rule 21 Tariff language in Section J.5, as </w:t>
      </w:r>
      <w:r w:rsidR="009551A2">
        <w:rPr>
          <w:rFonts w:ascii="Palatino Linotype" w:hAnsi="Palatino Linotype" w:cstheme="minorHAnsi"/>
          <w:sz w:val="24"/>
          <w:szCs w:val="24"/>
        </w:rPr>
        <w:t>described</w:t>
      </w:r>
      <w:r w:rsidRPr="00A43214" w:rsidR="009551A2">
        <w:rPr>
          <w:rFonts w:ascii="Palatino Linotype" w:hAnsi="Palatino Linotype" w:cstheme="minorHAnsi"/>
          <w:sz w:val="24"/>
          <w:szCs w:val="24"/>
        </w:rPr>
        <w:t xml:space="preserve"> </w:t>
      </w:r>
      <w:r w:rsidRPr="00A43214" w:rsidR="00A43214">
        <w:rPr>
          <w:rFonts w:ascii="Palatino Linotype" w:hAnsi="Palatino Linotype" w:cstheme="minorHAnsi"/>
          <w:sz w:val="24"/>
          <w:szCs w:val="24"/>
        </w:rPr>
        <w:t xml:space="preserve">in Appendix </w:t>
      </w:r>
      <w:r w:rsidR="008B3364">
        <w:rPr>
          <w:rFonts w:ascii="Palatino Linotype" w:hAnsi="Palatino Linotype" w:cstheme="minorHAnsi"/>
          <w:sz w:val="24"/>
          <w:szCs w:val="24"/>
        </w:rPr>
        <w:t>B</w:t>
      </w:r>
      <w:r w:rsidRPr="00A43214" w:rsidR="00A43214">
        <w:rPr>
          <w:rFonts w:ascii="Palatino Linotype" w:hAnsi="Palatino Linotype" w:cstheme="minorHAnsi"/>
          <w:sz w:val="24"/>
          <w:szCs w:val="24"/>
        </w:rPr>
        <w:t>.</w:t>
      </w:r>
    </w:p>
    <w:p w:rsidR="00A43214" w:rsidP="009551A2" w:rsidRDefault="00FC51B3" w14:paraId="6166BC0F"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The</w:t>
      </w:r>
      <w:r w:rsidR="00E27510">
        <w:rPr>
          <w:rFonts w:ascii="Palatino Linotype" w:hAnsi="Palatino Linotype" w:cstheme="minorHAnsi"/>
          <w:sz w:val="24"/>
          <w:szCs w:val="24"/>
        </w:rPr>
        <w:t xml:space="preserve">re </w:t>
      </w:r>
      <w:r>
        <w:rPr>
          <w:rFonts w:ascii="Palatino Linotype" w:hAnsi="Palatino Linotype" w:cstheme="minorHAnsi"/>
          <w:sz w:val="24"/>
          <w:szCs w:val="24"/>
        </w:rPr>
        <w:t>is agreement on t</w:t>
      </w:r>
      <w:r w:rsidRPr="00A43214" w:rsidR="00A43214">
        <w:rPr>
          <w:rFonts w:ascii="Palatino Linotype" w:hAnsi="Palatino Linotype" w:cstheme="minorHAnsi"/>
          <w:sz w:val="24"/>
          <w:szCs w:val="24"/>
        </w:rPr>
        <w:t xml:space="preserve">he following use of Gross Nameplate Rating in Rule 21 Initial Review screens:  Screens F, F1, G, and H:  Gross Nameplate Rating will be </w:t>
      </w:r>
      <w:r w:rsidRPr="00A43214" w:rsidR="00A43214">
        <w:rPr>
          <w:rFonts w:ascii="Palatino Linotype" w:hAnsi="Palatino Linotype" w:cstheme="minorHAnsi"/>
          <w:sz w:val="24"/>
          <w:szCs w:val="24"/>
        </w:rPr>
        <w:lastRenderedPageBreak/>
        <w:t>used; Screen P:  Gross Nameplate Rating will be used solely for aspects involving fault current calculations</w:t>
      </w:r>
      <w:r w:rsidR="00793382">
        <w:rPr>
          <w:rFonts w:ascii="Palatino Linotype" w:hAnsi="Palatino Linotype" w:cstheme="minorHAnsi"/>
          <w:sz w:val="24"/>
          <w:szCs w:val="24"/>
        </w:rPr>
        <w:t xml:space="preserve"> (</w:t>
      </w:r>
      <w:r w:rsidR="00D85907">
        <w:rPr>
          <w:rFonts w:ascii="Palatino Linotype" w:hAnsi="Palatino Linotype" w:cstheme="minorHAnsi"/>
          <w:sz w:val="24"/>
          <w:szCs w:val="24"/>
        </w:rPr>
        <w:t xml:space="preserve">and </w:t>
      </w:r>
      <w:r w:rsidR="00793382">
        <w:rPr>
          <w:rFonts w:ascii="Palatino Linotype" w:hAnsi="Palatino Linotype" w:cstheme="minorHAnsi"/>
          <w:sz w:val="24"/>
          <w:szCs w:val="24"/>
        </w:rPr>
        <w:t xml:space="preserve">noting </w:t>
      </w:r>
      <w:r w:rsidRPr="003B59FD" w:rsidR="00793382">
        <w:rPr>
          <w:rFonts w:ascii="Palatino Linotype" w:hAnsi="Palatino Linotype"/>
          <w:sz w:val="24"/>
          <w:szCs w:val="24"/>
        </w:rPr>
        <w:t>the Large IOUs justified use of Gross Nameplate Rating for aspects involving fault current calculation to ensure safety and reliability</w:t>
      </w:r>
      <w:r w:rsidR="00D85907">
        <w:rPr>
          <w:rFonts w:ascii="Palatino Linotype" w:hAnsi="Palatino Linotype"/>
          <w:sz w:val="24"/>
          <w:szCs w:val="24"/>
        </w:rPr>
        <w:t>)</w:t>
      </w:r>
      <w:r w:rsidRPr="00A43214" w:rsidR="00A43214">
        <w:rPr>
          <w:rFonts w:ascii="Palatino Linotype" w:hAnsi="Palatino Linotype" w:cstheme="minorHAnsi"/>
          <w:sz w:val="24"/>
          <w:szCs w:val="24"/>
        </w:rPr>
        <w:t>; Screens D, J, K, M, N, and O:  Gross Nameplate Rating will not be used.</w:t>
      </w:r>
    </w:p>
    <w:p w:rsidR="00A43214" w:rsidP="009551A2" w:rsidRDefault="008B3364" w14:paraId="3D497EE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 xml:space="preserve">Supplemental Review of LGP projects </w:t>
      </w:r>
      <w:r w:rsidRPr="00A43214" w:rsidR="00A43214">
        <w:rPr>
          <w:rFonts w:ascii="Palatino Linotype" w:hAnsi="Palatino Linotype" w:cstheme="minorHAnsi"/>
          <w:sz w:val="24"/>
          <w:szCs w:val="24"/>
        </w:rPr>
        <w:t xml:space="preserve">with LGP values exceeding 90% ICA-SG values </w:t>
      </w:r>
      <w:r>
        <w:rPr>
          <w:rFonts w:ascii="Palatino Linotype" w:hAnsi="Palatino Linotype" w:cstheme="minorHAnsi"/>
          <w:sz w:val="24"/>
          <w:szCs w:val="24"/>
        </w:rPr>
        <w:t>is burdensome and unreasonable for the Large IOUs</w:t>
      </w:r>
      <w:r w:rsidR="00EB42C7">
        <w:rPr>
          <w:rFonts w:ascii="Palatino Linotype" w:hAnsi="Palatino Linotype" w:cstheme="minorHAnsi"/>
          <w:sz w:val="24"/>
          <w:szCs w:val="24"/>
        </w:rPr>
        <w:t xml:space="preserve">. It </w:t>
      </w:r>
      <w:r>
        <w:rPr>
          <w:rFonts w:ascii="Palatino Linotype" w:hAnsi="Palatino Linotype" w:cstheme="minorHAnsi"/>
          <w:sz w:val="24"/>
          <w:szCs w:val="24"/>
        </w:rPr>
        <w:t>is prudent that such projects b</w:t>
      </w:r>
      <w:r w:rsidRPr="00A43214" w:rsidR="00A43214">
        <w:rPr>
          <w:rFonts w:ascii="Palatino Linotype" w:hAnsi="Palatino Linotype" w:cstheme="minorHAnsi"/>
          <w:sz w:val="24"/>
          <w:szCs w:val="24"/>
        </w:rPr>
        <w:t>e studied using Gross Nameplate Rating</w:t>
      </w:r>
      <w:r>
        <w:rPr>
          <w:rFonts w:ascii="Palatino Linotype" w:hAnsi="Palatino Linotype" w:cstheme="minorHAnsi"/>
          <w:sz w:val="24"/>
          <w:szCs w:val="24"/>
        </w:rPr>
        <w:t xml:space="preserve"> in Supplemental Review</w:t>
      </w:r>
      <w:r w:rsidRPr="00A43214" w:rsidR="00A43214">
        <w:rPr>
          <w:rFonts w:ascii="Palatino Linotype" w:hAnsi="Palatino Linotype" w:cstheme="minorHAnsi"/>
          <w:sz w:val="24"/>
          <w:szCs w:val="24"/>
        </w:rPr>
        <w:t>.</w:t>
      </w:r>
    </w:p>
    <w:p w:rsidR="00A43214" w:rsidP="009551A2" w:rsidRDefault="007F593A" w14:paraId="4796AD53"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 xml:space="preserve">It is reasonable to adopt the </w:t>
      </w:r>
      <w:r w:rsidR="00842672">
        <w:rPr>
          <w:rFonts w:ascii="Palatino Linotype" w:hAnsi="Palatino Linotype" w:cstheme="minorHAnsi"/>
          <w:sz w:val="24"/>
          <w:szCs w:val="24"/>
        </w:rPr>
        <w:t>R</w:t>
      </w:r>
      <w:r w:rsidRPr="00A43214" w:rsidR="00A43214">
        <w:rPr>
          <w:rFonts w:ascii="Palatino Linotype" w:hAnsi="Palatino Linotype" w:cstheme="minorHAnsi"/>
          <w:sz w:val="24"/>
          <w:szCs w:val="24"/>
        </w:rPr>
        <w:t xml:space="preserve">ule 21 Tariff language </w:t>
      </w:r>
      <w:r>
        <w:rPr>
          <w:rFonts w:ascii="Palatino Linotype" w:hAnsi="Palatino Linotype" w:cstheme="minorHAnsi"/>
          <w:sz w:val="24"/>
          <w:szCs w:val="24"/>
        </w:rPr>
        <w:t xml:space="preserve">in Appendix B </w:t>
      </w:r>
      <w:r w:rsidRPr="00A43214" w:rsidR="00A43214">
        <w:rPr>
          <w:rFonts w:ascii="Palatino Linotype" w:hAnsi="Palatino Linotype" w:cstheme="minorHAnsi"/>
          <w:sz w:val="24"/>
          <w:szCs w:val="24"/>
        </w:rPr>
        <w:t xml:space="preserve">for </w:t>
      </w:r>
      <w:r>
        <w:rPr>
          <w:rFonts w:ascii="Palatino Linotype" w:hAnsi="Palatino Linotype" w:cstheme="minorHAnsi"/>
          <w:sz w:val="24"/>
          <w:szCs w:val="24"/>
        </w:rPr>
        <w:t xml:space="preserve">a </w:t>
      </w:r>
      <w:r w:rsidR="00842672">
        <w:rPr>
          <w:rFonts w:ascii="Palatino Linotype" w:hAnsi="Palatino Linotype" w:cstheme="minorHAnsi"/>
          <w:sz w:val="24"/>
          <w:szCs w:val="24"/>
        </w:rPr>
        <w:t xml:space="preserve">new </w:t>
      </w:r>
      <w:r w:rsidRPr="00A43214" w:rsidR="00A43214">
        <w:rPr>
          <w:rFonts w:ascii="Palatino Linotype" w:hAnsi="Palatino Linotype" w:cstheme="minorHAnsi"/>
          <w:sz w:val="24"/>
          <w:szCs w:val="24"/>
        </w:rPr>
        <w:t>Section Mm5 – Option 12</w:t>
      </w:r>
      <w:r>
        <w:rPr>
          <w:rFonts w:ascii="Palatino Linotype" w:hAnsi="Palatino Linotype" w:cstheme="minorHAnsi"/>
          <w:sz w:val="24"/>
          <w:szCs w:val="24"/>
        </w:rPr>
        <w:t xml:space="preserve">. However, </w:t>
      </w:r>
      <w:r w:rsidR="002308AB">
        <w:rPr>
          <w:rFonts w:ascii="Palatino Linotype" w:hAnsi="Palatino Linotype" w:cstheme="minorHAnsi"/>
          <w:sz w:val="24"/>
          <w:szCs w:val="24"/>
        </w:rPr>
        <w:t>the language m</w:t>
      </w:r>
      <w:r w:rsidR="00842672">
        <w:rPr>
          <w:rFonts w:ascii="Palatino Linotype" w:hAnsi="Palatino Linotype" w:cstheme="minorHAnsi"/>
          <w:sz w:val="24"/>
          <w:szCs w:val="24"/>
        </w:rPr>
        <w:t xml:space="preserve">ay need to be modified once </w:t>
      </w:r>
      <w:r w:rsidR="00424974">
        <w:rPr>
          <w:rFonts w:ascii="Palatino Linotype" w:hAnsi="Palatino Linotype" w:cstheme="minorHAnsi"/>
          <w:sz w:val="24"/>
          <w:szCs w:val="24"/>
        </w:rPr>
        <w:t xml:space="preserve">a standard for </w:t>
      </w:r>
      <w:r w:rsidRPr="00A43214" w:rsidR="00A43214">
        <w:rPr>
          <w:rFonts w:ascii="Palatino Linotype" w:hAnsi="Palatino Linotype" w:cstheme="minorHAnsi"/>
          <w:sz w:val="24"/>
          <w:szCs w:val="24"/>
        </w:rPr>
        <w:t xml:space="preserve">PCS </w:t>
      </w:r>
      <w:r w:rsidR="00424974">
        <w:rPr>
          <w:rFonts w:ascii="Palatino Linotype" w:hAnsi="Palatino Linotype" w:cstheme="minorHAnsi"/>
          <w:sz w:val="24"/>
          <w:szCs w:val="24"/>
        </w:rPr>
        <w:t xml:space="preserve">with integrated schedule </w:t>
      </w:r>
      <w:r w:rsidRPr="00A43214" w:rsidR="00A43214">
        <w:rPr>
          <w:rFonts w:ascii="Palatino Linotype" w:hAnsi="Palatino Linotype" w:cstheme="minorHAnsi"/>
          <w:sz w:val="24"/>
          <w:szCs w:val="24"/>
        </w:rPr>
        <w:t>ha</w:t>
      </w:r>
      <w:r w:rsidR="00424974">
        <w:rPr>
          <w:rFonts w:ascii="Palatino Linotype" w:hAnsi="Palatino Linotype" w:cstheme="minorHAnsi"/>
          <w:sz w:val="24"/>
          <w:szCs w:val="24"/>
        </w:rPr>
        <w:t>s</w:t>
      </w:r>
      <w:r w:rsidRPr="00A43214" w:rsidR="00A43214">
        <w:rPr>
          <w:rFonts w:ascii="Palatino Linotype" w:hAnsi="Palatino Linotype" w:cstheme="minorHAnsi"/>
          <w:sz w:val="24"/>
          <w:szCs w:val="24"/>
        </w:rPr>
        <w:t xml:space="preserve"> been incorporated into UL </w:t>
      </w:r>
      <w:r w:rsidR="00424974">
        <w:rPr>
          <w:rFonts w:ascii="Palatino Linotype" w:hAnsi="Palatino Linotype" w:cstheme="minorHAnsi"/>
          <w:sz w:val="24"/>
          <w:szCs w:val="24"/>
        </w:rPr>
        <w:t>3141</w:t>
      </w:r>
      <w:r w:rsidRPr="00A43214" w:rsidR="00A43214">
        <w:rPr>
          <w:rFonts w:ascii="Palatino Linotype" w:hAnsi="Palatino Linotype" w:cstheme="minorHAnsi"/>
          <w:sz w:val="24"/>
          <w:szCs w:val="24"/>
        </w:rPr>
        <w:t xml:space="preserve"> revisions</w:t>
      </w:r>
      <w:r w:rsidR="00842672">
        <w:rPr>
          <w:rFonts w:ascii="Palatino Linotype" w:hAnsi="Palatino Linotype" w:cstheme="minorHAnsi"/>
          <w:sz w:val="24"/>
          <w:szCs w:val="24"/>
        </w:rPr>
        <w:t>.</w:t>
      </w:r>
    </w:p>
    <w:p w:rsidR="00A43214" w:rsidP="009551A2" w:rsidRDefault="00A43214" w14:paraId="7A842C94"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It is premature to add an Mm6 Option 13 to the Rule 21 Tariff for relay with automation controller</w:t>
      </w:r>
      <w:r w:rsidR="00C50621">
        <w:rPr>
          <w:rFonts w:ascii="Palatino Linotype" w:hAnsi="Palatino Linotype" w:cstheme="minorHAnsi"/>
          <w:sz w:val="24"/>
          <w:szCs w:val="24"/>
        </w:rPr>
        <w:t xml:space="preserve"> because of the lack of industry experience and testing requirements</w:t>
      </w:r>
      <w:r w:rsidRPr="00A43214">
        <w:rPr>
          <w:rFonts w:ascii="Palatino Linotype" w:hAnsi="Palatino Linotype" w:cstheme="minorHAnsi"/>
          <w:sz w:val="24"/>
          <w:szCs w:val="24"/>
        </w:rPr>
        <w:t xml:space="preserve">. This option is available by mutual agreement </w:t>
      </w:r>
      <w:r w:rsidR="00EB42C7">
        <w:rPr>
          <w:rFonts w:ascii="Palatino Linotype" w:hAnsi="Palatino Linotype" w:cstheme="minorHAnsi"/>
          <w:sz w:val="24"/>
          <w:szCs w:val="24"/>
        </w:rPr>
        <w:t xml:space="preserve">with </w:t>
      </w:r>
      <w:r w:rsidR="009551A2">
        <w:rPr>
          <w:rFonts w:ascii="Palatino Linotype" w:hAnsi="Palatino Linotype" w:cstheme="minorHAnsi"/>
          <w:sz w:val="24"/>
          <w:szCs w:val="24"/>
        </w:rPr>
        <w:t xml:space="preserve">the </w:t>
      </w:r>
      <w:r w:rsidRPr="00A43214">
        <w:rPr>
          <w:rFonts w:ascii="Palatino Linotype" w:hAnsi="Palatino Linotype" w:cstheme="minorHAnsi"/>
          <w:sz w:val="24"/>
          <w:szCs w:val="24"/>
        </w:rPr>
        <w:t>utility.</w:t>
      </w:r>
    </w:p>
    <w:p w:rsidR="00A43214" w:rsidP="009551A2" w:rsidRDefault="00A43214" w14:paraId="3BAF2B64"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The timelines for updating the Rule 21 Tariff and implementing the LGP option, per OP 15 and OP 51 of D.20-09-035</w:t>
      </w:r>
      <w:r w:rsidR="00ED5C25">
        <w:rPr>
          <w:rFonts w:ascii="Palatino Linotype" w:hAnsi="Palatino Linotype" w:cstheme="minorHAnsi"/>
          <w:sz w:val="24"/>
          <w:szCs w:val="24"/>
        </w:rPr>
        <w:t>,</w:t>
      </w:r>
      <w:r w:rsidRPr="00A43214">
        <w:rPr>
          <w:rFonts w:ascii="Palatino Linotype" w:hAnsi="Palatino Linotype" w:cstheme="minorHAnsi"/>
          <w:sz w:val="24"/>
          <w:szCs w:val="24"/>
        </w:rPr>
        <w:t xml:space="preserve"> have been aligned by mutual agreement. </w:t>
      </w:r>
    </w:p>
    <w:p w:rsidR="00A43214" w:rsidP="009551A2" w:rsidRDefault="00A43214" w14:paraId="4A207E75"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color w:val="000000" w:themeColor="text1"/>
          <w:sz w:val="24"/>
          <w:szCs w:val="24"/>
        </w:rPr>
        <w:t xml:space="preserve">It would be burdensome to continuously update Rule 21 with </w:t>
      </w:r>
      <w:r w:rsidR="00250A93">
        <w:rPr>
          <w:rFonts w:ascii="Palatino Linotype" w:hAnsi="Palatino Linotype" w:cstheme="minorHAnsi"/>
          <w:color w:val="000000" w:themeColor="text1"/>
          <w:sz w:val="24"/>
          <w:szCs w:val="24"/>
        </w:rPr>
        <w:t xml:space="preserve">LGP </w:t>
      </w:r>
      <w:r w:rsidRPr="00A43214">
        <w:rPr>
          <w:rFonts w:ascii="Palatino Linotype" w:hAnsi="Palatino Linotype" w:cstheme="minorHAnsi"/>
          <w:color w:val="000000" w:themeColor="text1"/>
          <w:sz w:val="24"/>
          <w:szCs w:val="24"/>
        </w:rPr>
        <w:t>technical requirements</w:t>
      </w:r>
      <w:r w:rsidR="000874B8">
        <w:rPr>
          <w:rFonts w:ascii="Palatino Linotype" w:hAnsi="Palatino Linotype" w:cstheme="minorHAnsi"/>
          <w:color w:val="000000" w:themeColor="text1"/>
          <w:sz w:val="24"/>
          <w:szCs w:val="24"/>
        </w:rPr>
        <w:t xml:space="preserve">; it is reasonable </w:t>
      </w:r>
      <w:r w:rsidR="007F593A">
        <w:rPr>
          <w:rFonts w:ascii="Palatino Linotype" w:hAnsi="Palatino Linotype" w:cstheme="minorHAnsi"/>
          <w:color w:val="000000" w:themeColor="text1"/>
          <w:sz w:val="24"/>
          <w:szCs w:val="24"/>
        </w:rPr>
        <w:t xml:space="preserve">to allow </w:t>
      </w:r>
      <w:r w:rsidR="000874B8">
        <w:rPr>
          <w:rFonts w:ascii="Palatino Linotype" w:hAnsi="Palatino Linotype" w:cstheme="minorHAnsi"/>
          <w:color w:val="000000" w:themeColor="text1"/>
          <w:sz w:val="24"/>
          <w:szCs w:val="24"/>
        </w:rPr>
        <w:t>technical re</w:t>
      </w:r>
      <w:r w:rsidRPr="00A43214">
        <w:rPr>
          <w:rFonts w:ascii="Palatino Linotype" w:hAnsi="Palatino Linotype" w:cstheme="minorHAnsi"/>
          <w:color w:val="000000" w:themeColor="text1"/>
          <w:sz w:val="24"/>
          <w:szCs w:val="24"/>
        </w:rPr>
        <w:t xml:space="preserve">quirements </w:t>
      </w:r>
      <w:r w:rsidR="000874B8">
        <w:rPr>
          <w:rFonts w:ascii="Palatino Linotype" w:hAnsi="Palatino Linotype" w:cstheme="minorHAnsi"/>
          <w:color w:val="000000" w:themeColor="text1"/>
          <w:sz w:val="24"/>
          <w:szCs w:val="24"/>
        </w:rPr>
        <w:t>to be pu</w:t>
      </w:r>
      <w:r w:rsidRPr="00A43214">
        <w:rPr>
          <w:rFonts w:ascii="Palatino Linotype" w:hAnsi="Palatino Linotype" w:cstheme="minorHAnsi"/>
          <w:color w:val="000000" w:themeColor="text1"/>
          <w:sz w:val="24"/>
          <w:szCs w:val="24"/>
        </w:rPr>
        <w:t>blished on Large IOUs</w:t>
      </w:r>
      <w:r w:rsidR="000874B8">
        <w:rPr>
          <w:rFonts w:ascii="Palatino Linotype" w:hAnsi="Palatino Linotype" w:cstheme="minorHAnsi"/>
          <w:color w:val="000000" w:themeColor="text1"/>
          <w:sz w:val="24"/>
          <w:szCs w:val="24"/>
        </w:rPr>
        <w:t>’</w:t>
      </w:r>
      <w:r w:rsidRPr="00A43214">
        <w:rPr>
          <w:rFonts w:ascii="Palatino Linotype" w:hAnsi="Palatino Linotype" w:cstheme="minorHAnsi"/>
          <w:color w:val="000000" w:themeColor="text1"/>
          <w:sz w:val="24"/>
          <w:szCs w:val="24"/>
        </w:rPr>
        <w:t xml:space="preserve"> interconnection web site</w:t>
      </w:r>
      <w:r w:rsidR="000874B8">
        <w:rPr>
          <w:rFonts w:ascii="Palatino Linotype" w:hAnsi="Palatino Linotype" w:cstheme="minorHAnsi"/>
          <w:color w:val="000000" w:themeColor="text1"/>
          <w:sz w:val="24"/>
          <w:szCs w:val="24"/>
        </w:rPr>
        <w:t>s</w:t>
      </w:r>
      <w:r w:rsidR="00250A93">
        <w:rPr>
          <w:rFonts w:ascii="Palatino Linotype" w:hAnsi="Palatino Linotype" w:cstheme="minorHAnsi"/>
          <w:color w:val="000000" w:themeColor="text1"/>
          <w:sz w:val="24"/>
          <w:szCs w:val="24"/>
        </w:rPr>
        <w:t xml:space="preserve"> </w:t>
      </w:r>
      <w:r w:rsidRPr="00A43214">
        <w:rPr>
          <w:rFonts w:ascii="Palatino Linotype" w:hAnsi="Palatino Linotype" w:cstheme="minorHAnsi"/>
          <w:color w:val="000000" w:themeColor="text1"/>
          <w:sz w:val="24"/>
          <w:szCs w:val="24"/>
        </w:rPr>
        <w:t>for developers to use as reference.</w:t>
      </w:r>
    </w:p>
    <w:p w:rsidR="00A43214" w:rsidP="009551A2" w:rsidRDefault="007F593A" w14:paraId="5BA03441"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Pr>
          <w:rFonts w:ascii="Palatino Linotype" w:hAnsi="Palatino Linotype" w:cstheme="minorHAnsi"/>
          <w:sz w:val="24"/>
          <w:szCs w:val="24"/>
        </w:rPr>
        <w:t xml:space="preserve">It is reasonable to adopt </w:t>
      </w:r>
      <w:r w:rsidR="00B85DA5">
        <w:rPr>
          <w:rFonts w:ascii="Palatino Linotype" w:hAnsi="Palatino Linotype" w:cstheme="minorHAnsi"/>
          <w:sz w:val="24"/>
          <w:szCs w:val="24"/>
        </w:rPr>
        <w:t xml:space="preserve">the </w:t>
      </w:r>
      <w:r w:rsidRPr="00A43214" w:rsidR="00A43214">
        <w:rPr>
          <w:rFonts w:ascii="Palatino Linotype" w:hAnsi="Palatino Linotype" w:cstheme="minorHAnsi"/>
          <w:sz w:val="24"/>
          <w:szCs w:val="24"/>
        </w:rPr>
        <w:t xml:space="preserve">Large IOUs LGP proposal </w:t>
      </w:r>
      <w:r w:rsidR="00884712">
        <w:rPr>
          <w:rFonts w:ascii="Palatino Linotype" w:hAnsi="Palatino Linotype" w:cstheme="minorHAnsi"/>
          <w:sz w:val="24"/>
          <w:szCs w:val="24"/>
        </w:rPr>
        <w:t xml:space="preserve">clarifying the </w:t>
      </w:r>
      <w:r w:rsidR="00B37CFE">
        <w:rPr>
          <w:rFonts w:ascii="Palatino Linotype" w:hAnsi="Palatino Linotype" w:cstheme="minorHAnsi"/>
          <w:sz w:val="24"/>
          <w:szCs w:val="24"/>
        </w:rPr>
        <w:t>five</w:t>
      </w:r>
      <w:r>
        <w:rPr>
          <w:rFonts w:ascii="Palatino Linotype" w:hAnsi="Palatino Linotype" w:cstheme="minorHAnsi"/>
          <w:sz w:val="24"/>
          <w:szCs w:val="24"/>
        </w:rPr>
        <w:t xml:space="preserve">-phase </w:t>
      </w:r>
      <w:r w:rsidR="00884712">
        <w:rPr>
          <w:rFonts w:ascii="Palatino Linotype" w:hAnsi="Palatino Linotype" w:cstheme="minorHAnsi"/>
          <w:sz w:val="24"/>
          <w:szCs w:val="24"/>
        </w:rPr>
        <w:t xml:space="preserve">interconnection process for LGP </w:t>
      </w:r>
      <w:r w:rsidR="00B87DF8">
        <w:rPr>
          <w:rFonts w:ascii="Palatino Linotype" w:hAnsi="Palatino Linotype" w:cstheme="minorHAnsi"/>
          <w:sz w:val="24"/>
          <w:szCs w:val="24"/>
        </w:rPr>
        <w:t xml:space="preserve">facilities, </w:t>
      </w:r>
      <w:r w:rsidR="00884712">
        <w:rPr>
          <w:rFonts w:ascii="Palatino Linotype" w:hAnsi="Palatino Linotype" w:cstheme="minorHAnsi"/>
          <w:sz w:val="24"/>
          <w:szCs w:val="24"/>
        </w:rPr>
        <w:t xml:space="preserve">as </w:t>
      </w:r>
      <w:r w:rsidR="009551A2">
        <w:rPr>
          <w:rFonts w:ascii="Palatino Linotype" w:hAnsi="Palatino Linotype" w:cstheme="minorHAnsi"/>
          <w:sz w:val="24"/>
          <w:szCs w:val="24"/>
        </w:rPr>
        <w:t>described</w:t>
      </w:r>
      <w:r w:rsidRPr="00A43214" w:rsidR="009551A2">
        <w:rPr>
          <w:rFonts w:ascii="Palatino Linotype" w:hAnsi="Palatino Linotype" w:cstheme="minorHAnsi"/>
          <w:sz w:val="24"/>
          <w:szCs w:val="24"/>
        </w:rPr>
        <w:t xml:space="preserve"> </w:t>
      </w:r>
      <w:r w:rsidRPr="00A43214" w:rsidR="00A43214">
        <w:rPr>
          <w:rFonts w:ascii="Palatino Linotype" w:hAnsi="Palatino Linotype" w:cstheme="minorHAnsi"/>
          <w:sz w:val="24"/>
          <w:szCs w:val="24"/>
        </w:rPr>
        <w:t xml:space="preserve">in Appendix </w:t>
      </w:r>
      <w:r w:rsidR="008D4829">
        <w:rPr>
          <w:rFonts w:ascii="Palatino Linotype" w:hAnsi="Palatino Linotype" w:cstheme="minorHAnsi"/>
          <w:sz w:val="24"/>
          <w:szCs w:val="24"/>
        </w:rPr>
        <w:t>F</w:t>
      </w:r>
      <w:r w:rsidR="00250A93">
        <w:rPr>
          <w:rFonts w:ascii="Palatino Linotype" w:hAnsi="Palatino Linotype" w:cstheme="minorHAnsi"/>
          <w:sz w:val="24"/>
          <w:szCs w:val="24"/>
        </w:rPr>
        <w:t>.</w:t>
      </w:r>
      <w:r w:rsidR="00884712">
        <w:rPr>
          <w:rFonts w:ascii="Palatino Linotype" w:hAnsi="Palatino Linotype" w:cstheme="minorHAnsi"/>
          <w:sz w:val="24"/>
          <w:szCs w:val="24"/>
        </w:rPr>
        <w:t xml:space="preserve"> </w:t>
      </w:r>
    </w:p>
    <w:p w:rsidR="00A43214" w:rsidP="009551A2" w:rsidRDefault="00A43214" w14:paraId="2C019514"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sz w:val="24"/>
          <w:szCs w:val="24"/>
        </w:rPr>
        <w:t xml:space="preserve">No options are, as yet, fully viable for utilizing current smart inverter functions in conjunction with a remote CSIP-certified gateway or CSIP-certified gateway integrated with a smart inverter. LGP implementation must await the completion of a </w:t>
      </w:r>
      <w:r w:rsidR="00397E68">
        <w:rPr>
          <w:rFonts w:ascii="Palatino Linotype" w:hAnsi="Palatino Linotype" w:cstheme="minorHAnsi"/>
          <w:sz w:val="24"/>
          <w:szCs w:val="24"/>
        </w:rPr>
        <w:t xml:space="preserve">UL certification </w:t>
      </w:r>
      <w:r w:rsidRPr="00A43214">
        <w:rPr>
          <w:rFonts w:ascii="Palatino Linotype" w:hAnsi="Palatino Linotype" w:cstheme="minorHAnsi"/>
          <w:sz w:val="24"/>
          <w:szCs w:val="24"/>
        </w:rPr>
        <w:t xml:space="preserve">standard for UL PCS with integrated schedule. </w:t>
      </w:r>
    </w:p>
    <w:p w:rsidR="00A43214" w:rsidP="009551A2" w:rsidRDefault="00A43214" w14:paraId="53C0F695"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iCs/>
          <w:sz w:val="24"/>
          <w:szCs w:val="24"/>
        </w:rPr>
      </w:pPr>
      <w:r w:rsidRPr="00A43214">
        <w:rPr>
          <w:rFonts w:ascii="Palatino Linotype" w:hAnsi="Palatino Linotype" w:cstheme="minorHAnsi"/>
          <w:iCs/>
          <w:sz w:val="24"/>
          <w:szCs w:val="24"/>
        </w:rPr>
        <w:t>It is not prudent to accept the use of an LGP configuration of more than 24 values due to the risks of higher numbers of calculated ICA-SG violations, which may in t</w:t>
      </w:r>
      <w:r w:rsidR="00DC76AB">
        <w:rPr>
          <w:rFonts w:ascii="Palatino Linotype" w:hAnsi="Palatino Linotype" w:cstheme="minorHAnsi"/>
          <w:iCs/>
          <w:sz w:val="24"/>
          <w:szCs w:val="24"/>
        </w:rPr>
        <w:t>u</w:t>
      </w:r>
      <w:r w:rsidRPr="00A43214">
        <w:rPr>
          <w:rFonts w:ascii="Palatino Linotype" w:hAnsi="Palatino Linotype" w:cstheme="minorHAnsi"/>
          <w:iCs/>
          <w:sz w:val="24"/>
          <w:szCs w:val="24"/>
        </w:rPr>
        <w:t>r</w:t>
      </w:r>
      <w:r w:rsidR="00DC76AB">
        <w:rPr>
          <w:rFonts w:ascii="Palatino Linotype" w:hAnsi="Palatino Linotype" w:cstheme="minorHAnsi"/>
          <w:iCs/>
          <w:sz w:val="24"/>
          <w:szCs w:val="24"/>
        </w:rPr>
        <w:t>n</w:t>
      </w:r>
      <w:r w:rsidRPr="00A43214">
        <w:rPr>
          <w:rFonts w:ascii="Palatino Linotype" w:hAnsi="Palatino Linotype" w:cstheme="minorHAnsi"/>
          <w:iCs/>
          <w:sz w:val="24"/>
          <w:szCs w:val="24"/>
        </w:rPr>
        <w:t xml:space="preserve"> increase the risk of </w:t>
      </w:r>
      <w:r w:rsidR="00DC76AB">
        <w:rPr>
          <w:rFonts w:ascii="Palatino Linotype" w:hAnsi="Palatino Linotype" w:cstheme="minorHAnsi"/>
          <w:iCs/>
          <w:sz w:val="24"/>
          <w:szCs w:val="24"/>
        </w:rPr>
        <w:t xml:space="preserve">physical grid impacts </w:t>
      </w:r>
      <w:r w:rsidRPr="00A43214">
        <w:rPr>
          <w:rFonts w:ascii="Palatino Linotype" w:hAnsi="Palatino Linotype" w:cstheme="minorHAnsi"/>
          <w:iCs/>
          <w:sz w:val="24"/>
          <w:szCs w:val="24"/>
        </w:rPr>
        <w:t>compromising safety and reliability.</w:t>
      </w:r>
    </w:p>
    <w:p w:rsidR="00A43214" w:rsidP="009551A2" w:rsidRDefault="00A43214" w14:paraId="2CC0958F"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iCs/>
          <w:sz w:val="24"/>
          <w:szCs w:val="24"/>
        </w:rPr>
      </w:pPr>
      <w:r w:rsidRPr="00A43214">
        <w:rPr>
          <w:rFonts w:ascii="Palatino Linotype" w:hAnsi="Palatino Linotype" w:cstheme="minorHAnsi"/>
          <w:sz w:val="24"/>
          <w:szCs w:val="24"/>
        </w:rPr>
        <w:lastRenderedPageBreak/>
        <w:t>When modeling the impact of an LGP facility with specific LGP configuration and LGP values, the lack of calculated ICA-SG criteria violations is a reasonable proxy for safety and reliability being maintained, while the reverse is not necessarily true; a calculated ICA-SG criteria violation does not necessarily mean that there are physical grid impacts that compromise safety and reliability.</w:t>
      </w:r>
    </w:p>
    <w:p w:rsidRPr="003228BE" w:rsidR="00A43214" w:rsidP="009551A2" w:rsidRDefault="00A43214" w14:paraId="73366A36"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iCs/>
          <w:sz w:val="24"/>
          <w:szCs w:val="24"/>
        </w:rPr>
      </w:pPr>
      <w:r w:rsidRPr="003228BE">
        <w:rPr>
          <w:rFonts w:ascii="Palatino Linotype" w:hAnsi="Palatino Linotype" w:cstheme="minorHAnsi"/>
          <w:iCs/>
          <w:sz w:val="24"/>
          <w:szCs w:val="24"/>
        </w:rPr>
        <w:t xml:space="preserve">Based on all the data </w:t>
      </w:r>
      <w:r w:rsidRPr="003228BE" w:rsidR="00E806AE">
        <w:rPr>
          <w:rFonts w:ascii="Palatino Linotype" w:hAnsi="Palatino Linotype" w:cstheme="minorHAnsi"/>
          <w:iCs/>
          <w:sz w:val="24"/>
          <w:szCs w:val="24"/>
        </w:rPr>
        <w:t xml:space="preserve">available </w:t>
      </w:r>
      <w:r w:rsidRPr="003228BE">
        <w:rPr>
          <w:rFonts w:ascii="Palatino Linotype" w:hAnsi="Palatino Linotype" w:cstheme="minorHAnsi"/>
          <w:iCs/>
          <w:sz w:val="24"/>
          <w:szCs w:val="24"/>
        </w:rPr>
        <w:t xml:space="preserve">and an assessment by Energy Division, it is reasonable to adopt </w:t>
      </w:r>
      <w:r w:rsidR="00627C85">
        <w:rPr>
          <w:rFonts w:ascii="Palatino Linotype" w:hAnsi="Palatino Linotype" w:cstheme="minorHAnsi"/>
          <w:iCs/>
          <w:sz w:val="24"/>
          <w:szCs w:val="24"/>
        </w:rPr>
        <w:t xml:space="preserve">one or more </w:t>
      </w:r>
      <w:r w:rsidRPr="003228BE">
        <w:rPr>
          <w:rFonts w:ascii="Palatino Linotype" w:hAnsi="Palatino Linotype" w:cstheme="minorHAnsi"/>
          <w:iCs/>
          <w:sz w:val="24"/>
          <w:szCs w:val="24"/>
        </w:rPr>
        <w:t>24-value configuration</w:t>
      </w:r>
      <w:r w:rsidR="00627C85">
        <w:rPr>
          <w:rFonts w:ascii="Palatino Linotype" w:hAnsi="Palatino Linotype" w:cstheme="minorHAnsi"/>
          <w:iCs/>
          <w:sz w:val="24"/>
          <w:szCs w:val="24"/>
        </w:rPr>
        <w:t>(s)</w:t>
      </w:r>
      <w:r w:rsidRPr="003228BE">
        <w:rPr>
          <w:rFonts w:ascii="Palatino Linotype" w:hAnsi="Palatino Linotype" w:cstheme="minorHAnsi"/>
          <w:iCs/>
          <w:sz w:val="24"/>
          <w:szCs w:val="24"/>
        </w:rPr>
        <w:t xml:space="preserve"> for the LGP option.  </w:t>
      </w:r>
    </w:p>
    <w:p w:rsidR="00A43214" w:rsidP="009551A2" w:rsidRDefault="00A43214" w14:paraId="09957C9A" w14:textId="77777777">
      <w:pPr>
        <w:pStyle w:val="ListParagraph"/>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snapToGrid w:val="0"/>
        <w:spacing w:after="200" w:line="276" w:lineRule="auto"/>
        <w:ind w:left="360"/>
        <w:rPr>
          <w:rFonts w:ascii="Palatino Linotype" w:hAnsi="Palatino Linotype" w:cstheme="minorHAnsi"/>
          <w:sz w:val="24"/>
          <w:szCs w:val="24"/>
        </w:rPr>
      </w:pPr>
      <w:r w:rsidRPr="00A43214">
        <w:rPr>
          <w:rFonts w:ascii="Palatino Linotype" w:hAnsi="Palatino Linotype" w:cstheme="minorHAnsi"/>
          <w:iCs/>
          <w:sz w:val="24"/>
          <w:szCs w:val="24"/>
        </w:rPr>
        <w:t xml:space="preserve">Based on Energy Division’s assessment, no one 24-value configuration </w:t>
      </w:r>
      <w:r w:rsidR="00627C85">
        <w:rPr>
          <w:rFonts w:ascii="Palatino Linotype" w:hAnsi="Palatino Linotype" w:cstheme="minorHAnsi"/>
          <w:iCs/>
          <w:sz w:val="24"/>
          <w:szCs w:val="24"/>
        </w:rPr>
        <w:t>of</w:t>
      </w:r>
      <w:r w:rsidRPr="00A43214">
        <w:rPr>
          <w:rFonts w:ascii="Palatino Linotype" w:hAnsi="Palatino Linotype" w:cstheme="minorHAnsi"/>
          <w:iCs/>
          <w:sz w:val="24"/>
          <w:szCs w:val="24"/>
        </w:rPr>
        <w:t xml:space="preserve"> those studied performs significantly better or significantly worse than the other</w:t>
      </w:r>
      <w:r w:rsidR="00627C85">
        <w:rPr>
          <w:rFonts w:ascii="Palatino Linotype" w:hAnsi="Palatino Linotype" w:cstheme="minorHAnsi"/>
          <w:iCs/>
          <w:sz w:val="24"/>
          <w:szCs w:val="24"/>
        </w:rPr>
        <w:t xml:space="preserve">s </w:t>
      </w:r>
      <w:r w:rsidRPr="00A43214">
        <w:rPr>
          <w:rFonts w:ascii="Palatino Linotype" w:hAnsi="Palatino Linotype" w:cstheme="minorHAnsi"/>
          <w:iCs/>
          <w:sz w:val="24"/>
          <w:szCs w:val="24"/>
        </w:rPr>
        <w:t>in relation to criteria for maximizing available hosting capacity, minimizing risk to safe</w:t>
      </w:r>
      <w:r w:rsidR="00FE6B87">
        <w:rPr>
          <w:rFonts w:ascii="Palatino Linotype" w:hAnsi="Palatino Linotype" w:cstheme="minorHAnsi"/>
          <w:iCs/>
          <w:sz w:val="24"/>
          <w:szCs w:val="24"/>
        </w:rPr>
        <w:t>ty</w:t>
      </w:r>
      <w:r w:rsidRPr="00A43214">
        <w:rPr>
          <w:rFonts w:ascii="Palatino Linotype" w:hAnsi="Palatino Linotype" w:cstheme="minorHAnsi"/>
          <w:iCs/>
          <w:sz w:val="24"/>
          <w:szCs w:val="24"/>
        </w:rPr>
        <w:t xml:space="preserve"> and reliability, low likelihood of causing upgrades, and maximizing power output and annual energy output from LGP facilities. </w:t>
      </w:r>
    </w:p>
    <w:p w:rsidR="00A43214" w:rsidP="009551A2" w:rsidRDefault="00A43214" w14:paraId="46D9D179" w14:textId="77777777">
      <w:pPr>
        <w:pStyle w:val="Body"/>
        <w:numPr>
          <w:ilvl w:val="0"/>
          <w:numId w:val="19"/>
        </w:numPr>
        <w:snapToGrid w:val="0"/>
        <w:ind w:left="360"/>
        <w:rPr>
          <w:rFonts w:ascii="Palatino Linotype" w:hAnsi="Palatino Linotype" w:cstheme="minorHAnsi"/>
          <w:iCs/>
          <w:sz w:val="24"/>
          <w:szCs w:val="24"/>
        </w:rPr>
      </w:pPr>
      <w:r w:rsidRPr="00A43214">
        <w:rPr>
          <w:rFonts w:ascii="Palatino Linotype" w:hAnsi="Palatino Linotype" w:cstheme="minorHAnsi"/>
          <w:iCs/>
          <w:sz w:val="24"/>
          <w:szCs w:val="24"/>
        </w:rPr>
        <w:t>It is reasonable to adopt three 24-value configurations</w:t>
      </w:r>
      <w:r w:rsidR="009551A2">
        <w:rPr>
          <w:rFonts w:ascii="Palatino Linotype" w:hAnsi="Palatino Linotype" w:cstheme="minorHAnsi"/>
          <w:iCs/>
          <w:sz w:val="24"/>
          <w:szCs w:val="24"/>
        </w:rPr>
        <w:t>:</w:t>
      </w:r>
      <w:r w:rsidRPr="00A43214">
        <w:rPr>
          <w:rFonts w:ascii="Palatino Linotype" w:hAnsi="Palatino Linotype" w:cstheme="minorHAnsi"/>
          <w:iCs/>
          <w:sz w:val="24"/>
          <w:szCs w:val="24"/>
        </w:rPr>
        <w:t xml:space="preserve"> 24-hourly, Block, and </w:t>
      </w:r>
      <w:r w:rsidR="00D02F1F">
        <w:rPr>
          <w:rFonts w:ascii="Palatino Linotype" w:hAnsi="Palatino Linotype" w:cstheme="minorHAnsi"/>
          <w:iCs/>
          <w:sz w:val="24"/>
          <w:szCs w:val="24"/>
        </w:rPr>
        <w:br/>
      </w:r>
      <w:r w:rsidRPr="00A43214">
        <w:rPr>
          <w:rFonts w:ascii="Palatino Linotype" w:hAnsi="Palatino Linotype" w:cstheme="minorHAnsi"/>
          <w:iCs/>
          <w:sz w:val="24"/>
          <w:szCs w:val="24"/>
        </w:rPr>
        <w:t>18-23-fixed</w:t>
      </w:r>
      <w:r w:rsidR="009551A2">
        <w:rPr>
          <w:rFonts w:ascii="Palatino Linotype" w:hAnsi="Palatino Linotype" w:cstheme="minorHAnsi"/>
          <w:iCs/>
          <w:sz w:val="24"/>
          <w:szCs w:val="24"/>
        </w:rPr>
        <w:t>;</w:t>
      </w:r>
      <w:r w:rsidRPr="00A43214">
        <w:rPr>
          <w:rFonts w:ascii="Palatino Linotype" w:hAnsi="Palatino Linotype" w:cstheme="minorHAnsi"/>
          <w:iCs/>
          <w:sz w:val="24"/>
          <w:szCs w:val="24"/>
        </w:rPr>
        <w:t xml:space="preserve"> and to </w:t>
      </w:r>
      <w:r w:rsidR="007F593A">
        <w:rPr>
          <w:rFonts w:ascii="Palatino Linotype" w:hAnsi="Palatino Linotype" w:cstheme="minorHAnsi"/>
          <w:iCs/>
          <w:sz w:val="24"/>
          <w:szCs w:val="24"/>
        </w:rPr>
        <w:t xml:space="preserve">require that </w:t>
      </w:r>
      <w:r w:rsidRPr="00A43214">
        <w:rPr>
          <w:rFonts w:ascii="Palatino Linotype" w:hAnsi="Palatino Linotype" w:cstheme="minorHAnsi"/>
          <w:iCs/>
          <w:sz w:val="24"/>
          <w:szCs w:val="24"/>
        </w:rPr>
        <w:t xml:space="preserve">customers </w:t>
      </w:r>
      <w:r w:rsidR="007F593A">
        <w:rPr>
          <w:rFonts w:ascii="Palatino Linotype" w:hAnsi="Palatino Linotype" w:cstheme="minorHAnsi"/>
          <w:iCs/>
          <w:sz w:val="24"/>
          <w:szCs w:val="24"/>
        </w:rPr>
        <w:t>have a</w:t>
      </w:r>
      <w:r w:rsidRPr="00A43214">
        <w:rPr>
          <w:rFonts w:ascii="Palatino Linotype" w:hAnsi="Palatino Linotype" w:cstheme="minorHAnsi"/>
          <w:iCs/>
          <w:sz w:val="24"/>
          <w:szCs w:val="24"/>
        </w:rPr>
        <w:t xml:space="preserve"> choice of specifying and using any one of these three 24-value configurations in an LGP interconnection application.</w:t>
      </w:r>
    </w:p>
    <w:p w:rsidRPr="00A43214" w:rsidR="00A43214" w:rsidP="009551A2" w:rsidRDefault="00A43214" w14:paraId="2D45EB45" w14:textId="77777777">
      <w:pPr>
        <w:pStyle w:val="Body"/>
        <w:numPr>
          <w:ilvl w:val="0"/>
          <w:numId w:val="19"/>
        </w:numPr>
        <w:snapToGrid w:val="0"/>
        <w:ind w:left="360"/>
        <w:rPr>
          <w:rFonts w:ascii="Palatino Linotype" w:hAnsi="Palatino Linotype" w:cstheme="minorHAnsi"/>
          <w:sz w:val="24"/>
          <w:szCs w:val="24"/>
        </w:rPr>
      </w:pPr>
      <w:r w:rsidRPr="00A43214">
        <w:rPr>
          <w:rFonts w:ascii="Palatino Linotype" w:hAnsi="Palatino Linotype" w:cstheme="minorHAnsi"/>
          <w:sz w:val="24"/>
          <w:szCs w:val="24"/>
        </w:rPr>
        <w:t xml:space="preserve">It is prudent </w:t>
      </w:r>
      <w:r w:rsidR="00F826B2">
        <w:rPr>
          <w:rFonts w:ascii="Palatino Linotype" w:hAnsi="Palatino Linotype" w:cstheme="minorHAnsi"/>
          <w:sz w:val="24"/>
          <w:szCs w:val="24"/>
        </w:rPr>
        <w:t xml:space="preserve">to require </w:t>
      </w:r>
      <w:r w:rsidRPr="00A43214">
        <w:rPr>
          <w:rFonts w:ascii="Palatino Linotype" w:hAnsi="Palatino Linotype" w:cstheme="minorHAnsi"/>
          <w:sz w:val="24"/>
          <w:szCs w:val="24"/>
        </w:rPr>
        <w:t>the Large IOUs to provide assessments of the LGP option after three years from the date the LGP option becomes effective</w:t>
      </w:r>
      <w:r w:rsidR="004F20FC">
        <w:rPr>
          <w:rFonts w:ascii="Palatino Linotype" w:hAnsi="Palatino Linotype" w:cstheme="minorHAnsi"/>
          <w:sz w:val="24"/>
          <w:szCs w:val="24"/>
        </w:rPr>
        <w:t xml:space="preserve">, </w:t>
      </w:r>
      <w:r w:rsidRPr="007579BE" w:rsidR="004F20FC">
        <w:rPr>
          <w:rFonts w:ascii="Palatino Linotype" w:hAnsi="Palatino Linotype" w:cstheme="minorHAnsi"/>
          <w:color w:val="000000" w:themeColor="text1"/>
          <w:sz w:val="24"/>
          <w:szCs w:val="24"/>
        </w:rPr>
        <w:t xml:space="preserve">to provide better understanding of the uncertainties and risks associated with any LGP facility, especially those related to </w:t>
      </w:r>
      <w:r w:rsidR="00957B8E">
        <w:rPr>
          <w:rFonts w:ascii="Palatino Linotype" w:hAnsi="Palatino Linotype" w:cstheme="minorHAnsi"/>
          <w:color w:val="000000" w:themeColor="text1"/>
          <w:sz w:val="24"/>
          <w:szCs w:val="24"/>
        </w:rPr>
        <w:t>S</w:t>
      </w:r>
      <w:r w:rsidRPr="007579BE" w:rsidR="004F20FC">
        <w:rPr>
          <w:rFonts w:ascii="Palatino Linotype" w:hAnsi="Palatino Linotype" w:cstheme="minorHAnsi"/>
          <w:color w:val="000000" w:themeColor="text1"/>
          <w:sz w:val="24"/>
          <w:szCs w:val="24"/>
        </w:rPr>
        <w:t xml:space="preserve">ustained </w:t>
      </w:r>
      <w:r w:rsidR="00957B8E">
        <w:rPr>
          <w:rFonts w:ascii="Palatino Linotype" w:hAnsi="Palatino Linotype" w:cstheme="minorHAnsi"/>
          <w:color w:val="000000" w:themeColor="text1"/>
          <w:sz w:val="24"/>
          <w:szCs w:val="24"/>
        </w:rPr>
        <w:t>L</w:t>
      </w:r>
      <w:r w:rsidRPr="007579BE" w:rsidR="004F20FC">
        <w:rPr>
          <w:rFonts w:ascii="Palatino Linotype" w:hAnsi="Palatino Linotype" w:cstheme="minorHAnsi"/>
          <w:color w:val="000000" w:themeColor="text1"/>
          <w:sz w:val="24"/>
          <w:szCs w:val="24"/>
        </w:rPr>
        <w:t xml:space="preserve">oad </w:t>
      </w:r>
      <w:r w:rsidR="00957B8E">
        <w:rPr>
          <w:rFonts w:ascii="Palatino Linotype" w:hAnsi="Palatino Linotype" w:cstheme="minorHAnsi"/>
          <w:color w:val="000000" w:themeColor="text1"/>
          <w:sz w:val="24"/>
          <w:szCs w:val="24"/>
        </w:rPr>
        <w:t>R</w:t>
      </w:r>
      <w:r w:rsidRPr="007579BE" w:rsidR="004F20FC">
        <w:rPr>
          <w:rFonts w:ascii="Palatino Linotype" w:hAnsi="Palatino Linotype" w:cstheme="minorHAnsi"/>
          <w:color w:val="000000" w:themeColor="text1"/>
          <w:sz w:val="24"/>
          <w:szCs w:val="24"/>
        </w:rPr>
        <w:t xml:space="preserve">eductions on circuits, and that these assessments should incorporate and benefit from actual data of physical grid impacts and conditions rather than calculated ICA-SG violations.  </w:t>
      </w:r>
    </w:p>
    <w:p w:rsidRPr="00A43214" w:rsidR="00A43214" w:rsidP="009551A2" w:rsidRDefault="00A43214" w14:paraId="6E5F8783" w14:textId="77777777">
      <w:pPr>
        <w:pStyle w:val="Body"/>
        <w:numPr>
          <w:ilvl w:val="0"/>
          <w:numId w:val="19"/>
        </w:numPr>
        <w:snapToGrid w:val="0"/>
        <w:ind w:left="360"/>
        <w:rPr>
          <w:rFonts w:ascii="Palatino Linotype" w:hAnsi="Palatino Linotype" w:cstheme="minorHAnsi"/>
          <w:sz w:val="24"/>
          <w:szCs w:val="24"/>
        </w:rPr>
      </w:pPr>
      <w:r w:rsidRPr="00A43214">
        <w:rPr>
          <w:rFonts w:ascii="Palatino Linotype" w:hAnsi="Palatino Linotype" w:cstheme="minorHAnsi"/>
          <w:sz w:val="24"/>
          <w:szCs w:val="24"/>
        </w:rPr>
        <w:t xml:space="preserve">The LGP data format </w:t>
      </w:r>
      <w:r w:rsidR="004F20FC">
        <w:rPr>
          <w:rFonts w:ascii="Palatino Linotype" w:hAnsi="Palatino Linotype" w:cstheme="minorHAnsi"/>
          <w:sz w:val="24"/>
          <w:szCs w:val="24"/>
        </w:rPr>
        <w:t>of LGP values to be submitted by customers that the Large IOUs proposed requires m</w:t>
      </w:r>
      <w:r w:rsidRPr="00A43214">
        <w:rPr>
          <w:rFonts w:ascii="Palatino Linotype" w:hAnsi="Palatino Linotype" w:cstheme="minorHAnsi"/>
          <w:sz w:val="24"/>
          <w:szCs w:val="24"/>
        </w:rPr>
        <w:t>odifi</w:t>
      </w:r>
      <w:r w:rsidR="004F20FC">
        <w:rPr>
          <w:rFonts w:ascii="Palatino Linotype" w:hAnsi="Palatino Linotype" w:cstheme="minorHAnsi"/>
          <w:sz w:val="24"/>
          <w:szCs w:val="24"/>
        </w:rPr>
        <w:t xml:space="preserve">cation </w:t>
      </w:r>
      <w:r w:rsidRPr="00A43214">
        <w:rPr>
          <w:rFonts w:ascii="Palatino Linotype" w:hAnsi="Palatino Linotype" w:cstheme="minorHAnsi"/>
          <w:sz w:val="24"/>
          <w:szCs w:val="24"/>
        </w:rPr>
        <w:t xml:space="preserve">to be consistent with the three 24-value LGP configurations </w:t>
      </w:r>
      <w:r w:rsidR="004F20FC">
        <w:rPr>
          <w:rFonts w:ascii="Palatino Linotype" w:hAnsi="Palatino Linotype" w:cstheme="minorHAnsi"/>
          <w:sz w:val="24"/>
          <w:szCs w:val="24"/>
        </w:rPr>
        <w:t xml:space="preserve">being </w:t>
      </w:r>
      <w:r w:rsidRPr="00A43214">
        <w:rPr>
          <w:rFonts w:ascii="Palatino Linotype" w:hAnsi="Palatino Linotype" w:cstheme="minorHAnsi"/>
          <w:sz w:val="24"/>
          <w:szCs w:val="24"/>
        </w:rPr>
        <w:t xml:space="preserve">adopted (24-hourly, Block, and 18-23-fixed), and </w:t>
      </w:r>
      <w:r w:rsidR="004F20FC">
        <w:rPr>
          <w:rFonts w:ascii="Palatino Linotype" w:hAnsi="Palatino Linotype" w:cstheme="minorHAnsi"/>
          <w:sz w:val="24"/>
          <w:szCs w:val="24"/>
        </w:rPr>
        <w:t xml:space="preserve">further </w:t>
      </w:r>
      <w:r w:rsidRPr="00A43214">
        <w:rPr>
          <w:rFonts w:ascii="Palatino Linotype" w:hAnsi="Palatino Linotype" w:cstheme="minorHAnsi"/>
          <w:sz w:val="24"/>
          <w:szCs w:val="24"/>
        </w:rPr>
        <w:t xml:space="preserve">may possibly need to be modified </w:t>
      </w:r>
      <w:r w:rsidRPr="00A43214">
        <w:rPr>
          <w:rFonts w:ascii="Palatino Linotype" w:hAnsi="Palatino Linotype" w:cstheme="minorHAnsi"/>
          <w:iCs/>
          <w:sz w:val="24"/>
          <w:szCs w:val="24"/>
        </w:rPr>
        <w:t xml:space="preserve">to align with any naming or scheduling convention in the forthcoming UL </w:t>
      </w:r>
      <w:r w:rsidR="004A0484">
        <w:rPr>
          <w:rFonts w:ascii="Palatino Linotype" w:hAnsi="Palatino Linotype" w:cstheme="minorHAnsi"/>
          <w:iCs/>
          <w:sz w:val="24"/>
          <w:szCs w:val="24"/>
        </w:rPr>
        <w:t xml:space="preserve">certification standard for UL </w:t>
      </w:r>
      <w:r w:rsidRPr="00A43214">
        <w:rPr>
          <w:rFonts w:ascii="Palatino Linotype" w:hAnsi="Palatino Linotype" w:cstheme="minorHAnsi"/>
          <w:iCs/>
          <w:sz w:val="24"/>
          <w:szCs w:val="24"/>
        </w:rPr>
        <w:t xml:space="preserve">PCS </w:t>
      </w:r>
      <w:r w:rsidR="00424974">
        <w:rPr>
          <w:rFonts w:ascii="Palatino Linotype" w:hAnsi="Palatino Linotype" w:cstheme="minorHAnsi"/>
          <w:iCs/>
          <w:sz w:val="24"/>
          <w:szCs w:val="24"/>
        </w:rPr>
        <w:t xml:space="preserve">with integrated </w:t>
      </w:r>
      <w:r w:rsidRPr="00A43214">
        <w:rPr>
          <w:rFonts w:ascii="Palatino Linotype" w:hAnsi="Palatino Linotype" w:cstheme="minorHAnsi"/>
          <w:iCs/>
          <w:sz w:val="24"/>
          <w:szCs w:val="24"/>
        </w:rPr>
        <w:t>schedu</w:t>
      </w:r>
      <w:r w:rsidR="00424974">
        <w:rPr>
          <w:rFonts w:ascii="Palatino Linotype" w:hAnsi="Palatino Linotype" w:cstheme="minorHAnsi"/>
          <w:iCs/>
          <w:sz w:val="24"/>
          <w:szCs w:val="24"/>
        </w:rPr>
        <w:t>le</w:t>
      </w:r>
      <w:r w:rsidRPr="00A43214">
        <w:rPr>
          <w:rFonts w:ascii="Palatino Linotype" w:hAnsi="Palatino Linotype" w:cstheme="minorHAnsi"/>
          <w:iCs/>
          <w:sz w:val="24"/>
          <w:szCs w:val="24"/>
        </w:rPr>
        <w:t>.</w:t>
      </w:r>
    </w:p>
    <w:p w:rsidRPr="00D02F1F" w:rsidR="00580718" w:rsidP="00585709" w:rsidRDefault="004D7874" w14:paraId="61DE9770" w14:textId="77777777">
      <w:pPr>
        <w:pStyle w:val="Heading"/>
        <w:spacing w:before="360"/>
        <w:rPr>
          <w:rFonts w:ascii="Palatino Linotype" w:hAnsi="Palatino Linotype"/>
          <w:sz w:val="24"/>
          <w:szCs w:val="24"/>
          <w:lang w:val="de-DE"/>
        </w:rPr>
      </w:pPr>
      <w:r w:rsidRPr="00D02F1F">
        <w:rPr>
          <w:rFonts w:ascii="Palatino Linotype" w:hAnsi="Palatino Linotype"/>
          <w:sz w:val="24"/>
          <w:szCs w:val="24"/>
          <w:lang w:val="de-DE"/>
        </w:rPr>
        <w:t>Therefore it is ordered that:</w:t>
      </w:r>
      <w:bookmarkStart w:name="_Ref404993683" w:id="2"/>
    </w:p>
    <w:bookmarkEnd w:id="2"/>
    <w:p w:rsidRPr="00F946DA" w:rsidR="00FB043D" w:rsidP="009551A2" w:rsidRDefault="00FB043D" w14:paraId="33647E6D" w14:textId="77777777">
      <w:pPr>
        <w:pStyle w:val="Body"/>
        <w:numPr>
          <w:ilvl w:val="0"/>
          <w:numId w:val="20"/>
        </w:numPr>
        <w:snapToGrid w:val="0"/>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This Resolution approves in part a</w:t>
      </w:r>
      <w:r w:rsidR="009551A2">
        <w:rPr>
          <w:rFonts w:ascii="Palatino Linotype" w:hAnsi="Palatino Linotype" w:cstheme="minorHAnsi"/>
          <w:color w:val="000000" w:themeColor="text1"/>
          <w:sz w:val="24"/>
          <w:szCs w:val="24"/>
        </w:rPr>
        <w:t>s</w:t>
      </w:r>
      <w:r w:rsidRPr="00F946DA">
        <w:rPr>
          <w:rFonts w:ascii="Palatino Linotype" w:hAnsi="Palatino Linotype" w:cstheme="minorHAnsi"/>
          <w:color w:val="000000" w:themeColor="text1"/>
          <w:sz w:val="24"/>
          <w:szCs w:val="24"/>
        </w:rPr>
        <w:t xml:space="preserve"> modifie</w:t>
      </w:r>
      <w:r w:rsidR="009551A2">
        <w:rPr>
          <w:rFonts w:ascii="Palatino Linotype" w:hAnsi="Palatino Linotype" w:cstheme="minorHAnsi"/>
          <w:color w:val="000000" w:themeColor="text1"/>
          <w:sz w:val="24"/>
          <w:szCs w:val="24"/>
        </w:rPr>
        <w:t>d</w:t>
      </w:r>
      <w:r w:rsidRPr="00F946DA">
        <w:rPr>
          <w:rFonts w:ascii="Palatino Linotype" w:hAnsi="Palatino Linotype" w:cstheme="minorHAnsi"/>
          <w:color w:val="000000" w:themeColor="text1"/>
          <w:sz w:val="24"/>
          <w:szCs w:val="24"/>
        </w:rPr>
        <w:t xml:space="preserve"> </w:t>
      </w:r>
      <w:r w:rsidR="009551A2">
        <w:rPr>
          <w:rFonts w:ascii="Palatino Linotype" w:hAnsi="Palatino Linotype" w:cstheme="minorHAnsi"/>
          <w:color w:val="000000" w:themeColor="text1"/>
          <w:sz w:val="24"/>
          <w:szCs w:val="24"/>
        </w:rPr>
        <w:t xml:space="preserve">the utility requests included in </w:t>
      </w:r>
      <w:r w:rsidRPr="00F946DA">
        <w:rPr>
          <w:rFonts w:ascii="Palatino Linotype" w:hAnsi="Palatino Linotype" w:cstheme="minorHAnsi"/>
          <w:color w:val="000000" w:themeColor="text1"/>
          <w:sz w:val="24"/>
          <w:szCs w:val="24"/>
        </w:rPr>
        <w:t xml:space="preserve">Pacific Gas and Electric Company’s Advice Letters </w:t>
      </w:r>
      <w:r w:rsidRPr="00F946DA">
        <w:rPr>
          <w:rFonts w:ascii="Palatino Linotype" w:hAnsi="Palatino Linotype" w:eastAsia="Palatino Linotype" w:cstheme="minorHAnsi"/>
          <w:color w:val="000000" w:themeColor="text1"/>
          <w:sz w:val="24"/>
          <w:szCs w:val="24"/>
        </w:rPr>
        <w:t>6816-E, 6816-E-A</w:t>
      </w:r>
      <w:r w:rsidRPr="00F946DA">
        <w:rPr>
          <w:rFonts w:ascii="Palatino Linotype" w:hAnsi="Palatino Linotype" w:cstheme="minorHAnsi"/>
          <w:color w:val="000000" w:themeColor="text1"/>
          <w:sz w:val="24"/>
          <w:szCs w:val="24"/>
        </w:rPr>
        <w:t xml:space="preserve">, 6929-E &amp; 6929-E-A, Southern California Edison Company’s Advice Letters </w:t>
      </w:r>
      <w:r w:rsidRPr="00F946DA">
        <w:rPr>
          <w:rFonts w:ascii="Palatino Linotype" w:hAnsi="Palatino Linotype" w:eastAsia="Palatino Linotype" w:cstheme="minorHAnsi"/>
          <w:color w:val="000000" w:themeColor="text1"/>
          <w:sz w:val="24"/>
          <w:szCs w:val="24"/>
        </w:rPr>
        <w:t>4941-E, 4941-E-A</w:t>
      </w:r>
      <w:r w:rsidRPr="00F946DA">
        <w:rPr>
          <w:rFonts w:ascii="Palatino Linotype" w:hAnsi="Palatino Linotype" w:cstheme="minorHAnsi"/>
          <w:color w:val="000000" w:themeColor="text1"/>
          <w:sz w:val="24"/>
          <w:szCs w:val="24"/>
        </w:rPr>
        <w:t xml:space="preserve">, 5025-E, </w:t>
      </w:r>
      <w:r w:rsidRPr="00F946DA">
        <w:rPr>
          <w:rFonts w:ascii="Palatino Linotype" w:hAnsi="Palatino Linotype" w:cstheme="minorHAnsi"/>
          <w:color w:val="000000" w:themeColor="text1"/>
          <w:sz w:val="24"/>
          <w:szCs w:val="24"/>
        </w:rPr>
        <w:lastRenderedPageBreak/>
        <w:t xml:space="preserve">5025-E-A &amp; 5025-E-B, and San Diego Gas &amp; Electric Company’s Advice Letters </w:t>
      </w:r>
      <w:r w:rsidR="00D02F1F">
        <w:rPr>
          <w:rFonts w:ascii="Palatino Linotype" w:hAnsi="Palatino Linotype" w:cstheme="minorHAnsi"/>
          <w:color w:val="000000" w:themeColor="text1"/>
          <w:sz w:val="24"/>
          <w:szCs w:val="24"/>
        </w:rPr>
        <w:br/>
      </w:r>
      <w:r w:rsidRPr="00F946DA">
        <w:rPr>
          <w:rFonts w:ascii="Palatino Linotype" w:hAnsi="Palatino Linotype" w:cstheme="minorHAnsi"/>
          <w:color w:val="000000" w:themeColor="text1"/>
          <w:sz w:val="24"/>
          <w:szCs w:val="24"/>
        </w:rPr>
        <w:t>4138-E, 4138-E-A, &amp; AL 4215-E.</w:t>
      </w:r>
    </w:p>
    <w:p w:rsidRPr="00F946DA" w:rsidR="00FB043D" w:rsidP="009551A2" w:rsidRDefault="00FB043D" w14:paraId="3152F42A" w14:textId="77777777">
      <w:pPr>
        <w:pStyle w:val="Body"/>
        <w:numPr>
          <w:ilvl w:val="0"/>
          <w:numId w:val="20"/>
        </w:numPr>
        <w:snapToGrid w:val="0"/>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 xml:space="preserve">Pacific Gas and Electric Company, Southern California Edison Company, and San Diego Gas &amp; Electric Company are ordered to </w:t>
      </w:r>
      <w:r w:rsidR="009551A2">
        <w:rPr>
          <w:rFonts w:ascii="Palatino Linotype" w:hAnsi="Palatino Linotype" w:cstheme="minorHAnsi"/>
          <w:color w:val="000000" w:themeColor="text1"/>
          <w:sz w:val="24"/>
          <w:szCs w:val="24"/>
        </w:rPr>
        <w:t xml:space="preserve">submit via </w:t>
      </w:r>
      <w:r w:rsidR="007C3245">
        <w:rPr>
          <w:rFonts w:ascii="Palatino Linotype" w:hAnsi="Palatino Linotype" w:cstheme="minorHAnsi"/>
          <w:color w:val="000000" w:themeColor="text1"/>
          <w:sz w:val="24"/>
          <w:szCs w:val="24"/>
        </w:rPr>
        <w:t xml:space="preserve">Tier 2 </w:t>
      </w:r>
      <w:r w:rsidR="009551A2">
        <w:rPr>
          <w:rFonts w:ascii="Palatino Linotype" w:hAnsi="Palatino Linotype" w:cstheme="minorHAnsi"/>
          <w:color w:val="000000" w:themeColor="text1"/>
          <w:sz w:val="24"/>
          <w:szCs w:val="24"/>
        </w:rPr>
        <w:t>Advice Letter</w:t>
      </w:r>
      <w:r w:rsidRPr="00F946DA" w:rsidR="009551A2">
        <w:rPr>
          <w:rFonts w:ascii="Palatino Linotype" w:hAnsi="Palatino Linotype" w:cstheme="minorHAnsi"/>
          <w:color w:val="000000" w:themeColor="text1"/>
          <w:sz w:val="24"/>
          <w:szCs w:val="24"/>
        </w:rPr>
        <w:t xml:space="preserve"> </w:t>
      </w:r>
      <w:r w:rsidRPr="00F946DA">
        <w:rPr>
          <w:rFonts w:ascii="Palatino Linotype" w:hAnsi="Palatino Linotype" w:cstheme="minorHAnsi"/>
          <w:color w:val="000000" w:themeColor="text1"/>
          <w:sz w:val="24"/>
          <w:szCs w:val="24"/>
        </w:rPr>
        <w:t xml:space="preserve">changes to their Rule 21 Tariffs in accordance with the language </w:t>
      </w:r>
      <w:r w:rsidR="009551A2">
        <w:rPr>
          <w:rFonts w:ascii="Palatino Linotype" w:hAnsi="Palatino Linotype" w:cstheme="minorHAnsi"/>
          <w:color w:val="000000" w:themeColor="text1"/>
          <w:sz w:val="24"/>
          <w:szCs w:val="24"/>
        </w:rPr>
        <w:t>described</w:t>
      </w:r>
      <w:r w:rsidRPr="00F946DA" w:rsidR="009551A2">
        <w:rPr>
          <w:rFonts w:ascii="Palatino Linotype" w:hAnsi="Palatino Linotype" w:cstheme="minorHAnsi"/>
          <w:color w:val="000000" w:themeColor="text1"/>
          <w:sz w:val="24"/>
          <w:szCs w:val="24"/>
        </w:rPr>
        <w:t xml:space="preserve"> </w:t>
      </w:r>
      <w:r w:rsidRPr="00F946DA">
        <w:rPr>
          <w:rFonts w:ascii="Palatino Linotype" w:hAnsi="Palatino Linotype" w:cstheme="minorHAnsi"/>
          <w:color w:val="000000" w:themeColor="text1"/>
          <w:sz w:val="24"/>
          <w:szCs w:val="24"/>
        </w:rPr>
        <w:t xml:space="preserve">in Appendix </w:t>
      </w:r>
      <w:r w:rsidR="008D4829">
        <w:rPr>
          <w:rFonts w:ascii="Palatino Linotype" w:hAnsi="Palatino Linotype" w:cstheme="minorHAnsi"/>
          <w:color w:val="000000" w:themeColor="text1"/>
          <w:sz w:val="24"/>
          <w:szCs w:val="24"/>
        </w:rPr>
        <w:t>B</w:t>
      </w:r>
      <w:r w:rsidRPr="00F946DA">
        <w:rPr>
          <w:rFonts w:ascii="Palatino Linotype" w:hAnsi="Palatino Linotype" w:cstheme="minorHAnsi"/>
          <w:color w:val="000000" w:themeColor="text1"/>
          <w:sz w:val="24"/>
          <w:szCs w:val="24"/>
        </w:rPr>
        <w:t xml:space="preserve">, within 60 days of </w:t>
      </w:r>
      <w:r w:rsidR="009551A2">
        <w:rPr>
          <w:rFonts w:ascii="Palatino Linotype" w:hAnsi="Palatino Linotype" w:cstheme="minorHAnsi"/>
          <w:color w:val="000000" w:themeColor="text1"/>
          <w:sz w:val="24"/>
          <w:szCs w:val="24"/>
        </w:rPr>
        <w:t>adoption</w:t>
      </w:r>
      <w:r w:rsidRPr="00F946DA" w:rsidR="009551A2">
        <w:rPr>
          <w:rFonts w:ascii="Palatino Linotype" w:hAnsi="Palatino Linotype" w:cstheme="minorHAnsi"/>
          <w:color w:val="000000" w:themeColor="text1"/>
          <w:sz w:val="24"/>
          <w:szCs w:val="24"/>
        </w:rPr>
        <w:t xml:space="preserve"> </w:t>
      </w:r>
      <w:r w:rsidRPr="00F946DA">
        <w:rPr>
          <w:rFonts w:ascii="Palatino Linotype" w:hAnsi="Palatino Linotype" w:cstheme="minorHAnsi"/>
          <w:color w:val="000000" w:themeColor="text1"/>
          <w:sz w:val="24"/>
          <w:szCs w:val="24"/>
        </w:rPr>
        <w:t>of a standard for UL PCS with integrated schedule.</w:t>
      </w:r>
      <w:r w:rsidR="00EE3E23">
        <w:rPr>
          <w:rFonts w:ascii="Palatino Linotype" w:hAnsi="Palatino Linotype" w:cstheme="minorHAnsi"/>
          <w:color w:val="000000" w:themeColor="text1"/>
          <w:sz w:val="24"/>
          <w:szCs w:val="24"/>
        </w:rPr>
        <w:t xml:space="preserve"> </w:t>
      </w:r>
      <w:r w:rsidRPr="00A42723" w:rsidR="00EE3E23">
        <w:rPr>
          <w:rFonts w:ascii="Palatino Linotype" w:hAnsi="Palatino Linotype"/>
          <w:sz w:val="24"/>
          <w:szCs w:val="24"/>
        </w:rPr>
        <w:t xml:space="preserve">These Advice Letters shall also specify how the list of UL-certified PCS referenced in Appendix F Section 1.d will be developed and created and where the list will be located, and shall </w:t>
      </w:r>
      <w:r w:rsidR="00EE3E23">
        <w:rPr>
          <w:rFonts w:ascii="Palatino Linotype" w:hAnsi="Palatino Linotype"/>
          <w:sz w:val="24"/>
          <w:szCs w:val="24"/>
        </w:rPr>
        <w:t xml:space="preserve">further </w:t>
      </w:r>
      <w:r w:rsidRPr="00A42723" w:rsidR="00EE3E23">
        <w:rPr>
          <w:rFonts w:ascii="Palatino Linotype" w:hAnsi="Palatino Linotype"/>
          <w:sz w:val="24"/>
          <w:szCs w:val="24"/>
        </w:rPr>
        <w:t xml:space="preserve">provide updated interconnection agreements to reflect the operational requirements of the LGP </w:t>
      </w:r>
      <w:r w:rsidR="00EE3E23">
        <w:rPr>
          <w:rFonts w:ascii="Palatino Linotype" w:hAnsi="Palatino Linotype"/>
          <w:sz w:val="24"/>
          <w:szCs w:val="24"/>
        </w:rPr>
        <w:t xml:space="preserve">option from </w:t>
      </w:r>
      <w:r w:rsidRPr="00A42723" w:rsidR="00EE3E23">
        <w:rPr>
          <w:rFonts w:ascii="Palatino Linotype" w:hAnsi="Palatino Linotype"/>
          <w:sz w:val="24"/>
          <w:szCs w:val="24"/>
        </w:rPr>
        <w:t>Appendix F Section 4.</w:t>
      </w:r>
    </w:p>
    <w:p w:rsidR="000E2871" w:rsidP="009551A2" w:rsidRDefault="00FB043D" w14:paraId="566DBD8F" w14:textId="77777777">
      <w:pPr>
        <w:pStyle w:val="Body"/>
        <w:numPr>
          <w:ilvl w:val="0"/>
          <w:numId w:val="20"/>
        </w:numPr>
        <w:snapToGrid w:val="0"/>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 xml:space="preserve">Pacific Gas and Electric Company, Southern California Edison Company, and San Diego Gas &amp; Electric Company are ordered to adopt the process </w:t>
      </w:r>
      <w:r w:rsidR="00C246E6">
        <w:rPr>
          <w:rFonts w:ascii="Palatino Linotype" w:hAnsi="Palatino Linotype" w:cstheme="minorHAnsi"/>
          <w:color w:val="000000" w:themeColor="text1"/>
          <w:sz w:val="24"/>
          <w:szCs w:val="24"/>
        </w:rPr>
        <w:t xml:space="preserve">and steps for curtailing LGP projects in accordance with the language </w:t>
      </w:r>
      <w:r w:rsidR="009551A2">
        <w:rPr>
          <w:rFonts w:ascii="Palatino Linotype" w:hAnsi="Palatino Linotype" w:cstheme="minorHAnsi"/>
          <w:color w:val="000000" w:themeColor="text1"/>
          <w:sz w:val="24"/>
          <w:szCs w:val="24"/>
        </w:rPr>
        <w:t>described</w:t>
      </w:r>
      <w:r w:rsidR="00BF426C">
        <w:rPr>
          <w:rFonts w:ascii="Palatino Linotype" w:hAnsi="Palatino Linotype" w:cstheme="minorHAnsi"/>
          <w:color w:val="000000" w:themeColor="text1"/>
          <w:sz w:val="24"/>
          <w:szCs w:val="24"/>
        </w:rPr>
        <w:t xml:space="preserve"> </w:t>
      </w:r>
      <w:r w:rsidR="00C246E6">
        <w:rPr>
          <w:rFonts w:ascii="Palatino Linotype" w:hAnsi="Palatino Linotype" w:cstheme="minorHAnsi"/>
          <w:color w:val="000000" w:themeColor="text1"/>
          <w:sz w:val="24"/>
          <w:szCs w:val="24"/>
        </w:rPr>
        <w:t xml:space="preserve">in Appendix </w:t>
      </w:r>
      <w:r w:rsidR="008D4829">
        <w:rPr>
          <w:rFonts w:ascii="Palatino Linotype" w:hAnsi="Palatino Linotype" w:cstheme="minorHAnsi"/>
          <w:color w:val="000000" w:themeColor="text1"/>
          <w:sz w:val="24"/>
          <w:szCs w:val="24"/>
        </w:rPr>
        <w:t>C</w:t>
      </w:r>
      <w:r w:rsidR="00C246E6">
        <w:rPr>
          <w:rFonts w:ascii="Palatino Linotype" w:hAnsi="Palatino Linotype" w:cstheme="minorHAnsi"/>
          <w:color w:val="000000" w:themeColor="text1"/>
          <w:sz w:val="24"/>
          <w:szCs w:val="24"/>
        </w:rPr>
        <w:t xml:space="preserve"> including modifications therein, and to adopt the process </w:t>
      </w:r>
      <w:r w:rsidRPr="00F946DA">
        <w:rPr>
          <w:rFonts w:ascii="Palatino Linotype" w:hAnsi="Palatino Linotype" w:cstheme="minorHAnsi"/>
          <w:color w:val="000000" w:themeColor="text1"/>
          <w:sz w:val="24"/>
          <w:szCs w:val="24"/>
        </w:rPr>
        <w:t xml:space="preserve">for implementing LGP projects in accordance with the language given in Appendix </w:t>
      </w:r>
      <w:r w:rsidR="008D4829">
        <w:rPr>
          <w:rFonts w:ascii="Palatino Linotype" w:hAnsi="Palatino Linotype" w:cstheme="minorHAnsi"/>
          <w:color w:val="000000" w:themeColor="text1"/>
          <w:sz w:val="24"/>
          <w:szCs w:val="24"/>
        </w:rPr>
        <w:t>F</w:t>
      </w:r>
      <w:r w:rsidRPr="00F946DA">
        <w:rPr>
          <w:rFonts w:ascii="Palatino Linotype" w:hAnsi="Palatino Linotype" w:cstheme="minorHAnsi"/>
          <w:color w:val="000000" w:themeColor="text1"/>
          <w:sz w:val="24"/>
          <w:szCs w:val="24"/>
        </w:rPr>
        <w:t xml:space="preserve">, within 9 months of </w:t>
      </w:r>
      <w:r w:rsidR="007C3245">
        <w:rPr>
          <w:rFonts w:ascii="Palatino Linotype" w:hAnsi="Palatino Linotype" w:cstheme="minorHAnsi"/>
          <w:color w:val="000000" w:themeColor="text1"/>
          <w:sz w:val="24"/>
          <w:szCs w:val="24"/>
        </w:rPr>
        <w:t xml:space="preserve">adoption </w:t>
      </w:r>
      <w:r w:rsidRPr="00F946DA">
        <w:rPr>
          <w:rFonts w:ascii="Palatino Linotype" w:hAnsi="Palatino Linotype" w:cstheme="minorHAnsi"/>
          <w:color w:val="000000" w:themeColor="text1"/>
          <w:sz w:val="24"/>
          <w:szCs w:val="24"/>
        </w:rPr>
        <w:t>of a standard for UL PCS with integrated schedule</w:t>
      </w:r>
      <w:r w:rsidR="000E2871">
        <w:rPr>
          <w:rFonts w:ascii="Palatino Linotype" w:hAnsi="Palatino Linotype" w:cstheme="minorHAnsi"/>
          <w:color w:val="000000" w:themeColor="text1"/>
          <w:sz w:val="24"/>
          <w:szCs w:val="24"/>
        </w:rPr>
        <w:t xml:space="preserve">. </w:t>
      </w:r>
    </w:p>
    <w:p w:rsidRPr="00F946DA" w:rsidR="00FB043D" w:rsidP="009551A2" w:rsidRDefault="000E2871" w14:paraId="4B0DE9AB" w14:textId="77777777">
      <w:pPr>
        <w:pStyle w:val="Body"/>
        <w:numPr>
          <w:ilvl w:val="0"/>
          <w:numId w:val="20"/>
        </w:numPr>
        <w:snapToGrid w:val="0"/>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Pacific Gas and Electric Company, Southern California Edison Company, and San Diego Gas &amp; Electric Company</w:t>
      </w:r>
      <w:r>
        <w:rPr>
          <w:rFonts w:ascii="Palatino Linotype" w:hAnsi="Palatino Linotype" w:cstheme="minorHAnsi"/>
          <w:color w:val="000000" w:themeColor="text1"/>
          <w:sz w:val="24"/>
          <w:szCs w:val="24"/>
        </w:rPr>
        <w:t xml:space="preserve"> </w:t>
      </w:r>
      <w:r w:rsidRPr="00A42723">
        <w:rPr>
          <w:rFonts w:ascii="Palatino Linotype" w:hAnsi="Palatino Linotype"/>
          <w:sz w:val="24"/>
          <w:szCs w:val="24"/>
        </w:rPr>
        <w:t>are ordered to add to their interconnection web pages the information on the process and steps for curtailing LGP projects in accordance with Appendix C and on the interconnection process for LGP projects in accordance with Appendix F, and are also ordered that, once the implementation of the LGP option begins, any proposed changes to this information shall be submitted in a Tier 2 Advice Letter.</w:t>
      </w:r>
    </w:p>
    <w:p w:rsidRPr="00BA7079" w:rsidR="00FB043D" w:rsidP="009551A2" w:rsidRDefault="00FB043D" w14:paraId="6FCA3357" w14:textId="77777777">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 xml:space="preserve">Pacific Gas and Electric Company, Southern California Edison Company, and San Diego Gas &amp; Electric Company are ordered to adopt the data monitoring and reporting requirements </w:t>
      </w:r>
      <w:r w:rsidRPr="00F946DA" w:rsidR="00F946DA">
        <w:rPr>
          <w:rFonts w:ascii="Palatino Linotype" w:hAnsi="Palatino Linotype" w:cstheme="minorHAnsi"/>
          <w:color w:val="000000" w:themeColor="text1"/>
          <w:sz w:val="24"/>
          <w:szCs w:val="24"/>
        </w:rPr>
        <w:t xml:space="preserve">on LGP facility curtailments </w:t>
      </w:r>
      <w:r w:rsidR="009551A2">
        <w:rPr>
          <w:rFonts w:ascii="Palatino Linotype" w:hAnsi="Palatino Linotype" w:cstheme="minorHAnsi"/>
          <w:color w:val="000000" w:themeColor="text1"/>
          <w:sz w:val="24"/>
          <w:szCs w:val="24"/>
        </w:rPr>
        <w:t>described</w:t>
      </w:r>
      <w:r w:rsidRPr="00F946DA" w:rsidR="009551A2">
        <w:rPr>
          <w:rFonts w:ascii="Palatino Linotype" w:hAnsi="Palatino Linotype" w:cstheme="minorHAnsi"/>
          <w:color w:val="000000" w:themeColor="text1"/>
          <w:sz w:val="24"/>
          <w:szCs w:val="24"/>
        </w:rPr>
        <w:t xml:space="preserve"> </w:t>
      </w:r>
      <w:r w:rsidRPr="00F946DA">
        <w:rPr>
          <w:rFonts w:ascii="Palatino Linotype" w:hAnsi="Palatino Linotype" w:cstheme="minorHAnsi"/>
          <w:color w:val="000000" w:themeColor="text1"/>
          <w:sz w:val="24"/>
          <w:szCs w:val="24"/>
        </w:rPr>
        <w:t xml:space="preserve">in Appendix </w:t>
      </w:r>
      <w:r w:rsidR="008D4829">
        <w:rPr>
          <w:rFonts w:ascii="Palatino Linotype" w:hAnsi="Palatino Linotype" w:cstheme="minorHAnsi"/>
          <w:color w:val="000000" w:themeColor="text1"/>
          <w:sz w:val="24"/>
          <w:szCs w:val="24"/>
        </w:rPr>
        <w:t>E</w:t>
      </w:r>
      <w:r w:rsidRPr="00F946DA" w:rsidR="00F946DA">
        <w:rPr>
          <w:rFonts w:ascii="Palatino Linotype" w:hAnsi="Palatino Linotype" w:cstheme="minorHAnsi"/>
          <w:color w:val="000000" w:themeColor="text1"/>
          <w:sz w:val="24"/>
          <w:szCs w:val="24"/>
        </w:rPr>
        <w:t>,</w:t>
      </w:r>
      <w:r w:rsidRPr="00F946DA">
        <w:rPr>
          <w:rFonts w:ascii="Palatino Linotype" w:hAnsi="Palatino Linotype" w:cstheme="minorHAnsi"/>
          <w:color w:val="000000" w:themeColor="text1"/>
          <w:sz w:val="24"/>
          <w:szCs w:val="24"/>
        </w:rPr>
        <w:t xml:space="preserve"> and</w:t>
      </w:r>
      <w:r w:rsidR="007C3245">
        <w:rPr>
          <w:rFonts w:ascii="Palatino Linotype" w:hAnsi="Palatino Linotype" w:cstheme="minorHAnsi"/>
          <w:color w:val="000000" w:themeColor="text1"/>
          <w:sz w:val="24"/>
          <w:szCs w:val="24"/>
        </w:rPr>
        <w:t>, if curtailments have occurred, to</w:t>
      </w:r>
      <w:r w:rsidRPr="00F946DA">
        <w:rPr>
          <w:rFonts w:ascii="Palatino Linotype" w:hAnsi="Palatino Linotype" w:cstheme="minorHAnsi"/>
          <w:color w:val="000000" w:themeColor="text1"/>
          <w:sz w:val="24"/>
          <w:szCs w:val="24"/>
        </w:rPr>
        <w:t xml:space="preserve"> </w:t>
      </w:r>
      <w:r w:rsidRPr="00F946DA" w:rsidR="00F946DA">
        <w:rPr>
          <w:rFonts w:ascii="Palatino Linotype" w:hAnsi="Palatino Linotype" w:cstheme="minorHAnsi"/>
          <w:color w:val="000000" w:themeColor="text1"/>
          <w:sz w:val="24"/>
          <w:szCs w:val="24"/>
        </w:rPr>
        <w:t xml:space="preserve">submit a Tier 2 </w:t>
      </w:r>
      <w:r w:rsidR="00434F97">
        <w:rPr>
          <w:rFonts w:ascii="Palatino Linotype" w:hAnsi="Palatino Linotype" w:cstheme="minorHAnsi"/>
          <w:color w:val="000000" w:themeColor="text1"/>
          <w:sz w:val="24"/>
          <w:szCs w:val="24"/>
        </w:rPr>
        <w:t>A</w:t>
      </w:r>
      <w:r w:rsidRPr="00F946DA" w:rsidR="00F946DA">
        <w:rPr>
          <w:rFonts w:ascii="Palatino Linotype" w:hAnsi="Palatino Linotype" w:cstheme="minorHAnsi"/>
          <w:color w:val="000000" w:themeColor="text1"/>
          <w:sz w:val="24"/>
          <w:szCs w:val="24"/>
        </w:rPr>
        <w:t xml:space="preserve">dvice </w:t>
      </w:r>
      <w:r w:rsidR="00434F97">
        <w:rPr>
          <w:rFonts w:ascii="Palatino Linotype" w:hAnsi="Palatino Linotype" w:cstheme="minorHAnsi"/>
          <w:color w:val="000000" w:themeColor="text1"/>
          <w:sz w:val="24"/>
          <w:szCs w:val="24"/>
        </w:rPr>
        <w:t>L</w:t>
      </w:r>
      <w:r w:rsidRPr="00F946DA" w:rsidR="00F946DA">
        <w:rPr>
          <w:rFonts w:ascii="Palatino Linotype" w:hAnsi="Palatino Linotype" w:cstheme="minorHAnsi"/>
          <w:color w:val="000000" w:themeColor="text1"/>
          <w:sz w:val="24"/>
          <w:szCs w:val="24"/>
        </w:rPr>
        <w:t xml:space="preserve">etter with </w:t>
      </w:r>
      <w:r w:rsidRPr="00F946DA">
        <w:rPr>
          <w:rFonts w:ascii="Palatino Linotype" w:hAnsi="Palatino Linotype" w:cstheme="minorHAnsi"/>
          <w:color w:val="000000" w:themeColor="text1"/>
          <w:sz w:val="24"/>
          <w:szCs w:val="24"/>
        </w:rPr>
        <w:t xml:space="preserve">the required data </w:t>
      </w:r>
      <w:r w:rsidRPr="00BA7079" w:rsidR="00BA7079">
        <w:rPr>
          <w:rFonts w:ascii="Palatino Linotype" w:hAnsi="Palatino Linotype"/>
          <w:sz w:val="24"/>
          <w:szCs w:val="24"/>
        </w:rPr>
        <w:t>on an annual basis, within three months after the end of each calendar year.</w:t>
      </w:r>
      <w:r w:rsidRPr="00BA7079">
        <w:rPr>
          <w:rFonts w:ascii="Palatino Linotype" w:hAnsi="Palatino Linotype" w:cstheme="minorHAnsi"/>
          <w:color w:val="000000" w:themeColor="text1"/>
          <w:sz w:val="24"/>
          <w:szCs w:val="24"/>
        </w:rPr>
        <w:t xml:space="preserve"> </w:t>
      </w:r>
    </w:p>
    <w:p w:rsidRPr="00061764" w:rsidR="00FB043D" w:rsidP="009551A2" w:rsidRDefault="00FB043D" w14:paraId="3B2071DD" w14:textId="77777777">
      <w:pPr>
        <w:pStyle w:val="Body"/>
        <w:numPr>
          <w:ilvl w:val="0"/>
          <w:numId w:val="20"/>
        </w:numPr>
        <w:snapToGrid w:val="0"/>
        <w:ind w:left="360"/>
        <w:rPr>
          <w:rFonts w:ascii="Palatino Linotype" w:hAnsi="Palatino Linotype" w:cstheme="minorHAnsi"/>
          <w:color w:val="000000" w:themeColor="text1"/>
          <w:sz w:val="24"/>
          <w:szCs w:val="24"/>
        </w:rPr>
      </w:pPr>
      <w:r w:rsidRPr="00F946DA">
        <w:rPr>
          <w:rFonts w:ascii="Palatino Linotype" w:hAnsi="Palatino Linotype" w:cstheme="minorHAnsi"/>
          <w:color w:val="000000" w:themeColor="text1"/>
          <w:sz w:val="24"/>
          <w:szCs w:val="24"/>
        </w:rPr>
        <w:t xml:space="preserve">Pacific Gas and Electric Company, Southern California Edison Company, and San Diego Gas &amp; Electric Company are ordered to submit a Tier 2 </w:t>
      </w:r>
      <w:r w:rsidR="00434F97">
        <w:rPr>
          <w:rFonts w:ascii="Palatino Linotype" w:hAnsi="Palatino Linotype" w:cstheme="minorHAnsi"/>
          <w:color w:val="000000" w:themeColor="text1"/>
          <w:sz w:val="24"/>
          <w:szCs w:val="24"/>
        </w:rPr>
        <w:t>A</w:t>
      </w:r>
      <w:r w:rsidRPr="00F946DA">
        <w:rPr>
          <w:rFonts w:ascii="Palatino Linotype" w:hAnsi="Palatino Linotype" w:cstheme="minorHAnsi"/>
          <w:color w:val="000000" w:themeColor="text1"/>
          <w:sz w:val="24"/>
          <w:szCs w:val="24"/>
        </w:rPr>
        <w:t xml:space="preserve">dvice </w:t>
      </w:r>
      <w:r w:rsidR="00434F97">
        <w:rPr>
          <w:rFonts w:ascii="Palatino Linotype" w:hAnsi="Palatino Linotype" w:cstheme="minorHAnsi"/>
          <w:color w:val="000000" w:themeColor="text1"/>
          <w:sz w:val="24"/>
          <w:szCs w:val="24"/>
        </w:rPr>
        <w:t>L</w:t>
      </w:r>
      <w:r w:rsidRPr="00F946DA">
        <w:rPr>
          <w:rFonts w:ascii="Palatino Linotype" w:hAnsi="Palatino Linotype" w:cstheme="minorHAnsi"/>
          <w:color w:val="000000" w:themeColor="text1"/>
          <w:sz w:val="24"/>
          <w:szCs w:val="24"/>
        </w:rPr>
        <w:t xml:space="preserve">etter specifying the data format </w:t>
      </w:r>
      <w:r w:rsidR="00590955">
        <w:rPr>
          <w:rFonts w:ascii="Palatino Linotype" w:hAnsi="Palatino Linotype" w:cstheme="minorHAnsi"/>
          <w:color w:val="000000" w:themeColor="text1"/>
          <w:sz w:val="24"/>
          <w:szCs w:val="24"/>
        </w:rPr>
        <w:t xml:space="preserve">and requirements </w:t>
      </w:r>
      <w:r w:rsidRPr="00F946DA">
        <w:rPr>
          <w:rFonts w:ascii="Palatino Linotype" w:hAnsi="Palatino Linotype" w:cstheme="minorHAnsi"/>
          <w:color w:val="000000" w:themeColor="text1"/>
          <w:sz w:val="24"/>
          <w:szCs w:val="24"/>
        </w:rPr>
        <w:t xml:space="preserve">of LGP values to be submitted by </w:t>
      </w:r>
      <w:r w:rsidRPr="00F946DA">
        <w:rPr>
          <w:rFonts w:ascii="Palatino Linotype" w:hAnsi="Palatino Linotype" w:cstheme="minorHAnsi"/>
          <w:color w:val="000000" w:themeColor="text1"/>
          <w:sz w:val="24"/>
          <w:szCs w:val="24"/>
        </w:rPr>
        <w:lastRenderedPageBreak/>
        <w:t>customers, within 60 days of completion of a standard for UL PCS with integrated schedule</w:t>
      </w:r>
      <w:r w:rsidR="00061764">
        <w:rPr>
          <w:rFonts w:ascii="Palatino Linotype" w:hAnsi="Palatino Linotype" w:cstheme="minorHAnsi"/>
          <w:color w:val="000000" w:themeColor="text1"/>
          <w:sz w:val="24"/>
          <w:szCs w:val="24"/>
        </w:rPr>
        <w:t xml:space="preserve">. The data format and requirements shall allow </w:t>
      </w:r>
      <w:r w:rsidR="00590955">
        <w:rPr>
          <w:rFonts w:ascii="Palatino Linotype" w:hAnsi="Palatino Linotype" w:cstheme="minorHAnsi"/>
          <w:color w:val="000000" w:themeColor="text1"/>
          <w:sz w:val="24"/>
          <w:szCs w:val="24"/>
        </w:rPr>
        <w:t xml:space="preserve">any of </w:t>
      </w:r>
      <w:r w:rsidRPr="00F946DA">
        <w:rPr>
          <w:rFonts w:ascii="Palatino Linotype" w:hAnsi="Palatino Linotype" w:cstheme="minorHAnsi"/>
          <w:color w:val="000000" w:themeColor="text1"/>
          <w:sz w:val="24"/>
          <w:szCs w:val="24"/>
        </w:rPr>
        <w:t xml:space="preserve">the three 24-value LGP configurations 24-hourly, Block, and 18-23-fixed. The data format shall also consider possible modification of the language </w:t>
      </w:r>
      <w:r w:rsidRPr="00F946DA">
        <w:rPr>
          <w:rFonts w:ascii="Palatino Linotype" w:hAnsi="Palatino Linotype" w:cstheme="minorHAnsi"/>
          <w:iCs/>
          <w:color w:val="000000" w:themeColor="text1"/>
          <w:sz w:val="24"/>
          <w:szCs w:val="24"/>
        </w:rPr>
        <w:t xml:space="preserve">to align with any naming or scheduling convention in the forthcoming standard for </w:t>
      </w:r>
      <w:r w:rsidR="00400C20">
        <w:rPr>
          <w:rFonts w:ascii="Palatino Linotype" w:hAnsi="Palatino Linotype" w:cstheme="minorHAnsi"/>
          <w:iCs/>
          <w:color w:val="000000" w:themeColor="text1"/>
          <w:sz w:val="24"/>
          <w:szCs w:val="24"/>
        </w:rPr>
        <w:t xml:space="preserve">UL PCS with integrated </w:t>
      </w:r>
      <w:r w:rsidRPr="00F946DA">
        <w:rPr>
          <w:rFonts w:ascii="Palatino Linotype" w:hAnsi="Palatino Linotype" w:cstheme="minorHAnsi"/>
          <w:iCs/>
          <w:color w:val="000000" w:themeColor="text1"/>
          <w:sz w:val="24"/>
          <w:szCs w:val="24"/>
        </w:rPr>
        <w:t>schedul</w:t>
      </w:r>
      <w:r w:rsidR="00400C20">
        <w:rPr>
          <w:rFonts w:ascii="Palatino Linotype" w:hAnsi="Palatino Linotype" w:cstheme="minorHAnsi"/>
          <w:iCs/>
          <w:color w:val="000000" w:themeColor="text1"/>
          <w:sz w:val="24"/>
          <w:szCs w:val="24"/>
        </w:rPr>
        <w:t>e</w:t>
      </w:r>
      <w:r w:rsidRPr="00F946DA">
        <w:rPr>
          <w:rFonts w:ascii="Palatino Linotype" w:hAnsi="Palatino Linotype" w:cstheme="minorHAnsi"/>
          <w:iCs/>
          <w:color w:val="000000" w:themeColor="text1"/>
          <w:sz w:val="24"/>
          <w:szCs w:val="24"/>
        </w:rPr>
        <w:t>.</w:t>
      </w:r>
    </w:p>
    <w:p w:rsidRPr="007579BE" w:rsidR="00061764" w:rsidP="009551A2" w:rsidRDefault="00061764" w14:paraId="66BCFC6E" w14:textId="77777777">
      <w:pPr>
        <w:pStyle w:val="Body"/>
        <w:numPr>
          <w:ilvl w:val="0"/>
          <w:numId w:val="20"/>
        </w:numPr>
        <w:snapToGrid w:val="0"/>
        <w:ind w:left="360"/>
        <w:rPr>
          <w:rFonts w:ascii="Palatino Linotype" w:hAnsi="Palatino Linotype" w:cstheme="minorHAnsi"/>
          <w:color w:val="000000" w:themeColor="text1"/>
          <w:sz w:val="24"/>
          <w:szCs w:val="24"/>
        </w:rPr>
      </w:pPr>
      <w:r w:rsidRPr="007579BE">
        <w:rPr>
          <w:rFonts w:ascii="Palatino Linotype" w:hAnsi="Palatino Linotype" w:cstheme="minorHAnsi"/>
          <w:color w:val="000000" w:themeColor="text1"/>
          <w:sz w:val="24"/>
          <w:szCs w:val="24"/>
        </w:rPr>
        <w:t xml:space="preserve">Pacific Gas and Electric Company, Southern California Edison Company, and San Diego Gas &amp; Electric Company are ordered to develop a plan for conducting assessments </w:t>
      </w:r>
      <w:r w:rsidRPr="007579BE" w:rsidR="007579BE">
        <w:rPr>
          <w:rFonts w:ascii="Palatino Linotype" w:hAnsi="Palatino Linotype" w:cstheme="minorHAnsi"/>
          <w:color w:val="000000" w:themeColor="text1"/>
          <w:sz w:val="24"/>
          <w:szCs w:val="24"/>
        </w:rPr>
        <w:t xml:space="preserve">after three years following LGP becoming effective. </w:t>
      </w:r>
      <w:r w:rsidRPr="007579BE">
        <w:rPr>
          <w:rFonts w:ascii="Palatino Linotype" w:hAnsi="Palatino Linotype" w:cstheme="minorHAnsi"/>
          <w:color w:val="000000" w:themeColor="text1"/>
          <w:sz w:val="24"/>
          <w:szCs w:val="24"/>
        </w:rPr>
        <w:t xml:space="preserve">The plan shall </w:t>
      </w:r>
      <w:r w:rsidRPr="007579BE" w:rsidR="007579BE">
        <w:rPr>
          <w:rFonts w:ascii="Palatino Linotype" w:hAnsi="Palatino Linotype" w:cstheme="minorHAnsi"/>
          <w:color w:val="000000" w:themeColor="text1"/>
          <w:sz w:val="24"/>
          <w:szCs w:val="24"/>
        </w:rPr>
        <w:t xml:space="preserve">be designed to provide better understanding of the uncertainties associated with LGP </w:t>
      </w:r>
      <w:r w:rsidR="00EA74EC">
        <w:rPr>
          <w:rFonts w:ascii="Palatino Linotype" w:hAnsi="Palatino Linotype" w:cstheme="minorHAnsi"/>
          <w:color w:val="000000" w:themeColor="text1"/>
          <w:sz w:val="24"/>
          <w:szCs w:val="24"/>
        </w:rPr>
        <w:t>configurations</w:t>
      </w:r>
      <w:r w:rsidR="00B37CFE">
        <w:rPr>
          <w:rFonts w:ascii="Palatino Linotype" w:hAnsi="Palatino Linotype" w:cstheme="minorHAnsi"/>
          <w:color w:val="000000" w:themeColor="text1"/>
          <w:sz w:val="24"/>
          <w:szCs w:val="24"/>
        </w:rPr>
        <w:t xml:space="preserve"> and shall emphasize </w:t>
      </w:r>
      <w:r w:rsidRPr="007579BE" w:rsidR="007579BE">
        <w:rPr>
          <w:rFonts w:ascii="Palatino Linotype" w:hAnsi="Palatino Linotype" w:cstheme="minorHAnsi"/>
          <w:color w:val="000000" w:themeColor="text1"/>
          <w:sz w:val="24"/>
          <w:szCs w:val="24"/>
        </w:rPr>
        <w:t>actual data of physical grid impacts and conditions</w:t>
      </w:r>
      <w:r w:rsidR="00B37CFE">
        <w:rPr>
          <w:rFonts w:ascii="Palatino Linotype" w:hAnsi="Palatino Linotype" w:cstheme="minorHAnsi"/>
          <w:color w:val="000000" w:themeColor="text1"/>
          <w:sz w:val="24"/>
          <w:szCs w:val="24"/>
        </w:rPr>
        <w:t xml:space="preserve"> of LGP facilities.</w:t>
      </w:r>
      <w:r w:rsidRPr="007579BE" w:rsidR="007579BE">
        <w:rPr>
          <w:rFonts w:ascii="Palatino Linotype" w:hAnsi="Palatino Linotype" w:cstheme="minorHAnsi"/>
          <w:color w:val="000000" w:themeColor="text1"/>
          <w:sz w:val="24"/>
          <w:szCs w:val="24"/>
        </w:rPr>
        <w:t xml:space="preserve"> The plan shall </w:t>
      </w:r>
      <w:r w:rsidRPr="007579BE">
        <w:rPr>
          <w:rFonts w:ascii="Palatino Linotype" w:hAnsi="Palatino Linotype" w:cstheme="minorHAnsi"/>
          <w:color w:val="000000" w:themeColor="text1"/>
          <w:sz w:val="24"/>
          <w:szCs w:val="24"/>
        </w:rPr>
        <w:t xml:space="preserve">be provided in a Tier 2 Advice Letter </w:t>
      </w:r>
      <w:r w:rsidR="004F17C9">
        <w:rPr>
          <w:rFonts w:ascii="Palatino Linotype" w:hAnsi="Palatino Linotype" w:cstheme="minorHAnsi"/>
          <w:color w:val="000000" w:themeColor="text1"/>
          <w:sz w:val="24"/>
          <w:szCs w:val="24"/>
        </w:rPr>
        <w:t xml:space="preserve">within </w:t>
      </w:r>
      <w:r w:rsidRPr="007579BE">
        <w:rPr>
          <w:rFonts w:ascii="Palatino Linotype" w:hAnsi="Palatino Linotype" w:cstheme="minorHAnsi"/>
          <w:color w:val="000000" w:themeColor="text1"/>
          <w:sz w:val="24"/>
          <w:szCs w:val="24"/>
        </w:rPr>
        <w:t xml:space="preserve">18 months from the date the LGP option becomes effective. </w:t>
      </w:r>
      <w:r w:rsidRPr="004F17C9" w:rsidR="004F17C9">
        <w:rPr>
          <w:rFonts w:ascii="Palatino Linotype" w:hAnsi="Palatino Linotype" w:cstheme="minorHAnsi"/>
          <w:color w:val="000000" w:themeColor="text1"/>
          <w:sz w:val="24"/>
          <w:szCs w:val="24"/>
        </w:rPr>
        <w:t>Pacific Gas and Electric Company, Southern California Edison Company, and San Diego Gas &amp; Electric Company are further ordered to conduct the assessment after three years following the LGP becoming effective, and to submit a Tier 2 Advice Letter containing the assessment and any proposals for modification to the LGP option, within 3 months after the date the LGP has been effective for three years.</w:t>
      </w:r>
    </w:p>
    <w:p w:rsidRPr="00930978" w:rsidR="00580718" w:rsidP="007E7EFD" w:rsidRDefault="004D7874" w14:paraId="7B2CFD4C" w14:textId="77777777">
      <w:pPr>
        <w:pStyle w:val="Body"/>
        <w:tabs>
          <w:tab w:val="left" w:pos="720"/>
          <w:tab w:val="left" w:pos="1296"/>
          <w:tab w:val="left" w:pos="2016"/>
          <w:tab w:val="left" w:pos="2736"/>
          <w:tab w:val="left" w:pos="3456"/>
          <w:tab w:val="left" w:pos="4176"/>
          <w:tab w:val="left" w:pos="5760"/>
        </w:tabs>
        <w:spacing w:before="48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This Resolution is effective today.</w:t>
      </w:r>
    </w:p>
    <w:p w:rsidRPr="00930978" w:rsidR="00580718" w:rsidP="00CB0849" w:rsidRDefault="004D7874" w14:paraId="07FE37B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 certify that the foregoing resolution was duly introduced, passed</w:t>
      </w:r>
      <w:r w:rsidR="00B9762F">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and adopted at a conference of the Public Utilities Commission of the State of California held on </w:t>
      </w:r>
      <w:r w:rsidR="00B9762F">
        <w:rPr>
          <w:rFonts w:ascii="Palatino Linotype" w:hAnsi="Palatino Linotype" w:eastAsia="Palatino Linotype" w:cs="Palatino Linotype"/>
          <w:sz w:val="24"/>
          <w:szCs w:val="24"/>
        </w:rPr>
        <w:br/>
      </w:r>
      <w:r w:rsidR="001C06C1">
        <w:rPr>
          <w:rFonts w:ascii="Palatino Linotype" w:hAnsi="Palatino Linotype" w:eastAsia="Palatino Linotype" w:cs="Palatino Linotype"/>
          <w:sz w:val="24"/>
          <w:szCs w:val="24"/>
        </w:rPr>
        <w:t xml:space="preserve">March </w:t>
      </w:r>
      <w:r w:rsidR="008103C7">
        <w:rPr>
          <w:rFonts w:ascii="Palatino Linotype" w:hAnsi="Palatino Linotype" w:eastAsia="Palatino Linotype" w:cs="Palatino Linotype"/>
          <w:sz w:val="24"/>
          <w:szCs w:val="24"/>
        </w:rPr>
        <w:t>21</w:t>
      </w:r>
      <w:r w:rsidR="00FB043D">
        <w:rPr>
          <w:rFonts w:ascii="Palatino Linotype" w:hAnsi="Palatino Linotype" w:eastAsia="Palatino Linotype" w:cs="Palatino Linotype"/>
          <w:sz w:val="24"/>
          <w:szCs w:val="24"/>
        </w:rPr>
        <w:t xml:space="preserve">, </w:t>
      </w:r>
      <w:r w:rsidR="00E94BB3">
        <w:rPr>
          <w:rFonts w:ascii="Palatino Linotype" w:hAnsi="Palatino Linotype" w:eastAsia="Palatino Linotype" w:cs="Palatino Linotype"/>
          <w:sz w:val="24"/>
          <w:szCs w:val="24"/>
        </w:rPr>
        <w:t>202</w:t>
      </w:r>
      <w:r w:rsidR="00FB043D">
        <w:rPr>
          <w:rFonts w:ascii="Palatino Linotype" w:hAnsi="Palatino Linotype" w:eastAsia="Palatino Linotype" w:cs="Palatino Linotype"/>
          <w:sz w:val="24"/>
          <w:szCs w:val="24"/>
        </w:rPr>
        <w:t>4</w:t>
      </w:r>
      <w:r w:rsidRPr="00B9762F">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the following Commissioners voting favorably thereon:</w:t>
      </w:r>
    </w:p>
    <w:p w:rsidRPr="00930978" w:rsidR="00580718" w:rsidRDefault="00580718" w14:paraId="3EAAFDC8" w14:textId="77777777">
      <w:pPr>
        <w:pStyle w:val="Body"/>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930978" w:rsidR="00580718" w:rsidP="00B9762F" w:rsidRDefault="004D7874" w14:paraId="40D6A6E4" w14:textId="77777777">
      <w:pPr>
        <w:pStyle w:val="Body"/>
        <w:tabs>
          <w:tab w:val="left" w:pos="720"/>
          <w:tab w:val="left" w:pos="1152"/>
          <w:tab w:val="left" w:pos="1728"/>
          <w:tab w:val="left" w:pos="3168"/>
          <w:tab w:val="left" w:pos="5040"/>
        </w:tabs>
        <w:spacing w:after="0" w:line="240" w:lineRule="auto"/>
        <w:ind w:right="144"/>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t>_____________________</w:t>
      </w:r>
    </w:p>
    <w:p w:rsidRPr="00930978" w:rsidR="00580718" w:rsidP="00B9762F" w:rsidRDefault="004D7874" w14:paraId="05CD4C61" w14:textId="77777777">
      <w:pPr>
        <w:pStyle w:val="Body"/>
        <w:spacing w:after="0" w:line="240" w:lineRule="auto"/>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sidR="001F00A1">
        <w:rPr>
          <w:rFonts w:ascii="Palatino Linotype" w:hAnsi="Palatino Linotype" w:eastAsia="Palatino Linotype" w:cs="Palatino Linotype"/>
          <w:sz w:val="24"/>
          <w:szCs w:val="24"/>
        </w:rPr>
        <w:t>RACHEL PE</w:t>
      </w:r>
      <w:r w:rsidRPr="00930978" w:rsidR="00A203B5">
        <w:rPr>
          <w:rFonts w:ascii="Palatino Linotype" w:hAnsi="Palatino Linotype" w:eastAsia="Palatino Linotype" w:cs="Palatino Linotype"/>
          <w:sz w:val="24"/>
          <w:szCs w:val="24"/>
        </w:rPr>
        <w:t>TERSON</w:t>
      </w:r>
      <w:r w:rsidRPr="00930978">
        <w:rPr>
          <w:rFonts w:ascii="Palatino Linotype" w:hAnsi="Palatino Linotype" w:eastAsia="Palatino Linotype" w:cs="Palatino Linotype"/>
          <w:sz w:val="24"/>
          <w:szCs w:val="24"/>
        </w:rPr>
        <w:t xml:space="preserve"> </w:t>
      </w:r>
    </w:p>
    <w:p w:rsidRPr="00DE1A3D" w:rsidR="00F807E7" w:rsidP="00DE1A3D" w:rsidRDefault="004D7874" w14:paraId="2FF7C6A8" w14:textId="77777777">
      <w:pPr>
        <w:pStyle w:val="Body"/>
        <w:spacing w:after="0" w:line="240" w:lineRule="auto"/>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t>Executive Director</w:t>
      </w:r>
    </w:p>
    <w:p w:rsidR="00B14682" w:rsidRDefault="00B14682" w14:paraId="4F8CF552" w14:textId="77777777"/>
    <w:p w:rsidR="00B14682" w:rsidRDefault="00000000" w14:paraId="6DAC1FE8" w14:textId="77777777">
      <w:r>
        <w:t xml:space="preserve">Attachment 1: </w:t>
      </w:r>
    </w:p>
    <w:p w:rsidR="00B14682" w:rsidRDefault="00000000" w14:paraId="7F50EE4E" w14:textId="6C3655D3">
      <w:r w:rsidRPr="000C65CE">
        <w:t>E-5296 Ap</w:t>
      </w:r>
      <w:r w:rsidRPr="000C65CE">
        <w:t>p</w:t>
      </w:r>
      <w:r w:rsidRPr="000C65CE">
        <w:t>endices</w:t>
      </w:r>
    </w:p>
    <w:sectPr w:rsidR="00B1468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
      <w:r>
        <w:t xml:space="preserve"/>
      </w:r>
    </w:p>
    <w:p>
      <w:r>
        <w:t xml:space="preserve">Attachment 1: </w:t>
      </w:r>
    </w:p>
    <w:p>
      <w:hyperlink w:history="true" r:id="R1d00a0c2b5094fd4">
        <w:r w:rsidRPr="00CB1292">
          <w:rPr>
            <w:rStyle w:val="Hyperlink"/>
            <w:color w:val="2E74B5" w:themeColor="accent1" w:themeShade="BF"/>
            <w:u w:val="single"/>
          </w:rPr>
          <w:t>Attachment 1 - E-5296 Appendices</w:t>
        </w:r>
      </w:hyperlink>
    </w:p>
    <w:p>
      <w:r>
        <w:t xml:space="preserve"/>
      </w:r>
    </w:p>
    <w:p>
      <w:r>
        <w:t xml:space="preserve">Attachment 2: </w:t>
      </w:r>
    </w:p>
    <w:p>
      <w:hyperlink w:history="true" r:id="R10716d374df249bf">
        <w:r w:rsidRPr="00CB1292">
          <w:rPr>
            <w:rStyle w:val="Hyperlink"/>
            <w:color w:val="2E74B5" w:themeColor="accent1" w:themeShade="BF"/>
            <w:u w:val="single"/>
          </w:rPr>
          <w:t>E-5296 Draft Agenda Resolution (PG&amp;E AL 6816-E &amp; 6929-E; SCE AL 4941-E &amp; 5025-E; SDG&amp;E AL 4138-E &amp; 4215-E)(Redline)</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18E6" w14:textId="77777777" w:rsidR="00BF3995" w:rsidRDefault="00BF3995">
      <w:r>
        <w:separator/>
      </w:r>
    </w:p>
  </w:endnote>
  <w:endnote w:type="continuationSeparator" w:id="0">
    <w:p w14:paraId="3943E24A" w14:textId="77777777" w:rsidR="00BF3995" w:rsidRDefault="00BF3995">
      <w:r>
        <w:continuationSeparator/>
      </w:r>
    </w:p>
  </w:endnote>
  <w:endnote w:type="continuationNotice" w:id="1">
    <w:p w14:paraId="2F319474" w14:textId="77777777" w:rsidR="00BF3995" w:rsidRDefault="00BF3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panose1 w:val="00000000000000000000"/>
    <w:charset w:val="00"/>
    <w:family w:val="roman"/>
    <w:pitch w:val="variable"/>
    <w:sig w:usb0="20000A87" w:usb1="08000000" w:usb2="00000008" w:usb3="00000000" w:csb0="0000011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
    <w:altName w:val="Palatino Linotyp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519" w14:textId="77777777" w:rsidR="006E0DCD" w:rsidRPr="00D61B29" w:rsidRDefault="006E0DCD">
    <w:pPr>
      <w:pStyle w:val="Footer"/>
      <w:rPr>
        <w:rFonts w:ascii="Palatino Linotype" w:hAnsi="Palatino Linotype"/>
        <w:sz w:val="24"/>
        <w:szCs w:val="24"/>
      </w:rPr>
    </w:pPr>
    <w:r w:rsidRPr="00D61B29">
      <w:rPr>
        <w:rFonts w:ascii="Palatino Linotype" w:hAnsi="Palatino Linotype"/>
        <w:sz w:val="24"/>
        <w:szCs w:val="24"/>
      </w:rPr>
      <w:fldChar w:fldCharType="begin"/>
    </w:r>
    <w:r w:rsidRPr="00D61B29">
      <w:rPr>
        <w:rFonts w:ascii="Palatino Linotype" w:hAnsi="Palatino Linotype"/>
        <w:sz w:val="24"/>
        <w:szCs w:val="24"/>
      </w:rPr>
      <w:instrText xml:space="preserve"> PAGE </w:instrText>
    </w:r>
    <w:r w:rsidRPr="00D61B29">
      <w:rPr>
        <w:rFonts w:ascii="Palatino Linotype" w:hAnsi="Palatino Linotype"/>
        <w:sz w:val="24"/>
        <w:szCs w:val="24"/>
      </w:rPr>
      <w:fldChar w:fldCharType="separate"/>
    </w:r>
    <w:r w:rsidR="00780780" w:rsidRPr="00D61B29">
      <w:rPr>
        <w:rFonts w:ascii="Palatino Linotype" w:hAnsi="Palatino Linotype"/>
        <w:noProof/>
        <w:sz w:val="24"/>
        <w:szCs w:val="24"/>
      </w:rPr>
      <w:t>14</w:t>
    </w:r>
    <w:r w:rsidRPr="00D61B29">
      <w:rPr>
        <w:rFonts w:ascii="Palatino Linotype" w:hAnsi="Palatino Linotype"/>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041C" w14:textId="1F0514E0" w:rsidR="006E0DCD" w:rsidRPr="00C20096" w:rsidRDefault="007E5CA5" w:rsidP="00864BE0">
    <w:pPr>
      <w:pStyle w:val="Footer"/>
      <w:tabs>
        <w:tab w:val="clear" w:pos="4320"/>
        <w:tab w:val="center" w:pos="4680"/>
      </w:tabs>
      <w:jc w:val="left"/>
      <w:rPr>
        <w:rFonts w:ascii="Palatino Linotype" w:hAnsi="Palatino Linotype"/>
        <w:sz w:val="24"/>
        <w:szCs w:val="24"/>
      </w:rPr>
    </w:pPr>
    <w:r w:rsidRPr="007E5CA5">
      <w:rPr>
        <w:rFonts w:ascii="Tahoma" w:hAnsi="Tahoma" w:cs="Tahoma"/>
        <w:sz w:val="20"/>
        <w:szCs w:val="20"/>
      </w:rPr>
      <w:t>527828730</w:t>
    </w:r>
    <w:r w:rsidR="00864BE0">
      <w:rPr>
        <w:rFonts w:ascii="Palatino Linotype" w:hAnsi="Palatino Linotype"/>
        <w:sz w:val="24"/>
        <w:szCs w:val="24"/>
      </w:rPr>
      <w:tab/>
    </w:r>
    <w:r w:rsidR="006E0DCD" w:rsidRPr="00C20096">
      <w:rPr>
        <w:rFonts w:ascii="Palatino Linotype" w:hAnsi="Palatino Linotype"/>
        <w:sz w:val="24"/>
        <w:szCs w:val="24"/>
      </w:rPr>
      <w:fldChar w:fldCharType="begin"/>
    </w:r>
    <w:r w:rsidR="006E0DCD" w:rsidRPr="00C20096">
      <w:rPr>
        <w:rFonts w:ascii="Palatino Linotype" w:hAnsi="Palatino Linotype"/>
        <w:sz w:val="24"/>
        <w:szCs w:val="24"/>
      </w:rPr>
      <w:instrText xml:space="preserve"> PAGE </w:instrText>
    </w:r>
    <w:r w:rsidR="006E0DCD" w:rsidRPr="00C20096">
      <w:rPr>
        <w:rFonts w:ascii="Palatino Linotype" w:hAnsi="Palatino Linotype"/>
        <w:sz w:val="24"/>
        <w:szCs w:val="24"/>
      </w:rPr>
      <w:fldChar w:fldCharType="separate"/>
    </w:r>
    <w:r w:rsidR="00780780" w:rsidRPr="00C20096">
      <w:rPr>
        <w:rFonts w:ascii="Palatino Linotype" w:hAnsi="Palatino Linotype"/>
        <w:noProof/>
        <w:sz w:val="24"/>
        <w:szCs w:val="24"/>
      </w:rPr>
      <w:t>1</w:t>
    </w:r>
    <w:r w:rsidR="006E0DCD" w:rsidRPr="00C20096">
      <w:rPr>
        <w:rFonts w:ascii="Palatino Linotype" w:hAnsi="Palatino Linotyp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634B" w14:textId="77777777" w:rsidR="00BF3995" w:rsidRDefault="00BF3995">
      <w:r>
        <w:separator/>
      </w:r>
    </w:p>
  </w:footnote>
  <w:footnote w:type="continuationSeparator" w:id="0">
    <w:p w14:paraId="16A49729" w14:textId="77777777" w:rsidR="00BF3995" w:rsidRDefault="00BF3995">
      <w:r>
        <w:continuationSeparator/>
      </w:r>
    </w:p>
  </w:footnote>
  <w:footnote w:type="continuationNotice" w:id="1">
    <w:p w14:paraId="30153C8E" w14:textId="77777777" w:rsidR="00BF3995" w:rsidRDefault="00BF3995"/>
  </w:footnote>
  <w:footnote w:id="2">
    <w:p w14:paraId="0374293C" w14:textId="77777777" w:rsidR="00DF41ED" w:rsidRDefault="00DF41ED" w:rsidP="003D39C3">
      <w:pPr>
        <w:pStyle w:val="NoSpacing"/>
        <w:contextualSpacing/>
      </w:pPr>
      <w:r>
        <w:rPr>
          <w:rStyle w:val="FootnoteReference"/>
        </w:rPr>
        <w:footnoteRef/>
      </w:r>
      <w:r>
        <w:t xml:space="preserve"> </w:t>
      </w:r>
      <w:r w:rsidR="0049043F" w:rsidRPr="007A4D5E">
        <w:rPr>
          <w:szCs w:val="20"/>
        </w:rPr>
        <w:t>Advice Letter Complying with Resolution E-5211 and Decision 20-09-035 Ordering Paragraph 16</w:t>
      </w:r>
    </w:p>
  </w:footnote>
  <w:footnote w:id="3">
    <w:p w14:paraId="1A5E97A0" w14:textId="78EE6F10" w:rsidR="0049043F" w:rsidRDefault="0049043F" w:rsidP="003D39C3">
      <w:pPr>
        <w:pStyle w:val="NoSpacing"/>
        <w:contextualSpacing/>
      </w:pPr>
      <w:r>
        <w:rPr>
          <w:rStyle w:val="FootnoteReference"/>
        </w:rPr>
        <w:footnoteRef/>
      </w:r>
      <w:r>
        <w:t xml:space="preserve"> </w:t>
      </w:r>
      <w:r w:rsidRPr="007A4D5E">
        <w:t xml:space="preserve">Supplement to Joint Advice 4941-E, Advice Letter Complying with Resolution E-5211 and </w:t>
      </w:r>
      <w:r w:rsidR="007E5CA5">
        <w:br/>
      </w:r>
      <w:r w:rsidRPr="007A4D5E">
        <w:t>Decision 20-09-035 Orderin</w:t>
      </w:r>
      <w:r w:rsidR="00A3400E" w:rsidRPr="007A4D5E">
        <w:t xml:space="preserve">g </w:t>
      </w:r>
      <w:r w:rsidRPr="007A4D5E">
        <w:t>Paragraph 16</w:t>
      </w:r>
    </w:p>
  </w:footnote>
  <w:footnote w:id="4">
    <w:p w14:paraId="39EB8AC6" w14:textId="77777777" w:rsidR="00BB5435" w:rsidRDefault="00BB5435" w:rsidP="003D39C3">
      <w:pPr>
        <w:pStyle w:val="NoSpacing"/>
        <w:contextualSpacing/>
      </w:pPr>
      <w:r>
        <w:rPr>
          <w:rStyle w:val="FootnoteReference"/>
        </w:rPr>
        <w:footnoteRef/>
      </w:r>
      <w:r>
        <w:t xml:space="preserve"> </w:t>
      </w:r>
      <w:r w:rsidR="00710F93">
        <w:t>Proposed Modifications to Implement Limited Generation Profiles Pursuant to Ordering Paragraph 3 of Resolution E-5230</w:t>
      </w:r>
      <w:r w:rsidR="007E507F">
        <w:t>.</w:t>
      </w:r>
    </w:p>
  </w:footnote>
  <w:footnote w:id="5">
    <w:p w14:paraId="1C37A9DF" w14:textId="77777777" w:rsidR="007E507F" w:rsidRDefault="007E507F" w:rsidP="003D39C3">
      <w:pPr>
        <w:pStyle w:val="NoSpacing"/>
        <w:contextualSpacing/>
      </w:pPr>
      <w:r>
        <w:rPr>
          <w:rStyle w:val="FootnoteReference"/>
        </w:rPr>
        <w:footnoteRef/>
      </w:r>
      <w:r>
        <w:t xml:space="preserve"> </w:t>
      </w:r>
      <w:r w:rsidR="00994CC0">
        <w:t xml:space="preserve">Supplement to Advice 5025-E, </w:t>
      </w:r>
      <w:r w:rsidR="007E6950">
        <w:t>SCE</w:t>
      </w:r>
      <w:r w:rsidR="00994CC0">
        <w:t>’s Proposed Modifications to Implement Limited Generation</w:t>
      </w:r>
      <w:r w:rsidR="00CE6C77">
        <w:t xml:space="preserve"> </w:t>
      </w:r>
      <w:r w:rsidR="00994CC0">
        <w:t xml:space="preserve">Profiles Pursuant to </w:t>
      </w:r>
      <w:r w:rsidR="007E6950">
        <w:t>OP</w:t>
      </w:r>
      <w:r w:rsidR="00994CC0">
        <w:t xml:space="preserve"> 3 of Resolution E-5230</w:t>
      </w:r>
      <w:r w:rsidR="00CE6C77">
        <w:t>.</w:t>
      </w:r>
    </w:p>
  </w:footnote>
  <w:footnote w:id="6">
    <w:p w14:paraId="1E7C7E9F" w14:textId="77777777" w:rsidR="007E507F" w:rsidRDefault="007E507F" w:rsidP="003D39C3">
      <w:pPr>
        <w:pStyle w:val="NoSpacing"/>
        <w:contextualSpacing/>
      </w:pPr>
      <w:r>
        <w:rPr>
          <w:rStyle w:val="FootnoteReference"/>
        </w:rPr>
        <w:footnoteRef/>
      </w:r>
      <w:r>
        <w:t xml:space="preserve"> </w:t>
      </w:r>
      <w:r w:rsidR="00555CE0">
        <w:t xml:space="preserve">Supplement to Advice 5025-E-A, </w:t>
      </w:r>
      <w:r w:rsidR="007E6950">
        <w:t>SCE</w:t>
      </w:r>
      <w:r w:rsidR="00555CE0">
        <w:t>’s Proposed Modifications to Implement Limited Generation</w:t>
      </w:r>
      <w:r w:rsidR="00A31A0D">
        <w:t xml:space="preserve"> </w:t>
      </w:r>
      <w:r w:rsidR="00555CE0">
        <w:t xml:space="preserve">Profiles Pursuant to </w:t>
      </w:r>
      <w:r w:rsidR="007E6950">
        <w:t>OP</w:t>
      </w:r>
      <w:r w:rsidR="00555CE0">
        <w:t xml:space="preserve"> 3 of Resolution E-5230</w:t>
      </w:r>
      <w:r w:rsidR="00A31A0D">
        <w:t>.</w:t>
      </w:r>
    </w:p>
  </w:footnote>
  <w:footnote w:id="7">
    <w:p w14:paraId="29124C7D" w14:textId="77777777" w:rsidR="00857B0B" w:rsidRPr="00CC2A95" w:rsidRDefault="00857B0B" w:rsidP="003D39C3">
      <w:pPr>
        <w:contextualSpacing/>
        <w:rPr>
          <w:sz w:val="20"/>
          <w:szCs w:val="20"/>
        </w:rPr>
      </w:pPr>
      <w:r w:rsidRPr="00CC2A95">
        <w:rPr>
          <w:rStyle w:val="FootnoteReference"/>
          <w:sz w:val="20"/>
          <w:szCs w:val="20"/>
        </w:rPr>
        <w:footnoteRef/>
      </w:r>
      <w:r w:rsidRPr="00CC2A95">
        <w:rPr>
          <w:sz w:val="20"/>
          <w:szCs w:val="20"/>
        </w:rPr>
        <w:t xml:space="preserve"> The ICA is a tool developed in the Distribution Resources Plans (R.14-08-013) proceeding and informs developers of the hosting capacity a circuit has (that is, how much capacity is available before a grid upgrade is required).</w:t>
      </w:r>
      <w:r w:rsidR="00F01E6C" w:rsidRPr="00CC2A95">
        <w:rPr>
          <w:sz w:val="20"/>
          <w:szCs w:val="20"/>
        </w:rPr>
        <w:t xml:space="preserve">  The ICA values vary over time depending on grid conditions</w:t>
      </w:r>
      <w:r w:rsidR="005B38EF" w:rsidRPr="00CC2A95">
        <w:rPr>
          <w:sz w:val="20"/>
          <w:szCs w:val="20"/>
        </w:rPr>
        <w:t xml:space="preserve">.  </w:t>
      </w:r>
    </w:p>
  </w:footnote>
  <w:footnote w:id="8">
    <w:p w14:paraId="3E0D3020" w14:textId="77777777" w:rsidR="00857B0B" w:rsidRPr="00CC2A95" w:rsidRDefault="00857B0B" w:rsidP="003D39C3">
      <w:pPr>
        <w:contextualSpacing/>
        <w:rPr>
          <w:sz w:val="20"/>
          <w:szCs w:val="20"/>
        </w:rPr>
      </w:pPr>
      <w:r w:rsidRPr="00CC2A95">
        <w:rPr>
          <w:rStyle w:val="FootnoteReference"/>
          <w:sz w:val="20"/>
          <w:szCs w:val="20"/>
        </w:rPr>
        <w:footnoteRef/>
      </w:r>
      <w:r w:rsidRPr="00CC2A95">
        <w:rPr>
          <w:sz w:val="20"/>
          <w:szCs w:val="20"/>
        </w:rPr>
        <w:t xml:space="preserve"> The purpose of </w:t>
      </w:r>
      <w:r w:rsidR="00EF2C63" w:rsidRPr="00CC2A95">
        <w:rPr>
          <w:sz w:val="20"/>
          <w:szCs w:val="20"/>
        </w:rPr>
        <w:t xml:space="preserve">the </w:t>
      </w:r>
      <w:r w:rsidRPr="00CC2A95">
        <w:rPr>
          <w:sz w:val="20"/>
          <w:szCs w:val="20"/>
        </w:rPr>
        <w:t>LGP</w:t>
      </w:r>
      <w:r w:rsidR="00EF2C63" w:rsidRPr="00CC2A95">
        <w:rPr>
          <w:sz w:val="20"/>
          <w:szCs w:val="20"/>
        </w:rPr>
        <w:t xml:space="preserve"> option</w:t>
      </w:r>
      <w:r w:rsidRPr="00CC2A95">
        <w:rPr>
          <w:sz w:val="20"/>
          <w:szCs w:val="20"/>
        </w:rPr>
        <w:t xml:space="preserve"> is to allow a generator to export power to the grid </w:t>
      </w:r>
      <w:r w:rsidR="005E759A" w:rsidRPr="00CC2A95">
        <w:rPr>
          <w:sz w:val="20"/>
          <w:szCs w:val="20"/>
        </w:rPr>
        <w:t xml:space="preserve">within allowable levels </w:t>
      </w:r>
      <w:r w:rsidRPr="00CC2A95">
        <w:rPr>
          <w:sz w:val="20"/>
          <w:szCs w:val="20"/>
        </w:rPr>
        <w:t xml:space="preserve">using control devices.  Further details are </w:t>
      </w:r>
      <w:r w:rsidR="0053755C">
        <w:rPr>
          <w:sz w:val="20"/>
          <w:szCs w:val="20"/>
        </w:rPr>
        <w:t xml:space="preserve">found </w:t>
      </w:r>
      <w:r w:rsidRPr="00CC2A95">
        <w:rPr>
          <w:sz w:val="20"/>
          <w:szCs w:val="20"/>
        </w:rPr>
        <w:t>in</w:t>
      </w:r>
      <w:r w:rsidR="0053755C">
        <w:rPr>
          <w:sz w:val="20"/>
          <w:szCs w:val="20"/>
        </w:rPr>
        <w:t xml:space="preserve"> Background</w:t>
      </w:r>
      <w:r w:rsidRPr="00CC2A95">
        <w:rPr>
          <w:sz w:val="20"/>
          <w:szCs w:val="20"/>
        </w:rPr>
        <w:t xml:space="preserve"> Section </w:t>
      </w:r>
      <w:r w:rsidR="0034027F" w:rsidRPr="00CC2A95">
        <w:rPr>
          <w:sz w:val="20"/>
          <w:szCs w:val="20"/>
        </w:rPr>
        <w:t xml:space="preserve">C </w:t>
      </w:r>
      <w:r w:rsidRPr="00CC2A95">
        <w:rPr>
          <w:sz w:val="20"/>
          <w:szCs w:val="20"/>
        </w:rPr>
        <w:t xml:space="preserve">of this Resolution.  </w:t>
      </w:r>
    </w:p>
  </w:footnote>
  <w:footnote w:id="9">
    <w:p w14:paraId="1AFC17DD" w14:textId="77777777" w:rsidR="00531F2A" w:rsidRDefault="00531F2A" w:rsidP="003D39C3">
      <w:pPr>
        <w:contextualSpacing/>
      </w:pPr>
      <w:r w:rsidRPr="00CC2A95">
        <w:rPr>
          <w:rStyle w:val="FootnoteReference"/>
          <w:sz w:val="20"/>
          <w:szCs w:val="20"/>
        </w:rPr>
        <w:footnoteRef/>
      </w:r>
      <w:r w:rsidRPr="00CC2A95">
        <w:rPr>
          <w:sz w:val="20"/>
          <w:szCs w:val="20"/>
        </w:rPr>
        <w:t xml:space="preserve"> </w:t>
      </w:r>
      <w:r w:rsidR="000C67EB" w:rsidRPr="00CC2A95">
        <w:rPr>
          <w:sz w:val="20"/>
          <w:szCs w:val="20"/>
        </w:rPr>
        <w:t>D.20-09-035 at 209-210 and 224.</w:t>
      </w:r>
    </w:p>
  </w:footnote>
  <w:footnote w:id="10">
    <w:p w14:paraId="542C43C3" w14:textId="77777777" w:rsidR="00506742" w:rsidRPr="00B70977" w:rsidRDefault="00506742" w:rsidP="003D39C3">
      <w:pPr>
        <w:pStyle w:val="NoSpacing"/>
        <w:contextualSpacing/>
        <w:rPr>
          <w:szCs w:val="20"/>
        </w:rPr>
      </w:pPr>
      <w:r w:rsidRPr="00CC2A95">
        <w:rPr>
          <w:rStyle w:val="FootnoteReference"/>
          <w:szCs w:val="20"/>
        </w:rPr>
        <w:footnoteRef/>
      </w:r>
      <w:r w:rsidRPr="00B70977">
        <w:rPr>
          <w:szCs w:val="20"/>
        </w:rPr>
        <w:t xml:space="preserve"> </w:t>
      </w:r>
      <w:r w:rsidR="00782E5C" w:rsidRPr="00B70977">
        <w:rPr>
          <w:i/>
          <w:szCs w:val="20"/>
        </w:rPr>
        <w:t>See</w:t>
      </w:r>
      <w:r w:rsidR="00782E5C" w:rsidRPr="00B70977">
        <w:rPr>
          <w:szCs w:val="20"/>
        </w:rPr>
        <w:t xml:space="preserve"> </w:t>
      </w:r>
      <w:r w:rsidRPr="00B70977">
        <w:rPr>
          <w:szCs w:val="20"/>
        </w:rPr>
        <w:t>PG&amp;E AL 6058-E, SCE AL 4404-E, and SDG&amp;E AL 3678-E</w:t>
      </w:r>
      <w:r w:rsidR="00782E5C" w:rsidRPr="00B70977">
        <w:rPr>
          <w:szCs w:val="20"/>
        </w:rPr>
        <w:t>.</w:t>
      </w:r>
    </w:p>
  </w:footnote>
  <w:footnote w:id="11">
    <w:p w14:paraId="41307ECF" w14:textId="77777777" w:rsidR="002D27BC" w:rsidRPr="00B70977" w:rsidRDefault="002D27BC" w:rsidP="003D39C3">
      <w:pPr>
        <w:pStyle w:val="NoSpacing"/>
        <w:contextualSpacing/>
        <w:rPr>
          <w:szCs w:val="20"/>
        </w:rPr>
      </w:pPr>
      <w:r w:rsidRPr="00CC2A95">
        <w:rPr>
          <w:rStyle w:val="FootnoteReference"/>
          <w:szCs w:val="20"/>
        </w:rPr>
        <w:footnoteRef/>
      </w:r>
      <w:r w:rsidRPr="00B70977">
        <w:rPr>
          <w:szCs w:val="20"/>
        </w:rPr>
        <w:t xml:space="preserve"> </w:t>
      </w:r>
      <w:r w:rsidR="00782E5C" w:rsidRPr="00B70977">
        <w:rPr>
          <w:i/>
          <w:szCs w:val="20"/>
        </w:rPr>
        <w:t>See</w:t>
      </w:r>
      <w:r w:rsidR="00782E5C" w:rsidRPr="00B70977">
        <w:rPr>
          <w:szCs w:val="20"/>
        </w:rPr>
        <w:t xml:space="preserve"> </w:t>
      </w:r>
      <w:r w:rsidRPr="00B70977">
        <w:rPr>
          <w:szCs w:val="20"/>
        </w:rPr>
        <w:t>PG&amp;E AL 6141-E, SCE AL 4455-E, and SDG&amp;E AL 3721-E</w:t>
      </w:r>
      <w:r w:rsidR="00782E5C" w:rsidRPr="00B70977">
        <w:rPr>
          <w:szCs w:val="20"/>
        </w:rPr>
        <w:t>.</w:t>
      </w:r>
    </w:p>
  </w:footnote>
  <w:footnote w:id="12">
    <w:p w14:paraId="7C7DA569" w14:textId="77777777" w:rsidR="003856F6" w:rsidRPr="00782E5C" w:rsidRDefault="003856F6" w:rsidP="003D39C3">
      <w:pPr>
        <w:pStyle w:val="NoSpacing"/>
        <w:contextualSpacing/>
        <w:rPr>
          <w:szCs w:val="20"/>
        </w:rPr>
      </w:pPr>
      <w:r w:rsidRPr="00CC2A95">
        <w:rPr>
          <w:rStyle w:val="FootnoteReference"/>
          <w:szCs w:val="20"/>
        </w:rPr>
        <w:footnoteRef/>
      </w:r>
      <w:r w:rsidRPr="00CC2A95">
        <w:rPr>
          <w:szCs w:val="20"/>
        </w:rPr>
        <w:t xml:space="preserve"> </w:t>
      </w:r>
      <w:r w:rsidR="006063EB" w:rsidRPr="00CC2A95">
        <w:rPr>
          <w:szCs w:val="20"/>
        </w:rPr>
        <w:t>R</w:t>
      </w:r>
      <w:r w:rsidRPr="00CC2A95">
        <w:rPr>
          <w:szCs w:val="20"/>
        </w:rPr>
        <w:t>elated to LGP</w:t>
      </w:r>
      <w:r w:rsidR="006063EB" w:rsidRPr="00CC2A95">
        <w:rPr>
          <w:szCs w:val="20"/>
        </w:rPr>
        <w:t>s</w:t>
      </w:r>
      <w:r w:rsidRPr="00CC2A95">
        <w:rPr>
          <w:szCs w:val="20"/>
        </w:rPr>
        <w:t xml:space="preserve">, Proposal A-B 3 </w:t>
      </w:r>
      <w:r w:rsidR="004E0070" w:rsidRPr="00CC2A95">
        <w:rPr>
          <w:szCs w:val="20"/>
        </w:rPr>
        <w:t>allow</w:t>
      </w:r>
      <w:r w:rsidR="00340D4E">
        <w:rPr>
          <w:szCs w:val="20"/>
        </w:rPr>
        <w:t>s</w:t>
      </w:r>
      <w:r w:rsidR="004E0070" w:rsidRPr="00CC2A95">
        <w:rPr>
          <w:szCs w:val="20"/>
        </w:rPr>
        <w:t xml:space="preserve"> an inverter approved for non-export and limited-export to be set using different maximum export value settings at different times of the year and at the discretion of the utility until a future scheduling standard is released.</w:t>
      </w:r>
    </w:p>
  </w:footnote>
  <w:footnote w:id="13">
    <w:p w14:paraId="7B3FA1A8" w14:textId="77777777" w:rsidR="009C093C" w:rsidRPr="00552DF8" w:rsidRDefault="009C093C" w:rsidP="003D39C3">
      <w:pPr>
        <w:pStyle w:val="NoSpacing"/>
        <w:contextualSpacing/>
        <w:rPr>
          <w:szCs w:val="20"/>
        </w:rPr>
      </w:pPr>
      <w:r w:rsidRPr="006B57BD">
        <w:rPr>
          <w:rStyle w:val="FootnoteReference"/>
          <w:szCs w:val="20"/>
        </w:rPr>
        <w:footnoteRef/>
      </w:r>
      <w:r w:rsidRPr="00552DF8">
        <w:rPr>
          <w:szCs w:val="20"/>
        </w:rPr>
        <w:t xml:space="preserve"> D.20-09-035 at 51.</w:t>
      </w:r>
    </w:p>
  </w:footnote>
  <w:footnote w:id="14">
    <w:p w14:paraId="53299541" w14:textId="77777777" w:rsidR="00393CA0" w:rsidRPr="0035132B" w:rsidRDefault="00393CA0" w:rsidP="003D39C3">
      <w:pPr>
        <w:pStyle w:val="NoSpacing"/>
        <w:contextualSpacing/>
        <w:rPr>
          <w:szCs w:val="20"/>
        </w:rPr>
      </w:pPr>
      <w:r w:rsidRPr="00FB03C0">
        <w:rPr>
          <w:rStyle w:val="FootnoteReference"/>
          <w:szCs w:val="20"/>
        </w:rPr>
        <w:footnoteRef/>
      </w:r>
      <w:r w:rsidRPr="0035132B">
        <w:rPr>
          <w:szCs w:val="20"/>
        </w:rPr>
        <w:t xml:space="preserve"> </w:t>
      </w:r>
      <w:r w:rsidR="001320B6" w:rsidRPr="001320B6">
        <w:rPr>
          <w:i/>
          <w:iCs/>
          <w:szCs w:val="20"/>
        </w:rPr>
        <w:t xml:space="preserve">See </w:t>
      </w:r>
      <w:r w:rsidR="00175F6E">
        <w:rPr>
          <w:szCs w:val="20"/>
        </w:rPr>
        <w:t xml:space="preserve">Rule 21 </w:t>
      </w:r>
      <w:r w:rsidR="001320B6" w:rsidRPr="0035132B">
        <w:rPr>
          <w:szCs w:val="20"/>
        </w:rPr>
        <w:t xml:space="preserve">Working Group Two </w:t>
      </w:r>
      <w:r w:rsidR="00175F6E">
        <w:rPr>
          <w:szCs w:val="20"/>
        </w:rPr>
        <w:t xml:space="preserve">Final </w:t>
      </w:r>
      <w:r w:rsidR="001320B6" w:rsidRPr="0035132B">
        <w:rPr>
          <w:szCs w:val="20"/>
        </w:rPr>
        <w:t>Report at 66</w:t>
      </w:r>
      <w:r w:rsidR="004F3C1C">
        <w:rPr>
          <w:szCs w:val="20"/>
        </w:rPr>
        <w:t xml:space="preserve"> which states:</w:t>
      </w:r>
      <w:r w:rsidR="000E2B41">
        <w:rPr>
          <w:szCs w:val="20"/>
        </w:rPr>
        <w:t xml:space="preserve"> “</w:t>
      </w:r>
      <w:r w:rsidRPr="0035132B">
        <w:rPr>
          <w:szCs w:val="20"/>
        </w:rPr>
        <w:t>There are two types of ICA profiles… [1] ICA-Static Grid (“ICA-SG”) 576 profile:  This profile is the minimum ICA values at each of the 576 hours for the most limiting of these categories:  thermal, voltage, power quality and protection. [2] ICA-Operational Flexibility (“ICA-OF”) 576 profile: This profile is the minimum ICA values at each of the 576 hours for the most limiting of these categories: thermal, voltage, power quality, protection and safety.  Where the safety ICA is not the lowest of all the categories, ICA-OF and ICA-SG are the same…The minimum annual ICA-OF value is the ICA’s most conservative assessment of the system’s ability to interconnect new DER. The maximum value for ICA-SG is the least conservative scenario.  In between lies…the minimum annual ICA-SG.</w:t>
      </w:r>
      <w:r w:rsidR="000E2B41">
        <w:rPr>
          <w:szCs w:val="20"/>
        </w:rPr>
        <w:t>”</w:t>
      </w:r>
    </w:p>
  </w:footnote>
  <w:footnote w:id="15">
    <w:p w14:paraId="7D4FB5C0" w14:textId="77777777" w:rsidR="00393CA0" w:rsidRPr="00E02CD1" w:rsidRDefault="00393CA0" w:rsidP="003D39C3">
      <w:pPr>
        <w:pStyle w:val="NoSpacing"/>
        <w:contextualSpacing/>
        <w:rPr>
          <w:szCs w:val="20"/>
        </w:rPr>
      </w:pPr>
      <w:r w:rsidRPr="00E02CD1">
        <w:rPr>
          <w:rStyle w:val="FootnoteReference"/>
          <w:szCs w:val="20"/>
        </w:rPr>
        <w:footnoteRef/>
      </w:r>
      <w:r w:rsidRPr="00E02CD1">
        <w:rPr>
          <w:szCs w:val="20"/>
        </w:rPr>
        <w:t xml:space="preserve"> </w:t>
      </w:r>
      <w:r w:rsidRPr="00E55E17">
        <w:rPr>
          <w:i/>
          <w:iCs/>
          <w:szCs w:val="20"/>
        </w:rPr>
        <w:t>See</w:t>
      </w:r>
      <w:r w:rsidRPr="003250B0">
        <w:rPr>
          <w:i/>
          <w:iCs/>
          <w:szCs w:val="20"/>
        </w:rPr>
        <w:t>, e.g.,</w:t>
      </w:r>
      <w:r>
        <w:rPr>
          <w:i/>
          <w:iCs/>
          <w:szCs w:val="20"/>
        </w:rPr>
        <w:t xml:space="preserve"> </w:t>
      </w:r>
      <w:r>
        <w:rPr>
          <w:szCs w:val="20"/>
        </w:rPr>
        <w:t xml:space="preserve">PG&amp;E </w:t>
      </w:r>
      <w:r w:rsidRPr="00E02CD1">
        <w:rPr>
          <w:szCs w:val="20"/>
        </w:rPr>
        <w:t>Rule 21 Screen M</w:t>
      </w:r>
      <w:r w:rsidR="000E2B41">
        <w:rPr>
          <w:szCs w:val="20"/>
        </w:rPr>
        <w:t>.</w:t>
      </w:r>
    </w:p>
  </w:footnote>
  <w:footnote w:id="16">
    <w:p w14:paraId="75FC9077" w14:textId="77777777" w:rsidR="00C95F90" w:rsidRDefault="00C95F90" w:rsidP="003D39C3">
      <w:pPr>
        <w:pStyle w:val="NoSpacing"/>
        <w:contextualSpacing/>
      </w:pPr>
      <w:r>
        <w:rPr>
          <w:rStyle w:val="FootnoteReference"/>
        </w:rPr>
        <w:footnoteRef/>
      </w:r>
      <w:r>
        <w:t xml:space="preserve"> </w:t>
      </w:r>
      <w:r w:rsidR="00100B44">
        <w:t>Normally</w:t>
      </w:r>
      <w:r w:rsidR="00BF386D">
        <w:t xml:space="preserve"> this is accomplished</w:t>
      </w:r>
      <w:r w:rsidR="00100B44">
        <w:t xml:space="preserve"> </w:t>
      </w:r>
      <w:r w:rsidR="009C60A6">
        <w:t>using</w:t>
      </w:r>
      <w:r w:rsidR="00100B44">
        <w:t xml:space="preserve"> </w:t>
      </w:r>
      <w:r w:rsidR="00100B44" w:rsidRPr="00100B44">
        <w:t>Power Control Systems</w:t>
      </w:r>
      <w:r w:rsidR="00100B44">
        <w:t xml:space="preserve"> (PCS).  </w:t>
      </w:r>
      <w:r w:rsidR="00225D6A" w:rsidRPr="00225D6A">
        <w:t xml:space="preserve">PCS are systems or devices that electronically </w:t>
      </w:r>
      <w:r w:rsidR="00DF40B4">
        <w:t xml:space="preserve">control the power output of one or more generating </w:t>
      </w:r>
      <w:r w:rsidR="000F7A80">
        <w:t>facility</w:t>
      </w:r>
      <w:r w:rsidR="00DF40B4">
        <w:t xml:space="preserve">.  </w:t>
      </w:r>
      <w:r w:rsidR="00F5549E">
        <w:t xml:space="preserve">PCS </w:t>
      </w:r>
      <w:r w:rsidR="00225D6A" w:rsidRPr="00225D6A">
        <w:t xml:space="preserve">limit </w:t>
      </w:r>
      <w:r w:rsidR="00F5549E">
        <w:t xml:space="preserve">the </w:t>
      </w:r>
      <w:r w:rsidR="00225D6A" w:rsidRPr="00225D6A">
        <w:t xml:space="preserve">Alternating Current (AC) or Direct Current (DC) </w:t>
      </w:r>
      <w:r w:rsidR="00996E89">
        <w:t xml:space="preserve">and loading on the </w:t>
      </w:r>
      <w:r w:rsidR="002A1B02">
        <w:t xml:space="preserve">grid supplied </w:t>
      </w:r>
      <w:r w:rsidR="000B187E">
        <w:t>b</w:t>
      </w:r>
      <w:r w:rsidR="002A1B02">
        <w:t xml:space="preserve">y the power production sources.  </w:t>
      </w:r>
    </w:p>
  </w:footnote>
  <w:footnote w:id="17">
    <w:p w14:paraId="753F2009" w14:textId="77777777" w:rsidR="005C5788" w:rsidRPr="00D062C6" w:rsidRDefault="005C5788" w:rsidP="003D39C3">
      <w:pPr>
        <w:pStyle w:val="NoSpacing"/>
        <w:contextualSpacing/>
      </w:pPr>
      <w:r w:rsidRPr="00D062C6">
        <w:rPr>
          <w:rStyle w:val="FootnoteReference"/>
          <w:szCs w:val="20"/>
        </w:rPr>
        <w:footnoteRef/>
      </w:r>
      <w:r w:rsidRPr="00D062C6">
        <w:t xml:space="preserve"> </w:t>
      </w:r>
      <w:r w:rsidR="00175F6E">
        <w:t xml:space="preserve">Rule 21 </w:t>
      </w:r>
      <w:r w:rsidRPr="00D062C6">
        <w:t xml:space="preserve">Working Group Two </w:t>
      </w:r>
      <w:r w:rsidR="00175F6E">
        <w:t xml:space="preserve">Final </w:t>
      </w:r>
      <w:r w:rsidRPr="00D062C6">
        <w:t>Report at 119.</w:t>
      </w:r>
    </w:p>
  </w:footnote>
  <w:footnote w:id="18">
    <w:p w14:paraId="11BCEE63" w14:textId="77777777" w:rsidR="00851395" w:rsidRPr="00D61B29" w:rsidRDefault="00851395" w:rsidP="003D39C3">
      <w:pPr>
        <w:pStyle w:val="NoSpacing"/>
        <w:contextualSpacing/>
        <w:rPr>
          <w:szCs w:val="20"/>
        </w:rPr>
      </w:pPr>
      <w:r w:rsidRPr="00D61B29">
        <w:rPr>
          <w:rStyle w:val="FootnoteReference"/>
          <w:szCs w:val="20"/>
        </w:rPr>
        <w:footnoteRef/>
      </w:r>
      <w:r w:rsidRPr="00D61B29">
        <w:rPr>
          <w:szCs w:val="20"/>
        </w:rPr>
        <w:t xml:space="preserve"> </w:t>
      </w:r>
      <w:r w:rsidR="00175F6E">
        <w:rPr>
          <w:szCs w:val="20"/>
        </w:rPr>
        <w:t xml:space="preserve">Rule 21 </w:t>
      </w:r>
      <w:r w:rsidRPr="00D61B29">
        <w:rPr>
          <w:szCs w:val="20"/>
        </w:rPr>
        <w:t xml:space="preserve">Working Group Two </w:t>
      </w:r>
      <w:r w:rsidR="00175F6E">
        <w:rPr>
          <w:szCs w:val="20"/>
        </w:rPr>
        <w:t xml:space="preserve">Final </w:t>
      </w:r>
      <w:r w:rsidRPr="00D61B29">
        <w:rPr>
          <w:szCs w:val="20"/>
        </w:rPr>
        <w:t>Report at 126.</w:t>
      </w:r>
    </w:p>
  </w:footnote>
  <w:footnote w:id="19">
    <w:p w14:paraId="1811FBD9" w14:textId="77777777" w:rsidR="00851395" w:rsidRPr="00D61B29" w:rsidRDefault="00851395" w:rsidP="003D39C3">
      <w:pPr>
        <w:pStyle w:val="NoSpacing"/>
        <w:contextualSpacing/>
        <w:rPr>
          <w:szCs w:val="20"/>
        </w:rPr>
      </w:pPr>
      <w:r w:rsidRPr="00D61B29">
        <w:rPr>
          <w:rStyle w:val="FootnoteReference"/>
          <w:szCs w:val="20"/>
        </w:rPr>
        <w:footnoteRef/>
      </w:r>
      <w:r w:rsidRPr="00D61B29">
        <w:rPr>
          <w:szCs w:val="20"/>
        </w:rPr>
        <w:t xml:space="preserve"> </w:t>
      </w:r>
      <w:r w:rsidR="00175F6E">
        <w:rPr>
          <w:szCs w:val="20"/>
        </w:rPr>
        <w:t xml:space="preserve">Rule 21 </w:t>
      </w:r>
      <w:r w:rsidRPr="00D61B29">
        <w:rPr>
          <w:szCs w:val="20"/>
        </w:rPr>
        <w:t xml:space="preserve">Working Group Two </w:t>
      </w:r>
      <w:r w:rsidR="00175F6E">
        <w:rPr>
          <w:szCs w:val="20"/>
        </w:rPr>
        <w:t xml:space="preserve">Final </w:t>
      </w:r>
      <w:r w:rsidRPr="00D61B29">
        <w:rPr>
          <w:szCs w:val="20"/>
        </w:rPr>
        <w:t>Report at 126.</w:t>
      </w:r>
    </w:p>
  </w:footnote>
  <w:footnote w:id="20">
    <w:p w14:paraId="04F769EF" w14:textId="77777777" w:rsidR="00851395" w:rsidRPr="00D61B29" w:rsidRDefault="00851395" w:rsidP="003D39C3">
      <w:pPr>
        <w:pStyle w:val="NoSpacing"/>
        <w:contextualSpacing/>
        <w:rPr>
          <w:szCs w:val="20"/>
        </w:rPr>
      </w:pPr>
      <w:r w:rsidRPr="00D61B29">
        <w:rPr>
          <w:rStyle w:val="FootnoteReference"/>
          <w:szCs w:val="20"/>
        </w:rPr>
        <w:footnoteRef/>
      </w:r>
      <w:r w:rsidRPr="00D61B29">
        <w:rPr>
          <w:szCs w:val="20"/>
        </w:rPr>
        <w:t xml:space="preserve"> D.20-09-035 at 56.</w:t>
      </w:r>
    </w:p>
  </w:footnote>
  <w:footnote w:id="21">
    <w:p w14:paraId="22A7AED9" w14:textId="77777777" w:rsidR="00851395" w:rsidRPr="00BD6DCE" w:rsidRDefault="00851395" w:rsidP="003D39C3">
      <w:pPr>
        <w:pStyle w:val="NoSpacing"/>
        <w:contextualSpacing/>
      </w:pPr>
      <w:r w:rsidRPr="00D61B29">
        <w:rPr>
          <w:rStyle w:val="FootnoteReference"/>
          <w:szCs w:val="20"/>
        </w:rPr>
        <w:footnoteRef/>
      </w:r>
      <w:r w:rsidRPr="00D61B29">
        <w:t xml:space="preserve"> </w:t>
      </w:r>
      <w:r w:rsidRPr="00BD6DCE">
        <w:t>D.20-09-035 at 59.</w:t>
      </w:r>
    </w:p>
  </w:footnote>
  <w:footnote w:id="22">
    <w:p w14:paraId="15EB7714" w14:textId="77777777" w:rsidR="00DF11B5" w:rsidRDefault="00DF11B5" w:rsidP="003D39C3">
      <w:pPr>
        <w:pStyle w:val="NoSpacing"/>
        <w:contextualSpacing/>
      </w:pPr>
      <w:r>
        <w:rPr>
          <w:rStyle w:val="FootnoteReference"/>
        </w:rPr>
        <w:footnoteRef/>
      </w:r>
      <w:r>
        <w:t xml:space="preserve"> </w:t>
      </w:r>
      <w:r w:rsidRPr="00A10603">
        <w:rPr>
          <w:i/>
          <w:iCs/>
        </w:rPr>
        <w:t xml:space="preserve">See </w:t>
      </w:r>
      <w:r>
        <w:t>Resolution E-521</w:t>
      </w:r>
      <w:r w:rsidR="00861403">
        <w:t>1 at 22.</w:t>
      </w:r>
    </w:p>
  </w:footnote>
  <w:footnote w:id="23">
    <w:p w14:paraId="0543EF3E" w14:textId="77777777" w:rsidR="004421D6" w:rsidRPr="00D61B29" w:rsidRDefault="004421D6" w:rsidP="003D39C3">
      <w:pPr>
        <w:pStyle w:val="NoSpacing"/>
        <w:contextualSpacing/>
      </w:pPr>
      <w:r w:rsidRPr="00D61B29">
        <w:rPr>
          <w:rStyle w:val="FootnoteReference"/>
          <w:szCs w:val="20"/>
        </w:rPr>
        <w:footnoteRef/>
      </w:r>
      <w:r w:rsidRPr="00D61B29">
        <w:t xml:space="preserve"> </w:t>
      </w:r>
      <w:r w:rsidR="00175F6E">
        <w:t xml:space="preserve">Rule 21 </w:t>
      </w:r>
      <w:r w:rsidRPr="00D61B29">
        <w:t xml:space="preserve">Working Group Two </w:t>
      </w:r>
      <w:r w:rsidR="00175F6E">
        <w:t xml:space="preserve">Final </w:t>
      </w:r>
      <w:r w:rsidRPr="00D61B29">
        <w:t>Report at 125.</w:t>
      </w:r>
    </w:p>
  </w:footnote>
  <w:footnote w:id="24">
    <w:p w14:paraId="1A3DE11D" w14:textId="77777777" w:rsidR="004421D6" w:rsidRPr="00D61B29" w:rsidRDefault="004421D6" w:rsidP="003D39C3">
      <w:pPr>
        <w:pStyle w:val="NoSpacing"/>
        <w:contextualSpacing/>
        <w:rPr>
          <w:szCs w:val="20"/>
        </w:rPr>
      </w:pPr>
      <w:r w:rsidRPr="00D61B29">
        <w:rPr>
          <w:rStyle w:val="FootnoteReference"/>
          <w:szCs w:val="20"/>
        </w:rPr>
        <w:footnoteRef/>
      </w:r>
      <w:r w:rsidRPr="00D61B29">
        <w:rPr>
          <w:szCs w:val="20"/>
        </w:rPr>
        <w:t xml:space="preserve"> Working Group Two Report at 125.</w:t>
      </w:r>
    </w:p>
  </w:footnote>
  <w:footnote w:id="25">
    <w:p w14:paraId="52F1C2DE" w14:textId="77777777" w:rsidR="004421D6" w:rsidRPr="00D61B29" w:rsidRDefault="004421D6" w:rsidP="003D39C3">
      <w:pPr>
        <w:pStyle w:val="NoSpacing"/>
        <w:contextualSpacing/>
        <w:rPr>
          <w:szCs w:val="20"/>
        </w:rPr>
      </w:pPr>
      <w:r w:rsidRPr="00D61B29">
        <w:rPr>
          <w:rStyle w:val="FootnoteReference"/>
          <w:szCs w:val="20"/>
        </w:rPr>
        <w:footnoteRef/>
      </w:r>
      <w:r w:rsidRPr="00D61B29">
        <w:rPr>
          <w:szCs w:val="20"/>
        </w:rPr>
        <w:t xml:space="preserve"> Working Group Two Report at 126.</w:t>
      </w:r>
    </w:p>
  </w:footnote>
  <w:footnote w:id="26">
    <w:p w14:paraId="1FCD945E" w14:textId="77777777" w:rsidR="004421D6" w:rsidRPr="005073FD" w:rsidRDefault="004421D6" w:rsidP="003D39C3">
      <w:pPr>
        <w:pStyle w:val="NoSpacing"/>
        <w:contextualSpacing/>
        <w:rPr>
          <w:szCs w:val="20"/>
        </w:rPr>
      </w:pPr>
      <w:r w:rsidRPr="005073FD">
        <w:rPr>
          <w:rStyle w:val="FootnoteReference"/>
          <w:szCs w:val="20"/>
        </w:rPr>
        <w:footnoteRef/>
      </w:r>
      <w:r w:rsidRPr="005073FD">
        <w:t xml:space="preserve"> </w:t>
      </w:r>
      <w:r w:rsidRPr="005073FD">
        <w:rPr>
          <w:szCs w:val="20"/>
        </w:rPr>
        <w:t>Decision at 182 (</w:t>
      </w:r>
      <w:r w:rsidR="00CA192A">
        <w:rPr>
          <w:i/>
          <w:iCs/>
          <w:szCs w:val="20"/>
        </w:rPr>
        <w:t>S</w:t>
      </w:r>
      <w:r w:rsidR="00CA192A" w:rsidRPr="005073FD">
        <w:rPr>
          <w:i/>
          <w:iCs/>
          <w:szCs w:val="20"/>
        </w:rPr>
        <w:t>ee</w:t>
      </w:r>
      <w:r w:rsidR="00CA192A" w:rsidRPr="005073FD">
        <w:rPr>
          <w:szCs w:val="20"/>
        </w:rPr>
        <w:t xml:space="preserve"> </w:t>
      </w:r>
      <w:r w:rsidRPr="005073FD">
        <w:rPr>
          <w:szCs w:val="20"/>
        </w:rPr>
        <w:t>Finding</w:t>
      </w:r>
      <w:r w:rsidR="003D212D">
        <w:rPr>
          <w:szCs w:val="20"/>
        </w:rPr>
        <w:t>s</w:t>
      </w:r>
      <w:r w:rsidRPr="005073FD">
        <w:rPr>
          <w:szCs w:val="20"/>
        </w:rPr>
        <w:t xml:space="preserve"> of Fact 70).</w:t>
      </w:r>
    </w:p>
  </w:footnote>
  <w:footnote w:id="27">
    <w:p w14:paraId="2CC1AC32" w14:textId="77777777" w:rsidR="00180C3A" w:rsidRPr="0055735A" w:rsidRDefault="00180C3A" w:rsidP="003D39C3">
      <w:pPr>
        <w:pStyle w:val="NoSpacing"/>
        <w:contextualSpacing/>
        <w:rPr>
          <w:szCs w:val="20"/>
        </w:rPr>
      </w:pPr>
      <w:r w:rsidRPr="0055735A">
        <w:rPr>
          <w:rStyle w:val="FootnoteReference"/>
          <w:szCs w:val="20"/>
        </w:rPr>
        <w:footnoteRef/>
      </w:r>
      <w:r w:rsidRPr="0055735A">
        <w:rPr>
          <w:szCs w:val="20"/>
        </w:rPr>
        <w:t xml:space="preserve"> Resolution E-5230 at 34.</w:t>
      </w:r>
    </w:p>
  </w:footnote>
  <w:footnote w:id="28">
    <w:p w14:paraId="1CF7D009" w14:textId="77777777" w:rsidR="0074534D" w:rsidRPr="0055735A" w:rsidRDefault="0074534D" w:rsidP="003D39C3">
      <w:pPr>
        <w:pStyle w:val="NoSpacing"/>
        <w:contextualSpacing/>
        <w:rPr>
          <w:szCs w:val="20"/>
        </w:rPr>
      </w:pPr>
      <w:r w:rsidRPr="0055735A">
        <w:rPr>
          <w:rStyle w:val="FootnoteReference"/>
          <w:szCs w:val="20"/>
        </w:rPr>
        <w:footnoteRef/>
      </w:r>
      <w:r w:rsidRPr="0055735A">
        <w:rPr>
          <w:szCs w:val="20"/>
        </w:rPr>
        <w:t xml:space="preserve"> Resolution E-5230 at 34.</w:t>
      </w:r>
    </w:p>
  </w:footnote>
  <w:footnote w:id="29">
    <w:p w14:paraId="69F4A2E3" w14:textId="77777777" w:rsidR="0023784C" w:rsidRPr="00946D37" w:rsidRDefault="0023784C" w:rsidP="003D39C3">
      <w:pPr>
        <w:pStyle w:val="NoSpacing"/>
        <w:contextualSpacing/>
        <w:rPr>
          <w:szCs w:val="20"/>
        </w:rPr>
      </w:pPr>
      <w:r w:rsidRPr="0055735A">
        <w:rPr>
          <w:rStyle w:val="FootnoteReference"/>
          <w:szCs w:val="20"/>
        </w:rPr>
        <w:footnoteRef/>
      </w:r>
      <w:r w:rsidRPr="0055735A">
        <w:rPr>
          <w:szCs w:val="20"/>
        </w:rPr>
        <w:t xml:space="preserve"> Resolution E-5230 at 42.</w:t>
      </w:r>
    </w:p>
  </w:footnote>
  <w:footnote w:id="30">
    <w:p w14:paraId="6919D274" w14:textId="77777777" w:rsidR="0023784C" w:rsidRPr="0055735A" w:rsidRDefault="0023784C" w:rsidP="003D39C3">
      <w:pPr>
        <w:pStyle w:val="NoSpacing"/>
        <w:contextualSpacing/>
      </w:pPr>
      <w:r w:rsidRPr="0055735A">
        <w:rPr>
          <w:rStyle w:val="FootnoteReference"/>
          <w:szCs w:val="20"/>
        </w:rPr>
        <w:footnoteRef/>
      </w:r>
      <w:r w:rsidRPr="0055735A">
        <w:rPr>
          <w:szCs w:val="20"/>
        </w:rPr>
        <w:t xml:space="preserve"> Resolution E-5230 at 42.</w:t>
      </w:r>
    </w:p>
  </w:footnote>
  <w:footnote w:id="31">
    <w:p w14:paraId="1EAB8CE0" w14:textId="77777777" w:rsidR="00B5257F" w:rsidRPr="00EB2D16" w:rsidRDefault="00B5257F" w:rsidP="003D39C3">
      <w:pPr>
        <w:pStyle w:val="NoSpacing"/>
        <w:contextualSpacing/>
        <w:rPr>
          <w:szCs w:val="20"/>
        </w:rPr>
      </w:pPr>
      <w:r w:rsidRPr="00EB2D16">
        <w:rPr>
          <w:rStyle w:val="FootnoteReference"/>
          <w:szCs w:val="20"/>
        </w:rPr>
        <w:footnoteRef/>
      </w:r>
      <w:r w:rsidRPr="00EB2D16">
        <w:rPr>
          <w:szCs w:val="20"/>
        </w:rPr>
        <w:t xml:space="preserve"> </w:t>
      </w:r>
      <w:r w:rsidR="00421AFA" w:rsidRPr="00EB2D16">
        <w:rPr>
          <w:szCs w:val="20"/>
        </w:rPr>
        <w:t>Res</w:t>
      </w:r>
      <w:r w:rsidR="00421AFA" w:rsidRPr="00766D9D">
        <w:rPr>
          <w:szCs w:val="20"/>
        </w:rPr>
        <w:t>olution E-5211 OP 2.</w:t>
      </w:r>
    </w:p>
  </w:footnote>
  <w:footnote w:id="32">
    <w:p w14:paraId="364833F5" w14:textId="77777777" w:rsidR="00B5257F" w:rsidRDefault="00B5257F" w:rsidP="003D39C3">
      <w:pPr>
        <w:pStyle w:val="NoSpacing"/>
        <w:contextualSpacing/>
      </w:pPr>
      <w:r w:rsidRPr="00EB2D16">
        <w:rPr>
          <w:rStyle w:val="FootnoteReference"/>
          <w:szCs w:val="20"/>
        </w:rPr>
        <w:footnoteRef/>
      </w:r>
      <w:r w:rsidRPr="00EB2D16">
        <w:rPr>
          <w:szCs w:val="20"/>
        </w:rPr>
        <w:t xml:space="preserve"> </w:t>
      </w:r>
      <w:r w:rsidR="00421AFA" w:rsidRPr="00766D9D">
        <w:rPr>
          <w:szCs w:val="20"/>
        </w:rPr>
        <w:t>Resolution E-5211 OP 3.</w:t>
      </w:r>
    </w:p>
  </w:footnote>
  <w:footnote w:id="33">
    <w:p w14:paraId="0AFE1BE5" w14:textId="77777777" w:rsidR="00A46083" w:rsidRPr="0025084F" w:rsidRDefault="00A46083" w:rsidP="003D39C3">
      <w:pPr>
        <w:pStyle w:val="NoSpacing"/>
        <w:contextualSpacing/>
        <w:rPr>
          <w:szCs w:val="20"/>
        </w:rPr>
      </w:pPr>
      <w:r w:rsidRPr="0025084F">
        <w:rPr>
          <w:rStyle w:val="FootnoteReference"/>
          <w:szCs w:val="20"/>
        </w:rPr>
        <w:footnoteRef/>
      </w:r>
      <w:r w:rsidRPr="0025084F">
        <w:rPr>
          <w:szCs w:val="20"/>
        </w:rPr>
        <w:t xml:space="preserve"> Section D.9 of Rule 21 describes the Large IOUs terms of curtailment and disconnection of a generating facility from the grid in the event of emergency or to correct unsafe operating conditions.  </w:t>
      </w:r>
    </w:p>
  </w:footnote>
  <w:footnote w:id="34">
    <w:p w14:paraId="5180C428" w14:textId="77777777" w:rsidR="00180B92" w:rsidRPr="00381EBA" w:rsidRDefault="00180B92" w:rsidP="0025084F">
      <w:pPr>
        <w:rPr>
          <w:szCs w:val="20"/>
        </w:rPr>
      </w:pPr>
      <w:r w:rsidRPr="0025084F">
        <w:rPr>
          <w:rStyle w:val="FootnoteReference"/>
          <w:sz w:val="20"/>
          <w:szCs w:val="20"/>
        </w:rPr>
        <w:footnoteRef/>
      </w:r>
      <w:r w:rsidRPr="0025084F">
        <w:rPr>
          <w:sz w:val="20"/>
          <w:szCs w:val="20"/>
        </w:rPr>
        <w:t xml:space="preserve"> </w:t>
      </w:r>
      <w:r w:rsidR="0025084F" w:rsidRPr="0025084F">
        <w:rPr>
          <w:color w:val="000000"/>
          <w:sz w:val="20"/>
          <w:szCs w:val="20"/>
        </w:rPr>
        <w:t xml:space="preserve">The Joint Alternate Proposal was provided in the Joint January LGP Advice Letter as Attachment A. </w:t>
      </w:r>
      <w:r w:rsidRPr="0025084F">
        <w:rPr>
          <w:sz w:val="20"/>
          <w:szCs w:val="20"/>
        </w:rPr>
        <w:t>During an LGP Workshop on December 16, 2023, IREC requested the opportunity to prepare alternative proposals. Per Energy Division direction, the Alternate Proposal was included in the Joint January LGP AL as Attachment A but due to timing constraints the Large IOUs were unable to comment on it before the AL was due.  In the Joint January LGP AL, at 11, the Large IOUs state: “The Utilities are attaching the alternative proposal to this AL per Energy Division’s direction, and by doing so do not adopt or endorse its recommendations...</w:t>
      </w:r>
      <w:r w:rsidR="00973266" w:rsidRPr="0025084F">
        <w:rPr>
          <w:sz w:val="20"/>
          <w:szCs w:val="20"/>
        </w:rPr>
        <w:t xml:space="preserve"> </w:t>
      </w:r>
      <w:r w:rsidRPr="0025084F">
        <w:rPr>
          <w:sz w:val="20"/>
          <w:szCs w:val="20"/>
        </w:rPr>
        <w:t>The Utilities understand they will have the opportunity to offer comments later.”</w:t>
      </w:r>
    </w:p>
  </w:footnote>
  <w:footnote w:id="35">
    <w:p w14:paraId="53F21390" w14:textId="77777777" w:rsidR="00F15427" w:rsidRPr="005F2557" w:rsidRDefault="00F15427" w:rsidP="003D39C3">
      <w:pPr>
        <w:pStyle w:val="NoSpacing"/>
        <w:contextualSpacing/>
      </w:pPr>
      <w:r w:rsidRPr="005F2557">
        <w:rPr>
          <w:rStyle w:val="FootnoteReference"/>
          <w:szCs w:val="20"/>
        </w:rPr>
        <w:footnoteRef/>
      </w:r>
      <w:r w:rsidRPr="005F2557">
        <w:rPr>
          <w:szCs w:val="20"/>
        </w:rPr>
        <w:t xml:space="preserve"> On June 27, 2023, the CPUC Energy Division issued </w:t>
      </w:r>
      <w:r>
        <w:rPr>
          <w:szCs w:val="20"/>
        </w:rPr>
        <w:t xml:space="preserve">a </w:t>
      </w:r>
      <w:r w:rsidRPr="005F2557">
        <w:rPr>
          <w:szCs w:val="20"/>
        </w:rPr>
        <w:t>Data Request on the Joint May LGP AL</w:t>
      </w:r>
      <w:r>
        <w:rPr>
          <w:szCs w:val="20"/>
        </w:rPr>
        <w:t>, c</w:t>
      </w:r>
      <w:r w:rsidRPr="005F2557">
        <w:rPr>
          <w:szCs w:val="20"/>
        </w:rPr>
        <w:t>omprised of two p</w:t>
      </w:r>
      <w:r>
        <w:rPr>
          <w:szCs w:val="20"/>
        </w:rPr>
        <w:t xml:space="preserve">arts: Part </w:t>
      </w:r>
      <w:r w:rsidRPr="005F2557">
        <w:rPr>
          <w:szCs w:val="20"/>
        </w:rPr>
        <w:t>1 on ICA violations resulting from different levels of granularity of LGPs, and</w:t>
      </w:r>
      <w:r>
        <w:rPr>
          <w:szCs w:val="20"/>
        </w:rPr>
        <w:t xml:space="preserve"> Part </w:t>
      </w:r>
      <w:r w:rsidRPr="005F2557">
        <w:rPr>
          <w:szCs w:val="20"/>
        </w:rPr>
        <w:t xml:space="preserve">2 </w:t>
      </w:r>
      <w:r>
        <w:rPr>
          <w:szCs w:val="20"/>
        </w:rPr>
        <w:t xml:space="preserve">on </w:t>
      </w:r>
      <w:r w:rsidRPr="005F2557">
        <w:rPr>
          <w:szCs w:val="20"/>
        </w:rPr>
        <w:t xml:space="preserve">the hours of ICA violations resulting from the various LGP levels of granularity to identify real grid impacts. </w:t>
      </w:r>
      <w:r>
        <w:rPr>
          <w:szCs w:val="20"/>
        </w:rPr>
        <w:t>There were three subsequent updates:  Update #1 on J</w:t>
      </w:r>
      <w:r w:rsidRPr="005F2557">
        <w:rPr>
          <w:szCs w:val="20"/>
        </w:rPr>
        <w:t xml:space="preserve">uly 21, 2023, </w:t>
      </w:r>
      <w:r>
        <w:rPr>
          <w:szCs w:val="20"/>
        </w:rPr>
        <w:t xml:space="preserve">Update #2 on </w:t>
      </w:r>
      <w:r w:rsidRPr="005F2557">
        <w:rPr>
          <w:szCs w:val="20"/>
        </w:rPr>
        <w:t xml:space="preserve">August 14, 2023, </w:t>
      </w:r>
      <w:r>
        <w:rPr>
          <w:szCs w:val="20"/>
        </w:rPr>
        <w:t>and Update #3 on September 20, 2023. Update #3 added a new Part 3 requesting pre-LGP comparison cases and calculation of maximum power. See Discussion of E-5230 Topic F for details</w:t>
      </w:r>
      <w:r w:rsidRPr="005F2557" w:rsidDel="006D391F">
        <w:rPr>
          <w:szCs w:val="20"/>
        </w:rPr>
        <w:t>.</w:t>
      </w:r>
      <w:r>
        <w:rPr>
          <w:szCs w:val="20"/>
        </w:rPr>
        <w:t xml:space="preserve"> </w:t>
      </w:r>
    </w:p>
  </w:footnote>
  <w:footnote w:id="36">
    <w:p w14:paraId="08E55DC6" w14:textId="77777777" w:rsidR="009B2E67" w:rsidRPr="009B2E67" w:rsidRDefault="009B2E67" w:rsidP="009B2E67">
      <w:pPr>
        <w:pStyle w:val="FootnoteText"/>
        <w:spacing w:after="0"/>
        <w:rPr>
          <w:rFonts w:ascii="Palatino Linotype" w:hAnsi="Palatino Linotype"/>
          <w:sz w:val="20"/>
          <w:szCs w:val="20"/>
        </w:rPr>
      </w:pPr>
      <w:r w:rsidRPr="009B2E67">
        <w:rPr>
          <w:rStyle w:val="FootnoteReference"/>
          <w:rFonts w:ascii="Palatino Linotype" w:hAnsi="Palatino Linotype"/>
          <w:sz w:val="20"/>
          <w:szCs w:val="20"/>
        </w:rPr>
        <w:footnoteRef/>
      </w:r>
      <w:r w:rsidRPr="009B2E67">
        <w:rPr>
          <w:rFonts w:ascii="Palatino Linotype" w:hAnsi="Palatino Linotype"/>
          <w:sz w:val="20"/>
          <w:szCs w:val="20"/>
        </w:rPr>
        <w:t xml:space="preserve"> </w:t>
      </w:r>
      <w:r>
        <w:rPr>
          <w:rFonts w:ascii="Palatino Linotype" w:hAnsi="Palatino Linotype"/>
          <w:sz w:val="20"/>
          <w:szCs w:val="20"/>
        </w:rPr>
        <w:t xml:space="preserve">SCE </w:t>
      </w:r>
      <w:r w:rsidRPr="009B2E67">
        <w:rPr>
          <w:rFonts w:ascii="Palatino Linotype" w:hAnsi="Palatino Linotype"/>
          <w:sz w:val="20"/>
          <w:szCs w:val="20"/>
        </w:rPr>
        <w:t>Supplement 5025-E-B was submitted to correct errors in Supplement 5025-E-A.</w:t>
      </w:r>
    </w:p>
  </w:footnote>
  <w:footnote w:id="37">
    <w:p w14:paraId="624B1BF7" w14:textId="77777777" w:rsidR="00F15427" w:rsidRPr="00A8355D" w:rsidRDefault="00F15427" w:rsidP="003D39C3">
      <w:pPr>
        <w:pStyle w:val="NoSpacing"/>
        <w:contextualSpacing/>
        <w:rPr>
          <w:szCs w:val="20"/>
        </w:rPr>
      </w:pPr>
      <w:r w:rsidRPr="00A8355D">
        <w:rPr>
          <w:rStyle w:val="FootnoteReference"/>
          <w:szCs w:val="20"/>
        </w:rPr>
        <w:footnoteRef/>
      </w:r>
      <w:r w:rsidRPr="00A8355D">
        <w:rPr>
          <w:szCs w:val="20"/>
        </w:rPr>
        <w:t xml:space="preserve"> The Supplement to the Joint </w:t>
      </w:r>
      <w:r>
        <w:rPr>
          <w:szCs w:val="20"/>
        </w:rPr>
        <w:t xml:space="preserve">January LGP </w:t>
      </w:r>
      <w:r w:rsidRPr="00A8355D">
        <w:rPr>
          <w:szCs w:val="20"/>
        </w:rPr>
        <w:t xml:space="preserve">AL asked to “maintain the original protest and comment period … and not reopen the protest period.”  Energy Division did not reopen the protest period therefore Cal Advocate’s protest was considered late. </w:t>
      </w:r>
    </w:p>
  </w:footnote>
  <w:footnote w:id="38">
    <w:p w14:paraId="767CC4EB" w14:textId="77777777" w:rsidR="00F3060A" w:rsidRDefault="00F3060A" w:rsidP="003D39C3">
      <w:pPr>
        <w:pStyle w:val="NoSpacing"/>
        <w:contextualSpacing/>
      </w:pPr>
      <w:r w:rsidRPr="00A8355D">
        <w:rPr>
          <w:rStyle w:val="FootnoteReference"/>
          <w:szCs w:val="20"/>
        </w:rPr>
        <w:footnoteRef/>
      </w:r>
      <w:r w:rsidRPr="00A8355D">
        <w:t xml:space="preserve"> Per General Order 96-B, Section 7.4.4 (Late-Submitted Protest or Response): </w:t>
      </w:r>
      <w:r>
        <w:t>“</w:t>
      </w:r>
      <w:r w:rsidRPr="00A8355D">
        <w:t>The reviewing Industry Division may consider a late-submitted protest or response. If an Industry Division considers a late-submitted protest or response, it will so notify the utility, and the utility shall have five business days from the date of issuance of the notice within which to reply to the late-submitted protest or response.</w:t>
      </w:r>
      <w:r>
        <w:t>”</w:t>
      </w:r>
    </w:p>
  </w:footnote>
  <w:footnote w:id="39">
    <w:p w14:paraId="2B9B64AE" w14:textId="77777777" w:rsidR="00A43214" w:rsidRPr="00A43214" w:rsidRDefault="00A43214" w:rsidP="003D39C3">
      <w:pPr>
        <w:pStyle w:val="FootnoteText"/>
        <w:spacing w:after="0"/>
        <w:contextualSpacing/>
        <w:rPr>
          <w:rFonts w:ascii="Palatino Linotype" w:hAnsi="Palatino Linotype"/>
          <w:sz w:val="20"/>
          <w:szCs w:val="20"/>
        </w:rPr>
      </w:pPr>
      <w:r w:rsidRPr="00A43214">
        <w:rPr>
          <w:rStyle w:val="FootnoteReference"/>
          <w:rFonts w:ascii="Palatino Linotype" w:hAnsi="Palatino Linotype"/>
          <w:sz w:val="20"/>
          <w:szCs w:val="20"/>
        </w:rPr>
        <w:footnoteRef/>
      </w:r>
      <w:r w:rsidRPr="00A43214">
        <w:rPr>
          <w:rFonts w:ascii="Palatino Linotype" w:hAnsi="Palatino Linotype"/>
          <w:sz w:val="20"/>
          <w:szCs w:val="20"/>
        </w:rPr>
        <w:t xml:space="preserve"> </w:t>
      </w:r>
      <w:r w:rsidRPr="00A43214">
        <w:rPr>
          <w:rFonts w:ascii="Palatino Linotype" w:hAnsi="Palatino Linotype" w:cstheme="minorHAnsi"/>
          <w:sz w:val="20"/>
          <w:szCs w:val="20"/>
        </w:rPr>
        <w:t>The notice extended the protest period for PG&amp;E’s portion of the Supplement to the Joint May LGP AL—PG&amp;E AL 6929-E-A—to coincide with the protest period of SCE AL 5025-E-B.</w:t>
      </w:r>
    </w:p>
  </w:footnote>
  <w:footnote w:id="40">
    <w:p w14:paraId="0372440D"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E-5211 Ordering Paragraph 2: </w:t>
      </w:r>
      <w:r w:rsidR="00EF6322">
        <w:rPr>
          <w:rFonts w:ascii="Palatino Linotype" w:hAnsi="Palatino Linotype"/>
          <w:sz w:val="20"/>
          <w:szCs w:val="20"/>
        </w:rPr>
        <w:t xml:space="preserve">The Large IOUs </w:t>
      </w:r>
      <w:r w:rsidRPr="006972C8">
        <w:rPr>
          <w:rFonts w:ascii="Palatino Linotype" w:hAnsi="Palatino Linotype"/>
          <w:sz w:val="20"/>
          <w:szCs w:val="20"/>
        </w:rPr>
        <w:t>“are ordered to participate in at least two workshops to discuss all material articulated in the Discussion section of this Resolution.</w:t>
      </w:r>
      <w:r w:rsidR="00BA4928">
        <w:rPr>
          <w:rFonts w:ascii="Palatino Linotype" w:hAnsi="Palatino Linotype"/>
          <w:sz w:val="20"/>
          <w:szCs w:val="20"/>
        </w:rPr>
        <w:t xml:space="preserve">.. </w:t>
      </w:r>
      <w:r w:rsidRPr="006972C8">
        <w:rPr>
          <w:rFonts w:ascii="Palatino Linotype" w:hAnsi="Palatino Linotype"/>
          <w:sz w:val="20"/>
          <w:szCs w:val="20"/>
        </w:rPr>
        <w:t>The Large IOUs are expected to address topics identified by Energy Division as needing discussion and prepare relevant presentations.</w:t>
      </w:r>
      <w:r w:rsidR="00BA4928">
        <w:rPr>
          <w:rFonts w:ascii="Palatino Linotype" w:hAnsi="Palatino Linotype"/>
          <w:sz w:val="20"/>
          <w:szCs w:val="20"/>
        </w:rPr>
        <w:t>.</w:t>
      </w:r>
      <w:r w:rsidRPr="006972C8">
        <w:rPr>
          <w:rFonts w:ascii="Palatino Linotype" w:hAnsi="Palatino Linotype"/>
          <w:sz w:val="20"/>
          <w:szCs w:val="20"/>
        </w:rPr>
        <w:t>.”</w:t>
      </w:r>
    </w:p>
  </w:footnote>
  <w:footnote w:id="41">
    <w:p w14:paraId="51A95C39"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E-5230 Ordering Paragraph 2: </w:t>
      </w:r>
      <w:r w:rsidR="00EF6322">
        <w:rPr>
          <w:rFonts w:ascii="Palatino Linotype" w:hAnsi="Palatino Linotype"/>
          <w:sz w:val="20"/>
          <w:szCs w:val="20"/>
        </w:rPr>
        <w:t>The Large IOUs “</w:t>
      </w:r>
      <w:r w:rsidRPr="006972C8">
        <w:rPr>
          <w:rFonts w:ascii="Palatino Linotype" w:hAnsi="Palatino Linotype"/>
          <w:sz w:val="20"/>
          <w:szCs w:val="20"/>
        </w:rPr>
        <w:t>are ordered to participate in at least two half-day workshops to discuss all material articulated in the Discussion section of this Resolution.</w:t>
      </w:r>
      <w:r w:rsidR="00BA4928">
        <w:rPr>
          <w:rFonts w:ascii="Palatino Linotype" w:hAnsi="Palatino Linotype"/>
          <w:sz w:val="20"/>
          <w:szCs w:val="20"/>
        </w:rPr>
        <w:t xml:space="preserve">.. </w:t>
      </w:r>
      <w:r w:rsidRPr="006972C8">
        <w:rPr>
          <w:rFonts w:ascii="Palatino Linotype" w:hAnsi="Palatino Linotype"/>
          <w:sz w:val="20"/>
          <w:szCs w:val="20"/>
        </w:rPr>
        <w:t>The Large IOUs are expected to address topics identified by Energy Division as needing discussion and prepare relevant presentations.</w:t>
      </w:r>
      <w:r w:rsidR="00BA4928">
        <w:rPr>
          <w:rFonts w:ascii="Palatino Linotype" w:hAnsi="Palatino Linotype"/>
          <w:sz w:val="20"/>
          <w:szCs w:val="20"/>
        </w:rPr>
        <w:t>.</w:t>
      </w:r>
      <w:r w:rsidRPr="006972C8">
        <w:rPr>
          <w:rFonts w:ascii="Palatino Linotype" w:hAnsi="Palatino Linotype"/>
          <w:sz w:val="20"/>
          <w:szCs w:val="20"/>
        </w:rPr>
        <w:t>.”</w:t>
      </w:r>
    </w:p>
  </w:footnote>
  <w:footnote w:id="42">
    <w:p w14:paraId="6943C4B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Participation in workshops was labeled “Issue 1” in Resolution E-5211.</w:t>
      </w:r>
    </w:p>
  </w:footnote>
  <w:footnote w:id="43">
    <w:p w14:paraId="67DE30F6"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Participation in workshops was labeled “Issue A” in Resolution E-5230.</w:t>
      </w:r>
    </w:p>
  </w:footnote>
  <w:footnote w:id="44">
    <w:p w14:paraId="52094C12"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Resolution E-5211 at 11.</w:t>
      </w:r>
    </w:p>
  </w:footnote>
  <w:footnote w:id="45">
    <w:p w14:paraId="49B82E4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Resolution E-5211 at 20; discussions as ordered by OP 2</w:t>
      </w:r>
    </w:p>
  </w:footnote>
  <w:footnote w:id="46">
    <w:p w14:paraId="39D4F8B2"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Resolution E-5211 at 23; discussions as ordered by OP 2</w:t>
      </w:r>
      <w:r w:rsidR="00151811">
        <w:rPr>
          <w:rFonts w:ascii="Palatino Linotype" w:hAnsi="Palatino Linotype"/>
          <w:sz w:val="20"/>
          <w:szCs w:val="20"/>
        </w:rPr>
        <w:t>.</w:t>
      </w:r>
    </w:p>
  </w:footnote>
  <w:footnote w:id="47">
    <w:p w14:paraId="3A558B66" w14:textId="77777777" w:rsidR="003D39C3" w:rsidRPr="006972C8" w:rsidRDefault="003D39C3" w:rsidP="003D39C3">
      <w:pPr>
        <w:pStyle w:val="FootnoteText"/>
        <w:snapToGrid w:val="0"/>
        <w:spacing w:after="0"/>
        <w:contextualSpacing/>
        <w:rPr>
          <w:rFonts w:ascii="Palatino Linotype" w:hAnsi="Palatino Linotype"/>
          <w:sz w:val="20"/>
          <w:szCs w:val="20"/>
        </w:rPr>
      </w:pPr>
      <w:r w:rsidRPr="006972C8">
        <w:rPr>
          <w:rStyle w:val="FootnoteReference"/>
          <w:rFonts w:ascii="Palatino Linotype" w:hAnsi="Palatino Linotype" w:cstheme="minorHAnsi"/>
          <w:sz w:val="20"/>
          <w:szCs w:val="20"/>
        </w:rPr>
        <w:footnoteRef/>
      </w:r>
      <w:r w:rsidRPr="006972C8">
        <w:rPr>
          <w:rFonts w:ascii="Palatino Linotype" w:hAnsi="Palatino Linotype" w:cstheme="minorHAnsi"/>
          <w:sz w:val="20"/>
          <w:szCs w:val="20"/>
        </w:rPr>
        <w:t xml:space="preserve"> The memorializing of sub-issue discussions is ordered by Resolution E-5211 Ordering Paragraph 3: “Pacific Gas and Electric Company, Southern California Edison Company, and San Diego Gas &amp; Electric Company are ordered to submit subsequent Tier 3 Advice Letters, within 90 days, after issuance of this Resolution. The Advice Letters should contain all material articulated in the Discussion section of this Resolution and shall meet all the requirements of Ordering Paragraph 16 (and OP 15 as referenced in OP 16) of D.20-09-035.”</w:t>
      </w:r>
    </w:p>
  </w:footnote>
  <w:footnote w:id="48">
    <w:p w14:paraId="7ED18D82" w14:textId="77777777" w:rsidR="003D39C3" w:rsidRPr="006972C8" w:rsidRDefault="003D39C3" w:rsidP="003D39C3">
      <w:pPr>
        <w:pStyle w:val="FootnoteText"/>
        <w:spacing w:after="0"/>
        <w:contextualSpacing/>
        <w:rPr>
          <w:rFonts w:ascii="Palatino Linotype" w:hAnsi="Palatino Linotype"/>
        </w:rPr>
      </w:pPr>
      <w:r w:rsidRPr="006972C8">
        <w:rPr>
          <w:rStyle w:val="FootnoteReference"/>
          <w:rFonts w:ascii="Palatino Linotype" w:hAnsi="Palatino Linotype"/>
        </w:rPr>
        <w:footnoteRef/>
      </w:r>
      <w:r w:rsidRPr="006972C8">
        <w:rPr>
          <w:rFonts w:ascii="Palatino Linotype" w:hAnsi="Palatino Linotype"/>
        </w:rPr>
        <w:t xml:space="preserve"> </w:t>
      </w:r>
      <w:r w:rsidRPr="006972C8">
        <w:rPr>
          <w:rFonts w:ascii="Palatino Linotype" w:hAnsi="Palatino Linotype"/>
          <w:sz w:val="20"/>
          <w:szCs w:val="20"/>
        </w:rPr>
        <w:t xml:space="preserve">Resolution E-5211 at </w:t>
      </w:r>
      <w:r w:rsidRPr="005466E7">
        <w:rPr>
          <w:rFonts w:ascii="Palatino Linotype" w:hAnsi="Palatino Linotype"/>
          <w:sz w:val="20"/>
          <w:szCs w:val="20"/>
        </w:rPr>
        <w:t>9-10</w:t>
      </w:r>
      <w:r w:rsidR="00151811">
        <w:rPr>
          <w:rFonts w:ascii="Palatino Linotype" w:hAnsi="Palatino Linotype"/>
        </w:rPr>
        <w:t>.</w:t>
      </w:r>
    </w:p>
  </w:footnote>
  <w:footnote w:id="49">
    <w:p w14:paraId="482EC30A" w14:textId="77777777" w:rsidR="00E15214" w:rsidRPr="00E15214" w:rsidRDefault="00E15214" w:rsidP="00E15214">
      <w:pPr>
        <w:pStyle w:val="FootnoteText"/>
        <w:spacing w:after="0"/>
        <w:rPr>
          <w:sz w:val="20"/>
          <w:szCs w:val="20"/>
        </w:rPr>
      </w:pPr>
      <w:r>
        <w:rPr>
          <w:rStyle w:val="FootnoteReference"/>
        </w:rPr>
        <w:footnoteRef/>
      </w:r>
      <w:r>
        <w:t xml:space="preserve"> </w:t>
      </w:r>
      <w:r>
        <w:rPr>
          <w:sz w:val="20"/>
          <w:szCs w:val="20"/>
        </w:rPr>
        <w:t>Resolution E-5211 at 9.</w:t>
      </w:r>
    </w:p>
  </w:footnote>
  <w:footnote w:id="50">
    <w:p w14:paraId="44FD389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Resolution E-5211 at 18-19</w:t>
      </w:r>
      <w:r w:rsidR="00151811">
        <w:rPr>
          <w:szCs w:val="20"/>
        </w:rPr>
        <w:t>.</w:t>
      </w:r>
    </w:p>
  </w:footnote>
  <w:footnote w:id="51">
    <w:p w14:paraId="416FD5A9"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19</w:t>
      </w:r>
      <w:r w:rsidR="00151811">
        <w:rPr>
          <w:szCs w:val="20"/>
        </w:rPr>
        <w:t>.</w:t>
      </w:r>
    </w:p>
  </w:footnote>
  <w:footnote w:id="52">
    <w:p w14:paraId="7A649D11"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19</w:t>
      </w:r>
      <w:r w:rsidR="00151811">
        <w:rPr>
          <w:szCs w:val="20"/>
        </w:rPr>
        <w:t xml:space="preserve">. </w:t>
      </w:r>
    </w:p>
  </w:footnote>
  <w:footnote w:id="53">
    <w:p w14:paraId="00EA8BDE"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See, e.g., PG&amp;E Rule 21 Section D.9 “Curtailment and Disconnection,” Sheet 41, effective </w:t>
      </w:r>
      <w:r w:rsidR="00653A72">
        <w:rPr>
          <w:szCs w:val="20"/>
        </w:rPr>
        <w:br/>
      </w:r>
      <w:r w:rsidRPr="006972C8">
        <w:rPr>
          <w:szCs w:val="20"/>
        </w:rPr>
        <w:t>February 28, 2023.</w:t>
      </w:r>
    </w:p>
  </w:footnote>
  <w:footnote w:id="54">
    <w:p w14:paraId="41046C5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Joint January LGP AL at 5</w:t>
      </w:r>
      <w:r w:rsidR="00C9613A">
        <w:rPr>
          <w:szCs w:val="20"/>
        </w:rPr>
        <w:t>.</w:t>
      </w:r>
    </w:p>
  </w:footnote>
  <w:footnote w:id="55">
    <w:p w14:paraId="61BCEAEB"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56">
    <w:p w14:paraId="278D303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p>
  </w:footnote>
  <w:footnote w:id="57">
    <w:p w14:paraId="6E7F3E3D"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the Joint January LGP AL at 3.</w:t>
      </w:r>
    </w:p>
  </w:footnote>
  <w:footnote w:id="58">
    <w:p w14:paraId="228393F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the Joint January LGP AL at 3.</w:t>
      </w:r>
    </w:p>
  </w:footnote>
  <w:footnote w:id="59">
    <w:p w14:paraId="2CD00A2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Cal Advocates Protest to the Joint January LGP AL at 6.</w:t>
      </w:r>
    </w:p>
  </w:footnote>
  <w:footnote w:id="60">
    <w:p w14:paraId="44214B9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Resolution E-5211 at 18-19</w:t>
      </w:r>
      <w:r w:rsidR="00C9613A">
        <w:rPr>
          <w:szCs w:val="20"/>
        </w:rPr>
        <w:t>.</w:t>
      </w:r>
    </w:p>
  </w:footnote>
  <w:footnote w:id="61">
    <w:p w14:paraId="4C5D8ACA"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Resolution E-5211 at 19</w:t>
      </w:r>
      <w:r w:rsidR="00C9613A">
        <w:rPr>
          <w:szCs w:val="20"/>
        </w:rPr>
        <w:t>.</w:t>
      </w:r>
    </w:p>
  </w:footnote>
  <w:footnote w:id="62">
    <w:p w14:paraId="3BA2444B"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Joint January LGP AL at 6</w:t>
      </w:r>
      <w:r w:rsidR="009551A2">
        <w:rPr>
          <w:rFonts w:cstheme="minorHAnsi"/>
          <w:szCs w:val="20"/>
        </w:rPr>
        <w:t>.</w:t>
      </w:r>
    </w:p>
  </w:footnote>
  <w:footnote w:id="63">
    <w:p w14:paraId="5B22D413" w14:textId="77777777" w:rsidR="003D39C3" w:rsidRPr="006972C8" w:rsidRDefault="003D39C3" w:rsidP="003D39C3">
      <w:pPr>
        <w:pStyle w:val="FootnoteText"/>
        <w:spacing w:after="0"/>
        <w:contextualSpacing/>
        <w:rPr>
          <w:rFonts w:ascii="Palatino Linotype" w:hAnsi="Palatino Linotype" w:cstheme="minorHAnsi"/>
          <w:sz w:val="20"/>
          <w:szCs w:val="20"/>
        </w:rPr>
      </w:pPr>
      <w:r w:rsidRPr="006972C8">
        <w:rPr>
          <w:rStyle w:val="FootnoteReference"/>
          <w:rFonts w:ascii="Palatino Linotype" w:hAnsi="Palatino Linotype" w:cstheme="minorHAnsi"/>
          <w:sz w:val="20"/>
          <w:szCs w:val="20"/>
        </w:rPr>
        <w:footnoteRef/>
      </w:r>
      <w:r w:rsidRPr="006972C8">
        <w:rPr>
          <w:rFonts w:ascii="Palatino Linotype" w:hAnsi="Palatino Linotype" w:cstheme="minorHAnsi"/>
          <w:sz w:val="20"/>
          <w:szCs w:val="20"/>
        </w:rPr>
        <w:t xml:space="preserve"> Joint January LGP AL at 6, referencing D.20-09-035 at 59</w:t>
      </w:r>
      <w:r w:rsidR="009551A2">
        <w:rPr>
          <w:rFonts w:ascii="Palatino Linotype" w:hAnsi="Palatino Linotype" w:cstheme="minorHAnsi"/>
          <w:sz w:val="20"/>
          <w:szCs w:val="20"/>
        </w:rPr>
        <w:t>.</w:t>
      </w:r>
    </w:p>
  </w:footnote>
  <w:footnote w:id="64">
    <w:p w14:paraId="622ECD25" w14:textId="77777777" w:rsidR="003D39C3" w:rsidRPr="006972C8" w:rsidRDefault="003D39C3" w:rsidP="003D39C3">
      <w:pPr>
        <w:pStyle w:val="FootnoteText"/>
        <w:spacing w:after="0"/>
        <w:contextualSpacing/>
        <w:rPr>
          <w:rFonts w:ascii="Palatino Linotype" w:hAnsi="Palatino Linotype" w:cstheme="minorHAnsi"/>
          <w:sz w:val="20"/>
          <w:szCs w:val="20"/>
        </w:rPr>
      </w:pPr>
      <w:r w:rsidRPr="006972C8">
        <w:rPr>
          <w:rStyle w:val="FootnoteReference"/>
          <w:rFonts w:ascii="Palatino Linotype" w:hAnsi="Palatino Linotype" w:cstheme="minorHAnsi"/>
          <w:sz w:val="20"/>
          <w:szCs w:val="20"/>
        </w:rPr>
        <w:footnoteRef/>
      </w:r>
      <w:r w:rsidRPr="006972C8">
        <w:rPr>
          <w:rFonts w:ascii="Palatino Linotype" w:hAnsi="Palatino Linotype" w:cstheme="minorHAnsi"/>
          <w:sz w:val="20"/>
          <w:szCs w:val="20"/>
        </w:rPr>
        <w:t xml:space="preserve"> Joint January LGP AL at 6, referencing Resolution E-5211 at 220-23</w:t>
      </w:r>
      <w:r w:rsidR="009551A2">
        <w:rPr>
          <w:rFonts w:ascii="Palatino Linotype" w:hAnsi="Palatino Linotype" w:cstheme="minorHAnsi"/>
          <w:sz w:val="20"/>
          <w:szCs w:val="20"/>
        </w:rPr>
        <w:t>.</w:t>
      </w:r>
    </w:p>
  </w:footnote>
  <w:footnote w:id="65">
    <w:p w14:paraId="3880E207" w14:textId="77777777" w:rsidR="003D39C3" w:rsidRPr="006972C8" w:rsidRDefault="003D39C3" w:rsidP="003D39C3">
      <w:pPr>
        <w:pStyle w:val="NormalWeb"/>
        <w:spacing w:before="0" w:beforeAutospacing="0" w:after="0" w:afterAutospacing="0"/>
        <w:contextualSpacing/>
        <w:rPr>
          <w:rFonts w:cstheme="minorHAnsi"/>
          <w:sz w:val="20"/>
          <w:szCs w:val="20"/>
        </w:rPr>
      </w:pPr>
      <w:r w:rsidRPr="006972C8">
        <w:rPr>
          <w:rStyle w:val="FootnoteReference"/>
          <w:rFonts w:cstheme="minorHAnsi"/>
          <w:sz w:val="20"/>
          <w:szCs w:val="20"/>
        </w:rPr>
        <w:footnoteRef/>
      </w:r>
      <w:r w:rsidRPr="006972C8">
        <w:rPr>
          <w:rFonts w:cstheme="minorHAnsi"/>
          <w:sz w:val="20"/>
          <w:szCs w:val="20"/>
        </w:rPr>
        <w:t xml:space="preserve"> Footnote in Joint January LGP AL at 6: “The Resolution states that “if another entity takes future action that reduces hosting capacity for those using the LGP-option, the other entity is the one causing the issue and should ultimately be responsible for the cost of curing the lack of hosting capacity.” Resolution, p. 21. This statement implies that customers on a circuit that reduce their metered consumption could be held liable for the cost of circuit upgrades. The Utilities believe this is a fundamental policy determination that requires further deliberation, and, in any event, is beyond the scope of the Resolution.”</w:t>
      </w:r>
    </w:p>
  </w:footnote>
  <w:footnote w:id="66">
    <w:p w14:paraId="436BFB5D"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Southern California Edison Company’s Reply to Public Advocates Office and IREC Protests of Advice </w:t>
      </w:r>
      <w:r w:rsidR="00653A72">
        <w:rPr>
          <w:rFonts w:cstheme="minorHAnsi"/>
          <w:szCs w:val="20"/>
        </w:rPr>
        <w:t xml:space="preserve">Letter </w:t>
      </w:r>
      <w:r w:rsidRPr="006972C8">
        <w:rPr>
          <w:rFonts w:cstheme="minorHAnsi"/>
          <w:szCs w:val="20"/>
        </w:rPr>
        <w:t>4941-E, at 2</w:t>
      </w:r>
      <w:r w:rsidR="009551A2">
        <w:rPr>
          <w:rFonts w:cstheme="minorHAnsi"/>
          <w:szCs w:val="20"/>
        </w:rPr>
        <w:t>.</w:t>
      </w:r>
    </w:p>
  </w:footnote>
  <w:footnote w:id="67">
    <w:p w14:paraId="2096E9F1" w14:textId="77777777" w:rsidR="003D39C3" w:rsidRPr="006972C8" w:rsidRDefault="003D39C3" w:rsidP="003D39C3">
      <w:pPr>
        <w:pStyle w:val="NoSpacing"/>
        <w:contextualSpacing/>
        <w:rPr>
          <w:szCs w:val="20"/>
        </w:rPr>
      </w:pPr>
      <w:r w:rsidRPr="006972C8">
        <w:rPr>
          <w:rStyle w:val="FootnoteReference"/>
          <w:rFonts w:cstheme="minorHAnsi"/>
          <w:szCs w:val="20"/>
        </w:rPr>
        <w:footnoteRef/>
      </w:r>
      <w:r w:rsidRPr="006972C8">
        <w:rPr>
          <w:rFonts w:cstheme="minorHAnsi"/>
          <w:szCs w:val="20"/>
        </w:rPr>
        <w:t xml:space="preserve"> Ibid at 3</w:t>
      </w:r>
      <w:r w:rsidR="009551A2">
        <w:rPr>
          <w:rFonts w:cstheme="minorHAnsi"/>
          <w:szCs w:val="20"/>
        </w:rPr>
        <w:t>.</w:t>
      </w:r>
    </w:p>
  </w:footnote>
  <w:footnote w:id="68">
    <w:p w14:paraId="58997D2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4</w:t>
      </w:r>
      <w:r w:rsidR="009551A2">
        <w:rPr>
          <w:rFonts w:ascii="Palatino Linotype" w:hAnsi="Palatino Linotype"/>
          <w:sz w:val="20"/>
          <w:szCs w:val="20"/>
        </w:rPr>
        <w:t>.</w:t>
      </w:r>
    </w:p>
  </w:footnote>
  <w:footnote w:id="69">
    <w:p w14:paraId="1362CFEF"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2</w:t>
      </w:r>
      <w:r w:rsidR="009551A2">
        <w:rPr>
          <w:sz w:val="20"/>
          <w:szCs w:val="20"/>
        </w:rPr>
        <w:t>.</w:t>
      </w:r>
    </w:p>
  </w:footnote>
  <w:footnote w:id="70">
    <w:p w14:paraId="50CFAEFB"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6</w:t>
      </w:r>
      <w:r w:rsidR="009551A2">
        <w:rPr>
          <w:szCs w:val="20"/>
        </w:rPr>
        <w:t>.</w:t>
      </w:r>
    </w:p>
  </w:footnote>
  <w:footnote w:id="71">
    <w:p w14:paraId="4A78C500"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January LGP AL at 6</w:t>
      </w:r>
      <w:r w:rsidR="009551A2">
        <w:rPr>
          <w:sz w:val="20"/>
          <w:szCs w:val="20"/>
        </w:rPr>
        <w:t>.</w:t>
      </w:r>
    </w:p>
  </w:footnote>
  <w:footnote w:id="72">
    <w:p w14:paraId="162A6778"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4</w:t>
      </w:r>
      <w:r w:rsidR="009551A2">
        <w:rPr>
          <w:sz w:val="20"/>
          <w:szCs w:val="20"/>
        </w:rPr>
        <w:t>.</w:t>
      </w:r>
    </w:p>
  </w:footnote>
  <w:footnote w:id="73">
    <w:p w14:paraId="73D03198" w14:textId="77777777" w:rsidR="003D39C3" w:rsidRPr="006972C8" w:rsidRDefault="003D39C3" w:rsidP="003D39C3">
      <w:pPr>
        <w:pStyle w:val="NoSpacing"/>
        <w:tabs>
          <w:tab w:val="left" w:pos="1050"/>
        </w:tabs>
        <w:contextualSpacing/>
        <w:rPr>
          <w:szCs w:val="20"/>
        </w:rPr>
      </w:pPr>
      <w:r w:rsidRPr="006972C8">
        <w:rPr>
          <w:rStyle w:val="FootnoteReference"/>
          <w:szCs w:val="20"/>
        </w:rPr>
        <w:footnoteRef/>
      </w:r>
      <w:r w:rsidRPr="006972C8">
        <w:rPr>
          <w:szCs w:val="20"/>
        </w:rPr>
        <w:t xml:space="preserve"> Ibid at 4</w:t>
      </w:r>
      <w:r w:rsidR="009551A2">
        <w:rPr>
          <w:szCs w:val="20"/>
        </w:rPr>
        <w:t>.</w:t>
      </w:r>
    </w:p>
  </w:footnote>
  <w:footnote w:id="74">
    <w:p w14:paraId="150B8D9B"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Alternate Proposal (Appendix A of Joint January LGP AL) at 4</w:t>
      </w:r>
      <w:r w:rsidR="009551A2">
        <w:rPr>
          <w:rFonts w:ascii="Palatino Linotype" w:hAnsi="Palatino Linotype"/>
          <w:sz w:val="20"/>
          <w:szCs w:val="20"/>
        </w:rPr>
        <w:t>.</w:t>
      </w:r>
    </w:p>
  </w:footnote>
  <w:footnote w:id="75">
    <w:p w14:paraId="774430A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Alternate Proposal (Appendix A of Joint January LGP AL) at 5</w:t>
      </w:r>
      <w:r w:rsidR="009551A2">
        <w:rPr>
          <w:rFonts w:ascii="Palatino Linotype" w:hAnsi="Palatino Linotype"/>
          <w:sz w:val="20"/>
          <w:szCs w:val="20"/>
        </w:rPr>
        <w:t>.</w:t>
      </w:r>
    </w:p>
  </w:footnote>
  <w:footnote w:id="76">
    <w:p w14:paraId="0E0C2DA0"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E-5211 at 19</w:t>
      </w:r>
      <w:r w:rsidR="009551A2">
        <w:rPr>
          <w:sz w:val="20"/>
          <w:szCs w:val="20"/>
        </w:rPr>
        <w:t>.</w:t>
      </w:r>
    </w:p>
  </w:footnote>
  <w:footnote w:id="77">
    <w:p w14:paraId="043EFF6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Ibid at 21</w:t>
      </w:r>
      <w:r w:rsidR="009551A2">
        <w:rPr>
          <w:sz w:val="20"/>
          <w:szCs w:val="20"/>
        </w:rPr>
        <w:t>.</w:t>
      </w:r>
    </w:p>
  </w:footnote>
  <w:footnote w:id="78">
    <w:p w14:paraId="7FD92007" w14:textId="77777777" w:rsidR="00400A70" w:rsidRPr="006972C8" w:rsidRDefault="00400A70" w:rsidP="00400A70">
      <w:pPr>
        <w:pStyle w:val="NoSpacing"/>
        <w:contextualSpacing/>
        <w:rPr>
          <w:szCs w:val="20"/>
        </w:rPr>
      </w:pPr>
      <w:r w:rsidRPr="006972C8">
        <w:rPr>
          <w:rStyle w:val="FootnoteReference"/>
          <w:szCs w:val="20"/>
        </w:rPr>
        <w:footnoteRef/>
      </w:r>
      <w:r w:rsidRPr="006972C8">
        <w:rPr>
          <w:szCs w:val="20"/>
        </w:rPr>
        <w:t xml:space="preserve"> Ibid at 19</w:t>
      </w:r>
      <w:r>
        <w:rPr>
          <w:szCs w:val="20"/>
        </w:rPr>
        <w:t>.</w:t>
      </w:r>
    </w:p>
  </w:footnote>
  <w:footnote w:id="79">
    <w:p w14:paraId="47AEB84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January LGP AL at 6</w:t>
      </w:r>
      <w:r w:rsidR="009551A2">
        <w:rPr>
          <w:sz w:val="20"/>
          <w:szCs w:val="20"/>
        </w:rPr>
        <w:t>.</w:t>
      </w:r>
    </w:p>
  </w:footnote>
  <w:footnote w:id="80">
    <w:p w14:paraId="14E09938"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6</w:t>
      </w:r>
      <w:r w:rsidR="009551A2">
        <w:rPr>
          <w:rFonts w:ascii="Palatino Linotype" w:hAnsi="Palatino Linotype"/>
          <w:sz w:val="20"/>
          <w:szCs w:val="20"/>
        </w:rPr>
        <w:t>.</w:t>
      </w:r>
    </w:p>
  </w:footnote>
  <w:footnote w:id="81">
    <w:p w14:paraId="0762C4E0"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2; Cal Advocates protest to Joint January LGP AL at 2</w:t>
      </w:r>
      <w:r w:rsidR="009551A2">
        <w:rPr>
          <w:sz w:val="20"/>
          <w:szCs w:val="20"/>
        </w:rPr>
        <w:t>.</w:t>
      </w:r>
    </w:p>
  </w:footnote>
  <w:footnote w:id="82">
    <w:p w14:paraId="73277C72"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Joint January LGP AL at 10</w:t>
      </w:r>
      <w:r w:rsidR="009551A2">
        <w:rPr>
          <w:szCs w:val="20"/>
        </w:rPr>
        <w:t>.</w:t>
      </w:r>
    </w:p>
  </w:footnote>
  <w:footnote w:id="83">
    <w:p w14:paraId="4CDE0EA9"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9</w:t>
      </w:r>
      <w:r w:rsidR="009551A2">
        <w:rPr>
          <w:szCs w:val="20"/>
        </w:rPr>
        <w:t>.</w:t>
      </w:r>
    </w:p>
  </w:footnote>
  <w:footnote w:id="84">
    <w:p w14:paraId="7DE53CF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7</w:t>
      </w:r>
      <w:r w:rsidR="009551A2">
        <w:rPr>
          <w:szCs w:val="20"/>
        </w:rPr>
        <w:t>.</w:t>
      </w:r>
    </w:p>
  </w:footnote>
  <w:footnote w:id="85">
    <w:p w14:paraId="5E5FB15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5</w:t>
      </w:r>
      <w:r w:rsidR="009551A2">
        <w:rPr>
          <w:rFonts w:ascii="Palatino Linotype" w:hAnsi="Palatino Linotype"/>
          <w:sz w:val="20"/>
          <w:szCs w:val="20"/>
        </w:rPr>
        <w:t>.</w:t>
      </w:r>
    </w:p>
  </w:footnote>
  <w:footnote w:id="86">
    <w:p w14:paraId="1822E452"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Ibid at 7</w:t>
      </w:r>
      <w:r w:rsidR="009551A2">
        <w:rPr>
          <w:rFonts w:cstheme="minorHAnsi"/>
          <w:szCs w:val="20"/>
        </w:rPr>
        <w:t>.</w:t>
      </w:r>
    </w:p>
  </w:footnote>
  <w:footnote w:id="87">
    <w:p w14:paraId="0D9DDA7C"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Ibid at 9</w:t>
      </w:r>
      <w:r w:rsidR="009551A2">
        <w:rPr>
          <w:rFonts w:cstheme="minorHAnsi"/>
          <w:szCs w:val="20"/>
        </w:rPr>
        <w:t>.</w:t>
      </w:r>
    </w:p>
  </w:footnote>
  <w:footnote w:id="88">
    <w:p w14:paraId="7BD37F77" w14:textId="77777777" w:rsidR="003D39C3" w:rsidRPr="006972C8" w:rsidRDefault="003D39C3" w:rsidP="003D39C3">
      <w:pPr>
        <w:contextualSpacing/>
        <w:rPr>
          <w:rFonts w:cstheme="minorHAnsi"/>
          <w:sz w:val="20"/>
          <w:szCs w:val="20"/>
        </w:rPr>
      </w:pPr>
      <w:r w:rsidRPr="006972C8">
        <w:rPr>
          <w:rStyle w:val="FootnoteReference"/>
          <w:rFonts w:cstheme="minorHAnsi"/>
          <w:sz w:val="20"/>
          <w:szCs w:val="20"/>
        </w:rPr>
        <w:footnoteRef/>
      </w:r>
      <w:r w:rsidRPr="006972C8">
        <w:rPr>
          <w:rFonts w:cstheme="minorHAnsi"/>
          <w:sz w:val="20"/>
          <w:szCs w:val="20"/>
        </w:rPr>
        <w:t xml:space="preserve"> IREC data request and Large IOUs responses to the data request are included as Attachment 1 to the </w:t>
      </w:r>
      <w:r w:rsidRPr="006972C8">
        <w:rPr>
          <w:sz w:val="20"/>
          <w:szCs w:val="20"/>
        </w:rPr>
        <w:t>IREC protest to Joint January LGP AL</w:t>
      </w:r>
      <w:r w:rsidR="00002159">
        <w:rPr>
          <w:sz w:val="20"/>
          <w:szCs w:val="20"/>
        </w:rPr>
        <w:t xml:space="preserve">; </w:t>
      </w:r>
      <w:r w:rsidRPr="006972C8">
        <w:rPr>
          <w:sz w:val="20"/>
          <w:szCs w:val="20"/>
        </w:rPr>
        <w:t>see Footnote 9 on Page 7 of IREC protest to Joint January LGP AL.</w:t>
      </w:r>
    </w:p>
  </w:footnote>
  <w:footnote w:id="89">
    <w:p w14:paraId="7BCDEFD0"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w:t>
      </w:r>
      <w:r w:rsidRPr="006972C8">
        <w:rPr>
          <w:rFonts w:cstheme="minorHAnsi"/>
          <w:iCs/>
          <w:szCs w:val="20"/>
        </w:rPr>
        <w:t>Ibid at 7</w:t>
      </w:r>
      <w:r w:rsidR="009551A2">
        <w:rPr>
          <w:rFonts w:cstheme="minorHAnsi"/>
          <w:iCs/>
          <w:szCs w:val="20"/>
        </w:rPr>
        <w:t>.</w:t>
      </w:r>
    </w:p>
  </w:footnote>
  <w:footnote w:id="90">
    <w:p w14:paraId="2675FADF" w14:textId="77777777" w:rsidR="003D39C3" w:rsidRPr="006972C8" w:rsidRDefault="003D39C3" w:rsidP="003D39C3">
      <w:pPr>
        <w:pStyle w:val="NoSpacing"/>
        <w:contextualSpacing/>
        <w:rPr>
          <w:rFonts w:cstheme="minorHAnsi"/>
          <w:szCs w:val="20"/>
        </w:rPr>
      </w:pPr>
      <w:r w:rsidRPr="006972C8">
        <w:rPr>
          <w:rStyle w:val="FootnoteReference"/>
          <w:rFonts w:cstheme="minorHAnsi"/>
          <w:szCs w:val="20"/>
        </w:rPr>
        <w:footnoteRef/>
      </w:r>
      <w:r w:rsidRPr="006972C8">
        <w:rPr>
          <w:rFonts w:cstheme="minorHAnsi"/>
          <w:szCs w:val="20"/>
        </w:rPr>
        <w:t xml:space="preserve"> PG&amp;E responded to this aspect of the IREC data request with “Answer 8”:  “PG&amp;E does not have a process to study the loss of load on circuits. Instead, PG&amp;E annually studies the peak forecast of load and DER growth on each circuit and compares that to each circuit’s capability. The result of this process is published annually in the Distribution Investment Deferral Framework (DIDF). If the loss of load results in a reduction of the most recently recorded peak load on a circuit, then the lost load is captured in the annual forecast process as a change to the forecast starting point. It should be understood that this loss of load increases load hosting capacity and makes it less likely that the circuit would have a forecasted overload or grid need at peak... At the present time, PG&amp;E is unaware of system violations due to loss of load.”</w:t>
      </w:r>
    </w:p>
  </w:footnote>
  <w:footnote w:id="91">
    <w:p w14:paraId="1725FDAD" w14:textId="77777777" w:rsidR="003D39C3" w:rsidRPr="006972C8" w:rsidRDefault="003D39C3" w:rsidP="003D39C3">
      <w:pPr>
        <w:pStyle w:val="FootnoteText"/>
        <w:spacing w:after="0"/>
        <w:contextualSpacing/>
        <w:rPr>
          <w:rFonts w:ascii="Palatino Linotype" w:hAnsi="Palatino Linotype" w:cstheme="minorHAnsi"/>
          <w:sz w:val="20"/>
          <w:szCs w:val="20"/>
        </w:rPr>
      </w:pPr>
      <w:r w:rsidRPr="006972C8">
        <w:rPr>
          <w:rStyle w:val="FootnoteReference"/>
          <w:rFonts w:ascii="Palatino Linotype" w:hAnsi="Palatino Linotype" w:cstheme="minorHAnsi"/>
          <w:sz w:val="20"/>
          <w:szCs w:val="20"/>
        </w:rPr>
        <w:footnoteRef/>
      </w:r>
      <w:r w:rsidRPr="006972C8">
        <w:rPr>
          <w:rFonts w:ascii="Palatino Linotype" w:hAnsi="Palatino Linotype" w:cstheme="minorHAnsi"/>
          <w:sz w:val="20"/>
          <w:szCs w:val="20"/>
        </w:rPr>
        <w:t xml:space="preserve"> SDG&amp;E responded to this aspect of the IREC data request with “Response 5”: “Instantaneous load reductions can have adverse effects on the grid. For example, if a large motor is turned off, voltages can spike. In general, however, reductions in load have not historically posed a significant challenge for grid reliability. SDG&amp;E does not have records documenting distribution system violations due to the loss of load.  As indicated in SDG&amp;E's response to question 4, this could change in the future.”</w:t>
      </w:r>
    </w:p>
  </w:footnote>
  <w:footnote w:id="92">
    <w:p w14:paraId="2781A653"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Cal Advocates protest to Joint January LGP AL at 6</w:t>
      </w:r>
      <w:r w:rsidR="009551A2">
        <w:rPr>
          <w:sz w:val="20"/>
          <w:szCs w:val="20"/>
        </w:rPr>
        <w:t>.</w:t>
      </w:r>
    </w:p>
  </w:footnote>
  <w:footnote w:id="93">
    <w:p w14:paraId="33D674C7"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6</w:t>
      </w:r>
      <w:r w:rsidR="009551A2">
        <w:rPr>
          <w:szCs w:val="20"/>
        </w:rPr>
        <w:t>.</w:t>
      </w:r>
    </w:p>
  </w:footnote>
  <w:footnote w:id="94">
    <w:p w14:paraId="454AB9BA" w14:textId="77777777" w:rsidR="003D39C3" w:rsidRPr="00144FD3" w:rsidRDefault="003D39C3" w:rsidP="003D39C3">
      <w:pPr>
        <w:contextualSpacing/>
        <w:rPr>
          <w:sz w:val="20"/>
          <w:szCs w:val="20"/>
        </w:rPr>
      </w:pPr>
      <w:r w:rsidRPr="00144FD3">
        <w:rPr>
          <w:rStyle w:val="FootnoteReference"/>
          <w:sz w:val="20"/>
          <w:szCs w:val="20"/>
        </w:rPr>
        <w:footnoteRef/>
      </w:r>
      <w:r w:rsidRPr="00144FD3">
        <w:rPr>
          <w:sz w:val="20"/>
          <w:szCs w:val="20"/>
        </w:rPr>
        <w:t xml:space="preserve"> Cal Advocates protest to Joint January LGP AL at 7</w:t>
      </w:r>
      <w:r w:rsidR="009551A2" w:rsidRPr="00144FD3">
        <w:rPr>
          <w:sz w:val="20"/>
          <w:szCs w:val="20"/>
        </w:rPr>
        <w:t>.</w:t>
      </w:r>
    </w:p>
  </w:footnote>
  <w:footnote w:id="95">
    <w:p w14:paraId="5EC400B1" w14:textId="77777777" w:rsidR="00144FD3" w:rsidRPr="00144FD3" w:rsidRDefault="00144FD3" w:rsidP="00144FD3">
      <w:pPr>
        <w:pStyle w:val="FootnoteText"/>
        <w:spacing w:after="0"/>
        <w:rPr>
          <w:rFonts w:ascii="Palatino Linotype" w:hAnsi="Palatino Linotype"/>
          <w:sz w:val="20"/>
          <w:szCs w:val="20"/>
        </w:rPr>
      </w:pPr>
      <w:r w:rsidRPr="00144FD3">
        <w:rPr>
          <w:rStyle w:val="FootnoteReference"/>
          <w:rFonts w:ascii="Palatino Linotype" w:hAnsi="Palatino Linotype"/>
          <w:sz w:val="20"/>
          <w:szCs w:val="20"/>
        </w:rPr>
        <w:footnoteRef/>
      </w:r>
      <w:r w:rsidRPr="00144FD3">
        <w:rPr>
          <w:rFonts w:ascii="Palatino Linotype" w:hAnsi="Palatino Linotype"/>
          <w:sz w:val="20"/>
          <w:szCs w:val="20"/>
        </w:rPr>
        <w:t xml:space="preserve"> </w:t>
      </w:r>
      <w:r w:rsidR="003B43A8">
        <w:rPr>
          <w:rFonts w:ascii="Palatino Linotype" w:hAnsi="Palatino Linotype"/>
          <w:sz w:val="20"/>
          <w:szCs w:val="20"/>
        </w:rPr>
        <w:t xml:space="preserve">Joint Large IOUs reply </w:t>
      </w:r>
      <w:r w:rsidRPr="00144FD3">
        <w:rPr>
          <w:rFonts w:ascii="Palatino Linotype" w:hAnsi="Palatino Linotype"/>
          <w:sz w:val="20"/>
          <w:szCs w:val="20"/>
        </w:rPr>
        <w:t>to IREC and Cal Advocates protests on Joint January LGP AL, at 4, and Footnote 11 at 4.</w:t>
      </w:r>
    </w:p>
  </w:footnote>
  <w:footnote w:id="96">
    <w:p w14:paraId="205B6443" w14:textId="77777777" w:rsidR="003D39C3" w:rsidRPr="00144FD3" w:rsidRDefault="003D39C3" w:rsidP="003D39C3">
      <w:pPr>
        <w:contextualSpacing/>
        <w:rPr>
          <w:sz w:val="20"/>
          <w:szCs w:val="20"/>
        </w:rPr>
      </w:pPr>
      <w:r w:rsidRPr="00144FD3">
        <w:rPr>
          <w:rStyle w:val="FootnoteReference"/>
          <w:sz w:val="20"/>
          <w:szCs w:val="20"/>
        </w:rPr>
        <w:footnoteRef/>
      </w:r>
      <w:r w:rsidRPr="00144FD3">
        <w:rPr>
          <w:sz w:val="20"/>
          <w:szCs w:val="20"/>
        </w:rPr>
        <w:t xml:space="preserve"> </w:t>
      </w:r>
      <w:r w:rsidR="00144FD3" w:rsidRPr="00144FD3">
        <w:rPr>
          <w:sz w:val="20"/>
          <w:szCs w:val="20"/>
        </w:rPr>
        <w:t>Ibid</w:t>
      </w:r>
      <w:r w:rsidR="00144FD3">
        <w:rPr>
          <w:sz w:val="20"/>
          <w:szCs w:val="20"/>
        </w:rPr>
        <w:t xml:space="preserve"> at 4</w:t>
      </w:r>
      <w:r w:rsidR="00144FD3" w:rsidRPr="00144FD3">
        <w:rPr>
          <w:sz w:val="20"/>
          <w:szCs w:val="20"/>
        </w:rPr>
        <w:t>.</w:t>
      </w:r>
    </w:p>
  </w:footnote>
  <w:footnote w:id="97">
    <w:p w14:paraId="6D222FA2" w14:textId="77777777" w:rsidR="003D39C3" w:rsidRPr="006972C8" w:rsidRDefault="003D39C3" w:rsidP="003D39C3">
      <w:pPr>
        <w:pStyle w:val="FootnoteText"/>
        <w:spacing w:after="0"/>
        <w:contextualSpacing/>
        <w:rPr>
          <w:rFonts w:ascii="Palatino Linotype" w:hAnsi="Palatino Linotype"/>
          <w:sz w:val="20"/>
          <w:szCs w:val="20"/>
        </w:rPr>
      </w:pPr>
      <w:r w:rsidRPr="00144FD3">
        <w:rPr>
          <w:rStyle w:val="FootnoteReference"/>
          <w:rFonts w:ascii="Palatino Linotype" w:hAnsi="Palatino Linotype"/>
          <w:sz w:val="20"/>
          <w:szCs w:val="20"/>
        </w:rPr>
        <w:footnoteRef/>
      </w:r>
      <w:r w:rsidRPr="00144FD3">
        <w:rPr>
          <w:rFonts w:ascii="Palatino Linotype" w:hAnsi="Palatino Linotype"/>
          <w:sz w:val="20"/>
          <w:szCs w:val="20"/>
        </w:rPr>
        <w:t xml:space="preserve"> Ibid at 4</w:t>
      </w:r>
      <w:r w:rsidR="009551A2" w:rsidRPr="00144FD3">
        <w:rPr>
          <w:rFonts w:ascii="Palatino Linotype" w:hAnsi="Palatino Linotype"/>
          <w:sz w:val="20"/>
          <w:szCs w:val="20"/>
        </w:rPr>
        <w:t>.</w:t>
      </w:r>
    </w:p>
  </w:footnote>
  <w:footnote w:id="98">
    <w:p w14:paraId="538A5D2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4</w:t>
      </w:r>
      <w:r w:rsidR="009551A2">
        <w:rPr>
          <w:szCs w:val="20"/>
        </w:rPr>
        <w:t>.</w:t>
      </w:r>
    </w:p>
  </w:footnote>
  <w:footnote w:id="99">
    <w:p w14:paraId="7E237774"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Note that the reference here to “screened against the monthly ICA static grid values” refers to the Large IOUs proposal for 12 monthly LGP values (the “12-monthly” LGP configuration) as discussed in the section on Disposition of LGP Configuration Granularity. For other configurations besides the </w:t>
      </w:r>
      <w:r w:rsidR="00653A72">
        <w:rPr>
          <w:rFonts w:ascii="Palatino Linotype" w:hAnsi="Palatino Linotype"/>
          <w:sz w:val="20"/>
          <w:szCs w:val="20"/>
        </w:rPr>
        <w:br/>
      </w:r>
      <w:r w:rsidRPr="006972C8">
        <w:rPr>
          <w:rFonts w:ascii="Palatino Linotype" w:hAnsi="Palatino Linotype"/>
          <w:sz w:val="20"/>
          <w:szCs w:val="20"/>
        </w:rPr>
        <w:t>12-monthly proposed by the Large IOUs, this reference would need to read differently.</w:t>
      </w:r>
    </w:p>
  </w:footnote>
  <w:footnote w:id="100">
    <w:p w14:paraId="31AA8D62"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w:t>
      </w:r>
      <w:r w:rsidR="003B43A8">
        <w:rPr>
          <w:szCs w:val="20"/>
        </w:rPr>
        <w:t xml:space="preserve">Joint Large IOUs reply </w:t>
      </w:r>
      <w:r w:rsidRPr="006972C8">
        <w:rPr>
          <w:szCs w:val="20"/>
        </w:rPr>
        <w:t>to IREC and Cal Advocates protests on Joint January LGP AL, at 5</w:t>
      </w:r>
      <w:r w:rsidR="009551A2">
        <w:rPr>
          <w:szCs w:val="20"/>
        </w:rPr>
        <w:t>.</w:t>
      </w:r>
    </w:p>
  </w:footnote>
  <w:footnote w:id="101">
    <w:p w14:paraId="76FEC655"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102">
    <w:p w14:paraId="270BB40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103">
    <w:p w14:paraId="07052711"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6</w:t>
      </w:r>
      <w:r w:rsidR="009551A2">
        <w:rPr>
          <w:szCs w:val="20"/>
        </w:rPr>
        <w:t>.</w:t>
      </w:r>
    </w:p>
  </w:footnote>
  <w:footnote w:id="104">
    <w:p w14:paraId="6BB85A17"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6-7</w:t>
      </w:r>
      <w:r w:rsidR="009551A2">
        <w:rPr>
          <w:rFonts w:ascii="Palatino Linotype" w:hAnsi="Palatino Linotype"/>
          <w:sz w:val="20"/>
          <w:szCs w:val="20"/>
        </w:rPr>
        <w:t>.</w:t>
      </w:r>
    </w:p>
  </w:footnote>
  <w:footnote w:id="105">
    <w:p w14:paraId="1A6516EC"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E-5211 at 20</w:t>
      </w:r>
      <w:r w:rsidR="009551A2">
        <w:rPr>
          <w:sz w:val="20"/>
          <w:szCs w:val="20"/>
        </w:rPr>
        <w:t>.</w:t>
      </w:r>
    </w:p>
  </w:footnote>
  <w:footnote w:id="106">
    <w:p w14:paraId="332D2B3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20</w:t>
      </w:r>
      <w:r w:rsidR="009551A2">
        <w:rPr>
          <w:rFonts w:ascii="Palatino Linotype" w:hAnsi="Palatino Linotype"/>
          <w:sz w:val="20"/>
          <w:szCs w:val="20"/>
        </w:rPr>
        <w:t>.</w:t>
      </w:r>
    </w:p>
  </w:footnote>
  <w:footnote w:id="107">
    <w:p w14:paraId="66E06BEB" w14:textId="77777777" w:rsidR="003D39C3" w:rsidRPr="006972C8" w:rsidRDefault="003D39C3" w:rsidP="003D39C3">
      <w:pPr>
        <w:contextualSpacing/>
        <w:rPr>
          <w:sz w:val="20"/>
          <w:szCs w:val="20"/>
        </w:rPr>
      </w:pPr>
      <w:r w:rsidRPr="006972C8">
        <w:rPr>
          <w:rStyle w:val="FootnoteReference"/>
          <w:rFonts w:eastAsia="Palatino Linotype" w:cs="Palatino Linotype"/>
          <w:sz w:val="20"/>
          <w:szCs w:val="20"/>
        </w:rPr>
        <w:footnoteRef/>
      </w:r>
      <w:r w:rsidRPr="006972C8">
        <w:rPr>
          <w:sz w:val="20"/>
          <w:szCs w:val="20"/>
        </w:rPr>
        <w:t xml:space="preserve"> Joint May LGP AL at 7</w:t>
      </w:r>
      <w:r w:rsidR="009551A2">
        <w:rPr>
          <w:sz w:val="20"/>
          <w:szCs w:val="20"/>
        </w:rPr>
        <w:t>.</w:t>
      </w:r>
    </w:p>
  </w:footnote>
  <w:footnote w:id="108">
    <w:p w14:paraId="4A990F61"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w:t>
      </w:r>
      <w:r w:rsidR="003B43A8">
        <w:rPr>
          <w:sz w:val="20"/>
          <w:szCs w:val="20"/>
        </w:rPr>
        <w:t xml:space="preserve">Joint Large IOUs reply </w:t>
      </w:r>
      <w:r w:rsidRPr="006972C8">
        <w:rPr>
          <w:sz w:val="20"/>
          <w:szCs w:val="20"/>
        </w:rPr>
        <w:t>to IREC and Cal Advocates protests on Joint January LGP AL at 6</w:t>
      </w:r>
      <w:r w:rsidR="009551A2">
        <w:rPr>
          <w:sz w:val="20"/>
          <w:szCs w:val="20"/>
        </w:rPr>
        <w:t>.</w:t>
      </w:r>
    </w:p>
  </w:footnote>
  <w:footnote w:id="109">
    <w:p w14:paraId="6CEFE37D"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Alternate Proposal (Appendix A of Joint January LGP AL) at 5</w:t>
      </w:r>
      <w:r w:rsidR="009551A2">
        <w:rPr>
          <w:sz w:val="20"/>
          <w:szCs w:val="20"/>
        </w:rPr>
        <w:t>.</w:t>
      </w:r>
    </w:p>
  </w:footnote>
  <w:footnote w:id="110">
    <w:p w14:paraId="49F717CA"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7</w:t>
      </w:r>
      <w:r w:rsidR="009551A2">
        <w:rPr>
          <w:szCs w:val="20"/>
        </w:rPr>
        <w:t>.</w:t>
      </w:r>
    </w:p>
  </w:footnote>
  <w:footnote w:id="111">
    <w:p w14:paraId="27587115"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6</w:t>
      </w:r>
      <w:r w:rsidR="009551A2">
        <w:rPr>
          <w:sz w:val="20"/>
          <w:szCs w:val="20"/>
        </w:rPr>
        <w:t>.</w:t>
      </w:r>
    </w:p>
  </w:footnote>
  <w:footnote w:id="112">
    <w:p w14:paraId="06F6FE2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Alternate Proposal (Appendix A of Joint January LGP AL) at 7</w:t>
      </w:r>
      <w:r w:rsidR="009551A2">
        <w:rPr>
          <w:sz w:val="20"/>
          <w:szCs w:val="20"/>
        </w:rPr>
        <w:t>.</w:t>
      </w:r>
    </w:p>
  </w:footnote>
  <w:footnote w:id="113">
    <w:p w14:paraId="4C8121F7"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7-8</w:t>
      </w:r>
      <w:r w:rsidR="009551A2">
        <w:rPr>
          <w:szCs w:val="20"/>
        </w:rPr>
        <w:t>.</w:t>
      </w:r>
    </w:p>
  </w:footnote>
  <w:footnote w:id="114">
    <w:p w14:paraId="1100EDFB"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7</w:t>
      </w:r>
      <w:r w:rsidR="009551A2">
        <w:rPr>
          <w:szCs w:val="20"/>
        </w:rPr>
        <w:t>.</w:t>
      </w:r>
    </w:p>
  </w:footnote>
  <w:footnote w:id="115">
    <w:p w14:paraId="6BB66337"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LGP Workshops held per Resolution E-5211 on November 7, 2022; November 29, 2022; and </w:t>
      </w:r>
      <w:r w:rsidR="00653A72">
        <w:rPr>
          <w:szCs w:val="20"/>
        </w:rPr>
        <w:br/>
      </w:r>
      <w:r w:rsidRPr="006972C8">
        <w:rPr>
          <w:szCs w:val="20"/>
        </w:rPr>
        <w:t>December 16, 2022.</w:t>
      </w:r>
    </w:p>
  </w:footnote>
  <w:footnote w:id="116">
    <w:p w14:paraId="4F091530" w14:textId="77777777" w:rsidR="001053C5" w:rsidRPr="001053C5" w:rsidRDefault="001053C5" w:rsidP="001053C5">
      <w:pPr>
        <w:pStyle w:val="FootnoteText"/>
        <w:spacing w:after="0"/>
        <w:rPr>
          <w:sz w:val="20"/>
          <w:szCs w:val="20"/>
        </w:rPr>
      </w:pPr>
      <w:r w:rsidRPr="001053C5">
        <w:rPr>
          <w:rStyle w:val="FootnoteReference"/>
          <w:sz w:val="20"/>
          <w:szCs w:val="20"/>
        </w:rPr>
        <w:footnoteRef/>
      </w:r>
      <w:r w:rsidRPr="001053C5">
        <w:rPr>
          <w:sz w:val="20"/>
          <w:szCs w:val="20"/>
        </w:rPr>
        <w:t xml:space="preserve"> IREC presentation slides from November 29, 2022 workshop, see Appendix L</w:t>
      </w:r>
      <w:r>
        <w:rPr>
          <w:sz w:val="20"/>
          <w:szCs w:val="20"/>
        </w:rPr>
        <w:t>.</w:t>
      </w:r>
    </w:p>
  </w:footnote>
  <w:footnote w:id="117">
    <w:p w14:paraId="2A7EB4F8"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w:t>
      </w:r>
      <w:r w:rsidRPr="006972C8">
        <w:rPr>
          <w:i/>
          <w:szCs w:val="20"/>
        </w:rPr>
        <w:t>See</w:t>
      </w:r>
      <w:r w:rsidRPr="006972C8">
        <w:rPr>
          <w:i/>
          <w:iCs/>
          <w:szCs w:val="20"/>
        </w:rPr>
        <w:t>, e.g.,</w:t>
      </w:r>
      <w:r w:rsidRPr="006972C8">
        <w:rPr>
          <w:szCs w:val="20"/>
        </w:rPr>
        <w:t xml:space="preserve"> PG&amp;E Rule 21, effective 2/28/2023, Sheet 22.</w:t>
      </w:r>
    </w:p>
  </w:footnote>
  <w:footnote w:id="118">
    <w:p w14:paraId="59F1627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w:t>
      </w:r>
      <w:r w:rsidRPr="006972C8">
        <w:rPr>
          <w:i/>
          <w:szCs w:val="20"/>
        </w:rPr>
        <w:t>See</w:t>
      </w:r>
      <w:r w:rsidRPr="006972C8">
        <w:rPr>
          <w:i/>
          <w:iCs/>
          <w:szCs w:val="20"/>
        </w:rPr>
        <w:t>, e.g.,</w:t>
      </w:r>
      <w:r w:rsidRPr="006972C8">
        <w:rPr>
          <w:szCs w:val="20"/>
        </w:rPr>
        <w:t xml:space="preserve"> Rule 21 Table F.1 (Modification to Pending Applications (D. 19-03-013 Type I Changes)) which states “Identified upgrades or mitigations are paid for by the customer.”</w:t>
      </w:r>
    </w:p>
  </w:footnote>
  <w:footnote w:id="119">
    <w:p w14:paraId="1C5B36F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w:t>
      </w:r>
      <w:r w:rsidRPr="006972C8">
        <w:rPr>
          <w:i/>
          <w:szCs w:val="20"/>
        </w:rPr>
        <w:t>See</w:t>
      </w:r>
      <w:r w:rsidRPr="006972C8">
        <w:rPr>
          <w:i/>
          <w:iCs/>
          <w:szCs w:val="20"/>
        </w:rPr>
        <w:t>, e.g.,</w:t>
      </w:r>
      <w:r w:rsidRPr="006972C8">
        <w:rPr>
          <w:szCs w:val="20"/>
        </w:rPr>
        <w:t xml:space="preserve"> PG&amp;E Rule 21, Sheet 138 effective 2/16/2023</w:t>
      </w:r>
      <w:r w:rsidR="009551A2">
        <w:rPr>
          <w:szCs w:val="20"/>
        </w:rPr>
        <w:t>.</w:t>
      </w:r>
    </w:p>
  </w:footnote>
  <w:footnote w:id="120">
    <w:p w14:paraId="72576881"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See, e.g., PG&amp;E Rule 21 sheet 152, effective 2/16/2023</w:t>
      </w:r>
      <w:r w:rsidR="009551A2">
        <w:rPr>
          <w:rFonts w:ascii="Palatino Linotype" w:hAnsi="Palatino Linotype"/>
          <w:sz w:val="20"/>
          <w:szCs w:val="20"/>
        </w:rPr>
        <w:t>.</w:t>
      </w:r>
    </w:p>
  </w:footnote>
  <w:footnote w:id="121">
    <w:p w14:paraId="1E511C78" w14:textId="77777777" w:rsidR="003D39C3" w:rsidRPr="006972C8" w:rsidRDefault="003D39C3" w:rsidP="003D39C3">
      <w:pPr>
        <w:pStyle w:val="NoSpacing"/>
        <w:contextualSpacing/>
        <w:rPr>
          <w:szCs w:val="20"/>
        </w:rPr>
      </w:pPr>
      <w:r w:rsidRPr="006972C8">
        <w:rPr>
          <w:rStyle w:val="FootnoteReference"/>
          <w:rFonts w:eastAsia="Palatino Linotype" w:cs="Palatino Linotype"/>
          <w:szCs w:val="20"/>
        </w:rPr>
        <w:footnoteRef/>
      </w:r>
      <w:r w:rsidRPr="006972C8">
        <w:rPr>
          <w:szCs w:val="20"/>
        </w:rPr>
        <w:t xml:space="preserve"> </w:t>
      </w:r>
      <w:r w:rsidRPr="006972C8">
        <w:rPr>
          <w:i/>
          <w:szCs w:val="20"/>
        </w:rPr>
        <w:t>See</w:t>
      </w:r>
      <w:r w:rsidRPr="006972C8">
        <w:rPr>
          <w:i/>
          <w:iCs/>
          <w:szCs w:val="20"/>
        </w:rPr>
        <w:t>, e.g.,</w:t>
      </w:r>
      <w:r w:rsidRPr="006972C8">
        <w:rPr>
          <w:szCs w:val="20"/>
        </w:rPr>
        <w:t xml:space="preserve"> PG&amp;E’s 2023 GRC Testimony, PG&amp;E-4, Chapter 17, Electric Distribution Capacity, Engineering and Planning.  PG&amp;E TY 2023 GRC, Application 21-06-021, Filed on 6/30/2021.</w:t>
      </w:r>
    </w:p>
  </w:footnote>
  <w:footnote w:id="122">
    <w:p w14:paraId="28BDE7F5" w14:textId="77777777" w:rsidR="003D39C3" w:rsidRPr="006972C8" w:rsidRDefault="003D39C3" w:rsidP="003D39C3">
      <w:pPr>
        <w:pStyle w:val="NoSpacing"/>
        <w:contextualSpacing/>
        <w:rPr>
          <w:szCs w:val="20"/>
        </w:rPr>
      </w:pPr>
      <w:r w:rsidRPr="006972C8">
        <w:rPr>
          <w:rStyle w:val="FootnoteReference"/>
          <w:rFonts w:eastAsia="Palatino Linotype" w:cs="Palatino Linotype"/>
          <w:szCs w:val="20"/>
        </w:rPr>
        <w:footnoteRef/>
      </w:r>
      <w:r w:rsidRPr="006972C8">
        <w:rPr>
          <w:szCs w:val="20"/>
        </w:rPr>
        <w:t xml:space="preserve"> NREL 2018. The Cost of Distribution System Upgrades to Accommodate Increasing Penetrations of Distributed Photovoltaic Systems on Real Feeders in the United States, by Kelsey A. W. Horowitz, Fei Ding, Barry Mather, and Bryan Palmintier. NREL/TP-6A20-70710</w:t>
      </w:r>
      <w:r w:rsidR="009551A2">
        <w:rPr>
          <w:szCs w:val="20"/>
        </w:rPr>
        <w:t>, available at</w:t>
      </w:r>
      <w:hyperlink r:id="rId1" w:history="1">
        <w:r w:rsidR="009551A2" w:rsidRPr="005466E7">
          <w:rPr>
            <w:rStyle w:val="Hyperlink"/>
            <w:rFonts w:eastAsia="Calibri" w:cs="Calibri"/>
            <w:szCs w:val="20"/>
          </w:rPr>
          <w:t>https://www.nrel.gov/docs/fy18osti/70710.pdf</w:t>
        </w:r>
      </w:hyperlink>
      <w:r w:rsidR="009551A2">
        <w:rPr>
          <w:rStyle w:val="Hyperlink"/>
          <w:rFonts w:eastAsia="Calibri" w:cs="Calibri"/>
          <w:color w:val="954F72"/>
          <w:szCs w:val="20"/>
        </w:rPr>
        <w:t>.</w:t>
      </w:r>
    </w:p>
  </w:footnote>
  <w:footnote w:id="123">
    <w:p w14:paraId="18787CF8"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vi</w:t>
      </w:r>
      <w:r w:rsidR="009551A2">
        <w:rPr>
          <w:szCs w:val="20"/>
        </w:rPr>
        <w:t>.</w:t>
      </w:r>
    </w:p>
  </w:footnote>
  <w:footnote w:id="124">
    <w:p w14:paraId="615EFD33" w14:textId="77777777" w:rsidR="003D39C3" w:rsidRPr="006972C8" w:rsidRDefault="003D39C3" w:rsidP="003D39C3">
      <w:pPr>
        <w:pStyle w:val="NoSpacing"/>
        <w:contextualSpacing/>
        <w:rPr>
          <w:rFonts w:cstheme="minorHAnsi"/>
          <w:szCs w:val="20"/>
        </w:rPr>
      </w:pPr>
      <w:r w:rsidRPr="006972C8">
        <w:rPr>
          <w:rStyle w:val="FootnoteReference"/>
          <w:rFonts w:eastAsia="Palatino Linotype" w:cstheme="minorHAnsi"/>
          <w:szCs w:val="20"/>
        </w:rPr>
        <w:footnoteRef/>
      </w:r>
      <w:r w:rsidRPr="006972C8">
        <w:rPr>
          <w:rFonts w:cstheme="minorHAnsi"/>
          <w:szCs w:val="20"/>
        </w:rPr>
        <w:t xml:space="preserve"> </w:t>
      </w:r>
      <w:r w:rsidRPr="006972C8">
        <w:rPr>
          <w:rFonts w:cstheme="minorHAnsi"/>
          <w:i/>
          <w:szCs w:val="20"/>
        </w:rPr>
        <w:t>See for example</w:t>
      </w:r>
      <w:r w:rsidRPr="006972C8">
        <w:rPr>
          <w:rFonts w:cstheme="minorHAnsi"/>
          <w:szCs w:val="20"/>
        </w:rPr>
        <w:t xml:space="preserve"> PG&amp;E’s 2023 GRC Testimony, PG&amp;E-4, Chapter 7, Distribution System Operations.</w:t>
      </w:r>
    </w:p>
  </w:footnote>
  <w:footnote w:id="125">
    <w:p w14:paraId="142475D5" w14:textId="77777777" w:rsidR="003D39C3" w:rsidRPr="006972C8" w:rsidRDefault="003D39C3" w:rsidP="003D39C3">
      <w:pPr>
        <w:contextualSpacing/>
        <w:rPr>
          <w:rFonts w:cstheme="minorHAnsi"/>
          <w:sz w:val="20"/>
          <w:szCs w:val="20"/>
        </w:rPr>
      </w:pPr>
      <w:r w:rsidRPr="006972C8">
        <w:rPr>
          <w:rStyle w:val="FootnoteReference"/>
          <w:rFonts w:cstheme="minorHAnsi"/>
          <w:sz w:val="20"/>
          <w:szCs w:val="20"/>
        </w:rPr>
        <w:footnoteRef/>
      </w:r>
      <w:r w:rsidRPr="006972C8">
        <w:rPr>
          <w:rFonts w:cstheme="minorHAnsi"/>
          <w:sz w:val="20"/>
          <w:szCs w:val="20"/>
        </w:rPr>
        <w:t xml:space="preserve"> </w:t>
      </w:r>
      <w:r w:rsidRPr="006972C8">
        <w:rPr>
          <w:sz w:val="20"/>
          <w:szCs w:val="20"/>
        </w:rPr>
        <w:t>Joint January LGP AL at 7</w:t>
      </w:r>
      <w:r w:rsidR="009551A2">
        <w:rPr>
          <w:sz w:val="20"/>
          <w:szCs w:val="20"/>
        </w:rPr>
        <w:t>.</w:t>
      </w:r>
    </w:p>
  </w:footnote>
  <w:footnote w:id="126">
    <w:p w14:paraId="55C919D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w:t>
      </w:r>
      <w:r w:rsidRPr="006972C8">
        <w:rPr>
          <w:rFonts w:ascii="Palatino Linotype" w:hAnsi="Palatino Linotype"/>
          <w:i/>
          <w:sz w:val="20"/>
          <w:szCs w:val="20"/>
        </w:rPr>
        <w:t>See</w:t>
      </w:r>
      <w:r w:rsidRPr="006972C8">
        <w:rPr>
          <w:rFonts w:ascii="Palatino Linotype" w:hAnsi="Palatino Linotype"/>
          <w:i/>
          <w:iCs/>
          <w:sz w:val="20"/>
          <w:szCs w:val="20"/>
        </w:rPr>
        <w:t>, e.g.,</w:t>
      </w:r>
      <w:r w:rsidRPr="006972C8">
        <w:rPr>
          <w:rFonts w:ascii="Palatino Linotype" w:hAnsi="Palatino Linotype"/>
          <w:sz w:val="20"/>
          <w:szCs w:val="20"/>
        </w:rPr>
        <w:t xml:space="preserve"> PG&amp;E Rule 21, Sheet 138</w:t>
      </w:r>
      <w:r w:rsidR="009551A2">
        <w:rPr>
          <w:rFonts w:ascii="Palatino Linotype" w:hAnsi="Palatino Linotype"/>
          <w:sz w:val="20"/>
          <w:szCs w:val="20"/>
        </w:rPr>
        <w:t>,</w:t>
      </w:r>
      <w:r w:rsidRPr="006972C8">
        <w:rPr>
          <w:rFonts w:ascii="Palatino Linotype" w:hAnsi="Palatino Linotype"/>
          <w:sz w:val="20"/>
          <w:szCs w:val="20"/>
        </w:rPr>
        <w:t xml:space="preserve"> effective 2/16/2023</w:t>
      </w:r>
      <w:r w:rsidR="009551A2">
        <w:rPr>
          <w:rFonts w:ascii="Palatino Linotype" w:hAnsi="Palatino Linotype"/>
          <w:sz w:val="20"/>
          <w:szCs w:val="20"/>
        </w:rPr>
        <w:t>.</w:t>
      </w:r>
    </w:p>
  </w:footnote>
  <w:footnote w:id="127">
    <w:p w14:paraId="1EF1F094" w14:textId="77777777" w:rsidR="003D39C3" w:rsidRPr="006972C8" w:rsidRDefault="003D39C3" w:rsidP="003D39C3">
      <w:pPr>
        <w:pStyle w:val="NoSpacing"/>
        <w:contextualSpacing/>
        <w:rPr>
          <w:rFonts w:eastAsia="Palatino Linotype" w:cs="Palatino Linotype"/>
          <w:szCs w:val="20"/>
        </w:rPr>
      </w:pPr>
      <w:r w:rsidRPr="006972C8">
        <w:rPr>
          <w:rStyle w:val="FootnoteReference"/>
          <w:rFonts w:eastAsia="Palatino Linotype" w:cstheme="minorHAnsi"/>
          <w:szCs w:val="20"/>
        </w:rPr>
        <w:footnoteRef/>
      </w:r>
      <w:r w:rsidRPr="006972C8">
        <w:rPr>
          <w:rFonts w:eastAsia="Palatino Linotype" w:cstheme="minorHAnsi"/>
          <w:szCs w:val="20"/>
        </w:rPr>
        <w:t xml:space="preserve"> </w:t>
      </w:r>
      <w:r w:rsidRPr="006972C8">
        <w:rPr>
          <w:rFonts w:eastAsia="Palatino Linotype" w:cstheme="minorHAnsi"/>
          <w:i/>
          <w:szCs w:val="20"/>
        </w:rPr>
        <w:t>See for example</w:t>
      </w:r>
      <w:r w:rsidRPr="006972C8">
        <w:rPr>
          <w:rFonts w:eastAsia="Palatino Linotype" w:cstheme="minorHAnsi"/>
          <w:szCs w:val="20"/>
        </w:rPr>
        <w:t xml:space="preserve"> PG&amp;E Test Year 2023 GRC, Application 21-06-021.Filed on 6/30/2021. PG&amp;E Testimony, PG&amp;E-4, Chapter 17, Electric Distribution Capacity, Engineering and Planning.</w:t>
      </w:r>
      <w:r w:rsidRPr="006972C8">
        <w:rPr>
          <w:rFonts w:eastAsia="Palatino Linotype" w:cs="Palatino Linotype"/>
          <w:szCs w:val="20"/>
        </w:rPr>
        <w:t xml:space="preserve">  </w:t>
      </w:r>
    </w:p>
  </w:footnote>
  <w:footnote w:id="128">
    <w:p w14:paraId="42A72792" w14:textId="77777777" w:rsidR="00BD7DF5" w:rsidRPr="00BD7DF5" w:rsidRDefault="00BD7DF5" w:rsidP="00BD7DF5">
      <w:pPr>
        <w:pStyle w:val="FootnoteText"/>
        <w:spacing w:after="0"/>
        <w:rPr>
          <w:sz w:val="20"/>
          <w:szCs w:val="20"/>
        </w:rPr>
      </w:pPr>
      <w:r w:rsidRPr="00BD7DF5">
        <w:rPr>
          <w:rStyle w:val="FootnoteReference"/>
          <w:sz w:val="20"/>
          <w:szCs w:val="20"/>
        </w:rPr>
        <w:footnoteRef/>
      </w:r>
      <w:r w:rsidRPr="00BD7DF5">
        <w:rPr>
          <w:sz w:val="20"/>
          <w:szCs w:val="20"/>
        </w:rPr>
        <w:t xml:space="preserve"> Alternate Proposal (Appendix A of Joint January LGP AL) at 7.</w:t>
      </w:r>
    </w:p>
  </w:footnote>
  <w:footnote w:id="129">
    <w:p w14:paraId="21A5E2A9" w14:textId="77777777" w:rsidR="003D39C3" w:rsidRPr="006972C8" w:rsidRDefault="003D39C3" w:rsidP="003D39C3">
      <w:pPr>
        <w:pStyle w:val="NormalWeb"/>
        <w:spacing w:before="0" w:beforeAutospacing="0" w:after="0" w:afterAutospacing="0"/>
        <w:contextualSpacing/>
        <w:rPr>
          <w:sz w:val="20"/>
          <w:szCs w:val="20"/>
        </w:rPr>
      </w:pPr>
      <w:r w:rsidRPr="006972C8">
        <w:rPr>
          <w:rStyle w:val="FootnoteReference"/>
          <w:sz w:val="20"/>
          <w:szCs w:val="20"/>
        </w:rPr>
        <w:footnoteRef/>
      </w:r>
      <w:r w:rsidRPr="006972C8">
        <w:rPr>
          <w:sz w:val="20"/>
          <w:szCs w:val="20"/>
        </w:rPr>
        <w:t xml:space="preserve"> General Order 96-B, at 8</w:t>
      </w:r>
      <w:r w:rsidR="009551A2">
        <w:rPr>
          <w:sz w:val="20"/>
          <w:szCs w:val="20"/>
        </w:rPr>
        <w:t>.</w:t>
      </w:r>
    </w:p>
  </w:footnote>
  <w:footnote w:id="130">
    <w:p w14:paraId="73F51FF8"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R.17-07-007 at 4</w:t>
      </w:r>
      <w:r w:rsidR="009551A2">
        <w:rPr>
          <w:szCs w:val="20"/>
        </w:rPr>
        <w:t>.</w:t>
      </w:r>
    </w:p>
  </w:footnote>
  <w:footnote w:id="131">
    <w:p w14:paraId="1DD85E3D"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8</w:t>
      </w:r>
      <w:r w:rsidR="009551A2">
        <w:rPr>
          <w:szCs w:val="20"/>
        </w:rPr>
        <w:t>.</w:t>
      </w:r>
    </w:p>
  </w:footnote>
  <w:footnote w:id="132">
    <w:p w14:paraId="10A4086E"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9</w:t>
      </w:r>
      <w:r w:rsidR="009551A2">
        <w:rPr>
          <w:szCs w:val="20"/>
        </w:rPr>
        <w:t>.</w:t>
      </w:r>
    </w:p>
  </w:footnote>
  <w:footnote w:id="133">
    <w:p w14:paraId="7FE41543"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10</w:t>
      </w:r>
      <w:r w:rsidR="009551A2">
        <w:rPr>
          <w:rFonts w:ascii="Palatino Linotype" w:hAnsi="Palatino Linotype"/>
          <w:sz w:val="20"/>
          <w:szCs w:val="20"/>
        </w:rPr>
        <w:t>.</w:t>
      </w:r>
    </w:p>
  </w:footnote>
  <w:footnote w:id="134">
    <w:p w14:paraId="6C10991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D.20-09-035 at 60</w:t>
      </w:r>
      <w:r w:rsidR="009551A2">
        <w:rPr>
          <w:rFonts w:ascii="Palatino Linotype" w:hAnsi="Palatino Linotype"/>
          <w:sz w:val="20"/>
          <w:szCs w:val="20"/>
        </w:rPr>
        <w:t>.</w:t>
      </w:r>
    </w:p>
  </w:footnote>
  <w:footnote w:id="135">
    <w:p w14:paraId="53CEA50E"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Joint January LGP AL, at 10.</w:t>
      </w:r>
    </w:p>
  </w:footnote>
  <w:footnote w:id="136">
    <w:p w14:paraId="399EFADB"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10</w:t>
      </w:r>
      <w:r w:rsidR="009551A2">
        <w:rPr>
          <w:rFonts w:ascii="Palatino Linotype" w:hAnsi="Palatino Linotype"/>
          <w:sz w:val="20"/>
          <w:szCs w:val="20"/>
        </w:rPr>
        <w:t>.</w:t>
      </w:r>
    </w:p>
  </w:footnote>
  <w:footnote w:id="137">
    <w:p w14:paraId="230A6533"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Joint January LGP AL at 4.</w:t>
      </w:r>
    </w:p>
  </w:footnote>
  <w:footnote w:id="138">
    <w:p w14:paraId="60D90D7F"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4; and Cal Advocates protest to Joint January LGP AL at 7</w:t>
      </w:r>
      <w:r w:rsidR="009551A2">
        <w:rPr>
          <w:sz w:val="20"/>
          <w:szCs w:val="20"/>
        </w:rPr>
        <w:t>.</w:t>
      </w:r>
    </w:p>
  </w:footnote>
  <w:footnote w:id="139">
    <w:p w14:paraId="01E7B548"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Joint January LGP AL at 4</w:t>
      </w:r>
      <w:r w:rsidR="009551A2">
        <w:rPr>
          <w:rFonts w:ascii="Palatino Linotype" w:hAnsi="Palatino Linotype"/>
          <w:sz w:val="20"/>
          <w:szCs w:val="20"/>
        </w:rPr>
        <w:t>.</w:t>
      </w:r>
    </w:p>
  </w:footnote>
  <w:footnote w:id="140">
    <w:p w14:paraId="31222D1A"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6</w:t>
      </w:r>
      <w:r w:rsidR="009551A2">
        <w:rPr>
          <w:sz w:val="20"/>
          <w:szCs w:val="20"/>
        </w:rPr>
        <w:t>.</w:t>
      </w:r>
    </w:p>
  </w:footnote>
  <w:footnote w:id="141">
    <w:p w14:paraId="0728FCCB"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Alternate Proposal (Appendix A of Joint January LGP AL) at 5</w:t>
      </w:r>
      <w:r w:rsidR="009551A2">
        <w:rPr>
          <w:sz w:val="20"/>
          <w:szCs w:val="20"/>
        </w:rPr>
        <w:t>.</w:t>
      </w:r>
    </w:p>
  </w:footnote>
  <w:footnote w:id="142">
    <w:p w14:paraId="4A76A0A8"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Joint January LGP AL at 10</w:t>
      </w:r>
      <w:r w:rsidR="009551A2">
        <w:rPr>
          <w:sz w:val="20"/>
          <w:szCs w:val="20"/>
        </w:rPr>
        <w:t>.</w:t>
      </w:r>
    </w:p>
  </w:footnote>
  <w:footnote w:id="143">
    <w:p w14:paraId="43FE2D9D"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Alternate Proposal (Appendix A of Joint January LGP AL) at 7</w:t>
      </w:r>
      <w:r w:rsidR="009551A2">
        <w:rPr>
          <w:sz w:val="20"/>
          <w:szCs w:val="20"/>
        </w:rPr>
        <w:t>.</w:t>
      </w:r>
    </w:p>
  </w:footnote>
  <w:footnote w:id="144">
    <w:p w14:paraId="0928BF0C" w14:textId="77777777" w:rsidR="003D39C3" w:rsidRPr="00A34020" w:rsidRDefault="003D39C3" w:rsidP="00A34020">
      <w:pPr>
        <w:contextualSpacing/>
        <w:rPr>
          <w:sz w:val="20"/>
          <w:szCs w:val="20"/>
        </w:rPr>
      </w:pPr>
      <w:r w:rsidRPr="00A34020">
        <w:rPr>
          <w:rStyle w:val="FootnoteReference"/>
          <w:sz w:val="20"/>
          <w:szCs w:val="20"/>
        </w:rPr>
        <w:footnoteRef/>
      </w:r>
      <w:r w:rsidRPr="00A34020">
        <w:rPr>
          <w:sz w:val="20"/>
          <w:szCs w:val="20"/>
        </w:rPr>
        <w:t xml:space="preserve"> SCE, Joint Utilities’ Reply to Cal Advocates Protest of Supplement to Joint January LGP AL, at 4</w:t>
      </w:r>
      <w:r w:rsidR="009551A2" w:rsidRPr="00A34020">
        <w:rPr>
          <w:sz w:val="20"/>
          <w:szCs w:val="20"/>
        </w:rPr>
        <w:t>.</w:t>
      </w:r>
    </w:p>
  </w:footnote>
  <w:footnote w:id="145">
    <w:p w14:paraId="7B35EF1F" w14:textId="77777777" w:rsidR="00A34020" w:rsidRDefault="00A34020" w:rsidP="00A34020">
      <w:pPr>
        <w:pStyle w:val="FootnoteText"/>
        <w:spacing w:after="0"/>
      </w:pPr>
      <w:r w:rsidRPr="00A34020">
        <w:rPr>
          <w:rStyle w:val="FootnoteReference"/>
          <w:rFonts w:ascii="Palatino Linotype" w:hAnsi="Palatino Linotype"/>
          <w:sz w:val="20"/>
          <w:szCs w:val="20"/>
        </w:rPr>
        <w:footnoteRef/>
      </w:r>
      <w:r w:rsidRPr="00A34020">
        <w:rPr>
          <w:rFonts w:ascii="Palatino Linotype" w:hAnsi="Palatino Linotype"/>
          <w:sz w:val="20"/>
          <w:szCs w:val="20"/>
        </w:rPr>
        <w:t xml:space="preserve"> Cal Advocates Protest of Supplement to Joint January LGP AL, at 4.</w:t>
      </w:r>
    </w:p>
  </w:footnote>
  <w:footnote w:id="146">
    <w:p w14:paraId="5F236834"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4</w:t>
      </w:r>
      <w:r w:rsidR="009551A2">
        <w:rPr>
          <w:rFonts w:ascii="Palatino Linotype" w:hAnsi="Palatino Linotype"/>
          <w:sz w:val="20"/>
          <w:szCs w:val="20"/>
        </w:rPr>
        <w:t>.</w:t>
      </w:r>
    </w:p>
  </w:footnote>
  <w:footnote w:id="147">
    <w:p w14:paraId="6C617B1D"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7</w:t>
      </w:r>
      <w:r w:rsidR="009551A2">
        <w:rPr>
          <w:rFonts w:ascii="Palatino Linotype" w:hAnsi="Palatino Linotype"/>
          <w:sz w:val="20"/>
          <w:szCs w:val="20"/>
        </w:rPr>
        <w:t>.</w:t>
      </w:r>
    </w:p>
  </w:footnote>
  <w:footnote w:id="148">
    <w:p w14:paraId="72BCFAC6"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4</w:t>
      </w:r>
      <w:r w:rsidR="009551A2">
        <w:rPr>
          <w:szCs w:val="20"/>
        </w:rPr>
        <w:t>.</w:t>
      </w:r>
    </w:p>
  </w:footnote>
  <w:footnote w:id="149">
    <w:p w14:paraId="56ED65DB"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150">
    <w:p w14:paraId="6C6959FF"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151">
    <w:p w14:paraId="20AE8ADE"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Ibid at 5</w:t>
      </w:r>
      <w:r w:rsidR="009551A2">
        <w:rPr>
          <w:szCs w:val="20"/>
        </w:rPr>
        <w:t>.</w:t>
      </w:r>
    </w:p>
  </w:footnote>
  <w:footnote w:id="152">
    <w:p w14:paraId="63122A9B"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5</w:t>
      </w:r>
      <w:r w:rsidR="009551A2">
        <w:rPr>
          <w:rFonts w:ascii="Palatino Linotype" w:hAnsi="Palatino Linotype"/>
          <w:sz w:val="20"/>
          <w:szCs w:val="20"/>
        </w:rPr>
        <w:t>.</w:t>
      </w:r>
    </w:p>
  </w:footnote>
  <w:footnote w:id="153">
    <w:p w14:paraId="4AF972D8" w14:textId="77777777" w:rsidR="003D39C3" w:rsidRPr="00006DBB" w:rsidRDefault="003D39C3" w:rsidP="00006DBB">
      <w:pPr>
        <w:contextualSpacing/>
        <w:rPr>
          <w:sz w:val="20"/>
          <w:szCs w:val="20"/>
        </w:rPr>
      </w:pPr>
      <w:r w:rsidRPr="00006DBB">
        <w:rPr>
          <w:rStyle w:val="FootnoteReference"/>
          <w:sz w:val="20"/>
          <w:szCs w:val="20"/>
        </w:rPr>
        <w:footnoteRef/>
      </w:r>
      <w:r w:rsidRPr="00006DBB">
        <w:rPr>
          <w:sz w:val="20"/>
          <w:szCs w:val="20"/>
        </w:rPr>
        <w:t xml:space="preserve"> IREC protest to Joint January LGP AL at 8</w:t>
      </w:r>
      <w:r w:rsidR="009551A2" w:rsidRPr="00006DBB">
        <w:rPr>
          <w:sz w:val="20"/>
          <w:szCs w:val="20"/>
        </w:rPr>
        <w:t>.</w:t>
      </w:r>
    </w:p>
  </w:footnote>
  <w:footnote w:id="154">
    <w:p w14:paraId="5EB7AFF1" w14:textId="77777777" w:rsidR="00006DBB" w:rsidRDefault="00006DBB" w:rsidP="00006DBB">
      <w:pPr>
        <w:pStyle w:val="FootnoteText"/>
        <w:spacing w:after="0"/>
      </w:pPr>
      <w:r w:rsidRPr="00006DBB">
        <w:rPr>
          <w:rStyle w:val="FootnoteReference"/>
          <w:rFonts w:ascii="Palatino Linotype" w:hAnsi="Palatino Linotype"/>
          <w:sz w:val="20"/>
          <w:szCs w:val="20"/>
        </w:rPr>
        <w:footnoteRef/>
      </w:r>
      <w:r w:rsidRPr="00006DBB">
        <w:rPr>
          <w:rFonts w:ascii="Palatino Linotype" w:hAnsi="Palatino Linotype"/>
          <w:sz w:val="20"/>
          <w:szCs w:val="20"/>
        </w:rPr>
        <w:t xml:space="preserve"> Alternate Proposal (Attachment A of Joint January LGP Advice Letter), at 7-8.</w:t>
      </w:r>
    </w:p>
  </w:footnote>
  <w:footnote w:id="155">
    <w:p w14:paraId="47E5AAD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w:t>
      </w:r>
      <w:r w:rsidRPr="006972C8">
        <w:rPr>
          <w:rFonts w:ascii="Palatino Linotype" w:hAnsi="Palatino Linotype" w:cstheme="minorHAnsi"/>
          <w:sz w:val="20"/>
          <w:szCs w:val="20"/>
        </w:rPr>
        <w:t>The memorializing of sub-issue discussions is ordered by Resolution E-5230 Ordering Paragraph 3: “Pacific Gas and Electric Company, Southern California Edison Company, and San Diego Gas &amp; Electric Company are ordered to submit subsequent Tier 3 Advice Letters by May 1, 2023. The Advice Letters should contain all material articulated in the Discussion section of this Resolution, including the approved sections of their proposals and any modifications warranted for those steps as discussed in this Resolution.”</w:t>
      </w:r>
    </w:p>
  </w:footnote>
  <w:footnote w:id="156">
    <w:p w14:paraId="50D79800"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OP 16 ordered the Large IOUs in their advice letters to include a description of how the Large IOUs will implement OP 15.</w:t>
      </w:r>
    </w:p>
  </w:footnote>
  <w:footnote w:id="157">
    <w:p w14:paraId="79EF240B"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Resolution E-5230, at 13.</w:t>
      </w:r>
    </w:p>
  </w:footnote>
  <w:footnote w:id="158">
    <w:p w14:paraId="6646B759"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Joint May LGP AL at 6.</w:t>
      </w:r>
    </w:p>
  </w:footnote>
  <w:footnote w:id="159">
    <w:p w14:paraId="41F4CD30"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Joint May LGP AL, at 3-4.</w:t>
      </w:r>
    </w:p>
  </w:footnote>
  <w:footnote w:id="160">
    <w:p w14:paraId="67708DF1"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Resolution E-5230 at 16</w:t>
      </w:r>
      <w:r w:rsidR="009551A2">
        <w:rPr>
          <w:rFonts w:ascii="Palatino Linotype" w:hAnsi="Palatino Linotype"/>
          <w:sz w:val="20"/>
          <w:szCs w:val="20"/>
        </w:rPr>
        <w:t>.</w:t>
      </w:r>
    </w:p>
  </w:footnote>
  <w:footnote w:id="161">
    <w:p w14:paraId="640238C8"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9</w:t>
      </w:r>
      <w:r w:rsidR="009551A2">
        <w:rPr>
          <w:sz w:val="20"/>
          <w:szCs w:val="20"/>
        </w:rPr>
        <w:t>.</w:t>
      </w:r>
    </w:p>
  </w:footnote>
  <w:footnote w:id="162">
    <w:p w14:paraId="44492F84"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10</w:t>
      </w:r>
      <w:r w:rsidR="009551A2">
        <w:rPr>
          <w:rFonts w:ascii="Palatino Linotype" w:hAnsi="Palatino Linotype"/>
          <w:sz w:val="20"/>
          <w:szCs w:val="20"/>
        </w:rPr>
        <w:t>.</w:t>
      </w:r>
    </w:p>
  </w:footnote>
  <w:footnote w:id="163">
    <w:p w14:paraId="46B0B32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8; SDG&amp;E, Joint IOU </w:t>
      </w:r>
      <w:r w:rsidR="00F8224E">
        <w:rPr>
          <w:rFonts w:ascii="Palatino Linotype" w:hAnsi="Palatino Linotype"/>
          <w:sz w:val="20"/>
          <w:szCs w:val="20"/>
        </w:rPr>
        <w:t>Reply</w:t>
      </w:r>
      <w:r w:rsidRPr="006972C8">
        <w:rPr>
          <w:rFonts w:ascii="Palatino Linotype" w:hAnsi="Palatino Linotype"/>
          <w:sz w:val="20"/>
          <w:szCs w:val="20"/>
        </w:rPr>
        <w:t xml:space="preserve"> to IREC’s Protest of Joint May LGP AL, at 5-6</w:t>
      </w:r>
      <w:r w:rsidR="009551A2">
        <w:rPr>
          <w:rFonts w:ascii="Palatino Linotype" w:hAnsi="Palatino Linotype"/>
          <w:sz w:val="20"/>
          <w:szCs w:val="20"/>
        </w:rPr>
        <w:t>.</w:t>
      </w:r>
    </w:p>
  </w:footnote>
  <w:footnote w:id="164">
    <w:p w14:paraId="03D56444"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the Joint May LGP AL at 8.</w:t>
      </w:r>
    </w:p>
  </w:footnote>
  <w:footnote w:id="165">
    <w:p w14:paraId="2C7445AB" w14:textId="77777777" w:rsidR="003D39C3" w:rsidRPr="006972C8" w:rsidRDefault="003D39C3" w:rsidP="003D39C3">
      <w:pPr>
        <w:pStyle w:val="NoSpacing"/>
        <w:tabs>
          <w:tab w:val="left" w:pos="755"/>
        </w:tabs>
        <w:contextualSpacing/>
        <w:rPr>
          <w:szCs w:val="20"/>
        </w:rPr>
      </w:pPr>
      <w:r w:rsidRPr="006972C8">
        <w:rPr>
          <w:rStyle w:val="FootnoteReference"/>
          <w:szCs w:val="20"/>
        </w:rPr>
        <w:footnoteRef/>
      </w:r>
      <w:r w:rsidRPr="006972C8">
        <w:rPr>
          <w:szCs w:val="20"/>
        </w:rPr>
        <w:t xml:space="preserve"> Ibid at 8</w:t>
      </w:r>
      <w:r w:rsidR="009551A2">
        <w:rPr>
          <w:szCs w:val="20"/>
        </w:rPr>
        <w:t>.</w:t>
      </w:r>
    </w:p>
  </w:footnote>
  <w:footnote w:id="166">
    <w:p w14:paraId="03A1771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SDG&amp;E, Joint IOU </w:t>
      </w:r>
      <w:r w:rsidR="00F8224E">
        <w:rPr>
          <w:rFonts w:ascii="Palatino Linotype" w:hAnsi="Palatino Linotype"/>
          <w:sz w:val="20"/>
          <w:szCs w:val="20"/>
        </w:rPr>
        <w:t>Reply</w:t>
      </w:r>
      <w:r w:rsidRPr="006972C8">
        <w:rPr>
          <w:rFonts w:ascii="Palatino Linotype" w:hAnsi="Palatino Linotype"/>
          <w:sz w:val="20"/>
          <w:szCs w:val="20"/>
        </w:rPr>
        <w:t xml:space="preserve"> to IREC’s Protest of Joint May LGP AL, at 5-6</w:t>
      </w:r>
      <w:r w:rsidR="009551A2">
        <w:rPr>
          <w:rFonts w:ascii="Palatino Linotype" w:hAnsi="Palatino Linotype"/>
          <w:sz w:val="20"/>
          <w:szCs w:val="20"/>
        </w:rPr>
        <w:t>.</w:t>
      </w:r>
    </w:p>
  </w:footnote>
  <w:footnote w:id="167">
    <w:p w14:paraId="6463134F"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8-9</w:t>
      </w:r>
      <w:r w:rsidR="009551A2">
        <w:rPr>
          <w:sz w:val="20"/>
          <w:szCs w:val="20"/>
        </w:rPr>
        <w:t>.</w:t>
      </w:r>
    </w:p>
  </w:footnote>
  <w:footnote w:id="168">
    <w:p w14:paraId="47E8A8FF"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5-7</w:t>
      </w:r>
      <w:r w:rsidR="009551A2">
        <w:rPr>
          <w:rFonts w:ascii="Palatino Linotype" w:hAnsi="Palatino Linotype"/>
          <w:sz w:val="20"/>
          <w:szCs w:val="20"/>
        </w:rPr>
        <w:t>.</w:t>
      </w:r>
    </w:p>
  </w:footnote>
  <w:footnote w:id="169">
    <w:p w14:paraId="43A81CAC" w14:textId="77777777" w:rsidR="003D39C3" w:rsidRPr="003E1F35" w:rsidRDefault="003D39C3" w:rsidP="003E1F35">
      <w:pPr>
        <w:pStyle w:val="FootnoteText"/>
        <w:spacing w:after="0"/>
        <w:contextualSpacing/>
        <w:rPr>
          <w:rFonts w:ascii="Palatino Linotype" w:hAnsi="Palatino Linotype"/>
          <w:sz w:val="20"/>
          <w:szCs w:val="20"/>
        </w:rPr>
      </w:pPr>
      <w:r w:rsidRPr="003E1F35">
        <w:rPr>
          <w:rStyle w:val="FootnoteReference"/>
          <w:rFonts w:ascii="Palatino Linotype" w:hAnsi="Palatino Linotype"/>
          <w:sz w:val="20"/>
          <w:szCs w:val="20"/>
        </w:rPr>
        <w:footnoteRef/>
      </w:r>
      <w:r w:rsidRPr="003E1F35">
        <w:rPr>
          <w:rFonts w:ascii="Palatino Linotype" w:hAnsi="Palatino Linotype"/>
          <w:sz w:val="20"/>
          <w:szCs w:val="20"/>
        </w:rPr>
        <w:t xml:space="preserve"> IREC Protest to the Joint May LGP AL at 5</w:t>
      </w:r>
      <w:r w:rsidR="009551A2" w:rsidRPr="003E1F35">
        <w:rPr>
          <w:rFonts w:ascii="Palatino Linotype" w:hAnsi="Palatino Linotype"/>
          <w:sz w:val="20"/>
          <w:szCs w:val="20"/>
        </w:rPr>
        <w:t>.</w:t>
      </w:r>
    </w:p>
  </w:footnote>
  <w:footnote w:id="170">
    <w:p w14:paraId="2360CAC1"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SDG&amp;E, Joint IOU </w:t>
      </w:r>
      <w:r w:rsidR="00F8224E">
        <w:rPr>
          <w:sz w:val="20"/>
          <w:szCs w:val="20"/>
        </w:rPr>
        <w:t>Reply</w:t>
      </w:r>
      <w:r w:rsidRPr="006972C8">
        <w:rPr>
          <w:sz w:val="20"/>
          <w:szCs w:val="20"/>
        </w:rPr>
        <w:t xml:space="preserve"> to IREC’s Protest of Joint May LGP AL, at 5</w:t>
      </w:r>
      <w:r w:rsidR="009551A2">
        <w:rPr>
          <w:sz w:val="20"/>
          <w:szCs w:val="20"/>
        </w:rPr>
        <w:t>.</w:t>
      </w:r>
    </w:p>
  </w:footnote>
  <w:footnote w:id="171">
    <w:p w14:paraId="534F008A" w14:textId="77777777" w:rsidR="002308AB" w:rsidRPr="00BF7B0F" w:rsidRDefault="002308AB" w:rsidP="002308AB">
      <w:pPr>
        <w:pStyle w:val="FootnoteText"/>
        <w:spacing w:after="0"/>
        <w:rPr>
          <w:rFonts w:ascii="Palatino Linotype" w:hAnsi="Palatino Linotype"/>
          <w:sz w:val="20"/>
          <w:szCs w:val="20"/>
        </w:rPr>
      </w:pPr>
      <w:r w:rsidRPr="00BF7B0F">
        <w:rPr>
          <w:rStyle w:val="FootnoteReference"/>
          <w:rFonts w:ascii="Palatino Linotype" w:hAnsi="Palatino Linotype"/>
          <w:sz w:val="20"/>
          <w:szCs w:val="20"/>
        </w:rPr>
        <w:footnoteRef/>
      </w:r>
      <w:r w:rsidRPr="00BF7B0F">
        <w:rPr>
          <w:rFonts w:ascii="Palatino Linotype" w:hAnsi="Palatino Linotype"/>
          <w:sz w:val="20"/>
          <w:szCs w:val="20"/>
        </w:rPr>
        <w:t xml:space="preserve"> UL 1741 Supplement SE </w:t>
      </w:r>
      <w:r w:rsidR="00D55D01">
        <w:rPr>
          <w:rFonts w:ascii="Palatino Linotype" w:hAnsi="Palatino Linotype"/>
          <w:sz w:val="20"/>
          <w:szCs w:val="20"/>
        </w:rPr>
        <w:t xml:space="preserve">was the (expected) </w:t>
      </w:r>
      <w:r w:rsidRPr="00BF7B0F">
        <w:rPr>
          <w:rFonts w:ascii="Palatino Linotype" w:hAnsi="Palatino Linotype"/>
          <w:sz w:val="20"/>
          <w:szCs w:val="20"/>
        </w:rPr>
        <w:t>forthcoming certification standard for Power Control Systems (PCS)</w:t>
      </w:r>
      <w:r w:rsidR="00D55D01">
        <w:rPr>
          <w:rFonts w:ascii="Palatino Linotype" w:hAnsi="Palatino Linotype"/>
          <w:sz w:val="20"/>
          <w:szCs w:val="20"/>
        </w:rPr>
        <w:t xml:space="preserve"> at the time of IREC’s proposal.</w:t>
      </w:r>
    </w:p>
  </w:footnote>
  <w:footnote w:id="172">
    <w:p w14:paraId="18D49157" w14:textId="77777777" w:rsidR="002308AB" w:rsidRPr="006972C8" w:rsidRDefault="002308AB" w:rsidP="002308AB">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6</w:t>
      </w:r>
      <w:r>
        <w:rPr>
          <w:rFonts w:ascii="Palatino Linotype" w:hAnsi="Palatino Linotype"/>
          <w:sz w:val="20"/>
          <w:szCs w:val="20"/>
        </w:rPr>
        <w:t>.</w:t>
      </w:r>
    </w:p>
  </w:footnote>
  <w:footnote w:id="173">
    <w:p w14:paraId="2DD87CF7" w14:textId="77777777" w:rsidR="00D65BFB" w:rsidRDefault="00D65BFB" w:rsidP="00D65BFB">
      <w:r w:rsidRPr="00D65BFB">
        <w:rPr>
          <w:rStyle w:val="FootnoteReference"/>
          <w:sz w:val="20"/>
          <w:szCs w:val="20"/>
        </w:rPr>
        <w:footnoteRef/>
      </w:r>
      <w:r w:rsidRPr="00D65BFB">
        <w:rPr>
          <w:sz w:val="20"/>
          <w:szCs w:val="20"/>
        </w:rPr>
        <w:t xml:space="preserve"> See also Comments section</w:t>
      </w:r>
      <w:r>
        <w:rPr>
          <w:sz w:val="20"/>
          <w:szCs w:val="20"/>
        </w:rPr>
        <w:t xml:space="preserve"> of this resolution</w:t>
      </w:r>
      <w:r w:rsidRPr="00D65BFB">
        <w:rPr>
          <w:sz w:val="20"/>
          <w:szCs w:val="20"/>
        </w:rPr>
        <w:t>, comments on Disposition #12 on Standard for PCS Scheduling Functionality. Development of a standard for PCS scheduling functionality has recently transitioned to new standard UL 3141, from the original expectation that a Supplement SE to UL 1741 would be issued. For purposes of this resolution, a “standard for UL PCS with integrated schedule” refers to a future version of UL 3141 Outline of Investigation for Power Control Systems that includes PCS scheduling functionality</w:t>
      </w:r>
      <w:r>
        <w:rPr>
          <w:sz w:val="20"/>
          <w:szCs w:val="20"/>
        </w:rPr>
        <w:t xml:space="preserve"> able to accommodate the three LGP configurations adopted in Disposition #20.</w:t>
      </w:r>
    </w:p>
  </w:footnote>
  <w:footnote w:id="174">
    <w:p w14:paraId="653ED8B5"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6</w:t>
      </w:r>
      <w:r w:rsidR="009551A2">
        <w:rPr>
          <w:rFonts w:ascii="Palatino Linotype" w:hAnsi="Palatino Linotype"/>
          <w:sz w:val="20"/>
          <w:szCs w:val="20"/>
        </w:rPr>
        <w:t>.</w:t>
      </w:r>
    </w:p>
  </w:footnote>
  <w:footnote w:id="175">
    <w:p w14:paraId="370C94CF" w14:textId="77777777" w:rsidR="00561D78" w:rsidRPr="006972C8" w:rsidRDefault="00561D78" w:rsidP="00561D78">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SDG&amp;E, Joint IOU </w:t>
      </w:r>
      <w:r>
        <w:rPr>
          <w:rFonts w:ascii="Palatino Linotype" w:hAnsi="Palatino Linotype"/>
          <w:sz w:val="20"/>
          <w:szCs w:val="20"/>
        </w:rPr>
        <w:t>Reply</w:t>
      </w:r>
      <w:r w:rsidRPr="006972C8">
        <w:rPr>
          <w:rFonts w:ascii="Palatino Linotype" w:hAnsi="Palatino Linotype"/>
          <w:sz w:val="20"/>
          <w:szCs w:val="20"/>
        </w:rPr>
        <w:t xml:space="preserve"> to IREC’s Protest of Joint May LGP AL, at 3</w:t>
      </w:r>
      <w:r>
        <w:rPr>
          <w:rFonts w:ascii="Palatino Linotype" w:hAnsi="Palatino Linotype"/>
          <w:sz w:val="20"/>
          <w:szCs w:val="20"/>
        </w:rPr>
        <w:t>.</w:t>
      </w:r>
    </w:p>
  </w:footnote>
  <w:footnote w:id="176">
    <w:p w14:paraId="78B5A91B"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11</w:t>
      </w:r>
    </w:p>
  </w:footnote>
  <w:footnote w:id="177">
    <w:p w14:paraId="6C255DD4"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Joint May LGP AL at 10.</w:t>
      </w:r>
    </w:p>
  </w:footnote>
  <w:footnote w:id="178">
    <w:p w14:paraId="708D72F1"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E-5230 at 19</w:t>
      </w:r>
    </w:p>
  </w:footnote>
  <w:footnote w:id="179">
    <w:p w14:paraId="7D7F7B2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SDG&amp;E, Joint IOU </w:t>
      </w:r>
      <w:r w:rsidR="00F8224E">
        <w:rPr>
          <w:sz w:val="20"/>
          <w:szCs w:val="20"/>
        </w:rPr>
        <w:t>Reply</w:t>
      </w:r>
      <w:r w:rsidRPr="006972C8">
        <w:rPr>
          <w:sz w:val="20"/>
          <w:szCs w:val="20"/>
        </w:rPr>
        <w:t xml:space="preserve"> to IREC’s Protest of Joint May LGP AL, at 6-7</w:t>
      </w:r>
      <w:r w:rsidR="009551A2">
        <w:rPr>
          <w:sz w:val="20"/>
          <w:szCs w:val="20"/>
        </w:rPr>
        <w:t>.</w:t>
      </w:r>
    </w:p>
  </w:footnote>
  <w:footnote w:id="180">
    <w:p w14:paraId="1EA4DE97"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E-5230 at 21-22</w:t>
      </w:r>
      <w:r w:rsidR="009551A2">
        <w:rPr>
          <w:sz w:val="20"/>
          <w:szCs w:val="20"/>
        </w:rPr>
        <w:t>.</w:t>
      </w:r>
    </w:p>
  </w:footnote>
  <w:footnote w:id="181">
    <w:p w14:paraId="35FC02B9"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IREC Protest to Joint May LGP AL at 14.</w:t>
      </w:r>
    </w:p>
  </w:footnote>
  <w:footnote w:id="182">
    <w:p w14:paraId="20015212" w14:textId="77777777" w:rsidR="003D39C3" w:rsidRPr="006972C8" w:rsidRDefault="003D39C3" w:rsidP="003D39C3">
      <w:pPr>
        <w:pStyle w:val="NoSpacing"/>
        <w:contextualSpacing/>
        <w:rPr>
          <w:szCs w:val="20"/>
        </w:rPr>
      </w:pPr>
      <w:r w:rsidRPr="006972C8">
        <w:rPr>
          <w:rStyle w:val="FootnoteReference"/>
          <w:szCs w:val="20"/>
        </w:rPr>
        <w:footnoteRef/>
      </w:r>
      <w:r w:rsidRPr="006972C8">
        <w:rPr>
          <w:szCs w:val="20"/>
        </w:rPr>
        <w:t xml:space="preserve"> SDG&amp;E, Joint IOU </w:t>
      </w:r>
      <w:r w:rsidR="00F8224E">
        <w:rPr>
          <w:szCs w:val="20"/>
        </w:rPr>
        <w:t>Reply</w:t>
      </w:r>
      <w:r w:rsidRPr="006972C8">
        <w:rPr>
          <w:szCs w:val="20"/>
        </w:rPr>
        <w:t xml:space="preserve"> to IREC Protest to Joint May LGP AL, at 7.</w:t>
      </w:r>
    </w:p>
  </w:footnote>
  <w:footnote w:id="183">
    <w:p w14:paraId="6DB62E5D"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E-5230 at 22</w:t>
      </w:r>
      <w:r w:rsidR="009551A2">
        <w:rPr>
          <w:sz w:val="20"/>
          <w:szCs w:val="20"/>
        </w:rPr>
        <w:t>.</w:t>
      </w:r>
    </w:p>
  </w:footnote>
  <w:footnote w:id="184">
    <w:p w14:paraId="011D9DF9"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Resolution E-5230 Ordering Paragraphs 2 and 3</w:t>
      </w:r>
      <w:r w:rsidR="009551A2">
        <w:rPr>
          <w:rFonts w:ascii="Palatino Linotype" w:hAnsi="Palatino Linotype"/>
          <w:sz w:val="20"/>
          <w:szCs w:val="20"/>
        </w:rPr>
        <w:t>.</w:t>
      </w:r>
    </w:p>
  </w:footnote>
  <w:footnote w:id="185">
    <w:p w14:paraId="68421A6B"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E-5230 at 33</w:t>
      </w:r>
      <w:r w:rsidR="009551A2">
        <w:rPr>
          <w:sz w:val="20"/>
          <w:szCs w:val="20"/>
        </w:rPr>
        <w:t>.</w:t>
      </w:r>
    </w:p>
  </w:footnote>
  <w:footnote w:id="186">
    <w:p w14:paraId="4AFC6738"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19</w:t>
      </w:r>
      <w:r w:rsidR="009551A2">
        <w:rPr>
          <w:sz w:val="20"/>
          <w:szCs w:val="20"/>
        </w:rPr>
        <w:t>.</w:t>
      </w:r>
    </w:p>
  </w:footnote>
  <w:footnote w:id="187">
    <w:p w14:paraId="5010A74F" w14:textId="77777777" w:rsidR="00B65F68" w:rsidRPr="006972C8" w:rsidRDefault="00B65F68" w:rsidP="00B65F68">
      <w:pPr>
        <w:pStyle w:val="NoSpacing"/>
        <w:contextualSpacing/>
        <w:rPr>
          <w:szCs w:val="20"/>
        </w:rPr>
      </w:pPr>
      <w:r w:rsidRPr="006972C8">
        <w:rPr>
          <w:rStyle w:val="FootnoteReference"/>
          <w:szCs w:val="20"/>
        </w:rPr>
        <w:footnoteRef/>
      </w:r>
      <w:r w:rsidRPr="006972C8">
        <w:rPr>
          <w:szCs w:val="20"/>
        </w:rPr>
        <w:t xml:space="preserve"> The SunSpec Common Smart Inverter Profile (CSIP) describes configuration requirements for an IEEE 2030.5 interface that meets CA Rule 21 smart inverter Phase 2 requirements.  Rule 21 requires that Distributed Energy Resources within Investor-Owned Utilities must utilize the IEEE™ 2030.5-2018 networking standard in the manner described in the SunSpec CSIP.</w:t>
      </w:r>
    </w:p>
  </w:footnote>
  <w:footnote w:id="188">
    <w:p w14:paraId="29EF64FB"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17</w:t>
      </w:r>
      <w:r w:rsidR="009551A2">
        <w:rPr>
          <w:sz w:val="20"/>
          <w:szCs w:val="20"/>
        </w:rPr>
        <w:t>.</w:t>
      </w:r>
    </w:p>
  </w:footnote>
  <w:footnote w:id="189">
    <w:p w14:paraId="6001BE82"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SDG&amp;E, Joint IOU </w:t>
      </w:r>
      <w:r w:rsidR="00F8224E">
        <w:rPr>
          <w:sz w:val="20"/>
          <w:szCs w:val="20"/>
        </w:rPr>
        <w:t>Reply</w:t>
      </w:r>
      <w:r w:rsidRPr="006972C8">
        <w:rPr>
          <w:sz w:val="20"/>
          <w:szCs w:val="20"/>
        </w:rPr>
        <w:t xml:space="preserve"> to IREC’s Protest of Joint May LGP AL, at 10</w:t>
      </w:r>
      <w:r w:rsidR="009551A2">
        <w:rPr>
          <w:sz w:val="20"/>
          <w:szCs w:val="20"/>
        </w:rPr>
        <w:t>.</w:t>
      </w:r>
    </w:p>
  </w:footnote>
  <w:footnote w:id="190">
    <w:p w14:paraId="3DF66C73"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the Joint May LGP AL at 16</w:t>
      </w:r>
    </w:p>
  </w:footnote>
  <w:footnote w:id="191">
    <w:p w14:paraId="31AB4ED8"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18</w:t>
      </w:r>
    </w:p>
  </w:footnote>
  <w:footnote w:id="192">
    <w:p w14:paraId="13FC90DC"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Resolution E-5230 at 34</w:t>
      </w:r>
    </w:p>
  </w:footnote>
  <w:footnote w:id="193">
    <w:p w14:paraId="5B4DF9F9" w14:textId="77777777" w:rsidR="003D39C3" w:rsidRPr="006972C8" w:rsidRDefault="003D39C3" w:rsidP="003D39C3">
      <w:pPr>
        <w:pStyle w:val="FootnoteText"/>
        <w:spacing w:after="0"/>
        <w:contextualSpacing/>
        <w:rPr>
          <w:rFonts w:ascii="Palatino Linotype" w:hAnsi="Palatino Linotype" w:cstheme="minorHAnsi"/>
          <w:sz w:val="20"/>
          <w:szCs w:val="20"/>
        </w:rPr>
      </w:pPr>
      <w:r w:rsidRPr="006972C8">
        <w:rPr>
          <w:rStyle w:val="FootnoteReference"/>
          <w:rFonts w:ascii="Palatino Linotype" w:hAnsi="Palatino Linotype" w:cstheme="minorHAnsi"/>
          <w:sz w:val="20"/>
          <w:szCs w:val="20"/>
        </w:rPr>
        <w:footnoteRef/>
      </w:r>
      <w:r w:rsidRPr="006972C8">
        <w:rPr>
          <w:rFonts w:ascii="Palatino Linotype" w:hAnsi="Palatino Linotype" w:cstheme="minorHAnsi"/>
          <w:sz w:val="20"/>
          <w:szCs w:val="20"/>
        </w:rPr>
        <w:t xml:space="preserve"> The designation “18-23” stands for the time period starting with the hour 1800-1900 and ending with the hour 2300-0000 in 24-hour clock nomenclature.</w:t>
      </w:r>
    </w:p>
  </w:footnote>
  <w:footnote w:id="194">
    <w:p w14:paraId="597BAC2F"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See the Background section of this Resolution for details of the Data Request updates and responses.</w:t>
      </w:r>
    </w:p>
  </w:footnote>
  <w:footnote w:id="195">
    <w:p w14:paraId="7889620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21</w:t>
      </w:r>
      <w:r w:rsidR="009551A2">
        <w:rPr>
          <w:sz w:val="20"/>
          <w:szCs w:val="20"/>
        </w:rPr>
        <w:t>.</w:t>
      </w:r>
    </w:p>
  </w:footnote>
  <w:footnote w:id="196">
    <w:p w14:paraId="4982E0BD"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27-29</w:t>
      </w:r>
      <w:r w:rsidR="009551A2">
        <w:rPr>
          <w:sz w:val="20"/>
          <w:szCs w:val="20"/>
        </w:rPr>
        <w:t>.</w:t>
      </w:r>
    </w:p>
  </w:footnote>
  <w:footnote w:id="197">
    <w:p w14:paraId="3CF49B0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Cal Advocates protest to Joint May LGP AL at 2</w:t>
      </w:r>
      <w:r w:rsidR="009551A2">
        <w:rPr>
          <w:sz w:val="20"/>
          <w:szCs w:val="20"/>
        </w:rPr>
        <w:t>.</w:t>
      </w:r>
    </w:p>
  </w:footnote>
  <w:footnote w:id="198">
    <w:p w14:paraId="0EEC8316"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Ibid at 4</w:t>
      </w:r>
      <w:r w:rsidR="009551A2">
        <w:rPr>
          <w:rFonts w:ascii="Palatino Linotype" w:hAnsi="Palatino Linotype"/>
          <w:sz w:val="20"/>
          <w:szCs w:val="20"/>
        </w:rPr>
        <w:t>.</w:t>
      </w:r>
    </w:p>
  </w:footnote>
  <w:footnote w:id="199">
    <w:p w14:paraId="226D9C2A"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the Joint May LGP AL at 25</w:t>
      </w:r>
      <w:r w:rsidR="009551A2">
        <w:rPr>
          <w:sz w:val="20"/>
          <w:szCs w:val="20"/>
        </w:rPr>
        <w:t>.</w:t>
      </w:r>
    </w:p>
  </w:footnote>
  <w:footnote w:id="200">
    <w:p w14:paraId="620CC16F"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IREC Protest to the Joint May LGP AL at 23-25</w:t>
      </w:r>
      <w:r w:rsidR="009551A2">
        <w:rPr>
          <w:rFonts w:ascii="Palatino Linotype" w:hAnsi="Palatino Linotype"/>
          <w:sz w:val="20"/>
          <w:szCs w:val="20"/>
        </w:rPr>
        <w:t>.</w:t>
      </w:r>
    </w:p>
  </w:footnote>
  <w:footnote w:id="201">
    <w:p w14:paraId="1E65B8C9"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IREC Protest to the Joint May LGP AL at 28</w:t>
      </w:r>
      <w:r w:rsidR="009551A2">
        <w:rPr>
          <w:sz w:val="20"/>
          <w:szCs w:val="20"/>
        </w:rPr>
        <w:t>.</w:t>
      </w:r>
    </w:p>
  </w:footnote>
  <w:footnote w:id="202">
    <w:p w14:paraId="3F6EBB5B"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SDG&amp;E, Joint Utilities ‘Reply to Cal Advocates Protest of the Joint May LGP AL, at 2</w:t>
      </w:r>
      <w:r w:rsidR="009551A2">
        <w:rPr>
          <w:sz w:val="20"/>
          <w:szCs w:val="20"/>
        </w:rPr>
        <w:t>.</w:t>
      </w:r>
    </w:p>
  </w:footnote>
  <w:footnote w:id="203">
    <w:p w14:paraId="16165EB7"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SDG&amp;E, Joint IOU </w:t>
      </w:r>
      <w:r w:rsidR="00F8224E">
        <w:rPr>
          <w:sz w:val="20"/>
          <w:szCs w:val="20"/>
        </w:rPr>
        <w:t>Reply</w:t>
      </w:r>
      <w:r w:rsidRPr="006972C8">
        <w:rPr>
          <w:sz w:val="20"/>
          <w:szCs w:val="20"/>
        </w:rPr>
        <w:t xml:space="preserve"> to IREC’s Protest of Joint May LGP AL, at 10</w:t>
      </w:r>
      <w:r w:rsidR="009551A2">
        <w:rPr>
          <w:sz w:val="20"/>
          <w:szCs w:val="20"/>
        </w:rPr>
        <w:t>.</w:t>
      </w:r>
    </w:p>
  </w:footnote>
  <w:footnote w:id="204">
    <w:p w14:paraId="733C3EFC" w14:textId="77777777" w:rsidR="003D39C3" w:rsidRPr="006972C8" w:rsidRDefault="003D39C3" w:rsidP="003D39C3">
      <w:pPr>
        <w:pStyle w:val="FootnoteText"/>
        <w:spacing w:after="0"/>
        <w:contextualSpacing/>
        <w:rPr>
          <w:rFonts w:ascii="Palatino Linotype" w:hAnsi="Palatino Linotype"/>
          <w:sz w:val="20"/>
          <w:szCs w:val="20"/>
        </w:rPr>
      </w:pPr>
      <w:r w:rsidRPr="006972C8">
        <w:rPr>
          <w:rStyle w:val="FootnoteReference"/>
          <w:rFonts w:ascii="Palatino Linotype" w:hAnsi="Palatino Linotype"/>
          <w:sz w:val="20"/>
          <w:szCs w:val="20"/>
        </w:rPr>
        <w:footnoteRef/>
      </w:r>
      <w:r w:rsidRPr="006972C8">
        <w:rPr>
          <w:rFonts w:ascii="Palatino Linotype" w:hAnsi="Palatino Linotype"/>
          <w:sz w:val="20"/>
          <w:szCs w:val="20"/>
        </w:rPr>
        <w:t xml:space="preserve"> SDG&amp;E Reply to IREC’s Protest of </w:t>
      </w:r>
      <w:r w:rsidR="00061DC6">
        <w:rPr>
          <w:rFonts w:ascii="Palatino Linotype" w:hAnsi="Palatino Linotype"/>
          <w:sz w:val="20"/>
          <w:szCs w:val="20"/>
        </w:rPr>
        <w:t>Joint May LGP ALs</w:t>
      </w:r>
      <w:r w:rsidRPr="006972C8">
        <w:rPr>
          <w:rFonts w:ascii="Palatino Linotype" w:hAnsi="Palatino Linotype"/>
          <w:sz w:val="20"/>
          <w:szCs w:val="20"/>
        </w:rPr>
        <w:t xml:space="preserve"> at 10-11</w:t>
      </w:r>
      <w:r w:rsidR="009551A2">
        <w:rPr>
          <w:rFonts w:ascii="Palatino Linotype" w:hAnsi="Palatino Linotype"/>
          <w:sz w:val="20"/>
          <w:szCs w:val="20"/>
        </w:rPr>
        <w:t>.</w:t>
      </w:r>
    </w:p>
  </w:footnote>
  <w:footnote w:id="205">
    <w:p w14:paraId="694945B3" w14:textId="77777777" w:rsidR="003D39C3" w:rsidRPr="006972C8" w:rsidRDefault="003D39C3" w:rsidP="003D39C3">
      <w:pPr>
        <w:contextualSpacing/>
        <w:rPr>
          <w:sz w:val="20"/>
          <w:szCs w:val="20"/>
        </w:rPr>
      </w:pPr>
      <w:r w:rsidRPr="006972C8">
        <w:rPr>
          <w:rStyle w:val="FootnoteReference"/>
          <w:sz w:val="20"/>
          <w:szCs w:val="20"/>
        </w:rPr>
        <w:footnoteRef/>
      </w:r>
      <w:r w:rsidRPr="006972C8">
        <w:rPr>
          <w:sz w:val="20"/>
          <w:szCs w:val="20"/>
        </w:rPr>
        <w:t xml:space="preserve"> Joint May LGP AL at 20</w:t>
      </w:r>
      <w:r w:rsidR="009551A2">
        <w:rPr>
          <w:sz w:val="20"/>
          <w:szCs w:val="20"/>
        </w:rPr>
        <w:t>.</w:t>
      </w:r>
    </w:p>
  </w:footnote>
  <w:footnote w:id="206">
    <w:p w14:paraId="3B03E37B" w14:textId="77777777" w:rsidR="00970E1F" w:rsidRPr="00970E1F" w:rsidRDefault="00970E1F" w:rsidP="00970E1F">
      <w:pPr>
        <w:pStyle w:val="FootnoteText"/>
        <w:spacing w:after="0"/>
        <w:rPr>
          <w:rFonts w:ascii="Palatino Linotype" w:hAnsi="Palatino Linotype"/>
          <w:sz w:val="20"/>
          <w:szCs w:val="20"/>
        </w:rPr>
      </w:pPr>
      <w:r w:rsidRPr="00970E1F">
        <w:rPr>
          <w:rStyle w:val="FootnoteReference"/>
          <w:rFonts w:ascii="Palatino Linotype" w:hAnsi="Palatino Linotype"/>
          <w:sz w:val="20"/>
          <w:szCs w:val="20"/>
        </w:rPr>
        <w:footnoteRef/>
      </w:r>
      <w:r w:rsidRPr="00970E1F">
        <w:rPr>
          <w:rFonts w:ascii="Palatino Linotype" w:hAnsi="Palatino Linotype"/>
          <w:sz w:val="20"/>
          <w:szCs w:val="20"/>
        </w:rPr>
        <w:t xml:space="preserve"> Large IOUs comments at 3-4.</w:t>
      </w:r>
    </w:p>
  </w:footnote>
  <w:footnote w:id="207">
    <w:p w14:paraId="1F3ABE67" w14:textId="77777777" w:rsidR="00970E1F" w:rsidRDefault="00970E1F" w:rsidP="00970E1F">
      <w:pPr>
        <w:pStyle w:val="FootnoteText"/>
        <w:spacing w:after="0"/>
      </w:pPr>
      <w:r w:rsidRPr="00970E1F">
        <w:rPr>
          <w:rStyle w:val="FootnoteReference"/>
          <w:rFonts w:ascii="Palatino Linotype" w:hAnsi="Palatino Linotype"/>
          <w:sz w:val="20"/>
          <w:szCs w:val="20"/>
        </w:rPr>
        <w:footnoteRef/>
      </w:r>
      <w:r w:rsidRPr="00970E1F">
        <w:rPr>
          <w:rFonts w:ascii="Palatino Linotype" w:hAnsi="Palatino Linotype"/>
          <w:sz w:val="20"/>
          <w:szCs w:val="20"/>
        </w:rPr>
        <w:t xml:space="preserve"> IREC comments at 7.</w:t>
      </w:r>
    </w:p>
  </w:footnote>
  <w:footnote w:id="208">
    <w:p w14:paraId="2BA72B4B" w14:textId="77777777" w:rsidR="00970E1F" w:rsidRPr="00770809" w:rsidRDefault="00970E1F" w:rsidP="00770809">
      <w:pPr>
        <w:pStyle w:val="FootnoteText"/>
        <w:spacing w:after="0"/>
        <w:rPr>
          <w:rFonts w:ascii="Palatino Linotype" w:hAnsi="Palatino Linotype"/>
          <w:sz w:val="20"/>
          <w:szCs w:val="20"/>
        </w:rPr>
      </w:pPr>
      <w:r w:rsidRPr="00770809">
        <w:rPr>
          <w:rStyle w:val="FootnoteReference"/>
          <w:rFonts w:ascii="Palatino Linotype" w:hAnsi="Palatino Linotype"/>
          <w:sz w:val="20"/>
          <w:szCs w:val="20"/>
        </w:rPr>
        <w:footnoteRef/>
      </w:r>
      <w:r w:rsidRPr="00770809">
        <w:rPr>
          <w:rFonts w:ascii="Palatino Linotype" w:hAnsi="Palatino Linotype"/>
          <w:sz w:val="20"/>
          <w:szCs w:val="20"/>
        </w:rPr>
        <w:t xml:space="preserve"> Joint LGP January ALs at 6.</w:t>
      </w:r>
    </w:p>
  </w:footnote>
  <w:footnote w:id="209">
    <w:p w14:paraId="4734A6BA" w14:textId="77777777" w:rsidR="00770809" w:rsidRPr="00770809" w:rsidRDefault="00770809" w:rsidP="00770809">
      <w:pPr>
        <w:pStyle w:val="FootnoteText"/>
        <w:spacing w:after="0"/>
        <w:rPr>
          <w:rFonts w:ascii="Palatino Linotype" w:hAnsi="Palatino Linotype"/>
          <w:sz w:val="20"/>
          <w:szCs w:val="20"/>
        </w:rPr>
      </w:pPr>
      <w:r w:rsidRPr="00770809">
        <w:rPr>
          <w:rStyle w:val="FootnoteReference"/>
          <w:rFonts w:ascii="Palatino Linotype" w:hAnsi="Palatino Linotype"/>
          <w:sz w:val="20"/>
          <w:szCs w:val="20"/>
        </w:rPr>
        <w:footnoteRef/>
      </w:r>
      <w:r w:rsidRPr="00770809">
        <w:rPr>
          <w:rFonts w:ascii="Palatino Linotype" w:hAnsi="Palatino Linotype"/>
          <w:sz w:val="20"/>
          <w:szCs w:val="20"/>
        </w:rPr>
        <w:t xml:space="preserve"> IREC comments at 3.</w:t>
      </w:r>
    </w:p>
  </w:footnote>
  <w:footnote w:id="210">
    <w:p w14:paraId="49ECF62D" w14:textId="77777777" w:rsidR="00AE1C4A" w:rsidRPr="00B25667" w:rsidRDefault="00AE1C4A" w:rsidP="00B25667">
      <w:pPr>
        <w:pStyle w:val="FootnoteText"/>
        <w:spacing w:after="0"/>
        <w:rPr>
          <w:rFonts w:ascii="Palatino Linotype" w:hAnsi="Palatino Linotype"/>
          <w:sz w:val="20"/>
          <w:szCs w:val="20"/>
        </w:rPr>
      </w:pPr>
      <w:r w:rsidRPr="00B25667">
        <w:rPr>
          <w:rStyle w:val="FootnoteReference"/>
          <w:rFonts w:ascii="Palatino Linotype" w:hAnsi="Palatino Linotype"/>
          <w:sz w:val="20"/>
          <w:szCs w:val="20"/>
        </w:rPr>
        <w:footnoteRef/>
      </w:r>
      <w:r w:rsidRPr="00B25667">
        <w:rPr>
          <w:rFonts w:ascii="Palatino Linotype" w:hAnsi="Palatino Linotype"/>
          <w:sz w:val="20"/>
          <w:szCs w:val="20"/>
        </w:rPr>
        <w:t xml:space="preserve"> IREC comments at 4.</w:t>
      </w:r>
    </w:p>
  </w:footnote>
  <w:footnote w:id="211">
    <w:p w14:paraId="22ACF690" w14:textId="77777777" w:rsidR="00B25667" w:rsidRDefault="00B25667" w:rsidP="00B25667">
      <w:pPr>
        <w:pStyle w:val="FootnoteText"/>
        <w:spacing w:after="0"/>
      </w:pPr>
      <w:r w:rsidRPr="00B25667">
        <w:rPr>
          <w:rStyle w:val="FootnoteReference"/>
          <w:rFonts w:ascii="Palatino Linotype" w:hAnsi="Palatino Linotype"/>
          <w:sz w:val="20"/>
          <w:szCs w:val="20"/>
        </w:rPr>
        <w:footnoteRef/>
      </w:r>
      <w:r w:rsidRPr="00B25667">
        <w:rPr>
          <w:rFonts w:ascii="Palatino Linotype" w:hAnsi="Palatino Linotype"/>
          <w:sz w:val="20"/>
          <w:szCs w:val="20"/>
        </w:rPr>
        <w:t xml:space="preserve"> IREC comments at 5.</w:t>
      </w:r>
    </w:p>
  </w:footnote>
  <w:footnote w:id="212">
    <w:p w14:paraId="607BC076" w14:textId="77777777" w:rsidR="00262573" w:rsidRPr="00262573" w:rsidRDefault="00262573" w:rsidP="00262573">
      <w:pPr>
        <w:pStyle w:val="FootnoteText"/>
        <w:spacing w:after="0"/>
        <w:rPr>
          <w:rFonts w:ascii="Palatino Linotype" w:hAnsi="Palatino Linotype"/>
          <w:sz w:val="20"/>
          <w:szCs w:val="20"/>
        </w:rPr>
      </w:pPr>
      <w:r w:rsidRPr="00262573">
        <w:rPr>
          <w:rStyle w:val="FootnoteReference"/>
          <w:rFonts w:ascii="Palatino Linotype" w:hAnsi="Palatino Linotype"/>
          <w:sz w:val="20"/>
          <w:szCs w:val="20"/>
        </w:rPr>
        <w:footnoteRef/>
      </w:r>
      <w:r w:rsidRPr="00262573">
        <w:rPr>
          <w:rFonts w:ascii="Palatino Linotype" w:hAnsi="Palatino Linotype"/>
          <w:sz w:val="20"/>
          <w:szCs w:val="20"/>
        </w:rPr>
        <w:t xml:space="preserve"> IREC comments at 7.</w:t>
      </w:r>
    </w:p>
  </w:footnote>
  <w:footnote w:id="213">
    <w:p w14:paraId="06935A05" w14:textId="77777777" w:rsidR="00262573" w:rsidRPr="00262573" w:rsidRDefault="00262573" w:rsidP="00262573">
      <w:pPr>
        <w:pStyle w:val="FootnoteText"/>
        <w:spacing w:after="0"/>
        <w:rPr>
          <w:rFonts w:ascii="Palatino Linotype" w:hAnsi="Palatino Linotype"/>
          <w:sz w:val="20"/>
          <w:szCs w:val="20"/>
        </w:rPr>
      </w:pPr>
      <w:r w:rsidRPr="00262573">
        <w:rPr>
          <w:rStyle w:val="FootnoteReference"/>
          <w:rFonts w:ascii="Palatino Linotype" w:hAnsi="Palatino Linotype"/>
          <w:sz w:val="20"/>
          <w:szCs w:val="20"/>
        </w:rPr>
        <w:footnoteRef/>
      </w:r>
      <w:r w:rsidRPr="00262573">
        <w:rPr>
          <w:rFonts w:ascii="Palatino Linotype" w:hAnsi="Palatino Linotype"/>
          <w:sz w:val="20"/>
          <w:szCs w:val="20"/>
        </w:rPr>
        <w:t xml:space="preserve"> IREC comments at 9.</w:t>
      </w:r>
    </w:p>
  </w:footnote>
  <w:footnote w:id="214">
    <w:p w14:paraId="5DF11B8D" w14:textId="77777777" w:rsidR="00262573" w:rsidRPr="00262573" w:rsidRDefault="00262573" w:rsidP="00262573">
      <w:pPr>
        <w:pStyle w:val="FootnoteText"/>
        <w:spacing w:after="0"/>
        <w:rPr>
          <w:rFonts w:ascii="Palatino Linotype" w:hAnsi="Palatino Linotype"/>
          <w:sz w:val="20"/>
          <w:szCs w:val="20"/>
        </w:rPr>
      </w:pPr>
      <w:r w:rsidRPr="00262573">
        <w:rPr>
          <w:rStyle w:val="FootnoteReference"/>
          <w:rFonts w:ascii="Palatino Linotype" w:hAnsi="Palatino Linotype"/>
          <w:sz w:val="20"/>
          <w:szCs w:val="20"/>
        </w:rPr>
        <w:footnoteRef/>
      </w:r>
      <w:r w:rsidRPr="00262573">
        <w:rPr>
          <w:rFonts w:ascii="Palatino Linotype" w:hAnsi="Palatino Linotype"/>
          <w:sz w:val="20"/>
          <w:szCs w:val="20"/>
        </w:rPr>
        <w:t xml:space="preserve"> IREC comments at 11.</w:t>
      </w:r>
    </w:p>
  </w:footnote>
  <w:footnote w:id="215">
    <w:p w14:paraId="05BAD0BC" w14:textId="77777777" w:rsidR="00262573" w:rsidRPr="00262573" w:rsidRDefault="00262573" w:rsidP="00262573">
      <w:pPr>
        <w:pStyle w:val="FootnoteText"/>
        <w:spacing w:after="0"/>
        <w:rPr>
          <w:rFonts w:ascii="Palatino Linotype" w:hAnsi="Palatino Linotype"/>
          <w:sz w:val="20"/>
          <w:szCs w:val="20"/>
        </w:rPr>
      </w:pPr>
      <w:r w:rsidRPr="00262573">
        <w:rPr>
          <w:rStyle w:val="FootnoteReference"/>
          <w:rFonts w:ascii="Palatino Linotype" w:hAnsi="Palatino Linotype"/>
          <w:sz w:val="20"/>
          <w:szCs w:val="20"/>
        </w:rPr>
        <w:footnoteRef/>
      </w:r>
      <w:r w:rsidRPr="00262573">
        <w:rPr>
          <w:rFonts w:ascii="Palatino Linotype" w:hAnsi="Palatino Linotype"/>
          <w:sz w:val="20"/>
          <w:szCs w:val="20"/>
        </w:rPr>
        <w:t xml:space="preserve"> Draft comment resolution E-5296 at 67.</w:t>
      </w:r>
    </w:p>
  </w:footnote>
  <w:footnote w:id="216">
    <w:p w14:paraId="6AE66DF9" w14:textId="77777777" w:rsidR="00505BB5" w:rsidRPr="00505BB5" w:rsidRDefault="00505BB5" w:rsidP="00505BB5">
      <w:pPr>
        <w:pStyle w:val="FootnoteText"/>
        <w:spacing w:after="0"/>
        <w:rPr>
          <w:rFonts w:ascii="Palatino Linotype" w:hAnsi="Palatino Linotype"/>
          <w:sz w:val="20"/>
          <w:szCs w:val="20"/>
        </w:rPr>
      </w:pPr>
      <w:r w:rsidRPr="00505BB5">
        <w:rPr>
          <w:rStyle w:val="FootnoteReference"/>
          <w:rFonts w:ascii="Palatino Linotype" w:hAnsi="Palatino Linotype"/>
          <w:sz w:val="20"/>
          <w:szCs w:val="20"/>
        </w:rPr>
        <w:footnoteRef/>
      </w:r>
      <w:r w:rsidRPr="00505BB5">
        <w:rPr>
          <w:rFonts w:ascii="Palatino Linotype" w:hAnsi="Palatino Linotype"/>
          <w:sz w:val="20"/>
          <w:szCs w:val="20"/>
        </w:rPr>
        <w:t xml:space="preserve"> IREC comments at 11-12.</w:t>
      </w:r>
    </w:p>
  </w:footnote>
  <w:footnote w:id="217">
    <w:p w14:paraId="2515D3B5" w14:textId="77777777" w:rsidR="006F6443" w:rsidRPr="006F6443" w:rsidRDefault="006F6443" w:rsidP="006F6443">
      <w:pPr>
        <w:pStyle w:val="FootnoteText"/>
        <w:spacing w:after="0"/>
        <w:rPr>
          <w:rFonts w:ascii="Palatino Linotype" w:hAnsi="Palatino Linotype"/>
          <w:sz w:val="20"/>
          <w:szCs w:val="20"/>
        </w:rPr>
      </w:pPr>
      <w:r w:rsidRPr="006F6443">
        <w:rPr>
          <w:rStyle w:val="FootnoteReference"/>
          <w:rFonts w:ascii="Palatino Linotype" w:hAnsi="Palatino Linotype"/>
          <w:sz w:val="20"/>
          <w:szCs w:val="20"/>
        </w:rPr>
        <w:footnoteRef/>
      </w:r>
      <w:r w:rsidRPr="006F6443">
        <w:rPr>
          <w:rFonts w:ascii="Palatino Linotype" w:hAnsi="Palatino Linotype"/>
          <w:sz w:val="20"/>
          <w:szCs w:val="20"/>
        </w:rPr>
        <w:t xml:space="preserve"> Large IOUs comments at 8-9.</w:t>
      </w:r>
    </w:p>
  </w:footnote>
  <w:footnote w:id="218">
    <w:p w14:paraId="5167901C" w14:textId="77777777" w:rsidR="00FE503A" w:rsidRPr="00FE503A" w:rsidRDefault="00FE503A" w:rsidP="00FE503A">
      <w:pPr>
        <w:pStyle w:val="FootnoteText"/>
        <w:spacing w:after="0"/>
        <w:rPr>
          <w:rFonts w:ascii="Palatino Linotype" w:hAnsi="Palatino Linotype"/>
          <w:sz w:val="20"/>
          <w:szCs w:val="20"/>
        </w:rPr>
      </w:pPr>
      <w:r w:rsidRPr="00FE503A">
        <w:rPr>
          <w:rStyle w:val="FootnoteReference"/>
          <w:rFonts w:ascii="Palatino Linotype" w:hAnsi="Palatino Linotype"/>
          <w:sz w:val="20"/>
          <w:szCs w:val="20"/>
        </w:rPr>
        <w:footnoteRef/>
      </w:r>
      <w:r w:rsidRPr="00FE503A">
        <w:rPr>
          <w:rFonts w:ascii="Palatino Linotype" w:hAnsi="Palatino Linotype"/>
          <w:sz w:val="20"/>
          <w:szCs w:val="20"/>
        </w:rPr>
        <w:t xml:space="preserve"> OP 7 of this resolution was formerly OP 6 of the draft comments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75A" w14:textId="77777777" w:rsidR="00BD5F83" w:rsidRPr="007E6950" w:rsidRDefault="006E0DCD">
    <w:pPr>
      <w:pStyle w:val="Header"/>
      <w:tabs>
        <w:tab w:val="clear" w:pos="4320"/>
        <w:tab w:val="clear" w:pos="8640"/>
        <w:tab w:val="center" w:pos="4680"/>
        <w:tab w:val="right" w:pos="9180"/>
      </w:tabs>
      <w:rPr>
        <w:rFonts w:ascii="Palatino Linotype" w:eastAsia="Palatino Linotype" w:hAnsi="Palatino Linotype" w:cs="Palatino Linotype"/>
        <w:sz w:val="24"/>
        <w:szCs w:val="24"/>
        <w:lang w:val="pt-BR"/>
      </w:rPr>
    </w:pPr>
    <w:r w:rsidRPr="00037804">
      <w:rPr>
        <w:rFonts w:ascii="Palatino Linotype" w:eastAsia="Palatino Linotype" w:hAnsi="Palatino Linotype" w:cs="Palatino Linotype"/>
        <w:sz w:val="24"/>
        <w:szCs w:val="24"/>
      </w:rPr>
      <w:t>Resolution</w:t>
    </w:r>
    <w:r w:rsidRPr="007E6950">
      <w:rPr>
        <w:rFonts w:ascii="Palatino Linotype" w:eastAsia="Palatino Linotype" w:hAnsi="Palatino Linotype" w:cs="Palatino Linotype"/>
        <w:sz w:val="24"/>
        <w:szCs w:val="24"/>
        <w:lang w:val="pt-BR"/>
      </w:rPr>
      <w:t xml:space="preserve"> E-</w:t>
    </w:r>
    <w:r w:rsidR="00EC19E7" w:rsidRPr="007E6950">
      <w:rPr>
        <w:rFonts w:ascii="Palatino Linotype" w:eastAsia="Palatino Linotype" w:hAnsi="Palatino Linotype" w:cs="Palatino Linotype"/>
        <w:sz w:val="24"/>
        <w:szCs w:val="24"/>
        <w:lang w:val="pt-BR"/>
      </w:rPr>
      <w:t>5296</w:t>
    </w:r>
    <w:r w:rsidRPr="007E6950">
      <w:rPr>
        <w:rFonts w:ascii="Palatino Linotype" w:eastAsia="Palatino Linotype" w:hAnsi="Palatino Linotype" w:cs="Palatino Linotype"/>
        <w:sz w:val="24"/>
        <w:szCs w:val="24"/>
        <w:lang w:val="pt-BR"/>
      </w:rPr>
      <w:tab/>
      <w:t>DRAFT</w:t>
    </w:r>
    <w:r w:rsidRPr="007E6950">
      <w:rPr>
        <w:rFonts w:ascii="Palatino Linotype" w:eastAsia="Palatino Linotype" w:hAnsi="Palatino Linotype" w:cs="Palatino Linotype"/>
        <w:sz w:val="24"/>
        <w:szCs w:val="24"/>
        <w:lang w:val="pt-BR"/>
      </w:rPr>
      <w:tab/>
    </w:r>
    <w:r w:rsidR="001C06C1" w:rsidRPr="001C06C1">
      <w:rPr>
        <w:rFonts w:ascii="Palatino Linotype" w:eastAsia="Palatino Linotype" w:hAnsi="Palatino Linotype" w:cs="Palatino Linotype"/>
        <w:sz w:val="24"/>
        <w:szCs w:val="24"/>
      </w:rPr>
      <w:t>March</w:t>
    </w:r>
    <w:r w:rsidR="001C06C1">
      <w:rPr>
        <w:rFonts w:ascii="Palatino Linotype" w:eastAsia="Palatino Linotype" w:hAnsi="Palatino Linotype" w:cs="Palatino Linotype"/>
        <w:sz w:val="24"/>
        <w:szCs w:val="24"/>
        <w:lang w:val="pt-BR"/>
      </w:rPr>
      <w:t xml:space="preserve"> </w:t>
    </w:r>
    <w:r w:rsidR="00AD34C5">
      <w:rPr>
        <w:rFonts w:ascii="Palatino Linotype" w:eastAsia="Palatino Linotype" w:hAnsi="Palatino Linotype" w:cs="Palatino Linotype"/>
        <w:sz w:val="24"/>
        <w:szCs w:val="24"/>
        <w:lang w:val="pt-BR"/>
      </w:rPr>
      <w:t>21</w:t>
    </w:r>
    <w:r w:rsidR="004812F5" w:rsidRPr="007E6950">
      <w:rPr>
        <w:rFonts w:ascii="Palatino Linotype" w:eastAsia="Palatino Linotype" w:hAnsi="Palatino Linotype" w:cs="Palatino Linotype"/>
        <w:sz w:val="24"/>
        <w:szCs w:val="24"/>
        <w:lang w:val="pt-BR"/>
      </w:rPr>
      <w:t>, 202</w:t>
    </w:r>
    <w:r w:rsidR="00B56F12" w:rsidRPr="007E6950">
      <w:rPr>
        <w:rFonts w:ascii="Palatino Linotype" w:eastAsia="Palatino Linotype" w:hAnsi="Palatino Linotype" w:cs="Palatino Linotype"/>
        <w:sz w:val="24"/>
        <w:szCs w:val="24"/>
        <w:lang w:val="pt-BR"/>
      </w:rPr>
      <w:t>4</w:t>
    </w:r>
  </w:p>
  <w:p w14:paraId="28CBD1B1" w14:textId="6327BFA6" w:rsidR="006E0DCD" w:rsidRPr="007E6950" w:rsidRDefault="00D20578" w:rsidP="007E5CA5">
    <w:pPr>
      <w:pStyle w:val="Header"/>
      <w:tabs>
        <w:tab w:val="clear" w:pos="4320"/>
        <w:tab w:val="clear" w:pos="8640"/>
        <w:tab w:val="center" w:pos="4680"/>
        <w:tab w:val="right" w:pos="9180"/>
      </w:tabs>
      <w:spacing w:before="120"/>
      <w:rPr>
        <w:rFonts w:ascii="Palatino Linotype" w:eastAsia="Palatino Linotype" w:hAnsi="Palatino Linotype" w:cs="Palatino Linotype"/>
        <w:sz w:val="24"/>
        <w:szCs w:val="24"/>
        <w:lang w:val="pt-BR"/>
      </w:rPr>
    </w:pPr>
    <w:r w:rsidRPr="007E6950">
      <w:rPr>
        <w:rFonts w:ascii="Palatino Linotype" w:eastAsia="Palatino Linotype" w:hAnsi="Palatino Linotype" w:cs="Palatino Linotype"/>
        <w:sz w:val="24"/>
        <w:szCs w:val="24"/>
        <w:lang w:val="pt-BR"/>
      </w:rPr>
      <w:t xml:space="preserve">PG&amp;E AL </w:t>
    </w:r>
    <w:r w:rsidR="008E7783" w:rsidRPr="007E6950">
      <w:rPr>
        <w:rFonts w:ascii="Palatino Linotype" w:eastAsia="Palatino Linotype" w:hAnsi="Palatino Linotype" w:cs="Palatino Linotype"/>
        <w:sz w:val="24"/>
        <w:szCs w:val="24"/>
        <w:lang w:val="pt-BR"/>
      </w:rPr>
      <w:t>6816-E</w:t>
    </w:r>
    <w:r w:rsidR="007E5CA5">
      <w:rPr>
        <w:rFonts w:ascii="Palatino Linotype" w:eastAsia="Palatino Linotype" w:hAnsi="Palatino Linotype" w:cs="Palatino Linotype"/>
        <w:sz w:val="24"/>
        <w:szCs w:val="24"/>
        <w:lang w:val="pt-BR"/>
      </w:rPr>
      <w:t xml:space="preserve"> &amp;</w:t>
    </w:r>
    <w:r w:rsidR="000109A7" w:rsidRPr="007E6950">
      <w:rPr>
        <w:rFonts w:ascii="Palatino Linotype" w:eastAsia="Palatino Linotype" w:hAnsi="Palatino Linotype" w:cs="Palatino Linotype"/>
        <w:sz w:val="24"/>
        <w:szCs w:val="24"/>
        <w:lang w:val="pt-BR"/>
      </w:rPr>
      <w:t xml:space="preserve"> </w:t>
    </w:r>
    <w:r w:rsidR="000109A7" w:rsidRPr="007E6950">
      <w:rPr>
        <w:rFonts w:ascii="Palatino Linotype" w:hAnsi="Palatino Linotype" w:cstheme="minorHAnsi"/>
        <w:sz w:val="24"/>
        <w:szCs w:val="24"/>
        <w:lang w:val="pt-BR"/>
      </w:rPr>
      <w:t>6929-E</w:t>
    </w:r>
    <w:r w:rsidR="000109A7" w:rsidRPr="007E6950">
      <w:rPr>
        <w:rFonts w:ascii="Palatino Linotype" w:eastAsia="Palatino Linotype" w:hAnsi="Palatino Linotype" w:cs="Palatino Linotype"/>
        <w:sz w:val="24"/>
        <w:szCs w:val="24"/>
        <w:lang w:val="pt-BR"/>
      </w:rPr>
      <w:t>;</w:t>
    </w:r>
    <w:r w:rsidR="00333AA2" w:rsidRPr="007E6950">
      <w:rPr>
        <w:rFonts w:ascii="Palatino Linotype" w:eastAsia="Palatino Linotype" w:hAnsi="Palatino Linotype" w:cs="Palatino Linotype"/>
        <w:sz w:val="24"/>
        <w:szCs w:val="24"/>
        <w:lang w:val="pt-BR"/>
      </w:rPr>
      <w:t xml:space="preserve"> </w:t>
    </w:r>
    <w:r w:rsidRPr="007E6950">
      <w:rPr>
        <w:rFonts w:ascii="Palatino Linotype" w:eastAsia="Palatino Linotype" w:hAnsi="Palatino Linotype" w:cs="Palatino Linotype"/>
        <w:sz w:val="24"/>
        <w:szCs w:val="24"/>
        <w:lang w:val="pt-BR"/>
      </w:rPr>
      <w:t xml:space="preserve">SCE AL </w:t>
    </w:r>
    <w:r w:rsidR="00187099" w:rsidRPr="007E6950">
      <w:rPr>
        <w:rFonts w:ascii="Palatino Linotype" w:eastAsia="Palatino Linotype" w:hAnsi="Palatino Linotype" w:cs="Palatino Linotype"/>
        <w:sz w:val="24"/>
        <w:szCs w:val="24"/>
        <w:lang w:val="pt-BR"/>
      </w:rPr>
      <w:t>4941-E</w:t>
    </w:r>
    <w:r w:rsidR="000109A7" w:rsidRPr="007E6950">
      <w:rPr>
        <w:rFonts w:ascii="Palatino Linotype" w:eastAsia="Palatino Linotype" w:hAnsi="Palatino Linotype" w:cs="Palatino Linotype"/>
        <w:sz w:val="24"/>
        <w:szCs w:val="24"/>
        <w:lang w:val="pt-BR"/>
      </w:rPr>
      <w:t xml:space="preserve"> </w:t>
    </w:r>
    <w:r w:rsidR="007E5CA5">
      <w:rPr>
        <w:rFonts w:ascii="Palatino Linotype" w:eastAsia="Palatino Linotype" w:hAnsi="Palatino Linotype" w:cs="Palatino Linotype"/>
        <w:sz w:val="24"/>
        <w:szCs w:val="24"/>
        <w:lang w:val="pt-BR"/>
      </w:rPr>
      <w:t>&amp;</w:t>
    </w:r>
    <w:r w:rsidR="000671C1">
      <w:rPr>
        <w:rFonts w:ascii="Palatino Linotype" w:eastAsia="Palatino Linotype" w:hAnsi="Palatino Linotype" w:cs="Palatino Linotype"/>
        <w:sz w:val="24"/>
        <w:szCs w:val="24"/>
        <w:lang w:val="pt-BR"/>
      </w:rPr>
      <w:t xml:space="preserve"> </w:t>
    </w:r>
    <w:r w:rsidR="000109A7" w:rsidRPr="007E6950">
      <w:rPr>
        <w:rFonts w:ascii="Palatino Linotype" w:hAnsi="Palatino Linotype" w:cstheme="minorHAnsi"/>
        <w:sz w:val="24"/>
        <w:szCs w:val="24"/>
        <w:lang w:val="pt-BR"/>
      </w:rPr>
      <w:t>5025-E</w:t>
    </w:r>
    <w:r w:rsidR="000109A7" w:rsidRPr="007E6950">
      <w:rPr>
        <w:rFonts w:ascii="Palatino Linotype" w:eastAsia="Palatino Linotype" w:hAnsi="Palatino Linotype" w:cs="Palatino Linotype"/>
        <w:sz w:val="24"/>
        <w:szCs w:val="24"/>
        <w:lang w:val="pt-BR"/>
      </w:rPr>
      <w:t>;</w:t>
    </w:r>
    <w:r w:rsidR="00333AA2" w:rsidRPr="007E6950">
      <w:rPr>
        <w:rFonts w:ascii="Palatino Linotype" w:eastAsia="Palatino Linotype" w:hAnsi="Palatino Linotype" w:cs="Palatino Linotype"/>
        <w:sz w:val="24"/>
        <w:szCs w:val="24"/>
        <w:lang w:val="pt-BR"/>
      </w:rPr>
      <w:t xml:space="preserve"> </w:t>
    </w:r>
    <w:r w:rsidRPr="007E6950">
      <w:rPr>
        <w:rFonts w:ascii="Palatino Linotype" w:eastAsia="Palatino Linotype" w:hAnsi="Palatino Linotype" w:cs="Palatino Linotype"/>
        <w:sz w:val="24"/>
        <w:szCs w:val="24"/>
        <w:lang w:val="pt-BR"/>
      </w:rPr>
      <w:t xml:space="preserve">SDG&amp;E AL </w:t>
    </w:r>
    <w:r w:rsidR="00187099" w:rsidRPr="007E6950">
      <w:rPr>
        <w:rFonts w:ascii="Palatino Linotype" w:hAnsi="Palatino Linotype" w:cstheme="minorHAnsi"/>
        <w:sz w:val="24"/>
        <w:szCs w:val="24"/>
        <w:lang w:val="pt-BR"/>
      </w:rPr>
      <w:t>4138-E</w:t>
    </w:r>
    <w:r w:rsidR="008D68D6">
      <w:rPr>
        <w:rFonts w:ascii="Palatino Linotype" w:hAnsi="Palatino Linotype" w:cstheme="minorHAnsi"/>
        <w:sz w:val="24"/>
        <w:szCs w:val="24"/>
        <w:lang w:val="pt-BR"/>
      </w:rPr>
      <w:t xml:space="preserve"> </w:t>
    </w:r>
    <w:r w:rsidR="007E5CA5">
      <w:rPr>
        <w:rFonts w:ascii="Palatino Linotype" w:hAnsi="Palatino Linotype" w:cstheme="minorHAnsi"/>
        <w:sz w:val="24"/>
        <w:szCs w:val="24"/>
        <w:lang w:val="pt-BR"/>
      </w:rPr>
      <w:t>&amp;</w:t>
    </w:r>
    <w:r w:rsidR="005A6E6C" w:rsidRPr="007E6950">
      <w:rPr>
        <w:rFonts w:ascii="Palatino Linotype" w:hAnsi="Palatino Linotype" w:cstheme="minorHAnsi"/>
        <w:sz w:val="24"/>
        <w:szCs w:val="24"/>
        <w:lang w:val="pt-BR"/>
      </w:rPr>
      <w:t xml:space="preserve"> </w:t>
    </w:r>
    <w:r w:rsidR="005A1DF5" w:rsidRPr="007E6950">
      <w:rPr>
        <w:rFonts w:ascii="Palatino Linotype" w:hAnsi="Palatino Linotype" w:cstheme="minorHAnsi"/>
        <w:sz w:val="24"/>
        <w:szCs w:val="24"/>
        <w:lang w:val="pt-BR"/>
      </w:rPr>
      <w:t>4215-E</w:t>
    </w:r>
    <w:r w:rsidR="005A37D4" w:rsidRPr="007E6950">
      <w:rPr>
        <w:rFonts w:ascii="Palatino Linotype" w:hAnsi="Palatino Linotype" w:cstheme="minorHAnsi"/>
        <w:sz w:val="24"/>
        <w:szCs w:val="24"/>
        <w:lang w:val="pt-BR"/>
      </w:rPr>
      <w:t xml:space="preserve"> </w:t>
    </w:r>
    <w:r w:rsidR="006E0DCD" w:rsidRPr="007E6950">
      <w:rPr>
        <w:rFonts w:ascii="Palatino Linotype" w:eastAsia="Palatino Linotype" w:hAnsi="Palatino Linotype" w:cs="Palatino Linotype"/>
        <w:sz w:val="24"/>
        <w:szCs w:val="24"/>
        <w:lang w:val="pt-BR"/>
      </w:rPr>
      <w:t>/</w:t>
    </w:r>
    <w:r w:rsidR="000671C1">
      <w:rPr>
        <w:rFonts w:ascii="Palatino Linotype" w:eastAsia="Palatino Linotype" w:hAnsi="Palatino Linotype" w:cs="Palatino Linotype"/>
        <w:sz w:val="24"/>
        <w:szCs w:val="24"/>
        <w:lang w:val="pt-BR"/>
      </w:rPr>
      <w:t>EM4</w:t>
    </w:r>
  </w:p>
  <w:p w14:paraId="2E383D68" w14:textId="77777777" w:rsidR="006E0DCD" w:rsidRPr="00600B36" w:rsidRDefault="006E0DCD">
    <w:pPr>
      <w:pStyle w:val="Header"/>
      <w:tabs>
        <w:tab w:val="clear" w:pos="4320"/>
        <w:tab w:val="clear" w:pos="8640"/>
        <w:tab w:val="center" w:pos="4680"/>
        <w:tab w:val="right" w:pos="9180"/>
      </w:tabs>
      <w:rPr>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19C0" w14:textId="77777777" w:rsidR="006E0DCD" w:rsidRDefault="006E0DCD">
    <w:pPr>
      <w:pStyle w:val="Header"/>
      <w:jc w:val="center"/>
    </w:pPr>
    <w:r>
      <w:rPr>
        <w:rFonts w:ascii="Palatino Linotype" w:eastAsia="Palatino Linotype" w:hAnsi="Palatino Linotype" w:cs="Palatino Linotype"/>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35"/>
    <w:multiLevelType w:val="multilevel"/>
    <w:tmpl w:val="838E62B4"/>
    <w:styleLink w:val="List0"/>
    <w:lvl w:ilvl="0">
      <w:start w:val="1"/>
      <w:numFmt w:val="bullet"/>
      <w:lvlText w:val="•"/>
      <w:lvlJc w:val="left"/>
      <w:rPr>
        <w:rFonts w:ascii="Times" w:eastAsia="Times" w:hAnsi="Times" w:cs="Times"/>
        <w:color w:val="000000"/>
        <w:position w:val="0"/>
      </w:rPr>
    </w:lvl>
    <w:lvl w:ilvl="1">
      <w:start w:val="1"/>
      <w:numFmt w:val="bullet"/>
      <w:lvlText w:val="•"/>
      <w:lvlJc w:val="left"/>
      <w:rPr>
        <w:rFonts w:ascii="Palatino Linotype" w:eastAsia="Palatino Linotype" w:hAnsi="Palatino Linotype" w:cs="Palatino Linotype"/>
        <w:color w:val="000000"/>
        <w:position w:val="0"/>
      </w:rPr>
    </w:lvl>
    <w:lvl w:ilvl="2">
      <w:start w:val="1"/>
      <w:numFmt w:val="bullet"/>
      <w:lvlText w:val="▪"/>
      <w:lvlJc w:val="left"/>
      <w:rPr>
        <w:rFonts w:ascii="Palatino Linotype" w:eastAsia="Palatino Linotype" w:hAnsi="Palatino Linotype" w:cs="Palatino Linotype"/>
        <w:color w:val="000000"/>
        <w:position w:val="0"/>
      </w:rPr>
    </w:lvl>
    <w:lvl w:ilvl="3">
      <w:start w:val="1"/>
      <w:numFmt w:val="bullet"/>
      <w:lvlText w:val="•"/>
      <w:lvlJc w:val="left"/>
      <w:rPr>
        <w:rFonts w:ascii="Palatino Linotype" w:eastAsia="Palatino Linotype" w:hAnsi="Palatino Linotype" w:cs="Palatino Linotype"/>
        <w:color w:val="000000"/>
        <w:position w:val="0"/>
      </w:rPr>
    </w:lvl>
    <w:lvl w:ilvl="4">
      <w:start w:val="1"/>
      <w:numFmt w:val="bullet"/>
      <w:lvlText w:val="o"/>
      <w:lvlJc w:val="left"/>
      <w:rPr>
        <w:rFonts w:ascii="Palatino Linotype" w:eastAsia="Palatino Linotype" w:hAnsi="Palatino Linotype" w:cs="Palatino Linotype"/>
        <w:color w:val="000000"/>
        <w:position w:val="0"/>
      </w:rPr>
    </w:lvl>
    <w:lvl w:ilvl="5">
      <w:start w:val="1"/>
      <w:numFmt w:val="bullet"/>
      <w:lvlText w:val="▪"/>
      <w:lvlJc w:val="left"/>
      <w:rPr>
        <w:rFonts w:ascii="Palatino Linotype" w:eastAsia="Palatino Linotype" w:hAnsi="Palatino Linotype" w:cs="Palatino Linotype"/>
        <w:color w:val="000000"/>
        <w:position w:val="0"/>
      </w:rPr>
    </w:lvl>
    <w:lvl w:ilvl="6">
      <w:start w:val="1"/>
      <w:numFmt w:val="bullet"/>
      <w:lvlText w:val="•"/>
      <w:lvlJc w:val="left"/>
      <w:rPr>
        <w:rFonts w:ascii="Palatino Linotype" w:eastAsia="Palatino Linotype" w:hAnsi="Palatino Linotype" w:cs="Palatino Linotype"/>
        <w:color w:val="000000"/>
        <w:position w:val="0"/>
      </w:rPr>
    </w:lvl>
    <w:lvl w:ilvl="7">
      <w:start w:val="1"/>
      <w:numFmt w:val="bullet"/>
      <w:lvlText w:val="o"/>
      <w:lvlJc w:val="left"/>
      <w:rPr>
        <w:rFonts w:ascii="Palatino Linotype" w:eastAsia="Palatino Linotype" w:hAnsi="Palatino Linotype" w:cs="Palatino Linotype"/>
        <w:color w:val="000000"/>
        <w:position w:val="0"/>
      </w:rPr>
    </w:lvl>
    <w:lvl w:ilvl="8">
      <w:start w:val="1"/>
      <w:numFmt w:val="bullet"/>
      <w:lvlText w:val="▪"/>
      <w:lvlJc w:val="left"/>
      <w:rPr>
        <w:rFonts w:ascii="Palatino Linotype" w:eastAsia="Palatino Linotype" w:hAnsi="Palatino Linotype" w:cs="Palatino Linotype"/>
        <w:color w:val="000000"/>
        <w:position w:val="0"/>
      </w:rPr>
    </w:lvl>
  </w:abstractNum>
  <w:abstractNum w:abstractNumId="1" w15:restartNumberingAfterBreak="0">
    <w:nsid w:val="0420014C"/>
    <w:multiLevelType w:val="hybridMultilevel"/>
    <w:tmpl w:val="C0B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15E4"/>
    <w:multiLevelType w:val="multilevel"/>
    <w:tmpl w:val="0542F89A"/>
    <w:styleLink w:val="List1"/>
    <w:lvl w:ilvl="0">
      <w:start w:val="1"/>
      <w:numFmt w:val="bullet"/>
      <w:lvlText w:val="•"/>
      <w:lvlJc w:val="left"/>
      <w:rPr>
        <w:rFonts w:ascii="Times New Roman" w:eastAsia="Times New Roman" w:hAnsi="Times New Roman" w:cs="Times New Roman"/>
        <w:color w:val="000000"/>
        <w:position w:val="0"/>
      </w:rPr>
    </w:lvl>
    <w:lvl w:ilvl="1">
      <w:start w:val="1"/>
      <w:numFmt w:val="bullet"/>
      <w:lvlText w:val="o"/>
      <w:lvlJc w:val="left"/>
      <w:rPr>
        <w:rFonts w:ascii="Palatino Linotype" w:eastAsia="Palatino Linotype" w:hAnsi="Palatino Linotype" w:cs="Palatino Linotype"/>
        <w:color w:val="000000"/>
        <w:position w:val="0"/>
      </w:rPr>
    </w:lvl>
    <w:lvl w:ilvl="2">
      <w:start w:val="1"/>
      <w:numFmt w:val="bullet"/>
      <w:lvlText w:val="▪"/>
      <w:lvlJc w:val="left"/>
      <w:rPr>
        <w:rFonts w:ascii="Palatino Linotype" w:eastAsia="Palatino Linotype" w:hAnsi="Palatino Linotype" w:cs="Palatino Linotype"/>
        <w:color w:val="000000"/>
        <w:position w:val="0"/>
      </w:rPr>
    </w:lvl>
    <w:lvl w:ilvl="3">
      <w:start w:val="1"/>
      <w:numFmt w:val="bullet"/>
      <w:lvlText w:val="•"/>
      <w:lvlJc w:val="left"/>
      <w:rPr>
        <w:rFonts w:ascii="Palatino Linotype" w:eastAsia="Palatino Linotype" w:hAnsi="Palatino Linotype" w:cs="Palatino Linotype"/>
        <w:color w:val="000000"/>
        <w:position w:val="0"/>
      </w:rPr>
    </w:lvl>
    <w:lvl w:ilvl="4">
      <w:start w:val="1"/>
      <w:numFmt w:val="bullet"/>
      <w:lvlText w:val="o"/>
      <w:lvlJc w:val="left"/>
      <w:rPr>
        <w:rFonts w:ascii="Palatino Linotype" w:eastAsia="Palatino Linotype" w:hAnsi="Palatino Linotype" w:cs="Palatino Linotype"/>
        <w:color w:val="000000"/>
        <w:position w:val="0"/>
      </w:rPr>
    </w:lvl>
    <w:lvl w:ilvl="5">
      <w:start w:val="1"/>
      <w:numFmt w:val="bullet"/>
      <w:lvlText w:val="▪"/>
      <w:lvlJc w:val="left"/>
      <w:rPr>
        <w:rFonts w:ascii="Palatino Linotype" w:eastAsia="Palatino Linotype" w:hAnsi="Palatino Linotype" w:cs="Palatino Linotype"/>
        <w:color w:val="000000"/>
        <w:position w:val="0"/>
      </w:rPr>
    </w:lvl>
    <w:lvl w:ilvl="6">
      <w:start w:val="1"/>
      <w:numFmt w:val="bullet"/>
      <w:lvlText w:val="•"/>
      <w:lvlJc w:val="left"/>
      <w:rPr>
        <w:rFonts w:ascii="Palatino Linotype" w:eastAsia="Palatino Linotype" w:hAnsi="Palatino Linotype" w:cs="Palatino Linotype"/>
        <w:color w:val="000000"/>
        <w:position w:val="0"/>
      </w:rPr>
    </w:lvl>
    <w:lvl w:ilvl="7">
      <w:start w:val="1"/>
      <w:numFmt w:val="bullet"/>
      <w:lvlText w:val="o"/>
      <w:lvlJc w:val="left"/>
      <w:rPr>
        <w:rFonts w:ascii="Palatino Linotype" w:eastAsia="Palatino Linotype" w:hAnsi="Palatino Linotype" w:cs="Palatino Linotype"/>
        <w:color w:val="000000"/>
        <w:position w:val="0"/>
      </w:rPr>
    </w:lvl>
    <w:lvl w:ilvl="8">
      <w:start w:val="1"/>
      <w:numFmt w:val="bullet"/>
      <w:lvlText w:val="▪"/>
      <w:lvlJc w:val="left"/>
      <w:rPr>
        <w:rFonts w:ascii="Palatino Linotype" w:eastAsia="Palatino Linotype" w:hAnsi="Palatino Linotype" w:cs="Palatino Linotype"/>
        <w:color w:val="000000"/>
        <w:position w:val="0"/>
      </w:rPr>
    </w:lvl>
  </w:abstractNum>
  <w:abstractNum w:abstractNumId="3" w15:restartNumberingAfterBreak="0">
    <w:nsid w:val="07B85E6B"/>
    <w:multiLevelType w:val="hybridMultilevel"/>
    <w:tmpl w:val="C2CEDF7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454AB"/>
    <w:multiLevelType w:val="hybridMultilevel"/>
    <w:tmpl w:val="FFFFFFFF"/>
    <w:lvl w:ilvl="0" w:tplc="235A7B2E">
      <w:start w:val="1"/>
      <w:numFmt w:val="bullet"/>
      <w:lvlText w:val=""/>
      <w:lvlJc w:val="left"/>
      <w:pPr>
        <w:ind w:left="720" w:hanging="360"/>
      </w:pPr>
      <w:rPr>
        <w:rFonts w:ascii="Symbol" w:hAnsi="Symbol" w:hint="default"/>
      </w:rPr>
    </w:lvl>
    <w:lvl w:ilvl="1" w:tplc="274018AC">
      <w:start w:val="1"/>
      <w:numFmt w:val="bullet"/>
      <w:lvlText w:val="o"/>
      <w:lvlJc w:val="left"/>
      <w:pPr>
        <w:ind w:left="1440" w:hanging="360"/>
      </w:pPr>
      <w:rPr>
        <w:rFonts w:ascii="Courier New" w:hAnsi="Courier New" w:hint="default"/>
      </w:rPr>
    </w:lvl>
    <w:lvl w:ilvl="2" w:tplc="F64EC638">
      <w:start w:val="1"/>
      <w:numFmt w:val="bullet"/>
      <w:lvlText w:val=""/>
      <w:lvlJc w:val="left"/>
      <w:pPr>
        <w:ind w:left="2160" w:hanging="360"/>
      </w:pPr>
      <w:rPr>
        <w:rFonts w:ascii="Wingdings" w:hAnsi="Wingdings" w:hint="default"/>
      </w:rPr>
    </w:lvl>
    <w:lvl w:ilvl="3" w:tplc="E80215F2">
      <w:start w:val="1"/>
      <w:numFmt w:val="bullet"/>
      <w:lvlText w:val=""/>
      <w:lvlJc w:val="left"/>
      <w:pPr>
        <w:ind w:left="2880" w:hanging="360"/>
      </w:pPr>
      <w:rPr>
        <w:rFonts w:ascii="Symbol" w:hAnsi="Symbol" w:hint="default"/>
      </w:rPr>
    </w:lvl>
    <w:lvl w:ilvl="4" w:tplc="5842451C">
      <w:start w:val="1"/>
      <w:numFmt w:val="bullet"/>
      <w:lvlText w:val="o"/>
      <w:lvlJc w:val="left"/>
      <w:pPr>
        <w:ind w:left="3600" w:hanging="360"/>
      </w:pPr>
      <w:rPr>
        <w:rFonts w:ascii="Courier New" w:hAnsi="Courier New" w:hint="default"/>
      </w:rPr>
    </w:lvl>
    <w:lvl w:ilvl="5" w:tplc="97007A06">
      <w:start w:val="1"/>
      <w:numFmt w:val="bullet"/>
      <w:lvlText w:val=""/>
      <w:lvlJc w:val="left"/>
      <w:pPr>
        <w:ind w:left="4320" w:hanging="360"/>
      </w:pPr>
      <w:rPr>
        <w:rFonts w:ascii="Wingdings" w:hAnsi="Wingdings" w:hint="default"/>
      </w:rPr>
    </w:lvl>
    <w:lvl w:ilvl="6" w:tplc="9B92A77E">
      <w:start w:val="1"/>
      <w:numFmt w:val="bullet"/>
      <w:lvlText w:val=""/>
      <w:lvlJc w:val="left"/>
      <w:pPr>
        <w:ind w:left="5040" w:hanging="360"/>
      </w:pPr>
      <w:rPr>
        <w:rFonts w:ascii="Symbol" w:hAnsi="Symbol" w:hint="default"/>
      </w:rPr>
    </w:lvl>
    <w:lvl w:ilvl="7" w:tplc="13424C2A">
      <w:start w:val="1"/>
      <w:numFmt w:val="bullet"/>
      <w:lvlText w:val="o"/>
      <w:lvlJc w:val="left"/>
      <w:pPr>
        <w:ind w:left="5760" w:hanging="360"/>
      </w:pPr>
      <w:rPr>
        <w:rFonts w:ascii="Courier New" w:hAnsi="Courier New" w:hint="default"/>
      </w:rPr>
    </w:lvl>
    <w:lvl w:ilvl="8" w:tplc="3CA841C2">
      <w:start w:val="1"/>
      <w:numFmt w:val="bullet"/>
      <w:lvlText w:val=""/>
      <w:lvlJc w:val="left"/>
      <w:pPr>
        <w:ind w:left="6480" w:hanging="360"/>
      </w:pPr>
      <w:rPr>
        <w:rFonts w:ascii="Wingdings" w:hAnsi="Wingdings" w:hint="default"/>
      </w:rPr>
    </w:lvl>
  </w:abstractNum>
  <w:abstractNum w:abstractNumId="5" w15:restartNumberingAfterBreak="0">
    <w:nsid w:val="0ADE28FA"/>
    <w:multiLevelType w:val="hybridMultilevel"/>
    <w:tmpl w:val="964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53D36"/>
    <w:multiLevelType w:val="multilevel"/>
    <w:tmpl w:val="E0AA939A"/>
    <w:styleLink w:val="List41"/>
    <w:lvl w:ilvl="0">
      <w:start w:val="1"/>
      <w:numFmt w:val="upperLetter"/>
      <w:lvlText w:val="%1."/>
      <w:lvlJc w:val="left"/>
      <w:pPr>
        <w:tabs>
          <w:tab w:val="num" w:pos="393"/>
        </w:tabs>
        <w:ind w:left="393" w:hanging="393"/>
      </w:pPr>
      <w:rPr>
        <w:rFonts w:ascii="Arial" w:eastAsia="Arial" w:hAnsi="Arial" w:cs="Arial"/>
        <w:position w:val="0"/>
        <w:sz w:val="24"/>
        <w:szCs w:val="24"/>
        <w:u w:color="000000"/>
        <w:rtl w:val="0"/>
        <w:lang w:val="en-US"/>
      </w:rPr>
    </w:lvl>
    <w:lvl w:ilvl="1">
      <w:start w:val="1"/>
      <w:numFmt w:val="upperLetter"/>
      <w:lvlText w:val="%2."/>
      <w:lvlJc w:val="left"/>
      <w:pPr>
        <w:tabs>
          <w:tab w:val="num" w:pos="753"/>
        </w:tabs>
        <w:ind w:left="753" w:hanging="393"/>
      </w:pPr>
      <w:rPr>
        <w:rFonts w:ascii="Arial" w:eastAsia="Arial" w:hAnsi="Arial" w:cs="Arial"/>
        <w:position w:val="0"/>
        <w:sz w:val="24"/>
        <w:szCs w:val="24"/>
        <w:u w:color="000000"/>
        <w:rtl w:val="0"/>
        <w:lang w:val="en-US"/>
      </w:rPr>
    </w:lvl>
    <w:lvl w:ilvl="2">
      <w:start w:val="1"/>
      <w:numFmt w:val="lowerRoman"/>
      <w:lvlText w:val="%3."/>
      <w:lvlJc w:val="left"/>
      <w:pPr>
        <w:tabs>
          <w:tab w:val="num" w:pos="1178"/>
        </w:tabs>
        <w:ind w:left="1178" w:hanging="458"/>
      </w:pPr>
      <w:rPr>
        <w:rFonts w:ascii="Arial" w:eastAsia="Arial" w:hAnsi="Arial" w:cs="Arial"/>
        <w:position w:val="0"/>
        <w:sz w:val="24"/>
        <w:szCs w:val="24"/>
        <w:u w:color="000000"/>
        <w:rtl w:val="0"/>
        <w:lang w:val="en-US"/>
      </w:rPr>
    </w:lvl>
    <w:lvl w:ilvl="3">
      <w:start w:val="1"/>
      <w:numFmt w:val="upperLetter"/>
      <w:lvlText w:val="%4."/>
      <w:lvlJc w:val="left"/>
      <w:pPr>
        <w:tabs>
          <w:tab w:val="num" w:pos="1473"/>
        </w:tabs>
        <w:ind w:left="1473" w:hanging="393"/>
      </w:pPr>
      <w:rPr>
        <w:rFonts w:ascii="Arial" w:eastAsia="Arial" w:hAnsi="Arial" w:cs="Arial"/>
        <w:position w:val="0"/>
        <w:sz w:val="24"/>
        <w:szCs w:val="24"/>
        <w:u w:color="000000"/>
        <w:rtl w:val="0"/>
        <w:lang w:val="en-US"/>
      </w:rPr>
    </w:lvl>
    <w:lvl w:ilvl="4">
      <w:start w:val="1"/>
      <w:numFmt w:val="upperLetter"/>
      <w:lvlText w:val="%5."/>
      <w:lvlJc w:val="left"/>
      <w:pPr>
        <w:tabs>
          <w:tab w:val="num" w:pos="1833"/>
        </w:tabs>
        <w:ind w:left="1833" w:hanging="393"/>
      </w:pPr>
      <w:rPr>
        <w:rFonts w:ascii="Arial" w:eastAsia="Arial" w:hAnsi="Arial" w:cs="Arial"/>
        <w:position w:val="0"/>
        <w:sz w:val="24"/>
        <w:szCs w:val="24"/>
        <w:u w:color="000000"/>
        <w:rtl w:val="0"/>
        <w:lang w:val="en-US"/>
      </w:rPr>
    </w:lvl>
    <w:lvl w:ilvl="5">
      <w:start w:val="1"/>
      <w:numFmt w:val="upperLetter"/>
      <w:lvlText w:val="%6."/>
      <w:lvlJc w:val="left"/>
      <w:pPr>
        <w:tabs>
          <w:tab w:val="num" w:pos="2193"/>
        </w:tabs>
        <w:ind w:left="2193" w:hanging="393"/>
      </w:pPr>
      <w:rPr>
        <w:rFonts w:ascii="Arial" w:eastAsia="Arial" w:hAnsi="Arial" w:cs="Arial"/>
        <w:position w:val="0"/>
        <w:sz w:val="24"/>
        <w:szCs w:val="24"/>
        <w:u w:color="000000"/>
        <w:rtl w:val="0"/>
        <w:lang w:val="en-US"/>
      </w:rPr>
    </w:lvl>
    <w:lvl w:ilvl="6">
      <w:start w:val="1"/>
      <w:numFmt w:val="upperLetter"/>
      <w:lvlText w:val="%7."/>
      <w:lvlJc w:val="left"/>
      <w:pPr>
        <w:tabs>
          <w:tab w:val="num" w:pos="2553"/>
        </w:tabs>
        <w:ind w:left="2553" w:hanging="393"/>
      </w:pPr>
      <w:rPr>
        <w:rFonts w:ascii="Arial" w:eastAsia="Arial" w:hAnsi="Arial" w:cs="Arial"/>
        <w:position w:val="0"/>
        <w:sz w:val="24"/>
        <w:szCs w:val="24"/>
        <w:u w:color="000000"/>
        <w:rtl w:val="0"/>
        <w:lang w:val="en-US"/>
      </w:rPr>
    </w:lvl>
    <w:lvl w:ilvl="7">
      <w:start w:val="1"/>
      <w:numFmt w:val="upperLetter"/>
      <w:lvlText w:val="%8."/>
      <w:lvlJc w:val="left"/>
      <w:pPr>
        <w:tabs>
          <w:tab w:val="num" w:pos="2913"/>
        </w:tabs>
        <w:ind w:left="2913" w:hanging="393"/>
      </w:pPr>
      <w:rPr>
        <w:rFonts w:ascii="Arial" w:eastAsia="Arial" w:hAnsi="Arial" w:cs="Arial"/>
        <w:position w:val="0"/>
        <w:sz w:val="24"/>
        <w:szCs w:val="24"/>
        <w:u w:color="000000"/>
        <w:rtl w:val="0"/>
        <w:lang w:val="en-US"/>
      </w:rPr>
    </w:lvl>
    <w:lvl w:ilvl="8">
      <w:start w:val="1"/>
      <w:numFmt w:val="upperLetter"/>
      <w:lvlText w:val="%9."/>
      <w:lvlJc w:val="left"/>
      <w:pPr>
        <w:tabs>
          <w:tab w:val="num" w:pos="3273"/>
        </w:tabs>
        <w:ind w:left="3273" w:hanging="393"/>
      </w:pPr>
      <w:rPr>
        <w:rFonts w:ascii="Arial" w:eastAsia="Arial" w:hAnsi="Arial" w:cs="Arial"/>
        <w:position w:val="0"/>
        <w:sz w:val="24"/>
        <w:szCs w:val="24"/>
        <w:u w:color="000000"/>
        <w:rtl w:val="0"/>
        <w:lang w:val="en-US"/>
      </w:rPr>
    </w:lvl>
  </w:abstractNum>
  <w:abstractNum w:abstractNumId="7" w15:restartNumberingAfterBreak="0">
    <w:nsid w:val="12E33C95"/>
    <w:multiLevelType w:val="hybridMultilevel"/>
    <w:tmpl w:val="1CF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C63A3"/>
    <w:multiLevelType w:val="hybridMultilevel"/>
    <w:tmpl w:val="4FBC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03A3"/>
    <w:multiLevelType w:val="hybridMultilevel"/>
    <w:tmpl w:val="84A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C42E3"/>
    <w:multiLevelType w:val="hybridMultilevel"/>
    <w:tmpl w:val="5DA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08633"/>
    <w:multiLevelType w:val="hybridMultilevel"/>
    <w:tmpl w:val="FFFFFFFF"/>
    <w:lvl w:ilvl="0" w:tplc="5F98B1D0">
      <w:start w:val="1"/>
      <w:numFmt w:val="bullet"/>
      <w:lvlText w:val=""/>
      <w:lvlJc w:val="left"/>
      <w:pPr>
        <w:ind w:left="720" w:hanging="360"/>
      </w:pPr>
      <w:rPr>
        <w:rFonts w:ascii="Symbol" w:hAnsi="Symbol" w:hint="default"/>
      </w:rPr>
    </w:lvl>
    <w:lvl w:ilvl="1" w:tplc="19A2BA50">
      <w:start w:val="1"/>
      <w:numFmt w:val="bullet"/>
      <w:lvlText w:val="o"/>
      <w:lvlJc w:val="left"/>
      <w:pPr>
        <w:ind w:left="1440" w:hanging="360"/>
      </w:pPr>
      <w:rPr>
        <w:rFonts w:ascii="Courier New" w:hAnsi="Courier New" w:hint="default"/>
      </w:rPr>
    </w:lvl>
    <w:lvl w:ilvl="2" w:tplc="3864C62E">
      <w:start w:val="1"/>
      <w:numFmt w:val="bullet"/>
      <w:lvlText w:val=""/>
      <w:lvlJc w:val="left"/>
      <w:pPr>
        <w:ind w:left="2160" w:hanging="360"/>
      </w:pPr>
      <w:rPr>
        <w:rFonts w:ascii="Wingdings" w:hAnsi="Wingdings" w:hint="default"/>
      </w:rPr>
    </w:lvl>
    <w:lvl w:ilvl="3" w:tplc="7730D998">
      <w:start w:val="1"/>
      <w:numFmt w:val="bullet"/>
      <w:lvlText w:val=""/>
      <w:lvlJc w:val="left"/>
      <w:pPr>
        <w:ind w:left="2880" w:hanging="360"/>
      </w:pPr>
      <w:rPr>
        <w:rFonts w:ascii="Symbol" w:hAnsi="Symbol" w:hint="default"/>
      </w:rPr>
    </w:lvl>
    <w:lvl w:ilvl="4" w:tplc="2996AD6E">
      <w:start w:val="1"/>
      <w:numFmt w:val="bullet"/>
      <w:lvlText w:val="o"/>
      <w:lvlJc w:val="left"/>
      <w:pPr>
        <w:ind w:left="3600" w:hanging="360"/>
      </w:pPr>
      <w:rPr>
        <w:rFonts w:ascii="Courier New" w:hAnsi="Courier New" w:hint="default"/>
      </w:rPr>
    </w:lvl>
    <w:lvl w:ilvl="5" w:tplc="DE365220">
      <w:start w:val="1"/>
      <w:numFmt w:val="bullet"/>
      <w:lvlText w:val=""/>
      <w:lvlJc w:val="left"/>
      <w:pPr>
        <w:ind w:left="4320" w:hanging="360"/>
      </w:pPr>
      <w:rPr>
        <w:rFonts w:ascii="Wingdings" w:hAnsi="Wingdings" w:hint="default"/>
      </w:rPr>
    </w:lvl>
    <w:lvl w:ilvl="6" w:tplc="0CA0B0BA">
      <w:start w:val="1"/>
      <w:numFmt w:val="bullet"/>
      <w:lvlText w:val=""/>
      <w:lvlJc w:val="left"/>
      <w:pPr>
        <w:ind w:left="5040" w:hanging="360"/>
      </w:pPr>
      <w:rPr>
        <w:rFonts w:ascii="Symbol" w:hAnsi="Symbol" w:hint="default"/>
      </w:rPr>
    </w:lvl>
    <w:lvl w:ilvl="7" w:tplc="3B441D50">
      <w:start w:val="1"/>
      <w:numFmt w:val="bullet"/>
      <w:lvlText w:val="o"/>
      <w:lvlJc w:val="left"/>
      <w:pPr>
        <w:ind w:left="5760" w:hanging="360"/>
      </w:pPr>
      <w:rPr>
        <w:rFonts w:ascii="Courier New" w:hAnsi="Courier New" w:hint="default"/>
      </w:rPr>
    </w:lvl>
    <w:lvl w:ilvl="8" w:tplc="C9B00652">
      <w:start w:val="1"/>
      <w:numFmt w:val="bullet"/>
      <w:lvlText w:val=""/>
      <w:lvlJc w:val="left"/>
      <w:pPr>
        <w:ind w:left="6480" w:hanging="360"/>
      </w:pPr>
      <w:rPr>
        <w:rFonts w:ascii="Wingdings" w:hAnsi="Wingdings" w:hint="default"/>
      </w:rPr>
    </w:lvl>
  </w:abstractNum>
  <w:abstractNum w:abstractNumId="12" w15:restartNumberingAfterBreak="0">
    <w:nsid w:val="2D0960AB"/>
    <w:multiLevelType w:val="multilevel"/>
    <w:tmpl w:val="880A5ABE"/>
    <w:styleLink w:val="List21"/>
    <w:lvl w:ilvl="0">
      <w:start w:val="1"/>
      <w:numFmt w:val="decimal"/>
      <w:lvlText w:val="%1."/>
      <w:lvlJc w:val="left"/>
      <w:pPr>
        <w:tabs>
          <w:tab w:val="num" w:pos="254"/>
        </w:tabs>
        <w:ind w:left="254" w:hanging="254"/>
      </w:pPr>
      <w:rPr>
        <w:rFonts w:ascii="Times New Roman" w:eastAsia="Times New Roman" w:hAnsi="Times New Roman" w:cs="Times New Roman"/>
        <w:position w:val="0"/>
        <w:sz w:val="26"/>
        <w:szCs w:val="26"/>
      </w:rPr>
    </w:lvl>
    <w:lvl w:ilvl="1">
      <w:start w:val="1"/>
      <w:numFmt w:val="decimal"/>
      <w:lvlText w:val="%1.%2."/>
      <w:lvlJc w:val="left"/>
      <w:pPr>
        <w:tabs>
          <w:tab w:val="num" w:pos="607"/>
        </w:tabs>
        <w:ind w:left="607" w:hanging="607"/>
      </w:pPr>
      <w:rPr>
        <w:rFonts w:ascii="Palatino Linotype" w:eastAsia="Palatino Linotype" w:hAnsi="Palatino Linotype" w:cs="Palatino Linotype"/>
        <w:position w:val="0"/>
        <w:sz w:val="26"/>
        <w:szCs w:val="26"/>
      </w:rPr>
    </w:lvl>
    <w:lvl w:ilvl="2">
      <w:start w:val="1"/>
      <w:numFmt w:val="decimal"/>
      <w:lvlText w:val="%3."/>
      <w:lvlJc w:val="left"/>
      <w:pPr>
        <w:tabs>
          <w:tab w:val="num" w:pos="607"/>
        </w:tabs>
        <w:ind w:left="607" w:hanging="607"/>
      </w:pPr>
      <w:rPr>
        <w:rFonts w:ascii="Palatino Linotype" w:eastAsia="Palatino Linotype" w:hAnsi="Palatino Linotype" w:cs="Palatino Linotype"/>
        <w:position w:val="0"/>
        <w:sz w:val="26"/>
        <w:szCs w:val="26"/>
      </w:rPr>
    </w:lvl>
    <w:lvl w:ilvl="3">
      <w:start w:val="1"/>
      <w:numFmt w:val="decimal"/>
      <w:lvlText w:val="%4."/>
      <w:lvlJc w:val="left"/>
      <w:pPr>
        <w:tabs>
          <w:tab w:val="num" w:pos="607"/>
        </w:tabs>
        <w:ind w:left="607" w:hanging="607"/>
      </w:pPr>
      <w:rPr>
        <w:rFonts w:ascii="Palatino Linotype" w:eastAsia="Palatino Linotype" w:hAnsi="Palatino Linotype" w:cs="Palatino Linotype"/>
        <w:position w:val="0"/>
        <w:sz w:val="26"/>
        <w:szCs w:val="26"/>
      </w:rPr>
    </w:lvl>
    <w:lvl w:ilvl="4">
      <w:start w:val="1"/>
      <w:numFmt w:val="decimal"/>
      <w:lvlText w:val="%5."/>
      <w:lvlJc w:val="left"/>
      <w:pPr>
        <w:tabs>
          <w:tab w:val="num" w:pos="607"/>
        </w:tabs>
        <w:ind w:left="607" w:hanging="607"/>
      </w:pPr>
      <w:rPr>
        <w:rFonts w:ascii="Palatino Linotype" w:eastAsia="Palatino Linotype" w:hAnsi="Palatino Linotype" w:cs="Palatino Linotype"/>
        <w:position w:val="0"/>
        <w:sz w:val="26"/>
        <w:szCs w:val="26"/>
      </w:rPr>
    </w:lvl>
    <w:lvl w:ilvl="5">
      <w:start w:val="1"/>
      <w:numFmt w:val="decimal"/>
      <w:lvlText w:val="%6."/>
      <w:lvlJc w:val="left"/>
      <w:pPr>
        <w:tabs>
          <w:tab w:val="num" w:pos="607"/>
        </w:tabs>
        <w:ind w:left="607" w:hanging="607"/>
      </w:pPr>
      <w:rPr>
        <w:rFonts w:ascii="Palatino Linotype" w:eastAsia="Palatino Linotype" w:hAnsi="Palatino Linotype" w:cs="Palatino Linotype"/>
        <w:position w:val="0"/>
        <w:sz w:val="26"/>
        <w:szCs w:val="26"/>
      </w:rPr>
    </w:lvl>
    <w:lvl w:ilvl="6">
      <w:start w:val="1"/>
      <w:numFmt w:val="decimal"/>
      <w:lvlText w:val="%7."/>
      <w:lvlJc w:val="left"/>
      <w:pPr>
        <w:tabs>
          <w:tab w:val="num" w:pos="607"/>
        </w:tabs>
        <w:ind w:left="607" w:hanging="607"/>
      </w:pPr>
      <w:rPr>
        <w:rFonts w:ascii="Palatino Linotype" w:eastAsia="Palatino Linotype" w:hAnsi="Palatino Linotype" w:cs="Palatino Linotype"/>
        <w:position w:val="0"/>
        <w:sz w:val="26"/>
        <w:szCs w:val="26"/>
      </w:rPr>
    </w:lvl>
    <w:lvl w:ilvl="7">
      <w:start w:val="1"/>
      <w:numFmt w:val="decimal"/>
      <w:lvlText w:val="%8."/>
      <w:lvlJc w:val="left"/>
      <w:pPr>
        <w:tabs>
          <w:tab w:val="num" w:pos="607"/>
        </w:tabs>
        <w:ind w:left="607" w:hanging="607"/>
      </w:pPr>
      <w:rPr>
        <w:rFonts w:ascii="Palatino Linotype" w:eastAsia="Palatino Linotype" w:hAnsi="Palatino Linotype" w:cs="Palatino Linotype"/>
        <w:position w:val="0"/>
        <w:sz w:val="26"/>
        <w:szCs w:val="26"/>
      </w:rPr>
    </w:lvl>
    <w:lvl w:ilvl="8">
      <w:start w:val="1"/>
      <w:numFmt w:val="decimal"/>
      <w:lvlText w:val="%9."/>
      <w:lvlJc w:val="left"/>
      <w:pPr>
        <w:tabs>
          <w:tab w:val="num" w:pos="607"/>
        </w:tabs>
        <w:ind w:left="607" w:hanging="607"/>
      </w:pPr>
      <w:rPr>
        <w:rFonts w:ascii="Palatino Linotype" w:eastAsia="Palatino Linotype" w:hAnsi="Palatino Linotype" w:cs="Palatino Linotype"/>
        <w:position w:val="0"/>
        <w:sz w:val="26"/>
        <w:szCs w:val="26"/>
      </w:rPr>
    </w:lvl>
  </w:abstractNum>
  <w:abstractNum w:abstractNumId="13" w15:restartNumberingAfterBreak="0">
    <w:nsid w:val="2DC9F777"/>
    <w:multiLevelType w:val="hybridMultilevel"/>
    <w:tmpl w:val="FFFFFFFF"/>
    <w:lvl w:ilvl="0" w:tplc="A288D256">
      <w:start w:val="1"/>
      <w:numFmt w:val="bullet"/>
      <w:lvlText w:val=""/>
      <w:lvlJc w:val="left"/>
      <w:pPr>
        <w:ind w:left="720" w:hanging="360"/>
      </w:pPr>
      <w:rPr>
        <w:rFonts w:ascii="Symbol" w:hAnsi="Symbol" w:hint="default"/>
      </w:rPr>
    </w:lvl>
    <w:lvl w:ilvl="1" w:tplc="ABB02812">
      <w:start w:val="1"/>
      <w:numFmt w:val="bullet"/>
      <w:lvlText w:val=""/>
      <w:lvlJc w:val="left"/>
      <w:pPr>
        <w:ind w:left="1440" w:hanging="360"/>
      </w:pPr>
      <w:rPr>
        <w:rFonts w:ascii="Symbol" w:hAnsi="Symbol" w:hint="default"/>
      </w:rPr>
    </w:lvl>
    <w:lvl w:ilvl="2" w:tplc="91E48596">
      <w:start w:val="1"/>
      <w:numFmt w:val="bullet"/>
      <w:lvlText w:val=""/>
      <w:lvlJc w:val="left"/>
      <w:pPr>
        <w:ind w:left="2160" w:hanging="360"/>
      </w:pPr>
      <w:rPr>
        <w:rFonts w:ascii="Wingdings" w:hAnsi="Wingdings" w:hint="default"/>
      </w:rPr>
    </w:lvl>
    <w:lvl w:ilvl="3" w:tplc="4B3EEE8E">
      <w:start w:val="1"/>
      <w:numFmt w:val="bullet"/>
      <w:lvlText w:val=""/>
      <w:lvlJc w:val="left"/>
      <w:pPr>
        <w:ind w:left="2880" w:hanging="360"/>
      </w:pPr>
      <w:rPr>
        <w:rFonts w:ascii="Symbol" w:hAnsi="Symbol" w:hint="default"/>
      </w:rPr>
    </w:lvl>
    <w:lvl w:ilvl="4" w:tplc="519A12D2">
      <w:start w:val="1"/>
      <w:numFmt w:val="bullet"/>
      <w:lvlText w:val="o"/>
      <w:lvlJc w:val="left"/>
      <w:pPr>
        <w:ind w:left="3600" w:hanging="360"/>
      </w:pPr>
      <w:rPr>
        <w:rFonts w:ascii="Courier New" w:hAnsi="Courier New" w:hint="default"/>
      </w:rPr>
    </w:lvl>
    <w:lvl w:ilvl="5" w:tplc="70ACD90E">
      <w:start w:val="1"/>
      <w:numFmt w:val="bullet"/>
      <w:lvlText w:val=""/>
      <w:lvlJc w:val="left"/>
      <w:pPr>
        <w:ind w:left="4320" w:hanging="360"/>
      </w:pPr>
      <w:rPr>
        <w:rFonts w:ascii="Wingdings" w:hAnsi="Wingdings" w:hint="default"/>
      </w:rPr>
    </w:lvl>
    <w:lvl w:ilvl="6" w:tplc="A41445AE">
      <w:start w:val="1"/>
      <w:numFmt w:val="bullet"/>
      <w:lvlText w:val=""/>
      <w:lvlJc w:val="left"/>
      <w:pPr>
        <w:ind w:left="5040" w:hanging="360"/>
      </w:pPr>
      <w:rPr>
        <w:rFonts w:ascii="Symbol" w:hAnsi="Symbol" w:hint="default"/>
      </w:rPr>
    </w:lvl>
    <w:lvl w:ilvl="7" w:tplc="B260BD48">
      <w:start w:val="1"/>
      <w:numFmt w:val="bullet"/>
      <w:lvlText w:val="o"/>
      <w:lvlJc w:val="left"/>
      <w:pPr>
        <w:ind w:left="5760" w:hanging="360"/>
      </w:pPr>
      <w:rPr>
        <w:rFonts w:ascii="Courier New" w:hAnsi="Courier New" w:hint="default"/>
      </w:rPr>
    </w:lvl>
    <w:lvl w:ilvl="8" w:tplc="FB22CF18">
      <w:start w:val="1"/>
      <w:numFmt w:val="bullet"/>
      <w:lvlText w:val=""/>
      <w:lvlJc w:val="left"/>
      <w:pPr>
        <w:ind w:left="6480" w:hanging="360"/>
      </w:pPr>
      <w:rPr>
        <w:rFonts w:ascii="Wingdings" w:hAnsi="Wingdings" w:hint="default"/>
      </w:rPr>
    </w:lvl>
  </w:abstractNum>
  <w:abstractNum w:abstractNumId="14" w15:restartNumberingAfterBreak="0">
    <w:nsid w:val="31DF7F98"/>
    <w:multiLevelType w:val="hybridMultilevel"/>
    <w:tmpl w:val="635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A07F7"/>
    <w:multiLevelType w:val="hybridMultilevel"/>
    <w:tmpl w:val="F1DE8AE4"/>
    <w:lvl w:ilvl="0" w:tplc="8736AB94">
      <w:start w:val="1"/>
      <w:numFmt w:val="bullet"/>
      <w:lvlText w:val=""/>
      <w:lvlJc w:val="left"/>
      <w:pPr>
        <w:ind w:left="720" w:hanging="360"/>
      </w:pPr>
      <w:rPr>
        <w:rFonts w:ascii="Symbol" w:eastAsia="Palatino Linotype" w:hAnsi="Symbol" w:cs="Palatino Linotype"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308A"/>
    <w:multiLevelType w:val="multilevel"/>
    <w:tmpl w:val="C38413A2"/>
    <w:styleLink w:val="List31"/>
    <w:lvl w:ilvl="0">
      <w:start w:val="1"/>
      <w:numFmt w:val="decimal"/>
      <w:lvlText w:val="%1."/>
      <w:lvlJc w:val="left"/>
      <w:pPr>
        <w:tabs>
          <w:tab w:val="num" w:pos="156"/>
        </w:tabs>
        <w:ind w:left="156" w:hanging="156"/>
      </w:pPr>
      <w:rPr>
        <w:rFonts w:ascii="Times New Roman" w:eastAsia="Times New Roman" w:hAnsi="Times New Roman" w:cs="Times New Roman"/>
        <w:color w:val="000000"/>
        <w:position w:val="0"/>
        <w:sz w:val="26"/>
        <w:szCs w:val="26"/>
      </w:rPr>
    </w:lvl>
    <w:lvl w:ilvl="1">
      <w:start w:val="1"/>
      <w:numFmt w:val="decimal"/>
      <w:lvlText w:val="%1.%2."/>
      <w:lvlJc w:val="left"/>
      <w:pPr>
        <w:tabs>
          <w:tab w:val="num" w:pos="113"/>
        </w:tabs>
      </w:pPr>
      <w:rPr>
        <w:rFonts w:ascii="Palatino Linotype" w:eastAsia="Palatino Linotype" w:hAnsi="Palatino Linotype" w:cs="Palatino Linotype"/>
        <w:color w:val="000000"/>
        <w:position w:val="0"/>
        <w:sz w:val="26"/>
        <w:szCs w:val="26"/>
      </w:rPr>
    </w:lvl>
    <w:lvl w:ilvl="2">
      <w:start w:val="1"/>
      <w:numFmt w:val="decimal"/>
      <w:lvlText w:val="%3."/>
      <w:lvlJc w:val="left"/>
      <w:pPr>
        <w:tabs>
          <w:tab w:val="num" w:pos="113"/>
        </w:tabs>
      </w:pPr>
      <w:rPr>
        <w:rFonts w:ascii="Palatino Linotype" w:eastAsia="Palatino Linotype" w:hAnsi="Palatino Linotype" w:cs="Palatino Linotype"/>
        <w:color w:val="000000"/>
        <w:position w:val="0"/>
        <w:sz w:val="26"/>
        <w:szCs w:val="26"/>
      </w:rPr>
    </w:lvl>
    <w:lvl w:ilvl="3">
      <w:start w:val="1"/>
      <w:numFmt w:val="decimal"/>
      <w:lvlText w:val="%4."/>
      <w:lvlJc w:val="left"/>
      <w:pPr>
        <w:tabs>
          <w:tab w:val="num" w:pos="113"/>
        </w:tabs>
      </w:pPr>
      <w:rPr>
        <w:rFonts w:ascii="Palatino Linotype" w:eastAsia="Palatino Linotype" w:hAnsi="Palatino Linotype" w:cs="Palatino Linotype"/>
        <w:color w:val="000000"/>
        <w:position w:val="0"/>
        <w:sz w:val="26"/>
        <w:szCs w:val="26"/>
      </w:rPr>
    </w:lvl>
    <w:lvl w:ilvl="4">
      <w:start w:val="1"/>
      <w:numFmt w:val="decimal"/>
      <w:lvlText w:val="%5."/>
      <w:lvlJc w:val="left"/>
      <w:pPr>
        <w:tabs>
          <w:tab w:val="num" w:pos="113"/>
        </w:tabs>
      </w:pPr>
      <w:rPr>
        <w:rFonts w:ascii="Palatino Linotype" w:eastAsia="Palatino Linotype" w:hAnsi="Palatino Linotype" w:cs="Palatino Linotype"/>
        <w:color w:val="000000"/>
        <w:position w:val="0"/>
        <w:sz w:val="26"/>
        <w:szCs w:val="26"/>
      </w:rPr>
    </w:lvl>
    <w:lvl w:ilvl="5">
      <w:start w:val="1"/>
      <w:numFmt w:val="decimal"/>
      <w:lvlText w:val="%6."/>
      <w:lvlJc w:val="left"/>
      <w:pPr>
        <w:tabs>
          <w:tab w:val="num" w:pos="113"/>
        </w:tabs>
      </w:pPr>
      <w:rPr>
        <w:rFonts w:ascii="Palatino Linotype" w:eastAsia="Palatino Linotype" w:hAnsi="Palatino Linotype" w:cs="Palatino Linotype"/>
        <w:color w:val="000000"/>
        <w:position w:val="0"/>
        <w:sz w:val="26"/>
        <w:szCs w:val="26"/>
      </w:rPr>
    </w:lvl>
    <w:lvl w:ilvl="6">
      <w:start w:val="1"/>
      <w:numFmt w:val="decimal"/>
      <w:lvlText w:val="%7."/>
      <w:lvlJc w:val="left"/>
      <w:pPr>
        <w:tabs>
          <w:tab w:val="num" w:pos="113"/>
        </w:tabs>
      </w:pPr>
      <w:rPr>
        <w:rFonts w:ascii="Palatino Linotype" w:eastAsia="Palatino Linotype" w:hAnsi="Palatino Linotype" w:cs="Palatino Linotype"/>
        <w:color w:val="000000"/>
        <w:position w:val="0"/>
        <w:sz w:val="26"/>
        <w:szCs w:val="26"/>
      </w:rPr>
    </w:lvl>
    <w:lvl w:ilvl="7">
      <w:start w:val="1"/>
      <w:numFmt w:val="decimal"/>
      <w:lvlText w:val="%8."/>
      <w:lvlJc w:val="left"/>
      <w:pPr>
        <w:tabs>
          <w:tab w:val="num" w:pos="113"/>
        </w:tabs>
      </w:pPr>
      <w:rPr>
        <w:rFonts w:ascii="Palatino Linotype" w:eastAsia="Palatino Linotype" w:hAnsi="Palatino Linotype" w:cs="Palatino Linotype"/>
        <w:color w:val="000000"/>
        <w:position w:val="0"/>
        <w:sz w:val="26"/>
        <w:szCs w:val="26"/>
      </w:rPr>
    </w:lvl>
    <w:lvl w:ilvl="8">
      <w:start w:val="1"/>
      <w:numFmt w:val="decimal"/>
      <w:lvlText w:val="%9."/>
      <w:lvlJc w:val="left"/>
      <w:pPr>
        <w:tabs>
          <w:tab w:val="num" w:pos="113"/>
        </w:tabs>
      </w:pPr>
      <w:rPr>
        <w:rFonts w:ascii="Palatino Linotype" w:eastAsia="Palatino Linotype" w:hAnsi="Palatino Linotype" w:cs="Palatino Linotype"/>
        <w:color w:val="000000"/>
        <w:position w:val="0"/>
        <w:sz w:val="26"/>
        <w:szCs w:val="26"/>
      </w:rPr>
    </w:lvl>
  </w:abstractNum>
  <w:abstractNum w:abstractNumId="17" w15:restartNumberingAfterBreak="0">
    <w:nsid w:val="47136C00"/>
    <w:multiLevelType w:val="hybridMultilevel"/>
    <w:tmpl w:val="24BA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D5F5A"/>
    <w:multiLevelType w:val="hybridMultilevel"/>
    <w:tmpl w:val="85162F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9A78CB"/>
    <w:multiLevelType w:val="singleLevel"/>
    <w:tmpl w:val="04090015"/>
    <w:lvl w:ilvl="0">
      <w:start w:val="1"/>
      <w:numFmt w:val="upperLetter"/>
      <w:lvlText w:val="%1."/>
      <w:lvlJc w:val="left"/>
      <w:pPr>
        <w:ind w:left="720" w:hanging="360"/>
      </w:pPr>
    </w:lvl>
  </w:abstractNum>
  <w:abstractNum w:abstractNumId="20" w15:restartNumberingAfterBreak="0">
    <w:nsid w:val="54435FA2"/>
    <w:multiLevelType w:val="hybridMultilevel"/>
    <w:tmpl w:val="14348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A4CEB"/>
    <w:multiLevelType w:val="hybridMultilevel"/>
    <w:tmpl w:val="2FC88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C2FCD"/>
    <w:multiLevelType w:val="multilevel"/>
    <w:tmpl w:val="7E46AFB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5C0105"/>
    <w:multiLevelType w:val="singleLevel"/>
    <w:tmpl w:val="04090015"/>
    <w:lvl w:ilvl="0">
      <w:start w:val="1"/>
      <w:numFmt w:val="upperLetter"/>
      <w:lvlText w:val="%1."/>
      <w:lvlJc w:val="left"/>
      <w:pPr>
        <w:ind w:left="720" w:hanging="360"/>
      </w:pPr>
    </w:lvl>
  </w:abstractNum>
  <w:abstractNum w:abstractNumId="24" w15:restartNumberingAfterBreak="0">
    <w:nsid w:val="6EBF640E"/>
    <w:multiLevelType w:val="hybridMultilevel"/>
    <w:tmpl w:val="834E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44657"/>
    <w:multiLevelType w:val="multilevel"/>
    <w:tmpl w:val="8116AADC"/>
    <w:styleLink w:val="List51"/>
    <w:lvl w:ilvl="0">
      <w:start w:val="1"/>
      <w:numFmt w:val="upperLetter"/>
      <w:lvlText w:val="%1."/>
      <w:lvlJc w:val="left"/>
      <w:pPr>
        <w:tabs>
          <w:tab w:val="num" w:pos="393"/>
        </w:tabs>
        <w:ind w:left="393" w:hanging="393"/>
      </w:pPr>
      <w:rPr>
        <w:rFonts w:ascii="Arial" w:eastAsia="Arial" w:hAnsi="Arial" w:cs="Arial"/>
        <w:position w:val="0"/>
        <w:sz w:val="24"/>
        <w:szCs w:val="24"/>
        <w:u w:color="000000"/>
        <w:rtl w:val="0"/>
        <w:lang w:val="en-US"/>
      </w:rPr>
    </w:lvl>
    <w:lvl w:ilvl="1">
      <w:start w:val="1"/>
      <w:numFmt w:val="upperLetter"/>
      <w:lvlText w:val="%2."/>
      <w:lvlJc w:val="left"/>
      <w:pPr>
        <w:tabs>
          <w:tab w:val="num" w:pos="753"/>
        </w:tabs>
        <w:ind w:left="753" w:hanging="393"/>
      </w:pPr>
      <w:rPr>
        <w:rFonts w:ascii="Arial" w:eastAsia="Arial" w:hAnsi="Arial" w:cs="Arial"/>
        <w:position w:val="0"/>
        <w:sz w:val="24"/>
        <w:szCs w:val="24"/>
        <w:u w:color="000000"/>
        <w:rtl w:val="0"/>
        <w:lang w:val="en-US"/>
      </w:rPr>
    </w:lvl>
    <w:lvl w:ilvl="2">
      <w:start w:val="1"/>
      <w:numFmt w:val="upperLetter"/>
      <w:lvlText w:val="%3."/>
      <w:lvlJc w:val="left"/>
      <w:pPr>
        <w:tabs>
          <w:tab w:val="num" w:pos="1113"/>
        </w:tabs>
        <w:ind w:left="1113" w:hanging="393"/>
      </w:pPr>
      <w:rPr>
        <w:rFonts w:ascii="Arial" w:eastAsia="Arial" w:hAnsi="Arial" w:cs="Arial"/>
        <w:position w:val="0"/>
        <w:sz w:val="24"/>
        <w:szCs w:val="24"/>
        <w:u w:color="000000"/>
        <w:rtl w:val="0"/>
        <w:lang w:val="en-US"/>
      </w:rPr>
    </w:lvl>
    <w:lvl w:ilvl="3">
      <w:start w:val="1"/>
      <w:numFmt w:val="lowerLetter"/>
      <w:lvlText w:val="%4)"/>
      <w:lvlJc w:val="left"/>
      <w:pPr>
        <w:tabs>
          <w:tab w:val="num" w:pos="1538"/>
        </w:tabs>
        <w:ind w:left="1538" w:hanging="458"/>
      </w:pPr>
      <w:rPr>
        <w:rFonts w:ascii="Arial" w:eastAsia="Arial" w:hAnsi="Arial" w:cs="Arial"/>
        <w:position w:val="0"/>
        <w:sz w:val="24"/>
        <w:szCs w:val="24"/>
        <w:u w:color="000000"/>
        <w:rtl w:val="0"/>
        <w:lang w:val="en-US"/>
      </w:rPr>
    </w:lvl>
    <w:lvl w:ilvl="4">
      <w:start w:val="1"/>
      <w:numFmt w:val="upperLetter"/>
      <w:lvlText w:val="%5."/>
      <w:lvlJc w:val="left"/>
      <w:pPr>
        <w:tabs>
          <w:tab w:val="num" w:pos="1833"/>
        </w:tabs>
        <w:ind w:left="1833" w:hanging="393"/>
      </w:pPr>
      <w:rPr>
        <w:rFonts w:ascii="Arial" w:eastAsia="Arial" w:hAnsi="Arial" w:cs="Arial"/>
        <w:position w:val="0"/>
        <w:sz w:val="24"/>
        <w:szCs w:val="24"/>
        <w:u w:color="000000"/>
        <w:rtl w:val="0"/>
        <w:lang w:val="en-US"/>
      </w:rPr>
    </w:lvl>
    <w:lvl w:ilvl="5">
      <w:start w:val="1"/>
      <w:numFmt w:val="upperLetter"/>
      <w:lvlText w:val="%6."/>
      <w:lvlJc w:val="left"/>
      <w:pPr>
        <w:tabs>
          <w:tab w:val="num" w:pos="2193"/>
        </w:tabs>
        <w:ind w:left="2193" w:hanging="393"/>
      </w:pPr>
      <w:rPr>
        <w:rFonts w:ascii="Arial" w:eastAsia="Arial" w:hAnsi="Arial" w:cs="Arial"/>
        <w:position w:val="0"/>
        <w:sz w:val="24"/>
        <w:szCs w:val="24"/>
        <w:u w:color="000000"/>
        <w:rtl w:val="0"/>
        <w:lang w:val="en-US"/>
      </w:rPr>
    </w:lvl>
    <w:lvl w:ilvl="6">
      <w:start w:val="1"/>
      <w:numFmt w:val="upperLetter"/>
      <w:lvlText w:val="%7."/>
      <w:lvlJc w:val="left"/>
      <w:pPr>
        <w:tabs>
          <w:tab w:val="num" w:pos="2553"/>
        </w:tabs>
        <w:ind w:left="2553" w:hanging="393"/>
      </w:pPr>
      <w:rPr>
        <w:rFonts w:ascii="Arial" w:eastAsia="Arial" w:hAnsi="Arial" w:cs="Arial"/>
        <w:position w:val="0"/>
        <w:sz w:val="24"/>
        <w:szCs w:val="24"/>
        <w:u w:color="000000"/>
        <w:rtl w:val="0"/>
        <w:lang w:val="en-US"/>
      </w:rPr>
    </w:lvl>
    <w:lvl w:ilvl="7">
      <w:start w:val="1"/>
      <w:numFmt w:val="upperLetter"/>
      <w:lvlText w:val="%8."/>
      <w:lvlJc w:val="left"/>
      <w:pPr>
        <w:tabs>
          <w:tab w:val="num" w:pos="2913"/>
        </w:tabs>
        <w:ind w:left="2913" w:hanging="393"/>
      </w:pPr>
      <w:rPr>
        <w:rFonts w:ascii="Arial" w:eastAsia="Arial" w:hAnsi="Arial" w:cs="Arial"/>
        <w:position w:val="0"/>
        <w:sz w:val="24"/>
        <w:szCs w:val="24"/>
        <w:u w:color="000000"/>
        <w:rtl w:val="0"/>
        <w:lang w:val="en-US"/>
      </w:rPr>
    </w:lvl>
    <w:lvl w:ilvl="8">
      <w:start w:val="1"/>
      <w:numFmt w:val="upperLetter"/>
      <w:lvlText w:val="%9."/>
      <w:lvlJc w:val="left"/>
      <w:pPr>
        <w:tabs>
          <w:tab w:val="num" w:pos="3273"/>
        </w:tabs>
        <w:ind w:left="3273" w:hanging="393"/>
      </w:pPr>
      <w:rPr>
        <w:rFonts w:ascii="Arial" w:eastAsia="Arial" w:hAnsi="Arial" w:cs="Arial"/>
        <w:position w:val="0"/>
        <w:sz w:val="24"/>
        <w:szCs w:val="24"/>
        <w:u w:color="000000"/>
        <w:rtl w:val="0"/>
        <w:lang w:val="en-US"/>
      </w:rPr>
    </w:lvl>
  </w:abstractNum>
  <w:abstractNum w:abstractNumId="26" w15:restartNumberingAfterBreak="0">
    <w:nsid w:val="78CD16EF"/>
    <w:multiLevelType w:val="hybridMultilevel"/>
    <w:tmpl w:val="E320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04E0"/>
    <w:multiLevelType w:val="hybridMultilevel"/>
    <w:tmpl w:val="7E46AFB8"/>
    <w:lvl w:ilvl="0" w:tplc="913E7D0C">
      <w:start w:val="1"/>
      <w:numFmt w:val="bullet"/>
      <w:lvlText w:val=""/>
      <w:lvlJc w:val="left"/>
      <w:pPr>
        <w:ind w:left="720" w:hanging="360"/>
      </w:pPr>
      <w:rPr>
        <w:rFonts w:ascii="Symbol" w:hAnsi="Symbol" w:hint="default"/>
      </w:rPr>
    </w:lvl>
    <w:lvl w:ilvl="1" w:tplc="D1F43738">
      <w:start w:val="1"/>
      <w:numFmt w:val="bullet"/>
      <w:lvlText w:val="o"/>
      <w:lvlJc w:val="left"/>
      <w:pPr>
        <w:ind w:left="1440" w:hanging="360"/>
      </w:pPr>
      <w:rPr>
        <w:rFonts w:ascii="Courier New" w:hAnsi="Courier New" w:hint="default"/>
      </w:rPr>
    </w:lvl>
    <w:lvl w:ilvl="2" w:tplc="AE322FC2">
      <w:start w:val="1"/>
      <w:numFmt w:val="bullet"/>
      <w:lvlText w:val=""/>
      <w:lvlJc w:val="left"/>
      <w:pPr>
        <w:ind w:left="2160" w:hanging="360"/>
      </w:pPr>
      <w:rPr>
        <w:rFonts w:ascii="Wingdings" w:hAnsi="Wingdings" w:hint="default"/>
      </w:rPr>
    </w:lvl>
    <w:lvl w:ilvl="3" w:tplc="9C829A9C">
      <w:start w:val="1"/>
      <w:numFmt w:val="bullet"/>
      <w:lvlText w:val=""/>
      <w:lvlJc w:val="left"/>
      <w:pPr>
        <w:ind w:left="2880" w:hanging="360"/>
      </w:pPr>
      <w:rPr>
        <w:rFonts w:ascii="Symbol" w:hAnsi="Symbol" w:hint="default"/>
      </w:rPr>
    </w:lvl>
    <w:lvl w:ilvl="4" w:tplc="D480CE66">
      <w:start w:val="1"/>
      <w:numFmt w:val="bullet"/>
      <w:lvlText w:val="o"/>
      <w:lvlJc w:val="left"/>
      <w:pPr>
        <w:ind w:left="3600" w:hanging="360"/>
      </w:pPr>
      <w:rPr>
        <w:rFonts w:ascii="Courier New" w:hAnsi="Courier New" w:hint="default"/>
      </w:rPr>
    </w:lvl>
    <w:lvl w:ilvl="5" w:tplc="C83E8324">
      <w:start w:val="1"/>
      <w:numFmt w:val="bullet"/>
      <w:lvlText w:val=""/>
      <w:lvlJc w:val="left"/>
      <w:pPr>
        <w:ind w:left="4320" w:hanging="360"/>
      </w:pPr>
      <w:rPr>
        <w:rFonts w:ascii="Wingdings" w:hAnsi="Wingdings" w:hint="default"/>
      </w:rPr>
    </w:lvl>
    <w:lvl w:ilvl="6" w:tplc="7A42CACA">
      <w:start w:val="1"/>
      <w:numFmt w:val="bullet"/>
      <w:lvlText w:val=""/>
      <w:lvlJc w:val="left"/>
      <w:pPr>
        <w:ind w:left="5040" w:hanging="360"/>
      </w:pPr>
      <w:rPr>
        <w:rFonts w:ascii="Symbol" w:hAnsi="Symbol" w:hint="default"/>
      </w:rPr>
    </w:lvl>
    <w:lvl w:ilvl="7" w:tplc="39804D82">
      <w:start w:val="1"/>
      <w:numFmt w:val="bullet"/>
      <w:lvlText w:val="o"/>
      <w:lvlJc w:val="left"/>
      <w:pPr>
        <w:ind w:left="5760" w:hanging="360"/>
      </w:pPr>
      <w:rPr>
        <w:rFonts w:ascii="Courier New" w:hAnsi="Courier New" w:hint="default"/>
      </w:rPr>
    </w:lvl>
    <w:lvl w:ilvl="8" w:tplc="0444EA46">
      <w:start w:val="1"/>
      <w:numFmt w:val="bullet"/>
      <w:lvlText w:val=""/>
      <w:lvlJc w:val="left"/>
      <w:pPr>
        <w:ind w:left="6480" w:hanging="360"/>
      </w:pPr>
      <w:rPr>
        <w:rFonts w:ascii="Wingdings" w:hAnsi="Wingdings" w:hint="default"/>
      </w:rPr>
    </w:lvl>
  </w:abstractNum>
  <w:num w:numId="1" w16cid:durableId="1350838780">
    <w:abstractNumId w:val="27"/>
  </w:num>
  <w:num w:numId="2" w16cid:durableId="280839462">
    <w:abstractNumId w:val="0"/>
  </w:num>
  <w:num w:numId="3" w16cid:durableId="1886520957">
    <w:abstractNumId w:val="2"/>
  </w:num>
  <w:num w:numId="4" w16cid:durableId="73477758">
    <w:abstractNumId w:val="12"/>
  </w:num>
  <w:num w:numId="5" w16cid:durableId="742334142">
    <w:abstractNumId w:val="16"/>
  </w:num>
  <w:num w:numId="6" w16cid:durableId="1501313372">
    <w:abstractNumId w:val="6"/>
  </w:num>
  <w:num w:numId="7" w16cid:durableId="1633824771">
    <w:abstractNumId w:val="25"/>
  </w:num>
  <w:num w:numId="8" w16cid:durableId="271019148">
    <w:abstractNumId w:val="3"/>
  </w:num>
  <w:num w:numId="9" w16cid:durableId="610865237">
    <w:abstractNumId w:val="15"/>
  </w:num>
  <w:num w:numId="10" w16cid:durableId="1735814341">
    <w:abstractNumId w:val="9"/>
  </w:num>
  <w:num w:numId="11" w16cid:durableId="602609301">
    <w:abstractNumId w:val="21"/>
  </w:num>
  <w:num w:numId="12" w16cid:durableId="1693455040">
    <w:abstractNumId w:val="1"/>
  </w:num>
  <w:num w:numId="13" w16cid:durableId="608514668">
    <w:abstractNumId w:val="7"/>
  </w:num>
  <w:num w:numId="14" w16cid:durableId="773479430">
    <w:abstractNumId w:val="13"/>
  </w:num>
  <w:num w:numId="15" w16cid:durableId="144788057">
    <w:abstractNumId w:val="4"/>
  </w:num>
  <w:num w:numId="16" w16cid:durableId="543756930">
    <w:abstractNumId w:val="11"/>
  </w:num>
  <w:num w:numId="17" w16cid:durableId="1600988360">
    <w:abstractNumId w:val="20"/>
  </w:num>
  <w:num w:numId="18" w16cid:durableId="1286159626">
    <w:abstractNumId w:val="26"/>
  </w:num>
  <w:num w:numId="19" w16cid:durableId="1333727685">
    <w:abstractNumId w:val="17"/>
  </w:num>
  <w:num w:numId="20" w16cid:durableId="851526224">
    <w:abstractNumId w:val="5"/>
  </w:num>
  <w:num w:numId="21" w16cid:durableId="895891753">
    <w:abstractNumId w:val="8"/>
  </w:num>
  <w:num w:numId="22" w16cid:durableId="465322281">
    <w:abstractNumId w:val="10"/>
  </w:num>
  <w:num w:numId="23" w16cid:durableId="231429728">
    <w:abstractNumId w:val="18"/>
  </w:num>
  <w:num w:numId="24" w16cid:durableId="1828092068">
    <w:abstractNumId w:val="14"/>
  </w:num>
  <w:num w:numId="25" w16cid:durableId="79646370">
    <w:abstractNumId w:val="22"/>
  </w:num>
  <w:num w:numId="26" w16cid:durableId="1662275395">
    <w:abstractNumId w:val="23"/>
  </w:num>
  <w:num w:numId="27" w16cid:durableId="1189486432">
    <w:abstractNumId w:val="19"/>
  </w:num>
  <w:num w:numId="28" w16cid:durableId="193941185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sv-SE" w:vendorID="64" w:dllVersion="0" w:nlCheck="1" w:checkStyle="0" w:appName="MSWord"/>
  <w:activeWritingStyle w:lang="en-US" w:vendorID="64" w:dllVersion="0" w:nlCheck="1" w:checkStyle="0" w:appName="MSWord"/>
  <w:activeWritingStyle w:lang="it-IT" w:vendorID="64" w:dllVersion="0" w:nlCheck="1" w:checkStyle="0" w:appName="MSWord"/>
  <w:activeWritingStyle w:lang="fr-FR" w:vendorID="64" w:dllVersion="0" w:nlCheck="1" w:checkStyle="0" w:appName="MSWord"/>
  <w:activeWritingStyle w:lang="de-DE" w:vendorID="64" w:dllVersion="0" w:nlCheck="1" w:checkStyle="0" w:appName="MSWord"/>
  <w:activeWritingStyle w:lang="en-US" w:vendorID="64" w:dllVersion="4096" w:nlCheck="1" w:checkStyle="0" w:appName="MSWord"/>
  <w:activeWritingStyle w:lang="sv-SE" w:vendorID="64" w:dllVersion="4096" w:nlCheck="1" w:checkStyle="0" w:appName="MSWord"/>
  <w:activeWritingStyle w:lang="it-IT" w:vendorID="64" w:dllVersion="4096" w:nlCheck="1" w:checkStyle="0" w:appName="MSWord"/>
  <w:activeWritingStyle w:lang="fr-FR" w:vendorID="64" w:dllVersion="4096" w:nlCheck="1" w:checkStyle="0" w:appName="MSWord"/>
  <w:activeWritingStyle w:lang="de-DE" w:vendorID="64" w:dllVersion="4096" w:nlCheck="1" w:checkStyle="0" w:appName="MSWord"/>
  <w:activeWritingStyle w:lang="pt-BR" w:vendorID="64" w:dllVersion="0" w:nlCheck="1" w:checkStyle="0" w:appName="MSWord"/>
  <w:activeWritingStyle w:lang="pt-BR" w:vendorID="64" w:dllVersion="4096" w:nlCheck="1" w:checkStyle="0" w:appName="MSWord"/>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18"/>
    <w:rsid w:val="00000777"/>
    <w:rsid w:val="00000784"/>
    <w:rsid w:val="00000C35"/>
    <w:rsid w:val="00000CF7"/>
    <w:rsid w:val="00001201"/>
    <w:rsid w:val="0000127A"/>
    <w:rsid w:val="00001334"/>
    <w:rsid w:val="00001341"/>
    <w:rsid w:val="0000134F"/>
    <w:rsid w:val="00001421"/>
    <w:rsid w:val="0000194A"/>
    <w:rsid w:val="0000199D"/>
    <w:rsid w:val="00001A5A"/>
    <w:rsid w:val="00001BD4"/>
    <w:rsid w:val="00001FF4"/>
    <w:rsid w:val="000020A4"/>
    <w:rsid w:val="00002159"/>
    <w:rsid w:val="00002225"/>
    <w:rsid w:val="00002240"/>
    <w:rsid w:val="00002296"/>
    <w:rsid w:val="00002537"/>
    <w:rsid w:val="000025ED"/>
    <w:rsid w:val="000027E9"/>
    <w:rsid w:val="000028E6"/>
    <w:rsid w:val="00002A9D"/>
    <w:rsid w:val="00002B06"/>
    <w:rsid w:val="00002E6B"/>
    <w:rsid w:val="000032BC"/>
    <w:rsid w:val="00003351"/>
    <w:rsid w:val="00003485"/>
    <w:rsid w:val="00003C27"/>
    <w:rsid w:val="00003C36"/>
    <w:rsid w:val="00003C91"/>
    <w:rsid w:val="00003F1C"/>
    <w:rsid w:val="00003FAD"/>
    <w:rsid w:val="00003FC1"/>
    <w:rsid w:val="0000425E"/>
    <w:rsid w:val="00004295"/>
    <w:rsid w:val="000043A0"/>
    <w:rsid w:val="000044AC"/>
    <w:rsid w:val="000046DB"/>
    <w:rsid w:val="000047DE"/>
    <w:rsid w:val="0000489C"/>
    <w:rsid w:val="00004A06"/>
    <w:rsid w:val="00004B75"/>
    <w:rsid w:val="00004DE6"/>
    <w:rsid w:val="00004EF9"/>
    <w:rsid w:val="000050E9"/>
    <w:rsid w:val="000051D5"/>
    <w:rsid w:val="0000520C"/>
    <w:rsid w:val="00005275"/>
    <w:rsid w:val="00005281"/>
    <w:rsid w:val="000053D8"/>
    <w:rsid w:val="000056BC"/>
    <w:rsid w:val="00005A14"/>
    <w:rsid w:val="00005A36"/>
    <w:rsid w:val="00005CBD"/>
    <w:rsid w:val="00006228"/>
    <w:rsid w:val="00006512"/>
    <w:rsid w:val="000066CB"/>
    <w:rsid w:val="0000688D"/>
    <w:rsid w:val="000068C6"/>
    <w:rsid w:val="0000698A"/>
    <w:rsid w:val="00006AF7"/>
    <w:rsid w:val="00006DAA"/>
    <w:rsid w:val="00006DBB"/>
    <w:rsid w:val="00007530"/>
    <w:rsid w:val="00007574"/>
    <w:rsid w:val="0000768C"/>
    <w:rsid w:val="00007E3D"/>
    <w:rsid w:val="00010002"/>
    <w:rsid w:val="00010047"/>
    <w:rsid w:val="00010201"/>
    <w:rsid w:val="0001041E"/>
    <w:rsid w:val="0001056F"/>
    <w:rsid w:val="0001058B"/>
    <w:rsid w:val="000107AD"/>
    <w:rsid w:val="00010887"/>
    <w:rsid w:val="000109A7"/>
    <w:rsid w:val="000109D5"/>
    <w:rsid w:val="00010E15"/>
    <w:rsid w:val="00010E20"/>
    <w:rsid w:val="00010E86"/>
    <w:rsid w:val="00010EDE"/>
    <w:rsid w:val="00011348"/>
    <w:rsid w:val="0001153B"/>
    <w:rsid w:val="0001162E"/>
    <w:rsid w:val="000119D3"/>
    <w:rsid w:val="00011EEE"/>
    <w:rsid w:val="00012173"/>
    <w:rsid w:val="000121BA"/>
    <w:rsid w:val="0001277C"/>
    <w:rsid w:val="00012AE4"/>
    <w:rsid w:val="00012DD3"/>
    <w:rsid w:val="0001348B"/>
    <w:rsid w:val="00013504"/>
    <w:rsid w:val="000138E5"/>
    <w:rsid w:val="00013DA5"/>
    <w:rsid w:val="00013E90"/>
    <w:rsid w:val="00014139"/>
    <w:rsid w:val="000141F9"/>
    <w:rsid w:val="0001425C"/>
    <w:rsid w:val="000149E8"/>
    <w:rsid w:val="00014E3F"/>
    <w:rsid w:val="00015083"/>
    <w:rsid w:val="0001542F"/>
    <w:rsid w:val="0001554D"/>
    <w:rsid w:val="000155FF"/>
    <w:rsid w:val="0001582C"/>
    <w:rsid w:val="00015B10"/>
    <w:rsid w:val="00015D09"/>
    <w:rsid w:val="00015E3A"/>
    <w:rsid w:val="00015F98"/>
    <w:rsid w:val="00016042"/>
    <w:rsid w:val="000161B9"/>
    <w:rsid w:val="000165A4"/>
    <w:rsid w:val="00016813"/>
    <w:rsid w:val="000169DE"/>
    <w:rsid w:val="00016D3B"/>
    <w:rsid w:val="00017550"/>
    <w:rsid w:val="000176D3"/>
    <w:rsid w:val="0001789B"/>
    <w:rsid w:val="00017A86"/>
    <w:rsid w:val="00017BBB"/>
    <w:rsid w:val="00020157"/>
    <w:rsid w:val="00020348"/>
    <w:rsid w:val="00020660"/>
    <w:rsid w:val="00020945"/>
    <w:rsid w:val="00020DBC"/>
    <w:rsid w:val="000210E3"/>
    <w:rsid w:val="000211D5"/>
    <w:rsid w:val="00021581"/>
    <w:rsid w:val="000218EC"/>
    <w:rsid w:val="00021B6A"/>
    <w:rsid w:val="00021BFA"/>
    <w:rsid w:val="00021FBC"/>
    <w:rsid w:val="00022142"/>
    <w:rsid w:val="000222EA"/>
    <w:rsid w:val="000224BA"/>
    <w:rsid w:val="00022523"/>
    <w:rsid w:val="00022860"/>
    <w:rsid w:val="00022A38"/>
    <w:rsid w:val="00022B12"/>
    <w:rsid w:val="00022B5F"/>
    <w:rsid w:val="00022C27"/>
    <w:rsid w:val="00022F8A"/>
    <w:rsid w:val="0002330C"/>
    <w:rsid w:val="0002378B"/>
    <w:rsid w:val="000237C5"/>
    <w:rsid w:val="00023814"/>
    <w:rsid w:val="00023841"/>
    <w:rsid w:val="000239B3"/>
    <w:rsid w:val="00023A36"/>
    <w:rsid w:val="00023DB6"/>
    <w:rsid w:val="000240B0"/>
    <w:rsid w:val="00024189"/>
    <w:rsid w:val="00024256"/>
    <w:rsid w:val="000243DD"/>
    <w:rsid w:val="00024532"/>
    <w:rsid w:val="000245F2"/>
    <w:rsid w:val="00024B8F"/>
    <w:rsid w:val="00024D1A"/>
    <w:rsid w:val="00025799"/>
    <w:rsid w:val="0002584B"/>
    <w:rsid w:val="000259D9"/>
    <w:rsid w:val="00025C40"/>
    <w:rsid w:val="00025C7E"/>
    <w:rsid w:val="00026013"/>
    <w:rsid w:val="00026038"/>
    <w:rsid w:val="0002605E"/>
    <w:rsid w:val="00026324"/>
    <w:rsid w:val="00026452"/>
    <w:rsid w:val="00026546"/>
    <w:rsid w:val="0002691D"/>
    <w:rsid w:val="00026B52"/>
    <w:rsid w:val="00026C2C"/>
    <w:rsid w:val="00026EE0"/>
    <w:rsid w:val="00026F6D"/>
    <w:rsid w:val="0002705F"/>
    <w:rsid w:val="0002725B"/>
    <w:rsid w:val="0002727E"/>
    <w:rsid w:val="000275EC"/>
    <w:rsid w:val="0002789F"/>
    <w:rsid w:val="00027CF1"/>
    <w:rsid w:val="00027F0D"/>
    <w:rsid w:val="00027F61"/>
    <w:rsid w:val="00027FFE"/>
    <w:rsid w:val="00030159"/>
    <w:rsid w:val="00030189"/>
    <w:rsid w:val="000301B0"/>
    <w:rsid w:val="000301DC"/>
    <w:rsid w:val="0003041E"/>
    <w:rsid w:val="0003052A"/>
    <w:rsid w:val="000306D6"/>
    <w:rsid w:val="00030974"/>
    <w:rsid w:val="00030B3C"/>
    <w:rsid w:val="00030D68"/>
    <w:rsid w:val="0003113A"/>
    <w:rsid w:val="00031328"/>
    <w:rsid w:val="000315B7"/>
    <w:rsid w:val="000315E2"/>
    <w:rsid w:val="00031903"/>
    <w:rsid w:val="00031957"/>
    <w:rsid w:val="00031985"/>
    <w:rsid w:val="00031A84"/>
    <w:rsid w:val="00031B14"/>
    <w:rsid w:val="00031D9F"/>
    <w:rsid w:val="00031FEC"/>
    <w:rsid w:val="000321E9"/>
    <w:rsid w:val="00032345"/>
    <w:rsid w:val="000323EC"/>
    <w:rsid w:val="000324D8"/>
    <w:rsid w:val="0003257D"/>
    <w:rsid w:val="00032663"/>
    <w:rsid w:val="00032AEF"/>
    <w:rsid w:val="00032D12"/>
    <w:rsid w:val="00032DE6"/>
    <w:rsid w:val="000331E1"/>
    <w:rsid w:val="00033202"/>
    <w:rsid w:val="000332AD"/>
    <w:rsid w:val="000333FC"/>
    <w:rsid w:val="00033542"/>
    <w:rsid w:val="000336CF"/>
    <w:rsid w:val="00033D15"/>
    <w:rsid w:val="00033FE0"/>
    <w:rsid w:val="0003425C"/>
    <w:rsid w:val="000346F4"/>
    <w:rsid w:val="00034955"/>
    <w:rsid w:val="00034A05"/>
    <w:rsid w:val="00034B06"/>
    <w:rsid w:val="00034DA0"/>
    <w:rsid w:val="00034E03"/>
    <w:rsid w:val="00034E81"/>
    <w:rsid w:val="00035023"/>
    <w:rsid w:val="000350A7"/>
    <w:rsid w:val="00035325"/>
    <w:rsid w:val="000354BF"/>
    <w:rsid w:val="00035841"/>
    <w:rsid w:val="000358EB"/>
    <w:rsid w:val="00035AB5"/>
    <w:rsid w:val="00035B42"/>
    <w:rsid w:val="00035CAD"/>
    <w:rsid w:val="00035FD8"/>
    <w:rsid w:val="0003624D"/>
    <w:rsid w:val="000363B2"/>
    <w:rsid w:val="00036429"/>
    <w:rsid w:val="00036822"/>
    <w:rsid w:val="000368B1"/>
    <w:rsid w:val="00036C3E"/>
    <w:rsid w:val="00036D5D"/>
    <w:rsid w:val="0003749F"/>
    <w:rsid w:val="00037639"/>
    <w:rsid w:val="00037804"/>
    <w:rsid w:val="00037C1B"/>
    <w:rsid w:val="00037E3C"/>
    <w:rsid w:val="00040481"/>
    <w:rsid w:val="00040561"/>
    <w:rsid w:val="00040585"/>
    <w:rsid w:val="00040705"/>
    <w:rsid w:val="0004077A"/>
    <w:rsid w:val="00040960"/>
    <w:rsid w:val="000409A5"/>
    <w:rsid w:val="00040A43"/>
    <w:rsid w:val="00041025"/>
    <w:rsid w:val="00041161"/>
    <w:rsid w:val="00041329"/>
    <w:rsid w:val="000413F1"/>
    <w:rsid w:val="0004153D"/>
    <w:rsid w:val="0004184F"/>
    <w:rsid w:val="000419D1"/>
    <w:rsid w:val="00041D80"/>
    <w:rsid w:val="0004240E"/>
    <w:rsid w:val="000424E5"/>
    <w:rsid w:val="00042591"/>
    <w:rsid w:val="000425C5"/>
    <w:rsid w:val="0004280B"/>
    <w:rsid w:val="00042838"/>
    <w:rsid w:val="00042B4B"/>
    <w:rsid w:val="00042DAA"/>
    <w:rsid w:val="00042DD6"/>
    <w:rsid w:val="00042DE5"/>
    <w:rsid w:val="00043132"/>
    <w:rsid w:val="00043212"/>
    <w:rsid w:val="00043238"/>
    <w:rsid w:val="00043240"/>
    <w:rsid w:val="00043559"/>
    <w:rsid w:val="0004369A"/>
    <w:rsid w:val="0004388E"/>
    <w:rsid w:val="00043B38"/>
    <w:rsid w:val="00043E16"/>
    <w:rsid w:val="00044168"/>
    <w:rsid w:val="0004417D"/>
    <w:rsid w:val="000447ED"/>
    <w:rsid w:val="0004493D"/>
    <w:rsid w:val="00044D41"/>
    <w:rsid w:val="00044E1B"/>
    <w:rsid w:val="00044E5D"/>
    <w:rsid w:val="00044EA8"/>
    <w:rsid w:val="00045172"/>
    <w:rsid w:val="000451CC"/>
    <w:rsid w:val="00045A4D"/>
    <w:rsid w:val="00045CBD"/>
    <w:rsid w:val="00045D18"/>
    <w:rsid w:val="0004603D"/>
    <w:rsid w:val="00046044"/>
    <w:rsid w:val="00046564"/>
    <w:rsid w:val="000466DD"/>
    <w:rsid w:val="000468E3"/>
    <w:rsid w:val="000468E8"/>
    <w:rsid w:val="00046C92"/>
    <w:rsid w:val="00046CB3"/>
    <w:rsid w:val="000472AD"/>
    <w:rsid w:val="0004732B"/>
    <w:rsid w:val="00047410"/>
    <w:rsid w:val="00047623"/>
    <w:rsid w:val="000476E1"/>
    <w:rsid w:val="00047792"/>
    <w:rsid w:val="0004795E"/>
    <w:rsid w:val="00047A8F"/>
    <w:rsid w:val="00047B19"/>
    <w:rsid w:val="00047E42"/>
    <w:rsid w:val="00047EC6"/>
    <w:rsid w:val="00050087"/>
    <w:rsid w:val="000502ED"/>
    <w:rsid w:val="0005030D"/>
    <w:rsid w:val="000504E9"/>
    <w:rsid w:val="0005069F"/>
    <w:rsid w:val="0005099E"/>
    <w:rsid w:val="000509D2"/>
    <w:rsid w:val="00050A40"/>
    <w:rsid w:val="00050C72"/>
    <w:rsid w:val="00050EEE"/>
    <w:rsid w:val="00051151"/>
    <w:rsid w:val="000511D5"/>
    <w:rsid w:val="00051484"/>
    <w:rsid w:val="000515ED"/>
    <w:rsid w:val="00051A40"/>
    <w:rsid w:val="00051CB6"/>
    <w:rsid w:val="000524B0"/>
    <w:rsid w:val="00052B39"/>
    <w:rsid w:val="00052F61"/>
    <w:rsid w:val="0005310A"/>
    <w:rsid w:val="0005319E"/>
    <w:rsid w:val="0005329C"/>
    <w:rsid w:val="00053739"/>
    <w:rsid w:val="00053D6D"/>
    <w:rsid w:val="00053F04"/>
    <w:rsid w:val="000542F5"/>
    <w:rsid w:val="00054383"/>
    <w:rsid w:val="0005443C"/>
    <w:rsid w:val="00054769"/>
    <w:rsid w:val="0005496D"/>
    <w:rsid w:val="00054A07"/>
    <w:rsid w:val="00054A1E"/>
    <w:rsid w:val="00054A23"/>
    <w:rsid w:val="00054A8C"/>
    <w:rsid w:val="00054D22"/>
    <w:rsid w:val="00055066"/>
    <w:rsid w:val="0005524E"/>
    <w:rsid w:val="00055321"/>
    <w:rsid w:val="00055594"/>
    <w:rsid w:val="00055A24"/>
    <w:rsid w:val="00055C2D"/>
    <w:rsid w:val="00055CA8"/>
    <w:rsid w:val="00055EAD"/>
    <w:rsid w:val="000560F4"/>
    <w:rsid w:val="00056411"/>
    <w:rsid w:val="0005663E"/>
    <w:rsid w:val="0005670E"/>
    <w:rsid w:val="000567A4"/>
    <w:rsid w:val="000568DD"/>
    <w:rsid w:val="00056BD3"/>
    <w:rsid w:val="00056E1B"/>
    <w:rsid w:val="00056EDC"/>
    <w:rsid w:val="00056EE0"/>
    <w:rsid w:val="000572B8"/>
    <w:rsid w:val="0005742F"/>
    <w:rsid w:val="00057726"/>
    <w:rsid w:val="00057889"/>
    <w:rsid w:val="00057E66"/>
    <w:rsid w:val="00057EA8"/>
    <w:rsid w:val="00060066"/>
    <w:rsid w:val="0006012E"/>
    <w:rsid w:val="000604BF"/>
    <w:rsid w:val="000604EB"/>
    <w:rsid w:val="00060589"/>
    <w:rsid w:val="000605AF"/>
    <w:rsid w:val="00060620"/>
    <w:rsid w:val="00060A11"/>
    <w:rsid w:val="00060A79"/>
    <w:rsid w:val="00060C00"/>
    <w:rsid w:val="00060C16"/>
    <w:rsid w:val="00060E78"/>
    <w:rsid w:val="0006103B"/>
    <w:rsid w:val="00061764"/>
    <w:rsid w:val="000619D9"/>
    <w:rsid w:val="00061BB2"/>
    <w:rsid w:val="00061CF5"/>
    <w:rsid w:val="00061D4E"/>
    <w:rsid w:val="00061DC6"/>
    <w:rsid w:val="00061F76"/>
    <w:rsid w:val="0006277B"/>
    <w:rsid w:val="0006279F"/>
    <w:rsid w:val="00062979"/>
    <w:rsid w:val="00062CB5"/>
    <w:rsid w:val="00062DBA"/>
    <w:rsid w:val="000631B8"/>
    <w:rsid w:val="00063379"/>
    <w:rsid w:val="0006348C"/>
    <w:rsid w:val="00063494"/>
    <w:rsid w:val="00063538"/>
    <w:rsid w:val="000635FF"/>
    <w:rsid w:val="00063746"/>
    <w:rsid w:val="00063863"/>
    <w:rsid w:val="00063A36"/>
    <w:rsid w:val="00063BE8"/>
    <w:rsid w:val="00063C3F"/>
    <w:rsid w:val="00063D91"/>
    <w:rsid w:val="00063EBB"/>
    <w:rsid w:val="00064064"/>
    <w:rsid w:val="00064174"/>
    <w:rsid w:val="000643BB"/>
    <w:rsid w:val="00064A78"/>
    <w:rsid w:val="0006502A"/>
    <w:rsid w:val="00065674"/>
    <w:rsid w:val="000657AA"/>
    <w:rsid w:val="00065874"/>
    <w:rsid w:val="00065B1F"/>
    <w:rsid w:val="00065DF9"/>
    <w:rsid w:val="00066026"/>
    <w:rsid w:val="00066305"/>
    <w:rsid w:val="00066431"/>
    <w:rsid w:val="00066485"/>
    <w:rsid w:val="00066792"/>
    <w:rsid w:val="00066E1D"/>
    <w:rsid w:val="000671C1"/>
    <w:rsid w:val="000671F1"/>
    <w:rsid w:val="0006755F"/>
    <w:rsid w:val="0006758F"/>
    <w:rsid w:val="00067648"/>
    <w:rsid w:val="0006774F"/>
    <w:rsid w:val="00067868"/>
    <w:rsid w:val="0006787B"/>
    <w:rsid w:val="00067BE6"/>
    <w:rsid w:val="00067C23"/>
    <w:rsid w:val="00067D67"/>
    <w:rsid w:val="00067EB8"/>
    <w:rsid w:val="00067EFE"/>
    <w:rsid w:val="00067F7B"/>
    <w:rsid w:val="00067FE7"/>
    <w:rsid w:val="0007010D"/>
    <w:rsid w:val="0007020C"/>
    <w:rsid w:val="0007039D"/>
    <w:rsid w:val="0007058A"/>
    <w:rsid w:val="000708FC"/>
    <w:rsid w:val="000709A3"/>
    <w:rsid w:val="000709DA"/>
    <w:rsid w:val="0007107C"/>
    <w:rsid w:val="000714D2"/>
    <w:rsid w:val="000715B6"/>
    <w:rsid w:val="000715CE"/>
    <w:rsid w:val="000715E4"/>
    <w:rsid w:val="00071686"/>
    <w:rsid w:val="00071714"/>
    <w:rsid w:val="00072580"/>
    <w:rsid w:val="00072584"/>
    <w:rsid w:val="00072652"/>
    <w:rsid w:val="0007272F"/>
    <w:rsid w:val="0007281A"/>
    <w:rsid w:val="00072877"/>
    <w:rsid w:val="00072BD7"/>
    <w:rsid w:val="00072C0F"/>
    <w:rsid w:val="0007310E"/>
    <w:rsid w:val="00073166"/>
    <w:rsid w:val="00073295"/>
    <w:rsid w:val="00073455"/>
    <w:rsid w:val="00073703"/>
    <w:rsid w:val="0007379C"/>
    <w:rsid w:val="000737BA"/>
    <w:rsid w:val="000739C3"/>
    <w:rsid w:val="00073C0E"/>
    <w:rsid w:val="00073D5C"/>
    <w:rsid w:val="00073D68"/>
    <w:rsid w:val="00073E7C"/>
    <w:rsid w:val="0007427C"/>
    <w:rsid w:val="00074466"/>
    <w:rsid w:val="00074572"/>
    <w:rsid w:val="000745D6"/>
    <w:rsid w:val="00074819"/>
    <w:rsid w:val="000748C8"/>
    <w:rsid w:val="000749F5"/>
    <w:rsid w:val="00074EEB"/>
    <w:rsid w:val="00075519"/>
    <w:rsid w:val="00075655"/>
    <w:rsid w:val="00075E73"/>
    <w:rsid w:val="0007600C"/>
    <w:rsid w:val="00076120"/>
    <w:rsid w:val="00076313"/>
    <w:rsid w:val="00076329"/>
    <w:rsid w:val="00076377"/>
    <w:rsid w:val="0007653D"/>
    <w:rsid w:val="00076577"/>
    <w:rsid w:val="000766FE"/>
    <w:rsid w:val="0007676C"/>
    <w:rsid w:val="00076784"/>
    <w:rsid w:val="0007682F"/>
    <w:rsid w:val="00076988"/>
    <w:rsid w:val="00076A4B"/>
    <w:rsid w:val="00076B24"/>
    <w:rsid w:val="0007704E"/>
    <w:rsid w:val="000773CC"/>
    <w:rsid w:val="000775EC"/>
    <w:rsid w:val="000775F5"/>
    <w:rsid w:val="0007762F"/>
    <w:rsid w:val="0007785C"/>
    <w:rsid w:val="0007787C"/>
    <w:rsid w:val="00077A75"/>
    <w:rsid w:val="00077A8B"/>
    <w:rsid w:val="00077B18"/>
    <w:rsid w:val="00077B1C"/>
    <w:rsid w:val="00077E08"/>
    <w:rsid w:val="00080039"/>
    <w:rsid w:val="00080069"/>
    <w:rsid w:val="00080130"/>
    <w:rsid w:val="000804CC"/>
    <w:rsid w:val="00080746"/>
    <w:rsid w:val="00080836"/>
    <w:rsid w:val="00080DBC"/>
    <w:rsid w:val="0008102F"/>
    <w:rsid w:val="000826AA"/>
    <w:rsid w:val="000827F6"/>
    <w:rsid w:val="00082977"/>
    <w:rsid w:val="00082A14"/>
    <w:rsid w:val="00082BD8"/>
    <w:rsid w:val="00082D99"/>
    <w:rsid w:val="00082F81"/>
    <w:rsid w:val="00083482"/>
    <w:rsid w:val="000834D4"/>
    <w:rsid w:val="00083557"/>
    <w:rsid w:val="000835AA"/>
    <w:rsid w:val="000839F4"/>
    <w:rsid w:val="00084040"/>
    <w:rsid w:val="0008428D"/>
    <w:rsid w:val="00084333"/>
    <w:rsid w:val="00084653"/>
    <w:rsid w:val="000847C8"/>
    <w:rsid w:val="00084B0A"/>
    <w:rsid w:val="00084B19"/>
    <w:rsid w:val="00084B88"/>
    <w:rsid w:val="00084F0F"/>
    <w:rsid w:val="000850D4"/>
    <w:rsid w:val="00085666"/>
    <w:rsid w:val="0008599B"/>
    <w:rsid w:val="00085C13"/>
    <w:rsid w:val="00085CE1"/>
    <w:rsid w:val="00085D42"/>
    <w:rsid w:val="00085EDE"/>
    <w:rsid w:val="00086159"/>
    <w:rsid w:val="00086294"/>
    <w:rsid w:val="000863AA"/>
    <w:rsid w:val="00086987"/>
    <w:rsid w:val="00086AA0"/>
    <w:rsid w:val="00086B49"/>
    <w:rsid w:val="00086C01"/>
    <w:rsid w:val="00086C4B"/>
    <w:rsid w:val="00086CBB"/>
    <w:rsid w:val="00086EF6"/>
    <w:rsid w:val="00086EFA"/>
    <w:rsid w:val="00087269"/>
    <w:rsid w:val="0008749B"/>
    <w:rsid w:val="000874B8"/>
    <w:rsid w:val="00087542"/>
    <w:rsid w:val="000876DC"/>
    <w:rsid w:val="000877D9"/>
    <w:rsid w:val="000879C8"/>
    <w:rsid w:val="00087A14"/>
    <w:rsid w:val="00087A98"/>
    <w:rsid w:val="00087BE2"/>
    <w:rsid w:val="00087C4B"/>
    <w:rsid w:val="00087D66"/>
    <w:rsid w:val="00087E0E"/>
    <w:rsid w:val="00087FDF"/>
    <w:rsid w:val="000901C5"/>
    <w:rsid w:val="00090217"/>
    <w:rsid w:val="00090282"/>
    <w:rsid w:val="00090371"/>
    <w:rsid w:val="00090821"/>
    <w:rsid w:val="0009096F"/>
    <w:rsid w:val="00090990"/>
    <w:rsid w:val="000909A2"/>
    <w:rsid w:val="00090AED"/>
    <w:rsid w:val="00090D8C"/>
    <w:rsid w:val="00090EEB"/>
    <w:rsid w:val="00090FCA"/>
    <w:rsid w:val="00090FFC"/>
    <w:rsid w:val="000913C8"/>
    <w:rsid w:val="0009176B"/>
    <w:rsid w:val="00091E61"/>
    <w:rsid w:val="00092061"/>
    <w:rsid w:val="00092062"/>
    <w:rsid w:val="00092255"/>
    <w:rsid w:val="00092295"/>
    <w:rsid w:val="0009232F"/>
    <w:rsid w:val="000926F3"/>
    <w:rsid w:val="00092850"/>
    <w:rsid w:val="00092AEB"/>
    <w:rsid w:val="00092C1A"/>
    <w:rsid w:val="00093081"/>
    <w:rsid w:val="0009327B"/>
    <w:rsid w:val="000933C1"/>
    <w:rsid w:val="000936BE"/>
    <w:rsid w:val="000939CC"/>
    <w:rsid w:val="00093CFA"/>
    <w:rsid w:val="000940E6"/>
    <w:rsid w:val="000942E7"/>
    <w:rsid w:val="0009448B"/>
    <w:rsid w:val="000945D0"/>
    <w:rsid w:val="0009489F"/>
    <w:rsid w:val="0009493C"/>
    <w:rsid w:val="000949FE"/>
    <w:rsid w:val="00094F45"/>
    <w:rsid w:val="0009503A"/>
    <w:rsid w:val="00095208"/>
    <w:rsid w:val="000955B9"/>
    <w:rsid w:val="00095847"/>
    <w:rsid w:val="00095AA0"/>
    <w:rsid w:val="00095C56"/>
    <w:rsid w:val="00095CA7"/>
    <w:rsid w:val="00096293"/>
    <w:rsid w:val="000963C0"/>
    <w:rsid w:val="00096602"/>
    <w:rsid w:val="00096618"/>
    <w:rsid w:val="0009696E"/>
    <w:rsid w:val="00096EBB"/>
    <w:rsid w:val="00096F03"/>
    <w:rsid w:val="00096F23"/>
    <w:rsid w:val="000971A5"/>
    <w:rsid w:val="00097292"/>
    <w:rsid w:val="00097351"/>
    <w:rsid w:val="0009749F"/>
    <w:rsid w:val="000978D1"/>
    <w:rsid w:val="000979BA"/>
    <w:rsid w:val="00097A0F"/>
    <w:rsid w:val="00097D99"/>
    <w:rsid w:val="00097ED0"/>
    <w:rsid w:val="000A02C6"/>
    <w:rsid w:val="000A0D91"/>
    <w:rsid w:val="000A0DBE"/>
    <w:rsid w:val="000A0F55"/>
    <w:rsid w:val="000A123B"/>
    <w:rsid w:val="000A14BC"/>
    <w:rsid w:val="000A16C6"/>
    <w:rsid w:val="000A1717"/>
    <w:rsid w:val="000A1B15"/>
    <w:rsid w:val="000A1BC0"/>
    <w:rsid w:val="000A1C37"/>
    <w:rsid w:val="000A2694"/>
    <w:rsid w:val="000A28F5"/>
    <w:rsid w:val="000A2BFB"/>
    <w:rsid w:val="000A2DE0"/>
    <w:rsid w:val="000A2DF3"/>
    <w:rsid w:val="000A2E1D"/>
    <w:rsid w:val="000A2FCD"/>
    <w:rsid w:val="000A3050"/>
    <w:rsid w:val="000A3112"/>
    <w:rsid w:val="000A3288"/>
    <w:rsid w:val="000A3329"/>
    <w:rsid w:val="000A3812"/>
    <w:rsid w:val="000A3900"/>
    <w:rsid w:val="000A399D"/>
    <w:rsid w:val="000A3F79"/>
    <w:rsid w:val="000A3FF1"/>
    <w:rsid w:val="000A40D1"/>
    <w:rsid w:val="000A4221"/>
    <w:rsid w:val="000A42C6"/>
    <w:rsid w:val="000A42E5"/>
    <w:rsid w:val="000A465C"/>
    <w:rsid w:val="000A48AD"/>
    <w:rsid w:val="000A498D"/>
    <w:rsid w:val="000A4C93"/>
    <w:rsid w:val="000A4CAE"/>
    <w:rsid w:val="000A4D49"/>
    <w:rsid w:val="000A4E1D"/>
    <w:rsid w:val="000A4E99"/>
    <w:rsid w:val="000A4ED5"/>
    <w:rsid w:val="000A569D"/>
    <w:rsid w:val="000A574D"/>
    <w:rsid w:val="000A5758"/>
    <w:rsid w:val="000A5941"/>
    <w:rsid w:val="000A59DF"/>
    <w:rsid w:val="000A5B27"/>
    <w:rsid w:val="000A5BDD"/>
    <w:rsid w:val="000A5D32"/>
    <w:rsid w:val="000A5DCF"/>
    <w:rsid w:val="000A5F6A"/>
    <w:rsid w:val="000A6163"/>
    <w:rsid w:val="000A64DC"/>
    <w:rsid w:val="000A676D"/>
    <w:rsid w:val="000A681E"/>
    <w:rsid w:val="000A6ACD"/>
    <w:rsid w:val="000A6AF7"/>
    <w:rsid w:val="000A6BC6"/>
    <w:rsid w:val="000A6DFE"/>
    <w:rsid w:val="000A6F8E"/>
    <w:rsid w:val="000A7114"/>
    <w:rsid w:val="000A7176"/>
    <w:rsid w:val="000A75FC"/>
    <w:rsid w:val="000A772C"/>
    <w:rsid w:val="000A799D"/>
    <w:rsid w:val="000A7E34"/>
    <w:rsid w:val="000B02F2"/>
    <w:rsid w:val="000B04FA"/>
    <w:rsid w:val="000B062F"/>
    <w:rsid w:val="000B06FE"/>
    <w:rsid w:val="000B0EA5"/>
    <w:rsid w:val="000B1166"/>
    <w:rsid w:val="000B1199"/>
    <w:rsid w:val="000B1267"/>
    <w:rsid w:val="000B13D9"/>
    <w:rsid w:val="000B1865"/>
    <w:rsid w:val="000B187E"/>
    <w:rsid w:val="000B188F"/>
    <w:rsid w:val="000B19EE"/>
    <w:rsid w:val="000B1E71"/>
    <w:rsid w:val="000B1EB2"/>
    <w:rsid w:val="000B1F38"/>
    <w:rsid w:val="000B1F40"/>
    <w:rsid w:val="000B1F5A"/>
    <w:rsid w:val="000B1F72"/>
    <w:rsid w:val="000B1FC1"/>
    <w:rsid w:val="000B209B"/>
    <w:rsid w:val="000B223E"/>
    <w:rsid w:val="000B22B6"/>
    <w:rsid w:val="000B22C5"/>
    <w:rsid w:val="000B2429"/>
    <w:rsid w:val="000B260F"/>
    <w:rsid w:val="000B265D"/>
    <w:rsid w:val="000B2742"/>
    <w:rsid w:val="000B2B62"/>
    <w:rsid w:val="000B2CB2"/>
    <w:rsid w:val="000B3362"/>
    <w:rsid w:val="000B37D9"/>
    <w:rsid w:val="000B39F1"/>
    <w:rsid w:val="000B3A85"/>
    <w:rsid w:val="000B3C14"/>
    <w:rsid w:val="000B3D14"/>
    <w:rsid w:val="000B3ED6"/>
    <w:rsid w:val="000B4013"/>
    <w:rsid w:val="000B4021"/>
    <w:rsid w:val="000B4070"/>
    <w:rsid w:val="000B40F2"/>
    <w:rsid w:val="000B417B"/>
    <w:rsid w:val="000B4339"/>
    <w:rsid w:val="000B4937"/>
    <w:rsid w:val="000B4ACA"/>
    <w:rsid w:val="000B4ACC"/>
    <w:rsid w:val="000B4E5C"/>
    <w:rsid w:val="000B4FBB"/>
    <w:rsid w:val="000B504A"/>
    <w:rsid w:val="000B5060"/>
    <w:rsid w:val="000B5260"/>
    <w:rsid w:val="000B5420"/>
    <w:rsid w:val="000B544D"/>
    <w:rsid w:val="000B5701"/>
    <w:rsid w:val="000B5885"/>
    <w:rsid w:val="000B58FE"/>
    <w:rsid w:val="000B59E5"/>
    <w:rsid w:val="000B5BF7"/>
    <w:rsid w:val="000B5CE2"/>
    <w:rsid w:val="000B61DE"/>
    <w:rsid w:val="000B624E"/>
    <w:rsid w:val="000B6353"/>
    <w:rsid w:val="000B639B"/>
    <w:rsid w:val="000B64A6"/>
    <w:rsid w:val="000B6509"/>
    <w:rsid w:val="000B65C8"/>
    <w:rsid w:val="000B66B3"/>
    <w:rsid w:val="000B66BF"/>
    <w:rsid w:val="000B687A"/>
    <w:rsid w:val="000B6B29"/>
    <w:rsid w:val="000B6C3C"/>
    <w:rsid w:val="000B6C93"/>
    <w:rsid w:val="000B6D65"/>
    <w:rsid w:val="000B7019"/>
    <w:rsid w:val="000B702E"/>
    <w:rsid w:val="000B7086"/>
    <w:rsid w:val="000B7104"/>
    <w:rsid w:val="000B7155"/>
    <w:rsid w:val="000B72CA"/>
    <w:rsid w:val="000B793B"/>
    <w:rsid w:val="000B7BAC"/>
    <w:rsid w:val="000B7D3A"/>
    <w:rsid w:val="000C022B"/>
    <w:rsid w:val="000C0254"/>
    <w:rsid w:val="000C049F"/>
    <w:rsid w:val="000C0516"/>
    <w:rsid w:val="000C07B1"/>
    <w:rsid w:val="000C0A10"/>
    <w:rsid w:val="000C0A47"/>
    <w:rsid w:val="000C0FC7"/>
    <w:rsid w:val="000C10BE"/>
    <w:rsid w:val="000C1268"/>
    <w:rsid w:val="000C142D"/>
    <w:rsid w:val="000C176D"/>
    <w:rsid w:val="000C1B08"/>
    <w:rsid w:val="000C1F13"/>
    <w:rsid w:val="000C215F"/>
    <w:rsid w:val="000C232C"/>
    <w:rsid w:val="000C2383"/>
    <w:rsid w:val="000C2842"/>
    <w:rsid w:val="000C2A6B"/>
    <w:rsid w:val="000C30AD"/>
    <w:rsid w:val="000C3604"/>
    <w:rsid w:val="000C366F"/>
    <w:rsid w:val="000C3878"/>
    <w:rsid w:val="000C39B2"/>
    <w:rsid w:val="000C3E8F"/>
    <w:rsid w:val="000C45F7"/>
    <w:rsid w:val="000C489D"/>
    <w:rsid w:val="000C49C6"/>
    <w:rsid w:val="000C4B0A"/>
    <w:rsid w:val="000C4BA5"/>
    <w:rsid w:val="000C4C58"/>
    <w:rsid w:val="000C4C66"/>
    <w:rsid w:val="000C4F4B"/>
    <w:rsid w:val="000C5922"/>
    <w:rsid w:val="000C5AFA"/>
    <w:rsid w:val="000C5BF4"/>
    <w:rsid w:val="000C5CF4"/>
    <w:rsid w:val="000C624E"/>
    <w:rsid w:val="000C6511"/>
    <w:rsid w:val="000C6515"/>
    <w:rsid w:val="000C65CE"/>
    <w:rsid w:val="000C67EB"/>
    <w:rsid w:val="000C6AB0"/>
    <w:rsid w:val="000C6AB4"/>
    <w:rsid w:val="000C6AD9"/>
    <w:rsid w:val="000C6B6B"/>
    <w:rsid w:val="000C6CBC"/>
    <w:rsid w:val="000C73DB"/>
    <w:rsid w:val="000C797A"/>
    <w:rsid w:val="000C7A6A"/>
    <w:rsid w:val="000C7A6D"/>
    <w:rsid w:val="000C7EE6"/>
    <w:rsid w:val="000C7FD1"/>
    <w:rsid w:val="000C7FD9"/>
    <w:rsid w:val="000D00EC"/>
    <w:rsid w:val="000D01C7"/>
    <w:rsid w:val="000D056C"/>
    <w:rsid w:val="000D07DC"/>
    <w:rsid w:val="000D08AC"/>
    <w:rsid w:val="000D0C39"/>
    <w:rsid w:val="000D0CF0"/>
    <w:rsid w:val="000D0D38"/>
    <w:rsid w:val="000D0D6F"/>
    <w:rsid w:val="000D0F9B"/>
    <w:rsid w:val="000D1014"/>
    <w:rsid w:val="000D1117"/>
    <w:rsid w:val="000D1506"/>
    <w:rsid w:val="000D16DC"/>
    <w:rsid w:val="000D16E0"/>
    <w:rsid w:val="000D180A"/>
    <w:rsid w:val="000D184E"/>
    <w:rsid w:val="000D1929"/>
    <w:rsid w:val="000D1BC9"/>
    <w:rsid w:val="000D1DA0"/>
    <w:rsid w:val="000D1DF5"/>
    <w:rsid w:val="000D1F68"/>
    <w:rsid w:val="000D1FA7"/>
    <w:rsid w:val="000D1FEF"/>
    <w:rsid w:val="000D20D8"/>
    <w:rsid w:val="000D220A"/>
    <w:rsid w:val="000D2505"/>
    <w:rsid w:val="000D2569"/>
    <w:rsid w:val="000D28A2"/>
    <w:rsid w:val="000D297C"/>
    <w:rsid w:val="000D29BB"/>
    <w:rsid w:val="000D2C33"/>
    <w:rsid w:val="000D2C5F"/>
    <w:rsid w:val="000D2D98"/>
    <w:rsid w:val="000D31E5"/>
    <w:rsid w:val="000D3375"/>
    <w:rsid w:val="000D3488"/>
    <w:rsid w:val="000D34AB"/>
    <w:rsid w:val="000D35C2"/>
    <w:rsid w:val="000D386D"/>
    <w:rsid w:val="000D39A8"/>
    <w:rsid w:val="000D443B"/>
    <w:rsid w:val="000D4747"/>
    <w:rsid w:val="000D47C2"/>
    <w:rsid w:val="000D48D8"/>
    <w:rsid w:val="000D4963"/>
    <w:rsid w:val="000D4B1F"/>
    <w:rsid w:val="000D4DDB"/>
    <w:rsid w:val="000D4F6D"/>
    <w:rsid w:val="000D5214"/>
    <w:rsid w:val="000D5224"/>
    <w:rsid w:val="000D524D"/>
    <w:rsid w:val="000D5284"/>
    <w:rsid w:val="000D52CB"/>
    <w:rsid w:val="000D5556"/>
    <w:rsid w:val="000D5CD6"/>
    <w:rsid w:val="000D60B6"/>
    <w:rsid w:val="000D6185"/>
    <w:rsid w:val="000D62FA"/>
    <w:rsid w:val="000D6656"/>
    <w:rsid w:val="000D69AF"/>
    <w:rsid w:val="000D69F5"/>
    <w:rsid w:val="000D6B5C"/>
    <w:rsid w:val="000D6D45"/>
    <w:rsid w:val="000D6EDB"/>
    <w:rsid w:val="000D6F0A"/>
    <w:rsid w:val="000D7008"/>
    <w:rsid w:val="000D70A3"/>
    <w:rsid w:val="000D72ED"/>
    <w:rsid w:val="000D731A"/>
    <w:rsid w:val="000D7711"/>
    <w:rsid w:val="000D78A7"/>
    <w:rsid w:val="000D7998"/>
    <w:rsid w:val="000D79DE"/>
    <w:rsid w:val="000D7A40"/>
    <w:rsid w:val="000D7A57"/>
    <w:rsid w:val="000D7C8E"/>
    <w:rsid w:val="000D7E1A"/>
    <w:rsid w:val="000D7F1F"/>
    <w:rsid w:val="000D7F4D"/>
    <w:rsid w:val="000E0023"/>
    <w:rsid w:val="000E00A0"/>
    <w:rsid w:val="000E0189"/>
    <w:rsid w:val="000E024C"/>
    <w:rsid w:val="000E029F"/>
    <w:rsid w:val="000E060E"/>
    <w:rsid w:val="000E0660"/>
    <w:rsid w:val="000E0AC9"/>
    <w:rsid w:val="000E0B14"/>
    <w:rsid w:val="000E0B1E"/>
    <w:rsid w:val="000E0FF3"/>
    <w:rsid w:val="000E10FF"/>
    <w:rsid w:val="000E11CD"/>
    <w:rsid w:val="000E1401"/>
    <w:rsid w:val="000E1545"/>
    <w:rsid w:val="000E16AC"/>
    <w:rsid w:val="000E171A"/>
    <w:rsid w:val="000E19B4"/>
    <w:rsid w:val="000E1E05"/>
    <w:rsid w:val="000E1FFB"/>
    <w:rsid w:val="000E21B7"/>
    <w:rsid w:val="000E266B"/>
    <w:rsid w:val="000E26D1"/>
    <w:rsid w:val="000E2838"/>
    <w:rsid w:val="000E2871"/>
    <w:rsid w:val="000E297D"/>
    <w:rsid w:val="000E2B41"/>
    <w:rsid w:val="000E2D0A"/>
    <w:rsid w:val="000E2E39"/>
    <w:rsid w:val="000E2F3F"/>
    <w:rsid w:val="000E30BD"/>
    <w:rsid w:val="000E31EE"/>
    <w:rsid w:val="000E320B"/>
    <w:rsid w:val="000E3444"/>
    <w:rsid w:val="000E3445"/>
    <w:rsid w:val="000E36E1"/>
    <w:rsid w:val="000E379C"/>
    <w:rsid w:val="000E3AEA"/>
    <w:rsid w:val="000E3C7E"/>
    <w:rsid w:val="000E40C1"/>
    <w:rsid w:val="000E441A"/>
    <w:rsid w:val="000E444F"/>
    <w:rsid w:val="000E458E"/>
    <w:rsid w:val="000E4A79"/>
    <w:rsid w:val="000E4FA7"/>
    <w:rsid w:val="000E5034"/>
    <w:rsid w:val="000E525A"/>
    <w:rsid w:val="000E5358"/>
    <w:rsid w:val="000E572C"/>
    <w:rsid w:val="000E5834"/>
    <w:rsid w:val="000E5914"/>
    <w:rsid w:val="000E5939"/>
    <w:rsid w:val="000E5BAD"/>
    <w:rsid w:val="000E620F"/>
    <w:rsid w:val="000E63CC"/>
    <w:rsid w:val="000E68F7"/>
    <w:rsid w:val="000E69D5"/>
    <w:rsid w:val="000E69D6"/>
    <w:rsid w:val="000E69FA"/>
    <w:rsid w:val="000E6F15"/>
    <w:rsid w:val="000E6F3E"/>
    <w:rsid w:val="000E6FB5"/>
    <w:rsid w:val="000E7041"/>
    <w:rsid w:val="000E7206"/>
    <w:rsid w:val="000E7222"/>
    <w:rsid w:val="000E73E1"/>
    <w:rsid w:val="000E7511"/>
    <w:rsid w:val="000E7704"/>
    <w:rsid w:val="000E7854"/>
    <w:rsid w:val="000E786C"/>
    <w:rsid w:val="000E799F"/>
    <w:rsid w:val="000E7BDC"/>
    <w:rsid w:val="000F0013"/>
    <w:rsid w:val="000F0312"/>
    <w:rsid w:val="000F0472"/>
    <w:rsid w:val="000F0555"/>
    <w:rsid w:val="000F076A"/>
    <w:rsid w:val="000F07C2"/>
    <w:rsid w:val="000F07EA"/>
    <w:rsid w:val="000F08A7"/>
    <w:rsid w:val="000F0D47"/>
    <w:rsid w:val="000F0DFF"/>
    <w:rsid w:val="000F0E07"/>
    <w:rsid w:val="000F0EFA"/>
    <w:rsid w:val="000F0FA2"/>
    <w:rsid w:val="000F10D2"/>
    <w:rsid w:val="000F129A"/>
    <w:rsid w:val="000F12D0"/>
    <w:rsid w:val="000F140A"/>
    <w:rsid w:val="000F1456"/>
    <w:rsid w:val="000F147B"/>
    <w:rsid w:val="000F1673"/>
    <w:rsid w:val="000F17FF"/>
    <w:rsid w:val="000F1BB9"/>
    <w:rsid w:val="000F1CE2"/>
    <w:rsid w:val="000F208B"/>
    <w:rsid w:val="000F23CE"/>
    <w:rsid w:val="000F2596"/>
    <w:rsid w:val="000F2748"/>
    <w:rsid w:val="000F2891"/>
    <w:rsid w:val="000F2B62"/>
    <w:rsid w:val="000F2C64"/>
    <w:rsid w:val="000F2E6D"/>
    <w:rsid w:val="000F2EB0"/>
    <w:rsid w:val="000F2EDC"/>
    <w:rsid w:val="000F3187"/>
    <w:rsid w:val="000F3246"/>
    <w:rsid w:val="000F32F0"/>
    <w:rsid w:val="000F3605"/>
    <w:rsid w:val="000F36A6"/>
    <w:rsid w:val="000F3871"/>
    <w:rsid w:val="000F3C68"/>
    <w:rsid w:val="000F3CF5"/>
    <w:rsid w:val="000F3D86"/>
    <w:rsid w:val="000F3EDD"/>
    <w:rsid w:val="000F3F1B"/>
    <w:rsid w:val="000F3F6F"/>
    <w:rsid w:val="000F3FA1"/>
    <w:rsid w:val="000F3FAF"/>
    <w:rsid w:val="000F4307"/>
    <w:rsid w:val="000F4402"/>
    <w:rsid w:val="000F4703"/>
    <w:rsid w:val="000F49E9"/>
    <w:rsid w:val="000F4B57"/>
    <w:rsid w:val="000F4BAE"/>
    <w:rsid w:val="000F4C68"/>
    <w:rsid w:val="000F4CD6"/>
    <w:rsid w:val="000F4F9B"/>
    <w:rsid w:val="000F5062"/>
    <w:rsid w:val="000F561E"/>
    <w:rsid w:val="000F58DD"/>
    <w:rsid w:val="000F591C"/>
    <w:rsid w:val="000F5AE6"/>
    <w:rsid w:val="000F5DB6"/>
    <w:rsid w:val="000F5EF5"/>
    <w:rsid w:val="000F6085"/>
    <w:rsid w:val="000F63F0"/>
    <w:rsid w:val="000F6761"/>
    <w:rsid w:val="000F6821"/>
    <w:rsid w:val="000F6947"/>
    <w:rsid w:val="000F6ADD"/>
    <w:rsid w:val="000F6B25"/>
    <w:rsid w:val="000F6D61"/>
    <w:rsid w:val="000F6E2A"/>
    <w:rsid w:val="000F6EC3"/>
    <w:rsid w:val="000F6F2F"/>
    <w:rsid w:val="000F6F77"/>
    <w:rsid w:val="000F74E4"/>
    <w:rsid w:val="000F751D"/>
    <w:rsid w:val="000F76B9"/>
    <w:rsid w:val="000F7716"/>
    <w:rsid w:val="000F78B8"/>
    <w:rsid w:val="000F7A80"/>
    <w:rsid w:val="000F7CB5"/>
    <w:rsid w:val="000F7E2E"/>
    <w:rsid w:val="00100159"/>
    <w:rsid w:val="001003BA"/>
    <w:rsid w:val="001003D1"/>
    <w:rsid w:val="001006DD"/>
    <w:rsid w:val="00100968"/>
    <w:rsid w:val="00100B44"/>
    <w:rsid w:val="0010125B"/>
    <w:rsid w:val="001018ED"/>
    <w:rsid w:val="001019D0"/>
    <w:rsid w:val="00101DAF"/>
    <w:rsid w:val="00101DCA"/>
    <w:rsid w:val="00101DF7"/>
    <w:rsid w:val="00101E71"/>
    <w:rsid w:val="00101E93"/>
    <w:rsid w:val="00102B91"/>
    <w:rsid w:val="00102C9D"/>
    <w:rsid w:val="00102E4A"/>
    <w:rsid w:val="0010316F"/>
    <w:rsid w:val="00103170"/>
    <w:rsid w:val="0010327D"/>
    <w:rsid w:val="0010356A"/>
    <w:rsid w:val="00103930"/>
    <w:rsid w:val="00103A1D"/>
    <w:rsid w:val="00103DB5"/>
    <w:rsid w:val="00103DD2"/>
    <w:rsid w:val="0010411F"/>
    <w:rsid w:val="001044CE"/>
    <w:rsid w:val="001044FC"/>
    <w:rsid w:val="0010458A"/>
    <w:rsid w:val="0010467A"/>
    <w:rsid w:val="00104830"/>
    <w:rsid w:val="0010486D"/>
    <w:rsid w:val="00104B8F"/>
    <w:rsid w:val="00104C05"/>
    <w:rsid w:val="00104C74"/>
    <w:rsid w:val="00104D7C"/>
    <w:rsid w:val="00104DD3"/>
    <w:rsid w:val="00104EAE"/>
    <w:rsid w:val="00104F33"/>
    <w:rsid w:val="00104F65"/>
    <w:rsid w:val="001050D1"/>
    <w:rsid w:val="0010514C"/>
    <w:rsid w:val="001053C5"/>
    <w:rsid w:val="00105441"/>
    <w:rsid w:val="00105626"/>
    <w:rsid w:val="001056A3"/>
    <w:rsid w:val="00105A22"/>
    <w:rsid w:val="00105A71"/>
    <w:rsid w:val="00105C6C"/>
    <w:rsid w:val="00105D1B"/>
    <w:rsid w:val="00105DE6"/>
    <w:rsid w:val="00105F05"/>
    <w:rsid w:val="00106344"/>
    <w:rsid w:val="00106813"/>
    <w:rsid w:val="001069BE"/>
    <w:rsid w:val="00106B50"/>
    <w:rsid w:val="00106B9B"/>
    <w:rsid w:val="00106D06"/>
    <w:rsid w:val="001070CC"/>
    <w:rsid w:val="001071D9"/>
    <w:rsid w:val="00107760"/>
    <w:rsid w:val="0010791E"/>
    <w:rsid w:val="00107DE3"/>
    <w:rsid w:val="00107F1A"/>
    <w:rsid w:val="00110050"/>
    <w:rsid w:val="0011014C"/>
    <w:rsid w:val="001101AD"/>
    <w:rsid w:val="00110482"/>
    <w:rsid w:val="00110489"/>
    <w:rsid w:val="0011077B"/>
    <w:rsid w:val="0011093A"/>
    <w:rsid w:val="00110B49"/>
    <w:rsid w:val="00110B5D"/>
    <w:rsid w:val="00110BA7"/>
    <w:rsid w:val="00110CBE"/>
    <w:rsid w:val="00110D2C"/>
    <w:rsid w:val="00110E00"/>
    <w:rsid w:val="001110F9"/>
    <w:rsid w:val="001112FB"/>
    <w:rsid w:val="0011148B"/>
    <w:rsid w:val="001114AB"/>
    <w:rsid w:val="001114F6"/>
    <w:rsid w:val="0011194E"/>
    <w:rsid w:val="00111D33"/>
    <w:rsid w:val="00111E82"/>
    <w:rsid w:val="00111F8C"/>
    <w:rsid w:val="00112211"/>
    <w:rsid w:val="001122D7"/>
    <w:rsid w:val="00112307"/>
    <w:rsid w:val="001124FE"/>
    <w:rsid w:val="00112B2E"/>
    <w:rsid w:val="001132C9"/>
    <w:rsid w:val="001133CF"/>
    <w:rsid w:val="001134E2"/>
    <w:rsid w:val="00113599"/>
    <w:rsid w:val="00113695"/>
    <w:rsid w:val="00113EC0"/>
    <w:rsid w:val="00113FF9"/>
    <w:rsid w:val="001141CD"/>
    <w:rsid w:val="00114643"/>
    <w:rsid w:val="00114903"/>
    <w:rsid w:val="001149FA"/>
    <w:rsid w:val="00114A53"/>
    <w:rsid w:val="00114B55"/>
    <w:rsid w:val="00114D51"/>
    <w:rsid w:val="00114E69"/>
    <w:rsid w:val="0011514C"/>
    <w:rsid w:val="001153E5"/>
    <w:rsid w:val="00115453"/>
    <w:rsid w:val="001155FD"/>
    <w:rsid w:val="00115855"/>
    <w:rsid w:val="00115924"/>
    <w:rsid w:val="00115F3B"/>
    <w:rsid w:val="001165CB"/>
    <w:rsid w:val="00116806"/>
    <w:rsid w:val="001169A6"/>
    <w:rsid w:val="00116A7C"/>
    <w:rsid w:val="00116CF7"/>
    <w:rsid w:val="0011700F"/>
    <w:rsid w:val="00117813"/>
    <w:rsid w:val="00117B5E"/>
    <w:rsid w:val="00117E5A"/>
    <w:rsid w:val="00117E6F"/>
    <w:rsid w:val="00117EED"/>
    <w:rsid w:val="00117F0C"/>
    <w:rsid w:val="0012006E"/>
    <w:rsid w:val="001200AE"/>
    <w:rsid w:val="001202C0"/>
    <w:rsid w:val="00120341"/>
    <w:rsid w:val="001203D7"/>
    <w:rsid w:val="0012055E"/>
    <w:rsid w:val="00120624"/>
    <w:rsid w:val="00120741"/>
    <w:rsid w:val="00120881"/>
    <w:rsid w:val="00121011"/>
    <w:rsid w:val="00121074"/>
    <w:rsid w:val="00121385"/>
    <w:rsid w:val="0012179C"/>
    <w:rsid w:val="0012190F"/>
    <w:rsid w:val="0012195B"/>
    <w:rsid w:val="00121A1A"/>
    <w:rsid w:val="00121A6F"/>
    <w:rsid w:val="00121B80"/>
    <w:rsid w:val="00121C8D"/>
    <w:rsid w:val="00121CA9"/>
    <w:rsid w:val="0012238F"/>
    <w:rsid w:val="001223B0"/>
    <w:rsid w:val="001224C4"/>
    <w:rsid w:val="0012253C"/>
    <w:rsid w:val="00122544"/>
    <w:rsid w:val="00122645"/>
    <w:rsid w:val="00122682"/>
    <w:rsid w:val="00122977"/>
    <w:rsid w:val="00122B7B"/>
    <w:rsid w:val="00122D09"/>
    <w:rsid w:val="00122E5F"/>
    <w:rsid w:val="001236C4"/>
    <w:rsid w:val="001236F9"/>
    <w:rsid w:val="00123976"/>
    <w:rsid w:val="00123DFF"/>
    <w:rsid w:val="00123E27"/>
    <w:rsid w:val="00123EB4"/>
    <w:rsid w:val="00124285"/>
    <w:rsid w:val="0012433F"/>
    <w:rsid w:val="00124423"/>
    <w:rsid w:val="001245AA"/>
    <w:rsid w:val="0012485E"/>
    <w:rsid w:val="00124A49"/>
    <w:rsid w:val="00124A63"/>
    <w:rsid w:val="00124C96"/>
    <w:rsid w:val="00124CC0"/>
    <w:rsid w:val="00124F6C"/>
    <w:rsid w:val="00125071"/>
    <w:rsid w:val="001250B0"/>
    <w:rsid w:val="001253C7"/>
    <w:rsid w:val="0012576A"/>
    <w:rsid w:val="00125899"/>
    <w:rsid w:val="00125A32"/>
    <w:rsid w:val="00125F29"/>
    <w:rsid w:val="00126359"/>
    <w:rsid w:val="001265EE"/>
    <w:rsid w:val="00126A5C"/>
    <w:rsid w:val="00126C0F"/>
    <w:rsid w:val="00126E72"/>
    <w:rsid w:val="001273BE"/>
    <w:rsid w:val="001277FE"/>
    <w:rsid w:val="00127D8E"/>
    <w:rsid w:val="00127ECA"/>
    <w:rsid w:val="00127EE7"/>
    <w:rsid w:val="00127FB2"/>
    <w:rsid w:val="001301C7"/>
    <w:rsid w:val="0013025C"/>
    <w:rsid w:val="00130811"/>
    <w:rsid w:val="001309F6"/>
    <w:rsid w:val="00130B26"/>
    <w:rsid w:val="001314CE"/>
    <w:rsid w:val="001316D8"/>
    <w:rsid w:val="00131918"/>
    <w:rsid w:val="00131962"/>
    <w:rsid w:val="00131A29"/>
    <w:rsid w:val="00131A7E"/>
    <w:rsid w:val="00131F52"/>
    <w:rsid w:val="001320B6"/>
    <w:rsid w:val="001320BE"/>
    <w:rsid w:val="00132203"/>
    <w:rsid w:val="001324A9"/>
    <w:rsid w:val="00132676"/>
    <w:rsid w:val="00132898"/>
    <w:rsid w:val="00132937"/>
    <w:rsid w:val="00132B1B"/>
    <w:rsid w:val="00132E08"/>
    <w:rsid w:val="0013337D"/>
    <w:rsid w:val="00133564"/>
    <w:rsid w:val="001335D7"/>
    <w:rsid w:val="00133A41"/>
    <w:rsid w:val="00133BB7"/>
    <w:rsid w:val="00133C78"/>
    <w:rsid w:val="00134153"/>
    <w:rsid w:val="0013424D"/>
    <w:rsid w:val="001342DA"/>
    <w:rsid w:val="001345BD"/>
    <w:rsid w:val="00134889"/>
    <w:rsid w:val="0013495F"/>
    <w:rsid w:val="0013498D"/>
    <w:rsid w:val="00134A8E"/>
    <w:rsid w:val="00134BF2"/>
    <w:rsid w:val="0013518B"/>
    <w:rsid w:val="001353F7"/>
    <w:rsid w:val="00135D2F"/>
    <w:rsid w:val="001360BA"/>
    <w:rsid w:val="0013619F"/>
    <w:rsid w:val="00136245"/>
    <w:rsid w:val="00136379"/>
    <w:rsid w:val="0013653E"/>
    <w:rsid w:val="001366FE"/>
    <w:rsid w:val="00136948"/>
    <w:rsid w:val="00136A69"/>
    <w:rsid w:val="001372F7"/>
    <w:rsid w:val="001373F4"/>
    <w:rsid w:val="001378A3"/>
    <w:rsid w:val="00137BB0"/>
    <w:rsid w:val="0014036A"/>
    <w:rsid w:val="00140886"/>
    <w:rsid w:val="00140997"/>
    <w:rsid w:val="00140C98"/>
    <w:rsid w:val="00140D94"/>
    <w:rsid w:val="00140DEA"/>
    <w:rsid w:val="00140E10"/>
    <w:rsid w:val="00141009"/>
    <w:rsid w:val="00141340"/>
    <w:rsid w:val="001413F4"/>
    <w:rsid w:val="0014161C"/>
    <w:rsid w:val="001418A0"/>
    <w:rsid w:val="001418EC"/>
    <w:rsid w:val="00141A21"/>
    <w:rsid w:val="00141AEE"/>
    <w:rsid w:val="00141BB6"/>
    <w:rsid w:val="00141E64"/>
    <w:rsid w:val="00141EF0"/>
    <w:rsid w:val="0014257E"/>
    <w:rsid w:val="00142619"/>
    <w:rsid w:val="00142A31"/>
    <w:rsid w:val="00142B68"/>
    <w:rsid w:val="00142BF2"/>
    <w:rsid w:val="00142DA9"/>
    <w:rsid w:val="00142EF3"/>
    <w:rsid w:val="00142F5F"/>
    <w:rsid w:val="00142FCD"/>
    <w:rsid w:val="0014302E"/>
    <w:rsid w:val="00143093"/>
    <w:rsid w:val="001430B8"/>
    <w:rsid w:val="00143253"/>
    <w:rsid w:val="00143550"/>
    <w:rsid w:val="001435D1"/>
    <w:rsid w:val="001435FC"/>
    <w:rsid w:val="00143676"/>
    <w:rsid w:val="00143765"/>
    <w:rsid w:val="00143896"/>
    <w:rsid w:val="001438C5"/>
    <w:rsid w:val="00143BED"/>
    <w:rsid w:val="00143CCA"/>
    <w:rsid w:val="00143D19"/>
    <w:rsid w:val="00143EF4"/>
    <w:rsid w:val="001441E3"/>
    <w:rsid w:val="0014475F"/>
    <w:rsid w:val="001447A5"/>
    <w:rsid w:val="001449A3"/>
    <w:rsid w:val="00144BB4"/>
    <w:rsid w:val="00144D2A"/>
    <w:rsid w:val="00144FD3"/>
    <w:rsid w:val="001452AF"/>
    <w:rsid w:val="0014597A"/>
    <w:rsid w:val="001459B2"/>
    <w:rsid w:val="00145B25"/>
    <w:rsid w:val="00145D3E"/>
    <w:rsid w:val="00145D9C"/>
    <w:rsid w:val="0014605B"/>
    <w:rsid w:val="0014678D"/>
    <w:rsid w:val="00146960"/>
    <w:rsid w:val="001469AF"/>
    <w:rsid w:val="00146C10"/>
    <w:rsid w:val="00146D09"/>
    <w:rsid w:val="00146F62"/>
    <w:rsid w:val="001470C2"/>
    <w:rsid w:val="001471A7"/>
    <w:rsid w:val="001472B6"/>
    <w:rsid w:val="00147405"/>
    <w:rsid w:val="001475B0"/>
    <w:rsid w:val="00147699"/>
    <w:rsid w:val="00147C59"/>
    <w:rsid w:val="00147C9A"/>
    <w:rsid w:val="00147CEF"/>
    <w:rsid w:val="00147D18"/>
    <w:rsid w:val="00147D47"/>
    <w:rsid w:val="001500BF"/>
    <w:rsid w:val="00150493"/>
    <w:rsid w:val="00150D5E"/>
    <w:rsid w:val="00150D6C"/>
    <w:rsid w:val="00150D77"/>
    <w:rsid w:val="00150E00"/>
    <w:rsid w:val="001510D2"/>
    <w:rsid w:val="0015111E"/>
    <w:rsid w:val="00151535"/>
    <w:rsid w:val="00151626"/>
    <w:rsid w:val="00151811"/>
    <w:rsid w:val="001518C3"/>
    <w:rsid w:val="001519CE"/>
    <w:rsid w:val="00152359"/>
    <w:rsid w:val="001528ED"/>
    <w:rsid w:val="00152AC5"/>
    <w:rsid w:val="00152CFA"/>
    <w:rsid w:val="00153002"/>
    <w:rsid w:val="00153740"/>
    <w:rsid w:val="00153908"/>
    <w:rsid w:val="00153934"/>
    <w:rsid w:val="00153B0F"/>
    <w:rsid w:val="00153BF2"/>
    <w:rsid w:val="00154000"/>
    <w:rsid w:val="00154016"/>
    <w:rsid w:val="001540FA"/>
    <w:rsid w:val="00154B35"/>
    <w:rsid w:val="00154B3D"/>
    <w:rsid w:val="00154C13"/>
    <w:rsid w:val="00154FB9"/>
    <w:rsid w:val="001550BC"/>
    <w:rsid w:val="001550F4"/>
    <w:rsid w:val="0015539F"/>
    <w:rsid w:val="00155414"/>
    <w:rsid w:val="001554BA"/>
    <w:rsid w:val="00155569"/>
    <w:rsid w:val="0015571E"/>
    <w:rsid w:val="0015581A"/>
    <w:rsid w:val="00155883"/>
    <w:rsid w:val="001559EC"/>
    <w:rsid w:val="00155AEB"/>
    <w:rsid w:val="00155BDB"/>
    <w:rsid w:val="00155BF0"/>
    <w:rsid w:val="0015617B"/>
    <w:rsid w:val="00156568"/>
    <w:rsid w:val="00156887"/>
    <w:rsid w:val="001568E4"/>
    <w:rsid w:val="00156AA6"/>
    <w:rsid w:val="00156C16"/>
    <w:rsid w:val="00156CA6"/>
    <w:rsid w:val="00156EFB"/>
    <w:rsid w:val="00156F30"/>
    <w:rsid w:val="00156F53"/>
    <w:rsid w:val="00157249"/>
    <w:rsid w:val="00157308"/>
    <w:rsid w:val="00157323"/>
    <w:rsid w:val="0015764D"/>
    <w:rsid w:val="001577E0"/>
    <w:rsid w:val="0015782B"/>
    <w:rsid w:val="0015782E"/>
    <w:rsid w:val="0015797E"/>
    <w:rsid w:val="00157A82"/>
    <w:rsid w:val="00157A85"/>
    <w:rsid w:val="00157B8C"/>
    <w:rsid w:val="00157C73"/>
    <w:rsid w:val="00157F6A"/>
    <w:rsid w:val="00157FBD"/>
    <w:rsid w:val="0016000E"/>
    <w:rsid w:val="00160019"/>
    <w:rsid w:val="0016007A"/>
    <w:rsid w:val="0016007D"/>
    <w:rsid w:val="001608FA"/>
    <w:rsid w:val="00160C79"/>
    <w:rsid w:val="00160E30"/>
    <w:rsid w:val="00160F24"/>
    <w:rsid w:val="00160FAA"/>
    <w:rsid w:val="0016104A"/>
    <w:rsid w:val="001613F6"/>
    <w:rsid w:val="00161649"/>
    <w:rsid w:val="00161834"/>
    <w:rsid w:val="00161AC2"/>
    <w:rsid w:val="00161B68"/>
    <w:rsid w:val="0016221A"/>
    <w:rsid w:val="00162C25"/>
    <w:rsid w:val="00162C88"/>
    <w:rsid w:val="00162E57"/>
    <w:rsid w:val="00162E5B"/>
    <w:rsid w:val="00163167"/>
    <w:rsid w:val="00163211"/>
    <w:rsid w:val="0016359D"/>
    <w:rsid w:val="001635B7"/>
    <w:rsid w:val="001635FE"/>
    <w:rsid w:val="001637F6"/>
    <w:rsid w:val="00163A71"/>
    <w:rsid w:val="00163BB1"/>
    <w:rsid w:val="00163D97"/>
    <w:rsid w:val="001644BF"/>
    <w:rsid w:val="0016496C"/>
    <w:rsid w:val="00164F99"/>
    <w:rsid w:val="00165318"/>
    <w:rsid w:val="0016538D"/>
    <w:rsid w:val="001653DE"/>
    <w:rsid w:val="001654A7"/>
    <w:rsid w:val="00165ADF"/>
    <w:rsid w:val="00165AE3"/>
    <w:rsid w:val="00165C8F"/>
    <w:rsid w:val="00165EDD"/>
    <w:rsid w:val="00165F87"/>
    <w:rsid w:val="00166168"/>
    <w:rsid w:val="0016622D"/>
    <w:rsid w:val="00166338"/>
    <w:rsid w:val="0016646E"/>
    <w:rsid w:val="0016655F"/>
    <w:rsid w:val="00166656"/>
    <w:rsid w:val="001667B1"/>
    <w:rsid w:val="00166915"/>
    <w:rsid w:val="00166973"/>
    <w:rsid w:val="001669A9"/>
    <w:rsid w:val="00166A2B"/>
    <w:rsid w:val="00166BAD"/>
    <w:rsid w:val="00166BD3"/>
    <w:rsid w:val="00166DD5"/>
    <w:rsid w:val="00166E77"/>
    <w:rsid w:val="00166F27"/>
    <w:rsid w:val="00166F68"/>
    <w:rsid w:val="00166F8E"/>
    <w:rsid w:val="00167004"/>
    <w:rsid w:val="0016700C"/>
    <w:rsid w:val="001672C4"/>
    <w:rsid w:val="001672EF"/>
    <w:rsid w:val="00167491"/>
    <w:rsid w:val="0016764E"/>
    <w:rsid w:val="00167DC3"/>
    <w:rsid w:val="00167E12"/>
    <w:rsid w:val="0017001B"/>
    <w:rsid w:val="00170042"/>
    <w:rsid w:val="001700B1"/>
    <w:rsid w:val="001700F8"/>
    <w:rsid w:val="001701ED"/>
    <w:rsid w:val="0017027F"/>
    <w:rsid w:val="0017028B"/>
    <w:rsid w:val="00170424"/>
    <w:rsid w:val="00170578"/>
    <w:rsid w:val="00170600"/>
    <w:rsid w:val="0017082D"/>
    <w:rsid w:val="001708A8"/>
    <w:rsid w:val="0017099B"/>
    <w:rsid w:val="00170BBF"/>
    <w:rsid w:val="00170DA3"/>
    <w:rsid w:val="00170E61"/>
    <w:rsid w:val="00170ED4"/>
    <w:rsid w:val="00170F57"/>
    <w:rsid w:val="00170F88"/>
    <w:rsid w:val="00171037"/>
    <w:rsid w:val="001712F1"/>
    <w:rsid w:val="00171536"/>
    <w:rsid w:val="00171707"/>
    <w:rsid w:val="00171A47"/>
    <w:rsid w:val="00171CAD"/>
    <w:rsid w:val="00171CD0"/>
    <w:rsid w:val="00171D59"/>
    <w:rsid w:val="00171E46"/>
    <w:rsid w:val="00171F18"/>
    <w:rsid w:val="00171F35"/>
    <w:rsid w:val="00172322"/>
    <w:rsid w:val="001725A5"/>
    <w:rsid w:val="001725BD"/>
    <w:rsid w:val="001725DB"/>
    <w:rsid w:val="00172697"/>
    <w:rsid w:val="00172A54"/>
    <w:rsid w:val="00172B9A"/>
    <w:rsid w:val="00172C27"/>
    <w:rsid w:val="00172D19"/>
    <w:rsid w:val="00172DDB"/>
    <w:rsid w:val="00173328"/>
    <w:rsid w:val="00173399"/>
    <w:rsid w:val="00173709"/>
    <w:rsid w:val="001738D4"/>
    <w:rsid w:val="00173B23"/>
    <w:rsid w:val="00173C60"/>
    <w:rsid w:val="00173D43"/>
    <w:rsid w:val="00173D88"/>
    <w:rsid w:val="00173E91"/>
    <w:rsid w:val="00173E9F"/>
    <w:rsid w:val="0017439D"/>
    <w:rsid w:val="001746A2"/>
    <w:rsid w:val="00174D3B"/>
    <w:rsid w:val="00174E7C"/>
    <w:rsid w:val="00175016"/>
    <w:rsid w:val="00175390"/>
    <w:rsid w:val="001753B8"/>
    <w:rsid w:val="0017544A"/>
    <w:rsid w:val="00175D33"/>
    <w:rsid w:val="00175DB7"/>
    <w:rsid w:val="00175F6E"/>
    <w:rsid w:val="001761B6"/>
    <w:rsid w:val="00176327"/>
    <w:rsid w:val="00176494"/>
    <w:rsid w:val="0017676A"/>
    <w:rsid w:val="001768CA"/>
    <w:rsid w:val="00176EA5"/>
    <w:rsid w:val="00176F15"/>
    <w:rsid w:val="001774AD"/>
    <w:rsid w:val="001774BF"/>
    <w:rsid w:val="001775B4"/>
    <w:rsid w:val="00177640"/>
    <w:rsid w:val="001776AA"/>
    <w:rsid w:val="001776F0"/>
    <w:rsid w:val="001778A5"/>
    <w:rsid w:val="001779F0"/>
    <w:rsid w:val="00177AA9"/>
    <w:rsid w:val="00177C75"/>
    <w:rsid w:val="00177D54"/>
    <w:rsid w:val="00177DAB"/>
    <w:rsid w:val="00177FB6"/>
    <w:rsid w:val="00180085"/>
    <w:rsid w:val="001802CE"/>
    <w:rsid w:val="0018061F"/>
    <w:rsid w:val="001808C2"/>
    <w:rsid w:val="00180B92"/>
    <w:rsid w:val="00180BB5"/>
    <w:rsid w:val="00180C3A"/>
    <w:rsid w:val="00180C48"/>
    <w:rsid w:val="00180C5E"/>
    <w:rsid w:val="00181062"/>
    <w:rsid w:val="0018119E"/>
    <w:rsid w:val="001811B3"/>
    <w:rsid w:val="001814D8"/>
    <w:rsid w:val="001815BD"/>
    <w:rsid w:val="001816B8"/>
    <w:rsid w:val="001818B1"/>
    <w:rsid w:val="00181A17"/>
    <w:rsid w:val="00181AB5"/>
    <w:rsid w:val="00181B81"/>
    <w:rsid w:val="00181B8D"/>
    <w:rsid w:val="00181E96"/>
    <w:rsid w:val="001823E4"/>
    <w:rsid w:val="001824F4"/>
    <w:rsid w:val="001825CB"/>
    <w:rsid w:val="00182805"/>
    <w:rsid w:val="00182A3C"/>
    <w:rsid w:val="00182A9E"/>
    <w:rsid w:val="00182B2C"/>
    <w:rsid w:val="00182D09"/>
    <w:rsid w:val="00182F13"/>
    <w:rsid w:val="00182F16"/>
    <w:rsid w:val="001830A3"/>
    <w:rsid w:val="00183177"/>
    <w:rsid w:val="001831B5"/>
    <w:rsid w:val="0018330A"/>
    <w:rsid w:val="001835EF"/>
    <w:rsid w:val="00183702"/>
    <w:rsid w:val="00183A45"/>
    <w:rsid w:val="00183F51"/>
    <w:rsid w:val="00184081"/>
    <w:rsid w:val="00184638"/>
    <w:rsid w:val="001848E6"/>
    <w:rsid w:val="001849D6"/>
    <w:rsid w:val="00184D16"/>
    <w:rsid w:val="00184EDD"/>
    <w:rsid w:val="0018504C"/>
    <w:rsid w:val="00185117"/>
    <w:rsid w:val="001855DA"/>
    <w:rsid w:val="00185727"/>
    <w:rsid w:val="0018594D"/>
    <w:rsid w:val="00185955"/>
    <w:rsid w:val="001859DE"/>
    <w:rsid w:val="00185ACA"/>
    <w:rsid w:val="00185C63"/>
    <w:rsid w:val="00185C72"/>
    <w:rsid w:val="00185CB3"/>
    <w:rsid w:val="00185D45"/>
    <w:rsid w:val="00185DFE"/>
    <w:rsid w:val="00185E42"/>
    <w:rsid w:val="00186078"/>
    <w:rsid w:val="00186661"/>
    <w:rsid w:val="00187099"/>
    <w:rsid w:val="0018711F"/>
    <w:rsid w:val="0018756A"/>
    <w:rsid w:val="00187589"/>
    <w:rsid w:val="00187673"/>
    <w:rsid w:val="00187D4E"/>
    <w:rsid w:val="0019004A"/>
    <w:rsid w:val="00190543"/>
    <w:rsid w:val="001907F9"/>
    <w:rsid w:val="00190FE7"/>
    <w:rsid w:val="0019101D"/>
    <w:rsid w:val="001910BD"/>
    <w:rsid w:val="00191152"/>
    <w:rsid w:val="001914D8"/>
    <w:rsid w:val="001914EE"/>
    <w:rsid w:val="0019178C"/>
    <w:rsid w:val="00191C7F"/>
    <w:rsid w:val="00191E14"/>
    <w:rsid w:val="00192086"/>
    <w:rsid w:val="00192264"/>
    <w:rsid w:val="0019236C"/>
    <w:rsid w:val="001924D8"/>
    <w:rsid w:val="00192524"/>
    <w:rsid w:val="0019254B"/>
    <w:rsid w:val="001925FA"/>
    <w:rsid w:val="001926E6"/>
    <w:rsid w:val="00192750"/>
    <w:rsid w:val="00192866"/>
    <w:rsid w:val="00192915"/>
    <w:rsid w:val="00192975"/>
    <w:rsid w:val="00192ACB"/>
    <w:rsid w:val="00192B10"/>
    <w:rsid w:val="00192D5B"/>
    <w:rsid w:val="00192E2E"/>
    <w:rsid w:val="00192ED1"/>
    <w:rsid w:val="00193380"/>
    <w:rsid w:val="001934A9"/>
    <w:rsid w:val="00193545"/>
    <w:rsid w:val="001935D6"/>
    <w:rsid w:val="00193607"/>
    <w:rsid w:val="00193707"/>
    <w:rsid w:val="00193AA1"/>
    <w:rsid w:val="00193ABF"/>
    <w:rsid w:val="00193EA0"/>
    <w:rsid w:val="00194034"/>
    <w:rsid w:val="00194260"/>
    <w:rsid w:val="0019442D"/>
    <w:rsid w:val="00194456"/>
    <w:rsid w:val="00194539"/>
    <w:rsid w:val="001945AE"/>
    <w:rsid w:val="001945C6"/>
    <w:rsid w:val="001946CD"/>
    <w:rsid w:val="0019470B"/>
    <w:rsid w:val="001948EB"/>
    <w:rsid w:val="00194D7C"/>
    <w:rsid w:val="00194DFE"/>
    <w:rsid w:val="001951C2"/>
    <w:rsid w:val="0019572F"/>
    <w:rsid w:val="0019574B"/>
    <w:rsid w:val="001958AC"/>
    <w:rsid w:val="001958E5"/>
    <w:rsid w:val="00195B00"/>
    <w:rsid w:val="00195BFA"/>
    <w:rsid w:val="00195F0D"/>
    <w:rsid w:val="00196388"/>
    <w:rsid w:val="0019641F"/>
    <w:rsid w:val="00196457"/>
    <w:rsid w:val="001964C0"/>
    <w:rsid w:val="001965EE"/>
    <w:rsid w:val="0019666A"/>
    <w:rsid w:val="001969FE"/>
    <w:rsid w:val="0019702D"/>
    <w:rsid w:val="001972ED"/>
    <w:rsid w:val="001974BF"/>
    <w:rsid w:val="00197622"/>
    <w:rsid w:val="00197751"/>
    <w:rsid w:val="001978AD"/>
    <w:rsid w:val="00197B32"/>
    <w:rsid w:val="001A0048"/>
    <w:rsid w:val="001A033B"/>
    <w:rsid w:val="001A03FC"/>
    <w:rsid w:val="001A047D"/>
    <w:rsid w:val="001A050D"/>
    <w:rsid w:val="001A051A"/>
    <w:rsid w:val="001A070A"/>
    <w:rsid w:val="001A0C6B"/>
    <w:rsid w:val="001A0DEC"/>
    <w:rsid w:val="001A0EDB"/>
    <w:rsid w:val="001A10DE"/>
    <w:rsid w:val="001A110E"/>
    <w:rsid w:val="001A126A"/>
    <w:rsid w:val="001A1644"/>
    <w:rsid w:val="001A16BF"/>
    <w:rsid w:val="001A1765"/>
    <w:rsid w:val="001A17AC"/>
    <w:rsid w:val="001A1D94"/>
    <w:rsid w:val="001A2190"/>
    <w:rsid w:val="001A2564"/>
    <w:rsid w:val="001A2816"/>
    <w:rsid w:val="001A2963"/>
    <w:rsid w:val="001A2993"/>
    <w:rsid w:val="001A29D7"/>
    <w:rsid w:val="001A2AFF"/>
    <w:rsid w:val="001A2DB7"/>
    <w:rsid w:val="001A2F7B"/>
    <w:rsid w:val="001A3065"/>
    <w:rsid w:val="001A3195"/>
    <w:rsid w:val="001A3247"/>
    <w:rsid w:val="001A345E"/>
    <w:rsid w:val="001A3771"/>
    <w:rsid w:val="001A38CA"/>
    <w:rsid w:val="001A399F"/>
    <w:rsid w:val="001A3BFC"/>
    <w:rsid w:val="001A3DA9"/>
    <w:rsid w:val="001A3F1C"/>
    <w:rsid w:val="001A40C2"/>
    <w:rsid w:val="001A4209"/>
    <w:rsid w:val="001A428E"/>
    <w:rsid w:val="001A443B"/>
    <w:rsid w:val="001A4458"/>
    <w:rsid w:val="001A45B7"/>
    <w:rsid w:val="001A48A1"/>
    <w:rsid w:val="001A48B8"/>
    <w:rsid w:val="001A4A4D"/>
    <w:rsid w:val="001A500A"/>
    <w:rsid w:val="001A510A"/>
    <w:rsid w:val="001A5131"/>
    <w:rsid w:val="001A51B0"/>
    <w:rsid w:val="001A5641"/>
    <w:rsid w:val="001A572E"/>
    <w:rsid w:val="001A582A"/>
    <w:rsid w:val="001A5971"/>
    <w:rsid w:val="001A5C3E"/>
    <w:rsid w:val="001A5D73"/>
    <w:rsid w:val="001A5EDB"/>
    <w:rsid w:val="001A5F5F"/>
    <w:rsid w:val="001A62C2"/>
    <w:rsid w:val="001A6681"/>
    <w:rsid w:val="001A6814"/>
    <w:rsid w:val="001A6AF4"/>
    <w:rsid w:val="001A7035"/>
    <w:rsid w:val="001A711E"/>
    <w:rsid w:val="001A715A"/>
    <w:rsid w:val="001A77E8"/>
    <w:rsid w:val="001A785A"/>
    <w:rsid w:val="001A7983"/>
    <w:rsid w:val="001A7ACB"/>
    <w:rsid w:val="001A7AE7"/>
    <w:rsid w:val="001A7C94"/>
    <w:rsid w:val="001A7D81"/>
    <w:rsid w:val="001B0066"/>
    <w:rsid w:val="001B01D0"/>
    <w:rsid w:val="001B0454"/>
    <w:rsid w:val="001B064A"/>
    <w:rsid w:val="001B0873"/>
    <w:rsid w:val="001B0B93"/>
    <w:rsid w:val="001B0FAD"/>
    <w:rsid w:val="001B11BD"/>
    <w:rsid w:val="001B1326"/>
    <w:rsid w:val="001B1472"/>
    <w:rsid w:val="001B1527"/>
    <w:rsid w:val="001B1652"/>
    <w:rsid w:val="001B1704"/>
    <w:rsid w:val="001B19C7"/>
    <w:rsid w:val="001B1A3A"/>
    <w:rsid w:val="001B1A6D"/>
    <w:rsid w:val="001B1E29"/>
    <w:rsid w:val="001B1E54"/>
    <w:rsid w:val="001B1F25"/>
    <w:rsid w:val="001B2020"/>
    <w:rsid w:val="001B20BD"/>
    <w:rsid w:val="001B20CC"/>
    <w:rsid w:val="001B20EC"/>
    <w:rsid w:val="001B2441"/>
    <w:rsid w:val="001B28EC"/>
    <w:rsid w:val="001B29F3"/>
    <w:rsid w:val="001B2A06"/>
    <w:rsid w:val="001B2D7E"/>
    <w:rsid w:val="001B2E57"/>
    <w:rsid w:val="001B30C4"/>
    <w:rsid w:val="001B328F"/>
    <w:rsid w:val="001B343E"/>
    <w:rsid w:val="001B35D2"/>
    <w:rsid w:val="001B39DE"/>
    <w:rsid w:val="001B3A6E"/>
    <w:rsid w:val="001B3B67"/>
    <w:rsid w:val="001B3BE4"/>
    <w:rsid w:val="001B3C2D"/>
    <w:rsid w:val="001B3D2B"/>
    <w:rsid w:val="001B409A"/>
    <w:rsid w:val="001B4130"/>
    <w:rsid w:val="001B4199"/>
    <w:rsid w:val="001B41C7"/>
    <w:rsid w:val="001B427A"/>
    <w:rsid w:val="001B43B9"/>
    <w:rsid w:val="001B44CB"/>
    <w:rsid w:val="001B4969"/>
    <w:rsid w:val="001B4BFB"/>
    <w:rsid w:val="001B5561"/>
    <w:rsid w:val="001B569A"/>
    <w:rsid w:val="001B57A3"/>
    <w:rsid w:val="001B58DD"/>
    <w:rsid w:val="001B5AC1"/>
    <w:rsid w:val="001B5DEC"/>
    <w:rsid w:val="001B5E83"/>
    <w:rsid w:val="001B619C"/>
    <w:rsid w:val="001B6564"/>
    <w:rsid w:val="001B67FB"/>
    <w:rsid w:val="001B6873"/>
    <w:rsid w:val="001B6CE9"/>
    <w:rsid w:val="001B6D9D"/>
    <w:rsid w:val="001B6F52"/>
    <w:rsid w:val="001B7024"/>
    <w:rsid w:val="001B7172"/>
    <w:rsid w:val="001B728F"/>
    <w:rsid w:val="001B7306"/>
    <w:rsid w:val="001B78EE"/>
    <w:rsid w:val="001B79A3"/>
    <w:rsid w:val="001B7B52"/>
    <w:rsid w:val="001B7CFB"/>
    <w:rsid w:val="001B7E85"/>
    <w:rsid w:val="001B7F0F"/>
    <w:rsid w:val="001C0084"/>
    <w:rsid w:val="001C018A"/>
    <w:rsid w:val="001C0197"/>
    <w:rsid w:val="001C0295"/>
    <w:rsid w:val="001C03AF"/>
    <w:rsid w:val="001C04E5"/>
    <w:rsid w:val="001C05E5"/>
    <w:rsid w:val="001C0648"/>
    <w:rsid w:val="001C06C1"/>
    <w:rsid w:val="001C0ADC"/>
    <w:rsid w:val="001C0C76"/>
    <w:rsid w:val="001C0FEE"/>
    <w:rsid w:val="001C103D"/>
    <w:rsid w:val="001C127D"/>
    <w:rsid w:val="001C134E"/>
    <w:rsid w:val="001C13F9"/>
    <w:rsid w:val="001C163E"/>
    <w:rsid w:val="001C18BF"/>
    <w:rsid w:val="001C190D"/>
    <w:rsid w:val="001C1AE5"/>
    <w:rsid w:val="001C1B93"/>
    <w:rsid w:val="001C1D88"/>
    <w:rsid w:val="001C1D8B"/>
    <w:rsid w:val="001C1D8C"/>
    <w:rsid w:val="001C2368"/>
    <w:rsid w:val="001C23C4"/>
    <w:rsid w:val="001C2406"/>
    <w:rsid w:val="001C2499"/>
    <w:rsid w:val="001C24F2"/>
    <w:rsid w:val="001C2939"/>
    <w:rsid w:val="001C2976"/>
    <w:rsid w:val="001C2A64"/>
    <w:rsid w:val="001C2CB9"/>
    <w:rsid w:val="001C2D6F"/>
    <w:rsid w:val="001C2EC7"/>
    <w:rsid w:val="001C2F5B"/>
    <w:rsid w:val="001C31A0"/>
    <w:rsid w:val="001C368F"/>
    <w:rsid w:val="001C3714"/>
    <w:rsid w:val="001C37E4"/>
    <w:rsid w:val="001C39FD"/>
    <w:rsid w:val="001C3B88"/>
    <w:rsid w:val="001C4209"/>
    <w:rsid w:val="001C43F8"/>
    <w:rsid w:val="001C4BD6"/>
    <w:rsid w:val="001C4E89"/>
    <w:rsid w:val="001C4EAD"/>
    <w:rsid w:val="001C4F76"/>
    <w:rsid w:val="001C5024"/>
    <w:rsid w:val="001C50B8"/>
    <w:rsid w:val="001C5225"/>
    <w:rsid w:val="001C54BB"/>
    <w:rsid w:val="001C5587"/>
    <w:rsid w:val="001C5790"/>
    <w:rsid w:val="001C5B21"/>
    <w:rsid w:val="001C5FBD"/>
    <w:rsid w:val="001C607B"/>
    <w:rsid w:val="001C61EB"/>
    <w:rsid w:val="001C6387"/>
    <w:rsid w:val="001C6523"/>
    <w:rsid w:val="001C66AB"/>
    <w:rsid w:val="001C66E2"/>
    <w:rsid w:val="001C67FC"/>
    <w:rsid w:val="001C688B"/>
    <w:rsid w:val="001C6894"/>
    <w:rsid w:val="001C689C"/>
    <w:rsid w:val="001C6CC4"/>
    <w:rsid w:val="001C6E75"/>
    <w:rsid w:val="001C6F6A"/>
    <w:rsid w:val="001C7050"/>
    <w:rsid w:val="001C70B1"/>
    <w:rsid w:val="001C7182"/>
    <w:rsid w:val="001C7324"/>
    <w:rsid w:val="001C744C"/>
    <w:rsid w:val="001C7511"/>
    <w:rsid w:val="001C7611"/>
    <w:rsid w:val="001D0160"/>
    <w:rsid w:val="001D04B5"/>
    <w:rsid w:val="001D0944"/>
    <w:rsid w:val="001D0BBC"/>
    <w:rsid w:val="001D0CF0"/>
    <w:rsid w:val="001D1145"/>
    <w:rsid w:val="001D12BD"/>
    <w:rsid w:val="001D165D"/>
    <w:rsid w:val="001D16EF"/>
    <w:rsid w:val="001D18E0"/>
    <w:rsid w:val="001D1A8F"/>
    <w:rsid w:val="001D1DA0"/>
    <w:rsid w:val="001D1FFE"/>
    <w:rsid w:val="001D2087"/>
    <w:rsid w:val="001D2096"/>
    <w:rsid w:val="001D2409"/>
    <w:rsid w:val="001D254B"/>
    <w:rsid w:val="001D261A"/>
    <w:rsid w:val="001D2856"/>
    <w:rsid w:val="001D2CAB"/>
    <w:rsid w:val="001D2D14"/>
    <w:rsid w:val="001D2E5A"/>
    <w:rsid w:val="001D30EB"/>
    <w:rsid w:val="001D36D3"/>
    <w:rsid w:val="001D36E0"/>
    <w:rsid w:val="001D377B"/>
    <w:rsid w:val="001D395D"/>
    <w:rsid w:val="001D3D6C"/>
    <w:rsid w:val="001D3F84"/>
    <w:rsid w:val="001D3FD2"/>
    <w:rsid w:val="001D409D"/>
    <w:rsid w:val="001D4ECE"/>
    <w:rsid w:val="001D4F48"/>
    <w:rsid w:val="001D4FBD"/>
    <w:rsid w:val="001D51EB"/>
    <w:rsid w:val="001D5465"/>
    <w:rsid w:val="001D55CF"/>
    <w:rsid w:val="001D593A"/>
    <w:rsid w:val="001D59DE"/>
    <w:rsid w:val="001D5C8B"/>
    <w:rsid w:val="001D5DD6"/>
    <w:rsid w:val="001D5EE6"/>
    <w:rsid w:val="001D6060"/>
    <w:rsid w:val="001D6285"/>
    <w:rsid w:val="001D685A"/>
    <w:rsid w:val="001D69CF"/>
    <w:rsid w:val="001D6A65"/>
    <w:rsid w:val="001D6A78"/>
    <w:rsid w:val="001D6AA7"/>
    <w:rsid w:val="001D6BCB"/>
    <w:rsid w:val="001D6C1A"/>
    <w:rsid w:val="001D6CB5"/>
    <w:rsid w:val="001D70E7"/>
    <w:rsid w:val="001D71AC"/>
    <w:rsid w:val="001D71E8"/>
    <w:rsid w:val="001D729D"/>
    <w:rsid w:val="001D7304"/>
    <w:rsid w:val="001D787C"/>
    <w:rsid w:val="001D79DD"/>
    <w:rsid w:val="001D7CC6"/>
    <w:rsid w:val="001E00D8"/>
    <w:rsid w:val="001E00EB"/>
    <w:rsid w:val="001E04CE"/>
    <w:rsid w:val="001E054F"/>
    <w:rsid w:val="001E0757"/>
    <w:rsid w:val="001E0949"/>
    <w:rsid w:val="001E0BA7"/>
    <w:rsid w:val="001E0D07"/>
    <w:rsid w:val="001E0D6D"/>
    <w:rsid w:val="001E0E28"/>
    <w:rsid w:val="001E0E2B"/>
    <w:rsid w:val="001E0EB5"/>
    <w:rsid w:val="001E1062"/>
    <w:rsid w:val="001E141F"/>
    <w:rsid w:val="001E165F"/>
    <w:rsid w:val="001E1AC8"/>
    <w:rsid w:val="001E1C59"/>
    <w:rsid w:val="001E1DFB"/>
    <w:rsid w:val="001E205B"/>
    <w:rsid w:val="001E2221"/>
    <w:rsid w:val="001E24EB"/>
    <w:rsid w:val="001E2760"/>
    <w:rsid w:val="001E2947"/>
    <w:rsid w:val="001E2950"/>
    <w:rsid w:val="001E2B96"/>
    <w:rsid w:val="001E2FBC"/>
    <w:rsid w:val="001E33C3"/>
    <w:rsid w:val="001E36A5"/>
    <w:rsid w:val="001E36BC"/>
    <w:rsid w:val="001E37F8"/>
    <w:rsid w:val="001E3D24"/>
    <w:rsid w:val="001E3DF1"/>
    <w:rsid w:val="001E3E53"/>
    <w:rsid w:val="001E40C5"/>
    <w:rsid w:val="001E41F4"/>
    <w:rsid w:val="001E434A"/>
    <w:rsid w:val="001E4613"/>
    <w:rsid w:val="001E4CE2"/>
    <w:rsid w:val="001E4D50"/>
    <w:rsid w:val="001E4E0A"/>
    <w:rsid w:val="001E5198"/>
    <w:rsid w:val="001E5359"/>
    <w:rsid w:val="001E5388"/>
    <w:rsid w:val="001E53F6"/>
    <w:rsid w:val="001E5710"/>
    <w:rsid w:val="001E57FC"/>
    <w:rsid w:val="001E58BB"/>
    <w:rsid w:val="001E5A06"/>
    <w:rsid w:val="001E5B53"/>
    <w:rsid w:val="001E5C41"/>
    <w:rsid w:val="001E5C8C"/>
    <w:rsid w:val="001E5F11"/>
    <w:rsid w:val="001E617D"/>
    <w:rsid w:val="001E629B"/>
    <w:rsid w:val="001E634B"/>
    <w:rsid w:val="001E65FC"/>
    <w:rsid w:val="001E6647"/>
    <w:rsid w:val="001E66B7"/>
    <w:rsid w:val="001E6820"/>
    <w:rsid w:val="001E68D5"/>
    <w:rsid w:val="001E6CB0"/>
    <w:rsid w:val="001E6CBF"/>
    <w:rsid w:val="001E6D77"/>
    <w:rsid w:val="001E70A9"/>
    <w:rsid w:val="001E7109"/>
    <w:rsid w:val="001E7386"/>
    <w:rsid w:val="001E73BA"/>
    <w:rsid w:val="001E7481"/>
    <w:rsid w:val="001E748A"/>
    <w:rsid w:val="001E7740"/>
    <w:rsid w:val="001E77D8"/>
    <w:rsid w:val="001E784C"/>
    <w:rsid w:val="001E78E1"/>
    <w:rsid w:val="001E7BD4"/>
    <w:rsid w:val="001E7BFA"/>
    <w:rsid w:val="001E7C55"/>
    <w:rsid w:val="001F00A1"/>
    <w:rsid w:val="001F020C"/>
    <w:rsid w:val="001F058F"/>
    <w:rsid w:val="001F05CD"/>
    <w:rsid w:val="001F0688"/>
    <w:rsid w:val="001F085A"/>
    <w:rsid w:val="001F0CCD"/>
    <w:rsid w:val="001F0D07"/>
    <w:rsid w:val="001F0D3B"/>
    <w:rsid w:val="001F0DDC"/>
    <w:rsid w:val="001F1095"/>
    <w:rsid w:val="001F10A4"/>
    <w:rsid w:val="001F1308"/>
    <w:rsid w:val="001F157D"/>
    <w:rsid w:val="001F1585"/>
    <w:rsid w:val="001F15F2"/>
    <w:rsid w:val="001F19A1"/>
    <w:rsid w:val="001F19DA"/>
    <w:rsid w:val="001F1B45"/>
    <w:rsid w:val="001F1CB5"/>
    <w:rsid w:val="001F1FBC"/>
    <w:rsid w:val="001F256A"/>
    <w:rsid w:val="001F26D3"/>
    <w:rsid w:val="001F29D9"/>
    <w:rsid w:val="001F2B88"/>
    <w:rsid w:val="001F2BA5"/>
    <w:rsid w:val="001F2E62"/>
    <w:rsid w:val="001F340B"/>
    <w:rsid w:val="001F35A2"/>
    <w:rsid w:val="001F3743"/>
    <w:rsid w:val="001F3C0A"/>
    <w:rsid w:val="001F3C41"/>
    <w:rsid w:val="001F3D2B"/>
    <w:rsid w:val="001F3D42"/>
    <w:rsid w:val="001F404F"/>
    <w:rsid w:val="001F45A1"/>
    <w:rsid w:val="001F4766"/>
    <w:rsid w:val="001F496B"/>
    <w:rsid w:val="001F4A1B"/>
    <w:rsid w:val="001F4CC1"/>
    <w:rsid w:val="001F4DAE"/>
    <w:rsid w:val="001F4F68"/>
    <w:rsid w:val="001F5033"/>
    <w:rsid w:val="001F5387"/>
    <w:rsid w:val="001F56AB"/>
    <w:rsid w:val="001F584E"/>
    <w:rsid w:val="001F58C8"/>
    <w:rsid w:val="001F5A7A"/>
    <w:rsid w:val="001F5C02"/>
    <w:rsid w:val="001F5C5A"/>
    <w:rsid w:val="001F5F82"/>
    <w:rsid w:val="001F67F8"/>
    <w:rsid w:val="001F6841"/>
    <w:rsid w:val="001F68DA"/>
    <w:rsid w:val="001F6B2A"/>
    <w:rsid w:val="001F6BD8"/>
    <w:rsid w:val="001F6E0C"/>
    <w:rsid w:val="001F70F3"/>
    <w:rsid w:val="001F7113"/>
    <w:rsid w:val="001F72FF"/>
    <w:rsid w:val="001F75B1"/>
    <w:rsid w:val="001F771E"/>
    <w:rsid w:val="001F780D"/>
    <w:rsid w:val="001F7F2E"/>
    <w:rsid w:val="00200453"/>
    <w:rsid w:val="002004B4"/>
    <w:rsid w:val="002005A1"/>
    <w:rsid w:val="0020062B"/>
    <w:rsid w:val="002006F2"/>
    <w:rsid w:val="0020072C"/>
    <w:rsid w:val="0020082E"/>
    <w:rsid w:val="002008B1"/>
    <w:rsid w:val="002009A1"/>
    <w:rsid w:val="002009AF"/>
    <w:rsid w:val="00200B9C"/>
    <w:rsid w:val="00200C11"/>
    <w:rsid w:val="00200FE7"/>
    <w:rsid w:val="00201078"/>
    <w:rsid w:val="00201379"/>
    <w:rsid w:val="002015B0"/>
    <w:rsid w:val="0020199F"/>
    <w:rsid w:val="00201AD2"/>
    <w:rsid w:val="00201B80"/>
    <w:rsid w:val="00201CB9"/>
    <w:rsid w:val="002021BF"/>
    <w:rsid w:val="0020236A"/>
    <w:rsid w:val="0020276E"/>
    <w:rsid w:val="002027A1"/>
    <w:rsid w:val="00202CE8"/>
    <w:rsid w:val="00202F31"/>
    <w:rsid w:val="00203203"/>
    <w:rsid w:val="00203379"/>
    <w:rsid w:val="002034DD"/>
    <w:rsid w:val="002035DE"/>
    <w:rsid w:val="0020365E"/>
    <w:rsid w:val="002037AB"/>
    <w:rsid w:val="002039A4"/>
    <w:rsid w:val="00203B56"/>
    <w:rsid w:val="00203EB6"/>
    <w:rsid w:val="00203F18"/>
    <w:rsid w:val="0020414A"/>
    <w:rsid w:val="002041D5"/>
    <w:rsid w:val="00204297"/>
    <w:rsid w:val="002044C0"/>
    <w:rsid w:val="00204982"/>
    <w:rsid w:val="00204F08"/>
    <w:rsid w:val="00205008"/>
    <w:rsid w:val="002050AE"/>
    <w:rsid w:val="002052BC"/>
    <w:rsid w:val="0020553B"/>
    <w:rsid w:val="0020574C"/>
    <w:rsid w:val="00205B0B"/>
    <w:rsid w:val="00205B9B"/>
    <w:rsid w:val="00205DC6"/>
    <w:rsid w:val="00205ECF"/>
    <w:rsid w:val="00206049"/>
    <w:rsid w:val="002062D1"/>
    <w:rsid w:val="00206309"/>
    <w:rsid w:val="00206755"/>
    <w:rsid w:val="002067C4"/>
    <w:rsid w:val="00206865"/>
    <w:rsid w:val="002068E7"/>
    <w:rsid w:val="00206BAC"/>
    <w:rsid w:val="00206D71"/>
    <w:rsid w:val="00206D7A"/>
    <w:rsid w:val="00206F14"/>
    <w:rsid w:val="00206F7B"/>
    <w:rsid w:val="00207B16"/>
    <w:rsid w:val="00207BE8"/>
    <w:rsid w:val="00207FAA"/>
    <w:rsid w:val="002100F4"/>
    <w:rsid w:val="0021013B"/>
    <w:rsid w:val="00210322"/>
    <w:rsid w:val="002108F3"/>
    <w:rsid w:val="00210A01"/>
    <w:rsid w:val="00210CE8"/>
    <w:rsid w:val="00210CEC"/>
    <w:rsid w:val="00210DF8"/>
    <w:rsid w:val="0021137D"/>
    <w:rsid w:val="002116C5"/>
    <w:rsid w:val="00211C9C"/>
    <w:rsid w:val="00211D39"/>
    <w:rsid w:val="00211E06"/>
    <w:rsid w:val="00211E1D"/>
    <w:rsid w:val="002120F6"/>
    <w:rsid w:val="00212179"/>
    <w:rsid w:val="002121C3"/>
    <w:rsid w:val="00212677"/>
    <w:rsid w:val="00212731"/>
    <w:rsid w:val="002127EE"/>
    <w:rsid w:val="0021297A"/>
    <w:rsid w:val="00212981"/>
    <w:rsid w:val="00212BCE"/>
    <w:rsid w:val="00212E4E"/>
    <w:rsid w:val="00212F4D"/>
    <w:rsid w:val="002130E5"/>
    <w:rsid w:val="00213263"/>
    <w:rsid w:val="00213584"/>
    <w:rsid w:val="002136BA"/>
    <w:rsid w:val="002137AB"/>
    <w:rsid w:val="00213A47"/>
    <w:rsid w:val="00213A6B"/>
    <w:rsid w:val="00213BEC"/>
    <w:rsid w:val="00213C92"/>
    <w:rsid w:val="00213D0F"/>
    <w:rsid w:val="00214199"/>
    <w:rsid w:val="0021434F"/>
    <w:rsid w:val="0021438F"/>
    <w:rsid w:val="00214429"/>
    <w:rsid w:val="002148C7"/>
    <w:rsid w:val="00214A13"/>
    <w:rsid w:val="00214C5F"/>
    <w:rsid w:val="00215265"/>
    <w:rsid w:val="002152C3"/>
    <w:rsid w:val="002153CC"/>
    <w:rsid w:val="00215CD4"/>
    <w:rsid w:val="00215F2A"/>
    <w:rsid w:val="00216000"/>
    <w:rsid w:val="00216055"/>
    <w:rsid w:val="00216190"/>
    <w:rsid w:val="002162A1"/>
    <w:rsid w:val="002163F3"/>
    <w:rsid w:val="0021673C"/>
    <w:rsid w:val="00216B7A"/>
    <w:rsid w:val="00216F7D"/>
    <w:rsid w:val="002171D1"/>
    <w:rsid w:val="002171FD"/>
    <w:rsid w:val="00217443"/>
    <w:rsid w:val="002174A3"/>
    <w:rsid w:val="002174AD"/>
    <w:rsid w:val="002174CF"/>
    <w:rsid w:val="00217678"/>
    <w:rsid w:val="0021768C"/>
    <w:rsid w:val="002179FF"/>
    <w:rsid w:val="00217F87"/>
    <w:rsid w:val="00217FE3"/>
    <w:rsid w:val="00220054"/>
    <w:rsid w:val="00220229"/>
    <w:rsid w:val="002202BA"/>
    <w:rsid w:val="002206C0"/>
    <w:rsid w:val="00220B4E"/>
    <w:rsid w:val="00220C08"/>
    <w:rsid w:val="00220F92"/>
    <w:rsid w:val="002210FC"/>
    <w:rsid w:val="002214E0"/>
    <w:rsid w:val="00221BDE"/>
    <w:rsid w:val="00221DF2"/>
    <w:rsid w:val="00221E83"/>
    <w:rsid w:val="00222081"/>
    <w:rsid w:val="00222210"/>
    <w:rsid w:val="00222240"/>
    <w:rsid w:val="002225C5"/>
    <w:rsid w:val="0022260A"/>
    <w:rsid w:val="002226B7"/>
    <w:rsid w:val="00222987"/>
    <w:rsid w:val="00222A7F"/>
    <w:rsid w:val="00222B7F"/>
    <w:rsid w:val="00222C1A"/>
    <w:rsid w:val="00223036"/>
    <w:rsid w:val="002230B1"/>
    <w:rsid w:val="002236AC"/>
    <w:rsid w:val="00223724"/>
    <w:rsid w:val="00223765"/>
    <w:rsid w:val="00223B51"/>
    <w:rsid w:val="00223C0B"/>
    <w:rsid w:val="00224270"/>
    <w:rsid w:val="002242A5"/>
    <w:rsid w:val="002242DF"/>
    <w:rsid w:val="002243A7"/>
    <w:rsid w:val="0022445E"/>
    <w:rsid w:val="0022451A"/>
    <w:rsid w:val="002249BD"/>
    <w:rsid w:val="00224A49"/>
    <w:rsid w:val="00224B3B"/>
    <w:rsid w:val="00224BFE"/>
    <w:rsid w:val="00224F15"/>
    <w:rsid w:val="00224F62"/>
    <w:rsid w:val="00225025"/>
    <w:rsid w:val="002255E5"/>
    <w:rsid w:val="0022593E"/>
    <w:rsid w:val="00225D6A"/>
    <w:rsid w:val="00225E4C"/>
    <w:rsid w:val="00225E9C"/>
    <w:rsid w:val="002268DA"/>
    <w:rsid w:val="00226903"/>
    <w:rsid w:val="00226A42"/>
    <w:rsid w:val="00226B09"/>
    <w:rsid w:val="00226F78"/>
    <w:rsid w:val="00226FD2"/>
    <w:rsid w:val="0022714D"/>
    <w:rsid w:val="00227851"/>
    <w:rsid w:val="002279AD"/>
    <w:rsid w:val="00227E20"/>
    <w:rsid w:val="00227EBD"/>
    <w:rsid w:val="00227F4E"/>
    <w:rsid w:val="0023006C"/>
    <w:rsid w:val="00230488"/>
    <w:rsid w:val="00230578"/>
    <w:rsid w:val="00230652"/>
    <w:rsid w:val="00230772"/>
    <w:rsid w:val="002308AB"/>
    <w:rsid w:val="00230AC1"/>
    <w:rsid w:val="00230CB3"/>
    <w:rsid w:val="00230CDA"/>
    <w:rsid w:val="00230CDB"/>
    <w:rsid w:val="00230EB3"/>
    <w:rsid w:val="00230F30"/>
    <w:rsid w:val="002311CA"/>
    <w:rsid w:val="0023132F"/>
    <w:rsid w:val="00231464"/>
    <w:rsid w:val="0023149D"/>
    <w:rsid w:val="00231573"/>
    <w:rsid w:val="002316FD"/>
    <w:rsid w:val="002317D0"/>
    <w:rsid w:val="00231839"/>
    <w:rsid w:val="002319AE"/>
    <w:rsid w:val="00231C14"/>
    <w:rsid w:val="00231C63"/>
    <w:rsid w:val="00231F8F"/>
    <w:rsid w:val="0023229F"/>
    <w:rsid w:val="0023254C"/>
    <w:rsid w:val="002325C5"/>
    <w:rsid w:val="002327B8"/>
    <w:rsid w:val="00232B40"/>
    <w:rsid w:val="00232B8F"/>
    <w:rsid w:val="00232E0E"/>
    <w:rsid w:val="00232E72"/>
    <w:rsid w:val="00232ECA"/>
    <w:rsid w:val="00232EFB"/>
    <w:rsid w:val="002330EC"/>
    <w:rsid w:val="00233146"/>
    <w:rsid w:val="0023353D"/>
    <w:rsid w:val="002336CA"/>
    <w:rsid w:val="002338ED"/>
    <w:rsid w:val="00233980"/>
    <w:rsid w:val="00233A72"/>
    <w:rsid w:val="00233BD6"/>
    <w:rsid w:val="00233C2D"/>
    <w:rsid w:val="00233DFD"/>
    <w:rsid w:val="00234100"/>
    <w:rsid w:val="0023419A"/>
    <w:rsid w:val="00234374"/>
    <w:rsid w:val="002347D4"/>
    <w:rsid w:val="002352E7"/>
    <w:rsid w:val="0023534F"/>
    <w:rsid w:val="0023537B"/>
    <w:rsid w:val="002354B2"/>
    <w:rsid w:val="0023554C"/>
    <w:rsid w:val="00235685"/>
    <w:rsid w:val="00235734"/>
    <w:rsid w:val="00235744"/>
    <w:rsid w:val="00236241"/>
    <w:rsid w:val="002364CF"/>
    <w:rsid w:val="00236690"/>
    <w:rsid w:val="00236701"/>
    <w:rsid w:val="0023671C"/>
    <w:rsid w:val="00236EB0"/>
    <w:rsid w:val="002370C4"/>
    <w:rsid w:val="002371C9"/>
    <w:rsid w:val="0023726F"/>
    <w:rsid w:val="002372C2"/>
    <w:rsid w:val="002372D4"/>
    <w:rsid w:val="0023730F"/>
    <w:rsid w:val="0023765D"/>
    <w:rsid w:val="002376A0"/>
    <w:rsid w:val="002376FD"/>
    <w:rsid w:val="00237701"/>
    <w:rsid w:val="00237728"/>
    <w:rsid w:val="0023784C"/>
    <w:rsid w:val="00237D63"/>
    <w:rsid w:val="00237DAC"/>
    <w:rsid w:val="0024021E"/>
    <w:rsid w:val="002402DB"/>
    <w:rsid w:val="002405E4"/>
    <w:rsid w:val="002406A4"/>
    <w:rsid w:val="002409C3"/>
    <w:rsid w:val="00240CB7"/>
    <w:rsid w:val="00240DD0"/>
    <w:rsid w:val="00240DD4"/>
    <w:rsid w:val="00240F8F"/>
    <w:rsid w:val="0024104E"/>
    <w:rsid w:val="00241074"/>
    <w:rsid w:val="0024165A"/>
    <w:rsid w:val="00241670"/>
    <w:rsid w:val="00241806"/>
    <w:rsid w:val="00241865"/>
    <w:rsid w:val="002418D2"/>
    <w:rsid w:val="00241C36"/>
    <w:rsid w:val="00241CD2"/>
    <w:rsid w:val="00241D58"/>
    <w:rsid w:val="00241EAB"/>
    <w:rsid w:val="00241F19"/>
    <w:rsid w:val="00241F6F"/>
    <w:rsid w:val="002421F0"/>
    <w:rsid w:val="002421F6"/>
    <w:rsid w:val="00242419"/>
    <w:rsid w:val="002425C1"/>
    <w:rsid w:val="002426AE"/>
    <w:rsid w:val="00242748"/>
    <w:rsid w:val="0024289F"/>
    <w:rsid w:val="00242BBA"/>
    <w:rsid w:val="00242C1C"/>
    <w:rsid w:val="00242C39"/>
    <w:rsid w:val="00242FEC"/>
    <w:rsid w:val="00243074"/>
    <w:rsid w:val="00243668"/>
    <w:rsid w:val="0024380A"/>
    <w:rsid w:val="002438D3"/>
    <w:rsid w:val="00243905"/>
    <w:rsid w:val="00243A07"/>
    <w:rsid w:val="00243A78"/>
    <w:rsid w:val="00243C79"/>
    <w:rsid w:val="0024423F"/>
    <w:rsid w:val="00244271"/>
    <w:rsid w:val="002442A4"/>
    <w:rsid w:val="00244555"/>
    <w:rsid w:val="00244561"/>
    <w:rsid w:val="002445FD"/>
    <w:rsid w:val="002447A7"/>
    <w:rsid w:val="002447C5"/>
    <w:rsid w:val="002447E7"/>
    <w:rsid w:val="0024499C"/>
    <w:rsid w:val="002449A9"/>
    <w:rsid w:val="00244B54"/>
    <w:rsid w:val="00244BDA"/>
    <w:rsid w:val="00244C34"/>
    <w:rsid w:val="00244CE4"/>
    <w:rsid w:val="00244F3C"/>
    <w:rsid w:val="00245011"/>
    <w:rsid w:val="0024540E"/>
    <w:rsid w:val="002455B1"/>
    <w:rsid w:val="00245B6C"/>
    <w:rsid w:val="00245C76"/>
    <w:rsid w:val="00245CB5"/>
    <w:rsid w:val="00245D7D"/>
    <w:rsid w:val="002466E1"/>
    <w:rsid w:val="00246749"/>
    <w:rsid w:val="0024676D"/>
    <w:rsid w:val="00246988"/>
    <w:rsid w:val="00246A43"/>
    <w:rsid w:val="00246E87"/>
    <w:rsid w:val="00246EAB"/>
    <w:rsid w:val="002471DB"/>
    <w:rsid w:val="00247367"/>
    <w:rsid w:val="0024766D"/>
    <w:rsid w:val="002479AE"/>
    <w:rsid w:val="00247C67"/>
    <w:rsid w:val="00247EFF"/>
    <w:rsid w:val="00250086"/>
    <w:rsid w:val="0025084F"/>
    <w:rsid w:val="00250A93"/>
    <w:rsid w:val="00250AFC"/>
    <w:rsid w:val="00250E0E"/>
    <w:rsid w:val="002510EB"/>
    <w:rsid w:val="00251267"/>
    <w:rsid w:val="002516C2"/>
    <w:rsid w:val="0025176A"/>
    <w:rsid w:val="002518B5"/>
    <w:rsid w:val="0025197D"/>
    <w:rsid w:val="00251ED8"/>
    <w:rsid w:val="002520E2"/>
    <w:rsid w:val="00252199"/>
    <w:rsid w:val="00252300"/>
    <w:rsid w:val="00252687"/>
    <w:rsid w:val="00252765"/>
    <w:rsid w:val="002529AA"/>
    <w:rsid w:val="002529D1"/>
    <w:rsid w:val="00252AD1"/>
    <w:rsid w:val="00252C23"/>
    <w:rsid w:val="00252F3D"/>
    <w:rsid w:val="00252F5B"/>
    <w:rsid w:val="00253221"/>
    <w:rsid w:val="002532CC"/>
    <w:rsid w:val="002533FA"/>
    <w:rsid w:val="0025343D"/>
    <w:rsid w:val="0025370D"/>
    <w:rsid w:val="002537FB"/>
    <w:rsid w:val="002538C1"/>
    <w:rsid w:val="002539B1"/>
    <w:rsid w:val="00253AFB"/>
    <w:rsid w:val="00253B4D"/>
    <w:rsid w:val="00253CE8"/>
    <w:rsid w:val="00253D64"/>
    <w:rsid w:val="00253DB9"/>
    <w:rsid w:val="00254287"/>
    <w:rsid w:val="002542C7"/>
    <w:rsid w:val="00254593"/>
    <w:rsid w:val="00254665"/>
    <w:rsid w:val="00254891"/>
    <w:rsid w:val="00254DC6"/>
    <w:rsid w:val="00254F32"/>
    <w:rsid w:val="002550FC"/>
    <w:rsid w:val="0025520E"/>
    <w:rsid w:val="00255341"/>
    <w:rsid w:val="0025535B"/>
    <w:rsid w:val="0025577A"/>
    <w:rsid w:val="0025591C"/>
    <w:rsid w:val="00255A2D"/>
    <w:rsid w:val="00255D81"/>
    <w:rsid w:val="00255EC7"/>
    <w:rsid w:val="00256756"/>
    <w:rsid w:val="00256842"/>
    <w:rsid w:val="00256B3D"/>
    <w:rsid w:val="00256CFF"/>
    <w:rsid w:val="00256D47"/>
    <w:rsid w:val="00256DD5"/>
    <w:rsid w:val="00256E90"/>
    <w:rsid w:val="00256FC8"/>
    <w:rsid w:val="00256FF6"/>
    <w:rsid w:val="00257258"/>
    <w:rsid w:val="002572A5"/>
    <w:rsid w:val="002572F2"/>
    <w:rsid w:val="002573FC"/>
    <w:rsid w:val="002575EC"/>
    <w:rsid w:val="0025773C"/>
    <w:rsid w:val="00257A4B"/>
    <w:rsid w:val="00260243"/>
    <w:rsid w:val="002604A9"/>
    <w:rsid w:val="00260730"/>
    <w:rsid w:val="002609C0"/>
    <w:rsid w:val="00260BDC"/>
    <w:rsid w:val="00260BF2"/>
    <w:rsid w:val="00260C2C"/>
    <w:rsid w:val="00260ED9"/>
    <w:rsid w:val="00261154"/>
    <w:rsid w:val="00261293"/>
    <w:rsid w:val="0026132E"/>
    <w:rsid w:val="0026168C"/>
    <w:rsid w:val="002618EF"/>
    <w:rsid w:val="00261962"/>
    <w:rsid w:val="00261AB0"/>
    <w:rsid w:val="00261B46"/>
    <w:rsid w:val="00261CDE"/>
    <w:rsid w:val="00261DA4"/>
    <w:rsid w:val="002620C6"/>
    <w:rsid w:val="00262359"/>
    <w:rsid w:val="00262556"/>
    <w:rsid w:val="00262573"/>
    <w:rsid w:val="00262590"/>
    <w:rsid w:val="00262C96"/>
    <w:rsid w:val="00262DC3"/>
    <w:rsid w:val="0026300C"/>
    <w:rsid w:val="002634D7"/>
    <w:rsid w:val="002634DC"/>
    <w:rsid w:val="00263713"/>
    <w:rsid w:val="0026374E"/>
    <w:rsid w:val="0026375D"/>
    <w:rsid w:val="0026379A"/>
    <w:rsid w:val="00263927"/>
    <w:rsid w:val="00263C4D"/>
    <w:rsid w:val="00263CF6"/>
    <w:rsid w:val="002641AB"/>
    <w:rsid w:val="0026421C"/>
    <w:rsid w:val="002644A0"/>
    <w:rsid w:val="002646E1"/>
    <w:rsid w:val="002649BC"/>
    <w:rsid w:val="00264A19"/>
    <w:rsid w:val="00264C13"/>
    <w:rsid w:val="00264ED3"/>
    <w:rsid w:val="00264EE2"/>
    <w:rsid w:val="002651D5"/>
    <w:rsid w:val="00265499"/>
    <w:rsid w:val="00265503"/>
    <w:rsid w:val="002656AB"/>
    <w:rsid w:val="002656D7"/>
    <w:rsid w:val="0026575F"/>
    <w:rsid w:val="00265C5F"/>
    <w:rsid w:val="00265CF6"/>
    <w:rsid w:val="00265D15"/>
    <w:rsid w:val="0026617E"/>
    <w:rsid w:val="002661B2"/>
    <w:rsid w:val="00266706"/>
    <w:rsid w:val="00266DB6"/>
    <w:rsid w:val="00266F65"/>
    <w:rsid w:val="002670E7"/>
    <w:rsid w:val="002674DF"/>
    <w:rsid w:val="002675C7"/>
    <w:rsid w:val="00267A98"/>
    <w:rsid w:val="00267CA9"/>
    <w:rsid w:val="00267D8B"/>
    <w:rsid w:val="00267D96"/>
    <w:rsid w:val="00267E62"/>
    <w:rsid w:val="00267FA6"/>
    <w:rsid w:val="002707C1"/>
    <w:rsid w:val="002709FC"/>
    <w:rsid w:val="00270A4F"/>
    <w:rsid w:val="00270A95"/>
    <w:rsid w:val="00270CC1"/>
    <w:rsid w:val="00270E2B"/>
    <w:rsid w:val="00271179"/>
    <w:rsid w:val="0027146A"/>
    <w:rsid w:val="002714B1"/>
    <w:rsid w:val="0027172B"/>
    <w:rsid w:val="00271DBD"/>
    <w:rsid w:val="00272309"/>
    <w:rsid w:val="0027273E"/>
    <w:rsid w:val="00272BCC"/>
    <w:rsid w:val="00273189"/>
    <w:rsid w:val="0027356F"/>
    <w:rsid w:val="00273A57"/>
    <w:rsid w:val="00273BB8"/>
    <w:rsid w:val="00273F39"/>
    <w:rsid w:val="0027409F"/>
    <w:rsid w:val="002740FC"/>
    <w:rsid w:val="00274104"/>
    <w:rsid w:val="0027440E"/>
    <w:rsid w:val="00274596"/>
    <w:rsid w:val="00274E71"/>
    <w:rsid w:val="0027529D"/>
    <w:rsid w:val="002752B1"/>
    <w:rsid w:val="002752FA"/>
    <w:rsid w:val="002753CF"/>
    <w:rsid w:val="002754C5"/>
    <w:rsid w:val="002756CF"/>
    <w:rsid w:val="002757EE"/>
    <w:rsid w:val="00275822"/>
    <w:rsid w:val="00275A45"/>
    <w:rsid w:val="00275C7B"/>
    <w:rsid w:val="00275D28"/>
    <w:rsid w:val="00275E0A"/>
    <w:rsid w:val="00275F19"/>
    <w:rsid w:val="0027603B"/>
    <w:rsid w:val="00276142"/>
    <w:rsid w:val="002761AF"/>
    <w:rsid w:val="002762E4"/>
    <w:rsid w:val="002763EB"/>
    <w:rsid w:val="002764E0"/>
    <w:rsid w:val="0027695C"/>
    <w:rsid w:val="002769EE"/>
    <w:rsid w:val="00276A99"/>
    <w:rsid w:val="00277016"/>
    <w:rsid w:val="002774C4"/>
    <w:rsid w:val="00277879"/>
    <w:rsid w:val="00277C89"/>
    <w:rsid w:val="00277CC9"/>
    <w:rsid w:val="00277E97"/>
    <w:rsid w:val="002800B1"/>
    <w:rsid w:val="00280261"/>
    <w:rsid w:val="00280380"/>
    <w:rsid w:val="002803FC"/>
    <w:rsid w:val="00280495"/>
    <w:rsid w:val="002805C3"/>
    <w:rsid w:val="0028071C"/>
    <w:rsid w:val="00280879"/>
    <w:rsid w:val="0028098A"/>
    <w:rsid w:val="00280BC1"/>
    <w:rsid w:val="00280BDE"/>
    <w:rsid w:val="00280F5C"/>
    <w:rsid w:val="00280F8C"/>
    <w:rsid w:val="00281091"/>
    <w:rsid w:val="00281159"/>
    <w:rsid w:val="00281277"/>
    <w:rsid w:val="00281400"/>
    <w:rsid w:val="002814CE"/>
    <w:rsid w:val="0028155F"/>
    <w:rsid w:val="0028174C"/>
    <w:rsid w:val="002817F5"/>
    <w:rsid w:val="0028181D"/>
    <w:rsid w:val="00281A3A"/>
    <w:rsid w:val="00281B4E"/>
    <w:rsid w:val="00281DFB"/>
    <w:rsid w:val="00281FE5"/>
    <w:rsid w:val="0028207C"/>
    <w:rsid w:val="002820C8"/>
    <w:rsid w:val="0028214A"/>
    <w:rsid w:val="00282296"/>
    <w:rsid w:val="002822B7"/>
    <w:rsid w:val="0028237A"/>
    <w:rsid w:val="00282511"/>
    <w:rsid w:val="00282616"/>
    <w:rsid w:val="0028287D"/>
    <w:rsid w:val="0028299F"/>
    <w:rsid w:val="00282A67"/>
    <w:rsid w:val="00282CB7"/>
    <w:rsid w:val="00282EC0"/>
    <w:rsid w:val="00282FF9"/>
    <w:rsid w:val="00283108"/>
    <w:rsid w:val="00283122"/>
    <w:rsid w:val="00283194"/>
    <w:rsid w:val="002831D8"/>
    <w:rsid w:val="00283222"/>
    <w:rsid w:val="002832E0"/>
    <w:rsid w:val="00283455"/>
    <w:rsid w:val="00283672"/>
    <w:rsid w:val="00283B25"/>
    <w:rsid w:val="00283BAD"/>
    <w:rsid w:val="00283D41"/>
    <w:rsid w:val="00283D6F"/>
    <w:rsid w:val="00283F0B"/>
    <w:rsid w:val="0028406C"/>
    <w:rsid w:val="00284128"/>
    <w:rsid w:val="002844B6"/>
    <w:rsid w:val="00284634"/>
    <w:rsid w:val="00284669"/>
    <w:rsid w:val="002846A6"/>
    <w:rsid w:val="0028477C"/>
    <w:rsid w:val="002848B2"/>
    <w:rsid w:val="00284C2B"/>
    <w:rsid w:val="00284C81"/>
    <w:rsid w:val="00285089"/>
    <w:rsid w:val="00285228"/>
    <w:rsid w:val="00285364"/>
    <w:rsid w:val="00285383"/>
    <w:rsid w:val="00285421"/>
    <w:rsid w:val="002856FC"/>
    <w:rsid w:val="002857C7"/>
    <w:rsid w:val="00285806"/>
    <w:rsid w:val="00285981"/>
    <w:rsid w:val="002859AB"/>
    <w:rsid w:val="00285B4E"/>
    <w:rsid w:val="00285E11"/>
    <w:rsid w:val="002861AB"/>
    <w:rsid w:val="00286285"/>
    <w:rsid w:val="00286453"/>
    <w:rsid w:val="00286484"/>
    <w:rsid w:val="00286535"/>
    <w:rsid w:val="00286A99"/>
    <w:rsid w:val="00286B5B"/>
    <w:rsid w:val="00286F15"/>
    <w:rsid w:val="002874A5"/>
    <w:rsid w:val="002874B5"/>
    <w:rsid w:val="002875A3"/>
    <w:rsid w:val="0028768F"/>
    <w:rsid w:val="00287CE4"/>
    <w:rsid w:val="00287E6A"/>
    <w:rsid w:val="00290302"/>
    <w:rsid w:val="00290307"/>
    <w:rsid w:val="002903B1"/>
    <w:rsid w:val="00290496"/>
    <w:rsid w:val="00290A3D"/>
    <w:rsid w:val="00290C1F"/>
    <w:rsid w:val="002910FC"/>
    <w:rsid w:val="002911A0"/>
    <w:rsid w:val="002912B0"/>
    <w:rsid w:val="00291405"/>
    <w:rsid w:val="0029153A"/>
    <w:rsid w:val="002918D7"/>
    <w:rsid w:val="00291BE5"/>
    <w:rsid w:val="00291C5D"/>
    <w:rsid w:val="00291C64"/>
    <w:rsid w:val="00291D1C"/>
    <w:rsid w:val="00291D8C"/>
    <w:rsid w:val="00291D96"/>
    <w:rsid w:val="002923E0"/>
    <w:rsid w:val="002927DD"/>
    <w:rsid w:val="002928EA"/>
    <w:rsid w:val="002929A6"/>
    <w:rsid w:val="00292AC5"/>
    <w:rsid w:val="00292BAD"/>
    <w:rsid w:val="00292DFC"/>
    <w:rsid w:val="00292F68"/>
    <w:rsid w:val="00292FDB"/>
    <w:rsid w:val="002932D0"/>
    <w:rsid w:val="002934CB"/>
    <w:rsid w:val="0029356A"/>
    <w:rsid w:val="002936B1"/>
    <w:rsid w:val="00293952"/>
    <w:rsid w:val="00293A13"/>
    <w:rsid w:val="00293B40"/>
    <w:rsid w:val="0029406A"/>
    <w:rsid w:val="002940CC"/>
    <w:rsid w:val="00294264"/>
    <w:rsid w:val="00294385"/>
    <w:rsid w:val="00294390"/>
    <w:rsid w:val="00294601"/>
    <w:rsid w:val="00294705"/>
    <w:rsid w:val="0029485A"/>
    <w:rsid w:val="002949BA"/>
    <w:rsid w:val="00294D75"/>
    <w:rsid w:val="00294DCF"/>
    <w:rsid w:val="00295158"/>
    <w:rsid w:val="00295468"/>
    <w:rsid w:val="00295705"/>
    <w:rsid w:val="00295748"/>
    <w:rsid w:val="002958E6"/>
    <w:rsid w:val="00295934"/>
    <w:rsid w:val="002959AF"/>
    <w:rsid w:val="00295B74"/>
    <w:rsid w:val="00295BB3"/>
    <w:rsid w:val="00295C62"/>
    <w:rsid w:val="00295C7A"/>
    <w:rsid w:val="00295E4B"/>
    <w:rsid w:val="00295E73"/>
    <w:rsid w:val="00295EFC"/>
    <w:rsid w:val="00296294"/>
    <w:rsid w:val="002962EA"/>
    <w:rsid w:val="00296388"/>
    <w:rsid w:val="00296610"/>
    <w:rsid w:val="00296639"/>
    <w:rsid w:val="002969AB"/>
    <w:rsid w:val="00296C43"/>
    <w:rsid w:val="00296D92"/>
    <w:rsid w:val="00297023"/>
    <w:rsid w:val="002970E0"/>
    <w:rsid w:val="002971F1"/>
    <w:rsid w:val="002973EE"/>
    <w:rsid w:val="00297474"/>
    <w:rsid w:val="0029779B"/>
    <w:rsid w:val="002978DF"/>
    <w:rsid w:val="00297A73"/>
    <w:rsid w:val="00297D76"/>
    <w:rsid w:val="00299C23"/>
    <w:rsid w:val="002A02AF"/>
    <w:rsid w:val="002A0631"/>
    <w:rsid w:val="002A0691"/>
    <w:rsid w:val="002A072F"/>
    <w:rsid w:val="002A0CDD"/>
    <w:rsid w:val="002A1002"/>
    <w:rsid w:val="002A1251"/>
    <w:rsid w:val="002A128A"/>
    <w:rsid w:val="002A1792"/>
    <w:rsid w:val="002A1AC7"/>
    <w:rsid w:val="002A1B02"/>
    <w:rsid w:val="002A1D02"/>
    <w:rsid w:val="002A1F0E"/>
    <w:rsid w:val="002A1F2F"/>
    <w:rsid w:val="002A2893"/>
    <w:rsid w:val="002A2B73"/>
    <w:rsid w:val="002A2B8D"/>
    <w:rsid w:val="002A2BFB"/>
    <w:rsid w:val="002A30C2"/>
    <w:rsid w:val="002A3270"/>
    <w:rsid w:val="002A3512"/>
    <w:rsid w:val="002A3550"/>
    <w:rsid w:val="002A360D"/>
    <w:rsid w:val="002A3BCD"/>
    <w:rsid w:val="002A3D5A"/>
    <w:rsid w:val="002A3E1C"/>
    <w:rsid w:val="002A3EE8"/>
    <w:rsid w:val="002A4201"/>
    <w:rsid w:val="002A439B"/>
    <w:rsid w:val="002A46B0"/>
    <w:rsid w:val="002A480E"/>
    <w:rsid w:val="002A4A1A"/>
    <w:rsid w:val="002A4BD5"/>
    <w:rsid w:val="002A4C01"/>
    <w:rsid w:val="002A4C3F"/>
    <w:rsid w:val="002A4ED8"/>
    <w:rsid w:val="002A4FAD"/>
    <w:rsid w:val="002A518F"/>
    <w:rsid w:val="002A54AF"/>
    <w:rsid w:val="002A5584"/>
    <w:rsid w:val="002A5750"/>
    <w:rsid w:val="002A5771"/>
    <w:rsid w:val="002A58FA"/>
    <w:rsid w:val="002A5AB2"/>
    <w:rsid w:val="002A5BEB"/>
    <w:rsid w:val="002A5D34"/>
    <w:rsid w:val="002A61AE"/>
    <w:rsid w:val="002A621C"/>
    <w:rsid w:val="002A6388"/>
    <w:rsid w:val="002A63AA"/>
    <w:rsid w:val="002A64E9"/>
    <w:rsid w:val="002A6656"/>
    <w:rsid w:val="002A66D4"/>
    <w:rsid w:val="002A6941"/>
    <w:rsid w:val="002A6CA6"/>
    <w:rsid w:val="002A6D90"/>
    <w:rsid w:val="002A6E4D"/>
    <w:rsid w:val="002A6E74"/>
    <w:rsid w:val="002A6EFE"/>
    <w:rsid w:val="002A7013"/>
    <w:rsid w:val="002A78FE"/>
    <w:rsid w:val="002A7C2F"/>
    <w:rsid w:val="002A7C4C"/>
    <w:rsid w:val="002A7D40"/>
    <w:rsid w:val="002B0023"/>
    <w:rsid w:val="002B01AC"/>
    <w:rsid w:val="002B036A"/>
    <w:rsid w:val="002B04D7"/>
    <w:rsid w:val="002B078E"/>
    <w:rsid w:val="002B0C3F"/>
    <w:rsid w:val="002B1434"/>
    <w:rsid w:val="002B1453"/>
    <w:rsid w:val="002B1832"/>
    <w:rsid w:val="002B1988"/>
    <w:rsid w:val="002B1CD9"/>
    <w:rsid w:val="002B1D5B"/>
    <w:rsid w:val="002B2043"/>
    <w:rsid w:val="002B2157"/>
    <w:rsid w:val="002B2312"/>
    <w:rsid w:val="002B24AF"/>
    <w:rsid w:val="002B2939"/>
    <w:rsid w:val="002B2CF2"/>
    <w:rsid w:val="002B2D12"/>
    <w:rsid w:val="002B2E6F"/>
    <w:rsid w:val="002B3216"/>
    <w:rsid w:val="002B329B"/>
    <w:rsid w:val="002B331E"/>
    <w:rsid w:val="002B34F5"/>
    <w:rsid w:val="002B3576"/>
    <w:rsid w:val="002B3609"/>
    <w:rsid w:val="002B3A26"/>
    <w:rsid w:val="002B3B9B"/>
    <w:rsid w:val="002B3E98"/>
    <w:rsid w:val="002B3FC9"/>
    <w:rsid w:val="002B4042"/>
    <w:rsid w:val="002B4354"/>
    <w:rsid w:val="002B44F2"/>
    <w:rsid w:val="002B4C40"/>
    <w:rsid w:val="002B4C79"/>
    <w:rsid w:val="002B4DC4"/>
    <w:rsid w:val="002B4E8D"/>
    <w:rsid w:val="002B4F0E"/>
    <w:rsid w:val="002B4FE0"/>
    <w:rsid w:val="002B50FE"/>
    <w:rsid w:val="002B52AF"/>
    <w:rsid w:val="002B534E"/>
    <w:rsid w:val="002B5AF4"/>
    <w:rsid w:val="002B622B"/>
    <w:rsid w:val="002B625B"/>
    <w:rsid w:val="002B631F"/>
    <w:rsid w:val="002B66B6"/>
    <w:rsid w:val="002B6757"/>
    <w:rsid w:val="002B6B1D"/>
    <w:rsid w:val="002B6D54"/>
    <w:rsid w:val="002B7073"/>
    <w:rsid w:val="002B7126"/>
    <w:rsid w:val="002B72C1"/>
    <w:rsid w:val="002B73B9"/>
    <w:rsid w:val="002B7465"/>
    <w:rsid w:val="002B76B3"/>
    <w:rsid w:val="002B76CE"/>
    <w:rsid w:val="002B7812"/>
    <w:rsid w:val="002B79C1"/>
    <w:rsid w:val="002B7A30"/>
    <w:rsid w:val="002B7AAA"/>
    <w:rsid w:val="002B7B47"/>
    <w:rsid w:val="002B7BB7"/>
    <w:rsid w:val="002C022E"/>
    <w:rsid w:val="002C024D"/>
    <w:rsid w:val="002C0971"/>
    <w:rsid w:val="002C0B3B"/>
    <w:rsid w:val="002C0BA0"/>
    <w:rsid w:val="002C0BD0"/>
    <w:rsid w:val="002C0E15"/>
    <w:rsid w:val="002C0EAE"/>
    <w:rsid w:val="002C1142"/>
    <w:rsid w:val="002C11FE"/>
    <w:rsid w:val="002C120C"/>
    <w:rsid w:val="002C12FC"/>
    <w:rsid w:val="002C167B"/>
    <w:rsid w:val="002C1A3B"/>
    <w:rsid w:val="002C1BF9"/>
    <w:rsid w:val="002C1CC3"/>
    <w:rsid w:val="002C1F1C"/>
    <w:rsid w:val="002C1F5B"/>
    <w:rsid w:val="002C24AB"/>
    <w:rsid w:val="002C26F6"/>
    <w:rsid w:val="002C2857"/>
    <w:rsid w:val="002C2953"/>
    <w:rsid w:val="002C2DFF"/>
    <w:rsid w:val="002C2E41"/>
    <w:rsid w:val="002C2EC6"/>
    <w:rsid w:val="002C323A"/>
    <w:rsid w:val="002C3284"/>
    <w:rsid w:val="002C329A"/>
    <w:rsid w:val="002C394C"/>
    <w:rsid w:val="002C39F9"/>
    <w:rsid w:val="002C3B2F"/>
    <w:rsid w:val="002C3D6D"/>
    <w:rsid w:val="002C3E88"/>
    <w:rsid w:val="002C3EB7"/>
    <w:rsid w:val="002C3FFF"/>
    <w:rsid w:val="002C40B0"/>
    <w:rsid w:val="002C413A"/>
    <w:rsid w:val="002C423C"/>
    <w:rsid w:val="002C4406"/>
    <w:rsid w:val="002C4535"/>
    <w:rsid w:val="002C47F8"/>
    <w:rsid w:val="002C481A"/>
    <w:rsid w:val="002C4A82"/>
    <w:rsid w:val="002C4B72"/>
    <w:rsid w:val="002C5194"/>
    <w:rsid w:val="002C54A5"/>
    <w:rsid w:val="002C5A60"/>
    <w:rsid w:val="002C5BB4"/>
    <w:rsid w:val="002C5F2C"/>
    <w:rsid w:val="002C5F90"/>
    <w:rsid w:val="002C60AE"/>
    <w:rsid w:val="002C614A"/>
    <w:rsid w:val="002C6642"/>
    <w:rsid w:val="002C681F"/>
    <w:rsid w:val="002C6903"/>
    <w:rsid w:val="002C6B35"/>
    <w:rsid w:val="002C6F88"/>
    <w:rsid w:val="002C732B"/>
    <w:rsid w:val="002C762D"/>
    <w:rsid w:val="002C767C"/>
    <w:rsid w:val="002C7718"/>
    <w:rsid w:val="002C7773"/>
    <w:rsid w:val="002C777A"/>
    <w:rsid w:val="002C78F7"/>
    <w:rsid w:val="002C79FF"/>
    <w:rsid w:val="002D0054"/>
    <w:rsid w:val="002D018A"/>
    <w:rsid w:val="002D01E2"/>
    <w:rsid w:val="002D02E5"/>
    <w:rsid w:val="002D0785"/>
    <w:rsid w:val="002D09EE"/>
    <w:rsid w:val="002D0B7F"/>
    <w:rsid w:val="002D106D"/>
    <w:rsid w:val="002D13F8"/>
    <w:rsid w:val="002D149C"/>
    <w:rsid w:val="002D158F"/>
    <w:rsid w:val="002D1958"/>
    <w:rsid w:val="002D1CD5"/>
    <w:rsid w:val="002D1F3B"/>
    <w:rsid w:val="002D1FFF"/>
    <w:rsid w:val="002D228E"/>
    <w:rsid w:val="002D25E1"/>
    <w:rsid w:val="002D27BC"/>
    <w:rsid w:val="002D2B7F"/>
    <w:rsid w:val="002D31EA"/>
    <w:rsid w:val="002D349E"/>
    <w:rsid w:val="002D34AB"/>
    <w:rsid w:val="002D35D2"/>
    <w:rsid w:val="002D36C5"/>
    <w:rsid w:val="002D39A6"/>
    <w:rsid w:val="002D39F9"/>
    <w:rsid w:val="002D3A5B"/>
    <w:rsid w:val="002D3E69"/>
    <w:rsid w:val="002D3F56"/>
    <w:rsid w:val="002D3F82"/>
    <w:rsid w:val="002D3FA1"/>
    <w:rsid w:val="002D4011"/>
    <w:rsid w:val="002D476E"/>
    <w:rsid w:val="002D47E0"/>
    <w:rsid w:val="002D482E"/>
    <w:rsid w:val="002D485F"/>
    <w:rsid w:val="002D4E7C"/>
    <w:rsid w:val="002D5051"/>
    <w:rsid w:val="002D5115"/>
    <w:rsid w:val="002D52DB"/>
    <w:rsid w:val="002D53B0"/>
    <w:rsid w:val="002D5431"/>
    <w:rsid w:val="002D5629"/>
    <w:rsid w:val="002D5830"/>
    <w:rsid w:val="002D6014"/>
    <w:rsid w:val="002D61F1"/>
    <w:rsid w:val="002D640F"/>
    <w:rsid w:val="002D667A"/>
    <w:rsid w:val="002D6923"/>
    <w:rsid w:val="002D69D0"/>
    <w:rsid w:val="002D6E6F"/>
    <w:rsid w:val="002D6F35"/>
    <w:rsid w:val="002D7090"/>
    <w:rsid w:val="002D758C"/>
    <w:rsid w:val="002D773F"/>
    <w:rsid w:val="002D7894"/>
    <w:rsid w:val="002D7925"/>
    <w:rsid w:val="002D79D8"/>
    <w:rsid w:val="002D7A46"/>
    <w:rsid w:val="002D7E36"/>
    <w:rsid w:val="002D7EB8"/>
    <w:rsid w:val="002E04BF"/>
    <w:rsid w:val="002E04DE"/>
    <w:rsid w:val="002E06AE"/>
    <w:rsid w:val="002E0805"/>
    <w:rsid w:val="002E09B5"/>
    <w:rsid w:val="002E0A88"/>
    <w:rsid w:val="002E0AB7"/>
    <w:rsid w:val="002E0AE2"/>
    <w:rsid w:val="002E0BFA"/>
    <w:rsid w:val="002E0E80"/>
    <w:rsid w:val="002E0F71"/>
    <w:rsid w:val="002E0F79"/>
    <w:rsid w:val="002E0FE3"/>
    <w:rsid w:val="002E1058"/>
    <w:rsid w:val="002E1203"/>
    <w:rsid w:val="002E122E"/>
    <w:rsid w:val="002E17D5"/>
    <w:rsid w:val="002E190D"/>
    <w:rsid w:val="002E1921"/>
    <w:rsid w:val="002E1A7C"/>
    <w:rsid w:val="002E1B29"/>
    <w:rsid w:val="002E1C1F"/>
    <w:rsid w:val="002E21B1"/>
    <w:rsid w:val="002E22D9"/>
    <w:rsid w:val="002E2453"/>
    <w:rsid w:val="002E24AC"/>
    <w:rsid w:val="002E26AA"/>
    <w:rsid w:val="002E26FE"/>
    <w:rsid w:val="002E2C5B"/>
    <w:rsid w:val="002E2E09"/>
    <w:rsid w:val="002E2F7D"/>
    <w:rsid w:val="002E30BB"/>
    <w:rsid w:val="002E3183"/>
    <w:rsid w:val="002E34AD"/>
    <w:rsid w:val="002E35A9"/>
    <w:rsid w:val="002E3766"/>
    <w:rsid w:val="002E3836"/>
    <w:rsid w:val="002E39A4"/>
    <w:rsid w:val="002E3B11"/>
    <w:rsid w:val="002E3CB8"/>
    <w:rsid w:val="002E3CCE"/>
    <w:rsid w:val="002E4184"/>
    <w:rsid w:val="002E477F"/>
    <w:rsid w:val="002E493A"/>
    <w:rsid w:val="002E4D08"/>
    <w:rsid w:val="002E4FB3"/>
    <w:rsid w:val="002E4FDA"/>
    <w:rsid w:val="002E53AD"/>
    <w:rsid w:val="002E540E"/>
    <w:rsid w:val="002E545F"/>
    <w:rsid w:val="002E5539"/>
    <w:rsid w:val="002E55E9"/>
    <w:rsid w:val="002E57EA"/>
    <w:rsid w:val="002E58AF"/>
    <w:rsid w:val="002E5C70"/>
    <w:rsid w:val="002E5D37"/>
    <w:rsid w:val="002E5F41"/>
    <w:rsid w:val="002E62C2"/>
    <w:rsid w:val="002E637D"/>
    <w:rsid w:val="002E63D7"/>
    <w:rsid w:val="002E65E1"/>
    <w:rsid w:val="002E6652"/>
    <w:rsid w:val="002E699E"/>
    <w:rsid w:val="002E6A10"/>
    <w:rsid w:val="002E6C94"/>
    <w:rsid w:val="002E70E6"/>
    <w:rsid w:val="002E747A"/>
    <w:rsid w:val="002E75CD"/>
    <w:rsid w:val="002E75E2"/>
    <w:rsid w:val="002E75E7"/>
    <w:rsid w:val="002E76BF"/>
    <w:rsid w:val="002E79B0"/>
    <w:rsid w:val="002E7E35"/>
    <w:rsid w:val="002E7F0D"/>
    <w:rsid w:val="002E7F7F"/>
    <w:rsid w:val="002E7FA5"/>
    <w:rsid w:val="002F052E"/>
    <w:rsid w:val="002F06FF"/>
    <w:rsid w:val="002F087B"/>
    <w:rsid w:val="002F08E6"/>
    <w:rsid w:val="002F09AC"/>
    <w:rsid w:val="002F0A90"/>
    <w:rsid w:val="002F0BF8"/>
    <w:rsid w:val="002F0D3A"/>
    <w:rsid w:val="002F0E14"/>
    <w:rsid w:val="002F103C"/>
    <w:rsid w:val="002F109D"/>
    <w:rsid w:val="002F1410"/>
    <w:rsid w:val="002F167F"/>
    <w:rsid w:val="002F1709"/>
    <w:rsid w:val="002F1848"/>
    <w:rsid w:val="002F1850"/>
    <w:rsid w:val="002F1977"/>
    <w:rsid w:val="002F19AE"/>
    <w:rsid w:val="002F2022"/>
    <w:rsid w:val="002F2155"/>
    <w:rsid w:val="002F2475"/>
    <w:rsid w:val="002F286E"/>
    <w:rsid w:val="002F288F"/>
    <w:rsid w:val="002F2A4C"/>
    <w:rsid w:val="002F2D24"/>
    <w:rsid w:val="002F30A2"/>
    <w:rsid w:val="002F30CC"/>
    <w:rsid w:val="002F341D"/>
    <w:rsid w:val="002F3446"/>
    <w:rsid w:val="002F345F"/>
    <w:rsid w:val="002F35C2"/>
    <w:rsid w:val="002F3714"/>
    <w:rsid w:val="002F3755"/>
    <w:rsid w:val="002F3967"/>
    <w:rsid w:val="002F3B4C"/>
    <w:rsid w:val="002F3B61"/>
    <w:rsid w:val="002F3EE3"/>
    <w:rsid w:val="002F3F3F"/>
    <w:rsid w:val="002F401E"/>
    <w:rsid w:val="002F4641"/>
    <w:rsid w:val="002F47B9"/>
    <w:rsid w:val="002F48CA"/>
    <w:rsid w:val="002F4C00"/>
    <w:rsid w:val="002F4CB6"/>
    <w:rsid w:val="002F4FA7"/>
    <w:rsid w:val="002F500F"/>
    <w:rsid w:val="002F5022"/>
    <w:rsid w:val="002F5121"/>
    <w:rsid w:val="002F54E5"/>
    <w:rsid w:val="002F5644"/>
    <w:rsid w:val="002F5B4E"/>
    <w:rsid w:val="002F5E02"/>
    <w:rsid w:val="002F5EBF"/>
    <w:rsid w:val="002F6110"/>
    <w:rsid w:val="002F6118"/>
    <w:rsid w:val="002F639A"/>
    <w:rsid w:val="002F63C1"/>
    <w:rsid w:val="002F63C4"/>
    <w:rsid w:val="002F6ABC"/>
    <w:rsid w:val="002F6D58"/>
    <w:rsid w:val="002F6D91"/>
    <w:rsid w:val="002F7150"/>
    <w:rsid w:val="002F748C"/>
    <w:rsid w:val="002F75B9"/>
    <w:rsid w:val="002F75CA"/>
    <w:rsid w:val="002F7785"/>
    <w:rsid w:val="002F799C"/>
    <w:rsid w:val="002F79A8"/>
    <w:rsid w:val="002F7D8C"/>
    <w:rsid w:val="002F7EAA"/>
    <w:rsid w:val="00300432"/>
    <w:rsid w:val="0030050F"/>
    <w:rsid w:val="003005A0"/>
    <w:rsid w:val="00300600"/>
    <w:rsid w:val="00300B65"/>
    <w:rsid w:val="00300CC3"/>
    <w:rsid w:val="00300DE8"/>
    <w:rsid w:val="00300F64"/>
    <w:rsid w:val="00301229"/>
    <w:rsid w:val="00301249"/>
    <w:rsid w:val="0030151E"/>
    <w:rsid w:val="0030152E"/>
    <w:rsid w:val="003015A9"/>
    <w:rsid w:val="00301784"/>
    <w:rsid w:val="003017F9"/>
    <w:rsid w:val="003019EB"/>
    <w:rsid w:val="003019FF"/>
    <w:rsid w:val="00301B2E"/>
    <w:rsid w:val="00301BFC"/>
    <w:rsid w:val="00301C50"/>
    <w:rsid w:val="00301EBA"/>
    <w:rsid w:val="00301F95"/>
    <w:rsid w:val="00302317"/>
    <w:rsid w:val="00302446"/>
    <w:rsid w:val="003024D7"/>
    <w:rsid w:val="0030257E"/>
    <w:rsid w:val="003026AE"/>
    <w:rsid w:val="00302821"/>
    <w:rsid w:val="00302954"/>
    <w:rsid w:val="00302B45"/>
    <w:rsid w:val="00302D5B"/>
    <w:rsid w:val="00303360"/>
    <w:rsid w:val="00303371"/>
    <w:rsid w:val="0030338C"/>
    <w:rsid w:val="003034F1"/>
    <w:rsid w:val="00303500"/>
    <w:rsid w:val="003035B0"/>
    <w:rsid w:val="003037FA"/>
    <w:rsid w:val="00303854"/>
    <w:rsid w:val="0030387A"/>
    <w:rsid w:val="003040B1"/>
    <w:rsid w:val="003041B1"/>
    <w:rsid w:val="003043BD"/>
    <w:rsid w:val="00304423"/>
    <w:rsid w:val="00304939"/>
    <w:rsid w:val="00304A66"/>
    <w:rsid w:val="00304B68"/>
    <w:rsid w:val="00304BEF"/>
    <w:rsid w:val="00304CFA"/>
    <w:rsid w:val="00304D5C"/>
    <w:rsid w:val="00304E54"/>
    <w:rsid w:val="00305143"/>
    <w:rsid w:val="00305252"/>
    <w:rsid w:val="0030547E"/>
    <w:rsid w:val="003055E8"/>
    <w:rsid w:val="0030565C"/>
    <w:rsid w:val="0030571E"/>
    <w:rsid w:val="003059BE"/>
    <w:rsid w:val="00305AE0"/>
    <w:rsid w:val="00305AE8"/>
    <w:rsid w:val="00305BF8"/>
    <w:rsid w:val="003063B3"/>
    <w:rsid w:val="003066EF"/>
    <w:rsid w:val="00306745"/>
    <w:rsid w:val="00306A35"/>
    <w:rsid w:val="00306C48"/>
    <w:rsid w:val="00306D03"/>
    <w:rsid w:val="00306E51"/>
    <w:rsid w:val="00306F60"/>
    <w:rsid w:val="003072D2"/>
    <w:rsid w:val="003073E1"/>
    <w:rsid w:val="00307876"/>
    <w:rsid w:val="0030787A"/>
    <w:rsid w:val="00307B9D"/>
    <w:rsid w:val="003101B3"/>
    <w:rsid w:val="00310418"/>
    <w:rsid w:val="003106F5"/>
    <w:rsid w:val="00310843"/>
    <w:rsid w:val="00310A3D"/>
    <w:rsid w:val="00310AA4"/>
    <w:rsid w:val="00310AB1"/>
    <w:rsid w:val="0031110E"/>
    <w:rsid w:val="0031130F"/>
    <w:rsid w:val="003116DA"/>
    <w:rsid w:val="00311774"/>
    <w:rsid w:val="0031187A"/>
    <w:rsid w:val="00311AD6"/>
    <w:rsid w:val="00311DB3"/>
    <w:rsid w:val="00312274"/>
    <w:rsid w:val="00312730"/>
    <w:rsid w:val="00312A14"/>
    <w:rsid w:val="00312A93"/>
    <w:rsid w:val="003131F0"/>
    <w:rsid w:val="0031327E"/>
    <w:rsid w:val="00313604"/>
    <w:rsid w:val="003136E5"/>
    <w:rsid w:val="0031392B"/>
    <w:rsid w:val="00313A8F"/>
    <w:rsid w:val="00313E0E"/>
    <w:rsid w:val="0031439D"/>
    <w:rsid w:val="00314404"/>
    <w:rsid w:val="003144D9"/>
    <w:rsid w:val="0031463E"/>
    <w:rsid w:val="003146ED"/>
    <w:rsid w:val="00314701"/>
    <w:rsid w:val="0031493A"/>
    <w:rsid w:val="00314953"/>
    <w:rsid w:val="00314DF9"/>
    <w:rsid w:val="0031540B"/>
    <w:rsid w:val="0031541E"/>
    <w:rsid w:val="00315AC9"/>
    <w:rsid w:val="00315E58"/>
    <w:rsid w:val="003164A4"/>
    <w:rsid w:val="003164F1"/>
    <w:rsid w:val="0031660B"/>
    <w:rsid w:val="0031682C"/>
    <w:rsid w:val="00316A5A"/>
    <w:rsid w:val="00316FD9"/>
    <w:rsid w:val="00316FF7"/>
    <w:rsid w:val="003172DB"/>
    <w:rsid w:val="00317346"/>
    <w:rsid w:val="003174C4"/>
    <w:rsid w:val="00317C3E"/>
    <w:rsid w:val="00317C8E"/>
    <w:rsid w:val="00317D53"/>
    <w:rsid w:val="00317DDA"/>
    <w:rsid w:val="00317FE8"/>
    <w:rsid w:val="0032014D"/>
    <w:rsid w:val="00320667"/>
    <w:rsid w:val="00320D4A"/>
    <w:rsid w:val="00320DDF"/>
    <w:rsid w:val="003210CE"/>
    <w:rsid w:val="003213C8"/>
    <w:rsid w:val="003213E9"/>
    <w:rsid w:val="0032142C"/>
    <w:rsid w:val="003215E7"/>
    <w:rsid w:val="00321637"/>
    <w:rsid w:val="00321748"/>
    <w:rsid w:val="003217C6"/>
    <w:rsid w:val="003217F5"/>
    <w:rsid w:val="00321818"/>
    <w:rsid w:val="003218EF"/>
    <w:rsid w:val="00321B85"/>
    <w:rsid w:val="00321BB6"/>
    <w:rsid w:val="00321C85"/>
    <w:rsid w:val="00321E06"/>
    <w:rsid w:val="00321F31"/>
    <w:rsid w:val="0032212B"/>
    <w:rsid w:val="0032237E"/>
    <w:rsid w:val="003225AF"/>
    <w:rsid w:val="003228BE"/>
    <w:rsid w:val="00322A29"/>
    <w:rsid w:val="003231DE"/>
    <w:rsid w:val="003231F7"/>
    <w:rsid w:val="0032335B"/>
    <w:rsid w:val="00323526"/>
    <w:rsid w:val="003235AD"/>
    <w:rsid w:val="0032360D"/>
    <w:rsid w:val="00323971"/>
    <w:rsid w:val="00323BAD"/>
    <w:rsid w:val="00323E06"/>
    <w:rsid w:val="00323F43"/>
    <w:rsid w:val="003244D3"/>
    <w:rsid w:val="00324769"/>
    <w:rsid w:val="00324862"/>
    <w:rsid w:val="00324962"/>
    <w:rsid w:val="00324B18"/>
    <w:rsid w:val="00324BE9"/>
    <w:rsid w:val="00324C69"/>
    <w:rsid w:val="00324C99"/>
    <w:rsid w:val="003250B0"/>
    <w:rsid w:val="003250B7"/>
    <w:rsid w:val="0032519E"/>
    <w:rsid w:val="00325348"/>
    <w:rsid w:val="003254C9"/>
    <w:rsid w:val="00325568"/>
    <w:rsid w:val="00325A17"/>
    <w:rsid w:val="00325A1C"/>
    <w:rsid w:val="00325E14"/>
    <w:rsid w:val="00325EB4"/>
    <w:rsid w:val="00325F41"/>
    <w:rsid w:val="00325FA2"/>
    <w:rsid w:val="00326100"/>
    <w:rsid w:val="0032650E"/>
    <w:rsid w:val="00326A65"/>
    <w:rsid w:val="00326B7B"/>
    <w:rsid w:val="00326BFC"/>
    <w:rsid w:val="0032718F"/>
    <w:rsid w:val="003275C7"/>
    <w:rsid w:val="00327690"/>
    <w:rsid w:val="00327892"/>
    <w:rsid w:val="00327923"/>
    <w:rsid w:val="003279E7"/>
    <w:rsid w:val="00327A72"/>
    <w:rsid w:val="00327CF4"/>
    <w:rsid w:val="00327EA9"/>
    <w:rsid w:val="00327EE3"/>
    <w:rsid w:val="00327F8B"/>
    <w:rsid w:val="00330045"/>
    <w:rsid w:val="003302F9"/>
    <w:rsid w:val="00330505"/>
    <w:rsid w:val="0033060A"/>
    <w:rsid w:val="00330B78"/>
    <w:rsid w:val="00330C98"/>
    <w:rsid w:val="00330FC7"/>
    <w:rsid w:val="0033120E"/>
    <w:rsid w:val="0033131F"/>
    <w:rsid w:val="003314EC"/>
    <w:rsid w:val="003315A3"/>
    <w:rsid w:val="00331656"/>
    <w:rsid w:val="0033168C"/>
    <w:rsid w:val="003316EE"/>
    <w:rsid w:val="00331765"/>
    <w:rsid w:val="003317D1"/>
    <w:rsid w:val="0033181F"/>
    <w:rsid w:val="00331AF3"/>
    <w:rsid w:val="00331C9D"/>
    <w:rsid w:val="00331E69"/>
    <w:rsid w:val="00331EE8"/>
    <w:rsid w:val="00332027"/>
    <w:rsid w:val="003321C1"/>
    <w:rsid w:val="003322B4"/>
    <w:rsid w:val="003322D4"/>
    <w:rsid w:val="0033239D"/>
    <w:rsid w:val="003326E2"/>
    <w:rsid w:val="003326F9"/>
    <w:rsid w:val="0033297C"/>
    <w:rsid w:val="003329BA"/>
    <w:rsid w:val="00332C0A"/>
    <w:rsid w:val="003332DF"/>
    <w:rsid w:val="00333410"/>
    <w:rsid w:val="003335AE"/>
    <w:rsid w:val="0033368B"/>
    <w:rsid w:val="0033383F"/>
    <w:rsid w:val="00333853"/>
    <w:rsid w:val="00333A2D"/>
    <w:rsid w:val="00333AA2"/>
    <w:rsid w:val="00333E46"/>
    <w:rsid w:val="003340C1"/>
    <w:rsid w:val="0033427E"/>
    <w:rsid w:val="003343F8"/>
    <w:rsid w:val="003345CD"/>
    <w:rsid w:val="00334683"/>
    <w:rsid w:val="00334773"/>
    <w:rsid w:val="003348CE"/>
    <w:rsid w:val="00334904"/>
    <w:rsid w:val="00334D13"/>
    <w:rsid w:val="00334DF4"/>
    <w:rsid w:val="00334F80"/>
    <w:rsid w:val="003351B0"/>
    <w:rsid w:val="0033523F"/>
    <w:rsid w:val="00335338"/>
    <w:rsid w:val="0033533C"/>
    <w:rsid w:val="00335663"/>
    <w:rsid w:val="003358CF"/>
    <w:rsid w:val="00335932"/>
    <w:rsid w:val="00335B7D"/>
    <w:rsid w:val="00335C9D"/>
    <w:rsid w:val="00335CBE"/>
    <w:rsid w:val="00335DF7"/>
    <w:rsid w:val="00335F5A"/>
    <w:rsid w:val="003360EB"/>
    <w:rsid w:val="003360FF"/>
    <w:rsid w:val="0033627E"/>
    <w:rsid w:val="003362A0"/>
    <w:rsid w:val="0033632D"/>
    <w:rsid w:val="003363D3"/>
    <w:rsid w:val="00336436"/>
    <w:rsid w:val="003364A2"/>
    <w:rsid w:val="003364FC"/>
    <w:rsid w:val="00336699"/>
    <w:rsid w:val="003366CD"/>
    <w:rsid w:val="00336842"/>
    <w:rsid w:val="00336ADA"/>
    <w:rsid w:val="00336BDE"/>
    <w:rsid w:val="00336DA1"/>
    <w:rsid w:val="003372FD"/>
    <w:rsid w:val="00337367"/>
    <w:rsid w:val="00337422"/>
    <w:rsid w:val="0033768F"/>
    <w:rsid w:val="00337A21"/>
    <w:rsid w:val="00337B4E"/>
    <w:rsid w:val="00337B87"/>
    <w:rsid w:val="00337CF4"/>
    <w:rsid w:val="00337DD8"/>
    <w:rsid w:val="003400B2"/>
    <w:rsid w:val="0034016B"/>
    <w:rsid w:val="0034027F"/>
    <w:rsid w:val="003403AB"/>
    <w:rsid w:val="003406A3"/>
    <w:rsid w:val="003406D5"/>
    <w:rsid w:val="00340A7F"/>
    <w:rsid w:val="00340ACD"/>
    <w:rsid w:val="00340BE5"/>
    <w:rsid w:val="00340CC7"/>
    <w:rsid w:val="00340D4E"/>
    <w:rsid w:val="00340EC1"/>
    <w:rsid w:val="00341258"/>
    <w:rsid w:val="003413F5"/>
    <w:rsid w:val="0034163D"/>
    <w:rsid w:val="00341CF6"/>
    <w:rsid w:val="003421DF"/>
    <w:rsid w:val="003422D8"/>
    <w:rsid w:val="00342660"/>
    <w:rsid w:val="003429F9"/>
    <w:rsid w:val="00342A19"/>
    <w:rsid w:val="00342E16"/>
    <w:rsid w:val="00342E24"/>
    <w:rsid w:val="00343455"/>
    <w:rsid w:val="003437A1"/>
    <w:rsid w:val="00343817"/>
    <w:rsid w:val="00343853"/>
    <w:rsid w:val="00343A11"/>
    <w:rsid w:val="00343ABE"/>
    <w:rsid w:val="00343CD3"/>
    <w:rsid w:val="00343FB9"/>
    <w:rsid w:val="00344356"/>
    <w:rsid w:val="00344692"/>
    <w:rsid w:val="0034495F"/>
    <w:rsid w:val="00344A7C"/>
    <w:rsid w:val="00344CCB"/>
    <w:rsid w:val="00344CE7"/>
    <w:rsid w:val="00344CEC"/>
    <w:rsid w:val="00344D3A"/>
    <w:rsid w:val="00344FB9"/>
    <w:rsid w:val="00345234"/>
    <w:rsid w:val="00345599"/>
    <w:rsid w:val="003459B9"/>
    <w:rsid w:val="00345A08"/>
    <w:rsid w:val="00345AC1"/>
    <w:rsid w:val="00345B61"/>
    <w:rsid w:val="00345EE1"/>
    <w:rsid w:val="00345FA1"/>
    <w:rsid w:val="0034645F"/>
    <w:rsid w:val="003464FF"/>
    <w:rsid w:val="003466BA"/>
    <w:rsid w:val="003466D7"/>
    <w:rsid w:val="0034699D"/>
    <w:rsid w:val="00346BFB"/>
    <w:rsid w:val="00346C17"/>
    <w:rsid w:val="00346DB0"/>
    <w:rsid w:val="00346EE9"/>
    <w:rsid w:val="003470C5"/>
    <w:rsid w:val="003473ED"/>
    <w:rsid w:val="003474A9"/>
    <w:rsid w:val="003477CC"/>
    <w:rsid w:val="003479A8"/>
    <w:rsid w:val="00347B2F"/>
    <w:rsid w:val="00347B3F"/>
    <w:rsid w:val="00347BC7"/>
    <w:rsid w:val="00347E2D"/>
    <w:rsid w:val="00347F20"/>
    <w:rsid w:val="003500EE"/>
    <w:rsid w:val="003501DB"/>
    <w:rsid w:val="00350411"/>
    <w:rsid w:val="00350CB2"/>
    <w:rsid w:val="00350DCF"/>
    <w:rsid w:val="00350F82"/>
    <w:rsid w:val="003510C5"/>
    <w:rsid w:val="0035132B"/>
    <w:rsid w:val="0035142F"/>
    <w:rsid w:val="00351768"/>
    <w:rsid w:val="00351B08"/>
    <w:rsid w:val="00351D6C"/>
    <w:rsid w:val="00351D8B"/>
    <w:rsid w:val="00352469"/>
    <w:rsid w:val="0035277D"/>
    <w:rsid w:val="00352B28"/>
    <w:rsid w:val="00352BCB"/>
    <w:rsid w:val="00353164"/>
    <w:rsid w:val="003531E8"/>
    <w:rsid w:val="0035329B"/>
    <w:rsid w:val="00353399"/>
    <w:rsid w:val="003536F1"/>
    <w:rsid w:val="00353A96"/>
    <w:rsid w:val="00354028"/>
    <w:rsid w:val="003543ED"/>
    <w:rsid w:val="00354421"/>
    <w:rsid w:val="00354474"/>
    <w:rsid w:val="003547C1"/>
    <w:rsid w:val="003548CC"/>
    <w:rsid w:val="00354D1E"/>
    <w:rsid w:val="00354EB1"/>
    <w:rsid w:val="003550C8"/>
    <w:rsid w:val="003550CA"/>
    <w:rsid w:val="003550D2"/>
    <w:rsid w:val="003550D4"/>
    <w:rsid w:val="00355338"/>
    <w:rsid w:val="0035552D"/>
    <w:rsid w:val="003557BD"/>
    <w:rsid w:val="00355D28"/>
    <w:rsid w:val="00355D2D"/>
    <w:rsid w:val="00355DDC"/>
    <w:rsid w:val="00355F46"/>
    <w:rsid w:val="00355FC4"/>
    <w:rsid w:val="00356058"/>
    <w:rsid w:val="003563F9"/>
    <w:rsid w:val="00356A4F"/>
    <w:rsid w:val="00356AE6"/>
    <w:rsid w:val="00356FC2"/>
    <w:rsid w:val="00356FC3"/>
    <w:rsid w:val="00357458"/>
    <w:rsid w:val="003575E7"/>
    <w:rsid w:val="00357696"/>
    <w:rsid w:val="00357923"/>
    <w:rsid w:val="0035792C"/>
    <w:rsid w:val="00357A1F"/>
    <w:rsid w:val="00357EB6"/>
    <w:rsid w:val="00360129"/>
    <w:rsid w:val="003603CA"/>
    <w:rsid w:val="0036056C"/>
    <w:rsid w:val="003606F7"/>
    <w:rsid w:val="0036078A"/>
    <w:rsid w:val="003607BF"/>
    <w:rsid w:val="003608C2"/>
    <w:rsid w:val="00360CE7"/>
    <w:rsid w:val="00360D51"/>
    <w:rsid w:val="003615EB"/>
    <w:rsid w:val="00361E29"/>
    <w:rsid w:val="00361E49"/>
    <w:rsid w:val="0036236F"/>
    <w:rsid w:val="00362ECA"/>
    <w:rsid w:val="003630BB"/>
    <w:rsid w:val="00363159"/>
    <w:rsid w:val="00363168"/>
    <w:rsid w:val="003632B3"/>
    <w:rsid w:val="00363422"/>
    <w:rsid w:val="00363B16"/>
    <w:rsid w:val="00363D22"/>
    <w:rsid w:val="00363DD7"/>
    <w:rsid w:val="00363EE5"/>
    <w:rsid w:val="00363F38"/>
    <w:rsid w:val="00364224"/>
    <w:rsid w:val="0036478B"/>
    <w:rsid w:val="003647B5"/>
    <w:rsid w:val="00364841"/>
    <w:rsid w:val="00364C23"/>
    <w:rsid w:val="00364FC5"/>
    <w:rsid w:val="0036512F"/>
    <w:rsid w:val="00365163"/>
    <w:rsid w:val="00365410"/>
    <w:rsid w:val="00365D27"/>
    <w:rsid w:val="00365D55"/>
    <w:rsid w:val="00366077"/>
    <w:rsid w:val="00366082"/>
    <w:rsid w:val="00366335"/>
    <w:rsid w:val="00366353"/>
    <w:rsid w:val="00366469"/>
    <w:rsid w:val="003666E0"/>
    <w:rsid w:val="00366A46"/>
    <w:rsid w:val="00366BAA"/>
    <w:rsid w:val="00366C76"/>
    <w:rsid w:val="00366D00"/>
    <w:rsid w:val="00366D0E"/>
    <w:rsid w:val="00366FAD"/>
    <w:rsid w:val="00366FCA"/>
    <w:rsid w:val="0036713B"/>
    <w:rsid w:val="003671B5"/>
    <w:rsid w:val="0036754B"/>
    <w:rsid w:val="003675D4"/>
    <w:rsid w:val="00367AF6"/>
    <w:rsid w:val="0037023A"/>
    <w:rsid w:val="003704AF"/>
    <w:rsid w:val="00370582"/>
    <w:rsid w:val="00370D9B"/>
    <w:rsid w:val="00370DEB"/>
    <w:rsid w:val="00371066"/>
    <w:rsid w:val="0037123A"/>
    <w:rsid w:val="0037128B"/>
    <w:rsid w:val="00371595"/>
    <w:rsid w:val="003717EA"/>
    <w:rsid w:val="0037183D"/>
    <w:rsid w:val="0037183F"/>
    <w:rsid w:val="0037192F"/>
    <w:rsid w:val="00371BB8"/>
    <w:rsid w:val="00371BED"/>
    <w:rsid w:val="00371DC2"/>
    <w:rsid w:val="00372011"/>
    <w:rsid w:val="0037236E"/>
    <w:rsid w:val="003723CE"/>
    <w:rsid w:val="00372720"/>
    <w:rsid w:val="0037279A"/>
    <w:rsid w:val="00372883"/>
    <w:rsid w:val="00372A3B"/>
    <w:rsid w:val="00372A71"/>
    <w:rsid w:val="00372BB3"/>
    <w:rsid w:val="00372D7A"/>
    <w:rsid w:val="0037372E"/>
    <w:rsid w:val="00373840"/>
    <w:rsid w:val="0037384E"/>
    <w:rsid w:val="0037394F"/>
    <w:rsid w:val="00373C9F"/>
    <w:rsid w:val="00373ED1"/>
    <w:rsid w:val="0037406A"/>
    <w:rsid w:val="0037412C"/>
    <w:rsid w:val="00374574"/>
    <w:rsid w:val="003748B5"/>
    <w:rsid w:val="003749E0"/>
    <w:rsid w:val="00374ABD"/>
    <w:rsid w:val="00374BAD"/>
    <w:rsid w:val="00374D4C"/>
    <w:rsid w:val="00374E67"/>
    <w:rsid w:val="00375031"/>
    <w:rsid w:val="003752DB"/>
    <w:rsid w:val="003753BA"/>
    <w:rsid w:val="003753C8"/>
    <w:rsid w:val="00375826"/>
    <w:rsid w:val="00375E5A"/>
    <w:rsid w:val="00376168"/>
    <w:rsid w:val="00376342"/>
    <w:rsid w:val="003763F3"/>
    <w:rsid w:val="003767F8"/>
    <w:rsid w:val="00376868"/>
    <w:rsid w:val="0037699C"/>
    <w:rsid w:val="00376A2C"/>
    <w:rsid w:val="00376C44"/>
    <w:rsid w:val="00376C53"/>
    <w:rsid w:val="00376D55"/>
    <w:rsid w:val="00376E14"/>
    <w:rsid w:val="0037703F"/>
    <w:rsid w:val="00377107"/>
    <w:rsid w:val="00377471"/>
    <w:rsid w:val="003776F6"/>
    <w:rsid w:val="00377A27"/>
    <w:rsid w:val="00377B5F"/>
    <w:rsid w:val="00377C68"/>
    <w:rsid w:val="00377D30"/>
    <w:rsid w:val="00377DCD"/>
    <w:rsid w:val="00377DEB"/>
    <w:rsid w:val="00377E09"/>
    <w:rsid w:val="00377E10"/>
    <w:rsid w:val="00380056"/>
    <w:rsid w:val="00380163"/>
    <w:rsid w:val="00380436"/>
    <w:rsid w:val="003804DE"/>
    <w:rsid w:val="00380695"/>
    <w:rsid w:val="0038083F"/>
    <w:rsid w:val="00380CE1"/>
    <w:rsid w:val="00380D0E"/>
    <w:rsid w:val="00380D79"/>
    <w:rsid w:val="00380E33"/>
    <w:rsid w:val="003812B3"/>
    <w:rsid w:val="003814D0"/>
    <w:rsid w:val="0038157A"/>
    <w:rsid w:val="00381600"/>
    <w:rsid w:val="00381721"/>
    <w:rsid w:val="003818FE"/>
    <w:rsid w:val="00381A4F"/>
    <w:rsid w:val="00381E42"/>
    <w:rsid w:val="00381EBA"/>
    <w:rsid w:val="0038202C"/>
    <w:rsid w:val="003821F8"/>
    <w:rsid w:val="0038222A"/>
    <w:rsid w:val="003822E8"/>
    <w:rsid w:val="00382565"/>
    <w:rsid w:val="003827AA"/>
    <w:rsid w:val="003828FF"/>
    <w:rsid w:val="0038292E"/>
    <w:rsid w:val="003829FE"/>
    <w:rsid w:val="00382A8E"/>
    <w:rsid w:val="00382BDE"/>
    <w:rsid w:val="00382C9C"/>
    <w:rsid w:val="00382F2D"/>
    <w:rsid w:val="00383098"/>
    <w:rsid w:val="00383334"/>
    <w:rsid w:val="00383938"/>
    <w:rsid w:val="003839BF"/>
    <w:rsid w:val="00383E1D"/>
    <w:rsid w:val="00384240"/>
    <w:rsid w:val="0038463A"/>
    <w:rsid w:val="0038467E"/>
    <w:rsid w:val="003846AE"/>
    <w:rsid w:val="00384742"/>
    <w:rsid w:val="00384970"/>
    <w:rsid w:val="00384992"/>
    <w:rsid w:val="003851F9"/>
    <w:rsid w:val="003852BF"/>
    <w:rsid w:val="003853AA"/>
    <w:rsid w:val="0038548A"/>
    <w:rsid w:val="003856F6"/>
    <w:rsid w:val="003857E1"/>
    <w:rsid w:val="00385ADB"/>
    <w:rsid w:val="003863AF"/>
    <w:rsid w:val="003864B1"/>
    <w:rsid w:val="00386693"/>
    <w:rsid w:val="0038682C"/>
    <w:rsid w:val="003868BD"/>
    <w:rsid w:val="00386BCA"/>
    <w:rsid w:val="00386CE3"/>
    <w:rsid w:val="00386D2C"/>
    <w:rsid w:val="00387217"/>
    <w:rsid w:val="00387291"/>
    <w:rsid w:val="00387385"/>
    <w:rsid w:val="003873F2"/>
    <w:rsid w:val="0038745C"/>
    <w:rsid w:val="003877B6"/>
    <w:rsid w:val="00387B6B"/>
    <w:rsid w:val="00387CF2"/>
    <w:rsid w:val="00387D71"/>
    <w:rsid w:val="00387FC6"/>
    <w:rsid w:val="003900F3"/>
    <w:rsid w:val="00390C32"/>
    <w:rsid w:val="00390D10"/>
    <w:rsid w:val="00390D81"/>
    <w:rsid w:val="00390F29"/>
    <w:rsid w:val="003912D8"/>
    <w:rsid w:val="003915AB"/>
    <w:rsid w:val="0039163C"/>
    <w:rsid w:val="00391B19"/>
    <w:rsid w:val="00391BA0"/>
    <w:rsid w:val="0039224F"/>
    <w:rsid w:val="003923C7"/>
    <w:rsid w:val="0039251F"/>
    <w:rsid w:val="0039269D"/>
    <w:rsid w:val="00392B58"/>
    <w:rsid w:val="00392EA8"/>
    <w:rsid w:val="003930EB"/>
    <w:rsid w:val="0039311E"/>
    <w:rsid w:val="00393231"/>
    <w:rsid w:val="003932B0"/>
    <w:rsid w:val="003932CC"/>
    <w:rsid w:val="00393742"/>
    <w:rsid w:val="0039399F"/>
    <w:rsid w:val="00393CA0"/>
    <w:rsid w:val="00393F31"/>
    <w:rsid w:val="00394409"/>
    <w:rsid w:val="00394874"/>
    <w:rsid w:val="003949BD"/>
    <w:rsid w:val="00394B50"/>
    <w:rsid w:val="00394F75"/>
    <w:rsid w:val="00394FDD"/>
    <w:rsid w:val="0039509E"/>
    <w:rsid w:val="0039517A"/>
    <w:rsid w:val="0039522F"/>
    <w:rsid w:val="00395414"/>
    <w:rsid w:val="0039588D"/>
    <w:rsid w:val="003958B6"/>
    <w:rsid w:val="00395B67"/>
    <w:rsid w:val="00395C7C"/>
    <w:rsid w:val="00396286"/>
    <w:rsid w:val="003963BD"/>
    <w:rsid w:val="00396578"/>
    <w:rsid w:val="00396601"/>
    <w:rsid w:val="003966E2"/>
    <w:rsid w:val="0039695B"/>
    <w:rsid w:val="00396B1D"/>
    <w:rsid w:val="00396E29"/>
    <w:rsid w:val="00396F44"/>
    <w:rsid w:val="00397088"/>
    <w:rsid w:val="003971AB"/>
    <w:rsid w:val="0039720E"/>
    <w:rsid w:val="003972CC"/>
    <w:rsid w:val="0039739E"/>
    <w:rsid w:val="003973D6"/>
    <w:rsid w:val="0039761F"/>
    <w:rsid w:val="0039775F"/>
    <w:rsid w:val="003977D8"/>
    <w:rsid w:val="0039795D"/>
    <w:rsid w:val="00397A43"/>
    <w:rsid w:val="00397B8D"/>
    <w:rsid w:val="00397C0F"/>
    <w:rsid w:val="00397E01"/>
    <w:rsid w:val="00397E68"/>
    <w:rsid w:val="00397FC7"/>
    <w:rsid w:val="003A040B"/>
    <w:rsid w:val="003A079C"/>
    <w:rsid w:val="003A0B0D"/>
    <w:rsid w:val="003A0D5C"/>
    <w:rsid w:val="003A0F77"/>
    <w:rsid w:val="003A13D3"/>
    <w:rsid w:val="003A1574"/>
    <w:rsid w:val="003A15CA"/>
    <w:rsid w:val="003A186E"/>
    <w:rsid w:val="003A18D7"/>
    <w:rsid w:val="003A1A94"/>
    <w:rsid w:val="003A1C97"/>
    <w:rsid w:val="003A1F82"/>
    <w:rsid w:val="003A1FF7"/>
    <w:rsid w:val="003A2445"/>
    <w:rsid w:val="003A2494"/>
    <w:rsid w:val="003A26E8"/>
    <w:rsid w:val="003A2759"/>
    <w:rsid w:val="003A2C68"/>
    <w:rsid w:val="003A2CCA"/>
    <w:rsid w:val="003A2D56"/>
    <w:rsid w:val="003A2E6E"/>
    <w:rsid w:val="003A2F2F"/>
    <w:rsid w:val="003A34D3"/>
    <w:rsid w:val="003A34F8"/>
    <w:rsid w:val="003A36FA"/>
    <w:rsid w:val="003A38C7"/>
    <w:rsid w:val="003A38FB"/>
    <w:rsid w:val="003A3B00"/>
    <w:rsid w:val="003A3B6B"/>
    <w:rsid w:val="003A3C85"/>
    <w:rsid w:val="003A3D71"/>
    <w:rsid w:val="003A43D6"/>
    <w:rsid w:val="003A453E"/>
    <w:rsid w:val="003A458B"/>
    <w:rsid w:val="003A490E"/>
    <w:rsid w:val="003A4A3E"/>
    <w:rsid w:val="003A4EB7"/>
    <w:rsid w:val="003A5274"/>
    <w:rsid w:val="003A5630"/>
    <w:rsid w:val="003A5780"/>
    <w:rsid w:val="003A616A"/>
    <w:rsid w:val="003A634A"/>
    <w:rsid w:val="003A63F0"/>
    <w:rsid w:val="003A6436"/>
    <w:rsid w:val="003A667E"/>
    <w:rsid w:val="003A6759"/>
    <w:rsid w:val="003A6A1D"/>
    <w:rsid w:val="003A6C26"/>
    <w:rsid w:val="003A6D47"/>
    <w:rsid w:val="003A6F00"/>
    <w:rsid w:val="003A6F64"/>
    <w:rsid w:val="003A70A0"/>
    <w:rsid w:val="003A736B"/>
    <w:rsid w:val="003A749B"/>
    <w:rsid w:val="003A7898"/>
    <w:rsid w:val="003A78D8"/>
    <w:rsid w:val="003A7BFB"/>
    <w:rsid w:val="003A7EEE"/>
    <w:rsid w:val="003B01C8"/>
    <w:rsid w:val="003B034B"/>
    <w:rsid w:val="003B04A4"/>
    <w:rsid w:val="003B05B7"/>
    <w:rsid w:val="003B0626"/>
    <w:rsid w:val="003B079A"/>
    <w:rsid w:val="003B0809"/>
    <w:rsid w:val="003B0845"/>
    <w:rsid w:val="003B08F1"/>
    <w:rsid w:val="003B0910"/>
    <w:rsid w:val="003B092F"/>
    <w:rsid w:val="003B0954"/>
    <w:rsid w:val="003B0F39"/>
    <w:rsid w:val="003B10F4"/>
    <w:rsid w:val="003B1346"/>
    <w:rsid w:val="003B1538"/>
    <w:rsid w:val="003B174F"/>
    <w:rsid w:val="003B18EB"/>
    <w:rsid w:val="003B1AD5"/>
    <w:rsid w:val="003B1BC5"/>
    <w:rsid w:val="003B1E2A"/>
    <w:rsid w:val="003B1F8E"/>
    <w:rsid w:val="003B213D"/>
    <w:rsid w:val="003B22C0"/>
    <w:rsid w:val="003B23A0"/>
    <w:rsid w:val="003B28CD"/>
    <w:rsid w:val="003B2A4A"/>
    <w:rsid w:val="003B2B17"/>
    <w:rsid w:val="003B2B77"/>
    <w:rsid w:val="003B2EBD"/>
    <w:rsid w:val="003B2F7F"/>
    <w:rsid w:val="003B3066"/>
    <w:rsid w:val="003B336F"/>
    <w:rsid w:val="003B3523"/>
    <w:rsid w:val="003B3A56"/>
    <w:rsid w:val="003B3A63"/>
    <w:rsid w:val="003B3EE5"/>
    <w:rsid w:val="003B4008"/>
    <w:rsid w:val="003B417F"/>
    <w:rsid w:val="003B41AB"/>
    <w:rsid w:val="003B4253"/>
    <w:rsid w:val="003B4325"/>
    <w:rsid w:val="003B43A8"/>
    <w:rsid w:val="003B4482"/>
    <w:rsid w:val="003B44DB"/>
    <w:rsid w:val="003B45E8"/>
    <w:rsid w:val="003B4612"/>
    <w:rsid w:val="003B4F2D"/>
    <w:rsid w:val="003B4F6C"/>
    <w:rsid w:val="003B4FD5"/>
    <w:rsid w:val="003B50E0"/>
    <w:rsid w:val="003B5278"/>
    <w:rsid w:val="003B527E"/>
    <w:rsid w:val="003B53AB"/>
    <w:rsid w:val="003B54F0"/>
    <w:rsid w:val="003B56EB"/>
    <w:rsid w:val="003B59FD"/>
    <w:rsid w:val="003B5BDA"/>
    <w:rsid w:val="003B5CAC"/>
    <w:rsid w:val="003B5D50"/>
    <w:rsid w:val="003B5E18"/>
    <w:rsid w:val="003B5FC9"/>
    <w:rsid w:val="003B6162"/>
    <w:rsid w:val="003B6F17"/>
    <w:rsid w:val="003B73BE"/>
    <w:rsid w:val="003B73BF"/>
    <w:rsid w:val="003B755C"/>
    <w:rsid w:val="003B75CE"/>
    <w:rsid w:val="003B7995"/>
    <w:rsid w:val="003B7C81"/>
    <w:rsid w:val="003B7D1B"/>
    <w:rsid w:val="003B7F94"/>
    <w:rsid w:val="003C011E"/>
    <w:rsid w:val="003C02C6"/>
    <w:rsid w:val="003C03F4"/>
    <w:rsid w:val="003C07F3"/>
    <w:rsid w:val="003C0896"/>
    <w:rsid w:val="003C08B4"/>
    <w:rsid w:val="003C0988"/>
    <w:rsid w:val="003C0C8D"/>
    <w:rsid w:val="003C0CDF"/>
    <w:rsid w:val="003C0E45"/>
    <w:rsid w:val="003C0ED0"/>
    <w:rsid w:val="003C12AC"/>
    <w:rsid w:val="003C131A"/>
    <w:rsid w:val="003C146F"/>
    <w:rsid w:val="003C15BA"/>
    <w:rsid w:val="003C15FA"/>
    <w:rsid w:val="003C171E"/>
    <w:rsid w:val="003C177A"/>
    <w:rsid w:val="003C19E7"/>
    <w:rsid w:val="003C1C95"/>
    <w:rsid w:val="003C1CCF"/>
    <w:rsid w:val="003C1CEC"/>
    <w:rsid w:val="003C1FD3"/>
    <w:rsid w:val="003C21D7"/>
    <w:rsid w:val="003C2211"/>
    <w:rsid w:val="003C25C7"/>
    <w:rsid w:val="003C283E"/>
    <w:rsid w:val="003C29DA"/>
    <w:rsid w:val="003C2BDB"/>
    <w:rsid w:val="003C2EF5"/>
    <w:rsid w:val="003C372B"/>
    <w:rsid w:val="003C38D3"/>
    <w:rsid w:val="003C3BBD"/>
    <w:rsid w:val="003C3EC8"/>
    <w:rsid w:val="003C40D0"/>
    <w:rsid w:val="003C40FC"/>
    <w:rsid w:val="003C4567"/>
    <w:rsid w:val="003C47BE"/>
    <w:rsid w:val="003C4C88"/>
    <w:rsid w:val="003C4D2D"/>
    <w:rsid w:val="003C4F41"/>
    <w:rsid w:val="003C4F9A"/>
    <w:rsid w:val="003C51A7"/>
    <w:rsid w:val="003C5CC7"/>
    <w:rsid w:val="003C5D0F"/>
    <w:rsid w:val="003C5D1E"/>
    <w:rsid w:val="003C625B"/>
    <w:rsid w:val="003C6299"/>
    <w:rsid w:val="003C6761"/>
    <w:rsid w:val="003C6B62"/>
    <w:rsid w:val="003C6F2E"/>
    <w:rsid w:val="003C6F76"/>
    <w:rsid w:val="003C6FB0"/>
    <w:rsid w:val="003C711E"/>
    <w:rsid w:val="003C7214"/>
    <w:rsid w:val="003C7274"/>
    <w:rsid w:val="003C729A"/>
    <w:rsid w:val="003C7403"/>
    <w:rsid w:val="003C7602"/>
    <w:rsid w:val="003C77FF"/>
    <w:rsid w:val="003C78A2"/>
    <w:rsid w:val="003C795D"/>
    <w:rsid w:val="003D01EB"/>
    <w:rsid w:val="003D0214"/>
    <w:rsid w:val="003D086B"/>
    <w:rsid w:val="003D089A"/>
    <w:rsid w:val="003D0A58"/>
    <w:rsid w:val="003D0A61"/>
    <w:rsid w:val="003D0D11"/>
    <w:rsid w:val="003D10A8"/>
    <w:rsid w:val="003D14D8"/>
    <w:rsid w:val="003D1663"/>
    <w:rsid w:val="003D16EB"/>
    <w:rsid w:val="003D1741"/>
    <w:rsid w:val="003D189F"/>
    <w:rsid w:val="003D1CD1"/>
    <w:rsid w:val="003D1D36"/>
    <w:rsid w:val="003D1EAF"/>
    <w:rsid w:val="003D1FBE"/>
    <w:rsid w:val="003D2119"/>
    <w:rsid w:val="003D212D"/>
    <w:rsid w:val="003D219C"/>
    <w:rsid w:val="003D23A3"/>
    <w:rsid w:val="003D25B4"/>
    <w:rsid w:val="003D2B32"/>
    <w:rsid w:val="003D2C35"/>
    <w:rsid w:val="003D2DE7"/>
    <w:rsid w:val="003D2F87"/>
    <w:rsid w:val="003D2F9A"/>
    <w:rsid w:val="003D3073"/>
    <w:rsid w:val="003D31C7"/>
    <w:rsid w:val="003D32CB"/>
    <w:rsid w:val="003D3312"/>
    <w:rsid w:val="003D33BB"/>
    <w:rsid w:val="003D3466"/>
    <w:rsid w:val="003D3748"/>
    <w:rsid w:val="003D3804"/>
    <w:rsid w:val="003D39C3"/>
    <w:rsid w:val="003D3B29"/>
    <w:rsid w:val="003D3B69"/>
    <w:rsid w:val="003D404F"/>
    <w:rsid w:val="003D4260"/>
    <w:rsid w:val="003D4370"/>
    <w:rsid w:val="003D4385"/>
    <w:rsid w:val="003D4571"/>
    <w:rsid w:val="003D4671"/>
    <w:rsid w:val="003D4690"/>
    <w:rsid w:val="003D4953"/>
    <w:rsid w:val="003D4E79"/>
    <w:rsid w:val="003D4F18"/>
    <w:rsid w:val="003D4FCD"/>
    <w:rsid w:val="003D516C"/>
    <w:rsid w:val="003D5196"/>
    <w:rsid w:val="003D5270"/>
    <w:rsid w:val="003D531F"/>
    <w:rsid w:val="003D5321"/>
    <w:rsid w:val="003D5378"/>
    <w:rsid w:val="003D538C"/>
    <w:rsid w:val="003D54FC"/>
    <w:rsid w:val="003D5711"/>
    <w:rsid w:val="003D57EF"/>
    <w:rsid w:val="003D5BD1"/>
    <w:rsid w:val="003D5E3F"/>
    <w:rsid w:val="003D5E9E"/>
    <w:rsid w:val="003D659B"/>
    <w:rsid w:val="003D680E"/>
    <w:rsid w:val="003D6A50"/>
    <w:rsid w:val="003D6AAF"/>
    <w:rsid w:val="003D6F05"/>
    <w:rsid w:val="003D70B1"/>
    <w:rsid w:val="003D723C"/>
    <w:rsid w:val="003D733A"/>
    <w:rsid w:val="003D7402"/>
    <w:rsid w:val="003D7535"/>
    <w:rsid w:val="003D778C"/>
    <w:rsid w:val="003D79B2"/>
    <w:rsid w:val="003D7CBA"/>
    <w:rsid w:val="003D7EF0"/>
    <w:rsid w:val="003E01FF"/>
    <w:rsid w:val="003E0524"/>
    <w:rsid w:val="003E0941"/>
    <w:rsid w:val="003E0999"/>
    <w:rsid w:val="003E1078"/>
    <w:rsid w:val="003E11B7"/>
    <w:rsid w:val="003E123E"/>
    <w:rsid w:val="003E1658"/>
    <w:rsid w:val="003E16B9"/>
    <w:rsid w:val="003E1F35"/>
    <w:rsid w:val="003E1FFA"/>
    <w:rsid w:val="003E23CA"/>
    <w:rsid w:val="003E268C"/>
    <w:rsid w:val="003E29F1"/>
    <w:rsid w:val="003E2A69"/>
    <w:rsid w:val="003E2DE8"/>
    <w:rsid w:val="003E2F41"/>
    <w:rsid w:val="003E319D"/>
    <w:rsid w:val="003E31DE"/>
    <w:rsid w:val="003E34E9"/>
    <w:rsid w:val="003E3744"/>
    <w:rsid w:val="003E3832"/>
    <w:rsid w:val="003E3AD1"/>
    <w:rsid w:val="003E3C47"/>
    <w:rsid w:val="003E3DEA"/>
    <w:rsid w:val="003E3F7B"/>
    <w:rsid w:val="003E3F99"/>
    <w:rsid w:val="003E4A58"/>
    <w:rsid w:val="003E4D33"/>
    <w:rsid w:val="003E4FDB"/>
    <w:rsid w:val="003E503E"/>
    <w:rsid w:val="003E5553"/>
    <w:rsid w:val="003E5689"/>
    <w:rsid w:val="003E56A1"/>
    <w:rsid w:val="003E56AD"/>
    <w:rsid w:val="003E5760"/>
    <w:rsid w:val="003E57BF"/>
    <w:rsid w:val="003E5900"/>
    <w:rsid w:val="003E5A01"/>
    <w:rsid w:val="003E5A60"/>
    <w:rsid w:val="003E5B46"/>
    <w:rsid w:val="003E5CD4"/>
    <w:rsid w:val="003E5EF0"/>
    <w:rsid w:val="003E5F41"/>
    <w:rsid w:val="003E617D"/>
    <w:rsid w:val="003E6281"/>
    <w:rsid w:val="003E62AF"/>
    <w:rsid w:val="003E6379"/>
    <w:rsid w:val="003E643A"/>
    <w:rsid w:val="003E64A1"/>
    <w:rsid w:val="003E6725"/>
    <w:rsid w:val="003E67B7"/>
    <w:rsid w:val="003E6966"/>
    <w:rsid w:val="003E69B0"/>
    <w:rsid w:val="003E6A30"/>
    <w:rsid w:val="003E6BB9"/>
    <w:rsid w:val="003E6F08"/>
    <w:rsid w:val="003E6F31"/>
    <w:rsid w:val="003E6F7E"/>
    <w:rsid w:val="003E707D"/>
    <w:rsid w:val="003E7165"/>
    <w:rsid w:val="003E71DA"/>
    <w:rsid w:val="003E73E1"/>
    <w:rsid w:val="003E74EE"/>
    <w:rsid w:val="003E7556"/>
    <w:rsid w:val="003E7848"/>
    <w:rsid w:val="003E7874"/>
    <w:rsid w:val="003E798C"/>
    <w:rsid w:val="003E7AFC"/>
    <w:rsid w:val="003E7C8E"/>
    <w:rsid w:val="003F012E"/>
    <w:rsid w:val="003F0419"/>
    <w:rsid w:val="003F0BFD"/>
    <w:rsid w:val="003F0C28"/>
    <w:rsid w:val="003F0D71"/>
    <w:rsid w:val="003F0D78"/>
    <w:rsid w:val="003F0DDF"/>
    <w:rsid w:val="003F1389"/>
    <w:rsid w:val="003F13F6"/>
    <w:rsid w:val="003F16A9"/>
    <w:rsid w:val="003F18E0"/>
    <w:rsid w:val="003F19F6"/>
    <w:rsid w:val="003F1ABE"/>
    <w:rsid w:val="003F1BBA"/>
    <w:rsid w:val="003F1D65"/>
    <w:rsid w:val="003F1F6E"/>
    <w:rsid w:val="003F1FC7"/>
    <w:rsid w:val="003F20F3"/>
    <w:rsid w:val="003F243C"/>
    <w:rsid w:val="003F27D7"/>
    <w:rsid w:val="003F28F8"/>
    <w:rsid w:val="003F29F5"/>
    <w:rsid w:val="003F2A53"/>
    <w:rsid w:val="003F2B71"/>
    <w:rsid w:val="003F2E36"/>
    <w:rsid w:val="003F2F31"/>
    <w:rsid w:val="003F3218"/>
    <w:rsid w:val="003F3297"/>
    <w:rsid w:val="003F395A"/>
    <w:rsid w:val="003F3B26"/>
    <w:rsid w:val="003F3BFE"/>
    <w:rsid w:val="003F3C51"/>
    <w:rsid w:val="003F3E1D"/>
    <w:rsid w:val="003F3FAC"/>
    <w:rsid w:val="003F4393"/>
    <w:rsid w:val="003F48F1"/>
    <w:rsid w:val="003F4A8B"/>
    <w:rsid w:val="003F4C9A"/>
    <w:rsid w:val="003F4D58"/>
    <w:rsid w:val="003F4F6C"/>
    <w:rsid w:val="003F5128"/>
    <w:rsid w:val="003F52F1"/>
    <w:rsid w:val="003F548C"/>
    <w:rsid w:val="003F55DB"/>
    <w:rsid w:val="003F575E"/>
    <w:rsid w:val="003F580F"/>
    <w:rsid w:val="003F5ADE"/>
    <w:rsid w:val="003F5CC3"/>
    <w:rsid w:val="003F5F1D"/>
    <w:rsid w:val="003F64A0"/>
    <w:rsid w:val="003F64C7"/>
    <w:rsid w:val="003F64E0"/>
    <w:rsid w:val="003F6BD4"/>
    <w:rsid w:val="003F6E87"/>
    <w:rsid w:val="003F71B2"/>
    <w:rsid w:val="003F7232"/>
    <w:rsid w:val="003F780F"/>
    <w:rsid w:val="003F7A19"/>
    <w:rsid w:val="003F7E61"/>
    <w:rsid w:val="003F7E81"/>
    <w:rsid w:val="0040000E"/>
    <w:rsid w:val="004001FA"/>
    <w:rsid w:val="004007F9"/>
    <w:rsid w:val="004008E6"/>
    <w:rsid w:val="004009EB"/>
    <w:rsid w:val="00400A57"/>
    <w:rsid w:val="00400A70"/>
    <w:rsid w:val="00400C20"/>
    <w:rsid w:val="00400C5A"/>
    <w:rsid w:val="00401364"/>
    <w:rsid w:val="00401386"/>
    <w:rsid w:val="00401AFC"/>
    <w:rsid w:val="00401B88"/>
    <w:rsid w:val="00401BDB"/>
    <w:rsid w:val="0040241E"/>
    <w:rsid w:val="00402487"/>
    <w:rsid w:val="0040250F"/>
    <w:rsid w:val="004025B2"/>
    <w:rsid w:val="00402662"/>
    <w:rsid w:val="00402994"/>
    <w:rsid w:val="004029CE"/>
    <w:rsid w:val="00402D93"/>
    <w:rsid w:val="00402EF3"/>
    <w:rsid w:val="00403112"/>
    <w:rsid w:val="00403317"/>
    <w:rsid w:val="004034D4"/>
    <w:rsid w:val="00403738"/>
    <w:rsid w:val="00403821"/>
    <w:rsid w:val="00403BAE"/>
    <w:rsid w:val="00403BD9"/>
    <w:rsid w:val="00403C9E"/>
    <w:rsid w:val="00403E16"/>
    <w:rsid w:val="00404001"/>
    <w:rsid w:val="00404408"/>
    <w:rsid w:val="00404548"/>
    <w:rsid w:val="004049AA"/>
    <w:rsid w:val="004049E4"/>
    <w:rsid w:val="00404A85"/>
    <w:rsid w:val="00404A91"/>
    <w:rsid w:val="00404C22"/>
    <w:rsid w:val="00404D3F"/>
    <w:rsid w:val="00404E51"/>
    <w:rsid w:val="00404F51"/>
    <w:rsid w:val="00405373"/>
    <w:rsid w:val="00405393"/>
    <w:rsid w:val="0040551A"/>
    <w:rsid w:val="0040594B"/>
    <w:rsid w:val="00406073"/>
    <w:rsid w:val="004063F6"/>
    <w:rsid w:val="00406512"/>
    <w:rsid w:val="00406516"/>
    <w:rsid w:val="0040652D"/>
    <w:rsid w:val="004066D8"/>
    <w:rsid w:val="004066F5"/>
    <w:rsid w:val="00406881"/>
    <w:rsid w:val="00406EDA"/>
    <w:rsid w:val="00406F4A"/>
    <w:rsid w:val="00407247"/>
    <w:rsid w:val="0040741E"/>
    <w:rsid w:val="0040783C"/>
    <w:rsid w:val="00407AE0"/>
    <w:rsid w:val="00407D61"/>
    <w:rsid w:val="00407E17"/>
    <w:rsid w:val="00407E64"/>
    <w:rsid w:val="004101E9"/>
    <w:rsid w:val="004102B1"/>
    <w:rsid w:val="00410677"/>
    <w:rsid w:val="00410A2C"/>
    <w:rsid w:val="00410AD5"/>
    <w:rsid w:val="00410AE0"/>
    <w:rsid w:val="00410EFE"/>
    <w:rsid w:val="00410FEA"/>
    <w:rsid w:val="00411382"/>
    <w:rsid w:val="004115CE"/>
    <w:rsid w:val="00411628"/>
    <w:rsid w:val="00411679"/>
    <w:rsid w:val="0041180F"/>
    <w:rsid w:val="00411855"/>
    <w:rsid w:val="004118C1"/>
    <w:rsid w:val="00411934"/>
    <w:rsid w:val="00411A07"/>
    <w:rsid w:val="00411B2F"/>
    <w:rsid w:val="00412016"/>
    <w:rsid w:val="004123F4"/>
    <w:rsid w:val="00412634"/>
    <w:rsid w:val="00412C84"/>
    <w:rsid w:val="00412F08"/>
    <w:rsid w:val="0041304B"/>
    <w:rsid w:val="00413434"/>
    <w:rsid w:val="004134DB"/>
    <w:rsid w:val="00413664"/>
    <w:rsid w:val="00413677"/>
    <w:rsid w:val="004139AB"/>
    <w:rsid w:val="00413A2C"/>
    <w:rsid w:val="00413BF6"/>
    <w:rsid w:val="00413C59"/>
    <w:rsid w:val="00413DD3"/>
    <w:rsid w:val="0041406C"/>
    <w:rsid w:val="004140B2"/>
    <w:rsid w:val="00414501"/>
    <w:rsid w:val="0041455B"/>
    <w:rsid w:val="004146BE"/>
    <w:rsid w:val="00414A32"/>
    <w:rsid w:val="00414A4C"/>
    <w:rsid w:val="00414DF4"/>
    <w:rsid w:val="00415042"/>
    <w:rsid w:val="0041513A"/>
    <w:rsid w:val="004151AB"/>
    <w:rsid w:val="00415222"/>
    <w:rsid w:val="004155D0"/>
    <w:rsid w:val="004157A8"/>
    <w:rsid w:val="0041581D"/>
    <w:rsid w:val="00415A3D"/>
    <w:rsid w:val="00415AF6"/>
    <w:rsid w:val="00415C52"/>
    <w:rsid w:val="00415E91"/>
    <w:rsid w:val="004161CF"/>
    <w:rsid w:val="004168C8"/>
    <w:rsid w:val="00416A22"/>
    <w:rsid w:val="00416B7F"/>
    <w:rsid w:val="00416F3A"/>
    <w:rsid w:val="0041700D"/>
    <w:rsid w:val="004171CC"/>
    <w:rsid w:val="004171DA"/>
    <w:rsid w:val="004174CD"/>
    <w:rsid w:val="00417582"/>
    <w:rsid w:val="004176B4"/>
    <w:rsid w:val="0041771F"/>
    <w:rsid w:val="00417960"/>
    <w:rsid w:val="00417992"/>
    <w:rsid w:val="004179F8"/>
    <w:rsid w:val="00417A26"/>
    <w:rsid w:val="00417E46"/>
    <w:rsid w:val="00417FF4"/>
    <w:rsid w:val="00420043"/>
    <w:rsid w:val="0042043F"/>
    <w:rsid w:val="004204C5"/>
    <w:rsid w:val="00420589"/>
    <w:rsid w:val="004205F5"/>
    <w:rsid w:val="0042079E"/>
    <w:rsid w:val="00420F32"/>
    <w:rsid w:val="004210D4"/>
    <w:rsid w:val="004213AF"/>
    <w:rsid w:val="004216DD"/>
    <w:rsid w:val="004217CD"/>
    <w:rsid w:val="004219CC"/>
    <w:rsid w:val="00421AFA"/>
    <w:rsid w:val="00421C6F"/>
    <w:rsid w:val="00421D3D"/>
    <w:rsid w:val="00421DF6"/>
    <w:rsid w:val="00421E57"/>
    <w:rsid w:val="004225AE"/>
    <w:rsid w:val="00422617"/>
    <w:rsid w:val="00422D31"/>
    <w:rsid w:val="00422EE6"/>
    <w:rsid w:val="0042305A"/>
    <w:rsid w:val="004232F7"/>
    <w:rsid w:val="004233A6"/>
    <w:rsid w:val="00423410"/>
    <w:rsid w:val="004239AF"/>
    <w:rsid w:val="00423B4D"/>
    <w:rsid w:val="00423B9F"/>
    <w:rsid w:val="00423E6B"/>
    <w:rsid w:val="00423F19"/>
    <w:rsid w:val="00423F46"/>
    <w:rsid w:val="00424647"/>
    <w:rsid w:val="0042473A"/>
    <w:rsid w:val="00424974"/>
    <w:rsid w:val="004249B3"/>
    <w:rsid w:val="004249DC"/>
    <w:rsid w:val="00424AC2"/>
    <w:rsid w:val="00424B59"/>
    <w:rsid w:val="00424D44"/>
    <w:rsid w:val="00425046"/>
    <w:rsid w:val="0042511F"/>
    <w:rsid w:val="00425405"/>
    <w:rsid w:val="00425B9E"/>
    <w:rsid w:val="00425D91"/>
    <w:rsid w:val="00425DF3"/>
    <w:rsid w:val="00425EB2"/>
    <w:rsid w:val="00425ED5"/>
    <w:rsid w:val="004261FD"/>
    <w:rsid w:val="00426486"/>
    <w:rsid w:val="004267CA"/>
    <w:rsid w:val="00426BC4"/>
    <w:rsid w:val="00426CC3"/>
    <w:rsid w:val="00426F07"/>
    <w:rsid w:val="00426F5C"/>
    <w:rsid w:val="00427023"/>
    <w:rsid w:val="004270DD"/>
    <w:rsid w:val="004271CC"/>
    <w:rsid w:val="00427210"/>
    <w:rsid w:val="004275FF"/>
    <w:rsid w:val="00427775"/>
    <w:rsid w:val="00427816"/>
    <w:rsid w:val="00427862"/>
    <w:rsid w:val="00427A18"/>
    <w:rsid w:val="00427BB6"/>
    <w:rsid w:val="00427BF1"/>
    <w:rsid w:val="00427E9F"/>
    <w:rsid w:val="00427F34"/>
    <w:rsid w:val="004301D3"/>
    <w:rsid w:val="004302A0"/>
    <w:rsid w:val="004309AE"/>
    <w:rsid w:val="00430AFC"/>
    <w:rsid w:val="00430BF6"/>
    <w:rsid w:val="00430E0D"/>
    <w:rsid w:val="00430F09"/>
    <w:rsid w:val="00430FD1"/>
    <w:rsid w:val="0043121C"/>
    <w:rsid w:val="00431300"/>
    <w:rsid w:val="0043174B"/>
    <w:rsid w:val="004317C2"/>
    <w:rsid w:val="004317E5"/>
    <w:rsid w:val="0043180B"/>
    <w:rsid w:val="00431A5A"/>
    <w:rsid w:val="00431BD6"/>
    <w:rsid w:val="00431E8E"/>
    <w:rsid w:val="00431FB9"/>
    <w:rsid w:val="004324FE"/>
    <w:rsid w:val="004326D1"/>
    <w:rsid w:val="00432880"/>
    <w:rsid w:val="00432BEF"/>
    <w:rsid w:val="00432C35"/>
    <w:rsid w:val="00432C57"/>
    <w:rsid w:val="00432FFB"/>
    <w:rsid w:val="004332BC"/>
    <w:rsid w:val="004332F4"/>
    <w:rsid w:val="004333DE"/>
    <w:rsid w:val="00433464"/>
    <w:rsid w:val="004335F7"/>
    <w:rsid w:val="004336F0"/>
    <w:rsid w:val="00433841"/>
    <w:rsid w:val="00433942"/>
    <w:rsid w:val="004339CA"/>
    <w:rsid w:val="00433DA5"/>
    <w:rsid w:val="004340DE"/>
    <w:rsid w:val="00434219"/>
    <w:rsid w:val="004348C5"/>
    <w:rsid w:val="00434F7E"/>
    <w:rsid w:val="00434F97"/>
    <w:rsid w:val="004351CB"/>
    <w:rsid w:val="004356F4"/>
    <w:rsid w:val="00435928"/>
    <w:rsid w:val="004359BA"/>
    <w:rsid w:val="00435AB8"/>
    <w:rsid w:val="00435D3F"/>
    <w:rsid w:val="004360E6"/>
    <w:rsid w:val="004364F3"/>
    <w:rsid w:val="004367B0"/>
    <w:rsid w:val="00436836"/>
    <w:rsid w:val="0043696C"/>
    <w:rsid w:val="00436A15"/>
    <w:rsid w:val="00436AD4"/>
    <w:rsid w:val="00436EAB"/>
    <w:rsid w:val="0043713F"/>
    <w:rsid w:val="00437266"/>
    <w:rsid w:val="00437394"/>
    <w:rsid w:val="0043740D"/>
    <w:rsid w:val="004375E8"/>
    <w:rsid w:val="00437716"/>
    <w:rsid w:val="004377E0"/>
    <w:rsid w:val="004378F1"/>
    <w:rsid w:val="00437930"/>
    <w:rsid w:val="00437AFD"/>
    <w:rsid w:val="00437F3D"/>
    <w:rsid w:val="004400A2"/>
    <w:rsid w:val="004401F7"/>
    <w:rsid w:val="004402E9"/>
    <w:rsid w:val="004403B8"/>
    <w:rsid w:val="004403E7"/>
    <w:rsid w:val="0044065B"/>
    <w:rsid w:val="00440A0E"/>
    <w:rsid w:val="00440FC4"/>
    <w:rsid w:val="00441180"/>
    <w:rsid w:val="004411C3"/>
    <w:rsid w:val="004414E1"/>
    <w:rsid w:val="00441A5D"/>
    <w:rsid w:val="00441A8C"/>
    <w:rsid w:val="00441C6B"/>
    <w:rsid w:val="00441CC7"/>
    <w:rsid w:val="00441F33"/>
    <w:rsid w:val="004421D6"/>
    <w:rsid w:val="004422BD"/>
    <w:rsid w:val="004423CF"/>
    <w:rsid w:val="004425F5"/>
    <w:rsid w:val="004429BE"/>
    <w:rsid w:val="00442C59"/>
    <w:rsid w:val="00442E2B"/>
    <w:rsid w:val="0044334E"/>
    <w:rsid w:val="0044376B"/>
    <w:rsid w:val="004438D5"/>
    <w:rsid w:val="00443C23"/>
    <w:rsid w:val="00443F90"/>
    <w:rsid w:val="00443FA7"/>
    <w:rsid w:val="004445EB"/>
    <w:rsid w:val="0044474B"/>
    <w:rsid w:val="00444792"/>
    <w:rsid w:val="00444974"/>
    <w:rsid w:val="00444B2E"/>
    <w:rsid w:val="00444C05"/>
    <w:rsid w:val="00444C6E"/>
    <w:rsid w:val="00444E43"/>
    <w:rsid w:val="00444F4B"/>
    <w:rsid w:val="00444FAE"/>
    <w:rsid w:val="004451BF"/>
    <w:rsid w:val="004451F0"/>
    <w:rsid w:val="0044531E"/>
    <w:rsid w:val="004454BB"/>
    <w:rsid w:val="0044573D"/>
    <w:rsid w:val="004457EE"/>
    <w:rsid w:val="00445F6B"/>
    <w:rsid w:val="0044619B"/>
    <w:rsid w:val="00446239"/>
    <w:rsid w:val="0044628B"/>
    <w:rsid w:val="0044631E"/>
    <w:rsid w:val="00446322"/>
    <w:rsid w:val="004463B2"/>
    <w:rsid w:val="00446520"/>
    <w:rsid w:val="0044686F"/>
    <w:rsid w:val="004469DB"/>
    <w:rsid w:val="00446EAD"/>
    <w:rsid w:val="00446EC4"/>
    <w:rsid w:val="00446FBE"/>
    <w:rsid w:val="00447206"/>
    <w:rsid w:val="0044768A"/>
    <w:rsid w:val="004477DE"/>
    <w:rsid w:val="00447A3E"/>
    <w:rsid w:val="00447A93"/>
    <w:rsid w:val="00447E70"/>
    <w:rsid w:val="00450194"/>
    <w:rsid w:val="0045042A"/>
    <w:rsid w:val="004504B9"/>
    <w:rsid w:val="004505FF"/>
    <w:rsid w:val="00450651"/>
    <w:rsid w:val="00450860"/>
    <w:rsid w:val="00450913"/>
    <w:rsid w:val="00450CBA"/>
    <w:rsid w:val="004511A6"/>
    <w:rsid w:val="0045143E"/>
    <w:rsid w:val="00451592"/>
    <w:rsid w:val="0045169E"/>
    <w:rsid w:val="00451819"/>
    <w:rsid w:val="00451835"/>
    <w:rsid w:val="00451A87"/>
    <w:rsid w:val="00451CC4"/>
    <w:rsid w:val="00451DC2"/>
    <w:rsid w:val="00451F6C"/>
    <w:rsid w:val="00452104"/>
    <w:rsid w:val="00452343"/>
    <w:rsid w:val="0045234C"/>
    <w:rsid w:val="0045244F"/>
    <w:rsid w:val="004524F3"/>
    <w:rsid w:val="0045261E"/>
    <w:rsid w:val="00452760"/>
    <w:rsid w:val="00452903"/>
    <w:rsid w:val="004529B5"/>
    <w:rsid w:val="00452A80"/>
    <w:rsid w:val="00452E26"/>
    <w:rsid w:val="00452EBF"/>
    <w:rsid w:val="00452F1F"/>
    <w:rsid w:val="00453089"/>
    <w:rsid w:val="004530C4"/>
    <w:rsid w:val="004533DD"/>
    <w:rsid w:val="00453714"/>
    <w:rsid w:val="00453716"/>
    <w:rsid w:val="00453730"/>
    <w:rsid w:val="00453767"/>
    <w:rsid w:val="00453862"/>
    <w:rsid w:val="0045389A"/>
    <w:rsid w:val="004539EC"/>
    <w:rsid w:val="00453A55"/>
    <w:rsid w:val="00453C6F"/>
    <w:rsid w:val="00453F44"/>
    <w:rsid w:val="004540E0"/>
    <w:rsid w:val="004540FF"/>
    <w:rsid w:val="0045431F"/>
    <w:rsid w:val="004544AB"/>
    <w:rsid w:val="004546E4"/>
    <w:rsid w:val="004547A7"/>
    <w:rsid w:val="00454991"/>
    <w:rsid w:val="00454C51"/>
    <w:rsid w:val="00454DAD"/>
    <w:rsid w:val="00454E17"/>
    <w:rsid w:val="00454F0A"/>
    <w:rsid w:val="00454F43"/>
    <w:rsid w:val="004550A0"/>
    <w:rsid w:val="004550F5"/>
    <w:rsid w:val="00455379"/>
    <w:rsid w:val="004554D2"/>
    <w:rsid w:val="0045584F"/>
    <w:rsid w:val="004558A1"/>
    <w:rsid w:val="00455B62"/>
    <w:rsid w:val="00455CAA"/>
    <w:rsid w:val="00455D85"/>
    <w:rsid w:val="00455DA6"/>
    <w:rsid w:val="00455E7C"/>
    <w:rsid w:val="00455E94"/>
    <w:rsid w:val="00455F59"/>
    <w:rsid w:val="00456003"/>
    <w:rsid w:val="004560BE"/>
    <w:rsid w:val="0045611B"/>
    <w:rsid w:val="0045645C"/>
    <w:rsid w:val="004565E1"/>
    <w:rsid w:val="0045663E"/>
    <w:rsid w:val="004566C8"/>
    <w:rsid w:val="00456790"/>
    <w:rsid w:val="00456CA5"/>
    <w:rsid w:val="00456CB5"/>
    <w:rsid w:val="00456CC3"/>
    <w:rsid w:val="004572C6"/>
    <w:rsid w:val="004574CD"/>
    <w:rsid w:val="00457584"/>
    <w:rsid w:val="0045760E"/>
    <w:rsid w:val="00457639"/>
    <w:rsid w:val="00457891"/>
    <w:rsid w:val="004579AE"/>
    <w:rsid w:val="004579FA"/>
    <w:rsid w:val="00457A90"/>
    <w:rsid w:val="00457AD9"/>
    <w:rsid w:val="00457D22"/>
    <w:rsid w:val="00457D5D"/>
    <w:rsid w:val="00460166"/>
    <w:rsid w:val="004605BA"/>
    <w:rsid w:val="00460830"/>
    <w:rsid w:val="00460842"/>
    <w:rsid w:val="004608FB"/>
    <w:rsid w:val="00460D04"/>
    <w:rsid w:val="00460D53"/>
    <w:rsid w:val="00461093"/>
    <w:rsid w:val="004613A7"/>
    <w:rsid w:val="00461531"/>
    <w:rsid w:val="00461638"/>
    <w:rsid w:val="00461D02"/>
    <w:rsid w:val="00461D73"/>
    <w:rsid w:val="00461F68"/>
    <w:rsid w:val="00462158"/>
    <w:rsid w:val="0046228D"/>
    <w:rsid w:val="004622A9"/>
    <w:rsid w:val="00462464"/>
    <w:rsid w:val="004624AF"/>
    <w:rsid w:val="004624C8"/>
    <w:rsid w:val="004625E5"/>
    <w:rsid w:val="004629DC"/>
    <w:rsid w:val="00462B75"/>
    <w:rsid w:val="00462CA6"/>
    <w:rsid w:val="00462D24"/>
    <w:rsid w:val="00462DBD"/>
    <w:rsid w:val="00462E2F"/>
    <w:rsid w:val="00463086"/>
    <w:rsid w:val="004630B4"/>
    <w:rsid w:val="0046348B"/>
    <w:rsid w:val="004638F2"/>
    <w:rsid w:val="0046393E"/>
    <w:rsid w:val="00463965"/>
    <w:rsid w:val="00463DC4"/>
    <w:rsid w:val="00463DC7"/>
    <w:rsid w:val="00463F0E"/>
    <w:rsid w:val="00464084"/>
    <w:rsid w:val="004641E3"/>
    <w:rsid w:val="0046433D"/>
    <w:rsid w:val="00464473"/>
    <w:rsid w:val="00464500"/>
    <w:rsid w:val="004647F4"/>
    <w:rsid w:val="00464DCF"/>
    <w:rsid w:val="00464E95"/>
    <w:rsid w:val="004654A4"/>
    <w:rsid w:val="004655EB"/>
    <w:rsid w:val="0046569A"/>
    <w:rsid w:val="004657EF"/>
    <w:rsid w:val="00465DB4"/>
    <w:rsid w:val="00465DF7"/>
    <w:rsid w:val="00465E04"/>
    <w:rsid w:val="00465E0F"/>
    <w:rsid w:val="004661E5"/>
    <w:rsid w:val="004662EA"/>
    <w:rsid w:val="004667AD"/>
    <w:rsid w:val="00466D33"/>
    <w:rsid w:val="00466E2B"/>
    <w:rsid w:val="004670F0"/>
    <w:rsid w:val="00467111"/>
    <w:rsid w:val="004675EC"/>
    <w:rsid w:val="00467AD8"/>
    <w:rsid w:val="00467CF9"/>
    <w:rsid w:val="00467E3C"/>
    <w:rsid w:val="00470161"/>
    <w:rsid w:val="0047075B"/>
    <w:rsid w:val="00470842"/>
    <w:rsid w:val="004709F9"/>
    <w:rsid w:val="00470AF1"/>
    <w:rsid w:val="00470C2A"/>
    <w:rsid w:val="00470DBC"/>
    <w:rsid w:val="004711F9"/>
    <w:rsid w:val="00471214"/>
    <w:rsid w:val="00471356"/>
    <w:rsid w:val="0047180D"/>
    <w:rsid w:val="00471A32"/>
    <w:rsid w:val="00471D66"/>
    <w:rsid w:val="00471D78"/>
    <w:rsid w:val="004724E5"/>
    <w:rsid w:val="004725A7"/>
    <w:rsid w:val="004726D3"/>
    <w:rsid w:val="00472A31"/>
    <w:rsid w:val="00472AF3"/>
    <w:rsid w:val="00472B16"/>
    <w:rsid w:val="00472C02"/>
    <w:rsid w:val="00472CB4"/>
    <w:rsid w:val="00472D08"/>
    <w:rsid w:val="00472DC9"/>
    <w:rsid w:val="00473033"/>
    <w:rsid w:val="004732F8"/>
    <w:rsid w:val="00473564"/>
    <w:rsid w:val="00473648"/>
    <w:rsid w:val="00473798"/>
    <w:rsid w:val="004739B7"/>
    <w:rsid w:val="00473CF2"/>
    <w:rsid w:val="00473EDD"/>
    <w:rsid w:val="004746CE"/>
    <w:rsid w:val="004746D1"/>
    <w:rsid w:val="004746E4"/>
    <w:rsid w:val="00474727"/>
    <w:rsid w:val="004747AF"/>
    <w:rsid w:val="00474953"/>
    <w:rsid w:val="00474963"/>
    <w:rsid w:val="00474B65"/>
    <w:rsid w:val="00474BC5"/>
    <w:rsid w:val="00474F7A"/>
    <w:rsid w:val="0047523F"/>
    <w:rsid w:val="004754A6"/>
    <w:rsid w:val="00475603"/>
    <w:rsid w:val="00475DF4"/>
    <w:rsid w:val="00476251"/>
    <w:rsid w:val="004763CE"/>
    <w:rsid w:val="0047684E"/>
    <w:rsid w:val="0047689F"/>
    <w:rsid w:val="004768CD"/>
    <w:rsid w:val="0047698A"/>
    <w:rsid w:val="00476B96"/>
    <w:rsid w:val="00476D33"/>
    <w:rsid w:val="00477033"/>
    <w:rsid w:val="00477076"/>
    <w:rsid w:val="00477218"/>
    <w:rsid w:val="0047731A"/>
    <w:rsid w:val="00477A48"/>
    <w:rsid w:val="00477AB7"/>
    <w:rsid w:val="00477ACB"/>
    <w:rsid w:val="00477C66"/>
    <w:rsid w:val="00477CE7"/>
    <w:rsid w:val="00477F4C"/>
    <w:rsid w:val="00477F8D"/>
    <w:rsid w:val="00477F9D"/>
    <w:rsid w:val="00480446"/>
    <w:rsid w:val="004804CA"/>
    <w:rsid w:val="00480512"/>
    <w:rsid w:val="0048053C"/>
    <w:rsid w:val="00480A92"/>
    <w:rsid w:val="00480E0C"/>
    <w:rsid w:val="00481195"/>
    <w:rsid w:val="00481273"/>
    <w:rsid w:val="004812F5"/>
    <w:rsid w:val="004815A5"/>
    <w:rsid w:val="00481793"/>
    <w:rsid w:val="004817F0"/>
    <w:rsid w:val="0048187A"/>
    <w:rsid w:val="004818FF"/>
    <w:rsid w:val="00481C83"/>
    <w:rsid w:val="00481EC4"/>
    <w:rsid w:val="00481F0A"/>
    <w:rsid w:val="00482085"/>
    <w:rsid w:val="00482154"/>
    <w:rsid w:val="00482623"/>
    <w:rsid w:val="0048271B"/>
    <w:rsid w:val="004827C4"/>
    <w:rsid w:val="00482989"/>
    <w:rsid w:val="00482B86"/>
    <w:rsid w:val="00483766"/>
    <w:rsid w:val="00483844"/>
    <w:rsid w:val="004838FB"/>
    <w:rsid w:val="00483EEF"/>
    <w:rsid w:val="0048405C"/>
    <w:rsid w:val="00484648"/>
    <w:rsid w:val="00484725"/>
    <w:rsid w:val="00484BF0"/>
    <w:rsid w:val="00484D69"/>
    <w:rsid w:val="00484DF5"/>
    <w:rsid w:val="00485134"/>
    <w:rsid w:val="00485211"/>
    <w:rsid w:val="004857EE"/>
    <w:rsid w:val="00485B93"/>
    <w:rsid w:val="004860BD"/>
    <w:rsid w:val="004861AE"/>
    <w:rsid w:val="0048623A"/>
    <w:rsid w:val="00486258"/>
    <w:rsid w:val="004863BF"/>
    <w:rsid w:val="004865E9"/>
    <w:rsid w:val="0048660A"/>
    <w:rsid w:val="00486B9F"/>
    <w:rsid w:val="00487042"/>
    <w:rsid w:val="004871D8"/>
    <w:rsid w:val="00487366"/>
    <w:rsid w:val="0048759A"/>
    <w:rsid w:val="004878F2"/>
    <w:rsid w:val="00487FB5"/>
    <w:rsid w:val="0049000C"/>
    <w:rsid w:val="0049003A"/>
    <w:rsid w:val="004900B5"/>
    <w:rsid w:val="00490178"/>
    <w:rsid w:val="004901B7"/>
    <w:rsid w:val="004901DE"/>
    <w:rsid w:val="0049043F"/>
    <w:rsid w:val="00490592"/>
    <w:rsid w:val="00490692"/>
    <w:rsid w:val="004909C8"/>
    <w:rsid w:val="00490A18"/>
    <w:rsid w:val="00490A68"/>
    <w:rsid w:val="00490AAB"/>
    <w:rsid w:val="00490C6A"/>
    <w:rsid w:val="00490C87"/>
    <w:rsid w:val="00490C88"/>
    <w:rsid w:val="00490FB5"/>
    <w:rsid w:val="00491147"/>
    <w:rsid w:val="004912E1"/>
    <w:rsid w:val="00491323"/>
    <w:rsid w:val="0049145F"/>
    <w:rsid w:val="0049167A"/>
    <w:rsid w:val="004917E1"/>
    <w:rsid w:val="004918B6"/>
    <w:rsid w:val="0049195D"/>
    <w:rsid w:val="00491AF1"/>
    <w:rsid w:val="00491C7B"/>
    <w:rsid w:val="004921A3"/>
    <w:rsid w:val="004921B2"/>
    <w:rsid w:val="00492266"/>
    <w:rsid w:val="004922BD"/>
    <w:rsid w:val="00492E73"/>
    <w:rsid w:val="00492ED0"/>
    <w:rsid w:val="00492F4F"/>
    <w:rsid w:val="00493050"/>
    <w:rsid w:val="0049334E"/>
    <w:rsid w:val="00493398"/>
    <w:rsid w:val="00493448"/>
    <w:rsid w:val="0049405D"/>
    <w:rsid w:val="004945C3"/>
    <w:rsid w:val="0049480A"/>
    <w:rsid w:val="00494849"/>
    <w:rsid w:val="00494C9B"/>
    <w:rsid w:val="00494D08"/>
    <w:rsid w:val="00494DE7"/>
    <w:rsid w:val="00495630"/>
    <w:rsid w:val="00495835"/>
    <w:rsid w:val="0049584B"/>
    <w:rsid w:val="004958ED"/>
    <w:rsid w:val="00495905"/>
    <w:rsid w:val="00495B64"/>
    <w:rsid w:val="00495DD7"/>
    <w:rsid w:val="00495E21"/>
    <w:rsid w:val="00496180"/>
    <w:rsid w:val="00496443"/>
    <w:rsid w:val="0049678E"/>
    <w:rsid w:val="0049682C"/>
    <w:rsid w:val="00496896"/>
    <w:rsid w:val="00496EB1"/>
    <w:rsid w:val="00496EDE"/>
    <w:rsid w:val="004970DC"/>
    <w:rsid w:val="004971E8"/>
    <w:rsid w:val="00497275"/>
    <w:rsid w:val="0049737E"/>
    <w:rsid w:val="004975AA"/>
    <w:rsid w:val="00497CCA"/>
    <w:rsid w:val="00497E2C"/>
    <w:rsid w:val="00497EFE"/>
    <w:rsid w:val="004A01DB"/>
    <w:rsid w:val="004A01EF"/>
    <w:rsid w:val="004A032D"/>
    <w:rsid w:val="004A032F"/>
    <w:rsid w:val="004A0484"/>
    <w:rsid w:val="004A05A2"/>
    <w:rsid w:val="004A09A9"/>
    <w:rsid w:val="004A0A6D"/>
    <w:rsid w:val="004A0C84"/>
    <w:rsid w:val="004A0DAC"/>
    <w:rsid w:val="004A0E6A"/>
    <w:rsid w:val="004A0E75"/>
    <w:rsid w:val="004A1042"/>
    <w:rsid w:val="004A12B4"/>
    <w:rsid w:val="004A142B"/>
    <w:rsid w:val="004A1539"/>
    <w:rsid w:val="004A153E"/>
    <w:rsid w:val="004A1979"/>
    <w:rsid w:val="004A1994"/>
    <w:rsid w:val="004A1A23"/>
    <w:rsid w:val="004A1A40"/>
    <w:rsid w:val="004A1C1B"/>
    <w:rsid w:val="004A1CB9"/>
    <w:rsid w:val="004A1D62"/>
    <w:rsid w:val="004A1F77"/>
    <w:rsid w:val="004A205A"/>
    <w:rsid w:val="004A2482"/>
    <w:rsid w:val="004A27CC"/>
    <w:rsid w:val="004A2931"/>
    <w:rsid w:val="004A293D"/>
    <w:rsid w:val="004A2C87"/>
    <w:rsid w:val="004A2E7B"/>
    <w:rsid w:val="004A2EDA"/>
    <w:rsid w:val="004A3067"/>
    <w:rsid w:val="004A33CD"/>
    <w:rsid w:val="004A396C"/>
    <w:rsid w:val="004A3BBE"/>
    <w:rsid w:val="004A40FF"/>
    <w:rsid w:val="004A438F"/>
    <w:rsid w:val="004A43AF"/>
    <w:rsid w:val="004A4452"/>
    <w:rsid w:val="004A44BD"/>
    <w:rsid w:val="004A4839"/>
    <w:rsid w:val="004A4C64"/>
    <w:rsid w:val="004A4DDE"/>
    <w:rsid w:val="004A5079"/>
    <w:rsid w:val="004A508D"/>
    <w:rsid w:val="004A51B6"/>
    <w:rsid w:val="004A5339"/>
    <w:rsid w:val="004A5417"/>
    <w:rsid w:val="004A5476"/>
    <w:rsid w:val="004A586F"/>
    <w:rsid w:val="004A5AE5"/>
    <w:rsid w:val="004A5BE0"/>
    <w:rsid w:val="004A5BF8"/>
    <w:rsid w:val="004A5CF3"/>
    <w:rsid w:val="004A5D50"/>
    <w:rsid w:val="004A5E5B"/>
    <w:rsid w:val="004A6130"/>
    <w:rsid w:val="004A6711"/>
    <w:rsid w:val="004A68A5"/>
    <w:rsid w:val="004A6AC1"/>
    <w:rsid w:val="004A6AD0"/>
    <w:rsid w:val="004A6AE5"/>
    <w:rsid w:val="004A6D34"/>
    <w:rsid w:val="004A6DEA"/>
    <w:rsid w:val="004A6F91"/>
    <w:rsid w:val="004A706A"/>
    <w:rsid w:val="004A719C"/>
    <w:rsid w:val="004A72AE"/>
    <w:rsid w:val="004A7492"/>
    <w:rsid w:val="004A7836"/>
    <w:rsid w:val="004A7988"/>
    <w:rsid w:val="004A7A02"/>
    <w:rsid w:val="004A7AB5"/>
    <w:rsid w:val="004A7B6E"/>
    <w:rsid w:val="004A7F9D"/>
    <w:rsid w:val="004B0070"/>
    <w:rsid w:val="004B0139"/>
    <w:rsid w:val="004B0381"/>
    <w:rsid w:val="004B03DC"/>
    <w:rsid w:val="004B07F6"/>
    <w:rsid w:val="004B0968"/>
    <w:rsid w:val="004B09D3"/>
    <w:rsid w:val="004B0B58"/>
    <w:rsid w:val="004B0C6B"/>
    <w:rsid w:val="004B0E6A"/>
    <w:rsid w:val="004B1216"/>
    <w:rsid w:val="004B1439"/>
    <w:rsid w:val="004B16CC"/>
    <w:rsid w:val="004B1841"/>
    <w:rsid w:val="004B1847"/>
    <w:rsid w:val="004B18A7"/>
    <w:rsid w:val="004B19BF"/>
    <w:rsid w:val="004B1A07"/>
    <w:rsid w:val="004B1F47"/>
    <w:rsid w:val="004B21B1"/>
    <w:rsid w:val="004B2285"/>
    <w:rsid w:val="004B2320"/>
    <w:rsid w:val="004B2337"/>
    <w:rsid w:val="004B24E8"/>
    <w:rsid w:val="004B24FB"/>
    <w:rsid w:val="004B26D1"/>
    <w:rsid w:val="004B27CE"/>
    <w:rsid w:val="004B2C42"/>
    <w:rsid w:val="004B2D31"/>
    <w:rsid w:val="004B2D8A"/>
    <w:rsid w:val="004B2DBF"/>
    <w:rsid w:val="004B3010"/>
    <w:rsid w:val="004B317E"/>
    <w:rsid w:val="004B333A"/>
    <w:rsid w:val="004B362B"/>
    <w:rsid w:val="004B36CE"/>
    <w:rsid w:val="004B3958"/>
    <w:rsid w:val="004B3BAC"/>
    <w:rsid w:val="004B3F60"/>
    <w:rsid w:val="004B411C"/>
    <w:rsid w:val="004B441C"/>
    <w:rsid w:val="004B457D"/>
    <w:rsid w:val="004B4637"/>
    <w:rsid w:val="004B471F"/>
    <w:rsid w:val="004B4FA3"/>
    <w:rsid w:val="004B5005"/>
    <w:rsid w:val="004B50A6"/>
    <w:rsid w:val="004B5234"/>
    <w:rsid w:val="004B533C"/>
    <w:rsid w:val="004B5378"/>
    <w:rsid w:val="004B53F9"/>
    <w:rsid w:val="004B5455"/>
    <w:rsid w:val="004B553C"/>
    <w:rsid w:val="004B5829"/>
    <w:rsid w:val="004B597F"/>
    <w:rsid w:val="004B5B83"/>
    <w:rsid w:val="004B66A3"/>
    <w:rsid w:val="004B6850"/>
    <w:rsid w:val="004B69B8"/>
    <w:rsid w:val="004B6BBF"/>
    <w:rsid w:val="004B7001"/>
    <w:rsid w:val="004B70F8"/>
    <w:rsid w:val="004B7183"/>
    <w:rsid w:val="004B71FD"/>
    <w:rsid w:val="004B729B"/>
    <w:rsid w:val="004B7340"/>
    <w:rsid w:val="004B7542"/>
    <w:rsid w:val="004B75FC"/>
    <w:rsid w:val="004B777D"/>
    <w:rsid w:val="004B77B1"/>
    <w:rsid w:val="004B7884"/>
    <w:rsid w:val="004B798A"/>
    <w:rsid w:val="004B79E4"/>
    <w:rsid w:val="004B7D54"/>
    <w:rsid w:val="004C0521"/>
    <w:rsid w:val="004C056E"/>
    <w:rsid w:val="004C0632"/>
    <w:rsid w:val="004C0977"/>
    <w:rsid w:val="004C0AD1"/>
    <w:rsid w:val="004C0B91"/>
    <w:rsid w:val="004C0C09"/>
    <w:rsid w:val="004C0E2E"/>
    <w:rsid w:val="004C14D5"/>
    <w:rsid w:val="004C17A5"/>
    <w:rsid w:val="004C1A77"/>
    <w:rsid w:val="004C1D0E"/>
    <w:rsid w:val="004C22C6"/>
    <w:rsid w:val="004C2596"/>
    <w:rsid w:val="004C2BF2"/>
    <w:rsid w:val="004C2C52"/>
    <w:rsid w:val="004C2CC4"/>
    <w:rsid w:val="004C2D6D"/>
    <w:rsid w:val="004C2F3C"/>
    <w:rsid w:val="004C2F67"/>
    <w:rsid w:val="004C302D"/>
    <w:rsid w:val="004C319B"/>
    <w:rsid w:val="004C34CC"/>
    <w:rsid w:val="004C3803"/>
    <w:rsid w:val="004C3904"/>
    <w:rsid w:val="004C395D"/>
    <w:rsid w:val="004C3A5D"/>
    <w:rsid w:val="004C3C80"/>
    <w:rsid w:val="004C3CFC"/>
    <w:rsid w:val="004C3D94"/>
    <w:rsid w:val="004C3F38"/>
    <w:rsid w:val="004C401F"/>
    <w:rsid w:val="004C4091"/>
    <w:rsid w:val="004C40B3"/>
    <w:rsid w:val="004C432F"/>
    <w:rsid w:val="004C4477"/>
    <w:rsid w:val="004C447B"/>
    <w:rsid w:val="004C46D7"/>
    <w:rsid w:val="004C48B9"/>
    <w:rsid w:val="004C48F4"/>
    <w:rsid w:val="004C4A08"/>
    <w:rsid w:val="004C4CA6"/>
    <w:rsid w:val="004C4D58"/>
    <w:rsid w:val="004C4DE2"/>
    <w:rsid w:val="004C4E48"/>
    <w:rsid w:val="004C51F4"/>
    <w:rsid w:val="004C5248"/>
    <w:rsid w:val="004C53AE"/>
    <w:rsid w:val="004C54DB"/>
    <w:rsid w:val="004C54EA"/>
    <w:rsid w:val="004C5A59"/>
    <w:rsid w:val="004C5D83"/>
    <w:rsid w:val="004C5F2F"/>
    <w:rsid w:val="004C6118"/>
    <w:rsid w:val="004C6392"/>
    <w:rsid w:val="004C643D"/>
    <w:rsid w:val="004C66BC"/>
    <w:rsid w:val="004C68DC"/>
    <w:rsid w:val="004C6B16"/>
    <w:rsid w:val="004C6C03"/>
    <w:rsid w:val="004C710F"/>
    <w:rsid w:val="004C71A0"/>
    <w:rsid w:val="004C73BF"/>
    <w:rsid w:val="004C762D"/>
    <w:rsid w:val="004C78DF"/>
    <w:rsid w:val="004C7BAE"/>
    <w:rsid w:val="004C7C67"/>
    <w:rsid w:val="004C7D05"/>
    <w:rsid w:val="004C7E72"/>
    <w:rsid w:val="004C7E88"/>
    <w:rsid w:val="004C7EAF"/>
    <w:rsid w:val="004D010B"/>
    <w:rsid w:val="004D01BB"/>
    <w:rsid w:val="004D048E"/>
    <w:rsid w:val="004D0537"/>
    <w:rsid w:val="004D05FA"/>
    <w:rsid w:val="004D07F5"/>
    <w:rsid w:val="004D0848"/>
    <w:rsid w:val="004D0919"/>
    <w:rsid w:val="004D106C"/>
    <w:rsid w:val="004D115B"/>
    <w:rsid w:val="004D119D"/>
    <w:rsid w:val="004D127C"/>
    <w:rsid w:val="004D12A0"/>
    <w:rsid w:val="004D150C"/>
    <w:rsid w:val="004D167D"/>
    <w:rsid w:val="004D1701"/>
    <w:rsid w:val="004D1719"/>
    <w:rsid w:val="004D173B"/>
    <w:rsid w:val="004D17CC"/>
    <w:rsid w:val="004D18E6"/>
    <w:rsid w:val="004D1BDB"/>
    <w:rsid w:val="004D1DAA"/>
    <w:rsid w:val="004D2089"/>
    <w:rsid w:val="004D225C"/>
    <w:rsid w:val="004D26A5"/>
    <w:rsid w:val="004D26FB"/>
    <w:rsid w:val="004D27F4"/>
    <w:rsid w:val="004D2B27"/>
    <w:rsid w:val="004D2BA9"/>
    <w:rsid w:val="004D2BC8"/>
    <w:rsid w:val="004D30B3"/>
    <w:rsid w:val="004D363B"/>
    <w:rsid w:val="004D375F"/>
    <w:rsid w:val="004D37DF"/>
    <w:rsid w:val="004D37FE"/>
    <w:rsid w:val="004D3BEC"/>
    <w:rsid w:val="004D3CD0"/>
    <w:rsid w:val="004D3D1D"/>
    <w:rsid w:val="004D4008"/>
    <w:rsid w:val="004D4076"/>
    <w:rsid w:val="004D4576"/>
    <w:rsid w:val="004D4799"/>
    <w:rsid w:val="004D4983"/>
    <w:rsid w:val="004D4DAE"/>
    <w:rsid w:val="004D4DB2"/>
    <w:rsid w:val="004D51B9"/>
    <w:rsid w:val="004D520A"/>
    <w:rsid w:val="004D52E6"/>
    <w:rsid w:val="004D5618"/>
    <w:rsid w:val="004D5757"/>
    <w:rsid w:val="004D5795"/>
    <w:rsid w:val="004D599E"/>
    <w:rsid w:val="004D5CD0"/>
    <w:rsid w:val="004D6139"/>
    <w:rsid w:val="004D6153"/>
    <w:rsid w:val="004D63C7"/>
    <w:rsid w:val="004D65F0"/>
    <w:rsid w:val="004D66E9"/>
    <w:rsid w:val="004D698B"/>
    <w:rsid w:val="004D6AB9"/>
    <w:rsid w:val="004D6E13"/>
    <w:rsid w:val="004D6E35"/>
    <w:rsid w:val="004D6F84"/>
    <w:rsid w:val="004D713E"/>
    <w:rsid w:val="004D73FA"/>
    <w:rsid w:val="004D7655"/>
    <w:rsid w:val="004D7800"/>
    <w:rsid w:val="004D785E"/>
    <w:rsid w:val="004D7874"/>
    <w:rsid w:val="004D790B"/>
    <w:rsid w:val="004D79A8"/>
    <w:rsid w:val="004D7A86"/>
    <w:rsid w:val="004D7D30"/>
    <w:rsid w:val="004E0070"/>
    <w:rsid w:val="004E02F3"/>
    <w:rsid w:val="004E03EB"/>
    <w:rsid w:val="004E05AC"/>
    <w:rsid w:val="004E0819"/>
    <w:rsid w:val="004E0853"/>
    <w:rsid w:val="004E0B94"/>
    <w:rsid w:val="004E0EA2"/>
    <w:rsid w:val="004E110F"/>
    <w:rsid w:val="004E17BC"/>
    <w:rsid w:val="004E1907"/>
    <w:rsid w:val="004E1B39"/>
    <w:rsid w:val="004E1EDB"/>
    <w:rsid w:val="004E1F05"/>
    <w:rsid w:val="004E2037"/>
    <w:rsid w:val="004E2A5D"/>
    <w:rsid w:val="004E2BAA"/>
    <w:rsid w:val="004E2DAF"/>
    <w:rsid w:val="004E2E7C"/>
    <w:rsid w:val="004E3162"/>
    <w:rsid w:val="004E32C7"/>
    <w:rsid w:val="004E3486"/>
    <w:rsid w:val="004E3492"/>
    <w:rsid w:val="004E36AF"/>
    <w:rsid w:val="004E38BB"/>
    <w:rsid w:val="004E3B6D"/>
    <w:rsid w:val="004E3D81"/>
    <w:rsid w:val="004E405D"/>
    <w:rsid w:val="004E416F"/>
    <w:rsid w:val="004E42D3"/>
    <w:rsid w:val="004E44D0"/>
    <w:rsid w:val="004E454A"/>
    <w:rsid w:val="004E45D6"/>
    <w:rsid w:val="004E462E"/>
    <w:rsid w:val="004E4831"/>
    <w:rsid w:val="004E487C"/>
    <w:rsid w:val="004E4A36"/>
    <w:rsid w:val="004E5125"/>
    <w:rsid w:val="004E52DC"/>
    <w:rsid w:val="004E562B"/>
    <w:rsid w:val="004E5A5E"/>
    <w:rsid w:val="004E5B9F"/>
    <w:rsid w:val="004E5C95"/>
    <w:rsid w:val="004E5CC3"/>
    <w:rsid w:val="004E5D80"/>
    <w:rsid w:val="004E5DFF"/>
    <w:rsid w:val="004E601F"/>
    <w:rsid w:val="004E610A"/>
    <w:rsid w:val="004E6182"/>
    <w:rsid w:val="004E6810"/>
    <w:rsid w:val="004E69FE"/>
    <w:rsid w:val="004E6DCC"/>
    <w:rsid w:val="004E6E22"/>
    <w:rsid w:val="004E6E2B"/>
    <w:rsid w:val="004E6EC6"/>
    <w:rsid w:val="004E6FB0"/>
    <w:rsid w:val="004E70B2"/>
    <w:rsid w:val="004E7268"/>
    <w:rsid w:val="004E72E5"/>
    <w:rsid w:val="004E7A08"/>
    <w:rsid w:val="004E7A7E"/>
    <w:rsid w:val="004E7F92"/>
    <w:rsid w:val="004F00B1"/>
    <w:rsid w:val="004F0343"/>
    <w:rsid w:val="004F0351"/>
    <w:rsid w:val="004F0397"/>
    <w:rsid w:val="004F03B6"/>
    <w:rsid w:val="004F0638"/>
    <w:rsid w:val="004F063D"/>
    <w:rsid w:val="004F0746"/>
    <w:rsid w:val="004F0B77"/>
    <w:rsid w:val="004F0BC4"/>
    <w:rsid w:val="004F0D38"/>
    <w:rsid w:val="004F1672"/>
    <w:rsid w:val="004F1707"/>
    <w:rsid w:val="004F176F"/>
    <w:rsid w:val="004F17C9"/>
    <w:rsid w:val="004F1E81"/>
    <w:rsid w:val="004F20FC"/>
    <w:rsid w:val="004F2285"/>
    <w:rsid w:val="004F267B"/>
    <w:rsid w:val="004F26C2"/>
    <w:rsid w:val="004F272B"/>
    <w:rsid w:val="004F28D8"/>
    <w:rsid w:val="004F2916"/>
    <w:rsid w:val="004F2AE3"/>
    <w:rsid w:val="004F2B8C"/>
    <w:rsid w:val="004F2D6D"/>
    <w:rsid w:val="004F2DA7"/>
    <w:rsid w:val="004F2DA8"/>
    <w:rsid w:val="004F2E22"/>
    <w:rsid w:val="004F2E54"/>
    <w:rsid w:val="004F30FB"/>
    <w:rsid w:val="004F3163"/>
    <w:rsid w:val="004F3634"/>
    <w:rsid w:val="004F3B00"/>
    <w:rsid w:val="004F3C1C"/>
    <w:rsid w:val="004F3F0C"/>
    <w:rsid w:val="004F415B"/>
    <w:rsid w:val="004F42E8"/>
    <w:rsid w:val="004F4396"/>
    <w:rsid w:val="004F4485"/>
    <w:rsid w:val="004F452F"/>
    <w:rsid w:val="004F460D"/>
    <w:rsid w:val="004F47B8"/>
    <w:rsid w:val="004F48EC"/>
    <w:rsid w:val="004F4F18"/>
    <w:rsid w:val="004F50D8"/>
    <w:rsid w:val="004F51D7"/>
    <w:rsid w:val="004F5271"/>
    <w:rsid w:val="004F5561"/>
    <w:rsid w:val="004F57D7"/>
    <w:rsid w:val="004F5A10"/>
    <w:rsid w:val="004F5BE2"/>
    <w:rsid w:val="004F5BF0"/>
    <w:rsid w:val="004F5C56"/>
    <w:rsid w:val="004F5C68"/>
    <w:rsid w:val="004F5EA8"/>
    <w:rsid w:val="004F5F63"/>
    <w:rsid w:val="004F6182"/>
    <w:rsid w:val="004F63CF"/>
    <w:rsid w:val="004F658E"/>
    <w:rsid w:val="004F6604"/>
    <w:rsid w:val="004F660C"/>
    <w:rsid w:val="004F66BA"/>
    <w:rsid w:val="004F6706"/>
    <w:rsid w:val="004F68B3"/>
    <w:rsid w:val="004F6981"/>
    <w:rsid w:val="004F6A04"/>
    <w:rsid w:val="004F6AF3"/>
    <w:rsid w:val="004F6DFC"/>
    <w:rsid w:val="004F6FF4"/>
    <w:rsid w:val="004F7231"/>
    <w:rsid w:val="004F7695"/>
    <w:rsid w:val="004F7B81"/>
    <w:rsid w:val="004F7CA5"/>
    <w:rsid w:val="004F7FCD"/>
    <w:rsid w:val="0050018E"/>
    <w:rsid w:val="0050049B"/>
    <w:rsid w:val="005004EC"/>
    <w:rsid w:val="00500688"/>
    <w:rsid w:val="005007E5"/>
    <w:rsid w:val="00501262"/>
    <w:rsid w:val="00501566"/>
    <w:rsid w:val="00501713"/>
    <w:rsid w:val="005017CE"/>
    <w:rsid w:val="00501CC2"/>
    <w:rsid w:val="00501CF8"/>
    <w:rsid w:val="00501D01"/>
    <w:rsid w:val="00501E28"/>
    <w:rsid w:val="00502065"/>
    <w:rsid w:val="005021EA"/>
    <w:rsid w:val="0050239A"/>
    <w:rsid w:val="005023D5"/>
    <w:rsid w:val="005024F1"/>
    <w:rsid w:val="00502624"/>
    <w:rsid w:val="0050264F"/>
    <w:rsid w:val="0050297F"/>
    <w:rsid w:val="00502BE4"/>
    <w:rsid w:val="00502D3E"/>
    <w:rsid w:val="00502F7B"/>
    <w:rsid w:val="005031C8"/>
    <w:rsid w:val="00503386"/>
    <w:rsid w:val="0050360C"/>
    <w:rsid w:val="00503711"/>
    <w:rsid w:val="00503715"/>
    <w:rsid w:val="0050392B"/>
    <w:rsid w:val="005039CD"/>
    <w:rsid w:val="00503D47"/>
    <w:rsid w:val="00503F0F"/>
    <w:rsid w:val="00503F97"/>
    <w:rsid w:val="00504003"/>
    <w:rsid w:val="005040CD"/>
    <w:rsid w:val="005040D0"/>
    <w:rsid w:val="005040FC"/>
    <w:rsid w:val="0050453E"/>
    <w:rsid w:val="00504633"/>
    <w:rsid w:val="00504661"/>
    <w:rsid w:val="0050523A"/>
    <w:rsid w:val="005052C3"/>
    <w:rsid w:val="0050532B"/>
    <w:rsid w:val="0050556C"/>
    <w:rsid w:val="005056F4"/>
    <w:rsid w:val="005058BC"/>
    <w:rsid w:val="00505B84"/>
    <w:rsid w:val="00505BB5"/>
    <w:rsid w:val="00505F86"/>
    <w:rsid w:val="0050607F"/>
    <w:rsid w:val="005061E1"/>
    <w:rsid w:val="0050645F"/>
    <w:rsid w:val="005064E3"/>
    <w:rsid w:val="00506622"/>
    <w:rsid w:val="00506651"/>
    <w:rsid w:val="00506672"/>
    <w:rsid w:val="00506742"/>
    <w:rsid w:val="005068DB"/>
    <w:rsid w:val="00506B69"/>
    <w:rsid w:val="00506C3F"/>
    <w:rsid w:val="00506EAA"/>
    <w:rsid w:val="005073FD"/>
    <w:rsid w:val="00507768"/>
    <w:rsid w:val="005078F6"/>
    <w:rsid w:val="00507944"/>
    <w:rsid w:val="00507B46"/>
    <w:rsid w:val="00507BC1"/>
    <w:rsid w:val="00507F0B"/>
    <w:rsid w:val="00507FE9"/>
    <w:rsid w:val="00510138"/>
    <w:rsid w:val="00510141"/>
    <w:rsid w:val="0051033D"/>
    <w:rsid w:val="005105E9"/>
    <w:rsid w:val="00510907"/>
    <w:rsid w:val="00510A4E"/>
    <w:rsid w:val="00510E8D"/>
    <w:rsid w:val="0051138B"/>
    <w:rsid w:val="00511677"/>
    <w:rsid w:val="00511A4B"/>
    <w:rsid w:val="00511B49"/>
    <w:rsid w:val="00511B52"/>
    <w:rsid w:val="005120A7"/>
    <w:rsid w:val="005120D0"/>
    <w:rsid w:val="005129F0"/>
    <w:rsid w:val="00512AB1"/>
    <w:rsid w:val="00512C50"/>
    <w:rsid w:val="00512E5A"/>
    <w:rsid w:val="00512EFC"/>
    <w:rsid w:val="005130D0"/>
    <w:rsid w:val="005135B8"/>
    <w:rsid w:val="0051376C"/>
    <w:rsid w:val="0051398D"/>
    <w:rsid w:val="00513BAB"/>
    <w:rsid w:val="00513D4C"/>
    <w:rsid w:val="00513F6E"/>
    <w:rsid w:val="00514086"/>
    <w:rsid w:val="0051411F"/>
    <w:rsid w:val="00514168"/>
    <w:rsid w:val="00514587"/>
    <w:rsid w:val="00514671"/>
    <w:rsid w:val="005147AD"/>
    <w:rsid w:val="0051485B"/>
    <w:rsid w:val="00514AC1"/>
    <w:rsid w:val="00514BAB"/>
    <w:rsid w:val="00514DB0"/>
    <w:rsid w:val="00514DC0"/>
    <w:rsid w:val="00514DCA"/>
    <w:rsid w:val="00515024"/>
    <w:rsid w:val="00515115"/>
    <w:rsid w:val="005152F3"/>
    <w:rsid w:val="00515370"/>
    <w:rsid w:val="00515394"/>
    <w:rsid w:val="005154DF"/>
    <w:rsid w:val="00515726"/>
    <w:rsid w:val="005159FE"/>
    <w:rsid w:val="00515AAA"/>
    <w:rsid w:val="00515D6E"/>
    <w:rsid w:val="00515FEB"/>
    <w:rsid w:val="00516132"/>
    <w:rsid w:val="00516198"/>
    <w:rsid w:val="00516299"/>
    <w:rsid w:val="005162CC"/>
    <w:rsid w:val="0051698A"/>
    <w:rsid w:val="00516A46"/>
    <w:rsid w:val="00516B92"/>
    <w:rsid w:val="00516BAF"/>
    <w:rsid w:val="00516C7C"/>
    <w:rsid w:val="00516E71"/>
    <w:rsid w:val="00516EAC"/>
    <w:rsid w:val="005173B4"/>
    <w:rsid w:val="00517533"/>
    <w:rsid w:val="005177A7"/>
    <w:rsid w:val="0051787B"/>
    <w:rsid w:val="00517CD6"/>
    <w:rsid w:val="00517CFE"/>
    <w:rsid w:val="00517E2C"/>
    <w:rsid w:val="005200DC"/>
    <w:rsid w:val="00520167"/>
    <w:rsid w:val="005202D5"/>
    <w:rsid w:val="005205A2"/>
    <w:rsid w:val="005207CB"/>
    <w:rsid w:val="00521247"/>
    <w:rsid w:val="00521268"/>
    <w:rsid w:val="0052143A"/>
    <w:rsid w:val="00521685"/>
    <w:rsid w:val="00521A00"/>
    <w:rsid w:val="00521B81"/>
    <w:rsid w:val="00521BB5"/>
    <w:rsid w:val="00521EE1"/>
    <w:rsid w:val="00522203"/>
    <w:rsid w:val="00522302"/>
    <w:rsid w:val="00522798"/>
    <w:rsid w:val="0052279B"/>
    <w:rsid w:val="00522ACB"/>
    <w:rsid w:val="00522B8D"/>
    <w:rsid w:val="00522C6D"/>
    <w:rsid w:val="00522EDC"/>
    <w:rsid w:val="0052307F"/>
    <w:rsid w:val="005232B7"/>
    <w:rsid w:val="0052384D"/>
    <w:rsid w:val="00523883"/>
    <w:rsid w:val="00523CE6"/>
    <w:rsid w:val="005240A7"/>
    <w:rsid w:val="00524139"/>
    <w:rsid w:val="00524AFB"/>
    <w:rsid w:val="00524D81"/>
    <w:rsid w:val="00524ECE"/>
    <w:rsid w:val="0052500E"/>
    <w:rsid w:val="005255DF"/>
    <w:rsid w:val="005258F2"/>
    <w:rsid w:val="00525F66"/>
    <w:rsid w:val="0052614B"/>
    <w:rsid w:val="00526371"/>
    <w:rsid w:val="0052659C"/>
    <w:rsid w:val="00526864"/>
    <w:rsid w:val="005268B6"/>
    <w:rsid w:val="0052698C"/>
    <w:rsid w:val="00526ABB"/>
    <w:rsid w:val="00526DAA"/>
    <w:rsid w:val="00527023"/>
    <w:rsid w:val="005270FF"/>
    <w:rsid w:val="00527294"/>
    <w:rsid w:val="00527576"/>
    <w:rsid w:val="005276AA"/>
    <w:rsid w:val="005277C7"/>
    <w:rsid w:val="00527AF2"/>
    <w:rsid w:val="00527C0D"/>
    <w:rsid w:val="00527F55"/>
    <w:rsid w:val="00530158"/>
    <w:rsid w:val="005301FE"/>
    <w:rsid w:val="00530224"/>
    <w:rsid w:val="00530518"/>
    <w:rsid w:val="00530566"/>
    <w:rsid w:val="00530634"/>
    <w:rsid w:val="00530876"/>
    <w:rsid w:val="00530A69"/>
    <w:rsid w:val="00530AC9"/>
    <w:rsid w:val="00530BD0"/>
    <w:rsid w:val="00530C9A"/>
    <w:rsid w:val="00530DCC"/>
    <w:rsid w:val="00530EBF"/>
    <w:rsid w:val="00530F41"/>
    <w:rsid w:val="005310A7"/>
    <w:rsid w:val="005311E2"/>
    <w:rsid w:val="00531539"/>
    <w:rsid w:val="00531582"/>
    <w:rsid w:val="00531CBE"/>
    <w:rsid w:val="00531D6F"/>
    <w:rsid w:val="00531DE4"/>
    <w:rsid w:val="00531F2A"/>
    <w:rsid w:val="005322D5"/>
    <w:rsid w:val="00532655"/>
    <w:rsid w:val="0053288D"/>
    <w:rsid w:val="0053297E"/>
    <w:rsid w:val="00532AE8"/>
    <w:rsid w:val="00532B77"/>
    <w:rsid w:val="00532EE3"/>
    <w:rsid w:val="00532F1E"/>
    <w:rsid w:val="00532F47"/>
    <w:rsid w:val="00533010"/>
    <w:rsid w:val="0053312A"/>
    <w:rsid w:val="005332A3"/>
    <w:rsid w:val="00533745"/>
    <w:rsid w:val="00533880"/>
    <w:rsid w:val="0053388E"/>
    <w:rsid w:val="00533AF3"/>
    <w:rsid w:val="00533B06"/>
    <w:rsid w:val="00533B4A"/>
    <w:rsid w:val="00533C48"/>
    <w:rsid w:val="00533D1D"/>
    <w:rsid w:val="005340F5"/>
    <w:rsid w:val="005341FC"/>
    <w:rsid w:val="0053422F"/>
    <w:rsid w:val="0053443E"/>
    <w:rsid w:val="00534488"/>
    <w:rsid w:val="00534633"/>
    <w:rsid w:val="005347E3"/>
    <w:rsid w:val="0053483D"/>
    <w:rsid w:val="005348B2"/>
    <w:rsid w:val="00534AA7"/>
    <w:rsid w:val="00534B11"/>
    <w:rsid w:val="00534C7A"/>
    <w:rsid w:val="00535046"/>
    <w:rsid w:val="0053514C"/>
    <w:rsid w:val="00535428"/>
    <w:rsid w:val="0053549C"/>
    <w:rsid w:val="005356F3"/>
    <w:rsid w:val="005357B0"/>
    <w:rsid w:val="00535875"/>
    <w:rsid w:val="00535A2B"/>
    <w:rsid w:val="00535A7B"/>
    <w:rsid w:val="00535B8C"/>
    <w:rsid w:val="00535CFB"/>
    <w:rsid w:val="00535D14"/>
    <w:rsid w:val="00535D7A"/>
    <w:rsid w:val="00535FE1"/>
    <w:rsid w:val="00536159"/>
    <w:rsid w:val="005365C8"/>
    <w:rsid w:val="005366BD"/>
    <w:rsid w:val="00536846"/>
    <w:rsid w:val="00536F39"/>
    <w:rsid w:val="00537244"/>
    <w:rsid w:val="0053735C"/>
    <w:rsid w:val="005374EB"/>
    <w:rsid w:val="0053755C"/>
    <w:rsid w:val="0053758F"/>
    <w:rsid w:val="00537591"/>
    <w:rsid w:val="00537730"/>
    <w:rsid w:val="00537744"/>
    <w:rsid w:val="00537D9A"/>
    <w:rsid w:val="00537DF8"/>
    <w:rsid w:val="00540088"/>
    <w:rsid w:val="005401E4"/>
    <w:rsid w:val="00540247"/>
    <w:rsid w:val="00540354"/>
    <w:rsid w:val="00540364"/>
    <w:rsid w:val="005403FD"/>
    <w:rsid w:val="005404A5"/>
    <w:rsid w:val="00540E6E"/>
    <w:rsid w:val="00540F71"/>
    <w:rsid w:val="00540F80"/>
    <w:rsid w:val="0054161D"/>
    <w:rsid w:val="00541B24"/>
    <w:rsid w:val="00541C4C"/>
    <w:rsid w:val="00541F87"/>
    <w:rsid w:val="00541FA1"/>
    <w:rsid w:val="00542115"/>
    <w:rsid w:val="0054250D"/>
    <w:rsid w:val="00542730"/>
    <w:rsid w:val="00542790"/>
    <w:rsid w:val="0054281C"/>
    <w:rsid w:val="00542927"/>
    <w:rsid w:val="00542C6A"/>
    <w:rsid w:val="00542D46"/>
    <w:rsid w:val="00543011"/>
    <w:rsid w:val="005430EB"/>
    <w:rsid w:val="00543166"/>
    <w:rsid w:val="00543608"/>
    <w:rsid w:val="0054382B"/>
    <w:rsid w:val="005439CD"/>
    <w:rsid w:val="00543B37"/>
    <w:rsid w:val="00543B77"/>
    <w:rsid w:val="00543C91"/>
    <w:rsid w:val="00543F30"/>
    <w:rsid w:val="00544078"/>
    <w:rsid w:val="00544106"/>
    <w:rsid w:val="005441E7"/>
    <w:rsid w:val="005442F4"/>
    <w:rsid w:val="0054486B"/>
    <w:rsid w:val="0054514F"/>
    <w:rsid w:val="00545220"/>
    <w:rsid w:val="005452F7"/>
    <w:rsid w:val="0054562A"/>
    <w:rsid w:val="00545B18"/>
    <w:rsid w:val="005460BC"/>
    <w:rsid w:val="0054633B"/>
    <w:rsid w:val="005464DE"/>
    <w:rsid w:val="005466E7"/>
    <w:rsid w:val="0054675F"/>
    <w:rsid w:val="0054679C"/>
    <w:rsid w:val="005468CA"/>
    <w:rsid w:val="00546AB4"/>
    <w:rsid w:val="00546E0F"/>
    <w:rsid w:val="00546E57"/>
    <w:rsid w:val="005470A4"/>
    <w:rsid w:val="00547571"/>
    <w:rsid w:val="005475CC"/>
    <w:rsid w:val="00547B4E"/>
    <w:rsid w:val="00547F76"/>
    <w:rsid w:val="00550423"/>
    <w:rsid w:val="0055078B"/>
    <w:rsid w:val="00550827"/>
    <w:rsid w:val="00550902"/>
    <w:rsid w:val="005509A4"/>
    <w:rsid w:val="00550ACE"/>
    <w:rsid w:val="00550E0F"/>
    <w:rsid w:val="00550EB5"/>
    <w:rsid w:val="00550FDB"/>
    <w:rsid w:val="005515D2"/>
    <w:rsid w:val="0055175C"/>
    <w:rsid w:val="00551915"/>
    <w:rsid w:val="00551936"/>
    <w:rsid w:val="00551B99"/>
    <w:rsid w:val="00551BFB"/>
    <w:rsid w:val="00551CDD"/>
    <w:rsid w:val="00551D2D"/>
    <w:rsid w:val="00551F8F"/>
    <w:rsid w:val="00552651"/>
    <w:rsid w:val="0055267A"/>
    <w:rsid w:val="00552A77"/>
    <w:rsid w:val="00552B19"/>
    <w:rsid w:val="00552B63"/>
    <w:rsid w:val="00552C44"/>
    <w:rsid w:val="00552DF8"/>
    <w:rsid w:val="005537C4"/>
    <w:rsid w:val="00553913"/>
    <w:rsid w:val="00553998"/>
    <w:rsid w:val="00553B9A"/>
    <w:rsid w:val="00553EFC"/>
    <w:rsid w:val="00554017"/>
    <w:rsid w:val="00554072"/>
    <w:rsid w:val="00554173"/>
    <w:rsid w:val="00554180"/>
    <w:rsid w:val="0055429D"/>
    <w:rsid w:val="005542BA"/>
    <w:rsid w:val="00554770"/>
    <w:rsid w:val="005548A0"/>
    <w:rsid w:val="00554912"/>
    <w:rsid w:val="00554B83"/>
    <w:rsid w:val="00554D44"/>
    <w:rsid w:val="00554DF3"/>
    <w:rsid w:val="00554F0C"/>
    <w:rsid w:val="00554F24"/>
    <w:rsid w:val="00554F46"/>
    <w:rsid w:val="0055500F"/>
    <w:rsid w:val="00555213"/>
    <w:rsid w:val="005555DD"/>
    <w:rsid w:val="005555EF"/>
    <w:rsid w:val="005557E0"/>
    <w:rsid w:val="00555812"/>
    <w:rsid w:val="005559E2"/>
    <w:rsid w:val="00555C81"/>
    <w:rsid w:val="00555CE0"/>
    <w:rsid w:val="00555D6E"/>
    <w:rsid w:val="00556070"/>
    <w:rsid w:val="00556348"/>
    <w:rsid w:val="00556454"/>
    <w:rsid w:val="00556473"/>
    <w:rsid w:val="0055650B"/>
    <w:rsid w:val="00556669"/>
    <w:rsid w:val="00556788"/>
    <w:rsid w:val="00556860"/>
    <w:rsid w:val="00556F39"/>
    <w:rsid w:val="00557039"/>
    <w:rsid w:val="005571A2"/>
    <w:rsid w:val="00557279"/>
    <w:rsid w:val="005572C5"/>
    <w:rsid w:val="0055735A"/>
    <w:rsid w:val="005579B7"/>
    <w:rsid w:val="00557E37"/>
    <w:rsid w:val="00560474"/>
    <w:rsid w:val="00560572"/>
    <w:rsid w:val="0056058B"/>
    <w:rsid w:val="005606A0"/>
    <w:rsid w:val="0056073C"/>
    <w:rsid w:val="00560B34"/>
    <w:rsid w:val="0056111C"/>
    <w:rsid w:val="00561256"/>
    <w:rsid w:val="00561393"/>
    <w:rsid w:val="005614B5"/>
    <w:rsid w:val="00561579"/>
    <w:rsid w:val="00561677"/>
    <w:rsid w:val="005618B6"/>
    <w:rsid w:val="00561BA6"/>
    <w:rsid w:val="00561C33"/>
    <w:rsid w:val="00561D38"/>
    <w:rsid w:val="00561D78"/>
    <w:rsid w:val="00561EE0"/>
    <w:rsid w:val="005622D6"/>
    <w:rsid w:val="00562471"/>
    <w:rsid w:val="0056248E"/>
    <w:rsid w:val="005629DA"/>
    <w:rsid w:val="00562ABB"/>
    <w:rsid w:val="00562C0E"/>
    <w:rsid w:val="00562E19"/>
    <w:rsid w:val="00562F06"/>
    <w:rsid w:val="005630E2"/>
    <w:rsid w:val="005631BF"/>
    <w:rsid w:val="00563401"/>
    <w:rsid w:val="005638C3"/>
    <w:rsid w:val="00563A13"/>
    <w:rsid w:val="00563D9B"/>
    <w:rsid w:val="00563E46"/>
    <w:rsid w:val="005642F5"/>
    <w:rsid w:val="005646A3"/>
    <w:rsid w:val="005649B5"/>
    <w:rsid w:val="00564ACB"/>
    <w:rsid w:val="00564B27"/>
    <w:rsid w:val="00564D7F"/>
    <w:rsid w:val="00564E78"/>
    <w:rsid w:val="0056536C"/>
    <w:rsid w:val="005654DF"/>
    <w:rsid w:val="0056583B"/>
    <w:rsid w:val="00565DB2"/>
    <w:rsid w:val="0056646D"/>
    <w:rsid w:val="005668A9"/>
    <w:rsid w:val="00566A08"/>
    <w:rsid w:val="0056701A"/>
    <w:rsid w:val="00567059"/>
    <w:rsid w:val="005673C3"/>
    <w:rsid w:val="005675D5"/>
    <w:rsid w:val="0056796B"/>
    <w:rsid w:val="00567AB7"/>
    <w:rsid w:val="00567AE9"/>
    <w:rsid w:val="00567BEC"/>
    <w:rsid w:val="00570039"/>
    <w:rsid w:val="005700FF"/>
    <w:rsid w:val="005702AD"/>
    <w:rsid w:val="00570627"/>
    <w:rsid w:val="00570A13"/>
    <w:rsid w:val="00570A23"/>
    <w:rsid w:val="00570ADE"/>
    <w:rsid w:val="00570D26"/>
    <w:rsid w:val="00570E5B"/>
    <w:rsid w:val="00570F93"/>
    <w:rsid w:val="00570FB6"/>
    <w:rsid w:val="005711A9"/>
    <w:rsid w:val="005713DC"/>
    <w:rsid w:val="005714F0"/>
    <w:rsid w:val="00571C86"/>
    <w:rsid w:val="00572209"/>
    <w:rsid w:val="00572B77"/>
    <w:rsid w:val="00572D4F"/>
    <w:rsid w:val="00572E81"/>
    <w:rsid w:val="00573425"/>
    <w:rsid w:val="00573525"/>
    <w:rsid w:val="005736E1"/>
    <w:rsid w:val="0057374A"/>
    <w:rsid w:val="0057390C"/>
    <w:rsid w:val="00573C54"/>
    <w:rsid w:val="00573D3E"/>
    <w:rsid w:val="0057422E"/>
    <w:rsid w:val="005745DA"/>
    <w:rsid w:val="0057463A"/>
    <w:rsid w:val="00574D32"/>
    <w:rsid w:val="00574DBA"/>
    <w:rsid w:val="00574E88"/>
    <w:rsid w:val="00574FCC"/>
    <w:rsid w:val="00574FF4"/>
    <w:rsid w:val="00575005"/>
    <w:rsid w:val="00575089"/>
    <w:rsid w:val="0057508F"/>
    <w:rsid w:val="005750C0"/>
    <w:rsid w:val="00575144"/>
    <w:rsid w:val="005755EA"/>
    <w:rsid w:val="005757E6"/>
    <w:rsid w:val="005758E4"/>
    <w:rsid w:val="005759AB"/>
    <w:rsid w:val="00575AC8"/>
    <w:rsid w:val="00575BBB"/>
    <w:rsid w:val="00575E24"/>
    <w:rsid w:val="00575EE3"/>
    <w:rsid w:val="0057630F"/>
    <w:rsid w:val="0057642A"/>
    <w:rsid w:val="00576614"/>
    <w:rsid w:val="00576773"/>
    <w:rsid w:val="00576944"/>
    <w:rsid w:val="00576E01"/>
    <w:rsid w:val="00576F25"/>
    <w:rsid w:val="0057718D"/>
    <w:rsid w:val="005771DB"/>
    <w:rsid w:val="00577269"/>
    <w:rsid w:val="00577B1B"/>
    <w:rsid w:val="00577BEE"/>
    <w:rsid w:val="00580398"/>
    <w:rsid w:val="00580565"/>
    <w:rsid w:val="00580718"/>
    <w:rsid w:val="0058098F"/>
    <w:rsid w:val="00580A0C"/>
    <w:rsid w:val="00580B4D"/>
    <w:rsid w:val="00580B6F"/>
    <w:rsid w:val="00580D80"/>
    <w:rsid w:val="00580E2F"/>
    <w:rsid w:val="00580EA4"/>
    <w:rsid w:val="00580F54"/>
    <w:rsid w:val="005813E1"/>
    <w:rsid w:val="0058148B"/>
    <w:rsid w:val="005815EB"/>
    <w:rsid w:val="005816F4"/>
    <w:rsid w:val="00581731"/>
    <w:rsid w:val="005817D3"/>
    <w:rsid w:val="00582265"/>
    <w:rsid w:val="00582324"/>
    <w:rsid w:val="0058245F"/>
    <w:rsid w:val="0058267C"/>
    <w:rsid w:val="00582768"/>
    <w:rsid w:val="00582790"/>
    <w:rsid w:val="00582A9C"/>
    <w:rsid w:val="00582BCB"/>
    <w:rsid w:val="00582C97"/>
    <w:rsid w:val="00582CDB"/>
    <w:rsid w:val="00582E35"/>
    <w:rsid w:val="00582E4E"/>
    <w:rsid w:val="00583257"/>
    <w:rsid w:val="00583620"/>
    <w:rsid w:val="00583635"/>
    <w:rsid w:val="005836C7"/>
    <w:rsid w:val="00583981"/>
    <w:rsid w:val="005839C4"/>
    <w:rsid w:val="00583B40"/>
    <w:rsid w:val="00583CF6"/>
    <w:rsid w:val="00583D6F"/>
    <w:rsid w:val="00583E4A"/>
    <w:rsid w:val="0058414F"/>
    <w:rsid w:val="005842AB"/>
    <w:rsid w:val="005843B5"/>
    <w:rsid w:val="00584501"/>
    <w:rsid w:val="005847DB"/>
    <w:rsid w:val="00584855"/>
    <w:rsid w:val="005849F7"/>
    <w:rsid w:val="00584B0B"/>
    <w:rsid w:val="00584E16"/>
    <w:rsid w:val="00584E21"/>
    <w:rsid w:val="0058529B"/>
    <w:rsid w:val="005852C8"/>
    <w:rsid w:val="005853F9"/>
    <w:rsid w:val="00585709"/>
    <w:rsid w:val="005857B3"/>
    <w:rsid w:val="005858C0"/>
    <w:rsid w:val="005859B3"/>
    <w:rsid w:val="00585C76"/>
    <w:rsid w:val="00586012"/>
    <w:rsid w:val="0058630A"/>
    <w:rsid w:val="005864ED"/>
    <w:rsid w:val="005865BE"/>
    <w:rsid w:val="00586903"/>
    <w:rsid w:val="00587056"/>
    <w:rsid w:val="00587062"/>
    <w:rsid w:val="005871F9"/>
    <w:rsid w:val="00587530"/>
    <w:rsid w:val="00587563"/>
    <w:rsid w:val="0058758B"/>
    <w:rsid w:val="0058782F"/>
    <w:rsid w:val="00587899"/>
    <w:rsid w:val="00587F39"/>
    <w:rsid w:val="00587F45"/>
    <w:rsid w:val="0059008C"/>
    <w:rsid w:val="005902EC"/>
    <w:rsid w:val="005906D1"/>
    <w:rsid w:val="00590770"/>
    <w:rsid w:val="0059086D"/>
    <w:rsid w:val="00590955"/>
    <w:rsid w:val="005909AF"/>
    <w:rsid w:val="00590A29"/>
    <w:rsid w:val="00590BBF"/>
    <w:rsid w:val="00590C82"/>
    <w:rsid w:val="00590F79"/>
    <w:rsid w:val="005914DA"/>
    <w:rsid w:val="00591528"/>
    <w:rsid w:val="0059157E"/>
    <w:rsid w:val="005915A3"/>
    <w:rsid w:val="00591667"/>
    <w:rsid w:val="00591681"/>
    <w:rsid w:val="0059190F"/>
    <w:rsid w:val="00591AE8"/>
    <w:rsid w:val="00591D87"/>
    <w:rsid w:val="00591D8C"/>
    <w:rsid w:val="00591D92"/>
    <w:rsid w:val="00592017"/>
    <w:rsid w:val="00592018"/>
    <w:rsid w:val="00592136"/>
    <w:rsid w:val="005921B2"/>
    <w:rsid w:val="0059228C"/>
    <w:rsid w:val="00592631"/>
    <w:rsid w:val="005926CF"/>
    <w:rsid w:val="00592760"/>
    <w:rsid w:val="0059287A"/>
    <w:rsid w:val="00592B9C"/>
    <w:rsid w:val="00592C23"/>
    <w:rsid w:val="00592E29"/>
    <w:rsid w:val="00592F79"/>
    <w:rsid w:val="0059302C"/>
    <w:rsid w:val="0059302F"/>
    <w:rsid w:val="005932FD"/>
    <w:rsid w:val="00593308"/>
    <w:rsid w:val="00593827"/>
    <w:rsid w:val="005938E4"/>
    <w:rsid w:val="0059395E"/>
    <w:rsid w:val="00593A50"/>
    <w:rsid w:val="00593AC8"/>
    <w:rsid w:val="00593B79"/>
    <w:rsid w:val="00593C2F"/>
    <w:rsid w:val="00593E2A"/>
    <w:rsid w:val="0059402D"/>
    <w:rsid w:val="005942F7"/>
    <w:rsid w:val="00594306"/>
    <w:rsid w:val="005943FE"/>
    <w:rsid w:val="00594548"/>
    <w:rsid w:val="00594591"/>
    <w:rsid w:val="00594759"/>
    <w:rsid w:val="00594A03"/>
    <w:rsid w:val="00594AE9"/>
    <w:rsid w:val="00594B7F"/>
    <w:rsid w:val="00594CEF"/>
    <w:rsid w:val="00594E62"/>
    <w:rsid w:val="005951BF"/>
    <w:rsid w:val="005952A7"/>
    <w:rsid w:val="00595516"/>
    <w:rsid w:val="005958C8"/>
    <w:rsid w:val="005958DF"/>
    <w:rsid w:val="0059593A"/>
    <w:rsid w:val="00595A1F"/>
    <w:rsid w:val="00595B80"/>
    <w:rsid w:val="00595FC2"/>
    <w:rsid w:val="005961B7"/>
    <w:rsid w:val="0059623A"/>
    <w:rsid w:val="00596273"/>
    <w:rsid w:val="005962AB"/>
    <w:rsid w:val="00596AD3"/>
    <w:rsid w:val="00596C61"/>
    <w:rsid w:val="00596CE6"/>
    <w:rsid w:val="00596DD2"/>
    <w:rsid w:val="00597153"/>
    <w:rsid w:val="00597215"/>
    <w:rsid w:val="005972E5"/>
    <w:rsid w:val="005972F0"/>
    <w:rsid w:val="00597350"/>
    <w:rsid w:val="0059740E"/>
    <w:rsid w:val="0059763E"/>
    <w:rsid w:val="005977FD"/>
    <w:rsid w:val="00597843"/>
    <w:rsid w:val="005979EA"/>
    <w:rsid w:val="00597BB3"/>
    <w:rsid w:val="00597C24"/>
    <w:rsid w:val="005A0013"/>
    <w:rsid w:val="005A0096"/>
    <w:rsid w:val="005A00FB"/>
    <w:rsid w:val="005A016C"/>
    <w:rsid w:val="005A0318"/>
    <w:rsid w:val="005A0452"/>
    <w:rsid w:val="005A0465"/>
    <w:rsid w:val="005A05CE"/>
    <w:rsid w:val="005A06E9"/>
    <w:rsid w:val="005A07C7"/>
    <w:rsid w:val="005A08B4"/>
    <w:rsid w:val="005A136D"/>
    <w:rsid w:val="005A147B"/>
    <w:rsid w:val="005A152A"/>
    <w:rsid w:val="005A19DA"/>
    <w:rsid w:val="005A1DF5"/>
    <w:rsid w:val="005A1EFA"/>
    <w:rsid w:val="005A20CF"/>
    <w:rsid w:val="005A21A1"/>
    <w:rsid w:val="005A2276"/>
    <w:rsid w:val="005A23FE"/>
    <w:rsid w:val="005A2686"/>
    <w:rsid w:val="005A274B"/>
    <w:rsid w:val="005A27D1"/>
    <w:rsid w:val="005A27FA"/>
    <w:rsid w:val="005A2831"/>
    <w:rsid w:val="005A2850"/>
    <w:rsid w:val="005A29B7"/>
    <w:rsid w:val="005A32FA"/>
    <w:rsid w:val="005A3305"/>
    <w:rsid w:val="005A3353"/>
    <w:rsid w:val="005A37D4"/>
    <w:rsid w:val="005A37F2"/>
    <w:rsid w:val="005A38A3"/>
    <w:rsid w:val="005A3BDE"/>
    <w:rsid w:val="005A3CAA"/>
    <w:rsid w:val="005A3DE0"/>
    <w:rsid w:val="005A3FA0"/>
    <w:rsid w:val="005A3FF4"/>
    <w:rsid w:val="005A4100"/>
    <w:rsid w:val="005A44B0"/>
    <w:rsid w:val="005A4691"/>
    <w:rsid w:val="005A46FD"/>
    <w:rsid w:val="005A4D48"/>
    <w:rsid w:val="005A4F52"/>
    <w:rsid w:val="005A587C"/>
    <w:rsid w:val="005A58B2"/>
    <w:rsid w:val="005A5C2C"/>
    <w:rsid w:val="005A5F29"/>
    <w:rsid w:val="005A63AF"/>
    <w:rsid w:val="005A6404"/>
    <w:rsid w:val="005A67F6"/>
    <w:rsid w:val="005A6D66"/>
    <w:rsid w:val="005A6E6C"/>
    <w:rsid w:val="005A721B"/>
    <w:rsid w:val="005A74E1"/>
    <w:rsid w:val="005A75A9"/>
    <w:rsid w:val="005A7631"/>
    <w:rsid w:val="005A77BD"/>
    <w:rsid w:val="005A7827"/>
    <w:rsid w:val="005A799A"/>
    <w:rsid w:val="005A7D28"/>
    <w:rsid w:val="005B0058"/>
    <w:rsid w:val="005B0115"/>
    <w:rsid w:val="005B01C0"/>
    <w:rsid w:val="005B02AD"/>
    <w:rsid w:val="005B07BF"/>
    <w:rsid w:val="005B0812"/>
    <w:rsid w:val="005B09C4"/>
    <w:rsid w:val="005B0B81"/>
    <w:rsid w:val="005B0BB8"/>
    <w:rsid w:val="005B112F"/>
    <w:rsid w:val="005B1131"/>
    <w:rsid w:val="005B13F8"/>
    <w:rsid w:val="005B1434"/>
    <w:rsid w:val="005B1492"/>
    <w:rsid w:val="005B1612"/>
    <w:rsid w:val="005B1652"/>
    <w:rsid w:val="005B1AA6"/>
    <w:rsid w:val="005B1D97"/>
    <w:rsid w:val="005B1E28"/>
    <w:rsid w:val="005B1E8E"/>
    <w:rsid w:val="005B2108"/>
    <w:rsid w:val="005B224C"/>
    <w:rsid w:val="005B2463"/>
    <w:rsid w:val="005B2923"/>
    <w:rsid w:val="005B293C"/>
    <w:rsid w:val="005B2CFF"/>
    <w:rsid w:val="005B2D3A"/>
    <w:rsid w:val="005B2E1E"/>
    <w:rsid w:val="005B304D"/>
    <w:rsid w:val="005B3353"/>
    <w:rsid w:val="005B35F5"/>
    <w:rsid w:val="005B363B"/>
    <w:rsid w:val="005B3890"/>
    <w:rsid w:val="005B38CA"/>
    <w:rsid w:val="005B38D8"/>
    <w:rsid w:val="005B38EF"/>
    <w:rsid w:val="005B3A4C"/>
    <w:rsid w:val="005B3C04"/>
    <w:rsid w:val="005B3E59"/>
    <w:rsid w:val="005B3FE9"/>
    <w:rsid w:val="005B40B9"/>
    <w:rsid w:val="005B41C8"/>
    <w:rsid w:val="005B4312"/>
    <w:rsid w:val="005B4385"/>
    <w:rsid w:val="005B4399"/>
    <w:rsid w:val="005B43CE"/>
    <w:rsid w:val="005B493D"/>
    <w:rsid w:val="005B499E"/>
    <w:rsid w:val="005B4C3C"/>
    <w:rsid w:val="005B4E4B"/>
    <w:rsid w:val="005B500D"/>
    <w:rsid w:val="005B52E0"/>
    <w:rsid w:val="005B5898"/>
    <w:rsid w:val="005B5E1C"/>
    <w:rsid w:val="005B5F1E"/>
    <w:rsid w:val="005B62C3"/>
    <w:rsid w:val="005B63DD"/>
    <w:rsid w:val="005B64B1"/>
    <w:rsid w:val="005B6559"/>
    <w:rsid w:val="005B6884"/>
    <w:rsid w:val="005B68CE"/>
    <w:rsid w:val="005B6A04"/>
    <w:rsid w:val="005B6A4E"/>
    <w:rsid w:val="005B6AAC"/>
    <w:rsid w:val="005B6B32"/>
    <w:rsid w:val="005B6D14"/>
    <w:rsid w:val="005B6F2A"/>
    <w:rsid w:val="005B6FAE"/>
    <w:rsid w:val="005B7748"/>
    <w:rsid w:val="005B77ED"/>
    <w:rsid w:val="005B7B81"/>
    <w:rsid w:val="005B7C1D"/>
    <w:rsid w:val="005B7E59"/>
    <w:rsid w:val="005C0840"/>
    <w:rsid w:val="005C0A83"/>
    <w:rsid w:val="005C0AE1"/>
    <w:rsid w:val="005C0AF1"/>
    <w:rsid w:val="005C128C"/>
    <w:rsid w:val="005C1539"/>
    <w:rsid w:val="005C19E3"/>
    <w:rsid w:val="005C1AF2"/>
    <w:rsid w:val="005C1CF8"/>
    <w:rsid w:val="005C1D53"/>
    <w:rsid w:val="005C2131"/>
    <w:rsid w:val="005C2345"/>
    <w:rsid w:val="005C26C3"/>
    <w:rsid w:val="005C2753"/>
    <w:rsid w:val="005C28A9"/>
    <w:rsid w:val="005C28FB"/>
    <w:rsid w:val="005C2B47"/>
    <w:rsid w:val="005C2F4E"/>
    <w:rsid w:val="005C2FAC"/>
    <w:rsid w:val="005C328D"/>
    <w:rsid w:val="005C32BB"/>
    <w:rsid w:val="005C32C8"/>
    <w:rsid w:val="005C3607"/>
    <w:rsid w:val="005C365D"/>
    <w:rsid w:val="005C371A"/>
    <w:rsid w:val="005C3994"/>
    <w:rsid w:val="005C3E11"/>
    <w:rsid w:val="005C3F87"/>
    <w:rsid w:val="005C406C"/>
    <w:rsid w:val="005C416B"/>
    <w:rsid w:val="005C4249"/>
    <w:rsid w:val="005C4361"/>
    <w:rsid w:val="005C4699"/>
    <w:rsid w:val="005C47FF"/>
    <w:rsid w:val="005C48A9"/>
    <w:rsid w:val="005C48AC"/>
    <w:rsid w:val="005C48AE"/>
    <w:rsid w:val="005C48F1"/>
    <w:rsid w:val="005C4F22"/>
    <w:rsid w:val="005C5011"/>
    <w:rsid w:val="005C54B1"/>
    <w:rsid w:val="005C54F6"/>
    <w:rsid w:val="005C570C"/>
    <w:rsid w:val="005C5788"/>
    <w:rsid w:val="005C57BF"/>
    <w:rsid w:val="005C5A1D"/>
    <w:rsid w:val="005C5DB4"/>
    <w:rsid w:val="005C5E44"/>
    <w:rsid w:val="005C619E"/>
    <w:rsid w:val="005C6338"/>
    <w:rsid w:val="005C63EC"/>
    <w:rsid w:val="005C63FB"/>
    <w:rsid w:val="005C67CB"/>
    <w:rsid w:val="005C692F"/>
    <w:rsid w:val="005C6966"/>
    <w:rsid w:val="005C6B91"/>
    <w:rsid w:val="005C6BF9"/>
    <w:rsid w:val="005C6D2E"/>
    <w:rsid w:val="005C6DE1"/>
    <w:rsid w:val="005C72CE"/>
    <w:rsid w:val="005C7351"/>
    <w:rsid w:val="005C744C"/>
    <w:rsid w:val="005C759F"/>
    <w:rsid w:val="005C75FE"/>
    <w:rsid w:val="005C781F"/>
    <w:rsid w:val="005C7CA8"/>
    <w:rsid w:val="005C7CAE"/>
    <w:rsid w:val="005C7F2F"/>
    <w:rsid w:val="005D02AC"/>
    <w:rsid w:val="005D02EA"/>
    <w:rsid w:val="005D037D"/>
    <w:rsid w:val="005D0459"/>
    <w:rsid w:val="005D0511"/>
    <w:rsid w:val="005D0629"/>
    <w:rsid w:val="005D074F"/>
    <w:rsid w:val="005D0B7A"/>
    <w:rsid w:val="005D0C6C"/>
    <w:rsid w:val="005D0F5C"/>
    <w:rsid w:val="005D1364"/>
    <w:rsid w:val="005D1687"/>
    <w:rsid w:val="005D1718"/>
    <w:rsid w:val="005D1774"/>
    <w:rsid w:val="005D1889"/>
    <w:rsid w:val="005D1E2B"/>
    <w:rsid w:val="005D1F6A"/>
    <w:rsid w:val="005D1FB4"/>
    <w:rsid w:val="005D1FD8"/>
    <w:rsid w:val="005D2161"/>
    <w:rsid w:val="005D22A2"/>
    <w:rsid w:val="005D2568"/>
    <w:rsid w:val="005D2597"/>
    <w:rsid w:val="005D27E6"/>
    <w:rsid w:val="005D2999"/>
    <w:rsid w:val="005D2D73"/>
    <w:rsid w:val="005D3292"/>
    <w:rsid w:val="005D330E"/>
    <w:rsid w:val="005D38F7"/>
    <w:rsid w:val="005D39D4"/>
    <w:rsid w:val="005D3D1A"/>
    <w:rsid w:val="005D3D1C"/>
    <w:rsid w:val="005D406B"/>
    <w:rsid w:val="005D41EE"/>
    <w:rsid w:val="005D4346"/>
    <w:rsid w:val="005D4380"/>
    <w:rsid w:val="005D4383"/>
    <w:rsid w:val="005D443E"/>
    <w:rsid w:val="005D44C8"/>
    <w:rsid w:val="005D4686"/>
    <w:rsid w:val="005D4BF4"/>
    <w:rsid w:val="005D4EEC"/>
    <w:rsid w:val="005D5169"/>
    <w:rsid w:val="005D520F"/>
    <w:rsid w:val="005D528D"/>
    <w:rsid w:val="005D53F2"/>
    <w:rsid w:val="005D558C"/>
    <w:rsid w:val="005D559C"/>
    <w:rsid w:val="005D559F"/>
    <w:rsid w:val="005D5677"/>
    <w:rsid w:val="005D5B6C"/>
    <w:rsid w:val="005D5C08"/>
    <w:rsid w:val="005D5C8C"/>
    <w:rsid w:val="005D5C9D"/>
    <w:rsid w:val="005D5CD2"/>
    <w:rsid w:val="005D5EF2"/>
    <w:rsid w:val="005D5FF8"/>
    <w:rsid w:val="005D6271"/>
    <w:rsid w:val="005D64EE"/>
    <w:rsid w:val="005D674B"/>
    <w:rsid w:val="005D67B2"/>
    <w:rsid w:val="005D69C9"/>
    <w:rsid w:val="005D6BC2"/>
    <w:rsid w:val="005D6BD0"/>
    <w:rsid w:val="005D6D88"/>
    <w:rsid w:val="005D6FF3"/>
    <w:rsid w:val="005D708D"/>
    <w:rsid w:val="005D70A1"/>
    <w:rsid w:val="005D7180"/>
    <w:rsid w:val="005D7527"/>
    <w:rsid w:val="005D772E"/>
    <w:rsid w:val="005D7737"/>
    <w:rsid w:val="005D7785"/>
    <w:rsid w:val="005D78B6"/>
    <w:rsid w:val="005D78F2"/>
    <w:rsid w:val="005D7BE0"/>
    <w:rsid w:val="005D7D22"/>
    <w:rsid w:val="005D7D57"/>
    <w:rsid w:val="005E0046"/>
    <w:rsid w:val="005E01A6"/>
    <w:rsid w:val="005E021E"/>
    <w:rsid w:val="005E0363"/>
    <w:rsid w:val="005E0617"/>
    <w:rsid w:val="005E06F3"/>
    <w:rsid w:val="005E07C6"/>
    <w:rsid w:val="005E0B6F"/>
    <w:rsid w:val="005E0C20"/>
    <w:rsid w:val="005E0CCF"/>
    <w:rsid w:val="005E104E"/>
    <w:rsid w:val="005E108C"/>
    <w:rsid w:val="005E12F8"/>
    <w:rsid w:val="005E135E"/>
    <w:rsid w:val="005E1481"/>
    <w:rsid w:val="005E1494"/>
    <w:rsid w:val="005E14C2"/>
    <w:rsid w:val="005E184D"/>
    <w:rsid w:val="005E1BDE"/>
    <w:rsid w:val="005E1C68"/>
    <w:rsid w:val="005E1D11"/>
    <w:rsid w:val="005E21EF"/>
    <w:rsid w:val="005E24A4"/>
    <w:rsid w:val="005E258D"/>
    <w:rsid w:val="005E2660"/>
    <w:rsid w:val="005E26B0"/>
    <w:rsid w:val="005E2732"/>
    <w:rsid w:val="005E28D0"/>
    <w:rsid w:val="005E2B73"/>
    <w:rsid w:val="005E2DE8"/>
    <w:rsid w:val="005E2E45"/>
    <w:rsid w:val="005E2FF7"/>
    <w:rsid w:val="005E3080"/>
    <w:rsid w:val="005E336D"/>
    <w:rsid w:val="005E3394"/>
    <w:rsid w:val="005E33BB"/>
    <w:rsid w:val="005E35E5"/>
    <w:rsid w:val="005E371C"/>
    <w:rsid w:val="005E37AC"/>
    <w:rsid w:val="005E39E4"/>
    <w:rsid w:val="005E3C41"/>
    <w:rsid w:val="005E3E42"/>
    <w:rsid w:val="005E3E94"/>
    <w:rsid w:val="005E3F4A"/>
    <w:rsid w:val="005E40E4"/>
    <w:rsid w:val="005E4286"/>
    <w:rsid w:val="005E42E1"/>
    <w:rsid w:val="005E441D"/>
    <w:rsid w:val="005E4E21"/>
    <w:rsid w:val="005E4EE8"/>
    <w:rsid w:val="005E502E"/>
    <w:rsid w:val="005E5285"/>
    <w:rsid w:val="005E5465"/>
    <w:rsid w:val="005E55C1"/>
    <w:rsid w:val="005E577B"/>
    <w:rsid w:val="005E5D7E"/>
    <w:rsid w:val="005E61B3"/>
    <w:rsid w:val="005E6348"/>
    <w:rsid w:val="005E63AF"/>
    <w:rsid w:val="005E6463"/>
    <w:rsid w:val="005E64D4"/>
    <w:rsid w:val="005E66D0"/>
    <w:rsid w:val="005E68CB"/>
    <w:rsid w:val="005E69A2"/>
    <w:rsid w:val="005E69AE"/>
    <w:rsid w:val="005E6B27"/>
    <w:rsid w:val="005E70DC"/>
    <w:rsid w:val="005E735A"/>
    <w:rsid w:val="005E748E"/>
    <w:rsid w:val="005E759A"/>
    <w:rsid w:val="005E7623"/>
    <w:rsid w:val="005E777F"/>
    <w:rsid w:val="005E792C"/>
    <w:rsid w:val="005E7BAB"/>
    <w:rsid w:val="005E7FB5"/>
    <w:rsid w:val="005E7FC3"/>
    <w:rsid w:val="005F00CE"/>
    <w:rsid w:val="005F0108"/>
    <w:rsid w:val="005F01C0"/>
    <w:rsid w:val="005F0293"/>
    <w:rsid w:val="005F047D"/>
    <w:rsid w:val="005F05FC"/>
    <w:rsid w:val="005F0614"/>
    <w:rsid w:val="005F0DE5"/>
    <w:rsid w:val="005F0E96"/>
    <w:rsid w:val="005F1130"/>
    <w:rsid w:val="005F13D2"/>
    <w:rsid w:val="005F1574"/>
    <w:rsid w:val="005F1841"/>
    <w:rsid w:val="005F1CFF"/>
    <w:rsid w:val="005F1E29"/>
    <w:rsid w:val="005F1EC2"/>
    <w:rsid w:val="005F1F33"/>
    <w:rsid w:val="005F1FBF"/>
    <w:rsid w:val="005F20DE"/>
    <w:rsid w:val="005F2469"/>
    <w:rsid w:val="005F24BF"/>
    <w:rsid w:val="005F2557"/>
    <w:rsid w:val="005F29CA"/>
    <w:rsid w:val="005F2BA2"/>
    <w:rsid w:val="005F2D2A"/>
    <w:rsid w:val="005F30A0"/>
    <w:rsid w:val="005F3203"/>
    <w:rsid w:val="005F3387"/>
    <w:rsid w:val="005F3B74"/>
    <w:rsid w:val="005F3C26"/>
    <w:rsid w:val="005F3D4B"/>
    <w:rsid w:val="005F3FB4"/>
    <w:rsid w:val="005F403F"/>
    <w:rsid w:val="005F4570"/>
    <w:rsid w:val="005F4780"/>
    <w:rsid w:val="005F4784"/>
    <w:rsid w:val="005F47A7"/>
    <w:rsid w:val="005F486B"/>
    <w:rsid w:val="005F4A84"/>
    <w:rsid w:val="005F4B0C"/>
    <w:rsid w:val="005F4B46"/>
    <w:rsid w:val="005F4F3D"/>
    <w:rsid w:val="005F5028"/>
    <w:rsid w:val="005F50FF"/>
    <w:rsid w:val="005F5267"/>
    <w:rsid w:val="005F53CB"/>
    <w:rsid w:val="005F542E"/>
    <w:rsid w:val="005F5431"/>
    <w:rsid w:val="005F55A2"/>
    <w:rsid w:val="005F578D"/>
    <w:rsid w:val="005F5A60"/>
    <w:rsid w:val="005F5A63"/>
    <w:rsid w:val="005F5F64"/>
    <w:rsid w:val="005F5FC1"/>
    <w:rsid w:val="005F64F2"/>
    <w:rsid w:val="005F65BA"/>
    <w:rsid w:val="005F69A4"/>
    <w:rsid w:val="005F6C6D"/>
    <w:rsid w:val="005F6E7F"/>
    <w:rsid w:val="005F6FC3"/>
    <w:rsid w:val="005F6FE3"/>
    <w:rsid w:val="005F732E"/>
    <w:rsid w:val="005F73CE"/>
    <w:rsid w:val="005F7430"/>
    <w:rsid w:val="005F75EC"/>
    <w:rsid w:val="005F797E"/>
    <w:rsid w:val="005F7CCD"/>
    <w:rsid w:val="005F7CEE"/>
    <w:rsid w:val="00600150"/>
    <w:rsid w:val="00600261"/>
    <w:rsid w:val="00600507"/>
    <w:rsid w:val="006009D0"/>
    <w:rsid w:val="00600B29"/>
    <w:rsid w:val="00600B36"/>
    <w:rsid w:val="00600B82"/>
    <w:rsid w:val="00600D48"/>
    <w:rsid w:val="00601129"/>
    <w:rsid w:val="0060158B"/>
    <w:rsid w:val="00601719"/>
    <w:rsid w:val="00601802"/>
    <w:rsid w:val="0060183C"/>
    <w:rsid w:val="0060188C"/>
    <w:rsid w:val="006019E2"/>
    <w:rsid w:val="00601AF0"/>
    <w:rsid w:val="00601E45"/>
    <w:rsid w:val="00601ECB"/>
    <w:rsid w:val="00602115"/>
    <w:rsid w:val="00602E2A"/>
    <w:rsid w:val="00603036"/>
    <w:rsid w:val="0060343E"/>
    <w:rsid w:val="00603503"/>
    <w:rsid w:val="00603723"/>
    <w:rsid w:val="006039DB"/>
    <w:rsid w:val="00603AF7"/>
    <w:rsid w:val="00603F7B"/>
    <w:rsid w:val="0060402E"/>
    <w:rsid w:val="00604189"/>
    <w:rsid w:val="006042C3"/>
    <w:rsid w:val="00604332"/>
    <w:rsid w:val="00604412"/>
    <w:rsid w:val="0060468C"/>
    <w:rsid w:val="00604693"/>
    <w:rsid w:val="00604D51"/>
    <w:rsid w:val="00604E2C"/>
    <w:rsid w:val="00604E87"/>
    <w:rsid w:val="00605096"/>
    <w:rsid w:val="006054BD"/>
    <w:rsid w:val="0060594D"/>
    <w:rsid w:val="00605C24"/>
    <w:rsid w:val="00605DAD"/>
    <w:rsid w:val="00605DD9"/>
    <w:rsid w:val="00605EEF"/>
    <w:rsid w:val="00606371"/>
    <w:rsid w:val="006063C8"/>
    <w:rsid w:val="006063EB"/>
    <w:rsid w:val="0060658F"/>
    <w:rsid w:val="006068B3"/>
    <w:rsid w:val="00606918"/>
    <w:rsid w:val="00606DD7"/>
    <w:rsid w:val="00606E28"/>
    <w:rsid w:val="0060729C"/>
    <w:rsid w:val="006073EC"/>
    <w:rsid w:val="00607478"/>
    <w:rsid w:val="006074A2"/>
    <w:rsid w:val="00607763"/>
    <w:rsid w:val="00607D14"/>
    <w:rsid w:val="00607F28"/>
    <w:rsid w:val="006101C5"/>
    <w:rsid w:val="0061046C"/>
    <w:rsid w:val="00610656"/>
    <w:rsid w:val="006109F3"/>
    <w:rsid w:val="00610B31"/>
    <w:rsid w:val="00610F78"/>
    <w:rsid w:val="00610FE1"/>
    <w:rsid w:val="00611170"/>
    <w:rsid w:val="006111AE"/>
    <w:rsid w:val="0061123D"/>
    <w:rsid w:val="006113C4"/>
    <w:rsid w:val="00611405"/>
    <w:rsid w:val="00611688"/>
    <w:rsid w:val="006119CF"/>
    <w:rsid w:val="00611B4C"/>
    <w:rsid w:val="00611CDE"/>
    <w:rsid w:val="00611D75"/>
    <w:rsid w:val="00611FF8"/>
    <w:rsid w:val="0061216D"/>
    <w:rsid w:val="006122BE"/>
    <w:rsid w:val="006122D8"/>
    <w:rsid w:val="0061247D"/>
    <w:rsid w:val="00612561"/>
    <w:rsid w:val="0061273C"/>
    <w:rsid w:val="0061281E"/>
    <w:rsid w:val="00612CFC"/>
    <w:rsid w:val="00612ED8"/>
    <w:rsid w:val="006130AC"/>
    <w:rsid w:val="00613221"/>
    <w:rsid w:val="00613254"/>
    <w:rsid w:val="006136E0"/>
    <w:rsid w:val="00613838"/>
    <w:rsid w:val="00613A2F"/>
    <w:rsid w:val="00613A42"/>
    <w:rsid w:val="00613A93"/>
    <w:rsid w:val="00613AFF"/>
    <w:rsid w:val="00613D87"/>
    <w:rsid w:val="00613E0A"/>
    <w:rsid w:val="0061408F"/>
    <w:rsid w:val="0061421A"/>
    <w:rsid w:val="0061436E"/>
    <w:rsid w:val="0061442D"/>
    <w:rsid w:val="0061445E"/>
    <w:rsid w:val="00614503"/>
    <w:rsid w:val="00614984"/>
    <w:rsid w:val="00615248"/>
    <w:rsid w:val="00615507"/>
    <w:rsid w:val="00615568"/>
    <w:rsid w:val="00615791"/>
    <w:rsid w:val="0061598C"/>
    <w:rsid w:val="00615A36"/>
    <w:rsid w:val="00615A3F"/>
    <w:rsid w:val="00615C8A"/>
    <w:rsid w:val="0061602E"/>
    <w:rsid w:val="00616184"/>
    <w:rsid w:val="00616396"/>
    <w:rsid w:val="00616508"/>
    <w:rsid w:val="006165FF"/>
    <w:rsid w:val="00616720"/>
    <w:rsid w:val="006167BE"/>
    <w:rsid w:val="00616B7E"/>
    <w:rsid w:val="00616E14"/>
    <w:rsid w:val="00617077"/>
    <w:rsid w:val="00617243"/>
    <w:rsid w:val="00617342"/>
    <w:rsid w:val="006177FB"/>
    <w:rsid w:val="006177FF"/>
    <w:rsid w:val="00617838"/>
    <w:rsid w:val="00617B86"/>
    <w:rsid w:val="00617BD9"/>
    <w:rsid w:val="00617CF6"/>
    <w:rsid w:val="00617FFA"/>
    <w:rsid w:val="0062019E"/>
    <w:rsid w:val="0062029D"/>
    <w:rsid w:val="0062036C"/>
    <w:rsid w:val="0062040C"/>
    <w:rsid w:val="0062048B"/>
    <w:rsid w:val="00620594"/>
    <w:rsid w:val="00620620"/>
    <w:rsid w:val="006207B1"/>
    <w:rsid w:val="00620F29"/>
    <w:rsid w:val="00620F3A"/>
    <w:rsid w:val="00621044"/>
    <w:rsid w:val="00621370"/>
    <w:rsid w:val="006213E0"/>
    <w:rsid w:val="006215E1"/>
    <w:rsid w:val="00621686"/>
    <w:rsid w:val="0062193A"/>
    <w:rsid w:val="00621A56"/>
    <w:rsid w:val="00621B1F"/>
    <w:rsid w:val="00621E4A"/>
    <w:rsid w:val="00621E5F"/>
    <w:rsid w:val="00622083"/>
    <w:rsid w:val="00622244"/>
    <w:rsid w:val="0062258D"/>
    <w:rsid w:val="0062260A"/>
    <w:rsid w:val="0062271F"/>
    <w:rsid w:val="00622748"/>
    <w:rsid w:val="00622CB4"/>
    <w:rsid w:val="00622DC3"/>
    <w:rsid w:val="00622E51"/>
    <w:rsid w:val="00622F4D"/>
    <w:rsid w:val="006230B0"/>
    <w:rsid w:val="0062315E"/>
    <w:rsid w:val="006232C3"/>
    <w:rsid w:val="0062364D"/>
    <w:rsid w:val="006236B9"/>
    <w:rsid w:val="00623750"/>
    <w:rsid w:val="00623C6C"/>
    <w:rsid w:val="00623CBF"/>
    <w:rsid w:val="00623E24"/>
    <w:rsid w:val="00624843"/>
    <w:rsid w:val="00624AC5"/>
    <w:rsid w:val="00624AE4"/>
    <w:rsid w:val="00624C4B"/>
    <w:rsid w:val="00624C5B"/>
    <w:rsid w:val="00624EFA"/>
    <w:rsid w:val="006252B1"/>
    <w:rsid w:val="0062531D"/>
    <w:rsid w:val="00625342"/>
    <w:rsid w:val="006254DE"/>
    <w:rsid w:val="0062554B"/>
    <w:rsid w:val="006255AC"/>
    <w:rsid w:val="0062561B"/>
    <w:rsid w:val="00625D88"/>
    <w:rsid w:val="00625D96"/>
    <w:rsid w:val="00625E90"/>
    <w:rsid w:val="00625F5A"/>
    <w:rsid w:val="006268BC"/>
    <w:rsid w:val="00626AB8"/>
    <w:rsid w:val="00626B6C"/>
    <w:rsid w:val="00626B6D"/>
    <w:rsid w:val="00626D34"/>
    <w:rsid w:val="00627031"/>
    <w:rsid w:val="006270C2"/>
    <w:rsid w:val="00627814"/>
    <w:rsid w:val="00627A33"/>
    <w:rsid w:val="00627C7D"/>
    <w:rsid w:val="00627C85"/>
    <w:rsid w:val="00627CD6"/>
    <w:rsid w:val="00627F41"/>
    <w:rsid w:val="00630365"/>
    <w:rsid w:val="00630425"/>
    <w:rsid w:val="0063063C"/>
    <w:rsid w:val="00630684"/>
    <w:rsid w:val="00630D41"/>
    <w:rsid w:val="00630DB6"/>
    <w:rsid w:val="00630EA3"/>
    <w:rsid w:val="00631019"/>
    <w:rsid w:val="0063101C"/>
    <w:rsid w:val="00631199"/>
    <w:rsid w:val="0063135A"/>
    <w:rsid w:val="00631458"/>
    <w:rsid w:val="00631628"/>
    <w:rsid w:val="006317E4"/>
    <w:rsid w:val="0063182E"/>
    <w:rsid w:val="00631C67"/>
    <w:rsid w:val="0063240E"/>
    <w:rsid w:val="00632448"/>
    <w:rsid w:val="0063253D"/>
    <w:rsid w:val="006328DB"/>
    <w:rsid w:val="00632A05"/>
    <w:rsid w:val="00632A6C"/>
    <w:rsid w:val="00632A8E"/>
    <w:rsid w:val="0063350E"/>
    <w:rsid w:val="00633699"/>
    <w:rsid w:val="006336A0"/>
    <w:rsid w:val="0063389A"/>
    <w:rsid w:val="006339C3"/>
    <w:rsid w:val="006339C6"/>
    <w:rsid w:val="006341FD"/>
    <w:rsid w:val="0063458B"/>
    <w:rsid w:val="00634659"/>
    <w:rsid w:val="0063487D"/>
    <w:rsid w:val="006349E3"/>
    <w:rsid w:val="00634A53"/>
    <w:rsid w:val="00634A89"/>
    <w:rsid w:val="00634B72"/>
    <w:rsid w:val="00634F58"/>
    <w:rsid w:val="00634FAA"/>
    <w:rsid w:val="00634FE4"/>
    <w:rsid w:val="006350CD"/>
    <w:rsid w:val="00635151"/>
    <w:rsid w:val="006351D6"/>
    <w:rsid w:val="006358C6"/>
    <w:rsid w:val="00635AA8"/>
    <w:rsid w:val="00635B21"/>
    <w:rsid w:val="00635D03"/>
    <w:rsid w:val="00636333"/>
    <w:rsid w:val="0063693F"/>
    <w:rsid w:val="00636B80"/>
    <w:rsid w:val="00636C5D"/>
    <w:rsid w:val="00636D17"/>
    <w:rsid w:val="00636EDA"/>
    <w:rsid w:val="00637182"/>
    <w:rsid w:val="006377CE"/>
    <w:rsid w:val="0063782A"/>
    <w:rsid w:val="006378A0"/>
    <w:rsid w:val="006378DB"/>
    <w:rsid w:val="00637AA3"/>
    <w:rsid w:val="00637C9A"/>
    <w:rsid w:val="00637CA3"/>
    <w:rsid w:val="00637EEB"/>
    <w:rsid w:val="0064014B"/>
    <w:rsid w:val="00640239"/>
    <w:rsid w:val="00640410"/>
    <w:rsid w:val="0064079B"/>
    <w:rsid w:val="00640863"/>
    <w:rsid w:val="00640A97"/>
    <w:rsid w:val="00640B45"/>
    <w:rsid w:val="00640BFE"/>
    <w:rsid w:val="00640F95"/>
    <w:rsid w:val="006411E2"/>
    <w:rsid w:val="006414BA"/>
    <w:rsid w:val="006418D0"/>
    <w:rsid w:val="00641ACC"/>
    <w:rsid w:val="00641C53"/>
    <w:rsid w:val="00641D26"/>
    <w:rsid w:val="00641D5B"/>
    <w:rsid w:val="00641EAA"/>
    <w:rsid w:val="00642223"/>
    <w:rsid w:val="0064240E"/>
    <w:rsid w:val="006424CC"/>
    <w:rsid w:val="00642668"/>
    <w:rsid w:val="00642C4E"/>
    <w:rsid w:val="00642C53"/>
    <w:rsid w:val="00642CB5"/>
    <w:rsid w:val="00642DD6"/>
    <w:rsid w:val="00642DE2"/>
    <w:rsid w:val="00642E92"/>
    <w:rsid w:val="0064323B"/>
    <w:rsid w:val="0064333F"/>
    <w:rsid w:val="006433AF"/>
    <w:rsid w:val="006434F2"/>
    <w:rsid w:val="00643594"/>
    <w:rsid w:val="00643735"/>
    <w:rsid w:val="006437C2"/>
    <w:rsid w:val="00643858"/>
    <w:rsid w:val="00643A28"/>
    <w:rsid w:val="00643CDA"/>
    <w:rsid w:val="00643D83"/>
    <w:rsid w:val="00643ECD"/>
    <w:rsid w:val="00644224"/>
    <w:rsid w:val="006442C2"/>
    <w:rsid w:val="00644312"/>
    <w:rsid w:val="006443A5"/>
    <w:rsid w:val="006444AE"/>
    <w:rsid w:val="00644A72"/>
    <w:rsid w:val="00644A8B"/>
    <w:rsid w:val="00644B9B"/>
    <w:rsid w:val="00644C2B"/>
    <w:rsid w:val="00644C8B"/>
    <w:rsid w:val="00644DF6"/>
    <w:rsid w:val="00644E48"/>
    <w:rsid w:val="00644EF9"/>
    <w:rsid w:val="00644FF8"/>
    <w:rsid w:val="00645099"/>
    <w:rsid w:val="00645189"/>
    <w:rsid w:val="00645192"/>
    <w:rsid w:val="006451BC"/>
    <w:rsid w:val="00645360"/>
    <w:rsid w:val="0064551D"/>
    <w:rsid w:val="006455B6"/>
    <w:rsid w:val="00645724"/>
    <w:rsid w:val="006458DB"/>
    <w:rsid w:val="00645B73"/>
    <w:rsid w:val="00645F0F"/>
    <w:rsid w:val="006462AE"/>
    <w:rsid w:val="00646772"/>
    <w:rsid w:val="00646AD2"/>
    <w:rsid w:val="00646AE2"/>
    <w:rsid w:val="00646B34"/>
    <w:rsid w:val="00646BD0"/>
    <w:rsid w:val="006472E3"/>
    <w:rsid w:val="00647367"/>
    <w:rsid w:val="006475A2"/>
    <w:rsid w:val="0064797E"/>
    <w:rsid w:val="006479FF"/>
    <w:rsid w:val="00647AE1"/>
    <w:rsid w:val="00647B11"/>
    <w:rsid w:val="00647DCF"/>
    <w:rsid w:val="00647DDC"/>
    <w:rsid w:val="00647E15"/>
    <w:rsid w:val="00650120"/>
    <w:rsid w:val="0065016D"/>
    <w:rsid w:val="00650328"/>
    <w:rsid w:val="00650741"/>
    <w:rsid w:val="0065075A"/>
    <w:rsid w:val="006508F8"/>
    <w:rsid w:val="0065095F"/>
    <w:rsid w:val="00650A43"/>
    <w:rsid w:val="00650D7C"/>
    <w:rsid w:val="00650E39"/>
    <w:rsid w:val="00651177"/>
    <w:rsid w:val="006511B3"/>
    <w:rsid w:val="0065143E"/>
    <w:rsid w:val="00651638"/>
    <w:rsid w:val="0065172E"/>
    <w:rsid w:val="006517C9"/>
    <w:rsid w:val="00651811"/>
    <w:rsid w:val="0065199D"/>
    <w:rsid w:val="00651C59"/>
    <w:rsid w:val="00651DFB"/>
    <w:rsid w:val="00651FDA"/>
    <w:rsid w:val="006521B4"/>
    <w:rsid w:val="0065240C"/>
    <w:rsid w:val="0065251B"/>
    <w:rsid w:val="00652831"/>
    <w:rsid w:val="00652AE8"/>
    <w:rsid w:val="00652D51"/>
    <w:rsid w:val="006531BE"/>
    <w:rsid w:val="006537A0"/>
    <w:rsid w:val="00653A72"/>
    <w:rsid w:val="00653AB9"/>
    <w:rsid w:val="00653BB6"/>
    <w:rsid w:val="00653C9D"/>
    <w:rsid w:val="00653CA5"/>
    <w:rsid w:val="00653E78"/>
    <w:rsid w:val="00653EE1"/>
    <w:rsid w:val="00654080"/>
    <w:rsid w:val="006540FE"/>
    <w:rsid w:val="00654194"/>
    <w:rsid w:val="006541F0"/>
    <w:rsid w:val="00654232"/>
    <w:rsid w:val="0065424B"/>
    <w:rsid w:val="0065446F"/>
    <w:rsid w:val="006544EC"/>
    <w:rsid w:val="006546E6"/>
    <w:rsid w:val="0065482B"/>
    <w:rsid w:val="00654853"/>
    <w:rsid w:val="00654AA9"/>
    <w:rsid w:val="00654C3D"/>
    <w:rsid w:val="006551E2"/>
    <w:rsid w:val="006552D2"/>
    <w:rsid w:val="0065534B"/>
    <w:rsid w:val="006554C2"/>
    <w:rsid w:val="0065585B"/>
    <w:rsid w:val="00655C9A"/>
    <w:rsid w:val="00655EBD"/>
    <w:rsid w:val="00656073"/>
    <w:rsid w:val="006560DA"/>
    <w:rsid w:val="006569BF"/>
    <w:rsid w:val="00656AB0"/>
    <w:rsid w:val="00656C83"/>
    <w:rsid w:val="00656E82"/>
    <w:rsid w:val="00656F5E"/>
    <w:rsid w:val="00657000"/>
    <w:rsid w:val="006574B2"/>
    <w:rsid w:val="006574CF"/>
    <w:rsid w:val="006579C1"/>
    <w:rsid w:val="00657A28"/>
    <w:rsid w:val="00657AFD"/>
    <w:rsid w:val="00657B72"/>
    <w:rsid w:val="00657F5C"/>
    <w:rsid w:val="00657FAE"/>
    <w:rsid w:val="006607BA"/>
    <w:rsid w:val="00660A0F"/>
    <w:rsid w:val="00660DEE"/>
    <w:rsid w:val="00660E60"/>
    <w:rsid w:val="00660FC6"/>
    <w:rsid w:val="0066102E"/>
    <w:rsid w:val="0066103D"/>
    <w:rsid w:val="00661275"/>
    <w:rsid w:val="006613F3"/>
    <w:rsid w:val="0066143C"/>
    <w:rsid w:val="00661468"/>
    <w:rsid w:val="006614C9"/>
    <w:rsid w:val="00661568"/>
    <w:rsid w:val="006615F2"/>
    <w:rsid w:val="0066161C"/>
    <w:rsid w:val="00661714"/>
    <w:rsid w:val="00661767"/>
    <w:rsid w:val="00661900"/>
    <w:rsid w:val="0066191A"/>
    <w:rsid w:val="00661CF4"/>
    <w:rsid w:val="00661D2A"/>
    <w:rsid w:val="00661E91"/>
    <w:rsid w:val="0066217D"/>
    <w:rsid w:val="0066223F"/>
    <w:rsid w:val="0066243F"/>
    <w:rsid w:val="006625E7"/>
    <w:rsid w:val="0066288C"/>
    <w:rsid w:val="00662B3B"/>
    <w:rsid w:val="00662C19"/>
    <w:rsid w:val="00662DCF"/>
    <w:rsid w:val="00662FD0"/>
    <w:rsid w:val="006632AF"/>
    <w:rsid w:val="00663496"/>
    <w:rsid w:val="00663594"/>
    <w:rsid w:val="00663D75"/>
    <w:rsid w:val="00663F97"/>
    <w:rsid w:val="00664089"/>
    <w:rsid w:val="0066409B"/>
    <w:rsid w:val="00664229"/>
    <w:rsid w:val="00664230"/>
    <w:rsid w:val="00664339"/>
    <w:rsid w:val="006644B9"/>
    <w:rsid w:val="006644E6"/>
    <w:rsid w:val="0066460E"/>
    <w:rsid w:val="00664AC8"/>
    <w:rsid w:val="00664D0E"/>
    <w:rsid w:val="00664DDF"/>
    <w:rsid w:val="00664DE5"/>
    <w:rsid w:val="00665241"/>
    <w:rsid w:val="00665244"/>
    <w:rsid w:val="0066544A"/>
    <w:rsid w:val="0066553E"/>
    <w:rsid w:val="00665544"/>
    <w:rsid w:val="006657C9"/>
    <w:rsid w:val="006658F2"/>
    <w:rsid w:val="006659E4"/>
    <w:rsid w:val="00665C07"/>
    <w:rsid w:val="00665D3B"/>
    <w:rsid w:val="00665D88"/>
    <w:rsid w:val="00665EFA"/>
    <w:rsid w:val="00665FBA"/>
    <w:rsid w:val="00666107"/>
    <w:rsid w:val="0066611D"/>
    <w:rsid w:val="00666456"/>
    <w:rsid w:val="006664D8"/>
    <w:rsid w:val="00666825"/>
    <w:rsid w:val="00666982"/>
    <w:rsid w:val="00666D39"/>
    <w:rsid w:val="00666E88"/>
    <w:rsid w:val="0066753C"/>
    <w:rsid w:val="006677B1"/>
    <w:rsid w:val="00667CD0"/>
    <w:rsid w:val="00667E92"/>
    <w:rsid w:val="00670621"/>
    <w:rsid w:val="0067067D"/>
    <w:rsid w:val="00671302"/>
    <w:rsid w:val="0067152C"/>
    <w:rsid w:val="006718CE"/>
    <w:rsid w:val="0067190E"/>
    <w:rsid w:val="0067197A"/>
    <w:rsid w:val="00671999"/>
    <w:rsid w:val="006719AD"/>
    <w:rsid w:val="00671A2D"/>
    <w:rsid w:val="00671E03"/>
    <w:rsid w:val="0067220F"/>
    <w:rsid w:val="0067221F"/>
    <w:rsid w:val="0067223B"/>
    <w:rsid w:val="00672289"/>
    <w:rsid w:val="006722E4"/>
    <w:rsid w:val="006724B9"/>
    <w:rsid w:val="00672843"/>
    <w:rsid w:val="00672A03"/>
    <w:rsid w:val="00672DDC"/>
    <w:rsid w:val="00672F5F"/>
    <w:rsid w:val="00672FCC"/>
    <w:rsid w:val="00673020"/>
    <w:rsid w:val="006733FD"/>
    <w:rsid w:val="0067362A"/>
    <w:rsid w:val="00673776"/>
    <w:rsid w:val="00673871"/>
    <w:rsid w:val="006739BB"/>
    <w:rsid w:val="00673B77"/>
    <w:rsid w:val="00673D2A"/>
    <w:rsid w:val="00673EE2"/>
    <w:rsid w:val="006740B8"/>
    <w:rsid w:val="006740C6"/>
    <w:rsid w:val="00674178"/>
    <w:rsid w:val="006744D3"/>
    <w:rsid w:val="00674C9E"/>
    <w:rsid w:val="00674EB8"/>
    <w:rsid w:val="00674EC6"/>
    <w:rsid w:val="00674FEA"/>
    <w:rsid w:val="006752D2"/>
    <w:rsid w:val="0067573C"/>
    <w:rsid w:val="00675827"/>
    <w:rsid w:val="00675C26"/>
    <w:rsid w:val="00675EA5"/>
    <w:rsid w:val="00675FB2"/>
    <w:rsid w:val="006761A8"/>
    <w:rsid w:val="00676291"/>
    <w:rsid w:val="00676764"/>
    <w:rsid w:val="0067687A"/>
    <w:rsid w:val="00676C41"/>
    <w:rsid w:val="00676C6D"/>
    <w:rsid w:val="00676DD5"/>
    <w:rsid w:val="00676E92"/>
    <w:rsid w:val="00676EF8"/>
    <w:rsid w:val="00676F21"/>
    <w:rsid w:val="00676FD7"/>
    <w:rsid w:val="0067703D"/>
    <w:rsid w:val="0067709A"/>
    <w:rsid w:val="0067729E"/>
    <w:rsid w:val="006778C5"/>
    <w:rsid w:val="00677C49"/>
    <w:rsid w:val="00677C4C"/>
    <w:rsid w:val="00677DD4"/>
    <w:rsid w:val="00677E42"/>
    <w:rsid w:val="006800EF"/>
    <w:rsid w:val="00680416"/>
    <w:rsid w:val="006806C5"/>
    <w:rsid w:val="00680791"/>
    <w:rsid w:val="006807BC"/>
    <w:rsid w:val="0068084F"/>
    <w:rsid w:val="006808E7"/>
    <w:rsid w:val="00680D67"/>
    <w:rsid w:val="00680EEC"/>
    <w:rsid w:val="00680F5C"/>
    <w:rsid w:val="00681518"/>
    <w:rsid w:val="00681A2F"/>
    <w:rsid w:val="00681A82"/>
    <w:rsid w:val="00681AC6"/>
    <w:rsid w:val="00681B84"/>
    <w:rsid w:val="00681F30"/>
    <w:rsid w:val="006820F2"/>
    <w:rsid w:val="0068218C"/>
    <w:rsid w:val="006822A7"/>
    <w:rsid w:val="00682367"/>
    <w:rsid w:val="0068247E"/>
    <w:rsid w:val="0068268C"/>
    <w:rsid w:val="00682752"/>
    <w:rsid w:val="006828D0"/>
    <w:rsid w:val="006832B4"/>
    <w:rsid w:val="00683681"/>
    <w:rsid w:val="006837F5"/>
    <w:rsid w:val="00684320"/>
    <w:rsid w:val="00684467"/>
    <w:rsid w:val="006844FD"/>
    <w:rsid w:val="00684A3C"/>
    <w:rsid w:val="00684A7E"/>
    <w:rsid w:val="00684E9E"/>
    <w:rsid w:val="00684ECC"/>
    <w:rsid w:val="00685103"/>
    <w:rsid w:val="00685163"/>
    <w:rsid w:val="00685C8D"/>
    <w:rsid w:val="00685CAF"/>
    <w:rsid w:val="00685CDE"/>
    <w:rsid w:val="00685EC4"/>
    <w:rsid w:val="006862F5"/>
    <w:rsid w:val="00686395"/>
    <w:rsid w:val="00686525"/>
    <w:rsid w:val="0068675D"/>
    <w:rsid w:val="00686A28"/>
    <w:rsid w:val="00686D84"/>
    <w:rsid w:val="006871E7"/>
    <w:rsid w:val="00687BEA"/>
    <w:rsid w:val="00687D72"/>
    <w:rsid w:val="00687F5F"/>
    <w:rsid w:val="00690161"/>
    <w:rsid w:val="00690289"/>
    <w:rsid w:val="006902C6"/>
    <w:rsid w:val="006903E6"/>
    <w:rsid w:val="00690600"/>
    <w:rsid w:val="0069067D"/>
    <w:rsid w:val="0069071C"/>
    <w:rsid w:val="00690770"/>
    <w:rsid w:val="00690783"/>
    <w:rsid w:val="00690DCF"/>
    <w:rsid w:val="006910BA"/>
    <w:rsid w:val="0069125B"/>
    <w:rsid w:val="0069140D"/>
    <w:rsid w:val="006914F0"/>
    <w:rsid w:val="00691692"/>
    <w:rsid w:val="006917A7"/>
    <w:rsid w:val="0069198C"/>
    <w:rsid w:val="00691E7F"/>
    <w:rsid w:val="006925C2"/>
    <w:rsid w:val="0069268F"/>
    <w:rsid w:val="006929AC"/>
    <w:rsid w:val="00692B3C"/>
    <w:rsid w:val="00692B63"/>
    <w:rsid w:val="00692CD9"/>
    <w:rsid w:val="00692D03"/>
    <w:rsid w:val="006931A0"/>
    <w:rsid w:val="00693273"/>
    <w:rsid w:val="006936E2"/>
    <w:rsid w:val="00693794"/>
    <w:rsid w:val="00693B2F"/>
    <w:rsid w:val="00693BDE"/>
    <w:rsid w:val="00693C1D"/>
    <w:rsid w:val="00693CA6"/>
    <w:rsid w:val="00694346"/>
    <w:rsid w:val="00694357"/>
    <w:rsid w:val="006943E3"/>
    <w:rsid w:val="00694446"/>
    <w:rsid w:val="00694699"/>
    <w:rsid w:val="00694C3F"/>
    <w:rsid w:val="00694F82"/>
    <w:rsid w:val="00694FB0"/>
    <w:rsid w:val="0069504A"/>
    <w:rsid w:val="00695183"/>
    <w:rsid w:val="00695198"/>
    <w:rsid w:val="00695937"/>
    <w:rsid w:val="00695A48"/>
    <w:rsid w:val="00695E21"/>
    <w:rsid w:val="00696022"/>
    <w:rsid w:val="006960BB"/>
    <w:rsid w:val="006963DC"/>
    <w:rsid w:val="006965BD"/>
    <w:rsid w:val="00696808"/>
    <w:rsid w:val="00696832"/>
    <w:rsid w:val="00696A1D"/>
    <w:rsid w:val="00696A89"/>
    <w:rsid w:val="00696BAE"/>
    <w:rsid w:val="006970B8"/>
    <w:rsid w:val="00697337"/>
    <w:rsid w:val="006973E1"/>
    <w:rsid w:val="006973F2"/>
    <w:rsid w:val="006975B7"/>
    <w:rsid w:val="00697797"/>
    <w:rsid w:val="006A0031"/>
    <w:rsid w:val="006A0251"/>
    <w:rsid w:val="006A03A6"/>
    <w:rsid w:val="006A04F0"/>
    <w:rsid w:val="006A07BD"/>
    <w:rsid w:val="006A09C5"/>
    <w:rsid w:val="006A14C2"/>
    <w:rsid w:val="006A1701"/>
    <w:rsid w:val="006A1A21"/>
    <w:rsid w:val="006A1A80"/>
    <w:rsid w:val="006A1C51"/>
    <w:rsid w:val="006A1C76"/>
    <w:rsid w:val="006A1E5E"/>
    <w:rsid w:val="006A1EBD"/>
    <w:rsid w:val="006A215C"/>
    <w:rsid w:val="006A22CF"/>
    <w:rsid w:val="006A240F"/>
    <w:rsid w:val="006A2C09"/>
    <w:rsid w:val="006A2CE0"/>
    <w:rsid w:val="006A3049"/>
    <w:rsid w:val="006A312D"/>
    <w:rsid w:val="006A3410"/>
    <w:rsid w:val="006A3650"/>
    <w:rsid w:val="006A37E3"/>
    <w:rsid w:val="006A37F8"/>
    <w:rsid w:val="006A3803"/>
    <w:rsid w:val="006A386D"/>
    <w:rsid w:val="006A3940"/>
    <w:rsid w:val="006A3BD0"/>
    <w:rsid w:val="006A3C4E"/>
    <w:rsid w:val="006A3D24"/>
    <w:rsid w:val="006A3D31"/>
    <w:rsid w:val="006A3D5C"/>
    <w:rsid w:val="006A3DB8"/>
    <w:rsid w:val="006A4127"/>
    <w:rsid w:val="006A43C9"/>
    <w:rsid w:val="006A44B0"/>
    <w:rsid w:val="006A45F4"/>
    <w:rsid w:val="006A463B"/>
    <w:rsid w:val="006A469A"/>
    <w:rsid w:val="006A4829"/>
    <w:rsid w:val="006A4891"/>
    <w:rsid w:val="006A4CF8"/>
    <w:rsid w:val="006A5021"/>
    <w:rsid w:val="006A518B"/>
    <w:rsid w:val="006A538E"/>
    <w:rsid w:val="006A54B3"/>
    <w:rsid w:val="006A5594"/>
    <w:rsid w:val="006A5B63"/>
    <w:rsid w:val="006A5E46"/>
    <w:rsid w:val="006A6137"/>
    <w:rsid w:val="006A663F"/>
    <w:rsid w:val="006A664C"/>
    <w:rsid w:val="006A6748"/>
    <w:rsid w:val="006A694D"/>
    <w:rsid w:val="006A6B77"/>
    <w:rsid w:val="006A6B9B"/>
    <w:rsid w:val="006A6D8A"/>
    <w:rsid w:val="006A70DF"/>
    <w:rsid w:val="006A73BA"/>
    <w:rsid w:val="006A7524"/>
    <w:rsid w:val="006A7540"/>
    <w:rsid w:val="006A76C5"/>
    <w:rsid w:val="006A76EE"/>
    <w:rsid w:val="006A76FE"/>
    <w:rsid w:val="006A776F"/>
    <w:rsid w:val="006A788B"/>
    <w:rsid w:val="006A7B8D"/>
    <w:rsid w:val="006A7CA4"/>
    <w:rsid w:val="006A7F5E"/>
    <w:rsid w:val="006B023D"/>
    <w:rsid w:val="006B03FF"/>
    <w:rsid w:val="006B07F7"/>
    <w:rsid w:val="006B0836"/>
    <w:rsid w:val="006B0A8A"/>
    <w:rsid w:val="006B0DDE"/>
    <w:rsid w:val="006B0EDC"/>
    <w:rsid w:val="006B103E"/>
    <w:rsid w:val="006B109F"/>
    <w:rsid w:val="006B1275"/>
    <w:rsid w:val="006B17BB"/>
    <w:rsid w:val="006B1912"/>
    <w:rsid w:val="006B1919"/>
    <w:rsid w:val="006B1B9D"/>
    <w:rsid w:val="006B1BCB"/>
    <w:rsid w:val="006B21A6"/>
    <w:rsid w:val="006B2409"/>
    <w:rsid w:val="006B2576"/>
    <w:rsid w:val="006B26DF"/>
    <w:rsid w:val="006B28A6"/>
    <w:rsid w:val="006B2974"/>
    <w:rsid w:val="006B2AB6"/>
    <w:rsid w:val="006B2C66"/>
    <w:rsid w:val="006B2E46"/>
    <w:rsid w:val="006B2E9B"/>
    <w:rsid w:val="006B30AD"/>
    <w:rsid w:val="006B3248"/>
    <w:rsid w:val="006B3353"/>
    <w:rsid w:val="006B35A4"/>
    <w:rsid w:val="006B37D7"/>
    <w:rsid w:val="006B3932"/>
    <w:rsid w:val="006B3AE7"/>
    <w:rsid w:val="006B3C20"/>
    <w:rsid w:val="006B3DA5"/>
    <w:rsid w:val="006B3DCE"/>
    <w:rsid w:val="006B424F"/>
    <w:rsid w:val="006B426C"/>
    <w:rsid w:val="006B4402"/>
    <w:rsid w:val="006B44B2"/>
    <w:rsid w:val="006B44C0"/>
    <w:rsid w:val="006B44D9"/>
    <w:rsid w:val="006B4623"/>
    <w:rsid w:val="006B46F0"/>
    <w:rsid w:val="006B494B"/>
    <w:rsid w:val="006B4985"/>
    <w:rsid w:val="006B4AA4"/>
    <w:rsid w:val="006B4AC1"/>
    <w:rsid w:val="006B4AE8"/>
    <w:rsid w:val="006B4DC8"/>
    <w:rsid w:val="006B4FFD"/>
    <w:rsid w:val="006B514E"/>
    <w:rsid w:val="006B5176"/>
    <w:rsid w:val="006B552D"/>
    <w:rsid w:val="006B57BD"/>
    <w:rsid w:val="006B5801"/>
    <w:rsid w:val="006B58B8"/>
    <w:rsid w:val="006B5936"/>
    <w:rsid w:val="006B59AA"/>
    <w:rsid w:val="006B5C4D"/>
    <w:rsid w:val="006B5EE0"/>
    <w:rsid w:val="006B5F08"/>
    <w:rsid w:val="006B605E"/>
    <w:rsid w:val="006B6562"/>
    <w:rsid w:val="006B65DF"/>
    <w:rsid w:val="006B67A4"/>
    <w:rsid w:val="006B69A8"/>
    <w:rsid w:val="006B6A15"/>
    <w:rsid w:val="006B6A2B"/>
    <w:rsid w:val="006B6A55"/>
    <w:rsid w:val="006B6CE0"/>
    <w:rsid w:val="006B6D46"/>
    <w:rsid w:val="006B6EEC"/>
    <w:rsid w:val="006B7629"/>
    <w:rsid w:val="006B788F"/>
    <w:rsid w:val="006B78B1"/>
    <w:rsid w:val="006B7BA6"/>
    <w:rsid w:val="006B7EFF"/>
    <w:rsid w:val="006C00D7"/>
    <w:rsid w:val="006C0149"/>
    <w:rsid w:val="006C034A"/>
    <w:rsid w:val="006C04DF"/>
    <w:rsid w:val="006C06B0"/>
    <w:rsid w:val="006C0990"/>
    <w:rsid w:val="006C0E3C"/>
    <w:rsid w:val="006C0E90"/>
    <w:rsid w:val="006C0F8C"/>
    <w:rsid w:val="006C1189"/>
    <w:rsid w:val="006C12CC"/>
    <w:rsid w:val="006C1507"/>
    <w:rsid w:val="006C1523"/>
    <w:rsid w:val="006C162D"/>
    <w:rsid w:val="006C16A4"/>
    <w:rsid w:val="006C1735"/>
    <w:rsid w:val="006C1773"/>
    <w:rsid w:val="006C1981"/>
    <w:rsid w:val="006C1D23"/>
    <w:rsid w:val="006C1D72"/>
    <w:rsid w:val="006C2548"/>
    <w:rsid w:val="006C2768"/>
    <w:rsid w:val="006C2922"/>
    <w:rsid w:val="006C2AA8"/>
    <w:rsid w:val="006C2FE4"/>
    <w:rsid w:val="006C304C"/>
    <w:rsid w:val="006C337C"/>
    <w:rsid w:val="006C36B8"/>
    <w:rsid w:val="006C3AE7"/>
    <w:rsid w:val="006C3B43"/>
    <w:rsid w:val="006C3F3E"/>
    <w:rsid w:val="006C403B"/>
    <w:rsid w:val="006C40F7"/>
    <w:rsid w:val="006C41AA"/>
    <w:rsid w:val="006C47EA"/>
    <w:rsid w:val="006C4C27"/>
    <w:rsid w:val="006C4E46"/>
    <w:rsid w:val="006C50C3"/>
    <w:rsid w:val="006C5224"/>
    <w:rsid w:val="006C5370"/>
    <w:rsid w:val="006C53C0"/>
    <w:rsid w:val="006C53CA"/>
    <w:rsid w:val="006C554E"/>
    <w:rsid w:val="006C5786"/>
    <w:rsid w:val="006C57C9"/>
    <w:rsid w:val="006C5C25"/>
    <w:rsid w:val="006C5D51"/>
    <w:rsid w:val="006C5F59"/>
    <w:rsid w:val="006C5F72"/>
    <w:rsid w:val="006C6148"/>
    <w:rsid w:val="006C62CD"/>
    <w:rsid w:val="006C6987"/>
    <w:rsid w:val="006C69E4"/>
    <w:rsid w:val="006C6ADB"/>
    <w:rsid w:val="006C6CF2"/>
    <w:rsid w:val="006C779F"/>
    <w:rsid w:val="006C78E5"/>
    <w:rsid w:val="006C7A47"/>
    <w:rsid w:val="006C7ACC"/>
    <w:rsid w:val="006C7E13"/>
    <w:rsid w:val="006D00A7"/>
    <w:rsid w:val="006D01AD"/>
    <w:rsid w:val="006D0726"/>
    <w:rsid w:val="006D0751"/>
    <w:rsid w:val="006D0936"/>
    <w:rsid w:val="006D09BB"/>
    <w:rsid w:val="006D0A68"/>
    <w:rsid w:val="006D0BA5"/>
    <w:rsid w:val="006D0DA1"/>
    <w:rsid w:val="006D0DDE"/>
    <w:rsid w:val="006D0EA4"/>
    <w:rsid w:val="006D0FF4"/>
    <w:rsid w:val="006D10C7"/>
    <w:rsid w:val="006D11F8"/>
    <w:rsid w:val="006D14C8"/>
    <w:rsid w:val="006D154D"/>
    <w:rsid w:val="006D1564"/>
    <w:rsid w:val="006D165C"/>
    <w:rsid w:val="006D16F5"/>
    <w:rsid w:val="006D1F72"/>
    <w:rsid w:val="006D1F78"/>
    <w:rsid w:val="006D1FBB"/>
    <w:rsid w:val="006D2279"/>
    <w:rsid w:val="006D2399"/>
    <w:rsid w:val="006D2660"/>
    <w:rsid w:val="006D287A"/>
    <w:rsid w:val="006D28C0"/>
    <w:rsid w:val="006D2A7F"/>
    <w:rsid w:val="006D2CB6"/>
    <w:rsid w:val="006D2DE4"/>
    <w:rsid w:val="006D2DFA"/>
    <w:rsid w:val="006D2E1C"/>
    <w:rsid w:val="006D2EDB"/>
    <w:rsid w:val="006D2F52"/>
    <w:rsid w:val="006D31C2"/>
    <w:rsid w:val="006D3207"/>
    <w:rsid w:val="006D341F"/>
    <w:rsid w:val="006D391F"/>
    <w:rsid w:val="006D396C"/>
    <w:rsid w:val="006D3BF4"/>
    <w:rsid w:val="006D3CC8"/>
    <w:rsid w:val="006D3DA3"/>
    <w:rsid w:val="006D3DB5"/>
    <w:rsid w:val="006D3DC6"/>
    <w:rsid w:val="006D452B"/>
    <w:rsid w:val="006D458A"/>
    <w:rsid w:val="006D4B64"/>
    <w:rsid w:val="006D4F87"/>
    <w:rsid w:val="006D50CF"/>
    <w:rsid w:val="006D534E"/>
    <w:rsid w:val="006D5645"/>
    <w:rsid w:val="006D588F"/>
    <w:rsid w:val="006D5C1B"/>
    <w:rsid w:val="006D5CDA"/>
    <w:rsid w:val="006D6428"/>
    <w:rsid w:val="006D6753"/>
    <w:rsid w:val="006D6775"/>
    <w:rsid w:val="006D67B7"/>
    <w:rsid w:val="006D6A0B"/>
    <w:rsid w:val="006D6B6F"/>
    <w:rsid w:val="006D6BA9"/>
    <w:rsid w:val="006D6E2F"/>
    <w:rsid w:val="006D7162"/>
    <w:rsid w:val="006D7560"/>
    <w:rsid w:val="006D7605"/>
    <w:rsid w:val="006D7943"/>
    <w:rsid w:val="006D7CD1"/>
    <w:rsid w:val="006D7D9C"/>
    <w:rsid w:val="006D7F68"/>
    <w:rsid w:val="006D7F9F"/>
    <w:rsid w:val="006E0040"/>
    <w:rsid w:val="006E048B"/>
    <w:rsid w:val="006E0557"/>
    <w:rsid w:val="006E06AA"/>
    <w:rsid w:val="006E08AB"/>
    <w:rsid w:val="006E0B10"/>
    <w:rsid w:val="006E0BAE"/>
    <w:rsid w:val="006E0BBC"/>
    <w:rsid w:val="006E0BE6"/>
    <w:rsid w:val="006E0D9C"/>
    <w:rsid w:val="006E0DCD"/>
    <w:rsid w:val="006E0E88"/>
    <w:rsid w:val="006E0F57"/>
    <w:rsid w:val="006E1522"/>
    <w:rsid w:val="006E1524"/>
    <w:rsid w:val="006E179B"/>
    <w:rsid w:val="006E19B7"/>
    <w:rsid w:val="006E1AE3"/>
    <w:rsid w:val="006E1AEA"/>
    <w:rsid w:val="006E1C6E"/>
    <w:rsid w:val="006E1E18"/>
    <w:rsid w:val="006E1E41"/>
    <w:rsid w:val="006E21A7"/>
    <w:rsid w:val="006E2383"/>
    <w:rsid w:val="006E25FE"/>
    <w:rsid w:val="006E2677"/>
    <w:rsid w:val="006E2788"/>
    <w:rsid w:val="006E2964"/>
    <w:rsid w:val="006E2A52"/>
    <w:rsid w:val="006E2C63"/>
    <w:rsid w:val="006E2C7A"/>
    <w:rsid w:val="006E3024"/>
    <w:rsid w:val="006E3097"/>
    <w:rsid w:val="006E38D3"/>
    <w:rsid w:val="006E3A4B"/>
    <w:rsid w:val="006E3CB5"/>
    <w:rsid w:val="006E3CFA"/>
    <w:rsid w:val="006E3D7F"/>
    <w:rsid w:val="006E40CF"/>
    <w:rsid w:val="006E4622"/>
    <w:rsid w:val="006E471F"/>
    <w:rsid w:val="006E4765"/>
    <w:rsid w:val="006E47FE"/>
    <w:rsid w:val="006E485D"/>
    <w:rsid w:val="006E488C"/>
    <w:rsid w:val="006E48A8"/>
    <w:rsid w:val="006E48EE"/>
    <w:rsid w:val="006E4933"/>
    <w:rsid w:val="006E4EF2"/>
    <w:rsid w:val="006E50C4"/>
    <w:rsid w:val="006E52AF"/>
    <w:rsid w:val="006E53AA"/>
    <w:rsid w:val="006E562E"/>
    <w:rsid w:val="006E5A6E"/>
    <w:rsid w:val="006E5D03"/>
    <w:rsid w:val="006E5D78"/>
    <w:rsid w:val="006E6281"/>
    <w:rsid w:val="006E675F"/>
    <w:rsid w:val="006E6A32"/>
    <w:rsid w:val="006E6EF1"/>
    <w:rsid w:val="006E6F67"/>
    <w:rsid w:val="006E734A"/>
    <w:rsid w:val="006E7478"/>
    <w:rsid w:val="006E771E"/>
    <w:rsid w:val="006E775F"/>
    <w:rsid w:val="006E776C"/>
    <w:rsid w:val="006E7A00"/>
    <w:rsid w:val="006E7B44"/>
    <w:rsid w:val="006E7B4D"/>
    <w:rsid w:val="006E7BCF"/>
    <w:rsid w:val="006E7E27"/>
    <w:rsid w:val="006E7FBF"/>
    <w:rsid w:val="006F011C"/>
    <w:rsid w:val="006F0208"/>
    <w:rsid w:val="006F044D"/>
    <w:rsid w:val="006F066E"/>
    <w:rsid w:val="006F07C1"/>
    <w:rsid w:val="006F09E7"/>
    <w:rsid w:val="006F0B03"/>
    <w:rsid w:val="006F0BE3"/>
    <w:rsid w:val="006F0D65"/>
    <w:rsid w:val="006F0E36"/>
    <w:rsid w:val="006F1006"/>
    <w:rsid w:val="006F10E3"/>
    <w:rsid w:val="006F1285"/>
    <w:rsid w:val="006F135F"/>
    <w:rsid w:val="006F1391"/>
    <w:rsid w:val="006F1619"/>
    <w:rsid w:val="006F1731"/>
    <w:rsid w:val="006F189B"/>
    <w:rsid w:val="006F1AE4"/>
    <w:rsid w:val="006F1C3F"/>
    <w:rsid w:val="006F1CE4"/>
    <w:rsid w:val="006F20DE"/>
    <w:rsid w:val="006F2115"/>
    <w:rsid w:val="006F227A"/>
    <w:rsid w:val="006F22DA"/>
    <w:rsid w:val="006F2300"/>
    <w:rsid w:val="006F2678"/>
    <w:rsid w:val="006F268F"/>
    <w:rsid w:val="006F28C2"/>
    <w:rsid w:val="006F2A00"/>
    <w:rsid w:val="006F2B63"/>
    <w:rsid w:val="006F2C12"/>
    <w:rsid w:val="006F2CA4"/>
    <w:rsid w:val="006F2DAF"/>
    <w:rsid w:val="006F2EB2"/>
    <w:rsid w:val="006F3029"/>
    <w:rsid w:val="006F30E5"/>
    <w:rsid w:val="006F3805"/>
    <w:rsid w:val="006F3A85"/>
    <w:rsid w:val="006F3CE3"/>
    <w:rsid w:val="006F3D55"/>
    <w:rsid w:val="006F3DE7"/>
    <w:rsid w:val="006F3ED3"/>
    <w:rsid w:val="006F3F3D"/>
    <w:rsid w:val="006F3FFA"/>
    <w:rsid w:val="006F406B"/>
    <w:rsid w:val="006F4268"/>
    <w:rsid w:val="006F42A7"/>
    <w:rsid w:val="006F42C0"/>
    <w:rsid w:val="006F43E6"/>
    <w:rsid w:val="006F45B0"/>
    <w:rsid w:val="006F46C5"/>
    <w:rsid w:val="006F46E5"/>
    <w:rsid w:val="006F4801"/>
    <w:rsid w:val="006F4BFB"/>
    <w:rsid w:val="006F5092"/>
    <w:rsid w:val="006F50DE"/>
    <w:rsid w:val="006F5165"/>
    <w:rsid w:val="006F5225"/>
    <w:rsid w:val="006F5442"/>
    <w:rsid w:val="006F5455"/>
    <w:rsid w:val="006F5A8A"/>
    <w:rsid w:val="006F5E34"/>
    <w:rsid w:val="006F5E92"/>
    <w:rsid w:val="006F5EC8"/>
    <w:rsid w:val="006F6287"/>
    <w:rsid w:val="006F6443"/>
    <w:rsid w:val="006F6604"/>
    <w:rsid w:val="006F66B1"/>
    <w:rsid w:val="006F69BB"/>
    <w:rsid w:val="006F6AC9"/>
    <w:rsid w:val="006F6C8C"/>
    <w:rsid w:val="006F6CB8"/>
    <w:rsid w:val="006F6FBD"/>
    <w:rsid w:val="006F73B4"/>
    <w:rsid w:val="006F73E1"/>
    <w:rsid w:val="006F74A0"/>
    <w:rsid w:val="006F75BB"/>
    <w:rsid w:val="006F78FE"/>
    <w:rsid w:val="006F7929"/>
    <w:rsid w:val="006F7A69"/>
    <w:rsid w:val="006F7B51"/>
    <w:rsid w:val="007003D7"/>
    <w:rsid w:val="00700576"/>
    <w:rsid w:val="007008B7"/>
    <w:rsid w:val="00700DD4"/>
    <w:rsid w:val="007011B0"/>
    <w:rsid w:val="007013E5"/>
    <w:rsid w:val="00701498"/>
    <w:rsid w:val="007019D5"/>
    <w:rsid w:val="00701F16"/>
    <w:rsid w:val="00702026"/>
    <w:rsid w:val="0070219F"/>
    <w:rsid w:val="00702280"/>
    <w:rsid w:val="00702327"/>
    <w:rsid w:val="007024A2"/>
    <w:rsid w:val="007026EB"/>
    <w:rsid w:val="00702864"/>
    <w:rsid w:val="00702E17"/>
    <w:rsid w:val="00703073"/>
    <w:rsid w:val="00703110"/>
    <w:rsid w:val="0070340F"/>
    <w:rsid w:val="007034A9"/>
    <w:rsid w:val="0070365F"/>
    <w:rsid w:val="00703690"/>
    <w:rsid w:val="00703A89"/>
    <w:rsid w:val="00703A9F"/>
    <w:rsid w:val="00703D97"/>
    <w:rsid w:val="00703DA3"/>
    <w:rsid w:val="00703E0D"/>
    <w:rsid w:val="00703F10"/>
    <w:rsid w:val="00703F13"/>
    <w:rsid w:val="00704003"/>
    <w:rsid w:val="00704045"/>
    <w:rsid w:val="0070404D"/>
    <w:rsid w:val="0070420B"/>
    <w:rsid w:val="00704495"/>
    <w:rsid w:val="0070461E"/>
    <w:rsid w:val="00704682"/>
    <w:rsid w:val="00704907"/>
    <w:rsid w:val="00704DA5"/>
    <w:rsid w:val="00705454"/>
    <w:rsid w:val="0070551A"/>
    <w:rsid w:val="0070565F"/>
    <w:rsid w:val="007057B7"/>
    <w:rsid w:val="00705836"/>
    <w:rsid w:val="00705BFE"/>
    <w:rsid w:val="00705C3D"/>
    <w:rsid w:val="00705D3E"/>
    <w:rsid w:val="00705D94"/>
    <w:rsid w:val="00705F25"/>
    <w:rsid w:val="00705F8A"/>
    <w:rsid w:val="0070606F"/>
    <w:rsid w:val="0070623D"/>
    <w:rsid w:val="00706616"/>
    <w:rsid w:val="00706748"/>
    <w:rsid w:val="00706854"/>
    <w:rsid w:val="007069A3"/>
    <w:rsid w:val="00706A21"/>
    <w:rsid w:val="00706A6B"/>
    <w:rsid w:val="00706ACD"/>
    <w:rsid w:val="00706B0D"/>
    <w:rsid w:val="00706BFB"/>
    <w:rsid w:val="00706F4C"/>
    <w:rsid w:val="00707149"/>
    <w:rsid w:val="007074AF"/>
    <w:rsid w:val="007079E1"/>
    <w:rsid w:val="00707A02"/>
    <w:rsid w:val="00707A7B"/>
    <w:rsid w:val="00707A94"/>
    <w:rsid w:val="00707D68"/>
    <w:rsid w:val="00707F70"/>
    <w:rsid w:val="00707FD4"/>
    <w:rsid w:val="007100F4"/>
    <w:rsid w:val="0071012F"/>
    <w:rsid w:val="007104A0"/>
    <w:rsid w:val="0071063D"/>
    <w:rsid w:val="007106E3"/>
    <w:rsid w:val="007107CB"/>
    <w:rsid w:val="007109D7"/>
    <w:rsid w:val="00710C32"/>
    <w:rsid w:val="00710F93"/>
    <w:rsid w:val="007112DE"/>
    <w:rsid w:val="007113F0"/>
    <w:rsid w:val="00711414"/>
    <w:rsid w:val="0071154E"/>
    <w:rsid w:val="00711876"/>
    <w:rsid w:val="00711AB3"/>
    <w:rsid w:val="00711F4A"/>
    <w:rsid w:val="00712016"/>
    <w:rsid w:val="00712539"/>
    <w:rsid w:val="00712765"/>
    <w:rsid w:val="0071279C"/>
    <w:rsid w:val="00712957"/>
    <w:rsid w:val="00712BC2"/>
    <w:rsid w:val="00712BE4"/>
    <w:rsid w:val="00712C53"/>
    <w:rsid w:val="00712D38"/>
    <w:rsid w:val="00712E3E"/>
    <w:rsid w:val="00712F27"/>
    <w:rsid w:val="00712F63"/>
    <w:rsid w:val="00713111"/>
    <w:rsid w:val="007131FF"/>
    <w:rsid w:val="00713325"/>
    <w:rsid w:val="00713569"/>
    <w:rsid w:val="0071394C"/>
    <w:rsid w:val="00713B6B"/>
    <w:rsid w:val="00713D9A"/>
    <w:rsid w:val="007143D3"/>
    <w:rsid w:val="00714612"/>
    <w:rsid w:val="0071463A"/>
    <w:rsid w:val="007148CE"/>
    <w:rsid w:val="00714999"/>
    <w:rsid w:val="007149BA"/>
    <w:rsid w:val="00714E1D"/>
    <w:rsid w:val="007150E2"/>
    <w:rsid w:val="0071538B"/>
    <w:rsid w:val="007153A4"/>
    <w:rsid w:val="0071541C"/>
    <w:rsid w:val="00715459"/>
    <w:rsid w:val="0071546E"/>
    <w:rsid w:val="00715713"/>
    <w:rsid w:val="00715893"/>
    <w:rsid w:val="007158F0"/>
    <w:rsid w:val="00715938"/>
    <w:rsid w:val="00715976"/>
    <w:rsid w:val="00715B9E"/>
    <w:rsid w:val="00715BF1"/>
    <w:rsid w:val="00715FB0"/>
    <w:rsid w:val="00715FE4"/>
    <w:rsid w:val="00716382"/>
    <w:rsid w:val="00716439"/>
    <w:rsid w:val="007164F0"/>
    <w:rsid w:val="00716E3C"/>
    <w:rsid w:val="00717114"/>
    <w:rsid w:val="0071718C"/>
    <w:rsid w:val="00717395"/>
    <w:rsid w:val="0071771D"/>
    <w:rsid w:val="00717C45"/>
    <w:rsid w:val="00717F21"/>
    <w:rsid w:val="0072012B"/>
    <w:rsid w:val="0072014D"/>
    <w:rsid w:val="0072074B"/>
    <w:rsid w:val="00720AAA"/>
    <w:rsid w:val="00720C63"/>
    <w:rsid w:val="00720DDB"/>
    <w:rsid w:val="00720FBF"/>
    <w:rsid w:val="007210BC"/>
    <w:rsid w:val="00721330"/>
    <w:rsid w:val="00721561"/>
    <w:rsid w:val="0072161A"/>
    <w:rsid w:val="00721680"/>
    <w:rsid w:val="007219B8"/>
    <w:rsid w:val="00721C67"/>
    <w:rsid w:val="00721DD7"/>
    <w:rsid w:val="00721E61"/>
    <w:rsid w:val="007227D2"/>
    <w:rsid w:val="007228C9"/>
    <w:rsid w:val="007228FB"/>
    <w:rsid w:val="00722B2E"/>
    <w:rsid w:val="00722BE8"/>
    <w:rsid w:val="00722D7E"/>
    <w:rsid w:val="0072308D"/>
    <w:rsid w:val="007230A3"/>
    <w:rsid w:val="00723347"/>
    <w:rsid w:val="00723368"/>
    <w:rsid w:val="007234F5"/>
    <w:rsid w:val="007238E2"/>
    <w:rsid w:val="00723D3A"/>
    <w:rsid w:val="00723E85"/>
    <w:rsid w:val="0072421A"/>
    <w:rsid w:val="00724227"/>
    <w:rsid w:val="00724BC1"/>
    <w:rsid w:val="00724C2D"/>
    <w:rsid w:val="00724E73"/>
    <w:rsid w:val="00724ED2"/>
    <w:rsid w:val="00724F98"/>
    <w:rsid w:val="0072508F"/>
    <w:rsid w:val="0072533D"/>
    <w:rsid w:val="0072547E"/>
    <w:rsid w:val="0072551E"/>
    <w:rsid w:val="007255FE"/>
    <w:rsid w:val="007256EE"/>
    <w:rsid w:val="00725789"/>
    <w:rsid w:val="007257A6"/>
    <w:rsid w:val="007257DE"/>
    <w:rsid w:val="0072581D"/>
    <w:rsid w:val="0072587F"/>
    <w:rsid w:val="00725EEC"/>
    <w:rsid w:val="00726134"/>
    <w:rsid w:val="007261E6"/>
    <w:rsid w:val="007261EE"/>
    <w:rsid w:val="0072639E"/>
    <w:rsid w:val="007265A2"/>
    <w:rsid w:val="00726639"/>
    <w:rsid w:val="00726721"/>
    <w:rsid w:val="00726936"/>
    <w:rsid w:val="007269F2"/>
    <w:rsid w:val="00726AB6"/>
    <w:rsid w:val="00726AC5"/>
    <w:rsid w:val="00726C50"/>
    <w:rsid w:val="0072730E"/>
    <w:rsid w:val="00727481"/>
    <w:rsid w:val="00727663"/>
    <w:rsid w:val="007277CD"/>
    <w:rsid w:val="00727B02"/>
    <w:rsid w:val="00727D05"/>
    <w:rsid w:val="00730035"/>
    <w:rsid w:val="00730050"/>
    <w:rsid w:val="0073032A"/>
    <w:rsid w:val="00730388"/>
    <w:rsid w:val="007303EF"/>
    <w:rsid w:val="0073044F"/>
    <w:rsid w:val="00730506"/>
    <w:rsid w:val="00730524"/>
    <w:rsid w:val="007305BC"/>
    <w:rsid w:val="00730687"/>
    <w:rsid w:val="007309BE"/>
    <w:rsid w:val="007309D2"/>
    <w:rsid w:val="00730B4E"/>
    <w:rsid w:val="00730C0C"/>
    <w:rsid w:val="00730C41"/>
    <w:rsid w:val="007311E2"/>
    <w:rsid w:val="0073148F"/>
    <w:rsid w:val="00731500"/>
    <w:rsid w:val="00731505"/>
    <w:rsid w:val="0073184D"/>
    <w:rsid w:val="00731B45"/>
    <w:rsid w:val="00731F33"/>
    <w:rsid w:val="00732176"/>
    <w:rsid w:val="007321D8"/>
    <w:rsid w:val="00732731"/>
    <w:rsid w:val="00732A65"/>
    <w:rsid w:val="00732D23"/>
    <w:rsid w:val="00732E5B"/>
    <w:rsid w:val="00733173"/>
    <w:rsid w:val="00733477"/>
    <w:rsid w:val="00733586"/>
    <w:rsid w:val="007336B5"/>
    <w:rsid w:val="00733ABE"/>
    <w:rsid w:val="00733D41"/>
    <w:rsid w:val="00733DB5"/>
    <w:rsid w:val="00733DCC"/>
    <w:rsid w:val="00733DCE"/>
    <w:rsid w:val="0073404A"/>
    <w:rsid w:val="0073418C"/>
    <w:rsid w:val="007344C7"/>
    <w:rsid w:val="00734507"/>
    <w:rsid w:val="007345D4"/>
    <w:rsid w:val="0073475C"/>
    <w:rsid w:val="007349AA"/>
    <w:rsid w:val="00734A3F"/>
    <w:rsid w:val="00734CF4"/>
    <w:rsid w:val="00734D5D"/>
    <w:rsid w:val="00734EA8"/>
    <w:rsid w:val="007351CF"/>
    <w:rsid w:val="00735276"/>
    <w:rsid w:val="007355BD"/>
    <w:rsid w:val="007355F9"/>
    <w:rsid w:val="00735969"/>
    <w:rsid w:val="007359FE"/>
    <w:rsid w:val="007361C3"/>
    <w:rsid w:val="00736297"/>
    <w:rsid w:val="00736604"/>
    <w:rsid w:val="00736956"/>
    <w:rsid w:val="00736AE2"/>
    <w:rsid w:val="00736FCF"/>
    <w:rsid w:val="007370D3"/>
    <w:rsid w:val="007371B6"/>
    <w:rsid w:val="00737A2D"/>
    <w:rsid w:val="00737ACE"/>
    <w:rsid w:val="00737B63"/>
    <w:rsid w:val="00737C3C"/>
    <w:rsid w:val="00737D86"/>
    <w:rsid w:val="007400DB"/>
    <w:rsid w:val="00740238"/>
    <w:rsid w:val="00740417"/>
    <w:rsid w:val="00740449"/>
    <w:rsid w:val="0074063D"/>
    <w:rsid w:val="00740A83"/>
    <w:rsid w:val="00740CA1"/>
    <w:rsid w:val="00740F0F"/>
    <w:rsid w:val="007412D2"/>
    <w:rsid w:val="00741891"/>
    <w:rsid w:val="007418F2"/>
    <w:rsid w:val="00741A3B"/>
    <w:rsid w:val="00741B0F"/>
    <w:rsid w:val="00741B64"/>
    <w:rsid w:val="00741C1B"/>
    <w:rsid w:val="00741F7D"/>
    <w:rsid w:val="00741F8F"/>
    <w:rsid w:val="00742327"/>
    <w:rsid w:val="0074232D"/>
    <w:rsid w:val="0074233B"/>
    <w:rsid w:val="00742950"/>
    <w:rsid w:val="00742F45"/>
    <w:rsid w:val="00743048"/>
    <w:rsid w:val="007430C0"/>
    <w:rsid w:val="0074327F"/>
    <w:rsid w:val="00743517"/>
    <w:rsid w:val="007438E7"/>
    <w:rsid w:val="007438F3"/>
    <w:rsid w:val="00743901"/>
    <w:rsid w:val="00743B10"/>
    <w:rsid w:val="00743EFC"/>
    <w:rsid w:val="00743F4B"/>
    <w:rsid w:val="007440B7"/>
    <w:rsid w:val="0074426A"/>
    <w:rsid w:val="0074460B"/>
    <w:rsid w:val="00744695"/>
    <w:rsid w:val="0074483D"/>
    <w:rsid w:val="0074496B"/>
    <w:rsid w:val="00744A32"/>
    <w:rsid w:val="00744B41"/>
    <w:rsid w:val="00744D55"/>
    <w:rsid w:val="00744E18"/>
    <w:rsid w:val="00744F43"/>
    <w:rsid w:val="0074534D"/>
    <w:rsid w:val="007455F1"/>
    <w:rsid w:val="0074562F"/>
    <w:rsid w:val="0074573E"/>
    <w:rsid w:val="007457D5"/>
    <w:rsid w:val="007457E8"/>
    <w:rsid w:val="007458E6"/>
    <w:rsid w:val="00745949"/>
    <w:rsid w:val="00745A3D"/>
    <w:rsid w:val="00745A6F"/>
    <w:rsid w:val="00745EEB"/>
    <w:rsid w:val="00745FB1"/>
    <w:rsid w:val="00746301"/>
    <w:rsid w:val="0074646B"/>
    <w:rsid w:val="00746511"/>
    <w:rsid w:val="00746518"/>
    <w:rsid w:val="00746829"/>
    <w:rsid w:val="00746966"/>
    <w:rsid w:val="00746A17"/>
    <w:rsid w:val="00746C1C"/>
    <w:rsid w:val="00746EA1"/>
    <w:rsid w:val="0074730A"/>
    <w:rsid w:val="0074732F"/>
    <w:rsid w:val="00747450"/>
    <w:rsid w:val="00747BC1"/>
    <w:rsid w:val="0075027B"/>
    <w:rsid w:val="007507C7"/>
    <w:rsid w:val="007508B4"/>
    <w:rsid w:val="007509B1"/>
    <w:rsid w:val="007509F2"/>
    <w:rsid w:val="00750A67"/>
    <w:rsid w:val="00750A7F"/>
    <w:rsid w:val="00750D2F"/>
    <w:rsid w:val="007510F2"/>
    <w:rsid w:val="00751120"/>
    <w:rsid w:val="0075129C"/>
    <w:rsid w:val="0075161B"/>
    <w:rsid w:val="00751817"/>
    <w:rsid w:val="00751A9C"/>
    <w:rsid w:val="00751AC2"/>
    <w:rsid w:val="00751CAA"/>
    <w:rsid w:val="00751FD2"/>
    <w:rsid w:val="00752011"/>
    <w:rsid w:val="007523EF"/>
    <w:rsid w:val="00752544"/>
    <w:rsid w:val="007525DE"/>
    <w:rsid w:val="0075300D"/>
    <w:rsid w:val="00753096"/>
    <w:rsid w:val="00753316"/>
    <w:rsid w:val="007533FA"/>
    <w:rsid w:val="00753955"/>
    <w:rsid w:val="007539A8"/>
    <w:rsid w:val="00753B29"/>
    <w:rsid w:val="00753B58"/>
    <w:rsid w:val="00754020"/>
    <w:rsid w:val="00754102"/>
    <w:rsid w:val="00754135"/>
    <w:rsid w:val="007543A5"/>
    <w:rsid w:val="00754474"/>
    <w:rsid w:val="007545CD"/>
    <w:rsid w:val="0075463B"/>
    <w:rsid w:val="00754739"/>
    <w:rsid w:val="00754784"/>
    <w:rsid w:val="00754E55"/>
    <w:rsid w:val="0075510C"/>
    <w:rsid w:val="00755185"/>
    <w:rsid w:val="0075541A"/>
    <w:rsid w:val="00755644"/>
    <w:rsid w:val="00755794"/>
    <w:rsid w:val="007557CC"/>
    <w:rsid w:val="00755995"/>
    <w:rsid w:val="00755A08"/>
    <w:rsid w:val="00755ADD"/>
    <w:rsid w:val="00755D47"/>
    <w:rsid w:val="00755D5B"/>
    <w:rsid w:val="00755D82"/>
    <w:rsid w:val="0075619B"/>
    <w:rsid w:val="00756203"/>
    <w:rsid w:val="0075643F"/>
    <w:rsid w:val="007564C8"/>
    <w:rsid w:val="0075657C"/>
    <w:rsid w:val="00756588"/>
    <w:rsid w:val="0075658D"/>
    <w:rsid w:val="007569B4"/>
    <w:rsid w:val="00756D77"/>
    <w:rsid w:val="00756EAD"/>
    <w:rsid w:val="00756EB5"/>
    <w:rsid w:val="00756EF1"/>
    <w:rsid w:val="00757359"/>
    <w:rsid w:val="007573AC"/>
    <w:rsid w:val="007576DD"/>
    <w:rsid w:val="007578C9"/>
    <w:rsid w:val="0075790C"/>
    <w:rsid w:val="007579BE"/>
    <w:rsid w:val="00757A09"/>
    <w:rsid w:val="00757A50"/>
    <w:rsid w:val="00757AEB"/>
    <w:rsid w:val="00757B62"/>
    <w:rsid w:val="00757D2B"/>
    <w:rsid w:val="00757E67"/>
    <w:rsid w:val="00757FF3"/>
    <w:rsid w:val="007600B2"/>
    <w:rsid w:val="0076019A"/>
    <w:rsid w:val="00760472"/>
    <w:rsid w:val="007606F9"/>
    <w:rsid w:val="007609B2"/>
    <w:rsid w:val="00760A80"/>
    <w:rsid w:val="00760AF5"/>
    <w:rsid w:val="00760E0C"/>
    <w:rsid w:val="00760E3B"/>
    <w:rsid w:val="00760E92"/>
    <w:rsid w:val="00760EFC"/>
    <w:rsid w:val="0076106E"/>
    <w:rsid w:val="00761336"/>
    <w:rsid w:val="007614AC"/>
    <w:rsid w:val="0076151B"/>
    <w:rsid w:val="00761855"/>
    <w:rsid w:val="007619C4"/>
    <w:rsid w:val="00761ACB"/>
    <w:rsid w:val="00761DD7"/>
    <w:rsid w:val="00761DFB"/>
    <w:rsid w:val="00762025"/>
    <w:rsid w:val="007621B9"/>
    <w:rsid w:val="007624D0"/>
    <w:rsid w:val="0076257E"/>
    <w:rsid w:val="00762639"/>
    <w:rsid w:val="00762695"/>
    <w:rsid w:val="007626D6"/>
    <w:rsid w:val="00762877"/>
    <w:rsid w:val="0076304A"/>
    <w:rsid w:val="00763326"/>
    <w:rsid w:val="00763403"/>
    <w:rsid w:val="00763552"/>
    <w:rsid w:val="007637CD"/>
    <w:rsid w:val="007638DC"/>
    <w:rsid w:val="0076393E"/>
    <w:rsid w:val="00763BA1"/>
    <w:rsid w:val="00763BD6"/>
    <w:rsid w:val="0076419A"/>
    <w:rsid w:val="007641CB"/>
    <w:rsid w:val="007642E8"/>
    <w:rsid w:val="007643FA"/>
    <w:rsid w:val="00764610"/>
    <w:rsid w:val="0076475D"/>
    <w:rsid w:val="00764883"/>
    <w:rsid w:val="00764908"/>
    <w:rsid w:val="00764E05"/>
    <w:rsid w:val="00765061"/>
    <w:rsid w:val="00765407"/>
    <w:rsid w:val="007654AC"/>
    <w:rsid w:val="00765683"/>
    <w:rsid w:val="00765720"/>
    <w:rsid w:val="007659E9"/>
    <w:rsid w:val="00765A4E"/>
    <w:rsid w:val="00765ACB"/>
    <w:rsid w:val="00765D89"/>
    <w:rsid w:val="007661C4"/>
    <w:rsid w:val="00766345"/>
    <w:rsid w:val="00766474"/>
    <w:rsid w:val="0076656A"/>
    <w:rsid w:val="007665EC"/>
    <w:rsid w:val="007666A9"/>
    <w:rsid w:val="0076692B"/>
    <w:rsid w:val="007669A0"/>
    <w:rsid w:val="00766A58"/>
    <w:rsid w:val="00766C66"/>
    <w:rsid w:val="00766D4A"/>
    <w:rsid w:val="00766D9D"/>
    <w:rsid w:val="007670FC"/>
    <w:rsid w:val="00767233"/>
    <w:rsid w:val="00767A23"/>
    <w:rsid w:val="00767D76"/>
    <w:rsid w:val="00770265"/>
    <w:rsid w:val="007702A7"/>
    <w:rsid w:val="00770556"/>
    <w:rsid w:val="00770809"/>
    <w:rsid w:val="007708D4"/>
    <w:rsid w:val="00770A9F"/>
    <w:rsid w:val="00770C10"/>
    <w:rsid w:val="00770FB2"/>
    <w:rsid w:val="0077129A"/>
    <w:rsid w:val="007714D1"/>
    <w:rsid w:val="0077170F"/>
    <w:rsid w:val="00771763"/>
    <w:rsid w:val="00771AC4"/>
    <w:rsid w:val="00771FB5"/>
    <w:rsid w:val="00772097"/>
    <w:rsid w:val="0077244E"/>
    <w:rsid w:val="007724EC"/>
    <w:rsid w:val="00772612"/>
    <w:rsid w:val="007726CF"/>
    <w:rsid w:val="007728F7"/>
    <w:rsid w:val="00772C0A"/>
    <w:rsid w:val="00772E6D"/>
    <w:rsid w:val="00772EF1"/>
    <w:rsid w:val="00773116"/>
    <w:rsid w:val="00773333"/>
    <w:rsid w:val="00773361"/>
    <w:rsid w:val="00773503"/>
    <w:rsid w:val="007735F0"/>
    <w:rsid w:val="007737FD"/>
    <w:rsid w:val="0077392A"/>
    <w:rsid w:val="00773D1B"/>
    <w:rsid w:val="00773DA6"/>
    <w:rsid w:val="00773DEF"/>
    <w:rsid w:val="0077410F"/>
    <w:rsid w:val="00774202"/>
    <w:rsid w:val="007743A1"/>
    <w:rsid w:val="00774493"/>
    <w:rsid w:val="007744DB"/>
    <w:rsid w:val="007749E5"/>
    <w:rsid w:val="00774C17"/>
    <w:rsid w:val="00774D80"/>
    <w:rsid w:val="00774DC5"/>
    <w:rsid w:val="00774E2E"/>
    <w:rsid w:val="00774F0C"/>
    <w:rsid w:val="00774F3C"/>
    <w:rsid w:val="00774F9E"/>
    <w:rsid w:val="00775298"/>
    <w:rsid w:val="00775337"/>
    <w:rsid w:val="00775561"/>
    <w:rsid w:val="00775596"/>
    <w:rsid w:val="007755FE"/>
    <w:rsid w:val="00775613"/>
    <w:rsid w:val="0077564B"/>
    <w:rsid w:val="007756D6"/>
    <w:rsid w:val="00775980"/>
    <w:rsid w:val="00775A4E"/>
    <w:rsid w:val="00775E28"/>
    <w:rsid w:val="00775E50"/>
    <w:rsid w:val="00775EEE"/>
    <w:rsid w:val="0077602C"/>
    <w:rsid w:val="0077616B"/>
    <w:rsid w:val="00776414"/>
    <w:rsid w:val="00776557"/>
    <w:rsid w:val="0077678A"/>
    <w:rsid w:val="007767DF"/>
    <w:rsid w:val="00776B33"/>
    <w:rsid w:val="00776F8F"/>
    <w:rsid w:val="00777258"/>
    <w:rsid w:val="0077737A"/>
    <w:rsid w:val="007774FB"/>
    <w:rsid w:val="007775A1"/>
    <w:rsid w:val="00777720"/>
    <w:rsid w:val="00777A9B"/>
    <w:rsid w:val="00777B95"/>
    <w:rsid w:val="00777CA5"/>
    <w:rsid w:val="00780092"/>
    <w:rsid w:val="007801E6"/>
    <w:rsid w:val="0078041F"/>
    <w:rsid w:val="00780603"/>
    <w:rsid w:val="00780780"/>
    <w:rsid w:val="007809DC"/>
    <w:rsid w:val="00780C7C"/>
    <w:rsid w:val="00780F26"/>
    <w:rsid w:val="007819EB"/>
    <w:rsid w:val="00782061"/>
    <w:rsid w:val="00782081"/>
    <w:rsid w:val="007820AE"/>
    <w:rsid w:val="00782109"/>
    <w:rsid w:val="00782470"/>
    <w:rsid w:val="007825FD"/>
    <w:rsid w:val="007827B2"/>
    <w:rsid w:val="00782A28"/>
    <w:rsid w:val="00782A9C"/>
    <w:rsid w:val="00782B31"/>
    <w:rsid w:val="00782CDD"/>
    <w:rsid w:val="00782D0E"/>
    <w:rsid w:val="00782E5C"/>
    <w:rsid w:val="00782E5D"/>
    <w:rsid w:val="00783139"/>
    <w:rsid w:val="007831EE"/>
    <w:rsid w:val="00783248"/>
    <w:rsid w:val="007832D4"/>
    <w:rsid w:val="007836BA"/>
    <w:rsid w:val="0078376E"/>
    <w:rsid w:val="007837DB"/>
    <w:rsid w:val="00783C62"/>
    <w:rsid w:val="00783C7F"/>
    <w:rsid w:val="00783D79"/>
    <w:rsid w:val="00783F51"/>
    <w:rsid w:val="00784041"/>
    <w:rsid w:val="00784162"/>
    <w:rsid w:val="007842CF"/>
    <w:rsid w:val="007843AB"/>
    <w:rsid w:val="00784446"/>
    <w:rsid w:val="007844C8"/>
    <w:rsid w:val="00784698"/>
    <w:rsid w:val="007849A4"/>
    <w:rsid w:val="00784A58"/>
    <w:rsid w:val="00784B8D"/>
    <w:rsid w:val="00784C99"/>
    <w:rsid w:val="00784DA3"/>
    <w:rsid w:val="0078506D"/>
    <w:rsid w:val="007850DD"/>
    <w:rsid w:val="0078510D"/>
    <w:rsid w:val="00785289"/>
    <w:rsid w:val="00785589"/>
    <w:rsid w:val="00785680"/>
    <w:rsid w:val="00785739"/>
    <w:rsid w:val="00785BAF"/>
    <w:rsid w:val="00785D23"/>
    <w:rsid w:val="00785EF5"/>
    <w:rsid w:val="00786020"/>
    <w:rsid w:val="007861B2"/>
    <w:rsid w:val="007867DE"/>
    <w:rsid w:val="007868BC"/>
    <w:rsid w:val="00786C8D"/>
    <w:rsid w:val="00787330"/>
    <w:rsid w:val="00787467"/>
    <w:rsid w:val="00787490"/>
    <w:rsid w:val="007877C5"/>
    <w:rsid w:val="00787AEA"/>
    <w:rsid w:val="00787C47"/>
    <w:rsid w:val="00787DA1"/>
    <w:rsid w:val="00787F2D"/>
    <w:rsid w:val="00787F8E"/>
    <w:rsid w:val="00790019"/>
    <w:rsid w:val="00790263"/>
    <w:rsid w:val="00790484"/>
    <w:rsid w:val="007905C1"/>
    <w:rsid w:val="007906CB"/>
    <w:rsid w:val="00790B6B"/>
    <w:rsid w:val="00790C98"/>
    <w:rsid w:val="00791263"/>
    <w:rsid w:val="007912D0"/>
    <w:rsid w:val="007913D0"/>
    <w:rsid w:val="0079145A"/>
    <w:rsid w:val="0079147C"/>
    <w:rsid w:val="00791920"/>
    <w:rsid w:val="00791C82"/>
    <w:rsid w:val="00791DE9"/>
    <w:rsid w:val="00792235"/>
    <w:rsid w:val="007925A0"/>
    <w:rsid w:val="0079268F"/>
    <w:rsid w:val="00792706"/>
    <w:rsid w:val="007927D8"/>
    <w:rsid w:val="00792848"/>
    <w:rsid w:val="007929F8"/>
    <w:rsid w:val="00792ACB"/>
    <w:rsid w:val="00792AFE"/>
    <w:rsid w:val="00792B4A"/>
    <w:rsid w:val="00792C5F"/>
    <w:rsid w:val="00792C6A"/>
    <w:rsid w:val="00792CD1"/>
    <w:rsid w:val="0079329D"/>
    <w:rsid w:val="00793382"/>
    <w:rsid w:val="007937E7"/>
    <w:rsid w:val="007939A0"/>
    <w:rsid w:val="00793A0A"/>
    <w:rsid w:val="00793AFB"/>
    <w:rsid w:val="00793FF4"/>
    <w:rsid w:val="007942F0"/>
    <w:rsid w:val="007943B1"/>
    <w:rsid w:val="007947F0"/>
    <w:rsid w:val="007947FC"/>
    <w:rsid w:val="00794B41"/>
    <w:rsid w:val="00794D44"/>
    <w:rsid w:val="00795040"/>
    <w:rsid w:val="00795257"/>
    <w:rsid w:val="00795837"/>
    <w:rsid w:val="00795C0D"/>
    <w:rsid w:val="00795C82"/>
    <w:rsid w:val="007966AC"/>
    <w:rsid w:val="00796807"/>
    <w:rsid w:val="00796CBD"/>
    <w:rsid w:val="00796EE1"/>
    <w:rsid w:val="0079736C"/>
    <w:rsid w:val="0079743C"/>
    <w:rsid w:val="007975CC"/>
    <w:rsid w:val="0079766D"/>
    <w:rsid w:val="00797707"/>
    <w:rsid w:val="00797ABB"/>
    <w:rsid w:val="00797CBF"/>
    <w:rsid w:val="00797E47"/>
    <w:rsid w:val="007A04D5"/>
    <w:rsid w:val="007A0554"/>
    <w:rsid w:val="007A0555"/>
    <w:rsid w:val="007A0935"/>
    <w:rsid w:val="007A0A82"/>
    <w:rsid w:val="007A0B78"/>
    <w:rsid w:val="007A0FF3"/>
    <w:rsid w:val="007A10C2"/>
    <w:rsid w:val="007A1362"/>
    <w:rsid w:val="007A1388"/>
    <w:rsid w:val="007A13FA"/>
    <w:rsid w:val="007A19D3"/>
    <w:rsid w:val="007A1B45"/>
    <w:rsid w:val="007A1E9C"/>
    <w:rsid w:val="007A1F67"/>
    <w:rsid w:val="007A22FD"/>
    <w:rsid w:val="007A2435"/>
    <w:rsid w:val="007A26B8"/>
    <w:rsid w:val="007A2782"/>
    <w:rsid w:val="007A2B7A"/>
    <w:rsid w:val="007A2F31"/>
    <w:rsid w:val="007A2F92"/>
    <w:rsid w:val="007A3013"/>
    <w:rsid w:val="007A312D"/>
    <w:rsid w:val="007A358D"/>
    <w:rsid w:val="007A3591"/>
    <w:rsid w:val="007A3624"/>
    <w:rsid w:val="007A3765"/>
    <w:rsid w:val="007A41BF"/>
    <w:rsid w:val="007A43B2"/>
    <w:rsid w:val="007A43DB"/>
    <w:rsid w:val="007A44D7"/>
    <w:rsid w:val="007A471E"/>
    <w:rsid w:val="007A475A"/>
    <w:rsid w:val="007A49EC"/>
    <w:rsid w:val="007A4C8D"/>
    <w:rsid w:val="007A4C98"/>
    <w:rsid w:val="007A4D5E"/>
    <w:rsid w:val="007A4D6F"/>
    <w:rsid w:val="007A4E35"/>
    <w:rsid w:val="007A4E5B"/>
    <w:rsid w:val="007A4F2D"/>
    <w:rsid w:val="007A4F84"/>
    <w:rsid w:val="007A5092"/>
    <w:rsid w:val="007A5287"/>
    <w:rsid w:val="007A52AF"/>
    <w:rsid w:val="007A5CC3"/>
    <w:rsid w:val="007A5D57"/>
    <w:rsid w:val="007A5D9B"/>
    <w:rsid w:val="007A668D"/>
    <w:rsid w:val="007A6700"/>
    <w:rsid w:val="007A6757"/>
    <w:rsid w:val="007A6A09"/>
    <w:rsid w:val="007A6A57"/>
    <w:rsid w:val="007A6CCB"/>
    <w:rsid w:val="007A70FC"/>
    <w:rsid w:val="007A7129"/>
    <w:rsid w:val="007A7439"/>
    <w:rsid w:val="007A7999"/>
    <w:rsid w:val="007A7EE2"/>
    <w:rsid w:val="007A7F06"/>
    <w:rsid w:val="007B0201"/>
    <w:rsid w:val="007B042D"/>
    <w:rsid w:val="007B0591"/>
    <w:rsid w:val="007B0811"/>
    <w:rsid w:val="007B0B1C"/>
    <w:rsid w:val="007B0B6D"/>
    <w:rsid w:val="007B0BF6"/>
    <w:rsid w:val="007B0EB9"/>
    <w:rsid w:val="007B0F37"/>
    <w:rsid w:val="007B15F3"/>
    <w:rsid w:val="007B17D7"/>
    <w:rsid w:val="007B1E47"/>
    <w:rsid w:val="007B1F6F"/>
    <w:rsid w:val="007B20AC"/>
    <w:rsid w:val="007B23A3"/>
    <w:rsid w:val="007B273D"/>
    <w:rsid w:val="007B29CD"/>
    <w:rsid w:val="007B29E9"/>
    <w:rsid w:val="007B2C32"/>
    <w:rsid w:val="007B2CEE"/>
    <w:rsid w:val="007B2DB7"/>
    <w:rsid w:val="007B2EB0"/>
    <w:rsid w:val="007B2F87"/>
    <w:rsid w:val="007B31BA"/>
    <w:rsid w:val="007B31F9"/>
    <w:rsid w:val="007B37FD"/>
    <w:rsid w:val="007B3863"/>
    <w:rsid w:val="007B38AA"/>
    <w:rsid w:val="007B3B0C"/>
    <w:rsid w:val="007B3B3C"/>
    <w:rsid w:val="007B3B9E"/>
    <w:rsid w:val="007B3DD5"/>
    <w:rsid w:val="007B3E43"/>
    <w:rsid w:val="007B40E0"/>
    <w:rsid w:val="007B423D"/>
    <w:rsid w:val="007B431F"/>
    <w:rsid w:val="007B4329"/>
    <w:rsid w:val="007B4343"/>
    <w:rsid w:val="007B4686"/>
    <w:rsid w:val="007B46F0"/>
    <w:rsid w:val="007B48BD"/>
    <w:rsid w:val="007B4B16"/>
    <w:rsid w:val="007B4B4F"/>
    <w:rsid w:val="007B4B61"/>
    <w:rsid w:val="007B4F87"/>
    <w:rsid w:val="007B5021"/>
    <w:rsid w:val="007B50A7"/>
    <w:rsid w:val="007B51EA"/>
    <w:rsid w:val="007B537E"/>
    <w:rsid w:val="007B5BC0"/>
    <w:rsid w:val="007B5C60"/>
    <w:rsid w:val="007B62C3"/>
    <w:rsid w:val="007B6338"/>
    <w:rsid w:val="007B6365"/>
    <w:rsid w:val="007B649B"/>
    <w:rsid w:val="007B6750"/>
    <w:rsid w:val="007B675E"/>
    <w:rsid w:val="007B6804"/>
    <w:rsid w:val="007B6B3E"/>
    <w:rsid w:val="007B6EC7"/>
    <w:rsid w:val="007B71BA"/>
    <w:rsid w:val="007B7319"/>
    <w:rsid w:val="007B7357"/>
    <w:rsid w:val="007B74CA"/>
    <w:rsid w:val="007B753F"/>
    <w:rsid w:val="007B7690"/>
    <w:rsid w:val="007B7821"/>
    <w:rsid w:val="007B790A"/>
    <w:rsid w:val="007B7A81"/>
    <w:rsid w:val="007B7B1F"/>
    <w:rsid w:val="007B7B5F"/>
    <w:rsid w:val="007B7D37"/>
    <w:rsid w:val="007B7D84"/>
    <w:rsid w:val="007B7E30"/>
    <w:rsid w:val="007C0006"/>
    <w:rsid w:val="007C0528"/>
    <w:rsid w:val="007C05F0"/>
    <w:rsid w:val="007C0768"/>
    <w:rsid w:val="007C078B"/>
    <w:rsid w:val="007C0999"/>
    <w:rsid w:val="007C0D4E"/>
    <w:rsid w:val="007C0DDF"/>
    <w:rsid w:val="007C0E2E"/>
    <w:rsid w:val="007C0EB9"/>
    <w:rsid w:val="007C10BC"/>
    <w:rsid w:val="007C1181"/>
    <w:rsid w:val="007C136D"/>
    <w:rsid w:val="007C165B"/>
    <w:rsid w:val="007C1BF0"/>
    <w:rsid w:val="007C1BFB"/>
    <w:rsid w:val="007C1DE8"/>
    <w:rsid w:val="007C1DEA"/>
    <w:rsid w:val="007C1EAA"/>
    <w:rsid w:val="007C1EFC"/>
    <w:rsid w:val="007C205E"/>
    <w:rsid w:val="007C20C5"/>
    <w:rsid w:val="007C2123"/>
    <w:rsid w:val="007C215D"/>
    <w:rsid w:val="007C22E7"/>
    <w:rsid w:val="007C2382"/>
    <w:rsid w:val="007C23C1"/>
    <w:rsid w:val="007C23E8"/>
    <w:rsid w:val="007C2436"/>
    <w:rsid w:val="007C2500"/>
    <w:rsid w:val="007C25B3"/>
    <w:rsid w:val="007C26AC"/>
    <w:rsid w:val="007C275A"/>
    <w:rsid w:val="007C278E"/>
    <w:rsid w:val="007C281D"/>
    <w:rsid w:val="007C2A8F"/>
    <w:rsid w:val="007C2CB3"/>
    <w:rsid w:val="007C2F0D"/>
    <w:rsid w:val="007C30EF"/>
    <w:rsid w:val="007C3245"/>
    <w:rsid w:val="007C3273"/>
    <w:rsid w:val="007C335A"/>
    <w:rsid w:val="007C394D"/>
    <w:rsid w:val="007C39A2"/>
    <w:rsid w:val="007C3A89"/>
    <w:rsid w:val="007C3CE3"/>
    <w:rsid w:val="007C3D7B"/>
    <w:rsid w:val="007C449C"/>
    <w:rsid w:val="007C4773"/>
    <w:rsid w:val="007C47D2"/>
    <w:rsid w:val="007C4AC0"/>
    <w:rsid w:val="007C5030"/>
    <w:rsid w:val="007C5159"/>
    <w:rsid w:val="007C5163"/>
    <w:rsid w:val="007C5215"/>
    <w:rsid w:val="007C5285"/>
    <w:rsid w:val="007C53C5"/>
    <w:rsid w:val="007C56E5"/>
    <w:rsid w:val="007C57A8"/>
    <w:rsid w:val="007C57A9"/>
    <w:rsid w:val="007C584F"/>
    <w:rsid w:val="007C5863"/>
    <w:rsid w:val="007C59B2"/>
    <w:rsid w:val="007C5F05"/>
    <w:rsid w:val="007C5F69"/>
    <w:rsid w:val="007C6001"/>
    <w:rsid w:val="007C6087"/>
    <w:rsid w:val="007C609A"/>
    <w:rsid w:val="007C63DB"/>
    <w:rsid w:val="007C6446"/>
    <w:rsid w:val="007C64EF"/>
    <w:rsid w:val="007C685A"/>
    <w:rsid w:val="007C6BCB"/>
    <w:rsid w:val="007C6BF4"/>
    <w:rsid w:val="007C6C9C"/>
    <w:rsid w:val="007C6CC8"/>
    <w:rsid w:val="007C7123"/>
    <w:rsid w:val="007C7274"/>
    <w:rsid w:val="007C7313"/>
    <w:rsid w:val="007C74CC"/>
    <w:rsid w:val="007C7579"/>
    <w:rsid w:val="007C78D9"/>
    <w:rsid w:val="007C7D18"/>
    <w:rsid w:val="007C7E3F"/>
    <w:rsid w:val="007D00F2"/>
    <w:rsid w:val="007D00F3"/>
    <w:rsid w:val="007D029B"/>
    <w:rsid w:val="007D0480"/>
    <w:rsid w:val="007D0668"/>
    <w:rsid w:val="007D0698"/>
    <w:rsid w:val="007D07AB"/>
    <w:rsid w:val="007D0CE3"/>
    <w:rsid w:val="007D0E3D"/>
    <w:rsid w:val="007D0F50"/>
    <w:rsid w:val="007D12CE"/>
    <w:rsid w:val="007D13F6"/>
    <w:rsid w:val="007D145A"/>
    <w:rsid w:val="007D14FD"/>
    <w:rsid w:val="007D1549"/>
    <w:rsid w:val="007D1784"/>
    <w:rsid w:val="007D1A20"/>
    <w:rsid w:val="007D201E"/>
    <w:rsid w:val="007D21C2"/>
    <w:rsid w:val="007D2419"/>
    <w:rsid w:val="007D2D83"/>
    <w:rsid w:val="007D2DD3"/>
    <w:rsid w:val="007D3345"/>
    <w:rsid w:val="007D35EA"/>
    <w:rsid w:val="007D36C2"/>
    <w:rsid w:val="007D374E"/>
    <w:rsid w:val="007D380E"/>
    <w:rsid w:val="007D3A6B"/>
    <w:rsid w:val="007D3BE8"/>
    <w:rsid w:val="007D3C91"/>
    <w:rsid w:val="007D3E14"/>
    <w:rsid w:val="007D3F7A"/>
    <w:rsid w:val="007D3FE8"/>
    <w:rsid w:val="007D4505"/>
    <w:rsid w:val="007D47FE"/>
    <w:rsid w:val="007D4C55"/>
    <w:rsid w:val="007D4E19"/>
    <w:rsid w:val="007D5043"/>
    <w:rsid w:val="007D51C2"/>
    <w:rsid w:val="007D532C"/>
    <w:rsid w:val="007D542A"/>
    <w:rsid w:val="007D585E"/>
    <w:rsid w:val="007D587E"/>
    <w:rsid w:val="007D5992"/>
    <w:rsid w:val="007D5C20"/>
    <w:rsid w:val="007D5EED"/>
    <w:rsid w:val="007D5FBB"/>
    <w:rsid w:val="007D61DB"/>
    <w:rsid w:val="007D62C5"/>
    <w:rsid w:val="007D6544"/>
    <w:rsid w:val="007D6751"/>
    <w:rsid w:val="007D677C"/>
    <w:rsid w:val="007D6805"/>
    <w:rsid w:val="007D6C43"/>
    <w:rsid w:val="007D6D78"/>
    <w:rsid w:val="007D6E37"/>
    <w:rsid w:val="007D6EB8"/>
    <w:rsid w:val="007D7912"/>
    <w:rsid w:val="007D7B8A"/>
    <w:rsid w:val="007D7DDD"/>
    <w:rsid w:val="007D7E5A"/>
    <w:rsid w:val="007E0185"/>
    <w:rsid w:val="007E0231"/>
    <w:rsid w:val="007E0318"/>
    <w:rsid w:val="007E06BC"/>
    <w:rsid w:val="007E06CD"/>
    <w:rsid w:val="007E07DD"/>
    <w:rsid w:val="007E090E"/>
    <w:rsid w:val="007E09BB"/>
    <w:rsid w:val="007E09C7"/>
    <w:rsid w:val="007E0B3E"/>
    <w:rsid w:val="007E0D44"/>
    <w:rsid w:val="007E0FD4"/>
    <w:rsid w:val="007E138B"/>
    <w:rsid w:val="007E14CE"/>
    <w:rsid w:val="007E16B1"/>
    <w:rsid w:val="007E1857"/>
    <w:rsid w:val="007E1937"/>
    <w:rsid w:val="007E197B"/>
    <w:rsid w:val="007E1A59"/>
    <w:rsid w:val="007E2136"/>
    <w:rsid w:val="007E2186"/>
    <w:rsid w:val="007E22AA"/>
    <w:rsid w:val="007E24E8"/>
    <w:rsid w:val="007E24F3"/>
    <w:rsid w:val="007E251F"/>
    <w:rsid w:val="007E2713"/>
    <w:rsid w:val="007E283A"/>
    <w:rsid w:val="007E2AAE"/>
    <w:rsid w:val="007E2C1F"/>
    <w:rsid w:val="007E307B"/>
    <w:rsid w:val="007E3138"/>
    <w:rsid w:val="007E320C"/>
    <w:rsid w:val="007E32A5"/>
    <w:rsid w:val="007E3445"/>
    <w:rsid w:val="007E377B"/>
    <w:rsid w:val="007E37C1"/>
    <w:rsid w:val="007E3844"/>
    <w:rsid w:val="007E414B"/>
    <w:rsid w:val="007E42C2"/>
    <w:rsid w:val="007E4656"/>
    <w:rsid w:val="007E4AED"/>
    <w:rsid w:val="007E4B08"/>
    <w:rsid w:val="007E507F"/>
    <w:rsid w:val="007E5459"/>
    <w:rsid w:val="007E5814"/>
    <w:rsid w:val="007E5964"/>
    <w:rsid w:val="007E597B"/>
    <w:rsid w:val="007E59EE"/>
    <w:rsid w:val="007E5CA5"/>
    <w:rsid w:val="007E5E06"/>
    <w:rsid w:val="007E5EA9"/>
    <w:rsid w:val="007E5F6F"/>
    <w:rsid w:val="007E6073"/>
    <w:rsid w:val="007E6258"/>
    <w:rsid w:val="007E63E2"/>
    <w:rsid w:val="007E6515"/>
    <w:rsid w:val="007E65BE"/>
    <w:rsid w:val="007E6950"/>
    <w:rsid w:val="007E69DF"/>
    <w:rsid w:val="007E700B"/>
    <w:rsid w:val="007E7554"/>
    <w:rsid w:val="007E7787"/>
    <w:rsid w:val="007E7848"/>
    <w:rsid w:val="007E784D"/>
    <w:rsid w:val="007E78A0"/>
    <w:rsid w:val="007E7B13"/>
    <w:rsid w:val="007E7BA8"/>
    <w:rsid w:val="007E7C5A"/>
    <w:rsid w:val="007E7E09"/>
    <w:rsid w:val="007E7EFD"/>
    <w:rsid w:val="007F001B"/>
    <w:rsid w:val="007F0057"/>
    <w:rsid w:val="007F058C"/>
    <w:rsid w:val="007F085A"/>
    <w:rsid w:val="007F0EEB"/>
    <w:rsid w:val="007F10EC"/>
    <w:rsid w:val="007F11FC"/>
    <w:rsid w:val="007F13FA"/>
    <w:rsid w:val="007F1672"/>
    <w:rsid w:val="007F1759"/>
    <w:rsid w:val="007F17F6"/>
    <w:rsid w:val="007F195A"/>
    <w:rsid w:val="007F1AC3"/>
    <w:rsid w:val="007F1BA0"/>
    <w:rsid w:val="007F1C85"/>
    <w:rsid w:val="007F1E4B"/>
    <w:rsid w:val="007F1F51"/>
    <w:rsid w:val="007F1FF9"/>
    <w:rsid w:val="007F20B7"/>
    <w:rsid w:val="007F20DF"/>
    <w:rsid w:val="007F20F4"/>
    <w:rsid w:val="007F21F9"/>
    <w:rsid w:val="007F26E3"/>
    <w:rsid w:val="007F287B"/>
    <w:rsid w:val="007F28F7"/>
    <w:rsid w:val="007F2995"/>
    <w:rsid w:val="007F2B49"/>
    <w:rsid w:val="007F2B85"/>
    <w:rsid w:val="007F2B9E"/>
    <w:rsid w:val="007F2C09"/>
    <w:rsid w:val="007F2C79"/>
    <w:rsid w:val="007F2CEA"/>
    <w:rsid w:val="007F2E4C"/>
    <w:rsid w:val="007F30EB"/>
    <w:rsid w:val="007F3196"/>
    <w:rsid w:val="007F3299"/>
    <w:rsid w:val="007F3460"/>
    <w:rsid w:val="007F3502"/>
    <w:rsid w:val="007F35D9"/>
    <w:rsid w:val="007F385C"/>
    <w:rsid w:val="007F387F"/>
    <w:rsid w:val="007F38E2"/>
    <w:rsid w:val="007F395A"/>
    <w:rsid w:val="007F39C1"/>
    <w:rsid w:val="007F39C3"/>
    <w:rsid w:val="007F3F17"/>
    <w:rsid w:val="007F405F"/>
    <w:rsid w:val="007F406F"/>
    <w:rsid w:val="007F415B"/>
    <w:rsid w:val="007F434D"/>
    <w:rsid w:val="007F43CE"/>
    <w:rsid w:val="007F452A"/>
    <w:rsid w:val="007F461E"/>
    <w:rsid w:val="007F47A4"/>
    <w:rsid w:val="007F4C2D"/>
    <w:rsid w:val="007F4D47"/>
    <w:rsid w:val="007F4D91"/>
    <w:rsid w:val="007F4E06"/>
    <w:rsid w:val="007F4E94"/>
    <w:rsid w:val="007F51F9"/>
    <w:rsid w:val="007F5253"/>
    <w:rsid w:val="007F541C"/>
    <w:rsid w:val="007F5588"/>
    <w:rsid w:val="007F5737"/>
    <w:rsid w:val="007F5767"/>
    <w:rsid w:val="007F57AA"/>
    <w:rsid w:val="007F593A"/>
    <w:rsid w:val="007F5EBB"/>
    <w:rsid w:val="007F5FBE"/>
    <w:rsid w:val="007F6126"/>
    <w:rsid w:val="007F61E9"/>
    <w:rsid w:val="007F6218"/>
    <w:rsid w:val="007F626E"/>
    <w:rsid w:val="007F6440"/>
    <w:rsid w:val="007F6707"/>
    <w:rsid w:val="007F687D"/>
    <w:rsid w:val="007F6900"/>
    <w:rsid w:val="007F6A3F"/>
    <w:rsid w:val="007F6AB5"/>
    <w:rsid w:val="007F6B1D"/>
    <w:rsid w:val="007F6CF0"/>
    <w:rsid w:val="007F6F2C"/>
    <w:rsid w:val="007F7232"/>
    <w:rsid w:val="007F72B5"/>
    <w:rsid w:val="007F7459"/>
    <w:rsid w:val="007F78CD"/>
    <w:rsid w:val="007F7BB3"/>
    <w:rsid w:val="007F7D3D"/>
    <w:rsid w:val="00800082"/>
    <w:rsid w:val="008000C0"/>
    <w:rsid w:val="0080048C"/>
    <w:rsid w:val="008005D2"/>
    <w:rsid w:val="0080080C"/>
    <w:rsid w:val="00800B21"/>
    <w:rsid w:val="00800D0C"/>
    <w:rsid w:val="00800DF3"/>
    <w:rsid w:val="00800EB5"/>
    <w:rsid w:val="00801202"/>
    <w:rsid w:val="008012BB"/>
    <w:rsid w:val="0080138C"/>
    <w:rsid w:val="0080149F"/>
    <w:rsid w:val="008015CB"/>
    <w:rsid w:val="00801627"/>
    <w:rsid w:val="008017C0"/>
    <w:rsid w:val="008018FB"/>
    <w:rsid w:val="008019C8"/>
    <w:rsid w:val="008019CD"/>
    <w:rsid w:val="00801B37"/>
    <w:rsid w:val="00801D17"/>
    <w:rsid w:val="008028A7"/>
    <w:rsid w:val="0080301D"/>
    <w:rsid w:val="0080308E"/>
    <w:rsid w:val="00803228"/>
    <w:rsid w:val="00803465"/>
    <w:rsid w:val="008035A1"/>
    <w:rsid w:val="00803696"/>
    <w:rsid w:val="00803704"/>
    <w:rsid w:val="00803948"/>
    <w:rsid w:val="00803A9C"/>
    <w:rsid w:val="00803B46"/>
    <w:rsid w:val="00803DDD"/>
    <w:rsid w:val="00804023"/>
    <w:rsid w:val="00804065"/>
    <w:rsid w:val="00804217"/>
    <w:rsid w:val="00804480"/>
    <w:rsid w:val="008048F1"/>
    <w:rsid w:val="008049F3"/>
    <w:rsid w:val="00804DBD"/>
    <w:rsid w:val="00805377"/>
    <w:rsid w:val="008055B1"/>
    <w:rsid w:val="00805751"/>
    <w:rsid w:val="0080580C"/>
    <w:rsid w:val="00805CA1"/>
    <w:rsid w:val="0080624B"/>
    <w:rsid w:val="0080626E"/>
    <w:rsid w:val="00806477"/>
    <w:rsid w:val="0080678D"/>
    <w:rsid w:val="00806A1E"/>
    <w:rsid w:val="00806AEE"/>
    <w:rsid w:val="00806D0F"/>
    <w:rsid w:val="00806F12"/>
    <w:rsid w:val="00807398"/>
    <w:rsid w:val="008077AE"/>
    <w:rsid w:val="00807912"/>
    <w:rsid w:val="00807B9F"/>
    <w:rsid w:val="00807F79"/>
    <w:rsid w:val="0081008D"/>
    <w:rsid w:val="00810105"/>
    <w:rsid w:val="008101DF"/>
    <w:rsid w:val="00810229"/>
    <w:rsid w:val="008103C7"/>
    <w:rsid w:val="008103F2"/>
    <w:rsid w:val="00810615"/>
    <w:rsid w:val="0081090D"/>
    <w:rsid w:val="008109C6"/>
    <w:rsid w:val="00810CA8"/>
    <w:rsid w:val="00810D40"/>
    <w:rsid w:val="00810F06"/>
    <w:rsid w:val="00811385"/>
    <w:rsid w:val="00811387"/>
    <w:rsid w:val="008114A8"/>
    <w:rsid w:val="008114F6"/>
    <w:rsid w:val="008114FE"/>
    <w:rsid w:val="00811533"/>
    <w:rsid w:val="0081156D"/>
    <w:rsid w:val="008115C2"/>
    <w:rsid w:val="00811649"/>
    <w:rsid w:val="008116B9"/>
    <w:rsid w:val="008117E2"/>
    <w:rsid w:val="00811981"/>
    <w:rsid w:val="008119DA"/>
    <w:rsid w:val="00811B52"/>
    <w:rsid w:val="00811BE1"/>
    <w:rsid w:val="0081209A"/>
    <w:rsid w:val="00812541"/>
    <w:rsid w:val="008129D9"/>
    <w:rsid w:val="00812D1B"/>
    <w:rsid w:val="00812F2F"/>
    <w:rsid w:val="008134DD"/>
    <w:rsid w:val="00813695"/>
    <w:rsid w:val="00813733"/>
    <w:rsid w:val="008139C8"/>
    <w:rsid w:val="008139E7"/>
    <w:rsid w:val="00813B4E"/>
    <w:rsid w:val="0081401E"/>
    <w:rsid w:val="00814371"/>
    <w:rsid w:val="00814517"/>
    <w:rsid w:val="00814747"/>
    <w:rsid w:val="00814E32"/>
    <w:rsid w:val="00814E33"/>
    <w:rsid w:val="00814E35"/>
    <w:rsid w:val="00814F34"/>
    <w:rsid w:val="00815008"/>
    <w:rsid w:val="00815047"/>
    <w:rsid w:val="0081514F"/>
    <w:rsid w:val="00815228"/>
    <w:rsid w:val="0081525F"/>
    <w:rsid w:val="00815580"/>
    <w:rsid w:val="00815A4B"/>
    <w:rsid w:val="00815ADF"/>
    <w:rsid w:val="00815CD1"/>
    <w:rsid w:val="00815CD5"/>
    <w:rsid w:val="00815E67"/>
    <w:rsid w:val="00815F22"/>
    <w:rsid w:val="00816229"/>
    <w:rsid w:val="008164C8"/>
    <w:rsid w:val="008166A9"/>
    <w:rsid w:val="008166D7"/>
    <w:rsid w:val="008168CF"/>
    <w:rsid w:val="008169FE"/>
    <w:rsid w:val="00816B36"/>
    <w:rsid w:val="00816BB8"/>
    <w:rsid w:val="00816BDE"/>
    <w:rsid w:val="00816DC7"/>
    <w:rsid w:val="00816EDD"/>
    <w:rsid w:val="00817258"/>
    <w:rsid w:val="008175DA"/>
    <w:rsid w:val="008176DB"/>
    <w:rsid w:val="00817A6E"/>
    <w:rsid w:val="00817F90"/>
    <w:rsid w:val="00820008"/>
    <w:rsid w:val="008202C8"/>
    <w:rsid w:val="0082055B"/>
    <w:rsid w:val="008206C7"/>
    <w:rsid w:val="0082072B"/>
    <w:rsid w:val="00820AC8"/>
    <w:rsid w:val="00820BD4"/>
    <w:rsid w:val="00821041"/>
    <w:rsid w:val="00821079"/>
    <w:rsid w:val="00821414"/>
    <w:rsid w:val="0082142D"/>
    <w:rsid w:val="0082199E"/>
    <w:rsid w:val="00821D2E"/>
    <w:rsid w:val="00821DF8"/>
    <w:rsid w:val="00821F3B"/>
    <w:rsid w:val="00821FB3"/>
    <w:rsid w:val="008223C7"/>
    <w:rsid w:val="008224E9"/>
    <w:rsid w:val="008225F2"/>
    <w:rsid w:val="008225FA"/>
    <w:rsid w:val="00822BB3"/>
    <w:rsid w:val="00823018"/>
    <w:rsid w:val="008230B5"/>
    <w:rsid w:val="008231F7"/>
    <w:rsid w:val="0082324C"/>
    <w:rsid w:val="0082325C"/>
    <w:rsid w:val="008232A4"/>
    <w:rsid w:val="008232D2"/>
    <w:rsid w:val="0082358B"/>
    <w:rsid w:val="008235D2"/>
    <w:rsid w:val="0082363C"/>
    <w:rsid w:val="00823641"/>
    <w:rsid w:val="0082373C"/>
    <w:rsid w:val="00823752"/>
    <w:rsid w:val="008238F9"/>
    <w:rsid w:val="00823C9E"/>
    <w:rsid w:val="00824390"/>
    <w:rsid w:val="008247EE"/>
    <w:rsid w:val="00824948"/>
    <w:rsid w:val="00824DC9"/>
    <w:rsid w:val="00825169"/>
    <w:rsid w:val="00825286"/>
    <w:rsid w:val="008252BD"/>
    <w:rsid w:val="0082538D"/>
    <w:rsid w:val="008254FF"/>
    <w:rsid w:val="00825776"/>
    <w:rsid w:val="00825867"/>
    <w:rsid w:val="00825889"/>
    <w:rsid w:val="008258FF"/>
    <w:rsid w:val="00825ACF"/>
    <w:rsid w:val="00825C3D"/>
    <w:rsid w:val="00825C53"/>
    <w:rsid w:val="00825F3B"/>
    <w:rsid w:val="00826421"/>
    <w:rsid w:val="00826526"/>
    <w:rsid w:val="00826546"/>
    <w:rsid w:val="008267E8"/>
    <w:rsid w:val="00826A0A"/>
    <w:rsid w:val="008270BB"/>
    <w:rsid w:val="00827127"/>
    <w:rsid w:val="00827358"/>
    <w:rsid w:val="0082777E"/>
    <w:rsid w:val="00827D51"/>
    <w:rsid w:val="00827D68"/>
    <w:rsid w:val="00827DDE"/>
    <w:rsid w:val="00827EC4"/>
    <w:rsid w:val="00830428"/>
    <w:rsid w:val="0083072D"/>
    <w:rsid w:val="008307BF"/>
    <w:rsid w:val="00830AC2"/>
    <w:rsid w:val="00830B80"/>
    <w:rsid w:val="00830BCD"/>
    <w:rsid w:val="00830D39"/>
    <w:rsid w:val="00830D3E"/>
    <w:rsid w:val="00830E6D"/>
    <w:rsid w:val="00831000"/>
    <w:rsid w:val="008311C6"/>
    <w:rsid w:val="008315E7"/>
    <w:rsid w:val="008317D8"/>
    <w:rsid w:val="00831A9D"/>
    <w:rsid w:val="00831CF2"/>
    <w:rsid w:val="00832420"/>
    <w:rsid w:val="00832450"/>
    <w:rsid w:val="008324FF"/>
    <w:rsid w:val="0083279E"/>
    <w:rsid w:val="00832982"/>
    <w:rsid w:val="00832987"/>
    <w:rsid w:val="00832A05"/>
    <w:rsid w:val="00832BBD"/>
    <w:rsid w:val="00832DCA"/>
    <w:rsid w:val="008330BD"/>
    <w:rsid w:val="00833685"/>
    <w:rsid w:val="0083389E"/>
    <w:rsid w:val="00833A53"/>
    <w:rsid w:val="00833AC2"/>
    <w:rsid w:val="00833C96"/>
    <w:rsid w:val="0083402D"/>
    <w:rsid w:val="00834189"/>
    <w:rsid w:val="0083419A"/>
    <w:rsid w:val="008342D6"/>
    <w:rsid w:val="00834349"/>
    <w:rsid w:val="0083447C"/>
    <w:rsid w:val="00834545"/>
    <w:rsid w:val="008348A2"/>
    <w:rsid w:val="00834943"/>
    <w:rsid w:val="00835186"/>
    <w:rsid w:val="008351EF"/>
    <w:rsid w:val="0083541C"/>
    <w:rsid w:val="00835495"/>
    <w:rsid w:val="00836010"/>
    <w:rsid w:val="00836103"/>
    <w:rsid w:val="0083657C"/>
    <w:rsid w:val="00836582"/>
    <w:rsid w:val="0083661F"/>
    <w:rsid w:val="00836AAC"/>
    <w:rsid w:val="00836CD4"/>
    <w:rsid w:val="0083702A"/>
    <w:rsid w:val="0083704F"/>
    <w:rsid w:val="00837209"/>
    <w:rsid w:val="008372CE"/>
    <w:rsid w:val="00837508"/>
    <w:rsid w:val="00837786"/>
    <w:rsid w:val="00837970"/>
    <w:rsid w:val="00837A06"/>
    <w:rsid w:val="00837B8A"/>
    <w:rsid w:val="00840191"/>
    <w:rsid w:val="0084020F"/>
    <w:rsid w:val="00840227"/>
    <w:rsid w:val="00840282"/>
    <w:rsid w:val="00840473"/>
    <w:rsid w:val="008407F1"/>
    <w:rsid w:val="00840A8E"/>
    <w:rsid w:val="00840BFF"/>
    <w:rsid w:val="00841405"/>
    <w:rsid w:val="0084173F"/>
    <w:rsid w:val="0084188B"/>
    <w:rsid w:val="00841B10"/>
    <w:rsid w:val="00841B48"/>
    <w:rsid w:val="0084212D"/>
    <w:rsid w:val="008425B1"/>
    <w:rsid w:val="008425B8"/>
    <w:rsid w:val="00842672"/>
    <w:rsid w:val="008426A6"/>
    <w:rsid w:val="0084272A"/>
    <w:rsid w:val="008428AA"/>
    <w:rsid w:val="00842B6C"/>
    <w:rsid w:val="00842F79"/>
    <w:rsid w:val="008431FF"/>
    <w:rsid w:val="00843318"/>
    <w:rsid w:val="008433BE"/>
    <w:rsid w:val="00843433"/>
    <w:rsid w:val="008434BC"/>
    <w:rsid w:val="008436B9"/>
    <w:rsid w:val="008437A6"/>
    <w:rsid w:val="00843850"/>
    <w:rsid w:val="00843889"/>
    <w:rsid w:val="00843973"/>
    <w:rsid w:val="008439EC"/>
    <w:rsid w:val="00843A43"/>
    <w:rsid w:val="0084411E"/>
    <w:rsid w:val="008443C7"/>
    <w:rsid w:val="00844966"/>
    <w:rsid w:val="00844DE4"/>
    <w:rsid w:val="00844F3F"/>
    <w:rsid w:val="00845222"/>
    <w:rsid w:val="008452B8"/>
    <w:rsid w:val="008453CD"/>
    <w:rsid w:val="00845962"/>
    <w:rsid w:val="00845CCB"/>
    <w:rsid w:val="00845E1D"/>
    <w:rsid w:val="00845E29"/>
    <w:rsid w:val="00845F9C"/>
    <w:rsid w:val="0084652F"/>
    <w:rsid w:val="0084677D"/>
    <w:rsid w:val="008467C8"/>
    <w:rsid w:val="00846843"/>
    <w:rsid w:val="00846C75"/>
    <w:rsid w:val="00846D0A"/>
    <w:rsid w:val="008470BD"/>
    <w:rsid w:val="00847192"/>
    <w:rsid w:val="00847218"/>
    <w:rsid w:val="00847363"/>
    <w:rsid w:val="008473A5"/>
    <w:rsid w:val="008473BD"/>
    <w:rsid w:val="0084740E"/>
    <w:rsid w:val="00847A3C"/>
    <w:rsid w:val="00847F42"/>
    <w:rsid w:val="008501B9"/>
    <w:rsid w:val="0085020C"/>
    <w:rsid w:val="008502B6"/>
    <w:rsid w:val="008502CF"/>
    <w:rsid w:val="0085039E"/>
    <w:rsid w:val="008505C0"/>
    <w:rsid w:val="008507BF"/>
    <w:rsid w:val="008508C8"/>
    <w:rsid w:val="00850AEE"/>
    <w:rsid w:val="00850E87"/>
    <w:rsid w:val="0085122D"/>
    <w:rsid w:val="00851395"/>
    <w:rsid w:val="008513DF"/>
    <w:rsid w:val="008514A4"/>
    <w:rsid w:val="00851693"/>
    <w:rsid w:val="00851B0D"/>
    <w:rsid w:val="00851F3C"/>
    <w:rsid w:val="008522EC"/>
    <w:rsid w:val="00852505"/>
    <w:rsid w:val="0085250E"/>
    <w:rsid w:val="00852568"/>
    <w:rsid w:val="008525FA"/>
    <w:rsid w:val="008526AD"/>
    <w:rsid w:val="008526D8"/>
    <w:rsid w:val="008527AF"/>
    <w:rsid w:val="00852863"/>
    <w:rsid w:val="00852A53"/>
    <w:rsid w:val="00852E86"/>
    <w:rsid w:val="008530CF"/>
    <w:rsid w:val="008536F6"/>
    <w:rsid w:val="008539F2"/>
    <w:rsid w:val="00853A9D"/>
    <w:rsid w:val="00853B85"/>
    <w:rsid w:val="00853C3E"/>
    <w:rsid w:val="00853C6D"/>
    <w:rsid w:val="00853D56"/>
    <w:rsid w:val="00853D77"/>
    <w:rsid w:val="00853EB7"/>
    <w:rsid w:val="00854527"/>
    <w:rsid w:val="00854532"/>
    <w:rsid w:val="00854746"/>
    <w:rsid w:val="00854CCD"/>
    <w:rsid w:val="00854E0C"/>
    <w:rsid w:val="00854EB1"/>
    <w:rsid w:val="0085505C"/>
    <w:rsid w:val="0085510D"/>
    <w:rsid w:val="00855191"/>
    <w:rsid w:val="008552BA"/>
    <w:rsid w:val="00855303"/>
    <w:rsid w:val="00855706"/>
    <w:rsid w:val="008557B6"/>
    <w:rsid w:val="008557E4"/>
    <w:rsid w:val="00855A5C"/>
    <w:rsid w:val="00855A7B"/>
    <w:rsid w:val="00855AA7"/>
    <w:rsid w:val="00855C23"/>
    <w:rsid w:val="00855DE5"/>
    <w:rsid w:val="00855F30"/>
    <w:rsid w:val="008565F8"/>
    <w:rsid w:val="008567DF"/>
    <w:rsid w:val="008567EB"/>
    <w:rsid w:val="00856A17"/>
    <w:rsid w:val="00856ABD"/>
    <w:rsid w:val="00856D5D"/>
    <w:rsid w:val="00856DA0"/>
    <w:rsid w:val="00856FA0"/>
    <w:rsid w:val="008570A4"/>
    <w:rsid w:val="0085753F"/>
    <w:rsid w:val="008578C8"/>
    <w:rsid w:val="00857AA7"/>
    <w:rsid w:val="00857B0B"/>
    <w:rsid w:val="00857C27"/>
    <w:rsid w:val="00857D08"/>
    <w:rsid w:val="008601BF"/>
    <w:rsid w:val="00860406"/>
    <w:rsid w:val="00860469"/>
    <w:rsid w:val="008605DB"/>
    <w:rsid w:val="0086072F"/>
    <w:rsid w:val="008608E5"/>
    <w:rsid w:val="00860C7E"/>
    <w:rsid w:val="0086110B"/>
    <w:rsid w:val="008613FF"/>
    <w:rsid w:val="00861403"/>
    <w:rsid w:val="008614B3"/>
    <w:rsid w:val="00861507"/>
    <w:rsid w:val="00861525"/>
    <w:rsid w:val="00861590"/>
    <w:rsid w:val="008615E6"/>
    <w:rsid w:val="008615F1"/>
    <w:rsid w:val="008617A4"/>
    <w:rsid w:val="00861927"/>
    <w:rsid w:val="00861AD0"/>
    <w:rsid w:val="00861B19"/>
    <w:rsid w:val="00861B89"/>
    <w:rsid w:val="00861F0F"/>
    <w:rsid w:val="0086224C"/>
    <w:rsid w:val="008625C5"/>
    <w:rsid w:val="0086269F"/>
    <w:rsid w:val="008628A7"/>
    <w:rsid w:val="00862EC7"/>
    <w:rsid w:val="00863227"/>
    <w:rsid w:val="0086347F"/>
    <w:rsid w:val="008637EB"/>
    <w:rsid w:val="00863919"/>
    <w:rsid w:val="00863923"/>
    <w:rsid w:val="00863CE2"/>
    <w:rsid w:val="00863DDD"/>
    <w:rsid w:val="00863DEF"/>
    <w:rsid w:val="00863FEF"/>
    <w:rsid w:val="008640E9"/>
    <w:rsid w:val="00864389"/>
    <w:rsid w:val="00864566"/>
    <w:rsid w:val="008645AE"/>
    <w:rsid w:val="008646C9"/>
    <w:rsid w:val="00864730"/>
    <w:rsid w:val="00864A51"/>
    <w:rsid w:val="00864B91"/>
    <w:rsid w:val="00864BBC"/>
    <w:rsid w:val="00864BE0"/>
    <w:rsid w:val="00864F80"/>
    <w:rsid w:val="00865062"/>
    <w:rsid w:val="008654C2"/>
    <w:rsid w:val="00865573"/>
    <w:rsid w:val="0086579E"/>
    <w:rsid w:val="00865B6A"/>
    <w:rsid w:val="00865D37"/>
    <w:rsid w:val="00865F49"/>
    <w:rsid w:val="00866067"/>
    <w:rsid w:val="008660B2"/>
    <w:rsid w:val="0086611F"/>
    <w:rsid w:val="008661EC"/>
    <w:rsid w:val="008662AF"/>
    <w:rsid w:val="0086638B"/>
    <w:rsid w:val="00866476"/>
    <w:rsid w:val="00866539"/>
    <w:rsid w:val="008665D4"/>
    <w:rsid w:val="008665E5"/>
    <w:rsid w:val="00866A24"/>
    <w:rsid w:val="00866A40"/>
    <w:rsid w:val="00866A51"/>
    <w:rsid w:val="00866C3B"/>
    <w:rsid w:val="008671BC"/>
    <w:rsid w:val="00867314"/>
    <w:rsid w:val="00867355"/>
    <w:rsid w:val="00867375"/>
    <w:rsid w:val="00867454"/>
    <w:rsid w:val="0086781A"/>
    <w:rsid w:val="00867B60"/>
    <w:rsid w:val="00867BC9"/>
    <w:rsid w:val="00867BCA"/>
    <w:rsid w:val="00867EAA"/>
    <w:rsid w:val="00867FD1"/>
    <w:rsid w:val="00870213"/>
    <w:rsid w:val="00870232"/>
    <w:rsid w:val="00870BBF"/>
    <w:rsid w:val="00870DF0"/>
    <w:rsid w:val="00870F2B"/>
    <w:rsid w:val="00871755"/>
    <w:rsid w:val="008718E3"/>
    <w:rsid w:val="00871B4F"/>
    <w:rsid w:val="00871E94"/>
    <w:rsid w:val="0087217C"/>
    <w:rsid w:val="0087239B"/>
    <w:rsid w:val="0087243A"/>
    <w:rsid w:val="0087246A"/>
    <w:rsid w:val="00872642"/>
    <w:rsid w:val="00872CD2"/>
    <w:rsid w:val="00873024"/>
    <w:rsid w:val="00873125"/>
    <w:rsid w:val="0087319A"/>
    <w:rsid w:val="008734A3"/>
    <w:rsid w:val="00873783"/>
    <w:rsid w:val="008738DF"/>
    <w:rsid w:val="00873A20"/>
    <w:rsid w:val="00873E53"/>
    <w:rsid w:val="00873FE2"/>
    <w:rsid w:val="00874220"/>
    <w:rsid w:val="008743ED"/>
    <w:rsid w:val="00874855"/>
    <w:rsid w:val="0087494F"/>
    <w:rsid w:val="00874A98"/>
    <w:rsid w:val="00874F02"/>
    <w:rsid w:val="00874F17"/>
    <w:rsid w:val="00874F99"/>
    <w:rsid w:val="00875016"/>
    <w:rsid w:val="00875A09"/>
    <w:rsid w:val="00875AED"/>
    <w:rsid w:val="0087603A"/>
    <w:rsid w:val="008760A6"/>
    <w:rsid w:val="0087616C"/>
    <w:rsid w:val="00876370"/>
    <w:rsid w:val="0087655D"/>
    <w:rsid w:val="00876618"/>
    <w:rsid w:val="008766CA"/>
    <w:rsid w:val="0087695A"/>
    <w:rsid w:val="00876B96"/>
    <w:rsid w:val="00876D8B"/>
    <w:rsid w:val="00876DE4"/>
    <w:rsid w:val="00876FAD"/>
    <w:rsid w:val="00877044"/>
    <w:rsid w:val="008779E5"/>
    <w:rsid w:val="00877B83"/>
    <w:rsid w:val="00877E92"/>
    <w:rsid w:val="0088014B"/>
    <w:rsid w:val="00880396"/>
    <w:rsid w:val="00880457"/>
    <w:rsid w:val="008805EA"/>
    <w:rsid w:val="0088063E"/>
    <w:rsid w:val="008806B6"/>
    <w:rsid w:val="008806D0"/>
    <w:rsid w:val="00880736"/>
    <w:rsid w:val="00880737"/>
    <w:rsid w:val="008807C9"/>
    <w:rsid w:val="00880877"/>
    <w:rsid w:val="0088096A"/>
    <w:rsid w:val="008815C3"/>
    <w:rsid w:val="00881617"/>
    <w:rsid w:val="0088167A"/>
    <w:rsid w:val="008818F0"/>
    <w:rsid w:val="0088197E"/>
    <w:rsid w:val="00881D0F"/>
    <w:rsid w:val="00881E3D"/>
    <w:rsid w:val="0088210F"/>
    <w:rsid w:val="0088217B"/>
    <w:rsid w:val="008824BF"/>
    <w:rsid w:val="0088269A"/>
    <w:rsid w:val="0088286C"/>
    <w:rsid w:val="00882894"/>
    <w:rsid w:val="0088292D"/>
    <w:rsid w:val="00882EA5"/>
    <w:rsid w:val="00882ED3"/>
    <w:rsid w:val="00883241"/>
    <w:rsid w:val="00883477"/>
    <w:rsid w:val="008834B1"/>
    <w:rsid w:val="008835E8"/>
    <w:rsid w:val="008836EA"/>
    <w:rsid w:val="00883806"/>
    <w:rsid w:val="00883A21"/>
    <w:rsid w:val="00883B07"/>
    <w:rsid w:val="00883C07"/>
    <w:rsid w:val="00883CBD"/>
    <w:rsid w:val="00884508"/>
    <w:rsid w:val="00884592"/>
    <w:rsid w:val="008845CE"/>
    <w:rsid w:val="00884712"/>
    <w:rsid w:val="008849A1"/>
    <w:rsid w:val="00884B20"/>
    <w:rsid w:val="00884B9F"/>
    <w:rsid w:val="00884DA7"/>
    <w:rsid w:val="00885083"/>
    <w:rsid w:val="008852FC"/>
    <w:rsid w:val="00885716"/>
    <w:rsid w:val="00885ADD"/>
    <w:rsid w:val="00885B2F"/>
    <w:rsid w:val="00885C46"/>
    <w:rsid w:val="00885CF8"/>
    <w:rsid w:val="00885D28"/>
    <w:rsid w:val="00885DB3"/>
    <w:rsid w:val="00885E4E"/>
    <w:rsid w:val="00885E7E"/>
    <w:rsid w:val="008862DF"/>
    <w:rsid w:val="008864E5"/>
    <w:rsid w:val="00886673"/>
    <w:rsid w:val="00886728"/>
    <w:rsid w:val="00886736"/>
    <w:rsid w:val="00886B78"/>
    <w:rsid w:val="00886D3E"/>
    <w:rsid w:val="0088721B"/>
    <w:rsid w:val="00887397"/>
    <w:rsid w:val="008874A4"/>
    <w:rsid w:val="0088750F"/>
    <w:rsid w:val="0088774B"/>
    <w:rsid w:val="008877F3"/>
    <w:rsid w:val="00887851"/>
    <w:rsid w:val="008878BC"/>
    <w:rsid w:val="00887FD1"/>
    <w:rsid w:val="0089016B"/>
    <w:rsid w:val="008901E7"/>
    <w:rsid w:val="008903FB"/>
    <w:rsid w:val="0089042E"/>
    <w:rsid w:val="00890501"/>
    <w:rsid w:val="0089068F"/>
    <w:rsid w:val="00890A45"/>
    <w:rsid w:val="00890EE4"/>
    <w:rsid w:val="00890F02"/>
    <w:rsid w:val="00890FAC"/>
    <w:rsid w:val="0089151E"/>
    <w:rsid w:val="00891625"/>
    <w:rsid w:val="00891DBD"/>
    <w:rsid w:val="00891F92"/>
    <w:rsid w:val="008920B5"/>
    <w:rsid w:val="008923B9"/>
    <w:rsid w:val="008924F9"/>
    <w:rsid w:val="00892527"/>
    <w:rsid w:val="008926CA"/>
    <w:rsid w:val="008928A4"/>
    <w:rsid w:val="008930EE"/>
    <w:rsid w:val="00893306"/>
    <w:rsid w:val="008934F5"/>
    <w:rsid w:val="008937C5"/>
    <w:rsid w:val="0089388E"/>
    <w:rsid w:val="00893C2C"/>
    <w:rsid w:val="00894367"/>
    <w:rsid w:val="00894964"/>
    <w:rsid w:val="00894983"/>
    <w:rsid w:val="008949A6"/>
    <w:rsid w:val="00894A46"/>
    <w:rsid w:val="00894C08"/>
    <w:rsid w:val="00894C23"/>
    <w:rsid w:val="00894DB0"/>
    <w:rsid w:val="00894F02"/>
    <w:rsid w:val="00895214"/>
    <w:rsid w:val="008953AF"/>
    <w:rsid w:val="0089541E"/>
    <w:rsid w:val="0089544D"/>
    <w:rsid w:val="0089547A"/>
    <w:rsid w:val="00895A99"/>
    <w:rsid w:val="00895B6B"/>
    <w:rsid w:val="00895C20"/>
    <w:rsid w:val="00895C89"/>
    <w:rsid w:val="00895E22"/>
    <w:rsid w:val="00895E69"/>
    <w:rsid w:val="00895F3E"/>
    <w:rsid w:val="00895F80"/>
    <w:rsid w:val="00895F92"/>
    <w:rsid w:val="008960B6"/>
    <w:rsid w:val="0089622C"/>
    <w:rsid w:val="00896561"/>
    <w:rsid w:val="00896667"/>
    <w:rsid w:val="0089685E"/>
    <w:rsid w:val="00896A25"/>
    <w:rsid w:val="00896AE4"/>
    <w:rsid w:val="00896C53"/>
    <w:rsid w:val="00896D50"/>
    <w:rsid w:val="00896F7E"/>
    <w:rsid w:val="008970E4"/>
    <w:rsid w:val="00897250"/>
    <w:rsid w:val="00897644"/>
    <w:rsid w:val="008976B0"/>
    <w:rsid w:val="00897AAA"/>
    <w:rsid w:val="008A033E"/>
    <w:rsid w:val="008A0415"/>
    <w:rsid w:val="008A0719"/>
    <w:rsid w:val="008A0943"/>
    <w:rsid w:val="008A0A5C"/>
    <w:rsid w:val="008A0BA8"/>
    <w:rsid w:val="008A0D4A"/>
    <w:rsid w:val="008A0D74"/>
    <w:rsid w:val="008A0EA5"/>
    <w:rsid w:val="008A0F96"/>
    <w:rsid w:val="008A1A69"/>
    <w:rsid w:val="008A1CEF"/>
    <w:rsid w:val="008A2391"/>
    <w:rsid w:val="008A2525"/>
    <w:rsid w:val="008A2629"/>
    <w:rsid w:val="008A270E"/>
    <w:rsid w:val="008A27C0"/>
    <w:rsid w:val="008A27D4"/>
    <w:rsid w:val="008A2B96"/>
    <w:rsid w:val="008A3B7C"/>
    <w:rsid w:val="008A3E74"/>
    <w:rsid w:val="008A3F44"/>
    <w:rsid w:val="008A401A"/>
    <w:rsid w:val="008A4624"/>
    <w:rsid w:val="008A4907"/>
    <w:rsid w:val="008A4B1B"/>
    <w:rsid w:val="008A4C5F"/>
    <w:rsid w:val="008A4D46"/>
    <w:rsid w:val="008A5019"/>
    <w:rsid w:val="008A5335"/>
    <w:rsid w:val="008A534D"/>
    <w:rsid w:val="008A540F"/>
    <w:rsid w:val="008A574A"/>
    <w:rsid w:val="008A58BD"/>
    <w:rsid w:val="008A59FD"/>
    <w:rsid w:val="008A5B9A"/>
    <w:rsid w:val="008A6222"/>
    <w:rsid w:val="008A6273"/>
    <w:rsid w:val="008A66CC"/>
    <w:rsid w:val="008A686E"/>
    <w:rsid w:val="008A689A"/>
    <w:rsid w:val="008A69F1"/>
    <w:rsid w:val="008A6FC6"/>
    <w:rsid w:val="008A7163"/>
    <w:rsid w:val="008A71FB"/>
    <w:rsid w:val="008A7396"/>
    <w:rsid w:val="008A7A51"/>
    <w:rsid w:val="008A7FF0"/>
    <w:rsid w:val="008B001B"/>
    <w:rsid w:val="008B0087"/>
    <w:rsid w:val="008B008A"/>
    <w:rsid w:val="008B020E"/>
    <w:rsid w:val="008B0304"/>
    <w:rsid w:val="008B03C9"/>
    <w:rsid w:val="008B0421"/>
    <w:rsid w:val="008B0662"/>
    <w:rsid w:val="008B066E"/>
    <w:rsid w:val="008B06FB"/>
    <w:rsid w:val="008B0973"/>
    <w:rsid w:val="008B09E1"/>
    <w:rsid w:val="008B0A5F"/>
    <w:rsid w:val="008B0A67"/>
    <w:rsid w:val="008B0CEB"/>
    <w:rsid w:val="008B0D1A"/>
    <w:rsid w:val="008B0F52"/>
    <w:rsid w:val="008B10C1"/>
    <w:rsid w:val="008B1185"/>
    <w:rsid w:val="008B15BF"/>
    <w:rsid w:val="008B16E1"/>
    <w:rsid w:val="008B1A2F"/>
    <w:rsid w:val="008B1B91"/>
    <w:rsid w:val="008B1D3E"/>
    <w:rsid w:val="008B2179"/>
    <w:rsid w:val="008B2380"/>
    <w:rsid w:val="008B27D9"/>
    <w:rsid w:val="008B2B86"/>
    <w:rsid w:val="008B2B8B"/>
    <w:rsid w:val="008B2BDB"/>
    <w:rsid w:val="008B2D8C"/>
    <w:rsid w:val="008B2F6A"/>
    <w:rsid w:val="008B302D"/>
    <w:rsid w:val="008B3167"/>
    <w:rsid w:val="008B3224"/>
    <w:rsid w:val="008B3364"/>
    <w:rsid w:val="008B349E"/>
    <w:rsid w:val="008B35B5"/>
    <w:rsid w:val="008B36BC"/>
    <w:rsid w:val="008B3999"/>
    <w:rsid w:val="008B3A82"/>
    <w:rsid w:val="008B3D70"/>
    <w:rsid w:val="008B3E63"/>
    <w:rsid w:val="008B4468"/>
    <w:rsid w:val="008B4526"/>
    <w:rsid w:val="008B4539"/>
    <w:rsid w:val="008B45F6"/>
    <w:rsid w:val="008B4632"/>
    <w:rsid w:val="008B4810"/>
    <w:rsid w:val="008B4BC3"/>
    <w:rsid w:val="008B4E94"/>
    <w:rsid w:val="008B51C3"/>
    <w:rsid w:val="008B51EB"/>
    <w:rsid w:val="008B521D"/>
    <w:rsid w:val="008B5576"/>
    <w:rsid w:val="008B55AE"/>
    <w:rsid w:val="008B567C"/>
    <w:rsid w:val="008B56E2"/>
    <w:rsid w:val="008B5785"/>
    <w:rsid w:val="008B57E3"/>
    <w:rsid w:val="008B5811"/>
    <w:rsid w:val="008B5904"/>
    <w:rsid w:val="008B59AA"/>
    <w:rsid w:val="008B5CFC"/>
    <w:rsid w:val="008B5CFF"/>
    <w:rsid w:val="008B5F49"/>
    <w:rsid w:val="008B6166"/>
    <w:rsid w:val="008B6461"/>
    <w:rsid w:val="008B651F"/>
    <w:rsid w:val="008B6538"/>
    <w:rsid w:val="008B6605"/>
    <w:rsid w:val="008B66CD"/>
    <w:rsid w:val="008B672C"/>
    <w:rsid w:val="008B68DB"/>
    <w:rsid w:val="008B6A6F"/>
    <w:rsid w:val="008B6C0C"/>
    <w:rsid w:val="008B703B"/>
    <w:rsid w:val="008B706B"/>
    <w:rsid w:val="008B7138"/>
    <w:rsid w:val="008B71A2"/>
    <w:rsid w:val="008B7312"/>
    <w:rsid w:val="008B73DE"/>
    <w:rsid w:val="008B74DF"/>
    <w:rsid w:val="008B7702"/>
    <w:rsid w:val="008B78A3"/>
    <w:rsid w:val="008B78C4"/>
    <w:rsid w:val="008B7A91"/>
    <w:rsid w:val="008B7ACB"/>
    <w:rsid w:val="008B7BD1"/>
    <w:rsid w:val="008B7C35"/>
    <w:rsid w:val="008B7E92"/>
    <w:rsid w:val="008C03C1"/>
    <w:rsid w:val="008C0456"/>
    <w:rsid w:val="008C04E0"/>
    <w:rsid w:val="008C0672"/>
    <w:rsid w:val="008C0693"/>
    <w:rsid w:val="008C0D4C"/>
    <w:rsid w:val="008C0E00"/>
    <w:rsid w:val="008C1122"/>
    <w:rsid w:val="008C1627"/>
    <w:rsid w:val="008C1810"/>
    <w:rsid w:val="008C1871"/>
    <w:rsid w:val="008C18A9"/>
    <w:rsid w:val="008C1C3F"/>
    <w:rsid w:val="008C1CCF"/>
    <w:rsid w:val="008C1F8B"/>
    <w:rsid w:val="008C203C"/>
    <w:rsid w:val="008C20BA"/>
    <w:rsid w:val="008C2211"/>
    <w:rsid w:val="008C2234"/>
    <w:rsid w:val="008C22B8"/>
    <w:rsid w:val="008C2464"/>
    <w:rsid w:val="008C2502"/>
    <w:rsid w:val="008C255F"/>
    <w:rsid w:val="008C2606"/>
    <w:rsid w:val="008C2755"/>
    <w:rsid w:val="008C2769"/>
    <w:rsid w:val="008C28C3"/>
    <w:rsid w:val="008C2C7C"/>
    <w:rsid w:val="008C2C7E"/>
    <w:rsid w:val="008C2D47"/>
    <w:rsid w:val="008C2DF3"/>
    <w:rsid w:val="008C2E08"/>
    <w:rsid w:val="008C2EBD"/>
    <w:rsid w:val="008C321A"/>
    <w:rsid w:val="008C33B7"/>
    <w:rsid w:val="008C352F"/>
    <w:rsid w:val="008C35D0"/>
    <w:rsid w:val="008C35FE"/>
    <w:rsid w:val="008C381B"/>
    <w:rsid w:val="008C3AA3"/>
    <w:rsid w:val="008C3BA2"/>
    <w:rsid w:val="008C3C2A"/>
    <w:rsid w:val="008C403A"/>
    <w:rsid w:val="008C41BD"/>
    <w:rsid w:val="008C41CD"/>
    <w:rsid w:val="008C41DB"/>
    <w:rsid w:val="008C4682"/>
    <w:rsid w:val="008C4914"/>
    <w:rsid w:val="008C4966"/>
    <w:rsid w:val="008C4A84"/>
    <w:rsid w:val="008C4AF7"/>
    <w:rsid w:val="008C569B"/>
    <w:rsid w:val="008C58E2"/>
    <w:rsid w:val="008C58F8"/>
    <w:rsid w:val="008C591C"/>
    <w:rsid w:val="008C61BA"/>
    <w:rsid w:val="008C634C"/>
    <w:rsid w:val="008C65AA"/>
    <w:rsid w:val="008C66B8"/>
    <w:rsid w:val="008C6751"/>
    <w:rsid w:val="008C68D7"/>
    <w:rsid w:val="008C6B90"/>
    <w:rsid w:val="008C6C14"/>
    <w:rsid w:val="008C6D9C"/>
    <w:rsid w:val="008C7399"/>
    <w:rsid w:val="008C78BB"/>
    <w:rsid w:val="008C799C"/>
    <w:rsid w:val="008C79AD"/>
    <w:rsid w:val="008C7D8A"/>
    <w:rsid w:val="008D0121"/>
    <w:rsid w:val="008D020C"/>
    <w:rsid w:val="008D020F"/>
    <w:rsid w:val="008D028E"/>
    <w:rsid w:val="008D0555"/>
    <w:rsid w:val="008D065F"/>
    <w:rsid w:val="008D0A5A"/>
    <w:rsid w:val="008D0B51"/>
    <w:rsid w:val="008D0B86"/>
    <w:rsid w:val="008D0BD0"/>
    <w:rsid w:val="008D0FC9"/>
    <w:rsid w:val="008D1384"/>
    <w:rsid w:val="008D15B4"/>
    <w:rsid w:val="008D1610"/>
    <w:rsid w:val="008D16D6"/>
    <w:rsid w:val="008D1A3C"/>
    <w:rsid w:val="008D1B91"/>
    <w:rsid w:val="008D1E84"/>
    <w:rsid w:val="008D1F97"/>
    <w:rsid w:val="008D2141"/>
    <w:rsid w:val="008D21B0"/>
    <w:rsid w:val="008D21D6"/>
    <w:rsid w:val="008D237B"/>
    <w:rsid w:val="008D242A"/>
    <w:rsid w:val="008D2522"/>
    <w:rsid w:val="008D25DD"/>
    <w:rsid w:val="008D26CE"/>
    <w:rsid w:val="008D274A"/>
    <w:rsid w:val="008D27D3"/>
    <w:rsid w:val="008D2803"/>
    <w:rsid w:val="008D2AB7"/>
    <w:rsid w:val="008D2DFE"/>
    <w:rsid w:val="008D2E29"/>
    <w:rsid w:val="008D2E83"/>
    <w:rsid w:val="008D3100"/>
    <w:rsid w:val="008D3244"/>
    <w:rsid w:val="008D359E"/>
    <w:rsid w:val="008D373A"/>
    <w:rsid w:val="008D3ACD"/>
    <w:rsid w:val="008D4278"/>
    <w:rsid w:val="008D4344"/>
    <w:rsid w:val="008D46A5"/>
    <w:rsid w:val="008D4829"/>
    <w:rsid w:val="008D4A87"/>
    <w:rsid w:val="008D4AA8"/>
    <w:rsid w:val="008D4AF9"/>
    <w:rsid w:val="008D4B79"/>
    <w:rsid w:val="008D4C3C"/>
    <w:rsid w:val="008D4CE5"/>
    <w:rsid w:val="008D523C"/>
    <w:rsid w:val="008D52FC"/>
    <w:rsid w:val="008D533E"/>
    <w:rsid w:val="008D57CB"/>
    <w:rsid w:val="008D5A74"/>
    <w:rsid w:val="008D5FBC"/>
    <w:rsid w:val="008D6114"/>
    <w:rsid w:val="008D6578"/>
    <w:rsid w:val="008D68D6"/>
    <w:rsid w:val="008D6952"/>
    <w:rsid w:val="008D6981"/>
    <w:rsid w:val="008D6A0A"/>
    <w:rsid w:val="008D6A60"/>
    <w:rsid w:val="008D6F98"/>
    <w:rsid w:val="008D7157"/>
    <w:rsid w:val="008D73EB"/>
    <w:rsid w:val="008D748B"/>
    <w:rsid w:val="008D7490"/>
    <w:rsid w:val="008D752E"/>
    <w:rsid w:val="008D76AE"/>
    <w:rsid w:val="008D78B4"/>
    <w:rsid w:val="008D79FC"/>
    <w:rsid w:val="008D7CE3"/>
    <w:rsid w:val="008D7D83"/>
    <w:rsid w:val="008E002A"/>
    <w:rsid w:val="008E0B8D"/>
    <w:rsid w:val="008E0C98"/>
    <w:rsid w:val="008E0C9A"/>
    <w:rsid w:val="008E0CC2"/>
    <w:rsid w:val="008E0D59"/>
    <w:rsid w:val="008E0F8A"/>
    <w:rsid w:val="008E166A"/>
    <w:rsid w:val="008E1706"/>
    <w:rsid w:val="008E1794"/>
    <w:rsid w:val="008E1AEE"/>
    <w:rsid w:val="008E1BD4"/>
    <w:rsid w:val="008E1F78"/>
    <w:rsid w:val="008E25FF"/>
    <w:rsid w:val="008E26A4"/>
    <w:rsid w:val="008E285A"/>
    <w:rsid w:val="008E29E7"/>
    <w:rsid w:val="008E29ED"/>
    <w:rsid w:val="008E2BE2"/>
    <w:rsid w:val="008E2CBC"/>
    <w:rsid w:val="008E30AD"/>
    <w:rsid w:val="008E37FD"/>
    <w:rsid w:val="008E3AD1"/>
    <w:rsid w:val="008E4294"/>
    <w:rsid w:val="008E4358"/>
    <w:rsid w:val="008E44F0"/>
    <w:rsid w:val="008E4577"/>
    <w:rsid w:val="008E45DE"/>
    <w:rsid w:val="008E461E"/>
    <w:rsid w:val="008E4882"/>
    <w:rsid w:val="008E4A7B"/>
    <w:rsid w:val="008E4C43"/>
    <w:rsid w:val="008E5252"/>
    <w:rsid w:val="008E55BF"/>
    <w:rsid w:val="008E57EC"/>
    <w:rsid w:val="008E5D19"/>
    <w:rsid w:val="008E5DA3"/>
    <w:rsid w:val="008E5DFA"/>
    <w:rsid w:val="008E5EF2"/>
    <w:rsid w:val="008E5FCE"/>
    <w:rsid w:val="008E5FE7"/>
    <w:rsid w:val="008E6008"/>
    <w:rsid w:val="008E6030"/>
    <w:rsid w:val="008E63C1"/>
    <w:rsid w:val="008E6609"/>
    <w:rsid w:val="008E6888"/>
    <w:rsid w:val="008E6906"/>
    <w:rsid w:val="008E6D81"/>
    <w:rsid w:val="008E6F1E"/>
    <w:rsid w:val="008E7227"/>
    <w:rsid w:val="008E72E7"/>
    <w:rsid w:val="008E744B"/>
    <w:rsid w:val="008E7475"/>
    <w:rsid w:val="008E74C9"/>
    <w:rsid w:val="008E758F"/>
    <w:rsid w:val="008E7783"/>
    <w:rsid w:val="008E7870"/>
    <w:rsid w:val="008E7E7E"/>
    <w:rsid w:val="008E7F00"/>
    <w:rsid w:val="008E7F8E"/>
    <w:rsid w:val="008F044C"/>
    <w:rsid w:val="008F0493"/>
    <w:rsid w:val="008F054C"/>
    <w:rsid w:val="008F06D9"/>
    <w:rsid w:val="008F06EF"/>
    <w:rsid w:val="008F0A1D"/>
    <w:rsid w:val="008F0A51"/>
    <w:rsid w:val="008F0C3F"/>
    <w:rsid w:val="008F0CB2"/>
    <w:rsid w:val="008F0D94"/>
    <w:rsid w:val="008F0EB0"/>
    <w:rsid w:val="008F0FA7"/>
    <w:rsid w:val="008F156D"/>
    <w:rsid w:val="008F1775"/>
    <w:rsid w:val="008F17A2"/>
    <w:rsid w:val="008F17CA"/>
    <w:rsid w:val="008F1993"/>
    <w:rsid w:val="008F1A0E"/>
    <w:rsid w:val="008F1AA0"/>
    <w:rsid w:val="008F1BA6"/>
    <w:rsid w:val="008F1C1F"/>
    <w:rsid w:val="008F1C4F"/>
    <w:rsid w:val="008F1C72"/>
    <w:rsid w:val="008F1CAB"/>
    <w:rsid w:val="008F1FBD"/>
    <w:rsid w:val="008F1FDB"/>
    <w:rsid w:val="008F2142"/>
    <w:rsid w:val="008F24F4"/>
    <w:rsid w:val="008F2876"/>
    <w:rsid w:val="008F2C12"/>
    <w:rsid w:val="008F316E"/>
    <w:rsid w:val="008F3172"/>
    <w:rsid w:val="008F33A0"/>
    <w:rsid w:val="008F33DB"/>
    <w:rsid w:val="008F35D0"/>
    <w:rsid w:val="008F3BCE"/>
    <w:rsid w:val="008F3DD8"/>
    <w:rsid w:val="008F3DE0"/>
    <w:rsid w:val="008F3F60"/>
    <w:rsid w:val="008F45B2"/>
    <w:rsid w:val="008F4654"/>
    <w:rsid w:val="008F4819"/>
    <w:rsid w:val="008F4871"/>
    <w:rsid w:val="008F4B87"/>
    <w:rsid w:val="008F4DD5"/>
    <w:rsid w:val="008F4E05"/>
    <w:rsid w:val="008F4F35"/>
    <w:rsid w:val="008F55A9"/>
    <w:rsid w:val="008F55EB"/>
    <w:rsid w:val="008F5B48"/>
    <w:rsid w:val="008F5CBF"/>
    <w:rsid w:val="008F5F00"/>
    <w:rsid w:val="008F5F34"/>
    <w:rsid w:val="008F6146"/>
    <w:rsid w:val="008F626A"/>
    <w:rsid w:val="008F65BC"/>
    <w:rsid w:val="008F6714"/>
    <w:rsid w:val="008F67FE"/>
    <w:rsid w:val="008F6989"/>
    <w:rsid w:val="008F6B18"/>
    <w:rsid w:val="008F6BAE"/>
    <w:rsid w:val="008F6BD0"/>
    <w:rsid w:val="008F6D66"/>
    <w:rsid w:val="008F6FA1"/>
    <w:rsid w:val="008F6FF2"/>
    <w:rsid w:val="008F7186"/>
    <w:rsid w:val="008F7197"/>
    <w:rsid w:val="008F737F"/>
    <w:rsid w:val="008F7499"/>
    <w:rsid w:val="008F74FA"/>
    <w:rsid w:val="008F7719"/>
    <w:rsid w:val="008F79AD"/>
    <w:rsid w:val="0090008C"/>
    <w:rsid w:val="0090011B"/>
    <w:rsid w:val="00900266"/>
    <w:rsid w:val="009003B6"/>
    <w:rsid w:val="009004BD"/>
    <w:rsid w:val="009004D2"/>
    <w:rsid w:val="009005C9"/>
    <w:rsid w:val="0090082E"/>
    <w:rsid w:val="00900B6A"/>
    <w:rsid w:val="00900CEC"/>
    <w:rsid w:val="00900DC3"/>
    <w:rsid w:val="009012A4"/>
    <w:rsid w:val="009013A0"/>
    <w:rsid w:val="009014E7"/>
    <w:rsid w:val="00901709"/>
    <w:rsid w:val="0090174C"/>
    <w:rsid w:val="009018AB"/>
    <w:rsid w:val="00901994"/>
    <w:rsid w:val="00901AA4"/>
    <w:rsid w:val="00901C68"/>
    <w:rsid w:val="00901DB6"/>
    <w:rsid w:val="0090219A"/>
    <w:rsid w:val="009021B6"/>
    <w:rsid w:val="00902933"/>
    <w:rsid w:val="00902AD1"/>
    <w:rsid w:val="00902C34"/>
    <w:rsid w:val="00902D3C"/>
    <w:rsid w:val="00902D68"/>
    <w:rsid w:val="00902D9E"/>
    <w:rsid w:val="00902E40"/>
    <w:rsid w:val="00902FB4"/>
    <w:rsid w:val="00902FED"/>
    <w:rsid w:val="009033E3"/>
    <w:rsid w:val="00903418"/>
    <w:rsid w:val="00903472"/>
    <w:rsid w:val="009035FD"/>
    <w:rsid w:val="00903646"/>
    <w:rsid w:val="0090371B"/>
    <w:rsid w:val="0090372F"/>
    <w:rsid w:val="00903818"/>
    <w:rsid w:val="009040D1"/>
    <w:rsid w:val="009041CC"/>
    <w:rsid w:val="00904335"/>
    <w:rsid w:val="00904497"/>
    <w:rsid w:val="009046FF"/>
    <w:rsid w:val="00904901"/>
    <w:rsid w:val="00904BA0"/>
    <w:rsid w:val="00904BB5"/>
    <w:rsid w:val="00904BDC"/>
    <w:rsid w:val="00904DD4"/>
    <w:rsid w:val="009053A1"/>
    <w:rsid w:val="009058E9"/>
    <w:rsid w:val="00905A20"/>
    <w:rsid w:val="00905C3C"/>
    <w:rsid w:val="00905F07"/>
    <w:rsid w:val="009066A9"/>
    <w:rsid w:val="00906A24"/>
    <w:rsid w:val="00906D76"/>
    <w:rsid w:val="00907111"/>
    <w:rsid w:val="00907279"/>
    <w:rsid w:val="00907354"/>
    <w:rsid w:val="0090736F"/>
    <w:rsid w:val="009074BB"/>
    <w:rsid w:val="009075E4"/>
    <w:rsid w:val="00907620"/>
    <w:rsid w:val="00907D3D"/>
    <w:rsid w:val="00907E1F"/>
    <w:rsid w:val="00910364"/>
    <w:rsid w:val="00910846"/>
    <w:rsid w:val="009108D2"/>
    <w:rsid w:val="009109CC"/>
    <w:rsid w:val="00910EA6"/>
    <w:rsid w:val="00910F86"/>
    <w:rsid w:val="00911017"/>
    <w:rsid w:val="00911363"/>
    <w:rsid w:val="0091141D"/>
    <w:rsid w:val="00911444"/>
    <w:rsid w:val="009115D9"/>
    <w:rsid w:val="009115FA"/>
    <w:rsid w:val="009117DC"/>
    <w:rsid w:val="00911886"/>
    <w:rsid w:val="00911ABE"/>
    <w:rsid w:val="00911E26"/>
    <w:rsid w:val="00911E9B"/>
    <w:rsid w:val="009120EE"/>
    <w:rsid w:val="00912210"/>
    <w:rsid w:val="00912258"/>
    <w:rsid w:val="00912325"/>
    <w:rsid w:val="009125D9"/>
    <w:rsid w:val="00912831"/>
    <w:rsid w:val="0091293C"/>
    <w:rsid w:val="00912979"/>
    <w:rsid w:val="00912B39"/>
    <w:rsid w:val="00912CF1"/>
    <w:rsid w:val="00912F92"/>
    <w:rsid w:val="009131E2"/>
    <w:rsid w:val="009135AF"/>
    <w:rsid w:val="009135EB"/>
    <w:rsid w:val="009138E3"/>
    <w:rsid w:val="009139A6"/>
    <w:rsid w:val="00913A0B"/>
    <w:rsid w:val="00913A51"/>
    <w:rsid w:val="00913C23"/>
    <w:rsid w:val="00913D47"/>
    <w:rsid w:val="00913D8E"/>
    <w:rsid w:val="00913DA5"/>
    <w:rsid w:val="00913DD2"/>
    <w:rsid w:val="0091409F"/>
    <w:rsid w:val="00914223"/>
    <w:rsid w:val="009142AE"/>
    <w:rsid w:val="00914A95"/>
    <w:rsid w:val="00914CC0"/>
    <w:rsid w:val="00914CF2"/>
    <w:rsid w:val="00914D10"/>
    <w:rsid w:val="00914E2F"/>
    <w:rsid w:val="00914F55"/>
    <w:rsid w:val="00914FF6"/>
    <w:rsid w:val="009150F4"/>
    <w:rsid w:val="0091548C"/>
    <w:rsid w:val="0091567E"/>
    <w:rsid w:val="009156AC"/>
    <w:rsid w:val="00915726"/>
    <w:rsid w:val="00915A7F"/>
    <w:rsid w:val="00915EB2"/>
    <w:rsid w:val="009161F7"/>
    <w:rsid w:val="0091645B"/>
    <w:rsid w:val="0091647C"/>
    <w:rsid w:val="00916CD9"/>
    <w:rsid w:val="00916D53"/>
    <w:rsid w:val="00917129"/>
    <w:rsid w:val="00917C9B"/>
    <w:rsid w:val="00917D2B"/>
    <w:rsid w:val="00917D33"/>
    <w:rsid w:val="00920135"/>
    <w:rsid w:val="009202EB"/>
    <w:rsid w:val="00920623"/>
    <w:rsid w:val="00920A68"/>
    <w:rsid w:val="00920C6D"/>
    <w:rsid w:val="009211CA"/>
    <w:rsid w:val="0092123E"/>
    <w:rsid w:val="00921299"/>
    <w:rsid w:val="009215B4"/>
    <w:rsid w:val="00921896"/>
    <w:rsid w:val="00921A79"/>
    <w:rsid w:val="00921B24"/>
    <w:rsid w:val="00921BDC"/>
    <w:rsid w:val="00921D0A"/>
    <w:rsid w:val="00921D96"/>
    <w:rsid w:val="00921E37"/>
    <w:rsid w:val="009226C0"/>
    <w:rsid w:val="009227D3"/>
    <w:rsid w:val="009229D3"/>
    <w:rsid w:val="00922C1B"/>
    <w:rsid w:val="00922CEF"/>
    <w:rsid w:val="00923058"/>
    <w:rsid w:val="00923071"/>
    <w:rsid w:val="009231A4"/>
    <w:rsid w:val="0092372E"/>
    <w:rsid w:val="00923887"/>
    <w:rsid w:val="00923BCC"/>
    <w:rsid w:val="00923D31"/>
    <w:rsid w:val="00923D3F"/>
    <w:rsid w:val="00923FBE"/>
    <w:rsid w:val="00924247"/>
    <w:rsid w:val="009242BA"/>
    <w:rsid w:val="009243EF"/>
    <w:rsid w:val="0092449E"/>
    <w:rsid w:val="0092463B"/>
    <w:rsid w:val="0092495E"/>
    <w:rsid w:val="009249BA"/>
    <w:rsid w:val="00924DFF"/>
    <w:rsid w:val="00924E7C"/>
    <w:rsid w:val="00924F64"/>
    <w:rsid w:val="00924F98"/>
    <w:rsid w:val="0092506C"/>
    <w:rsid w:val="0092524E"/>
    <w:rsid w:val="00925284"/>
    <w:rsid w:val="00925481"/>
    <w:rsid w:val="0092556F"/>
    <w:rsid w:val="00925688"/>
    <w:rsid w:val="009258F3"/>
    <w:rsid w:val="00925D40"/>
    <w:rsid w:val="0092605E"/>
    <w:rsid w:val="009260BD"/>
    <w:rsid w:val="0092627B"/>
    <w:rsid w:val="00926346"/>
    <w:rsid w:val="0092651C"/>
    <w:rsid w:val="0092679C"/>
    <w:rsid w:val="00926A2C"/>
    <w:rsid w:val="00926BB4"/>
    <w:rsid w:val="00926CA4"/>
    <w:rsid w:val="00926DDA"/>
    <w:rsid w:val="00927015"/>
    <w:rsid w:val="009275AE"/>
    <w:rsid w:val="00927638"/>
    <w:rsid w:val="00927927"/>
    <w:rsid w:val="00927975"/>
    <w:rsid w:val="0092799B"/>
    <w:rsid w:val="00927B02"/>
    <w:rsid w:val="00927B9B"/>
    <w:rsid w:val="00927BB8"/>
    <w:rsid w:val="0093065C"/>
    <w:rsid w:val="00930884"/>
    <w:rsid w:val="00930978"/>
    <w:rsid w:val="00930AB0"/>
    <w:rsid w:val="00930B10"/>
    <w:rsid w:val="00930E74"/>
    <w:rsid w:val="00930E9B"/>
    <w:rsid w:val="00931015"/>
    <w:rsid w:val="00931285"/>
    <w:rsid w:val="00931328"/>
    <w:rsid w:val="00931362"/>
    <w:rsid w:val="00931382"/>
    <w:rsid w:val="00931719"/>
    <w:rsid w:val="00931932"/>
    <w:rsid w:val="0093195F"/>
    <w:rsid w:val="00931AEE"/>
    <w:rsid w:val="00931DD0"/>
    <w:rsid w:val="00931E76"/>
    <w:rsid w:val="00931FD6"/>
    <w:rsid w:val="0093209F"/>
    <w:rsid w:val="009323AA"/>
    <w:rsid w:val="00932731"/>
    <w:rsid w:val="0093282A"/>
    <w:rsid w:val="00932863"/>
    <w:rsid w:val="00932878"/>
    <w:rsid w:val="00932975"/>
    <w:rsid w:val="009329A4"/>
    <w:rsid w:val="00932D07"/>
    <w:rsid w:val="00932D3E"/>
    <w:rsid w:val="00932D5A"/>
    <w:rsid w:val="009330A4"/>
    <w:rsid w:val="00933217"/>
    <w:rsid w:val="009332AF"/>
    <w:rsid w:val="00933334"/>
    <w:rsid w:val="0093373A"/>
    <w:rsid w:val="009337CF"/>
    <w:rsid w:val="009338A7"/>
    <w:rsid w:val="0093394D"/>
    <w:rsid w:val="00933985"/>
    <w:rsid w:val="009339CB"/>
    <w:rsid w:val="00933D13"/>
    <w:rsid w:val="00933E8E"/>
    <w:rsid w:val="00933FE0"/>
    <w:rsid w:val="009341EC"/>
    <w:rsid w:val="0093436E"/>
    <w:rsid w:val="009343B4"/>
    <w:rsid w:val="00934463"/>
    <w:rsid w:val="00934547"/>
    <w:rsid w:val="009346B6"/>
    <w:rsid w:val="009347AD"/>
    <w:rsid w:val="0093484F"/>
    <w:rsid w:val="00934916"/>
    <w:rsid w:val="00934955"/>
    <w:rsid w:val="00934BED"/>
    <w:rsid w:val="00934C47"/>
    <w:rsid w:val="00934C7F"/>
    <w:rsid w:val="00934D06"/>
    <w:rsid w:val="00934EA8"/>
    <w:rsid w:val="00935409"/>
    <w:rsid w:val="0093557A"/>
    <w:rsid w:val="00935638"/>
    <w:rsid w:val="00935754"/>
    <w:rsid w:val="009359B3"/>
    <w:rsid w:val="00935A52"/>
    <w:rsid w:val="00935A76"/>
    <w:rsid w:val="00935D9B"/>
    <w:rsid w:val="00935DFE"/>
    <w:rsid w:val="00936385"/>
    <w:rsid w:val="00936471"/>
    <w:rsid w:val="00936520"/>
    <w:rsid w:val="009366E6"/>
    <w:rsid w:val="00936AF3"/>
    <w:rsid w:val="00936B05"/>
    <w:rsid w:val="00936CE9"/>
    <w:rsid w:val="00937168"/>
    <w:rsid w:val="009378B3"/>
    <w:rsid w:val="009378F8"/>
    <w:rsid w:val="0093795D"/>
    <w:rsid w:val="009379A5"/>
    <w:rsid w:val="00937A60"/>
    <w:rsid w:val="00937B0E"/>
    <w:rsid w:val="00937D99"/>
    <w:rsid w:val="00937FB7"/>
    <w:rsid w:val="00940141"/>
    <w:rsid w:val="0094016B"/>
    <w:rsid w:val="0094021A"/>
    <w:rsid w:val="00940300"/>
    <w:rsid w:val="009403AA"/>
    <w:rsid w:val="00940547"/>
    <w:rsid w:val="0094055F"/>
    <w:rsid w:val="00940570"/>
    <w:rsid w:val="0094065D"/>
    <w:rsid w:val="00940791"/>
    <w:rsid w:val="009407CE"/>
    <w:rsid w:val="0094105E"/>
    <w:rsid w:val="0094106D"/>
    <w:rsid w:val="009410DC"/>
    <w:rsid w:val="009410E2"/>
    <w:rsid w:val="0094112E"/>
    <w:rsid w:val="0094121B"/>
    <w:rsid w:val="00941343"/>
    <w:rsid w:val="00941C87"/>
    <w:rsid w:val="00941DFF"/>
    <w:rsid w:val="00941E6A"/>
    <w:rsid w:val="00941E98"/>
    <w:rsid w:val="00941FFC"/>
    <w:rsid w:val="00942033"/>
    <w:rsid w:val="00942069"/>
    <w:rsid w:val="009420FD"/>
    <w:rsid w:val="009421A9"/>
    <w:rsid w:val="009424FD"/>
    <w:rsid w:val="00942547"/>
    <w:rsid w:val="009425E0"/>
    <w:rsid w:val="00942682"/>
    <w:rsid w:val="00942684"/>
    <w:rsid w:val="00942709"/>
    <w:rsid w:val="00942843"/>
    <w:rsid w:val="009429B1"/>
    <w:rsid w:val="00942B41"/>
    <w:rsid w:val="00942C0E"/>
    <w:rsid w:val="0094303B"/>
    <w:rsid w:val="0094329B"/>
    <w:rsid w:val="009434D4"/>
    <w:rsid w:val="00943646"/>
    <w:rsid w:val="009436B7"/>
    <w:rsid w:val="00943728"/>
    <w:rsid w:val="009437B8"/>
    <w:rsid w:val="0094382B"/>
    <w:rsid w:val="00943841"/>
    <w:rsid w:val="00943890"/>
    <w:rsid w:val="00943A41"/>
    <w:rsid w:val="00943A54"/>
    <w:rsid w:val="00943A7A"/>
    <w:rsid w:val="00943C0C"/>
    <w:rsid w:val="00943C69"/>
    <w:rsid w:val="00943DF9"/>
    <w:rsid w:val="00943F30"/>
    <w:rsid w:val="00944002"/>
    <w:rsid w:val="0094425B"/>
    <w:rsid w:val="0094432D"/>
    <w:rsid w:val="009447CD"/>
    <w:rsid w:val="00944AAA"/>
    <w:rsid w:val="00944BF6"/>
    <w:rsid w:val="00944CF0"/>
    <w:rsid w:val="0094502F"/>
    <w:rsid w:val="00945117"/>
    <w:rsid w:val="0094559E"/>
    <w:rsid w:val="009455EC"/>
    <w:rsid w:val="00945C71"/>
    <w:rsid w:val="00945CFC"/>
    <w:rsid w:val="0094601E"/>
    <w:rsid w:val="009461F2"/>
    <w:rsid w:val="0094627B"/>
    <w:rsid w:val="0094632F"/>
    <w:rsid w:val="0094660C"/>
    <w:rsid w:val="0094664B"/>
    <w:rsid w:val="00946A8E"/>
    <w:rsid w:val="00946B42"/>
    <w:rsid w:val="00946CEE"/>
    <w:rsid w:val="00946D37"/>
    <w:rsid w:val="009474A3"/>
    <w:rsid w:val="00947536"/>
    <w:rsid w:val="00947901"/>
    <w:rsid w:val="00947DB4"/>
    <w:rsid w:val="00947F78"/>
    <w:rsid w:val="00950066"/>
    <w:rsid w:val="00950380"/>
    <w:rsid w:val="009508AC"/>
    <w:rsid w:val="00950908"/>
    <w:rsid w:val="00950970"/>
    <w:rsid w:val="00950A87"/>
    <w:rsid w:val="00950A9E"/>
    <w:rsid w:val="00950AAA"/>
    <w:rsid w:val="00950C42"/>
    <w:rsid w:val="00950C92"/>
    <w:rsid w:val="00950DDC"/>
    <w:rsid w:val="009513CC"/>
    <w:rsid w:val="00951536"/>
    <w:rsid w:val="00951605"/>
    <w:rsid w:val="0095183D"/>
    <w:rsid w:val="00951916"/>
    <w:rsid w:val="0095195E"/>
    <w:rsid w:val="0095198A"/>
    <w:rsid w:val="00951C48"/>
    <w:rsid w:val="00952157"/>
    <w:rsid w:val="00952353"/>
    <w:rsid w:val="00952376"/>
    <w:rsid w:val="00952524"/>
    <w:rsid w:val="00952628"/>
    <w:rsid w:val="0095288D"/>
    <w:rsid w:val="00952BF3"/>
    <w:rsid w:val="00952E3A"/>
    <w:rsid w:val="00953376"/>
    <w:rsid w:val="009534E0"/>
    <w:rsid w:val="009538D9"/>
    <w:rsid w:val="00953E10"/>
    <w:rsid w:val="00953FDE"/>
    <w:rsid w:val="00954232"/>
    <w:rsid w:val="00954562"/>
    <w:rsid w:val="009546B1"/>
    <w:rsid w:val="009546CC"/>
    <w:rsid w:val="00954847"/>
    <w:rsid w:val="009548D6"/>
    <w:rsid w:val="00954BED"/>
    <w:rsid w:val="00954BFE"/>
    <w:rsid w:val="00954C36"/>
    <w:rsid w:val="00955143"/>
    <w:rsid w:val="00955168"/>
    <w:rsid w:val="009551A2"/>
    <w:rsid w:val="0095525B"/>
    <w:rsid w:val="009553C1"/>
    <w:rsid w:val="009556BB"/>
    <w:rsid w:val="009557B5"/>
    <w:rsid w:val="009557CA"/>
    <w:rsid w:val="00955932"/>
    <w:rsid w:val="00956179"/>
    <w:rsid w:val="00956385"/>
    <w:rsid w:val="009563E8"/>
    <w:rsid w:val="009564D0"/>
    <w:rsid w:val="0095657A"/>
    <w:rsid w:val="00956682"/>
    <w:rsid w:val="0095669D"/>
    <w:rsid w:val="00956759"/>
    <w:rsid w:val="0095684B"/>
    <w:rsid w:val="0095692A"/>
    <w:rsid w:val="00957051"/>
    <w:rsid w:val="009571EB"/>
    <w:rsid w:val="0095722C"/>
    <w:rsid w:val="009575A5"/>
    <w:rsid w:val="00957767"/>
    <w:rsid w:val="00957B8E"/>
    <w:rsid w:val="00957E61"/>
    <w:rsid w:val="00960097"/>
    <w:rsid w:val="009601F9"/>
    <w:rsid w:val="009603A1"/>
    <w:rsid w:val="009605FD"/>
    <w:rsid w:val="00960641"/>
    <w:rsid w:val="00960779"/>
    <w:rsid w:val="00960959"/>
    <w:rsid w:val="00960A21"/>
    <w:rsid w:val="00960BF5"/>
    <w:rsid w:val="00960CB2"/>
    <w:rsid w:val="00960F4E"/>
    <w:rsid w:val="00960F9E"/>
    <w:rsid w:val="00960FBD"/>
    <w:rsid w:val="009615DE"/>
    <w:rsid w:val="009616E3"/>
    <w:rsid w:val="00961836"/>
    <w:rsid w:val="00961B28"/>
    <w:rsid w:val="00961DAE"/>
    <w:rsid w:val="00961DF3"/>
    <w:rsid w:val="0096246B"/>
    <w:rsid w:val="009627E8"/>
    <w:rsid w:val="00962884"/>
    <w:rsid w:val="00962AFC"/>
    <w:rsid w:val="00962C27"/>
    <w:rsid w:val="00962F79"/>
    <w:rsid w:val="00962FCF"/>
    <w:rsid w:val="00963205"/>
    <w:rsid w:val="009634DF"/>
    <w:rsid w:val="009635B5"/>
    <w:rsid w:val="00963717"/>
    <w:rsid w:val="00963942"/>
    <w:rsid w:val="00963978"/>
    <w:rsid w:val="00963BBC"/>
    <w:rsid w:val="00963E50"/>
    <w:rsid w:val="0096428D"/>
    <w:rsid w:val="009642A5"/>
    <w:rsid w:val="009644F3"/>
    <w:rsid w:val="00964796"/>
    <w:rsid w:val="009647A7"/>
    <w:rsid w:val="00964859"/>
    <w:rsid w:val="0096494B"/>
    <w:rsid w:val="00964987"/>
    <w:rsid w:val="00964C48"/>
    <w:rsid w:val="00964D9C"/>
    <w:rsid w:val="009652ED"/>
    <w:rsid w:val="009659BC"/>
    <w:rsid w:val="009659C8"/>
    <w:rsid w:val="00965A81"/>
    <w:rsid w:val="00965AEA"/>
    <w:rsid w:val="00965B1D"/>
    <w:rsid w:val="00965C0F"/>
    <w:rsid w:val="00965D33"/>
    <w:rsid w:val="00965D86"/>
    <w:rsid w:val="00965ED5"/>
    <w:rsid w:val="00965F72"/>
    <w:rsid w:val="00966167"/>
    <w:rsid w:val="009662AA"/>
    <w:rsid w:val="0096669E"/>
    <w:rsid w:val="00966818"/>
    <w:rsid w:val="00966C74"/>
    <w:rsid w:val="00966CA1"/>
    <w:rsid w:val="00966D58"/>
    <w:rsid w:val="00966E2A"/>
    <w:rsid w:val="00967008"/>
    <w:rsid w:val="00967035"/>
    <w:rsid w:val="009671F0"/>
    <w:rsid w:val="00967211"/>
    <w:rsid w:val="0096731C"/>
    <w:rsid w:val="009674F3"/>
    <w:rsid w:val="00967845"/>
    <w:rsid w:val="009679A6"/>
    <w:rsid w:val="00967B05"/>
    <w:rsid w:val="00970423"/>
    <w:rsid w:val="0097051C"/>
    <w:rsid w:val="00970659"/>
    <w:rsid w:val="00970BC4"/>
    <w:rsid w:val="00970E1F"/>
    <w:rsid w:val="00971000"/>
    <w:rsid w:val="009710F9"/>
    <w:rsid w:val="00971198"/>
    <w:rsid w:val="009711E2"/>
    <w:rsid w:val="0097173F"/>
    <w:rsid w:val="00971A70"/>
    <w:rsid w:val="00971AE8"/>
    <w:rsid w:val="00971B7D"/>
    <w:rsid w:val="00971CC5"/>
    <w:rsid w:val="009722F5"/>
    <w:rsid w:val="0097256A"/>
    <w:rsid w:val="00972664"/>
    <w:rsid w:val="0097277A"/>
    <w:rsid w:val="00972F95"/>
    <w:rsid w:val="00973266"/>
    <w:rsid w:val="00973682"/>
    <w:rsid w:val="00973902"/>
    <w:rsid w:val="00973E39"/>
    <w:rsid w:val="00973F24"/>
    <w:rsid w:val="00974153"/>
    <w:rsid w:val="009741C9"/>
    <w:rsid w:val="009741E0"/>
    <w:rsid w:val="009742F2"/>
    <w:rsid w:val="0097435E"/>
    <w:rsid w:val="00974411"/>
    <w:rsid w:val="00974517"/>
    <w:rsid w:val="00974598"/>
    <w:rsid w:val="00974602"/>
    <w:rsid w:val="009746A2"/>
    <w:rsid w:val="00974730"/>
    <w:rsid w:val="00974A09"/>
    <w:rsid w:val="00974AD5"/>
    <w:rsid w:val="00974BCC"/>
    <w:rsid w:val="00974C55"/>
    <w:rsid w:val="00974D51"/>
    <w:rsid w:val="00974EF8"/>
    <w:rsid w:val="0097526E"/>
    <w:rsid w:val="00975311"/>
    <w:rsid w:val="009754F4"/>
    <w:rsid w:val="00975605"/>
    <w:rsid w:val="00975638"/>
    <w:rsid w:val="0097567B"/>
    <w:rsid w:val="00975786"/>
    <w:rsid w:val="00975916"/>
    <w:rsid w:val="009759F2"/>
    <w:rsid w:val="00975A85"/>
    <w:rsid w:val="00975B52"/>
    <w:rsid w:val="00975BE4"/>
    <w:rsid w:val="00975C07"/>
    <w:rsid w:val="00975DA9"/>
    <w:rsid w:val="00975F13"/>
    <w:rsid w:val="00975F87"/>
    <w:rsid w:val="009764B0"/>
    <w:rsid w:val="00976739"/>
    <w:rsid w:val="00976757"/>
    <w:rsid w:val="00976872"/>
    <w:rsid w:val="0097692E"/>
    <w:rsid w:val="00976A34"/>
    <w:rsid w:val="00976A4D"/>
    <w:rsid w:val="00976AEE"/>
    <w:rsid w:val="00976B88"/>
    <w:rsid w:val="00976C1E"/>
    <w:rsid w:val="00976DD4"/>
    <w:rsid w:val="00976E04"/>
    <w:rsid w:val="00976E5A"/>
    <w:rsid w:val="00976F83"/>
    <w:rsid w:val="00976FC1"/>
    <w:rsid w:val="0097704D"/>
    <w:rsid w:val="00977078"/>
    <w:rsid w:val="00977D68"/>
    <w:rsid w:val="00980047"/>
    <w:rsid w:val="0098014F"/>
    <w:rsid w:val="009803F5"/>
    <w:rsid w:val="0098042E"/>
    <w:rsid w:val="00980545"/>
    <w:rsid w:val="00980702"/>
    <w:rsid w:val="009807BD"/>
    <w:rsid w:val="009807F2"/>
    <w:rsid w:val="00980AA3"/>
    <w:rsid w:val="00980AB5"/>
    <w:rsid w:val="00980E30"/>
    <w:rsid w:val="00980E53"/>
    <w:rsid w:val="00981275"/>
    <w:rsid w:val="00981456"/>
    <w:rsid w:val="00981A62"/>
    <w:rsid w:val="00981F14"/>
    <w:rsid w:val="00981FCC"/>
    <w:rsid w:val="0098206E"/>
    <w:rsid w:val="0098211B"/>
    <w:rsid w:val="00982190"/>
    <w:rsid w:val="0098233F"/>
    <w:rsid w:val="0098244A"/>
    <w:rsid w:val="0098250D"/>
    <w:rsid w:val="0098267D"/>
    <w:rsid w:val="009826A8"/>
    <w:rsid w:val="0098294A"/>
    <w:rsid w:val="00982C9B"/>
    <w:rsid w:val="00982CA5"/>
    <w:rsid w:val="00982D67"/>
    <w:rsid w:val="00983134"/>
    <w:rsid w:val="0098342E"/>
    <w:rsid w:val="0098345E"/>
    <w:rsid w:val="00983550"/>
    <w:rsid w:val="00983612"/>
    <w:rsid w:val="0098362B"/>
    <w:rsid w:val="0098386A"/>
    <w:rsid w:val="009839E0"/>
    <w:rsid w:val="00983B7D"/>
    <w:rsid w:val="00984133"/>
    <w:rsid w:val="0098458B"/>
    <w:rsid w:val="0098465A"/>
    <w:rsid w:val="00984721"/>
    <w:rsid w:val="00984B05"/>
    <w:rsid w:val="00984E71"/>
    <w:rsid w:val="009854EF"/>
    <w:rsid w:val="00985AF0"/>
    <w:rsid w:val="00985B76"/>
    <w:rsid w:val="009869CC"/>
    <w:rsid w:val="009869CE"/>
    <w:rsid w:val="009869DF"/>
    <w:rsid w:val="00986BD4"/>
    <w:rsid w:val="00986C3A"/>
    <w:rsid w:val="00986CCD"/>
    <w:rsid w:val="00987292"/>
    <w:rsid w:val="00987317"/>
    <w:rsid w:val="00987796"/>
    <w:rsid w:val="0098786B"/>
    <w:rsid w:val="0098796C"/>
    <w:rsid w:val="00987C4D"/>
    <w:rsid w:val="0099006E"/>
    <w:rsid w:val="009901C6"/>
    <w:rsid w:val="009903C9"/>
    <w:rsid w:val="009905AD"/>
    <w:rsid w:val="0099072C"/>
    <w:rsid w:val="009909B8"/>
    <w:rsid w:val="00990BC5"/>
    <w:rsid w:val="00990C57"/>
    <w:rsid w:val="00990C76"/>
    <w:rsid w:val="00990C97"/>
    <w:rsid w:val="009910D4"/>
    <w:rsid w:val="00991162"/>
    <w:rsid w:val="0099119A"/>
    <w:rsid w:val="009912DC"/>
    <w:rsid w:val="009913D9"/>
    <w:rsid w:val="009913FA"/>
    <w:rsid w:val="00991546"/>
    <w:rsid w:val="0099163D"/>
    <w:rsid w:val="009917F7"/>
    <w:rsid w:val="00991F81"/>
    <w:rsid w:val="00992101"/>
    <w:rsid w:val="009924AE"/>
    <w:rsid w:val="00992D08"/>
    <w:rsid w:val="009930D4"/>
    <w:rsid w:val="0099318E"/>
    <w:rsid w:val="0099375A"/>
    <w:rsid w:val="00993C7A"/>
    <w:rsid w:val="00993ED7"/>
    <w:rsid w:val="00993FA8"/>
    <w:rsid w:val="009941C8"/>
    <w:rsid w:val="0099434C"/>
    <w:rsid w:val="00994465"/>
    <w:rsid w:val="0099457E"/>
    <w:rsid w:val="009947B7"/>
    <w:rsid w:val="00994CC0"/>
    <w:rsid w:val="00994E27"/>
    <w:rsid w:val="00994FDB"/>
    <w:rsid w:val="0099509A"/>
    <w:rsid w:val="009950AA"/>
    <w:rsid w:val="009952EC"/>
    <w:rsid w:val="009958E2"/>
    <w:rsid w:val="00995A35"/>
    <w:rsid w:val="00995CB9"/>
    <w:rsid w:val="00995CE0"/>
    <w:rsid w:val="00995D91"/>
    <w:rsid w:val="00995FAA"/>
    <w:rsid w:val="00995FAE"/>
    <w:rsid w:val="009964C4"/>
    <w:rsid w:val="00996767"/>
    <w:rsid w:val="00996CBD"/>
    <w:rsid w:val="00996E67"/>
    <w:rsid w:val="00996E89"/>
    <w:rsid w:val="00997006"/>
    <w:rsid w:val="00997097"/>
    <w:rsid w:val="009971E9"/>
    <w:rsid w:val="009975B4"/>
    <w:rsid w:val="009975F8"/>
    <w:rsid w:val="009977AB"/>
    <w:rsid w:val="009979A0"/>
    <w:rsid w:val="009A038A"/>
    <w:rsid w:val="009A0393"/>
    <w:rsid w:val="009A03E8"/>
    <w:rsid w:val="009A06A6"/>
    <w:rsid w:val="009A097F"/>
    <w:rsid w:val="009A0A20"/>
    <w:rsid w:val="009A0C3F"/>
    <w:rsid w:val="009A1110"/>
    <w:rsid w:val="009A1474"/>
    <w:rsid w:val="009A154A"/>
    <w:rsid w:val="009A15AA"/>
    <w:rsid w:val="009A1769"/>
    <w:rsid w:val="009A1C7B"/>
    <w:rsid w:val="009A1CA0"/>
    <w:rsid w:val="009A1E6B"/>
    <w:rsid w:val="009A1F47"/>
    <w:rsid w:val="009A2779"/>
    <w:rsid w:val="009A29FB"/>
    <w:rsid w:val="009A2B73"/>
    <w:rsid w:val="009A2E7F"/>
    <w:rsid w:val="009A320A"/>
    <w:rsid w:val="009A39C6"/>
    <w:rsid w:val="009A3A24"/>
    <w:rsid w:val="009A3B1E"/>
    <w:rsid w:val="009A3BE5"/>
    <w:rsid w:val="009A3DC8"/>
    <w:rsid w:val="009A3E34"/>
    <w:rsid w:val="009A3E95"/>
    <w:rsid w:val="009A3F5C"/>
    <w:rsid w:val="009A3FA1"/>
    <w:rsid w:val="009A4142"/>
    <w:rsid w:val="009A42D0"/>
    <w:rsid w:val="009A4306"/>
    <w:rsid w:val="009A43AC"/>
    <w:rsid w:val="009A441A"/>
    <w:rsid w:val="009A448B"/>
    <w:rsid w:val="009A45D6"/>
    <w:rsid w:val="009A4B4C"/>
    <w:rsid w:val="009A4C36"/>
    <w:rsid w:val="009A4FBA"/>
    <w:rsid w:val="009A56A6"/>
    <w:rsid w:val="009A56F6"/>
    <w:rsid w:val="009A5707"/>
    <w:rsid w:val="009A570D"/>
    <w:rsid w:val="009A5C7B"/>
    <w:rsid w:val="009A5D8D"/>
    <w:rsid w:val="009A5EF1"/>
    <w:rsid w:val="009A60C1"/>
    <w:rsid w:val="009A6479"/>
    <w:rsid w:val="009A66A1"/>
    <w:rsid w:val="009A67FC"/>
    <w:rsid w:val="009A68B1"/>
    <w:rsid w:val="009A69E6"/>
    <w:rsid w:val="009A6AAB"/>
    <w:rsid w:val="009A6CC8"/>
    <w:rsid w:val="009A7024"/>
    <w:rsid w:val="009A73F2"/>
    <w:rsid w:val="009A740D"/>
    <w:rsid w:val="009A765C"/>
    <w:rsid w:val="009A7695"/>
    <w:rsid w:val="009A76A1"/>
    <w:rsid w:val="009A782A"/>
    <w:rsid w:val="009A799A"/>
    <w:rsid w:val="009A7C88"/>
    <w:rsid w:val="009A7D05"/>
    <w:rsid w:val="009A7DA8"/>
    <w:rsid w:val="009A7FAD"/>
    <w:rsid w:val="009B007D"/>
    <w:rsid w:val="009B0432"/>
    <w:rsid w:val="009B07B5"/>
    <w:rsid w:val="009B07C2"/>
    <w:rsid w:val="009B0A05"/>
    <w:rsid w:val="009B0A3A"/>
    <w:rsid w:val="009B0A5B"/>
    <w:rsid w:val="009B0A5F"/>
    <w:rsid w:val="009B0E4B"/>
    <w:rsid w:val="009B12C2"/>
    <w:rsid w:val="009B145C"/>
    <w:rsid w:val="009B16FB"/>
    <w:rsid w:val="009B1BA6"/>
    <w:rsid w:val="009B1BB5"/>
    <w:rsid w:val="009B1CFE"/>
    <w:rsid w:val="009B1FFD"/>
    <w:rsid w:val="009B2272"/>
    <w:rsid w:val="009B25BB"/>
    <w:rsid w:val="009B2D82"/>
    <w:rsid w:val="009B2E67"/>
    <w:rsid w:val="009B3394"/>
    <w:rsid w:val="009B33BD"/>
    <w:rsid w:val="009B3491"/>
    <w:rsid w:val="009B34E7"/>
    <w:rsid w:val="009B3712"/>
    <w:rsid w:val="009B3813"/>
    <w:rsid w:val="009B38EF"/>
    <w:rsid w:val="009B3CB5"/>
    <w:rsid w:val="009B4194"/>
    <w:rsid w:val="009B4259"/>
    <w:rsid w:val="009B4787"/>
    <w:rsid w:val="009B5112"/>
    <w:rsid w:val="009B5283"/>
    <w:rsid w:val="009B544A"/>
    <w:rsid w:val="009B56B1"/>
    <w:rsid w:val="009B5704"/>
    <w:rsid w:val="009B5A40"/>
    <w:rsid w:val="009B5D90"/>
    <w:rsid w:val="009B5FB7"/>
    <w:rsid w:val="009B608C"/>
    <w:rsid w:val="009B61CD"/>
    <w:rsid w:val="009B6269"/>
    <w:rsid w:val="009B6420"/>
    <w:rsid w:val="009B647D"/>
    <w:rsid w:val="009B64E6"/>
    <w:rsid w:val="009B68D7"/>
    <w:rsid w:val="009B6BDA"/>
    <w:rsid w:val="009B6F5B"/>
    <w:rsid w:val="009B70B6"/>
    <w:rsid w:val="009B7130"/>
    <w:rsid w:val="009B753C"/>
    <w:rsid w:val="009B7933"/>
    <w:rsid w:val="009B7AAF"/>
    <w:rsid w:val="009B7BA2"/>
    <w:rsid w:val="009B7BE9"/>
    <w:rsid w:val="009B7D4B"/>
    <w:rsid w:val="009C004D"/>
    <w:rsid w:val="009C0066"/>
    <w:rsid w:val="009C0207"/>
    <w:rsid w:val="009C0220"/>
    <w:rsid w:val="009C0608"/>
    <w:rsid w:val="009C08A6"/>
    <w:rsid w:val="009C093C"/>
    <w:rsid w:val="009C09CB"/>
    <w:rsid w:val="009C0D9E"/>
    <w:rsid w:val="009C1786"/>
    <w:rsid w:val="009C17C0"/>
    <w:rsid w:val="009C1B9F"/>
    <w:rsid w:val="009C1BB5"/>
    <w:rsid w:val="009C1C18"/>
    <w:rsid w:val="009C1E3C"/>
    <w:rsid w:val="009C1EAC"/>
    <w:rsid w:val="009C1F79"/>
    <w:rsid w:val="009C201B"/>
    <w:rsid w:val="009C2318"/>
    <w:rsid w:val="009C2655"/>
    <w:rsid w:val="009C2A15"/>
    <w:rsid w:val="009C2E55"/>
    <w:rsid w:val="009C3443"/>
    <w:rsid w:val="009C3B0F"/>
    <w:rsid w:val="009C3DD8"/>
    <w:rsid w:val="009C3E7D"/>
    <w:rsid w:val="009C4306"/>
    <w:rsid w:val="009C4382"/>
    <w:rsid w:val="009C4401"/>
    <w:rsid w:val="009C48E0"/>
    <w:rsid w:val="009C48E1"/>
    <w:rsid w:val="009C49D1"/>
    <w:rsid w:val="009C4C44"/>
    <w:rsid w:val="009C4E0C"/>
    <w:rsid w:val="009C4E6D"/>
    <w:rsid w:val="009C4F2B"/>
    <w:rsid w:val="009C4FE1"/>
    <w:rsid w:val="009C5167"/>
    <w:rsid w:val="009C5190"/>
    <w:rsid w:val="009C56C8"/>
    <w:rsid w:val="009C5872"/>
    <w:rsid w:val="009C5AE5"/>
    <w:rsid w:val="009C5BAC"/>
    <w:rsid w:val="009C60A6"/>
    <w:rsid w:val="009C60F0"/>
    <w:rsid w:val="009C61BB"/>
    <w:rsid w:val="009C6258"/>
    <w:rsid w:val="009C676A"/>
    <w:rsid w:val="009C6B64"/>
    <w:rsid w:val="009C6D47"/>
    <w:rsid w:val="009C6D7E"/>
    <w:rsid w:val="009C6DE1"/>
    <w:rsid w:val="009C6E96"/>
    <w:rsid w:val="009C7193"/>
    <w:rsid w:val="009C73E8"/>
    <w:rsid w:val="009C741F"/>
    <w:rsid w:val="009C7660"/>
    <w:rsid w:val="009C76F3"/>
    <w:rsid w:val="009C76FD"/>
    <w:rsid w:val="009C7CC2"/>
    <w:rsid w:val="009D01EC"/>
    <w:rsid w:val="009D029C"/>
    <w:rsid w:val="009D0462"/>
    <w:rsid w:val="009D05D2"/>
    <w:rsid w:val="009D073E"/>
    <w:rsid w:val="009D08A9"/>
    <w:rsid w:val="009D0A64"/>
    <w:rsid w:val="009D1357"/>
    <w:rsid w:val="009D13CD"/>
    <w:rsid w:val="009D1425"/>
    <w:rsid w:val="009D1515"/>
    <w:rsid w:val="009D1863"/>
    <w:rsid w:val="009D1994"/>
    <w:rsid w:val="009D199E"/>
    <w:rsid w:val="009D1A93"/>
    <w:rsid w:val="009D1AE4"/>
    <w:rsid w:val="009D1BDC"/>
    <w:rsid w:val="009D1E7A"/>
    <w:rsid w:val="009D20A1"/>
    <w:rsid w:val="009D21C3"/>
    <w:rsid w:val="009D24CE"/>
    <w:rsid w:val="009D2523"/>
    <w:rsid w:val="009D25F5"/>
    <w:rsid w:val="009D2727"/>
    <w:rsid w:val="009D2D20"/>
    <w:rsid w:val="009D2D23"/>
    <w:rsid w:val="009D30ED"/>
    <w:rsid w:val="009D32D1"/>
    <w:rsid w:val="009D3319"/>
    <w:rsid w:val="009D3366"/>
    <w:rsid w:val="009D33D3"/>
    <w:rsid w:val="009D35A1"/>
    <w:rsid w:val="009D36BB"/>
    <w:rsid w:val="009D38C2"/>
    <w:rsid w:val="009D3933"/>
    <w:rsid w:val="009D3A0E"/>
    <w:rsid w:val="009D3A5F"/>
    <w:rsid w:val="009D3AEC"/>
    <w:rsid w:val="009D3B73"/>
    <w:rsid w:val="009D3B95"/>
    <w:rsid w:val="009D3D94"/>
    <w:rsid w:val="009D3EB0"/>
    <w:rsid w:val="009D4031"/>
    <w:rsid w:val="009D40D8"/>
    <w:rsid w:val="009D4662"/>
    <w:rsid w:val="009D4A06"/>
    <w:rsid w:val="009D4B87"/>
    <w:rsid w:val="009D4C61"/>
    <w:rsid w:val="009D4E0B"/>
    <w:rsid w:val="009D4F81"/>
    <w:rsid w:val="009D52E4"/>
    <w:rsid w:val="009D5581"/>
    <w:rsid w:val="009D55D5"/>
    <w:rsid w:val="009D5683"/>
    <w:rsid w:val="009D5857"/>
    <w:rsid w:val="009D5B06"/>
    <w:rsid w:val="009D5B14"/>
    <w:rsid w:val="009D5CF7"/>
    <w:rsid w:val="009D6049"/>
    <w:rsid w:val="009D6593"/>
    <w:rsid w:val="009D65F4"/>
    <w:rsid w:val="009D6708"/>
    <w:rsid w:val="009D6905"/>
    <w:rsid w:val="009D69C9"/>
    <w:rsid w:val="009D6A02"/>
    <w:rsid w:val="009D6AF0"/>
    <w:rsid w:val="009D6C97"/>
    <w:rsid w:val="009D7084"/>
    <w:rsid w:val="009D720E"/>
    <w:rsid w:val="009D7842"/>
    <w:rsid w:val="009D7912"/>
    <w:rsid w:val="009D7B98"/>
    <w:rsid w:val="009D7BAD"/>
    <w:rsid w:val="009D7E1C"/>
    <w:rsid w:val="009E0029"/>
    <w:rsid w:val="009E0432"/>
    <w:rsid w:val="009E0483"/>
    <w:rsid w:val="009E05BB"/>
    <w:rsid w:val="009E064E"/>
    <w:rsid w:val="009E07F8"/>
    <w:rsid w:val="009E083A"/>
    <w:rsid w:val="009E08F5"/>
    <w:rsid w:val="009E09A4"/>
    <w:rsid w:val="009E0B24"/>
    <w:rsid w:val="009E0B50"/>
    <w:rsid w:val="009E0CA6"/>
    <w:rsid w:val="009E0D13"/>
    <w:rsid w:val="009E10BD"/>
    <w:rsid w:val="009E15CE"/>
    <w:rsid w:val="009E18DE"/>
    <w:rsid w:val="009E1AD2"/>
    <w:rsid w:val="009E1E2D"/>
    <w:rsid w:val="009E1F40"/>
    <w:rsid w:val="009E222B"/>
    <w:rsid w:val="009E23C1"/>
    <w:rsid w:val="009E2645"/>
    <w:rsid w:val="009E2B45"/>
    <w:rsid w:val="009E2B93"/>
    <w:rsid w:val="009E2B9A"/>
    <w:rsid w:val="009E2DFB"/>
    <w:rsid w:val="009E2EAF"/>
    <w:rsid w:val="009E309D"/>
    <w:rsid w:val="009E31CC"/>
    <w:rsid w:val="009E3285"/>
    <w:rsid w:val="009E32DF"/>
    <w:rsid w:val="009E354D"/>
    <w:rsid w:val="009E35F3"/>
    <w:rsid w:val="009E3888"/>
    <w:rsid w:val="009E394A"/>
    <w:rsid w:val="009E3C5B"/>
    <w:rsid w:val="009E44B4"/>
    <w:rsid w:val="009E45BA"/>
    <w:rsid w:val="009E4760"/>
    <w:rsid w:val="009E47E7"/>
    <w:rsid w:val="009E4811"/>
    <w:rsid w:val="009E482F"/>
    <w:rsid w:val="009E4D0A"/>
    <w:rsid w:val="009E4D65"/>
    <w:rsid w:val="009E4F37"/>
    <w:rsid w:val="009E505A"/>
    <w:rsid w:val="009E52D7"/>
    <w:rsid w:val="009E52F9"/>
    <w:rsid w:val="009E5675"/>
    <w:rsid w:val="009E56FD"/>
    <w:rsid w:val="009E5AC0"/>
    <w:rsid w:val="009E5CCB"/>
    <w:rsid w:val="009E5E0A"/>
    <w:rsid w:val="009E5E31"/>
    <w:rsid w:val="009E63ED"/>
    <w:rsid w:val="009E6422"/>
    <w:rsid w:val="009E65EE"/>
    <w:rsid w:val="009E68B1"/>
    <w:rsid w:val="009E6928"/>
    <w:rsid w:val="009E69CB"/>
    <w:rsid w:val="009E6B7F"/>
    <w:rsid w:val="009E6BB3"/>
    <w:rsid w:val="009E6BC8"/>
    <w:rsid w:val="009E6CB5"/>
    <w:rsid w:val="009E6F22"/>
    <w:rsid w:val="009E706E"/>
    <w:rsid w:val="009E7144"/>
    <w:rsid w:val="009E751E"/>
    <w:rsid w:val="009E779B"/>
    <w:rsid w:val="009E79B3"/>
    <w:rsid w:val="009E7B08"/>
    <w:rsid w:val="009E7C94"/>
    <w:rsid w:val="009E7D5F"/>
    <w:rsid w:val="009E7E48"/>
    <w:rsid w:val="009F0016"/>
    <w:rsid w:val="009F024A"/>
    <w:rsid w:val="009F02B9"/>
    <w:rsid w:val="009F052B"/>
    <w:rsid w:val="009F06C1"/>
    <w:rsid w:val="009F0A98"/>
    <w:rsid w:val="009F0CA0"/>
    <w:rsid w:val="009F0DB3"/>
    <w:rsid w:val="009F114B"/>
    <w:rsid w:val="009F12A6"/>
    <w:rsid w:val="009F1304"/>
    <w:rsid w:val="009F16AC"/>
    <w:rsid w:val="009F17B9"/>
    <w:rsid w:val="009F1C58"/>
    <w:rsid w:val="009F1D39"/>
    <w:rsid w:val="009F1DE3"/>
    <w:rsid w:val="009F1EBA"/>
    <w:rsid w:val="009F1EEE"/>
    <w:rsid w:val="009F22B9"/>
    <w:rsid w:val="009F23A3"/>
    <w:rsid w:val="009F23DB"/>
    <w:rsid w:val="009F2D0F"/>
    <w:rsid w:val="009F2E28"/>
    <w:rsid w:val="009F30C6"/>
    <w:rsid w:val="009F353E"/>
    <w:rsid w:val="009F3727"/>
    <w:rsid w:val="009F3A9E"/>
    <w:rsid w:val="009F3BD7"/>
    <w:rsid w:val="009F3DEF"/>
    <w:rsid w:val="009F4281"/>
    <w:rsid w:val="009F43C3"/>
    <w:rsid w:val="009F44E2"/>
    <w:rsid w:val="009F4567"/>
    <w:rsid w:val="009F4569"/>
    <w:rsid w:val="009F476C"/>
    <w:rsid w:val="009F4834"/>
    <w:rsid w:val="009F4B3F"/>
    <w:rsid w:val="009F4BEB"/>
    <w:rsid w:val="009F4C0D"/>
    <w:rsid w:val="009F4C16"/>
    <w:rsid w:val="009F4FD2"/>
    <w:rsid w:val="009F50B0"/>
    <w:rsid w:val="009F5587"/>
    <w:rsid w:val="009F55D9"/>
    <w:rsid w:val="009F57AB"/>
    <w:rsid w:val="009F585B"/>
    <w:rsid w:val="009F59EC"/>
    <w:rsid w:val="009F5AA9"/>
    <w:rsid w:val="009F5DB1"/>
    <w:rsid w:val="009F62B8"/>
    <w:rsid w:val="009F6316"/>
    <w:rsid w:val="009F6438"/>
    <w:rsid w:val="009F666D"/>
    <w:rsid w:val="009F67B6"/>
    <w:rsid w:val="009F6931"/>
    <w:rsid w:val="009F6AED"/>
    <w:rsid w:val="009F6DEC"/>
    <w:rsid w:val="009F6EAD"/>
    <w:rsid w:val="009F7077"/>
    <w:rsid w:val="009F73DC"/>
    <w:rsid w:val="009F741B"/>
    <w:rsid w:val="009F7792"/>
    <w:rsid w:val="009F7E4C"/>
    <w:rsid w:val="009F7EE2"/>
    <w:rsid w:val="00A005D9"/>
    <w:rsid w:val="00A00775"/>
    <w:rsid w:val="00A009B3"/>
    <w:rsid w:val="00A00D6F"/>
    <w:rsid w:val="00A01005"/>
    <w:rsid w:val="00A010F1"/>
    <w:rsid w:val="00A01181"/>
    <w:rsid w:val="00A015B0"/>
    <w:rsid w:val="00A017BC"/>
    <w:rsid w:val="00A018E7"/>
    <w:rsid w:val="00A01945"/>
    <w:rsid w:val="00A01AF1"/>
    <w:rsid w:val="00A01D07"/>
    <w:rsid w:val="00A01EAA"/>
    <w:rsid w:val="00A020ED"/>
    <w:rsid w:val="00A0254E"/>
    <w:rsid w:val="00A0275B"/>
    <w:rsid w:val="00A0291A"/>
    <w:rsid w:val="00A02D09"/>
    <w:rsid w:val="00A02E82"/>
    <w:rsid w:val="00A02F85"/>
    <w:rsid w:val="00A037AF"/>
    <w:rsid w:val="00A03956"/>
    <w:rsid w:val="00A03AE5"/>
    <w:rsid w:val="00A03D37"/>
    <w:rsid w:val="00A03D4C"/>
    <w:rsid w:val="00A03DFF"/>
    <w:rsid w:val="00A03F1D"/>
    <w:rsid w:val="00A04077"/>
    <w:rsid w:val="00A040F1"/>
    <w:rsid w:val="00A04154"/>
    <w:rsid w:val="00A045D9"/>
    <w:rsid w:val="00A04615"/>
    <w:rsid w:val="00A04FDD"/>
    <w:rsid w:val="00A052EB"/>
    <w:rsid w:val="00A054B8"/>
    <w:rsid w:val="00A05620"/>
    <w:rsid w:val="00A05D41"/>
    <w:rsid w:val="00A06547"/>
    <w:rsid w:val="00A066E8"/>
    <w:rsid w:val="00A06C97"/>
    <w:rsid w:val="00A06D6E"/>
    <w:rsid w:val="00A06D8D"/>
    <w:rsid w:val="00A06DAC"/>
    <w:rsid w:val="00A06E14"/>
    <w:rsid w:val="00A06EB0"/>
    <w:rsid w:val="00A074AF"/>
    <w:rsid w:val="00A07558"/>
    <w:rsid w:val="00A0759F"/>
    <w:rsid w:val="00A076FE"/>
    <w:rsid w:val="00A07722"/>
    <w:rsid w:val="00A07B32"/>
    <w:rsid w:val="00A07C17"/>
    <w:rsid w:val="00A07C6F"/>
    <w:rsid w:val="00A07E63"/>
    <w:rsid w:val="00A07E8B"/>
    <w:rsid w:val="00A07F5B"/>
    <w:rsid w:val="00A10027"/>
    <w:rsid w:val="00A10119"/>
    <w:rsid w:val="00A104AF"/>
    <w:rsid w:val="00A105E7"/>
    <w:rsid w:val="00A10603"/>
    <w:rsid w:val="00A1082A"/>
    <w:rsid w:val="00A109CD"/>
    <w:rsid w:val="00A10C6D"/>
    <w:rsid w:val="00A10C7D"/>
    <w:rsid w:val="00A11057"/>
    <w:rsid w:val="00A110B8"/>
    <w:rsid w:val="00A11112"/>
    <w:rsid w:val="00A11168"/>
    <w:rsid w:val="00A11579"/>
    <w:rsid w:val="00A117D1"/>
    <w:rsid w:val="00A118BC"/>
    <w:rsid w:val="00A11990"/>
    <w:rsid w:val="00A119CF"/>
    <w:rsid w:val="00A11B27"/>
    <w:rsid w:val="00A11FF4"/>
    <w:rsid w:val="00A121BD"/>
    <w:rsid w:val="00A1238D"/>
    <w:rsid w:val="00A12558"/>
    <w:rsid w:val="00A12BD8"/>
    <w:rsid w:val="00A12FFA"/>
    <w:rsid w:val="00A13095"/>
    <w:rsid w:val="00A13317"/>
    <w:rsid w:val="00A133A1"/>
    <w:rsid w:val="00A134AC"/>
    <w:rsid w:val="00A137C7"/>
    <w:rsid w:val="00A13B88"/>
    <w:rsid w:val="00A13BEA"/>
    <w:rsid w:val="00A13D39"/>
    <w:rsid w:val="00A140FA"/>
    <w:rsid w:val="00A14103"/>
    <w:rsid w:val="00A14464"/>
    <w:rsid w:val="00A14567"/>
    <w:rsid w:val="00A147E8"/>
    <w:rsid w:val="00A14801"/>
    <w:rsid w:val="00A14976"/>
    <w:rsid w:val="00A14AC3"/>
    <w:rsid w:val="00A14CED"/>
    <w:rsid w:val="00A14F31"/>
    <w:rsid w:val="00A15050"/>
    <w:rsid w:val="00A1513E"/>
    <w:rsid w:val="00A1523A"/>
    <w:rsid w:val="00A15551"/>
    <w:rsid w:val="00A15672"/>
    <w:rsid w:val="00A157A4"/>
    <w:rsid w:val="00A15CDE"/>
    <w:rsid w:val="00A15EE0"/>
    <w:rsid w:val="00A161F5"/>
    <w:rsid w:val="00A16264"/>
    <w:rsid w:val="00A163BA"/>
    <w:rsid w:val="00A1654A"/>
    <w:rsid w:val="00A16DF2"/>
    <w:rsid w:val="00A16F81"/>
    <w:rsid w:val="00A170A7"/>
    <w:rsid w:val="00A173FC"/>
    <w:rsid w:val="00A174CE"/>
    <w:rsid w:val="00A17739"/>
    <w:rsid w:val="00A177FA"/>
    <w:rsid w:val="00A17AB1"/>
    <w:rsid w:val="00A17BFB"/>
    <w:rsid w:val="00A17C5F"/>
    <w:rsid w:val="00A17DD9"/>
    <w:rsid w:val="00A17EEE"/>
    <w:rsid w:val="00A17F04"/>
    <w:rsid w:val="00A2016F"/>
    <w:rsid w:val="00A20334"/>
    <w:rsid w:val="00A203B5"/>
    <w:rsid w:val="00A20429"/>
    <w:rsid w:val="00A207B9"/>
    <w:rsid w:val="00A20A2E"/>
    <w:rsid w:val="00A20CDC"/>
    <w:rsid w:val="00A20D03"/>
    <w:rsid w:val="00A20D7F"/>
    <w:rsid w:val="00A211A1"/>
    <w:rsid w:val="00A216B1"/>
    <w:rsid w:val="00A21844"/>
    <w:rsid w:val="00A21892"/>
    <w:rsid w:val="00A218F8"/>
    <w:rsid w:val="00A21A97"/>
    <w:rsid w:val="00A21ACA"/>
    <w:rsid w:val="00A220DC"/>
    <w:rsid w:val="00A22129"/>
    <w:rsid w:val="00A2242B"/>
    <w:rsid w:val="00A22590"/>
    <w:rsid w:val="00A225F1"/>
    <w:rsid w:val="00A22623"/>
    <w:rsid w:val="00A227EC"/>
    <w:rsid w:val="00A22912"/>
    <w:rsid w:val="00A22B1D"/>
    <w:rsid w:val="00A22BE6"/>
    <w:rsid w:val="00A22C07"/>
    <w:rsid w:val="00A22C94"/>
    <w:rsid w:val="00A22EDC"/>
    <w:rsid w:val="00A22FBD"/>
    <w:rsid w:val="00A23474"/>
    <w:rsid w:val="00A235AD"/>
    <w:rsid w:val="00A23761"/>
    <w:rsid w:val="00A23981"/>
    <w:rsid w:val="00A23B3D"/>
    <w:rsid w:val="00A23C0E"/>
    <w:rsid w:val="00A23E4D"/>
    <w:rsid w:val="00A24068"/>
    <w:rsid w:val="00A24352"/>
    <w:rsid w:val="00A2480A"/>
    <w:rsid w:val="00A24E61"/>
    <w:rsid w:val="00A2500D"/>
    <w:rsid w:val="00A251AF"/>
    <w:rsid w:val="00A254F9"/>
    <w:rsid w:val="00A2575C"/>
    <w:rsid w:val="00A25925"/>
    <w:rsid w:val="00A25943"/>
    <w:rsid w:val="00A2598D"/>
    <w:rsid w:val="00A25A79"/>
    <w:rsid w:val="00A25BFA"/>
    <w:rsid w:val="00A25C73"/>
    <w:rsid w:val="00A25E0B"/>
    <w:rsid w:val="00A263D7"/>
    <w:rsid w:val="00A264EC"/>
    <w:rsid w:val="00A265CD"/>
    <w:rsid w:val="00A267FF"/>
    <w:rsid w:val="00A26E3F"/>
    <w:rsid w:val="00A26F99"/>
    <w:rsid w:val="00A27C11"/>
    <w:rsid w:val="00A27F54"/>
    <w:rsid w:val="00A3037F"/>
    <w:rsid w:val="00A30AEC"/>
    <w:rsid w:val="00A30CB5"/>
    <w:rsid w:val="00A30D10"/>
    <w:rsid w:val="00A30E9E"/>
    <w:rsid w:val="00A30F29"/>
    <w:rsid w:val="00A30F60"/>
    <w:rsid w:val="00A31051"/>
    <w:rsid w:val="00A3128A"/>
    <w:rsid w:val="00A31402"/>
    <w:rsid w:val="00A316C6"/>
    <w:rsid w:val="00A31A0D"/>
    <w:rsid w:val="00A31AE5"/>
    <w:rsid w:val="00A31AE8"/>
    <w:rsid w:val="00A31B42"/>
    <w:rsid w:val="00A31E84"/>
    <w:rsid w:val="00A32255"/>
    <w:rsid w:val="00A324CF"/>
    <w:rsid w:val="00A32E97"/>
    <w:rsid w:val="00A3305D"/>
    <w:rsid w:val="00A3312B"/>
    <w:rsid w:val="00A3334E"/>
    <w:rsid w:val="00A3335F"/>
    <w:rsid w:val="00A33827"/>
    <w:rsid w:val="00A33937"/>
    <w:rsid w:val="00A33E2F"/>
    <w:rsid w:val="00A33E99"/>
    <w:rsid w:val="00A33FF0"/>
    <w:rsid w:val="00A3400E"/>
    <w:rsid w:val="00A34020"/>
    <w:rsid w:val="00A34460"/>
    <w:rsid w:val="00A344B6"/>
    <w:rsid w:val="00A34D7C"/>
    <w:rsid w:val="00A34D91"/>
    <w:rsid w:val="00A351D7"/>
    <w:rsid w:val="00A3572E"/>
    <w:rsid w:val="00A357C8"/>
    <w:rsid w:val="00A35A14"/>
    <w:rsid w:val="00A35ADE"/>
    <w:rsid w:val="00A35BED"/>
    <w:rsid w:val="00A361CD"/>
    <w:rsid w:val="00A36337"/>
    <w:rsid w:val="00A36358"/>
    <w:rsid w:val="00A363C2"/>
    <w:rsid w:val="00A363C3"/>
    <w:rsid w:val="00A3656C"/>
    <w:rsid w:val="00A3685C"/>
    <w:rsid w:val="00A369F5"/>
    <w:rsid w:val="00A36E01"/>
    <w:rsid w:val="00A370C1"/>
    <w:rsid w:val="00A371CF"/>
    <w:rsid w:val="00A37571"/>
    <w:rsid w:val="00A375D3"/>
    <w:rsid w:val="00A375EC"/>
    <w:rsid w:val="00A376AA"/>
    <w:rsid w:val="00A37728"/>
    <w:rsid w:val="00A3787B"/>
    <w:rsid w:val="00A37B5C"/>
    <w:rsid w:val="00A37E42"/>
    <w:rsid w:val="00A37F48"/>
    <w:rsid w:val="00A4012F"/>
    <w:rsid w:val="00A40459"/>
    <w:rsid w:val="00A405B2"/>
    <w:rsid w:val="00A405DA"/>
    <w:rsid w:val="00A40CF1"/>
    <w:rsid w:val="00A40D0A"/>
    <w:rsid w:val="00A40D26"/>
    <w:rsid w:val="00A40D36"/>
    <w:rsid w:val="00A40E4A"/>
    <w:rsid w:val="00A40F2A"/>
    <w:rsid w:val="00A40F9B"/>
    <w:rsid w:val="00A41015"/>
    <w:rsid w:val="00A41402"/>
    <w:rsid w:val="00A4157C"/>
    <w:rsid w:val="00A419F8"/>
    <w:rsid w:val="00A41C65"/>
    <w:rsid w:val="00A41E4E"/>
    <w:rsid w:val="00A41FAE"/>
    <w:rsid w:val="00A41FCE"/>
    <w:rsid w:val="00A42110"/>
    <w:rsid w:val="00A421A2"/>
    <w:rsid w:val="00A4244A"/>
    <w:rsid w:val="00A42465"/>
    <w:rsid w:val="00A424D8"/>
    <w:rsid w:val="00A42539"/>
    <w:rsid w:val="00A42723"/>
    <w:rsid w:val="00A42776"/>
    <w:rsid w:val="00A42C2C"/>
    <w:rsid w:val="00A42F0C"/>
    <w:rsid w:val="00A43214"/>
    <w:rsid w:val="00A432CD"/>
    <w:rsid w:val="00A43B33"/>
    <w:rsid w:val="00A43B5D"/>
    <w:rsid w:val="00A43C56"/>
    <w:rsid w:val="00A44000"/>
    <w:rsid w:val="00A44126"/>
    <w:rsid w:val="00A44240"/>
    <w:rsid w:val="00A44525"/>
    <w:rsid w:val="00A446F2"/>
    <w:rsid w:val="00A4473D"/>
    <w:rsid w:val="00A44960"/>
    <w:rsid w:val="00A44988"/>
    <w:rsid w:val="00A44ADF"/>
    <w:rsid w:val="00A44CBF"/>
    <w:rsid w:val="00A44DBD"/>
    <w:rsid w:val="00A44DFE"/>
    <w:rsid w:val="00A45491"/>
    <w:rsid w:val="00A454D1"/>
    <w:rsid w:val="00A457A0"/>
    <w:rsid w:val="00A457E2"/>
    <w:rsid w:val="00A45CF8"/>
    <w:rsid w:val="00A45D72"/>
    <w:rsid w:val="00A45DA7"/>
    <w:rsid w:val="00A45DAC"/>
    <w:rsid w:val="00A45E2A"/>
    <w:rsid w:val="00A45E33"/>
    <w:rsid w:val="00A46083"/>
    <w:rsid w:val="00A4628B"/>
    <w:rsid w:val="00A46630"/>
    <w:rsid w:val="00A46957"/>
    <w:rsid w:val="00A469B2"/>
    <w:rsid w:val="00A46B49"/>
    <w:rsid w:val="00A46B52"/>
    <w:rsid w:val="00A46CBF"/>
    <w:rsid w:val="00A46E7B"/>
    <w:rsid w:val="00A46EEA"/>
    <w:rsid w:val="00A46F80"/>
    <w:rsid w:val="00A4701C"/>
    <w:rsid w:val="00A47743"/>
    <w:rsid w:val="00A47936"/>
    <w:rsid w:val="00A47C18"/>
    <w:rsid w:val="00A47FBF"/>
    <w:rsid w:val="00A500EB"/>
    <w:rsid w:val="00A502BF"/>
    <w:rsid w:val="00A50535"/>
    <w:rsid w:val="00A508C2"/>
    <w:rsid w:val="00A50F53"/>
    <w:rsid w:val="00A51070"/>
    <w:rsid w:val="00A510AD"/>
    <w:rsid w:val="00A5166F"/>
    <w:rsid w:val="00A51913"/>
    <w:rsid w:val="00A5199F"/>
    <w:rsid w:val="00A51C79"/>
    <w:rsid w:val="00A51CE0"/>
    <w:rsid w:val="00A51E2E"/>
    <w:rsid w:val="00A51F53"/>
    <w:rsid w:val="00A520AC"/>
    <w:rsid w:val="00A523C9"/>
    <w:rsid w:val="00A52545"/>
    <w:rsid w:val="00A5271C"/>
    <w:rsid w:val="00A527A0"/>
    <w:rsid w:val="00A5282B"/>
    <w:rsid w:val="00A52987"/>
    <w:rsid w:val="00A52A0C"/>
    <w:rsid w:val="00A52A7B"/>
    <w:rsid w:val="00A52C6D"/>
    <w:rsid w:val="00A52D68"/>
    <w:rsid w:val="00A52FFE"/>
    <w:rsid w:val="00A53101"/>
    <w:rsid w:val="00A539BD"/>
    <w:rsid w:val="00A539FF"/>
    <w:rsid w:val="00A53B57"/>
    <w:rsid w:val="00A53C27"/>
    <w:rsid w:val="00A53C57"/>
    <w:rsid w:val="00A543B8"/>
    <w:rsid w:val="00A547B1"/>
    <w:rsid w:val="00A5484A"/>
    <w:rsid w:val="00A5497B"/>
    <w:rsid w:val="00A54B74"/>
    <w:rsid w:val="00A54C84"/>
    <w:rsid w:val="00A54D07"/>
    <w:rsid w:val="00A55035"/>
    <w:rsid w:val="00A550E4"/>
    <w:rsid w:val="00A550F8"/>
    <w:rsid w:val="00A552C6"/>
    <w:rsid w:val="00A554DA"/>
    <w:rsid w:val="00A556FA"/>
    <w:rsid w:val="00A55844"/>
    <w:rsid w:val="00A5587B"/>
    <w:rsid w:val="00A55A20"/>
    <w:rsid w:val="00A55A26"/>
    <w:rsid w:val="00A55B32"/>
    <w:rsid w:val="00A55C5F"/>
    <w:rsid w:val="00A55DBC"/>
    <w:rsid w:val="00A55DF5"/>
    <w:rsid w:val="00A55FEC"/>
    <w:rsid w:val="00A560C1"/>
    <w:rsid w:val="00A56153"/>
    <w:rsid w:val="00A562CA"/>
    <w:rsid w:val="00A5655C"/>
    <w:rsid w:val="00A56AD2"/>
    <w:rsid w:val="00A56D50"/>
    <w:rsid w:val="00A5718B"/>
    <w:rsid w:val="00A5746F"/>
    <w:rsid w:val="00A574E6"/>
    <w:rsid w:val="00A575D0"/>
    <w:rsid w:val="00A579C5"/>
    <w:rsid w:val="00A57A51"/>
    <w:rsid w:val="00A57A73"/>
    <w:rsid w:val="00A57B00"/>
    <w:rsid w:val="00A57BA6"/>
    <w:rsid w:val="00A57E93"/>
    <w:rsid w:val="00A60059"/>
    <w:rsid w:val="00A60098"/>
    <w:rsid w:val="00A60216"/>
    <w:rsid w:val="00A60281"/>
    <w:rsid w:val="00A602AB"/>
    <w:rsid w:val="00A60311"/>
    <w:rsid w:val="00A604C8"/>
    <w:rsid w:val="00A604DF"/>
    <w:rsid w:val="00A605AA"/>
    <w:rsid w:val="00A607F8"/>
    <w:rsid w:val="00A60CE3"/>
    <w:rsid w:val="00A60D92"/>
    <w:rsid w:val="00A60F3F"/>
    <w:rsid w:val="00A61026"/>
    <w:rsid w:val="00A61268"/>
    <w:rsid w:val="00A61426"/>
    <w:rsid w:val="00A6178A"/>
    <w:rsid w:val="00A617BD"/>
    <w:rsid w:val="00A6199B"/>
    <w:rsid w:val="00A61A3C"/>
    <w:rsid w:val="00A61B4E"/>
    <w:rsid w:val="00A61E54"/>
    <w:rsid w:val="00A6210F"/>
    <w:rsid w:val="00A62115"/>
    <w:rsid w:val="00A6217D"/>
    <w:rsid w:val="00A625E3"/>
    <w:rsid w:val="00A62897"/>
    <w:rsid w:val="00A628B8"/>
    <w:rsid w:val="00A62E60"/>
    <w:rsid w:val="00A62F2D"/>
    <w:rsid w:val="00A6304F"/>
    <w:rsid w:val="00A63153"/>
    <w:rsid w:val="00A63262"/>
    <w:rsid w:val="00A63674"/>
    <w:rsid w:val="00A639DD"/>
    <w:rsid w:val="00A64293"/>
    <w:rsid w:val="00A643E9"/>
    <w:rsid w:val="00A6486A"/>
    <w:rsid w:val="00A64CAB"/>
    <w:rsid w:val="00A64D92"/>
    <w:rsid w:val="00A64E40"/>
    <w:rsid w:val="00A6500A"/>
    <w:rsid w:val="00A65269"/>
    <w:rsid w:val="00A655D5"/>
    <w:rsid w:val="00A65665"/>
    <w:rsid w:val="00A65749"/>
    <w:rsid w:val="00A657DB"/>
    <w:rsid w:val="00A65981"/>
    <w:rsid w:val="00A65A69"/>
    <w:rsid w:val="00A65CFA"/>
    <w:rsid w:val="00A65E89"/>
    <w:rsid w:val="00A66081"/>
    <w:rsid w:val="00A661D9"/>
    <w:rsid w:val="00A6628B"/>
    <w:rsid w:val="00A66413"/>
    <w:rsid w:val="00A66484"/>
    <w:rsid w:val="00A66746"/>
    <w:rsid w:val="00A66A8A"/>
    <w:rsid w:val="00A66D40"/>
    <w:rsid w:val="00A66E16"/>
    <w:rsid w:val="00A66E93"/>
    <w:rsid w:val="00A670D4"/>
    <w:rsid w:val="00A6713D"/>
    <w:rsid w:val="00A67381"/>
    <w:rsid w:val="00A67876"/>
    <w:rsid w:val="00A6792E"/>
    <w:rsid w:val="00A67F78"/>
    <w:rsid w:val="00A67FAF"/>
    <w:rsid w:val="00A7008D"/>
    <w:rsid w:val="00A7009C"/>
    <w:rsid w:val="00A701C1"/>
    <w:rsid w:val="00A701DB"/>
    <w:rsid w:val="00A703AD"/>
    <w:rsid w:val="00A70586"/>
    <w:rsid w:val="00A708AA"/>
    <w:rsid w:val="00A708F7"/>
    <w:rsid w:val="00A70ACB"/>
    <w:rsid w:val="00A70D35"/>
    <w:rsid w:val="00A712E4"/>
    <w:rsid w:val="00A71356"/>
    <w:rsid w:val="00A71357"/>
    <w:rsid w:val="00A71388"/>
    <w:rsid w:val="00A713C3"/>
    <w:rsid w:val="00A719D0"/>
    <w:rsid w:val="00A71A34"/>
    <w:rsid w:val="00A71C88"/>
    <w:rsid w:val="00A71CAF"/>
    <w:rsid w:val="00A71E70"/>
    <w:rsid w:val="00A72347"/>
    <w:rsid w:val="00A72606"/>
    <w:rsid w:val="00A72684"/>
    <w:rsid w:val="00A729DA"/>
    <w:rsid w:val="00A72ABE"/>
    <w:rsid w:val="00A72CFA"/>
    <w:rsid w:val="00A72D60"/>
    <w:rsid w:val="00A72DD7"/>
    <w:rsid w:val="00A72E42"/>
    <w:rsid w:val="00A72FAB"/>
    <w:rsid w:val="00A72FDA"/>
    <w:rsid w:val="00A7344E"/>
    <w:rsid w:val="00A73945"/>
    <w:rsid w:val="00A73B12"/>
    <w:rsid w:val="00A73BD9"/>
    <w:rsid w:val="00A73F41"/>
    <w:rsid w:val="00A7405B"/>
    <w:rsid w:val="00A740B4"/>
    <w:rsid w:val="00A7418E"/>
    <w:rsid w:val="00A7441B"/>
    <w:rsid w:val="00A745F4"/>
    <w:rsid w:val="00A74659"/>
    <w:rsid w:val="00A7472B"/>
    <w:rsid w:val="00A74745"/>
    <w:rsid w:val="00A74B92"/>
    <w:rsid w:val="00A74E1B"/>
    <w:rsid w:val="00A750E0"/>
    <w:rsid w:val="00A751FE"/>
    <w:rsid w:val="00A752A6"/>
    <w:rsid w:val="00A754B3"/>
    <w:rsid w:val="00A75AB3"/>
    <w:rsid w:val="00A75AE9"/>
    <w:rsid w:val="00A75C33"/>
    <w:rsid w:val="00A76071"/>
    <w:rsid w:val="00A7627C"/>
    <w:rsid w:val="00A7633E"/>
    <w:rsid w:val="00A7647B"/>
    <w:rsid w:val="00A76765"/>
    <w:rsid w:val="00A76C00"/>
    <w:rsid w:val="00A76C30"/>
    <w:rsid w:val="00A770C4"/>
    <w:rsid w:val="00A772BF"/>
    <w:rsid w:val="00A77603"/>
    <w:rsid w:val="00A778DB"/>
    <w:rsid w:val="00A77A25"/>
    <w:rsid w:val="00A80316"/>
    <w:rsid w:val="00A80333"/>
    <w:rsid w:val="00A80603"/>
    <w:rsid w:val="00A80656"/>
    <w:rsid w:val="00A8069A"/>
    <w:rsid w:val="00A80D4A"/>
    <w:rsid w:val="00A80E91"/>
    <w:rsid w:val="00A80FEC"/>
    <w:rsid w:val="00A8102A"/>
    <w:rsid w:val="00A812E5"/>
    <w:rsid w:val="00A81428"/>
    <w:rsid w:val="00A81461"/>
    <w:rsid w:val="00A816EB"/>
    <w:rsid w:val="00A81D6E"/>
    <w:rsid w:val="00A81F32"/>
    <w:rsid w:val="00A8242B"/>
    <w:rsid w:val="00A825C4"/>
    <w:rsid w:val="00A8277D"/>
    <w:rsid w:val="00A828FD"/>
    <w:rsid w:val="00A82C75"/>
    <w:rsid w:val="00A830F6"/>
    <w:rsid w:val="00A83301"/>
    <w:rsid w:val="00A83350"/>
    <w:rsid w:val="00A834C6"/>
    <w:rsid w:val="00A8355D"/>
    <w:rsid w:val="00A835FD"/>
    <w:rsid w:val="00A83B48"/>
    <w:rsid w:val="00A843FB"/>
    <w:rsid w:val="00A8455E"/>
    <w:rsid w:val="00A84664"/>
    <w:rsid w:val="00A846FF"/>
    <w:rsid w:val="00A84EB2"/>
    <w:rsid w:val="00A84F97"/>
    <w:rsid w:val="00A85183"/>
    <w:rsid w:val="00A854FB"/>
    <w:rsid w:val="00A854FF"/>
    <w:rsid w:val="00A8568C"/>
    <w:rsid w:val="00A856F2"/>
    <w:rsid w:val="00A859D5"/>
    <w:rsid w:val="00A85DFC"/>
    <w:rsid w:val="00A86089"/>
    <w:rsid w:val="00A8614D"/>
    <w:rsid w:val="00A8676B"/>
    <w:rsid w:val="00A86BFA"/>
    <w:rsid w:val="00A86DD2"/>
    <w:rsid w:val="00A86E68"/>
    <w:rsid w:val="00A8733A"/>
    <w:rsid w:val="00A8739C"/>
    <w:rsid w:val="00A87449"/>
    <w:rsid w:val="00A8748E"/>
    <w:rsid w:val="00A875B1"/>
    <w:rsid w:val="00A87627"/>
    <w:rsid w:val="00A877BD"/>
    <w:rsid w:val="00A878C1"/>
    <w:rsid w:val="00A87B8C"/>
    <w:rsid w:val="00A87C61"/>
    <w:rsid w:val="00A90019"/>
    <w:rsid w:val="00A90145"/>
    <w:rsid w:val="00A90269"/>
    <w:rsid w:val="00A90616"/>
    <w:rsid w:val="00A90D81"/>
    <w:rsid w:val="00A90E4A"/>
    <w:rsid w:val="00A90F1F"/>
    <w:rsid w:val="00A91225"/>
    <w:rsid w:val="00A9129D"/>
    <w:rsid w:val="00A916D3"/>
    <w:rsid w:val="00A917CC"/>
    <w:rsid w:val="00A91AC6"/>
    <w:rsid w:val="00A91CB1"/>
    <w:rsid w:val="00A91CC0"/>
    <w:rsid w:val="00A91D5A"/>
    <w:rsid w:val="00A9211B"/>
    <w:rsid w:val="00A92295"/>
    <w:rsid w:val="00A926EC"/>
    <w:rsid w:val="00A9281C"/>
    <w:rsid w:val="00A92931"/>
    <w:rsid w:val="00A92DE2"/>
    <w:rsid w:val="00A92EA5"/>
    <w:rsid w:val="00A92FC3"/>
    <w:rsid w:val="00A92FD6"/>
    <w:rsid w:val="00A93160"/>
    <w:rsid w:val="00A9317E"/>
    <w:rsid w:val="00A93341"/>
    <w:rsid w:val="00A935EF"/>
    <w:rsid w:val="00A936DA"/>
    <w:rsid w:val="00A939A0"/>
    <w:rsid w:val="00A939FD"/>
    <w:rsid w:val="00A93BE4"/>
    <w:rsid w:val="00A93CFE"/>
    <w:rsid w:val="00A93D6D"/>
    <w:rsid w:val="00A941B3"/>
    <w:rsid w:val="00A94833"/>
    <w:rsid w:val="00A948BF"/>
    <w:rsid w:val="00A948C4"/>
    <w:rsid w:val="00A9499A"/>
    <w:rsid w:val="00A94A9B"/>
    <w:rsid w:val="00A94AAA"/>
    <w:rsid w:val="00A94D18"/>
    <w:rsid w:val="00A94D8D"/>
    <w:rsid w:val="00A94EF3"/>
    <w:rsid w:val="00A95102"/>
    <w:rsid w:val="00A954F2"/>
    <w:rsid w:val="00A955BE"/>
    <w:rsid w:val="00A95B62"/>
    <w:rsid w:val="00A95C50"/>
    <w:rsid w:val="00A95C7F"/>
    <w:rsid w:val="00A95DF3"/>
    <w:rsid w:val="00A95F17"/>
    <w:rsid w:val="00A95FB8"/>
    <w:rsid w:val="00A95FBC"/>
    <w:rsid w:val="00A95FD5"/>
    <w:rsid w:val="00A96058"/>
    <w:rsid w:val="00A9640B"/>
    <w:rsid w:val="00A96512"/>
    <w:rsid w:val="00A9662B"/>
    <w:rsid w:val="00A96815"/>
    <w:rsid w:val="00A96A24"/>
    <w:rsid w:val="00A96CC8"/>
    <w:rsid w:val="00A96FA1"/>
    <w:rsid w:val="00A96FC6"/>
    <w:rsid w:val="00A97058"/>
    <w:rsid w:val="00A97583"/>
    <w:rsid w:val="00A975EB"/>
    <w:rsid w:val="00A975EE"/>
    <w:rsid w:val="00A97681"/>
    <w:rsid w:val="00A97691"/>
    <w:rsid w:val="00A97B09"/>
    <w:rsid w:val="00A97CA5"/>
    <w:rsid w:val="00AA0329"/>
    <w:rsid w:val="00AA04F1"/>
    <w:rsid w:val="00AA066B"/>
    <w:rsid w:val="00AA0DAE"/>
    <w:rsid w:val="00AA0DCB"/>
    <w:rsid w:val="00AA0E62"/>
    <w:rsid w:val="00AA11F2"/>
    <w:rsid w:val="00AA12CA"/>
    <w:rsid w:val="00AA12F9"/>
    <w:rsid w:val="00AA1316"/>
    <w:rsid w:val="00AA1457"/>
    <w:rsid w:val="00AA1726"/>
    <w:rsid w:val="00AA1C6F"/>
    <w:rsid w:val="00AA2102"/>
    <w:rsid w:val="00AA23C0"/>
    <w:rsid w:val="00AA24B9"/>
    <w:rsid w:val="00AA24F2"/>
    <w:rsid w:val="00AA2717"/>
    <w:rsid w:val="00AA288F"/>
    <w:rsid w:val="00AA2B3C"/>
    <w:rsid w:val="00AA2CA7"/>
    <w:rsid w:val="00AA304E"/>
    <w:rsid w:val="00AA32BF"/>
    <w:rsid w:val="00AA364E"/>
    <w:rsid w:val="00AA3759"/>
    <w:rsid w:val="00AA3AC1"/>
    <w:rsid w:val="00AA3C8B"/>
    <w:rsid w:val="00AA3D78"/>
    <w:rsid w:val="00AA3D91"/>
    <w:rsid w:val="00AA3DA9"/>
    <w:rsid w:val="00AA3F48"/>
    <w:rsid w:val="00AA3F98"/>
    <w:rsid w:val="00AA425F"/>
    <w:rsid w:val="00AA4279"/>
    <w:rsid w:val="00AA43C0"/>
    <w:rsid w:val="00AA44E0"/>
    <w:rsid w:val="00AA454E"/>
    <w:rsid w:val="00AA46D7"/>
    <w:rsid w:val="00AA472A"/>
    <w:rsid w:val="00AA4852"/>
    <w:rsid w:val="00AA489B"/>
    <w:rsid w:val="00AA48F9"/>
    <w:rsid w:val="00AA4904"/>
    <w:rsid w:val="00AA4A19"/>
    <w:rsid w:val="00AA4B56"/>
    <w:rsid w:val="00AA4D31"/>
    <w:rsid w:val="00AA4D81"/>
    <w:rsid w:val="00AA4D9B"/>
    <w:rsid w:val="00AA4E6A"/>
    <w:rsid w:val="00AA50AB"/>
    <w:rsid w:val="00AA50C5"/>
    <w:rsid w:val="00AA5150"/>
    <w:rsid w:val="00AA526B"/>
    <w:rsid w:val="00AA52F9"/>
    <w:rsid w:val="00AA5443"/>
    <w:rsid w:val="00AA54E4"/>
    <w:rsid w:val="00AA5629"/>
    <w:rsid w:val="00AA568D"/>
    <w:rsid w:val="00AA58A5"/>
    <w:rsid w:val="00AA5A74"/>
    <w:rsid w:val="00AA5AF6"/>
    <w:rsid w:val="00AA6162"/>
    <w:rsid w:val="00AA6309"/>
    <w:rsid w:val="00AA63B7"/>
    <w:rsid w:val="00AA652D"/>
    <w:rsid w:val="00AA658A"/>
    <w:rsid w:val="00AA66B0"/>
    <w:rsid w:val="00AA6A8B"/>
    <w:rsid w:val="00AA6BBC"/>
    <w:rsid w:val="00AA6E36"/>
    <w:rsid w:val="00AA70B1"/>
    <w:rsid w:val="00AA73BE"/>
    <w:rsid w:val="00AA745D"/>
    <w:rsid w:val="00AA75CC"/>
    <w:rsid w:val="00AA7700"/>
    <w:rsid w:val="00AA7B43"/>
    <w:rsid w:val="00AA7E09"/>
    <w:rsid w:val="00AB01F7"/>
    <w:rsid w:val="00AB04DD"/>
    <w:rsid w:val="00AB099E"/>
    <w:rsid w:val="00AB0CFE"/>
    <w:rsid w:val="00AB0E0A"/>
    <w:rsid w:val="00AB0FC9"/>
    <w:rsid w:val="00AB109A"/>
    <w:rsid w:val="00AB119E"/>
    <w:rsid w:val="00AB11BB"/>
    <w:rsid w:val="00AB12C7"/>
    <w:rsid w:val="00AB14A8"/>
    <w:rsid w:val="00AB14DE"/>
    <w:rsid w:val="00AB1926"/>
    <w:rsid w:val="00AB1CCE"/>
    <w:rsid w:val="00AB1F88"/>
    <w:rsid w:val="00AB200B"/>
    <w:rsid w:val="00AB21D1"/>
    <w:rsid w:val="00AB2464"/>
    <w:rsid w:val="00AB256D"/>
    <w:rsid w:val="00AB2608"/>
    <w:rsid w:val="00AB2C79"/>
    <w:rsid w:val="00AB2CC1"/>
    <w:rsid w:val="00AB2F46"/>
    <w:rsid w:val="00AB2F68"/>
    <w:rsid w:val="00AB316F"/>
    <w:rsid w:val="00AB329B"/>
    <w:rsid w:val="00AB32A4"/>
    <w:rsid w:val="00AB33B1"/>
    <w:rsid w:val="00AB35FA"/>
    <w:rsid w:val="00AB375F"/>
    <w:rsid w:val="00AB37CE"/>
    <w:rsid w:val="00AB3C03"/>
    <w:rsid w:val="00AB3DEA"/>
    <w:rsid w:val="00AB4060"/>
    <w:rsid w:val="00AB40EE"/>
    <w:rsid w:val="00AB417C"/>
    <w:rsid w:val="00AB42C6"/>
    <w:rsid w:val="00AB43E9"/>
    <w:rsid w:val="00AB446B"/>
    <w:rsid w:val="00AB46E3"/>
    <w:rsid w:val="00AB4799"/>
    <w:rsid w:val="00AB483F"/>
    <w:rsid w:val="00AB4D64"/>
    <w:rsid w:val="00AB50F1"/>
    <w:rsid w:val="00AB5201"/>
    <w:rsid w:val="00AB5221"/>
    <w:rsid w:val="00AB52DE"/>
    <w:rsid w:val="00AB57F7"/>
    <w:rsid w:val="00AB583A"/>
    <w:rsid w:val="00AB5B28"/>
    <w:rsid w:val="00AB5BD2"/>
    <w:rsid w:val="00AB610D"/>
    <w:rsid w:val="00AB622F"/>
    <w:rsid w:val="00AB6386"/>
    <w:rsid w:val="00AB65E3"/>
    <w:rsid w:val="00AB6687"/>
    <w:rsid w:val="00AB6837"/>
    <w:rsid w:val="00AB6B0D"/>
    <w:rsid w:val="00AB6FB0"/>
    <w:rsid w:val="00AB7277"/>
    <w:rsid w:val="00AB7543"/>
    <w:rsid w:val="00AB75D4"/>
    <w:rsid w:val="00AB7799"/>
    <w:rsid w:val="00AB7866"/>
    <w:rsid w:val="00AB7F9D"/>
    <w:rsid w:val="00AC02B2"/>
    <w:rsid w:val="00AC0353"/>
    <w:rsid w:val="00AC0823"/>
    <w:rsid w:val="00AC092B"/>
    <w:rsid w:val="00AC0D16"/>
    <w:rsid w:val="00AC0F0A"/>
    <w:rsid w:val="00AC109F"/>
    <w:rsid w:val="00AC1131"/>
    <w:rsid w:val="00AC1397"/>
    <w:rsid w:val="00AC1536"/>
    <w:rsid w:val="00AC1572"/>
    <w:rsid w:val="00AC1888"/>
    <w:rsid w:val="00AC19CA"/>
    <w:rsid w:val="00AC1A7E"/>
    <w:rsid w:val="00AC1B78"/>
    <w:rsid w:val="00AC1BD5"/>
    <w:rsid w:val="00AC1C7F"/>
    <w:rsid w:val="00AC1CB3"/>
    <w:rsid w:val="00AC1DCC"/>
    <w:rsid w:val="00AC1EEB"/>
    <w:rsid w:val="00AC203B"/>
    <w:rsid w:val="00AC222D"/>
    <w:rsid w:val="00AC2849"/>
    <w:rsid w:val="00AC2C11"/>
    <w:rsid w:val="00AC2DEB"/>
    <w:rsid w:val="00AC3431"/>
    <w:rsid w:val="00AC3952"/>
    <w:rsid w:val="00AC3C2E"/>
    <w:rsid w:val="00AC3E36"/>
    <w:rsid w:val="00AC40B3"/>
    <w:rsid w:val="00AC4211"/>
    <w:rsid w:val="00AC42C9"/>
    <w:rsid w:val="00AC4428"/>
    <w:rsid w:val="00AC45D3"/>
    <w:rsid w:val="00AC4D0E"/>
    <w:rsid w:val="00AC50DD"/>
    <w:rsid w:val="00AC5316"/>
    <w:rsid w:val="00AC5339"/>
    <w:rsid w:val="00AC5621"/>
    <w:rsid w:val="00AC59A6"/>
    <w:rsid w:val="00AC5D60"/>
    <w:rsid w:val="00AC5D97"/>
    <w:rsid w:val="00AC5E86"/>
    <w:rsid w:val="00AC5FA1"/>
    <w:rsid w:val="00AC611C"/>
    <w:rsid w:val="00AC61D1"/>
    <w:rsid w:val="00AC6259"/>
    <w:rsid w:val="00AC6610"/>
    <w:rsid w:val="00AC686D"/>
    <w:rsid w:val="00AC6B5B"/>
    <w:rsid w:val="00AC700E"/>
    <w:rsid w:val="00AC7067"/>
    <w:rsid w:val="00AC7812"/>
    <w:rsid w:val="00AC7964"/>
    <w:rsid w:val="00AC7990"/>
    <w:rsid w:val="00AC79AF"/>
    <w:rsid w:val="00AC79E2"/>
    <w:rsid w:val="00AC7A53"/>
    <w:rsid w:val="00AC7DE9"/>
    <w:rsid w:val="00AC7F31"/>
    <w:rsid w:val="00AD00CE"/>
    <w:rsid w:val="00AD0263"/>
    <w:rsid w:val="00AD02FB"/>
    <w:rsid w:val="00AD05DE"/>
    <w:rsid w:val="00AD0EBE"/>
    <w:rsid w:val="00AD129A"/>
    <w:rsid w:val="00AD1533"/>
    <w:rsid w:val="00AD15B2"/>
    <w:rsid w:val="00AD163D"/>
    <w:rsid w:val="00AD1658"/>
    <w:rsid w:val="00AD1A66"/>
    <w:rsid w:val="00AD1AA7"/>
    <w:rsid w:val="00AD1B79"/>
    <w:rsid w:val="00AD1BFD"/>
    <w:rsid w:val="00AD1F1D"/>
    <w:rsid w:val="00AD20B5"/>
    <w:rsid w:val="00AD21AA"/>
    <w:rsid w:val="00AD2397"/>
    <w:rsid w:val="00AD26B2"/>
    <w:rsid w:val="00AD284A"/>
    <w:rsid w:val="00AD288D"/>
    <w:rsid w:val="00AD2A71"/>
    <w:rsid w:val="00AD2A7F"/>
    <w:rsid w:val="00AD2C31"/>
    <w:rsid w:val="00AD2CC9"/>
    <w:rsid w:val="00AD2EDC"/>
    <w:rsid w:val="00AD2F28"/>
    <w:rsid w:val="00AD2FD1"/>
    <w:rsid w:val="00AD339A"/>
    <w:rsid w:val="00AD34C5"/>
    <w:rsid w:val="00AD36BD"/>
    <w:rsid w:val="00AD37DB"/>
    <w:rsid w:val="00AD3A24"/>
    <w:rsid w:val="00AD3E3F"/>
    <w:rsid w:val="00AD3E77"/>
    <w:rsid w:val="00AD40D3"/>
    <w:rsid w:val="00AD430D"/>
    <w:rsid w:val="00AD4339"/>
    <w:rsid w:val="00AD4427"/>
    <w:rsid w:val="00AD446F"/>
    <w:rsid w:val="00AD4745"/>
    <w:rsid w:val="00AD4A4D"/>
    <w:rsid w:val="00AD4A6B"/>
    <w:rsid w:val="00AD4AAC"/>
    <w:rsid w:val="00AD4AD1"/>
    <w:rsid w:val="00AD4C5B"/>
    <w:rsid w:val="00AD4E84"/>
    <w:rsid w:val="00AD4F0D"/>
    <w:rsid w:val="00AD523B"/>
    <w:rsid w:val="00AD536A"/>
    <w:rsid w:val="00AD54EE"/>
    <w:rsid w:val="00AD560F"/>
    <w:rsid w:val="00AD58C5"/>
    <w:rsid w:val="00AD5C58"/>
    <w:rsid w:val="00AD5EF7"/>
    <w:rsid w:val="00AD5F48"/>
    <w:rsid w:val="00AD5FDE"/>
    <w:rsid w:val="00AD6092"/>
    <w:rsid w:val="00AD6207"/>
    <w:rsid w:val="00AD6248"/>
    <w:rsid w:val="00AD6514"/>
    <w:rsid w:val="00AD65D7"/>
    <w:rsid w:val="00AD6814"/>
    <w:rsid w:val="00AD68A6"/>
    <w:rsid w:val="00AD6A9F"/>
    <w:rsid w:val="00AD6B3B"/>
    <w:rsid w:val="00AD6C73"/>
    <w:rsid w:val="00AD71DA"/>
    <w:rsid w:val="00AD730F"/>
    <w:rsid w:val="00AD7829"/>
    <w:rsid w:val="00AD7A21"/>
    <w:rsid w:val="00AD7B43"/>
    <w:rsid w:val="00AD7D37"/>
    <w:rsid w:val="00AD7DA7"/>
    <w:rsid w:val="00AD7E8C"/>
    <w:rsid w:val="00AD7F70"/>
    <w:rsid w:val="00AE0156"/>
    <w:rsid w:val="00AE0551"/>
    <w:rsid w:val="00AE069B"/>
    <w:rsid w:val="00AE0EB7"/>
    <w:rsid w:val="00AE1047"/>
    <w:rsid w:val="00AE1522"/>
    <w:rsid w:val="00AE1539"/>
    <w:rsid w:val="00AE189D"/>
    <w:rsid w:val="00AE1B6B"/>
    <w:rsid w:val="00AE1BC8"/>
    <w:rsid w:val="00AE1C4A"/>
    <w:rsid w:val="00AE207A"/>
    <w:rsid w:val="00AE24FD"/>
    <w:rsid w:val="00AE2545"/>
    <w:rsid w:val="00AE277B"/>
    <w:rsid w:val="00AE2EC4"/>
    <w:rsid w:val="00AE2F09"/>
    <w:rsid w:val="00AE2FD4"/>
    <w:rsid w:val="00AE304D"/>
    <w:rsid w:val="00AE30DF"/>
    <w:rsid w:val="00AE3138"/>
    <w:rsid w:val="00AE32AE"/>
    <w:rsid w:val="00AE338F"/>
    <w:rsid w:val="00AE36CB"/>
    <w:rsid w:val="00AE3932"/>
    <w:rsid w:val="00AE3D67"/>
    <w:rsid w:val="00AE4448"/>
    <w:rsid w:val="00AE4602"/>
    <w:rsid w:val="00AE4614"/>
    <w:rsid w:val="00AE4803"/>
    <w:rsid w:val="00AE48F2"/>
    <w:rsid w:val="00AE4B4D"/>
    <w:rsid w:val="00AE4C12"/>
    <w:rsid w:val="00AE4FA4"/>
    <w:rsid w:val="00AE525C"/>
    <w:rsid w:val="00AE5405"/>
    <w:rsid w:val="00AE551E"/>
    <w:rsid w:val="00AE56C8"/>
    <w:rsid w:val="00AE56CC"/>
    <w:rsid w:val="00AE59BF"/>
    <w:rsid w:val="00AE5C84"/>
    <w:rsid w:val="00AE5E83"/>
    <w:rsid w:val="00AE659E"/>
    <w:rsid w:val="00AE67B4"/>
    <w:rsid w:val="00AE6817"/>
    <w:rsid w:val="00AE6BEA"/>
    <w:rsid w:val="00AE6CB0"/>
    <w:rsid w:val="00AE6CE1"/>
    <w:rsid w:val="00AE6D37"/>
    <w:rsid w:val="00AE6DAE"/>
    <w:rsid w:val="00AE6EC5"/>
    <w:rsid w:val="00AE6FFE"/>
    <w:rsid w:val="00AE701F"/>
    <w:rsid w:val="00AE7052"/>
    <w:rsid w:val="00AE7288"/>
    <w:rsid w:val="00AE7390"/>
    <w:rsid w:val="00AE7400"/>
    <w:rsid w:val="00AE74A3"/>
    <w:rsid w:val="00AE7549"/>
    <w:rsid w:val="00AE7750"/>
    <w:rsid w:val="00AE799A"/>
    <w:rsid w:val="00AE7A5B"/>
    <w:rsid w:val="00AF0194"/>
    <w:rsid w:val="00AF0252"/>
    <w:rsid w:val="00AF0351"/>
    <w:rsid w:val="00AF04DB"/>
    <w:rsid w:val="00AF050D"/>
    <w:rsid w:val="00AF09F4"/>
    <w:rsid w:val="00AF0AC6"/>
    <w:rsid w:val="00AF0BBA"/>
    <w:rsid w:val="00AF0EA9"/>
    <w:rsid w:val="00AF140B"/>
    <w:rsid w:val="00AF1619"/>
    <w:rsid w:val="00AF19B0"/>
    <w:rsid w:val="00AF1D57"/>
    <w:rsid w:val="00AF1D96"/>
    <w:rsid w:val="00AF1F3F"/>
    <w:rsid w:val="00AF214A"/>
    <w:rsid w:val="00AF2397"/>
    <w:rsid w:val="00AF26F0"/>
    <w:rsid w:val="00AF26F1"/>
    <w:rsid w:val="00AF26F3"/>
    <w:rsid w:val="00AF2B23"/>
    <w:rsid w:val="00AF2D1D"/>
    <w:rsid w:val="00AF2F57"/>
    <w:rsid w:val="00AF2F6E"/>
    <w:rsid w:val="00AF30C5"/>
    <w:rsid w:val="00AF329A"/>
    <w:rsid w:val="00AF41D1"/>
    <w:rsid w:val="00AF484D"/>
    <w:rsid w:val="00AF4900"/>
    <w:rsid w:val="00AF4BBC"/>
    <w:rsid w:val="00AF4C85"/>
    <w:rsid w:val="00AF4D23"/>
    <w:rsid w:val="00AF4F30"/>
    <w:rsid w:val="00AF513B"/>
    <w:rsid w:val="00AF5296"/>
    <w:rsid w:val="00AF52CA"/>
    <w:rsid w:val="00AF53CC"/>
    <w:rsid w:val="00AF542D"/>
    <w:rsid w:val="00AF5447"/>
    <w:rsid w:val="00AF59E9"/>
    <w:rsid w:val="00AF5C1E"/>
    <w:rsid w:val="00AF6081"/>
    <w:rsid w:val="00AF61C7"/>
    <w:rsid w:val="00AF6208"/>
    <w:rsid w:val="00AF6343"/>
    <w:rsid w:val="00AF67F0"/>
    <w:rsid w:val="00AF68CD"/>
    <w:rsid w:val="00AF6BD1"/>
    <w:rsid w:val="00AF6BE6"/>
    <w:rsid w:val="00AF6DF7"/>
    <w:rsid w:val="00AF7001"/>
    <w:rsid w:val="00AF71EC"/>
    <w:rsid w:val="00AF7364"/>
    <w:rsid w:val="00AF7510"/>
    <w:rsid w:val="00AF7541"/>
    <w:rsid w:val="00AF78BE"/>
    <w:rsid w:val="00AF7D40"/>
    <w:rsid w:val="00AF7FE8"/>
    <w:rsid w:val="00B00072"/>
    <w:rsid w:val="00B004C5"/>
    <w:rsid w:val="00B00A3D"/>
    <w:rsid w:val="00B00ACF"/>
    <w:rsid w:val="00B00B6F"/>
    <w:rsid w:val="00B00E26"/>
    <w:rsid w:val="00B01354"/>
    <w:rsid w:val="00B01527"/>
    <w:rsid w:val="00B0194B"/>
    <w:rsid w:val="00B01AB6"/>
    <w:rsid w:val="00B01AF4"/>
    <w:rsid w:val="00B01E17"/>
    <w:rsid w:val="00B020B1"/>
    <w:rsid w:val="00B02221"/>
    <w:rsid w:val="00B02326"/>
    <w:rsid w:val="00B02725"/>
    <w:rsid w:val="00B02AE3"/>
    <w:rsid w:val="00B02D38"/>
    <w:rsid w:val="00B02E25"/>
    <w:rsid w:val="00B02E37"/>
    <w:rsid w:val="00B02E51"/>
    <w:rsid w:val="00B03058"/>
    <w:rsid w:val="00B031D6"/>
    <w:rsid w:val="00B0348E"/>
    <w:rsid w:val="00B0370D"/>
    <w:rsid w:val="00B03A34"/>
    <w:rsid w:val="00B03AA4"/>
    <w:rsid w:val="00B03BED"/>
    <w:rsid w:val="00B03D49"/>
    <w:rsid w:val="00B042AF"/>
    <w:rsid w:val="00B04495"/>
    <w:rsid w:val="00B046F9"/>
    <w:rsid w:val="00B04AF2"/>
    <w:rsid w:val="00B04D0A"/>
    <w:rsid w:val="00B04D16"/>
    <w:rsid w:val="00B04F43"/>
    <w:rsid w:val="00B0511D"/>
    <w:rsid w:val="00B0512D"/>
    <w:rsid w:val="00B05173"/>
    <w:rsid w:val="00B051BB"/>
    <w:rsid w:val="00B05212"/>
    <w:rsid w:val="00B0530C"/>
    <w:rsid w:val="00B053E0"/>
    <w:rsid w:val="00B0544D"/>
    <w:rsid w:val="00B056A4"/>
    <w:rsid w:val="00B05A30"/>
    <w:rsid w:val="00B05B6A"/>
    <w:rsid w:val="00B05CBB"/>
    <w:rsid w:val="00B05D6B"/>
    <w:rsid w:val="00B062F8"/>
    <w:rsid w:val="00B06458"/>
    <w:rsid w:val="00B064BD"/>
    <w:rsid w:val="00B064DC"/>
    <w:rsid w:val="00B065F4"/>
    <w:rsid w:val="00B06A01"/>
    <w:rsid w:val="00B06A10"/>
    <w:rsid w:val="00B06BA6"/>
    <w:rsid w:val="00B06C8A"/>
    <w:rsid w:val="00B0718F"/>
    <w:rsid w:val="00B07367"/>
    <w:rsid w:val="00B07445"/>
    <w:rsid w:val="00B07707"/>
    <w:rsid w:val="00B07742"/>
    <w:rsid w:val="00B0775A"/>
    <w:rsid w:val="00B07A89"/>
    <w:rsid w:val="00B07B4D"/>
    <w:rsid w:val="00B07B6B"/>
    <w:rsid w:val="00B07FF6"/>
    <w:rsid w:val="00B1033B"/>
    <w:rsid w:val="00B1039F"/>
    <w:rsid w:val="00B103FB"/>
    <w:rsid w:val="00B10419"/>
    <w:rsid w:val="00B1043E"/>
    <w:rsid w:val="00B105D2"/>
    <w:rsid w:val="00B108F2"/>
    <w:rsid w:val="00B10916"/>
    <w:rsid w:val="00B10B31"/>
    <w:rsid w:val="00B10D83"/>
    <w:rsid w:val="00B112CF"/>
    <w:rsid w:val="00B113A9"/>
    <w:rsid w:val="00B114E8"/>
    <w:rsid w:val="00B11821"/>
    <w:rsid w:val="00B11D19"/>
    <w:rsid w:val="00B11DD5"/>
    <w:rsid w:val="00B12009"/>
    <w:rsid w:val="00B122FB"/>
    <w:rsid w:val="00B1241E"/>
    <w:rsid w:val="00B1241F"/>
    <w:rsid w:val="00B12673"/>
    <w:rsid w:val="00B12868"/>
    <w:rsid w:val="00B128F8"/>
    <w:rsid w:val="00B12AD9"/>
    <w:rsid w:val="00B12AFC"/>
    <w:rsid w:val="00B12B63"/>
    <w:rsid w:val="00B12B64"/>
    <w:rsid w:val="00B12BEB"/>
    <w:rsid w:val="00B12CB4"/>
    <w:rsid w:val="00B12D7C"/>
    <w:rsid w:val="00B1307A"/>
    <w:rsid w:val="00B132BE"/>
    <w:rsid w:val="00B136D7"/>
    <w:rsid w:val="00B13B65"/>
    <w:rsid w:val="00B13CB8"/>
    <w:rsid w:val="00B142E6"/>
    <w:rsid w:val="00B1441C"/>
    <w:rsid w:val="00B1465E"/>
    <w:rsid w:val="00B14682"/>
    <w:rsid w:val="00B1473A"/>
    <w:rsid w:val="00B149F9"/>
    <w:rsid w:val="00B149FC"/>
    <w:rsid w:val="00B1510B"/>
    <w:rsid w:val="00B15176"/>
    <w:rsid w:val="00B151D1"/>
    <w:rsid w:val="00B1521A"/>
    <w:rsid w:val="00B15655"/>
    <w:rsid w:val="00B15769"/>
    <w:rsid w:val="00B15989"/>
    <w:rsid w:val="00B15A0F"/>
    <w:rsid w:val="00B16103"/>
    <w:rsid w:val="00B16384"/>
    <w:rsid w:val="00B1650A"/>
    <w:rsid w:val="00B1658C"/>
    <w:rsid w:val="00B16611"/>
    <w:rsid w:val="00B16A2F"/>
    <w:rsid w:val="00B16CF9"/>
    <w:rsid w:val="00B16DA9"/>
    <w:rsid w:val="00B16E9E"/>
    <w:rsid w:val="00B16FF8"/>
    <w:rsid w:val="00B17152"/>
    <w:rsid w:val="00B178D9"/>
    <w:rsid w:val="00B17950"/>
    <w:rsid w:val="00B17B2D"/>
    <w:rsid w:val="00B17B53"/>
    <w:rsid w:val="00B17C73"/>
    <w:rsid w:val="00B17C97"/>
    <w:rsid w:val="00B2015B"/>
    <w:rsid w:val="00B20268"/>
    <w:rsid w:val="00B20370"/>
    <w:rsid w:val="00B203BD"/>
    <w:rsid w:val="00B205C9"/>
    <w:rsid w:val="00B205F9"/>
    <w:rsid w:val="00B20621"/>
    <w:rsid w:val="00B20778"/>
    <w:rsid w:val="00B20864"/>
    <w:rsid w:val="00B208ED"/>
    <w:rsid w:val="00B210F2"/>
    <w:rsid w:val="00B211B3"/>
    <w:rsid w:val="00B212FA"/>
    <w:rsid w:val="00B21776"/>
    <w:rsid w:val="00B21953"/>
    <w:rsid w:val="00B21A69"/>
    <w:rsid w:val="00B21A71"/>
    <w:rsid w:val="00B21BEE"/>
    <w:rsid w:val="00B21D84"/>
    <w:rsid w:val="00B21DDA"/>
    <w:rsid w:val="00B22150"/>
    <w:rsid w:val="00B221F3"/>
    <w:rsid w:val="00B224DC"/>
    <w:rsid w:val="00B22560"/>
    <w:rsid w:val="00B2256C"/>
    <w:rsid w:val="00B22690"/>
    <w:rsid w:val="00B22773"/>
    <w:rsid w:val="00B22A69"/>
    <w:rsid w:val="00B22AB6"/>
    <w:rsid w:val="00B22D39"/>
    <w:rsid w:val="00B231EF"/>
    <w:rsid w:val="00B232C8"/>
    <w:rsid w:val="00B23325"/>
    <w:rsid w:val="00B2342C"/>
    <w:rsid w:val="00B238BA"/>
    <w:rsid w:val="00B23922"/>
    <w:rsid w:val="00B23A23"/>
    <w:rsid w:val="00B23C2E"/>
    <w:rsid w:val="00B23D0E"/>
    <w:rsid w:val="00B23D5D"/>
    <w:rsid w:val="00B23F9D"/>
    <w:rsid w:val="00B24081"/>
    <w:rsid w:val="00B248B0"/>
    <w:rsid w:val="00B248BD"/>
    <w:rsid w:val="00B2499E"/>
    <w:rsid w:val="00B24A60"/>
    <w:rsid w:val="00B24A9B"/>
    <w:rsid w:val="00B24C25"/>
    <w:rsid w:val="00B24E87"/>
    <w:rsid w:val="00B24FF8"/>
    <w:rsid w:val="00B2532E"/>
    <w:rsid w:val="00B253F6"/>
    <w:rsid w:val="00B25667"/>
    <w:rsid w:val="00B25917"/>
    <w:rsid w:val="00B25AFC"/>
    <w:rsid w:val="00B25BB0"/>
    <w:rsid w:val="00B25EFA"/>
    <w:rsid w:val="00B25FE6"/>
    <w:rsid w:val="00B261E7"/>
    <w:rsid w:val="00B263A1"/>
    <w:rsid w:val="00B26902"/>
    <w:rsid w:val="00B2693A"/>
    <w:rsid w:val="00B26996"/>
    <w:rsid w:val="00B26C85"/>
    <w:rsid w:val="00B26E2F"/>
    <w:rsid w:val="00B27055"/>
    <w:rsid w:val="00B270BB"/>
    <w:rsid w:val="00B27186"/>
    <w:rsid w:val="00B2733C"/>
    <w:rsid w:val="00B2748B"/>
    <w:rsid w:val="00B27652"/>
    <w:rsid w:val="00B277EA"/>
    <w:rsid w:val="00B27EC5"/>
    <w:rsid w:val="00B30111"/>
    <w:rsid w:val="00B306EF"/>
    <w:rsid w:val="00B3078C"/>
    <w:rsid w:val="00B30841"/>
    <w:rsid w:val="00B3088D"/>
    <w:rsid w:val="00B308D0"/>
    <w:rsid w:val="00B30A4D"/>
    <w:rsid w:val="00B30CD2"/>
    <w:rsid w:val="00B30E03"/>
    <w:rsid w:val="00B30E2E"/>
    <w:rsid w:val="00B30F6D"/>
    <w:rsid w:val="00B3126F"/>
    <w:rsid w:val="00B3143C"/>
    <w:rsid w:val="00B31484"/>
    <w:rsid w:val="00B317BF"/>
    <w:rsid w:val="00B318FD"/>
    <w:rsid w:val="00B31B3E"/>
    <w:rsid w:val="00B31EDC"/>
    <w:rsid w:val="00B31FB6"/>
    <w:rsid w:val="00B32186"/>
    <w:rsid w:val="00B324AA"/>
    <w:rsid w:val="00B324C8"/>
    <w:rsid w:val="00B32535"/>
    <w:rsid w:val="00B327A7"/>
    <w:rsid w:val="00B32F71"/>
    <w:rsid w:val="00B33089"/>
    <w:rsid w:val="00B3323D"/>
    <w:rsid w:val="00B333FF"/>
    <w:rsid w:val="00B335A1"/>
    <w:rsid w:val="00B33AE6"/>
    <w:rsid w:val="00B33BD0"/>
    <w:rsid w:val="00B33D96"/>
    <w:rsid w:val="00B3416C"/>
    <w:rsid w:val="00B34223"/>
    <w:rsid w:val="00B343B6"/>
    <w:rsid w:val="00B34598"/>
    <w:rsid w:val="00B345BD"/>
    <w:rsid w:val="00B3469C"/>
    <w:rsid w:val="00B34A8D"/>
    <w:rsid w:val="00B34AD1"/>
    <w:rsid w:val="00B34C72"/>
    <w:rsid w:val="00B34D60"/>
    <w:rsid w:val="00B34D6B"/>
    <w:rsid w:val="00B34F31"/>
    <w:rsid w:val="00B35179"/>
    <w:rsid w:val="00B3528A"/>
    <w:rsid w:val="00B35404"/>
    <w:rsid w:val="00B3556E"/>
    <w:rsid w:val="00B3581C"/>
    <w:rsid w:val="00B358F0"/>
    <w:rsid w:val="00B35C05"/>
    <w:rsid w:val="00B35CA5"/>
    <w:rsid w:val="00B35F41"/>
    <w:rsid w:val="00B35FC5"/>
    <w:rsid w:val="00B36A01"/>
    <w:rsid w:val="00B36D54"/>
    <w:rsid w:val="00B36DD5"/>
    <w:rsid w:val="00B36E5C"/>
    <w:rsid w:val="00B36EC2"/>
    <w:rsid w:val="00B36F9E"/>
    <w:rsid w:val="00B37105"/>
    <w:rsid w:val="00B3735D"/>
    <w:rsid w:val="00B3769A"/>
    <w:rsid w:val="00B37C28"/>
    <w:rsid w:val="00B37CFE"/>
    <w:rsid w:val="00B4008C"/>
    <w:rsid w:val="00B4091D"/>
    <w:rsid w:val="00B40C09"/>
    <w:rsid w:val="00B4129B"/>
    <w:rsid w:val="00B412C1"/>
    <w:rsid w:val="00B41336"/>
    <w:rsid w:val="00B4135B"/>
    <w:rsid w:val="00B413C7"/>
    <w:rsid w:val="00B413FA"/>
    <w:rsid w:val="00B4140C"/>
    <w:rsid w:val="00B41551"/>
    <w:rsid w:val="00B416AF"/>
    <w:rsid w:val="00B417E2"/>
    <w:rsid w:val="00B41C06"/>
    <w:rsid w:val="00B42017"/>
    <w:rsid w:val="00B420F7"/>
    <w:rsid w:val="00B422A0"/>
    <w:rsid w:val="00B42468"/>
    <w:rsid w:val="00B4258A"/>
    <w:rsid w:val="00B4269E"/>
    <w:rsid w:val="00B42822"/>
    <w:rsid w:val="00B42886"/>
    <w:rsid w:val="00B42911"/>
    <w:rsid w:val="00B42A82"/>
    <w:rsid w:val="00B42D87"/>
    <w:rsid w:val="00B4311E"/>
    <w:rsid w:val="00B43801"/>
    <w:rsid w:val="00B43928"/>
    <w:rsid w:val="00B43A3A"/>
    <w:rsid w:val="00B43D4E"/>
    <w:rsid w:val="00B43F08"/>
    <w:rsid w:val="00B443CB"/>
    <w:rsid w:val="00B44803"/>
    <w:rsid w:val="00B44805"/>
    <w:rsid w:val="00B44856"/>
    <w:rsid w:val="00B44D25"/>
    <w:rsid w:val="00B45076"/>
    <w:rsid w:val="00B4531A"/>
    <w:rsid w:val="00B45430"/>
    <w:rsid w:val="00B45747"/>
    <w:rsid w:val="00B45804"/>
    <w:rsid w:val="00B45E99"/>
    <w:rsid w:val="00B45ECA"/>
    <w:rsid w:val="00B465CE"/>
    <w:rsid w:val="00B465F1"/>
    <w:rsid w:val="00B46AEE"/>
    <w:rsid w:val="00B46BC4"/>
    <w:rsid w:val="00B46D92"/>
    <w:rsid w:val="00B46F3D"/>
    <w:rsid w:val="00B46F4D"/>
    <w:rsid w:val="00B47149"/>
    <w:rsid w:val="00B471AC"/>
    <w:rsid w:val="00B474F3"/>
    <w:rsid w:val="00B47609"/>
    <w:rsid w:val="00B476D3"/>
    <w:rsid w:val="00B478B7"/>
    <w:rsid w:val="00B4792C"/>
    <w:rsid w:val="00B47B02"/>
    <w:rsid w:val="00B47C54"/>
    <w:rsid w:val="00B47C76"/>
    <w:rsid w:val="00B47E5A"/>
    <w:rsid w:val="00B50B60"/>
    <w:rsid w:val="00B50E4E"/>
    <w:rsid w:val="00B50E61"/>
    <w:rsid w:val="00B50FCB"/>
    <w:rsid w:val="00B5116C"/>
    <w:rsid w:val="00B5126D"/>
    <w:rsid w:val="00B512C3"/>
    <w:rsid w:val="00B51645"/>
    <w:rsid w:val="00B51945"/>
    <w:rsid w:val="00B51C17"/>
    <w:rsid w:val="00B51C46"/>
    <w:rsid w:val="00B51E0F"/>
    <w:rsid w:val="00B52003"/>
    <w:rsid w:val="00B520A8"/>
    <w:rsid w:val="00B52329"/>
    <w:rsid w:val="00B5232A"/>
    <w:rsid w:val="00B5257F"/>
    <w:rsid w:val="00B5278C"/>
    <w:rsid w:val="00B52A0A"/>
    <w:rsid w:val="00B52A73"/>
    <w:rsid w:val="00B52AD7"/>
    <w:rsid w:val="00B52FCD"/>
    <w:rsid w:val="00B532A1"/>
    <w:rsid w:val="00B533DA"/>
    <w:rsid w:val="00B5348D"/>
    <w:rsid w:val="00B53745"/>
    <w:rsid w:val="00B53867"/>
    <w:rsid w:val="00B53A7E"/>
    <w:rsid w:val="00B53B9A"/>
    <w:rsid w:val="00B53BE4"/>
    <w:rsid w:val="00B53CF2"/>
    <w:rsid w:val="00B53FCE"/>
    <w:rsid w:val="00B5420B"/>
    <w:rsid w:val="00B54254"/>
    <w:rsid w:val="00B542C3"/>
    <w:rsid w:val="00B54417"/>
    <w:rsid w:val="00B54933"/>
    <w:rsid w:val="00B549A4"/>
    <w:rsid w:val="00B54B74"/>
    <w:rsid w:val="00B54BDC"/>
    <w:rsid w:val="00B54D8F"/>
    <w:rsid w:val="00B54E44"/>
    <w:rsid w:val="00B54FFF"/>
    <w:rsid w:val="00B5511E"/>
    <w:rsid w:val="00B553D9"/>
    <w:rsid w:val="00B55828"/>
    <w:rsid w:val="00B5587A"/>
    <w:rsid w:val="00B55A74"/>
    <w:rsid w:val="00B55D71"/>
    <w:rsid w:val="00B56116"/>
    <w:rsid w:val="00B561D5"/>
    <w:rsid w:val="00B563BF"/>
    <w:rsid w:val="00B564CF"/>
    <w:rsid w:val="00B56526"/>
    <w:rsid w:val="00B5673F"/>
    <w:rsid w:val="00B56759"/>
    <w:rsid w:val="00B56870"/>
    <w:rsid w:val="00B56A5B"/>
    <w:rsid w:val="00B56C30"/>
    <w:rsid w:val="00B56CC0"/>
    <w:rsid w:val="00B56CDB"/>
    <w:rsid w:val="00B56D02"/>
    <w:rsid w:val="00B56D5C"/>
    <w:rsid w:val="00B56DA3"/>
    <w:rsid w:val="00B56E39"/>
    <w:rsid w:val="00B56F12"/>
    <w:rsid w:val="00B57176"/>
    <w:rsid w:val="00B572AF"/>
    <w:rsid w:val="00B572C7"/>
    <w:rsid w:val="00B57458"/>
    <w:rsid w:val="00B57480"/>
    <w:rsid w:val="00B578D7"/>
    <w:rsid w:val="00B57B1F"/>
    <w:rsid w:val="00B57DBC"/>
    <w:rsid w:val="00B6062A"/>
    <w:rsid w:val="00B60942"/>
    <w:rsid w:val="00B609B0"/>
    <w:rsid w:val="00B60B1C"/>
    <w:rsid w:val="00B60C3A"/>
    <w:rsid w:val="00B60F61"/>
    <w:rsid w:val="00B60F7B"/>
    <w:rsid w:val="00B6105B"/>
    <w:rsid w:val="00B610CB"/>
    <w:rsid w:val="00B61335"/>
    <w:rsid w:val="00B61831"/>
    <w:rsid w:val="00B61859"/>
    <w:rsid w:val="00B61897"/>
    <w:rsid w:val="00B61916"/>
    <w:rsid w:val="00B61B5C"/>
    <w:rsid w:val="00B61F53"/>
    <w:rsid w:val="00B62071"/>
    <w:rsid w:val="00B620C1"/>
    <w:rsid w:val="00B622AE"/>
    <w:rsid w:val="00B623AE"/>
    <w:rsid w:val="00B6242E"/>
    <w:rsid w:val="00B628AE"/>
    <w:rsid w:val="00B62AD6"/>
    <w:rsid w:val="00B62BB4"/>
    <w:rsid w:val="00B62C6D"/>
    <w:rsid w:val="00B62DBF"/>
    <w:rsid w:val="00B62E66"/>
    <w:rsid w:val="00B63026"/>
    <w:rsid w:val="00B63073"/>
    <w:rsid w:val="00B630D0"/>
    <w:rsid w:val="00B631D8"/>
    <w:rsid w:val="00B63245"/>
    <w:rsid w:val="00B632C6"/>
    <w:rsid w:val="00B63367"/>
    <w:rsid w:val="00B63575"/>
    <w:rsid w:val="00B635BF"/>
    <w:rsid w:val="00B63982"/>
    <w:rsid w:val="00B63CDC"/>
    <w:rsid w:val="00B63CEC"/>
    <w:rsid w:val="00B642BA"/>
    <w:rsid w:val="00B64326"/>
    <w:rsid w:val="00B646C9"/>
    <w:rsid w:val="00B64922"/>
    <w:rsid w:val="00B64A39"/>
    <w:rsid w:val="00B64CAB"/>
    <w:rsid w:val="00B64E8A"/>
    <w:rsid w:val="00B650BE"/>
    <w:rsid w:val="00B65174"/>
    <w:rsid w:val="00B65713"/>
    <w:rsid w:val="00B65900"/>
    <w:rsid w:val="00B659AF"/>
    <w:rsid w:val="00B65DA7"/>
    <w:rsid w:val="00B65E84"/>
    <w:rsid w:val="00B65F68"/>
    <w:rsid w:val="00B6605D"/>
    <w:rsid w:val="00B660CD"/>
    <w:rsid w:val="00B668A4"/>
    <w:rsid w:val="00B6690F"/>
    <w:rsid w:val="00B66A12"/>
    <w:rsid w:val="00B66B1E"/>
    <w:rsid w:val="00B66B3E"/>
    <w:rsid w:val="00B66BBF"/>
    <w:rsid w:val="00B66CBF"/>
    <w:rsid w:val="00B66FED"/>
    <w:rsid w:val="00B670AE"/>
    <w:rsid w:val="00B672BA"/>
    <w:rsid w:val="00B6732D"/>
    <w:rsid w:val="00B6759B"/>
    <w:rsid w:val="00B679B1"/>
    <w:rsid w:val="00B67D37"/>
    <w:rsid w:val="00B67D7E"/>
    <w:rsid w:val="00B67D92"/>
    <w:rsid w:val="00B67E94"/>
    <w:rsid w:val="00B7008C"/>
    <w:rsid w:val="00B70349"/>
    <w:rsid w:val="00B70977"/>
    <w:rsid w:val="00B70C16"/>
    <w:rsid w:val="00B70EFD"/>
    <w:rsid w:val="00B70F35"/>
    <w:rsid w:val="00B70FCA"/>
    <w:rsid w:val="00B70FE9"/>
    <w:rsid w:val="00B713E4"/>
    <w:rsid w:val="00B714FB"/>
    <w:rsid w:val="00B715B9"/>
    <w:rsid w:val="00B71600"/>
    <w:rsid w:val="00B716D5"/>
    <w:rsid w:val="00B71B12"/>
    <w:rsid w:val="00B71B59"/>
    <w:rsid w:val="00B71EFE"/>
    <w:rsid w:val="00B7253B"/>
    <w:rsid w:val="00B725E5"/>
    <w:rsid w:val="00B727B5"/>
    <w:rsid w:val="00B7292C"/>
    <w:rsid w:val="00B72A8D"/>
    <w:rsid w:val="00B72CC9"/>
    <w:rsid w:val="00B7343A"/>
    <w:rsid w:val="00B737D9"/>
    <w:rsid w:val="00B73891"/>
    <w:rsid w:val="00B73A19"/>
    <w:rsid w:val="00B73A20"/>
    <w:rsid w:val="00B73C37"/>
    <w:rsid w:val="00B73CD3"/>
    <w:rsid w:val="00B73D8A"/>
    <w:rsid w:val="00B73D95"/>
    <w:rsid w:val="00B73E2D"/>
    <w:rsid w:val="00B73F3F"/>
    <w:rsid w:val="00B73FCF"/>
    <w:rsid w:val="00B7433C"/>
    <w:rsid w:val="00B74675"/>
    <w:rsid w:val="00B74ABA"/>
    <w:rsid w:val="00B74D58"/>
    <w:rsid w:val="00B74D67"/>
    <w:rsid w:val="00B74F24"/>
    <w:rsid w:val="00B750AC"/>
    <w:rsid w:val="00B751BF"/>
    <w:rsid w:val="00B75219"/>
    <w:rsid w:val="00B7525C"/>
    <w:rsid w:val="00B7535E"/>
    <w:rsid w:val="00B7554E"/>
    <w:rsid w:val="00B75593"/>
    <w:rsid w:val="00B75617"/>
    <w:rsid w:val="00B75782"/>
    <w:rsid w:val="00B757FA"/>
    <w:rsid w:val="00B7589E"/>
    <w:rsid w:val="00B75A71"/>
    <w:rsid w:val="00B75A9C"/>
    <w:rsid w:val="00B75B7A"/>
    <w:rsid w:val="00B75EB9"/>
    <w:rsid w:val="00B75EE7"/>
    <w:rsid w:val="00B7603D"/>
    <w:rsid w:val="00B762F9"/>
    <w:rsid w:val="00B76352"/>
    <w:rsid w:val="00B7651D"/>
    <w:rsid w:val="00B7665B"/>
    <w:rsid w:val="00B76687"/>
    <w:rsid w:val="00B7690B"/>
    <w:rsid w:val="00B76A21"/>
    <w:rsid w:val="00B76EA3"/>
    <w:rsid w:val="00B76F12"/>
    <w:rsid w:val="00B76FC9"/>
    <w:rsid w:val="00B770AF"/>
    <w:rsid w:val="00B7713E"/>
    <w:rsid w:val="00B77177"/>
    <w:rsid w:val="00B771B1"/>
    <w:rsid w:val="00B773AE"/>
    <w:rsid w:val="00B776CB"/>
    <w:rsid w:val="00B77A15"/>
    <w:rsid w:val="00B77B30"/>
    <w:rsid w:val="00B77C9F"/>
    <w:rsid w:val="00B77F04"/>
    <w:rsid w:val="00B802D7"/>
    <w:rsid w:val="00B80322"/>
    <w:rsid w:val="00B8036E"/>
    <w:rsid w:val="00B804BC"/>
    <w:rsid w:val="00B8066B"/>
    <w:rsid w:val="00B80882"/>
    <w:rsid w:val="00B80CFB"/>
    <w:rsid w:val="00B80E2C"/>
    <w:rsid w:val="00B812C2"/>
    <w:rsid w:val="00B81538"/>
    <w:rsid w:val="00B815AF"/>
    <w:rsid w:val="00B81904"/>
    <w:rsid w:val="00B8195F"/>
    <w:rsid w:val="00B81B2E"/>
    <w:rsid w:val="00B81BD1"/>
    <w:rsid w:val="00B81CF6"/>
    <w:rsid w:val="00B81D09"/>
    <w:rsid w:val="00B81FD5"/>
    <w:rsid w:val="00B8202B"/>
    <w:rsid w:val="00B82634"/>
    <w:rsid w:val="00B8265D"/>
    <w:rsid w:val="00B82747"/>
    <w:rsid w:val="00B8278A"/>
    <w:rsid w:val="00B830FE"/>
    <w:rsid w:val="00B83152"/>
    <w:rsid w:val="00B8326A"/>
    <w:rsid w:val="00B832FD"/>
    <w:rsid w:val="00B83867"/>
    <w:rsid w:val="00B83B32"/>
    <w:rsid w:val="00B83B57"/>
    <w:rsid w:val="00B8405F"/>
    <w:rsid w:val="00B8440B"/>
    <w:rsid w:val="00B8457C"/>
    <w:rsid w:val="00B8463E"/>
    <w:rsid w:val="00B84799"/>
    <w:rsid w:val="00B8486D"/>
    <w:rsid w:val="00B8487F"/>
    <w:rsid w:val="00B849D6"/>
    <w:rsid w:val="00B84A9D"/>
    <w:rsid w:val="00B84BF5"/>
    <w:rsid w:val="00B84E98"/>
    <w:rsid w:val="00B84EE7"/>
    <w:rsid w:val="00B84F3F"/>
    <w:rsid w:val="00B84F91"/>
    <w:rsid w:val="00B84FFB"/>
    <w:rsid w:val="00B8524C"/>
    <w:rsid w:val="00B853BF"/>
    <w:rsid w:val="00B85491"/>
    <w:rsid w:val="00B8551B"/>
    <w:rsid w:val="00B855C1"/>
    <w:rsid w:val="00B855FB"/>
    <w:rsid w:val="00B8561E"/>
    <w:rsid w:val="00B857EE"/>
    <w:rsid w:val="00B85DA5"/>
    <w:rsid w:val="00B85E65"/>
    <w:rsid w:val="00B85E8C"/>
    <w:rsid w:val="00B85F84"/>
    <w:rsid w:val="00B8606C"/>
    <w:rsid w:val="00B8613F"/>
    <w:rsid w:val="00B86376"/>
    <w:rsid w:val="00B864B2"/>
    <w:rsid w:val="00B8661F"/>
    <w:rsid w:val="00B866ED"/>
    <w:rsid w:val="00B86E61"/>
    <w:rsid w:val="00B86EB6"/>
    <w:rsid w:val="00B86F6F"/>
    <w:rsid w:val="00B870BC"/>
    <w:rsid w:val="00B874E6"/>
    <w:rsid w:val="00B8760E"/>
    <w:rsid w:val="00B87D77"/>
    <w:rsid w:val="00B87DF8"/>
    <w:rsid w:val="00B90168"/>
    <w:rsid w:val="00B902BF"/>
    <w:rsid w:val="00B90319"/>
    <w:rsid w:val="00B90498"/>
    <w:rsid w:val="00B90598"/>
    <w:rsid w:val="00B9080B"/>
    <w:rsid w:val="00B9098D"/>
    <w:rsid w:val="00B90AAB"/>
    <w:rsid w:val="00B90B3E"/>
    <w:rsid w:val="00B90C8E"/>
    <w:rsid w:val="00B90E74"/>
    <w:rsid w:val="00B90E9E"/>
    <w:rsid w:val="00B913C6"/>
    <w:rsid w:val="00B91494"/>
    <w:rsid w:val="00B915CE"/>
    <w:rsid w:val="00B91899"/>
    <w:rsid w:val="00B91C32"/>
    <w:rsid w:val="00B91C88"/>
    <w:rsid w:val="00B91D53"/>
    <w:rsid w:val="00B91F59"/>
    <w:rsid w:val="00B92101"/>
    <w:rsid w:val="00B92333"/>
    <w:rsid w:val="00B9243B"/>
    <w:rsid w:val="00B92761"/>
    <w:rsid w:val="00B92A1B"/>
    <w:rsid w:val="00B92A38"/>
    <w:rsid w:val="00B92B7D"/>
    <w:rsid w:val="00B92F33"/>
    <w:rsid w:val="00B930B2"/>
    <w:rsid w:val="00B9331D"/>
    <w:rsid w:val="00B9337F"/>
    <w:rsid w:val="00B9347D"/>
    <w:rsid w:val="00B93619"/>
    <w:rsid w:val="00B9366F"/>
    <w:rsid w:val="00B936E6"/>
    <w:rsid w:val="00B936EA"/>
    <w:rsid w:val="00B936FB"/>
    <w:rsid w:val="00B9374D"/>
    <w:rsid w:val="00B93766"/>
    <w:rsid w:val="00B93867"/>
    <w:rsid w:val="00B93997"/>
    <w:rsid w:val="00B939C6"/>
    <w:rsid w:val="00B93B5E"/>
    <w:rsid w:val="00B93D90"/>
    <w:rsid w:val="00B93DE9"/>
    <w:rsid w:val="00B9400C"/>
    <w:rsid w:val="00B9409E"/>
    <w:rsid w:val="00B942D9"/>
    <w:rsid w:val="00B9430D"/>
    <w:rsid w:val="00B9470F"/>
    <w:rsid w:val="00B9478E"/>
    <w:rsid w:val="00B94CF1"/>
    <w:rsid w:val="00B94D1A"/>
    <w:rsid w:val="00B94F04"/>
    <w:rsid w:val="00B952B0"/>
    <w:rsid w:val="00B9541D"/>
    <w:rsid w:val="00B9549A"/>
    <w:rsid w:val="00B9549C"/>
    <w:rsid w:val="00B954A9"/>
    <w:rsid w:val="00B955C4"/>
    <w:rsid w:val="00B95834"/>
    <w:rsid w:val="00B959CE"/>
    <w:rsid w:val="00B959D1"/>
    <w:rsid w:val="00B95A82"/>
    <w:rsid w:val="00B95AC0"/>
    <w:rsid w:val="00B961C0"/>
    <w:rsid w:val="00B96364"/>
    <w:rsid w:val="00B9658E"/>
    <w:rsid w:val="00B965A9"/>
    <w:rsid w:val="00B96757"/>
    <w:rsid w:val="00B96AF6"/>
    <w:rsid w:val="00B96B3D"/>
    <w:rsid w:val="00B96D62"/>
    <w:rsid w:val="00B96DD0"/>
    <w:rsid w:val="00B96FFB"/>
    <w:rsid w:val="00B97275"/>
    <w:rsid w:val="00B974D2"/>
    <w:rsid w:val="00B9762F"/>
    <w:rsid w:val="00B976A2"/>
    <w:rsid w:val="00B976C0"/>
    <w:rsid w:val="00B976F1"/>
    <w:rsid w:val="00B97782"/>
    <w:rsid w:val="00B97929"/>
    <w:rsid w:val="00B9793E"/>
    <w:rsid w:val="00B979A5"/>
    <w:rsid w:val="00B97A54"/>
    <w:rsid w:val="00B97AA8"/>
    <w:rsid w:val="00B97AB4"/>
    <w:rsid w:val="00B97E63"/>
    <w:rsid w:val="00B97FCE"/>
    <w:rsid w:val="00BA0151"/>
    <w:rsid w:val="00BA0294"/>
    <w:rsid w:val="00BA0445"/>
    <w:rsid w:val="00BA0585"/>
    <w:rsid w:val="00BA05B4"/>
    <w:rsid w:val="00BA067C"/>
    <w:rsid w:val="00BA0936"/>
    <w:rsid w:val="00BA0C2E"/>
    <w:rsid w:val="00BA0C4A"/>
    <w:rsid w:val="00BA0CA6"/>
    <w:rsid w:val="00BA0D7C"/>
    <w:rsid w:val="00BA10CA"/>
    <w:rsid w:val="00BA111E"/>
    <w:rsid w:val="00BA12E2"/>
    <w:rsid w:val="00BA15FD"/>
    <w:rsid w:val="00BA1A36"/>
    <w:rsid w:val="00BA1B52"/>
    <w:rsid w:val="00BA1BA7"/>
    <w:rsid w:val="00BA1BDB"/>
    <w:rsid w:val="00BA1C40"/>
    <w:rsid w:val="00BA1D26"/>
    <w:rsid w:val="00BA1D5C"/>
    <w:rsid w:val="00BA1D6A"/>
    <w:rsid w:val="00BA1EF7"/>
    <w:rsid w:val="00BA2B3E"/>
    <w:rsid w:val="00BA2C17"/>
    <w:rsid w:val="00BA2C1D"/>
    <w:rsid w:val="00BA2DA5"/>
    <w:rsid w:val="00BA3368"/>
    <w:rsid w:val="00BA35B4"/>
    <w:rsid w:val="00BA36C9"/>
    <w:rsid w:val="00BA380D"/>
    <w:rsid w:val="00BA385C"/>
    <w:rsid w:val="00BA38B9"/>
    <w:rsid w:val="00BA3AE8"/>
    <w:rsid w:val="00BA3CA1"/>
    <w:rsid w:val="00BA3DA3"/>
    <w:rsid w:val="00BA3FA5"/>
    <w:rsid w:val="00BA402C"/>
    <w:rsid w:val="00BA46CA"/>
    <w:rsid w:val="00BA4928"/>
    <w:rsid w:val="00BA4997"/>
    <w:rsid w:val="00BA4B2A"/>
    <w:rsid w:val="00BA4BFE"/>
    <w:rsid w:val="00BA4C6D"/>
    <w:rsid w:val="00BA502F"/>
    <w:rsid w:val="00BA5127"/>
    <w:rsid w:val="00BA525A"/>
    <w:rsid w:val="00BA52A9"/>
    <w:rsid w:val="00BA537B"/>
    <w:rsid w:val="00BA5982"/>
    <w:rsid w:val="00BA599C"/>
    <w:rsid w:val="00BA5C7E"/>
    <w:rsid w:val="00BA5C92"/>
    <w:rsid w:val="00BA5D24"/>
    <w:rsid w:val="00BA5DF1"/>
    <w:rsid w:val="00BA6212"/>
    <w:rsid w:val="00BA63D6"/>
    <w:rsid w:val="00BA66E7"/>
    <w:rsid w:val="00BA674C"/>
    <w:rsid w:val="00BA6839"/>
    <w:rsid w:val="00BA69BC"/>
    <w:rsid w:val="00BA6B27"/>
    <w:rsid w:val="00BA6C7F"/>
    <w:rsid w:val="00BA6D10"/>
    <w:rsid w:val="00BA6D3D"/>
    <w:rsid w:val="00BA6F06"/>
    <w:rsid w:val="00BA7079"/>
    <w:rsid w:val="00BA755D"/>
    <w:rsid w:val="00BA7701"/>
    <w:rsid w:val="00BA772C"/>
    <w:rsid w:val="00BA77A7"/>
    <w:rsid w:val="00BA786A"/>
    <w:rsid w:val="00BA7904"/>
    <w:rsid w:val="00BA7912"/>
    <w:rsid w:val="00BA7A01"/>
    <w:rsid w:val="00BA7B6B"/>
    <w:rsid w:val="00BA7F11"/>
    <w:rsid w:val="00BB0079"/>
    <w:rsid w:val="00BB019D"/>
    <w:rsid w:val="00BB0310"/>
    <w:rsid w:val="00BB0888"/>
    <w:rsid w:val="00BB0906"/>
    <w:rsid w:val="00BB0ACA"/>
    <w:rsid w:val="00BB0B14"/>
    <w:rsid w:val="00BB0CDE"/>
    <w:rsid w:val="00BB0DF6"/>
    <w:rsid w:val="00BB0E73"/>
    <w:rsid w:val="00BB12BB"/>
    <w:rsid w:val="00BB18E5"/>
    <w:rsid w:val="00BB19B8"/>
    <w:rsid w:val="00BB1BD0"/>
    <w:rsid w:val="00BB1DD3"/>
    <w:rsid w:val="00BB1FBE"/>
    <w:rsid w:val="00BB228D"/>
    <w:rsid w:val="00BB257C"/>
    <w:rsid w:val="00BB272E"/>
    <w:rsid w:val="00BB2879"/>
    <w:rsid w:val="00BB2BF6"/>
    <w:rsid w:val="00BB2E85"/>
    <w:rsid w:val="00BB3084"/>
    <w:rsid w:val="00BB3422"/>
    <w:rsid w:val="00BB3573"/>
    <w:rsid w:val="00BB380A"/>
    <w:rsid w:val="00BB38C9"/>
    <w:rsid w:val="00BB3BC2"/>
    <w:rsid w:val="00BB3C2A"/>
    <w:rsid w:val="00BB3C5E"/>
    <w:rsid w:val="00BB3CC1"/>
    <w:rsid w:val="00BB3E9B"/>
    <w:rsid w:val="00BB431B"/>
    <w:rsid w:val="00BB43FB"/>
    <w:rsid w:val="00BB4462"/>
    <w:rsid w:val="00BB448F"/>
    <w:rsid w:val="00BB4799"/>
    <w:rsid w:val="00BB4ADC"/>
    <w:rsid w:val="00BB4B5A"/>
    <w:rsid w:val="00BB4BA0"/>
    <w:rsid w:val="00BB4BDD"/>
    <w:rsid w:val="00BB4D21"/>
    <w:rsid w:val="00BB4D74"/>
    <w:rsid w:val="00BB4D99"/>
    <w:rsid w:val="00BB4DA8"/>
    <w:rsid w:val="00BB512D"/>
    <w:rsid w:val="00BB52F9"/>
    <w:rsid w:val="00BB5427"/>
    <w:rsid w:val="00BB5435"/>
    <w:rsid w:val="00BB55BB"/>
    <w:rsid w:val="00BB55DC"/>
    <w:rsid w:val="00BB5620"/>
    <w:rsid w:val="00BB5817"/>
    <w:rsid w:val="00BB5849"/>
    <w:rsid w:val="00BB591E"/>
    <w:rsid w:val="00BB5A35"/>
    <w:rsid w:val="00BB5B2C"/>
    <w:rsid w:val="00BB5BBA"/>
    <w:rsid w:val="00BB5C25"/>
    <w:rsid w:val="00BB5E1C"/>
    <w:rsid w:val="00BB60FA"/>
    <w:rsid w:val="00BB6489"/>
    <w:rsid w:val="00BB649F"/>
    <w:rsid w:val="00BB64E3"/>
    <w:rsid w:val="00BB6620"/>
    <w:rsid w:val="00BB686D"/>
    <w:rsid w:val="00BB6BC8"/>
    <w:rsid w:val="00BB6C5F"/>
    <w:rsid w:val="00BB6F0C"/>
    <w:rsid w:val="00BB71B6"/>
    <w:rsid w:val="00BB71C5"/>
    <w:rsid w:val="00BB7202"/>
    <w:rsid w:val="00BB73FC"/>
    <w:rsid w:val="00BB74AC"/>
    <w:rsid w:val="00BB74AF"/>
    <w:rsid w:val="00BB7591"/>
    <w:rsid w:val="00BB77D9"/>
    <w:rsid w:val="00BB7886"/>
    <w:rsid w:val="00BB792A"/>
    <w:rsid w:val="00BB793F"/>
    <w:rsid w:val="00BB7BB8"/>
    <w:rsid w:val="00BC019E"/>
    <w:rsid w:val="00BC0445"/>
    <w:rsid w:val="00BC052B"/>
    <w:rsid w:val="00BC06A2"/>
    <w:rsid w:val="00BC0827"/>
    <w:rsid w:val="00BC0845"/>
    <w:rsid w:val="00BC08A3"/>
    <w:rsid w:val="00BC11E6"/>
    <w:rsid w:val="00BC12F3"/>
    <w:rsid w:val="00BC17D9"/>
    <w:rsid w:val="00BC19FA"/>
    <w:rsid w:val="00BC1A7F"/>
    <w:rsid w:val="00BC1B38"/>
    <w:rsid w:val="00BC1DD1"/>
    <w:rsid w:val="00BC1EB4"/>
    <w:rsid w:val="00BC205D"/>
    <w:rsid w:val="00BC20A6"/>
    <w:rsid w:val="00BC2456"/>
    <w:rsid w:val="00BC26AF"/>
    <w:rsid w:val="00BC2776"/>
    <w:rsid w:val="00BC2B20"/>
    <w:rsid w:val="00BC308C"/>
    <w:rsid w:val="00BC3163"/>
    <w:rsid w:val="00BC325F"/>
    <w:rsid w:val="00BC3393"/>
    <w:rsid w:val="00BC340B"/>
    <w:rsid w:val="00BC357F"/>
    <w:rsid w:val="00BC3671"/>
    <w:rsid w:val="00BC3718"/>
    <w:rsid w:val="00BC3A98"/>
    <w:rsid w:val="00BC3C51"/>
    <w:rsid w:val="00BC3FE4"/>
    <w:rsid w:val="00BC493B"/>
    <w:rsid w:val="00BC512A"/>
    <w:rsid w:val="00BC563D"/>
    <w:rsid w:val="00BC57BE"/>
    <w:rsid w:val="00BC5830"/>
    <w:rsid w:val="00BC6629"/>
    <w:rsid w:val="00BC683F"/>
    <w:rsid w:val="00BC6ED4"/>
    <w:rsid w:val="00BC70E3"/>
    <w:rsid w:val="00BC7865"/>
    <w:rsid w:val="00BC79AE"/>
    <w:rsid w:val="00BC7A93"/>
    <w:rsid w:val="00BC7B01"/>
    <w:rsid w:val="00BC7B9C"/>
    <w:rsid w:val="00BC7C00"/>
    <w:rsid w:val="00BC7C40"/>
    <w:rsid w:val="00BC7CED"/>
    <w:rsid w:val="00BC7E38"/>
    <w:rsid w:val="00BD00F6"/>
    <w:rsid w:val="00BD0121"/>
    <w:rsid w:val="00BD03C0"/>
    <w:rsid w:val="00BD044E"/>
    <w:rsid w:val="00BD049B"/>
    <w:rsid w:val="00BD068D"/>
    <w:rsid w:val="00BD0875"/>
    <w:rsid w:val="00BD092C"/>
    <w:rsid w:val="00BD0CD5"/>
    <w:rsid w:val="00BD0DF0"/>
    <w:rsid w:val="00BD0F25"/>
    <w:rsid w:val="00BD107E"/>
    <w:rsid w:val="00BD11AB"/>
    <w:rsid w:val="00BD11E7"/>
    <w:rsid w:val="00BD12A4"/>
    <w:rsid w:val="00BD147C"/>
    <w:rsid w:val="00BD151C"/>
    <w:rsid w:val="00BD16BF"/>
    <w:rsid w:val="00BD1C1F"/>
    <w:rsid w:val="00BD1D40"/>
    <w:rsid w:val="00BD1F5F"/>
    <w:rsid w:val="00BD212C"/>
    <w:rsid w:val="00BD21E3"/>
    <w:rsid w:val="00BD233F"/>
    <w:rsid w:val="00BD238B"/>
    <w:rsid w:val="00BD26FC"/>
    <w:rsid w:val="00BD2CE8"/>
    <w:rsid w:val="00BD325D"/>
    <w:rsid w:val="00BD34E6"/>
    <w:rsid w:val="00BD36AA"/>
    <w:rsid w:val="00BD39FC"/>
    <w:rsid w:val="00BD3D00"/>
    <w:rsid w:val="00BD3D1D"/>
    <w:rsid w:val="00BD3D44"/>
    <w:rsid w:val="00BD3E89"/>
    <w:rsid w:val="00BD4019"/>
    <w:rsid w:val="00BD412D"/>
    <w:rsid w:val="00BD4166"/>
    <w:rsid w:val="00BD41B8"/>
    <w:rsid w:val="00BD41FC"/>
    <w:rsid w:val="00BD434C"/>
    <w:rsid w:val="00BD455C"/>
    <w:rsid w:val="00BD46FA"/>
    <w:rsid w:val="00BD4A2C"/>
    <w:rsid w:val="00BD4BC3"/>
    <w:rsid w:val="00BD4C8F"/>
    <w:rsid w:val="00BD4E4D"/>
    <w:rsid w:val="00BD4FA4"/>
    <w:rsid w:val="00BD574B"/>
    <w:rsid w:val="00BD5751"/>
    <w:rsid w:val="00BD5960"/>
    <w:rsid w:val="00BD5A4E"/>
    <w:rsid w:val="00BD5A7F"/>
    <w:rsid w:val="00BD5DC4"/>
    <w:rsid w:val="00BD5F83"/>
    <w:rsid w:val="00BD6078"/>
    <w:rsid w:val="00BD64EF"/>
    <w:rsid w:val="00BD655E"/>
    <w:rsid w:val="00BD6714"/>
    <w:rsid w:val="00BD67AC"/>
    <w:rsid w:val="00BD6A06"/>
    <w:rsid w:val="00BD6BA3"/>
    <w:rsid w:val="00BD6DCE"/>
    <w:rsid w:val="00BD6FCA"/>
    <w:rsid w:val="00BD7181"/>
    <w:rsid w:val="00BD7194"/>
    <w:rsid w:val="00BD7218"/>
    <w:rsid w:val="00BD73C2"/>
    <w:rsid w:val="00BD73D7"/>
    <w:rsid w:val="00BD75F5"/>
    <w:rsid w:val="00BD76B7"/>
    <w:rsid w:val="00BD7DF5"/>
    <w:rsid w:val="00BE01E3"/>
    <w:rsid w:val="00BE034A"/>
    <w:rsid w:val="00BE0567"/>
    <w:rsid w:val="00BE084A"/>
    <w:rsid w:val="00BE0871"/>
    <w:rsid w:val="00BE11B9"/>
    <w:rsid w:val="00BE121B"/>
    <w:rsid w:val="00BE12FE"/>
    <w:rsid w:val="00BE137A"/>
    <w:rsid w:val="00BE1758"/>
    <w:rsid w:val="00BE197D"/>
    <w:rsid w:val="00BE1EC8"/>
    <w:rsid w:val="00BE236F"/>
    <w:rsid w:val="00BE23B5"/>
    <w:rsid w:val="00BE2430"/>
    <w:rsid w:val="00BE2450"/>
    <w:rsid w:val="00BE255D"/>
    <w:rsid w:val="00BE2934"/>
    <w:rsid w:val="00BE2A41"/>
    <w:rsid w:val="00BE2B1F"/>
    <w:rsid w:val="00BE2D29"/>
    <w:rsid w:val="00BE2DCF"/>
    <w:rsid w:val="00BE3270"/>
    <w:rsid w:val="00BE3327"/>
    <w:rsid w:val="00BE33DE"/>
    <w:rsid w:val="00BE33E0"/>
    <w:rsid w:val="00BE3722"/>
    <w:rsid w:val="00BE3978"/>
    <w:rsid w:val="00BE3B2F"/>
    <w:rsid w:val="00BE3C36"/>
    <w:rsid w:val="00BE3C83"/>
    <w:rsid w:val="00BE3C8F"/>
    <w:rsid w:val="00BE3CB2"/>
    <w:rsid w:val="00BE3D76"/>
    <w:rsid w:val="00BE3EBE"/>
    <w:rsid w:val="00BE3F55"/>
    <w:rsid w:val="00BE3F9D"/>
    <w:rsid w:val="00BE410D"/>
    <w:rsid w:val="00BE4304"/>
    <w:rsid w:val="00BE4590"/>
    <w:rsid w:val="00BE46D6"/>
    <w:rsid w:val="00BE4730"/>
    <w:rsid w:val="00BE47CB"/>
    <w:rsid w:val="00BE47D4"/>
    <w:rsid w:val="00BE4A48"/>
    <w:rsid w:val="00BE4CAB"/>
    <w:rsid w:val="00BE4F17"/>
    <w:rsid w:val="00BE4FD7"/>
    <w:rsid w:val="00BE4FF0"/>
    <w:rsid w:val="00BE5068"/>
    <w:rsid w:val="00BE54B9"/>
    <w:rsid w:val="00BE57DF"/>
    <w:rsid w:val="00BE5991"/>
    <w:rsid w:val="00BE5ACE"/>
    <w:rsid w:val="00BE5C88"/>
    <w:rsid w:val="00BE5CFF"/>
    <w:rsid w:val="00BE5ECE"/>
    <w:rsid w:val="00BE5FA2"/>
    <w:rsid w:val="00BE6004"/>
    <w:rsid w:val="00BE60FA"/>
    <w:rsid w:val="00BE6309"/>
    <w:rsid w:val="00BE66F5"/>
    <w:rsid w:val="00BE6A47"/>
    <w:rsid w:val="00BE7233"/>
    <w:rsid w:val="00BE74EA"/>
    <w:rsid w:val="00BE7531"/>
    <w:rsid w:val="00BE754B"/>
    <w:rsid w:val="00BE7A23"/>
    <w:rsid w:val="00BE7A40"/>
    <w:rsid w:val="00BE7C2B"/>
    <w:rsid w:val="00BE7D05"/>
    <w:rsid w:val="00BE7F04"/>
    <w:rsid w:val="00BE7FE9"/>
    <w:rsid w:val="00BF02E9"/>
    <w:rsid w:val="00BF0354"/>
    <w:rsid w:val="00BF0445"/>
    <w:rsid w:val="00BF054E"/>
    <w:rsid w:val="00BF0746"/>
    <w:rsid w:val="00BF0D98"/>
    <w:rsid w:val="00BF0F4D"/>
    <w:rsid w:val="00BF0FC3"/>
    <w:rsid w:val="00BF0FD8"/>
    <w:rsid w:val="00BF10FE"/>
    <w:rsid w:val="00BF13AC"/>
    <w:rsid w:val="00BF13F8"/>
    <w:rsid w:val="00BF16F2"/>
    <w:rsid w:val="00BF19E8"/>
    <w:rsid w:val="00BF1ABA"/>
    <w:rsid w:val="00BF1B29"/>
    <w:rsid w:val="00BF1E0C"/>
    <w:rsid w:val="00BF1EF5"/>
    <w:rsid w:val="00BF22ED"/>
    <w:rsid w:val="00BF23BB"/>
    <w:rsid w:val="00BF2967"/>
    <w:rsid w:val="00BF331E"/>
    <w:rsid w:val="00BF345C"/>
    <w:rsid w:val="00BF348B"/>
    <w:rsid w:val="00BF35AF"/>
    <w:rsid w:val="00BF362F"/>
    <w:rsid w:val="00BF37DF"/>
    <w:rsid w:val="00BF386D"/>
    <w:rsid w:val="00BF3995"/>
    <w:rsid w:val="00BF39A2"/>
    <w:rsid w:val="00BF39C2"/>
    <w:rsid w:val="00BF3B2E"/>
    <w:rsid w:val="00BF3CBF"/>
    <w:rsid w:val="00BF3CD6"/>
    <w:rsid w:val="00BF4032"/>
    <w:rsid w:val="00BF426C"/>
    <w:rsid w:val="00BF4355"/>
    <w:rsid w:val="00BF439F"/>
    <w:rsid w:val="00BF465D"/>
    <w:rsid w:val="00BF469C"/>
    <w:rsid w:val="00BF486A"/>
    <w:rsid w:val="00BF4BA7"/>
    <w:rsid w:val="00BF4D89"/>
    <w:rsid w:val="00BF4F8A"/>
    <w:rsid w:val="00BF4FE7"/>
    <w:rsid w:val="00BF52CB"/>
    <w:rsid w:val="00BF543D"/>
    <w:rsid w:val="00BF548D"/>
    <w:rsid w:val="00BF575F"/>
    <w:rsid w:val="00BF58D8"/>
    <w:rsid w:val="00BF5AE5"/>
    <w:rsid w:val="00BF5F54"/>
    <w:rsid w:val="00BF5F6E"/>
    <w:rsid w:val="00BF60B0"/>
    <w:rsid w:val="00BF60E3"/>
    <w:rsid w:val="00BF6147"/>
    <w:rsid w:val="00BF618C"/>
    <w:rsid w:val="00BF626A"/>
    <w:rsid w:val="00BF64F6"/>
    <w:rsid w:val="00BF67E1"/>
    <w:rsid w:val="00BF695A"/>
    <w:rsid w:val="00BF6B18"/>
    <w:rsid w:val="00BF6CFB"/>
    <w:rsid w:val="00BF6FAA"/>
    <w:rsid w:val="00BF6FFA"/>
    <w:rsid w:val="00BF717C"/>
    <w:rsid w:val="00BF743D"/>
    <w:rsid w:val="00BF74D1"/>
    <w:rsid w:val="00BF7562"/>
    <w:rsid w:val="00BF7787"/>
    <w:rsid w:val="00BF77B9"/>
    <w:rsid w:val="00BF7A8B"/>
    <w:rsid w:val="00BF7B0F"/>
    <w:rsid w:val="00BF7C12"/>
    <w:rsid w:val="00BF7CC9"/>
    <w:rsid w:val="00C00139"/>
    <w:rsid w:val="00C002CB"/>
    <w:rsid w:val="00C0068D"/>
    <w:rsid w:val="00C007BF"/>
    <w:rsid w:val="00C00914"/>
    <w:rsid w:val="00C00A26"/>
    <w:rsid w:val="00C00C2E"/>
    <w:rsid w:val="00C00CCA"/>
    <w:rsid w:val="00C00E5E"/>
    <w:rsid w:val="00C00E61"/>
    <w:rsid w:val="00C00F4F"/>
    <w:rsid w:val="00C00F9F"/>
    <w:rsid w:val="00C01000"/>
    <w:rsid w:val="00C0106F"/>
    <w:rsid w:val="00C0130A"/>
    <w:rsid w:val="00C01350"/>
    <w:rsid w:val="00C0173B"/>
    <w:rsid w:val="00C01CFE"/>
    <w:rsid w:val="00C01E8C"/>
    <w:rsid w:val="00C01EC6"/>
    <w:rsid w:val="00C020FE"/>
    <w:rsid w:val="00C02730"/>
    <w:rsid w:val="00C02B79"/>
    <w:rsid w:val="00C02C27"/>
    <w:rsid w:val="00C03495"/>
    <w:rsid w:val="00C035DC"/>
    <w:rsid w:val="00C03AE4"/>
    <w:rsid w:val="00C03C52"/>
    <w:rsid w:val="00C03D7B"/>
    <w:rsid w:val="00C04145"/>
    <w:rsid w:val="00C0424A"/>
    <w:rsid w:val="00C04287"/>
    <w:rsid w:val="00C04478"/>
    <w:rsid w:val="00C0451C"/>
    <w:rsid w:val="00C04626"/>
    <w:rsid w:val="00C0493F"/>
    <w:rsid w:val="00C049BD"/>
    <w:rsid w:val="00C049E2"/>
    <w:rsid w:val="00C04A72"/>
    <w:rsid w:val="00C05283"/>
    <w:rsid w:val="00C0536F"/>
    <w:rsid w:val="00C056CB"/>
    <w:rsid w:val="00C05860"/>
    <w:rsid w:val="00C05DC0"/>
    <w:rsid w:val="00C0608D"/>
    <w:rsid w:val="00C06129"/>
    <w:rsid w:val="00C063FE"/>
    <w:rsid w:val="00C06538"/>
    <w:rsid w:val="00C065EB"/>
    <w:rsid w:val="00C06B53"/>
    <w:rsid w:val="00C06DC9"/>
    <w:rsid w:val="00C06FF4"/>
    <w:rsid w:val="00C0723B"/>
    <w:rsid w:val="00C0740D"/>
    <w:rsid w:val="00C07504"/>
    <w:rsid w:val="00C0761E"/>
    <w:rsid w:val="00C077C3"/>
    <w:rsid w:val="00C078F8"/>
    <w:rsid w:val="00C079FB"/>
    <w:rsid w:val="00C07A81"/>
    <w:rsid w:val="00C07C58"/>
    <w:rsid w:val="00C07CFD"/>
    <w:rsid w:val="00C07D09"/>
    <w:rsid w:val="00C07D67"/>
    <w:rsid w:val="00C07EF3"/>
    <w:rsid w:val="00C1018D"/>
    <w:rsid w:val="00C106EB"/>
    <w:rsid w:val="00C10722"/>
    <w:rsid w:val="00C107AE"/>
    <w:rsid w:val="00C10CB1"/>
    <w:rsid w:val="00C10D89"/>
    <w:rsid w:val="00C10F76"/>
    <w:rsid w:val="00C11043"/>
    <w:rsid w:val="00C110C1"/>
    <w:rsid w:val="00C1125F"/>
    <w:rsid w:val="00C1176B"/>
    <w:rsid w:val="00C11790"/>
    <w:rsid w:val="00C117FB"/>
    <w:rsid w:val="00C118F2"/>
    <w:rsid w:val="00C11B23"/>
    <w:rsid w:val="00C11CF2"/>
    <w:rsid w:val="00C11E5B"/>
    <w:rsid w:val="00C11F10"/>
    <w:rsid w:val="00C11F1B"/>
    <w:rsid w:val="00C1211A"/>
    <w:rsid w:val="00C1228C"/>
    <w:rsid w:val="00C1248C"/>
    <w:rsid w:val="00C1249F"/>
    <w:rsid w:val="00C126B6"/>
    <w:rsid w:val="00C12B6F"/>
    <w:rsid w:val="00C12B75"/>
    <w:rsid w:val="00C12B85"/>
    <w:rsid w:val="00C12C65"/>
    <w:rsid w:val="00C12D58"/>
    <w:rsid w:val="00C12D9E"/>
    <w:rsid w:val="00C13235"/>
    <w:rsid w:val="00C13249"/>
    <w:rsid w:val="00C13439"/>
    <w:rsid w:val="00C1358E"/>
    <w:rsid w:val="00C136D6"/>
    <w:rsid w:val="00C137AD"/>
    <w:rsid w:val="00C13800"/>
    <w:rsid w:val="00C139C8"/>
    <w:rsid w:val="00C13AEA"/>
    <w:rsid w:val="00C13CA1"/>
    <w:rsid w:val="00C14043"/>
    <w:rsid w:val="00C140EE"/>
    <w:rsid w:val="00C141F2"/>
    <w:rsid w:val="00C149BD"/>
    <w:rsid w:val="00C14C64"/>
    <w:rsid w:val="00C14D39"/>
    <w:rsid w:val="00C151BC"/>
    <w:rsid w:val="00C152F9"/>
    <w:rsid w:val="00C15628"/>
    <w:rsid w:val="00C15A9F"/>
    <w:rsid w:val="00C15AAE"/>
    <w:rsid w:val="00C15ABA"/>
    <w:rsid w:val="00C15BDF"/>
    <w:rsid w:val="00C15F4E"/>
    <w:rsid w:val="00C166AD"/>
    <w:rsid w:val="00C1681B"/>
    <w:rsid w:val="00C16CCC"/>
    <w:rsid w:val="00C16D93"/>
    <w:rsid w:val="00C16DDB"/>
    <w:rsid w:val="00C16DFF"/>
    <w:rsid w:val="00C173E2"/>
    <w:rsid w:val="00C17891"/>
    <w:rsid w:val="00C179BF"/>
    <w:rsid w:val="00C179FE"/>
    <w:rsid w:val="00C17A54"/>
    <w:rsid w:val="00C17B9F"/>
    <w:rsid w:val="00C17C88"/>
    <w:rsid w:val="00C17D02"/>
    <w:rsid w:val="00C17EE3"/>
    <w:rsid w:val="00C20096"/>
    <w:rsid w:val="00C203C4"/>
    <w:rsid w:val="00C20402"/>
    <w:rsid w:val="00C204F8"/>
    <w:rsid w:val="00C20590"/>
    <w:rsid w:val="00C205D1"/>
    <w:rsid w:val="00C206CF"/>
    <w:rsid w:val="00C206F4"/>
    <w:rsid w:val="00C20975"/>
    <w:rsid w:val="00C20998"/>
    <w:rsid w:val="00C20A0B"/>
    <w:rsid w:val="00C20A15"/>
    <w:rsid w:val="00C20A90"/>
    <w:rsid w:val="00C20B12"/>
    <w:rsid w:val="00C20BE8"/>
    <w:rsid w:val="00C21363"/>
    <w:rsid w:val="00C2155A"/>
    <w:rsid w:val="00C21575"/>
    <w:rsid w:val="00C2159A"/>
    <w:rsid w:val="00C21780"/>
    <w:rsid w:val="00C2191A"/>
    <w:rsid w:val="00C2192F"/>
    <w:rsid w:val="00C2197B"/>
    <w:rsid w:val="00C21A68"/>
    <w:rsid w:val="00C21CB7"/>
    <w:rsid w:val="00C21D6B"/>
    <w:rsid w:val="00C21FD6"/>
    <w:rsid w:val="00C2228D"/>
    <w:rsid w:val="00C222D1"/>
    <w:rsid w:val="00C22392"/>
    <w:rsid w:val="00C22443"/>
    <w:rsid w:val="00C22528"/>
    <w:rsid w:val="00C22882"/>
    <w:rsid w:val="00C228BE"/>
    <w:rsid w:val="00C22C52"/>
    <w:rsid w:val="00C22ED8"/>
    <w:rsid w:val="00C22F66"/>
    <w:rsid w:val="00C22FAC"/>
    <w:rsid w:val="00C2349B"/>
    <w:rsid w:val="00C234CD"/>
    <w:rsid w:val="00C23660"/>
    <w:rsid w:val="00C23787"/>
    <w:rsid w:val="00C238A5"/>
    <w:rsid w:val="00C23A3A"/>
    <w:rsid w:val="00C23BCA"/>
    <w:rsid w:val="00C23E6D"/>
    <w:rsid w:val="00C23E82"/>
    <w:rsid w:val="00C242D7"/>
    <w:rsid w:val="00C24542"/>
    <w:rsid w:val="00C246E6"/>
    <w:rsid w:val="00C249EA"/>
    <w:rsid w:val="00C24C38"/>
    <w:rsid w:val="00C24C6D"/>
    <w:rsid w:val="00C24E67"/>
    <w:rsid w:val="00C2507E"/>
    <w:rsid w:val="00C254E1"/>
    <w:rsid w:val="00C2551B"/>
    <w:rsid w:val="00C25732"/>
    <w:rsid w:val="00C257FA"/>
    <w:rsid w:val="00C25B57"/>
    <w:rsid w:val="00C25C49"/>
    <w:rsid w:val="00C25F27"/>
    <w:rsid w:val="00C2607D"/>
    <w:rsid w:val="00C2646B"/>
    <w:rsid w:val="00C267A8"/>
    <w:rsid w:val="00C268A8"/>
    <w:rsid w:val="00C26A39"/>
    <w:rsid w:val="00C26A9D"/>
    <w:rsid w:val="00C26CD2"/>
    <w:rsid w:val="00C26F25"/>
    <w:rsid w:val="00C2719C"/>
    <w:rsid w:val="00C274EB"/>
    <w:rsid w:val="00C277C1"/>
    <w:rsid w:val="00C2780E"/>
    <w:rsid w:val="00C27AB5"/>
    <w:rsid w:val="00C27D66"/>
    <w:rsid w:val="00C30280"/>
    <w:rsid w:val="00C302BD"/>
    <w:rsid w:val="00C305A5"/>
    <w:rsid w:val="00C309E8"/>
    <w:rsid w:val="00C30B3B"/>
    <w:rsid w:val="00C30C87"/>
    <w:rsid w:val="00C30E95"/>
    <w:rsid w:val="00C30FF9"/>
    <w:rsid w:val="00C310DC"/>
    <w:rsid w:val="00C3112C"/>
    <w:rsid w:val="00C314E7"/>
    <w:rsid w:val="00C31604"/>
    <w:rsid w:val="00C31789"/>
    <w:rsid w:val="00C31796"/>
    <w:rsid w:val="00C319DC"/>
    <w:rsid w:val="00C31ADD"/>
    <w:rsid w:val="00C31E28"/>
    <w:rsid w:val="00C31F92"/>
    <w:rsid w:val="00C32300"/>
    <w:rsid w:val="00C325B0"/>
    <w:rsid w:val="00C32665"/>
    <w:rsid w:val="00C327FF"/>
    <w:rsid w:val="00C3293A"/>
    <w:rsid w:val="00C329BD"/>
    <w:rsid w:val="00C32BC1"/>
    <w:rsid w:val="00C32D4D"/>
    <w:rsid w:val="00C32E4A"/>
    <w:rsid w:val="00C3320A"/>
    <w:rsid w:val="00C338BD"/>
    <w:rsid w:val="00C33D75"/>
    <w:rsid w:val="00C34626"/>
    <w:rsid w:val="00C346B0"/>
    <w:rsid w:val="00C34BF8"/>
    <w:rsid w:val="00C34F18"/>
    <w:rsid w:val="00C35097"/>
    <w:rsid w:val="00C35299"/>
    <w:rsid w:val="00C352F3"/>
    <w:rsid w:val="00C3537A"/>
    <w:rsid w:val="00C35571"/>
    <w:rsid w:val="00C35593"/>
    <w:rsid w:val="00C35607"/>
    <w:rsid w:val="00C35625"/>
    <w:rsid w:val="00C35B58"/>
    <w:rsid w:val="00C35B88"/>
    <w:rsid w:val="00C35BC9"/>
    <w:rsid w:val="00C35C26"/>
    <w:rsid w:val="00C35DA2"/>
    <w:rsid w:val="00C35F60"/>
    <w:rsid w:val="00C36208"/>
    <w:rsid w:val="00C3639A"/>
    <w:rsid w:val="00C366A1"/>
    <w:rsid w:val="00C369AD"/>
    <w:rsid w:val="00C369BF"/>
    <w:rsid w:val="00C36CD2"/>
    <w:rsid w:val="00C36EA0"/>
    <w:rsid w:val="00C37333"/>
    <w:rsid w:val="00C37385"/>
    <w:rsid w:val="00C374CA"/>
    <w:rsid w:val="00C37577"/>
    <w:rsid w:val="00C3779D"/>
    <w:rsid w:val="00C377AD"/>
    <w:rsid w:val="00C37811"/>
    <w:rsid w:val="00C378E1"/>
    <w:rsid w:val="00C379ED"/>
    <w:rsid w:val="00C4017C"/>
    <w:rsid w:val="00C40304"/>
    <w:rsid w:val="00C403E2"/>
    <w:rsid w:val="00C40444"/>
    <w:rsid w:val="00C40799"/>
    <w:rsid w:val="00C40A15"/>
    <w:rsid w:val="00C40FE7"/>
    <w:rsid w:val="00C41237"/>
    <w:rsid w:val="00C4129B"/>
    <w:rsid w:val="00C41455"/>
    <w:rsid w:val="00C41503"/>
    <w:rsid w:val="00C41543"/>
    <w:rsid w:val="00C415F9"/>
    <w:rsid w:val="00C416D2"/>
    <w:rsid w:val="00C41718"/>
    <w:rsid w:val="00C417E4"/>
    <w:rsid w:val="00C418D0"/>
    <w:rsid w:val="00C41999"/>
    <w:rsid w:val="00C42019"/>
    <w:rsid w:val="00C42049"/>
    <w:rsid w:val="00C4272F"/>
    <w:rsid w:val="00C42A60"/>
    <w:rsid w:val="00C42BC9"/>
    <w:rsid w:val="00C42D06"/>
    <w:rsid w:val="00C42F70"/>
    <w:rsid w:val="00C42FBB"/>
    <w:rsid w:val="00C4318D"/>
    <w:rsid w:val="00C433A4"/>
    <w:rsid w:val="00C43967"/>
    <w:rsid w:val="00C43A69"/>
    <w:rsid w:val="00C43CCA"/>
    <w:rsid w:val="00C43D7D"/>
    <w:rsid w:val="00C43F9F"/>
    <w:rsid w:val="00C4411E"/>
    <w:rsid w:val="00C4423F"/>
    <w:rsid w:val="00C442E7"/>
    <w:rsid w:val="00C44401"/>
    <w:rsid w:val="00C44775"/>
    <w:rsid w:val="00C44814"/>
    <w:rsid w:val="00C44911"/>
    <w:rsid w:val="00C44A66"/>
    <w:rsid w:val="00C44E5E"/>
    <w:rsid w:val="00C44F26"/>
    <w:rsid w:val="00C44F94"/>
    <w:rsid w:val="00C45214"/>
    <w:rsid w:val="00C45257"/>
    <w:rsid w:val="00C452D1"/>
    <w:rsid w:val="00C456EB"/>
    <w:rsid w:val="00C45741"/>
    <w:rsid w:val="00C457BB"/>
    <w:rsid w:val="00C458C3"/>
    <w:rsid w:val="00C45AE9"/>
    <w:rsid w:val="00C45E4C"/>
    <w:rsid w:val="00C45FB5"/>
    <w:rsid w:val="00C460E0"/>
    <w:rsid w:val="00C4622C"/>
    <w:rsid w:val="00C46242"/>
    <w:rsid w:val="00C464E3"/>
    <w:rsid w:val="00C465B1"/>
    <w:rsid w:val="00C465EE"/>
    <w:rsid w:val="00C46764"/>
    <w:rsid w:val="00C4689C"/>
    <w:rsid w:val="00C468F2"/>
    <w:rsid w:val="00C46BBA"/>
    <w:rsid w:val="00C46BEE"/>
    <w:rsid w:val="00C46FAA"/>
    <w:rsid w:val="00C471E0"/>
    <w:rsid w:val="00C4721C"/>
    <w:rsid w:val="00C478CA"/>
    <w:rsid w:val="00C47913"/>
    <w:rsid w:val="00C47A8A"/>
    <w:rsid w:val="00C501A2"/>
    <w:rsid w:val="00C50570"/>
    <w:rsid w:val="00C50621"/>
    <w:rsid w:val="00C506C4"/>
    <w:rsid w:val="00C50A5F"/>
    <w:rsid w:val="00C50AC4"/>
    <w:rsid w:val="00C50D6F"/>
    <w:rsid w:val="00C50E36"/>
    <w:rsid w:val="00C50F00"/>
    <w:rsid w:val="00C510F3"/>
    <w:rsid w:val="00C51264"/>
    <w:rsid w:val="00C51525"/>
    <w:rsid w:val="00C5165F"/>
    <w:rsid w:val="00C5167C"/>
    <w:rsid w:val="00C516CF"/>
    <w:rsid w:val="00C51702"/>
    <w:rsid w:val="00C51717"/>
    <w:rsid w:val="00C517CC"/>
    <w:rsid w:val="00C51B73"/>
    <w:rsid w:val="00C52107"/>
    <w:rsid w:val="00C52186"/>
    <w:rsid w:val="00C521A2"/>
    <w:rsid w:val="00C521A7"/>
    <w:rsid w:val="00C5237E"/>
    <w:rsid w:val="00C5270B"/>
    <w:rsid w:val="00C527AE"/>
    <w:rsid w:val="00C52836"/>
    <w:rsid w:val="00C528EE"/>
    <w:rsid w:val="00C529AB"/>
    <w:rsid w:val="00C529F8"/>
    <w:rsid w:val="00C52BD4"/>
    <w:rsid w:val="00C52D70"/>
    <w:rsid w:val="00C52DDE"/>
    <w:rsid w:val="00C52F34"/>
    <w:rsid w:val="00C5335F"/>
    <w:rsid w:val="00C53427"/>
    <w:rsid w:val="00C534B6"/>
    <w:rsid w:val="00C534DF"/>
    <w:rsid w:val="00C534F8"/>
    <w:rsid w:val="00C535CF"/>
    <w:rsid w:val="00C53820"/>
    <w:rsid w:val="00C53874"/>
    <w:rsid w:val="00C538A2"/>
    <w:rsid w:val="00C53A45"/>
    <w:rsid w:val="00C53AA5"/>
    <w:rsid w:val="00C53BC9"/>
    <w:rsid w:val="00C53D08"/>
    <w:rsid w:val="00C53EBF"/>
    <w:rsid w:val="00C54355"/>
    <w:rsid w:val="00C545C8"/>
    <w:rsid w:val="00C54864"/>
    <w:rsid w:val="00C54B1D"/>
    <w:rsid w:val="00C551A0"/>
    <w:rsid w:val="00C5528B"/>
    <w:rsid w:val="00C5542A"/>
    <w:rsid w:val="00C55481"/>
    <w:rsid w:val="00C5562B"/>
    <w:rsid w:val="00C556E2"/>
    <w:rsid w:val="00C558F6"/>
    <w:rsid w:val="00C55AEC"/>
    <w:rsid w:val="00C55B27"/>
    <w:rsid w:val="00C55BF5"/>
    <w:rsid w:val="00C55CE5"/>
    <w:rsid w:val="00C55D10"/>
    <w:rsid w:val="00C55E23"/>
    <w:rsid w:val="00C55F47"/>
    <w:rsid w:val="00C5625D"/>
    <w:rsid w:val="00C56285"/>
    <w:rsid w:val="00C56490"/>
    <w:rsid w:val="00C5656C"/>
    <w:rsid w:val="00C56639"/>
    <w:rsid w:val="00C56861"/>
    <w:rsid w:val="00C569EC"/>
    <w:rsid w:val="00C569EF"/>
    <w:rsid w:val="00C56F7C"/>
    <w:rsid w:val="00C56F86"/>
    <w:rsid w:val="00C57029"/>
    <w:rsid w:val="00C57218"/>
    <w:rsid w:val="00C57BCF"/>
    <w:rsid w:val="00C57CE7"/>
    <w:rsid w:val="00C57D68"/>
    <w:rsid w:val="00C57E62"/>
    <w:rsid w:val="00C60082"/>
    <w:rsid w:val="00C60085"/>
    <w:rsid w:val="00C600E9"/>
    <w:rsid w:val="00C601C6"/>
    <w:rsid w:val="00C60219"/>
    <w:rsid w:val="00C60722"/>
    <w:rsid w:val="00C60726"/>
    <w:rsid w:val="00C6083A"/>
    <w:rsid w:val="00C608BF"/>
    <w:rsid w:val="00C609E5"/>
    <w:rsid w:val="00C60B76"/>
    <w:rsid w:val="00C60DCD"/>
    <w:rsid w:val="00C60E23"/>
    <w:rsid w:val="00C60F60"/>
    <w:rsid w:val="00C613C5"/>
    <w:rsid w:val="00C613F5"/>
    <w:rsid w:val="00C61413"/>
    <w:rsid w:val="00C614E7"/>
    <w:rsid w:val="00C618EF"/>
    <w:rsid w:val="00C61C26"/>
    <w:rsid w:val="00C61D57"/>
    <w:rsid w:val="00C61EC1"/>
    <w:rsid w:val="00C621EA"/>
    <w:rsid w:val="00C623F3"/>
    <w:rsid w:val="00C62497"/>
    <w:rsid w:val="00C62524"/>
    <w:rsid w:val="00C6257D"/>
    <w:rsid w:val="00C626DC"/>
    <w:rsid w:val="00C62ABE"/>
    <w:rsid w:val="00C62E02"/>
    <w:rsid w:val="00C6339E"/>
    <w:rsid w:val="00C633F1"/>
    <w:rsid w:val="00C635CC"/>
    <w:rsid w:val="00C6370F"/>
    <w:rsid w:val="00C637A9"/>
    <w:rsid w:val="00C637B6"/>
    <w:rsid w:val="00C638C5"/>
    <w:rsid w:val="00C63BE5"/>
    <w:rsid w:val="00C63DA7"/>
    <w:rsid w:val="00C63EE0"/>
    <w:rsid w:val="00C6403B"/>
    <w:rsid w:val="00C643D3"/>
    <w:rsid w:val="00C6456A"/>
    <w:rsid w:val="00C645D8"/>
    <w:rsid w:val="00C64A79"/>
    <w:rsid w:val="00C64B40"/>
    <w:rsid w:val="00C64CD4"/>
    <w:rsid w:val="00C64E98"/>
    <w:rsid w:val="00C65349"/>
    <w:rsid w:val="00C65440"/>
    <w:rsid w:val="00C65650"/>
    <w:rsid w:val="00C657FF"/>
    <w:rsid w:val="00C65909"/>
    <w:rsid w:val="00C65B1C"/>
    <w:rsid w:val="00C65C96"/>
    <w:rsid w:val="00C65E2B"/>
    <w:rsid w:val="00C65E32"/>
    <w:rsid w:val="00C660E7"/>
    <w:rsid w:val="00C6618E"/>
    <w:rsid w:val="00C661AA"/>
    <w:rsid w:val="00C6630A"/>
    <w:rsid w:val="00C663DF"/>
    <w:rsid w:val="00C665F7"/>
    <w:rsid w:val="00C667C6"/>
    <w:rsid w:val="00C66CE7"/>
    <w:rsid w:val="00C66DDE"/>
    <w:rsid w:val="00C66F8A"/>
    <w:rsid w:val="00C6701A"/>
    <w:rsid w:val="00C67139"/>
    <w:rsid w:val="00C67481"/>
    <w:rsid w:val="00C67A49"/>
    <w:rsid w:val="00C67DA0"/>
    <w:rsid w:val="00C70034"/>
    <w:rsid w:val="00C701F9"/>
    <w:rsid w:val="00C70222"/>
    <w:rsid w:val="00C704C1"/>
    <w:rsid w:val="00C70846"/>
    <w:rsid w:val="00C70921"/>
    <w:rsid w:val="00C7096F"/>
    <w:rsid w:val="00C709B7"/>
    <w:rsid w:val="00C70C55"/>
    <w:rsid w:val="00C70CB5"/>
    <w:rsid w:val="00C7107A"/>
    <w:rsid w:val="00C7108C"/>
    <w:rsid w:val="00C710F7"/>
    <w:rsid w:val="00C7143F"/>
    <w:rsid w:val="00C714D5"/>
    <w:rsid w:val="00C718E7"/>
    <w:rsid w:val="00C71A6F"/>
    <w:rsid w:val="00C71BAF"/>
    <w:rsid w:val="00C71D12"/>
    <w:rsid w:val="00C71EF3"/>
    <w:rsid w:val="00C71F98"/>
    <w:rsid w:val="00C72158"/>
    <w:rsid w:val="00C725DF"/>
    <w:rsid w:val="00C72F94"/>
    <w:rsid w:val="00C72FBB"/>
    <w:rsid w:val="00C7325B"/>
    <w:rsid w:val="00C733D4"/>
    <w:rsid w:val="00C7341B"/>
    <w:rsid w:val="00C73AD2"/>
    <w:rsid w:val="00C73B61"/>
    <w:rsid w:val="00C73CC2"/>
    <w:rsid w:val="00C73D09"/>
    <w:rsid w:val="00C73E6E"/>
    <w:rsid w:val="00C73F87"/>
    <w:rsid w:val="00C741F2"/>
    <w:rsid w:val="00C744E5"/>
    <w:rsid w:val="00C74672"/>
    <w:rsid w:val="00C74A4C"/>
    <w:rsid w:val="00C74B05"/>
    <w:rsid w:val="00C74B0A"/>
    <w:rsid w:val="00C74CBF"/>
    <w:rsid w:val="00C74CF5"/>
    <w:rsid w:val="00C74D04"/>
    <w:rsid w:val="00C74D82"/>
    <w:rsid w:val="00C750B7"/>
    <w:rsid w:val="00C751B9"/>
    <w:rsid w:val="00C75722"/>
    <w:rsid w:val="00C758CD"/>
    <w:rsid w:val="00C75924"/>
    <w:rsid w:val="00C7595D"/>
    <w:rsid w:val="00C75976"/>
    <w:rsid w:val="00C75A49"/>
    <w:rsid w:val="00C75A53"/>
    <w:rsid w:val="00C75D82"/>
    <w:rsid w:val="00C76256"/>
    <w:rsid w:val="00C76344"/>
    <w:rsid w:val="00C76645"/>
    <w:rsid w:val="00C76723"/>
    <w:rsid w:val="00C76747"/>
    <w:rsid w:val="00C7676C"/>
    <w:rsid w:val="00C76980"/>
    <w:rsid w:val="00C76990"/>
    <w:rsid w:val="00C76A4C"/>
    <w:rsid w:val="00C76ACA"/>
    <w:rsid w:val="00C76C63"/>
    <w:rsid w:val="00C7767C"/>
    <w:rsid w:val="00C776B7"/>
    <w:rsid w:val="00C778E0"/>
    <w:rsid w:val="00C77A5F"/>
    <w:rsid w:val="00C77F22"/>
    <w:rsid w:val="00C80296"/>
    <w:rsid w:val="00C80353"/>
    <w:rsid w:val="00C80368"/>
    <w:rsid w:val="00C80564"/>
    <w:rsid w:val="00C806BC"/>
    <w:rsid w:val="00C808FE"/>
    <w:rsid w:val="00C809CB"/>
    <w:rsid w:val="00C80C2D"/>
    <w:rsid w:val="00C80E25"/>
    <w:rsid w:val="00C81446"/>
    <w:rsid w:val="00C8145A"/>
    <w:rsid w:val="00C8175F"/>
    <w:rsid w:val="00C81819"/>
    <w:rsid w:val="00C81A53"/>
    <w:rsid w:val="00C81F61"/>
    <w:rsid w:val="00C82084"/>
    <w:rsid w:val="00C8218A"/>
    <w:rsid w:val="00C8247A"/>
    <w:rsid w:val="00C825FE"/>
    <w:rsid w:val="00C826AE"/>
    <w:rsid w:val="00C82834"/>
    <w:rsid w:val="00C82970"/>
    <w:rsid w:val="00C82A5B"/>
    <w:rsid w:val="00C82ABF"/>
    <w:rsid w:val="00C82CA6"/>
    <w:rsid w:val="00C82CB3"/>
    <w:rsid w:val="00C82E0C"/>
    <w:rsid w:val="00C8307A"/>
    <w:rsid w:val="00C832A4"/>
    <w:rsid w:val="00C83512"/>
    <w:rsid w:val="00C8358A"/>
    <w:rsid w:val="00C83CB0"/>
    <w:rsid w:val="00C83EA4"/>
    <w:rsid w:val="00C84076"/>
    <w:rsid w:val="00C841FB"/>
    <w:rsid w:val="00C847C5"/>
    <w:rsid w:val="00C84838"/>
    <w:rsid w:val="00C849EE"/>
    <w:rsid w:val="00C84C12"/>
    <w:rsid w:val="00C855E9"/>
    <w:rsid w:val="00C85886"/>
    <w:rsid w:val="00C85AD7"/>
    <w:rsid w:val="00C85D3D"/>
    <w:rsid w:val="00C85ED9"/>
    <w:rsid w:val="00C85EF4"/>
    <w:rsid w:val="00C8617B"/>
    <w:rsid w:val="00C86235"/>
    <w:rsid w:val="00C86256"/>
    <w:rsid w:val="00C862E6"/>
    <w:rsid w:val="00C863C2"/>
    <w:rsid w:val="00C86594"/>
    <w:rsid w:val="00C865C6"/>
    <w:rsid w:val="00C86660"/>
    <w:rsid w:val="00C867BA"/>
    <w:rsid w:val="00C869C5"/>
    <w:rsid w:val="00C86AAF"/>
    <w:rsid w:val="00C86B0F"/>
    <w:rsid w:val="00C86BC3"/>
    <w:rsid w:val="00C86C27"/>
    <w:rsid w:val="00C86CE3"/>
    <w:rsid w:val="00C86D51"/>
    <w:rsid w:val="00C86E7D"/>
    <w:rsid w:val="00C8702E"/>
    <w:rsid w:val="00C871EC"/>
    <w:rsid w:val="00C8732A"/>
    <w:rsid w:val="00C877D4"/>
    <w:rsid w:val="00C87A58"/>
    <w:rsid w:val="00C87B88"/>
    <w:rsid w:val="00C87CBB"/>
    <w:rsid w:val="00C87E4E"/>
    <w:rsid w:val="00C87E93"/>
    <w:rsid w:val="00C9042A"/>
    <w:rsid w:val="00C9068B"/>
    <w:rsid w:val="00C9083F"/>
    <w:rsid w:val="00C908A2"/>
    <w:rsid w:val="00C90CED"/>
    <w:rsid w:val="00C90D60"/>
    <w:rsid w:val="00C90DF9"/>
    <w:rsid w:val="00C90ECC"/>
    <w:rsid w:val="00C90F62"/>
    <w:rsid w:val="00C9108D"/>
    <w:rsid w:val="00C911F5"/>
    <w:rsid w:val="00C916E3"/>
    <w:rsid w:val="00C918ED"/>
    <w:rsid w:val="00C91C54"/>
    <w:rsid w:val="00C91D49"/>
    <w:rsid w:val="00C91F48"/>
    <w:rsid w:val="00C9201E"/>
    <w:rsid w:val="00C92205"/>
    <w:rsid w:val="00C92338"/>
    <w:rsid w:val="00C92349"/>
    <w:rsid w:val="00C9267B"/>
    <w:rsid w:val="00C92897"/>
    <w:rsid w:val="00C929BC"/>
    <w:rsid w:val="00C92ABF"/>
    <w:rsid w:val="00C92C0D"/>
    <w:rsid w:val="00C92C21"/>
    <w:rsid w:val="00C92D68"/>
    <w:rsid w:val="00C92E22"/>
    <w:rsid w:val="00C92E2D"/>
    <w:rsid w:val="00C9303C"/>
    <w:rsid w:val="00C93515"/>
    <w:rsid w:val="00C93705"/>
    <w:rsid w:val="00C937EF"/>
    <w:rsid w:val="00C93A6E"/>
    <w:rsid w:val="00C93B43"/>
    <w:rsid w:val="00C93BEA"/>
    <w:rsid w:val="00C93D2C"/>
    <w:rsid w:val="00C93D55"/>
    <w:rsid w:val="00C93E0A"/>
    <w:rsid w:val="00C941C8"/>
    <w:rsid w:val="00C94263"/>
    <w:rsid w:val="00C9430D"/>
    <w:rsid w:val="00C9432B"/>
    <w:rsid w:val="00C94542"/>
    <w:rsid w:val="00C94584"/>
    <w:rsid w:val="00C94947"/>
    <w:rsid w:val="00C94AA7"/>
    <w:rsid w:val="00C94B38"/>
    <w:rsid w:val="00C94E22"/>
    <w:rsid w:val="00C95083"/>
    <w:rsid w:val="00C953A9"/>
    <w:rsid w:val="00C953C9"/>
    <w:rsid w:val="00C9577E"/>
    <w:rsid w:val="00C95ADA"/>
    <w:rsid w:val="00C95F90"/>
    <w:rsid w:val="00C9613A"/>
    <w:rsid w:val="00C966C4"/>
    <w:rsid w:val="00C967C2"/>
    <w:rsid w:val="00C96B26"/>
    <w:rsid w:val="00C96E04"/>
    <w:rsid w:val="00C96E2E"/>
    <w:rsid w:val="00C9752A"/>
    <w:rsid w:val="00C97591"/>
    <w:rsid w:val="00C977E7"/>
    <w:rsid w:val="00C9785F"/>
    <w:rsid w:val="00C97A2B"/>
    <w:rsid w:val="00C97F6B"/>
    <w:rsid w:val="00CA04B2"/>
    <w:rsid w:val="00CA0978"/>
    <w:rsid w:val="00CA0D44"/>
    <w:rsid w:val="00CA0DA0"/>
    <w:rsid w:val="00CA0DE6"/>
    <w:rsid w:val="00CA0E2F"/>
    <w:rsid w:val="00CA136C"/>
    <w:rsid w:val="00CA13C5"/>
    <w:rsid w:val="00CA147C"/>
    <w:rsid w:val="00CA155E"/>
    <w:rsid w:val="00CA1852"/>
    <w:rsid w:val="00CA192A"/>
    <w:rsid w:val="00CA1A0B"/>
    <w:rsid w:val="00CA1A15"/>
    <w:rsid w:val="00CA1A22"/>
    <w:rsid w:val="00CA1A8B"/>
    <w:rsid w:val="00CA1BD1"/>
    <w:rsid w:val="00CA1D60"/>
    <w:rsid w:val="00CA2016"/>
    <w:rsid w:val="00CA23BB"/>
    <w:rsid w:val="00CA299C"/>
    <w:rsid w:val="00CA2DF4"/>
    <w:rsid w:val="00CA30C6"/>
    <w:rsid w:val="00CA3198"/>
    <w:rsid w:val="00CA37AA"/>
    <w:rsid w:val="00CA3C88"/>
    <w:rsid w:val="00CA3D03"/>
    <w:rsid w:val="00CA3E6F"/>
    <w:rsid w:val="00CA4213"/>
    <w:rsid w:val="00CA42A8"/>
    <w:rsid w:val="00CA449F"/>
    <w:rsid w:val="00CA4620"/>
    <w:rsid w:val="00CA47A2"/>
    <w:rsid w:val="00CA509B"/>
    <w:rsid w:val="00CA53A9"/>
    <w:rsid w:val="00CA5677"/>
    <w:rsid w:val="00CA59C8"/>
    <w:rsid w:val="00CA5E42"/>
    <w:rsid w:val="00CA5F5A"/>
    <w:rsid w:val="00CA6273"/>
    <w:rsid w:val="00CA6302"/>
    <w:rsid w:val="00CA655C"/>
    <w:rsid w:val="00CA6723"/>
    <w:rsid w:val="00CA6795"/>
    <w:rsid w:val="00CA6B7D"/>
    <w:rsid w:val="00CA6E02"/>
    <w:rsid w:val="00CA6E1E"/>
    <w:rsid w:val="00CA735F"/>
    <w:rsid w:val="00CA746F"/>
    <w:rsid w:val="00CA77F4"/>
    <w:rsid w:val="00CA784E"/>
    <w:rsid w:val="00CA78B6"/>
    <w:rsid w:val="00CA79C9"/>
    <w:rsid w:val="00CA7A95"/>
    <w:rsid w:val="00CA7BE4"/>
    <w:rsid w:val="00CA7D27"/>
    <w:rsid w:val="00CA7E33"/>
    <w:rsid w:val="00CA7F03"/>
    <w:rsid w:val="00CB00BD"/>
    <w:rsid w:val="00CB01BE"/>
    <w:rsid w:val="00CB03FD"/>
    <w:rsid w:val="00CB0849"/>
    <w:rsid w:val="00CB0D51"/>
    <w:rsid w:val="00CB0D5C"/>
    <w:rsid w:val="00CB0E44"/>
    <w:rsid w:val="00CB0F6E"/>
    <w:rsid w:val="00CB110A"/>
    <w:rsid w:val="00CB1229"/>
    <w:rsid w:val="00CB136C"/>
    <w:rsid w:val="00CB1387"/>
    <w:rsid w:val="00CB14C2"/>
    <w:rsid w:val="00CB153D"/>
    <w:rsid w:val="00CB19EA"/>
    <w:rsid w:val="00CB1B4B"/>
    <w:rsid w:val="00CB1C2E"/>
    <w:rsid w:val="00CB1D5B"/>
    <w:rsid w:val="00CB1F1E"/>
    <w:rsid w:val="00CB1F33"/>
    <w:rsid w:val="00CB23D3"/>
    <w:rsid w:val="00CB24B8"/>
    <w:rsid w:val="00CB2912"/>
    <w:rsid w:val="00CB2BD5"/>
    <w:rsid w:val="00CB2D07"/>
    <w:rsid w:val="00CB3082"/>
    <w:rsid w:val="00CB31B4"/>
    <w:rsid w:val="00CB3294"/>
    <w:rsid w:val="00CB35B7"/>
    <w:rsid w:val="00CB3745"/>
    <w:rsid w:val="00CB39D3"/>
    <w:rsid w:val="00CB3B99"/>
    <w:rsid w:val="00CB3CE6"/>
    <w:rsid w:val="00CB3D26"/>
    <w:rsid w:val="00CB3D3A"/>
    <w:rsid w:val="00CB3F9A"/>
    <w:rsid w:val="00CB408F"/>
    <w:rsid w:val="00CB412B"/>
    <w:rsid w:val="00CB4629"/>
    <w:rsid w:val="00CB4A07"/>
    <w:rsid w:val="00CB4AAC"/>
    <w:rsid w:val="00CB4ADC"/>
    <w:rsid w:val="00CB4E87"/>
    <w:rsid w:val="00CB5378"/>
    <w:rsid w:val="00CB54BC"/>
    <w:rsid w:val="00CB559A"/>
    <w:rsid w:val="00CB5608"/>
    <w:rsid w:val="00CB5930"/>
    <w:rsid w:val="00CB59ED"/>
    <w:rsid w:val="00CB5A1B"/>
    <w:rsid w:val="00CB5AF1"/>
    <w:rsid w:val="00CB5B01"/>
    <w:rsid w:val="00CB5C9D"/>
    <w:rsid w:val="00CB5E3C"/>
    <w:rsid w:val="00CB5EA0"/>
    <w:rsid w:val="00CB600D"/>
    <w:rsid w:val="00CB6034"/>
    <w:rsid w:val="00CB612E"/>
    <w:rsid w:val="00CB6198"/>
    <w:rsid w:val="00CB6583"/>
    <w:rsid w:val="00CB65BC"/>
    <w:rsid w:val="00CB6698"/>
    <w:rsid w:val="00CB68B8"/>
    <w:rsid w:val="00CB68BE"/>
    <w:rsid w:val="00CB6AF5"/>
    <w:rsid w:val="00CB6C50"/>
    <w:rsid w:val="00CB6CB2"/>
    <w:rsid w:val="00CB6CD9"/>
    <w:rsid w:val="00CB6EB5"/>
    <w:rsid w:val="00CB729E"/>
    <w:rsid w:val="00CB744E"/>
    <w:rsid w:val="00CB783D"/>
    <w:rsid w:val="00CB7D5F"/>
    <w:rsid w:val="00CB7E14"/>
    <w:rsid w:val="00CB7F0E"/>
    <w:rsid w:val="00CC0439"/>
    <w:rsid w:val="00CC0641"/>
    <w:rsid w:val="00CC07C8"/>
    <w:rsid w:val="00CC0822"/>
    <w:rsid w:val="00CC0ACB"/>
    <w:rsid w:val="00CC1009"/>
    <w:rsid w:val="00CC10E5"/>
    <w:rsid w:val="00CC158F"/>
    <w:rsid w:val="00CC17BA"/>
    <w:rsid w:val="00CC17FB"/>
    <w:rsid w:val="00CC1804"/>
    <w:rsid w:val="00CC196B"/>
    <w:rsid w:val="00CC1AC6"/>
    <w:rsid w:val="00CC1C31"/>
    <w:rsid w:val="00CC2034"/>
    <w:rsid w:val="00CC263B"/>
    <w:rsid w:val="00CC26CA"/>
    <w:rsid w:val="00CC279B"/>
    <w:rsid w:val="00CC2863"/>
    <w:rsid w:val="00CC2A53"/>
    <w:rsid w:val="00CC2A95"/>
    <w:rsid w:val="00CC2B43"/>
    <w:rsid w:val="00CC2C60"/>
    <w:rsid w:val="00CC305E"/>
    <w:rsid w:val="00CC3085"/>
    <w:rsid w:val="00CC3107"/>
    <w:rsid w:val="00CC3201"/>
    <w:rsid w:val="00CC334E"/>
    <w:rsid w:val="00CC34EF"/>
    <w:rsid w:val="00CC357B"/>
    <w:rsid w:val="00CC3ADC"/>
    <w:rsid w:val="00CC3B96"/>
    <w:rsid w:val="00CC3C74"/>
    <w:rsid w:val="00CC3C93"/>
    <w:rsid w:val="00CC3E2A"/>
    <w:rsid w:val="00CC4040"/>
    <w:rsid w:val="00CC4544"/>
    <w:rsid w:val="00CC46FD"/>
    <w:rsid w:val="00CC47B4"/>
    <w:rsid w:val="00CC4802"/>
    <w:rsid w:val="00CC48B0"/>
    <w:rsid w:val="00CC4B50"/>
    <w:rsid w:val="00CC4E35"/>
    <w:rsid w:val="00CC4E5F"/>
    <w:rsid w:val="00CC5010"/>
    <w:rsid w:val="00CC504A"/>
    <w:rsid w:val="00CC5541"/>
    <w:rsid w:val="00CC558C"/>
    <w:rsid w:val="00CC5732"/>
    <w:rsid w:val="00CC5954"/>
    <w:rsid w:val="00CC5C6F"/>
    <w:rsid w:val="00CC5DA8"/>
    <w:rsid w:val="00CC6689"/>
    <w:rsid w:val="00CC6691"/>
    <w:rsid w:val="00CC66B1"/>
    <w:rsid w:val="00CC684F"/>
    <w:rsid w:val="00CC69C8"/>
    <w:rsid w:val="00CC6A7B"/>
    <w:rsid w:val="00CC6A99"/>
    <w:rsid w:val="00CC6DAE"/>
    <w:rsid w:val="00CC7024"/>
    <w:rsid w:val="00CC74D6"/>
    <w:rsid w:val="00CC796A"/>
    <w:rsid w:val="00CC7D90"/>
    <w:rsid w:val="00CD0159"/>
    <w:rsid w:val="00CD049C"/>
    <w:rsid w:val="00CD05CC"/>
    <w:rsid w:val="00CD074F"/>
    <w:rsid w:val="00CD0D23"/>
    <w:rsid w:val="00CD103A"/>
    <w:rsid w:val="00CD1044"/>
    <w:rsid w:val="00CD13A0"/>
    <w:rsid w:val="00CD146B"/>
    <w:rsid w:val="00CD14CA"/>
    <w:rsid w:val="00CD1C6D"/>
    <w:rsid w:val="00CD1E0E"/>
    <w:rsid w:val="00CD1E9E"/>
    <w:rsid w:val="00CD2238"/>
    <w:rsid w:val="00CD232E"/>
    <w:rsid w:val="00CD23D5"/>
    <w:rsid w:val="00CD3353"/>
    <w:rsid w:val="00CD337A"/>
    <w:rsid w:val="00CD33D2"/>
    <w:rsid w:val="00CD35F5"/>
    <w:rsid w:val="00CD38F4"/>
    <w:rsid w:val="00CD3BC8"/>
    <w:rsid w:val="00CD4012"/>
    <w:rsid w:val="00CD4150"/>
    <w:rsid w:val="00CD43C8"/>
    <w:rsid w:val="00CD45CD"/>
    <w:rsid w:val="00CD493A"/>
    <w:rsid w:val="00CD49F8"/>
    <w:rsid w:val="00CD49F9"/>
    <w:rsid w:val="00CD4B96"/>
    <w:rsid w:val="00CD4C37"/>
    <w:rsid w:val="00CD4DDA"/>
    <w:rsid w:val="00CD504A"/>
    <w:rsid w:val="00CD549E"/>
    <w:rsid w:val="00CD561A"/>
    <w:rsid w:val="00CD5634"/>
    <w:rsid w:val="00CD57F4"/>
    <w:rsid w:val="00CD5CD8"/>
    <w:rsid w:val="00CD5F24"/>
    <w:rsid w:val="00CD60C5"/>
    <w:rsid w:val="00CD62E0"/>
    <w:rsid w:val="00CD6326"/>
    <w:rsid w:val="00CD65E4"/>
    <w:rsid w:val="00CD6622"/>
    <w:rsid w:val="00CD6845"/>
    <w:rsid w:val="00CD68A7"/>
    <w:rsid w:val="00CD6983"/>
    <w:rsid w:val="00CD6B11"/>
    <w:rsid w:val="00CD6B30"/>
    <w:rsid w:val="00CD6CC9"/>
    <w:rsid w:val="00CD6D53"/>
    <w:rsid w:val="00CD6E41"/>
    <w:rsid w:val="00CD6E64"/>
    <w:rsid w:val="00CD6F2A"/>
    <w:rsid w:val="00CD6FFF"/>
    <w:rsid w:val="00CD70C6"/>
    <w:rsid w:val="00CD7615"/>
    <w:rsid w:val="00CD7632"/>
    <w:rsid w:val="00CD7794"/>
    <w:rsid w:val="00CD7ADB"/>
    <w:rsid w:val="00CD7DEC"/>
    <w:rsid w:val="00CD7EDF"/>
    <w:rsid w:val="00CE0076"/>
    <w:rsid w:val="00CE00E0"/>
    <w:rsid w:val="00CE01B0"/>
    <w:rsid w:val="00CE02D2"/>
    <w:rsid w:val="00CE0320"/>
    <w:rsid w:val="00CE0499"/>
    <w:rsid w:val="00CE0559"/>
    <w:rsid w:val="00CE08D9"/>
    <w:rsid w:val="00CE0A2E"/>
    <w:rsid w:val="00CE0B2A"/>
    <w:rsid w:val="00CE0CC3"/>
    <w:rsid w:val="00CE0CC5"/>
    <w:rsid w:val="00CE0D69"/>
    <w:rsid w:val="00CE0EC1"/>
    <w:rsid w:val="00CE0ED8"/>
    <w:rsid w:val="00CE1066"/>
    <w:rsid w:val="00CE1116"/>
    <w:rsid w:val="00CE125A"/>
    <w:rsid w:val="00CE1742"/>
    <w:rsid w:val="00CE18AE"/>
    <w:rsid w:val="00CE18FE"/>
    <w:rsid w:val="00CE190B"/>
    <w:rsid w:val="00CE1917"/>
    <w:rsid w:val="00CE1BBA"/>
    <w:rsid w:val="00CE1C06"/>
    <w:rsid w:val="00CE1C09"/>
    <w:rsid w:val="00CE1D3A"/>
    <w:rsid w:val="00CE1E10"/>
    <w:rsid w:val="00CE1F55"/>
    <w:rsid w:val="00CE23C3"/>
    <w:rsid w:val="00CE244D"/>
    <w:rsid w:val="00CE2719"/>
    <w:rsid w:val="00CE28CC"/>
    <w:rsid w:val="00CE2967"/>
    <w:rsid w:val="00CE29D9"/>
    <w:rsid w:val="00CE2F6C"/>
    <w:rsid w:val="00CE3062"/>
    <w:rsid w:val="00CE3101"/>
    <w:rsid w:val="00CE3148"/>
    <w:rsid w:val="00CE3296"/>
    <w:rsid w:val="00CE34D1"/>
    <w:rsid w:val="00CE3659"/>
    <w:rsid w:val="00CE3753"/>
    <w:rsid w:val="00CE3ABD"/>
    <w:rsid w:val="00CE4481"/>
    <w:rsid w:val="00CE49BC"/>
    <w:rsid w:val="00CE4BB7"/>
    <w:rsid w:val="00CE524C"/>
    <w:rsid w:val="00CE528F"/>
    <w:rsid w:val="00CE5834"/>
    <w:rsid w:val="00CE5B87"/>
    <w:rsid w:val="00CE5C24"/>
    <w:rsid w:val="00CE5C60"/>
    <w:rsid w:val="00CE5F31"/>
    <w:rsid w:val="00CE61F3"/>
    <w:rsid w:val="00CE625A"/>
    <w:rsid w:val="00CE64AF"/>
    <w:rsid w:val="00CE6519"/>
    <w:rsid w:val="00CE6574"/>
    <w:rsid w:val="00CE6594"/>
    <w:rsid w:val="00CE6670"/>
    <w:rsid w:val="00CE66A8"/>
    <w:rsid w:val="00CE6937"/>
    <w:rsid w:val="00CE6AD8"/>
    <w:rsid w:val="00CE6ADE"/>
    <w:rsid w:val="00CE6B07"/>
    <w:rsid w:val="00CE6B92"/>
    <w:rsid w:val="00CE6C77"/>
    <w:rsid w:val="00CE6FBE"/>
    <w:rsid w:val="00CE716F"/>
    <w:rsid w:val="00CE718B"/>
    <w:rsid w:val="00CE7239"/>
    <w:rsid w:val="00CE73E8"/>
    <w:rsid w:val="00CE7661"/>
    <w:rsid w:val="00CE77BC"/>
    <w:rsid w:val="00CE7968"/>
    <w:rsid w:val="00CE7A7B"/>
    <w:rsid w:val="00CE7BDC"/>
    <w:rsid w:val="00CE7BED"/>
    <w:rsid w:val="00CE7DBE"/>
    <w:rsid w:val="00CF0103"/>
    <w:rsid w:val="00CF04FD"/>
    <w:rsid w:val="00CF0BB0"/>
    <w:rsid w:val="00CF0F5E"/>
    <w:rsid w:val="00CF0F83"/>
    <w:rsid w:val="00CF1213"/>
    <w:rsid w:val="00CF13C1"/>
    <w:rsid w:val="00CF14E2"/>
    <w:rsid w:val="00CF1530"/>
    <w:rsid w:val="00CF177A"/>
    <w:rsid w:val="00CF1E31"/>
    <w:rsid w:val="00CF2091"/>
    <w:rsid w:val="00CF2221"/>
    <w:rsid w:val="00CF2554"/>
    <w:rsid w:val="00CF270C"/>
    <w:rsid w:val="00CF2759"/>
    <w:rsid w:val="00CF277F"/>
    <w:rsid w:val="00CF2F30"/>
    <w:rsid w:val="00CF323C"/>
    <w:rsid w:val="00CF3340"/>
    <w:rsid w:val="00CF3397"/>
    <w:rsid w:val="00CF343E"/>
    <w:rsid w:val="00CF346F"/>
    <w:rsid w:val="00CF37B8"/>
    <w:rsid w:val="00CF391D"/>
    <w:rsid w:val="00CF3980"/>
    <w:rsid w:val="00CF39D0"/>
    <w:rsid w:val="00CF3C43"/>
    <w:rsid w:val="00CF3D42"/>
    <w:rsid w:val="00CF4069"/>
    <w:rsid w:val="00CF40ED"/>
    <w:rsid w:val="00CF4255"/>
    <w:rsid w:val="00CF43F6"/>
    <w:rsid w:val="00CF44F5"/>
    <w:rsid w:val="00CF4AB4"/>
    <w:rsid w:val="00CF4D74"/>
    <w:rsid w:val="00CF4F98"/>
    <w:rsid w:val="00CF509F"/>
    <w:rsid w:val="00CF5182"/>
    <w:rsid w:val="00CF5235"/>
    <w:rsid w:val="00CF5447"/>
    <w:rsid w:val="00CF546F"/>
    <w:rsid w:val="00CF54CA"/>
    <w:rsid w:val="00CF5513"/>
    <w:rsid w:val="00CF5556"/>
    <w:rsid w:val="00CF5B3E"/>
    <w:rsid w:val="00CF5E5A"/>
    <w:rsid w:val="00CF5EBE"/>
    <w:rsid w:val="00CF61DA"/>
    <w:rsid w:val="00CF6218"/>
    <w:rsid w:val="00CF67CB"/>
    <w:rsid w:val="00CF6918"/>
    <w:rsid w:val="00CF69CE"/>
    <w:rsid w:val="00CF6A25"/>
    <w:rsid w:val="00CF6E2E"/>
    <w:rsid w:val="00CF6FBF"/>
    <w:rsid w:val="00CF6FCA"/>
    <w:rsid w:val="00CF7104"/>
    <w:rsid w:val="00CF71D8"/>
    <w:rsid w:val="00CF71F4"/>
    <w:rsid w:val="00CF7279"/>
    <w:rsid w:val="00CF74E1"/>
    <w:rsid w:val="00CF769E"/>
    <w:rsid w:val="00CF7792"/>
    <w:rsid w:val="00CF7AD3"/>
    <w:rsid w:val="00D00546"/>
    <w:rsid w:val="00D00554"/>
    <w:rsid w:val="00D00756"/>
    <w:rsid w:val="00D009AE"/>
    <w:rsid w:val="00D009B5"/>
    <w:rsid w:val="00D00A52"/>
    <w:rsid w:val="00D00D77"/>
    <w:rsid w:val="00D00E28"/>
    <w:rsid w:val="00D00E9D"/>
    <w:rsid w:val="00D00F10"/>
    <w:rsid w:val="00D01246"/>
    <w:rsid w:val="00D01336"/>
    <w:rsid w:val="00D0165A"/>
    <w:rsid w:val="00D01B0C"/>
    <w:rsid w:val="00D01CC4"/>
    <w:rsid w:val="00D01CFD"/>
    <w:rsid w:val="00D01DCE"/>
    <w:rsid w:val="00D027AA"/>
    <w:rsid w:val="00D0297E"/>
    <w:rsid w:val="00D02B37"/>
    <w:rsid w:val="00D02F1F"/>
    <w:rsid w:val="00D0305D"/>
    <w:rsid w:val="00D031B8"/>
    <w:rsid w:val="00D03368"/>
    <w:rsid w:val="00D03471"/>
    <w:rsid w:val="00D037C1"/>
    <w:rsid w:val="00D03B4E"/>
    <w:rsid w:val="00D03E42"/>
    <w:rsid w:val="00D04172"/>
    <w:rsid w:val="00D04486"/>
    <w:rsid w:val="00D044A6"/>
    <w:rsid w:val="00D046D5"/>
    <w:rsid w:val="00D04887"/>
    <w:rsid w:val="00D048EF"/>
    <w:rsid w:val="00D04B38"/>
    <w:rsid w:val="00D04CA5"/>
    <w:rsid w:val="00D04CD4"/>
    <w:rsid w:val="00D04EC8"/>
    <w:rsid w:val="00D04F12"/>
    <w:rsid w:val="00D04F31"/>
    <w:rsid w:val="00D051E9"/>
    <w:rsid w:val="00D0527A"/>
    <w:rsid w:val="00D0534F"/>
    <w:rsid w:val="00D0548E"/>
    <w:rsid w:val="00D0558E"/>
    <w:rsid w:val="00D05809"/>
    <w:rsid w:val="00D058D4"/>
    <w:rsid w:val="00D05BA0"/>
    <w:rsid w:val="00D05BFA"/>
    <w:rsid w:val="00D05BFD"/>
    <w:rsid w:val="00D05D8F"/>
    <w:rsid w:val="00D06218"/>
    <w:rsid w:val="00D06284"/>
    <w:rsid w:val="00D0631C"/>
    <w:rsid w:val="00D0632E"/>
    <w:rsid w:val="00D06738"/>
    <w:rsid w:val="00D067EC"/>
    <w:rsid w:val="00D06B8C"/>
    <w:rsid w:val="00D07174"/>
    <w:rsid w:val="00D073AE"/>
    <w:rsid w:val="00D07520"/>
    <w:rsid w:val="00D07585"/>
    <w:rsid w:val="00D077BC"/>
    <w:rsid w:val="00D0781E"/>
    <w:rsid w:val="00D078C7"/>
    <w:rsid w:val="00D07A33"/>
    <w:rsid w:val="00D07BC6"/>
    <w:rsid w:val="00D07DAA"/>
    <w:rsid w:val="00D07E14"/>
    <w:rsid w:val="00D07F6A"/>
    <w:rsid w:val="00D07FA5"/>
    <w:rsid w:val="00D104D2"/>
    <w:rsid w:val="00D105F2"/>
    <w:rsid w:val="00D10703"/>
    <w:rsid w:val="00D108CF"/>
    <w:rsid w:val="00D1097A"/>
    <w:rsid w:val="00D109B2"/>
    <w:rsid w:val="00D10B87"/>
    <w:rsid w:val="00D10D02"/>
    <w:rsid w:val="00D10E12"/>
    <w:rsid w:val="00D10EB8"/>
    <w:rsid w:val="00D10F8C"/>
    <w:rsid w:val="00D112F1"/>
    <w:rsid w:val="00D11364"/>
    <w:rsid w:val="00D113FC"/>
    <w:rsid w:val="00D11446"/>
    <w:rsid w:val="00D1150D"/>
    <w:rsid w:val="00D11576"/>
    <w:rsid w:val="00D11713"/>
    <w:rsid w:val="00D11751"/>
    <w:rsid w:val="00D11967"/>
    <w:rsid w:val="00D11A39"/>
    <w:rsid w:val="00D11B74"/>
    <w:rsid w:val="00D11E8E"/>
    <w:rsid w:val="00D11EB4"/>
    <w:rsid w:val="00D11EBD"/>
    <w:rsid w:val="00D11EEA"/>
    <w:rsid w:val="00D12074"/>
    <w:rsid w:val="00D126C2"/>
    <w:rsid w:val="00D128F6"/>
    <w:rsid w:val="00D12C79"/>
    <w:rsid w:val="00D12E07"/>
    <w:rsid w:val="00D13758"/>
    <w:rsid w:val="00D137BD"/>
    <w:rsid w:val="00D13897"/>
    <w:rsid w:val="00D13949"/>
    <w:rsid w:val="00D1397C"/>
    <w:rsid w:val="00D139BB"/>
    <w:rsid w:val="00D13FCB"/>
    <w:rsid w:val="00D13FF5"/>
    <w:rsid w:val="00D143C0"/>
    <w:rsid w:val="00D144D8"/>
    <w:rsid w:val="00D144E4"/>
    <w:rsid w:val="00D145A5"/>
    <w:rsid w:val="00D148EA"/>
    <w:rsid w:val="00D148F8"/>
    <w:rsid w:val="00D149F3"/>
    <w:rsid w:val="00D14E26"/>
    <w:rsid w:val="00D15149"/>
    <w:rsid w:val="00D15192"/>
    <w:rsid w:val="00D1520A"/>
    <w:rsid w:val="00D15317"/>
    <w:rsid w:val="00D15377"/>
    <w:rsid w:val="00D15501"/>
    <w:rsid w:val="00D1577D"/>
    <w:rsid w:val="00D159DD"/>
    <w:rsid w:val="00D15C4F"/>
    <w:rsid w:val="00D15D4C"/>
    <w:rsid w:val="00D15D61"/>
    <w:rsid w:val="00D15E33"/>
    <w:rsid w:val="00D15F75"/>
    <w:rsid w:val="00D161ED"/>
    <w:rsid w:val="00D16473"/>
    <w:rsid w:val="00D16482"/>
    <w:rsid w:val="00D165C7"/>
    <w:rsid w:val="00D168F4"/>
    <w:rsid w:val="00D16B19"/>
    <w:rsid w:val="00D16B6E"/>
    <w:rsid w:val="00D16CE0"/>
    <w:rsid w:val="00D16EE8"/>
    <w:rsid w:val="00D17043"/>
    <w:rsid w:val="00D1707E"/>
    <w:rsid w:val="00D1726F"/>
    <w:rsid w:val="00D172E8"/>
    <w:rsid w:val="00D17864"/>
    <w:rsid w:val="00D17874"/>
    <w:rsid w:val="00D17C86"/>
    <w:rsid w:val="00D17F16"/>
    <w:rsid w:val="00D17F38"/>
    <w:rsid w:val="00D17FFD"/>
    <w:rsid w:val="00D200EC"/>
    <w:rsid w:val="00D202BA"/>
    <w:rsid w:val="00D20380"/>
    <w:rsid w:val="00D20578"/>
    <w:rsid w:val="00D20664"/>
    <w:rsid w:val="00D20894"/>
    <w:rsid w:val="00D20895"/>
    <w:rsid w:val="00D20A0F"/>
    <w:rsid w:val="00D212F4"/>
    <w:rsid w:val="00D213A6"/>
    <w:rsid w:val="00D21561"/>
    <w:rsid w:val="00D2163E"/>
    <w:rsid w:val="00D21B9A"/>
    <w:rsid w:val="00D223EB"/>
    <w:rsid w:val="00D223F3"/>
    <w:rsid w:val="00D22410"/>
    <w:rsid w:val="00D224EC"/>
    <w:rsid w:val="00D22563"/>
    <w:rsid w:val="00D22678"/>
    <w:rsid w:val="00D22845"/>
    <w:rsid w:val="00D22A0C"/>
    <w:rsid w:val="00D22A9A"/>
    <w:rsid w:val="00D22B40"/>
    <w:rsid w:val="00D22B86"/>
    <w:rsid w:val="00D22BE7"/>
    <w:rsid w:val="00D22C7B"/>
    <w:rsid w:val="00D22DAE"/>
    <w:rsid w:val="00D2302E"/>
    <w:rsid w:val="00D230AA"/>
    <w:rsid w:val="00D2312B"/>
    <w:rsid w:val="00D23492"/>
    <w:rsid w:val="00D23658"/>
    <w:rsid w:val="00D237D4"/>
    <w:rsid w:val="00D24031"/>
    <w:rsid w:val="00D24211"/>
    <w:rsid w:val="00D246A3"/>
    <w:rsid w:val="00D246AE"/>
    <w:rsid w:val="00D24893"/>
    <w:rsid w:val="00D248CD"/>
    <w:rsid w:val="00D24C0D"/>
    <w:rsid w:val="00D24D3E"/>
    <w:rsid w:val="00D24D8A"/>
    <w:rsid w:val="00D24EC0"/>
    <w:rsid w:val="00D24FE4"/>
    <w:rsid w:val="00D254B7"/>
    <w:rsid w:val="00D25907"/>
    <w:rsid w:val="00D2597C"/>
    <w:rsid w:val="00D2599D"/>
    <w:rsid w:val="00D259A9"/>
    <w:rsid w:val="00D25A31"/>
    <w:rsid w:val="00D25B72"/>
    <w:rsid w:val="00D25CC1"/>
    <w:rsid w:val="00D25CE5"/>
    <w:rsid w:val="00D25E33"/>
    <w:rsid w:val="00D25E52"/>
    <w:rsid w:val="00D25EAC"/>
    <w:rsid w:val="00D26169"/>
    <w:rsid w:val="00D26326"/>
    <w:rsid w:val="00D26645"/>
    <w:rsid w:val="00D26B4F"/>
    <w:rsid w:val="00D26E23"/>
    <w:rsid w:val="00D26F67"/>
    <w:rsid w:val="00D27510"/>
    <w:rsid w:val="00D2751D"/>
    <w:rsid w:val="00D27654"/>
    <w:rsid w:val="00D276C2"/>
    <w:rsid w:val="00D276FA"/>
    <w:rsid w:val="00D27700"/>
    <w:rsid w:val="00D27843"/>
    <w:rsid w:val="00D27AFF"/>
    <w:rsid w:val="00D3001E"/>
    <w:rsid w:val="00D3006F"/>
    <w:rsid w:val="00D301BD"/>
    <w:rsid w:val="00D301EA"/>
    <w:rsid w:val="00D3052F"/>
    <w:rsid w:val="00D30AE3"/>
    <w:rsid w:val="00D30F3C"/>
    <w:rsid w:val="00D3109C"/>
    <w:rsid w:val="00D3145B"/>
    <w:rsid w:val="00D31B35"/>
    <w:rsid w:val="00D31DCA"/>
    <w:rsid w:val="00D31F63"/>
    <w:rsid w:val="00D31FCF"/>
    <w:rsid w:val="00D3207A"/>
    <w:rsid w:val="00D320D9"/>
    <w:rsid w:val="00D324E3"/>
    <w:rsid w:val="00D32C89"/>
    <w:rsid w:val="00D32CB1"/>
    <w:rsid w:val="00D32E90"/>
    <w:rsid w:val="00D32E91"/>
    <w:rsid w:val="00D32FD7"/>
    <w:rsid w:val="00D33275"/>
    <w:rsid w:val="00D3347A"/>
    <w:rsid w:val="00D336BD"/>
    <w:rsid w:val="00D33A9A"/>
    <w:rsid w:val="00D33BC8"/>
    <w:rsid w:val="00D3456E"/>
    <w:rsid w:val="00D34593"/>
    <w:rsid w:val="00D3460D"/>
    <w:rsid w:val="00D346D2"/>
    <w:rsid w:val="00D346D8"/>
    <w:rsid w:val="00D3485D"/>
    <w:rsid w:val="00D34A65"/>
    <w:rsid w:val="00D34A90"/>
    <w:rsid w:val="00D34E6F"/>
    <w:rsid w:val="00D34F2D"/>
    <w:rsid w:val="00D34F31"/>
    <w:rsid w:val="00D352F4"/>
    <w:rsid w:val="00D355CD"/>
    <w:rsid w:val="00D355FD"/>
    <w:rsid w:val="00D35664"/>
    <w:rsid w:val="00D35C76"/>
    <w:rsid w:val="00D360A2"/>
    <w:rsid w:val="00D361B8"/>
    <w:rsid w:val="00D36575"/>
    <w:rsid w:val="00D366C6"/>
    <w:rsid w:val="00D3684B"/>
    <w:rsid w:val="00D369F1"/>
    <w:rsid w:val="00D36AEE"/>
    <w:rsid w:val="00D36AEF"/>
    <w:rsid w:val="00D36BAC"/>
    <w:rsid w:val="00D36C77"/>
    <w:rsid w:val="00D37053"/>
    <w:rsid w:val="00D3713C"/>
    <w:rsid w:val="00D37229"/>
    <w:rsid w:val="00D3726D"/>
    <w:rsid w:val="00D37455"/>
    <w:rsid w:val="00D37681"/>
    <w:rsid w:val="00D3785E"/>
    <w:rsid w:val="00D37FAD"/>
    <w:rsid w:val="00D4022C"/>
    <w:rsid w:val="00D406FC"/>
    <w:rsid w:val="00D40D98"/>
    <w:rsid w:val="00D40FAC"/>
    <w:rsid w:val="00D410D9"/>
    <w:rsid w:val="00D4114F"/>
    <w:rsid w:val="00D413AB"/>
    <w:rsid w:val="00D4181B"/>
    <w:rsid w:val="00D41A86"/>
    <w:rsid w:val="00D420B0"/>
    <w:rsid w:val="00D42136"/>
    <w:rsid w:val="00D42257"/>
    <w:rsid w:val="00D422B6"/>
    <w:rsid w:val="00D423F7"/>
    <w:rsid w:val="00D42433"/>
    <w:rsid w:val="00D427A6"/>
    <w:rsid w:val="00D430F3"/>
    <w:rsid w:val="00D4335C"/>
    <w:rsid w:val="00D4359B"/>
    <w:rsid w:val="00D4361D"/>
    <w:rsid w:val="00D43992"/>
    <w:rsid w:val="00D439F5"/>
    <w:rsid w:val="00D43A1A"/>
    <w:rsid w:val="00D440E2"/>
    <w:rsid w:val="00D441BD"/>
    <w:rsid w:val="00D44421"/>
    <w:rsid w:val="00D44908"/>
    <w:rsid w:val="00D449EC"/>
    <w:rsid w:val="00D449F5"/>
    <w:rsid w:val="00D44B9B"/>
    <w:rsid w:val="00D44BBD"/>
    <w:rsid w:val="00D44BCE"/>
    <w:rsid w:val="00D45001"/>
    <w:rsid w:val="00D45151"/>
    <w:rsid w:val="00D452E9"/>
    <w:rsid w:val="00D45720"/>
    <w:rsid w:val="00D45813"/>
    <w:rsid w:val="00D458D4"/>
    <w:rsid w:val="00D45AF0"/>
    <w:rsid w:val="00D45C0B"/>
    <w:rsid w:val="00D45E46"/>
    <w:rsid w:val="00D46174"/>
    <w:rsid w:val="00D466BC"/>
    <w:rsid w:val="00D4679F"/>
    <w:rsid w:val="00D46D63"/>
    <w:rsid w:val="00D47179"/>
    <w:rsid w:val="00D475AB"/>
    <w:rsid w:val="00D475F3"/>
    <w:rsid w:val="00D4766D"/>
    <w:rsid w:val="00D4768A"/>
    <w:rsid w:val="00D4772A"/>
    <w:rsid w:val="00D4786A"/>
    <w:rsid w:val="00D47881"/>
    <w:rsid w:val="00D47C2E"/>
    <w:rsid w:val="00D47CCA"/>
    <w:rsid w:val="00D47DFC"/>
    <w:rsid w:val="00D50581"/>
    <w:rsid w:val="00D50584"/>
    <w:rsid w:val="00D50890"/>
    <w:rsid w:val="00D50B85"/>
    <w:rsid w:val="00D50FCA"/>
    <w:rsid w:val="00D51430"/>
    <w:rsid w:val="00D5146A"/>
    <w:rsid w:val="00D51670"/>
    <w:rsid w:val="00D51A17"/>
    <w:rsid w:val="00D51A57"/>
    <w:rsid w:val="00D51C06"/>
    <w:rsid w:val="00D51C45"/>
    <w:rsid w:val="00D51D8A"/>
    <w:rsid w:val="00D51F1A"/>
    <w:rsid w:val="00D51F81"/>
    <w:rsid w:val="00D5231C"/>
    <w:rsid w:val="00D525EB"/>
    <w:rsid w:val="00D526D9"/>
    <w:rsid w:val="00D52D35"/>
    <w:rsid w:val="00D52D69"/>
    <w:rsid w:val="00D53171"/>
    <w:rsid w:val="00D53196"/>
    <w:rsid w:val="00D535E9"/>
    <w:rsid w:val="00D53620"/>
    <w:rsid w:val="00D53BEF"/>
    <w:rsid w:val="00D53D7E"/>
    <w:rsid w:val="00D54283"/>
    <w:rsid w:val="00D54796"/>
    <w:rsid w:val="00D548A6"/>
    <w:rsid w:val="00D54A03"/>
    <w:rsid w:val="00D54C5A"/>
    <w:rsid w:val="00D54D62"/>
    <w:rsid w:val="00D54DF1"/>
    <w:rsid w:val="00D550E0"/>
    <w:rsid w:val="00D551FD"/>
    <w:rsid w:val="00D55465"/>
    <w:rsid w:val="00D554EF"/>
    <w:rsid w:val="00D55777"/>
    <w:rsid w:val="00D557AB"/>
    <w:rsid w:val="00D55BA8"/>
    <w:rsid w:val="00D55BDC"/>
    <w:rsid w:val="00D55D01"/>
    <w:rsid w:val="00D5644F"/>
    <w:rsid w:val="00D5671C"/>
    <w:rsid w:val="00D56777"/>
    <w:rsid w:val="00D56B54"/>
    <w:rsid w:val="00D56C32"/>
    <w:rsid w:val="00D578F6"/>
    <w:rsid w:val="00D579D3"/>
    <w:rsid w:val="00D57C53"/>
    <w:rsid w:val="00D57E8D"/>
    <w:rsid w:val="00D607E8"/>
    <w:rsid w:val="00D60B16"/>
    <w:rsid w:val="00D60FCE"/>
    <w:rsid w:val="00D615DE"/>
    <w:rsid w:val="00D61698"/>
    <w:rsid w:val="00D61A15"/>
    <w:rsid w:val="00D61A66"/>
    <w:rsid w:val="00D61B17"/>
    <w:rsid w:val="00D61B29"/>
    <w:rsid w:val="00D61B93"/>
    <w:rsid w:val="00D61E40"/>
    <w:rsid w:val="00D61FC6"/>
    <w:rsid w:val="00D62380"/>
    <w:rsid w:val="00D6238A"/>
    <w:rsid w:val="00D62633"/>
    <w:rsid w:val="00D6298A"/>
    <w:rsid w:val="00D62B0E"/>
    <w:rsid w:val="00D62B92"/>
    <w:rsid w:val="00D62BD8"/>
    <w:rsid w:val="00D62CF7"/>
    <w:rsid w:val="00D63007"/>
    <w:rsid w:val="00D63016"/>
    <w:rsid w:val="00D63074"/>
    <w:rsid w:val="00D633B4"/>
    <w:rsid w:val="00D63456"/>
    <w:rsid w:val="00D635C3"/>
    <w:rsid w:val="00D635F7"/>
    <w:rsid w:val="00D6364B"/>
    <w:rsid w:val="00D63729"/>
    <w:rsid w:val="00D6376D"/>
    <w:rsid w:val="00D639AB"/>
    <w:rsid w:val="00D639B0"/>
    <w:rsid w:val="00D63EFD"/>
    <w:rsid w:val="00D63F82"/>
    <w:rsid w:val="00D63FB3"/>
    <w:rsid w:val="00D641D0"/>
    <w:rsid w:val="00D641F3"/>
    <w:rsid w:val="00D64217"/>
    <w:rsid w:val="00D64617"/>
    <w:rsid w:val="00D6469B"/>
    <w:rsid w:val="00D64704"/>
    <w:rsid w:val="00D64762"/>
    <w:rsid w:val="00D64A80"/>
    <w:rsid w:val="00D6503F"/>
    <w:rsid w:val="00D65179"/>
    <w:rsid w:val="00D655CC"/>
    <w:rsid w:val="00D65649"/>
    <w:rsid w:val="00D659B6"/>
    <w:rsid w:val="00D65AC3"/>
    <w:rsid w:val="00D65BFB"/>
    <w:rsid w:val="00D65CE7"/>
    <w:rsid w:val="00D65E0A"/>
    <w:rsid w:val="00D660E9"/>
    <w:rsid w:val="00D66828"/>
    <w:rsid w:val="00D668B8"/>
    <w:rsid w:val="00D668DA"/>
    <w:rsid w:val="00D66A03"/>
    <w:rsid w:val="00D66C3C"/>
    <w:rsid w:val="00D66F66"/>
    <w:rsid w:val="00D66FB8"/>
    <w:rsid w:val="00D66FBE"/>
    <w:rsid w:val="00D67BFD"/>
    <w:rsid w:val="00D67D8C"/>
    <w:rsid w:val="00D67F66"/>
    <w:rsid w:val="00D70194"/>
    <w:rsid w:val="00D70239"/>
    <w:rsid w:val="00D7038F"/>
    <w:rsid w:val="00D703A0"/>
    <w:rsid w:val="00D704E9"/>
    <w:rsid w:val="00D70732"/>
    <w:rsid w:val="00D70769"/>
    <w:rsid w:val="00D70959"/>
    <w:rsid w:val="00D70AB9"/>
    <w:rsid w:val="00D70AC9"/>
    <w:rsid w:val="00D710A3"/>
    <w:rsid w:val="00D71264"/>
    <w:rsid w:val="00D716A1"/>
    <w:rsid w:val="00D71C4F"/>
    <w:rsid w:val="00D72109"/>
    <w:rsid w:val="00D72132"/>
    <w:rsid w:val="00D722D0"/>
    <w:rsid w:val="00D723AC"/>
    <w:rsid w:val="00D72689"/>
    <w:rsid w:val="00D726F7"/>
    <w:rsid w:val="00D72A30"/>
    <w:rsid w:val="00D72B45"/>
    <w:rsid w:val="00D72D32"/>
    <w:rsid w:val="00D73126"/>
    <w:rsid w:val="00D73737"/>
    <w:rsid w:val="00D7386C"/>
    <w:rsid w:val="00D738C7"/>
    <w:rsid w:val="00D739E2"/>
    <w:rsid w:val="00D73AF4"/>
    <w:rsid w:val="00D73B23"/>
    <w:rsid w:val="00D73B99"/>
    <w:rsid w:val="00D73CD0"/>
    <w:rsid w:val="00D73D48"/>
    <w:rsid w:val="00D74337"/>
    <w:rsid w:val="00D74571"/>
    <w:rsid w:val="00D746CF"/>
    <w:rsid w:val="00D747B8"/>
    <w:rsid w:val="00D748E7"/>
    <w:rsid w:val="00D74C0F"/>
    <w:rsid w:val="00D75242"/>
    <w:rsid w:val="00D75386"/>
    <w:rsid w:val="00D75579"/>
    <w:rsid w:val="00D758B9"/>
    <w:rsid w:val="00D759BC"/>
    <w:rsid w:val="00D75A81"/>
    <w:rsid w:val="00D75C79"/>
    <w:rsid w:val="00D75F98"/>
    <w:rsid w:val="00D76438"/>
    <w:rsid w:val="00D7665A"/>
    <w:rsid w:val="00D7694C"/>
    <w:rsid w:val="00D76D99"/>
    <w:rsid w:val="00D76E83"/>
    <w:rsid w:val="00D76F6E"/>
    <w:rsid w:val="00D77296"/>
    <w:rsid w:val="00D7730B"/>
    <w:rsid w:val="00D77320"/>
    <w:rsid w:val="00D77B02"/>
    <w:rsid w:val="00D80006"/>
    <w:rsid w:val="00D80177"/>
    <w:rsid w:val="00D80517"/>
    <w:rsid w:val="00D8058B"/>
    <w:rsid w:val="00D8061F"/>
    <w:rsid w:val="00D8078C"/>
    <w:rsid w:val="00D8090F"/>
    <w:rsid w:val="00D809A9"/>
    <w:rsid w:val="00D80A77"/>
    <w:rsid w:val="00D80C65"/>
    <w:rsid w:val="00D81543"/>
    <w:rsid w:val="00D81574"/>
    <w:rsid w:val="00D81A76"/>
    <w:rsid w:val="00D81ACD"/>
    <w:rsid w:val="00D81AF4"/>
    <w:rsid w:val="00D81DDC"/>
    <w:rsid w:val="00D820A4"/>
    <w:rsid w:val="00D82563"/>
    <w:rsid w:val="00D825B0"/>
    <w:rsid w:val="00D827F1"/>
    <w:rsid w:val="00D82803"/>
    <w:rsid w:val="00D82982"/>
    <w:rsid w:val="00D829B9"/>
    <w:rsid w:val="00D82D07"/>
    <w:rsid w:val="00D82DC9"/>
    <w:rsid w:val="00D82EA7"/>
    <w:rsid w:val="00D8330D"/>
    <w:rsid w:val="00D833C4"/>
    <w:rsid w:val="00D8364E"/>
    <w:rsid w:val="00D8376C"/>
    <w:rsid w:val="00D838B2"/>
    <w:rsid w:val="00D83DDF"/>
    <w:rsid w:val="00D83FF1"/>
    <w:rsid w:val="00D84138"/>
    <w:rsid w:val="00D841BA"/>
    <w:rsid w:val="00D84364"/>
    <w:rsid w:val="00D84482"/>
    <w:rsid w:val="00D844FE"/>
    <w:rsid w:val="00D8455A"/>
    <w:rsid w:val="00D8480E"/>
    <w:rsid w:val="00D8497A"/>
    <w:rsid w:val="00D849AD"/>
    <w:rsid w:val="00D84AB7"/>
    <w:rsid w:val="00D84BBB"/>
    <w:rsid w:val="00D84D15"/>
    <w:rsid w:val="00D84DDF"/>
    <w:rsid w:val="00D851A9"/>
    <w:rsid w:val="00D855E8"/>
    <w:rsid w:val="00D8566E"/>
    <w:rsid w:val="00D8577F"/>
    <w:rsid w:val="00D858C7"/>
    <w:rsid w:val="00D85907"/>
    <w:rsid w:val="00D85D45"/>
    <w:rsid w:val="00D86193"/>
    <w:rsid w:val="00D861F7"/>
    <w:rsid w:val="00D86622"/>
    <w:rsid w:val="00D86632"/>
    <w:rsid w:val="00D868CA"/>
    <w:rsid w:val="00D8691A"/>
    <w:rsid w:val="00D86AB1"/>
    <w:rsid w:val="00D86B2E"/>
    <w:rsid w:val="00D86CD5"/>
    <w:rsid w:val="00D86F9B"/>
    <w:rsid w:val="00D870AC"/>
    <w:rsid w:val="00D871DA"/>
    <w:rsid w:val="00D873FD"/>
    <w:rsid w:val="00D87681"/>
    <w:rsid w:val="00D8778F"/>
    <w:rsid w:val="00D87895"/>
    <w:rsid w:val="00D879EC"/>
    <w:rsid w:val="00D87F35"/>
    <w:rsid w:val="00D90035"/>
    <w:rsid w:val="00D9035D"/>
    <w:rsid w:val="00D903B1"/>
    <w:rsid w:val="00D90AC1"/>
    <w:rsid w:val="00D90AF1"/>
    <w:rsid w:val="00D90B34"/>
    <w:rsid w:val="00D90B80"/>
    <w:rsid w:val="00D90E28"/>
    <w:rsid w:val="00D913F3"/>
    <w:rsid w:val="00D91458"/>
    <w:rsid w:val="00D918BA"/>
    <w:rsid w:val="00D91925"/>
    <w:rsid w:val="00D9198C"/>
    <w:rsid w:val="00D91D09"/>
    <w:rsid w:val="00D91D63"/>
    <w:rsid w:val="00D91D83"/>
    <w:rsid w:val="00D91DE5"/>
    <w:rsid w:val="00D91E11"/>
    <w:rsid w:val="00D91FAA"/>
    <w:rsid w:val="00D92444"/>
    <w:rsid w:val="00D92785"/>
    <w:rsid w:val="00D928A3"/>
    <w:rsid w:val="00D92A48"/>
    <w:rsid w:val="00D92C5C"/>
    <w:rsid w:val="00D92CB4"/>
    <w:rsid w:val="00D92EF2"/>
    <w:rsid w:val="00D931AB"/>
    <w:rsid w:val="00D9323C"/>
    <w:rsid w:val="00D932B1"/>
    <w:rsid w:val="00D93352"/>
    <w:rsid w:val="00D933BE"/>
    <w:rsid w:val="00D93531"/>
    <w:rsid w:val="00D93796"/>
    <w:rsid w:val="00D937D0"/>
    <w:rsid w:val="00D93B25"/>
    <w:rsid w:val="00D93CA8"/>
    <w:rsid w:val="00D93D44"/>
    <w:rsid w:val="00D94066"/>
    <w:rsid w:val="00D94563"/>
    <w:rsid w:val="00D946CF"/>
    <w:rsid w:val="00D947F8"/>
    <w:rsid w:val="00D9485F"/>
    <w:rsid w:val="00D9487E"/>
    <w:rsid w:val="00D94C1D"/>
    <w:rsid w:val="00D94E3D"/>
    <w:rsid w:val="00D94F76"/>
    <w:rsid w:val="00D94FD4"/>
    <w:rsid w:val="00D95241"/>
    <w:rsid w:val="00D955B8"/>
    <w:rsid w:val="00D955FD"/>
    <w:rsid w:val="00D95721"/>
    <w:rsid w:val="00D9576D"/>
    <w:rsid w:val="00D95839"/>
    <w:rsid w:val="00D959CF"/>
    <w:rsid w:val="00D95B3F"/>
    <w:rsid w:val="00D95C9A"/>
    <w:rsid w:val="00D95D08"/>
    <w:rsid w:val="00D96227"/>
    <w:rsid w:val="00D96286"/>
    <w:rsid w:val="00D9629D"/>
    <w:rsid w:val="00D962E8"/>
    <w:rsid w:val="00D97566"/>
    <w:rsid w:val="00D977DD"/>
    <w:rsid w:val="00D979DC"/>
    <w:rsid w:val="00D97A4E"/>
    <w:rsid w:val="00D97B5C"/>
    <w:rsid w:val="00D97CED"/>
    <w:rsid w:val="00D97EEC"/>
    <w:rsid w:val="00DA0075"/>
    <w:rsid w:val="00DA00B6"/>
    <w:rsid w:val="00DA039F"/>
    <w:rsid w:val="00DA04BF"/>
    <w:rsid w:val="00DA093A"/>
    <w:rsid w:val="00DA0F56"/>
    <w:rsid w:val="00DA0FB5"/>
    <w:rsid w:val="00DA1047"/>
    <w:rsid w:val="00DA1140"/>
    <w:rsid w:val="00DA1330"/>
    <w:rsid w:val="00DA13C2"/>
    <w:rsid w:val="00DA162E"/>
    <w:rsid w:val="00DA17D8"/>
    <w:rsid w:val="00DA19F7"/>
    <w:rsid w:val="00DA19FE"/>
    <w:rsid w:val="00DA21E7"/>
    <w:rsid w:val="00DA2247"/>
    <w:rsid w:val="00DA24C8"/>
    <w:rsid w:val="00DA250F"/>
    <w:rsid w:val="00DA2645"/>
    <w:rsid w:val="00DA2653"/>
    <w:rsid w:val="00DA28B9"/>
    <w:rsid w:val="00DA2917"/>
    <w:rsid w:val="00DA2B69"/>
    <w:rsid w:val="00DA2EC5"/>
    <w:rsid w:val="00DA301C"/>
    <w:rsid w:val="00DA356F"/>
    <w:rsid w:val="00DA35CE"/>
    <w:rsid w:val="00DA35D6"/>
    <w:rsid w:val="00DA371A"/>
    <w:rsid w:val="00DA375D"/>
    <w:rsid w:val="00DA37C5"/>
    <w:rsid w:val="00DA393C"/>
    <w:rsid w:val="00DA3981"/>
    <w:rsid w:val="00DA3CFE"/>
    <w:rsid w:val="00DA3E60"/>
    <w:rsid w:val="00DA41A8"/>
    <w:rsid w:val="00DA41ED"/>
    <w:rsid w:val="00DA43CA"/>
    <w:rsid w:val="00DA4476"/>
    <w:rsid w:val="00DA4521"/>
    <w:rsid w:val="00DA45F4"/>
    <w:rsid w:val="00DA488E"/>
    <w:rsid w:val="00DA4911"/>
    <w:rsid w:val="00DA49D2"/>
    <w:rsid w:val="00DA4A2E"/>
    <w:rsid w:val="00DA4A7A"/>
    <w:rsid w:val="00DA4BEE"/>
    <w:rsid w:val="00DA4CC1"/>
    <w:rsid w:val="00DA4DEA"/>
    <w:rsid w:val="00DA4F22"/>
    <w:rsid w:val="00DA5544"/>
    <w:rsid w:val="00DA56B0"/>
    <w:rsid w:val="00DA578E"/>
    <w:rsid w:val="00DA57B6"/>
    <w:rsid w:val="00DA593A"/>
    <w:rsid w:val="00DA59E4"/>
    <w:rsid w:val="00DA5B19"/>
    <w:rsid w:val="00DA5E7F"/>
    <w:rsid w:val="00DA5E89"/>
    <w:rsid w:val="00DA5F99"/>
    <w:rsid w:val="00DA644B"/>
    <w:rsid w:val="00DA648A"/>
    <w:rsid w:val="00DA65C9"/>
    <w:rsid w:val="00DA6900"/>
    <w:rsid w:val="00DA6D2C"/>
    <w:rsid w:val="00DA6D82"/>
    <w:rsid w:val="00DA717E"/>
    <w:rsid w:val="00DA7199"/>
    <w:rsid w:val="00DA71AE"/>
    <w:rsid w:val="00DA75FB"/>
    <w:rsid w:val="00DA7656"/>
    <w:rsid w:val="00DA77CB"/>
    <w:rsid w:val="00DA7803"/>
    <w:rsid w:val="00DA7969"/>
    <w:rsid w:val="00DA7C64"/>
    <w:rsid w:val="00DA7CD7"/>
    <w:rsid w:val="00DA7D93"/>
    <w:rsid w:val="00DA7DEE"/>
    <w:rsid w:val="00DB0121"/>
    <w:rsid w:val="00DB0205"/>
    <w:rsid w:val="00DB057F"/>
    <w:rsid w:val="00DB081A"/>
    <w:rsid w:val="00DB09AB"/>
    <w:rsid w:val="00DB09EC"/>
    <w:rsid w:val="00DB0AA5"/>
    <w:rsid w:val="00DB0C39"/>
    <w:rsid w:val="00DB0C5C"/>
    <w:rsid w:val="00DB0EB4"/>
    <w:rsid w:val="00DB1017"/>
    <w:rsid w:val="00DB1156"/>
    <w:rsid w:val="00DB1168"/>
    <w:rsid w:val="00DB11C0"/>
    <w:rsid w:val="00DB13D7"/>
    <w:rsid w:val="00DB148D"/>
    <w:rsid w:val="00DB176F"/>
    <w:rsid w:val="00DB1BD4"/>
    <w:rsid w:val="00DB1C36"/>
    <w:rsid w:val="00DB1E0D"/>
    <w:rsid w:val="00DB1F24"/>
    <w:rsid w:val="00DB20A3"/>
    <w:rsid w:val="00DB20F0"/>
    <w:rsid w:val="00DB2257"/>
    <w:rsid w:val="00DB257F"/>
    <w:rsid w:val="00DB25A6"/>
    <w:rsid w:val="00DB2868"/>
    <w:rsid w:val="00DB2AA7"/>
    <w:rsid w:val="00DB2B13"/>
    <w:rsid w:val="00DB2B3A"/>
    <w:rsid w:val="00DB2C69"/>
    <w:rsid w:val="00DB2C8E"/>
    <w:rsid w:val="00DB2F8A"/>
    <w:rsid w:val="00DB3035"/>
    <w:rsid w:val="00DB3116"/>
    <w:rsid w:val="00DB31AD"/>
    <w:rsid w:val="00DB334E"/>
    <w:rsid w:val="00DB3652"/>
    <w:rsid w:val="00DB3733"/>
    <w:rsid w:val="00DB3740"/>
    <w:rsid w:val="00DB3790"/>
    <w:rsid w:val="00DB395C"/>
    <w:rsid w:val="00DB3BA8"/>
    <w:rsid w:val="00DB3D15"/>
    <w:rsid w:val="00DB3D59"/>
    <w:rsid w:val="00DB42E8"/>
    <w:rsid w:val="00DB4390"/>
    <w:rsid w:val="00DB44DE"/>
    <w:rsid w:val="00DB4611"/>
    <w:rsid w:val="00DB461A"/>
    <w:rsid w:val="00DB47ED"/>
    <w:rsid w:val="00DB47F5"/>
    <w:rsid w:val="00DB4974"/>
    <w:rsid w:val="00DB4A10"/>
    <w:rsid w:val="00DB4B3C"/>
    <w:rsid w:val="00DB4DB0"/>
    <w:rsid w:val="00DB4DD4"/>
    <w:rsid w:val="00DB4EF1"/>
    <w:rsid w:val="00DB4F77"/>
    <w:rsid w:val="00DB4F90"/>
    <w:rsid w:val="00DB503B"/>
    <w:rsid w:val="00DB5199"/>
    <w:rsid w:val="00DB51A2"/>
    <w:rsid w:val="00DB51E6"/>
    <w:rsid w:val="00DB5378"/>
    <w:rsid w:val="00DB5466"/>
    <w:rsid w:val="00DB553B"/>
    <w:rsid w:val="00DB57FF"/>
    <w:rsid w:val="00DB5A17"/>
    <w:rsid w:val="00DB5E2E"/>
    <w:rsid w:val="00DB613B"/>
    <w:rsid w:val="00DB616B"/>
    <w:rsid w:val="00DB6361"/>
    <w:rsid w:val="00DB663D"/>
    <w:rsid w:val="00DB66CC"/>
    <w:rsid w:val="00DB684B"/>
    <w:rsid w:val="00DB6971"/>
    <w:rsid w:val="00DB6EA9"/>
    <w:rsid w:val="00DB6EEF"/>
    <w:rsid w:val="00DB6FD3"/>
    <w:rsid w:val="00DB7013"/>
    <w:rsid w:val="00DB739B"/>
    <w:rsid w:val="00DB743D"/>
    <w:rsid w:val="00DB77B9"/>
    <w:rsid w:val="00DB7815"/>
    <w:rsid w:val="00DB7841"/>
    <w:rsid w:val="00DB7879"/>
    <w:rsid w:val="00DB78EA"/>
    <w:rsid w:val="00DB79F1"/>
    <w:rsid w:val="00DB7A40"/>
    <w:rsid w:val="00DB7A94"/>
    <w:rsid w:val="00DB7C0E"/>
    <w:rsid w:val="00DB7DED"/>
    <w:rsid w:val="00DB7F41"/>
    <w:rsid w:val="00DB7F80"/>
    <w:rsid w:val="00DC00B5"/>
    <w:rsid w:val="00DC0167"/>
    <w:rsid w:val="00DC0C5E"/>
    <w:rsid w:val="00DC0D06"/>
    <w:rsid w:val="00DC0DEB"/>
    <w:rsid w:val="00DC1365"/>
    <w:rsid w:val="00DC147A"/>
    <w:rsid w:val="00DC186C"/>
    <w:rsid w:val="00DC19A0"/>
    <w:rsid w:val="00DC19EF"/>
    <w:rsid w:val="00DC1B65"/>
    <w:rsid w:val="00DC1BD0"/>
    <w:rsid w:val="00DC1C97"/>
    <w:rsid w:val="00DC1E59"/>
    <w:rsid w:val="00DC1F20"/>
    <w:rsid w:val="00DC20D7"/>
    <w:rsid w:val="00DC251D"/>
    <w:rsid w:val="00DC2880"/>
    <w:rsid w:val="00DC289B"/>
    <w:rsid w:val="00DC29B7"/>
    <w:rsid w:val="00DC2E44"/>
    <w:rsid w:val="00DC2F9A"/>
    <w:rsid w:val="00DC3014"/>
    <w:rsid w:val="00DC30E5"/>
    <w:rsid w:val="00DC32E4"/>
    <w:rsid w:val="00DC34C7"/>
    <w:rsid w:val="00DC364A"/>
    <w:rsid w:val="00DC3755"/>
    <w:rsid w:val="00DC38CB"/>
    <w:rsid w:val="00DC3B02"/>
    <w:rsid w:val="00DC3BBC"/>
    <w:rsid w:val="00DC3BE0"/>
    <w:rsid w:val="00DC3EBA"/>
    <w:rsid w:val="00DC3F35"/>
    <w:rsid w:val="00DC3FCC"/>
    <w:rsid w:val="00DC43F1"/>
    <w:rsid w:val="00DC4400"/>
    <w:rsid w:val="00DC472A"/>
    <w:rsid w:val="00DC4AFD"/>
    <w:rsid w:val="00DC4B32"/>
    <w:rsid w:val="00DC4BBF"/>
    <w:rsid w:val="00DC4F20"/>
    <w:rsid w:val="00DC51F0"/>
    <w:rsid w:val="00DC51F7"/>
    <w:rsid w:val="00DC54ED"/>
    <w:rsid w:val="00DC56B8"/>
    <w:rsid w:val="00DC59F2"/>
    <w:rsid w:val="00DC5B76"/>
    <w:rsid w:val="00DC60F0"/>
    <w:rsid w:val="00DC622D"/>
    <w:rsid w:val="00DC6375"/>
    <w:rsid w:val="00DC6433"/>
    <w:rsid w:val="00DC64C9"/>
    <w:rsid w:val="00DC663D"/>
    <w:rsid w:val="00DC6712"/>
    <w:rsid w:val="00DC68EF"/>
    <w:rsid w:val="00DC6C3C"/>
    <w:rsid w:val="00DC6ECC"/>
    <w:rsid w:val="00DC6F0A"/>
    <w:rsid w:val="00DC6FA9"/>
    <w:rsid w:val="00DC71BF"/>
    <w:rsid w:val="00DC744B"/>
    <w:rsid w:val="00DC75AC"/>
    <w:rsid w:val="00DC767C"/>
    <w:rsid w:val="00DC76AB"/>
    <w:rsid w:val="00DC772D"/>
    <w:rsid w:val="00DC7F27"/>
    <w:rsid w:val="00DD057A"/>
    <w:rsid w:val="00DD06AF"/>
    <w:rsid w:val="00DD08B9"/>
    <w:rsid w:val="00DD0910"/>
    <w:rsid w:val="00DD09D5"/>
    <w:rsid w:val="00DD0AAF"/>
    <w:rsid w:val="00DD0BCB"/>
    <w:rsid w:val="00DD0D98"/>
    <w:rsid w:val="00DD1038"/>
    <w:rsid w:val="00DD130B"/>
    <w:rsid w:val="00DD135F"/>
    <w:rsid w:val="00DD1637"/>
    <w:rsid w:val="00DD1641"/>
    <w:rsid w:val="00DD170B"/>
    <w:rsid w:val="00DD17F4"/>
    <w:rsid w:val="00DD197A"/>
    <w:rsid w:val="00DD19B4"/>
    <w:rsid w:val="00DD1C92"/>
    <w:rsid w:val="00DD1CD1"/>
    <w:rsid w:val="00DD1DCB"/>
    <w:rsid w:val="00DD200F"/>
    <w:rsid w:val="00DD2231"/>
    <w:rsid w:val="00DD227F"/>
    <w:rsid w:val="00DD2372"/>
    <w:rsid w:val="00DD2895"/>
    <w:rsid w:val="00DD2E16"/>
    <w:rsid w:val="00DD2FDA"/>
    <w:rsid w:val="00DD3088"/>
    <w:rsid w:val="00DD31A4"/>
    <w:rsid w:val="00DD31C0"/>
    <w:rsid w:val="00DD31D1"/>
    <w:rsid w:val="00DD32E9"/>
    <w:rsid w:val="00DD36FF"/>
    <w:rsid w:val="00DD3712"/>
    <w:rsid w:val="00DD3974"/>
    <w:rsid w:val="00DD3A8E"/>
    <w:rsid w:val="00DD3AD4"/>
    <w:rsid w:val="00DD3C21"/>
    <w:rsid w:val="00DD3D1D"/>
    <w:rsid w:val="00DD3D4D"/>
    <w:rsid w:val="00DD3E81"/>
    <w:rsid w:val="00DD4057"/>
    <w:rsid w:val="00DD430E"/>
    <w:rsid w:val="00DD473D"/>
    <w:rsid w:val="00DD4AC0"/>
    <w:rsid w:val="00DD4B10"/>
    <w:rsid w:val="00DD4B2C"/>
    <w:rsid w:val="00DD51E4"/>
    <w:rsid w:val="00DD52DF"/>
    <w:rsid w:val="00DD53D8"/>
    <w:rsid w:val="00DD55E9"/>
    <w:rsid w:val="00DD55EE"/>
    <w:rsid w:val="00DD565C"/>
    <w:rsid w:val="00DD56ED"/>
    <w:rsid w:val="00DD5755"/>
    <w:rsid w:val="00DD57EA"/>
    <w:rsid w:val="00DD581F"/>
    <w:rsid w:val="00DD5A29"/>
    <w:rsid w:val="00DD5A39"/>
    <w:rsid w:val="00DD5BDE"/>
    <w:rsid w:val="00DD5D3A"/>
    <w:rsid w:val="00DD64AE"/>
    <w:rsid w:val="00DD6526"/>
    <w:rsid w:val="00DD6779"/>
    <w:rsid w:val="00DD693E"/>
    <w:rsid w:val="00DD6993"/>
    <w:rsid w:val="00DD6A5D"/>
    <w:rsid w:val="00DD6AF4"/>
    <w:rsid w:val="00DD6E5A"/>
    <w:rsid w:val="00DD7554"/>
    <w:rsid w:val="00DD75F9"/>
    <w:rsid w:val="00DD7BF0"/>
    <w:rsid w:val="00DD7BFD"/>
    <w:rsid w:val="00DD7FBB"/>
    <w:rsid w:val="00DD7FC0"/>
    <w:rsid w:val="00DD80D6"/>
    <w:rsid w:val="00DE007A"/>
    <w:rsid w:val="00DE00F8"/>
    <w:rsid w:val="00DE03B5"/>
    <w:rsid w:val="00DE03F7"/>
    <w:rsid w:val="00DE052D"/>
    <w:rsid w:val="00DE06C2"/>
    <w:rsid w:val="00DE09E7"/>
    <w:rsid w:val="00DE0C7C"/>
    <w:rsid w:val="00DE0D1B"/>
    <w:rsid w:val="00DE0FA5"/>
    <w:rsid w:val="00DE1273"/>
    <w:rsid w:val="00DE175A"/>
    <w:rsid w:val="00DE17D1"/>
    <w:rsid w:val="00DE1805"/>
    <w:rsid w:val="00DE1836"/>
    <w:rsid w:val="00DE194C"/>
    <w:rsid w:val="00DE198B"/>
    <w:rsid w:val="00DE1A1A"/>
    <w:rsid w:val="00DE1A29"/>
    <w:rsid w:val="00DE1A3D"/>
    <w:rsid w:val="00DE1AF9"/>
    <w:rsid w:val="00DE1B04"/>
    <w:rsid w:val="00DE202F"/>
    <w:rsid w:val="00DE20FD"/>
    <w:rsid w:val="00DE237D"/>
    <w:rsid w:val="00DE23E7"/>
    <w:rsid w:val="00DE2531"/>
    <w:rsid w:val="00DE263B"/>
    <w:rsid w:val="00DE2646"/>
    <w:rsid w:val="00DE26CE"/>
    <w:rsid w:val="00DE27FD"/>
    <w:rsid w:val="00DE2C54"/>
    <w:rsid w:val="00DE2F32"/>
    <w:rsid w:val="00DE32E3"/>
    <w:rsid w:val="00DE33D9"/>
    <w:rsid w:val="00DE356D"/>
    <w:rsid w:val="00DE3A31"/>
    <w:rsid w:val="00DE3AE4"/>
    <w:rsid w:val="00DE3C2B"/>
    <w:rsid w:val="00DE3D82"/>
    <w:rsid w:val="00DE4569"/>
    <w:rsid w:val="00DE4AE5"/>
    <w:rsid w:val="00DE4C18"/>
    <w:rsid w:val="00DE54C0"/>
    <w:rsid w:val="00DE5592"/>
    <w:rsid w:val="00DE563C"/>
    <w:rsid w:val="00DE56DD"/>
    <w:rsid w:val="00DE591B"/>
    <w:rsid w:val="00DE5BB0"/>
    <w:rsid w:val="00DE5E0D"/>
    <w:rsid w:val="00DE6199"/>
    <w:rsid w:val="00DE61BE"/>
    <w:rsid w:val="00DE62F1"/>
    <w:rsid w:val="00DE650D"/>
    <w:rsid w:val="00DE653B"/>
    <w:rsid w:val="00DE6711"/>
    <w:rsid w:val="00DE671E"/>
    <w:rsid w:val="00DE6978"/>
    <w:rsid w:val="00DE6B0E"/>
    <w:rsid w:val="00DE6B3A"/>
    <w:rsid w:val="00DE6D9E"/>
    <w:rsid w:val="00DE6F00"/>
    <w:rsid w:val="00DE6FB0"/>
    <w:rsid w:val="00DE6FF0"/>
    <w:rsid w:val="00DE75BF"/>
    <w:rsid w:val="00DE75E8"/>
    <w:rsid w:val="00DE7742"/>
    <w:rsid w:val="00DE77DE"/>
    <w:rsid w:val="00DE7941"/>
    <w:rsid w:val="00DE7AC8"/>
    <w:rsid w:val="00DE7CA8"/>
    <w:rsid w:val="00DE7D92"/>
    <w:rsid w:val="00DE7DB9"/>
    <w:rsid w:val="00DE7F4C"/>
    <w:rsid w:val="00DF00B4"/>
    <w:rsid w:val="00DF01DF"/>
    <w:rsid w:val="00DF029F"/>
    <w:rsid w:val="00DF0321"/>
    <w:rsid w:val="00DF0379"/>
    <w:rsid w:val="00DF05D3"/>
    <w:rsid w:val="00DF0667"/>
    <w:rsid w:val="00DF080A"/>
    <w:rsid w:val="00DF08EA"/>
    <w:rsid w:val="00DF0997"/>
    <w:rsid w:val="00DF0BC6"/>
    <w:rsid w:val="00DF0C79"/>
    <w:rsid w:val="00DF11B5"/>
    <w:rsid w:val="00DF11BB"/>
    <w:rsid w:val="00DF1221"/>
    <w:rsid w:val="00DF1583"/>
    <w:rsid w:val="00DF1784"/>
    <w:rsid w:val="00DF17DF"/>
    <w:rsid w:val="00DF1C7A"/>
    <w:rsid w:val="00DF2480"/>
    <w:rsid w:val="00DF2511"/>
    <w:rsid w:val="00DF27B3"/>
    <w:rsid w:val="00DF2A61"/>
    <w:rsid w:val="00DF2C41"/>
    <w:rsid w:val="00DF2F84"/>
    <w:rsid w:val="00DF30DA"/>
    <w:rsid w:val="00DF340A"/>
    <w:rsid w:val="00DF344B"/>
    <w:rsid w:val="00DF3540"/>
    <w:rsid w:val="00DF3AA2"/>
    <w:rsid w:val="00DF3AF4"/>
    <w:rsid w:val="00DF3AF6"/>
    <w:rsid w:val="00DF3C4F"/>
    <w:rsid w:val="00DF3FB3"/>
    <w:rsid w:val="00DF40B4"/>
    <w:rsid w:val="00DF41ED"/>
    <w:rsid w:val="00DF4224"/>
    <w:rsid w:val="00DF42EC"/>
    <w:rsid w:val="00DF43E1"/>
    <w:rsid w:val="00DF445F"/>
    <w:rsid w:val="00DF44F3"/>
    <w:rsid w:val="00DF453B"/>
    <w:rsid w:val="00DF48E6"/>
    <w:rsid w:val="00DF4941"/>
    <w:rsid w:val="00DF4A0B"/>
    <w:rsid w:val="00DF4D41"/>
    <w:rsid w:val="00DF4E2C"/>
    <w:rsid w:val="00DF4FA6"/>
    <w:rsid w:val="00DF504B"/>
    <w:rsid w:val="00DF51CF"/>
    <w:rsid w:val="00DF5343"/>
    <w:rsid w:val="00DF555F"/>
    <w:rsid w:val="00DF5631"/>
    <w:rsid w:val="00DF5B06"/>
    <w:rsid w:val="00DF5C30"/>
    <w:rsid w:val="00DF618C"/>
    <w:rsid w:val="00DF6248"/>
    <w:rsid w:val="00DF62C6"/>
    <w:rsid w:val="00DF6365"/>
    <w:rsid w:val="00DF66B0"/>
    <w:rsid w:val="00DF6764"/>
    <w:rsid w:val="00DF6897"/>
    <w:rsid w:val="00DF6D94"/>
    <w:rsid w:val="00DF7217"/>
    <w:rsid w:val="00DF72B7"/>
    <w:rsid w:val="00DF748C"/>
    <w:rsid w:val="00DF7692"/>
    <w:rsid w:val="00DF79D7"/>
    <w:rsid w:val="00DF79F7"/>
    <w:rsid w:val="00DF7B65"/>
    <w:rsid w:val="00DF7D83"/>
    <w:rsid w:val="00DF7D93"/>
    <w:rsid w:val="00DF7DCA"/>
    <w:rsid w:val="00DF7E18"/>
    <w:rsid w:val="00DF7E47"/>
    <w:rsid w:val="00DF7F53"/>
    <w:rsid w:val="00E0012E"/>
    <w:rsid w:val="00E009FD"/>
    <w:rsid w:val="00E00A1E"/>
    <w:rsid w:val="00E00E8C"/>
    <w:rsid w:val="00E00F69"/>
    <w:rsid w:val="00E01240"/>
    <w:rsid w:val="00E01269"/>
    <w:rsid w:val="00E017BA"/>
    <w:rsid w:val="00E017DE"/>
    <w:rsid w:val="00E01889"/>
    <w:rsid w:val="00E01AAE"/>
    <w:rsid w:val="00E01FD7"/>
    <w:rsid w:val="00E0206A"/>
    <w:rsid w:val="00E02A0D"/>
    <w:rsid w:val="00E02BE3"/>
    <w:rsid w:val="00E02CB5"/>
    <w:rsid w:val="00E02CC8"/>
    <w:rsid w:val="00E02CD1"/>
    <w:rsid w:val="00E02E01"/>
    <w:rsid w:val="00E02E4C"/>
    <w:rsid w:val="00E02E5A"/>
    <w:rsid w:val="00E0302E"/>
    <w:rsid w:val="00E03740"/>
    <w:rsid w:val="00E03957"/>
    <w:rsid w:val="00E03D76"/>
    <w:rsid w:val="00E03FDE"/>
    <w:rsid w:val="00E0405B"/>
    <w:rsid w:val="00E040BB"/>
    <w:rsid w:val="00E04204"/>
    <w:rsid w:val="00E0437F"/>
    <w:rsid w:val="00E04725"/>
    <w:rsid w:val="00E048D7"/>
    <w:rsid w:val="00E04BC4"/>
    <w:rsid w:val="00E04F55"/>
    <w:rsid w:val="00E05036"/>
    <w:rsid w:val="00E05174"/>
    <w:rsid w:val="00E0521C"/>
    <w:rsid w:val="00E054B5"/>
    <w:rsid w:val="00E058EE"/>
    <w:rsid w:val="00E05BF6"/>
    <w:rsid w:val="00E05D4F"/>
    <w:rsid w:val="00E05F88"/>
    <w:rsid w:val="00E05FF3"/>
    <w:rsid w:val="00E05FF6"/>
    <w:rsid w:val="00E061A2"/>
    <w:rsid w:val="00E06280"/>
    <w:rsid w:val="00E062F5"/>
    <w:rsid w:val="00E06512"/>
    <w:rsid w:val="00E066B5"/>
    <w:rsid w:val="00E0690D"/>
    <w:rsid w:val="00E06B00"/>
    <w:rsid w:val="00E06D5F"/>
    <w:rsid w:val="00E06D79"/>
    <w:rsid w:val="00E07010"/>
    <w:rsid w:val="00E07022"/>
    <w:rsid w:val="00E073F4"/>
    <w:rsid w:val="00E07452"/>
    <w:rsid w:val="00E07531"/>
    <w:rsid w:val="00E0760C"/>
    <w:rsid w:val="00E076C8"/>
    <w:rsid w:val="00E076EE"/>
    <w:rsid w:val="00E10193"/>
    <w:rsid w:val="00E101B0"/>
    <w:rsid w:val="00E1026A"/>
    <w:rsid w:val="00E102C4"/>
    <w:rsid w:val="00E10858"/>
    <w:rsid w:val="00E10A15"/>
    <w:rsid w:val="00E10ACB"/>
    <w:rsid w:val="00E10ADF"/>
    <w:rsid w:val="00E10B5A"/>
    <w:rsid w:val="00E10D7E"/>
    <w:rsid w:val="00E10E8F"/>
    <w:rsid w:val="00E10E95"/>
    <w:rsid w:val="00E10F62"/>
    <w:rsid w:val="00E10F91"/>
    <w:rsid w:val="00E112D4"/>
    <w:rsid w:val="00E11432"/>
    <w:rsid w:val="00E114BB"/>
    <w:rsid w:val="00E119C3"/>
    <w:rsid w:val="00E11A5D"/>
    <w:rsid w:val="00E11A97"/>
    <w:rsid w:val="00E11D3C"/>
    <w:rsid w:val="00E11DB6"/>
    <w:rsid w:val="00E11E7E"/>
    <w:rsid w:val="00E11FDC"/>
    <w:rsid w:val="00E121CD"/>
    <w:rsid w:val="00E124B9"/>
    <w:rsid w:val="00E12607"/>
    <w:rsid w:val="00E128F3"/>
    <w:rsid w:val="00E12A74"/>
    <w:rsid w:val="00E12A84"/>
    <w:rsid w:val="00E12BB7"/>
    <w:rsid w:val="00E12C71"/>
    <w:rsid w:val="00E12F85"/>
    <w:rsid w:val="00E12FFC"/>
    <w:rsid w:val="00E131E2"/>
    <w:rsid w:val="00E134A7"/>
    <w:rsid w:val="00E13999"/>
    <w:rsid w:val="00E13A53"/>
    <w:rsid w:val="00E13CC3"/>
    <w:rsid w:val="00E13DBE"/>
    <w:rsid w:val="00E13EEB"/>
    <w:rsid w:val="00E13FA7"/>
    <w:rsid w:val="00E14273"/>
    <w:rsid w:val="00E144E0"/>
    <w:rsid w:val="00E1467E"/>
    <w:rsid w:val="00E14948"/>
    <w:rsid w:val="00E14DAB"/>
    <w:rsid w:val="00E14FF4"/>
    <w:rsid w:val="00E15076"/>
    <w:rsid w:val="00E15214"/>
    <w:rsid w:val="00E153CC"/>
    <w:rsid w:val="00E1550C"/>
    <w:rsid w:val="00E15629"/>
    <w:rsid w:val="00E15693"/>
    <w:rsid w:val="00E15990"/>
    <w:rsid w:val="00E15AEE"/>
    <w:rsid w:val="00E15B7D"/>
    <w:rsid w:val="00E15D87"/>
    <w:rsid w:val="00E16069"/>
    <w:rsid w:val="00E161C4"/>
    <w:rsid w:val="00E161E6"/>
    <w:rsid w:val="00E16380"/>
    <w:rsid w:val="00E164FB"/>
    <w:rsid w:val="00E16522"/>
    <w:rsid w:val="00E16538"/>
    <w:rsid w:val="00E16630"/>
    <w:rsid w:val="00E1672F"/>
    <w:rsid w:val="00E167E1"/>
    <w:rsid w:val="00E16A4E"/>
    <w:rsid w:val="00E17128"/>
    <w:rsid w:val="00E17340"/>
    <w:rsid w:val="00E17396"/>
    <w:rsid w:val="00E174EE"/>
    <w:rsid w:val="00E17568"/>
    <w:rsid w:val="00E178F8"/>
    <w:rsid w:val="00E179BF"/>
    <w:rsid w:val="00E17C0C"/>
    <w:rsid w:val="00E17F7A"/>
    <w:rsid w:val="00E2026D"/>
    <w:rsid w:val="00E20426"/>
    <w:rsid w:val="00E20515"/>
    <w:rsid w:val="00E205F6"/>
    <w:rsid w:val="00E2080E"/>
    <w:rsid w:val="00E20B09"/>
    <w:rsid w:val="00E20B7F"/>
    <w:rsid w:val="00E20CBD"/>
    <w:rsid w:val="00E211A5"/>
    <w:rsid w:val="00E211D5"/>
    <w:rsid w:val="00E2128F"/>
    <w:rsid w:val="00E2198C"/>
    <w:rsid w:val="00E21BE5"/>
    <w:rsid w:val="00E21D1F"/>
    <w:rsid w:val="00E21EB6"/>
    <w:rsid w:val="00E22487"/>
    <w:rsid w:val="00E22810"/>
    <w:rsid w:val="00E22982"/>
    <w:rsid w:val="00E229A2"/>
    <w:rsid w:val="00E22A1A"/>
    <w:rsid w:val="00E22CD0"/>
    <w:rsid w:val="00E22F63"/>
    <w:rsid w:val="00E23164"/>
    <w:rsid w:val="00E2324B"/>
    <w:rsid w:val="00E2361A"/>
    <w:rsid w:val="00E23727"/>
    <w:rsid w:val="00E23D95"/>
    <w:rsid w:val="00E240B8"/>
    <w:rsid w:val="00E24526"/>
    <w:rsid w:val="00E2494C"/>
    <w:rsid w:val="00E24B9B"/>
    <w:rsid w:val="00E24BA8"/>
    <w:rsid w:val="00E24CA3"/>
    <w:rsid w:val="00E250EC"/>
    <w:rsid w:val="00E2526A"/>
    <w:rsid w:val="00E25345"/>
    <w:rsid w:val="00E2589E"/>
    <w:rsid w:val="00E25B4B"/>
    <w:rsid w:val="00E25B63"/>
    <w:rsid w:val="00E25B9A"/>
    <w:rsid w:val="00E25CE5"/>
    <w:rsid w:val="00E25EA9"/>
    <w:rsid w:val="00E25F1F"/>
    <w:rsid w:val="00E263AE"/>
    <w:rsid w:val="00E2652A"/>
    <w:rsid w:val="00E26756"/>
    <w:rsid w:val="00E2694F"/>
    <w:rsid w:val="00E269BC"/>
    <w:rsid w:val="00E26DBC"/>
    <w:rsid w:val="00E26DC2"/>
    <w:rsid w:val="00E26EFC"/>
    <w:rsid w:val="00E26FB1"/>
    <w:rsid w:val="00E27463"/>
    <w:rsid w:val="00E27510"/>
    <w:rsid w:val="00E2790F"/>
    <w:rsid w:val="00E27B29"/>
    <w:rsid w:val="00E30328"/>
    <w:rsid w:val="00E305B1"/>
    <w:rsid w:val="00E3081A"/>
    <w:rsid w:val="00E3085E"/>
    <w:rsid w:val="00E308B9"/>
    <w:rsid w:val="00E309B6"/>
    <w:rsid w:val="00E30A2B"/>
    <w:rsid w:val="00E30BB0"/>
    <w:rsid w:val="00E30C70"/>
    <w:rsid w:val="00E312EF"/>
    <w:rsid w:val="00E313E5"/>
    <w:rsid w:val="00E31463"/>
    <w:rsid w:val="00E31468"/>
    <w:rsid w:val="00E316BB"/>
    <w:rsid w:val="00E318A9"/>
    <w:rsid w:val="00E31A46"/>
    <w:rsid w:val="00E31BA9"/>
    <w:rsid w:val="00E31DE2"/>
    <w:rsid w:val="00E31EA8"/>
    <w:rsid w:val="00E3207C"/>
    <w:rsid w:val="00E32128"/>
    <w:rsid w:val="00E32652"/>
    <w:rsid w:val="00E326E3"/>
    <w:rsid w:val="00E32708"/>
    <w:rsid w:val="00E329EB"/>
    <w:rsid w:val="00E32C39"/>
    <w:rsid w:val="00E32D3A"/>
    <w:rsid w:val="00E32D3F"/>
    <w:rsid w:val="00E3313F"/>
    <w:rsid w:val="00E331BF"/>
    <w:rsid w:val="00E334E6"/>
    <w:rsid w:val="00E3364C"/>
    <w:rsid w:val="00E33691"/>
    <w:rsid w:val="00E337E1"/>
    <w:rsid w:val="00E33A50"/>
    <w:rsid w:val="00E33CF3"/>
    <w:rsid w:val="00E33E6A"/>
    <w:rsid w:val="00E33F49"/>
    <w:rsid w:val="00E34615"/>
    <w:rsid w:val="00E3469E"/>
    <w:rsid w:val="00E34C0C"/>
    <w:rsid w:val="00E34CC7"/>
    <w:rsid w:val="00E34D53"/>
    <w:rsid w:val="00E351FA"/>
    <w:rsid w:val="00E35280"/>
    <w:rsid w:val="00E352AD"/>
    <w:rsid w:val="00E356DD"/>
    <w:rsid w:val="00E35A1B"/>
    <w:rsid w:val="00E35DF1"/>
    <w:rsid w:val="00E36228"/>
    <w:rsid w:val="00E362F7"/>
    <w:rsid w:val="00E3651D"/>
    <w:rsid w:val="00E3687F"/>
    <w:rsid w:val="00E3709D"/>
    <w:rsid w:val="00E371A1"/>
    <w:rsid w:val="00E372D8"/>
    <w:rsid w:val="00E372DC"/>
    <w:rsid w:val="00E37527"/>
    <w:rsid w:val="00E37562"/>
    <w:rsid w:val="00E3757F"/>
    <w:rsid w:val="00E377F9"/>
    <w:rsid w:val="00E37B87"/>
    <w:rsid w:val="00E37E92"/>
    <w:rsid w:val="00E37ED7"/>
    <w:rsid w:val="00E37F18"/>
    <w:rsid w:val="00E404EB"/>
    <w:rsid w:val="00E40631"/>
    <w:rsid w:val="00E40746"/>
    <w:rsid w:val="00E40817"/>
    <w:rsid w:val="00E40927"/>
    <w:rsid w:val="00E409B2"/>
    <w:rsid w:val="00E40A26"/>
    <w:rsid w:val="00E40C5C"/>
    <w:rsid w:val="00E40D49"/>
    <w:rsid w:val="00E40DC5"/>
    <w:rsid w:val="00E413B5"/>
    <w:rsid w:val="00E413DD"/>
    <w:rsid w:val="00E415A6"/>
    <w:rsid w:val="00E415F9"/>
    <w:rsid w:val="00E419FE"/>
    <w:rsid w:val="00E41AF0"/>
    <w:rsid w:val="00E41BBF"/>
    <w:rsid w:val="00E41D86"/>
    <w:rsid w:val="00E42226"/>
    <w:rsid w:val="00E42306"/>
    <w:rsid w:val="00E423ED"/>
    <w:rsid w:val="00E424C1"/>
    <w:rsid w:val="00E42590"/>
    <w:rsid w:val="00E426A7"/>
    <w:rsid w:val="00E42C0F"/>
    <w:rsid w:val="00E42E23"/>
    <w:rsid w:val="00E42E7D"/>
    <w:rsid w:val="00E430F5"/>
    <w:rsid w:val="00E431C7"/>
    <w:rsid w:val="00E43202"/>
    <w:rsid w:val="00E43AB5"/>
    <w:rsid w:val="00E43B51"/>
    <w:rsid w:val="00E43B62"/>
    <w:rsid w:val="00E43BCA"/>
    <w:rsid w:val="00E43D3C"/>
    <w:rsid w:val="00E43DC7"/>
    <w:rsid w:val="00E43ED7"/>
    <w:rsid w:val="00E43FB7"/>
    <w:rsid w:val="00E44041"/>
    <w:rsid w:val="00E44094"/>
    <w:rsid w:val="00E44104"/>
    <w:rsid w:val="00E44646"/>
    <w:rsid w:val="00E446DB"/>
    <w:rsid w:val="00E4496B"/>
    <w:rsid w:val="00E44BBF"/>
    <w:rsid w:val="00E44D15"/>
    <w:rsid w:val="00E44FC5"/>
    <w:rsid w:val="00E45077"/>
    <w:rsid w:val="00E451FA"/>
    <w:rsid w:val="00E45837"/>
    <w:rsid w:val="00E45982"/>
    <w:rsid w:val="00E45AEE"/>
    <w:rsid w:val="00E45BC8"/>
    <w:rsid w:val="00E45BD7"/>
    <w:rsid w:val="00E45E6B"/>
    <w:rsid w:val="00E45EF3"/>
    <w:rsid w:val="00E45F7B"/>
    <w:rsid w:val="00E46026"/>
    <w:rsid w:val="00E4604A"/>
    <w:rsid w:val="00E46420"/>
    <w:rsid w:val="00E46643"/>
    <w:rsid w:val="00E4666F"/>
    <w:rsid w:val="00E466D4"/>
    <w:rsid w:val="00E46A25"/>
    <w:rsid w:val="00E47486"/>
    <w:rsid w:val="00E4755C"/>
    <w:rsid w:val="00E475D1"/>
    <w:rsid w:val="00E476EA"/>
    <w:rsid w:val="00E47838"/>
    <w:rsid w:val="00E478A9"/>
    <w:rsid w:val="00E478DE"/>
    <w:rsid w:val="00E47B27"/>
    <w:rsid w:val="00E47DCD"/>
    <w:rsid w:val="00E47E11"/>
    <w:rsid w:val="00E47E5D"/>
    <w:rsid w:val="00E47FB5"/>
    <w:rsid w:val="00E5024E"/>
    <w:rsid w:val="00E502D6"/>
    <w:rsid w:val="00E503F5"/>
    <w:rsid w:val="00E5046D"/>
    <w:rsid w:val="00E504FE"/>
    <w:rsid w:val="00E50564"/>
    <w:rsid w:val="00E50595"/>
    <w:rsid w:val="00E505E7"/>
    <w:rsid w:val="00E50AF4"/>
    <w:rsid w:val="00E50CA8"/>
    <w:rsid w:val="00E50D2F"/>
    <w:rsid w:val="00E50F1B"/>
    <w:rsid w:val="00E50FDF"/>
    <w:rsid w:val="00E51143"/>
    <w:rsid w:val="00E51238"/>
    <w:rsid w:val="00E5134B"/>
    <w:rsid w:val="00E515E0"/>
    <w:rsid w:val="00E515E5"/>
    <w:rsid w:val="00E5173A"/>
    <w:rsid w:val="00E517A2"/>
    <w:rsid w:val="00E517C8"/>
    <w:rsid w:val="00E51936"/>
    <w:rsid w:val="00E51D2A"/>
    <w:rsid w:val="00E51F1D"/>
    <w:rsid w:val="00E51F98"/>
    <w:rsid w:val="00E52062"/>
    <w:rsid w:val="00E52112"/>
    <w:rsid w:val="00E521F0"/>
    <w:rsid w:val="00E52419"/>
    <w:rsid w:val="00E5258E"/>
    <w:rsid w:val="00E52606"/>
    <w:rsid w:val="00E52874"/>
    <w:rsid w:val="00E528F5"/>
    <w:rsid w:val="00E52ACB"/>
    <w:rsid w:val="00E52B2B"/>
    <w:rsid w:val="00E53837"/>
    <w:rsid w:val="00E53B32"/>
    <w:rsid w:val="00E53DA8"/>
    <w:rsid w:val="00E53F02"/>
    <w:rsid w:val="00E540BB"/>
    <w:rsid w:val="00E5423B"/>
    <w:rsid w:val="00E54407"/>
    <w:rsid w:val="00E54753"/>
    <w:rsid w:val="00E547D6"/>
    <w:rsid w:val="00E54831"/>
    <w:rsid w:val="00E548F9"/>
    <w:rsid w:val="00E54A4A"/>
    <w:rsid w:val="00E54E57"/>
    <w:rsid w:val="00E54F10"/>
    <w:rsid w:val="00E5559E"/>
    <w:rsid w:val="00E5576A"/>
    <w:rsid w:val="00E5595F"/>
    <w:rsid w:val="00E55C30"/>
    <w:rsid w:val="00E55E17"/>
    <w:rsid w:val="00E55F8A"/>
    <w:rsid w:val="00E56044"/>
    <w:rsid w:val="00E5612B"/>
    <w:rsid w:val="00E56283"/>
    <w:rsid w:val="00E56402"/>
    <w:rsid w:val="00E56736"/>
    <w:rsid w:val="00E567BB"/>
    <w:rsid w:val="00E56A77"/>
    <w:rsid w:val="00E56CC9"/>
    <w:rsid w:val="00E56D9D"/>
    <w:rsid w:val="00E571B0"/>
    <w:rsid w:val="00E57244"/>
    <w:rsid w:val="00E5747F"/>
    <w:rsid w:val="00E57597"/>
    <w:rsid w:val="00E57990"/>
    <w:rsid w:val="00E579AD"/>
    <w:rsid w:val="00E57B01"/>
    <w:rsid w:val="00E57BC9"/>
    <w:rsid w:val="00E57CF6"/>
    <w:rsid w:val="00E57E16"/>
    <w:rsid w:val="00E57E26"/>
    <w:rsid w:val="00E57E71"/>
    <w:rsid w:val="00E57FBE"/>
    <w:rsid w:val="00E601AA"/>
    <w:rsid w:val="00E6023B"/>
    <w:rsid w:val="00E6052B"/>
    <w:rsid w:val="00E60562"/>
    <w:rsid w:val="00E605AE"/>
    <w:rsid w:val="00E60B58"/>
    <w:rsid w:val="00E60B8B"/>
    <w:rsid w:val="00E60C36"/>
    <w:rsid w:val="00E60EF0"/>
    <w:rsid w:val="00E61494"/>
    <w:rsid w:val="00E614D1"/>
    <w:rsid w:val="00E6171E"/>
    <w:rsid w:val="00E6177A"/>
    <w:rsid w:val="00E6184C"/>
    <w:rsid w:val="00E61A21"/>
    <w:rsid w:val="00E61B94"/>
    <w:rsid w:val="00E62417"/>
    <w:rsid w:val="00E6264B"/>
    <w:rsid w:val="00E62652"/>
    <w:rsid w:val="00E626FE"/>
    <w:rsid w:val="00E62717"/>
    <w:rsid w:val="00E6286A"/>
    <w:rsid w:val="00E62873"/>
    <w:rsid w:val="00E62B80"/>
    <w:rsid w:val="00E6301A"/>
    <w:rsid w:val="00E63112"/>
    <w:rsid w:val="00E631E2"/>
    <w:rsid w:val="00E63258"/>
    <w:rsid w:val="00E632B4"/>
    <w:rsid w:val="00E63300"/>
    <w:rsid w:val="00E6355D"/>
    <w:rsid w:val="00E6391D"/>
    <w:rsid w:val="00E63AA9"/>
    <w:rsid w:val="00E63BAE"/>
    <w:rsid w:val="00E63FF4"/>
    <w:rsid w:val="00E640AB"/>
    <w:rsid w:val="00E644FE"/>
    <w:rsid w:val="00E64579"/>
    <w:rsid w:val="00E646EA"/>
    <w:rsid w:val="00E64799"/>
    <w:rsid w:val="00E64923"/>
    <w:rsid w:val="00E64A86"/>
    <w:rsid w:val="00E64D94"/>
    <w:rsid w:val="00E64E0F"/>
    <w:rsid w:val="00E65002"/>
    <w:rsid w:val="00E65262"/>
    <w:rsid w:val="00E653E2"/>
    <w:rsid w:val="00E655DF"/>
    <w:rsid w:val="00E656F0"/>
    <w:rsid w:val="00E65875"/>
    <w:rsid w:val="00E65B52"/>
    <w:rsid w:val="00E65C5B"/>
    <w:rsid w:val="00E65C62"/>
    <w:rsid w:val="00E65D8A"/>
    <w:rsid w:val="00E65F9A"/>
    <w:rsid w:val="00E65FE3"/>
    <w:rsid w:val="00E660A6"/>
    <w:rsid w:val="00E661D3"/>
    <w:rsid w:val="00E667A2"/>
    <w:rsid w:val="00E668DC"/>
    <w:rsid w:val="00E66B97"/>
    <w:rsid w:val="00E66BCF"/>
    <w:rsid w:val="00E66BFD"/>
    <w:rsid w:val="00E67002"/>
    <w:rsid w:val="00E670C5"/>
    <w:rsid w:val="00E670CC"/>
    <w:rsid w:val="00E670E7"/>
    <w:rsid w:val="00E6728C"/>
    <w:rsid w:val="00E67375"/>
    <w:rsid w:val="00E6743D"/>
    <w:rsid w:val="00E67519"/>
    <w:rsid w:val="00E67768"/>
    <w:rsid w:val="00E67915"/>
    <w:rsid w:val="00E679EC"/>
    <w:rsid w:val="00E67CBA"/>
    <w:rsid w:val="00E67D73"/>
    <w:rsid w:val="00E67F19"/>
    <w:rsid w:val="00E67F2D"/>
    <w:rsid w:val="00E67FB6"/>
    <w:rsid w:val="00E700A7"/>
    <w:rsid w:val="00E7014F"/>
    <w:rsid w:val="00E702A2"/>
    <w:rsid w:val="00E7042B"/>
    <w:rsid w:val="00E705CD"/>
    <w:rsid w:val="00E7069B"/>
    <w:rsid w:val="00E706F5"/>
    <w:rsid w:val="00E7072A"/>
    <w:rsid w:val="00E70744"/>
    <w:rsid w:val="00E70A83"/>
    <w:rsid w:val="00E70CB8"/>
    <w:rsid w:val="00E70CE7"/>
    <w:rsid w:val="00E70E22"/>
    <w:rsid w:val="00E70F82"/>
    <w:rsid w:val="00E710C0"/>
    <w:rsid w:val="00E710E9"/>
    <w:rsid w:val="00E71213"/>
    <w:rsid w:val="00E7136F"/>
    <w:rsid w:val="00E71379"/>
    <w:rsid w:val="00E714E8"/>
    <w:rsid w:val="00E71919"/>
    <w:rsid w:val="00E719B3"/>
    <w:rsid w:val="00E71EE2"/>
    <w:rsid w:val="00E720CF"/>
    <w:rsid w:val="00E72804"/>
    <w:rsid w:val="00E7284E"/>
    <w:rsid w:val="00E7289C"/>
    <w:rsid w:val="00E72FFD"/>
    <w:rsid w:val="00E737C0"/>
    <w:rsid w:val="00E73F7D"/>
    <w:rsid w:val="00E73FE7"/>
    <w:rsid w:val="00E74113"/>
    <w:rsid w:val="00E74165"/>
    <w:rsid w:val="00E7450A"/>
    <w:rsid w:val="00E74581"/>
    <w:rsid w:val="00E745F0"/>
    <w:rsid w:val="00E747C4"/>
    <w:rsid w:val="00E74831"/>
    <w:rsid w:val="00E74965"/>
    <w:rsid w:val="00E74A9A"/>
    <w:rsid w:val="00E74C0D"/>
    <w:rsid w:val="00E74C4A"/>
    <w:rsid w:val="00E74DDB"/>
    <w:rsid w:val="00E74E12"/>
    <w:rsid w:val="00E74F28"/>
    <w:rsid w:val="00E74F97"/>
    <w:rsid w:val="00E75070"/>
    <w:rsid w:val="00E75109"/>
    <w:rsid w:val="00E75149"/>
    <w:rsid w:val="00E7568C"/>
    <w:rsid w:val="00E75727"/>
    <w:rsid w:val="00E75900"/>
    <w:rsid w:val="00E75CC6"/>
    <w:rsid w:val="00E75D0B"/>
    <w:rsid w:val="00E75F42"/>
    <w:rsid w:val="00E761AD"/>
    <w:rsid w:val="00E7647F"/>
    <w:rsid w:val="00E764EF"/>
    <w:rsid w:val="00E7669A"/>
    <w:rsid w:val="00E76A71"/>
    <w:rsid w:val="00E76DEB"/>
    <w:rsid w:val="00E76EAC"/>
    <w:rsid w:val="00E76EF3"/>
    <w:rsid w:val="00E77130"/>
    <w:rsid w:val="00E77328"/>
    <w:rsid w:val="00E77342"/>
    <w:rsid w:val="00E7738A"/>
    <w:rsid w:val="00E7748F"/>
    <w:rsid w:val="00E777FF"/>
    <w:rsid w:val="00E779A0"/>
    <w:rsid w:val="00E77A9D"/>
    <w:rsid w:val="00E77EA0"/>
    <w:rsid w:val="00E77EF9"/>
    <w:rsid w:val="00E8017B"/>
    <w:rsid w:val="00E80299"/>
    <w:rsid w:val="00E804F3"/>
    <w:rsid w:val="00E806AE"/>
    <w:rsid w:val="00E808F1"/>
    <w:rsid w:val="00E81117"/>
    <w:rsid w:val="00E8118B"/>
    <w:rsid w:val="00E81212"/>
    <w:rsid w:val="00E812E7"/>
    <w:rsid w:val="00E813A0"/>
    <w:rsid w:val="00E81464"/>
    <w:rsid w:val="00E8158D"/>
    <w:rsid w:val="00E815C5"/>
    <w:rsid w:val="00E81604"/>
    <w:rsid w:val="00E8162A"/>
    <w:rsid w:val="00E8183C"/>
    <w:rsid w:val="00E8199D"/>
    <w:rsid w:val="00E81C80"/>
    <w:rsid w:val="00E81CAD"/>
    <w:rsid w:val="00E81E57"/>
    <w:rsid w:val="00E81FD7"/>
    <w:rsid w:val="00E8211A"/>
    <w:rsid w:val="00E8248E"/>
    <w:rsid w:val="00E8249C"/>
    <w:rsid w:val="00E8262B"/>
    <w:rsid w:val="00E826FB"/>
    <w:rsid w:val="00E827B4"/>
    <w:rsid w:val="00E829A4"/>
    <w:rsid w:val="00E832A7"/>
    <w:rsid w:val="00E832CD"/>
    <w:rsid w:val="00E83369"/>
    <w:rsid w:val="00E836F7"/>
    <w:rsid w:val="00E83A18"/>
    <w:rsid w:val="00E83B6C"/>
    <w:rsid w:val="00E83D41"/>
    <w:rsid w:val="00E83E7A"/>
    <w:rsid w:val="00E83EC1"/>
    <w:rsid w:val="00E83F37"/>
    <w:rsid w:val="00E84017"/>
    <w:rsid w:val="00E84158"/>
    <w:rsid w:val="00E8427E"/>
    <w:rsid w:val="00E84ADB"/>
    <w:rsid w:val="00E84B86"/>
    <w:rsid w:val="00E84FD0"/>
    <w:rsid w:val="00E852C0"/>
    <w:rsid w:val="00E85360"/>
    <w:rsid w:val="00E85448"/>
    <w:rsid w:val="00E8554D"/>
    <w:rsid w:val="00E856C9"/>
    <w:rsid w:val="00E856E8"/>
    <w:rsid w:val="00E857F6"/>
    <w:rsid w:val="00E85805"/>
    <w:rsid w:val="00E859ED"/>
    <w:rsid w:val="00E85ABD"/>
    <w:rsid w:val="00E85C3F"/>
    <w:rsid w:val="00E861B0"/>
    <w:rsid w:val="00E86332"/>
    <w:rsid w:val="00E863CB"/>
    <w:rsid w:val="00E8651B"/>
    <w:rsid w:val="00E866D5"/>
    <w:rsid w:val="00E86743"/>
    <w:rsid w:val="00E86752"/>
    <w:rsid w:val="00E8675A"/>
    <w:rsid w:val="00E86885"/>
    <w:rsid w:val="00E868FE"/>
    <w:rsid w:val="00E86C6E"/>
    <w:rsid w:val="00E86D3C"/>
    <w:rsid w:val="00E876D3"/>
    <w:rsid w:val="00E87C5A"/>
    <w:rsid w:val="00E87CCA"/>
    <w:rsid w:val="00E87E6F"/>
    <w:rsid w:val="00E87E98"/>
    <w:rsid w:val="00E87FC6"/>
    <w:rsid w:val="00E900EE"/>
    <w:rsid w:val="00E900FC"/>
    <w:rsid w:val="00E90399"/>
    <w:rsid w:val="00E90565"/>
    <w:rsid w:val="00E90BFB"/>
    <w:rsid w:val="00E90DE8"/>
    <w:rsid w:val="00E90FA5"/>
    <w:rsid w:val="00E91105"/>
    <w:rsid w:val="00E912AA"/>
    <w:rsid w:val="00E91428"/>
    <w:rsid w:val="00E91510"/>
    <w:rsid w:val="00E915CD"/>
    <w:rsid w:val="00E9178E"/>
    <w:rsid w:val="00E9195D"/>
    <w:rsid w:val="00E91BA9"/>
    <w:rsid w:val="00E91C4B"/>
    <w:rsid w:val="00E91F96"/>
    <w:rsid w:val="00E920B0"/>
    <w:rsid w:val="00E92456"/>
    <w:rsid w:val="00E924CA"/>
    <w:rsid w:val="00E925D1"/>
    <w:rsid w:val="00E92D38"/>
    <w:rsid w:val="00E932FD"/>
    <w:rsid w:val="00E932FF"/>
    <w:rsid w:val="00E9357D"/>
    <w:rsid w:val="00E935F3"/>
    <w:rsid w:val="00E93E38"/>
    <w:rsid w:val="00E94BB3"/>
    <w:rsid w:val="00E94BDD"/>
    <w:rsid w:val="00E94CCC"/>
    <w:rsid w:val="00E9509D"/>
    <w:rsid w:val="00E95326"/>
    <w:rsid w:val="00E95340"/>
    <w:rsid w:val="00E954B7"/>
    <w:rsid w:val="00E9552A"/>
    <w:rsid w:val="00E95773"/>
    <w:rsid w:val="00E9579F"/>
    <w:rsid w:val="00E958F9"/>
    <w:rsid w:val="00E95B48"/>
    <w:rsid w:val="00E95CE3"/>
    <w:rsid w:val="00E95F19"/>
    <w:rsid w:val="00E963DA"/>
    <w:rsid w:val="00E964CE"/>
    <w:rsid w:val="00E964FE"/>
    <w:rsid w:val="00E96AE0"/>
    <w:rsid w:val="00E96C7A"/>
    <w:rsid w:val="00E9704E"/>
    <w:rsid w:val="00E972E8"/>
    <w:rsid w:val="00E97304"/>
    <w:rsid w:val="00E973C1"/>
    <w:rsid w:val="00E9742B"/>
    <w:rsid w:val="00E976EB"/>
    <w:rsid w:val="00E976F6"/>
    <w:rsid w:val="00E97BDC"/>
    <w:rsid w:val="00E97C5D"/>
    <w:rsid w:val="00E97D78"/>
    <w:rsid w:val="00E97DDB"/>
    <w:rsid w:val="00EA0063"/>
    <w:rsid w:val="00EA00D2"/>
    <w:rsid w:val="00EA0112"/>
    <w:rsid w:val="00EA0190"/>
    <w:rsid w:val="00EA0196"/>
    <w:rsid w:val="00EA0297"/>
    <w:rsid w:val="00EA0403"/>
    <w:rsid w:val="00EA0418"/>
    <w:rsid w:val="00EA0424"/>
    <w:rsid w:val="00EA05CD"/>
    <w:rsid w:val="00EA06D1"/>
    <w:rsid w:val="00EA080D"/>
    <w:rsid w:val="00EA0E39"/>
    <w:rsid w:val="00EA0E68"/>
    <w:rsid w:val="00EA102B"/>
    <w:rsid w:val="00EA1149"/>
    <w:rsid w:val="00EA129D"/>
    <w:rsid w:val="00EA14C8"/>
    <w:rsid w:val="00EA151F"/>
    <w:rsid w:val="00EA1707"/>
    <w:rsid w:val="00EA184A"/>
    <w:rsid w:val="00EA192B"/>
    <w:rsid w:val="00EA19C5"/>
    <w:rsid w:val="00EA19C8"/>
    <w:rsid w:val="00EA1A92"/>
    <w:rsid w:val="00EA1AC1"/>
    <w:rsid w:val="00EA1BAA"/>
    <w:rsid w:val="00EA1C9F"/>
    <w:rsid w:val="00EA1CD6"/>
    <w:rsid w:val="00EA1DCA"/>
    <w:rsid w:val="00EA1F68"/>
    <w:rsid w:val="00EA20D5"/>
    <w:rsid w:val="00EA2281"/>
    <w:rsid w:val="00EA23D1"/>
    <w:rsid w:val="00EA23DF"/>
    <w:rsid w:val="00EA23F9"/>
    <w:rsid w:val="00EA2797"/>
    <w:rsid w:val="00EA2922"/>
    <w:rsid w:val="00EA2A23"/>
    <w:rsid w:val="00EA2C5A"/>
    <w:rsid w:val="00EA2E8B"/>
    <w:rsid w:val="00EA2EFD"/>
    <w:rsid w:val="00EA3082"/>
    <w:rsid w:val="00EA33C9"/>
    <w:rsid w:val="00EA33EC"/>
    <w:rsid w:val="00EA3644"/>
    <w:rsid w:val="00EA36B7"/>
    <w:rsid w:val="00EA36C7"/>
    <w:rsid w:val="00EA38D5"/>
    <w:rsid w:val="00EA3B50"/>
    <w:rsid w:val="00EA3C1C"/>
    <w:rsid w:val="00EA406D"/>
    <w:rsid w:val="00EA4177"/>
    <w:rsid w:val="00EA447C"/>
    <w:rsid w:val="00EA4628"/>
    <w:rsid w:val="00EA4CB0"/>
    <w:rsid w:val="00EA4DA1"/>
    <w:rsid w:val="00EA4E7F"/>
    <w:rsid w:val="00EA50B2"/>
    <w:rsid w:val="00EA5145"/>
    <w:rsid w:val="00EA52A6"/>
    <w:rsid w:val="00EA5583"/>
    <w:rsid w:val="00EA59F5"/>
    <w:rsid w:val="00EA5BCF"/>
    <w:rsid w:val="00EA5D36"/>
    <w:rsid w:val="00EA5DDE"/>
    <w:rsid w:val="00EA6042"/>
    <w:rsid w:val="00EA60A5"/>
    <w:rsid w:val="00EA63BF"/>
    <w:rsid w:val="00EA662D"/>
    <w:rsid w:val="00EA67C3"/>
    <w:rsid w:val="00EA6804"/>
    <w:rsid w:val="00EA6BF5"/>
    <w:rsid w:val="00EA6D83"/>
    <w:rsid w:val="00EA6F11"/>
    <w:rsid w:val="00EA72A1"/>
    <w:rsid w:val="00EA73C8"/>
    <w:rsid w:val="00EA7448"/>
    <w:rsid w:val="00EA74EC"/>
    <w:rsid w:val="00EA76FF"/>
    <w:rsid w:val="00EA7A74"/>
    <w:rsid w:val="00EA7C4B"/>
    <w:rsid w:val="00EB01AC"/>
    <w:rsid w:val="00EB03FF"/>
    <w:rsid w:val="00EB0726"/>
    <w:rsid w:val="00EB08BA"/>
    <w:rsid w:val="00EB0CAF"/>
    <w:rsid w:val="00EB0FFB"/>
    <w:rsid w:val="00EB1163"/>
    <w:rsid w:val="00EB13CF"/>
    <w:rsid w:val="00EB152E"/>
    <w:rsid w:val="00EB153D"/>
    <w:rsid w:val="00EB16D6"/>
    <w:rsid w:val="00EB1BB3"/>
    <w:rsid w:val="00EB1DF2"/>
    <w:rsid w:val="00EB1FD8"/>
    <w:rsid w:val="00EB2005"/>
    <w:rsid w:val="00EB2116"/>
    <w:rsid w:val="00EB21A4"/>
    <w:rsid w:val="00EB21B8"/>
    <w:rsid w:val="00EB22DD"/>
    <w:rsid w:val="00EB24B9"/>
    <w:rsid w:val="00EB24F9"/>
    <w:rsid w:val="00EB28B7"/>
    <w:rsid w:val="00EB28E5"/>
    <w:rsid w:val="00EB2AB5"/>
    <w:rsid w:val="00EB2C9F"/>
    <w:rsid w:val="00EB2CAE"/>
    <w:rsid w:val="00EB2D16"/>
    <w:rsid w:val="00EB2D33"/>
    <w:rsid w:val="00EB308D"/>
    <w:rsid w:val="00EB329E"/>
    <w:rsid w:val="00EB3372"/>
    <w:rsid w:val="00EB367E"/>
    <w:rsid w:val="00EB370E"/>
    <w:rsid w:val="00EB382A"/>
    <w:rsid w:val="00EB391F"/>
    <w:rsid w:val="00EB393D"/>
    <w:rsid w:val="00EB414D"/>
    <w:rsid w:val="00EB4176"/>
    <w:rsid w:val="00EB4201"/>
    <w:rsid w:val="00EB4293"/>
    <w:rsid w:val="00EB42C7"/>
    <w:rsid w:val="00EB447D"/>
    <w:rsid w:val="00EB448A"/>
    <w:rsid w:val="00EB47AF"/>
    <w:rsid w:val="00EB4AC4"/>
    <w:rsid w:val="00EB4D06"/>
    <w:rsid w:val="00EB501E"/>
    <w:rsid w:val="00EB51A5"/>
    <w:rsid w:val="00EB54DE"/>
    <w:rsid w:val="00EB57C0"/>
    <w:rsid w:val="00EB580E"/>
    <w:rsid w:val="00EB5A4B"/>
    <w:rsid w:val="00EB5BA8"/>
    <w:rsid w:val="00EB5D36"/>
    <w:rsid w:val="00EB5E3D"/>
    <w:rsid w:val="00EB5F13"/>
    <w:rsid w:val="00EB5F9F"/>
    <w:rsid w:val="00EB60E4"/>
    <w:rsid w:val="00EB6370"/>
    <w:rsid w:val="00EB65C2"/>
    <w:rsid w:val="00EB67F7"/>
    <w:rsid w:val="00EB6BA3"/>
    <w:rsid w:val="00EB6C34"/>
    <w:rsid w:val="00EB7103"/>
    <w:rsid w:val="00EB7156"/>
    <w:rsid w:val="00EB71EE"/>
    <w:rsid w:val="00EB727B"/>
    <w:rsid w:val="00EB73C7"/>
    <w:rsid w:val="00EB76E5"/>
    <w:rsid w:val="00EB7973"/>
    <w:rsid w:val="00EB7C6A"/>
    <w:rsid w:val="00EB7D14"/>
    <w:rsid w:val="00EC009A"/>
    <w:rsid w:val="00EC00DD"/>
    <w:rsid w:val="00EC0785"/>
    <w:rsid w:val="00EC0B8D"/>
    <w:rsid w:val="00EC0C53"/>
    <w:rsid w:val="00EC0C9E"/>
    <w:rsid w:val="00EC1069"/>
    <w:rsid w:val="00EC12E0"/>
    <w:rsid w:val="00EC1333"/>
    <w:rsid w:val="00EC1398"/>
    <w:rsid w:val="00EC13F7"/>
    <w:rsid w:val="00EC14E6"/>
    <w:rsid w:val="00EC19E7"/>
    <w:rsid w:val="00EC1ACC"/>
    <w:rsid w:val="00EC1E80"/>
    <w:rsid w:val="00EC1EE1"/>
    <w:rsid w:val="00EC21E7"/>
    <w:rsid w:val="00EC24AC"/>
    <w:rsid w:val="00EC26DC"/>
    <w:rsid w:val="00EC2B5C"/>
    <w:rsid w:val="00EC2BD3"/>
    <w:rsid w:val="00EC2DB7"/>
    <w:rsid w:val="00EC2FB7"/>
    <w:rsid w:val="00EC311F"/>
    <w:rsid w:val="00EC3134"/>
    <w:rsid w:val="00EC31F8"/>
    <w:rsid w:val="00EC32A2"/>
    <w:rsid w:val="00EC338B"/>
    <w:rsid w:val="00EC3756"/>
    <w:rsid w:val="00EC3772"/>
    <w:rsid w:val="00EC3AC0"/>
    <w:rsid w:val="00EC3B0C"/>
    <w:rsid w:val="00EC3BB0"/>
    <w:rsid w:val="00EC3C44"/>
    <w:rsid w:val="00EC3D06"/>
    <w:rsid w:val="00EC3EC8"/>
    <w:rsid w:val="00EC3F0C"/>
    <w:rsid w:val="00EC3F10"/>
    <w:rsid w:val="00EC3F77"/>
    <w:rsid w:val="00EC4100"/>
    <w:rsid w:val="00EC41BE"/>
    <w:rsid w:val="00EC41F1"/>
    <w:rsid w:val="00EC429E"/>
    <w:rsid w:val="00EC46C0"/>
    <w:rsid w:val="00EC473D"/>
    <w:rsid w:val="00EC4817"/>
    <w:rsid w:val="00EC4966"/>
    <w:rsid w:val="00EC4C2D"/>
    <w:rsid w:val="00EC4D5F"/>
    <w:rsid w:val="00EC5169"/>
    <w:rsid w:val="00EC5184"/>
    <w:rsid w:val="00EC54B1"/>
    <w:rsid w:val="00EC559F"/>
    <w:rsid w:val="00EC5871"/>
    <w:rsid w:val="00EC58F3"/>
    <w:rsid w:val="00EC5909"/>
    <w:rsid w:val="00EC5A4B"/>
    <w:rsid w:val="00EC5B38"/>
    <w:rsid w:val="00EC5F13"/>
    <w:rsid w:val="00EC5FAD"/>
    <w:rsid w:val="00EC6469"/>
    <w:rsid w:val="00EC652B"/>
    <w:rsid w:val="00EC6733"/>
    <w:rsid w:val="00EC6769"/>
    <w:rsid w:val="00EC6D08"/>
    <w:rsid w:val="00EC6DE5"/>
    <w:rsid w:val="00EC7068"/>
    <w:rsid w:val="00EC7109"/>
    <w:rsid w:val="00EC710D"/>
    <w:rsid w:val="00EC729E"/>
    <w:rsid w:val="00EC72F8"/>
    <w:rsid w:val="00EC7566"/>
    <w:rsid w:val="00EC7702"/>
    <w:rsid w:val="00EC78BB"/>
    <w:rsid w:val="00EC7C88"/>
    <w:rsid w:val="00EC7D46"/>
    <w:rsid w:val="00EC7F4E"/>
    <w:rsid w:val="00ED010A"/>
    <w:rsid w:val="00ED025A"/>
    <w:rsid w:val="00ED02E3"/>
    <w:rsid w:val="00ED03DE"/>
    <w:rsid w:val="00ED0772"/>
    <w:rsid w:val="00ED07AC"/>
    <w:rsid w:val="00ED0A91"/>
    <w:rsid w:val="00ED0AE4"/>
    <w:rsid w:val="00ED0EB6"/>
    <w:rsid w:val="00ED0F6D"/>
    <w:rsid w:val="00ED0F97"/>
    <w:rsid w:val="00ED1010"/>
    <w:rsid w:val="00ED1042"/>
    <w:rsid w:val="00ED1076"/>
    <w:rsid w:val="00ED10FA"/>
    <w:rsid w:val="00ED130F"/>
    <w:rsid w:val="00ED13EC"/>
    <w:rsid w:val="00ED170C"/>
    <w:rsid w:val="00ED18E1"/>
    <w:rsid w:val="00ED1AFC"/>
    <w:rsid w:val="00ED1B16"/>
    <w:rsid w:val="00ED1B40"/>
    <w:rsid w:val="00ED1C2F"/>
    <w:rsid w:val="00ED1C49"/>
    <w:rsid w:val="00ED1DDE"/>
    <w:rsid w:val="00ED1F86"/>
    <w:rsid w:val="00ED20D9"/>
    <w:rsid w:val="00ED2408"/>
    <w:rsid w:val="00ED251D"/>
    <w:rsid w:val="00ED2983"/>
    <w:rsid w:val="00ED2E20"/>
    <w:rsid w:val="00ED2F85"/>
    <w:rsid w:val="00ED32F5"/>
    <w:rsid w:val="00ED3376"/>
    <w:rsid w:val="00ED351E"/>
    <w:rsid w:val="00ED3958"/>
    <w:rsid w:val="00ED3ABF"/>
    <w:rsid w:val="00ED3D20"/>
    <w:rsid w:val="00ED3E52"/>
    <w:rsid w:val="00ED3E58"/>
    <w:rsid w:val="00ED3F1C"/>
    <w:rsid w:val="00ED445F"/>
    <w:rsid w:val="00ED4554"/>
    <w:rsid w:val="00ED4A2B"/>
    <w:rsid w:val="00ED5652"/>
    <w:rsid w:val="00ED5993"/>
    <w:rsid w:val="00ED59B5"/>
    <w:rsid w:val="00ED5BD7"/>
    <w:rsid w:val="00ED5C25"/>
    <w:rsid w:val="00ED5E34"/>
    <w:rsid w:val="00ED5F1F"/>
    <w:rsid w:val="00ED5F58"/>
    <w:rsid w:val="00ED6118"/>
    <w:rsid w:val="00ED62A5"/>
    <w:rsid w:val="00ED67E5"/>
    <w:rsid w:val="00ED6971"/>
    <w:rsid w:val="00ED6A9A"/>
    <w:rsid w:val="00ED6C06"/>
    <w:rsid w:val="00ED6CB9"/>
    <w:rsid w:val="00ED6DAC"/>
    <w:rsid w:val="00ED704C"/>
    <w:rsid w:val="00ED71B3"/>
    <w:rsid w:val="00ED7299"/>
    <w:rsid w:val="00ED7586"/>
    <w:rsid w:val="00ED786D"/>
    <w:rsid w:val="00ED7963"/>
    <w:rsid w:val="00ED7AE2"/>
    <w:rsid w:val="00ED7B1D"/>
    <w:rsid w:val="00ED7BCC"/>
    <w:rsid w:val="00ED7F99"/>
    <w:rsid w:val="00EE054B"/>
    <w:rsid w:val="00EE0746"/>
    <w:rsid w:val="00EE0960"/>
    <w:rsid w:val="00EE0D39"/>
    <w:rsid w:val="00EE0F68"/>
    <w:rsid w:val="00EE0FBB"/>
    <w:rsid w:val="00EE1162"/>
    <w:rsid w:val="00EE1174"/>
    <w:rsid w:val="00EE12AF"/>
    <w:rsid w:val="00EE19B9"/>
    <w:rsid w:val="00EE1AC3"/>
    <w:rsid w:val="00EE1FB3"/>
    <w:rsid w:val="00EE2183"/>
    <w:rsid w:val="00EE23C2"/>
    <w:rsid w:val="00EE244F"/>
    <w:rsid w:val="00EE24A4"/>
    <w:rsid w:val="00EE24B9"/>
    <w:rsid w:val="00EE259C"/>
    <w:rsid w:val="00EE291E"/>
    <w:rsid w:val="00EE292A"/>
    <w:rsid w:val="00EE29AB"/>
    <w:rsid w:val="00EE29DF"/>
    <w:rsid w:val="00EE29EE"/>
    <w:rsid w:val="00EE2BD4"/>
    <w:rsid w:val="00EE3114"/>
    <w:rsid w:val="00EE3219"/>
    <w:rsid w:val="00EE3266"/>
    <w:rsid w:val="00EE3314"/>
    <w:rsid w:val="00EE36B9"/>
    <w:rsid w:val="00EE36E3"/>
    <w:rsid w:val="00EE3A7A"/>
    <w:rsid w:val="00EE3BE3"/>
    <w:rsid w:val="00EE3C16"/>
    <w:rsid w:val="00EE3E23"/>
    <w:rsid w:val="00EE406F"/>
    <w:rsid w:val="00EE4123"/>
    <w:rsid w:val="00EE43B4"/>
    <w:rsid w:val="00EE4910"/>
    <w:rsid w:val="00EE4AB6"/>
    <w:rsid w:val="00EE4DBA"/>
    <w:rsid w:val="00EE4E14"/>
    <w:rsid w:val="00EE5798"/>
    <w:rsid w:val="00EE57BC"/>
    <w:rsid w:val="00EE5848"/>
    <w:rsid w:val="00EE591B"/>
    <w:rsid w:val="00EE595F"/>
    <w:rsid w:val="00EE5B32"/>
    <w:rsid w:val="00EE5E0B"/>
    <w:rsid w:val="00EE61C9"/>
    <w:rsid w:val="00EE6238"/>
    <w:rsid w:val="00EE6269"/>
    <w:rsid w:val="00EE6583"/>
    <w:rsid w:val="00EE67EA"/>
    <w:rsid w:val="00EE6A9D"/>
    <w:rsid w:val="00EE6BE2"/>
    <w:rsid w:val="00EE6C5A"/>
    <w:rsid w:val="00EE6DBF"/>
    <w:rsid w:val="00EE7151"/>
    <w:rsid w:val="00EE775D"/>
    <w:rsid w:val="00EE77DA"/>
    <w:rsid w:val="00EE7A4F"/>
    <w:rsid w:val="00EE7BF3"/>
    <w:rsid w:val="00EE7D41"/>
    <w:rsid w:val="00EE7D60"/>
    <w:rsid w:val="00EF0027"/>
    <w:rsid w:val="00EF003B"/>
    <w:rsid w:val="00EF03F2"/>
    <w:rsid w:val="00EF0437"/>
    <w:rsid w:val="00EF07CF"/>
    <w:rsid w:val="00EF0836"/>
    <w:rsid w:val="00EF0883"/>
    <w:rsid w:val="00EF0A0F"/>
    <w:rsid w:val="00EF0A66"/>
    <w:rsid w:val="00EF0DB9"/>
    <w:rsid w:val="00EF0DD9"/>
    <w:rsid w:val="00EF0DEF"/>
    <w:rsid w:val="00EF0DFE"/>
    <w:rsid w:val="00EF11A7"/>
    <w:rsid w:val="00EF1238"/>
    <w:rsid w:val="00EF139A"/>
    <w:rsid w:val="00EF1619"/>
    <w:rsid w:val="00EF16ED"/>
    <w:rsid w:val="00EF17C9"/>
    <w:rsid w:val="00EF19A8"/>
    <w:rsid w:val="00EF19EC"/>
    <w:rsid w:val="00EF1A90"/>
    <w:rsid w:val="00EF2083"/>
    <w:rsid w:val="00EF2278"/>
    <w:rsid w:val="00EF227B"/>
    <w:rsid w:val="00EF23E2"/>
    <w:rsid w:val="00EF2747"/>
    <w:rsid w:val="00EF287C"/>
    <w:rsid w:val="00EF2AAF"/>
    <w:rsid w:val="00EF2C0A"/>
    <w:rsid w:val="00EF2C63"/>
    <w:rsid w:val="00EF2E87"/>
    <w:rsid w:val="00EF2EA0"/>
    <w:rsid w:val="00EF3030"/>
    <w:rsid w:val="00EF323B"/>
    <w:rsid w:val="00EF33D2"/>
    <w:rsid w:val="00EF35E6"/>
    <w:rsid w:val="00EF3720"/>
    <w:rsid w:val="00EF3C8F"/>
    <w:rsid w:val="00EF409C"/>
    <w:rsid w:val="00EF40E2"/>
    <w:rsid w:val="00EF421A"/>
    <w:rsid w:val="00EF445A"/>
    <w:rsid w:val="00EF4531"/>
    <w:rsid w:val="00EF45BD"/>
    <w:rsid w:val="00EF471D"/>
    <w:rsid w:val="00EF48D3"/>
    <w:rsid w:val="00EF4934"/>
    <w:rsid w:val="00EF4C19"/>
    <w:rsid w:val="00EF4D6F"/>
    <w:rsid w:val="00EF4D9F"/>
    <w:rsid w:val="00EF4F1A"/>
    <w:rsid w:val="00EF5185"/>
    <w:rsid w:val="00EF518F"/>
    <w:rsid w:val="00EF5338"/>
    <w:rsid w:val="00EF53A6"/>
    <w:rsid w:val="00EF53C8"/>
    <w:rsid w:val="00EF56DE"/>
    <w:rsid w:val="00EF57CA"/>
    <w:rsid w:val="00EF5956"/>
    <w:rsid w:val="00EF5D6F"/>
    <w:rsid w:val="00EF5F53"/>
    <w:rsid w:val="00EF6111"/>
    <w:rsid w:val="00EF6322"/>
    <w:rsid w:val="00EF64BD"/>
    <w:rsid w:val="00EF679C"/>
    <w:rsid w:val="00EF68C5"/>
    <w:rsid w:val="00EF6C14"/>
    <w:rsid w:val="00EF6C29"/>
    <w:rsid w:val="00EF6C65"/>
    <w:rsid w:val="00EF6D40"/>
    <w:rsid w:val="00EF70B2"/>
    <w:rsid w:val="00EF70FB"/>
    <w:rsid w:val="00EF745D"/>
    <w:rsid w:val="00EF761D"/>
    <w:rsid w:val="00EF77C3"/>
    <w:rsid w:val="00EF7AFF"/>
    <w:rsid w:val="00EF7B21"/>
    <w:rsid w:val="00EF7D79"/>
    <w:rsid w:val="00EF7D9C"/>
    <w:rsid w:val="00EF7FDA"/>
    <w:rsid w:val="00F0006E"/>
    <w:rsid w:val="00F0030C"/>
    <w:rsid w:val="00F005AD"/>
    <w:rsid w:val="00F007F9"/>
    <w:rsid w:val="00F009CB"/>
    <w:rsid w:val="00F00B11"/>
    <w:rsid w:val="00F00B18"/>
    <w:rsid w:val="00F00B45"/>
    <w:rsid w:val="00F00D55"/>
    <w:rsid w:val="00F00E6A"/>
    <w:rsid w:val="00F01129"/>
    <w:rsid w:val="00F01150"/>
    <w:rsid w:val="00F011C8"/>
    <w:rsid w:val="00F01222"/>
    <w:rsid w:val="00F01541"/>
    <w:rsid w:val="00F01614"/>
    <w:rsid w:val="00F0187F"/>
    <w:rsid w:val="00F01D04"/>
    <w:rsid w:val="00F01DFF"/>
    <w:rsid w:val="00F01E6C"/>
    <w:rsid w:val="00F01FDD"/>
    <w:rsid w:val="00F01FEE"/>
    <w:rsid w:val="00F02072"/>
    <w:rsid w:val="00F02368"/>
    <w:rsid w:val="00F02705"/>
    <w:rsid w:val="00F028C3"/>
    <w:rsid w:val="00F02981"/>
    <w:rsid w:val="00F02997"/>
    <w:rsid w:val="00F0299E"/>
    <w:rsid w:val="00F02C73"/>
    <w:rsid w:val="00F02D17"/>
    <w:rsid w:val="00F02D2E"/>
    <w:rsid w:val="00F02EE8"/>
    <w:rsid w:val="00F031BE"/>
    <w:rsid w:val="00F03531"/>
    <w:rsid w:val="00F035E2"/>
    <w:rsid w:val="00F0380B"/>
    <w:rsid w:val="00F03BC3"/>
    <w:rsid w:val="00F03D0B"/>
    <w:rsid w:val="00F03EA3"/>
    <w:rsid w:val="00F03EF7"/>
    <w:rsid w:val="00F03F09"/>
    <w:rsid w:val="00F03FCC"/>
    <w:rsid w:val="00F042E1"/>
    <w:rsid w:val="00F0432D"/>
    <w:rsid w:val="00F04440"/>
    <w:rsid w:val="00F045D6"/>
    <w:rsid w:val="00F04780"/>
    <w:rsid w:val="00F047DD"/>
    <w:rsid w:val="00F0495B"/>
    <w:rsid w:val="00F04B7C"/>
    <w:rsid w:val="00F04D42"/>
    <w:rsid w:val="00F04ED4"/>
    <w:rsid w:val="00F05089"/>
    <w:rsid w:val="00F051A4"/>
    <w:rsid w:val="00F05298"/>
    <w:rsid w:val="00F052C3"/>
    <w:rsid w:val="00F05460"/>
    <w:rsid w:val="00F05C38"/>
    <w:rsid w:val="00F06066"/>
    <w:rsid w:val="00F06067"/>
    <w:rsid w:val="00F060F9"/>
    <w:rsid w:val="00F0627A"/>
    <w:rsid w:val="00F06DB7"/>
    <w:rsid w:val="00F070E5"/>
    <w:rsid w:val="00F07301"/>
    <w:rsid w:val="00F07798"/>
    <w:rsid w:val="00F07BF4"/>
    <w:rsid w:val="00F07F6E"/>
    <w:rsid w:val="00F100F4"/>
    <w:rsid w:val="00F102BC"/>
    <w:rsid w:val="00F10683"/>
    <w:rsid w:val="00F106CC"/>
    <w:rsid w:val="00F107C7"/>
    <w:rsid w:val="00F10BA1"/>
    <w:rsid w:val="00F10F2D"/>
    <w:rsid w:val="00F110BD"/>
    <w:rsid w:val="00F113FA"/>
    <w:rsid w:val="00F11468"/>
    <w:rsid w:val="00F11627"/>
    <w:rsid w:val="00F1187D"/>
    <w:rsid w:val="00F11A00"/>
    <w:rsid w:val="00F11C18"/>
    <w:rsid w:val="00F11DE6"/>
    <w:rsid w:val="00F1235A"/>
    <w:rsid w:val="00F12418"/>
    <w:rsid w:val="00F124EB"/>
    <w:rsid w:val="00F126AD"/>
    <w:rsid w:val="00F128DA"/>
    <w:rsid w:val="00F12966"/>
    <w:rsid w:val="00F12DC2"/>
    <w:rsid w:val="00F130A8"/>
    <w:rsid w:val="00F13536"/>
    <w:rsid w:val="00F136DD"/>
    <w:rsid w:val="00F1377F"/>
    <w:rsid w:val="00F1382A"/>
    <w:rsid w:val="00F13993"/>
    <w:rsid w:val="00F13A2D"/>
    <w:rsid w:val="00F13B15"/>
    <w:rsid w:val="00F13BD7"/>
    <w:rsid w:val="00F13C57"/>
    <w:rsid w:val="00F13E3B"/>
    <w:rsid w:val="00F13F0A"/>
    <w:rsid w:val="00F13FCC"/>
    <w:rsid w:val="00F14052"/>
    <w:rsid w:val="00F1422A"/>
    <w:rsid w:val="00F1438A"/>
    <w:rsid w:val="00F145D2"/>
    <w:rsid w:val="00F145F5"/>
    <w:rsid w:val="00F147DE"/>
    <w:rsid w:val="00F14955"/>
    <w:rsid w:val="00F14B6F"/>
    <w:rsid w:val="00F14BB1"/>
    <w:rsid w:val="00F14BF3"/>
    <w:rsid w:val="00F14ED7"/>
    <w:rsid w:val="00F14F69"/>
    <w:rsid w:val="00F15079"/>
    <w:rsid w:val="00F1517A"/>
    <w:rsid w:val="00F151C1"/>
    <w:rsid w:val="00F15427"/>
    <w:rsid w:val="00F15496"/>
    <w:rsid w:val="00F154BA"/>
    <w:rsid w:val="00F156F1"/>
    <w:rsid w:val="00F15902"/>
    <w:rsid w:val="00F15B51"/>
    <w:rsid w:val="00F15C56"/>
    <w:rsid w:val="00F15DCB"/>
    <w:rsid w:val="00F15E32"/>
    <w:rsid w:val="00F1634F"/>
    <w:rsid w:val="00F16356"/>
    <w:rsid w:val="00F1648D"/>
    <w:rsid w:val="00F16539"/>
    <w:rsid w:val="00F16986"/>
    <w:rsid w:val="00F16A57"/>
    <w:rsid w:val="00F16DB0"/>
    <w:rsid w:val="00F16E60"/>
    <w:rsid w:val="00F16E6A"/>
    <w:rsid w:val="00F16EBA"/>
    <w:rsid w:val="00F17109"/>
    <w:rsid w:val="00F17110"/>
    <w:rsid w:val="00F1713F"/>
    <w:rsid w:val="00F172EA"/>
    <w:rsid w:val="00F1731E"/>
    <w:rsid w:val="00F17A28"/>
    <w:rsid w:val="00F17C51"/>
    <w:rsid w:val="00F17EDE"/>
    <w:rsid w:val="00F203BA"/>
    <w:rsid w:val="00F20585"/>
    <w:rsid w:val="00F20695"/>
    <w:rsid w:val="00F20A10"/>
    <w:rsid w:val="00F20E1E"/>
    <w:rsid w:val="00F21052"/>
    <w:rsid w:val="00F2133C"/>
    <w:rsid w:val="00F213B3"/>
    <w:rsid w:val="00F21AE7"/>
    <w:rsid w:val="00F21C1E"/>
    <w:rsid w:val="00F21C4C"/>
    <w:rsid w:val="00F21C99"/>
    <w:rsid w:val="00F22353"/>
    <w:rsid w:val="00F2267F"/>
    <w:rsid w:val="00F227EA"/>
    <w:rsid w:val="00F228FF"/>
    <w:rsid w:val="00F22922"/>
    <w:rsid w:val="00F22926"/>
    <w:rsid w:val="00F22972"/>
    <w:rsid w:val="00F229B1"/>
    <w:rsid w:val="00F22BD3"/>
    <w:rsid w:val="00F22CB1"/>
    <w:rsid w:val="00F22F42"/>
    <w:rsid w:val="00F23073"/>
    <w:rsid w:val="00F231AF"/>
    <w:rsid w:val="00F23250"/>
    <w:rsid w:val="00F235EA"/>
    <w:rsid w:val="00F237E0"/>
    <w:rsid w:val="00F23AE4"/>
    <w:rsid w:val="00F23AE6"/>
    <w:rsid w:val="00F23AF3"/>
    <w:rsid w:val="00F23DE3"/>
    <w:rsid w:val="00F23E57"/>
    <w:rsid w:val="00F23F51"/>
    <w:rsid w:val="00F23FC9"/>
    <w:rsid w:val="00F240EB"/>
    <w:rsid w:val="00F240FD"/>
    <w:rsid w:val="00F2410B"/>
    <w:rsid w:val="00F2412D"/>
    <w:rsid w:val="00F244DB"/>
    <w:rsid w:val="00F2456D"/>
    <w:rsid w:val="00F2497D"/>
    <w:rsid w:val="00F249AB"/>
    <w:rsid w:val="00F24A1E"/>
    <w:rsid w:val="00F24AD4"/>
    <w:rsid w:val="00F24CAE"/>
    <w:rsid w:val="00F24EBC"/>
    <w:rsid w:val="00F24FD1"/>
    <w:rsid w:val="00F24FE8"/>
    <w:rsid w:val="00F254D6"/>
    <w:rsid w:val="00F25540"/>
    <w:rsid w:val="00F2561C"/>
    <w:rsid w:val="00F258B5"/>
    <w:rsid w:val="00F259BE"/>
    <w:rsid w:val="00F25B2D"/>
    <w:rsid w:val="00F25B88"/>
    <w:rsid w:val="00F25D05"/>
    <w:rsid w:val="00F25D06"/>
    <w:rsid w:val="00F25F6C"/>
    <w:rsid w:val="00F26571"/>
    <w:rsid w:val="00F26657"/>
    <w:rsid w:val="00F26791"/>
    <w:rsid w:val="00F26ABA"/>
    <w:rsid w:val="00F26ADD"/>
    <w:rsid w:val="00F26B74"/>
    <w:rsid w:val="00F26BD9"/>
    <w:rsid w:val="00F26C9D"/>
    <w:rsid w:val="00F26CBA"/>
    <w:rsid w:val="00F26CD6"/>
    <w:rsid w:val="00F26D81"/>
    <w:rsid w:val="00F26DDD"/>
    <w:rsid w:val="00F26F90"/>
    <w:rsid w:val="00F27128"/>
    <w:rsid w:val="00F272F5"/>
    <w:rsid w:val="00F2737C"/>
    <w:rsid w:val="00F27B24"/>
    <w:rsid w:val="00F27B8D"/>
    <w:rsid w:val="00F27CD8"/>
    <w:rsid w:val="00F27E08"/>
    <w:rsid w:val="00F3006D"/>
    <w:rsid w:val="00F301B1"/>
    <w:rsid w:val="00F301E8"/>
    <w:rsid w:val="00F3045C"/>
    <w:rsid w:val="00F3060A"/>
    <w:rsid w:val="00F306FC"/>
    <w:rsid w:val="00F308A2"/>
    <w:rsid w:val="00F308BD"/>
    <w:rsid w:val="00F30AE8"/>
    <w:rsid w:val="00F30CD0"/>
    <w:rsid w:val="00F30FBA"/>
    <w:rsid w:val="00F3128E"/>
    <w:rsid w:val="00F313CB"/>
    <w:rsid w:val="00F3163E"/>
    <w:rsid w:val="00F32203"/>
    <w:rsid w:val="00F32477"/>
    <w:rsid w:val="00F326FB"/>
    <w:rsid w:val="00F32998"/>
    <w:rsid w:val="00F32FCF"/>
    <w:rsid w:val="00F330FE"/>
    <w:rsid w:val="00F33416"/>
    <w:rsid w:val="00F33439"/>
    <w:rsid w:val="00F335C4"/>
    <w:rsid w:val="00F33683"/>
    <w:rsid w:val="00F33AE8"/>
    <w:rsid w:val="00F33C4F"/>
    <w:rsid w:val="00F340BE"/>
    <w:rsid w:val="00F345D3"/>
    <w:rsid w:val="00F346B3"/>
    <w:rsid w:val="00F347A9"/>
    <w:rsid w:val="00F348DD"/>
    <w:rsid w:val="00F34A8E"/>
    <w:rsid w:val="00F34C5E"/>
    <w:rsid w:val="00F34D60"/>
    <w:rsid w:val="00F34E85"/>
    <w:rsid w:val="00F34F2F"/>
    <w:rsid w:val="00F34FA0"/>
    <w:rsid w:val="00F34FA8"/>
    <w:rsid w:val="00F35099"/>
    <w:rsid w:val="00F3522D"/>
    <w:rsid w:val="00F354E2"/>
    <w:rsid w:val="00F35705"/>
    <w:rsid w:val="00F35895"/>
    <w:rsid w:val="00F359B1"/>
    <w:rsid w:val="00F35A4F"/>
    <w:rsid w:val="00F35B00"/>
    <w:rsid w:val="00F35D83"/>
    <w:rsid w:val="00F35DDE"/>
    <w:rsid w:val="00F35F51"/>
    <w:rsid w:val="00F36732"/>
    <w:rsid w:val="00F36CCF"/>
    <w:rsid w:val="00F36FDA"/>
    <w:rsid w:val="00F374C3"/>
    <w:rsid w:val="00F37820"/>
    <w:rsid w:val="00F378C8"/>
    <w:rsid w:val="00F37A3D"/>
    <w:rsid w:val="00F37A53"/>
    <w:rsid w:val="00F37CDD"/>
    <w:rsid w:val="00F400D4"/>
    <w:rsid w:val="00F40384"/>
    <w:rsid w:val="00F4043B"/>
    <w:rsid w:val="00F4069D"/>
    <w:rsid w:val="00F4069F"/>
    <w:rsid w:val="00F406C3"/>
    <w:rsid w:val="00F40BBC"/>
    <w:rsid w:val="00F40F8A"/>
    <w:rsid w:val="00F40FE4"/>
    <w:rsid w:val="00F41055"/>
    <w:rsid w:val="00F41140"/>
    <w:rsid w:val="00F412C8"/>
    <w:rsid w:val="00F414A0"/>
    <w:rsid w:val="00F414EE"/>
    <w:rsid w:val="00F41514"/>
    <w:rsid w:val="00F41584"/>
    <w:rsid w:val="00F4162C"/>
    <w:rsid w:val="00F41676"/>
    <w:rsid w:val="00F416C1"/>
    <w:rsid w:val="00F4186E"/>
    <w:rsid w:val="00F4190D"/>
    <w:rsid w:val="00F41AB6"/>
    <w:rsid w:val="00F41F44"/>
    <w:rsid w:val="00F42261"/>
    <w:rsid w:val="00F42345"/>
    <w:rsid w:val="00F424B0"/>
    <w:rsid w:val="00F424B7"/>
    <w:rsid w:val="00F4260C"/>
    <w:rsid w:val="00F427A6"/>
    <w:rsid w:val="00F428F3"/>
    <w:rsid w:val="00F4297F"/>
    <w:rsid w:val="00F42CD2"/>
    <w:rsid w:val="00F42E45"/>
    <w:rsid w:val="00F4309A"/>
    <w:rsid w:val="00F431E0"/>
    <w:rsid w:val="00F43222"/>
    <w:rsid w:val="00F4331E"/>
    <w:rsid w:val="00F43686"/>
    <w:rsid w:val="00F4377E"/>
    <w:rsid w:val="00F43892"/>
    <w:rsid w:val="00F43AA9"/>
    <w:rsid w:val="00F43BC4"/>
    <w:rsid w:val="00F43C6F"/>
    <w:rsid w:val="00F44075"/>
    <w:rsid w:val="00F4418C"/>
    <w:rsid w:val="00F442A3"/>
    <w:rsid w:val="00F4447E"/>
    <w:rsid w:val="00F4485B"/>
    <w:rsid w:val="00F448CC"/>
    <w:rsid w:val="00F44A85"/>
    <w:rsid w:val="00F44C32"/>
    <w:rsid w:val="00F45465"/>
    <w:rsid w:val="00F45660"/>
    <w:rsid w:val="00F456D2"/>
    <w:rsid w:val="00F457DF"/>
    <w:rsid w:val="00F458BC"/>
    <w:rsid w:val="00F458FC"/>
    <w:rsid w:val="00F45997"/>
    <w:rsid w:val="00F45B39"/>
    <w:rsid w:val="00F45C3E"/>
    <w:rsid w:val="00F45D03"/>
    <w:rsid w:val="00F45E89"/>
    <w:rsid w:val="00F46199"/>
    <w:rsid w:val="00F46204"/>
    <w:rsid w:val="00F46512"/>
    <w:rsid w:val="00F4653D"/>
    <w:rsid w:val="00F46962"/>
    <w:rsid w:val="00F469E2"/>
    <w:rsid w:val="00F46B8B"/>
    <w:rsid w:val="00F46DC6"/>
    <w:rsid w:val="00F47104"/>
    <w:rsid w:val="00F473D0"/>
    <w:rsid w:val="00F4745F"/>
    <w:rsid w:val="00F4759E"/>
    <w:rsid w:val="00F47866"/>
    <w:rsid w:val="00F47907"/>
    <w:rsid w:val="00F47B38"/>
    <w:rsid w:val="00F500B3"/>
    <w:rsid w:val="00F503A5"/>
    <w:rsid w:val="00F50401"/>
    <w:rsid w:val="00F50796"/>
    <w:rsid w:val="00F50859"/>
    <w:rsid w:val="00F50A25"/>
    <w:rsid w:val="00F50A3C"/>
    <w:rsid w:val="00F50EC5"/>
    <w:rsid w:val="00F511A5"/>
    <w:rsid w:val="00F514FA"/>
    <w:rsid w:val="00F5168F"/>
    <w:rsid w:val="00F517D7"/>
    <w:rsid w:val="00F51821"/>
    <w:rsid w:val="00F51929"/>
    <w:rsid w:val="00F5195A"/>
    <w:rsid w:val="00F51A1F"/>
    <w:rsid w:val="00F51B36"/>
    <w:rsid w:val="00F51D78"/>
    <w:rsid w:val="00F51E89"/>
    <w:rsid w:val="00F51ED0"/>
    <w:rsid w:val="00F521E6"/>
    <w:rsid w:val="00F52542"/>
    <w:rsid w:val="00F52781"/>
    <w:rsid w:val="00F52798"/>
    <w:rsid w:val="00F527E1"/>
    <w:rsid w:val="00F52803"/>
    <w:rsid w:val="00F52BD5"/>
    <w:rsid w:val="00F52CA2"/>
    <w:rsid w:val="00F53179"/>
    <w:rsid w:val="00F5322C"/>
    <w:rsid w:val="00F5325E"/>
    <w:rsid w:val="00F53A5D"/>
    <w:rsid w:val="00F53AB5"/>
    <w:rsid w:val="00F53B1D"/>
    <w:rsid w:val="00F541DD"/>
    <w:rsid w:val="00F5435D"/>
    <w:rsid w:val="00F54865"/>
    <w:rsid w:val="00F54934"/>
    <w:rsid w:val="00F54B77"/>
    <w:rsid w:val="00F54BC4"/>
    <w:rsid w:val="00F54CF1"/>
    <w:rsid w:val="00F54DD9"/>
    <w:rsid w:val="00F5549E"/>
    <w:rsid w:val="00F5571D"/>
    <w:rsid w:val="00F55733"/>
    <w:rsid w:val="00F559A5"/>
    <w:rsid w:val="00F55A15"/>
    <w:rsid w:val="00F55BC6"/>
    <w:rsid w:val="00F55F24"/>
    <w:rsid w:val="00F56183"/>
    <w:rsid w:val="00F568B2"/>
    <w:rsid w:val="00F56A08"/>
    <w:rsid w:val="00F56A91"/>
    <w:rsid w:val="00F56B1F"/>
    <w:rsid w:val="00F56D3A"/>
    <w:rsid w:val="00F56E57"/>
    <w:rsid w:val="00F5721D"/>
    <w:rsid w:val="00F57341"/>
    <w:rsid w:val="00F57A79"/>
    <w:rsid w:val="00F57B18"/>
    <w:rsid w:val="00F57B62"/>
    <w:rsid w:val="00F57CFA"/>
    <w:rsid w:val="00F57E11"/>
    <w:rsid w:val="00F57E84"/>
    <w:rsid w:val="00F57F15"/>
    <w:rsid w:val="00F57FD3"/>
    <w:rsid w:val="00F6004F"/>
    <w:rsid w:val="00F605A6"/>
    <w:rsid w:val="00F60752"/>
    <w:rsid w:val="00F60892"/>
    <w:rsid w:val="00F60A9F"/>
    <w:rsid w:val="00F60B6C"/>
    <w:rsid w:val="00F60D6C"/>
    <w:rsid w:val="00F60D96"/>
    <w:rsid w:val="00F60F60"/>
    <w:rsid w:val="00F610B8"/>
    <w:rsid w:val="00F612BC"/>
    <w:rsid w:val="00F61338"/>
    <w:rsid w:val="00F613C7"/>
    <w:rsid w:val="00F6148B"/>
    <w:rsid w:val="00F61561"/>
    <w:rsid w:val="00F61650"/>
    <w:rsid w:val="00F6168C"/>
    <w:rsid w:val="00F61CBB"/>
    <w:rsid w:val="00F61D38"/>
    <w:rsid w:val="00F61E29"/>
    <w:rsid w:val="00F61E80"/>
    <w:rsid w:val="00F61E98"/>
    <w:rsid w:val="00F6227A"/>
    <w:rsid w:val="00F62426"/>
    <w:rsid w:val="00F624A5"/>
    <w:rsid w:val="00F625D2"/>
    <w:rsid w:val="00F62641"/>
    <w:rsid w:val="00F627C2"/>
    <w:rsid w:val="00F62A4B"/>
    <w:rsid w:val="00F62BD5"/>
    <w:rsid w:val="00F62E93"/>
    <w:rsid w:val="00F63191"/>
    <w:rsid w:val="00F63425"/>
    <w:rsid w:val="00F63969"/>
    <w:rsid w:val="00F6400A"/>
    <w:rsid w:val="00F6404A"/>
    <w:rsid w:val="00F64063"/>
    <w:rsid w:val="00F64318"/>
    <w:rsid w:val="00F644F3"/>
    <w:rsid w:val="00F6457A"/>
    <w:rsid w:val="00F649B7"/>
    <w:rsid w:val="00F64A55"/>
    <w:rsid w:val="00F64BAD"/>
    <w:rsid w:val="00F64C81"/>
    <w:rsid w:val="00F64D2B"/>
    <w:rsid w:val="00F64DB7"/>
    <w:rsid w:val="00F6518B"/>
    <w:rsid w:val="00F65196"/>
    <w:rsid w:val="00F651CA"/>
    <w:rsid w:val="00F654A8"/>
    <w:rsid w:val="00F655C3"/>
    <w:rsid w:val="00F65884"/>
    <w:rsid w:val="00F65972"/>
    <w:rsid w:val="00F65BAD"/>
    <w:rsid w:val="00F65EB8"/>
    <w:rsid w:val="00F6615A"/>
    <w:rsid w:val="00F66367"/>
    <w:rsid w:val="00F66379"/>
    <w:rsid w:val="00F66692"/>
    <w:rsid w:val="00F66728"/>
    <w:rsid w:val="00F667F3"/>
    <w:rsid w:val="00F66AFA"/>
    <w:rsid w:val="00F66E7E"/>
    <w:rsid w:val="00F66F15"/>
    <w:rsid w:val="00F66FD6"/>
    <w:rsid w:val="00F67096"/>
    <w:rsid w:val="00F670C3"/>
    <w:rsid w:val="00F67261"/>
    <w:rsid w:val="00F673A1"/>
    <w:rsid w:val="00F67456"/>
    <w:rsid w:val="00F674A0"/>
    <w:rsid w:val="00F67577"/>
    <w:rsid w:val="00F676CF"/>
    <w:rsid w:val="00F676E9"/>
    <w:rsid w:val="00F67923"/>
    <w:rsid w:val="00F67991"/>
    <w:rsid w:val="00F67F29"/>
    <w:rsid w:val="00F702E7"/>
    <w:rsid w:val="00F70498"/>
    <w:rsid w:val="00F712A3"/>
    <w:rsid w:val="00F71481"/>
    <w:rsid w:val="00F71F13"/>
    <w:rsid w:val="00F71FF6"/>
    <w:rsid w:val="00F720DA"/>
    <w:rsid w:val="00F7213E"/>
    <w:rsid w:val="00F722B7"/>
    <w:rsid w:val="00F7230B"/>
    <w:rsid w:val="00F7237F"/>
    <w:rsid w:val="00F725D1"/>
    <w:rsid w:val="00F727CD"/>
    <w:rsid w:val="00F727F1"/>
    <w:rsid w:val="00F728A3"/>
    <w:rsid w:val="00F729CE"/>
    <w:rsid w:val="00F72DAC"/>
    <w:rsid w:val="00F73000"/>
    <w:rsid w:val="00F73164"/>
    <w:rsid w:val="00F7316E"/>
    <w:rsid w:val="00F73176"/>
    <w:rsid w:val="00F7324E"/>
    <w:rsid w:val="00F733C4"/>
    <w:rsid w:val="00F73503"/>
    <w:rsid w:val="00F7358F"/>
    <w:rsid w:val="00F73594"/>
    <w:rsid w:val="00F73864"/>
    <w:rsid w:val="00F73CAD"/>
    <w:rsid w:val="00F73F57"/>
    <w:rsid w:val="00F74047"/>
    <w:rsid w:val="00F741F5"/>
    <w:rsid w:val="00F7470E"/>
    <w:rsid w:val="00F74745"/>
    <w:rsid w:val="00F74C56"/>
    <w:rsid w:val="00F74F90"/>
    <w:rsid w:val="00F75067"/>
    <w:rsid w:val="00F754A6"/>
    <w:rsid w:val="00F754E3"/>
    <w:rsid w:val="00F75862"/>
    <w:rsid w:val="00F759B7"/>
    <w:rsid w:val="00F75ABC"/>
    <w:rsid w:val="00F75E10"/>
    <w:rsid w:val="00F75FEF"/>
    <w:rsid w:val="00F7612C"/>
    <w:rsid w:val="00F761D9"/>
    <w:rsid w:val="00F7659C"/>
    <w:rsid w:val="00F766E3"/>
    <w:rsid w:val="00F7686F"/>
    <w:rsid w:val="00F76911"/>
    <w:rsid w:val="00F769F1"/>
    <w:rsid w:val="00F76EA7"/>
    <w:rsid w:val="00F7720A"/>
    <w:rsid w:val="00F7738F"/>
    <w:rsid w:val="00F77695"/>
    <w:rsid w:val="00F777D0"/>
    <w:rsid w:val="00F77828"/>
    <w:rsid w:val="00F77C9B"/>
    <w:rsid w:val="00F801D7"/>
    <w:rsid w:val="00F804DF"/>
    <w:rsid w:val="00F805B5"/>
    <w:rsid w:val="00F80668"/>
    <w:rsid w:val="00F807E7"/>
    <w:rsid w:val="00F80EE7"/>
    <w:rsid w:val="00F8103E"/>
    <w:rsid w:val="00F81126"/>
    <w:rsid w:val="00F812EB"/>
    <w:rsid w:val="00F8136E"/>
    <w:rsid w:val="00F8152D"/>
    <w:rsid w:val="00F819D4"/>
    <w:rsid w:val="00F81A5B"/>
    <w:rsid w:val="00F81C62"/>
    <w:rsid w:val="00F81F5D"/>
    <w:rsid w:val="00F8224E"/>
    <w:rsid w:val="00F82446"/>
    <w:rsid w:val="00F826B1"/>
    <w:rsid w:val="00F826B2"/>
    <w:rsid w:val="00F82796"/>
    <w:rsid w:val="00F827DA"/>
    <w:rsid w:val="00F8280C"/>
    <w:rsid w:val="00F82E3B"/>
    <w:rsid w:val="00F83185"/>
    <w:rsid w:val="00F83327"/>
    <w:rsid w:val="00F833E5"/>
    <w:rsid w:val="00F83486"/>
    <w:rsid w:val="00F835C2"/>
    <w:rsid w:val="00F838CF"/>
    <w:rsid w:val="00F83975"/>
    <w:rsid w:val="00F84227"/>
    <w:rsid w:val="00F842DD"/>
    <w:rsid w:val="00F843B6"/>
    <w:rsid w:val="00F847E0"/>
    <w:rsid w:val="00F84C10"/>
    <w:rsid w:val="00F84C1E"/>
    <w:rsid w:val="00F85005"/>
    <w:rsid w:val="00F85180"/>
    <w:rsid w:val="00F85405"/>
    <w:rsid w:val="00F8549F"/>
    <w:rsid w:val="00F85600"/>
    <w:rsid w:val="00F85632"/>
    <w:rsid w:val="00F857D4"/>
    <w:rsid w:val="00F85901"/>
    <w:rsid w:val="00F8598F"/>
    <w:rsid w:val="00F85DCE"/>
    <w:rsid w:val="00F85F2E"/>
    <w:rsid w:val="00F85FB0"/>
    <w:rsid w:val="00F86265"/>
    <w:rsid w:val="00F86455"/>
    <w:rsid w:val="00F865C4"/>
    <w:rsid w:val="00F86805"/>
    <w:rsid w:val="00F8691B"/>
    <w:rsid w:val="00F86BB3"/>
    <w:rsid w:val="00F86BD4"/>
    <w:rsid w:val="00F86F70"/>
    <w:rsid w:val="00F873A5"/>
    <w:rsid w:val="00F87453"/>
    <w:rsid w:val="00F876C0"/>
    <w:rsid w:val="00F87B3E"/>
    <w:rsid w:val="00F87BC0"/>
    <w:rsid w:val="00F87C65"/>
    <w:rsid w:val="00F90447"/>
    <w:rsid w:val="00F90649"/>
    <w:rsid w:val="00F9066C"/>
    <w:rsid w:val="00F9087A"/>
    <w:rsid w:val="00F9087E"/>
    <w:rsid w:val="00F908D7"/>
    <w:rsid w:val="00F90A14"/>
    <w:rsid w:val="00F90F15"/>
    <w:rsid w:val="00F91059"/>
    <w:rsid w:val="00F91615"/>
    <w:rsid w:val="00F91926"/>
    <w:rsid w:val="00F91B8B"/>
    <w:rsid w:val="00F91E07"/>
    <w:rsid w:val="00F91F5E"/>
    <w:rsid w:val="00F91FD2"/>
    <w:rsid w:val="00F9202E"/>
    <w:rsid w:val="00F9227C"/>
    <w:rsid w:val="00F924C3"/>
    <w:rsid w:val="00F92554"/>
    <w:rsid w:val="00F925E1"/>
    <w:rsid w:val="00F926F5"/>
    <w:rsid w:val="00F926FF"/>
    <w:rsid w:val="00F92793"/>
    <w:rsid w:val="00F9282B"/>
    <w:rsid w:val="00F92911"/>
    <w:rsid w:val="00F92925"/>
    <w:rsid w:val="00F92B9F"/>
    <w:rsid w:val="00F930EA"/>
    <w:rsid w:val="00F93269"/>
    <w:rsid w:val="00F93550"/>
    <w:rsid w:val="00F93621"/>
    <w:rsid w:val="00F937E7"/>
    <w:rsid w:val="00F93C8E"/>
    <w:rsid w:val="00F93E0D"/>
    <w:rsid w:val="00F94008"/>
    <w:rsid w:val="00F9405D"/>
    <w:rsid w:val="00F9423C"/>
    <w:rsid w:val="00F944C8"/>
    <w:rsid w:val="00F94598"/>
    <w:rsid w:val="00F946DA"/>
    <w:rsid w:val="00F9490C"/>
    <w:rsid w:val="00F94A4E"/>
    <w:rsid w:val="00F94A8E"/>
    <w:rsid w:val="00F94C09"/>
    <w:rsid w:val="00F94E3F"/>
    <w:rsid w:val="00F95052"/>
    <w:rsid w:val="00F9508B"/>
    <w:rsid w:val="00F952CA"/>
    <w:rsid w:val="00F95B17"/>
    <w:rsid w:val="00F95BAA"/>
    <w:rsid w:val="00F95CE4"/>
    <w:rsid w:val="00F95DC6"/>
    <w:rsid w:val="00F95DC8"/>
    <w:rsid w:val="00F95E72"/>
    <w:rsid w:val="00F95EF2"/>
    <w:rsid w:val="00F96024"/>
    <w:rsid w:val="00F963C7"/>
    <w:rsid w:val="00F963C8"/>
    <w:rsid w:val="00F963D6"/>
    <w:rsid w:val="00F96482"/>
    <w:rsid w:val="00F9667F"/>
    <w:rsid w:val="00F96688"/>
    <w:rsid w:val="00F967CC"/>
    <w:rsid w:val="00F96858"/>
    <w:rsid w:val="00F96B74"/>
    <w:rsid w:val="00F96D8E"/>
    <w:rsid w:val="00F974CD"/>
    <w:rsid w:val="00F97629"/>
    <w:rsid w:val="00F97B1E"/>
    <w:rsid w:val="00FA043A"/>
    <w:rsid w:val="00FA04F7"/>
    <w:rsid w:val="00FA0665"/>
    <w:rsid w:val="00FA07DF"/>
    <w:rsid w:val="00FA0907"/>
    <w:rsid w:val="00FA09A2"/>
    <w:rsid w:val="00FA0CC2"/>
    <w:rsid w:val="00FA0D4A"/>
    <w:rsid w:val="00FA0E71"/>
    <w:rsid w:val="00FA10D2"/>
    <w:rsid w:val="00FA10E3"/>
    <w:rsid w:val="00FA118F"/>
    <w:rsid w:val="00FA1210"/>
    <w:rsid w:val="00FA14A7"/>
    <w:rsid w:val="00FA1955"/>
    <w:rsid w:val="00FA1FE3"/>
    <w:rsid w:val="00FA2170"/>
    <w:rsid w:val="00FA21C9"/>
    <w:rsid w:val="00FA23E9"/>
    <w:rsid w:val="00FA2472"/>
    <w:rsid w:val="00FA24BE"/>
    <w:rsid w:val="00FA2600"/>
    <w:rsid w:val="00FA2855"/>
    <w:rsid w:val="00FA2D8E"/>
    <w:rsid w:val="00FA3097"/>
    <w:rsid w:val="00FA3258"/>
    <w:rsid w:val="00FA3587"/>
    <w:rsid w:val="00FA3828"/>
    <w:rsid w:val="00FA3991"/>
    <w:rsid w:val="00FA3A7B"/>
    <w:rsid w:val="00FA3F0D"/>
    <w:rsid w:val="00FA3FA6"/>
    <w:rsid w:val="00FA3FE6"/>
    <w:rsid w:val="00FA40B9"/>
    <w:rsid w:val="00FA416C"/>
    <w:rsid w:val="00FA4364"/>
    <w:rsid w:val="00FA4473"/>
    <w:rsid w:val="00FA4493"/>
    <w:rsid w:val="00FA4705"/>
    <w:rsid w:val="00FA4714"/>
    <w:rsid w:val="00FA475A"/>
    <w:rsid w:val="00FA4875"/>
    <w:rsid w:val="00FA4A29"/>
    <w:rsid w:val="00FA4A80"/>
    <w:rsid w:val="00FA5034"/>
    <w:rsid w:val="00FA51FE"/>
    <w:rsid w:val="00FA55D3"/>
    <w:rsid w:val="00FA567B"/>
    <w:rsid w:val="00FA576E"/>
    <w:rsid w:val="00FA57D1"/>
    <w:rsid w:val="00FA5B9B"/>
    <w:rsid w:val="00FA5C8C"/>
    <w:rsid w:val="00FA5CFA"/>
    <w:rsid w:val="00FA5D24"/>
    <w:rsid w:val="00FA5DD0"/>
    <w:rsid w:val="00FA614C"/>
    <w:rsid w:val="00FA6435"/>
    <w:rsid w:val="00FA6658"/>
    <w:rsid w:val="00FA684D"/>
    <w:rsid w:val="00FA6860"/>
    <w:rsid w:val="00FA68B0"/>
    <w:rsid w:val="00FA6AF1"/>
    <w:rsid w:val="00FA6BD6"/>
    <w:rsid w:val="00FA6C27"/>
    <w:rsid w:val="00FA6CE6"/>
    <w:rsid w:val="00FA6DBC"/>
    <w:rsid w:val="00FA6DE6"/>
    <w:rsid w:val="00FA7109"/>
    <w:rsid w:val="00FA75AE"/>
    <w:rsid w:val="00FA7902"/>
    <w:rsid w:val="00FA7A01"/>
    <w:rsid w:val="00FA7D42"/>
    <w:rsid w:val="00FB011A"/>
    <w:rsid w:val="00FB03C0"/>
    <w:rsid w:val="00FB043D"/>
    <w:rsid w:val="00FB080F"/>
    <w:rsid w:val="00FB092A"/>
    <w:rsid w:val="00FB0F76"/>
    <w:rsid w:val="00FB12A1"/>
    <w:rsid w:val="00FB1594"/>
    <w:rsid w:val="00FB181C"/>
    <w:rsid w:val="00FB1905"/>
    <w:rsid w:val="00FB1B58"/>
    <w:rsid w:val="00FB1B7B"/>
    <w:rsid w:val="00FB1BB0"/>
    <w:rsid w:val="00FB1C44"/>
    <w:rsid w:val="00FB1F11"/>
    <w:rsid w:val="00FB1F63"/>
    <w:rsid w:val="00FB20A6"/>
    <w:rsid w:val="00FB25DB"/>
    <w:rsid w:val="00FB276F"/>
    <w:rsid w:val="00FB27F1"/>
    <w:rsid w:val="00FB28F6"/>
    <w:rsid w:val="00FB2945"/>
    <w:rsid w:val="00FB2C47"/>
    <w:rsid w:val="00FB2E61"/>
    <w:rsid w:val="00FB3414"/>
    <w:rsid w:val="00FB35BB"/>
    <w:rsid w:val="00FB38DC"/>
    <w:rsid w:val="00FB3AB1"/>
    <w:rsid w:val="00FB3ACB"/>
    <w:rsid w:val="00FB3E13"/>
    <w:rsid w:val="00FB43DD"/>
    <w:rsid w:val="00FB451F"/>
    <w:rsid w:val="00FB4642"/>
    <w:rsid w:val="00FB4951"/>
    <w:rsid w:val="00FB50E6"/>
    <w:rsid w:val="00FB511E"/>
    <w:rsid w:val="00FB5132"/>
    <w:rsid w:val="00FB5160"/>
    <w:rsid w:val="00FB519F"/>
    <w:rsid w:val="00FB524F"/>
    <w:rsid w:val="00FB526F"/>
    <w:rsid w:val="00FB54D8"/>
    <w:rsid w:val="00FB5748"/>
    <w:rsid w:val="00FB584E"/>
    <w:rsid w:val="00FB58BF"/>
    <w:rsid w:val="00FB5A70"/>
    <w:rsid w:val="00FB5C64"/>
    <w:rsid w:val="00FB5CD0"/>
    <w:rsid w:val="00FB5F2A"/>
    <w:rsid w:val="00FB614A"/>
    <w:rsid w:val="00FB620B"/>
    <w:rsid w:val="00FB64D4"/>
    <w:rsid w:val="00FB6566"/>
    <w:rsid w:val="00FB6950"/>
    <w:rsid w:val="00FB69D0"/>
    <w:rsid w:val="00FB6AD7"/>
    <w:rsid w:val="00FB6BCC"/>
    <w:rsid w:val="00FB6F74"/>
    <w:rsid w:val="00FB6FA4"/>
    <w:rsid w:val="00FB7258"/>
    <w:rsid w:val="00FB72D5"/>
    <w:rsid w:val="00FB746A"/>
    <w:rsid w:val="00FB74F0"/>
    <w:rsid w:val="00FB7EFB"/>
    <w:rsid w:val="00FB7F0A"/>
    <w:rsid w:val="00FC009B"/>
    <w:rsid w:val="00FC0361"/>
    <w:rsid w:val="00FC0652"/>
    <w:rsid w:val="00FC0829"/>
    <w:rsid w:val="00FC08D2"/>
    <w:rsid w:val="00FC0919"/>
    <w:rsid w:val="00FC0A8F"/>
    <w:rsid w:val="00FC0C5A"/>
    <w:rsid w:val="00FC0F12"/>
    <w:rsid w:val="00FC10AF"/>
    <w:rsid w:val="00FC1242"/>
    <w:rsid w:val="00FC145B"/>
    <w:rsid w:val="00FC15BD"/>
    <w:rsid w:val="00FC1975"/>
    <w:rsid w:val="00FC1A84"/>
    <w:rsid w:val="00FC1AD5"/>
    <w:rsid w:val="00FC1AFA"/>
    <w:rsid w:val="00FC1B65"/>
    <w:rsid w:val="00FC1D91"/>
    <w:rsid w:val="00FC207E"/>
    <w:rsid w:val="00FC2143"/>
    <w:rsid w:val="00FC23BC"/>
    <w:rsid w:val="00FC2D53"/>
    <w:rsid w:val="00FC2E15"/>
    <w:rsid w:val="00FC3032"/>
    <w:rsid w:val="00FC327D"/>
    <w:rsid w:val="00FC32BE"/>
    <w:rsid w:val="00FC39A1"/>
    <w:rsid w:val="00FC3B9A"/>
    <w:rsid w:val="00FC3C5F"/>
    <w:rsid w:val="00FC3FDD"/>
    <w:rsid w:val="00FC459B"/>
    <w:rsid w:val="00FC462B"/>
    <w:rsid w:val="00FC49EA"/>
    <w:rsid w:val="00FC4D9F"/>
    <w:rsid w:val="00FC51B3"/>
    <w:rsid w:val="00FC5316"/>
    <w:rsid w:val="00FC53E2"/>
    <w:rsid w:val="00FC5442"/>
    <w:rsid w:val="00FC5E11"/>
    <w:rsid w:val="00FC5E78"/>
    <w:rsid w:val="00FC5EDB"/>
    <w:rsid w:val="00FC627B"/>
    <w:rsid w:val="00FC6390"/>
    <w:rsid w:val="00FC64DB"/>
    <w:rsid w:val="00FC6D03"/>
    <w:rsid w:val="00FC6D17"/>
    <w:rsid w:val="00FC6E33"/>
    <w:rsid w:val="00FC6EF2"/>
    <w:rsid w:val="00FC6F85"/>
    <w:rsid w:val="00FC71F7"/>
    <w:rsid w:val="00FC7231"/>
    <w:rsid w:val="00FC730C"/>
    <w:rsid w:val="00FC7452"/>
    <w:rsid w:val="00FC75CF"/>
    <w:rsid w:val="00FC7783"/>
    <w:rsid w:val="00FC7914"/>
    <w:rsid w:val="00FC7E13"/>
    <w:rsid w:val="00FC7F0D"/>
    <w:rsid w:val="00FD01FD"/>
    <w:rsid w:val="00FD0406"/>
    <w:rsid w:val="00FD04D0"/>
    <w:rsid w:val="00FD077E"/>
    <w:rsid w:val="00FD08CB"/>
    <w:rsid w:val="00FD0C20"/>
    <w:rsid w:val="00FD0DBF"/>
    <w:rsid w:val="00FD0DE6"/>
    <w:rsid w:val="00FD0EE9"/>
    <w:rsid w:val="00FD1022"/>
    <w:rsid w:val="00FD1121"/>
    <w:rsid w:val="00FD11BA"/>
    <w:rsid w:val="00FD1207"/>
    <w:rsid w:val="00FD15D5"/>
    <w:rsid w:val="00FD16B7"/>
    <w:rsid w:val="00FD1920"/>
    <w:rsid w:val="00FD1F70"/>
    <w:rsid w:val="00FD1FA6"/>
    <w:rsid w:val="00FD2056"/>
    <w:rsid w:val="00FD208E"/>
    <w:rsid w:val="00FD213A"/>
    <w:rsid w:val="00FD21AB"/>
    <w:rsid w:val="00FD225D"/>
    <w:rsid w:val="00FD243E"/>
    <w:rsid w:val="00FD2776"/>
    <w:rsid w:val="00FD285D"/>
    <w:rsid w:val="00FD298F"/>
    <w:rsid w:val="00FD2D93"/>
    <w:rsid w:val="00FD2EBF"/>
    <w:rsid w:val="00FD2FCD"/>
    <w:rsid w:val="00FD374D"/>
    <w:rsid w:val="00FD38A1"/>
    <w:rsid w:val="00FD3913"/>
    <w:rsid w:val="00FD3969"/>
    <w:rsid w:val="00FD39CF"/>
    <w:rsid w:val="00FD3A7D"/>
    <w:rsid w:val="00FD3E16"/>
    <w:rsid w:val="00FD3EFC"/>
    <w:rsid w:val="00FD3F01"/>
    <w:rsid w:val="00FD413B"/>
    <w:rsid w:val="00FD42B7"/>
    <w:rsid w:val="00FD4421"/>
    <w:rsid w:val="00FD4553"/>
    <w:rsid w:val="00FD465C"/>
    <w:rsid w:val="00FD4E34"/>
    <w:rsid w:val="00FD518E"/>
    <w:rsid w:val="00FD5273"/>
    <w:rsid w:val="00FD52C0"/>
    <w:rsid w:val="00FD559D"/>
    <w:rsid w:val="00FD5736"/>
    <w:rsid w:val="00FD5A17"/>
    <w:rsid w:val="00FD5BF2"/>
    <w:rsid w:val="00FD62EB"/>
    <w:rsid w:val="00FD67C8"/>
    <w:rsid w:val="00FD68B5"/>
    <w:rsid w:val="00FD6ABC"/>
    <w:rsid w:val="00FD6BEE"/>
    <w:rsid w:val="00FD6D76"/>
    <w:rsid w:val="00FD6F06"/>
    <w:rsid w:val="00FD71E8"/>
    <w:rsid w:val="00FD74F4"/>
    <w:rsid w:val="00FD7531"/>
    <w:rsid w:val="00FD75D5"/>
    <w:rsid w:val="00FD7724"/>
    <w:rsid w:val="00FD790D"/>
    <w:rsid w:val="00FD7E15"/>
    <w:rsid w:val="00FD7EE4"/>
    <w:rsid w:val="00FD7F39"/>
    <w:rsid w:val="00FD7F69"/>
    <w:rsid w:val="00FE0011"/>
    <w:rsid w:val="00FE01E6"/>
    <w:rsid w:val="00FE022F"/>
    <w:rsid w:val="00FE03D7"/>
    <w:rsid w:val="00FE08F2"/>
    <w:rsid w:val="00FE0A08"/>
    <w:rsid w:val="00FE0A53"/>
    <w:rsid w:val="00FE0CA1"/>
    <w:rsid w:val="00FE0E6A"/>
    <w:rsid w:val="00FE0F2E"/>
    <w:rsid w:val="00FE123D"/>
    <w:rsid w:val="00FE179C"/>
    <w:rsid w:val="00FE1A8E"/>
    <w:rsid w:val="00FE1C7B"/>
    <w:rsid w:val="00FE1DE5"/>
    <w:rsid w:val="00FE1EF1"/>
    <w:rsid w:val="00FE1FD8"/>
    <w:rsid w:val="00FE242B"/>
    <w:rsid w:val="00FE270F"/>
    <w:rsid w:val="00FE2BE6"/>
    <w:rsid w:val="00FE2C89"/>
    <w:rsid w:val="00FE2E1C"/>
    <w:rsid w:val="00FE2F11"/>
    <w:rsid w:val="00FE2FA3"/>
    <w:rsid w:val="00FE30F3"/>
    <w:rsid w:val="00FE336C"/>
    <w:rsid w:val="00FE390E"/>
    <w:rsid w:val="00FE392F"/>
    <w:rsid w:val="00FE3A91"/>
    <w:rsid w:val="00FE3AC7"/>
    <w:rsid w:val="00FE3C2D"/>
    <w:rsid w:val="00FE4073"/>
    <w:rsid w:val="00FE410D"/>
    <w:rsid w:val="00FE42BC"/>
    <w:rsid w:val="00FE4406"/>
    <w:rsid w:val="00FE4428"/>
    <w:rsid w:val="00FE445B"/>
    <w:rsid w:val="00FE4477"/>
    <w:rsid w:val="00FE44C4"/>
    <w:rsid w:val="00FE4605"/>
    <w:rsid w:val="00FE462A"/>
    <w:rsid w:val="00FE494F"/>
    <w:rsid w:val="00FE4C23"/>
    <w:rsid w:val="00FE4D66"/>
    <w:rsid w:val="00FE4EB4"/>
    <w:rsid w:val="00FE503A"/>
    <w:rsid w:val="00FE51ED"/>
    <w:rsid w:val="00FE528B"/>
    <w:rsid w:val="00FE52BD"/>
    <w:rsid w:val="00FE53FF"/>
    <w:rsid w:val="00FE5410"/>
    <w:rsid w:val="00FE556C"/>
    <w:rsid w:val="00FE5619"/>
    <w:rsid w:val="00FE58B3"/>
    <w:rsid w:val="00FE5958"/>
    <w:rsid w:val="00FE5991"/>
    <w:rsid w:val="00FE5F78"/>
    <w:rsid w:val="00FE600B"/>
    <w:rsid w:val="00FE62AF"/>
    <w:rsid w:val="00FE6487"/>
    <w:rsid w:val="00FE6606"/>
    <w:rsid w:val="00FE66F0"/>
    <w:rsid w:val="00FE6905"/>
    <w:rsid w:val="00FE699E"/>
    <w:rsid w:val="00FE6A73"/>
    <w:rsid w:val="00FE6B12"/>
    <w:rsid w:val="00FE6B87"/>
    <w:rsid w:val="00FE6C11"/>
    <w:rsid w:val="00FE6C4E"/>
    <w:rsid w:val="00FE7054"/>
    <w:rsid w:val="00FE767F"/>
    <w:rsid w:val="00FE7AF1"/>
    <w:rsid w:val="00FE7D15"/>
    <w:rsid w:val="00FE7D60"/>
    <w:rsid w:val="00FE7D8A"/>
    <w:rsid w:val="00FE7ED6"/>
    <w:rsid w:val="00FE7FDB"/>
    <w:rsid w:val="00FF0182"/>
    <w:rsid w:val="00FF01DD"/>
    <w:rsid w:val="00FF07DD"/>
    <w:rsid w:val="00FF0B6D"/>
    <w:rsid w:val="00FF0BA4"/>
    <w:rsid w:val="00FF0CF9"/>
    <w:rsid w:val="00FF11FF"/>
    <w:rsid w:val="00FF1653"/>
    <w:rsid w:val="00FF187B"/>
    <w:rsid w:val="00FF190C"/>
    <w:rsid w:val="00FF1AAD"/>
    <w:rsid w:val="00FF1AC3"/>
    <w:rsid w:val="00FF1E06"/>
    <w:rsid w:val="00FF1E71"/>
    <w:rsid w:val="00FF1FB9"/>
    <w:rsid w:val="00FF1FE3"/>
    <w:rsid w:val="00FF1FF3"/>
    <w:rsid w:val="00FF2120"/>
    <w:rsid w:val="00FF22CC"/>
    <w:rsid w:val="00FF2344"/>
    <w:rsid w:val="00FF251F"/>
    <w:rsid w:val="00FF2648"/>
    <w:rsid w:val="00FF27AE"/>
    <w:rsid w:val="00FF28C2"/>
    <w:rsid w:val="00FF2B45"/>
    <w:rsid w:val="00FF2D30"/>
    <w:rsid w:val="00FF2D44"/>
    <w:rsid w:val="00FF2E3A"/>
    <w:rsid w:val="00FF2FA8"/>
    <w:rsid w:val="00FF2FC5"/>
    <w:rsid w:val="00FF31DD"/>
    <w:rsid w:val="00FF329F"/>
    <w:rsid w:val="00FF342D"/>
    <w:rsid w:val="00FF358B"/>
    <w:rsid w:val="00FF3D10"/>
    <w:rsid w:val="00FF3D52"/>
    <w:rsid w:val="00FF3D88"/>
    <w:rsid w:val="00FF3DCF"/>
    <w:rsid w:val="00FF3E54"/>
    <w:rsid w:val="00FF3E8D"/>
    <w:rsid w:val="00FF40A4"/>
    <w:rsid w:val="00FF45DA"/>
    <w:rsid w:val="00FF490D"/>
    <w:rsid w:val="00FF492D"/>
    <w:rsid w:val="00FF4B9C"/>
    <w:rsid w:val="00FF4C0F"/>
    <w:rsid w:val="00FF4E0E"/>
    <w:rsid w:val="00FF5126"/>
    <w:rsid w:val="00FF5135"/>
    <w:rsid w:val="00FF5312"/>
    <w:rsid w:val="00FF584A"/>
    <w:rsid w:val="00FF5962"/>
    <w:rsid w:val="00FF5B61"/>
    <w:rsid w:val="00FF5CF4"/>
    <w:rsid w:val="00FF5FF8"/>
    <w:rsid w:val="00FF60B1"/>
    <w:rsid w:val="00FF6163"/>
    <w:rsid w:val="00FF61A7"/>
    <w:rsid w:val="00FF627F"/>
    <w:rsid w:val="00FF6366"/>
    <w:rsid w:val="00FF6615"/>
    <w:rsid w:val="00FF6705"/>
    <w:rsid w:val="00FF69B3"/>
    <w:rsid w:val="00FF6A69"/>
    <w:rsid w:val="00FF6BA5"/>
    <w:rsid w:val="00FF6DCB"/>
    <w:rsid w:val="00FF6FDC"/>
    <w:rsid w:val="00FF7044"/>
    <w:rsid w:val="00FF70C9"/>
    <w:rsid w:val="00FF7119"/>
    <w:rsid w:val="00FF7155"/>
    <w:rsid w:val="00FF7982"/>
    <w:rsid w:val="00FF7E29"/>
    <w:rsid w:val="00FF7E8A"/>
    <w:rsid w:val="00FF7F18"/>
    <w:rsid w:val="00FF7F8C"/>
    <w:rsid w:val="01040649"/>
    <w:rsid w:val="01058AED"/>
    <w:rsid w:val="010D94F9"/>
    <w:rsid w:val="0112B16A"/>
    <w:rsid w:val="01446ACA"/>
    <w:rsid w:val="01718A88"/>
    <w:rsid w:val="0198E463"/>
    <w:rsid w:val="01B09BF3"/>
    <w:rsid w:val="020AE7E5"/>
    <w:rsid w:val="024A81FF"/>
    <w:rsid w:val="0252C05F"/>
    <w:rsid w:val="026363BE"/>
    <w:rsid w:val="02E93FE6"/>
    <w:rsid w:val="02E9D98A"/>
    <w:rsid w:val="030AE5C8"/>
    <w:rsid w:val="031F1EC6"/>
    <w:rsid w:val="03235AE9"/>
    <w:rsid w:val="032A46A5"/>
    <w:rsid w:val="032BDB2B"/>
    <w:rsid w:val="03599224"/>
    <w:rsid w:val="0361AD03"/>
    <w:rsid w:val="03720DC3"/>
    <w:rsid w:val="0396ADEC"/>
    <w:rsid w:val="03A0D865"/>
    <w:rsid w:val="03D896A2"/>
    <w:rsid w:val="03E018D6"/>
    <w:rsid w:val="040F92ED"/>
    <w:rsid w:val="043764BA"/>
    <w:rsid w:val="04583304"/>
    <w:rsid w:val="046172C8"/>
    <w:rsid w:val="0472FD86"/>
    <w:rsid w:val="04980D82"/>
    <w:rsid w:val="04ABB610"/>
    <w:rsid w:val="052462D5"/>
    <w:rsid w:val="05280F37"/>
    <w:rsid w:val="056B2573"/>
    <w:rsid w:val="056E5CDA"/>
    <w:rsid w:val="05882357"/>
    <w:rsid w:val="05E2AE46"/>
    <w:rsid w:val="060648E9"/>
    <w:rsid w:val="061B9635"/>
    <w:rsid w:val="062E0000"/>
    <w:rsid w:val="064F9A8F"/>
    <w:rsid w:val="065C3B47"/>
    <w:rsid w:val="06B9C1C3"/>
    <w:rsid w:val="06CFCCEB"/>
    <w:rsid w:val="072079D5"/>
    <w:rsid w:val="076C5FC3"/>
    <w:rsid w:val="07DFE1DE"/>
    <w:rsid w:val="082AB5D1"/>
    <w:rsid w:val="0832F43D"/>
    <w:rsid w:val="0889789A"/>
    <w:rsid w:val="08A0BE20"/>
    <w:rsid w:val="08C565D0"/>
    <w:rsid w:val="08C9C059"/>
    <w:rsid w:val="08CC37E2"/>
    <w:rsid w:val="08D67276"/>
    <w:rsid w:val="09122FAC"/>
    <w:rsid w:val="097D8DC0"/>
    <w:rsid w:val="098605B0"/>
    <w:rsid w:val="099E1D55"/>
    <w:rsid w:val="09C2B1FE"/>
    <w:rsid w:val="0A07D2F3"/>
    <w:rsid w:val="0A145C46"/>
    <w:rsid w:val="0A4F081F"/>
    <w:rsid w:val="0A54B66D"/>
    <w:rsid w:val="0A988E68"/>
    <w:rsid w:val="0AB6C47E"/>
    <w:rsid w:val="0AC5E4E7"/>
    <w:rsid w:val="0AE265C2"/>
    <w:rsid w:val="0AF346C2"/>
    <w:rsid w:val="0B062CCE"/>
    <w:rsid w:val="0B24CE47"/>
    <w:rsid w:val="0B30289E"/>
    <w:rsid w:val="0B7B09DF"/>
    <w:rsid w:val="0BA16068"/>
    <w:rsid w:val="0BA700AA"/>
    <w:rsid w:val="0BAA7834"/>
    <w:rsid w:val="0BE76B53"/>
    <w:rsid w:val="0C159BE2"/>
    <w:rsid w:val="0C2757B1"/>
    <w:rsid w:val="0C467364"/>
    <w:rsid w:val="0C5E7F69"/>
    <w:rsid w:val="0C652A6C"/>
    <w:rsid w:val="0C82E650"/>
    <w:rsid w:val="0CA93954"/>
    <w:rsid w:val="0D3FFFCF"/>
    <w:rsid w:val="0D6FD925"/>
    <w:rsid w:val="0D7B09B3"/>
    <w:rsid w:val="0DA3CC41"/>
    <w:rsid w:val="0DD2A5A3"/>
    <w:rsid w:val="0E14E447"/>
    <w:rsid w:val="0E180F92"/>
    <w:rsid w:val="0E25EB86"/>
    <w:rsid w:val="0E299509"/>
    <w:rsid w:val="0E373FDA"/>
    <w:rsid w:val="0E532FCE"/>
    <w:rsid w:val="0E796FB5"/>
    <w:rsid w:val="0EABAB4B"/>
    <w:rsid w:val="0EDC11B6"/>
    <w:rsid w:val="0EF8FF5B"/>
    <w:rsid w:val="0F83237A"/>
    <w:rsid w:val="0FBF49D3"/>
    <w:rsid w:val="0FCFA1D8"/>
    <w:rsid w:val="0FFD68A8"/>
    <w:rsid w:val="0FFF1B00"/>
    <w:rsid w:val="101E82DD"/>
    <w:rsid w:val="106B2C6A"/>
    <w:rsid w:val="109CF7F4"/>
    <w:rsid w:val="10A1CCE8"/>
    <w:rsid w:val="10E5DF73"/>
    <w:rsid w:val="10FE57B8"/>
    <w:rsid w:val="1100B8C5"/>
    <w:rsid w:val="1110184B"/>
    <w:rsid w:val="11205EC4"/>
    <w:rsid w:val="1122DB67"/>
    <w:rsid w:val="1127EEB6"/>
    <w:rsid w:val="117CC876"/>
    <w:rsid w:val="119A322D"/>
    <w:rsid w:val="11C66566"/>
    <w:rsid w:val="11F9DBF2"/>
    <w:rsid w:val="11FA8625"/>
    <w:rsid w:val="122BEBD9"/>
    <w:rsid w:val="126C736E"/>
    <w:rsid w:val="12A81DD0"/>
    <w:rsid w:val="12AE58FE"/>
    <w:rsid w:val="12C8EC03"/>
    <w:rsid w:val="12D15DE4"/>
    <w:rsid w:val="12D1EF94"/>
    <w:rsid w:val="12EAE93D"/>
    <w:rsid w:val="12EB3925"/>
    <w:rsid w:val="12FB4A9B"/>
    <w:rsid w:val="130645BE"/>
    <w:rsid w:val="135D035A"/>
    <w:rsid w:val="13798393"/>
    <w:rsid w:val="13A9762A"/>
    <w:rsid w:val="13B802E6"/>
    <w:rsid w:val="13DED1DC"/>
    <w:rsid w:val="13F47576"/>
    <w:rsid w:val="14392735"/>
    <w:rsid w:val="144F6CF5"/>
    <w:rsid w:val="145714EF"/>
    <w:rsid w:val="14711755"/>
    <w:rsid w:val="14844542"/>
    <w:rsid w:val="1493E2B9"/>
    <w:rsid w:val="14A4D56D"/>
    <w:rsid w:val="14F08CC8"/>
    <w:rsid w:val="156A5C20"/>
    <w:rsid w:val="15766855"/>
    <w:rsid w:val="15898675"/>
    <w:rsid w:val="159045D7"/>
    <w:rsid w:val="15B3FA25"/>
    <w:rsid w:val="15E4B587"/>
    <w:rsid w:val="15E51AF4"/>
    <w:rsid w:val="15F69210"/>
    <w:rsid w:val="1618CD97"/>
    <w:rsid w:val="1643401C"/>
    <w:rsid w:val="165A1CD9"/>
    <w:rsid w:val="167C393C"/>
    <w:rsid w:val="168DF2AB"/>
    <w:rsid w:val="16CE0FF5"/>
    <w:rsid w:val="16D5C5CA"/>
    <w:rsid w:val="16E02035"/>
    <w:rsid w:val="16F5CF82"/>
    <w:rsid w:val="1721C4BF"/>
    <w:rsid w:val="1746C338"/>
    <w:rsid w:val="1751A163"/>
    <w:rsid w:val="175DF559"/>
    <w:rsid w:val="1780C1F5"/>
    <w:rsid w:val="17BBE9F3"/>
    <w:rsid w:val="17D51803"/>
    <w:rsid w:val="1843E2CC"/>
    <w:rsid w:val="1868B8D5"/>
    <w:rsid w:val="1873CD63"/>
    <w:rsid w:val="18D4B298"/>
    <w:rsid w:val="192538C8"/>
    <w:rsid w:val="19296E99"/>
    <w:rsid w:val="192B99A8"/>
    <w:rsid w:val="193420A2"/>
    <w:rsid w:val="193B9CFC"/>
    <w:rsid w:val="19506E59"/>
    <w:rsid w:val="195342EB"/>
    <w:rsid w:val="19919C0A"/>
    <w:rsid w:val="1998E265"/>
    <w:rsid w:val="19B340D5"/>
    <w:rsid w:val="19CE3214"/>
    <w:rsid w:val="1A4BC1A8"/>
    <w:rsid w:val="1A598CBB"/>
    <w:rsid w:val="1ADC378C"/>
    <w:rsid w:val="1AE0E7D2"/>
    <w:rsid w:val="1AE56254"/>
    <w:rsid w:val="1AEFA22E"/>
    <w:rsid w:val="1B02653B"/>
    <w:rsid w:val="1B2B788A"/>
    <w:rsid w:val="1B316900"/>
    <w:rsid w:val="1B4B1C5D"/>
    <w:rsid w:val="1B85624F"/>
    <w:rsid w:val="1BB919D1"/>
    <w:rsid w:val="1C5A67B1"/>
    <w:rsid w:val="1C5B3D58"/>
    <w:rsid w:val="1C79B171"/>
    <w:rsid w:val="1C9262FB"/>
    <w:rsid w:val="1CB255A9"/>
    <w:rsid w:val="1CC80A2C"/>
    <w:rsid w:val="1CCD4F32"/>
    <w:rsid w:val="1CDF37E1"/>
    <w:rsid w:val="1CE3A72B"/>
    <w:rsid w:val="1CE55927"/>
    <w:rsid w:val="1D03350D"/>
    <w:rsid w:val="1D0DAF8A"/>
    <w:rsid w:val="1D0FB6D6"/>
    <w:rsid w:val="1D62983E"/>
    <w:rsid w:val="1D6C8BC5"/>
    <w:rsid w:val="1D846E97"/>
    <w:rsid w:val="1D87E367"/>
    <w:rsid w:val="1D9A4B04"/>
    <w:rsid w:val="1D9BDCD5"/>
    <w:rsid w:val="1DC9095F"/>
    <w:rsid w:val="1DD5BED7"/>
    <w:rsid w:val="1DF8B2ED"/>
    <w:rsid w:val="1E0E48A8"/>
    <w:rsid w:val="1E10F6C3"/>
    <w:rsid w:val="1E1AE8D0"/>
    <w:rsid w:val="1E1B6428"/>
    <w:rsid w:val="1E2943D2"/>
    <w:rsid w:val="1E2DCEB5"/>
    <w:rsid w:val="1E490E4E"/>
    <w:rsid w:val="1E670A24"/>
    <w:rsid w:val="1E6C6496"/>
    <w:rsid w:val="1E72D4B5"/>
    <w:rsid w:val="1E8A4142"/>
    <w:rsid w:val="1EA394ED"/>
    <w:rsid w:val="1EB5CEA8"/>
    <w:rsid w:val="1EC61777"/>
    <w:rsid w:val="1EC6436C"/>
    <w:rsid w:val="1ECFA4BF"/>
    <w:rsid w:val="1F3DD46C"/>
    <w:rsid w:val="1F8F9085"/>
    <w:rsid w:val="1FA6BF9C"/>
    <w:rsid w:val="1FCE4B41"/>
    <w:rsid w:val="1FD326EC"/>
    <w:rsid w:val="1FD84BEB"/>
    <w:rsid w:val="1FE3AF26"/>
    <w:rsid w:val="205C1AC9"/>
    <w:rsid w:val="20A954FB"/>
    <w:rsid w:val="20B3BBC2"/>
    <w:rsid w:val="20C9170C"/>
    <w:rsid w:val="21278856"/>
    <w:rsid w:val="214804C9"/>
    <w:rsid w:val="21770216"/>
    <w:rsid w:val="22046586"/>
    <w:rsid w:val="221A8FC3"/>
    <w:rsid w:val="2242CC94"/>
    <w:rsid w:val="22D11087"/>
    <w:rsid w:val="22FCD243"/>
    <w:rsid w:val="230CAC54"/>
    <w:rsid w:val="230D8A9D"/>
    <w:rsid w:val="23128481"/>
    <w:rsid w:val="2325EB2D"/>
    <w:rsid w:val="2337A683"/>
    <w:rsid w:val="233D7FF3"/>
    <w:rsid w:val="233FB4D4"/>
    <w:rsid w:val="23519C10"/>
    <w:rsid w:val="235DEF81"/>
    <w:rsid w:val="23AC1A65"/>
    <w:rsid w:val="2413D838"/>
    <w:rsid w:val="24329C93"/>
    <w:rsid w:val="24553D50"/>
    <w:rsid w:val="24E82D4B"/>
    <w:rsid w:val="25090CC8"/>
    <w:rsid w:val="2516E50B"/>
    <w:rsid w:val="255FACA6"/>
    <w:rsid w:val="2573ACA3"/>
    <w:rsid w:val="25BA1047"/>
    <w:rsid w:val="25DCEC5D"/>
    <w:rsid w:val="2616CDD2"/>
    <w:rsid w:val="26195919"/>
    <w:rsid w:val="261F4B95"/>
    <w:rsid w:val="26675E2C"/>
    <w:rsid w:val="2681E1AE"/>
    <w:rsid w:val="268BE1BD"/>
    <w:rsid w:val="2697EAF0"/>
    <w:rsid w:val="2698F770"/>
    <w:rsid w:val="26BFB44E"/>
    <w:rsid w:val="26F83C76"/>
    <w:rsid w:val="273A8465"/>
    <w:rsid w:val="27564986"/>
    <w:rsid w:val="275A1922"/>
    <w:rsid w:val="27674B55"/>
    <w:rsid w:val="27BC04C2"/>
    <w:rsid w:val="27BDE67E"/>
    <w:rsid w:val="281EFAD6"/>
    <w:rsid w:val="2835FCF5"/>
    <w:rsid w:val="28470FEF"/>
    <w:rsid w:val="28687778"/>
    <w:rsid w:val="286E3467"/>
    <w:rsid w:val="289D4671"/>
    <w:rsid w:val="28A1A661"/>
    <w:rsid w:val="28B2D2AA"/>
    <w:rsid w:val="28B466E0"/>
    <w:rsid w:val="28B8AE01"/>
    <w:rsid w:val="28BD7B27"/>
    <w:rsid w:val="28E6D021"/>
    <w:rsid w:val="28E840BE"/>
    <w:rsid w:val="28F727B0"/>
    <w:rsid w:val="29159310"/>
    <w:rsid w:val="2923CE97"/>
    <w:rsid w:val="2927F173"/>
    <w:rsid w:val="292DA971"/>
    <w:rsid w:val="2945DDD5"/>
    <w:rsid w:val="295FC97B"/>
    <w:rsid w:val="29924152"/>
    <w:rsid w:val="29DE7F9A"/>
    <w:rsid w:val="2A21E2F2"/>
    <w:rsid w:val="2A369AE9"/>
    <w:rsid w:val="2A6DFD0E"/>
    <w:rsid w:val="2A948764"/>
    <w:rsid w:val="2A962CDA"/>
    <w:rsid w:val="2AA6EC6F"/>
    <w:rsid w:val="2AA8DF6E"/>
    <w:rsid w:val="2ADFD747"/>
    <w:rsid w:val="2B0A54C3"/>
    <w:rsid w:val="2B461BCF"/>
    <w:rsid w:val="2B5E4725"/>
    <w:rsid w:val="2B619DF9"/>
    <w:rsid w:val="2B7B1731"/>
    <w:rsid w:val="2BC4A87B"/>
    <w:rsid w:val="2BD63045"/>
    <w:rsid w:val="2BDCDBF5"/>
    <w:rsid w:val="2BE9BAC4"/>
    <w:rsid w:val="2BF7863D"/>
    <w:rsid w:val="2C06F2C8"/>
    <w:rsid w:val="2C178CC6"/>
    <w:rsid w:val="2C5CE11D"/>
    <w:rsid w:val="2C672282"/>
    <w:rsid w:val="2C720BA6"/>
    <w:rsid w:val="2C9484AB"/>
    <w:rsid w:val="2CA9733E"/>
    <w:rsid w:val="2CB29CCD"/>
    <w:rsid w:val="2D27F4CD"/>
    <w:rsid w:val="2D2BB151"/>
    <w:rsid w:val="2D65BEEF"/>
    <w:rsid w:val="2D7EDA4E"/>
    <w:rsid w:val="2DCD7063"/>
    <w:rsid w:val="2DD20706"/>
    <w:rsid w:val="2DDC2CF6"/>
    <w:rsid w:val="2E070765"/>
    <w:rsid w:val="2E199D93"/>
    <w:rsid w:val="2E2583EE"/>
    <w:rsid w:val="2E3380F6"/>
    <w:rsid w:val="2E374578"/>
    <w:rsid w:val="2E3C8444"/>
    <w:rsid w:val="2E4309FE"/>
    <w:rsid w:val="2ED8A761"/>
    <w:rsid w:val="2EDE28E7"/>
    <w:rsid w:val="2F05609B"/>
    <w:rsid w:val="2F12D195"/>
    <w:rsid w:val="2F1AA9E6"/>
    <w:rsid w:val="2F3A18D2"/>
    <w:rsid w:val="2F4D3988"/>
    <w:rsid w:val="2F4F530F"/>
    <w:rsid w:val="2F5BB6C0"/>
    <w:rsid w:val="2F860E36"/>
    <w:rsid w:val="2FDDC12D"/>
    <w:rsid w:val="30341ACD"/>
    <w:rsid w:val="3047B251"/>
    <w:rsid w:val="3112835D"/>
    <w:rsid w:val="311377B5"/>
    <w:rsid w:val="312054E1"/>
    <w:rsid w:val="31669077"/>
    <w:rsid w:val="3183214A"/>
    <w:rsid w:val="318DBA3B"/>
    <w:rsid w:val="31928A0C"/>
    <w:rsid w:val="3198FC55"/>
    <w:rsid w:val="31CA102E"/>
    <w:rsid w:val="31F85D6B"/>
    <w:rsid w:val="3281886E"/>
    <w:rsid w:val="32A56252"/>
    <w:rsid w:val="32AFAFD8"/>
    <w:rsid w:val="32B962BB"/>
    <w:rsid w:val="32D275BD"/>
    <w:rsid w:val="3305C329"/>
    <w:rsid w:val="3340AC0D"/>
    <w:rsid w:val="3344DDA4"/>
    <w:rsid w:val="33736AB1"/>
    <w:rsid w:val="33772022"/>
    <w:rsid w:val="33F829CF"/>
    <w:rsid w:val="340CA104"/>
    <w:rsid w:val="3427898F"/>
    <w:rsid w:val="34382EC0"/>
    <w:rsid w:val="34581DEB"/>
    <w:rsid w:val="346401BA"/>
    <w:rsid w:val="3474F169"/>
    <w:rsid w:val="3482C50B"/>
    <w:rsid w:val="34837334"/>
    <w:rsid w:val="349FFB37"/>
    <w:rsid w:val="34B5E9AB"/>
    <w:rsid w:val="34E89D5B"/>
    <w:rsid w:val="35386621"/>
    <w:rsid w:val="353A239A"/>
    <w:rsid w:val="3542D83C"/>
    <w:rsid w:val="354F407B"/>
    <w:rsid w:val="3577DC07"/>
    <w:rsid w:val="3583D15E"/>
    <w:rsid w:val="35AEBB48"/>
    <w:rsid w:val="35BA2FE7"/>
    <w:rsid w:val="35D83DB7"/>
    <w:rsid w:val="35EB6130"/>
    <w:rsid w:val="3607C6BF"/>
    <w:rsid w:val="36222865"/>
    <w:rsid w:val="363463CA"/>
    <w:rsid w:val="3640310A"/>
    <w:rsid w:val="366600B7"/>
    <w:rsid w:val="3675E0A9"/>
    <w:rsid w:val="3694B678"/>
    <w:rsid w:val="3707D0E2"/>
    <w:rsid w:val="37221574"/>
    <w:rsid w:val="37440FF0"/>
    <w:rsid w:val="374950D5"/>
    <w:rsid w:val="37498036"/>
    <w:rsid w:val="374FAC10"/>
    <w:rsid w:val="37A182FC"/>
    <w:rsid w:val="37AF9A9B"/>
    <w:rsid w:val="37CD2033"/>
    <w:rsid w:val="37D12C83"/>
    <w:rsid w:val="380416CB"/>
    <w:rsid w:val="380F0913"/>
    <w:rsid w:val="380F9816"/>
    <w:rsid w:val="384D4FAF"/>
    <w:rsid w:val="38503C45"/>
    <w:rsid w:val="386B7E29"/>
    <w:rsid w:val="389CE816"/>
    <w:rsid w:val="38C58145"/>
    <w:rsid w:val="38DA72AA"/>
    <w:rsid w:val="39249498"/>
    <w:rsid w:val="3926BB55"/>
    <w:rsid w:val="392D3B0A"/>
    <w:rsid w:val="3A16F5CA"/>
    <w:rsid w:val="3A1A0661"/>
    <w:rsid w:val="3A52ED07"/>
    <w:rsid w:val="3A544697"/>
    <w:rsid w:val="3A8D83A5"/>
    <w:rsid w:val="3AAC5CCE"/>
    <w:rsid w:val="3AF8A446"/>
    <w:rsid w:val="3B3095C4"/>
    <w:rsid w:val="3B4E76EA"/>
    <w:rsid w:val="3B5DBADB"/>
    <w:rsid w:val="3B6490A2"/>
    <w:rsid w:val="3B9CB508"/>
    <w:rsid w:val="3BABF3AC"/>
    <w:rsid w:val="3BB48034"/>
    <w:rsid w:val="3BB6276A"/>
    <w:rsid w:val="3BC0DCB8"/>
    <w:rsid w:val="3C0C13CA"/>
    <w:rsid w:val="3C5628A3"/>
    <w:rsid w:val="3C7DAFAF"/>
    <w:rsid w:val="3C84DEFC"/>
    <w:rsid w:val="3C90E64F"/>
    <w:rsid w:val="3CA69DB1"/>
    <w:rsid w:val="3CDBA5FC"/>
    <w:rsid w:val="3CED4895"/>
    <w:rsid w:val="3D1E634E"/>
    <w:rsid w:val="3D2CC8E3"/>
    <w:rsid w:val="3D39EEB2"/>
    <w:rsid w:val="3D412A53"/>
    <w:rsid w:val="3D86DA98"/>
    <w:rsid w:val="3D946BCE"/>
    <w:rsid w:val="3DBA610A"/>
    <w:rsid w:val="3DC642A7"/>
    <w:rsid w:val="3E088620"/>
    <w:rsid w:val="3E12782D"/>
    <w:rsid w:val="3E1D0A97"/>
    <w:rsid w:val="3EA99050"/>
    <w:rsid w:val="3EB4D67E"/>
    <w:rsid w:val="3EB88114"/>
    <w:rsid w:val="3EC4A13B"/>
    <w:rsid w:val="3EF34DB8"/>
    <w:rsid w:val="3EFAAFEB"/>
    <w:rsid w:val="3F3DBF7B"/>
    <w:rsid w:val="3F78A697"/>
    <w:rsid w:val="3FBF005C"/>
    <w:rsid w:val="3FC00A1B"/>
    <w:rsid w:val="3FED863E"/>
    <w:rsid w:val="404B26E9"/>
    <w:rsid w:val="4056271B"/>
    <w:rsid w:val="406D687A"/>
    <w:rsid w:val="4087FE7C"/>
    <w:rsid w:val="40907990"/>
    <w:rsid w:val="40B30BF6"/>
    <w:rsid w:val="40EF86D0"/>
    <w:rsid w:val="4102108C"/>
    <w:rsid w:val="410D58D3"/>
    <w:rsid w:val="417A1D89"/>
    <w:rsid w:val="420041DB"/>
    <w:rsid w:val="4209F791"/>
    <w:rsid w:val="4212B2E2"/>
    <w:rsid w:val="423DFB53"/>
    <w:rsid w:val="42629DE8"/>
    <w:rsid w:val="42643A16"/>
    <w:rsid w:val="426B54BC"/>
    <w:rsid w:val="426CC01A"/>
    <w:rsid w:val="42CC5516"/>
    <w:rsid w:val="42E23CDB"/>
    <w:rsid w:val="42F78CD4"/>
    <w:rsid w:val="43212C3B"/>
    <w:rsid w:val="433D200C"/>
    <w:rsid w:val="4386CBF4"/>
    <w:rsid w:val="4395EB05"/>
    <w:rsid w:val="43D0FD11"/>
    <w:rsid w:val="43E9663E"/>
    <w:rsid w:val="440320BA"/>
    <w:rsid w:val="4411199C"/>
    <w:rsid w:val="44543C2E"/>
    <w:rsid w:val="446084B3"/>
    <w:rsid w:val="4474AE1E"/>
    <w:rsid w:val="44D20570"/>
    <w:rsid w:val="4528D06F"/>
    <w:rsid w:val="452FDCB5"/>
    <w:rsid w:val="45690E52"/>
    <w:rsid w:val="458A03C7"/>
    <w:rsid w:val="458A2ECD"/>
    <w:rsid w:val="45A1F0B0"/>
    <w:rsid w:val="45C48E38"/>
    <w:rsid w:val="45CF01D2"/>
    <w:rsid w:val="461DE7E5"/>
    <w:rsid w:val="46463C4C"/>
    <w:rsid w:val="46758259"/>
    <w:rsid w:val="4686AC55"/>
    <w:rsid w:val="4699C540"/>
    <w:rsid w:val="46CFCDA4"/>
    <w:rsid w:val="46F93381"/>
    <w:rsid w:val="4722AC09"/>
    <w:rsid w:val="47262AC3"/>
    <w:rsid w:val="47451F99"/>
    <w:rsid w:val="47604ACC"/>
    <w:rsid w:val="478CC8A4"/>
    <w:rsid w:val="4793B5F4"/>
    <w:rsid w:val="47ADA2F9"/>
    <w:rsid w:val="47B75615"/>
    <w:rsid w:val="47CB1C00"/>
    <w:rsid w:val="47D59864"/>
    <w:rsid w:val="47F616AC"/>
    <w:rsid w:val="480C131F"/>
    <w:rsid w:val="480C650B"/>
    <w:rsid w:val="4818C507"/>
    <w:rsid w:val="48643402"/>
    <w:rsid w:val="4878683A"/>
    <w:rsid w:val="488885F1"/>
    <w:rsid w:val="488991CD"/>
    <w:rsid w:val="4893FE63"/>
    <w:rsid w:val="48A9B71E"/>
    <w:rsid w:val="48AE07FD"/>
    <w:rsid w:val="48F1DA6D"/>
    <w:rsid w:val="48FC03B6"/>
    <w:rsid w:val="497DDCFE"/>
    <w:rsid w:val="4995E256"/>
    <w:rsid w:val="49A2ADC3"/>
    <w:rsid w:val="49E48F67"/>
    <w:rsid w:val="49EAF3E2"/>
    <w:rsid w:val="4A04DE18"/>
    <w:rsid w:val="4A21C049"/>
    <w:rsid w:val="4A34E420"/>
    <w:rsid w:val="4A90FA5C"/>
    <w:rsid w:val="4AD0717C"/>
    <w:rsid w:val="4AD7E6A6"/>
    <w:rsid w:val="4B177BFA"/>
    <w:rsid w:val="4B209078"/>
    <w:rsid w:val="4B880240"/>
    <w:rsid w:val="4BADBF88"/>
    <w:rsid w:val="4BB2EC87"/>
    <w:rsid w:val="4BBFC76C"/>
    <w:rsid w:val="4BEF70DD"/>
    <w:rsid w:val="4C0313BD"/>
    <w:rsid w:val="4C05CAF8"/>
    <w:rsid w:val="4C15A07F"/>
    <w:rsid w:val="4C4A18D5"/>
    <w:rsid w:val="4C67A917"/>
    <w:rsid w:val="4C84DD5A"/>
    <w:rsid w:val="4CBE66F1"/>
    <w:rsid w:val="4CD24875"/>
    <w:rsid w:val="4CF6C1F4"/>
    <w:rsid w:val="4D0D1546"/>
    <w:rsid w:val="4D1937A2"/>
    <w:rsid w:val="4D2D1E1C"/>
    <w:rsid w:val="4D3C96C4"/>
    <w:rsid w:val="4D44688A"/>
    <w:rsid w:val="4D46F617"/>
    <w:rsid w:val="4D532B97"/>
    <w:rsid w:val="4D91ACBA"/>
    <w:rsid w:val="4DB4C5C4"/>
    <w:rsid w:val="4DCF9A65"/>
    <w:rsid w:val="4DDE68E9"/>
    <w:rsid w:val="4DE4D508"/>
    <w:rsid w:val="4E47B6F0"/>
    <w:rsid w:val="4E72DA52"/>
    <w:rsid w:val="4E7732A3"/>
    <w:rsid w:val="4E7C5483"/>
    <w:rsid w:val="4E972A20"/>
    <w:rsid w:val="4EB4A422"/>
    <w:rsid w:val="4EC12517"/>
    <w:rsid w:val="4EC4D9EB"/>
    <w:rsid w:val="4EC63776"/>
    <w:rsid w:val="4EEBEADF"/>
    <w:rsid w:val="4F16356B"/>
    <w:rsid w:val="4F35A39F"/>
    <w:rsid w:val="4F46F037"/>
    <w:rsid w:val="4F4E93EE"/>
    <w:rsid w:val="4F5E81CC"/>
    <w:rsid w:val="4F71551E"/>
    <w:rsid w:val="4F8DB236"/>
    <w:rsid w:val="4F98FDBE"/>
    <w:rsid w:val="4F9CBA23"/>
    <w:rsid w:val="4FA5EA31"/>
    <w:rsid w:val="4FCA781C"/>
    <w:rsid w:val="4FFD526B"/>
    <w:rsid w:val="50017B43"/>
    <w:rsid w:val="50127D11"/>
    <w:rsid w:val="501B1580"/>
    <w:rsid w:val="5039592C"/>
    <w:rsid w:val="50508D44"/>
    <w:rsid w:val="506864A9"/>
    <w:rsid w:val="507C424F"/>
    <w:rsid w:val="507DC758"/>
    <w:rsid w:val="50A3A19D"/>
    <w:rsid w:val="50AF2A4C"/>
    <w:rsid w:val="50B86C6E"/>
    <w:rsid w:val="50BAF021"/>
    <w:rsid w:val="50E0C48A"/>
    <w:rsid w:val="50EB92B5"/>
    <w:rsid w:val="514307C0"/>
    <w:rsid w:val="51698B4A"/>
    <w:rsid w:val="5181C8D1"/>
    <w:rsid w:val="51A83CF1"/>
    <w:rsid w:val="51AA94A4"/>
    <w:rsid w:val="51F7CAF5"/>
    <w:rsid w:val="5241D308"/>
    <w:rsid w:val="5265124A"/>
    <w:rsid w:val="527792CA"/>
    <w:rsid w:val="52D9A9CB"/>
    <w:rsid w:val="52EA3ACB"/>
    <w:rsid w:val="52FD8F29"/>
    <w:rsid w:val="5312EF0E"/>
    <w:rsid w:val="532EDE17"/>
    <w:rsid w:val="53408408"/>
    <w:rsid w:val="5349E077"/>
    <w:rsid w:val="535BF022"/>
    <w:rsid w:val="53754FDD"/>
    <w:rsid w:val="53A61E59"/>
    <w:rsid w:val="53C955C8"/>
    <w:rsid w:val="53F3AE80"/>
    <w:rsid w:val="54215903"/>
    <w:rsid w:val="542D624A"/>
    <w:rsid w:val="543630C9"/>
    <w:rsid w:val="54757A2C"/>
    <w:rsid w:val="54877F4C"/>
    <w:rsid w:val="5489D46A"/>
    <w:rsid w:val="54A1C64A"/>
    <w:rsid w:val="54AC8D49"/>
    <w:rsid w:val="54BED21B"/>
    <w:rsid w:val="55222873"/>
    <w:rsid w:val="5540988C"/>
    <w:rsid w:val="555E09C3"/>
    <w:rsid w:val="559EEC1D"/>
    <w:rsid w:val="55AE6793"/>
    <w:rsid w:val="560D623F"/>
    <w:rsid w:val="5628FECA"/>
    <w:rsid w:val="562A72EA"/>
    <w:rsid w:val="562E8D75"/>
    <w:rsid w:val="56B00EC7"/>
    <w:rsid w:val="572C9CE5"/>
    <w:rsid w:val="57309EA9"/>
    <w:rsid w:val="5748B6D7"/>
    <w:rsid w:val="577919A6"/>
    <w:rsid w:val="57A2B1A2"/>
    <w:rsid w:val="58194D44"/>
    <w:rsid w:val="5837F42F"/>
    <w:rsid w:val="583ACA43"/>
    <w:rsid w:val="58540BCC"/>
    <w:rsid w:val="586189C6"/>
    <w:rsid w:val="5882FE16"/>
    <w:rsid w:val="58D48A8F"/>
    <w:rsid w:val="58F8BBF4"/>
    <w:rsid w:val="591CD079"/>
    <w:rsid w:val="5948EB4F"/>
    <w:rsid w:val="595AE105"/>
    <w:rsid w:val="595D296D"/>
    <w:rsid w:val="59750C29"/>
    <w:rsid w:val="5996C116"/>
    <w:rsid w:val="599E5F13"/>
    <w:rsid w:val="59D5688B"/>
    <w:rsid w:val="59D78C39"/>
    <w:rsid w:val="59E87231"/>
    <w:rsid w:val="59EB1899"/>
    <w:rsid w:val="5A2E9DF0"/>
    <w:rsid w:val="5A3E5C81"/>
    <w:rsid w:val="5A48B653"/>
    <w:rsid w:val="5A6FA42E"/>
    <w:rsid w:val="5A7A1CAE"/>
    <w:rsid w:val="5AA3D3FE"/>
    <w:rsid w:val="5AA42577"/>
    <w:rsid w:val="5AC1B600"/>
    <w:rsid w:val="5AD9CEF9"/>
    <w:rsid w:val="5AE4BBB0"/>
    <w:rsid w:val="5B0189DB"/>
    <w:rsid w:val="5B31080E"/>
    <w:rsid w:val="5B3C3EE8"/>
    <w:rsid w:val="5B56E2F2"/>
    <w:rsid w:val="5B571524"/>
    <w:rsid w:val="5B622AD4"/>
    <w:rsid w:val="5B82E3B6"/>
    <w:rsid w:val="5B8B9B29"/>
    <w:rsid w:val="5B9C0C13"/>
    <w:rsid w:val="5BC9F91F"/>
    <w:rsid w:val="5BDE036C"/>
    <w:rsid w:val="5BF76BD3"/>
    <w:rsid w:val="5C3757D3"/>
    <w:rsid w:val="5CA0B11C"/>
    <w:rsid w:val="5CA701EB"/>
    <w:rsid w:val="5CBA6AD3"/>
    <w:rsid w:val="5D07EE56"/>
    <w:rsid w:val="5D2511C7"/>
    <w:rsid w:val="5D7DC719"/>
    <w:rsid w:val="5D7F958E"/>
    <w:rsid w:val="5D936B0F"/>
    <w:rsid w:val="5DB235E4"/>
    <w:rsid w:val="5E172966"/>
    <w:rsid w:val="5E1C5C72"/>
    <w:rsid w:val="5E36D0DA"/>
    <w:rsid w:val="5E5A453D"/>
    <w:rsid w:val="5E6A34ED"/>
    <w:rsid w:val="5E83FCCE"/>
    <w:rsid w:val="5E85AF01"/>
    <w:rsid w:val="5EA3CCFF"/>
    <w:rsid w:val="5EDF53D0"/>
    <w:rsid w:val="5EF71EA2"/>
    <w:rsid w:val="5F08746A"/>
    <w:rsid w:val="5F0D51A7"/>
    <w:rsid w:val="5F0F22A7"/>
    <w:rsid w:val="5F19977A"/>
    <w:rsid w:val="5F1D4441"/>
    <w:rsid w:val="5F6C8B77"/>
    <w:rsid w:val="5FA19488"/>
    <w:rsid w:val="5FD44180"/>
    <w:rsid w:val="5FFC2C99"/>
    <w:rsid w:val="60084949"/>
    <w:rsid w:val="603C6344"/>
    <w:rsid w:val="603F9D60"/>
    <w:rsid w:val="605A31E4"/>
    <w:rsid w:val="605F0C4C"/>
    <w:rsid w:val="606C8C9A"/>
    <w:rsid w:val="6095BC83"/>
    <w:rsid w:val="60B567DB"/>
    <w:rsid w:val="61049D32"/>
    <w:rsid w:val="6124E7D1"/>
    <w:rsid w:val="61B02764"/>
    <w:rsid w:val="61B2DA07"/>
    <w:rsid w:val="61BD4C46"/>
    <w:rsid w:val="61C89045"/>
    <w:rsid w:val="61ECE780"/>
    <w:rsid w:val="61F3D8E7"/>
    <w:rsid w:val="620626F2"/>
    <w:rsid w:val="623D751D"/>
    <w:rsid w:val="6255A38F"/>
    <w:rsid w:val="6264671D"/>
    <w:rsid w:val="629A10AA"/>
    <w:rsid w:val="62AF6266"/>
    <w:rsid w:val="62D9476F"/>
    <w:rsid w:val="62FB1F13"/>
    <w:rsid w:val="63419B87"/>
    <w:rsid w:val="6352D1B5"/>
    <w:rsid w:val="63666AB9"/>
    <w:rsid w:val="6370E5F7"/>
    <w:rsid w:val="6381C6BD"/>
    <w:rsid w:val="63833FB2"/>
    <w:rsid w:val="63F599C5"/>
    <w:rsid w:val="64247925"/>
    <w:rsid w:val="642E1B3A"/>
    <w:rsid w:val="64502C41"/>
    <w:rsid w:val="64593ADD"/>
    <w:rsid w:val="64920868"/>
    <w:rsid w:val="64A78018"/>
    <w:rsid w:val="6538DA0F"/>
    <w:rsid w:val="65402FC8"/>
    <w:rsid w:val="65506481"/>
    <w:rsid w:val="656E775F"/>
    <w:rsid w:val="65BED621"/>
    <w:rsid w:val="65C49DD7"/>
    <w:rsid w:val="65EE415A"/>
    <w:rsid w:val="661DED96"/>
    <w:rsid w:val="664071D2"/>
    <w:rsid w:val="6659174A"/>
    <w:rsid w:val="667C14C2"/>
    <w:rsid w:val="66DA5485"/>
    <w:rsid w:val="66F1438D"/>
    <w:rsid w:val="6704B81A"/>
    <w:rsid w:val="671F8AC3"/>
    <w:rsid w:val="6748A79C"/>
    <w:rsid w:val="674EDA08"/>
    <w:rsid w:val="6779759D"/>
    <w:rsid w:val="67BD8A2E"/>
    <w:rsid w:val="6866E3A9"/>
    <w:rsid w:val="686D155F"/>
    <w:rsid w:val="68730AF8"/>
    <w:rsid w:val="6886E118"/>
    <w:rsid w:val="688DC230"/>
    <w:rsid w:val="689D90B7"/>
    <w:rsid w:val="68B90C6A"/>
    <w:rsid w:val="68EDF853"/>
    <w:rsid w:val="68FC8933"/>
    <w:rsid w:val="6912B3E9"/>
    <w:rsid w:val="69349940"/>
    <w:rsid w:val="69D5519B"/>
    <w:rsid w:val="6A0CDA2C"/>
    <w:rsid w:val="6A0EF911"/>
    <w:rsid w:val="6A225B7F"/>
    <w:rsid w:val="6A41952A"/>
    <w:rsid w:val="6A52D20C"/>
    <w:rsid w:val="6A648074"/>
    <w:rsid w:val="6A79E34D"/>
    <w:rsid w:val="6A7CABB7"/>
    <w:rsid w:val="6A7F387B"/>
    <w:rsid w:val="6A7F6A48"/>
    <w:rsid w:val="6AFEC4C2"/>
    <w:rsid w:val="6B0EB9B7"/>
    <w:rsid w:val="6B57F99F"/>
    <w:rsid w:val="6B58FDCB"/>
    <w:rsid w:val="6B8EADE5"/>
    <w:rsid w:val="6B8FECA4"/>
    <w:rsid w:val="6BA3423B"/>
    <w:rsid w:val="6BC4D933"/>
    <w:rsid w:val="6BD45F49"/>
    <w:rsid w:val="6BDB8A6C"/>
    <w:rsid w:val="6C1E6276"/>
    <w:rsid w:val="6C2593A2"/>
    <w:rsid w:val="6C572EA6"/>
    <w:rsid w:val="6CACC573"/>
    <w:rsid w:val="6CCC03A7"/>
    <w:rsid w:val="6CE6FB43"/>
    <w:rsid w:val="6CF537EB"/>
    <w:rsid w:val="6D278E81"/>
    <w:rsid w:val="6D3D935F"/>
    <w:rsid w:val="6D661DDD"/>
    <w:rsid w:val="6D810D2A"/>
    <w:rsid w:val="6D8A72CE"/>
    <w:rsid w:val="6D965BC4"/>
    <w:rsid w:val="6DC4D295"/>
    <w:rsid w:val="6DD0DD04"/>
    <w:rsid w:val="6DDCC068"/>
    <w:rsid w:val="6DF063BE"/>
    <w:rsid w:val="6DF3E7C4"/>
    <w:rsid w:val="6E2650C1"/>
    <w:rsid w:val="6E44AF25"/>
    <w:rsid w:val="6E64476D"/>
    <w:rsid w:val="6E981EAA"/>
    <w:rsid w:val="6EA658DB"/>
    <w:rsid w:val="6EC07D57"/>
    <w:rsid w:val="6EE54088"/>
    <w:rsid w:val="6F04F79F"/>
    <w:rsid w:val="6F0B83C9"/>
    <w:rsid w:val="6F1771B9"/>
    <w:rsid w:val="6F256687"/>
    <w:rsid w:val="6F2B3F7A"/>
    <w:rsid w:val="6F3C43BF"/>
    <w:rsid w:val="6F5CAE74"/>
    <w:rsid w:val="6F724A01"/>
    <w:rsid w:val="6F8AB267"/>
    <w:rsid w:val="70223016"/>
    <w:rsid w:val="703B7F8E"/>
    <w:rsid w:val="7057A2A6"/>
    <w:rsid w:val="70C5E025"/>
    <w:rsid w:val="70E44265"/>
    <w:rsid w:val="70F3D911"/>
    <w:rsid w:val="712A8B01"/>
    <w:rsid w:val="7142C2FC"/>
    <w:rsid w:val="7166981F"/>
    <w:rsid w:val="71912988"/>
    <w:rsid w:val="71B4EED3"/>
    <w:rsid w:val="723C1DA5"/>
    <w:rsid w:val="72697B12"/>
    <w:rsid w:val="72D784BD"/>
    <w:rsid w:val="72F806C1"/>
    <w:rsid w:val="7326D73F"/>
    <w:rsid w:val="7332CC8A"/>
    <w:rsid w:val="73419A5E"/>
    <w:rsid w:val="73641F60"/>
    <w:rsid w:val="738047EE"/>
    <w:rsid w:val="73854AD8"/>
    <w:rsid w:val="738B98A2"/>
    <w:rsid w:val="73A4E76F"/>
    <w:rsid w:val="73CF6F4E"/>
    <w:rsid w:val="73E04EE8"/>
    <w:rsid w:val="740DCF76"/>
    <w:rsid w:val="74192639"/>
    <w:rsid w:val="742F05E4"/>
    <w:rsid w:val="74323D6B"/>
    <w:rsid w:val="74502A98"/>
    <w:rsid w:val="7488B9D5"/>
    <w:rsid w:val="74991713"/>
    <w:rsid w:val="74C704FA"/>
    <w:rsid w:val="74DF9572"/>
    <w:rsid w:val="7507C081"/>
    <w:rsid w:val="7543F9CE"/>
    <w:rsid w:val="75B38F82"/>
    <w:rsid w:val="761B4880"/>
    <w:rsid w:val="762C574A"/>
    <w:rsid w:val="762FE31F"/>
    <w:rsid w:val="76402AE1"/>
    <w:rsid w:val="764E7640"/>
    <w:rsid w:val="7685A877"/>
    <w:rsid w:val="76913B97"/>
    <w:rsid w:val="76D2D456"/>
    <w:rsid w:val="76FB4D9D"/>
    <w:rsid w:val="7711097A"/>
    <w:rsid w:val="771D67F2"/>
    <w:rsid w:val="771DC07A"/>
    <w:rsid w:val="7727CDD3"/>
    <w:rsid w:val="7758D571"/>
    <w:rsid w:val="776584F3"/>
    <w:rsid w:val="7773FEE1"/>
    <w:rsid w:val="77879172"/>
    <w:rsid w:val="779BF88F"/>
    <w:rsid w:val="77A854E1"/>
    <w:rsid w:val="77BF5F9E"/>
    <w:rsid w:val="77C81451"/>
    <w:rsid w:val="7829DCC5"/>
    <w:rsid w:val="784640EA"/>
    <w:rsid w:val="7855C01F"/>
    <w:rsid w:val="78646469"/>
    <w:rsid w:val="78868FC0"/>
    <w:rsid w:val="788962D4"/>
    <w:rsid w:val="79891847"/>
    <w:rsid w:val="79ADEB46"/>
    <w:rsid w:val="7A0EEDE8"/>
    <w:rsid w:val="7A1875BC"/>
    <w:rsid w:val="7A471BBD"/>
    <w:rsid w:val="7A653691"/>
    <w:rsid w:val="7A74D468"/>
    <w:rsid w:val="7A950E86"/>
    <w:rsid w:val="7AB726FF"/>
    <w:rsid w:val="7AB84129"/>
    <w:rsid w:val="7AD333AF"/>
    <w:rsid w:val="7AF45C64"/>
    <w:rsid w:val="7B0905F6"/>
    <w:rsid w:val="7B17A796"/>
    <w:rsid w:val="7B8F7B1E"/>
    <w:rsid w:val="7B9D58FB"/>
    <w:rsid w:val="7B9F241F"/>
    <w:rsid w:val="7BBC35BE"/>
    <w:rsid w:val="7BDB5715"/>
    <w:rsid w:val="7BEC16AA"/>
    <w:rsid w:val="7C14F386"/>
    <w:rsid w:val="7C1BE14B"/>
    <w:rsid w:val="7C3701E6"/>
    <w:rsid w:val="7C3EA872"/>
    <w:rsid w:val="7C561E90"/>
    <w:rsid w:val="7C5B0295"/>
    <w:rsid w:val="7CA504E0"/>
    <w:rsid w:val="7CA8A9B4"/>
    <w:rsid w:val="7CAD21E6"/>
    <w:rsid w:val="7CC32D1F"/>
    <w:rsid w:val="7CF62F67"/>
    <w:rsid w:val="7CFBDA67"/>
    <w:rsid w:val="7D487FC2"/>
    <w:rsid w:val="7D76EA53"/>
    <w:rsid w:val="7D910A56"/>
    <w:rsid w:val="7DE7E2A5"/>
    <w:rsid w:val="7DF02167"/>
    <w:rsid w:val="7DFDB0BD"/>
    <w:rsid w:val="7E073E03"/>
    <w:rsid w:val="7E1F0A7C"/>
    <w:rsid w:val="7E44B98C"/>
    <w:rsid w:val="7EF1D110"/>
    <w:rsid w:val="7F0B65A1"/>
    <w:rsid w:val="7F508950"/>
    <w:rsid w:val="7F64F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7C"/>
    <w:rPr>
      <w:rFonts w:ascii="Palatino Linotype" w:hAnsi="Palatino Linotype"/>
      <w:sz w:val="24"/>
      <w:szCs w:val="24"/>
    </w:rPr>
  </w:style>
  <w:style w:type="paragraph" w:styleId="Heading1">
    <w:name w:val="heading 1"/>
    <w:basedOn w:val="Normal"/>
    <w:next w:val="Normal"/>
    <w:link w:val="Heading1Char"/>
    <w:uiPriority w:val="9"/>
    <w:qFormat/>
    <w:rsid w:val="003F13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widowControl w:val="0"/>
      <w:tabs>
        <w:tab w:val="center" w:pos="4320"/>
        <w:tab w:val="right" w:pos="8640"/>
      </w:tabs>
    </w:pPr>
    <w:rPr>
      <w:rFonts w:ascii="Palatino" w:eastAsia="Palatino" w:hAnsi="Palatino" w:cs="Palatino"/>
      <w:color w:val="000000"/>
      <w:sz w:val="26"/>
      <w:szCs w:val="26"/>
      <w:u w:color="000000"/>
    </w:rPr>
  </w:style>
  <w:style w:type="paragraph" w:styleId="Footer">
    <w:name w:val="footer"/>
    <w:link w:val="FooterChar"/>
    <w:uiPriority w:val="99"/>
    <w:pPr>
      <w:tabs>
        <w:tab w:val="center" w:pos="4320"/>
        <w:tab w:val="right" w:pos="8640"/>
      </w:tabs>
      <w:jc w:val="center"/>
    </w:pPr>
    <w:rPr>
      <w:rFonts w:ascii="Palatino" w:eastAsia="Palatino" w:hAnsi="Palatino" w:cs="Palatino"/>
      <w:color w:val="000000"/>
      <w:sz w:val="26"/>
      <w:szCs w:val="26"/>
      <w:u w:color="000000"/>
    </w:rPr>
  </w:style>
  <w:style w:type="paragraph" w:customStyle="1" w:styleId="titlebar">
    <w:name w:val="title bar"/>
    <w:pPr>
      <w:keepNext/>
      <w:suppressAutoHyphens/>
      <w:jc w:val="center"/>
    </w:pPr>
    <w:rPr>
      <w:rFonts w:ascii="Helvetica" w:eastAsia="Helvetica" w:hAnsi="Helvetica" w:cs="Helvetica"/>
      <w:b/>
      <w:bCs/>
      <w:color w:val="000000"/>
      <w:sz w:val="26"/>
      <w:szCs w:val="26"/>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mainex">
    <w:name w:val="mainex"/>
    <w:pPr>
      <w:keepNext/>
      <w:jc w:val="center"/>
    </w:pPr>
    <w:rPr>
      <w:rFonts w:ascii="Helvetica" w:eastAsia="Helvetica" w:hAnsi="Helvetica" w:cs="Helvetica"/>
      <w:b/>
      <w:bCs/>
      <w:color w:val="000000"/>
      <w:spacing w:val="120"/>
      <w:sz w:val="26"/>
      <w:szCs w:val="26"/>
      <w:u w:color="000000"/>
    </w:rPr>
  </w:style>
  <w:style w:type="paragraph" w:customStyle="1" w:styleId="Res-Caption">
    <w:name w:val="Res-Caption"/>
    <w:pPr>
      <w:ind w:left="720" w:right="720"/>
    </w:pPr>
    <w:rPr>
      <w:rFonts w:ascii="Palatino" w:eastAsia="Palatino" w:hAnsi="Palatino" w:cs="Palatino"/>
      <w:color w:val="000000"/>
      <w:sz w:val="26"/>
      <w:szCs w:val="26"/>
      <w:u w:color="000000"/>
    </w:rPr>
  </w:style>
  <w:style w:type="paragraph" w:styleId="ListParagraph">
    <w:name w:val="List Paragraph"/>
    <w:uiPriority w:val="34"/>
    <w:qFormat/>
    <w:pPr>
      <w:ind w:left="720"/>
    </w:pPr>
    <w:rPr>
      <w:rFonts w:ascii="Palatino" w:eastAsia="Palatino" w:hAnsi="Palatino" w:cs="Palatino"/>
      <w:color w:val="000000"/>
      <w:sz w:val="26"/>
      <w:szCs w:val="26"/>
      <w:u w:color="000000"/>
    </w:rPr>
  </w:style>
  <w:style w:type="numbering" w:customStyle="1" w:styleId="List0">
    <w:name w:val="List 0"/>
    <w:basedOn w:val="NoList"/>
    <w:pPr>
      <w:numPr>
        <w:numId w:val="2"/>
      </w:numPr>
    </w:pPr>
  </w:style>
  <w:style w:type="numbering" w:customStyle="1" w:styleId="List1">
    <w:name w:val="List 1"/>
    <w:basedOn w:val="NoList"/>
    <w:pPr>
      <w:numPr>
        <w:numId w:val="3"/>
      </w:numPr>
    </w:pPr>
  </w:style>
  <w:style w:type="paragraph" w:customStyle="1" w:styleId="Heading">
    <w:name w:val="Heading"/>
    <w:pPr>
      <w:keepNext/>
      <w:spacing w:before="120" w:after="240"/>
      <w:outlineLvl w:val="0"/>
    </w:pPr>
    <w:rPr>
      <w:rFonts w:ascii="Helvetica" w:eastAsia="Helvetica" w:hAnsi="Helvetica" w:cs="Helvetica"/>
      <w:b/>
      <w:bCs/>
      <w:caps/>
      <w:color w:val="000000"/>
      <w:kern w:val="28"/>
      <w:sz w:val="26"/>
      <w:szCs w:val="26"/>
      <w:u w:val="single" w:color="000000"/>
      <w:lang w:val="sv-SE"/>
    </w:rPr>
  </w:style>
  <w:style w:type="paragraph" w:styleId="FootnoteText">
    <w:name w:val="footnote text"/>
    <w:link w:val="FootnoteTextChar"/>
    <w:uiPriority w:val="99"/>
    <w:pPr>
      <w:spacing w:after="240"/>
    </w:pPr>
    <w:rPr>
      <w:rFonts w:ascii="Palatino" w:eastAsia="Palatino" w:hAnsi="Palatino" w:cs="Palatino"/>
      <w:color w:val="000000"/>
      <w:sz w:val="24"/>
      <w:szCs w:val="24"/>
      <w:u w:color="000000"/>
    </w:rPr>
  </w:style>
  <w:style w:type="numbering" w:customStyle="1" w:styleId="List21">
    <w:name w:val="List 21"/>
    <w:basedOn w:val="NoList"/>
    <w:pPr>
      <w:numPr>
        <w:numId w:val="4"/>
      </w:numPr>
    </w:pPr>
  </w:style>
  <w:style w:type="numbering" w:customStyle="1" w:styleId="List31">
    <w:name w:val="List 31"/>
    <w:basedOn w:val="NoList"/>
    <w:pPr>
      <w:numPr>
        <w:numId w:val="5"/>
      </w:numPr>
    </w:pPr>
  </w:style>
  <w:style w:type="character" w:styleId="FootnoteReference">
    <w:name w:val="footnote reference"/>
    <w:basedOn w:val="DefaultParagraphFont"/>
    <w:uiPriority w:val="99"/>
    <w:semiHidden/>
    <w:unhideWhenUsed/>
    <w:rsid w:val="00EC5169"/>
    <w:rPr>
      <w:vertAlign w:val="superscript"/>
    </w:rPr>
  </w:style>
  <w:style w:type="numbering" w:customStyle="1" w:styleId="List41">
    <w:name w:val="List 41"/>
    <w:basedOn w:val="NoList"/>
    <w:rsid w:val="00516C7C"/>
    <w:pPr>
      <w:numPr>
        <w:numId w:val="6"/>
      </w:numPr>
    </w:pPr>
  </w:style>
  <w:style w:type="numbering" w:customStyle="1" w:styleId="List51">
    <w:name w:val="List 51"/>
    <w:basedOn w:val="NoList"/>
    <w:rsid w:val="00516C7C"/>
    <w:pPr>
      <w:numPr>
        <w:numId w:val="7"/>
      </w:numPr>
    </w:pPr>
  </w:style>
  <w:style w:type="paragraph" w:styleId="BalloonText">
    <w:name w:val="Balloon Text"/>
    <w:basedOn w:val="Normal"/>
    <w:link w:val="BalloonTextChar"/>
    <w:uiPriority w:val="99"/>
    <w:semiHidden/>
    <w:unhideWhenUsed/>
    <w:rsid w:val="004F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77"/>
    <w:rPr>
      <w:rFonts w:ascii="Segoe UI" w:hAnsi="Segoe UI" w:cs="Segoe UI"/>
      <w:sz w:val="18"/>
      <w:szCs w:val="18"/>
    </w:rPr>
  </w:style>
  <w:style w:type="character" w:styleId="CommentReference">
    <w:name w:val="annotation reference"/>
    <w:basedOn w:val="DefaultParagraphFont"/>
    <w:uiPriority w:val="99"/>
    <w:semiHidden/>
    <w:unhideWhenUsed/>
    <w:rsid w:val="00A73BD9"/>
    <w:rPr>
      <w:sz w:val="16"/>
      <w:szCs w:val="16"/>
    </w:rPr>
  </w:style>
  <w:style w:type="paragraph" w:styleId="CommentText">
    <w:name w:val="annotation text"/>
    <w:basedOn w:val="Normal"/>
    <w:link w:val="CommentTextChar"/>
    <w:uiPriority w:val="99"/>
    <w:unhideWhenUsed/>
    <w:rsid w:val="00A73BD9"/>
    <w:rPr>
      <w:sz w:val="20"/>
      <w:szCs w:val="20"/>
    </w:rPr>
  </w:style>
  <w:style w:type="character" w:customStyle="1" w:styleId="CommentTextChar">
    <w:name w:val="Comment Text Char"/>
    <w:basedOn w:val="DefaultParagraphFont"/>
    <w:link w:val="CommentText"/>
    <w:uiPriority w:val="99"/>
    <w:rsid w:val="00A73BD9"/>
  </w:style>
  <w:style w:type="paragraph" w:styleId="CommentSubject">
    <w:name w:val="annotation subject"/>
    <w:basedOn w:val="CommentText"/>
    <w:next w:val="CommentText"/>
    <w:link w:val="CommentSubjectChar"/>
    <w:uiPriority w:val="99"/>
    <w:semiHidden/>
    <w:unhideWhenUsed/>
    <w:rsid w:val="00A73BD9"/>
    <w:rPr>
      <w:b/>
      <w:bCs/>
    </w:rPr>
  </w:style>
  <w:style w:type="character" w:customStyle="1" w:styleId="CommentSubjectChar">
    <w:name w:val="Comment Subject Char"/>
    <w:basedOn w:val="CommentTextChar"/>
    <w:link w:val="CommentSubject"/>
    <w:uiPriority w:val="99"/>
    <w:semiHidden/>
    <w:rsid w:val="00A73BD9"/>
    <w:rPr>
      <w:b/>
      <w:bCs/>
    </w:rPr>
  </w:style>
  <w:style w:type="paragraph" w:styleId="Revision">
    <w:name w:val="Revision"/>
    <w:hidden/>
    <w:uiPriority w:val="99"/>
    <w:semiHidden/>
    <w:rsid w:val="000224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6F52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CB6698"/>
    <w:rPr>
      <w:rFonts w:ascii="Palatino Linotype" w:hAnsi="Palatino Linotype"/>
      <w:szCs w:val="24"/>
    </w:rPr>
  </w:style>
  <w:style w:type="paragraph" w:customStyle="1" w:styleId="Default">
    <w:name w:val="Default"/>
    <w:rsid w:val="00E167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hAnsi="Palatino Linotype" w:cs="Palatino Linotype"/>
      <w:color w:val="000000"/>
      <w:sz w:val="24"/>
      <w:szCs w:val="24"/>
    </w:rPr>
  </w:style>
  <w:style w:type="paragraph" w:customStyle="1" w:styleId="module--definitionsdefinition">
    <w:name w:val="module--definitions__definition"/>
    <w:basedOn w:val="Normal"/>
    <w:rsid w:val="00734C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unhideWhenUsed/>
    <w:rsid w:val="000D7F1F"/>
    <w:rPr>
      <w:color w:val="605E5C"/>
      <w:shd w:val="clear" w:color="auto" w:fill="E1DFDD"/>
    </w:rPr>
  </w:style>
  <w:style w:type="character" w:styleId="FollowedHyperlink">
    <w:name w:val="FollowedHyperlink"/>
    <w:basedOn w:val="DefaultParagraphFont"/>
    <w:uiPriority w:val="99"/>
    <w:semiHidden/>
    <w:unhideWhenUsed/>
    <w:rsid w:val="000D7F1F"/>
    <w:rPr>
      <w:color w:val="954F72" w:themeColor="followedHyperlink"/>
      <w:u w:val="single"/>
    </w:rPr>
  </w:style>
  <w:style w:type="character" w:styleId="Mention">
    <w:name w:val="Mention"/>
    <w:basedOn w:val="DefaultParagraphFont"/>
    <w:uiPriority w:val="99"/>
    <w:unhideWhenUsed/>
    <w:rsid w:val="000D1117"/>
    <w:rPr>
      <w:color w:val="2B579A"/>
      <w:shd w:val="clear" w:color="auto" w:fill="E1DFDD"/>
    </w:rPr>
  </w:style>
  <w:style w:type="table" w:styleId="TableGrid">
    <w:name w:val="Table Grid"/>
    <w:basedOn w:val="TableNormal"/>
    <w:uiPriority w:val="39"/>
    <w:rsid w:val="006F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13F6"/>
    <w:rPr>
      <w:rFonts w:asciiTheme="majorHAnsi" w:eastAsiaTheme="majorEastAsia" w:hAnsiTheme="majorHAnsi" w:cstheme="majorBidi"/>
      <w:color w:val="2F5496" w:themeColor="accent1" w:themeShade="BF"/>
      <w:sz w:val="32"/>
      <w:szCs w:val="32"/>
    </w:rPr>
  </w:style>
  <w:style w:type="paragraph" w:customStyle="1" w:styleId="Footnoteindented">
    <w:name w:val="Footnote indented"/>
    <w:basedOn w:val="Normal"/>
    <w:qFormat/>
    <w:rsid w:val="003D39C3"/>
    <w:pPr>
      <w:pBdr>
        <w:top w:val="none" w:sz="0" w:space="0" w:color="auto"/>
        <w:left w:val="none" w:sz="0" w:space="0" w:color="auto"/>
        <w:bottom w:val="none" w:sz="0" w:space="0" w:color="auto"/>
        <w:right w:val="none" w:sz="0" w:space="0" w:color="auto"/>
        <w:between w:val="none" w:sz="0" w:space="0" w:color="auto"/>
        <w:bar w:val="none" w:sz="0" w:color="auto"/>
      </w:pBdr>
      <w:ind w:left="547" w:right="1282"/>
      <w:jc w:val="both"/>
    </w:pPr>
    <w:rPr>
      <w:rFonts w:ascii="Times New Roman" w:eastAsia="Times New Roman" w:hAnsi="Times New Roman"/>
      <w:sz w:val="20"/>
      <w:szCs w:val="20"/>
      <w:bdr w:val="none" w:sz="0" w:space="0" w:color="auto"/>
    </w:rPr>
  </w:style>
  <w:style w:type="character" w:customStyle="1" w:styleId="FootnoteTextChar">
    <w:name w:val="Footnote Text Char"/>
    <w:basedOn w:val="DefaultParagraphFont"/>
    <w:link w:val="FootnoteText"/>
    <w:uiPriority w:val="99"/>
    <w:rsid w:val="003D39C3"/>
    <w:rPr>
      <w:rFonts w:ascii="Palatino" w:eastAsia="Palatino" w:hAnsi="Palatino" w:cs="Palatino"/>
      <w:color w:val="000000"/>
      <w:sz w:val="24"/>
      <w:szCs w:val="24"/>
      <w:u w:color="000000"/>
    </w:rPr>
  </w:style>
  <w:style w:type="character" w:customStyle="1" w:styleId="FooterChar">
    <w:name w:val="Footer Char"/>
    <w:basedOn w:val="DefaultParagraphFont"/>
    <w:link w:val="Footer"/>
    <w:uiPriority w:val="99"/>
    <w:rsid w:val="003D39C3"/>
    <w:rPr>
      <w:rFonts w:ascii="Palatino" w:eastAsia="Palatino" w:hAnsi="Palatino" w:cs="Palatino"/>
      <w:color w:val="000000"/>
      <w:sz w:val="26"/>
      <w:szCs w:val="26"/>
      <w:u w:color="000000"/>
    </w:rPr>
  </w:style>
  <w:style w:type="character" w:styleId="PageNumber">
    <w:name w:val="page number"/>
    <w:basedOn w:val="DefaultParagraphFont"/>
    <w:uiPriority w:val="99"/>
    <w:semiHidden/>
    <w:unhideWhenUsed/>
    <w:rsid w:val="003D39C3"/>
  </w:style>
  <w:style w:type="character" w:customStyle="1" w:styleId="HeaderChar">
    <w:name w:val="Header Char"/>
    <w:basedOn w:val="DefaultParagraphFont"/>
    <w:link w:val="Header"/>
    <w:uiPriority w:val="99"/>
    <w:rsid w:val="003D39C3"/>
    <w:rPr>
      <w:rFonts w:ascii="Palatino" w:eastAsia="Palatino" w:hAnsi="Palatino" w:cs="Palatino"/>
      <w:color w:val="000000"/>
      <w:sz w:val="26"/>
      <w:szCs w:val="26"/>
      <w:u w:color="000000"/>
    </w:rPr>
  </w:style>
  <w:style w:type="numbering" w:customStyle="1" w:styleId="CurrentList1">
    <w:name w:val="Current List1"/>
    <w:uiPriority w:val="99"/>
    <w:rsid w:val="002C1CC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7">
      <w:bodyDiv w:val="1"/>
      <w:marLeft w:val="0"/>
      <w:marRight w:val="0"/>
      <w:marTop w:val="0"/>
      <w:marBottom w:val="0"/>
      <w:divBdr>
        <w:top w:val="none" w:sz="0" w:space="0" w:color="auto"/>
        <w:left w:val="none" w:sz="0" w:space="0" w:color="auto"/>
        <w:bottom w:val="none" w:sz="0" w:space="0" w:color="auto"/>
        <w:right w:val="none" w:sz="0" w:space="0" w:color="auto"/>
      </w:divBdr>
      <w:divsChild>
        <w:div w:id="1604918687">
          <w:marLeft w:val="0"/>
          <w:marRight w:val="0"/>
          <w:marTop w:val="0"/>
          <w:marBottom w:val="0"/>
          <w:divBdr>
            <w:top w:val="none" w:sz="0" w:space="0" w:color="auto"/>
            <w:left w:val="none" w:sz="0" w:space="0" w:color="auto"/>
            <w:bottom w:val="none" w:sz="0" w:space="0" w:color="auto"/>
            <w:right w:val="none" w:sz="0" w:space="0" w:color="auto"/>
          </w:divBdr>
          <w:divsChild>
            <w:div w:id="1365252384">
              <w:marLeft w:val="0"/>
              <w:marRight w:val="0"/>
              <w:marTop w:val="0"/>
              <w:marBottom w:val="0"/>
              <w:divBdr>
                <w:top w:val="none" w:sz="0" w:space="0" w:color="auto"/>
                <w:left w:val="none" w:sz="0" w:space="0" w:color="auto"/>
                <w:bottom w:val="none" w:sz="0" w:space="0" w:color="auto"/>
                <w:right w:val="none" w:sz="0" w:space="0" w:color="auto"/>
              </w:divBdr>
              <w:divsChild>
                <w:div w:id="1041906181">
                  <w:marLeft w:val="0"/>
                  <w:marRight w:val="0"/>
                  <w:marTop w:val="0"/>
                  <w:marBottom w:val="0"/>
                  <w:divBdr>
                    <w:top w:val="none" w:sz="0" w:space="0" w:color="auto"/>
                    <w:left w:val="none" w:sz="0" w:space="0" w:color="auto"/>
                    <w:bottom w:val="none" w:sz="0" w:space="0" w:color="auto"/>
                    <w:right w:val="none" w:sz="0" w:space="0" w:color="auto"/>
                  </w:divBdr>
                </w:div>
                <w:div w:id="19832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287">
      <w:bodyDiv w:val="1"/>
      <w:marLeft w:val="0"/>
      <w:marRight w:val="0"/>
      <w:marTop w:val="0"/>
      <w:marBottom w:val="0"/>
      <w:divBdr>
        <w:top w:val="none" w:sz="0" w:space="0" w:color="auto"/>
        <w:left w:val="none" w:sz="0" w:space="0" w:color="auto"/>
        <w:bottom w:val="none" w:sz="0" w:space="0" w:color="auto"/>
        <w:right w:val="none" w:sz="0" w:space="0" w:color="auto"/>
      </w:divBdr>
      <w:divsChild>
        <w:div w:id="2142454412">
          <w:marLeft w:val="0"/>
          <w:marRight w:val="0"/>
          <w:marTop w:val="0"/>
          <w:marBottom w:val="0"/>
          <w:divBdr>
            <w:top w:val="none" w:sz="0" w:space="0" w:color="auto"/>
            <w:left w:val="none" w:sz="0" w:space="0" w:color="auto"/>
            <w:bottom w:val="none" w:sz="0" w:space="0" w:color="auto"/>
            <w:right w:val="none" w:sz="0" w:space="0" w:color="auto"/>
          </w:divBdr>
          <w:divsChild>
            <w:div w:id="619341251">
              <w:marLeft w:val="0"/>
              <w:marRight w:val="0"/>
              <w:marTop w:val="0"/>
              <w:marBottom w:val="0"/>
              <w:divBdr>
                <w:top w:val="none" w:sz="0" w:space="0" w:color="auto"/>
                <w:left w:val="none" w:sz="0" w:space="0" w:color="auto"/>
                <w:bottom w:val="none" w:sz="0" w:space="0" w:color="auto"/>
                <w:right w:val="none" w:sz="0" w:space="0" w:color="auto"/>
              </w:divBdr>
              <w:divsChild>
                <w:div w:id="2659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906">
      <w:bodyDiv w:val="1"/>
      <w:marLeft w:val="0"/>
      <w:marRight w:val="0"/>
      <w:marTop w:val="0"/>
      <w:marBottom w:val="0"/>
      <w:divBdr>
        <w:top w:val="none" w:sz="0" w:space="0" w:color="auto"/>
        <w:left w:val="none" w:sz="0" w:space="0" w:color="auto"/>
        <w:bottom w:val="none" w:sz="0" w:space="0" w:color="auto"/>
        <w:right w:val="none" w:sz="0" w:space="0" w:color="auto"/>
      </w:divBdr>
      <w:divsChild>
        <w:div w:id="823854334">
          <w:marLeft w:val="0"/>
          <w:marRight w:val="0"/>
          <w:marTop w:val="0"/>
          <w:marBottom w:val="0"/>
          <w:divBdr>
            <w:top w:val="none" w:sz="0" w:space="0" w:color="auto"/>
            <w:left w:val="none" w:sz="0" w:space="0" w:color="auto"/>
            <w:bottom w:val="none" w:sz="0" w:space="0" w:color="auto"/>
            <w:right w:val="none" w:sz="0" w:space="0" w:color="auto"/>
          </w:divBdr>
          <w:divsChild>
            <w:div w:id="1901356894">
              <w:marLeft w:val="0"/>
              <w:marRight w:val="0"/>
              <w:marTop w:val="0"/>
              <w:marBottom w:val="0"/>
              <w:divBdr>
                <w:top w:val="none" w:sz="0" w:space="0" w:color="auto"/>
                <w:left w:val="none" w:sz="0" w:space="0" w:color="auto"/>
                <w:bottom w:val="none" w:sz="0" w:space="0" w:color="auto"/>
                <w:right w:val="none" w:sz="0" w:space="0" w:color="auto"/>
              </w:divBdr>
              <w:divsChild>
                <w:div w:id="1473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35">
      <w:bodyDiv w:val="1"/>
      <w:marLeft w:val="0"/>
      <w:marRight w:val="0"/>
      <w:marTop w:val="0"/>
      <w:marBottom w:val="0"/>
      <w:divBdr>
        <w:top w:val="none" w:sz="0" w:space="0" w:color="auto"/>
        <w:left w:val="none" w:sz="0" w:space="0" w:color="auto"/>
        <w:bottom w:val="none" w:sz="0" w:space="0" w:color="auto"/>
        <w:right w:val="none" w:sz="0" w:space="0" w:color="auto"/>
      </w:divBdr>
    </w:div>
    <w:div w:id="182208945">
      <w:bodyDiv w:val="1"/>
      <w:marLeft w:val="0"/>
      <w:marRight w:val="0"/>
      <w:marTop w:val="0"/>
      <w:marBottom w:val="0"/>
      <w:divBdr>
        <w:top w:val="none" w:sz="0" w:space="0" w:color="auto"/>
        <w:left w:val="none" w:sz="0" w:space="0" w:color="auto"/>
        <w:bottom w:val="none" w:sz="0" w:space="0" w:color="auto"/>
        <w:right w:val="none" w:sz="0" w:space="0" w:color="auto"/>
      </w:divBdr>
      <w:divsChild>
        <w:div w:id="786194335">
          <w:marLeft w:val="0"/>
          <w:marRight w:val="0"/>
          <w:marTop w:val="0"/>
          <w:marBottom w:val="0"/>
          <w:divBdr>
            <w:top w:val="none" w:sz="0" w:space="0" w:color="auto"/>
            <w:left w:val="none" w:sz="0" w:space="0" w:color="auto"/>
            <w:bottom w:val="none" w:sz="0" w:space="0" w:color="auto"/>
            <w:right w:val="none" w:sz="0" w:space="0" w:color="auto"/>
          </w:divBdr>
          <w:divsChild>
            <w:div w:id="1879312536">
              <w:marLeft w:val="0"/>
              <w:marRight w:val="0"/>
              <w:marTop w:val="0"/>
              <w:marBottom w:val="0"/>
              <w:divBdr>
                <w:top w:val="none" w:sz="0" w:space="0" w:color="auto"/>
                <w:left w:val="none" w:sz="0" w:space="0" w:color="auto"/>
                <w:bottom w:val="none" w:sz="0" w:space="0" w:color="auto"/>
                <w:right w:val="none" w:sz="0" w:space="0" w:color="auto"/>
              </w:divBdr>
              <w:divsChild>
                <w:div w:id="994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1063">
      <w:bodyDiv w:val="1"/>
      <w:marLeft w:val="0"/>
      <w:marRight w:val="0"/>
      <w:marTop w:val="0"/>
      <w:marBottom w:val="0"/>
      <w:divBdr>
        <w:top w:val="none" w:sz="0" w:space="0" w:color="auto"/>
        <w:left w:val="none" w:sz="0" w:space="0" w:color="auto"/>
        <w:bottom w:val="none" w:sz="0" w:space="0" w:color="auto"/>
        <w:right w:val="none" w:sz="0" w:space="0" w:color="auto"/>
      </w:divBdr>
      <w:divsChild>
        <w:div w:id="169714760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sChild>
                <w:div w:id="1457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3375">
      <w:bodyDiv w:val="1"/>
      <w:marLeft w:val="0"/>
      <w:marRight w:val="0"/>
      <w:marTop w:val="0"/>
      <w:marBottom w:val="0"/>
      <w:divBdr>
        <w:top w:val="none" w:sz="0" w:space="0" w:color="auto"/>
        <w:left w:val="none" w:sz="0" w:space="0" w:color="auto"/>
        <w:bottom w:val="none" w:sz="0" w:space="0" w:color="auto"/>
        <w:right w:val="none" w:sz="0" w:space="0" w:color="auto"/>
      </w:divBdr>
      <w:divsChild>
        <w:div w:id="1877540911">
          <w:marLeft w:val="0"/>
          <w:marRight w:val="0"/>
          <w:marTop w:val="0"/>
          <w:marBottom w:val="0"/>
          <w:divBdr>
            <w:top w:val="none" w:sz="0" w:space="0" w:color="auto"/>
            <w:left w:val="none" w:sz="0" w:space="0" w:color="auto"/>
            <w:bottom w:val="none" w:sz="0" w:space="0" w:color="auto"/>
            <w:right w:val="none" w:sz="0" w:space="0" w:color="auto"/>
          </w:divBdr>
        </w:div>
      </w:divsChild>
    </w:div>
    <w:div w:id="227153996">
      <w:bodyDiv w:val="1"/>
      <w:marLeft w:val="0"/>
      <w:marRight w:val="0"/>
      <w:marTop w:val="0"/>
      <w:marBottom w:val="0"/>
      <w:divBdr>
        <w:top w:val="none" w:sz="0" w:space="0" w:color="auto"/>
        <w:left w:val="none" w:sz="0" w:space="0" w:color="auto"/>
        <w:bottom w:val="none" w:sz="0" w:space="0" w:color="auto"/>
        <w:right w:val="none" w:sz="0" w:space="0" w:color="auto"/>
      </w:divBdr>
      <w:divsChild>
        <w:div w:id="463816833">
          <w:marLeft w:val="0"/>
          <w:marRight w:val="0"/>
          <w:marTop w:val="0"/>
          <w:marBottom w:val="0"/>
          <w:divBdr>
            <w:top w:val="none" w:sz="0" w:space="0" w:color="auto"/>
            <w:left w:val="none" w:sz="0" w:space="0" w:color="auto"/>
            <w:bottom w:val="none" w:sz="0" w:space="0" w:color="auto"/>
            <w:right w:val="none" w:sz="0" w:space="0" w:color="auto"/>
          </w:divBdr>
          <w:divsChild>
            <w:div w:id="871499714">
              <w:marLeft w:val="0"/>
              <w:marRight w:val="0"/>
              <w:marTop w:val="0"/>
              <w:marBottom w:val="0"/>
              <w:divBdr>
                <w:top w:val="none" w:sz="0" w:space="0" w:color="auto"/>
                <w:left w:val="none" w:sz="0" w:space="0" w:color="auto"/>
                <w:bottom w:val="none" w:sz="0" w:space="0" w:color="auto"/>
                <w:right w:val="none" w:sz="0" w:space="0" w:color="auto"/>
              </w:divBdr>
              <w:divsChild>
                <w:div w:id="10598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3012">
      <w:bodyDiv w:val="1"/>
      <w:marLeft w:val="0"/>
      <w:marRight w:val="0"/>
      <w:marTop w:val="0"/>
      <w:marBottom w:val="0"/>
      <w:divBdr>
        <w:top w:val="none" w:sz="0" w:space="0" w:color="auto"/>
        <w:left w:val="none" w:sz="0" w:space="0" w:color="auto"/>
        <w:bottom w:val="none" w:sz="0" w:space="0" w:color="auto"/>
        <w:right w:val="none" w:sz="0" w:space="0" w:color="auto"/>
      </w:divBdr>
      <w:divsChild>
        <w:div w:id="1708991341">
          <w:marLeft w:val="0"/>
          <w:marRight w:val="0"/>
          <w:marTop w:val="0"/>
          <w:marBottom w:val="0"/>
          <w:divBdr>
            <w:top w:val="none" w:sz="0" w:space="0" w:color="auto"/>
            <w:left w:val="none" w:sz="0" w:space="0" w:color="auto"/>
            <w:bottom w:val="none" w:sz="0" w:space="0" w:color="auto"/>
            <w:right w:val="none" w:sz="0" w:space="0" w:color="auto"/>
          </w:divBdr>
          <w:divsChild>
            <w:div w:id="140586770">
              <w:marLeft w:val="0"/>
              <w:marRight w:val="0"/>
              <w:marTop w:val="0"/>
              <w:marBottom w:val="0"/>
              <w:divBdr>
                <w:top w:val="none" w:sz="0" w:space="0" w:color="auto"/>
                <w:left w:val="none" w:sz="0" w:space="0" w:color="auto"/>
                <w:bottom w:val="none" w:sz="0" w:space="0" w:color="auto"/>
                <w:right w:val="none" w:sz="0" w:space="0" w:color="auto"/>
              </w:divBdr>
              <w:divsChild>
                <w:div w:id="1545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243">
      <w:bodyDiv w:val="1"/>
      <w:marLeft w:val="0"/>
      <w:marRight w:val="0"/>
      <w:marTop w:val="0"/>
      <w:marBottom w:val="0"/>
      <w:divBdr>
        <w:top w:val="none" w:sz="0" w:space="0" w:color="auto"/>
        <w:left w:val="none" w:sz="0" w:space="0" w:color="auto"/>
        <w:bottom w:val="none" w:sz="0" w:space="0" w:color="auto"/>
        <w:right w:val="none" w:sz="0" w:space="0" w:color="auto"/>
      </w:divBdr>
      <w:divsChild>
        <w:div w:id="920482951">
          <w:marLeft w:val="0"/>
          <w:marRight w:val="0"/>
          <w:marTop w:val="0"/>
          <w:marBottom w:val="0"/>
          <w:divBdr>
            <w:top w:val="none" w:sz="0" w:space="0" w:color="auto"/>
            <w:left w:val="none" w:sz="0" w:space="0" w:color="auto"/>
            <w:bottom w:val="none" w:sz="0" w:space="0" w:color="auto"/>
            <w:right w:val="none" w:sz="0" w:space="0" w:color="auto"/>
          </w:divBdr>
          <w:divsChild>
            <w:div w:id="1810977676">
              <w:marLeft w:val="0"/>
              <w:marRight w:val="0"/>
              <w:marTop w:val="0"/>
              <w:marBottom w:val="0"/>
              <w:divBdr>
                <w:top w:val="none" w:sz="0" w:space="0" w:color="auto"/>
                <w:left w:val="none" w:sz="0" w:space="0" w:color="auto"/>
                <w:bottom w:val="none" w:sz="0" w:space="0" w:color="auto"/>
                <w:right w:val="none" w:sz="0" w:space="0" w:color="auto"/>
              </w:divBdr>
              <w:divsChild>
                <w:div w:id="449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649">
      <w:bodyDiv w:val="1"/>
      <w:marLeft w:val="0"/>
      <w:marRight w:val="0"/>
      <w:marTop w:val="0"/>
      <w:marBottom w:val="0"/>
      <w:divBdr>
        <w:top w:val="none" w:sz="0" w:space="0" w:color="auto"/>
        <w:left w:val="none" w:sz="0" w:space="0" w:color="auto"/>
        <w:bottom w:val="none" w:sz="0" w:space="0" w:color="auto"/>
        <w:right w:val="none" w:sz="0" w:space="0" w:color="auto"/>
      </w:divBdr>
      <w:divsChild>
        <w:div w:id="1129199844">
          <w:marLeft w:val="0"/>
          <w:marRight w:val="0"/>
          <w:marTop w:val="0"/>
          <w:marBottom w:val="0"/>
          <w:divBdr>
            <w:top w:val="none" w:sz="0" w:space="0" w:color="auto"/>
            <w:left w:val="none" w:sz="0" w:space="0" w:color="auto"/>
            <w:bottom w:val="none" w:sz="0" w:space="0" w:color="auto"/>
            <w:right w:val="none" w:sz="0" w:space="0" w:color="auto"/>
          </w:divBdr>
          <w:divsChild>
            <w:div w:id="1965962906">
              <w:marLeft w:val="0"/>
              <w:marRight w:val="0"/>
              <w:marTop w:val="0"/>
              <w:marBottom w:val="0"/>
              <w:divBdr>
                <w:top w:val="none" w:sz="0" w:space="0" w:color="auto"/>
                <w:left w:val="none" w:sz="0" w:space="0" w:color="auto"/>
                <w:bottom w:val="none" w:sz="0" w:space="0" w:color="auto"/>
                <w:right w:val="none" w:sz="0" w:space="0" w:color="auto"/>
              </w:divBdr>
              <w:divsChild>
                <w:div w:id="19726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2720">
      <w:bodyDiv w:val="1"/>
      <w:marLeft w:val="0"/>
      <w:marRight w:val="0"/>
      <w:marTop w:val="0"/>
      <w:marBottom w:val="0"/>
      <w:divBdr>
        <w:top w:val="none" w:sz="0" w:space="0" w:color="auto"/>
        <w:left w:val="none" w:sz="0" w:space="0" w:color="auto"/>
        <w:bottom w:val="none" w:sz="0" w:space="0" w:color="auto"/>
        <w:right w:val="none" w:sz="0" w:space="0" w:color="auto"/>
      </w:divBdr>
      <w:divsChild>
        <w:div w:id="1687632584">
          <w:marLeft w:val="0"/>
          <w:marRight w:val="0"/>
          <w:marTop w:val="0"/>
          <w:marBottom w:val="0"/>
          <w:divBdr>
            <w:top w:val="none" w:sz="0" w:space="0" w:color="auto"/>
            <w:left w:val="none" w:sz="0" w:space="0" w:color="auto"/>
            <w:bottom w:val="none" w:sz="0" w:space="0" w:color="auto"/>
            <w:right w:val="none" w:sz="0" w:space="0" w:color="auto"/>
          </w:divBdr>
          <w:divsChild>
            <w:div w:id="86315062">
              <w:marLeft w:val="0"/>
              <w:marRight w:val="0"/>
              <w:marTop w:val="0"/>
              <w:marBottom w:val="0"/>
              <w:divBdr>
                <w:top w:val="none" w:sz="0" w:space="0" w:color="auto"/>
                <w:left w:val="none" w:sz="0" w:space="0" w:color="auto"/>
                <w:bottom w:val="none" w:sz="0" w:space="0" w:color="auto"/>
                <w:right w:val="none" w:sz="0" w:space="0" w:color="auto"/>
              </w:divBdr>
              <w:divsChild>
                <w:div w:id="6743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2758">
      <w:bodyDiv w:val="1"/>
      <w:marLeft w:val="0"/>
      <w:marRight w:val="0"/>
      <w:marTop w:val="0"/>
      <w:marBottom w:val="0"/>
      <w:divBdr>
        <w:top w:val="none" w:sz="0" w:space="0" w:color="auto"/>
        <w:left w:val="none" w:sz="0" w:space="0" w:color="auto"/>
        <w:bottom w:val="none" w:sz="0" w:space="0" w:color="auto"/>
        <w:right w:val="none" w:sz="0" w:space="0" w:color="auto"/>
      </w:divBdr>
      <w:divsChild>
        <w:div w:id="515313085">
          <w:marLeft w:val="0"/>
          <w:marRight w:val="0"/>
          <w:marTop w:val="0"/>
          <w:marBottom w:val="0"/>
          <w:divBdr>
            <w:top w:val="none" w:sz="0" w:space="0" w:color="auto"/>
            <w:left w:val="none" w:sz="0" w:space="0" w:color="auto"/>
            <w:bottom w:val="none" w:sz="0" w:space="0" w:color="auto"/>
            <w:right w:val="none" w:sz="0" w:space="0" w:color="auto"/>
          </w:divBdr>
          <w:divsChild>
            <w:div w:id="1634363804">
              <w:marLeft w:val="0"/>
              <w:marRight w:val="0"/>
              <w:marTop w:val="0"/>
              <w:marBottom w:val="0"/>
              <w:divBdr>
                <w:top w:val="none" w:sz="0" w:space="0" w:color="auto"/>
                <w:left w:val="none" w:sz="0" w:space="0" w:color="auto"/>
                <w:bottom w:val="none" w:sz="0" w:space="0" w:color="auto"/>
                <w:right w:val="none" w:sz="0" w:space="0" w:color="auto"/>
              </w:divBdr>
              <w:divsChild>
                <w:div w:id="10390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5201">
      <w:bodyDiv w:val="1"/>
      <w:marLeft w:val="0"/>
      <w:marRight w:val="0"/>
      <w:marTop w:val="0"/>
      <w:marBottom w:val="0"/>
      <w:divBdr>
        <w:top w:val="none" w:sz="0" w:space="0" w:color="auto"/>
        <w:left w:val="none" w:sz="0" w:space="0" w:color="auto"/>
        <w:bottom w:val="none" w:sz="0" w:space="0" w:color="auto"/>
        <w:right w:val="none" w:sz="0" w:space="0" w:color="auto"/>
      </w:divBdr>
      <w:divsChild>
        <w:div w:id="157839801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953942143">
                  <w:marLeft w:val="0"/>
                  <w:marRight w:val="0"/>
                  <w:marTop w:val="0"/>
                  <w:marBottom w:val="0"/>
                  <w:divBdr>
                    <w:top w:val="none" w:sz="0" w:space="0" w:color="auto"/>
                    <w:left w:val="none" w:sz="0" w:space="0" w:color="auto"/>
                    <w:bottom w:val="none" w:sz="0" w:space="0" w:color="auto"/>
                    <w:right w:val="none" w:sz="0" w:space="0" w:color="auto"/>
                  </w:divBdr>
                  <w:divsChild>
                    <w:div w:id="11525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8137">
      <w:bodyDiv w:val="1"/>
      <w:marLeft w:val="0"/>
      <w:marRight w:val="0"/>
      <w:marTop w:val="0"/>
      <w:marBottom w:val="0"/>
      <w:divBdr>
        <w:top w:val="none" w:sz="0" w:space="0" w:color="auto"/>
        <w:left w:val="none" w:sz="0" w:space="0" w:color="auto"/>
        <w:bottom w:val="none" w:sz="0" w:space="0" w:color="auto"/>
        <w:right w:val="none" w:sz="0" w:space="0" w:color="auto"/>
      </w:divBdr>
      <w:divsChild>
        <w:div w:id="1500192771">
          <w:marLeft w:val="0"/>
          <w:marRight w:val="0"/>
          <w:marTop w:val="0"/>
          <w:marBottom w:val="0"/>
          <w:divBdr>
            <w:top w:val="none" w:sz="0" w:space="0" w:color="auto"/>
            <w:left w:val="none" w:sz="0" w:space="0" w:color="auto"/>
            <w:bottom w:val="none" w:sz="0" w:space="0" w:color="auto"/>
            <w:right w:val="none" w:sz="0" w:space="0" w:color="auto"/>
          </w:divBdr>
          <w:divsChild>
            <w:div w:id="119082371">
              <w:marLeft w:val="0"/>
              <w:marRight w:val="0"/>
              <w:marTop w:val="0"/>
              <w:marBottom w:val="0"/>
              <w:divBdr>
                <w:top w:val="none" w:sz="0" w:space="0" w:color="auto"/>
                <w:left w:val="none" w:sz="0" w:space="0" w:color="auto"/>
                <w:bottom w:val="none" w:sz="0" w:space="0" w:color="auto"/>
                <w:right w:val="none" w:sz="0" w:space="0" w:color="auto"/>
              </w:divBdr>
              <w:divsChild>
                <w:div w:id="1402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6063">
      <w:bodyDiv w:val="1"/>
      <w:marLeft w:val="0"/>
      <w:marRight w:val="0"/>
      <w:marTop w:val="0"/>
      <w:marBottom w:val="0"/>
      <w:divBdr>
        <w:top w:val="none" w:sz="0" w:space="0" w:color="auto"/>
        <w:left w:val="none" w:sz="0" w:space="0" w:color="auto"/>
        <w:bottom w:val="none" w:sz="0" w:space="0" w:color="auto"/>
        <w:right w:val="none" w:sz="0" w:space="0" w:color="auto"/>
      </w:divBdr>
      <w:divsChild>
        <w:div w:id="1190294814">
          <w:marLeft w:val="0"/>
          <w:marRight w:val="0"/>
          <w:marTop w:val="0"/>
          <w:marBottom w:val="0"/>
          <w:divBdr>
            <w:top w:val="none" w:sz="0" w:space="0" w:color="auto"/>
            <w:left w:val="none" w:sz="0" w:space="0" w:color="auto"/>
            <w:bottom w:val="none" w:sz="0" w:space="0" w:color="auto"/>
            <w:right w:val="none" w:sz="0" w:space="0" w:color="auto"/>
          </w:divBdr>
          <w:divsChild>
            <w:div w:id="1226524699">
              <w:marLeft w:val="0"/>
              <w:marRight w:val="0"/>
              <w:marTop w:val="0"/>
              <w:marBottom w:val="0"/>
              <w:divBdr>
                <w:top w:val="none" w:sz="0" w:space="0" w:color="auto"/>
                <w:left w:val="none" w:sz="0" w:space="0" w:color="auto"/>
                <w:bottom w:val="none" w:sz="0" w:space="0" w:color="auto"/>
                <w:right w:val="none" w:sz="0" w:space="0" w:color="auto"/>
              </w:divBdr>
              <w:divsChild>
                <w:div w:id="1064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7224">
      <w:bodyDiv w:val="1"/>
      <w:marLeft w:val="0"/>
      <w:marRight w:val="0"/>
      <w:marTop w:val="0"/>
      <w:marBottom w:val="0"/>
      <w:divBdr>
        <w:top w:val="none" w:sz="0" w:space="0" w:color="auto"/>
        <w:left w:val="none" w:sz="0" w:space="0" w:color="auto"/>
        <w:bottom w:val="none" w:sz="0" w:space="0" w:color="auto"/>
        <w:right w:val="none" w:sz="0" w:space="0" w:color="auto"/>
      </w:divBdr>
      <w:divsChild>
        <w:div w:id="1338145558">
          <w:marLeft w:val="0"/>
          <w:marRight w:val="0"/>
          <w:marTop w:val="0"/>
          <w:marBottom w:val="0"/>
          <w:divBdr>
            <w:top w:val="none" w:sz="0" w:space="0" w:color="auto"/>
            <w:left w:val="none" w:sz="0" w:space="0" w:color="auto"/>
            <w:bottom w:val="none" w:sz="0" w:space="0" w:color="auto"/>
            <w:right w:val="none" w:sz="0" w:space="0" w:color="auto"/>
          </w:divBdr>
          <w:divsChild>
            <w:div w:id="550380582">
              <w:marLeft w:val="0"/>
              <w:marRight w:val="0"/>
              <w:marTop w:val="0"/>
              <w:marBottom w:val="0"/>
              <w:divBdr>
                <w:top w:val="none" w:sz="0" w:space="0" w:color="auto"/>
                <w:left w:val="none" w:sz="0" w:space="0" w:color="auto"/>
                <w:bottom w:val="none" w:sz="0" w:space="0" w:color="auto"/>
                <w:right w:val="none" w:sz="0" w:space="0" w:color="auto"/>
              </w:divBdr>
              <w:divsChild>
                <w:div w:id="17826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3393">
      <w:bodyDiv w:val="1"/>
      <w:marLeft w:val="0"/>
      <w:marRight w:val="0"/>
      <w:marTop w:val="0"/>
      <w:marBottom w:val="0"/>
      <w:divBdr>
        <w:top w:val="none" w:sz="0" w:space="0" w:color="auto"/>
        <w:left w:val="none" w:sz="0" w:space="0" w:color="auto"/>
        <w:bottom w:val="none" w:sz="0" w:space="0" w:color="auto"/>
        <w:right w:val="none" w:sz="0" w:space="0" w:color="auto"/>
      </w:divBdr>
      <w:divsChild>
        <w:div w:id="1355225994">
          <w:marLeft w:val="0"/>
          <w:marRight w:val="0"/>
          <w:marTop w:val="0"/>
          <w:marBottom w:val="0"/>
          <w:divBdr>
            <w:top w:val="none" w:sz="0" w:space="0" w:color="auto"/>
            <w:left w:val="none" w:sz="0" w:space="0" w:color="auto"/>
            <w:bottom w:val="none" w:sz="0" w:space="0" w:color="auto"/>
            <w:right w:val="none" w:sz="0" w:space="0" w:color="auto"/>
          </w:divBdr>
          <w:divsChild>
            <w:div w:id="37094449">
              <w:marLeft w:val="0"/>
              <w:marRight w:val="0"/>
              <w:marTop w:val="0"/>
              <w:marBottom w:val="0"/>
              <w:divBdr>
                <w:top w:val="none" w:sz="0" w:space="0" w:color="auto"/>
                <w:left w:val="none" w:sz="0" w:space="0" w:color="auto"/>
                <w:bottom w:val="none" w:sz="0" w:space="0" w:color="auto"/>
                <w:right w:val="none" w:sz="0" w:space="0" w:color="auto"/>
              </w:divBdr>
              <w:divsChild>
                <w:div w:id="20647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251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65">
          <w:marLeft w:val="0"/>
          <w:marRight w:val="0"/>
          <w:marTop w:val="0"/>
          <w:marBottom w:val="0"/>
          <w:divBdr>
            <w:top w:val="none" w:sz="0" w:space="0" w:color="auto"/>
            <w:left w:val="none" w:sz="0" w:space="0" w:color="auto"/>
            <w:bottom w:val="none" w:sz="0" w:space="0" w:color="auto"/>
            <w:right w:val="none" w:sz="0" w:space="0" w:color="auto"/>
          </w:divBdr>
          <w:divsChild>
            <w:div w:id="1191145632">
              <w:marLeft w:val="0"/>
              <w:marRight w:val="0"/>
              <w:marTop w:val="0"/>
              <w:marBottom w:val="0"/>
              <w:divBdr>
                <w:top w:val="none" w:sz="0" w:space="0" w:color="auto"/>
                <w:left w:val="none" w:sz="0" w:space="0" w:color="auto"/>
                <w:bottom w:val="none" w:sz="0" w:space="0" w:color="auto"/>
                <w:right w:val="none" w:sz="0" w:space="0" w:color="auto"/>
              </w:divBdr>
              <w:divsChild>
                <w:div w:id="19847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5390">
      <w:bodyDiv w:val="1"/>
      <w:marLeft w:val="0"/>
      <w:marRight w:val="0"/>
      <w:marTop w:val="0"/>
      <w:marBottom w:val="0"/>
      <w:divBdr>
        <w:top w:val="none" w:sz="0" w:space="0" w:color="auto"/>
        <w:left w:val="none" w:sz="0" w:space="0" w:color="auto"/>
        <w:bottom w:val="none" w:sz="0" w:space="0" w:color="auto"/>
        <w:right w:val="none" w:sz="0" w:space="0" w:color="auto"/>
      </w:divBdr>
      <w:divsChild>
        <w:div w:id="474832580">
          <w:marLeft w:val="0"/>
          <w:marRight w:val="0"/>
          <w:marTop w:val="0"/>
          <w:marBottom w:val="0"/>
          <w:divBdr>
            <w:top w:val="none" w:sz="0" w:space="0" w:color="auto"/>
            <w:left w:val="none" w:sz="0" w:space="0" w:color="auto"/>
            <w:bottom w:val="none" w:sz="0" w:space="0" w:color="auto"/>
            <w:right w:val="none" w:sz="0" w:space="0" w:color="auto"/>
          </w:divBdr>
          <w:divsChild>
            <w:div w:id="1147554999">
              <w:marLeft w:val="0"/>
              <w:marRight w:val="0"/>
              <w:marTop w:val="0"/>
              <w:marBottom w:val="0"/>
              <w:divBdr>
                <w:top w:val="none" w:sz="0" w:space="0" w:color="auto"/>
                <w:left w:val="none" w:sz="0" w:space="0" w:color="auto"/>
                <w:bottom w:val="none" w:sz="0" w:space="0" w:color="auto"/>
                <w:right w:val="none" w:sz="0" w:space="0" w:color="auto"/>
              </w:divBdr>
              <w:divsChild>
                <w:div w:id="312492371">
                  <w:marLeft w:val="0"/>
                  <w:marRight w:val="0"/>
                  <w:marTop w:val="0"/>
                  <w:marBottom w:val="0"/>
                  <w:divBdr>
                    <w:top w:val="none" w:sz="0" w:space="0" w:color="auto"/>
                    <w:left w:val="none" w:sz="0" w:space="0" w:color="auto"/>
                    <w:bottom w:val="none" w:sz="0" w:space="0" w:color="auto"/>
                    <w:right w:val="none" w:sz="0" w:space="0" w:color="auto"/>
                  </w:divBdr>
                </w:div>
                <w:div w:id="9120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3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537">
          <w:marLeft w:val="0"/>
          <w:marRight w:val="0"/>
          <w:marTop w:val="0"/>
          <w:marBottom w:val="0"/>
          <w:divBdr>
            <w:top w:val="none" w:sz="0" w:space="0" w:color="auto"/>
            <w:left w:val="none" w:sz="0" w:space="0" w:color="auto"/>
            <w:bottom w:val="none" w:sz="0" w:space="0" w:color="auto"/>
            <w:right w:val="none" w:sz="0" w:space="0" w:color="auto"/>
          </w:divBdr>
          <w:divsChild>
            <w:div w:id="1691833337">
              <w:marLeft w:val="0"/>
              <w:marRight w:val="0"/>
              <w:marTop w:val="0"/>
              <w:marBottom w:val="0"/>
              <w:divBdr>
                <w:top w:val="none" w:sz="0" w:space="0" w:color="auto"/>
                <w:left w:val="none" w:sz="0" w:space="0" w:color="auto"/>
                <w:bottom w:val="none" w:sz="0" w:space="0" w:color="auto"/>
                <w:right w:val="none" w:sz="0" w:space="0" w:color="auto"/>
              </w:divBdr>
              <w:divsChild>
                <w:div w:id="357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8060">
      <w:bodyDiv w:val="1"/>
      <w:marLeft w:val="0"/>
      <w:marRight w:val="0"/>
      <w:marTop w:val="0"/>
      <w:marBottom w:val="0"/>
      <w:divBdr>
        <w:top w:val="none" w:sz="0" w:space="0" w:color="auto"/>
        <w:left w:val="none" w:sz="0" w:space="0" w:color="auto"/>
        <w:bottom w:val="none" w:sz="0" w:space="0" w:color="auto"/>
        <w:right w:val="none" w:sz="0" w:space="0" w:color="auto"/>
      </w:divBdr>
      <w:divsChild>
        <w:div w:id="824399055">
          <w:marLeft w:val="0"/>
          <w:marRight w:val="0"/>
          <w:marTop w:val="0"/>
          <w:marBottom w:val="0"/>
          <w:divBdr>
            <w:top w:val="none" w:sz="0" w:space="0" w:color="auto"/>
            <w:left w:val="none" w:sz="0" w:space="0" w:color="auto"/>
            <w:bottom w:val="none" w:sz="0" w:space="0" w:color="auto"/>
            <w:right w:val="none" w:sz="0" w:space="0" w:color="auto"/>
          </w:divBdr>
          <w:divsChild>
            <w:div w:id="738941095">
              <w:marLeft w:val="0"/>
              <w:marRight w:val="0"/>
              <w:marTop w:val="0"/>
              <w:marBottom w:val="0"/>
              <w:divBdr>
                <w:top w:val="none" w:sz="0" w:space="0" w:color="auto"/>
                <w:left w:val="none" w:sz="0" w:space="0" w:color="auto"/>
                <w:bottom w:val="none" w:sz="0" w:space="0" w:color="auto"/>
                <w:right w:val="none" w:sz="0" w:space="0" w:color="auto"/>
              </w:divBdr>
              <w:divsChild>
                <w:div w:id="9283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5158">
      <w:bodyDiv w:val="1"/>
      <w:marLeft w:val="0"/>
      <w:marRight w:val="0"/>
      <w:marTop w:val="0"/>
      <w:marBottom w:val="0"/>
      <w:divBdr>
        <w:top w:val="none" w:sz="0" w:space="0" w:color="auto"/>
        <w:left w:val="none" w:sz="0" w:space="0" w:color="auto"/>
        <w:bottom w:val="none" w:sz="0" w:space="0" w:color="auto"/>
        <w:right w:val="none" w:sz="0" w:space="0" w:color="auto"/>
      </w:divBdr>
      <w:divsChild>
        <w:div w:id="1672442238">
          <w:marLeft w:val="0"/>
          <w:marRight w:val="0"/>
          <w:marTop w:val="0"/>
          <w:marBottom w:val="0"/>
          <w:divBdr>
            <w:top w:val="none" w:sz="0" w:space="0" w:color="auto"/>
            <w:left w:val="none" w:sz="0" w:space="0" w:color="auto"/>
            <w:bottom w:val="none" w:sz="0" w:space="0" w:color="auto"/>
            <w:right w:val="none" w:sz="0" w:space="0" w:color="auto"/>
          </w:divBdr>
          <w:divsChild>
            <w:div w:id="1871451737">
              <w:marLeft w:val="0"/>
              <w:marRight w:val="0"/>
              <w:marTop w:val="0"/>
              <w:marBottom w:val="0"/>
              <w:divBdr>
                <w:top w:val="none" w:sz="0" w:space="0" w:color="auto"/>
                <w:left w:val="none" w:sz="0" w:space="0" w:color="auto"/>
                <w:bottom w:val="none" w:sz="0" w:space="0" w:color="auto"/>
                <w:right w:val="none" w:sz="0" w:space="0" w:color="auto"/>
              </w:divBdr>
              <w:divsChild>
                <w:div w:id="21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109">
      <w:bodyDiv w:val="1"/>
      <w:marLeft w:val="0"/>
      <w:marRight w:val="0"/>
      <w:marTop w:val="0"/>
      <w:marBottom w:val="0"/>
      <w:divBdr>
        <w:top w:val="none" w:sz="0" w:space="0" w:color="auto"/>
        <w:left w:val="none" w:sz="0" w:space="0" w:color="auto"/>
        <w:bottom w:val="none" w:sz="0" w:space="0" w:color="auto"/>
        <w:right w:val="none" w:sz="0" w:space="0" w:color="auto"/>
      </w:divBdr>
      <w:divsChild>
        <w:div w:id="1813326675">
          <w:marLeft w:val="0"/>
          <w:marRight w:val="0"/>
          <w:marTop w:val="0"/>
          <w:marBottom w:val="0"/>
          <w:divBdr>
            <w:top w:val="none" w:sz="0" w:space="0" w:color="auto"/>
            <w:left w:val="none" w:sz="0" w:space="0" w:color="auto"/>
            <w:bottom w:val="none" w:sz="0" w:space="0" w:color="auto"/>
            <w:right w:val="none" w:sz="0" w:space="0" w:color="auto"/>
          </w:divBdr>
          <w:divsChild>
            <w:div w:id="1713925127">
              <w:marLeft w:val="0"/>
              <w:marRight w:val="0"/>
              <w:marTop w:val="0"/>
              <w:marBottom w:val="0"/>
              <w:divBdr>
                <w:top w:val="none" w:sz="0" w:space="0" w:color="auto"/>
                <w:left w:val="none" w:sz="0" w:space="0" w:color="auto"/>
                <w:bottom w:val="none" w:sz="0" w:space="0" w:color="auto"/>
                <w:right w:val="none" w:sz="0" w:space="0" w:color="auto"/>
              </w:divBdr>
              <w:divsChild>
                <w:div w:id="13273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2748">
      <w:bodyDiv w:val="1"/>
      <w:marLeft w:val="0"/>
      <w:marRight w:val="0"/>
      <w:marTop w:val="0"/>
      <w:marBottom w:val="0"/>
      <w:divBdr>
        <w:top w:val="none" w:sz="0" w:space="0" w:color="auto"/>
        <w:left w:val="none" w:sz="0" w:space="0" w:color="auto"/>
        <w:bottom w:val="none" w:sz="0" w:space="0" w:color="auto"/>
        <w:right w:val="none" w:sz="0" w:space="0" w:color="auto"/>
      </w:divBdr>
      <w:divsChild>
        <w:div w:id="278495062">
          <w:marLeft w:val="0"/>
          <w:marRight w:val="0"/>
          <w:marTop w:val="0"/>
          <w:marBottom w:val="0"/>
          <w:divBdr>
            <w:top w:val="none" w:sz="0" w:space="0" w:color="auto"/>
            <w:left w:val="none" w:sz="0" w:space="0" w:color="auto"/>
            <w:bottom w:val="none" w:sz="0" w:space="0" w:color="auto"/>
            <w:right w:val="none" w:sz="0" w:space="0" w:color="auto"/>
          </w:divBdr>
          <w:divsChild>
            <w:div w:id="2121610494">
              <w:marLeft w:val="0"/>
              <w:marRight w:val="0"/>
              <w:marTop w:val="0"/>
              <w:marBottom w:val="0"/>
              <w:divBdr>
                <w:top w:val="none" w:sz="0" w:space="0" w:color="auto"/>
                <w:left w:val="none" w:sz="0" w:space="0" w:color="auto"/>
                <w:bottom w:val="none" w:sz="0" w:space="0" w:color="auto"/>
                <w:right w:val="none" w:sz="0" w:space="0" w:color="auto"/>
              </w:divBdr>
              <w:divsChild>
                <w:div w:id="1679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093">
      <w:bodyDiv w:val="1"/>
      <w:marLeft w:val="0"/>
      <w:marRight w:val="0"/>
      <w:marTop w:val="0"/>
      <w:marBottom w:val="0"/>
      <w:divBdr>
        <w:top w:val="none" w:sz="0" w:space="0" w:color="auto"/>
        <w:left w:val="none" w:sz="0" w:space="0" w:color="auto"/>
        <w:bottom w:val="none" w:sz="0" w:space="0" w:color="auto"/>
        <w:right w:val="none" w:sz="0" w:space="0" w:color="auto"/>
      </w:divBdr>
      <w:divsChild>
        <w:div w:id="1988196281">
          <w:marLeft w:val="0"/>
          <w:marRight w:val="0"/>
          <w:marTop w:val="0"/>
          <w:marBottom w:val="0"/>
          <w:divBdr>
            <w:top w:val="none" w:sz="0" w:space="0" w:color="auto"/>
            <w:left w:val="none" w:sz="0" w:space="0" w:color="auto"/>
            <w:bottom w:val="none" w:sz="0" w:space="0" w:color="auto"/>
            <w:right w:val="none" w:sz="0" w:space="0" w:color="auto"/>
          </w:divBdr>
          <w:divsChild>
            <w:div w:id="1772315474">
              <w:marLeft w:val="0"/>
              <w:marRight w:val="0"/>
              <w:marTop w:val="0"/>
              <w:marBottom w:val="0"/>
              <w:divBdr>
                <w:top w:val="none" w:sz="0" w:space="0" w:color="auto"/>
                <w:left w:val="none" w:sz="0" w:space="0" w:color="auto"/>
                <w:bottom w:val="none" w:sz="0" w:space="0" w:color="auto"/>
                <w:right w:val="none" w:sz="0" w:space="0" w:color="auto"/>
              </w:divBdr>
              <w:divsChild>
                <w:div w:id="11799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5235">
      <w:bodyDiv w:val="1"/>
      <w:marLeft w:val="0"/>
      <w:marRight w:val="0"/>
      <w:marTop w:val="0"/>
      <w:marBottom w:val="0"/>
      <w:divBdr>
        <w:top w:val="none" w:sz="0" w:space="0" w:color="auto"/>
        <w:left w:val="none" w:sz="0" w:space="0" w:color="auto"/>
        <w:bottom w:val="none" w:sz="0" w:space="0" w:color="auto"/>
        <w:right w:val="none" w:sz="0" w:space="0" w:color="auto"/>
      </w:divBdr>
      <w:divsChild>
        <w:div w:id="2143189462">
          <w:marLeft w:val="0"/>
          <w:marRight w:val="0"/>
          <w:marTop w:val="0"/>
          <w:marBottom w:val="0"/>
          <w:divBdr>
            <w:top w:val="none" w:sz="0" w:space="0" w:color="auto"/>
            <w:left w:val="none" w:sz="0" w:space="0" w:color="auto"/>
            <w:bottom w:val="none" w:sz="0" w:space="0" w:color="auto"/>
            <w:right w:val="none" w:sz="0" w:space="0" w:color="auto"/>
          </w:divBdr>
          <w:divsChild>
            <w:div w:id="1459452466">
              <w:marLeft w:val="0"/>
              <w:marRight w:val="0"/>
              <w:marTop w:val="0"/>
              <w:marBottom w:val="0"/>
              <w:divBdr>
                <w:top w:val="none" w:sz="0" w:space="0" w:color="auto"/>
                <w:left w:val="none" w:sz="0" w:space="0" w:color="auto"/>
                <w:bottom w:val="none" w:sz="0" w:space="0" w:color="auto"/>
                <w:right w:val="none" w:sz="0" w:space="0" w:color="auto"/>
              </w:divBdr>
              <w:divsChild>
                <w:div w:id="20778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7412">
      <w:bodyDiv w:val="1"/>
      <w:marLeft w:val="0"/>
      <w:marRight w:val="0"/>
      <w:marTop w:val="0"/>
      <w:marBottom w:val="0"/>
      <w:divBdr>
        <w:top w:val="none" w:sz="0" w:space="0" w:color="auto"/>
        <w:left w:val="none" w:sz="0" w:space="0" w:color="auto"/>
        <w:bottom w:val="none" w:sz="0" w:space="0" w:color="auto"/>
        <w:right w:val="none" w:sz="0" w:space="0" w:color="auto"/>
      </w:divBdr>
      <w:divsChild>
        <w:div w:id="1892378245">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7591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369">
      <w:bodyDiv w:val="1"/>
      <w:marLeft w:val="0"/>
      <w:marRight w:val="0"/>
      <w:marTop w:val="0"/>
      <w:marBottom w:val="0"/>
      <w:divBdr>
        <w:top w:val="none" w:sz="0" w:space="0" w:color="auto"/>
        <w:left w:val="none" w:sz="0" w:space="0" w:color="auto"/>
        <w:bottom w:val="none" w:sz="0" w:space="0" w:color="auto"/>
        <w:right w:val="none" w:sz="0" w:space="0" w:color="auto"/>
      </w:divBdr>
      <w:divsChild>
        <w:div w:id="730543983">
          <w:marLeft w:val="0"/>
          <w:marRight w:val="0"/>
          <w:marTop w:val="0"/>
          <w:marBottom w:val="0"/>
          <w:divBdr>
            <w:top w:val="none" w:sz="0" w:space="0" w:color="auto"/>
            <w:left w:val="none" w:sz="0" w:space="0" w:color="auto"/>
            <w:bottom w:val="none" w:sz="0" w:space="0" w:color="auto"/>
            <w:right w:val="none" w:sz="0" w:space="0" w:color="auto"/>
          </w:divBdr>
        </w:div>
      </w:divsChild>
    </w:div>
    <w:div w:id="800002797">
      <w:bodyDiv w:val="1"/>
      <w:marLeft w:val="0"/>
      <w:marRight w:val="0"/>
      <w:marTop w:val="0"/>
      <w:marBottom w:val="0"/>
      <w:divBdr>
        <w:top w:val="none" w:sz="0" w:space="0" w:color="auto"/>
        <w:left w:val="none" w:sz="0" w:space="0" w:color="auto"/>
        <w:bottom w:val="none" w:sz="0" w:space="0" w:color="auto"/>
        <w:right w:val="none" w:sz="0" w:space="0" w:color="auto"/>
      </w:divBdr>
      <w:divsChild>
        <w:div w:id="1910921170">
          <w:marLeft w:val="0"/>
          <w:marRight w:val="0"/>
          <w:marTop w:val="0"/>
          <w:marBottom w:val="0"/>
          <w:divBdr>
            <w:top w:val="none" w:sz="0" w:space="0" w:color="auto"/>
            <w:left w:val="none" w:sz="0" w:space="0" w:color="auto"/>
            <w:bottom w:val="none" w:sz="0" w:space="0" w:color="auto"/>
            <w:right w:val="none" w:sz="0" w:space="0" w:color="auto"/>
          </w:divBdr>
          <w:divsChild>
            <w:div w:id="235669928">
              <w:marLeft w:val="0"/>
              <w:marRight w:val="0"/>
              <w:marTop w:val="0"/>
              <w:marBottom w:val="0"/>
              <w:divBdr>
                <w:top w:val="none" w:sz="0" w:space="0" w:color="auto"/>
                <w:left w:val="none" w:sz="0" w:space="0" w:color="auto"/>
                <w:bottom w:val="none" w:sz="0" w:space="0" w:color="auto"/>
                <w:right w:val="none" w:sz="0" w:space="0" w:color="auto"/>
              </w:divBdr>
              <w:divsChild>
                <w:div w:id="12023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4007">
      <w:bodyDiv w:val="1"/>
      <w:marLeft w:val="0"/>
      <w:marRight w:val="0"/>
      <w:marTop w:val="0"/>
      <w:marBottom w:val="0"/>
      <w:divBdr>
        <w:top w:val="none" w:sz="0" w:space="0" w:color="auto"/>
        <w:left w:val="none" w:sz="0" w:space="0" w:color="auto"/>
        <w:bottom w:val="none" w:sz="0" w:space="0" w:color="auto"/>
        <w:right w:val="none" w:sz="0" w:space="0" w:color="auto"/>
      </w:divBdr>
      <w:divsChild>
        <w:div w:id="362829231">
          <w:marLeft w:val="0"/>
          <w:marRight w:val="0"/>
          <w:marTop w:val="0"/>
          <w:marBottom w:val="0"/>
          <w:divBdr>
            <w:top w:val="none" w:sz="0" w:space="0" w:color="auto"/>
            <w:left w:val="none" w:sz="0" w:space="0" w:color="auto"/>
            <w:bottom w:val="none" w:sz="0" w:space="0" w:color="auto"/>
            <w:right w:val="none" w:sz="0" w:space="0" w:color="auto"/>
          </w:divBdr>
          <w:divsChild>
            <w:div w:id="113134701">
              <w:marLeft w:val="0"/>
              <w:marRight w:val="0"/>
              <w:marTop w:val="0"/>
              <w:marBottom w:val="0"/>
              <w:divBdr>
                <w:top w:val="none" w:sz="0" w:space="0" w:color="auto"/>
                <w:left w:val="none" w:sz="0" w:space="0" w:color="auto"/>
                <w:bottom w:val="none" w:sz="0" w:space="0" w:color="auto"/>
                <w:right w:val="none" w:sz="0" w:space="0" w:color="auto"/>
              </w:divBdr>
              <w:divsChild>
                <w:div w:id="1231378984">
                  <w:marLeft w:val="0"/>
                  <w:marRight w:val="0"/>
                  <w:marTop w:val="0"/>
                  <w:marBottom w:val="0"/>
                  <w:divBdr>
                    <w:top w:val="none" w:sz="0" w:space="0" w:color="auto"/>
                    <w:left w:val="none" w:sz="0" w:space="0" w:color="auto"/>
                    <w:bottom w:val="none" w:sz="0" w:space="0" w:color="auto"/>
                    <w:right w:val="none" w:sz="0" w:space="0" w:color="auto"/>
                  </w:divBdr>
                </w:div>
                <w:div w:id="13709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7724">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2">
          <w:marLeft w:val="0"/>
          <w:marRight w:val="0"/>
          <w:marTop w:val="0"/>
          <w:marBottom w:val="0"/>
          <w:divBdr>
            <w:top w:val="none" w:sz="0" w:space="0" w:color="auto"/>
            <w:left w:val="none" w:sz="0" w:space="0" w:color="auto"/>
            <w:bottom w:val="none" w:sz="0" w:space="0" w:color="auto"/>
            <w:right w:val="none" w:sz="0" w:space="0" w:color="auto"/>
          </w:divBdr>
          <w:divsChild>
            <w:div w:id="837039387">
              <w:marLeft w:val="0"/>
              <w:marRight w:val="0"/>
              <w:marTop w:val="0"/>
              <w:marBottom w:val="0"/>
              <w:divBdr>
                <w:top w:val="none" w:sz="0" w:space="0" w:color="auto"/>
                <w:left w:val="none" w:sz="0" w:space="0" w:color="auto"/>
                <w:bottom w:val="none" w:sz="0" w:space="0" w:color="auto"/>
                <w:right w:val="none" w:sz="0" w:space="0" w:color="auto"/>
              </w:divBdr>
              <w:divsChild>
                <w:div w:id="273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654">
      <w:bodyDiv w:val="1"/>
      <w:marLeft w:val="0"/>
      <w:marRight w:val="0"/>
      <w:marTop w:val="0"/>
      <w:marBottom w:val="0"/>
      <w:divBdr>
        <w:top w:val="none" w:sz="0" w:space="0" w:color="auto"/>
        <w:left w:val="none" w:sz="0" w:space="0" w:color="auto"/>
        <w:bottom w:val="none" w:sz="0" w:space="0" w:color="auto"/>
        <w:right w:val="none" w:sz="0" w:space="0" w:color="auto"/>
      </w:divBdr>
      <w:divsChild>
        <w:div w:id="1638074009">
          <w:marLeft w:val="0"/>
          <w:marRight w:val="0"/>
          <w:marTop w:val="0"/>
          <w:marBottom w:val="0"/>
          <w:divBdr>
            <w:top w:val="none" w:sz="0" w:space="0" w:color="auto"/>
            <w:left w:val="none" w:sz="0" w:space="0" w:color="auto"/>
            <w:bottom w:val="none" w:sz="0" w:space="0" w:color="auto"/>
            <w:right w:val="none" w:sz="0" w:space="0" w:color="auto"/>
          </w:divBdr>
          <w:divsChild>
            <w:div w:id="1895457741">
              <w:marLeft w:val="0"/>
              <w:marRight w:val="0"/>
              <w:marTop w:val="0"/>
              <w:marBottom w:val="0"/>
              <w:divBdr>
                <w:top w:val="none" w:sz="0" w:space="0" w:color="auto"/>
                <w:left w:val="none" w:sz="0" w:space="0" w:color="auto"/>
                <w:bottom w:val="none" w:sz="0" w:space="0" w:color="auto"/>
                <w:right w:val="none" w:sz="0" w:space="0" w:color="auto"/>
              </w:divBdr>
              <w:divsChild>
                <w:div w:id="1204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954">
      <w:bodyDiv w:val="1"/>
      <w:marLeft w:val="0"/>
      <w:marRight w:val="0"/>
      <w:marTop w:val="0"/>
      <w:marBottom w:val="0"/>
      <w:divBdr>
        <w:top w:val="none" w:sz="0" w:space="0" w:color="auto"/>
        <w:left w:val="none" w:sz="0" w:space="0" w:color="auto"/>
        <w:bottom w:val="none" w:sz="0" w:space="0" w:color="auto"/>
        <w:right w:val="none" w:sz="0" w:space="0" w:color="auto"/>
      </w:divBdr>
      <w:divsChild>
        <w:div w:id="172230801">
          <w:marLeft w:val="0"/>
          <w:marRight w:val="0"/>
          <w:marTop w:val="0"/>
          <w:marBottom w:val="0"/>
          <w:divBdr>
            <w:top w:val="none" w:sz="0" w:space="0" w:color="auto"/>
            <w:left w:val="none" w:sz="0" w:space="0" w:color="auto"/>
            <w:bottom w:val="none" w:sz="0" w:space="0" w:color="auto"/>
            <w:right w:val="none" w:sz="0" w:space="0" w:color="auto"/>
          </w:divBdr>
          <w:divsChild>
            <w:div w:id="1954898394">
              <w:marLeft w:val="0"/>
              <w:marRight w:val="0"/>
              <w:marTop w:val="0"/>
              <w:marBottom w:val="0"/>
              <w:divBdr>
                <w:top w:val="none" w:sz="0" w:space="0" w:color="auto"/>
                <w:left w:val="none" w:sz="0" w:space="0" w:color="auto"/>
                <w:bottom w:val="none" w:sz="0" w:space="0" w:color="auto"/>
                <w:right w:val="none" w:sz="0" w:space="0" w:color="auto"/>
              </w:divBdr>
              <w:divsChild>
                <w:div w:id="1862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2377">
      <w:bodyDiv w:val="1"/>
      <w:marLeft w:val="0"/>
      <w:marRight w:val="0"/>
      <w:marTop w:val="0"/>
      <w:marBottom w:val="0"/>
      <w:divBdr>
        <w:top w:val="none" w:sz="0" w:space="0" w:color="auto"/>
        <w:left w:val="none" w:sz="0" w:space="0" w:color="auto"/>
        <w:bottom w:val="none" w:sz="0" w:space="0" w:color="auto"/>
        <w:right w:val="none" w:sz="0" w:space="0" w:color="auto"/>
      </w:divBdr>
      <w:divsChild>
        <w:div w:id="1257789828">
          <w:marLeft w:val="0"/>
          <w:marRight w:val="0"/>
          <w:marTop w:val="0"/>
          <w:marBottom w:val="0"/>
          <w:divBdr>
            <w:top w:val="none" w:sz="0" w:space="0" w:color="auto"/>
            <w:left w:val="none" w:sz="0" w:space="0" w:color="auto"/>
            <w:bottom w:val="none" w:sz="0" w:space="0" w:color="auto"/>
            <w:right w:val="none" w:sz="0" w:space="0" w:color="auto"/>
          </w:divBdr>
          <w:divsChild>
            <w:div w:id="1622179591">
              <w:marLeft w:val="0"/>
              <w:marRight w:val="0"/>
              <w:marTop w:val="0"/>
              <w:marBottom w:val="0"/>
              <w:divBdr>
                <w:top w:val="none" w:sz="0" w:space="0" w:color="auto"/>
                <w:left w:val="none" w:sz="0" w:space="0" w:color="auto"/>
                <w:bottom w:val="none" w:sz="0" w:space="0" w:color="auto"/>
                <w:right w:val="none" w:sz="0" w:space="0" w:color="auto"/>
              </w:divBdr>
              <w:divsChild>
                <w:div w:id="69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3364">
      <w:bodyDiv w:val="1"/>
      <w:marLeft w:val="0"/>
      <w:marRight w:val="0"/>
      <w:marTop w:val="0"/>
      <w:marBottom w:val="0"/>
      <w:divBdr>
        <w:top w:val="none" w:sz="0" w:space="0" w:color="auto"/>
        <w:left w:val="none" w:sz="0" w:space="0" w:color="auto"/>
        <w:bottom w:val="none" w:sz="0" w:space="0" w:color="auto"/>
        <w:right w:val="none" w:sz="0" w:space="0" w:color="auto"/>
      </w:divBdr>
      <w:divsChild>
        <w:div w:id="362093565">
          <w:marLeft w:val="0"/>
          <w:marRight w:val="0"/>
          <w:marTop w:val="0"/>
          <w:marBottom w:val="0"/>
          <w:divBdr>
            <w:top w:val="none" w:sz="0" w:space="0" w:color="auto"/>
            <w:left w:val="none" w:sz="0" w:space="0" w:color="auto"/>
            <w:bottom w:val="none" w:sz="0" w:space="0" w:color="auto"/>
            <w:right w:val="none" w:sz="0" w:space="0" w:color="auto"/>
          </w:divBdr>
          <w:divsChild>
            <w:div w:id="674309570">
              <w:marLeft w:val="0"/>
              <w:marRight w:val="0"/>
              <w:marTop w:val="0"/>
              <w:marBottom w:val="0"/>
              <w:divBdr>
                <w:top w:val="none" w:sz="0" w:space="0" w:color="auto"/>
                <w:left w:val="none" w:sz="0" w:space="0" w:color="auto"/>
                <w:bottom w:val="none" w:sz="0" w:space="0" w:color="auto"/>
                <w:right w:val="none" w:sz="0" w:space="0" w:color="auto"/>
              </w:divBdr>
              <w:divsChild>
                <w:div w:id="9470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3594">
      <w:bodyDiv w:val="1"/>
      <w:marLeft w:val="0"/>
      <w:marRight w:val="0"/>
      <w:marTop w:val="0"/>
      <w:marBottom w:val="0"/>
      <w:divBdr>
        <w:top w:val="none" w:sz="0" w:space="0" w:color="auto"/>
        <w:left w:val="none" w:sz="0" w:space="0" w:color="auto"/>
        <w:bottom w:val="none" w:sz="0" w:space="0" w:color="auto"/>
        <w:right w:val="none" w:sz="0" w:space="0" w:color="auto"/>
      </w:divBdr>
      <w:divsChild>
        <w:div w:id="1542935039">
          <w:marLeft w:val="0"/>
          <w:marRight w:val="0"/>
          <w:marTop w:val="0"/>
          <w:marBottom w:val="0"/>
          <w:divBdr>
            <w:top w:val="none" w:sz="0" w:space="0" w:color="auto"/>
            <w:left w:val="none" w:sz="0" w:space="0" w:color="auto"/>
            <w:bottom w:val="none" w:sz="0" w:space="0" w:color="auto"/>
            <w:right w:val="none" w:sz="0" w:space="0" w:color="auto"/>
          </w:divBdr>
          <w:divsChild>
            <w:div w:id="193619213">
              <w:marLeft w:val="0"/>
              <w:marRight w:val="0"/>
              <w:marTop w:val="0"/>
              <w:marBottom w:val="0"/>
              <w:divBdr>
                <w:top w:val="none" w:sz="0" w:space="0" w:color="auto"/>
                <w:left w:val="none" w:sz="0" w:space="0" w:color="auto"/>
                <w:bottom w:val="none" w:sz="0" w:space="0" w:color="auto"/>
                <w:right w:val="none" w:sz="0" w:space="0" w:color="auto"/>
              </w:divBdr>
              <w:divsChild>
                <w:div w:id="8798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8310">
      <w:bodyDiv w:val="1"/>
      <w:marLeft w:val="0"/>
      <w:marRight w:val="0"/>
      <w:marTop w:val="0"/>
      <w:marBottom w:val="0"/>
      <w:divBdr>
        <w:top w:val="none" w:sz="0" w:space="0" w:color="auto"/>
        <w:left w:val="none" w:sz="0" w:space="0" w:color="auto"/>
        <w:bottom w:val="none" w:sz="0" w:space="0" w:color="auto"/>
        <w:right w:val="none" w:sz="0" w:space="0" w:color="auto"/>
      </w:divBdr>
      <w:divsChild>
        <w:div w:id="1881866885">
          <w:marLeft w:val="0"/>
          <w:marRight w:val="0"/>
          <w:marTop w:val="0"/>
          <w:marBottom w:val="0"/>
          <w:divBdr>
            <w:top w:val="none" w:sz="0" w:space="0" w:color="auto"/>
            <w:left w:val="none" w:sz="0" w:space="0" w:color="auto"/>
            <w:bottom w:val="none" w:sz="0" w:space="0" w:color="auto"/>
            <w:right w:val="none" w:sz="0" w:space="0" w:color="auto"/>
          </w:divBdr>
          <w:divsChild>
            <w:div w:id="729614456">
              <w:marLeft w:val="0"/>
              <w:marRight w:val="0"/>
              <w:marTop w:val="0"/>
              <w:marBottom w:val="0"/>
              <w:divBdr>
                <w:top w:val="none" w:sz="0" w:space="0" w:color="auto"/>
                <w:left w:val="none" w:sz="0" w:space="0" w:color="auto"/>
                <w:bottom w:val="none" w:sz="0" w:space="0" w:color="auto"/>
                <w:right w:val="none" w:sz="0" w:space="0" w:color="auto"/>
              </w:divBdr>
              <w:divsChild>
                <w:div w:id="1057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9150">
      <w:bodyDiv w:val="1"/>
      <w:marLeft w:val="0"/>
      <w:marRight w:val="0"/>
      <w:marTop w:val="0"/>
      <w:marBottom w:val="0"/>
      <w:divBdr>
        <w:top w:val="none" w:sz="0" w:space="0" w:color="auto"/>
        <w:left w:val="none" w:sz="0" w:space="0" w:color="auto"/>
        <w:bottom w:val="none" w:sz="0" w:space="0" w:color="auto"/>
        <w:right w:val="none" w:sz="0" w:space="0" w:color="auto"/>
      </w:divBdr>
      <w:divsChild>
        <w:div w:id="1868106554">
          <w:marLeft w:val="0"/>
          <w:marRight w:val="0"/>
          <w:marTop w:val="0"/>
          <w:marBottom w:val="0"/>
          <w:divBdr>
            <w:top w:val="none" w:sz="0" w:space="0" w:color="auto"/>
            <w:left w:val="none" w:sz="0" w:space="0" w:color="auto"/>
            <w:bottom w:val="none" w:sz="0" w:space="0" w:color="auto"/>
            <w:right w:val="none" w:sz="0" w:space="0" w:color="auto"/>
          </w:divBdr>
        </w:div>
      </w:divsChild>
    </w:div>
    <w:div w:id="1075280276">
      <w:bodyDiv w:val="1"/>
      <w:marLeft w:val="0"/>
      <w:marRight w:val="0"/>
      <w:marTop w:val="0"/>
      <w:marBottom w:val="0"/>
      <w:divBdr>
        <w:top w:val="none" w:sz="0" w:space="0" w:color="auto"/>
        <w:left w:val="none" w:sz="0" w:space="0" w:color="auto"/>
        <w:bottom w:val="none" w:sz="0" w:space="0" w:color="auto"/>
        <w:right w:val="none" w:sz="0" w:space="0" w:color="auto"/>
      </w:divBdr>
      <w:divsChild>
        <w:div w:id="190385301">
          <w:marLeft w:val="0"/>
          <w:marRight w:val="0"/>
          <w:marTop w:val="0"/>
          <w:marBottom w:val="0"/>
          <w:divBdr>
            <w:top w:val="none" w:sz="0" w:space="0" w:color="auto"/>
            <w:left w:val="none" w:sz="0" w:space="0" w:color="auto"/>
            <w:bottom w:val="none" w:sz="0" w:space="0" w:color="auto"/>
            <w:right w:val="none" w:sz="0" w:space="0" w:color="auto"/>
          </w:divBdr>
          <w:divsChild>
            <w:div w:id="1360594047">
              <w:marLeft w:val="0"/>
              <w:marRight w:val="0"/>
              <w:marTop w:val="0"/>
              <w:marBottom w:val="0"/>
              <w:divBdr>
                <w:top w:val="none" w:sz="0" w:space="0" w:color="auto"/>
                <w:left w:val="none" w:sz="0" w:space="0" w:color="auto"/>
                <w:bottom w:val="none" w:sz="0" w:space="0" w:color="auto"/>
                <w:right w:val="none" w:sz="0" w:space="0" w:color="auto"/>
              </w:divBdr>
              <w:divsChild>
                <w:div w:id="8282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0409">
      <w:bodyDiv w:val="1"/>
      <w:marLeft w:val="0"/>
      <w:marRight w:val="0"/>
      <w:marTop w:val="0"/>
      <w:marBottom w:val="0"/>
      <w:divBdr>
        <w:top w:val="none" w:sz="0" w:space="0" w:color="auto"/>
        <w:left w:val="none" w:sz="0" w:space="0" w:color="auto"/>
        <w:bottom w:val="none" w:sz="0" w:space="0" w:color="auto"/>
        <w:right w:val="none" w:sz="0" w:space="0" w:color="auto"/>
      </w:divBdr>
      <w:divsChild>
        <w:div w:id="573317140">
          <w:marLeft w:val="0"/>
          <w:marRight w:val="0"/>
          <w:marTop w:val="0"/>
          <w:marBottom w:val="0"/>
          <w:divBdr>
            <w:top w:val="none" w:sz="0" w:space="0" w:color="auto"/>
            <w:left w:val="none" w:sz="0" w:space="0" w:color="auto"/>
            <w:bottom w:val="none" w:sz="0" w:space="0" w:color="auto"/>
            <w:right w:val="none" w:sz="0" w:space="0" w:color="auto"/>
          </w:divBdr>
          <w:divsChild>
            <w:div w:id="770013247">
              <w:marLeft w:val="0"/>
              <w:marRight w:val="0"/>
              <w:marTop w:val="0"/>
              <w:marBottom w:val="0"/>
              <w:divBdr>
                <w:top w:val="none" w:sz="0" w:space="0" w:color="auto"/>
                <w:left w:val="none" w:sz="0" w:space="0" w:color="auto"/>
                <w:bottom w:val="none" w:sz="0" w:space="0" w:color="auto"/>
                <w:right w:val="none" w:sz="0" w:space="0" w:color="auto"/>
              </w:divBdr>
              <w:divsChild>
                <w:div w:id="1798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006">
      <w:bodyDiv w:val="1"/>
      <w:marLeft w:val="0"/>
      <w:marRight w:val="0"/>
      <w:marTop w:val="0"/>
      <w:marBottom w:val="0"/>
      <w:divBdr>
        <w:top w:val="none" w:sz="0" w:space="0" w:color="auto"/>
        <w:left w:val="none" w:sz="0" w:space="0" w:color="auto"/>
        <w:bottom w:val="none" w:sz="0" w:space="0" w:color="auto"/>
        <w:right w:val="none" w:sz="0" w:space="0" w:color="auto"/>
      </w:divBdr>
      <w:divsChild>
        <w:div w:id="1727332734">
          <w:marLeft w:val="0"/>
          <w:marRight w:val="0"/>
          <w:marTop w:val="0"/>
          <w:marBottom w:val="0"/>
          <w:divBdr>
            <w:top w:val="none" w:sz="0" w:space="0" w:color="auto"/>
            <w:left w:val="none" w:sz="0" w:space="0" w:color="auto"/>
            <w:bottom w:val="none" w:sz="0" w:space="0" w:color="auto"/>
            <w:right w:val="none" w:sz="0" w:space="0" w:color="auto"/>
          </w:divBdr>
          <w:divsChild>
            <w:div w:id="1269892232">
              <w:marLeft w:val="0"/>
              <w:marRight w:val="0"/>
              <w:marTop w:val="0"/>
              <w:marBottom w:val="0"/>
              <w:divBdr>
                <w:top w:val="none" w:sz="0" w:space="0" w:color="auto"/>
                <w:left w:val="none" w:sz="0" w:space="0" w:color="auto"/>
                <w:bottom w:val="none" w:sz="0" w:space="0" w:color="auto"/>
                <w:right w:val="none" w:sz="0" w:space="0" w:color="auto"/>
              </w:divBdr>
              <w:divsChild>
                <w:div w:id="968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345">
      <w:bodyDiv w:val="1"/>
      <w:marLeft w:val="0"/>
      <w:marRight w:val="0"/>
      <w:marTop w:val="0"/>
      <w:marBottom w:val="0"/>
      <w:divBdr>
        <w:top w:val="none" w:sz="0" w:space="0" w:color="auto"/>
        <w:left w:val="none" w:sz="0" w:space="0" w:color="auto"/>
        <w:bottom w:val="none" w:sz="0" w:space="0" w:color="auto"/>
        <w:right w:val="none" w:sz="0" w:space="0" w:color="auto"/>
      </w:divBdr>
      <w:divsChild>
        <w:div w:id="1119688323">
          <w:marLeft w:val="0"/>
          <w:marRight w:val="0"/>
          <w:marTop w:val="0"/>
          <w:marBottom w:val="0"/>
          <w:divBdr>
            <w:top w:val="none" w:sz="0" w:space="0" w:color="auto"/>
            <w:left w:val="none" w:sz="0" w:space="0" w:color="auto"/>
            <w:bottom w:val="none" w:sz="0" w:space="0" w:color="auto"/>
            <w:right w:val="none" w:sz="0" w:space="0" w:color="auto"/>
          </w:divBdr>
          <w:divsChild>
            <w:div w:id="1819877910">
              <w:marLeft w:val="0"/>
              <w:marRight w:val="0"/>
              <w:marTop w:val="0"/>
              <w:marBottom w:val="0"/>
              <w:divBdr>
                <w:top w:val="none" w:sz="0" w:space="0" w:color="auto"/>
                <w:left w:val="none" w:sz="0" w:space="0" w:color="auto"/>
                <w:bottom w:val="none" w:sz="0" w:space="0" w:color="auto"/>
                <w:right w:val="none" w:sz="0" w:space="0" w:color="auto"/>
              </w:divBdr>
              <w:divsChild>
                <w:div w:id="1409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6766">
      <w:bodyDiv w:val="1"/>
      <w:marLeft w:val="0"/>
      <w:marRight w:val="0"/>
      <w:marTop w:val="0"/>
      <w:marBottom w:val="0"/>
      <w:divBdr>
        <w:top w:val="none" w:sz="0" w:space="0" w:color="auto"/>
        <w:left w:val="none" w:sz="0" w:space="0" w:color="auto"/>
        <w:bottom w:val="none" w:sz="0" w:space="0" w:color="auto"/>
        <w:right w:val="none" w:sz="0" w:space="0" w:color="auto"/>
      </w:divBdr>
      <w:divsChild>
        <w:div w:id="83654052">
          <w:marLeft w:val="0"/>
          <w:marRight w:val="0"/>
          <w:marTop w:val="0"/>
          <w:marBottom w:val="0"/>
          <w:divBdr>
            <w:top w:val="none" w:sz="0" w:space="0" w:color="auto"/>
            <w:left w:val="none" w:sz="0" w:space="0" w:color="auto"/>
            <w:bottom w:val="none" w:sz="0" w:space="0" w:color="auto"/>
            <w:right w:val="none" w:sz="0" w:space="0" w:color="auto"/>
          </w:divBdr>
          <w:divsChild>
            <w:div w:id="842551919">
              <w:marLeft w:val="0"/>
              <w:marRight w:val="0"/>
              <w:marTop w:val="0"/>
              <w:marBottom w:val="0"/>
              <w:divBdr>
                <w:top w:val="none" w:sz="0" w:space="0" w:color="auto"/>
                <w:left w:val="none" w:sz="0" w:space="0" w:color="auto"/>
                <w:bottom w:val="none" w:sz="0" w:space="0" w:color="auto"/>
                <w:right w:val="none" w:sz="0" w:space="0" w:color="auto"/>
              </w:divBdr>
              <w:divsChild>
                <w:div w:id="5868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7628">
      <w:bodyDiv w:val="1"/>
      <w:marLeft w:val="0"/>
      <w:marRight w:val="0"/>
      <w:marTop w:val="0"/>
      <w:marBottom w:val="0"/>
      <w:divBdr>
        <w:top w:val="none" w:sz="0" w:space="0" w:color="auto"/>
        <w:left w:val="none" w:sz="0" w:space="0" w:color="auto"/>
        <w:bottom w:val="none" w:sz="0" w:space="0" w:color="auto"/>
        <w:right w:val="none" w:sz="0" w:space="0" w:color="auto"/>
      </w:divBdr>
      <w:divsChild>
        <w:div w:id="1524056277">
          <w:marLeft w:val="0"/>
          <w:marRight w:val="0"/>
          <w:marTop w:val="0"/>
          <w:marBottom w:val="0"/>
          <w:divBdr>
            <w:top w:val="none" w:sz="0" w:space="0" w:color="auto"/>
            <w:left w:val="none" w:sz="0" w:space="0" w:color="auto"/>
            <w:bottom w:val="none" w:sz="0" w:space="0" w:color="auto"/>
            <w:right w:val="none" w:sz="0" w:space="0" w:color="auto"/>
          </w:divBdr>
          <w:divsChild>
            <w:div w:id="603155726">
              <w:marLeft w:val="0"/>
              <w:marRight w:val="0"/>
              <w:marTop w:val="0"/>
              <w:marBottom w:val="0"/>
              <w:divBdr>
                <w:top w:val="none" w:sz="0" w:space="0" w:color="auto"/>
                <w:left w:val="none" w:sz="0" w:space="0" w:color="auto"/>
                <w:bottom w:val="none" w:sz="0" w:space="0" w:color="auto"/>
                <w:right w:val="none" w:sz="0" w:space="0" w:color="auto"/>
              </w:divBdr>
              <w:divsChild>
                <w:div w:id="1885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7919">
      <w:bodyDiv w:val="1"/>
      <w:marLeft w:val="0"/>
      <w:marRight w:val="0"/>
      <w:marTop w:val="0"/>
      <w:marBottom w:val="0"/>
      <w:divBdr>
        <w:top w:val="none" w:sz="0" w:space="0" w:color="auto"/>
        <w:left w:val="none" w:sz="0" w:space="0" w:color="auto"/>
        <w:bottom w:val="none" w:sz="0" w:space="0" w:color="auto"/>
        <w:right w:val="none" w:sz="0" w:space="0" w:color="auto"/>
      </w:divBdr>
      <w:divsChild>
        <w:div w:id="176895348">
          <w:marLeft w:val="0"/>
          <w:marRight w:val="0"/>
          <w:marTop w:val="0"/>
          <w:marBottom w:val="0"/>
          <w:divBdr>
            <w:top w:val="none" w:sz="0" w:space="0" w:color="auto"/>
            <w:left w:val="none" w:sz="0" w:space="0" w:color="auto"/>
            <w:bottom w:val="none" w:sz="0" w:space="0" w:color="auto"/>
            <w:right w:val="none" w:sz="0" w:space="0" w:color="auto"/>
          </w:divBdr>
          <w:divsChild>
            <w:div w:id="1175459548">
              <w:marLeft w:val="0"/>
              <w:marRight w:val="0"/>
              <w:marTop w:val="0"/>
              <w:marBottom w:val="0"/>
              <w:divBdr>
                <w:top w:val="none" w:sz="0" w:space="0" w:color="auto"/>
                <w:left w:val="none" w:sz="0" w:space="0" w:color="auto"/>
                <w:bottom w:val="none" w:sz="0" w:space="0" w:color="auto"/>
                <w:right w:val="none" w:sz="0" w:space="0" w:color="auto"/>
              </w:divBdr>
              <w:divsChild>
                <w:div w:id="2440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511">
      <w:bodyDiv w:val="1"/>
      <w:marLeft w:val="0"/>
      <w:marRight w:val="0"/>
      <w:marTop w:val="0"/>
      <w:marBottom w:val="0"/>
      <w:divBdr>
        <w:top w:val="none" w:sz="0" w:space="0" w:color="auto"/>
        <w:left w:val="none" w:sz="0" w:space="0" w:color="auto"/>
        <w:bottom w:val="none" w:sz="0" w:space="0" w:color="auto"/>
        <w:right w:val="none" w:sz="0" w:space="0" w:color="auto"/>
      </w:divBdr>
    </w:div>
    <w:div w:id="1144353140">
      <w:bodyDiv w:val="1"/>
      <w:marLeft w:val="0"/>
      <w:marRight w:val="0"/>
      <w:marTop w:val="0"/>
      <w:marBottom w:val="0"/>
      <w:divBdr>
        <w:top w:val="none" w:sz="0" w:space="0" w:color="auto"/>
        <w:left w:val="none" w:sz="0" w:space="0" w:color="auto"/>
        <w:bottom w:val="none" w:sz="0" w:space="0" w:color="auto"/>
        <w:right w:val="none" w:sz="0" w:space="0" w:color="auto"/>
      </w:divBdr>
      <w:divsChild>
        <w:div w:id="1608349065">
          <w:marLeft w:val="0"/>
          <w:marRight w:val="0"/>
          <w:marTop w:val="0"/>
          <w:marBottom w:val="0"/>
          <w:divBdr>
            <w:top w:val="none" w:sz="0" w:space="0" w:color="auto"/>
            <w:left w:val="none" w:sz="0" w:space="0" w:color="auto"/>
            <w:bottom w:val="none" w:sz="0" w:space="0" w:color="auto"/>
            <w:right w:val="none" w:sz="0" w:space="0" w:color="auto"/>
          </w:divBdr>
          <w:divsChild>
            <w:div w:id="801461280">
              <w:marLeft w:val="0"/>
              <w:marRight w:val="0"/>
              <w:marTop w:val="0"/>
              <w:marBottom w:val="0"/>
              <w:divBdr>
                <w:top w:val="none" w:sz="0" w:space="0" w:color="auto"/>
                <w:left w:val="none" w:sz="0" w:space="0" w:color="auto"/>
                <w:bottom w:val="none" w:sz="0" w:space="0" w:color="auto"/>
                <w:right w:val="none" w:sz="0" w:space="0" w:color="auto"/>
              </w:divBdr>
              <w:divsChild>
                <w:div w:id="15068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78269">
      <w:bodyDiv w:val="1"/>
      <w:marLeft w:val="0"/>
      <w:marRight w:val="0"/>
      <w:marTop w:val="0"/>
      <w:marBottom w:val="0"/>
      <w:divBdr>
        <w:top w:val="none" w:sz="0" w:space="0" w:color="auto"/>
        <w:left w:val="none" w:sz="0" w:space="0" w:color="auto"/>
        <w:bottom w:val="none" w:sz="0" w:space="0" w:color="auto"/>
        <w:right w:val="none" w:sz="0" w:space="0" w:color="auto"/>
      </w:divBdr>
      <w:divsChild>
        <w:div w:id="492181557">
          <w:marLeft w:val="0"/>
          <w:marRight w:val="0"/>
          <w:marTop w:val="0"/>
          <w:marBottom w:val="0"/>
          <w:divBdr>
            <w:top w:val="none" w:sz="0" w:space="0" w:color="auto"/>
            <w:left w:val="none" w:sz="0" w:space="0" w:color="auto"/>
            <w:bottom w:val="none" w:sz="0" w:space="0" w:color="auto"/>
            <w:right w:val="none" w:sz="0" w:space="0" w:color="auto"/>
          </w:divBdr>
          <w:divsChild>
            <w:div w:id="208303169">
              <w:marLeft w:val="0"/>
              <w:marRight w:val="0"/>
              <w:marTop w:val="0"/>
              <w:marBottom w:val="0"/>
              <w:divBdr>
                <w:top w:val="none" w:sz="0" w:space="0" w:color="auto"/>
                <w:left w:val="none" w:sz="0" w:space="0" w:color="auto"/>
                <w:bottom w:val="none" w:sz="0" w:space="0" w:color="auto"/>
                <w:right w:val="none" w:sz="0" w:space="0" w:color="auto"/>
              </w:divBdr>
              <w:divsChild>
                <w:div w:id="8708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9736">
      <w:bodyDiv w:val="1"/>
      <w:marLeft w:val="0"/>
      <w:marRight w:val="0"/>
      <w:marTop w:val="0"/>
      <w:marBottom w:val="0"/>
      <w:divBdr>
        <w:top w:val="none" w:sz="0" w:space="0" w:color="auto"/>
        <w:left w:val="none" w:sz="0" w:space="0" w:color="auto"/>
        <w:bottom w:val="none" w:sz="0" w:space="0" w:color="auto"/>
        <w:right w:val="none" w:sz="0" w:space="0" w:color="auto"/>
      </w:divBdr>
      <w:divsChild>
        <w:div w:id="1304895499">
          <w:marLeft w:val="0"/>
          <w:marRight w:val="0"/>
          <w:marTop w:val="0"/>
          <w:marBottom w:val="0"/>
          <w:divBdr>
            <w:top w:val="none" w:sz="0" w:space="0" w:color="auto"/>
            <w:left w:val="none" w:sz="0" w:space="0" w:color="auto"/>
            <w:bottom w:val="none" w:sz="0" w:space="0" w:color="auto"/>
            <w:right w:val="none" w:sz="0" w:space="0" w:color="auto"/>
          </w:divBdr>
          <w:divsChild>
            <w:div w:id="1286696433">
              <w:marLeft w:val="0"/>
              <w:marRight w:val="0"/>
              <w:marTop w:val="0"/>
              <w:marBottom w:val="0"/>
              <w:divBdr>
                <w:top w:val="none" w:sz="0" w:space="0" w:color="auto"/>
                <w:left w:val="none" w:sz="0" w:space="0" w:color="auto"/>
                <w:bottom w:val="none" w:sz="0" w:space="0" w:color="auto"/>
                <w:right w:val="none" w:sz="0" w:space="0" w:color="auto"/>
              </w:divBdr>
              <w:divsChild>
                <w:div w:id="1871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7608">
      <w:bodyDiv w:val="1"/>
      <w:marLeft w:val="0"/>
      <w:marRight w:val="0"/>
      <w:marTop w:val="0"/>
      <w:marBottom w:val="0"/>
      <w:divBdr>
        <w:top w:val="none" w:sz="0" w:space="0" w:color="auto"/>
        <w:left w:val="none" w:sz="0" w:space="0" w:color="auto"/>
        <w:bottom w:val="none" w:sz="0" w:space="0" w:color="auto"/>
        <w:right w:val="none" w:sz="0" w:space="0" w:color="auto"/>
      </w:divBdr>
      <w:divsChild>
        <w:div w:id="1413237904">
          <w:marLeft w:val="0"/>
          <w:marRight w:val="0"/>
          <w:marTop w:val="0"/>
          <w:marBottom w:val="0"/>
          <w:divBdr>
            <w:top w:val="none" w:sz="0" w:space="0" w:color="auto"/>
            <w:left w:val="none" w:sz="0" w:space="0" w:color="auto"/>
            <w:bottom w:val="none" w:sz="0" w:space="0" w:color="auto"/>
            <w:right w:val="none" w:sz="0" w:space="0" w:color="auto"/>
          </w:divBdr>
          <w:divsChild>
            <w:div w:id="323701948">
              <w:marLeft w:val="0"/>
              <w:marRight w:val="0"/>
              <w:marTop w:val="0"/>
              <w:marBottom w:val="0"/>
              <w:divBdr>
                <w:top w:val="none" w:sz="0" w:space="0" w:color="auto"/>
                <w:left w:val="none" w:sz="0" w:space="0" w:color="auto"/>
                <w:bottom w:val="none" w:sz="0" w:space="0" w:color="auto"/>
                <w:right w:val="none" w:sz="0" w:space="0" w:color="auto"/>
              </w:divBdr>
              <w:divsChild>
                <w:div w:id="455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1880">
      <w:bodyDiv w:val="1"/>
      <w:marLeft w:val="0"/>
      <w:marRight w:val="0"/>
      <w:marTop w:val="0"/>
      <w:marBottom w:val="0"/>
      <w:divBdr>
        <w:top w:val="none" w:sz="0" w:space="0" w:color="auto"/>
        <w:left w:val="none" w:sz="0" w:space="0" w:color="auto"/>
        <w:bottom w:val="none" w:sz="0" w:space="0" w:color="auto"/>
        <w:right w:val="none" w:sz="0" w:space="0" w:color="auto"/>
      </w:divBdr>
      <w:divsChild>
        <w:div w:id="688946580">
          <w:marLeft w:val="0"/>
          <w:marRight w:val="0"/>
          <w:marTop w:val="0"/>
          <w:marBottom w:val="0"/>
          <w:divBdr>
            <w:top w:val="none" w:sz="0" w:space="0" w:color="auto"/>
            <w:left w:val="none" w:sz="0" w:space="0" w:color="auto"/>
            <w:bottom w:val="none" w:sz="0" w:space="0" w:color="auto"/>
            <w:right w:val="none" w:sz="0" w:space="0" w:color="auto"/>
          </w:divBdr>
          <w:divsChild>
            <w:div w:id="1512989644">
              <w:marLeft w:val="0"/>
              <w:marRight w:val="0"/>
              <w:marTop w:val="0"/>
              <w:marBottom w:val="0"/>
              <w:divBdr>
                <w:top w:val="none" w:sz="0" w:space="0" w:color="auto"/>
                <w:left w:val="none" w:sz="0" w:space="0" w:color="auto"/>
                <w:bottom w:val="none" w:sz="0" w:space="0" w:color="auto"/>
                <w:right w:val="none" w:sz="0" w:space="0" w:color="auto"/>
              </w:divBdr>
              <w:divsChild>
                <w:div w:id="17915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89457">
      <w:bodyDiv w:val="1"/>
      <w:marLeft w:val="0"/>
      <w:marRight w:val="0"/>
      <w:marTop w:val="0"/>
      <w:marBottom w:val="0"/>
      <w:divBdr>
        <w:top w:val="none" w:sz="0" w:space="0" w:color="auto"/>
        <w:left w:val="none" w:sz="0" w:space="0" w:color="auto"/>
        <w:bottom w:val="none" w:sz="0" w:space="0" w:color="auto"/>
        <w:right w:val="none" w:sz="0" w:space="0" w:color="auto"/>
      </w:divBdr>
      <w:divsChild>
        <w:div w:id="75834436">
          <w:marLeft w:val="0"/>
          <w:marRight w:val="0"/>
          <w:marTop w:val="0"/>
          <w:marBottom w:val="0"/>
          <w:divBdr>
            <w:top w:val="none" w:sz="0" w:space="0" w:color="auto"/>
            <w:left w:val="none" w:sz="0" w:space="0" w:color="auto"/>
            <w:bottom w:val="none" w:sz="0" w:space="0" w:color="auto"/>
            <w:right w:val="none" w:sz="0" w:space="0" w:color="auto"/>
          </w:divBdr>
          <w:divsChild>
            <w:div w:id="617105637">
              <w:marLeft w:val="0"/>
              <w:marRight w:val="0"/>
              <w:marTop w:val="0"/>
              <w:marBottom w:val="0"/>
              <w:divBdr>
                <w:top w:val="none" w:sz="0" w:space="0" w:color="auto"/>
                <w:left w:val="none" w:sz="0" w:space="0" w:color="auto"/>
                <w:bottom w:val="none" w:sz="0" w:space="0" w:color="auto"/>
                <w:right w:val="none" w:sz="0" w:space="0" w:color="auto"/>
              </w:divBdr>
              <w:divsChild>
                <w:div w:id="4223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1078">
      <w:bodyDiv w:val="1"/>
      <w:marLeft w:val="0"/>
      <w:marRight w:val="0"/>
      <w:marTop w:val="0"/>
      <w:marBottom w:val="0"/>
      <w:divBdr>
        <w:top w:val="none" w:sz="0" w:space="0" w:color="auto"/>
        <w:left w:val="none" w:sz="0" w:space="0" w:color="auto"/>
        <w:bottom w:val="none" w:sz="0" w:space="0" w:color="auto"/>
        <w:right w:val="none" w:sz="0" w:space="0" w:color="auto"/>
      </w:divBdr>
      <w:divsChild>
        <w:div w:id="826824208">
          <w:marLeft w:val="0"/>
          <w:marRight w:val="0"/>
          <w:marTop w:val="0"/>
          <w:marBottom w:val="0"/>
          <w:divBdr>
            <w:top w:val="none" w:sz="0" w:space="0" w:color="auto"/>
            <w:left w:val="none" w:sz="0" w:space="0" w:color="auto"/>
            <w:bottom w:val="none" w:sz="0" w:space="0" w:color="auto"/>
            <w:right w:val="none" w:sz="0" w:space="0" w:color="auto"/>
          </w:divBdr>
          <w:divsChild>
            <w:div w:id="2062904459">
              <w:marLeft w:val="0"/>
              <w:marRight w:val="0"/>
              <w:marTop w:val="0"/>
              <w:marBottom w:val="0"/>
              <w:divBdr>
                <w:top w:val="none" w:sz="0" w:space="0" w:color="auto"/>
                <w:left w:val="none" w:sz="0" w:space="0" w:color="auto"/>
                <w:bottom w:val="none" w:sz="0" w:space="0" w:color="auto"/>
                <w:right w:val="none" w:sz="0" w:space="0" w:color="auto"/>
              </w:divBdr>
              <w:divsChild>
                <w:div w:id="1698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622">
      <w:bodyDiv w:val="1"/>
      <w:marLeft w:val="0"/>
      <w:marRight w:val="0"/>
      <w:marTop w:val="0"/>
      <w:marBottom w:val="0"/>
      <w:divBdr>
        <w:top w:val="none" w:sz="0" w:space="0" w:color="auto"/>
        <w:left w:val="none" w:sz="0" w:space="0" w:color="auto"/>
        <w:bottom w:val="none" w:sz="0" w:space="0" w:color="auto"/>
        <w:right w:val="none" w:sz="0" w:space="0" w:color="auto"/>
      </w:divBdr>
      <w:divsChild>
        <w:div w:id="1300265814">
          <w:marLeft w:val="0"/>
          <w:marRight w:val="0"/>
          <w:marTop w:val="0"/>
          <w:marBottom w:val="0"/>
          <w:divBdr>
            <w:top w:val="none" w:sz="0" w:space="0" w:color="auto"/>
            <w:left w:val="none" w:sz="0" w:space="0" w:color="auto"/>
            <w:bottom w:val="none" w:sz="0" w:space="0" w:color="auto"/>
            <w:right w:val="none" w:sz="0" w:space="0" w:color="auto"/>
          </w:divBdr>
          <w:divsChild>
            <w:div w:id="814030171">
              <w:marLeft w:val="0"/>
              <w:marRight w:val="0"/>
              <w:marTop w:val="0"/>
              <w:marBottom w:val="0"/>
              <w:divBdr>
                <w:top w:val="none" w:sz="0" w:space="0" w:color="auto"/>
                <w:left w:val="none" w:sz="0" w:space="0" w:color="auto"/>
                <w:bottom w:val="none" w:sz="0" w:space="0" w:color="auto"/>
                <w:right w:val="none" w:sz="0" w:space="0" w:color="auto"/>
              </w:divBdr>
              <w:divsChild>
                <w:div w:id="14941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0596">
      <w:bodyDiv w:val="1"/>
      <w:marLeft w:val="0"/>
      <w:marRight w:val="0"/>
      <w:marTop w:val="0"/>
      <w:marBottom w:val="0"/>
      <w:divBdr>
        <w:top w:val="none" w:sz="0" w:space="0" w:color="auto"/>
        <w:left w:val="none" w:sz="0" w:space="0" w:color="auto"/>
        <w:bottom w:val="none" w:sz="0" w:space="0" w:color="auto"/>
        <w:right w:val="none" w:sz="0" w:space="0" w:color="auto"/>
      </w:divBdr>
      <w:divsChild>
        <w:div w:id="1357147949">
          <w:marLeft w:val="0"/>
          <w:marRight w:val="0"/>
          <w:marTop w:val="0"/>
          <w:marBottom w:val="0"/>
          <w:divBdr>
            <w:top w:val="none" w:sz="0" w:space="0" w:color="auto"/>
            <w:left w:val="none" w:sz="0" w:space="0" w:color="auto"/>
            <w:bottom w:val="none" w:sz="0" w:space="0" w:color="auto"/>
            <w:right w:val="none" w:sz="0" w:space="0" w:color="auto"/>
          </w:divBdr>
          <w:divsChild>
            <w:div w:id="1527477518">
              <w:marLeft w:val="0"/>
              <w:marRight w:val="0"/>
              <w:marTop w:val="0"/>
              <w:marBottom w:val="0"/>
              <w:divBdr>
                <w:top w:val="none" w:sz="0" w:space="0" w:color="auto"/>
                <w:left w:val="none" w:sz="0" w:space="0" w:color="auto"/>
                <w:bottom w:val="none" w:sz="0" w:space="0" w:color="auto"/>
                <w:right w:val="none" w:sz="0" w:space="0" w:color="auto"/>
              </w:divBdr>
              <w:divsChild>
                <w:div w:id="10192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9022">
      <w:bodyDiv w:val="1"/>
      <w:marLeft w:val="0"/>
      <w:marRight w:val="0"/>
      <w:marTop w:val="0"/>
      <w:marBottom w:val="0"/>
      <w:divBdr>
        <w:top w:val="none" w:sz="0" w:space="0" w:color="auto"/>
        <w:left w:val="none" w:sz="0" w:space="0" w:color="auto"/>
        <w:bottom w:val="none" w:sz="0" w:space="0" w:color="auto"/>
        <w:right w:val="none" w:sz="0" w:space="0" w:color="auto"/>
      </w:divBdr>
      <w:divsChild>
        <w:div w:id="1922522240">
          <w:marLeft w:val="0"/>
          <w:marRight w:val="0"/>
          <w:marTop w:val="0"/>
          <w:marBottom w:val="0"/>
          <w:divBdr>
            <w:top w:val="none" w:sz="0" w:space="0" w:color="auto"/>
            <w:left w:val="none" w:sz="0" w:space="0" w:color="auto"/>
            <w:bottom w:val="none" w:sz="0" w:space="0" w:color="auto"/>
            <w:right w:val="none" w:sz="0" w:space="0" w:color="auto"/>
          </w:divBdr>
          <w:divsChild>
            <w:div w:id="1878542387">
              <w:marLeft w:val="0"/>
              <w:marRight w:val="0"/>
              <w:marTop w:val="0"/>
              <w:marBottom w:val="0"/>
              <w:divBdr>
                <w:top w:val="none" w:sz="0" w:space="0" w:color="auto"/>
                <w:left w:val="none" w:sz="0" w:space="0" w:color="auto"/>
                <w:bottom w:val="none" w:sz="0" w:space="0" w:color="auto"/>
                <w:right w:val="none" w:sz="0" w:space="0" w:color="auto"/>
              </w:divBdr>
              <w:divsChild>
                <w:div w:id="1974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488">
      <w:bodyDiv w:val="1"/>
      <w:marLeft w:val="0"/>
      <w:marRight w:val="0"/>
      <w:marTop w:val="0"/>
      <w:marBottom w:val="0"/>
      <w:divBdr>
        <w:top w:val="none" w:sz="0" w:space="0" w:color="auto"/>
        <w:left w:val="none" w:sz="0" w:space="0" w:color="auto"/>
        <w:bottom w:val="none" w:sz="0" w:space="0" w:color="auto"/>
        <w:right w:val="none" w:sz="0" w:space="0" w:color="auto"/>
      </w:divBdr>
      <w:divsChild>
        <w:div w:id="476646736">
          <w:marLeft w:val="0"/>
          <w:marRight w:val="0"/>
          <w:marTop w:val="0"/>
          <w:marBottom w:val="0"/>
          <w:divBdr>
            <w:top w:val="none" w:sz="0" w:space="0" w:color="auto"/>
            <w:left w:val="none" w:sz="0" w:space="0" w:color="auto"/>
            <w:bottom w:val="none" w:sz="0" w:space="0" w:color="auto"/>
            <w:right w:val="none" w:sz="0" w:space="0" w:color="auto"/>
          </w:divBdr>
          <w:divsChild>
            <w:div w:id="1560939775">
              <w:marLeft w:val="0"/>
              <w:marRight w:val="0"/>
              <w:marTop w:val="0"/>
              <w:marBottom w:val="0"/>
              <w:divBdr>
                <w:top w:val="none" w:sz="0" w:space="0" w:color="auto"/>
                <w:left w:val="none" w:sz="0" w:space="0" w:color="auto"/>
                <w:bottom w:val="none" w:sz="0" w:space="0" w:color="auto"/>
                <w:right w:val="none" w:sz="0" w:space="0" w:color="auto"/>
              </w:divBdr>
              <w:divsChild>
                <w:div w:id="3025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9777">
      <w:bodyDiv w:val="1"/>
      <w:marLeft w:val="0"/>
      <w:marRight w:val="0"/>
      <w:marTop w:val="0"/>
      <w:marBottom w:val="0"/>
      <w:divBdr>
        <w:top w:val="none" w:sz="0" w:space="0" w:color="auto"/>
        <w:left w:val="none" w:sz="0" w:space="0" w:color="auto"/>
        <w:bottom w:val="none" w:sz="0" w:space="0" w:color="auto"/>
        <w:right w:val="none" w:sz="0" w:space="0" w:color="auto"/>
      </w:divBdr>
      <w:divsChild>
        <w:div w:id="1907107037">
          <w:marLeft w:val="0"/>
          <w:marRight w:val="0"/>
          <w:marTop w:val="0"/>
          <w:marBottom w:val="0"/>
          <w:divBdr>
            <w:top w:val="none" w:sz="0" w:space="0" w:color="auto"/>
            <w:left w:val="none" w:sz="0" w:space="0" w:color="auto"/>
            <w:bottom w:val="none" w:sz="0" w:space="0" w:color="auto"/>
            <w:right w:val="none" w:sz="0" w:space="0" w:color="auto"/>
          </w:divBdr>
          <w:divsChild>
            <w:div w:id="1075591171">
              <w:marLeft w:val="0"/>
              <w:marRight w:val="0"/>
              <w:marTop w:val="0"/>
              <w:marBottom w:val="0"/>
              <w:divBdr>
                <w:top w:val="none" w:sz="0" w:space="0" w:color="auto"/>
                <w:left w:val="none" w:sz="0" w:space="0" w:color="auto"/>
                <w:bottom w:val="none" w:sz="0" w:space="0" w:color="auto"/>
                <w:right w:val="none" w:sz="0" w:space="0" w:color="auto"/>
              </w:divBdr>
              <w:divsChild>
                <w:div w:id="2129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2338">
      <w:bodyDiv w:val="1"/>
      <w:marLeft w:val="0"/>
      <w:marRight w:val="0"/>
      <w:marTop w:val="0"/>
      <w:marBottom w:val="0"/>
      <w:divBdr>
        <w:top w:val="none" w:sz="0" w:space="0" w:color="auto"/>
        <w:left w:val="none" w:sz="0" w:space="0" w:color="auto"/>
        <w:bottom w:val="none" w:sz="0" w:space="0" w:color="auto"/>
        <w:right w:val="none" w:sz="0" w:space="0" w:color="auto"/>
      </w:divBdr>
    </w:div>
    <w:div w:id="1330794405">
      <w:bodyDiv w:val="1"/>
      <w:marLeft w:val="0"/>
      <w:marRight w:val="0"/>
      <w:marTop w:val="0"/>
      <w:marBottom w:val="0"/>
      <w:divBdr>
        <w:top w:val="none" w:sz="0" w:space="0" w:color="auto"/>
        <w:left w:val="none" w:sz="0" w:space="0" w:color="auto"/>
        <w:bottom w:val="none" w:sz="0" w:space="0" w:color="auto"/>
        <w:right w:val="none" w:sz="0" w:space="0" w:color="auto"/>
      </w:divBdr>
      <w:divsChild>
        <w:div w:id="2069499220">
          <w:marLeft w:val="0"/>
          <w:marRight w:val="0"/>
          <w:marTop w:val="0"/>
          <w:marBottom w:val="0"/>
          <w:divBdr>
            <w:top w:val="none" w:sz="0" w:space="0" w:color="auto"/>
            <w:left w:val="none" w:sz="0" w:space="0" w:color="auto"/>
            <w:bottom w:val="none" w:sz="0" w:space="0" w:color="auto"/>
            <w:right w:val="none" w:sz="0" w:space="0" w:color="auto"/>
          </w:divBdr>
          <w:divsChild>
            <w:div w:id="1828740349">
              <w:marLeft w:val="0"/>
              <w:marRight w:val="0"/>
              <w:marTop w:val="0"/>
              <w:marBottom w:val="0"/>
              <w:divBdr>
                <w:top w:val="none" w:sz="0" w:space="0" w:color="auto"/>
                <w:left w:val="none" w:sz="0" w:space="0" w:color="auto"/>
                <w:bottom w:val="none" w:sz="0" w:space="0" w:color="auto"/>
                <w:right w:val="none" w:sz="0" w:space="0" w:color="auto"/>
              </w:divBdr>
              <w:divsChild>
                <w:div w:id="242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853">
      <w:bodyDiv w:val="1"/>
      <w:marLeft w:val="0"/>
      <w:marRight w:val="0"/>
      <w:marTop w:val="0"/>
      <w:marBottom w:val="0"/>
      <w:divBdr>
        <w:top w:val="none" w:sz="0" w:space="0" w:color="auto"/>
        <w:left w:val="none" w:sz="0" w:space="0" w:color="auto"/>
        <w:bottom w:val="none" w:sz="0" w:space="0" w:color="auto"/>
        <w:right w:val="none" w:sz="0" w:space="0" w:color="auto"/>
      </w:divBdr>
      <w:divsChild>
        <w:div w:id="887883909">
          <w:marLeft w:val="0"/>
          <w:marRight w:val="0"/>
          <w:marTop w:val="0"/>
          <w:marBottom w:val="0"/>
          <w:divBdr>
            <w:top w:val="none" w:sz="0" w:space="0" w:color="auto"/>
            <w:left w:val="none" w:sz="0" w:space="0" w:color="auto"/>
            <w:bottom w:val="none" w:sz="0" w:space="0" w:color="auto"/>
            <w:right w:val="none" w:sz="0" w:space="0" w:color="auto"/>
          </w:divBdr>
          <w:divsChild>
            <w:div w:id="139662095">
              <w:marLeft w:val="0"/>
              <w:marRight w:val="0"/>
              <w:marTop w:val="0"/>
              <w:marBottom w:val="0"/>
              <w:divBdr>
                <w:top w:val="none" w:sz="0" w:space="0" w:color="auto"/>
                <w:left w:val="none" w:sz="0" w:space="0" w:color="auto"/>
                <w:bottom w:val="none" w:sz="0" w:space="0" w:color="auto"/>
                <w:right w:val="none" w:sz="0" w:space="0" w:color="auto"/>
              </w:divBdr>
              <w:divsChild>
                <w:div w:id="1215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3995">
      <w:bodyDiv w:val="1"/>
      <w:marLeft w:val="0"/>
      <w:marRight w:val="0"/>
      <w:marTop w:val="0"/>
      <w:marBottom w:val="0"/>
      <w:divBdr>
        <w:top w:val="none" w:sz="0" w:space="0" w:color="auto"/>
        <w:left w:val="none" w:sz="0" w:space="0" w:color="auto"/>
        <w:bottom w:val="none" w:sz="0" w:space="0" w:color="auto"/>
        <w:right w:val="none" w:sz="0" w:space="0" w:color="auto"/>
      </w:divBdr>
      <w:divsChild>
        <w:div w:id="1993409078">
          <w:marLeft w:val="0"/>
          <w:marRight w:val="0"/>
          <w:marTop w:val="0"/>
          <w:marBottom w:val="0"/>
          <w:divBdr>
            <w:top w:val="none" w:sz="0" w:space="0" w:color="auto"/>
            <w:left w:val="none" w:sz="0" w:space="0" w:color="auto"/>
            <w:bottom w:val="none" w:sz="0" w:space="0" w:color="auto"/>
            <w:right w:val="none" w:sz="0" w:space="0" w:color="auto"/>
          </w:divBdr>
          <w:divsChild>
            <w:div w:id="1775397305">
              <w:marLeft w:val="0"/>
              <w:marRight w:val="0"/>
              <w:marTop w:val="0"/>
              <w:marBottom w:val="0"/>
              <w:divBdr>
                <w:top w:val="none" w:sz="0" w:space="0" w:color="auto"/>
                <w:left w:val="none" w:sz="0" w:space="0" w:color="auto"/>
                <w:bottom w:val="none" w:sz="0" w:space="0" w:color="auto"/>
                <w:right w:val="none" w:sz="0" w:space="0" w:color="auto"/>
              </w:divBdr>
              <w:divsChild>
                <w:div w:id="892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0319">
      <w:bodyDiv w:val="1"/>
      <w:marLeft w:val="0"/>
      <w:marRight w:val="0"/>
      <w:marTop w:val="0"/>
      <w:marBottom w:val="0"/>
      <w:divBdr>
        <w:top w:val="none" w:sz="0" w:space="0" w:color="auto"/>
        <w:left w:val="none" w:sz="0" w:space="0" w:color="auto"/>
        <w:bottom w:val="none" w:sz="0" w:space="0" w:color="auto"/>
        <w:right w:val="none" w:sz="0" w:space="0" w:color="auto"/>
      </w:divBdr>
      <w:divsChild>
        <w:div w:id="2048333701">
          <w:marLeft w:val="0"/>
          <w:marRight w:val="0"/>
          <w:marTop w:val="0"/>
          <w:marBottom w:val="0"/>
          <w:divBdr>
            <w:top w:val="none" w:sz="0" w:space="0" w:color="auto"/>
            <w:left w:val="none" w:sz="0" w:space="0" w:color="auto"/>
            <w:bottom w:val="none" w:sz="0" w:space="0" w:color="auto"/>
            <w:right w:val="none" w:sz="0" w:space="0" w:color="auto"/>
          </w:divBdr>
          <w:divsChild>
            <w:div w:id="2064139515">
              <w:marLeft w:val="0"/>
              <w:marRight w:val="0"/>
              <w:marTop w:val="0"/>
              <w:marBottom w:val="0"/>
              <w:divBdr>
                <w:top w:val="none" w:sz="0" w:space="0" w:color="auto"/>
                <w:left w:val="none" w:sz="0" w:space="0" w:color="auto"/>
                <w:bottom w:val="none" w:sz="0" w:space="0" w:color="auto"/>
                <w:right w:val="none" w:sz="0" w:space="0" w:color="auto"/>
              </w:divBdr>
              <w:divsChild>
                <w:div w:id="13349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8056">
      <w:bodyDiv w:val="1"/>
      <w:marLeft w:val="0"/>
      <w:marRight w:val="0"/>
      <w:marTop w:val="0"/>
      <w:marBottom w:val="0"/>
      <w:divBdr>
        <w:top w:val="none" w:sz="0" w:space="0" w:color="auto"/>
        <w:left w:val="none" w:sz="0" w:space="0" w:color="auto"/>
        <w:bottom w:val="none" w:sz="0" w:space="0" w:color="auto"/>
        <w:right w:val="none" w:sz="0" w:space="0" w:color="auto"/>
      </w:divBdr>
    </w:div>
    <w:div w:id="1375959765">
      <w:bodyDiv w:val="1"/>
      <w:marLeft w:val="0"/>
      <w:marRight w:val="0"/>
      <w:marTop w:val="0"/>
      <w:marBottom w:val="0"/>
      <w:divBdr>
        <w:top w:val="none" w:sz="0" w:space="0" w:color="auto"/>
        <w:left w:val="none" w:sz="0" w:space="0" w:color="auto"/>
        <w:bottom w:val="none" w:sz="0" w:space="0" w:color="auto"/>
        <w:right w:val="none" w:sz="0" w:space="0" w:color="auto"/>
      </w:divBdr>
      <w:divsChild>
        <w:div w:id="1158497834">
          <w:marLeft w:val="0"/>
          <w:marRight w:val="0"/>
          <w:marTop w:val="0"/>
          <w:marBottom w:val="0"/>
          <w:divBdr>
            <w:top w:val="none" w:sz="0" w:space="0" w:color="auto"/>
            <w:left w:val="none" w:sz="0" w:space="0" w:color="auto"/>
            <w:bottom w:val="none" w:sz="0" w:space="0" w:color="auto"/>
            <w:right w:val="none" w:sz="0" w:space="0" w:color="auto"/>
          </w:divBdr>
          <w:divsChild>
            <w:div w:id="1951548496">
              <w:marLeft w:val="0"/>
              <w:marRight w:val="0"/>
              <w:marTop w:val="0"/>
              <w:marBottom w:val="0"/>
              <w:divBdr>
                <w:top w:val="none" w:sz="0" w:space="0" w:color="auto"/>
                <w:left w:val="none" w:sz="0" w:space="0" w:color="auto"/>
                <w:bottom w:val="none" w:sz="0" w:space="0" w:color="auto"/>
                <w:right w:val="none" w:sz="0" w:space="0" w:color="auto"/>
              </w:divBdr>
              <w:divsChild>
                <w:div w:id="14136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8796">
      <w:bodyDiv w:val="1"/>
      <w:marLeft w:val="0"/>
      <w:marRight w:val="0"/>
      <w:marTop w:val="0"/>
      <w:marBottom w:val="0"/>
      <w:divBdr>
        <w:top w:val="none" w:sz="0" w:space="0" w:color="auto"/>
        <w:left w:val="none" w:sz="0" w:space="0" w:color="auto"/>
        <w:bottom w:val="none" w:sz="0" w:space="0" w:color="auto"/>
        <w:right w:val="none" w:sz="0" w:space="0" w:color="auto"/>
      </w:divBdr>
      <w:divsChild>
        <w:div w:id="1904481173">
          <w:marLeft w:val="0"/>
          <w:marRight w:val="0"/>
          <w:marTop w:val="0"/>
          <w:marBottom w:val="0"/>
          <w:divBdr>
            <w:top w:val="none" w:sz="0" w:space="0" w:color="auto"/>
            <w:left w:val="none" w:sz="0" w:space="0" w:color="auto"/>
            <w:bottom w:val="none" w:sz="0" w:space="0" w:color="auto"/>
            <w:right w:val="none" w:sz="0" w:space="0" w:color="auto"/>
          </w:divBdr>
          <w:divsChild>
            <w:div w:id="2097747322">
              <w:marLeft w:val="0"/>
              <w:marRight w:val="0"/>
              <w:marTop w:val="0"/>
              <w:marBottom w:val="0"/>
              <w:divBdr>
                <w:top w:val="none" w:sz="0" w:space="0" w:color="auto"/>
                <w:left w:val="none" w:sz="0" w:space="0" w:color="auto"/>
                <w:bottom w:val="none" w:sz="0" w:space="0" w:color="auto"/>
                <w:right w:val="none" w:sz="0" w:space="0" w:color="auto"/>
              </w:divBdr>
              <w:divsChild>
                <w:div w:id="1080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2382">
      <w:bodyDiv w:val="1"/>
      <w:marLeft w:val="0"/>
      <w:marRight w:val="0"/>
      <w:marTop w:val="0"/>
      <w:marBottom w:val="0"/>
      <w:divBdr>
        <w:top w:val="none" w:sz="0" w:space="0" w:color="auto"/>
        <w:left w:val="none" w:sz="0" w:space="0" w:color="auto"/>
        <w:bottom w:val="none" w:sz="0" w:space="0" w:color="auto"/>
        <w:right w:val="none" w:sz="0" w:space="0" w:color="auto"/>
      </w:divBdr>
      <w:divsChild>
        <w:div w:id="1957443443">
          <w:marLeft w:val="0"/>
          <w:marRight w:val="0"/>
          <w:marTop w:val="0"/>
          <w:marBottom w:val="0"/>
          <w:divBdr>
            <w:top w:val="none" w:sz="0" w:space="0" w:color="auto"/>
            <w:left w:val="none" w:sz="0" w:space="0" w:color="auto"/>
            <w:bottom w:val="none" w:sz="0" w:space="0" w:color="auto"/>
            <w:right w:val="none" w:sz="0" w:space="0" w:color="auto"/>
          </w:divBdr>
          <w:divsChild>
            <w:div w:id="480268326">
              <w:marLeft w:val="0"/>
              <w:marRight w:val="0"/>
              <w:marTop w:val="0"/>
              <w:marBottom w:val="0"/>
              <w:divBdr>
                <w:top w:val="none" w:sz="0" w:space="0" w:color="auto"/>
                <w:left w:val="none" w:sz="0" w:space="0" w:color="auto"/>
                <w:bottom w:val="none" w:sz="0" w:space="0" w:color="auto"/>
                <w:right w:val="none" w:sz="0" w:space="0" w:color="auto"/>
              </w:divBdr>
              <w:divsChild>
                <w:div w:id="5203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9041">
      <w:bodyDiv w:val="1"/>
      <w:marLeft w:val="0"/>
      <w:marRight w:val="0"/>
      <w:marTop w:val="0"/>
      <w:marBottom w:val="0"/>
      <w:divBdr>
        <w:top w:val="none" w:sz="0" w:space="0" w:color="auto"/>
        <w:left w:val="none" w:sz="0" w:space="0" w:color="auto"/>
        <w:bottom w:val="none" w:sz="0" w:space="0" w:color="auto"/>
        <w:right w:val="none" w:sz="0" w:space="0" w:color="auto"/>
      </w:divBdr>
      <w:divsChild>
        <w:div w:id="1739479345">
          <w:marLeft w:val="0"/>
          <w:marRight w:val="0"/>
          <w:marTop w:val="0"/>
          <w:marBottom w:val="0"/>
          <w:divBdr>
            <w:top w:val="none" w:sz="0" w:space="0" w:color="auto"/>
            <w:left w:val="none" w:sz="0" w:space="0" w:color="auto"/>
            <w:bottom w:val="none" w:sz="0" w:space="0" w:color="auto"/>
            <w:right w:val="none" w:sz="0" w:space="0" w:color="auto"/>
          </w:divBdr>
          <w:divsChild>
            <w:div w:id="1236747862">
              <w:marLeft w:val="0"/>
              <w:marRight w:val="0"/>
              <w:marTop w:val="0"/>
              <w:marBottom w:val="0"/>
              <w:divBdr>
                <w:top w:val="none" w:sz="0" w:space="0" w:color="auto"/>
                <w:left w:val="none" w:sz="0" w:space="0" w:color="auto"/>
                <w:bottom w:val="none" w:sz="0" w:space="0" w:color="auto"/>
                <w:right w:val="none" w:sz="0" w:space="0" w:color="auto"/>
              </w:divBdr>
              <w:divsChild>
                <w:div w:id="1795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507">
      <w:bodyDiv w:val="1"/>
      <w:marLeft w:val="0"/>
      <w:marRight w:val="0"/>
      <w:marTop w:val="0"/>
      <w:marBottom w:val="0"/>
      <w:divBdr>
        <w:top w:val="none" w:sz="0" w:space="0" w:color="auto"/>
        <w:left w:val="none" w:sz="0" w:space="0" w:color="auto"/>
        <w:bottom w:val="none" w:sz="0" w:space="0" w:color="auto"/>
        <w:right w:val="none" w:sz="0" w:space="0" w:color="auto"/>
      </w:divBdr>
      <w:divsChild>
        <w:div w:id="850290954">
          <w:marLeft w:val="0"/>
          <w:marRight w:val="0"/>
          <w:marTop w:val="0"/>
          <w:marBottom w:val="0"/>
          <w:divBdr>
            <w:top w:val="none" w:sz="0" w:space="0" w:color="auto"/>
            <w:left w:val="none" w:sz="0" w:space="0" w:color="auto"/>
            <w:bottom w:val="none" w:sz="0" w:space="0" w:color="auto"/>
            <w:right w:val="none" w:sz="0" w:space="0" w:color="auto"/>
          </w:divBdr>
          <w:divsChild>
            <w:div w:id="119962347">
              <w:marLeft w:val="0"/>
              <w:marRight w:val="0"/>
              <w:marTop w:val="0"/>
              <w:marBottom w:val="0"/>
              <w:divBdr>
                <w:top w:val="none" w:sz="0" w:space="0" w:color="auto"/>
                <w:left w:val="none" w:sz="0" w:space="0" w:color="auto"/>
                <w:bottom w:val="none" w:sz="0" w:space="0" w:color="auto"/>
                <w:right w:val="none" w:sz="0" w:space="0" w:color="auto"/>
              </w:divBdr>
              <w:divsChild>
                <w:div w:id="1345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1853">
      <w:bodyDiv w:val="1"/>
      <w:marLeft w:val="0"/>
      <w:marRight w:val="0"/>
      <w:marTop w:val="0"/>
      <w:marBottom w:val="0"/>
      <w:divBdr>
        <w:top w:val="none" w:sz="0" w:space="0" w:color="auto"/>
        <w:left w:val="none" w:sz="0" w:space="0" w:color="auto"/>
        <w:bottom w:val="none" w:sz="0" w:space="0" w:color="auto"/>
        <w:right w:val="none" w:sz="0" w:space="0" w:color="auto"/>
      </w:divBdr>
    </w:div>
    <w:div w:id="1498112185">
      <w:bodyDiv w:val="1"/>
      <w:marLeft w:val="0"/>
      <w:marRight w:val="0"/>
      <w:marTop w:val="0"/>
      <w:marBottom w:val="0"/>
      <w:divBdr>
        <w:top w:val="none" w:sz="0" w:space="0" w:color="auto"/>
        <w:left w:val="none" w:sz="0" w:space="0" w:color="auto"/>
        <w:bottom w:val="none" w:sz="0" w:space="0" w:color="auto"/>
        <w:right w:val="none" w:sz="0" w:space="0" w:color="auto"/>
      </w:divBdr>
      <w:divsChild>
        <w:div w:id="1788281498">
          <w:marLeft w:val="0"/>
          <w:marRight w:val="0"/>
          <w:marTop w:val="0"/>
          <w:marBottom w:val="0"/>
          <w:divBdr>
            <w:top w:val="none" w:sz="0" w:space="0" w:color="auto"/>
            <w:left w:val="none" w:sz="0" w:space="0" w:color="auto"/>
            <w:bottom w:val="none" w:sz="0" w:space="0" w:color="auto"/>
            <w:right w:val="none" w:sz="0" w:space="0" w:color="auto"/>
          </w:divBdr>
          <w:divsChild>
            <w:div w:id="1050761799">
              <w:marLeft w:val="0"/>
              <w:marRight w:val="0"/>
              <w:marTop w:val="0"/>
              <w:marBottom w:val="0"/>
              <w:divBdr>
                <w:top w:val="none" w:sz="0" w:space="0" w:color="auto"/>
                <w:left w:val="none" w:sz="0" w:space="0" w:color="auto"/>
                <w:bottom w:val="none" w:sz="0" w:space="0" w:color="auto"/>
                <w:right w:val="none" w:sz="0" w:space="0" w:color="auto"/>
              </w:divBdr>
              <w:divsChild>
                <w:div w:id="1211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0803">
      <w:bodyDiv w:val="1"/>
      <w:marLeft w:val="0"/>
      <w:marRight w:val="0"/>
      <w:marTop w:val="0"/>
      <w:marBottom w:val="0"/>
      <w:divBdr>
        <w:top w:val="none" w:sz="0" w:space="0" w:color="auto"/>
        <w:left w:val="none" w:sz="0" w:space="0" w:color="auto"/>
        <w:bottom w:val="none" w:sz="0" w:space="0" w:color="auto"/>
        <w:right w:val="none" w:sz="0" w:space="0" w:color="auto"/>
      </w:divBdr>
      <w:divsChild>
        <w:div w:id="1836257900">
          <w:marLeft w:val="0"/>
          <w:marRight w:val="0"/>
          <w:marTop w:val="0"/>
          <w:marBottom w:val="0"/>
          <w:divBdr>
            <w:top w:val="none" w:sz="0" w:space="0" w:color="auto"/>
            <w:left w:val="none" w:sz="0" w:space="0" w:color="auto"/>
            <w:bottom w:val="none" w:sz="0" w:space="0" w:color="auto"/>
            <w:right w:val="none" w:sz="0" w:space="0" w:color="auto"/>
          </w:divBdr>
          <w:divsChild>
            <w:div w:id="327828384">
              <w:marLeft w:val="0"/>
              <w:marRight w:val="0"/>
              <w:marTop w:val="0"/>
              <w:marBottom w:val="0"/>
              <w:divBdr>
                <w:top w:val="none" w:sz="0" w:space="0" w:color="auto"/>
                <w:left w:val="none" w:sz="0" w:space="0" w:color="auto"/>
                <w:bottom w:val="none" w:sz="0" w:space="0" w:color="auto"/>
                <w:right w:val="none" w:sz="0" w:space="0" w:color="auto"/>
              </w:divBdr>
              <w:divsChild>
                <w:div w:id="4261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6086">
      <w:bodyDiv w:val="1"/>
      <w:marLeft w:val="0"/>
      <w:marRight w:val="0"/>
      <w:marTop w:val="0"/>
      <w:marBottom w:val="0"/>
      <w:divBdr>
        <w:top w:val="none" w:sz="0" w:space="0" w:color="auto"/>
        <w:left w:val="none" w:sz="0" w:space="0" w:color="auto"/>
        <w:bottom w:val="none" w:sz="0" w:space="0" w:color="auto"/>
        <w:right w:val="none" w:sz="0" w:space="0" w:color="auto"/>
      </w:divBdr>
      <w:divsChild>
        <w:div w:id="74208297">
          <w:marLeft w:val="0"/>
          <w:marRight w:val="0"/>
          <w:marTop w:val="0"/>
          <w:marBottom w:val="0"/>
          <w:divBdr>
            <w:top w:val="none" w:sz="0" w:space="0" w:color="auto"/>
            <w:left w:val="none" w:sz="0" w:space="0" w:color="auto"/>
            <w:bottom w:val="none" w:sz="0" w:space="0" w:color="auto"/>
            <w:right w:val="none" w:sz="0" w:space="0" w:color="auto"/>
          </w:divBdr>
        </w:div>
        <w:div w:id="543370672">
          <w:marLeft w:val="0"/>
          <w:marRight w:val="0"/>
          <w:marTop w:val="0"/>
          <w:marBottom w:val="0"/>
          <w:divBdr>
            <w:top w:val="none" w:sz="0" w:space="0" w:color="auto"/>
            <w:left w:val="none" w:sz="0" w:space="0" w:color="auto"/>
            <w:bottom w:val="none" w:sz="0" w:space="0" w:color="auto"/>
            <w:right w:val="none" w:sz="0" w:space="0" w:color="auto"/>
          </w:divBdr>
        </w:div>
        <w:div w:id="1226840315">
          <w:marLeft w:val="0"/>
          <w:marRight w:val="0"/>
          <w:marTop w:val="0"/>
          <w:marBottom w:val="0"/>
          <w:divBdr>
            <w:top w:val="none" w:sz="0" w:space="0" w:color="auto"/>
            <w:left w:val="none" w:sz="0" w:space="0" w:color="auto"/>
            <w:bottom w:val="none" w:sz="0" w:space="0" w:color="auto"/>
            <w:right w:val="none" w:sz="0" w:space="0" w:color="auto"/>
          </w:divBdr>
        </w:div>
        <w:div w:id="1499887929">
          <w:marLeft w:val="0"/>
          <w:marRight w:val="0"/>
          <w:marTop w:val="0"/>
          <w:marBottom w:val="0"/>
          <w:divBdr>
            <w:top w:val="none" w:sz="0" w:space="0" w:color="auto"/>
            <w:left w:val="none" w:sz="0" w:space="0" w:color="auto"/>
            <w:bottom w:val="none" w:sz="0" w:space="0" w:color="auto"/>
            <w:right w:val="none" w:sz="0" w:space="0" w:color="auto"/>
          </w:divBdr>
        </w:div>
        <w:div w:id="1819302645">
          <w:marLeft w:val="0"/>
          <w:marRight w:val="0"/>
          <w:marTop w:val="0"/>
          <w:marBottom w:val="0"/>
          <w:divBdr>
            <w:top w:val="none" w:sz="0" w:space="0" w:color="auto"/>
            <w:left w:val="none" w:sz="0" w:space="0" w:color="auto"/>
            <w:bottom w:val="none" w:sz="0" w:space="0" w:color="auto"/>
            <w:right w:val="none" w:sz="0" w:space="0" w:color="auto"/>
          </w:divBdr>
        </w:div>
      </w:divsChild>
    </w:div>
    <w:div w:id="1553080597">
      <w:bodyDiv w:val="1"/>
      <w:marLeft w:val="0"/>
      <w:marRight w:val="0"/>
      <w:marTop w:val="0"/>
      <w:marBottom w:val="0"/>
      <w:divBdr>
        <w:top w:val="none" w:sz="0" w:space="0" w:color="auto"/>
        <w:left w:val="none" w:sz="0" w:space="0" w:color="auto"/>
        <w:bottom w:val="none" w:sz="0" w:space="0" w:color="auto"/>
        <w:right w:val="none" w:sz="0" w:space="0" w:color="auto"/>
      </w:divBdr>
      <w:divsChild>
        <w:div w:id="2081587094">
          <w:marLeft w:val="0"/>
          <w:marRight w:val="0"/>
          <w:marTop w:val="0"/>
          <w:marBottom w:val="0"/>
          <w:divBdr>
            <w:top w:val="none" w:sz="0" w:space="0" w:color="auto"/>
            <w:left w:val="none" w:sz="0" w:space="0" w:color="auto"/>
            <w:bottom w:val="none" w:sz="0" w:space="0" w:color="auto"/>
            <w:right w:val="none" w:sz="0" w:space="0" w:color="auto"/>
          </w:divBdr>
          <w:divsChild>
            <w:div w:id="355469919">
              <w:marLeft w:val="0"/>
              <w:marRight w:val="0"/>
              <w:marTop w:val="0"/>
              <w:marBottom w:val="0"/>
              <w:divBdr>
                <w:top w:val="none" w:sz="0" w:space="0" w:color="auto"/>
                <w:left w:val="none" w:sz="0" w:space="0" w:color="auto"/>
                <w:bottom w:val="none" w:sz="0" w:space="0" w:color="auto"/>
                <w:right w:val="none" w:sz="0" w:space="0" w:color="auto"/>
              </w:divBdr>
              <w:divsChild>
                <w:div w:id="16496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4693">
      <w:bodyDiv w:val="1"/>
      <w:marLeft w:val="0"/>
      <w:marRight w:val="0"/>
      <w:marTop w:val="0"/>
      <w:marBottom w:val="0"/>
      <w:divBdr>
        <w:top w:val="none" w:sz="0" w:space="0" w:color="auto"/>
        <w:left w:val="none" w:sz="0" w:space="0" w:color="auto"/>
        <w:bottom w:val="none" w:sz="0" w:space="0" w:color="auto"/>
        <w:right w:val="none" w:sz="0" w:space="0" w:color="auto"/>
      </w:divBdr>
      <w:divsChild>
        <w:div w:id="833230508">
          <w:marLeft w:val="0"/>
          <w:marRight w:val="0"/>
          <w:marTop w:val="0"/>
          <w:marBottom w:val="0"/>
          <w:divBdr>
            <w:top w:val="none" w:sz="0" w:space="0" w:color="auto"/>
            <w:left w:val="none" w:sz="0" w:space="0" w:color="auto"/>
            <w:bottom w:val="none" w:sz="0" w:space="0" w:color="auto"/>
            <w:right w:val="none" w:sz="0" w:space="0" w:color="auto"/>
          </w:divBdr>
          <w:divsChild>
            <w:div w:id="2089377036">
              <w:marLeft w:val="0"/>
              <w:marRight w:val="0"/>
              <w:marTop w:val="0"/>
              <w:marBottom w:val="0"/>
              <w:divBdr>
                <w:top w:val="none" w:sz="0" w:space="0" w:color="auto"/>
                <w:left w:val="none" w:sz="0" w:space="0" w:color="auto"/>
                <w:bottom w:val="none" w:sz="0" w:space="0" w:color="auto"/>
                <w:right w:val="none" w:sz="0" w:space="0" w:color="auto"/>
              </w:divBdr>
              <w:divsChild>
                <w:div w:id="932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270">
      <w:bodyDiv w:val="1"/>
      <w:marLeft w:val="0"/>
      <w:marRight w:val="0"/>
      <w:marTop w:val="0"/>
      <w:marBottom w:val="0"/>
      <w:divBdr>
        <w:top w:val="none" w:sz="0" w:space="0" w:color="auto"/>
        <w:left w:val="none" w:sz="0" w:space="0" w:color="auto"/>
        <w:bottom w:val="none" w:sz="0" w:space="0" w:color="auto"/>
        <w:right w:val="none" w:sz="0" w:space="0" w:color="auto"/>
      </w:divBdr>
      <w:divsChild>
        <w:div w:id="53892091">
          <w:marLeft w:val="0"/>
          <w:marRight w:val="0"/>
          <w:marTop w:val="0"/>
          <w:marBottom w:val="0"/>
          <w:divBdr>
            <w:top w:val="none" w:sz="0" w:space="0" w:color="auto"/>
            <w:left w:val="none" w:sz="0" w:space="0" w:color="auto"/>
            <w:bottom w:val="none" w:sz="0" w:space="0" w:color="auto"/>
            <w:right w:val="none" w:sz="0" w:space="0" w:color="auto"/>
          </w:divBdr>
          <w:divsChild>
            <w:div w:id="454838123">
              <w:marLeft w:val="0"/>
              <w:marRight w:val="0"/>
              <w:marTop w:val="0"/>
              <w:marBottom w:val="0"/>
              <w:divBdr>
                <w:top w:val="none" w:sz="0" w:space="0" w:color="auto"/>
                <w:left w:val="none" w:sz="0" w:space="0" w:color="auto"/>
                <w:bottom w:val="none" w:sz="0" w:space="0" w:color="auto"/>
                <w:right w:val="none" w:sz="0" w:space="0" w:color="auto"/>
              </w:divBdr>
              <w:divsChild>
                <w:div w:id="18995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619295473">
          <w:marLeft w:val="0"/>
          <w:marRight w:val="0"/>
          <w:marTop w:val="0"/>
          <w:marBottom w:val="0"/>
          <w:divBdr>
            <w:top w:val="none" w:sz="0" w:space="0" w:color="auto"/>
            <w:left w:val="none" w:sz="0" w:space="0" w:color="auto"/>
            <w:bottom w:val="none" w:sz="0" w:space="0" w:color="auto"/>
            <w:right w:val="none" w:sz="0" w:space="0" w:color="auto"/>
          </w:divBdr>
          <w:divsChild>
            <w:div w:id="1151869313">
              <w:marLeft w:val="0"/>
              <w:marRight w:val="0"/>
              <w:marTop w:val="0"/>
              <w:marBottom w:val="0"/>
              <w:divBdr>
                <w:top w:val="none" w:sz="0" w:space="0" w:color="auto"/>
                <w:left w:val="none" w:sz="0" w:space="0" w:color="auto"/>
                <w:bottom w:val="none" w:sz="0" w:space="0" w:color="auto"/>
                <w:right w:val="none" w:sz="0" w:space="0" w:color="auto"/>
              </w:divBdr>
              <w:divsChild>
                <w:div w:id="1495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8696">
      <w:bodyDiv w:val="1"/>
      <w:marLeft w:val="0"/>
      <w:marRight w:val="0"/>
      <w:marTop w:val="0"/>
      <w:marBottom w:val="0"/>
      <w:divBdr>
        <w:top w:val="none" w:sz="0" w:space="0" w:color="auto"/>
        <w:left w:val="none" w:sz="0" w:space="0" w:color="auto"/>
        <w:bottom w:val="none" w:sz="0" w:space="0" w:color="auto"/>
        <w:right w:val="none" w:sz="0" w:space="0" w:color="auto"/>
      </w:divBdr>
      <w:divsChild>
        <w:div w:id="1766803654">
          <w:marLeft w:val="0"/>
          <w:marRight w:val="0"/>
          <w:marTop w:val="0"/>
          <w:marBottom w:val="0"/>
          <w:divBdr>
            <w:top w:val="none" w:sz="0" w:space="0" w:color="auto"/>
            <w:left w:val="none" w:sz="0" w:space="0" w:color="auto"/>
            <w:bottom w:val="none" w:sz="0" w:space="0" w:color="auto"/>
            <w:right w:val="none" w:sz="0" w:space="0" w:color="auto"/>
          </w:divBdr>
          <w:divsChild>
            <w:div w:id="929509872">
              <w:marLeft w:val="0"/>
              <w:marRight w:val="0"/>
              <w:marTop w:val="0"/>
              <w:marBottom w:val="0"/>
              <w:divBdr>
                <w:top w:val="none" w:sz="0" w:space="0" w:color="auto"/>
                <w:left w:val="none" w:sz="0" w:space="0" w:color="auto"/>
                <w:bottom w:val="none" w:sz="0" w:space="0" w:color="auto"/>
                <w:right w:val="none" w:sz="0" w:space="0" w:color="auto"/>
              </w:divBdr>
              <w:divsChild>
                <w:div w:id="1875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638">
      <w:bodyDiv w:val="1"/>
      <w:marLeft w:val="0"/>
      <w:marRight w:val="0"/>
      <w:marTop w:val="0"/>
      <w:marBottom w:val="0"/>
      <w:divBdr>
        <w:top w:val="none" w:sz="0" w:space="0" w:color="auto"/>
        <w:left w:val="none" w:sz="0" w:space="0" w:color="auto"/>
        <w:bottom w:val="none" w:sz="0" w:space="0" w:color="auto"/>
        <w:right w:val="none" w:sz="0" w:space="0" w:color="auto"/>
      </w:divBdr>
      <w:divsChild>
        <w:div w:id="688795577">
          <w:marLeft w:val="0"/>
          <w:marRight w:val="0"/>
          <w:marTop w:val="0"/>
          <w:marBottom w:val="0"/>
          <w:divBdr>
            <w:top w:val="none" w:sz="0" w:space="0" w:color="auto"/>
            <w:left w:val="none" w:sz="0" w:space="0" w:color="auto"/>
            <w:bottom w:val="none" w:sz="0" w:space="0" w:color="auto"/>
            <w:right w:val="none" w:sz="0" w:space="0" w:color="auto"/>
          </w:divBdr>
          <w:divsChild>
            <w:div w:id="464158564">
              <w:marLeft w:val="0"/>
              <w:marRight w:val="0"/>
              <w:marTop w:val="0"/>
              <w:marBottom w:val="0"/>
              <w:divBdr>
                <w:top w:val="none" w:sz="0" w:space="0" w:color="auto"/>
                <w:left w:val="none" w:sz="0" w:space="0" w:color="auto"/>
                <w:bottom w:val="none" w:sz="0" w:space="0" w:color="auto"/>
                <w:right w:val="none" w:sz="0" w:space="0" w:color="auto"/>
              </w:divBdr>
              <w:divsChild>
                <w:div w:id="1246915789">
                  <w:marLeft w:val="0"/>
                  <w:marRight w:val="0"/>
                  <w:marTop w:val="0"/>
                  <w:marBottom w:val="0"/>
                  <w:divBdr>
                    <w:top w:val="none" w:sz="0" w:space="0" w:color="auto"/>
                    <w:left w:val="none" w:sz="0" w:space="0" w:color="auto"/>
                    <w:bottom w:val="none" w:sz="0" w:space="0" w:color="auto"/>
                    <w:right w:val="none" w:sz="0" w:space="0" w:color="auto"/>
                  </w:divBdr>
                </w:div>
                <w:div w:id="1750154316">
                  <w:marLeft w:val="0"/>
                  <w:marRight w:val="0"/>
                  <w:marTop w:val="0"/>
                  <w:marBottom w:val="0"/>
                  <w:divBdr>
                    <w:top w:val="none" w:sz="0" w:space="0" w:color="auto"/>
                    <w:left w:val="none" w:sz="0" w:space="0" w:color="auto"/>
                    <w:bottom w:val="none" w:sz="0" w:space="0" w:color="auto"/>
                    <w:right w:val="none" w:sz="0" w:space="0" w:color="auto"/>
                  </w:divBdr>
                </w:div>
              </w:divsChild>
            </w:div>
            <w:div w:id="688411496">
              <w:marLeft w:val="0"/>
              <w:marRight w:val="0"/>
              <w:marTop w:val="0"/>
              <w:marBottom w:val="0"/>
              <w:divBdr>
                <w:top w:val="none" w:sz="0" w:space="0" w:color="auto"/>
                <w:left w:val="none" w:sz="0" w:space="0" w:color="auto"/>
                <w:bottom w:val="none" w:sz="0" w:space="0" w:color="auto"/>
                <w:right w:val="none" w:sz="0" w:space="0" w:color="auto"/>
              </w:divBdr>
              <w:divsChild>
                <w:div w:id="373625318">
                  <w:marLeft w:val="0"/>
                  <w:marRight w:val="0"/>
                  <w:marTop w:val="0"/>
                  <w:marBottom w:val="0"/>
                  <w:divBdr>
                    <w:top w:val="none" w:sz="0" w:space="0" w:color="auto"/>
                    <w:left w:val="none" w:sz="0" w:space="0" w:color="auto"/>
                    <w:bottom w:val="none" w:sz="0" w:space="0" w:color="auto"/>
                    <w:right w:val="none" w:sz="0" w:space="0" w:color="auto"/>
                  </w:divBdr>
                </w:div>
              </w:divsChild>
            </w:div>
            <w:div w:id="692148439">
              <w:marLeft w:val="0"/>
              <w:marRight w:val="0"/>
              <w:marTop w:val="0"/>
              <w:marBottom w:val="0"/>
              <w:divBdr>
                <w:top w:val="none" w:sz="0" w:space="0" w:color="auto"/>
                <w:left w:val="none" w:sz="0" w:space="0" w:color="auto"/>
                <w:bottom w:val="none" w:sz="0" w:space="0" w:color="auto"/>
                <w:right w:val="none" w:sz="0" w:space="0" w:color="auto"/>
              </w:divBdr>
              <w:divsChild>
                <w:div w:id="2062826952">
                  <w:marLeft w:val="0"/>
                  <w:marRight w:val="0"/>
                  <w:marTop w:val="0"/>
                  <w:marBottom w:val="0"/>
                  <w:divBdr>
                    <w:top w:val="none" w:sz="0" w:space="0" w:color="auto"/>
                    <w:left w:val="none" w:sz="0" w:space="0" w:color="auto"/>
                    <w:bottom w:val="none" w:sz="0" w:space="0" w:color="auto"/>
                    <w:right w:val="none" w:sz="0" w:space="0" w:color="auto"/>
                  </w:divBdr>
                </w:div>
              </w:divsChild>
            </w:div>
            <w:div w:id="1156919623">
              <w:marLeft w:val="0"/>
              <w:marRight w:val="0"/>
              <w:marTop w:val="0"/>
              <w:marBottom w:val="0"/>
              <w:divBdr>
                <w:top w:val="none" w:sz="0" w:space="0" w:color="auto"/>
                <w:left w:val="none" w:sz="0" w:space="0" w:color="auto"/>
                <w:bottom w:val="none" w:sz="0" w:space="0" w:color="auto"/>
                <w:right w:val="none" w:sz="0" w:space="0" w:color="auto"/>
              </w:divBdr>
              <w:divsChild>
                <w:div w:id="1484083423">
                  <w:marLeft w:val="0"/>
                  <w:marRight w:val="0"/>
                  <w:marTop w:val="0"/>
                  <w:marBottom w:val="0"/>
                  <w:divBdr>
                    <w:top w:val="none" w:sz="0" w:space="0" w:color="auto"/>
                    <w:left w:val="none" w:sz="0" w:space="0" w:color="auto"/>
                    <w:bottom w:val="none" w:sz="0" w:space="0" w:color="auto"/>
                    <w:right w:val="none" w:sz="0" w:space="0" w:color="auto"/>
                  </w:divBdr>
                </w:div>
                <w:div w:id="1888763967">
                  <w:marLeft w:val="0"/>
                  <w:marRight w:val="0"/>
                  <w:marTop w:val="0"/>
                  <w:marBottom w:val="0"/>
                  <w:divBdr>
                    <w:top w:val="none" w:sz="0" w:space="0" w:color="auto"/>
                    <w:left w:val="none" w:sz="0" w:space="0" w:color="auto"/>
                    <w:bottom w:val="none" w:sz="0" w:space="0" w:color="auto"/>
                    <w:right w:val="none" w:sz="0" w:space="0" w:color="auto"/>
                  </w:divBdr>
                </w:div>
              </w:divsChild>
            </w:div>
            <w:div w:id="1525291504">
              <w:marLeft w:val="0"/>
              <w:marRight w:val="0"/>
              <w:marTop w:val="0"/>
              <w:marBottom w:val="0"/>
              <w:divBdr>
                <w:top w:val="none" w:sz="0" w:space="0" w:color="auto"/>
                <w:left w:val="none" w:sz="0" w:space="0" w:color="auto"/>
                <w:bottom w:val="none" w:sz="0" w:space="0" w:color="auto"/>
                <w:right w:val="none" w:sz="0" w:space="0" w:color="auto"/>
              </w:divBdr>
              <w:divsChild>
                <w:div w:id="16092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337">
      <w:bodyDiv w:val="1"/>
      <w:marLeft w:val="0"/>
      <w:marRight w:val="0"/>
      <w:marTop w:val="0"/>
      <w:marBottom w:val="0"/>
      <w:divBdr>
        <w:top w:val="none" w:sz="0" w:space="0" w:color="auto"/>
        <w:left w:val="none" w:sz="0" w:space="0" w:color="auto"/>
        <w:bottom w:val="none" w:sz="0" w:space="0" w:color="auto"/>
        <w:right w:val="none" w:sz="0" w:space="0" w:color="auto"/>
      </w:divBdr>
      <w:divsChild>
        <w:div w:id="2009212720">
          <w:marLeft w:val="0"/>
          <w:marRight w:val="0"/>
          <w:marTop w:val="0"/>
          <w:marBottom w:val="0"/>
          <w:divBdr>
            <w:top w:val="none" w:sz="0" w:space="0" w:color="auto"/>
            <w:left w:val="none" w:sz="0" w:space="0" w:color="auto"/>
            <w:bottom w:val="none" w:sz="0" w:space="0" w:color="auto"/>
            <w:right w:val="none" w:sz="0" w:space="0" w:color="auto"/>
          </w:divBdr>
          <w:divsChild>
            <w:div w:id="1603606526">
              <w:marLeft w:val="0"/>
              <w:marRight w:val="0"/>
              <w:marTop w:val="0"/>
              <w:marBottom w:val="0"/>
              <w:divBdr>
                <w:top w:val="none" w:sz="0" w:space="0" w:color="auto"/>
                <w:left w:val="none" w:sz="0" w:space="0" w:color="auto"/>
                <w:bottom w:val="none" w:sz="0" w:space="0" w:color="auto"/>
                <w:right w:val="none" w:sz="0" w:space="0" w:color="auto"/>
              </w:divBdr>
              <w:divsChild>
                <w:div w:id="1273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7747">
      <w:bodyDiv w:val="1"/>
      <w:marLeft w:val="0"/>
      <w:marRight w:val="0"/>
      <w:marTop w:val="0"/>
      <w:marBottom w:val="0"/>
      <w:divBdr>
        <w:top w:val="none" w:sz="0" w:space="0" w:color="auto"/>
        <w:left w:val="none" w:sz="0" w:space="0" w:color="auto"/>
        <w:bottom w:val="none" w:sz="0" w:space="0" w:color="auto"/>
        <w:right w:val="none" w:sz="0" w:space="0" w:color="auto"/>
      </w:divBdr>
      <w:divsChild>
        <w:div w:id="1200435640">
          <w:marLeft w:val="0"/>
          <w:marRight w:val="0"/>
          <w:marTop w:val="0"/>
          <w:marBottom w:val="0"/>
          <w:divBdr>
            <w:top w:val="none" w:sz="0" w:space="0" w:color="auto"/>
            <w:left w:val="none" w:sz="0" w:space="0" w:color="auto"/>
            <w:bottom w:val="none" w:sz="0" w:space="0" w:color="auto"/>
            <w:right w:val="none" w:sz="0" w:space="0" w:color="auto"/>
          </w:divBdr>
          <w:divsChild>
            <w:div w:id="1322663232">
              <w:marLeft w:val="0"/>
              <w:marRight w:val="0"/>
              <w:marTop w:val="0"/>
              <w:marBottom w:val="0"/>
              <w:divBdr>
                <w:top w:val="none" w:sz="0" w:space="0" w:color="auto"/>
                <w:left w:val="none" w:sz="0" w:space="0" w:color="auto"/>
                <w:bottom w:val="none" w:sz="0" w:space="0" w:color="auto"/>
                <w:right w:val="none" w:sz="0" w:space="0" w:color="auto"/>
              </w:divBdr>
              <w:divsChild>
                <w:div w:id="5252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648">
      <w:bodyDiv w:val="1"/>
      <w:marLeft w:val="0"/>
      <w:marRight w:val="0"/>
      <w:marTop w:val="0"/>
      <w:marBottom w:val="0"/>
      <w:divBdr>
        <w:top w:val="none" w:sz="0" w:space="0" w:color="auto"/>
        <w:left w:val="none" w:sz="0" w:space="0" w:color="auto"/>
        <w:bottom w:val="none" w:sz="0" w:space="0" w:color="auto"/>
        <w:right w:val="none" w:sz="0" w:space="0" w:color="auto"/>
      </w:divBdr>
      <w:divsChild>
        <w:div w:id="2139950858">
          <w:marLeft w:val="0"/>
          <w:marRight w:val="0"/>
          <w:marTop w:val="0"/>
          <w:marBottom w:val="0"/>
          <w:divBdr>
            <w:top w:val="none" w:sz="0" w:space="0" w:color="auto"/>
            <w:left w:val="none" w:sz="0" w:space="0" w:color="auto"/>
            <w:bottom w:val="none" w:sz="0" w:space="0" w:color="auto"/>
            <w:right w:val="none" w:sz="0" w:space="0" w:color="auto"/>
          </w:divBdr>
          <w:divsChild>
            <w:div w:id="116143408">
              <w:marLeft w:val="0"/>
              <w:marRight w:val="0"/>
              <w:marTop w:val="0"/>
              <w:marBottom w:val="0"/>
              <w:divBdr>
                <w:top w:val="none" w:sz="0" w:space="0" w:color="auto"/>
                <w:left w:val="none" w:sz="0" w:space="0" w:color="auto"/>
                <w:bottom w:val="none" w:sz="0" w:space="0" w:color="auto"/>
                <w:right w:val="none" w:sz="0" w:space="0" w:color="auto"/>
              </w:divBdr>
              <w:divsChild>
                <w:div w:id="1016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983">
      <w:bodyDiv w:val="1"/>
      <w:marLeft w:val="0"/>
      <w:marRight w:val="0"/>
      <w:marTop w:val="0"/>
      <w:marBottom w:val="0"/>
      <w:divBdr>
        <w:top w:val="none" w:sz="0" w:space="0" w:color="auto"/>
        <w:left w:val="none" w:sz="0" w:space="0" w:color="auto"/>
        <w:bottom w:val="none" w:sz="0" w:space="0" w:color="auto"/>
        <w:right w:val="none" w:sz="0" w:space="0" w:color="auto"/>
      </w:divBdr>
      <w:divsChild>
        <w:div w:id="1469013308">
          <w:marLeft w:val="0"/>
          <w:marRight w:val="0"/>
          <w:marTop w:val="0"/>
          <w:marBottom w:val="0"/>
          <w:divBdr>
            <w:top w:val="none" w:sz="0" w:space="0" w:color="auto"/>
            <w:left w:val="none" w:sz="0" w:space="0" w:color="auto"/>
            <w:bottom w:val="none" w:sz="0" w:space="0" w:color="auto"/>
            <w:right w:val="none" w:sz="0" w:space="0" w:color="auto"/>
          </w:divBdr>
          <w:divsChild>
            <w:div w:id="1511917464">
              <w:marLeft w:val="0"/>
              <w:marRight w:val="0"/>
              <w:marTop w:val="0"/>
              <w:marBottom w:val="0"/>
              <w:divBdr>
                <w:top w:val="none" w:sz="0" w:space="0" w:color="auto"/>
                <w:left w:val="none" w:sz="0" w:space="0" w:color="auto"/>
                <w:bottom w:val="none" w:sz="0" w:space="0" w:color="auto"/>
                <w:right w:val="none" w:sz="0" w:space="0" w:color="auto"/>
              </w:divBdr>
              <w:divsChild>
                <w:div w:id="18680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08638">
      <w:bodyDiv w:val="1"/>
      <w:marLeft w:val="0"/>
      <w:marRight w:val="0"/>
      <w:marTop w:val="0"/>
      <w:marBottom w:val="0"/>
      <w:divBdr>
        <w:top w:val="none" w:sz="0" w:space="0" w:color="auto"/>
        <w:left w:val="none" w:sz="0" w:space="0" w:color="auto"/>
        <w:bottom w:val="none" w:sz="0" w:space="0" w:color="auto"/>
        <w:right w:val="none" w:sz="0" w:space="0" w:color="auto"/>
      </w:divBdr>
      <w:divsChild>
        <w:div w:id="1632052289">
          <w:marLeft w:val="0"/>
          <w:marRight w:val="0"/>
          <w:marTop w:val="0"/>
          <w:marBottom w:val="0"/>
          <w:divBdr>
            <w:top w:val="none" w:sz="0" w:space="0" w:color="auto"/>
            <w:left w:val="none" w:sz="0" w:space="0" w:color="auto"/>
            <w:bottom w:val="none" w:sz="0" w:space="0" w:color="auto"/>
            <w:right w:val="none" w:sz="0" w:space="0" w:color="auto"/>
          </w:divBdr>
          <w:divsChild>
            <w:div w:id="327101302">
              <w:marLeft w:val="0"/>
              <w:marRight w:val="0"/>
              <w:marTop w:val="0"/>
              <w:marBottom w:val="0"/>
              <w:divBdr>
                <w:top w:val="none" w:sz="0" w:space="0" w:color="auto"/>
                <w:left w:val="none" w:sz="0" w:space="0" w:color="auto"/>
                <w:bottom w:val="none" w:sz="0" w:space="0" w:color="auto"/>
                <w:right w:val="none" w:sz="0" w:space="0" w:color="auto"/>
              </w:divBdr>
              <w:divsChild>
                <w:div w:id="20879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5697">
      <w:bodyDiv w:val="1"/>
      <w:marLeft w:val="0"/>
      <w:marRight w:val="0"/>
      <w:marTop w:val="0"/>
      <w:marBottom w:val="0"/>
      <w:divBdr>
        <w:top w:val="none" w:sz="0" w:space="0" w:color="auto"/>
        <w:left w:val="none" w:sz="0" w:space="0" w:color="auto"/>
        <w:bottom w:val="none" w:sz="0" w:space="0" w:color="auto"/>
        <w:right w:val="none" w:sz="0" w:space="0" w:color="auto"/>
      </w:divBdr>
      <w:divsChild>
        <w:div w:id="344213665">
          <w:marLeft w:val="0"/>
          <w:marRight w:val="0"/>
          <w:marTop w:val="0"/>
          <w:marBottom w:val="0"/>
          <w:divBdr>
            <w:top w:val="none" w:sz="0" w:space="0" w:color="auto"/>
            <w:left w:val="none" w:sz="0" w:space="0" w:color="auto"/>
            <w:bottom w:val="none" w:sz="0" w:space="0" w:color="auto"/>
            <w:right w:val="none" w:sz="0" w:space="0" w:color="auto"/>
          </w:divBdr>
          <w:divsChild>
            <w:div w:id="460537284">
              <w:marLeft w:val="0"/>
              <w:marRight w:val="0"/>
              <w:marTop w:val="0"/>
              <w:marBottom w:val="0"/>
              <w:divBdr>
                <w:top w:val="none" w:sz="0" w:space="0" w:color="auto"/>
                <w:left w:val="none" w:sz="0" w:space="0" w:color="auto"/>
                <w:bottom w:val="none" w:sz="0" w:space="0" w:color="auto"/>
                <w:right w:val="none" w:sz="0" w:space="0" w:color="auto"/>
              </w:divBdr>
              <w:divsChild>
                <w:div w:id="17154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5356">
      <w:bodyDiv w:val="1"/>
      <w:marLeft w:val="0"/>
      <w:marRight w:val="0"/>
      <w:marTop w:val="0"/>
      <w:marBottom w:val="0"/>
      <w:divBdr>
        <w:top w:val="none" w:sz="0" w:space="0" w:color="auto"/>
        <w:left w:val="none" w:sz="0" w:space="0" w:color="auto"/>
        <w:bottom w:val="none" w:sz="0" w:space="0" w:color="auto"/>
        <w:right w:val="none" w:sz="0" w:space="0" w:color="auto"/>
      </w:divBdr>
      <w:divsChild>
        <w:div w:id="705761781">
          <w:marLeft w:val="0"/>
          <w:marRight w:val="0"/>
          <w:marTop w:val="0"/>
          <w:marBottom w:val="0"/>
          <w:divBdr>
            <w:top w:val="none" w:sz="0" w:space="0" w:color="auto"/>
            <w:left w:val="none" w:sz="0" w:space="0" w:color="auto"/>
            <w:bottom w:val="none" w:sz="0" w:space="0" w:color="auto"/>
            <w:right w:val="none" w:sz="0" w:space="0" w:color="auto"/>
          </w:divBdr>
          <w:divsChild>
            <w:div w:id="1847668056">
              <w:marLeft w:val="0"/>
              <w:marRight w:val="0"/>
              <w:marTop w:val="0"/>
              <w:marBottom w:val="0"/>
              <w:divBdr>
                <w:top w:val="none" w:sz="0" w:space="0" w:color="auto"/>
                <w:left w:val="none" w:sz="0" w:space="0" w:color="auto"/>
                <w:bottom w:val="none" w:sz="0" w:space="0" w:color="auto"/>
                <w:right w:val="none" w:sz="0" w:space="0" w:color="auto"/>
              </w:divBdr>
              <w:divsChild>
                <w:div w:id="998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714">
      <w:bodyDiv w:val="1"/>
      <w:marLeft w:val="0"/>
      <w:marRight w:val="0"/>
      <w:marTop w:val="0"/>
      <w:marBottom w:val="0"/>
      <w:divBdr>
        <w:top w:val="none" w:sz="0" w:space="0" w:color="auto"/>
        <w:left w:val="none" w:sz="0" w:space="0" w:color="auto"/>
        <w:bottom w:val="none" w:sz="0" w:space="0" w:color="auto"/>
        <w:right w:val="none" w:sz="0" w:space="0" w:color="auto"/>
      </w:divBdr>
      <w:divsChild>
        <w:div w:id="498038785">
          <w:marLeft w:val="0"/>
          <w:marRight w:val="0"/>
          <w:marTop w:val="0"/>
          <w:marBottom w:val="0"/>
          <w:divBdr>
            <w:top w:val="none" w:sz="0" w:space="0" w:color="auto"/>
            <w:left w:val="none" w:sz="0" w:space="0" w:color="auto"/>
            <w:bottom w:val="none" w:sz="0" w:space="0" w:color="auto"/>
            <w:right w:val="none" w:sz="0" w:space="0" w:color="auto"/>
          </w:divBdr>
          <w:divsChild>
            <w:div w:id="168953000">
              <w:marLeft w:val="0"/>
              <w:marRight w:val="0"/>
              <w:marTop w:val="0"/>
              <w:marBottom w:val="0"/>
              <w:divBdr>
                <w:top w:val="none" w:sz="0" w:space="0" w:color="auto"/>
                <w:left w:val="none" w:sz="0" w:space="0" w:color="auto"/>
                <w:bottom w:val="none" w:sz="0" w:space="0" w:color="auto"/>
                <w:right w:val="none" w:sz="0" w:space="0" w:color="auto"/>
              </w:divBdr>
              <w:divsChild>
                <w:div w:id="9441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1100">
      <w:bodyDiv w:val="1"/>
      <w:marLeft w:val="0"/>
      <w:marRight w:val="0"/>
      <w:marTop w:val="0"/>
      <w:marBottom w:val="0"/>
      <w:divBdr>
        <w:top w:val="none" w:sz="0" w:space="0" w:color="auto"/>
        <w:left w:val="none" w:sz="0" w:space="0" w:color="auto"/>
        <w:bottom w:val="none" w:sz="0" w:space="0" w:color="auto"/>
        <w:right w:val="none" w:sz="0" w:space="0" w:color="auto"/>
      </w:divBdr>
      <w:divsChild>
        <w:div w:id="1116408462">
          <w:marLeft w:val="0"/>
          <w:marRight w:val="0"/>
          <w:marTop w:val="0"/>
          <w:marBottom w:val="0"/>
          <w:divBdr>
            <w:top w:val="none" w:sz="0" w:space="0" w:color="auto"/>
            <w:left w:val="none" w:sz="0" w:space="0" w:color="auto"/>
            <w:bottom w:val="none" w:sz="0" w:space="0" w:color="auto"/>
            <w:right w:val="none" w:sz="0" w:space="0" w:color="auto"/>
          </w:divBdr>
          <w:divsChild>
            <w:div w:id="2068216552">
              <w:marLeft w:val="0"/>
              <w:marRight w:val="0"/>
              <w:marTop w:val="0"/>
              <w:marBottom w:val="0"/>
              <w:divBdr>
                <w:top w:val="none" w:sz="0" w:space="0" w:color="auto"/>
                <w:left w:val="none" w:sz="0" w:space="0" w:color="auto"/>
                <w:bottom w:val="none" w:sz="0" w:space="0" w:color="auto"/>
                <w:right w:val="none" w:sz="0" w:space="0" w:color="auto"/>
              </w:divBdr>
              <w:divsChild>
                <w:div w:id="7279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8932">
      <w:bodyDiv w:val="1"/>
      <w:marLeft w:val="0"/>
      <w:marRight w:val="0"/>
      <w:marTop w:val="0"/>
      <w:marBottom w:val="0"/>
      <w:divBdr>
        <w:top w:val="none" w:sz="0" w:space="0" w:color="auto"/>
        <w:left w:val="none" w:sz="0" w:space="0" w:color="auto"/>
        <w:bottom w:val="none" w:sz="0" w:space="0" w:color="auto"/>
        <w:right w:val="none" w:sz="0" w:space="0" w:color="auto"/>
      </w:divBdr>
      <w:divsChild>
        <w:div w:id="1308820847">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3583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3728">
      <w:bodyDiv w:val="1"/>
      <w:marLeft w:val="0"/>
      <w:marRight w:val="0"/>
      <w:marTop w:val="0"/>
      <w:marBottom w:val="0"/>
      <w:divBdr>
        <w:top w:val="none" w:sz="0" w:space="0" w:color="auto"/>
        <w:left w:val="none" w:sz="0" w:space="0" w:color="auto"/>
        <w:bottom w:val="none" w:sz="0" w:space="0" w:color="auto"/>
        <w:right w:val="none" w:sz="0" w:space="0" w:color="auto"/>
      </w:divBdr>
    </w:div>
    <w:div w:id="2107773621">
      <w:bodyDiv w:val="1"/>
      <w:marLeft w:val="0"/>
      <w:marRight w:val="0"/>
      <w:marTop w:val="0"/>
      <w:marBottom w:val="0"/>
      <w:divBdr>
        <w:top w:val="none" w:sz="0" w:space="0" w:color="auto"/>
        <w:left w:val="none" w:sz="0" w:space="0" w:color="auto"/>
        <w:bottom w:val="none" w:sz="0" w:space="0" w:color="auto"/>
        <w:right w:val="none" w:sz="0" w:space="0" w:color="auto"/>
      </w:divBdr>
      <w:divsChild>
        <w:div w:id="1540389082">
          <w:marLeft w:val="0"/>
          <w:marRight w:val="0"/>
          <w:marTop w:val="0"/>
          <w:marBottom w:val="0"/>
          <w:divBdr>
            <w:top w:val="none" w:sz="0" w:space="0" w:color="auto"/>
            <w:left w:val="none" w:sz="0" w:space="0" w:color="auto"/>
            <w:bottom w:val="none" w:sz="0" w:space="0" w:color="auto"/>
            <w:right w:val="none" w:sz="0" w:space="0" w:color="auto"/>
          </w:divBdr>
          <w:divsChild>
            <w:div w:id="55710553">
              <w:marLeft w:val="0"/>
              <w:marRight w:val="0"/>
              <w:marTop w:val="0"/>
              <w:marBottom w:val="0"/>
              <w:divBdr>
                <w:top w:val="none" w:sz="0" w:space="0" w:color="auto"/>
                <w:left w:val="none" w:sz="0" w:space="0" w:color="auto"/>
                <w:bottom w:val="none" w:sz="0" w:space="0" w:color="auto"/>
                <w:right w:val="none" w:sz="0" w:space="0" w:color="auto"/>
              </w:divBdr>
              <w:divsChild>
                <w:div w:id="936059734">
                  <w:marLeft w:val="0"/>
                  <w:marRight w:val="0"/>
                  <w:marTop w:val="0"/>
                  <w:marBottom w:val="0"/>
                  <w:divBdr>
                    <w:top w:val="none" w:sz="0" w:space="0" w:color="auto"/>
                    <w:left w:val="none" w:sz="0" w:space="0" w:color="auto"/>
                    <w:bottom w:val="none" w:sz="0" w:space="0" w:color="auto"/>
                    <w:right w:val="none" w:sz="0" w:space="0" w:color="auto"/>
                  </w:divBdr>
                </w:div>
                <w:div w:id="9739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527/K822/527822624.pdf" TargetMode="External" Id="R1d00a0c2b5094fd4" /><Relationship Type="http://schemas.openxmlformats.org/officeDocument/2006/relationships/hyperlink" Target="http://docs.cpuc.ca.gov/PublishedDocs/Published/G000/M527/K828/527828811.pdf" TargetMode="External" Id="R10716d374df249bf" /></Relationships>
</file>

<file path=word/_rels/footnotes.xml.rels><?xml version="1.0" encoding="UTF-8" standalone="yes"?>
<Relationships xmlns="http://schemas.openxmlformats.org/package/2006/relationships"><Relationship Id="rId1" Type="http://schemas.openxmlformats.org/officeDocument/2006/relationships/hyperlink" Target="https://www.nrel.gov/docs/fy18osti/707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15" ma:contentTypeDescription="Create a new document." ma:contentTypeScope="" ma:versionID="cd31af28acbdb1d68dadb13ef3833f07">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1293eea8b7632ac4edf6f6dec1a6158b"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668c58-2734-4238-af15-1204519f9f1e}" ma:internalName="TaxCatchAll" ma:showField="CatchAllData" ma:web="2c7220a4-f1fe-4ad2-8dd7-a066dda6a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f4557e-16e7-4ad4-9248-b950eb894e33">
      <Terms xmlns="http://schemas.microsoft.com/office/infopath/2007/PartnerControls"/>
    </lcf76f155ced4ddcb4097134ff3c332f>
    <TaxCatchAll xmlns="2c7220a4-f1fe-4ad2-8dd7-a066dda6a6aa" xsi:nil="true"/>
    <SharedWithUsers xmlns="2c7220a4-f1fe-4ad2-8dd7-a066dda6a6aa">
      <UserInfo>
        <DisplayName>Dorman, Elizabeth</DisplayName>
        <AccountId>508</AccountId>
        <AccountType/>
      </UserInfo>
      <UserInfo>
        <DisplayName>Regnier, Justin</DisplayName>
        <AccountId>7</AccountId>
        <AccountType/>
      </UserInfo>
      <UserInfo>
        <DisplayName>Golson, Cydnie</DisplayName>
        <AccountId>1048</AccountId>
        <AccountType/>
      </UserInfo>
      <UserInfo>
        <DisplayName>Martinot, Eric</DisplayName>
        <AccountId>1140</AccountId>
        <AccountType/>
      </UserInfo>
    </SharedWithUsers>
  </documentManagement>
</p:properties>
</file>

<file path=customXml/itemProps1.xml><?xml version="1.0" encoding="utf-8"?>
<ds:datastoreItem xmlns:ds="http://schemas.openxmlformats.org/officeDocument/2006/customXml" ds:itemID="{6C04CB97-E9B8-4739-9475-16E5742EF770}">
  <ds:schemaRefs>
    <ds:schemaRef ds:uri="http://schemas.microsoft.com/sharepoint/v3/contenttype/forms"/>
  </ds:schemaRefs>
</ds:datastoreItem>
</file>

<file path=customXml/itemProps2.xml><?xml version="1.0" encoding="utf-8"?>
<ds:datastoreItem xmlns:ds="http://schemas.openxmlformats.org/officeDocument/2006/customXml" ds:itemID="{5C73B551-A4B0-4396-A69F-9BEEC7243FED}">
  <ds:schemaRefs>
    <ds:schemaRef ds:uri="http://schemas.openxmlformats.org/officeDocument/2006/bibliography"/>
  </ds:schemaRefs>
</ds:datastoreItem>
</file>

<file path=customXml/itemProps3.xml><?xml version="1.0" encoding="utf-8"?>
<ds:datastoreItem xmlns:ds="http://schemas.openxmlformats.org/officeDocument/2006/customXml" ds:itemID="{067DB920-D0DC-4B81-AE5C-6E3EF7A7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4557e-16e7-4ad4-9248-b950eb894e33"/>
    <ds:schemaRef ds:uri="2c7220a4-f1fe-4ad2-8dd7-a066dda6a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10FF9-5BAD-4B04-A04C-5A6C76815EF1}">
  <ds:schemaRefs>
    <ds:schemaRef ds:uri="http://schemas.microsoft.com/office/2006/metadata/properties"/>
    <ds:schemaRef ds:uri="http://schemas.microsoft.com/office/infopath/2007/PartnerControls"/>
    <ds:schemaRef ds:uri="90f4557e-16e7-4ad4-9248-b950eb894e33"/>
    <ds:schemaRef ds:uri="2c7220a4-f1fe-4ad2-8dd7-a066dda6a6aa"/>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103</ap:Pages>
  <ap:Words>30512</ap:Words>
  <ap:Characters>173922</ap:Characters>
  <ap:Application>Microsoft Office Word</ap:Application>
  <ap:DocSecurity>0</ap:DocSecurity>
  <ap:Lines>1449</ap:Lines>
  <ap:Paragraphs>408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204026</ap:CharactersWithSpaces>
  <ap:SharedDoc>false</ap:SharedDoc>
  <ap:HLinks>
    <vt:vector baseType="variant" size="180">
      <vt:variant>
        <vt:i4>8060988</vt:i4>
      </vt:variant>
      <vt:variant>
        <vt:i4>12</vt:i4>
      </vt:variant>
      <vt:variant>
        <vt:i4>0</vt:i4>
      </vt:variant>
      <vt:variant>
        <vt:i4>5</vt:i4>
      </vt:variant>
      <vt:variant>
        <vt:lpwstr>https://blog.norcalcontrols.net/real-time-automation-controller-rtac-applications-solar-pv</vt:lpwstr>
      </vt:variant>
      <vt:variant>
        <vt:lpwstr/>
      </vt:variant>
      <vt:variant>
        <vt:i4>1310748</vt:i4>
      </vt:variant>
      <vt:variant>
        <vt:i4>9</vt:i4>
      </vt:variant>
      <vt:variant>
        <vt:i4>0</vt:i4>
      </vt:variant>
      <vt:variant>
        <vt:i4>5</vt:i4>
      </vt:variant>
      <vt:variant>
        <vt:lpwstr>https://www.nrel.gov/solar/market-research-analysis/distribution-grid-integration-unit-cost-database.html</vt:lpwstr>
      </vt:variant>
      <vt:variant>
        <vt:lpwstr/>
      </vt:variant>
      <vt:variant>
        <vt:i4>1179665</vt:i4>
      </vt:variant>
      <vt:variant>
        <vt:i4>6</vt:i4>
      </vt:variant>
      <vt:variant>
        <vt:i4>0</vt:i4>
      </vt:variant>
      <vt:variant>
        <vt:i4>5</vt:i4>
      </vt:variant>
      <vt:variant>
        <vt:lpwstr>https://www.nrel.gov/docs/fy18osti/70710.pdf</vt:lpwstr>
      </vt:variant>
      <vt:variant>
        <vt:lpwstr/>
      </vt:variant>
      <vt:variant>
        <vt:i4>6357055</vt:i4>
      </vt:variant>
      <vt:variant>
        <vt:i4>3</vt:i4>
      </vt:variant>
      <vt:variant>
        <vt:i4>0</vt:i4>
      </vt:variant>
      <vt:variant>
        <vt:i4>5</vt:i4>
      </vt:variant>
      <vt:variant>
        <vt:lpwstr>https://www.cpuc.ca.gov/-/media/cpuc-website/divisions/administrative-law-judge-division/documents/rules-of-practice-and-procedure-may-2021.pdf</vt:lpwstr>
      </vt:variant>
      <vt:variant>
        <vt:lpwstr/>
      </vt:variant>
      <vt:variant>
        <vt:i4>6291504</vt:i4>
      </vt:variant>
      <vt:variant>
        <vt:i4>0</vt:i4>
      </vt:variant>
      <vt:variant>
        <vt:i4>0</vt:i4>
      </vt:variant>
      <vt:variant>
        <vt:i4>5</vt:i4>
      </vt:variant>
      <vt:variant>
        <vt:lpwstr>https://www.cpuc.ca.gov/about-cpuc/divisions/water-division/wd-advice-letters-section/wd-commission-general-order-96-b</vt:lpwstr>
      </vt:variant>
      <vt:variant>
        <vt:lpwstr/>
      </vt:variant>
      <vt:variant>
        <vt:i4>2293781</vt:i4>
      </vt:variant>
      <vt:variant>
        <vt:i4>72</vt:i4>
      </vt:variant>
      <vt:variant>
        <vt:i4>0</vt:i4>
      </vt:variant>
      <vt:variant>
        <vt:i4>5</vt:i4>
      </vt:variant>
      <vt:variant>
        <vt:lpwstr>mailto:Justin.Regnier@cpuc.ca.gov</vt:lpwstr>
      </vt:variant>
      <vt:variant>
        <vt:lpwstr/>
      </vt:variant>
      <vt:variant>
        <vt:i4>458803</vt:i4>
      </vt:variant>
      <vt:variant>
        <vt:i4>69</vt:i4>
      </vt:variant>
      <vt:variant>
        <vt:i4>0</vt:i4>
      </vt:variant>
      <vt:variant>
        <vt:i4>5</vt:i4>
      </vt:variant>
      <vt:variant>
        <vt:lpwstr>mailto:Eric.Martinot@cpuc.ca.gov</vt:lpwstr>
      </vt:variant>
      <vt:variant>
        <vt:lpwstr/>
      </vt:variant>
      <vt:variant>
        <vt:i4>2293781</vt:i4>
      </vt:variant>
      <vt:variant>
        <vt:i4>66</vt:i4>
      </vt:variant>
      <vt:variant>
        <vt:i4>0</vt:i4>
      </vt:variant>
      <vt:variant>
        <vt:i4>5</vt:i4>
      </vt:variant>
      <vt:variant>
        <vt:lpwstr>mailto:Justin.Regnier@cpuc.ca.gov</vt:lpwstr>
      </vt:variant>
      <vt:variant>
        <vt:lpwstr/>
      </vt:variant>
      <vt:variant>
        <vt:i4>5570680</vt:i4>
      </vt:variant>
      <vt:variant>
        <vt:i4>63</vt:i4>
      </vt:variant>
      <vt:variant>
        <vt:i4>0</vt:i4>
      </vt:variant>
      <vt:variant>
        <vt:i4>5</vt:i4>
      </vt:variant>
      <vt:variant>
        <vt:lpwstr>mailto:david.lee@cpuc.ca.gov</vt:lpwstr>
      </vt:variant>
      <vt:variant>
        <vt:lpwstr/>
      </vt:variant>
      <vt:variant>
        <vt:i4>458803</vt:i4>
      </vt:variant>
      <vt:variant>
        <vt:i4>60</vt:i4>
      </vt:variant>
      <vt:variant>
        <vt:i4>0</vt:i4>
      </vt:variant>
      <vt:variant>
        <vt:i4>5</vt:i4>
      </vt:variant>
      <vt:variant>
        <vt:lpwstr>mailto:Eric.Martinot@cpuc.ca.gov</vt:lpwstr>
      </vt:variant>
      <vt:variant>
        <vt:lpwstr/>
      </vt:variant>
      <vt:variant>
        <vt:i4>5832754</vt:i4>
      </vt:variant>
      <vt:variant>
        <vt:i4>57</vt:i4>
      </vt:variant>
      <vt:variant>
        <vt:i4>0</vt:i4>
      </vt:variant>
      <vt:variant>
        <vt:i4>5</vt:i4>
      </vt:variant>
      <vt:variant>
        <vt:lpwstr>mailto:Jose.Aliaga-Caro@cpuc.ca.gov</vt:lpwstr>
      </vt:variant>
      <vt:variant>
        <vt:lpwstr/>
      </vt:variant>
      <vt:variant>
        <vt:i4>2293781</vt:i4>
      </vt:variant>
      <vt:variant>
        <vt:i4>54</vt:i4>
      </vt:variant>
      <vt:variant>
        <vt:i4>0</vt:i4>
      </vt:variant>
      <vt:variant>
        <vt:i4>5</vt:i4>
      </vt:variant>
      <vt:variant>
        <vt:lpwstr>mailto:Justin.Regnier@cpuc.ca.gov</vt:lpwstr>
      </vt:variant>
      <vt:variant>
        <vt:lpwstr/>
      </vt:variant>
      <vt:variant>
        <vt:i4>5570680</vt:i4>
      </vt:variant>
      <vt:variant>
        <vt:i4>51</vt:i4>
      </vt:variant>
      <vt:variant>
        <vt:i4>0</vt:i4>
      </vt:variant>
      <vt:variant>
        <vt:i4>5</vt:i4>
      </vt:variant>
      <vt:variant>
        <vt:lpwstr>mailto:david.lee@cpuc.ca.gov</vt:lpwstr>
      </vt:variant>
      <vt:variant>
        <vt:lpwstr/>
      </vt:variant>
      <vt:variant>
        <vt:i4>458803</vt:i4>
      </vt:variant>
      <vt:variant>
        <vt:i4>48</vt:i4>
      </vt:variant>
      <vt:variant>
        <vt:i4>0</vt:i4>
      </vt:variant>
      <vt:variant>
        <vt:i4>5</vt:i4>
      </vt:variant>
      <vt:variant>
        <vt:lpwstr>mailto:Eric.Martinot@cpuc.ca.gov</vt:lpwstr>
      </vt:variant>
      <vt:variant>
        <vt:lpwstr/>
      </vt:variant>
      <vt:variant>
        <vt:i4>5832754</vt:i4>
      </vt:variant>
      <vt:variant>
        <vt:i4>45</vt:i4>
      </vt:variant>
      <vt:variant>
        <vt:i4>0</vt:i4>
      </vt:variant>
      <vt:variant>
        <vt:i4>5</vt:i4>
      </vt:variant>
      <vt:variant>
        <vt:lpwstr>mailto:Jose.Aliaga-Caro@cpuc.ca.gov</vt:lpwstr>
      </vt:variant>
      <vt:variant>
        <vt:lpwstr/>
      </vt:variant>
      <vt:variant>
        <vt:i4>5832754</vt:i4>
      </vt:variant>
      <vt:variant>
        <vt:i4>42</vt:i4>
      </vt:variant>
      <vt:variant>
        <vt:i4>0</vt:i4>
      </vt:variant>
      <vt:variant>
        <vt:i4>5</vt:i4>
      </vt:variant>
      <vt:variant>
        <vt:lpwstr>mailto:Jose.Aliaga-Caro@cpuc.ca.gov</vt:lpwstr>
      </vt:variant>
      <vt:variant>
        <vt:lpwstr/>
      </vt:variant>
      <vt:variant>
        <vt:i4>2293781</vt:i4>
      </vt:variant>
      <vt:variant>
        <vt:i4>39</vt:i4>
      </vt:variant>
      <vt:variant>
        <vt:i4>0</vt:i4>
      </vt:variant>
      <vt:variant>
        <vt:i4>5</vt:i4>
      </vt:variant>
      <vt:variant>
        <vt:lpwstr>mailto:Justin.Regnier@cpuc.ca.gov</vt:lpwstr>
      </vt:variant>
      <vt:variant>
        <vt:lpwstr/>
      </vt:variant>
      <vt:variant>
        <vt:i4>2293781</vt:i4>
      </vt:variant>
      <vt:variant>
        <vt:i4>36</vt:i4>
      </vt:variant>
      <vt:variant>
        <vt:i4>0</vt:i4>
      </vt:variant>
      <vt:variant>
        <vt:i4>5</vt:i4>
      </vt:variant>
      <vt:variant>
        <vt:lpwstr>mailto:Justin.Regnier@cpuc.ca.gov</vt:lpwstr>
      </vt:variant>
      <vt:variant>
        <vt:lpwstr/>
      </vt:variant>
      <vt:variant>
        <vt:i4>5832754</vt:i4>
      </vt:variant>
      <vt:variant>
        <vt:i4>33</vt:i4>
      </vt:variant>
      <vt:variant>
        <vt:i4>0</vt:i4>
      </vt:variant>
      <vt:variant>
        <vt:i4>5</vt:i4>
      </vt:variant>
      <vt:variant>
        <vt:lpwstr>mailto:Jose.Aliaga-Caro@cpuc.ca.gov</vt:lpwstr>
      </vt:variant>
      <vt:variant>
        <vt:lpwstr/>
      </vt:variant>
      <vt:variant>
        <vt:i4>5570680</vt:i4>
      </vt:variant>
      <vt:variant>
        <vt:i4>30</vt:i4>
      </vt:variant>
      <vt:variant>
        <vt:i4>0</vt:i4>
      </vt:variant>
      <vt:variant>
        <vt:i4>5</vt:i4>
      </vt:variant>
      <vt:variant>
        <vt:lpwstr>mailto:david.lee@cpuc.ca.gov</vt:lpwstr>
      </vt:variant>
      <vt:variant>
        <vt:lpwstr/>
      </vt:variant>
      <vt:variant>
        <vt:i4>5832754</vt:i4>
      </vt:variant>
      <vt:variant>
        <vt:i4>27</vt:i4>
      </vt:variant>
      <vt:variant>
        <vt:i4>0</vt:i4>
      </vt:variant>
      <vt:variant>
        <vt:i4>5</vt:i4>
      </vt:variant>
      <vt:variant>
        <vt:lpwstr>mailto:Jose.Aliaga-Caro@cpuc.ca.gov</vt:lpwstr>
      </vt:variant>
      <vt:variant>
        <vt:lpwstr/>
      </vt:variant>
      <vt:variant>
        <vt:i4>458803</vt:i4>
      </vt:variant>
      <vt:variant>
        <vt:i4>24</vt:i4>
      </vt:variant>
      <vt:variant>
        <vt:i4>0</vt:i4>
      </vt:variant>
      <vt:variant>
        <vt:i4>5</vt:i4>
      </vt:variant>
      <vt:variant>
        <vt:lpwstr>mailto:Eric.Martinot@cpuc.ca.gov</vt:lpwstr>
      </vt:variant>
      <vt:variant>
        <vt:lpwstr/>
      </vt:variant>
      <vt:variant>
        <vt:i4>458803</vt:i4>
      </vt:variant>
      <vt:variant>
        <vt:i4>21</vt:i4>
      </vt:variant>
      <vt:variant>
        <vt:i4>0</vt:i4>
      </vt:variant>
      <vt:variant>
        <vt:i4>5</vt:i4>
      </vt:variant>
      <vt:variant>
        <vt:lpwstr>mailto:Eric.Martinot@cpuc.ca.gov</vt:lpwstr>
      </vt:variant>
      <vt:variant>
        <vt:lpwstr/>
      </vt:variant>
      <vt:variant>
        <vt:i4>458803</vt:i4>
      </vt:variant>
      <vt:variant>
        <vt:i4>18</vt:i4>
      </vt:variant>
      <vt:variant>
        <vt:i4>0</vt:i4>
      </vt:variant>
      <vt:variant>
        <vt:i4>5</vt:i4>
      </vt:variant>
      <vt:variant>
        <vt:lpwstr>mailto:Eric.Martinot@cpuc.ca.gov</vt:lpwstr>
      </vt:variant>
      <vt:variant>
        <vt:lpwstr/>
      </vt:variant>
      <vt:variant>
        <vt:i4>2293781</vt:i4>
      </vt:variant>
      <vt:variant>
        <vt:i4>15</vt:i4>
      </vt:variant>
      <vt:variant>
        <vt:i4>0</vt:i4>
      </vt:variant>
      <vt:variant>
        <vt:i4>5</vt:i4>
      </vt:variant>
      <vt:variant>
        <vt:lpwstr>mailto:Justin.Regnier@cpuc.ca.gov</vt:lpwstr>
      </vt:variant>
      <vt:variant>
        <vt:lpwstr/>
      </vt:variant>
      <vt:variant>
        <vt:i4>2293781</vt:i4>
      </vt:variant>
      <vt:variant>
        <vt:i4>12</vt:i4>
      </vt:variant>
      <vt:variant>
        <vt:i4>0</vt:i4>
      </vt:variant>
      <vt:variant>
        <vt:i4>5</vt:i4>
      </vt:variant>
      <vt:variant>
        <vt:lpwstr>mailto:Justin.Regnier@cpuc.ca.gov</vt:lpwstr>
      </vt:variant>
      <vt:variant>
        <vt:lpwstr/>
      </vt:variant>
      <vt:variant>
        <vt:i4>2293781</vt:i4>
      </vt:variant>
      <vt:variant>
        <vt:i4>9</vt:i4>
      </vt:variant>
      <vt:variant>
        <vt:i4>0</vt:i4>
      </vt:variant>
      <vt:variant>
        <vt:i4>5</vt:i4>
      </vt:variant>
      <vt:variant>
        <vt:lpwstr>mailto:Justin.Regnier@cpuc.ca.gov</vt:lpwstr>
      </vt:variant>
      <vt:variant>
        <vt:lpwstr/>
      </vt:variant>
      <vt:variant>
        <vt:i4>2293781</vt:i4>
      </vt:variant>
      <vt:variant>
        <vt:i4>6</vt:i4>
      </vt:variant>
      <vt:variant>
        <vt:i4>0</vt:i4>
      </vt:variant>
      <vt:variant>
        <vt:i4>5</vt:i4>
      </vt:variant>
      <vt:variant>
        <vt:lpwstr>mailto:Justin.Regnier@cpuc.ca.gov</vt:lpwstr>
      </vt:variant>
      <vt:variant>
        <vt:lpwstr/>
      </vt:variant>
      <vt:variant>
        <vt:i4>2293781</vt:i4>
      </vt:variant>
      <vt:variant>
        <vt:i4>3</vt:i4>
      </vt:variant>
      <vt:variant>
        <vt:i4>0</vt:i4>
      </vt:variant>
      <vt:variant>
        <vt:i4>5</vt:i4>
      </vt:variant>
      <vt:variant>
        <vt:lpwstr>mailto:Justin.Regnier@cpuc.ca.gov</vt:lpwstr>
      </vt:variant>
      <vt:variant>
        <vt:lpwstr/>
      </vt:variant>
      <vt:variant>
        <vt:i4>1572909</vt:i4>
      </vt:variant>
      <vt:variant>
        <vt:i4>0</vt:i4>
      </vt:variant>
      <vt:variant>
        <vt:i4>0</vt:i4>
      </vt:variant>
      <vt:variant>
        <vt:i4>5</vt:i4>
      </vt:variant>
      <vt:variant>
        <vt:lpwstr>mailto:Cydnie.Golson@cpuc.ca.gov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2019-06-17T18:10:00Z</cp:lastPrinted>
  <dcterms:created xsi:type="dcterms:W3CDTF">2024-03-19T21:37:11Z</dcterms:created>
  <dcterms:modified xsi:type="dcterms:W3CDTF">2024-03-19T21:37:11Z</dcterms:modified>
</cp:coreProperties>
</file>