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2303" w:rsidR="005775F5" w:rsidP="005775F5" w:rsidRDefault="005775F5" w14:paraId="79EA0C7C" w14:textId="77777777">
      <w:pPr>
        <w:keepNext/>
        <w:suppressAutoHyphens/>
        <w:spacing w:after="0" w:line="240" w:lineRule="auto"/>
        <w:ind w:firstLine="720"/>
        <w:rPr>
          <w:rFonts w:ascii="Helvetica" w:hAnsi="Helvetica" w:eastAsia="Times New Roman" w:cs="Helvetica"/>
          <w:b/>
          <w:sz w:val="26"/>
          <w:szCs w:val="26"/>
        </w:rPr>
      </w:pPr>
      <w:r w:rsidRPr="00882303">
        <w:rPr>
          <w:rFonts w:ascii="Helvetica" w:hAnsi="Helvetica" w:eastAsia="Times New Roman" w:cs="Helvetica"/>
          <w:b/>
          <w:sz w:val="26"/>
          <w:szCs w:val="26"/>
        </w:rPr>
        <w:t>PUBLIC UTILITIES COMMISSION OF THE STATE OF CALIFORNIA</w:t>
      </w:r>
    </w:p>
    <w:p w:rsidRPr="00882303" w:rsidR="005775F5" w:rsidP="00F84530" w:rsidRDefault="005775F5" w14:paraId="1B41CD89" w14:textId="799A91A9">
      <w:pPr>
        <w:keepNext/>
        <w:suppressAutoHyphens/>
        <w:spacing w:after="0" w:line="240" w:lineRule="auto"/>
        <w:ind w:firstLine="720"/>
        <w:jc w:val="center"/>
        <w:rPr>
          <w:rFonts w:ascii="Palatino Linotype" w:hAnsi="Palatino Linotype" w:eastAsia="Times New Roman" w:cs="Times New Roman"/>
          <w:b/>
          <w:sz w:val="24"/>
          <w:szCs w:val="24"/>
        </w:rPr>
      </w:pPr>
      <w:r w:rsidRPr="00882303">
        <w:rPr>
          <w:rFonts w:ascii="Palatino Linotype" w:hAnsi="Palatino Linotype" w:eastAsia="Times New Roman" w:cs="Times New Roman"/>
          <w:b/>
          <w:sz w:val="24"/>
          <w:szCs w:val="24"/>
        </w:rPr>
        <w:tab/>
      </w:r>
      <w:r w:rsidRPr="00882303">
        <w:rPr>
          <w:rFonts w:ascii="Palatino Linotype" w:hAnsi="Palatino Linotype" w:eastAsia="Times New Roman" w:cs="Times New Roman"/>
          <w:b/>
          <w:sz w:val="24"/>
          <w:szCs w:val="24"/>
        </w:rPr>
        <w:tab/>
      </w:r>
      <w:r w:rsidRPr="00882303">
        <w:rPr>
          <w:rFonts w:ascii="Palatino Linotype" w:hAnsi="Palatino Linotype" w:eastAsia="Times New Roman" w:cs="Times New Roman"/>
          <w:b/>
          <w:sz w:val="24"/>
          <w:szCs w:val="24"/>
        </w:rPr>
        <w:tab/>
      </w:r>
      <w:r w:rsidRPr="00882303">
        <w:rPr>
          <w:rFonts w:ascii="Palatino Linotype" w:hAnsi="Palatino Linotype" w:eastAsia="Times New Roman" w:cs="Times New Roman"/>
          <w:b/>
          <w:sz w:val="24"/>
          <w:szCs w:val="24"/>
        </w:rPr>
        <w:tab/>
      </w:r>
      <w:r w:rsidRPr="00882303">
        <w:rPr>
          <w:rFonts w:ascii="Palatino Linotype" w:hAnsi="Palatino Linotype" w:eastAsia="Times New Roman" w:cs="Times New Roman"/>
          <w:b/>
          <w:sz w:val="24"/>
          <w:szCs w:val="24"/>
        </w:rPr>
        <w:tab/>
      </w:r>
      <w:r w:rsidRPr="00882303">
        <w:rPr>
          <w:rFonts w:ascii="Palatino Linotype" w:hAnsi="Palatino Linotype" w:eastAsia="Times New Roman" w:cs="Times New Roman"/>
          <w:b/>
          <w:sz w:val="24"/>
          <w:szCs w:val="24"/>
        </w:rPr>
        <w:tab/>
      </w:r>
    </w:p>
    <w:p w:rsidRPr="00882303" w:rsidR="005775F5" w:rsidP="001A6B2E" w:rsidRDefault="005775F5" w14:paraId="4676CFE5" w14:textId="209BC50F">
      <w:pPr>
        <w:tabs>
          <w:tab w:val="left" w:pos="6660"/>
          <w:tab w:val="right" w:pos="8910"/>
        </w:tabs>
        <w:spacing w:after="0" w:line="240" w:lineRule="auto"/>
        <w:rPr>
          <w:rFonts w:ascii="Palatino Linotype" w:hAnsi="Palatino Linotype" w:eastAsia="Times New Roman" w:cs="Times New Roman"/>
          <w:b/>
          <w:sz w:val="24"/>
          <w:szCs w:val="24"/>
        </w:rPr>
      </w:pPr>
      <w:r w:rsidRPr="00882303">
        <w:rPr>
          <w:rFonts w:ascii="Palatino Linotype" w:hAnsi="Palatino Linotype" w:eastAsia="Times New Roman" w:cs="Times New Roman"/>
          <w:b/>
          <w:sz w:val="24"/>
          <w:szCs w:val="24"/>
        </w:rPr>
        <w:tab/>
        <w:t>A</w:t>
      </w:r>
      <w:r w:rsidR="00882303">
        <w:rPr>
          <w:rFonts w:ascii="Palatino Linotype" w:hAnsi="Palatino Linotype" w:eastAsia="Times New Roman" w:cs="Times New Roman"/>
          <w:b/>
          <w:sz w:val="24"/>
          <w:szCs w:val="24"/>
        </w:rPr>
        <w:t>GENDA</w:t>
      </w:r>
      <w:r w:rsidRPr="00882303">
        <w:rPr>
          <w:rFonts w:ascii="Palatino Linotype" w:hAnsi="Palatino Linotype" w:eastAsia="Times New Roman" w:cs="Times New Roman"/>
          <w:b/>
          <w:sz w:val="24"/>
          <w:szCs w:val="24"/>
        </w:rPr>
        <w:t xml:space="preserve"> ID</w:t>
      </w:r>
      <w:r w:rsidR="00882303">
        <w:rPr>
          <w:rFonts w:ascii="Palatino Linotype" w:hAnsi="Palatino Linotype" w:eastAsia="Times New Roman" w:cs="Times New Roman"/>
          <w:b/>
          <w:sz w:val="24"/>
          <w:szCs w:val="24"/>
        </w:rPr>
        <w:t>#</w:t>
      </w:r>
      <w:r w:rsidRPr="00882303">
        <w:rPr>
          <w:rFonts w:ascii="Palatino Linotype" w:hAnsi="Palatino Linotype" w:eastAsia="Times New Roman" w:cs="Times New Roman"/>
          <w:b/>
          <w:sz w:val="24"/>
          <w:szCs w:val="24"/>
        </w:rPr>
        <w:t xml:space="preserve"> </w:t>
      </w:r>
      <w:r w:rsidRPr="001A6B2E" w:rsidR="001A6B2E">
        <w:rPr>
          <w:rFonts w:ascii="Palatino Linotype" w:hAnsi="Palatino Linotype" w:eastAsia="Times New Roman" w:cs="Times New Roman"/>
          <w:b/>
          <w:sz w:val="24"/>
          <w:szCs w:val="24"/>
        </w:rPr>
        <w:t>22466</w:t>
      </w:r>
    </w:p>
    <w:p w:rsidRPr="00882303" w:rsidR="005775F5" w:rsidP="005775F5" w:rsidRDefault="005775F5" w14:paraId="571256D6" w14:textId="5B899325">
      <w:pPr>
        <w:tabs>
          <w:tab w:val="right" w:pos="8910"/>
        </w:tabs>
        <w:spacing w:after="0" w:line="240" w:lineRule="auto"/>
        <w:rPr>
          <w:rFonts w:ascii="Palatino Linotype" w:hAnsi="Palatino Linotype" w:eastAsia="Times New Roman" w:cs="Times New Roman"/>
          <w:b/>
          <w:sz w:val="24"/>
          <w:szCs w:val="24"/>
        </w:rPr>
      </w:pPr>
      <w:r w:rsidRPr="00882303">
        <w:rPr>
          <w:rFonts w:ascii="Palatino Linotype" w:hAnsi="Palatino Linotype" w:eastAsia="Times New Roman" w:cs="Times New Roman"/>
          <w:b/>
          <w:sz w:val="24"/>
          <w:szCs w:val="24"/>
        </w:rPr>
        <w:t>ENERGY DIVISION</w:t>
      </w:r>
      <w:r w:rsidRPr="00882303">
        <w:rPr>
          <w:rFonts w:ascii="Palatino Linotype" w:hAnsi="Palatino Linotype" w:eastAsia="Times New Roman" w:cs="Times New Roman"/>
          <w:b/>
          <w:sz w:val="24"/>
          <w:szCs w:val="24"/>
        </w:rPr>
        <w:tab/>
        <w:t xml:space="preserve">RESOLUTION </w:t>
      </w:r>
      <w:r w:rsidRPr="00882303" w:rsidR="007D0248">
        <w:rPr>
          <w:rFonts w:ascii="Palatino Linotype" w:hAnsi="Palatino Linotype" w:eastAsia="Times New Roman" w:cs="Times New Roman"/>
          <w:b/>
          <w:sz w:val="24"/>
          <w:szCs w:val="24"/>
        </w:rPr>
        <w:t>G</w:t>
      </w:r>
      <w:r w:rsidRPr="00882303">
        <w:rPr>
          <w:rFonts w:ascii="Palatino Linotype" w:hAnsi="Palatino Linotype" w:eastAsia="Times New Roman" w:cs="Times New Roman"/>
          <w:b/>
          <w:sz w:val="24"/>
          <w:szCs w:val="24"/>
        </w:rPr>
        <w:t>-</w:t>
      </w:r>
      <w:r w:rsidRPr="00882303" w:rsidR="007D0248">
        <w:rPr>
          <w:rFonts w:ascii="Palatino Linotype" w:hAnsi="Palatino Linotype" w:eastAsia="Times New Roman" w:cs="Times New Roman"/>
          <w:b/>
          <w:sz w:val="24"/>
          <w:szCs w:val="24"/>
        </w:rPr>
        <w:t>3</w:t>
      </w:r>
      <w:r w:rsidRPr="00882303" w:rsidR="00651CD2">
        <w:rPr>
          <w:rFonts w:ascii="Palatino Linotype" w:hAnsi="Palatino Linotype" w:eastAsia="Times New Roman" w:cs="Times New Roman"/>
          <w:b/>
          <w:sz w:val="24"/>
          <w:szCs w:val="24"/>
        </w:rPr>
        <w:t>603</w:t>
      </w:r>
    </w:p>
    <w:p w:rsidRPr="00882303" w:rsidR="005775F5" w:rsidP="00882303" w:rsidRDefault="005775F5" w14:paraId="759A36FE" w14:textId="66C90A86">
      <w:pPr>
        <w:tabs>
          <w:tab w:val="left" w:pos="7260"/>
          <w:tab w:val="left" w:pos="7650"/>
          <w:tab w:val="right" w:pos="8910"/>
        </w:tabs>
        <w:spacing w:after="0" w:line="240" w:lineRule="auto"/>
        <w:rPr>
          <w:rFonts w:ascii="Palatino Linotype" w:hAnsi="Palatino Linotype" w:eastAsia="Times New Roman" w:cs="Times New Roman"/>
          <w:b/>
          <w:strike/>
          <w:sz w:val="24"/>
          <w:szCs w:val="24"/>
        </w:rPr>
      </w:pPr>
      <w:r w:rsidRPr="00882303">
        <w:rPr>
          <w:rFonts w:ascii="Palatino Linotype" w:hAnsi="Palatino Linotype" w:eastAsia="Times New Roman" w:cs="Times New Roman"/>
          <w:b/>
          <w:sz w:val="24"/>
          <w:szCs w:val="24"/>
        </w:rPr>
        <w:tab/>
      </w:r>
      <w:r w:rsidR="00882303">
        <w:rPr>
          <w:rFonts w:ascii="Palatino Linotype" w:hAnsi="Palatino Linotype" w:eastAsia="Times New Roman" w:cs="Times New Roman"/>
          <w:b/>
          <w:sz w:val="24"/>
          <w:szCs w:val="24"/>
        </w:rPr>
        <w:t xml:space="preserve">      May 9, 2024</w:t>
      </w:r>
      <w:r w:rsidR="00882303">
        <w:rPr>
          <w:rFonts w:ascii="Palatino Linotype" w:hAnsi="Palatino Linotype" w:eastAsia="Times New Roman" w:cs="Times New Roman"/>
          <w:b/>
          <w:sz w:val="24"/>
          <w:szCs w:val="24"/>
        </w:rPr>
        <w:tab/>
      </w:r>
      <w:r w:rsidRPr="00882303">
        <w:rPr>
          <w:rFonts w:ascii="Palatino Linotype" w:hAnsi="Palatino Linotype" w:eastAsia="Times New Roman" w:cs="Times New Roman"/>
          <w:b/>
          <w:strike/>
          <w:sz w:val="24"/>
          <w:szCs w:val="24"/>
        </w:rPr>
        <w:t xml:space="preserve"> </w:t>
      </w:r>
    </w:p>
    <w:p w:rsidRPr="00882303" w:rsidR="00971334" w:rsidP="00971334" w:rsidRDefault="00971334" w14:paraId="49FB4551" w14:textId="77777777">
      <w:pPr>
        <w:pStyle w:val="paragraph"/>
        <w:spacing w:before="0" w:beforeAutospacing="0" w:after="0" w:afterAutospacing="0"/>
        <w:ind w:firstLine="5760"/>
        <w:textAlignment w:val="baseline"/>
        <w:rPr>
          <w:rFonts w:ascii="Palatino Linotype" w:hAnsi="Palatino Linotype" w:cs="Segoe UI Historic"/>
        </w:rPr>
      </w:pPr>
      <w:r w:rsidRPr="00882303">
        <w:rPr>
          <w:rStyle w:val="normaltextrun"/>
          <w:rFonts w:ascii="Palatino Linotype" w:hAnsi="Palatino Linotype" w:cs="Segoe UI Historic"/>
        </w:rPr>
        <w:t>    </w:t>
      </w:r>
      <w:r w:rsidRPr="00882303">
        <w:rPr>
          <w:rStyle w:val="eop"/>
          <w:rFonts w:ascii="Palatino Linotype" w:hAnsi="Palatino Linotype" w:cs="Segoe UI Historic"/>
        </w:rPr>
        <w:t> </w:t>
      </w:r>
    </w:p>
    <w:p w:rsidRPr="00882303" w:rsidR="00971334" w:rsidP="00971334" w:rsidRDefault="00971334" w14:paraId="479F080C" w14:textId="77777777">
      <w:pPr>
        <w:pStyle w:val="paragraph"/>
        <w:spacing w:before="0" w:beforeAutospacing="0" w:after="0" w:afterAutospacing="0"/>
        <w:jc w:val="center"/>
        <w:textAlignment w:val="baseline"/>
        <w:rPr>
          <w:rFonts w:ascii="Palatino Linotype" w:hAnsi="Palatino Linotype" w:cs="Segoe UI Historic"/>
          <w:b/>
        </w:rPr>
      </w:pPr>
      <w:r w:rsidRPr="00882303">
        <w:rPr>
          <w:rStyle w:val="normaltextrun"/>
          <w:rFonts w:ascii="Palatino Linotype" w:hAnsi="Palatino Linotype" w:cs="Segoe UI Historic"/>
          <w:b/>
          <w:u w:val="single"/>
        </w:rPr>
        <w:t>RESOLUTION</w:t>
      </w:r>
      <w:r w:rsidRPr="00882303">
        <w:rPr>
          <w:rStyle w:val="eop"/>
          <w:rFonts w:ascii="Palatino Linotype" w:hAnsi="Palatino Linotype" w:cs="Segoe UI Historic"/>
          <w:b/>
        </w:rPr>
        <w:t> </w:t>
      </w:r>
    </w:p>
    <w:p w:rsidRPr="00882303" w:rsidR="00971334" w:rsidP="00696FA0" w:rsidRDefault="00971334" w14:paraId="3B04831C" w14:textId="77777777">
      <w:pPr>
        <w:pStyle w:val="paragraph"/>
        <w:spacing w:before="0" w:beforeAutospacing="0" w:after="0" w:afterAutospacing="0"/>
        <w:ind w:right="720"/>
        <w:textAlignment w:val="baseline"/>
        <w:rPr>
          <w:rStyle w:val="normaltextrun"/>
          <w:rFonts w:ascii="Palatino Linotype" w:hAnsi="Palatino Linotype"/>
        </w:rPr>
      </w:pPr>
      <w:r w:rsidRPr="00882303">
        <w:rPr>
          <w:rStyle w:val="normaltextrun"/>
          <w:rFonts w:ascii="Palatino Linotype" w:hAnsi="Palatino Linotype"/>
        </w:rPr>
        <w:t> </w:t>
      </w:r>
    </w:p>
    <w:p w:rsidRPr="00882303" w:rsidR="00971334" w:rsidP="005775F5" w:rsidRDefault="00696FA0" w14:paraId="37269F57" w14:textId="36BF7E37">
      <w:pPr>
        <w:pStyle w:val="paragraph"/>
        <w:spacing w:before="0" w:beforeAutospacing="0" w:after="0" w:afterAutospacing="0"/>
        <w:ind w:left="360" w:right="720"/>
        <w:textAlignment w:val="baseline"/>
        <w:rPr>
          <w:rStyle w:val="normaltextrun"/>
          <w:rFonts w:ascii="Palatino Linotype" w:hAnsi="Palatino Linotype" w:cs="Segoe UI Historic"/>
        </w:rPr>
      </w:pPr>
      <w:r w:rsidRPr="00882303">
        <w:rPr>
          <w:rStyle w:val="normaltextrun"/>
          <w:rFonts w:ascii="Palatino Linotype" w:hAnsi="Palatino Linotype" w:cs="Segoe UI Historic"/>
        </w:rPr>
        <w:t>Resolution G-3</w:t>
      </w:r>
      <w:r w:rsidRPr="00882303" w:rsidR="00651CD2">
        <w:rPr>
          <w:rStyle w:val="normaltextrun"/>
          <w:rFonts w:ascii="Palatino Linotype" w:hAnsi="Palatino Linotype" w:cs="Segoe UI Historic"/>
        </w:rPr>
        <w:t>603</w:t>
      </w:r>
      <w:r w:rsidR="00F84530">
        <w:rPr>
          <w:rStyle w:val="normaltextrun"/>
          <w:rFonts w:ascii="Palatino Linotype" w:hAnsi="Palatino Linotype" w:cs="Segoe UI Historic"/>
        </w:rPr>
        <w:t>.</w:t>
      </w:r>
      <w:r w:rsidRPr="00882303" w:rsidR="008525A5">
        <w:rPr>
          <w:rStyle w:val="normaltextrun"/>
          <w:rFonts w:ascii="Palatino Linotype" w:hAnsi="Palatino Linotype" w:cs="Segoe UI Historic"/>
        </w:rPr>
        <w:t xml:space="preserve"> Ap</w:t>
      </w:r>
      <w:r w:rsidRPr="00882303">
        <w:rPr>
          <w:rStyle w:val="normaltextrun"/>
          <w:rFonts w:ascii="Palatino Linotype" w:hAnsi="Palatino Linotype" w:cs="Segoe UI Historic"/>
        </w:rPr>
        <w:t>proval</w:t>
      </w:r>
      <w:r w:rsidRPr="00882303" w:rsidR="00651CD2">
        <w:rPr>
          <w:rStyle w:val="normaltextrun"/>
          <w:rFonts w:ascii="Palatino Linotype" w:hAnsi="Palatino Linotype" w:cs="Segoe UI Historic"/>
        </w:rPr>
        <w:t xml:space="preserve"> </w:t>
      </w:r>
      <w:r w:rsidRPr="00882303">
        <w:rPr>
          <w:rStyle w:val="normaltextrun"/>
          <w:rFonts w:ascii="Palatino Linotype" w:hAnsi="Palatino Linotype" w:cs="Segoe UI Historic"/>
        </w:rPr>
        <w:t>of the California Energy Commission’s Gas Research and Development Program for Fiscal Year 202</w:t>
      </w:r>
      <w:r w:rsidRPr="00882303" w:rsidR="00651CD2">
        <w:rPr>
          <w:rStyle w:val="normaltextrun"/>
          <w:rFonts w:ascii="Palatino Linotype" w:hAnsi="Palatino Linotype" w:cs="Segoe UI Historic"/>
        </w:rPr>
        <w:t>3</w:t>
      </w:r>
      <w:r w:rsidRPr="00882303">
        <w:rPr>
          <w:rStyle w:val="normaltextrun"/>
          <w:rFonts w:ascii="Palatino Linotype" w:hAnsi="Palatino Linotype" w:cs="Segoe UI Historic"/>
        </w:rPr>
        <w:t>-202</w:t>
      </w:r>
      <w:r w:rsidRPr="00882303" w:rsidR="00651CD2">
        <w:rPr>
          <w:rStyle w:val="normaltextrun"/>
          <w:rFonts w:ascii="Palatino Linotype" w:hAnsi="Palatino Linotype" w:cs="Segoe UI Historic"/>
        </w:rPr>
        <w:t>4</w:t>
      </w:r>
      <w:r w:rsidRPr="00882303">
        <w:rPr>
          <w:rStyle w:val="normaltextrun"/>
          <w:rFonts w:ascii="Palatino Linotype" w:hAnsi="Palatino Linotype" w:cs="Segoe UI Historic"/>
        </w:rPr>
        <w:t>.</w:t>
      </w:r>
    </w:p>
    <w:p w:rsidRPr="00882303" w:rsidR="005F4C4E" w:rsidP="005775F5" w:rsidRDefault="005F4C4E" w14:paraId="79AC3E99" w14:textId="77777777">
      <w:pPr>
        <w:pStyle w:val="paragraph"/>
        <w:spacing w:before="0" w:beforeAutospacing="0" w:after="0" w:afterAutospacing="0"/>
        <w:ind w:left="360" w:right="720"/>
        <w:textAlignment w:val="baseline"/>
        <w:rPr>
          <w:rStyle w:val="normaltextrun"/>
          <w:rFonts w:ascii="Palatino Linotype" w:hAnsi="Palatino Linotype"/>
        </w:rPr>
      </w:pPr>
    </w:p>
    <w:p w:rsidRPr="00882303" w:rsidR="00971334" w:rsidP="005775F5" w:rsidRDefault="00971334" w14:paraId="3C467C96" w14:textId="40E239FC">
      <w:pPr>
        <w:pStyle w:val="paragraph"/>
        <w:spacing w:before="0" w:beforeAutospacing="0" w:after="0" w:afterAutospacing="0"/>
        <w:ind w:left="360" w:right="720"/>
        <w:textAlignment w:val="baseline"/>
        <w:rPr>
          <w:rFonts w:ascii="Palatino Linotype" w:hAnsi="Palatino Linotype" w:cs="Segoe UI Historic"/>
        </w:rPr>
      </w:pPr>
      <w:r w:rsidRPr="00882303">
        <w:rPr>
          <w:rStyle w:val="normaltextrun"/>
          <w:rFonts w:ascii="Palatino Linotype" w:hAnsi="Palatino Linotype" w:cs="Segoe UI Historic"/>
        </w:rPr>
        <w:t>PROPOSED OUTCOME:</w:t>
      </w:r>
      <w:r w:rsidRPr="00882303" w:rsidR="00FE4DDF">
        <w:rPr>
          <w:rStyle w:val="normaltextrun"/>
          <w:rFonts w:ascii="Palatino Linotype" w:hAnsi="Palatino Linotype" w:cs="Segoe UI Historic"/>
        </w:rPr>
        <w:t xml:space="preserve"> Approves in part and modifies in part the California Energy Commission’s (CEC’s) </w:t>
      </w:r>
      <w:r w:rsidRPr="00882303" w:rsidR="00FE4DDF">
        <w:rPr>
          <w:rStyle w:val="normaltextrun"/>
          <w:rFonts w:ascii="Palatino Linotype" w:hAnsi="Palatino Linotype" w:cs="Segoe UI Historic"/>
          <w:i/>
          <w:iCs/>
        </w:rPr>
        <w:t xml:space="preserve">Gas Research and </w:t>
      </w:r>
      <w:r w:rsidRPr="00882303" w:rsidR="00396C07">
        <w:rPr>
          <w:rStyle w:val="normaltextrun"/>
          <w:rFonts w:ascii="Palatino Linotype" w:hAnsi="Palatino Linotype" w:cs="Segoe UI Historic"/>
          <w:i/>
          <w:iCs/>
        </w:rPr>
        <w:t>D</w:t>
      </w:r>
      <w:r w:rsidRPr="00882303" w:rsidR="00FE4DDF">
        <w:rPr>
          <w:rStyle w:val="normaltextrun"/>
          <w:rFonts w:ascii="Palatino Linotype" w:hAnsi="Palatino Linotype" w:cs="Segoe UI Historic"/>
          <w:i/>
          <w:iCs/>
        </w:rPr>
        <w:t xml:space="preserve">evelopment Program, Proposed Budget </w:t>
      </w:r>
      <w:r w:rsidRPr="00882303" w:rsidR="000B49B5">
        <w:rPr>
          <w:rStyle w:val="normaltextrun"/>
          <w:rFonts w:ascii="Palatino Linotype" w:hAnsi="Palatino Linotype" w:cs="Segoe UI Historic"/>
          <w:i/>
          <w:iCs/>
        </w:rPr>
        <w:t>P</w:t>
      </w:r>
      <w:r w:rsidRPr="00882303" w:rsidR="00FE4DDF">
        <w:rPr>
          <w:rStyle w:val="normaltextrun"/>
          <w:rFonts w:ascii="Palatino Linotype" w:hAnsi="Palatino Linotype" w:cs="Segoe UI Historic"/>
          <w:i/>
          <w:iCs/>
        </w:rPr>
        <w:t xml:space="preserve">lan for Fiscal Year (FY) 2023-2024 </w:t>
      </w:r>
      <w:r w:rsidRPr="00882303" w:rsidR="00FE4DDF">
        <w:rPr>
          <w:rStyle w:val="normaltextrun"/>
          <w:rFonts w:ascii="Palatino Linotype" w:hAnsi="Palatino Linotype" w:cs="Segoe UI Historic"/>
        </w:rPr>
        <w:t xml:space="preserve">with a budget of </w:t>
      </w:r>
      <w:r w:rsidRPr="00882303" w:rsidR="00B91D62">
        <w:rPr>
          <w:rStyle w:val="normaltextrun"/>
          <w:rFonts w:ascii="Palatino Linotype" w:hAnsi="Palatino Linotype" w:cs="Segoe UI Historic"/>
        </w:rPr>
        <w:t>$24 million, plus $6,536,412 in previously unspent funds, totaling $30,536,412</w:t>
      </w:r>
      <w:r w:rsidRPr="00882303" w:rsidR="000B787B">
        <w:rPr>
          <w:rStyle w:val="normaltextrun"/>
          <w:rFonts w:ascii="Palatino Linotype" w:hAnsi="Palatino Linotype" w:cs="Segoe UI Historic"/>
        </w:rPr>
        <w:t xml:space="preserve">, pursuant to California Public Utilities Commission Decision (D.) 04-08-010. </w:t>
      </w:r>
    </w:p>
    <w:p w:rsidRPr="00882303" w:rsidR="005F4C4E" w:rsidP="005775F5" w:rsidRDefault="005F4C4E" w14:paraId="4E5897C1" w14:textId="37C2AF0A">
      <w:pPr>
        <w:pStyle w:val="paragraph"/>
        <w:spacing w:before="0" w:beforeAutospacing="0" w:after="0" w:afterAutospacing="0"/>
        <w:ind w:left="360"/>
        <w:textAlignment w:val="baseline"/>
        <w:rPr>
          <w:rStyle w:val="eop"/>
          <w:rFonts w:ascii="Palatino Linotype" w:hAnsi="Palatino Linotype" w:cs="Segoe UI Historic"/>
        </w:rPr>
      </w:pPr>
    </w:p>
    <w:p w:rsidRPr="00882303" w:rsidR="005F4C4E" w:rsidP="005775F5" w:rsidRDefault="005F4C4E" w14:paraId="71BD395E" w14:textId="339E83A4">
      <w:pPr>
        <w:pStyle w:val="paragraph"/>
        <w:spacing w:before="0" w:beforeAutospacing="0" w:after="0" w:afterAutospacing="0"/>
        <w:ind w:left="360"/>
        <w:textAlignment w:val="baseline"/>
        <w:rPr>
          <w:rStyle w:val="eop"/>
          <w:rFonts w:ascii="Palatino Linotype" w:hAnsi="Palatino Linotype" w:cs="Segoe UI Historic"/>
        </w:rPr>
      </w:pPr>
      <w:r w:rsidRPr="00882303">
        <w:rPr>
          <w:rStyle w:val="eop"/>
          <w:rFonts w:ascii="Palatino Linotype" w:hAnsi="Palatino Linotype" w:cs="Segoe UI Historic"/>
        </w:rPr>
        <w:t>SAFETY CONSIDERATIONS:</w:t>
      </w:r>
      <w:r w:rsidRPr="00882303" w:rsidR="00261CE8">
        <w:rPr>
          <w:rStyle w:val="eop"/>
          <w:rFonts w:ascii="Palatino Linotype" w:hAnsi="Palatino Linotype" w:cs="Segoe UI Historic"/>
        </w:rPr>
        <w:t xml:space="preserve"> </w:t>
      </w:r>
      <w:r w:rsidRPr="00882303" w:rsidR="004A1AFF">
        <w:rPr>
          <w:rStyle w:val="eop"/>
          <w:rFonts w:ascii="Palatino Linotype" w:hAnsi="Palatino Linotype" w:cs="Segoe UI Historic"/>
        </w:rPr>
        <w:t xml:space="preserve">This Resolution approves </w:t>
      </w:r>
      <w:r w:rsidRPr="00882303" w:rsidR="00AE3D0C">
        <w:rPr>
          <w:rStyle w:val="eop"/>
          <w:rFonts w:ascii="Palatino Linotype" w:hAnsi="Palatino Linotype" w:cs="Segoe UI Historic"/>
        </w:rPr>
        <w:t>$2 million</w:t>
      </w:r>
      <w:r w:rsidRPr="00882303" w:rsidR="004A1AFF">
        <w:rPr>
          <w:rStyle w:val="eop"/>
          <w:rFonts w:ascii="Palatino Linotype" w:hAnsi="Palatino Linotype" w:cs="Segoe UI Historic"/>
        </w:rPr>
        <w:t xml:space="preserve"> for the Targ</w:t>
      </w:r>
      <w:r w:rsidRPr="00882303" w:rsidR="002F2C6B">
        <w:rPr>
          <w:rStyle w:val="eop"/>
          <w:rFonts w:ascii="Palatino Linotype" w:hAnsi="Palatino Linotype" w:cs="Segoe UI Historic"/>
        </w:rPr>
        <w:t>e</w:t>
      </w:r>
      <w:r w:rsidRPr="00882303" w:rsidR="004A1AFF">
        <w:rPr>
          <w:rStyle w:val="eop"/>
          <w:rFonts w:ascii="Palatino Linotype" w:hAnsi="Palatino Linotype" w:cs="Segoe UI Historic"/>
        </w:rPr>
        <w:t>ted Ga</w:t>
      </w:r>
      <w:r w:rsidRPr="00882303" w:rsidR="004D7745">
        <w:rPr>
          <w:rStyle w:val="eop"/>
          <w:rFonts w:ascii="Palatino Linotype" w:hAnsi="Palatino Linotype" w:cs="Segoe UI Historic"/>
        </w:rPr>
        <w:t>s</w:t>
      </w:r>
      <w:r w:rsidRPr="00882303" w:rsidR="004A1AFF">
        <w:rPr>
          <w:rStyle w:val="eop"/>
          <w:rFonts w:ascii="Palatino Linotype" w:hAnsi="Palatino Linotype" w:cs="Segoe UI Historic"/>
        </w:rPr>
        <w:t xml:space="preserve"> System Decommissioning Initiative theme, which funds projects regarding aging gas infrastructure in California</w:t>
      </w:r>
      <w:r w:rsidRPr="00882303" w:rsidR="00766D03">
        <w:rPr>
          <w:rStyle w:val="eop"/>
          <w:rFonts w:ascii="Palatino Linotype" w:hAnsi="Palatino Linotype" w:cs="Segoe UI Historic"/>
        </w:rPr>
        <w:t xml:space="preserve">. </w:t>
      </w:r>
    </w:p>
    <w:p w:rsidRPr="00882303" w:rsidR="005F4C4E" w:rsidP="005775F5" w:rsidRDefault="005F4C4E" w14:paraId="4D801A63" w14:textId="468123AD">
      <w:pPr>
        <w:pStyle w:val="paragraph"/>
        <w:spacing w:before="0" w:beforeAutospacing="0" w:after="0" w:afterAutospacing="0"/>
        <w:ind w:left="360"/>
        <w:textAlignment w:val="baseline"/>
        <w:rPr>
          <w:rFonts w:ascii="Palatino Linotype" w:hAnsi="Palatino Linotype" w:cs="Segoe UI Historic"/>
        </w:rPr>
      </w:pPr>
    </w:p>
    <w:p w:rsidRPr="00882303" w:rsidR="005F4C4E" w:rsidP="005775F5" w:rsidRDefault="005F4C4E" w14:paraId="63428A46" w14:textId="36588711">
      <w:pPr>
        <w:pStyle w:val="paragraph"/>
        <w:spacing w:before="0" w:beforeAutospacing="0" w:after="0" w:afterAutospacing="0"/>
        <w:ind w:left="360"/>
        <w:textAlignment w:val="baseline"/>
        <w:rPr>
          <w:rFonts w:ascii="Palatino Linotype" w:hAnsi="Palatino Linotype" w:cs="Segoe UI Historic"/>
        </w:rPr>
      </w:pPr>
      <w:r w:rsidRPr="00882303">
        <w:rPr>
          <w:rFonts w:ascii="Palatino Linotype" w:hAnsi="Palatino Linotype" w:cs="Segoe UI Historic"/>
        </w:rPr>
        <w:t>ESTIMATED COST:</w:t>
      </w:r>
    </w:p>
    <w:p w:rsidRPr="00882303" w:rsidR="005F4C4E" w:rsidP="005775F5" w:rsidRDefault="005F4C4E" w14:paraId="7D426386" w14:textId="2A9FB5E7">
      <w:pPr>
        <w:pStyle w:val="paragraph"/>
        <w:numPr>
          <w:ilvl w:val="0"/>
          <w:numId w:val="2"/>
        </w:numPr>
        <w:spacing w:before="0" w:beforeAutospacing="0" w:after="0" w:afterAutospacing="0"/>
        <w:textAlignment w:val="baseline"/>
        <w:rPr>
          <w:rFonts w:ascii="Palatino Linotype" w:hAnsi="Palatino Linotype" w:cs="Segoe UI Historic"/>
        </w:rPr>
      </w:pPr>
      <w:r w:rsidRPr="00882303">
        <w:rPr>
          <w:rFonts w:ascii="Palatino Linotype" w:hAnsi="Palatino Linotype" w:cs="Segoe UI Historic"/>
        </w:rPr>
        <w:t>Approves $24 million in ratepayer costs</w:t>
      </w:r>
      <w:r w:rsidRPr="00882303" w:rsidR="00261CE8">
        <w:rPr>
          <w:rFonts w:ascii="Palatino Linotype" w:hAnsi="Palatino Linotype" w:cs="Segoe UI Historic"/>
        </w:rPr>
        <w:t>, plus $6,536,412 of previously unspent CEC Gas R&amp;D funds,</w:t>
      </w:r>
      <w:r w:rsidRPr="00882303">
        <w:rPr>
          <w:rFonts w:ascii="Palatino Linotype" w:hAnsi="Palatino Linotype" w:cs="Segoe UI Historic"/>
        </w:rPr>
        <w:t xml:space="preserve"> for Fiscal Year 202</w:t>
      </w:r>
      <w:r w:rsidRPr="00882303" w:rsidR="00485FCA">
        <w:rPr>
          <w:rFonts w:ascii="Palatino Linotype" w:hAnsi="Palatino Linotype" w:cs="Segoe UI Historic"/>
        </w:rPr>
        <w:t>3</w:t>
      </w:r>
      <w:r w:rsidRPr="00882303">
        <w:rPr>
          <w:rFonts w:ascii="Palatino Linotype" w:hAnsi="Palatino Linotype" w:cs="Segoe UI Historic"/>
        </w:rPr>
        <w:t>-202</w:t>
      </w:r>
      <w:r w:rsidRPr="00882303" w:rsidR="00485FCA">
        <w:rPr>
          <w:rFonts w:ascii="Palatino Linotype" w:hAnsi="Palatino Linotype" w:cs="Segoe UI Historic"/>
        </w:rPr>
        <w:t>4</w:t>
      </w:r>
      <w:r w:rsidRPr="00882303">
        <w:rPr>
          <w:rFonts w:ascii="Palatino Linotype" w:hAnsi="Palatino Linotype" w:cs="Segoe UI Historic"/>
        </w:rPr>
        <w:t xml:space="preserve"> as previously authorized by </w:t>
      </w:r>
      <w:r w:rsidRPr="00882303" w:rsidR="006A33F5">
        <w:rPr>
          <w:rFonts w:ascii="Palatino Linotype" w:hAnsi="Palatino Linotype" w:cs="Segoe UI Historic"/>
        </w:rPr>
        <w:t>Decision (</w:t>
      </w:r>
      <w:r w:rsidRPr="00882303">
        <w:rPr>
          <w:rFonts w:ascii="Palatino Linotype" w:hAnsi="Palatino Linotype" w:cs="Segoe UI Historic"/>
        </w:rPr>
        <w:t>D.</w:t>
      </w:r>
      <w:r w:rsidRPr="00882303" w:rsidR="006A33F5">
        <w:rPr>
          <w:rFonts w:ascii="Palatino Linotype" w:hAnsi="Palatino Linotype" w:cs="Segoe UI Historic"/>
        </w:rPr>
        <w:t>)</w:t>
      </w:r>
      <w:r w:rsidRPr="00882303">
        <w:rPr>
          <w:rFonts w:ascii="Palatino Linotype" w:hAnsi="Palatino Linotype" w:cs="Segoe UI Historic"/>
        </w:rPr>
        <w:t>04-08-010.</w:t>
      </w:r>
      <w:r w:rsidRPr="00882303" w:rsidR="006F3C64">
        <w:rPr>
          <w:rFonts w:ascii="Palatino Linotype" w:hAnsi="Palatino Linotype" w:cs="Segoe UI Historic"/>
        </w:rPr>
        <w:t xml:space="preserve"> </w:t>
      </w:r>
      <w:r w:rsidRPr="00882303" w:rsidR="00A83EA5">
        <w:rPr>
          <w:rFonts w:ascii="Palatino Linotype" w:hAnsi="Palatino Linotype" w:cs="Segoe UI Historic"/>
        </w:rPr>
        <w:t>Total Ratepayer Cost is $30,</w:t>
      </w:r>
      <w:r w:rsidRPr="00882303" w:rsidR="00F0100B">
        <w:rPr>
          <w:rFonts w:ascii="Palatino Linotype" w:hAnsi="Palatino Linotype" w:cs="Segoe UI Historic"/>
        </w:rPr>
        <w:t>536,412 for this plan.</w:t>
      </w:r>
    </w:p>
    <w:p w:rsidRPr="00882303" w:rsidR="005F4C4E" w:rsidP="000F7C48" w:rsidRDefault="005F4C4E" w14:paraId="6BB78009" w14:textId="79B7D1E7">
      <w:pPr>
        <w:pStyle w:val="paragraph"/>
        <w:spacing w:before="0" w:beforeAutospacing="0" w:after="0" w:afterAutospacing="0"/>
        <w:textAlignment w:val="baseline"/>
        <w:rPr>
          <w:rFonts w:ascii="Palatino Linotype" w:hAnsi="Palatino Linotype" w:cs="Segoe UI Historic"/>
        </w:rPr>
      </w:pPr>
    </w:p>
    <w:p w:rsidRPr="00882303" w:rsidR="005F4C4E" w:rsidP="005775F5" w:rsidRDefault="005F4C4E" w14:paraId="1BFC75D8" w14:textId="52A91087">
      <w:pPr>
        <w:pStyle w:val="paragraph"/>
        <w:spacing w:before="0" w:beforeAutospacing="0" w:after="0" w:afterAutospacing="0"/>
        <w:ind w:left="360"/>
        <w:textAlignment w:val="baseline"/>
        <w:rPr>
          <w:rFonts w:ascii="Palatino Linotype" w:hAnsi="Palatino Linotype" w:cs="Segoe UI Historic"/>
        </w:rPr>
      </w:pPr>
      <w:r w:rsidRPr="00882303">
        <w:rPr>
          <w:rFonts w:ascii="Palatino Linotype" w:hAnsi="Palatino Linotype" w:cs="Segoe UI Historic"/>
        </w:rPr>
        <w:t xml:space="preserve">By Advice Letter </w:t>
      </w:r>
      <w:r w:rsidRPr="00882303" w:rsidR="00651CD2">
        <w:rPr>
          <w:rFonts w:ascii="Palatino Linotype" w:hAnsi="Palatino Linotype" w:cs="Segoe UI Historic"/>
        </w:rPr>
        <w:t>5</w:t>
      </w:r>
      <w:r w:rsidRPr="00882303">
        <w:rPr>
          <w:rFonts w:ascii="Palatino Linotype" w:hAnsi="Palatino Linotype" w:cs="Segoe UI Historic"/>
        </w:rPr>
        <w:t xml:space="preserve">-G, Filed on </w:t>
      </w:r>
      <w:r w:rsidRPr="00882303" w:rsidR="00B12C1D">
        <w:rPr>
          <w:rFonts w:ascii="Palatino Linotype" w:hAnsi="Palatino Linotype" w:cs="Segoe UI Historic"/>
        </w:rPr>
        <w:t>June</w:t>
      </w:r>
      <w:r w:rsidRPr="00882303">
        <w:rPr>
          <w:rFonts w:ascii="Palatino Linotype" w:hAnsi="Palatino Linotype" w:cs="Segoe UI Historic"/>
        </w:rPr>
        <w:t xml:space="preserve"> </w:t>
      </w:r>
      <w:r w:rsidRPr="00882303" w:rsidR="00B12C1D">
        <w:rPr>
          <w:rFonts w:ascii="Palatino Linotype" w:hAnsi="Palatino Linotype" w:cs="Segoe UI Historic"/>
        </w:rPr>
        <w:t xml:space="preserve">1, </w:t>
      </w:r>
      <w:r w:rsidRPr="00882303">
        <w:rPr>
          <w:rFonts w:ascii="Palatino Linotype" w:hAnsi="Palatino Linotype" w:cs="Segoe UI Historic"/>
        </w:rPr>
        <w:t>202</w:t>
      </w:r>
      <w:r w:rsidRPr="00882303" w:rsidR="00B12C1D">
        <w:rPr>
          <w:rFonts w:ascii="Palatino Linotype" w:hAnsi="Palatino Linotype" w:cs="Segoe UI Historic"/>
        </w:rPr>
        <w:t>3.</w:t>
      </w:r>
    </w:p>
    <w:p w:rsidRPr="00882303" w:rsidR="005775F5" w:rsidP="000E7642" w:rsidRDefault="005775F5" w14:paraId="281951D0" w14:textId="77777777">
      <w:pPr>
        <w:pStyle w:val="paragraph"/>
        <w:spacing w:before="0" w:beforeAutospacing="0" w:after="0" w:afterAutospacing="0"/>
        <w:textAlignment w:val="baseline"/>
        <w:rPr>
          <w:rFonts w:ascii="Palatino Linotype" w:hAnsi="Palatino Linotype" w:cs="Segoe UI Historic"/>
          <w:b/>
          <w:u w:val="single"/>
        </w:rPr>
      </w:pPr>
    </w:p>
    <w:p w:rsidRPr="00882303" w:rsidR="005F4C4E" w:rsidP="000E7642" w:rsidRDefault="005F4C4E" w14:paraId="7861F341" w14:textId="1ABB8CE8">
      <w:pPr>
        <w:pStyle w:val="paragraph"/>
        <w:spacing w:before="0" w:beforeAutospacing="0" w:after="0" w:afterAutospacing="0"/>
        <w:textAlignment w:val="baseline"/>
        <w:rPr>
          <w:rFonts w:ascii="Palatino Linotype" w:hAnsi="Palatino Linotype" w:cs="Segoe UI Historic"/>
          <w:b/>
          <w:u w:val="single"/>
        </w:rPr>
      </w:pPr>
      <w:r w:rsidRPr="00882303">
        <w:rPr>
          <w:rFonts w:ascii="Palatino Linotype" w:hAnsi="Palatino Linotype" w:cs="Segoe UI Historic"/>
          <w:b/>
          <w:u w:val="single"/>
        </w:rPr>
        <w:t>SUMMARY:</w:t>
      </w:r>
    </w:p>
    <w:p w:rsidRPr="00882303" w:rsidR="000E7642" w:rsidP="000E7642" w:rsidRDefault="000E7642" w14:paraId="60DBA373" w14:textId="77777777">
      <w:pPr>
        <w:pStyle w:val="paragraph"/>
        <w:spacing w:before="0" w:beforeAutospacing="0" w:after="0" w:afterAutospacing="0"/>
        <w:textAlignment w:val="baseline"/>
        <w:rPr>
          <w:rFonts w:ascii="Palatino Linotype" w:hAnsi="Palatino Linotype" w:cs="Segoe UI Historic"/>
          <w:b/>
          <w:u w:val="single"/>
        </w:rPr>
      </w:pPr>
    </w:p>
    <w:p w:rsidR="005F4C4E" w:rsidP="005F4C4E" w:rsidRDefault="005F4C4E" w14:paraId="57966DB4" w14:textId="1A882F96">
      <w:pPr>
        <w:spacing w:after="0" w:line="240" w:lineRule="auto"/>
        <w:rPr>
          <w:rFonts w:ascii="Palatino Linotype" w:hAnsi="Palatino Linotype" w:eastAsia="Times New Roman" w:cs="Segoe UI Historic"/>
          <w:sz w:val="24"/>
          <w:szCs w:val="24"/>
        </w:rPr>
      </w:pPr>
      <w:r w:rsidRPr="00882303">
        <w:rPr>
          <w:rFonts w:ascii="Palatino Linotype" w:hAnsi="Palatino Linotype" w:eastAsia="Times New Roman" w:cs="Segoe UI Historic"/>
          <w:sz w:val="24"/>
          <w:szCs w:val="24"/>
        </w:rPr>
        <w:t>This Resolution approves</w:t>
      </w:r>
      <w:r w:rsidRPr="00882303" w:rsidR="0054730F">
        <w:rPr>
          <w:rFonts w:ascii="Palatino Linotype" w:hAnsi="Palatino Linotype" w:eastAsia="Times New Roman" w:cs="Segoe UI Historic"/>
          <w:sz w:val="24"/>
          <w:szCs w:val="24"/>
        </w:rPr>
        <w:t xml:space="preserve"> </w:t>
      </w:r>
      <w:r w:rsidRPr="00882303" w:rsidR="00EB3CA6">
        <w:rPr>
          <w:rFonts w:ascii="Palatino Linotype" w:hAnsi="Palatino Linotype" w:eastAsia="Times New Roman" w:cs="Segoe UI Historic"/>
          <w:sz w:val="24"/>
          <w:szCs w:val="24"/>
        </w:rPr>
        <w:t xml:space="preserve">in part </w:t>
      </w:r>
      <w:r w:rsidRPr="00882303">
        <w:rPr>
          <w:rFonts w:ascii="Palatino Linotype" w:hAnsi="Palatino Linotype" w:eastAsia="Times New Roman" w:cs="Segoe UI Historic"/>
          <w:sz w:val="24"/>
          <w:szCs w:val="24"/>
        </w:rPr>
        <w:t>the California Energy Commission’s (CEC’s) Gas Research and Development Program Proposed Budget Plan for Fiscal Year 20</w:t>
      </w:r>
      <w:r w:rsidRPr="00882303" w:rsidR="00B12C1D">
        <w:rPr>
          <w:rFonts w:ascii="Palatino Linotype" w:hAnsi="Palatino Linotype" w:eastAsia="Times New Roman" w:cs="Segoe UI Historic"/>
          <w:sz w:val="24"/>
          <w:szCs w:val="24"/>
        </w:rPr>
        <w:t>23</w:t>
      </w:r>
      <w:r w:rsidRPr="00882303">
        <w:rPr>
          <w:rFonts w:ascii="Palatino Linotype" w:hAnsi="Palatino Linotype" w:eastAsia="Times New Roman" w:cs="Segoe UI Historic"/>
          <w:sz w:val="24"/>
          <w:szCs w:val="24"/>
        </w:rPr>
        <w:t>-2</w:t>
      </w:r>
      <w:r w:rsidRPr="00882303" w:rsidR="00D44357">
        <w:rPr>
          <w:rFonts w:ascii="Palatino Linotype" w:hAnsi="Palatino Linotype" w:eastAsia="Times New Roman" w:cs="Segoe UI Historic"/>
          <w:sz w:val="24"/>
          <w:szCs w:val="24"/>
        </w:rPr>
        <w:t>02</w:t>
      </w:r>
      <w:r w:rsidRPr="00882303" w:rsidR="00B12C1D">
        <w:rPr>
          <w:rFonts w:ascii="Palatino Linotype" w:hAnsi="Palatino Linotype" w:eastAsia="Times New Roman" w:cs="Segoe UI Historic"/>
          <w:sz w:val="24"/>
          <w:szCs w:val="24"/>
        </w:rPr>
        <w:t>4</w:t>
      </w:r>
      <w:r w:rsidRPr="00882303">
        <w:rPr>
          <w:rFonts w:ascii="Palatino Linotype" w:hAnsi="Palatino Linotype" w:eastAsia="Times New Roman" w:cs="Segoe UI Historic"/>
          <w:sz w:val="24"/>
          <w:szCs w:val="24"/>
        </w:rPr>
        <w:t xml:space="preserve"> (the FY</w:t>
      </w:r>
      <w:r w:rsidRPr="00882303" w:rsidR="00BC672B">
        <w:rPr>
          <w:rFonts w:ascii="Palatino Linotype" w:hAnsi="Palatino Linotype" w:eastAsia="Times New Roman" w:cs="Segoe UI Historic"/>
          <w:sz w:val="24"/>
          <w:szCs w:val="24"/>
        </w:rPr>
        <w:t xml:space="preserve"> </w:t>
      </w:r>
      <w:r w:rsidRPr="00882303">
        <w:rPr>
          <w:rFonts w:ascii="Palatino Linotype" w:hAnsi="Palatino Linotype" w:eastAsia="Times New Roman" w:cs="Segoe UI Historic"/>
          <w:sz w:val="24"/>
          <w:szCs w:val="24"/>
        </w:rPr>
        <w:t>202</w:t>
      </w:r>
      <w:r w:rsidRPr="00882303" w:rsidR="00485FCA">
        <w:rPr>
          <w:rFonts w:ascii="Palatino Linotype" w:hAnsi="Palatino Linotype" w:eastAsia="Times New Roman" w:cs="Segoe UI Historic"/>
          <w:sz w:val="24"/>
          <w:szCs w:val="24"/>
        </w:rPr>
        <w:t>3-</w:t>
      </w:r>
      <w:r w:rsidRPr="00882303" w:rsidR="001D3452">
        <w:rPr>
          <w:rFonts w:ascii="Palatino Linotype" w:hAnsi="Palatino Linotype" w:eastAsia="Times New Roman" w:cs="Segoe UI Historic"/>
          <w:sz w:val="24"/>
          <w:szCs w:val="24"/>
        </w:rPr>
        <w:t>20</w:t>
      </w:r>
      <w:r w:rsidRPr="00882303">
        <w:rPr>
          <w:rFonts w:ascii="Palatino Linotype" w:hAnsi="Palatino Linotype" w:eastAsia="Times New Roman" w:cs="Segoe UI Historic"/>
          <w:sz w:val="24"/>
          <w:szCs w:val="24"/>
        </w:rPr>
        <w:t>2</w:t>
      </w:r>
      <w:r w:rsidRPr="00882303" w:rsidR="00B12C1D">
        <w:rPr>
          <w:rFonts w:ascii="Palatino Linotype" w:hAnsi="Palatino Linotype" w:eastAsia="Times New Roman" w:cs="Segoe UI Historic"/>
          <w:sz w:val="24"/>
          <w:szCs w:val="24"/>
        </w:rPr>
        <w:t>4</w:t>
      </w:r>
      <w:r w:rsidRPr="00882303">
        <w:rPr>
          <w:rFonts w:ascii="Palatino Linotype" w:hAnsi="Palatino Linotype" w:eastAsia="Times New Roman" w:cs="Segoe UI Historic"/>
          <w:sz w:val="24"/>
          <w:szCs w:val="24"/>
        </w:rPr>
        <w:t xml:space="preserve"> Plan). The Gas Research and Development Program (Gas R&amp;D Program) was established pursuant to D</w:t>
      </w:r>
      <w:r w:rsidRPr="00882303" w:rsidR="00045F78">
        <w:rPr>
          <w:rFonts w:ascii="Palatino Linotype" w:hAnsi="Palatino Linotype" w:eastAsia="Times New Roman" w:cs="Segoe UI Historic"/>
          <w:sz w:val="24"/>
          <w:szCs w:val="24"/>
        </w:rPr>
        <w:t>.</w:t>
      </w:r>
      <w:r w:rsidRPr="00882303">
        <w:rPr>
          <w:rFonts w:ascii="Palatino Linotype" w:hAnsi="Palatino Linotype" w:eastAsia="Times New Roman" w:cs="Segoe UI Historic"/>
          <w:sz w:val="24"/>
          <w:szCs w:val="24"/>
        </w:rPr>
        <w:t>04-08-010. The California Public Utilities Commission (CPUC</w:t>
      </w:r>
      <w:r w:rsidRPr="00882303" w:rsidR="006A33F5">
        <w:rPr>
          <w:rFonts w:ascii="Palatino Linotype" w:hAnsi="Palatino Linotype" w:eastAsia="Times New Roman" w:cs="Segoe UI Historic"/>
          <w:sz w:val="24"/>
          <w:szCs w:val="24"/>
        </w:rPr>
        <w:t xml:space="preserve"> or Commission</w:t>
      </w:r>
      <w:r w:rsidRPr="00882303">
        <w:rPr>
          <w:rFonts w:ascii="Palatino Linotype" w:hAnsi="Palatino Linotype" w:eastAsia="Times New Roman" w:cs="Segoe UI Historic"/>
          <w:sz w:val="24"/>
          <w:szCs w:val="24"/>
        </w:rPr>
        <w:t>) approves the CEC’s proposed $24</w:t>
      </w:r>
      <w:r w:rsidRPr="00882303" w:rsidR="0021009C">
        <w:rPr>
          <w:rFonts w:ascii="Palatino Linotype" w:hAnsi="Palatino Linotype" w:eastAsia="Times New Roman" w:cs="Segoe UI Historic"/>
          <w:sz w:val="24"/>
          <w:szCs w:val="24"/>
        </w:rPr>
        <w:t xml:space="preserve">,000,000 </w:t>
      </w:r>
      <w:r w:rsidRPr="00882303">
        <w:rPr>
          <w:rFonts w:ascii="Palatino Linotype" w:hAnsi="Palatino Linotype" w:eastAsia="Times New Roman" w:cs="Segoe UI Historic"/>
          <w:sz w:val="24"/>
          <w:szCs w:val="24"/>
        </w:rPr>
        <w:t xml:space="preserve">budget, </w:t>
      </w:r>
      <w:r w:rsidRPr="00882303" w:rsidR="008B2B78">
        <w:rPr>
          <w:rFonts w:ascii="Palatino Linotype" w:hAnsi="Palatino Linotype" w:eastAsia="Times New Roman" w:cs="Segoe UI Historic"/>
          <w:sz w:val="24"/>
          <w:szCs w:val="24"/>
        </w:rPr>
        <w:t xml:space="preserve">plus </w:t>
      </w:r>
      <w:r w:rsidRPr="00882303" w:rsidR="002C0423">
        <w:rPr>
          <w:rFonts w:ascii="Palatino Linotype" w:hAnsi="Palatino Linotype" w:eastAsia="Times New Roman" w:cs="Segoe UI Historic"/>
          <w:sz w:val="24"/>
          <w:szCs w:val="24"/>
        </w:rPr>
        <w:t>$6,536,412 in unspent funds,</w:t>
      </w:r>
      <w:r w:rsidRPr="00882303" w:rsidR="0021009C">
        <w:rPr>
          <w:rFonts w:ascii="Palatino Linotype" w:hAnsi="Palatino Linotype" w:eastAsia="Times New Roman" w:cs="Segoe UI Historic"/>
          <w:sz w:val="24"/>
          <w:szCs w:val="24"/>
        </w:rPr>
        <w:t xml:space="preserve"> totaling $30,536,412. This </w:t>
      </w:r>
      <w:r w:rsidRPr="00882303" w:rsidR="00C61E22">
        <w:rPr>
          <w:rFonts w:ascii="Palatino Linotype" w:hAnsi="Palatino Linotype" w:eastAsia="Times New Roman" w:cs="Segoe UI Historic"/>
          <w:sz w:val="24"/>
          <w:szCs w:val="24"/>
        </w:rPr>
        <w:t>includes</w:t>
      </w:r>
      <w:r w:rsidRPr="00882303" w:rsidR="00F143C8">
        <w:rPr>
          <w:rFonts w:ascii="Palatino Linotype" w:hAnsi="Palatino Linotype" w:eastAsia="Times New Roman" w:cs="Segoe UI Historic"/>
          <w:sz w:val="24"/>
          <w:szCs w:val="24"/>
        </w:rPr>
        <w:t xml:space="preserve"> a </w:t>
      </w:r>
      <w:r w:rsidRPr="00882303">
        <w:rPr>
          <w:rFonts w:ascii="Palatino Linotype" w:hAnsi="Palatino Linotype" w:eastAsia="Times New Roman" w:cs="Segoe UI Historic"/>
          <w:sz w:val="24"/>
          <w:szCs w:val="24"/>
        </w:rPr>
        <w:t>$2.4 million</w:t>
      </w:r>
      <w:r w:rsidRPr="00882303" w:rsidR="008B2B78">
        <w:rPr>
          <w:rFonts w:ascii="Palatino Linotype" w:hAnsi="Palatino Linotype" w:eastAsia="Times New Roman" w:cs="Segoe UI Historic"/>
          <w:sz w:val="24"/>
          <w:szCs w:val="24"/>
        </w:rPr>
        <w:t xml:space="preserve"> </w:t>
      </w:r>
      <w:r w:rsidRPr="00882303">
        <w:rPr>
          <w:rFonts w:ascii="Palatino Linotype" w:hAnsi="Palatino Linotype" w:eastAsia="Times New Roman" w:cs="Segoe UI Historic"/>
          <w:sz w:val="24"/>
          <w:szCs w:val="24"/>
        </w:rPr>
        <w:t>administrative budget.</w:t>
      </w:r>
      <w:r w:rsidRPr="00882303" w:rsidR="00B846AC">
        <w:rPr>
          <w:rFonts w:ascii="Palatino Linotype" w:hAnsi="Palatino Linotype" w:eastAsia="Times New Roman" w:cs="Segoe UI Historic"/>
          <w:sz w:val="24"/>
          <w:szCs w:val="24"/>
        </w:rPr>
        <w:t xml:space="preserve"> The Resolution directs the CEC to reallocate $</w:t>
      </w:r>
      <w:r w:rsidRPr="00882303" w:rsidR="005C73EF">
        <w:rPr>
          <w:rFonts w:ascii="Palatino Linotype" w:hAnsi="Palatino Linotype" w:eastAsia="Times New Roman" w:cs="Segoe UI Historic"/>
          <w:sz w:val="24"/>
          <w:szCs w:val="24"/>
        </w:rPr>
        <w:t>10,130,876</w:t>
      </w:r>
      <w:r w:rsidRPr="00882303" w:rsidR="00B846AC">
        <w:rPr>
          <w:rFonts w:ascii="Palatino Linotype" w:hAnsi="Palatino Linotype" w:eastAsia="Times New Roman" w:cs="Segoe UI Historic"/>
          <w:sz w:val="24"/>
          <w:szCs w:val="24"/>
        </w:rPr>
        <w:t xml:space="preserve"> million </w:t>
      </w:r>
      <w:r w:rsidRPr="00882303" w:rsidR="00E65D73">
        <w:rPr>
          <w:rFonts w:ascii="Palatino Linotype" w:hAnsi="Palatino Linotype" w:eastAsia="Times New Roman" w:cs="Segoe UI Historic"/>
          <w:sz w:val="24"/>
          <w:szCs w:val="24"/>
        </w:rPr>
        <w:t xml:space="preserve">for </w:t>
      </w:r>
      <w:r w:rsidRPr="00882303" w:rsidR="005C73EF">
        <w:rPr>
          <w:rFonts w:ascii="Palatino Linotype" w:hAnsi="Palatino Linotype" w:eastAsia="Times New Roman" w:cs="Segoe UI Historic"/>
          <w:sz w:val="24"/>
          <w:szCs w:val="24"/>
        </w:rPr>
        <w:t>the Gas Leakage Mitigation</w:t>
      </w:r>
      <w:r w:rsidRPr="00882303" w:rsidR="00E65D73">
        <w:rPr>
          <w:rFonts w:ascii="Palatino Linotype" w:hAnsi="Palatino Linotype" w:eastAsia="Times New Roman" w:cs="Segoe UI Historic"/>
          <w:sz w:val="24"/>
          <w:szCs w:val="24"/>
        </w:rPr>
        <w:t xml:space="preserve"> </w:t>
      </w:r>
      <w:r w:rsidRPr="00882303" w:rsidR="005C73EF">
        <w:rPr>
          <w:rFonts w:ascii="Palatino Linotype" w:hAnsi="Palatino Linotype" w:eastAsia="Times New Roman" w:cs="Segoe UI Historic"/>
          <w:sz w:val="24"/>
          <w:szCs w:val="24"/>
        </w:rPr>
        <w:t xml:space="preserve">Initiative theme </w:t>
      </w:r>
      <w:r w:rsidRPr="00882303" w:rsidR="00E65D73">
        <w:rPr>
          <w:rFonts w:ascii="Palatino Linotype" w:hAnsi="Palatino Linotype" w:eastAsia="Times New Roman" w:cs="Segoe UI Historic"/>
          <w:sz w:val="24"/>
          <w:szCs w:val="24"/>
        </w:rPr>
        <w:t xml:space="preserve">to </w:t>
      </w:r>
      <w:r w:rsidRPr="00882303" w:rsidR="00336E18">
        <w:rPr>
          <w:rFonts w:ascii="Palatino Linotype" w:hAnsi="Palatino Linotype" w:eastAsia="Times New Roman" w:cs="Segoe UI Historic"/>
          <w:sz w:val="24"/>
          <w:szCs w:val="24"/>
        </w:rPr>
        <w:t>other gas research projects, as described.</w:t>
      </w:r>
    </w:p>
    <w:p w:rsidRPr="00882303" w:rsidR="00F84530" w:rsidP="005F4C4E" w:rsidRDefault="00F84530" w14:paraId="6E07481F" w14:textId="77777777">
      <w:pPr>
        <w:spacing w:after="0" w:line="240" w:lineRule="auto"/>
        <w:rPr>
          <w:rFonts w:ascii="Palatino Linotype" w:hAnsi="Palatino Linotype" w:eastAsia="Times New Roman" w:cs="Segoe UI Historic"/>
          <w:sz w:val="24"/>
          <w:szCs w:val="24"/>
        </w:rPr>
      </w:pPr>
    </w:p>
    <w:p w:rsidRPr="00882303" w:rsidR="005F4C4E" w:rsidP="005F4C4E" w:rsidRDefault="005F4C4E" w14:paraId="425CEF71" w14:textId="71CAC99F">
      <w:pPr>
        <w:spacing w:after="0" w:line="240" w:lineRule="auto"/>
        <w:rPr>
          <w:rFonts w:ascii="Palatino Linotype" w:hAnsi="Palatino Linotype" w:eastAsia="Times New Roman" w:cs="Segoe UI Historic"/>
          <w:sz w:val="24"/>
          <w:szCs w:val="24"/>
          <w:u w:val="single"/>
        </w:rPr>
      </w:pPr>
      <w:r w:rsidRPr="00882303">
        <w:rPr>
          <w:rFonts w:ascii="Palatino Linotype" w:hAnsi="Palatino Linotype" w:eastAsia="Times New Roman" w:cs="Segoe UI Historic"/>
          <w:b/>
          <w:sz w:val="24"/>
          <w:szCs w:val="24"/>
          <w:u w:val="single"/>
        </w:rPr>
        <w:lastRenderedPageBreak/>
        <w:t>BACKGROUND</w:t>
      </w:r>
      <w:r w:rsidRPr="00882303">
        <w:rPr>
          <w:rFonts w:ascii="Palatino Linotype" w:hAnsi="Palatino Linotype" w:eastAsia="Times New Roman" w:cs="Segoe UI Historic"/>
          <w:sz w:val="24"/>
          <w:szCs w:val="24"/>
          <w:u w:val="single"/>
        </w:rPr>
        <w:t>:</w:t>
      </w:r>
    </w:p>
    <w:p w:rsidRPr="00882303" w:rsidR="005F4C4E" w:rsidP="005F4C4E" w:rsidRDefault="005F4C4E" w14:paraId="7B897BF2" w14:textId="6464FDD4">
      <w:pPr>
        <w:spacing w:after="0" w:line="240" w:lineRule="auto"/>
        <w:rPr>
          <w:rFonts w:ascii="Palatino Linotype" w:hAnsi="Palatino Linotype" w:eastAsia="Times New Roman" w:cs="Segoe UI Historic"/>
          <w:sz w:val="24"/>
          <w:szCs w:val="24"/>
        </w:rPr>
      </w:pPr>
    </w:p>
    <w:p w:rsidRPr="00882303" w:rsidR="000E7642" w:rsidP="005F4C4E" w:rsidRDefault="005F4C4E" w14:paraId="3298D364" w14:textId="28A3B79D">
      <w:pPr>
        <w:spacing w:after="0" w:line="240" w:lineRule="auto"/>
        <w:rPr>
          <w:rFonts w:ascii="Palatino Linotype" w:hAnsi="Palatino Linotype" w:eastAsia="Times New Roman" w:cs="Segoe UI Historic"/>
          <w:b/>
          <w:sz w:val="24"/>
          <w:szCs w:val="24"/>
        </w:rPr>
      </w:pPr>
      <w:r w:rsidRPr="00882303">
        <w:rPr>
          <w:rFonts w:ascii="Palatino Linotype" w:hAnsi="Palatino Linotype" w:eastAsia="Times New Roman" w:cs="Segoe UI Historic"/>
          <w:b/>
          <w:sz w:val="24"/>
          <w:szCs w:val="24"/>
        </w:rPr>
        <w:t>Procedural History</w:t>
      </w:r>
    </w:p>
    <w:p w:rsidRPr="00882303" w:rsidR="005F4C4E" w:rsidP="00F9482D" w:rsidRDefault="005F4C4E" w14:paraId="2A233664" w14:textId="77777777">
      <w:pPr>
        <w:pStyle w:val="paragraph"/>
        <w:spacing w:before="0" w:beforeAutospacing="0" w:after="0" w:afterAutospacing="0"/>
        <w:textAlignment w:val="baseline"/>
        <w:rPr>
          <w:rStyle w:val="normaltextrun"/>
          <w:rFonts w:ascii="Palatino Linotype" w:hAnsi="Palatino Linotype" w:cs="Segoe UI Historic"/>
        </w:rPr>
      </w:pPr>
    </w:p>
    <w:p w:rsidRPr="00882303" w:rsidR="00F9482D" w:rsidP="00F9482D" w:rsidRDefault="00F9482D" w14:paraId="2003E7E4" w14:textId="2BC7C6D2">
      <w:pPr>
        <w:pStyle w:val="paragraph"/>
        <w:spacing w:before="0" w:beforeAutospacing="0" w:after="0" w:afterAutospacing="0"/>
        <w:textAlignment w:val="baseline"/>
        <w:rPr>
          <w:rFonts w:ascii="Palatino Linotype" w:hAnsi="Palatino Linotype" w:cs="Segoe UI Historic"/>
        </w:rPr>
      </w:pPr>
      <w:r w:rsidRPr="00882303">
        <w:rPr>
          <w:rStyle w:val="normaltextrun"/>
          <w:rFonts w:ascii="Palatino Linotype" w:hAnsi="Palatino Linotype" w:cs="Segoe UI Historic"/>
        </w:rPr>
        <w:t>In 2002, the CPUC instituted Rulemaking (R.)02-10-001 to implement Assembly Bill 1002 (Wright, 2000).</w:t>
      </w:r>
      <w:r w:rsidRPr="00882303">
        <w:rPr>
          <w:rStyle w:val="FootnoteReference"/>
          <w:rFonts w:ascii="Palatino Linotype" w:hAnsi="Palatino Linotype" w:cs="Segoe UI Historic"/>
        </w:rPr>
        <w:footnoteReference w:id="2"/>
      </w:r>
      <w:r w:rsidRPr="00882303">
        <w:rPr>
          <w:rStyle w:val="normaltextrun"/>
          <w:rFonts w:ascii="Palatino Linotype" w:hAnsi="Palatino Linotype" w:cs="Segoe UI Historic"/>
        </w:rPr>
        <w:t xml:space="preserve"> In that proceeding, the CPUC addressed various issues related to the design and implementation of a surcharge to fund gas public purpose programs, resulting in D.04-08-010.</w:t>
      </w:r>
      <w:r w:rsidRPr="00882303">
        <w:rPr>
          <w:rStyle w:val="eop"/>
          <w:rFonts w:ascii="Palatino Linotype" w:hAnsi="Palatino Linotype" w:cs="Segoe UI Historic"/>
        </w:rPr>
        <w:t> </w:t>
      </w:r>
    </w:p>
    <w:p w:rsidRPr="00882303" w:rsidR="00F9482D" w:rsidP="00F9482D" w:rsidRDefault="00F9482D" w14:paraId="50E3CC9A" w14:textId="77777777">
      <w:pPr>
        <w:pStyle w:val="paragraph"/>
        <w:spacing w:before="0" w:beforeAutospacing="0" w:after="0" w:afterAutospacing="0"/>
        <w:textAlignment w:val="baseline"/>
        <w:rPr>
          <w:rFonts w:ascii="Palatino Linotype" w:hAnsi="Palatino Linotype" w:cs="Segoe UI Historic"/>
        </w:rPr>
      </w:pPr>
      <w:r w:rsidRPr="00882303">
        <w:rPr>
          <w:rStyle w:val="eop"/>
          <w:rFonts w:ascii="Palatino Linotype" w:hAnsi="Palatino Linotype" w:cs="Segoe UI Historic"/>
        </w:rPr>
        <w:t> </w:t>
      </w:r>
    </w:p>
    <w:p w:rsidRPr="00882303" w:rsidR="00F9482D" w:rsidP="00F9482D" w:rsidRDefault="00F9482D" w14:paraId="4E2D0151" w14:textId="4C97107E">
      <w:pPr>
        <w:pStyle w:val="paragraph"/>
        <w:spacing w:before="0" w:beforeAutospacing="0" w:after="0" w:afterAutospacing="0"/>
        <w:textAlignment w:val="baseline"/>
        <w:rPr>
          <w:rFonts w:ascii="Palatino Linotype" w:hAnsi="Palatino Linotype" w:cs="Segoe UI Historic"/>
        </w:rPr>
      </w:pPr>
      <w:r w:rsidRPr="00882303">
        <w:rPr>
          <w:rStyle w:val="normaltextrun"/>
          <w:rFonts w:ascii="Palatino Linotype" w:hAnsi="Palatino Linotype" w:cs="Segoe UI Historic"/>
        </w:rPr>
        <w:t xml:space="preserve">D.04-08-010 establishes certain criteria for gas research and development (Gas R&amp;D) projects to be approved under this program, </w:t>
      </w:r>
      <w:r w:rsidRPr="00882303" w:rsidR="000D7ACA">
        <w:rPr>
          <w:rStyle w:val="normaltextrun"/>
          <w:rFonts w:ascii="Palatino Linotype" w:hAnsi="Palatino Linotype" w:cs="Segoe UI Historic"/>
        </w:rPr>
        <w:t>specifically</w:t>
      </w:r>
      <w:r w:rsidRPr="00882303" w:rsidR="0004774C">
        <w:rPr>
          <w:rStyle w:val="normaltextrun"/>
          <w:rFonts w:ascii="Palatino Linotype" w:hAnsi="Palatino Linotype" w:cs="Segoe UI Historic"/>
        </w:rPr>
        <w:t xml:space="preserve">, </w:t>
      </w:r>
      <w:r w:rsidRPr="00882303">
        <w:rPr>
          <w:rStyle w:val="normaltextrun"/>
          <w:rFonts w:ascii="Palatino Linotype" w:hAnsi="Palatino Linotype" w:cs="Segoe UI Historic"/>
        </w:rPr>
        <w:t>that the projects:</w:t>
      </w:r>
      <w:r w:rsidRPr="00882303">
        <w:rPr>
          <w:rStyle w:val="eop"/>
          <w:rFonts w:ascii="Palatino Linotype" w:hAnsi="Palatino Linotype" w:cs="Segoe UI Historic"/>
        </w:rPr>
        <w:t> </w:t>
      </w:r>
    </w:p>
    <w:p w:rsidRPr="00882303" w:rsidR="00F9482D" w:rsidP="00F9482D" w:rsidRDefault="00F9482D" w14:paraId="3F2EFDA9" w14:textId="77777777">
      <w:pPr>
        <w:pStyle w:val="paragraph"/>
        <w:spacing w:before="0" w:beforeAutospacing="0" w:after="0" w:afterAutospacing="0"/>
        <w:textAlignment w:val="baseline"/>
        <w:rPr>
          <w:rFonts w:ascii="Palatino Linotype" w:hAnsi="Palatino Linotype" w:cs="Segoe UI Historic"/>
        </w:rPr>
      </w:pPr>
      <w:r w:rsidRPr="00882303">
        <w:rPr>
          <w:rStyle w:val="eop"/>
          <w:rFonts w:ascii="Palatino Linotype" w:hAnsi="Palatino Linotype" w:cs="Segoe UI Historic"/>
        </w:rPr>
        <w:t> </w:t>
      </w:r>
    </w:p>
    <w:p w:rsidRPr="00882303" w:rsidR="00F9482D" w:rsidP="00F9482D" w:rsidRDefault="00F9482D" w14:paraId="11D09706" w14:textId="77777777">
      <w:pPr>
        <w:pStyle w:val="paragraph"/>
        <w:numPr>
          <w:ilvl w:val="0"/>
          <w:numId w:val="5"/>
        </w:numPr>
        <w:spacing w:before="0" w:beforeAutospacing="0" w:after="0" w:afterAutospacing="0"/>
        <w:textAlignment w:val="baseline"/>
        <w:rPr>
          <w:rFonts w:ascii="Palatino Linotype" w:hAnsi="Palatino Linotype" w:cs="Segoe UI Historic"/>
        </w:rPr>
      </w:pPr>
      <w:r w:rsidRPr="00882303">
        <w:rPr>
          <w:rStyle w:val="normaltextrun"/>
          <w:rFonts w:ascii="Palatino Linotype" w:hAnsi="Palatino Linotype" w:cs="Segoe UI Historic"/>
        </w:rPr>
        <w:t>Focus on energy efficiency, renewable technologies, conservation, and environmental issues.</w:t>
      </w:r>
      <w:r w:rsidRPr="00882303">
        <w:rPr>
          <w:rStyle w:val="eop"/>
          <w:rFonts w:ascii="Palatino Linotype" w:hAnsi="Palatino Linotype" w:cs="Segoe UI Historic"/>
        </w:rPr>
        <w:t> </w:t>
      </w:r>
    </w:p>
    <w:p w:rsidRPr="00882303" w:rsidR="00F9482D" w:rsidP="00F9482D" w:rsidRDefault="00F9482D" w14:paraId="47534CC0" w14:textId="77777777">
      <w:pPr>
        <w:pStyle w:val="paragraph"/>
        <w:numPr>
          <w:ilvl w:val="0"/>
          <w:numId w:val="5"/>
        </w:numPr>
        <w:spacing w:before="0" w:beforeAutospacing="0" w:after="0" w:afterAutospacing="0"/>
        <w:textAlignment w:val="baseline"/>
        <w:rPr>
          <w:rFonts w:ascii="Palatino Linotype" w:hAnsi="Palatino Linotype" w:cs="Segoe UI Historic"/>
        </w:rPr>
      </w:pPr>
      <w:r w:rsidRPr="00882303">
        <w:rPr>
          <w:rStyle w:val="normaltextrun"/>
          <w:rFonts w:ascii="Palatino Linotype" w:hAnsi="Palatino Linotype" w:cs="Segoe UI Historic"/>
        </w:rPr>
        <w:t>Support State energy policy.</w:t>
      </w:r>
      <w:r w:rsidRPr="00882303">
        <w:rPr>
          <w:rStyle w:val="eop"/>
          <w:rFonts w:ascii="Palatino Linotype" w:hAnsi="Palatino Linotype" w:cs="Segoe UI Historic"/>
        </w:rPr>
        <w:t> </w:t>
      </w:r>
    </w:p>
    <w:p w:rsidRPr="00882303" w:rsidR="00F9482D" w:rsidP="00F9482D" w:rsidRDefault="00F9482D" w14:paraId="137D23FF" w14:textId="1C78B017">
      <w:pPr>
        <w:pStyle w:val="paragraph"/>
        <w:numPr>
          <w:ilvl w:val="0"/>
          <w:numId w:val="5"/>
        </w:numPr>
        <w:spacing w:before="0" w:beforeAutospacing="0" w:after="0" w:afterAutospacing="0"/>
        <w:textAlignment w:val="baseline"/>
        <w:rPr>
          <w:rFonts w:ascii="Palatino Linotype" w:hAnsi="Palatino Linotype" w:cs="Segoe UI Historic"/>
        </w:rPr>
      </w:pPr>
      <w:r w:rsidRPr="00882303">
        <w:rPr>
          <w:rStyle w:val="normaltextrun"/>
          <w:rFonts w:ascii="Palatino Linotype" w:hAnsi="Palatino Linotype" w:cs="Segoe UI Historic"/>
        </w:rPr>
        <w:t xml:space="preserve">Offer a reasonable probability of providing benefits to the </w:t>
      </w:r>
      <w:proofErr w:type="gramStart"/>
      <w:r w:rsidRPr="00882303">
        <w:rPr>
          <w:rStyle w:val="normaltextrun"/>
          <w:rFonts w:ascii="Palatino Linotype" w:hAnsi="Palatino Linotype" w:cs="Segoe UI Historic"/>
        </w:rPr>
        <w:t>general public</w:t>
      </w:r>
      <w:proofErr w:type="gramEnd"/>
      <w:r w:rsidRPr="00882303">
        <w:rPr>
          <w:rStyle w:val="normaltextrun"/>
          <w:rFonts w:ascii="Palatino Linotype" w:hAnsi="Palatino Linotype" w:cs="Segoe UI Historic"/>
        </w:rPr>
        <w:t>.</w:t>
      </w:r>
      <w:r w:rsidRPr="00882303">
        <w:rPr>
          <w:rStyle w:val="eop"/>
          <w:rFonts w:ascii="Palatino Linotype" w:hAnsi="Palatino Linotype" w:cs="Segoe UI Historic"/>
        </w:rPr>
        <w:t> </w:t>
      </w:r>
    </w:p>
    <w:p w:rsidRPr="00882303" w:rsidR="005F4C4E" w:rsidP="005F4C4E" w:rsidRDefault="00F9482D" w14:paraId="76D1DC34" w14:textId="3E50AF74">
      <w:pPr>
        <w:pStyle w:val="paragraph"/>
        <w:numPr>
          <w:ilvl w:val="0"/>
          <w:numId w:val="5"/>
        </w:numPr>
        <w:spacing w:before="0" w:beforeAutospacing="0" w:after="0" w:afterAutospacing="0"/>
        <w:textAlignment w:val="baseline"/>
        <w:rPr>
          <w:rStyle w:val="eop"/>
          <w:rFonts w:ascii="Palatino Linotype" w:hAnsi="Palatino Linotype" w:cs="Segoe UI Historic"/>
        </w:rPr>
      </w:pPr>
      <w:r w:rsidRPr="00882303">
        <w:rPr>
          <w:rStyle w:val="normaltextrun"/>
          <w:rFonts w:ascii="Palatino Linotype" w:hAnsi="Palatino Linotype" w:cs="Segoe UI Historic"/>
        </w:rPr>
        <w:t>Consider opportunities for collaboration and co</w:t>
      </w:r>
      <w:r w:rsidRPr="00882303" w:rsidR="00C552DA">
        <w:rPr>
          <w:rStyle w:val="normaltextrun"/>
          <w:rFonts w:ascii="Palatino Linotype" w:hAnsi="Palatino Linotype" w:cs="Segoe UI Historic"/>
        </w:rPr>
        <w:t>-</w:t>
      </w:r>
      <w:r w:rsidRPr="00882303">
        <w:rPr>
          <w:rStyle w:val="normaltextrun"/>
          <w:rFonts w:ascii="Palatino Linotype" w:hAnsi="Palatino Linotype" w:cs="Segoe UI Historic"/>
        </w:rPr>
        <w:t>funding opportunities with other entities.</w:t>
      </w:r>
      <w:r w:rsidRPr="00882303">
        <w:rPr>
          <w:rStyle w:val="eop"/>
          <w:rFonts w:ascii="Palatino Linotype" w:hAnsi="Palatino Linotype" w:cs="Segoe UI Historic"/>
        </w:rPr>
        <w:t> </w:t>
      </w:r>
    </w:p>
    <w:p w:rsidRPr="00882303" w:rsidR="00F9482D" w:rsidP="00F9482D" w:rsidRDefault="00F9482D" w14:paraId="06A96997" w14:textId="2C447835">
      <w:pPr>
        <w:pStyle w:val="paragraph"/>
        <w:spacing w:before="0" w:beforeAutospacing="0" w:after="0" w:afterAutospacing="0"/>
        <w:textAlignment w:val="baseline"/>
        <w:rPr>
          <w:rStyle w:val="eop"/>
          <w:rFonts w:ascii="Palatino Linotype" w:hAnsi="Palatino Linotype" w:cs="Segoe UI Historic"/>
        </w:rPr>
      </w:pPr>
    </w:p>
    <w:p w:rsidRPr="00882303" w:rsidR="00F9482D" w:rsidP="00F9482D" w:rsidRDefault="00F9482D" w14:paraId="59C4657D" w14:textId="376C5F42">
      <w:pPr>
        <w:pStyle w:val="paragraph"/>
        <w:spacing w:before="0" w:beforeAutospacing="0" w:after="0" w:afterAutospacing="0"/>
        <w:textAlignment w:val="baseline"/>
        <w:rPr>
          <w:rStyle w:val="eop"/>
          <w:rFonts w:ascii="Palatino Linotype" w:hAnsi="Palatino Linotype" w:cs="Segoe UI Historic"/>
        </w:rPr>
      </w:pPr>
      <w:r w:rsidRPr="00882303">
        <w:rPr>
          <w:rStyle w:val="eop"/>
          <w:rFonts w:ascii="Palatino Linotype" w:hAnsi="Palatino Linotype" w:cs="Segoe UI Historic"/>
        </w:rPr>
        <w:t>Additionally, the Commission defines public interest Gas R&amp;D activities as those which “are directed towards developing science or technology, the benefits of which 1) accrue to California citizens and 2) are not adequately addressed by competitive or regulated entities.”</w:t>
      </w:r>
      <w:r w:rsidRPr="00882303">
        <w:rPr>
          <w:rStyle w:val="FootnoteReference"/>
          <w:rFonts w:ascii="Palatino Linotype" w:hAnsi="Palatino Linotype" w:cs="Segoe UI Historic"/>
        </w:rPr>
        <w:footnoteReference w:id="3"/>
      </w:r>
    </w:p>
    <w:p w:rsidRPr="00882303" w:rsidR="007752EF" w:rsidP="00F9482D" w:rsidRDefault="007752EF" w14:paraId="538F30A1" w14:textId="37497F88">
      <w:pPr>
        <w:pStyle w:val="paragraph"/>
        <w:spacing w:before="0" w:beforeAutospacing="0" w:after="0" w:afterAutospacing="0"/>
        <w:textAlignment w:val="baseline"/>
        <w:rPr>
          <w:rStyle w:val="eop"/>
          <w:rFonts w:ascii="Palatino Linotype" w:hAnsi="Palatino Linotype" w:cs="Segoe UI Historic"/>
        </w:rPr>
      </w:pPr>
    </w:p>
    <w:p w:rsidRPr="00882303" w:rsidR="007752EF" w:rsidP="00F9482D" w:rsidRDefault="007752EF" w14:paraId="19AE6597" w14:textId="0595F4EE">
      <w:pPr>
        <w:pStyle w:val="paragraph"/>
        <w:spacing w:before="0" w:beforeAutospacing="0" w:after="0" w:afterAutospacing="0"/>
        <w:textAlignment w:val="baseline"/>
        <w:rPr>
          <w:rFonts w:ascii="Palatino Linotype" w:hAnsi="Palatino Linotype" w:cs="Segoe UI Historic"/>
        </w:rPr>
      </w:pPr>
      <w:r w:rsidRPr="00882303">
        <w:rPr>
          <w:rFonts w:ascii="Palatino Linotype" w:hAnsi="Palatino Linotype" w:cs="Segoe UI Historic"/>
        </w:rPr>
        <w:t>D.04-08-010 also designates the CEC as the administrator of the Gas R&amp;D Program. The CEC administers various public interest research programs and is publicly accountable, being subject to the Bagley-Keene Open Meeting Act and the Public Records Act.</w:t>
      </w:r>
      <w:r w:rsidRPr="00882303" w:rsidR="00C00437">
        <w:rPr>
          <w:rStyle w:val="FootnoteReference"/>
          <w:rFonts w:ascii="Palatino Linotype" w:hAnsi="Palatino Linotype" w:cs="Segoe UI Historic"/>
        </w:rPr>
        <w:footnoteReference w:id="4"/>
      </w:r>
      <w:r w:rsidRPr="00882303">
        <w:rPr>
          <w:rFonts w:ascii="Palatino Linotype" w:hAnsi="Palatino Linotype" w:cs="Segoe UI Historic"/>
        </w:rPr>
        <w:t xml:space="preserve"> The CPUC identifies areas for funding and the CEC selects projects and funding areas to achieve these </w:t>
      </w:r>
      <w:r w:rsidRPr="00882303" w:rsidR="008B71DC">
        <w:rPr>
          <w:rFonts w:ascii="Palatino Linotype" w:hAnsi="Palatino Linotype" w:cs="Segoe UI Historic"/>
        </w:rPr>
        <w:t>g</w:t>
      </w:r>
      <w:r w:rsidRPr="00882303">
        <w:rPr>
          <w:rFonts w:ascii="Palatino Linotype" w:hAnsi="Palatino Linotype" w:cs="Segoe UI Historic"/>
        </w:rPr>
        <w:t>oals.</w:t>
      </w:r>
    </w:p>
    <w:p w:rsidRPr="00882303" w:rsidR="008B71DC" w:rsidP="00F9482D" w:rsidRDefault="008B71DC" w14:paraId="007B040F" w14:textId="0A575F96">
      <w:pPr>
        <w:pStyle w:val="paragraph"/>
        <w:spacing w:before="0" w:beforeAutospacing="0" w:after="0" w:afterAutospacing="0"/>
        <w:textAlignment w:val="baseline"/>
        <w:rPr>
          <w:rFonts w:ascii="Palatino Linotype" w:hAnsi="Palatino Linotype" w:cs="Segoe UI Historic"/>
        </w:rPr>
      </w:pPr>
    </w:p>
    <w:p w:rsidRPr="00882303" w:rsidR="008B71DC" w:rsidP="00677FF8" w:rsidRDefault="008B71DC" w14:paraId="54FAB072" w14:textId="1EC5B95A">
      <w:pPr>
        <w:pStyle w:val="paragraph"/>
        <w:textAlignment w:val="baseline"/>
        <w:rPr>
          <w:rFonts w:ascii="Palatino Linotype" w:hAnsi="Palatino Linotype" w:cs="Segoe UI Historic"/>
        </w:rPr>
      </w:pPr>
      <w:r w:rsidRPr="00882303">
        <w:rPr>
          <w:rFonts w:ascii="Palatino Linotype" w:hAnsi="Palatino Linotype" w:cs="Segoe UI Historic"/>
        </w:rPr>
        <w:t>D.04-08-010 reserves ultimate oversight of Gas R&amp;D investments for the CPUC. The CPUC is responsible for adopting the Gas R&amp;D Program,</w:t>
      </w:r>
      <w:r w:rsidRPr="00882303" w:rsidR="00C00437">
        <w:rPr>
          <w:rFonts w:ascii="Palatino Linotype" w:hAnsi="Palatino Linotype" w:cs="Segoe UI Historic"/>
        </w:rPr>
        <w:t xml:space="preserve"> for setting the surcharge to fund it, and </w:t>
      </w:r>
      <w:bookmarkStart w:name="_Hlk120102639" w:id="0"/>
      <w:r w:rsidRPr="00882303" w:rsidR="00C00437">
        <w:rPr>
          <w:rFonts w:ascii="Palatino Linotype" w:hAnsi="Palatino Linotype" w:cs="Segoe UI Historic"/>
        </w:rPr>
        <w:t xml:space="preserve">accountability to evaluate that gas R&amp;D investments are prudent and benefit the ratepayers </w:t>
      </w:r>
      <w:bookmarkEnd w:id="0"/>
      <w:r w:rsidRPr="00882303" w:rsidR="00C00437">
        <w:rPr>
          <w:rFonts w:ascii="Palatino Linotype" w:hAnsi="Palatino Linotype" w:cs="Segoe UI Historic"/>
        </w:rPr>
        <w:t>that fund the program.</w:t>
      </w:r>
      <w:r w:rsidRPr="00882303" w:rsidR="008E1AA0">
        <w:rPr>
          <w:rFonts w:ascii="Palatino Linotype" w:hAnsi="Palatino Linotype" w:cs="Segoe UI Historic"/>
        </w:rPr>
        <w:t xml:space="preserve"> The Decision also states that, “if any commercial benefits result, we expect that these benefits would accrue to the ratepayers </w:t>
      </w:r>
      <w:r w:rsidRPr="00882303" w:rsidR="008E1AA0">
        <w:rPr>
          <w:rFonts w:ascii="Palatino Linotype" w:hAnsi="Palatino Linotype" w:cs="Segoe UI Historic"/>
        </w:rPr>
        <w:lastRenderedPageBreak/>
        <w:t>who are funding the program through the gas surcharge.”</w:t>
      </w:r>
      <w:r w:rsidRPr="00882303" w:rsidR="008E1AA0">
        <w:rPr>
          <w:rStyle w:val="FootnoteReference"/>
          <w:rFonts w:ascii="Palatino Linotype" w:hAnsi="Palatino Linotype" w:cs="Segoe UI Historic"/>
        </w:rPr>
        <w:footnoteReference w:id="5"/>
      </w:r>
      <w:r w:rsidRPr="00882303" w:rsidR="008E1AA0">
        <w:rPr>
          <w:rFonts w:ascii="Palatino Linotype" w:hAnsi="Palatino Linotype" w:cs="Segoe UI Historic"/>
        </w:rPr>
        <w:t xml:space="preserve"> </w:t>
      </w:r>
      <w:r w:rsidRPr="00882303" w:rsidR="00C00437">
        <w:rPr>
          <w:rFonts w:ascii="Palatino Linotype" w:hAnsi="Palatino Linotype" w:cs="Segoe UI Historic"/>
        </w:rPr>
        <w:t>The Decision clarifies that the CPUC has final responsibility to “approve and resolve administration, funding, project approval, or other matters, and make a final decision.”</w:t>
      </w:r>
      <w:r w:rsidRPr="00882303" w:rsidR="00C00437">
        <w:rPr>
          <w:rStyle w:val="FootnoteReference"/>
          <w:rFonts w:ascii="Palatino Linotype" w:hAnsi="Palatino Linotype" w:cs="Segoe UI Historic"/>
        </w:rPr>
        <w:footnoteReference w:id="6"/>
      </w:r>
      <w:r w:rsidRPr="00882303" w:rsidR="00C00437">
        <w:rPr>
          <w:rFonts w:ascii="Palatino Linotype" w:hAnsi="Palatino Linotype" w:cs="Segoe UI Historic"/>
        </w:rPr>
        <w:t xml:space="preserve"> The Decision further designates the CPUC’s Energy Division to serve as the CPUC’s advisor.</w:t>
      </w:r>
    </w:p>
    <w:p w:rsidRPr="00882303" w:rsidR="0001797E" w:rsidP="00F9482D" w:rsidRDefault="0001797E" w14:paraId="7635432A" w14:textId="54B0228A">
      <w:pPr>
        <w:pStyle w:val="paragraph"/>
        <w:spacing w:before="0" w:beforeAutospacing="0" w:after="0" w:afterAutospacing="0"/>
        <w:textAlignment w:val="baseline"/>
        <w:rPr>
          <w:rFonts w:ascii="Palatino Linotype" w:hAnsi="Palatino Linotype" w:cs="Segoe UI Historic"/>
        </w:rPr>
      </w:pPr>
      <w:r w:rsidRPr="00882303">
        <w:rPr>
          <w:rFonts w:ascii="Palatino Linotype" w:hAnsi="Palatino Linotype" w:cs="Segoe UI Historic"/>
          <w:b/>
        </w:rPr>
        <w:t>Budget</w:t>
      </w:r>
    </w:p>
    <w:p w:rsidRPr="00882303" w:rsidR="003020C3" w:rsidP="00F9482D" w:rsidRDefault="003020C3" w14:paraId="3711CD9C" w14:textId="77777777">
      <w:pPr>
        <w:pStyle w:val="paragraph"/>
        <w:spacing w:before="0" w:beforeAutospacing="0" w:after="0" w:afterAutospacing="0"/>
        <w:textAlignment w:val="baseline"/>
        <w:rPr>
          <w:rFonts w:ascii="Palatino Linotype" w:hAnsi="Palatino Linotype" w:cs="Segoe UI Historic"/>
        </w:rPr>
      </w:pPr>
    </w:p>
    <w:p w:rsidRPr="00882303" w:rsidR="003020C3" w:rsidP="00F9482D" w:rsidRDefault="003020C3" w14:paraId="30152D85" w14:textId="74452643">
      <w:pPr>
        <w:pStyle w:val="paragraph"/>
        <w:spacing w:before="0" w:beforeAutospacing="0" w:after="0" w:afterAutospacing="0"/>
        <w:textAlignment w:val="baseline"/>
        <w:rPr>
          <w:rFonts w:ascii="Palatino Linotype" w:hAnsi="Palatino Linotype" w:cs="Segoe UI Historic"/>
        </w:rPr>
      </w:pPr>
      <w:r w:rsidRPr="00882303">
        <w:rPr>
          <w:rFonts w:ascii="Palatino Linotype" w:hAnsi="Palatino Linotype" w:cs="Segoe UI Historic"/>
        </w:rPr>
        <w:t>D.04-08-010 establishes a</w:t>
      </w:r>
      <w:r w:rsidRPr="00882303" w:rsidR="00C86287">
        <w:rPr>
          <w:rFonts w:ascii="Palatino Linotype" w:hAnsi="Palatino Linotype" w:cs="Segoe UI Historic"/>
        </w:rPr>
        <w:t xml:space="preserve"> zero-based budget</w:t>
      </w:r>
      <w:r w:rsidRPr="00882303">
        <w:rPr>
          <w:rFonts w:ascii="Palatino Linotype" w:hAnsi="Palatino Linotype" w:cs="Segoe UI Historic"/>
        </w:rPr>
        <w:t xml:space="preserve"> for the Gas R&amp;D Program. Historically, each year the CEC has requested, and the CPUC has approved, the maximum budget increase over the previous year. Starting at $12 million for 2005, the Gas R&amp;D Program budget increased by the maximum annual amount allowed of $3 million each year until 2009. In 2009, the budget reached the maximum amount allowed of $24 million per year and has remained at this level to the present.</w:t>
      </w:r>
      <w:r w:rsidRPr="00882303">
        <w:rPr>
          <w:rStyle w:val="FootnoteReference"/>
          <w:rFonts w:ascii="Palatino Linotype" w:hAnsi="Palatino Linotype" w:cs="Segoe UI Historic"/>
        </w:rPr>
        <w:footnoteReference w:id="7"/>
      </w:r>
    </w:p>
    <w:p w:rsidRPr="00882303" w:rsidR="003020C3" w:rsidP="003F025C" w:rsidRDefault="003020C3" w14:paraId="465471EE" w14:textId="4262B2FF">
      <w:pPr>
        <w:pStyle w:val="paragraph"/>
        <w:spacing w:after="0"/>
        <w:textAlignment w:val="baseline"/>
        <w:rPr>
          <w:rFonts w:ascii="Palatino Linotype" w:hAnsi="Palatino Linotype" w:cs="Segoe UI Historic"/>
        </w:rPr>
      </w:pPr>
      <w:r w:rsidRPr="00882303">
        <w:rPr>
          <w:rFonts w:ascii="Palatino Linotype" w:hAnsi="Palatino Linotype" w:cs="Segoe UI Historic"/>
        </w:rPr>
        <w:t xml:space="preserve">In its </w:t>
      </w:r>
      <w:r w:rsidRPr="00882303" w:rsidR="00005ECF">
        <w:rPr>
          <w:rFonts w:ascii="Palatino Linotype" w:hAnsi="Palatino Linotype" w:cs="Segoe UI Historic"/>
        </w:rPr>
        <w:t>FY 202</w:t>
      </w:r>
      <w:r w:rsidRPr="00882303" w:rsidR="00582DA8">
        <w:rPr>
          <w:rFonts w:ascii="Palatino Linotype" w:hAnsi="Palatino Linotype" w:cs="Segoe UI Historic"/>
        </w:rPr>
        <w:t>3</w:t>
      </w:r>
      <w:r w:rsidRPr="00882303" w:rsidR="00005ECF">
        <w:rPr>
          <w:rFonts w:ascii="Palatino Linotype" w:hAnsi="Palatino Linotype" w:cs="Segoe UI Historic"/>
        </w:rPr>
        <w:t>-</w:t>
      </w:r>
      <w:r w:rsidRPr="00882303" w:rsidR="00B77073">
        <w:rPr>
          <w:rFonts w:ascii="Palatino Linotype" w:hAnsi="Palatino Linotype" w:cs="Segoe UI Historic"/>
        </w:rPr>
        <w:t>202</w:t>
      </w:r>
      <w:r w:rsidRPr="00882303" w:rsidR="00582DA8">
        <w:rPr>
          <w:rFonts w:ascii="Palatino Linotype" w:hAnsi="Palatino Linotype" w:cs="Segoe UI Historic"/>
        </w:rPr>
        <w:t>4</w:t>
      </w:r>
      <w:r w:rsidRPr="00882303">
        <w:rPr>
          <w:rFonts w:ascii="Palatino Linotype" w:hAnsi="Palatino Linotype" w:cs="Segoe UI Historic"/>
        </w:rPr>
        <w:t xml:space="preserve"> Plan, the CEC continues to request the maximum $24 million.</w:t>
      </w:r>
      <w:r w:rsidRPr="00882303" w:rsidR="003F025C">
        <w:rPr>
          <w:rFonts w:ascii="Palatino Linotype" w:hAnsi="Palatino Linotype" w:cs="Segoe UI Historic"/>
        </w:rPr>
        <w:t xml:space="preserve"> </w:t>
      </w:r>
      <w:r w:rsidRPr="00882303" w:rsidR="00912863">
        <w:rPr>
          <w:rFonts w:ascii="Palatino Linotype" w:hAnsi="Palatino Linotype" w:cs="Segoe UI Historic"/>
        </w:rPr>
        <w:t xml:space="preserve">The CEC is also requesting </w:t>
      </w:r>
      <w:proofErr w:type="gramStart"/>
      <w:r w:rsidRPr="00882303" w:rsidR="00912863">
        <w:rPr>
          <w:rFonts w:ascii="Palatino Linotype" w:hAnsi="Palatino Linotype" w:cs="Segoe UI Historic"/>
        </w:rPr>
        <w:t>to</w:t>
      </w:r>
      <w:proofErr w:type="gramEnd"/>
      <w:r w:rsidRPr="00882303" w:rsidR="00912863">
        <w:rPr>
          <w:rFonts w:ascii="Palatino Linotype" w:hAnsi="Palatino Linotype" w:cs="Segoe UI Historic"/>
        </w:rPr>
        <w:t xml:space="preserve"> use $6,536,412 in unspent funds </w:t>
      </w:r>
      <w:r w:rsidRPr="00882303" w:rsidR="00A41243">
        <w:rPr>
          <w:rFonts w:ascii="Palatino Linotype" w:hAnsi="Palatino Linotype" w:cs="Segoe UI Historic"/>
        </w:rPr>
        <w:t xml:space="preserve">(from previously </w:t>
      </w:r>
      <w:r w:rsidRPr="00882303" w:rsidR="00317328">
        <w:rPr>
          <w:rFonts w:ascii="Palatino Linotype" w:hAnsi="Palatino Linotype" w:cs="Segoe UI Historic"/>
        </w:rPr>
        <w:t xml:space="preserve">planned </w:t>
      </w:r>
      <w:r w:rsidRPr="00882303" w:rsidR="0084731B">
        <w:rPr>
          <w:rFonts w:ascii="Palatino Linotype" w:hAnsi="Palatino Linotype" w:cs="Segoe UI Historic"/>
        </w:rPr>
        <w:t xml:space="preserve">gas </w:t>
      </w:r>
      <w:r w:rsidRPr="00882303" w:rsidR="00317328">
        <w:rPr>
          <w:rFonts w:ascii="Palatino Linotype" w:hAnsi="Palatino Linotype" w:cs="Segoe UI Historic"/>
        </w:rPr>
        <w:t>energy efficiency and transportation research initiatives</w:t>
      </w:r>
      <w:r w:rsidRPr="00882303" w:rsidR="00A41243">
        <w:rPr>
          <w:rFonts w:ascii="Palatino Linotype" w:hAnsi="Palatino Linotype" w:cs="Segoe UI Historic"/>
        </w:rPr>
        <w:t xml:space="preserve">) </w:t>
      </w:r>
      <w:r w:rsidRPr="00882303" w:rsidR="00912863">
        <w:rPr>
          <w:rFonts w:ascii="Palatino Linotype" w:hAnsi="Palatino Linotype" w:cs="Segoe UI Historic"/>
        </w:rPr>
        <w:t xml:space="preserve">in its FY 2023-2024 Plan. </w:t>
      </w:r>
      <w:r w:rsidRPr="00882303">
        <w:rPr>
          <w:rFonts w:ascii="Palatino Linotype" w:hAnsi="Palatino Linotype" w:cs="Segoe UI Historic"/>
        </w:rPr>
        <w:t xml:space="preserve">The CEC has historically been granted the use of 10 percent of Gas R&amp;D funds for program administration. The </w:t>
      </w:r>
      <w:r w:rsidRPr="00882303" w:rsidR="00005ECF">
        <w:rPr>
          <w:rFonts w:ascii="Palatino Linotype" w:hAnsi="Palatino Linotype" w:cs="Segoe UI Historic"/>
        </w:rPr>
        <w:t>FY 202</w:t>
      </w:r>
      <w:r w:rsidRPr="00882303" w:rsidR="00912863">
        <w:rPr>
          <w:rFonts w:ascii="Palatino Linotype" w:hAnsi="Palatino Linotype" w:cs="Segoe UI Historic"/>
        </w:rPr>
        <w:t>3</w:t>
      </w:r>
      <w:r w:rsidRPr="00882303" w:rsidR="00005ECF">
        <w:rPr>
          <w:rFonts w:ascii="Palatino Linotype" w:hAnsi="Palatino Linotype" w:cs="Segoe UI Historic"/>
        </w:rPr>
        <w:t>-</w:t>
      </w:r>
      <w:r w:rsidRPr="00882303" w:rsidR="00397536">
        <w:rPr>
          <w:rFonts w:ascii="Palatino Linotype" w:hAnsi="Palatino Linotype" w:cs="Segoe UI Historic"/>
        </w:rPr>
        <w:t>20</w:t>
      </w:r>
      <w:r w:rsidRPr="00882303" w:rsidR="00005ECF">
        <w:rPr>
          <w:rFonts w:ascii="Palatino Linotype" w:hAnsi="Palatino Linotype" w:cs="Segoe UI Historic"/>
        </w:rPr>
        <w:t>2</w:t>
      </w:r>
      <w:r w:rsidRPr="00882303" w:rsidR="00912863">
        <w:rPr>
          <w:rFonts w:ascii="Palatino Linotype" w:hAnsi="Palatino Linotype" w:cs="Segoe UI Historic"/>
        </w:rPr>
        <w:t>4</w:t>
      </w:r>
      <w:r w:rsidRPr="00882303">
        <w:rPr>
          <w:rFonts w:ascii="Palatino Linotype" w:hAnsi="Palatino Linotype" w:cs="Segoe UI Historic"/>
        </w:rPr>
        <w:t xml:space="preserve"> Plan similarly requests $2.4 million, or 10 percent of the overall budget, for program administration.  </w:t>
      </w:r>
    </w:p>
    <w:p w:rsidRPr="00882303" w:rsidR="003F025C" w:rsidP="005775F5" w:rsidRDefault="003F025C" w14:paraId="1D9C0908" w14:textId="2E06D79D">
      <w:pPr>
        <w:pStyle w:val="paragraph"/>
        <w:keepNext/>
        <w:textAlignment w:val="baseline"/>
        <w:rPr>
          <w:rFonts w:ascii="Palatino Linotype" w:hAnsi="Palatino Linotype" w:cs="Segoe UI Historic"/>
        </w:rPr>
      </w:pPr>
      <w:r w:rsidRPr="00882303">
        <w:rPr>
          <w:rFonts w:ascii="Palatino Linotype" w:hAnsi="Palatino Linotype" w:cs="Segoe UI Historic"/>
          <w:b/>
        </w:rPr>
        <w:t>Request for State Fiscal Year 202</w:t>
      </w:r>
      <w:r w:rsidRPr="00882303" w:rsidR="0080799D">
        <w:rPr>
          <w:rFonts w:ascii="Palatino Linotype" w:hAnsi="Palatino Linotype" w:cs="Segoe UI Historic"/>
          <w:b/>
        </w:rPr>
        <w:t>3</w:t>
      </w:r>
      <w:r w:rsidRPr="00882303">
        <w:rPr>
          <w:rFonts w:ascii="Palatino Linotype" w:hAnsi="Palatino Linotype" w:cs="Segoe UI Historic"/>
          <w:b/>
        </w:rPr>
        <w:t>-202</w:t>
      </w:r>
      <w:r w:rsidRPr="00882303" w:rsidR="0080799D">
        <w:rPr>
          <w:rFonts w:ascii="Palatino Linotype" w:hAnsi="Palatino Linotype" w:cs="Segoe UI Historic"/>
          <w:b/>
        </w:rPr>
        <w:t>4</w:t>
      </w:r>
    </w:p>
    <w:p w:rsidRPr="00882303" w:rsidR="007C080A" w:rsidP="005775F5" w:rsidRDefault="00E85B4F" w14:paraId="5B89B076" w14:textId="7EBADB5D">
      <w:pPr>
        <w:pStyle w:val="paragraph"/>
        <w:keepNext/>
        <w:textAlignment w:val="baseline"/>
        <w:rPr>
          <w:rFonts w:ascii="Palatino Linotype" w:hAnsi="Palatino Linotype" w:cs="Segoe UI Historic"/>
        </w:rPr>
      </w:pPr>
      <w:r w:rsidRPr="00882303">
        <w:rPr>
          <w:rFonts w:ascii="Palatino Linotype" w:hAnsi="Palatino Linotype" w:cs="Segoe UI Historic"/>
        </w:rPr>
        <w:t xml:space="preserve">On </w:t>
      </w:r>
      <w:r w:rsidRPr="00882303" w:rsidR="0080799D">
        <w:rPr>
          <w:rFonts w:ascii="Palatino Linotype" w:hAnsi="Palatino Linotype" w:cs="Segoe UI Historic"/>
        </w:rPr>
        <w:t>June 1</w:t>
      </w:r>
      <w:r w:rsidRPr="00882303">
        <w:rPr>
          <w:rFonts w:ascii="Palatino Linotype" w:hAnsi="Palatino Linotype" w:cs="Segoe UI Historic"/>
        </w:rPr>
        <w:t>, 202</w:t>
      </w:r>
      <w:r w:rsidRPr="00882303" w:rsidR="0080799D">
        <w:rPr>
          <w:rFonts w:ascii="Palatino Linotype" w:hAnsi="Palatino Linotype" w:cs="Segoe UI Historic"/>
        </w:rPr>
        <w:t>3</w:t>
      </w:r>
      <w:r w:rsidRPr="00882303">
        <w:rPr>
          <w:rFonts w:ascii="Palatino Linotype" w:hAnsi="Palatino Linotype" w:cs="Segoe UI Historic"/>
        </w:rPr>
        <w:t xml:space="preserve">, the CEC filed Advice Letter </w:t>
      </w:r>
      <w:r w:rsidRPr="00882303" w:rsidR="0080799D">
        <w:rPr>
          <w:rFonts w:ascii="Palatino Linotype" w:hAnsi="Palatino Linotype" w:cs="Segoe UI Historic"/>
        </w:rPr>
        <w:t>5</w:t>
      </w:r>
      <w:r w:rsidRPr="00882303">
        <w:rPr>
          <w:rFonts w:ascii="Palatino Linotype" w:hAnsi="Palatino Linotype" w:cs="Segoe UI Historic"/>
        </w:rPr>
        <w:t xml:space="preserve">-G seeking approval of its proposed </w:t>
      </w:r>
      <w:r w:rsidRPr="00882303" w:rsidR="005775F5">
        <w:rPr>
          <w:rFonts w:ascii="Palatino Linotype" w:hAnsi="Palatino Linotype" w:cs="Segoe UI Historic"/>
        </w:rPr>
        <w:br/>
      </w:r>
      <w:r w:rsidRPr="00882303" w:rsidR="00005ECF">
        <w:rPr>
          <w:rFonts w:ascii="Palatino Linotype" w:hAnsi="Palatino Linotype" w:cs="Segoe UI Historic"/>
        </w:rPr>
        <w:t>FY 202</w:t>
      </w:r>
      <w:r w:rsidRPr="00882303" w:rsidR="0080799D">
        <w:rPr>
          <w:rFonts w:ascii="Palatino Linotype" w:hAnsi="Palatino Linotype" w:cs="Segoe UI Historic"/>
        </w:rPr>
        <w:t>3</w:t>
      </w:r>
      <w:r w:rsidRPr="00882303" w:rsidR="00005ECF">
        <w:rPr>
          <w:rFonts w:ascii="Palatino Linotype" w:hAnsi="Palatino Linotype" w:cs="Segoe UI Historic"/>
        </w:rPr>
        <w:t>-202</w:t>
      </w:r>
      <w:r w:rsidRPr="00882303" w:rsidR="0080799D">
        <w:rPr>
          <w:rFonts w:ascii="Palatino Linotype" w:hAnsi="Palatino Linotype" w:cs="Segoe UI Historic"/>
        </w:rPr>
        <w:t>4</w:t>
      </w:r>
      <w:r w:rsidRPr="00882303">
        <w:rPr>
          <w:rFonts w:ascii="Palatino Linotype" w:hAnsi="Palatino Linotype" w:cs="Segoe UI Historic"/>
        </w:rPr>
        <w:t xml:space="preserve"> Gas R&amp;D Plan. The Plan proposes funding for Gas R&amp;D that the CEC states will benefit gas ratepayers by supporting the decarbonization, resilience, and safety of the gas system, and move the </w:t>
      </w:r>
      <w:r w:rsidRPr="00882303" w:rsidR="00C569CC">
        <w:rPr>
          <w:rFonts w:ascii="Palatino Linotype" w:hAnsi="Palatino Linotype" w:cs="Segoe UI Historic"/>
        </w:rPr>
        <w:t>S</w:t>
      </w:r>
      <w:r w:rsidRPr="00882303">
        <w:rPr>
          <w:rFonts w:ascii="Palatino Linotype" w:hAnsi="Palatino Linotype" w:cs="Segoe UI Historic"/>
        </w:rPr>
        <w:t xml:space="preserve">tate closer to achieving its clean energy and climate related goals. The </w:t>
      </w:r>
      <w:r w:rsidRPr="00882303" w:rsidR="00746565">
        <w:rPr>
          <w:rFonts w:ascii="Palatino Linotype" w:hAnsi="Palatino Linotype" w:cs="Segoe UI Historic"/>
        </w:rPr>
        <w:t>CEC’s</w:t>
      </w:r>
      <w:r w:rsidRPr="00882303" w:rsidR="007C080A">
        <w:rPr>
          <w:rFonts w:ascii="Palatino Linotype" w:hAnsi="Palatino Linotype" w:cs="Segoe UI Historic"/>
        </w:rPr>
        <w:t xml:space="preserve"> </w:t>
      </w:r>
      <w:r w:rsidRPr="00882303" w:rsidR="00F437BB">
        <w:rPr>
          <w:rFonts w:ascii="Palatino Linotype" w:hAnsi="Palatino Linotype" w:cs="Segoe UI Historic"/>
        </w:rPr>
        <w:t>P</w:t>
      </w:r>
      <w:r w:rsidRPr="00882303">
        <w:rPr>
          <w:rFonts w:ascii="Palatino Linotype" w:hAnsi="Palatino Linotype" w:cs="Segoe UI Historic"/>
        </w:rPr>
        <w:t xml:space="preserve">lan details funding for </w:t>
      </w:r>
      <w:r w:rsidRPr="00882303" w:rsidR="00C23680">
        <w:rPr>
          <w:rFonts w:ascii="Palatino Linotype" w:hAnsi="Palatino Linotype" w:cs="Segoe UI Historic"/>
        </w:rPr>
        <w:t xml:space="preserve">four </w:t>
      </w:r>
      <w:r w:rsidRPr="00882303">
        <w:rPr>
          <w:rFonts w:ascii="Palatino Linotype" w:hAnsi="Palatino Linotype" w:cs="Segoe UI Historic"/>
        </w:rPr>
        <w:t xml:space="preserve">research initiatives aligned with </w:t>
      </w:r>
      <w:r w:rsidRPr="00882303" w:rsidR="00A3440B">
        <w:rPr>
          <w:rFonts w:ascii="Palatino Linotype" w:hAnsi="Palatino Linotype" w:cs="Segoe UI Historic"/>
        </w:rPr>
        <w:t xml:space="preserve">the following </w:t>
      </w:r>
      <w:r w:rsidRPr="00882303">
        <w:rPr>
          <w:rFonts w:ascii="Palatino Linotype" w:hAnsi="Palatino Linotype" w:cs="Segoe UI Historic"/>
        </w:rPr>
        <w:t xml:space="preserve">four themes: 1) </w:t>
      </w:r>
      <w:r w:rsidRPr="00882303" w:rsidR="00C23680">
        <w:rPr>
          <w:rFonts w:ascii="Palatino Linotype" w:hAnsi="Palatino Linotype" w:cs="Segoe UI Historic"/>
        </w:rPr>
        <w:t>Gas Leakage Mitigation</w:t>
      </w:r>
      <w:r w:rsidRPr="00882303">
        <w:rPr>
          <w:rFonts w:ascii="Palatino Linotype" w:hAnsi="Palatino Linotype" w:cs="Segoe UI Historic"/>
        </w:rPr>
        <w:t xml:space="preserve">, 2) </w:t>
      </w:r>
      <w:r w:rsidRPr="00882303" w:rsidR="00C23680">
        <w:rPr>
          <w:rFonts w:ascii="Palatino Linotype" w:hAnsi="Palatino Linotype" w:cs="Segoe UI Historic"/>
        </w:rPr>
        <w:t>Building</w:t>
      </w:r>
      <w:r w:rsidRPr="00882303" w:rsidR="00A32136">
        <w:rPr>
          <w:rFonts w:ascii="Palatino Linotype" w:hAnsi="Palatino Linotype" w:cs="Segoe UI Historic"/>
        </w:rPr>
        <w:t xml:space="preserve"> </w:t>
      </w:r>
      <w:r w:rsidRPr="00882303" w:rsidR="00012466">
        <w:rPr>
          <w:rFonts w:ascii="Palatino Linotype" w:hAnsi="Palatino Linotype" w:cs="Segoe UI Historic"/>
        </w:rPr>
        <w:lastRenderedPageBreak/>
        <w:t>D</w:t>
      </w:r>
      <w:r w:rsidRPr="00882303">
        <w:rPr>
          <w:rFonts w:ascii="Palatino Linotype" w:hAnsi="Palatino Linotype" w:cs="Segoe UI Historic"/>
        </w:rPr>
        <w:t xml:space="preserve">ecarbonization, 3) </w:t>
      </w:r>
      <w:r w:rsidRPr="00882303" w:rsidR="00C23680">
        <w:rPr>
          <w:rFonts w:ascii="Palatino Linotype" w:hAnsi="Palatino Linotype" w:cs="Segoe UI Historic"/>
        </w:rPr>
        <w:t>Targeted Gas System Decommissioning</w:t>
      </w:r>
      <w:r w:rsidRPr="00882303">
        <w:rPr>
          <w:rFonts w:ascii="Palatino Linotype" w:hAnsi="Palatino Linotype" w:cs="Segoe UI Historic"/>
        </w:rPr>
        <w:t xml:space="preserve">, and 4) </w:t>
      </w:r>
      <w:r w:rsidRPr="00882303" w:rsidR="00C23680">
        <w:rPr>
          <w:rFonts w:ascii="Palatino Linotype" w:hAnsi="Palatino Linotype" w:cs="Segoe UI Historic"/>
        </w:rPr>
        <w:t>Leveraging Cost Share Opportunities</w:t>
      </w:r>
      <w:r w:rsidRPr="00882303">
        <w:rPr>
          <w:rFonts w:ascii="Palatino Linotype" w:hAnsi="Palatino Linotype" w:cs="Segoe UI Historic"/>
        </w:rPr>
        <w:t xml:space="preserve">. </w:t>
      </w:r>
    </w:p>
    <w:p w:rsidRPr="00882303" w:rsidR="00511448" w:rsidP="000F7C48" w:rsidRDefault="00511448" w14:paraId="6A62F63B" w14:textId="1DACB8CA">
      <w:pPr>
        <w:pStyle w:val="paragraph"/>
        <w:keepNext/>
        <w:textAlignment w:val="baseline"/>
        <w:rPr>
          <w:rFonts w:ascii="Palatino Linotype" w:hAnsi="Palatino Linotype" w:cs="Segoe UI Historic"/>
        </w:rPr>
      </w:pPr>
      <w:r w:rsidRPr="00882303">
        <w:rPr>
          <w:rFonts w:ascii="Palatino Linotype" w:hAnsi="Palatino Linotype" w:cs="Segoe UI Historic"/>
        </w:rPr>
        <w:t xml:space="preserve">The CEC also requests funding for a Comprehensive Programmatic Evaluation, pursuant to Resolution G-3592 and for </w:t>
      </w:r>
      <w:r w:rsidRPr="00882303" w:rsidR="00FA580B">
        <w:rPr>
          <w:rFonts w:ascii="Palatino Linotype" w:hAnsi="Palatino Linotype" w:cs="Segoe UI Historic"/>
        </w:rPr>
        <w:t>Program Administration.</w:t>
      </w:r>
    </w:p>
    <w:p w:rsidRPr="00F84530" w:rsidR="71B9D62C" w:rsidP="71B9D62C" w:rsidRDefault="71B9D62C" w14:paraId="452CF2DE" w14:textId="1A34806E">
      <w:pPr>
        <w:pStyle w:val="paragraph"/>
        <w:keepNext/>
        <w:rPr>
          <w:rFonts w:ascii="Palatino Linotype" w:hAnsi="Palatino Linotype" w:cs="Segoe UI Historic"/>
          <w:sz w:val="2"/>
          <w:szCs w:val="2"/>
        </w:rPr>
      </w:pPr>
    </w:p>
    <w:p w:rsidRPr="00882303" w:rsidR="00E85B4F" w:rsidP="00E85B4F" w:rsidRDefault="001527B6" w14:paraId="3971F23D" w14:textId="3801BA17">
      <w:pPr>
        <w:pStyle w:val="paragraph"/>
        <w:spacing w:after="0"/>
        <w:textAlignment w:val="baseline"/>
        <w:rPr>
          <w:rFonts w:ascii="Palatino Linotype" w:hAnsi="Palatino Linotype" w:cs="Segoe UI Historic"/>
          <w:b/>
          <w:u w:val="single"/>
        </w:rPr>
      </w:pPr>
      <w:r w:rsidRPr="00882303">
        <w:rPr>
          <w:rFonts w:ascii="Palatino Linotype" w:hAnsi="Palatino Linotype" w:cs="Segoe UI Historic"/>
          <w:b/>
          <w:u w:val="single"/>
        </w:rPr>
        <w:t>NOTICE</w:t>
      </w:r>
    </w:p>
    <w:p w:rsidRPr="00882303" w:rsidR="001527B6" w:rsidP="00E85B4F" w:rsidRDefault="001527B6" w14:paraId="354CC6AB" w14:textId="6764769F">
      <w:pPr>
        <w:pStyle w:val="paragraph"/>
        <w:spacing w:after="0"/>
        <w:textAlignment w:val="baseline"/>
        <w:rPr>
          <w:rFonts w:ascii="Palatino Linotype" w:hAnsi="Palatino Linotype" w:cs="Segoe UI Historic"/>
        </w:rPr>
      </w:pPr>
      <w:r w:rsidRPr="00882303">
        <w:rPr>
          <w:rFonts w:ascii="Palatino Linotype" w:hAnsi="Palatino Linotype" w:cs="Segoe UI Historic"/>
        </w:rPr>
        <w:t>Notice of A</w:t>
      </w:r>
      <w:r w:rsidRPr="00882303" w:rsidR="00380E40">
        <w:rPr>
          <w:rFonts w:ascii="Palatino Linotype" w:hAnsi="Palatino Linotype" w:cs="Segoe UI Historic"/>
        </w:rPr>
        <w:t>dvice Letter (AL)</w:t>
      </w:r>
      <w:r w:rsidRPr="00882303">
        <w:rPr>
          <w:rFonts w:ascii="Palatino Linotype" w:hAnsi="Palatino Linotype" w:cs="Segoe UI Historic"/>
        </w:rPr>
        <w:t xml:space="preserve"> </w:t>
      </w:r>
      <w:r w:rsidRPr="00882303" w:rsidR="00C23680">
        <w:rPr>
          <w:rFonts w:ascii="Palatino Linotype" w:hAnsi="Palatino Linotype" w:cs="Segoe UI Historic"/>
        </w:rPr>
        <w:t>5</w:t>
      </w:r>
      <w:r w:rsidRPr="00882303">
        <w:rPr>
          <w:rFonts w:ascii="Palatino Linotype" w:hAnsi="Palatino Linotype" w:cs="Segoe UI Historic"/>
        </w:rPr>
        <w:t>-G was made by publication in the Commission’s Daily Calendar. The California Energy Commission states that a copy of the A</w:t>
      </w:r>
      <w:r w:rsidRPr="00882303" w:rsidR="00380E40">
        <w:rPr>
          <w:rFonts w:ascii="Palatino Linotype" w:hAnsi="Palatino Linotype" w:cs="Segoe UI Historic"/>
        </w:rPr>
        <w:t xml:space="preserve">L was </w:t>
      </w:r>
      <w:r w:rsidRPr="00882303">
        <w:rPr>
          <w:rFonts w:ascii="Palatino Linotype" w:hAnsi="Palatino Linotype" w:cs="Segoe UI Historic"/>
        </w:rPr>
        <w:t xml:space="preserve">mailed and distributed in accordance with Section 4 of General Order 96-B. </w:t>
      </w:r>
    </w:p>
    <w:p w:rsidRPr="00F84530" w:rsidR="71B9D62C" w:rsidP="71B9D62C" w:rsidRDefault="71B9D62C" w14:paraId="0489A767" w14:textId="26EAB67D">
      <w:pPr>
        <w:pStyle w:val="paragraph"/>
        <w:spacing w:after="0"/>
        <w:rPr>
          <w:rFonts w:ascii="Palatino Linotype" w:hAnsi="Palatino Linotype" w:cs="Segoe UI Historic"/>
          <w:sz w:val="2"/>
          <w:szCs w:val="2"/>
        </w:rPr>
      </w:pPr>
    </w:p>
    <w:p w:rsidRPr="00882303" w:rsidR="001527B6" w:rsidP="00E85B4F" w:rsidRDefault="00380E40" w14:paraId="6A759A62" w14:textId="6EB4CAA2">
      <w:pPr>
        <w:pStyle w:val="paragraph"/>
        <w:spacing w:after="0"/>
        <w:textAlignment w:val="baseline"/>
        <w:rPr>
          <w:rFonts w:ascii="Palatino Linotype" w:hAnsi="Palatino Linotype" w:cs="Segoe UI Historic"/>
        </w:rPr>
      </w:pPr>
      <w:r w:rsidRPr="00882303">
        <w:rPr>
          <w:rFonts w:ascii="Palatino Linotype" w:hAnsi="Palatino Linotype" w:cs="Segoe UI Historic"/>
          <w:b/>
          <w:u w:val="single"/>
        </w:rPr>
        <w:t>PROTESTS</w:t>
      </w:r>
    </w:p>
    <w:p w:rsidRPr="00882303" w:rsidR="00380E40" w:rsidP="00E85B4F" w:rsidRDefault="00380E40" w14:paraId="28CE93C7" w14:textId="2F278359">
      <w:pPr>
        <w:pStyle w:val="paragraph"/>
        <w:spacing w:after="0"/>
        <w:textAlignment w:val="baseline"/>
        <w:rPr>
          <w:rFonts w:ascii="Palatino Linotype" w:hAnsi="Palatino Linotype" w:cs="Segoe UI Historic"/>
        </w:rPr>
      </w:pPr>
      <w:r w:rsidRPr="00882303">
        <w:rPr>
          <w:rFonts w:ascii="Palatino Linotype" w:hAnsi="Palatino Linotype" w:cs="Segoe UI Historic"/>
        </w:rPr>
        <w:t xml:space="preserve">Advice Letter </w:t>
      </w:r>
      <w:r w:rsidRPr="00882303" w:rsidR="00C23680">
        <w:rPr>
          <w:rFonts w:ascii="Palatino Linotype" w:hAnsi="Palatino Linotype" w:cs="Segoe UI Historic"/>
        </w:rPr>
        <w:t>5</w:t>
      </w:r>
      <w:r w:rsidRPr="00882303">
        <w:rPr>
          <w:rFonts w:ascii="Palatino Linotype" w:hAnsi="Palatino Linotype" w:cs="Segoe UI Historic"/>
        </w:rPr>
        <w:t>-G was not protested.</w:t>
      </w:r>
    </w:p>
    <w:p w:rsidRPr="00F84530" w:rsidR="00F84530" w:rsidP="00E85B4F" w:rsidRDefault="00F84530" w14:paraId="07DFE2D8" w14:textId="77777777">
      <w:pPr>
        <w:pStyle w:val="paragraph"/>
        <w:spacing w:after="0"/>
        <w:textAlignment w:val="baseline"/>
        <w:rPr>
          <w:rFonts w:ascii="Palatino Linotype" w:hAnsi="Palatino Linotype" w:cs="Segoe UI Historic"/>
          <w:b/>
          <w:sz w:val="2"/>
          <w:szCs w:val="2"/>
          <w:u w:val="single"/>
        </w:rPr>
      </w:pPr>
    </w:p>
    <w:p w:rsidRPr="00882303" w:rsidR="00031867" w:rsidP="00E85B4F" w:rsidRDefault="00031867" w14:paraId="3550D3C6" w14:textId="2866B94F">
      <w:pPr>
        <w:pStyle w:val="paragraph"/>
        <w:spacing w:after="0"/>
        <w:textAlignment w:val="baseline"/>
        <w:rPr>
          <w:rFonts w:ascii="Palatino Linotype" w:hAnsi="Palatino Linotype" w:cs="Segoe UI Historic"/>
        </w:rPr>
      </w:pPr>
      <w:r w:rsidRPr="00882303">
        <w:rPr>
          <w:rFonts w:ascii="Palatino Linotype" w:hAnsi="Palatino Linotype" w:cs="Segoe UI Historic"/>
          <w:b/>
          <w:u w:val="single"/>
        </w:rPr>
        <w:t>DISCUSSION</w:t>
      </w:r>
    </w:p>
    <w:p w:rsidRPr="00882303" w:rsidR="003F025C" w:rsidP="00350357" w:rsidRDefault="000C174C" w14:paraId="6E55CF9A" w14:textId="6382FB89">
      <w:pPr>
        <w:pStyle w:val="paragraph"/>
        <w:spacing w:after="0"/>
        <w:textAlignment w:val="baseline"/>
        <w:rPr>
          <w:rFonts w:ascii="Palatino Linotype" w:hAnsi="Palatino Linotype" w:cs="Segoe UI Historic"/>
        </w:rPr>
      </w:pPr>
      <w:r w:rsidRPr="00882303">
        <w:rPr>
          <w:rFonts w:ascii="Palatino Linotype" w:hAnsi="Palatino Linotype" w:cs="Segoe UI Historic"/>
        </w:rPr>
        <w:t>The CPUC has reviewed and evaluated the CEC’s Gas Research and Development Program Proposed Budget Plan for Fiscal Year 202</w:t>
      </w:r>
      <w:r w:rsidRPr="00882303" w:rsidR="00C23680">
        <w:rPr>
          <w:rFonts w:ascii="Palatino Linotype" w:hAnsi="Palatino Linotype" w:cs="Segoe UI Historic"/>
        </w:rPr>
        <w:t>3</w:t>
      </w:r>
      <w:r w:rsidRPr="00882303">
        <w:rPr>
          <w:rFonts w:ascii="Palatino Linotype" w:hAnsi="Palatino Linotype" w:cs="Segoe UI Historic"/>
        </w:rPr>
        <w:t>-</w:t>
      </w:r>
      <w:r w:rsidRPr="00882303" w:rsidR="004F5066">
        <w:rPr>
          <w:rFonts w:ascii="Palatino Linotype" w:hAnsi="Palatino Linotype" w:cs="Segoe UI Historic"/>
        </w:rPr>
        <w:t>20</w:t>
      </w:r>
      <w:r w:rsidRPr="00882303" w:rsidR="00C23680">
        <w:rPr>
          <w:rFonts w:ascii="Palatino Linotype" w:hAnsi="Palatino Linotype" w:cs="Segoe UI Historic"/>
        </w:rPr>
        <w:t>24</w:t>
      </w:r>
      <w:r w:rsidRPr="00882303">
        <w:rPr>
          <w:rFonts w:ascii="Palatino Linotype" w:hAnsi="Palatino Linotype" w:cs="Segoe UI Historic"/>
        </w:rPr>
        <w:t xml:space="preserve"> based on the following</w:t>
      </w:r>
      <w:r w:rsidRPr="00882303" w:rsidR="00350357">
        <w:rPr>
          <w:rFonts w:ascii="Palatino Linotype" w:hAnsi="Palatino Linotype" w:cs="Segoe UI Historic"/>
        </w:rPr>
        <w:t>:</w:t>
      </w:r>
    </w:p>
    <w:p w:rsidRPr="00882303" w:rsidR="00350357" w:rsidP="00350357" w:rsidRDefault="00350357" w14:paraId="67ED48F0" w14:textId="3FDBC634">
      <w:pPr>
        <w:pStyle w:val="paragraph"/>
        <w:numPr>
          <w:ilvl w:val="0"/>
          <w:numId w:val="2"/>
        </w:numPr>
        <w:spacing w:after="0"/>
        <w:textAlignment w:val="baseline"/>
        <w:rPr>
          <w:rFonts w:ascii="Palatino Linotype" w:hAnsi="Palatino Linotype" w:cs="Segoe UI Historic"/>
        </w:rPr>
      </w:pPr>
      <w:r w:rsidRPr="00882303">
        <w:rPr>
          <w:rFonts w:ascii="Palatino Linotype" w:hAnsi="Palatino Linotype" w:cs="Segoe UI Historic"/>
        </w:rPr>
        <w:t>Consistency with D.04-08-010</w:t>
      </w:r>
      <w:r w:rsidRPr="00882303" w:rsidR="001F3C14">
        <w:rPr>
          <w:rFonts w:ascii="Palatino Linotype" w:hAnsi="Palatino Linotype" w:cs="Segoe UI Historic"/>
        </w:rPr>
        <w:t xml:space="preserve"> (2004)</w:t>
      </w:r>
      <w:r w:rsidRPr="00882303" w:rsidR="0080281C">
        <w:rPr>
          <w:rFonts w:ascii="Palatino Linotype" w:hAnsi="Palatino Linotype" w:cs="Segoe UI Historic"/>
        </w:rPr>
        <w:t xml:space="preserve"> - </w:t>
      </w:r>
      <w:r w:rsidRPr="00882303" w:rsidR="001F3C14">
        <w:rPr>
          <w:rFonts w:ascii="Palatino Linotype" w:hAnsi="Palatino Linotype" w:cs="Segoe UI Historic"/>
        </w:rPr>
        <w:t>Foundational Decision</w:t>
      </w:r>
    </w:p>
    <w:p w:rsidRPr="00882303" w:rsidR="00350357" w:rsidP="00350357" w:rsidRDefault="00350357" w14:paraId="5763C900" w14:textId="52F4511B">
      <w:pPr>
        <w:pStyle w:val="paragraph"/>
        <w:numPr>
          <w:ilvl w:val="0"/>
          <w:numId w:val="2"/>
        </w:numPr>
        <w:spacing w:after="0"/>
        <w:textAlignment w:val="baseline"/>
        <w:rPr>
          <w:rFonts w:ascii="Palatino Linotype" w:hAnsi="Palatino Linotype" w:cs="Segoe UI Historic"/>
        </w:rPr>
      </w:pPr>
      <w:r w:rsidRPr="00882303">
        <w:rPr>
          <w:rFonts w:ascii="Palatino Linotype" w:hAnsi="Palatino Linotype" w:cs="Segoe UI Historic"/>
        </w:rPr>
        <w:t>Consistency with Resolution G-3484 (2013)</w:t>
      </w:r>
      <w:r w:rsidRPr="00882303" w:rsidR="0080281C">
        <w:rPr>
          <w:rFonts w:ascii="Palatino Linotype" w:hAnsi="Palatino Linotype" w:cs="Segoe UI Historic"/>
        </w:rPr>
        <w:t xml:space="preserve"> - </w:t>
      </w:r>
      <w:r w:rsidRPr="00882303">
        <w:rPr>
          <w:rFonts w:ascii="Palatino Linotype" w:hAnsi="Palatino Linotype" w:cs="Segoe UI Historic"/>
        </w:rPr>
        <w:t>Accounting Requirements</w:t>
      </w:r>
    </w:p>
    <w:p w:rsidRPr="00882303" w:rsidR="00350357" w:rsidP="00350357" w:rsidRDefault="00350357" w14:paraId="1C23FEFE" w14:textId="36E43201">
      <w:pPr>
        <w:pStyle w:val="paragraph"/>
        <w:numPr>
          <w:ilvl w:val="0"/>
          <w:numId w:val="2"/>
        </w:numPr>
        <w:spacing w:after="0"/>
        <w:textAlignment w:val="baseline"/>
        <w:rPr>
          <w:rFonts w:ascii="Palatino Linotype" w:hAnsi="Palatino Linotype" w:cs="Segoe UI Historic"/>
        </w:rPr>
      </w:pPr>
      <w:r w:rsidRPr="00882303">
        <w:rPr>
          <w:rFonts w:ascii="Palatino Linotype" w:hAnsi="Palatino Linotype" w:cs="Segoe UI Historic"/>
        </w:rPr>
        <w:t xml:space="preserve">Consistency with </w:t>
      </w:r>
      <w:r w:rsidRPr="00882303" w:rsidR="00FF574B">
        <w:rPr>
          <w:rFonts w:ascii="Palatino Linotype" w:hAnsi="Palatino Linotype" w:cs="Segoe UI Historic"/>
        </w:rPr>
        <w:t>R</w:t>
      </w:r>
      <w:r w:rsidRPr="00882303">
        <w:rPr>
          <w:rFonts w:ascii="Palatino Linotype" w:hAnsi="Palatino Linotype" w:cs="Segoe UI Historic"/>
        </w:rPr>
        <w:t>esolution G-35</w:t>
      </w:r>
      <w:r w:rsidRPr="00882303" w:rsidR="00FF574B">
        <w:rPr>
          <w:rFonts w:ascii="Palatino Linotype" w:hAnsi="Palatino Linotype" w:cs="Segoe UI Historic"/>
        </w:rPr>
        <w:t>71</w:t>
      </w:r>
      <w:r w:rsidRPr="00882303">
        <w:rPr>
          <w:rFonts w:ascii="Palatino Linotype" w:hAnsi="Palatino Linotype" w:cs="Segoe UI Historic"/>
        </w:rPr>
        <w:t xml:space="preserve"> (2020</w:t>
      </w:r>
      <w:r w:rsidRPr="00882303" w:rsidR="00FF574B">
        <w:rPr>
          <w:rFonts w:ascii="Palatino Linotype" w:hAnsi="Palatino Linotype" w:cs="Segoe UI Historic"/>
        </w:rPr>
        <w:t>)</w:t>
      </w:r>
      <w:r w:rsidRPr="00882303" w:rsidR="0080281C">
        <w:rPr>
          <w:rFonts w:ascii="Palatino Linotype" w:hAnsi="Palatino Linotype" w:cs="Segoe UI Historic"/>
        </w:rPr>
        <w:t xml:space="preserve"> - </w:t>
      </w:r>
      <w:r w:rsidRPr="00882303" w:rsidR="00FF574B">
        <w:rPr>
          <w:rFonts w:ascii="Palatino Linotype" w:hAnsi="Palatino Linotype" w:cs="Segoe UI Historic"/>
        </w:rPr>
        <w:t>Direction for Stakeholder Engagement</w:t>
      </w:r>
    </w:p>
    <w:p w:rsidRPr="00882303" w:rsidR="00350357" w:rsidP="00350357" w:rsidRDefault="00350357" w14:paraId="273EA578" w14:textId="5E8D085D">
      <w:pPr>
        <w:pStyle w:val="paragraph"/>
        <w:numPr>
          <w:ilvl w:val="0"/>
          <w:numId w:val="2"/>
        </w:numPr>
        <w:spacing w:after="0"/>
        <w:textAlignment w:val="baseline"/>
        <w:rPr>
          <w:rFonts w:ascii="Palatino Linotype" w:hAnsi="Palatino Linotype" w:cs="Segoe UI Historic"/>
        </w:rPr>
      </w:pPr>
      <w:r w:rsidRPr="00882303">
        <w:rPr>
          <w:rFonts w:ascii="Palatino Linotype" w:hAnsi="Palatino Linotype" w:cs="Segoe UI Historic"/>
        </w:rPr>
        <w:t>Consistency with Resolution G-3584 (2021)</w:t>
      </w:r>
      <w:r w:rsidRPr="00882303" w:rsidR="0080281C">
        <w:rPr>
          <w:rFonts w:ascii="Palatino Linotype" w:hAnsi="Palatino Linotype" w:cs="Segoe UI Historic"/>
        </w:rPr>
        <w:t xml:space="preserve"> - </w:t>
      </w:r>
      <w:r w:rsidRPr="00882303">
        <w:rPr>
          <w:rFonts w:ascii="Palatino Linotype" w:hAnsi="Palatino Linotype" w:cs="Segoe UI Historic"/>
        </w:rPr>
        <w:t xml:space="preserve">Direction for </w:t>
      </w:r>
      <w:r w:rsidRPr="00882303" w:rsidR="59F4AB40">
        <w:rPr>
          <w:rFonts w:ascii="Palatino Linotype" w:hAnsi="Palatino Linotype" w:cs="Segoe UI Historic"/>
        </w:rPr>
        <w:t>Budgeting</w:t>
      </w:r>
      <w:r w:rsidRPr="00882303" w:rsidR="001E5964">
        <w:rPr>
          <w:rFonts w:ascii="Palatino Linotype" w:hAnsi="Palatino Linotype" w:cs="Segoe UI Historic"/>
        </w:rPr>
        <w:t xml:space="preserve"> and Reporting</w:t>
      </w:r>
      <w:r w:rsidRPr="00882303" w:rsidR="00B45E97">
        <w:rPr>
          <w:rFonts w:ascii="Palatino Linotype" w:hAnsi="Palatino Linotype" w:cs="Segoe UI Historic"/>
        </w:rPr>
        <w:t xml:space="preserve"> and Research Topic Areas</w:t>
      </w:r>
    </w:p>
    <w:p w:rsidRPr="00882303" w:rsidR="00C23680" w:rsidP="00350357" w:rsidRDefault="00C23680" w14:paraId="214A6775" w14:textId="51C6F79B">
      <w:pPr>
        <w:pStyle w:val="paragraph"/>
        <w:numPr>
          <w:ilvl w:val="0"/>
          <w:numId w:val="2"/>
        </w:numPr>
        <w:spacing w:after="0"/>
        <w:textAlignment w:val="baseline"/>
        <w:rPr>
          <w:rFonts w:ascii="Palatino Linotype" w:hAnsi="Palatino Linotype" w:cs="Segoe UI Historic"/>
        </w:rPr>
      </w:pPr>
      <w:r w:rsidRPr="00882303">
        <w:rPr>
          <w:rFonts w:ascii="Palatino Linotype" w:hAnsi="Palatino Linotype" w:cs="Segoe UI Historic"/>
        </w:rPr>
        <w:t>Consistency with Resolution G-3592 (2023)</w:t>
      </w:r>
    </w:p>
    <w:p w:rsidRPr="00882303" w:rsidR="00350357" w:rsidP="00350357" w:rsidRDefault="00350357" w14:paraId="69146A23" w14:textId="76E4DE34">
      <w:pPr>
        <w:pStyle w:val="paragraph"/>
        <w:numPr>
          <w:ilvl w:val="0"/>
          <w:numId w:val="2"/>
        </w:numPr>
        <w:spacing w:after="0"/>
        <w:textAlignment w:val="baseline"/>
        <w:rPr>
          <w:rFonts w:ascii="Palatino Linotype" w:hAnsi="Palatino Linotype" w:cs="Segoe UI Historic"/>
        </w:rPr>
      </w:pPr>
      <w:r w:rsidRPr="00882303">
        <w:rPr>
          <w:rFonts w:ascii="Palatino Linotype" w:hAnsi="Palatino Linotype" w:cs="Segoe UI Historic"/>
        </w:rPr>
        <w:t xml:space="preserve">Reasonableness of </w:t>
      </w:r>
      <w:r w:rsidRPr="00882303" w:rsidR="00AC1EBF">
        <w:rPr>
          <w:rFonts w:ascii="Palatino Linotype" w:hAnsi="Palatino Linotype" w:cs="Segoe UI Historic"/>
        </w:rPr>
        <w:t>Bu</w:t>
      </w:r>
      <w:r w:rsidRPr="00882303">
        <w:rPr>
          <w:rFonts w:ascii="Palatino Linotype" w:hAnsi="Palatino Linotype" w:cs="Segoe UI Historic"/>
        </w:rPr>
        <w:t xml:space="preserve">dget </w:t>
      </w:r>
      <w:r w:rsidRPr="00882303" w:rsidR="00AC1EBF">
        <w:rPr>
          <w:rFonts w:ascii="Palatino Linotype" w:hAnsi="Palatino Linotype" w:cs="Segoe UI Historic"/>
        </w:rPr>
        <w:t>R</w:t>
      </w:r>
      <w:r w:rsidRPr="00882303">
        <w:rPr>
          <w:rFonts w:ascii="Palatino Linotype" w:hAnsi="Palatino Linotype" w:cs="Segoe UI Historic"/>
        </w:rPr>
        <w:t>equest</w:t>
      </w:r>
    </w:p>
    <w:p w:rsidR="71B9D62C" w:rsidP="71B9D62C" w:rsidRDefault="71B9D62C" w14:paraId="6BE9F8EC" w14:textId="736379F3">
      <w:pPr>
        <w:pStyle w:val="paragraph"/>
        <w:spacing w:after="0"/>
        <w:rPr>
          <w:rFonts w:ascii="Palatino Linotype" w:hAnsi="Palatino Linotype" w:cs="Segoe UI Historic"/>
          <w:b/>
          <w:bCs/>
        </w:rPr>
      </w:pPr>
    </w:p>
    <w:p w:rsidR="00F84530" w:rsidP="71B9D62C" w:rsidRDefault="00F84530" w14:paraId="00CE09FB" w14:textId="77777777">
      <w:pPr>
        <w:pStyle w:val="paragraph"/>
        <w:spacing w:after="0"/>
        <w:rPr>
          <w:rFonts w:ascii="Palatino Linotype" w:hAnsi="Palatino Linotype" w:cs="Segoe UI Historic"/>
          <w:b/>
          <w:bCs/>
        </w:rPr>
      </w:pPr>
    </w:p>
    <w:p w:rsidR="00882303" w:rsidP="71B9D62C" w:rsidRDefault="00882303" w14:paraId="225760A6" w14:textId="77777777">
      <w:pPr>
        <w:pStyle w:val="paragraph"/>
        <w:spacing w:after="0"/>
        <w:rPr>
          <w:rFonts w:ascii="Palatino Linotype" w:hAnsi="Palatino Linotype" w:cs="Segoe UI Historic"/>
          <w:b/>
          <w:bCs/>
        </w:rPr>
      </w:pPr>
    </w:p>
    <w:p w:rsidRPr="00882303" w:rsidR="00882303" w:rsidP="71B9D62C" w:rsidRDefault="00882303" w14:paraId="25C13E73" w14:textId="77777777">
      <w:pPr>
        <w:pStyle w:val="paragraph"/>
        <w:spacing w:after="0"/>
        <w:rPr>
          <w:rFonts w:ascii="Palatino Linotype" w:hAnsi="Palatino Linotype" w:cs="Segoe UI Historic"/>
          <w:b/>
          <w:bCs/>
        </w:rPr>
      </w:pPr>
    </w:p>
    <w:p w:rsidRPr="00882303" w:rsidR="00AE71AB" w:rsidP="00AE71AB" w:rsidRDefault="00AE71AB" w14:paraId="7AD19E00" w14:textId="3751F15A">
      <w:pPr>
        <w:pStyle w:val="paragraph"/>
        <w:spacing w:after="0"/>
        <w:textAlignment w:val="baseline"/>
        <w:rPr>
          <w:rFonts w:ascii="Palatino Linotype" w:hAnsi="Palatino Linotype" w:cs="Segoe UI Historic"/>
        </w:rPr>
      </w:pPr>
      <w:r w:rsidRPr="00882303">
        <w:rPr>
          <w:rFonts w:ascii="Palatino Linotype" w:hAnsi="Palatino Linotype" w:cs="Segoe UI Historic"/>
          <w:b/>
        </w:rPr>
        <w:lastRenderedPageBreak/>
        <w:t>Consistency with D.04-08-010</w:t>
      </w:r>
    </w:p>
    <w:p w:rsidRPr="00882303" w:rsidR="004035E8" w:rsidP="0063422E" w:rsidRDefault="0063422E" w14:paraId="3FE34855" w14:textId="5DA4EDCC">
      <w:pPr>
        <w:pStyle w:val="paragraph"/>
        <w:rPr>
          <w:rFonts w:ascii="Palatino Linotype" w:hAnsi="Palatino Linotype" w:cs="Segoe UI Historic"/>
        </w:rPr>
      </w:pPr>
      <w:r w:rsidRPr="00882303">
        <w:rPr>
          <w:rFonts w:ascii="Palatino Linotype" w:hAnsi="Palatino Linotype" w:cs="Segoe UI Historic"/>
        </w:rPr>
        <w:t xml:space="preserve">D.04-08-010 </w:t>
      </w:r>
      <w:r w:rsidRPr="00882303" w:rsidR="004035E8">
        <w:rPr>
          <w:rFonts w:ascii="Palatino Linotype" w:hAnsi="Palatino Linotype" w:cs="Segoe UI Historic"/>
        </w:rPr>
        <w:t xml:space="preserve">appoints the CEC as the administrator of the </w:t>
      </w:r>
      <w:r w:rsidRPr="00882303" w:rsidR="00456512">
        <w:rPr>
          <w:rFonts w:ascii="Palatino Linotype" w:hAnsi="Palatino Linotype" w:cs="Segoe UI Historic"/>
        </w:rPr>
        <w:t>G</w:t>
      </w:r>
      <w:r w:rsidRPr="00882303" w:rsidR="004035E8">
        <w:rPr>
          <w:rFonts w:ascii="Palatino Linotype" w:hAnsi="Palatino Linotype" w:cs="Segoe UI Historic"/>
        </w:rPr>
        <w:t>as R&amp;D program to “improve gas energy efficiency and environmental quality, develop renewable technologies, and otherwise provide benefits to the public.”</w:t>
      </w:r>
      <w:r w:rsidRPr="00882303" w:rsidR="004035E8">
        <w:rPr>
          <w:rStyle w:val="FootnoteReference"/>
          <w:rFonts w:ascii="Palatino Linotype" w:hAnsi="Palatino Linotype" w:cs="Segoe UI Historic"/>
        </w:rPr>
        <w:footnoteReference w:id="8"/>
      </w:r>
    </w:p>
    <w:p w:rsidRPr="00882303" w:rsidR="005D7BCC" w:rsidP="0063422E" w:rsidRDefault="00045C4C" w14:paraId="4BE0981D" w14:textId="7F351954">
      <w:pPr>
        <w:pStyle w:val="paragraph"/>
        <w:rPr>
          <w:rFonts w:ascii="Palatino Linotype" w:hAnsi="Palatino Linotype" w:cs="Segoe UI Historic"/>
          <w:b/>
          <w:i/>
        </w:rPr>
      </w:pPr>
      <w:r w:rsidRPr="00882303">
        <w:rPr>
          <w:rFonts w:ascii="Palatino Linotype" w:hAnsi="Palatino Linotype" w:cs="Segoe UI Historic"/>
          <w:b/>
          <w:i/>
        </w:rPr>
        <w:t>Submission of FY 202</w:t>
      </w:r>
      <w:r w:rsidRPr="00882303" w:rsidR="00733577">
        <w:rPr>
          <w:rFonts w:ascii="Palatino Linotype" w:hAnsi="Palatino Linotype" w:cs="Segoe UI Historic"/>
          <w:b/>
          <w:i/>
        </w:rPr>
        <w:t>3</w:t>
      </w:r>
      <w:r w:rsidRPr="00882303">
        <w:rPr>
          <w:rFonts w:ascii="Palatino Linotype" w:hAnsi="Palatino Linotype" w:cs="Segoe UI Historic"/>
          <w:b/>
          <w:i/>
        </w:rPr>
        <w:t>-</w:t>
      </w:r>
      <w:r w:rsidRPr="00882303" w:rsidR="00AA1E44">
        <w:rPr>
          <w:rFonts w:ascii="Palatino Linotype" w:hAnsi="Palatino Linotype" w:cs="Segoe UI Historic"/>
          <w:b/>
          <w:i/>
        </w:rPr>
        <w:t>20</w:t>
      </w:r>
      <w:r w:rsidRPr="00882303">
        <w:rPr>
          <w:rFonts w:ascii="Palatino Linotype" w:hAnsi="Palatino Linotype" w:cs="Segoe UI Historic"/>
          <w:b/>
          <w:i/>
        </w:rPr>
        <w:t>2</w:t>
      </w:r>
      <w:r w:rsidRPr="00882303" w:rsidR="00733577">
        <w:rPr>
          <w:rFonts w:ascii="Palatino Linotype" w:hAnsi="Palatino Linotype" w:cs="Segoe UI Historic"/>
          <w:b/>
          <w:i/>
        </w:rPr>
        <w:t>4</w:t>
      </w:r>
      <w:r w:rsidRPr="00882303">
        <w:rPr>
          <w:rFonts w:ascii="Palatino Linotype" w:hAnsi="Palatino Linotype" w:cs="Segoe UI Historic"/>
          <w:b/>
          <w:i/>
        </w:rPr>
        <w:t xml:space="preserve"> Gas R&amp;D Proposal</w:t>
      </w:r>
    </w:p>
    <w:p w:rsidRPr="00882303" w:rsidR="0063422E" w:rsidP="0063422E" w:rsidRDefault="004035E8" w14:paraId="76030F90" w14:textId="360EFB1E">
      <w:pPr>
        <w:pStyle w:val="paragraph"/>
        <w:rPr>
          <w:rFonts w:ascii="Palatino Linotype" w:hAnsi="Palatino Linotype" w:cs="Segoe UI Historic"/>
        </w:rPr>
      </w:pPr>
      <w:r w:rsidRPr="00882303">
        <w:rPr>
          <w:rFonts w:ascii="Palatino Linotype" w:hAnsi="Palatino Linotype" w:cs="Segoe UI Historic"/>
        </w:rPr>
        <w:t xml:space="preserve">D.04-08-010 requires </w:t>
      </w:r>
      <w:r w:rsidRPr="00882303" w:rsidR="0063422E">
        <w:rPr>
          <w:rFonts w:ascii="Palatino Linotype" w:hAnsi="Palatino Linotype" w:cs="Segoe UI Historic"/>
        </w:rPr>
        <w:t xml:space="preserve">the CEC to provide an annual plan to the CPUC outlining its proposed </w:t>
      </w:r>
      <w:r w:rsidRPr="00882303" w:rsidR="00CB3462">
        <w:rPr>
          <w:rFonts w:ascii="Palatino Linotype" w:hAnsi="Palatino Linotype" w:cs="Segoe UI Historic"/>
        </w:rPr>
        <w:t>Ga</w:t>
      </w:r>
      <w:r w:rsidRPr="00882303" w:rsidR="0063422E">
        <w:rPr>
          <w:rFonts w:ascii="Palatino Linotype" w:hAnsi="Palatino Linotype" w:cs="Segoe UI Historic"/>
        </w:rPr>
        <w:t>s R&amp;D projects.</w:t>
      </w:r>
      <w:r w:rsidRPr="00882303" w:rsidR="00362BFC">
        <w:rPr>
          <w:rFonts w:ascii="Palatino Linotype" w:hAnsi="Palatino Linotype" w:cs="Segoe UI Historic"/>
        </w:rPr>
        <w:t xml:space="preserve"> </w:t>
      </w:r>
      <w:r w:rsidRPr="00882303" w:rsidR="0063422E">
        <w:rPr>
          <w:rFonts w:ascii="Palatino Linotype" w:hAnsi="Palatino Linotype" w:cs="Segoe UI Historic"/>
        </w:rPr>
        <w:t xml:space="preserve">The CEC presented </w:t>
      </w:r>
      <w:r w:rsidRPr="00882303" w:rsidR="00A42FCB">
        <w:rPr>
          <w:rFonts w:ascii="Palatino Linotype" w:hAnsi="Palatino Linotype" w:cs="Segoe UI Historic"/>
        </w:rPr>
        <w:t>its</w:t>
      </w:r>
      <w:r w:rsidRPr="00882303" w:rsidR="0063422E">
        <w:rPr>
          <w:rFonts w:ascii="Palatino Linotype" w:hAnsi="Palatino Linotype" w:cs="Segoe UI Historic"/>
        </w:rPr>
        <w:t xml:space="preserve"> draft </w:t>
      </w:r>
      <w:r w:rsidRPr="00882303" w:rsidR="00005ECF">
        <w:rPr>
          <w:rFonts w:ascii="Palatino Linotype" w:hAnsi="Palatino Linotype" w:cs="Segoe UI Historic"/>
        </w:rPr>
        <w:t>FY 202</w:t>
      </w:r>
      <w:r w:rsidRPr="00882303" w:rsidR="00733577">
        <w:rPr>
          <w:rFonts w:ascii="Palatino Linotype" w:hAnsi="Palatino Linotype" w:cs="Segoe UI Historic"/>
        </w:rPr>
        <w:t>3</w:t>
      </w:r>
      <w:r w:rsidRPr="00882303" w:rsidR="00005ECF">
        <w:rPr>
          <w:rFonts w:ascii="Palatino Linotype" w:hAnsi="Palatino Linotype" w:cs="Segoe UI Historic"/>
        </w:rPr>
        <w:t>-</w:t>
      </w:r>
      <w:r w:rsidRPr="00882303" w:rsidR="00A42FCB">
        <w:rPr>
          <w:rFonts w:ascii="Palatino Linotype" w:hAnsi="Palatino Linotype" w:cs="Segoe UI Historic"/>
        </w:rPr>
        <w:t>20</w:t>
      </w:r>
      <w:r w:rsidRPr="00882303" w:rsidR="00005ECF">
        <w:rPr>
          <w:rFonts w:ascii="Palatino Linotype" w:hAnsi="Palatino Linotype" w:cs="Segoe UI Historic"/>
        </w:rPr>
        <w:t>2</w:t>
      </w:r>
      <w:r w:rsidRPr="00882303" w:rsidR="00733577">
        <w:rPr>
          <w:rFonts w:ascii="Palatino Linotype" w:hAnsi="Palatino Linotype" w:cs="Segoe UI Historic"/>
        </w:rPr>
        <w:t>4</w:t>
      </w:r>
      <w:r w:rsidRPr="00882303" w:rsidR="0063422E">
        <w:rPr>
          <w:rFonts w:ascii="Palatino Linotype" w:hAnsi="Palatino Linotype" w:cs="Segoe UI Historic"/>
        </w:rPr>
        <w:t xml:space="preserve"> Plan </w:t>
      </w:r>
      <w:r w:rsidRPr="00882303" w:rsidR="005D7916">
        <w:rPr>
          <w:rFonts w:ascii="Palatino Linotype" w:hAnsi="Palatino Linotype" w:cs="Segoe UI Historic"/>
        </w:rPr>
        <w:t xml:space="preserve">for comment </w:t>
      </w:r>
      <w:r w:rsidRPr="00882303" w:rsidR="00C15DAA">
        <w:rPr>
          <w:rFonts w:ascii="Palatino Linotype" w:hAnsi="Palatino Linotype" w:cs="Segoe UI Historic"/>
        </w:rPr>
        <w:t xml:space="preserve">to </w:t>
      </w:r>
      <w:r w:rsidRPr="00882303" w:rsidR="0058465B">
        <w:rPr>
          <w:rFonts w:ascii="Palatino Linotype" w:hAnsi="Palatino Linotype" w:cs="Segoe UI Historic"/>
        </w:rPr>
        <w:t>CPUC staff on</w:t>
      </w:r>
      <w:r w:rsidRPr="00882303" w:rsidR="00CF6FF2">
        <w:rPr>
          <w:rFonts w:ascii="Palatino Linotype" w:hAnsi="Palatino Linotype" w:cs="Segoe UI Historic"/>
        </w:rPr>
        <w:t xml:space="preserve"> </w:t>
      </w:r>
      <w:r w:rsidRPr="00882303" w:rsidR="00BD6357">
        <w:rPr>
          <w:rFonts w:ascii="Palatino Linotype" w:hAnsi="Palatino Linotype" w:cs="Segoe UI Historic"/>
        </w:rPr>
        <w:t>December 14, 2022</w:t>
      </w:r>
      <w:r w:rsidRPr="00882303" w:rsidR="00CF6FF2">
        <w:rPr>
          <w:rFonts w:ascii="Palatino Linotype" w:hAnsi="Palatino Linotype" w:cs="Segoe UI Historic"/>
        </w:rPr>
        <w:t>.</w:t>
      </w:r>
      <w:r w:rsidRPr="00882303" w:rsidR="000A7302">
        <w:rPr>
          <w:rStyle w:val="FootnoteReference"/>
          <w:rFonts w:ascii="Palatino Linotype" w:hAnsi="Palatino Linotype" w:cs="Segoe UI Historic"/>
        </w:rPr>
        <w:footnoteReference w:id="9"/>
      </w:r>
      <w:r w:rsidRPr="00882303" w:rsidR="00993297">
        <w:rPr>
          <w:rFonts w:ascii="Palatino Linotype" w:hAnsi="Palatino Linotype" w:cs="Segoe UI Historic"/>
        </w:rPr>
        <w:t xml:space="preserve"> </w:t>
      </w:r>
      <w:r w:rsidRPr="00882303" w:rsidR="00305AE7">
        <w:rPr>
          <w:rFonts w:ascii="Palatino Linotype" w:hAnsi="Palatino Linotype" w:cs="Segoe UI Historic"/>
        </w:rPr>
        <w:t xml:space="preserve">Subsequently, the CEC presented its draft Plan </w:t>
      </w:r>
      <w:r w:rsidRPr="00882303" w:rsidR="0063422E">
        <w:rPr>
          <w:rFonts w:ascii="Palatino Linotype" w:hAnsi="Palatino Linotype" w:cs="Segoe UI Historic"/>
        </w:rPr>
        <w:t xml:space="preserve">in a public workshop </w:t>
      </w:r>
      <w:r w:rsidRPr="00882303" w:rsidR="00E86B6E">
        <w:rPr>
          <w:rFonts w:ascii="Palatino Linotype" w:hAnsi="Palatino Linotype" w:cs="Segoe UI Historic"/>
        </w:rPr>
        <w:t>on January 1</w:t>
      </w:r>
      <w:r w:rsidRPr="00882303" w:rsidR="00C94525">
        <w:rPr>
          <w:rFonts w:ascii="Palatino Linotype" w:hAnsi="Palatino Linotype" w:cs="Segoe UI Historic"/>
        </w:rPr>
        <w:t>7</w:t>
      </w:r>
      <w:r w:rsidRPr="00882303" w:rsidR="00E86B6E">
        <w:rPr>
          <w:rFonts w:ascii="Palatino Linotype" w:hAnsi="Palatino Linotype" w:cs="Segoe UI Historic"/>
        </w:rPr>
        <w:t xml:space="preserve">, </w:t>
      </w:r>
      <w:proofErr w:type="gramStart"/>
      <w:r w:rsidRPr="00882303" w:rsidR="00E86B6E">
        <w:rPr>
          <w:rFonts w:ascii="Palatino Linotype" w:hAnsi="Palatino Linotype" w:cs="Segoe UI Historic"/>
        </w:rPr>
        <w:t>202</w:t>
      </w:r>
      <w:r w:rsidRPr="00882303" w:rsidR="00C94525">
        <w:rPr>
          <w:rFonts w:ascii="Palatino Linotype" w:hAnsi="Palatino Linotype" w:cs="Segoe UI Historic"/>
        </w:rPr>
        <w:t>3</w:t>
      </w:r>
      <w:proofErr w:type="gramEnd"/>
      <w:r w:rsidRPr="00882303" w:rsidR="00195621">
        <w:rPr>
          <w:rFonts w:ascii="Palatino Linotype" w:hAnsi="Palatino Linotype" w:cs="Segoe UI Historic"/>
        </w:rPr>
        <w:t xml:space="preserve"> and</w:t>
      </w:r>
      <w:r w:rsidRPr="00882303" w:rsidR="0063422E">
        <w:rPr>
          <w:rFonts w:ascii="Palatino Linotype" w:hAnsi="Palatino Linotype" w:cs="Segoe UI Historic"/>
        </w:rPr>
        <w:t xml:space="preserve"> received feedback from stakeholders.</w:t>
      </w:r>
      <w:r w:rsidRPr="00882303" w:rsidR="00C94525">
        <w:rPr>
          <w:rStyle w:val="FootnoteReference"/>
          <w:rFonts w:ascii="Palatino Linotype" w:hAnsi="Palatino Linotype" w:cs="Segoe UI Historic"/>
        </w:rPr>
        <w:footnoteReference w:id="10"/>
      </w:r>
      <w:r w:rsidRPr="00882303" w:rsidR="0063422E">
        <w:rPr>
          <w:rFonts w:ascii="Palatino Linotype" w:hAnsi="Palatino Linotype" w:cs="Segoe UI Historic"/>
        </w:rPr>
        <w:t xml:space="preserve"> </w:t>
      </w:r>
      <w:r w:rsidRPr="00882303" w:rsidR="009135AA">
        <w:rPr>
          <w:rFonts w:ascii="Palatino Linotype" w:hAnsi="Palatino Linotype" w:cs="Segoe UI Historic"/>
        </w:rPr>
        <w:t>T</w:t>
      </w:r>
      <w:r w:rsidRPr="00882303" w:rsidR="0063422E">
        <w:rPr>
          <w:rFonts w:ascii="Palatino Linotype" w:hAnsi="Palatino Linotype" w:cs="Segoe UI Historic"/>
        </w:rPr>
        <w:t>he CEC submitted its FY 202</w:t>
      </w:r>
      <w:r w:rsidRPr="00882303" w:rsidR="00C94525">
        <w:rPr>
          <w:rFonts w:ascii="Palatino Linotype" w:hAnsi="Palatino Linotype" w:cs="Segoe UI Historic"/>
        </w:rPr>
        <w:t>3</w:t>
      </w:r>
      <w:r w:rsidRPr="00882303" w:rsidR="0063422E">
        <w:rPr>
          <w:rFonts w:ascii="Palatino Linotype" w:hAnsi="Palatino Linotype" w:cs="Segoe UI Historic"/>
        </w:rPr>
        <w:t>-</w:t>
      </w:r>
      <w:r w:rsidRPr="00882303" w:rsidR="005D7916">
        <w:rPr>
          <w:rFonts w:ascii="Palatino Linotype" w:hAnsi="Palatino Linotype" w:cs="Segoe UI Historic"/>
        </w:rPr>
        <w:t>20</w:t>
      </w:r>
      <w:r w:rsidRPr="00882303" w:rsidR="0063422E">
        <w:rPr>
          <w:rFonts w:ascii="Palatino Linotype" w:hAnsi="Palatino Linotype" w:cs="Segoe UI Historic"/>
        </w:rPr>
        <w:t>2</w:t>
      </w:r>
      <w:r w:rsidRPr="00882303" w:rsidR="00C94525">
        <w:rPr>
          <w:rFonts w:ascii="Palatino Linotype" w:hAnsi="Palatino Linotype" w:cs="Segoe UI Historic"/>
        </w:rPr>
        <w:t>4</w:t>
      </w:r>
      <w:r w:rsidRPr="00882303" w:rsidR="0063422E">
        <w:rPr>
          <w:rFonts w:ascii="Palatino Linotype" w:hAnsi="Palatino Linotype" w:cs="Segoe UI Historic"/>
        </w:rPr>
        <w:t xml:space="preserve"> Gas R&amp;D Plan via a Tier 3 Advice Letter on </w:t>
      </w:r>
      <w:r w:rsidRPr="00882303" w:rsidR="00C94525">
        <w:rPr>
          <w:rFonts w:ascii="Palatino Linotype" w:hAnsi="Palatino Linotype" w:cs="Segoe UI Historic"/>
        </w:rPr>
        <w:t>June 1, 2023</w:t>
      </w:r>
      <w:r w:rsidRPr="00882303" w:rsidR="0063422E">
        <w:rPr>
          <w:rFonts w:ascii="Palatino Linotype" w:hAnsi="Palatino Linotype" w:cs="Segoe UI Historic"/>
        </w:rPr>
        <w:t xml:space="preserve">. </w:t>
      </w:r>
      <w:r w:rsidRPr="00882303" w:rsidR="008D430F">
        <w:rPr>
          <w:rFonts w:ascii="Palatino Linotype" w:hAnsi="Palatino Linotype" w:cs="Segoe UI Historic"/>
        </w:rPr>
        <w:t>The CPUC</w:t>
      </w:r>
      <w:r w:rsidRPr="00882303" w:rsidR="0063422E">
        <w:rPr>
          <w:rFonts w:ascii="Palatino Linotype" w:hAnsi="Palatino Linotype" w:cs="Segoe UI Historic"/>
        </w:rPr>
        <w:t xml:space="preserve"> reviewed the CEC’s plan and </w:t>
      </w:r>
      <w:r w:rsidRPr="00882303" w:rsidR="008D430F">
        <w:rPr>
          <w:rFonts w:ascii="Palatino Linotype" w:hAnsi="Palatino Linotype" w:cs="Segoe UI Historic"/>
        </w:rPr>
        <w:t>find</w:t>
      </w:r>
      <w:r w:rsidRPr="00882303" w:rsidR="003B6F17">
        <w:rPr>
          <w:rFonts w:ascii="Palatino Linotype" w:hAnsi="Palatino Linotype" w:cs="Segoe UI Historic"/>
        </w:rPr>
        <w:t>s</w:t>
      </w:r>
      <w:r w:rsidRPr="00882303" w:rsidR="008D430F">
        <w:rPr>
          <w:rFonts w:ascii="Palatino Linotype" w:hAnsi="Palatino Linotype" w:cs="Segoe UI Historic"/>
        </w:rPr>
        <w:t xml:space="preserve"> </w:t>
      </w:r>
      <w:r w:rsidRPr="00882303" w:rsidR="0063422E">
        <w:rPr>
          <w:rFonts w:ascii="Palatino Linotype" w:hAnsi="Palatino Linotype" w:cs="Segoe UI Historic"/>
        </w:rPr>
        <w:t xml:space="preserve">it to be submitted in compliance with </w:t>
      </w:r>
      <w:r w:rsidRPr="00882303" w:rsidR="00941CBC">
        <w:rPr>
          <w:rFonts w:ascii="Palatino Linotype" w:hAnsi="Palatino Linotype" w:cs="Segoe UI Historic"/>
        </w:rPr>
        <w:t>D.04-08-010.</w:t>
      </w:r>
      <w:r w:rsidRPr="00882303" w:rsidR="0063422E">
        <w:rPr>
          <w:rFonts w:ascii="Palatino Linotype" w:hAnsi="Palatino Linotype" w:cs="Segoe UI Historic"/>
        </w:rPr>
        <w:t> </w:t>
      </w:r>
    </w:p>
    <w:p w:rsidRPr="00882303" w:rsidR="005D7BCC" w:rsidP="00AE71AB" w:rsidRDefault="00045C4C" w14:paraId="6A558793" w14:textId="6A89D0CE">
      <w:pPr>
        <w:pStyle w:val="paragraph"/>
        <w:spacing w:after="0"/>
        <w:textAlignment w:val="baseline"/>
        <w:rPr>
          <w:rFonts w:ascii="Palatino Linotype" w:hAnsi="Palatino Linotype" w:cs="Segoe UI Historic"/>
          <w:b/>
          <w:i/>
        </w:rPr>
      </w:pPr>
      <w:r w:rsidRPr="00882303">
        <w:rPr>
          <w:rFonts w:ascii="Palatino Linotype" w:hAnsi="Palatino Linotype" w:cs="Segoe UI Historic"/>
          <w:b/>
          <w:i/>
        </w:rPr>
        <w:t>Program Requirements</w:t>
      </w:r>
    </w:p>
    <w:p w:rsidRPr="00882303" w:rsidR="00CC4D74" w:rsidP="00AE71AB" w:rsidRDefault="002E2319" w14:paraId="67DC07A9" w14:textId="79B07C1B">
      <w:pPr>
        <w:pStyle w:val="paragraph"/>
        <w:spacing w:after="0"/>
        <w:textAlignment w:val="baseline"/>
        <w:rPr>
          <w:rFonts w:ascii="Palatino Linotype" w:hAnsi="Palatino Linotype" w:cs="Segoe UI Historic"/>
        </w:rPr>
      </w:pPr>
      <w:r w:rsidRPr="00882303">
        <w:rPr>
          <w:rFonts w:ascii="Palatino Linotype" w:hAnsi="Palatino Linotype" w:cs="Segoe UI Historic"/>
        </w:rPr>
        <w:t xml:space="preserve">D.04-08-010 requires that </w:t>
      </w:r>
      <w:r w:rsidRPr="00882303" w:rsidR="00456512">
        <w:rPr>
          <w:rFonts w:ascii="Palatino Linotype" w:hAnsi="Palatino Linotype" w:cs="Segoe UI Historic"/>
        </w:rPr>
        <w:t>g</w:t>
      </w:r>
      <w:r w:rsidRPr="00882303">
        <w:rPr>
          <w:rFonts w:ascii="Palatino Linotype" w:hAnsi="Palatino Linotype" w:cs="Segoe UI Historic"/>
        </w:rPr>
        <w:t>as R&amp;D projects be consistent with four requirements: 1) Focus on energy efficiency, renewable technologies, conservation</w:t>
      </w:r>
      <w:r w:rsidRPr="00882303" w:rsidR="006C5206">
        <w:rPr>
          <w:rFonts w:ascii="Palatino Linotype" w:hAnsi="Palatino Linotype" w:cs="Segoe UI Historic"/>
        </w:rPr>
        <w:t>,</w:t>
      </w:r>
      <w:r w:rsidRPr="00882303">
        <w:rPr>
          <w:rFonts w:ascii="Palatino Linotype" w:hAnsi="Palatino Linotype" w:cs="Segoe UI Historic"/>
        </w:rPr>
        <w:t xml:space="preserve"> and environmental issues, 2) Support State energy policy, 3) Offer a reasonable probability of providing benefits to the general public, and 4) Consider opportunities for collaboration and </w:t>
      </w:r>
      <w:r w:rsidR="00882303">
        <w:rPr>
          <w:rFonts w:ascii="Palatino Linotype" w:hAnsi="Palatino Linotype" w:cs="Segoe UI Historic"/>
        </w:rPr>
        <w:br/>
      </w:r>
      <w:r w:rsidRPr="00882303">
        <w:rPr>
          <w:rFonts w:ascii="Palatino Linotype" w:hAnsi="Palatino Linotype" w:cs="Segoe UI Historic"/>
        </w:rPr>
        <w:t>co-funding opportunities with other entities.</w:t>
      </w:r>
      <w:r w:rsidRPr="00882303" w:rsidR="00A76A7D">
        <w:rPr>
          <w:rStyle w:val="FootnoteReference"/>
          <w:rFonts w:ascii="Palatino Linotype" w:hAnsi="Palatino Linotype" w:cs="Segoe UI Historic"/>
        </w:rPr>
        <w:footnoteReference w:id="11"/>
      </w:r>
      <w:r w:rsidRPr="00882303" w:rsidR="00CC4D74">
        <w:rPr>
          <w:rFonts w:ascii="Palatino Linotype" w:hAnsi="Palatino Linotype" w:cs="Segoe UI Historic"/>
        </w:rPr>
        <w:t xml:space="preserve"> The CEC’s proposed budget for FY </w:t>
      </w:r>
      <w:r w:rsidR="00882303">
        <w:rPr>
          <w:rFonts w:ascii="Palatino Linotype" w:hAnsi="Palatino Linotype" w:cs="Segoe UI Historic"/>
        </w:rPr>
        <w:br/>
      </w:r>
      <w:r w:rsidRPr="00882303" w:rsidR="00CC4D74">
        <w:rPr>
          <w:rFonts w:ascii="Palatino Linotype" w:hAnsi="Palatino Linotype" w:cs="Segoe UI Historic"/>
        </w:rPr>
        <w:t>202</w:t>
      </w:r>
      <w:r w:rsidRPr="00882303" w:rsidR="00E9726E">
        <w:rPr>
          <w:rFonts w:ascii="Palatino Linotype" w:hAnsi="Palatino Linotype" w:cs="Segoe UI Historic"/>
        </w:rPr>
        <w:t>3</w:t>
      </w:r>
      <w:r w:rsidRPr="00882303" w:rsidR="00CC4D74">
        <w:rPr>
          <w:rFonts w:ascii="Palatino Linotype" w:hAnsi="Palatino Linotype" w:cs="Segoe UI Historic"/>
        </w:rPr>
        <w:t>-</w:t>
      </w:r>
      <w:r w:rsidRPr="00882303" w:rsidR="009F52A5">
        <w:rPr>
          <w:rFonts w:ascii="Palatino Linotype" w:hAnsi="Palatino Linotype" w:cs="Segoe UI Historic"/>
        </w:rPr>
        <w:t>20</w:t>
      </w:r>
      <w:r w:rsidRPr="00882303" w:rsidR="00CC4D74">
        <w:rPr>
          <w:rFonts w:ascii="Palatino Linotype" w:hAnsi="Palatino Linotype" w:cs="Segoe UI Historic"/>
        </w:rPr>
        <w:t>2</w:t>
      </w:r>
      <w:r w:rsidRPr="00882303" w:rsidR="00E9726E">
        <w:rPr>
          <w:rFonts w:ascii="Palatino Linotype" w:hAnsi="Palatino Linotype" w:cs="Segoe UI Historic"/>
        </w:rPr>
        <w:t>4</w:t>
      </w:r>
      <w:r w:rsidRPr="00882303" w:rsidR="00CC4D74">
        <w:rPr>
          <w:rFonts w:ascii="Palatino Linotype" w:hAnsi="Palatino Linotype" w:cs="Segoe UI Historic"/>
        </w:rPr>
        <w:t xml:space="preserve"> allocates the $24 million budget</w:t>
      </w:r>
      <w:r w:rsidRPr="00882303" w:rsidR="00980744">
        <w:rPr>
          <w:rFonts w:ascii="Palatino Linotype" w:hAnsi="Palatino Linotype" w:cs="Segoe UI Historic"/>
        </w:rPr>
        <w:t xml:space="preserve">, plus </w:t>
      </w:r>
      <w:r w:rsidRPr="00882303" w:rsidR="00E9726E">
        <w:rPr>
          <w:rFonts w:ascii="Palatino Linotype" w:hAnsi="Palatino Linotype" w:cs="Segoe UI Historic"/>
        </w:rPr>
        <w:t>$6.536 million of supplemental budget</w:t>
      </w:r>
      <w:r w:rsidRPr="00882303" w:rsidR="00A05A86">
        <w:rPr>
          <w:rFonts w:ascii="Palatino Linotype" w:hAnsi="Palatino Linotype" w:cs="Segoe UI Historic"/>
        </w:rPr>
        <w:t xml:space="preserve"> of </w:t>
      </w:r>
      <w:r w:rsidRPr="00882303" w:rsidR="00FF69EE">
        <w:rPr>
          <w:rFonts w:ascii="Palatino Linotype" w:hAnsi="Palatino Linotype" w:cs="Segoe UI Historic"/>
        </w:rPr>
        <w:t>previously unused funds</w:t>
      </w:r>
      <w:r w:rsidRPr="00882303" w:rsidR="00E9726E">
        <w:rPr>
          <w:rFonts w:ascii="Palatino Linotype" w:hAnsi="Palatino Linotype" w:cs="Segoe UI Historic"/>
        </w:rPr>
        <w:t xml:space="preserve">, </w:t>
      </w:r>
      <w:r w:rsidRPr="00882303" w:rsidR="00CC4D74">
        <w:rPr>
          <w:rFonts w:ascii="Palatino Linotype" w:hAnsi="Palatino Linotype" w:cs="Segoe UI Historic"/>
        </w:rPr>
        <w:t xml:space="preserve">to the following </w:t>
      </w:r>
      <w:r w:rsidRPr="00882303" w:rsidR="003946A5">
        <w:rPr>
          <w:rFonts w:ascii="Palatino Linotype" w:hAnsi="Palatino Linotype" w:cs="Segoe UI Historic"/>
        </w:rPr>
        <w:t>areas</w:t>
      </w:r>
      <w:r w:rsidRPr="00882303" w:rsidR="00CC4D74">
        <w:rPr>
          <w:rFonts w:ascii="Palatino Linotype" w:hAnsi="Palatino Linotype" w:cs="Segoe UI Historic"/>
        </w:rPr>
        <w:t>:</w:t>
      </w:r>
    </w:p>
    <w:p w:rsidRPr="00882303" w:rsidR="00E9726E" w:rsidP="00CC4D74" w:rsidRDefault="00E9726E" w14:paraId="5A5D1346" w14:textId="6C6AEFDE">
      <w:pPr>
        <w:pStyle w:val="paragraph"/>
        <w:numPr>
          <w:ilvl w:val="0"/>
          <w:numId w:val="10"/>
        </w:numPr>
        <w:rPr>
          <w:rFonts w:ascii="Palatino Linotype" w:hAnsi="Palatino Linotype" w:cs="Segoe UI Historic"/>
        </w:rPr>
      </w:pPr>
      <w:r w:rsidRPr="00882303">
        <w:rPr>
          <w:rFonts w:ascii="Palatino Linotype" w:hAnsi="Palatino Linotype" w:cs="Segoe UI Historic"/>
        </w:rPr>
        <w:t>Gas Leakage Mitigation ($10,130,876)</w:t>
      </w:r>
    </w:p>
    <w:p w:rsidRPr="00882303" w:rsidR="00E9726E" w:rsidP="00CC4D74" w:rsidRDefault="00EC26D5" w14:paraId="51DA2B02" w14:textId="06A0924C">
      <w:pPr>
        <w:pStyle w:val="paragraph"/>
        <w:numPr>
          <w:ilvl w:val="0"/>
          <w:numId w:val="10"/>
        </w:numPr>
        <w:rPr>
          <w:rFonts w:ascii="Palatino Linotype" w:hAnsi="Palatino Linotype" w:cs="Segoe UI Historic"/>
        </w:rPr>
      </w:pPr>
      <w:r w:rsidRPr="00882303">
        <w:rPr>
          <w:rFonts w:ascii="Palatino Linotype" w:hAnsi="Palatino Linotype" w:cs="Segoe UI Historic"/>
        </w:rPr>
        <w:t>Building Decarbonization ($7,000,000)</w:t>
      </w:r>
    </w:p>
    <w:p w:rsidRPr="00882303" w:rsidR="00CC4D74" w:rsidP="00CC4D74" w:rsidRDefault="00CC4D74" w14:paraId="39450072" w14:textId="06921A7B">
      <w:pPr>
        <w:pStyle w:val="paragraph"/>
        <w:numPr>
          <w:ilvl w:val="0"/>
          <w:numId w:val="10"/>
        </w:numPr>
        <w:rPr>
          <w:rFonts w:ascii="Palatino Linotype" w:hAnsi="Palatino Linotype" w:cs="Segoe UI Historic"/>
        </w:rPr>
      </w:pPr>
      <w:r w:rsidRPr="00882303">
        <w:rPr>
          <w:rFonts w:ascii="Palatino Linotype" w:hAnsi="Palatino Linotype" w:cs="Segoe UI Historic"/>
        </w:rPr>
        <w:t>Target</w:t>
      </w:r>
      <w:r w:rsidRPr="00882303" w:rsidR="00281F1B">
        <w:rPr>
          <w:rFonts w:ascii="Palatino Linotype" w:hAnsi="Palatino Linotype" w:cs="Segoe UI Historic"/>
        </w:rPr>
        <w:t>ed</w:t>
      </w:r>
      <w:r w:rsidRPr="00882303">
        <w:rPr>
          <w:rFonts w:ascii="Palatino Linotype" w:hAnsi="Palatino Linotype" w:cs="Segoe UI Historic"/>
        </w:rPr>
        <w:t xml:space="preserve"> Gas System Decommissioning</w:t>
      </w:r>
      <w:r w:rsidRPr="00882303" w:rsidR="003946A5">
        <w:rPr>
          <w:rFonts w:ascii="Palatino Linotype" w:hAnsi="Palatino Linotype" w:cs="Segoe UI Historic"/>
        </w:rPr>
        <w:t xml:space="preserve"> </w:t>
      </w:r>
      <w:r w:rsidRPr="00882303">
        <w:rPr>
          <w:rFonts w:ascii="Palatino Linotype" w:hAnsi="Palatino Linotype" w:cs="Segoe UI Historic"/>
        </w:rPr>
        <w:t>($</w:t>
      </w:r>
      <w:r w:rsidRPr="00882303" w:rsidR="00E9726E">
        <w:rPr>
          <w:rFonts w:ascii="Palatino Linotype" w:hAnsi="Palatino Linotype" w:cs="Segoe UI Historic"/>
        </w:rPr>
        <w:t>2</w:t>
      </w:r>
      <w:r w:rsidRPr="00882303" w:rsidR="00EC26D5">
        <w:rPr>
          <w:rFonts w:ascii="Palatino Linotype" w:hAnsi="Palatino Linotype" w:cs="Segoe UI Historic"/>
        </w:rPr>
        <w:t>,000,000</w:t>
      </w:r>
      <w:r w:rsidRPr="00882303">
        <w:rPr>
          <w:rFonts w:ascii="Palatino Linotype" w:hAnsi="Palatino Linotype" w:cs="Segoe UI Historic"/>
        </w:rPr>
        <w:t>)</w:t>
      </w:r>
    </w:p>
    <w:p w:rsidRPr="00882303" w:rsidR="00EC26D5" w:rsidP="00CC4D74" w:rsidRDefault="00EC26D5" w14:paraId="3D14AB68" w14:textId="49AF59A8">
      <w:pPr>
        <w:pStyle w:val="paragraph"/>
        <w:numPr>
          <w:ilvl w:val="0"/>
          <w:numId w:val="10"/>
        </w:numPr>
        <w:rPr>
          <w:rFonts w:ascii="Palatino Linotype" w:hAnsi="Palatino Linotype" w:cs="Segoe UI Historic"/>
        </w:rPr>
      </w:pPr>
      <w:r w:rsidRPr="00882303">
        <w:rPr>
          <w:rFonts w:ascii="Palatino Linotype" w:hAnsi="Palatino Linotype" w:cs="Segoe UI Historic"/>
        </w:rPr>
        <w:t>Leveraging Cost Share Opportunities (</w:t>
      </w:r>
      <w:r w:rsidRPr="00882303" w:rsidR="00DE4A56">
        <w:rPr>
          <w:rFonts w:ascii="Palatino Linotype" w:hAnsi="Palatino Linotype" w:cs="Segoe UI Historic"/>
        </w:rPr>
        <w:t>$8,045,266)</w:t>
      </w:r>
    </w:p>
    <w:p w:rsidRPr="00882303" w:rsidR="00DE4A56" w:rsidP="00CC4D74" w:rsidRDefault="00DE4A56" w14:paraId="038CA241" w14:textId="187D19BB">
      <w:pPr>
        <w:pStyle w:val="paragraph"/>
        <w:numPr>
          <w:ilvl w:val="0"/>
          <w:numId w:val="10"/>
        </w:numPr>
        <w:rPr>
          <w:rFonts w:ascii="Palatino Linotype" w:hAnsi="Palatino Linotype" w:cs="Segoe UI Historic"/>
        </w:rPr>
      </w:pPr>
      <w:r w:rsidRPr="00882303">
        <w:rPr>
          <w:rFonts w:ascii="Palatino Linotype" w:hAnsi="Palatino Linotype" w:cs="Segoe UI Historic"/>
        </w:rPr>
        <w:t>Comprehensive Programmatic Evaluation ($960,000)</w:t>
      </w:r>
    </w:p>
    <w:p w:rsidRPr="00882303" w:rsidR="00CC4D74" w:rsidP="00CC4D74" w:rsidRDefault="00CC4D74" w14:paraId="661216B5" w14:textId="2FC5D51D">
      <w:pPr>
        <w:pStyle w:val="paragraph"/>
        <w:numPr>
          <w:ilvl w:val="0"/>
          <w:numId w:val="10"/>
        </w:numPr>
        <w:rPr>
          <w:rFonts w:ascii="Palatino Linotype" w:hAnsi="Palatino Linotype" w:cs="Segoe UI Historic"/>
        </w:rPr>
      </w:pPr>
      <w:r w:rsidRPr="00882303">
        <w:rPr>
          <w:rFonts w:ascii="Palatino Linotype" w:hAnsi="Palatino Linotype" w:cs="Segoe UI Historic"/>
        </w:rPr>
        <w:t>Program Administration ($2</w:t>
      </w:r>
      <w:r w:rsidRPr="00882303" w:rsidR="00DE4A56">
        <w:rPr>
          <w:rFonts w:ascii="Palatino Linotype" w:hAnsi="Palatino Linotype" w:cs="Segoe UI Historic"/>
        </w:rPr>
        <w:t xml:space="preserve">,400,000) </w:t>
      </w:r>
      <w:r w:rsidRPr="00882303">
        <w:rPr>
          <w:rFonts w:ascii="Palatino Linotype" w:hAnsi="Palatino Linotype" w:cs="Segoe UI Historic"/>
        </w:rPr>
        <w:t xml:space="preserve"> </w:t>
      </w:r>
    </w:p>
    <w:p w:rsidRPr="00882303" w:rsidR="00CC4D74" w:rsidP="00AE71AB" w:rsidRDefault="00CC4D74" w14:paraId="2B9A6F60" w14:textId="369CAD2A">
      <w:pPr>
        <w:pStyle w:val="paragraph"/>
        <w:spacing w:after="0"/>
        <w:textAlignment w:val="baseline"/>
        <w:rPr>
          <w:rFonts w:ascii="Palatino Linotype" w:hAnsi="Palatino Linotype" w:cs="Segoe UI Historic"/>
        </w:rPr>
      </w:pPr>
      <w:r w:rsidRPr="00882303">
        <w:rPr>
          <w:rFonts w:ascii="Palatino Linotype" w:hAnsi="Palatino Linotype" w:cs="Segoe UI Historic"/>
        </w:rPr>
        <w:t xml:space="preserve">The </w:t>
      </w:r>
      <w:r w:rsidRPr="00882303" w:rsidR="00675626">
        <w:rPr>
          <w:rFonts w:ascii="Palatino Linotype" w:hAnsi="Palatino Linotype" w:cs="Segoe UI Historic"/>
        </w:rPr>
        <w:t xml:space="preserve">Program Administration </w:t>
      </w:r>
      <w:r w:rsidRPr="00882303">
        <w:rPr>
          <w:rFonts w:ascii="Palatino Linotype" w:hAnsi="Palatino Linotype" w:cs="Segoe UI Historic"/>
        </w:rPr>
        <w:t>allocat</w:t>
      </w:r>
      <w:r w:rsidRPr="00882303" w:rsidR="00183D13">
        <w:rPr>
          <w:rFonts w:ascii="Palatino Linotype" w:hAnsi="Palatino Linotype" w:cs="Segoe UI Historic"/>
        </w:rPr>
        <w:t>ion</w:t>
      </w:r>
      <w:r w:rsidRPr="00882303">
        <w:rPr>
          <w:rFonts w:ascii="Palatino Linotype" w:hAnsi="Palatino Linotype" w:cs="Segoe UI Historic"/>
        </w:rPr>
        <w:t xml:space="preserve"> </w:t>
      </w:r>
      <w:r w:rsidRPr="00882303" w:rsidR="00183D13">
        <w:rPr>
          <w:rFonts w:ascii="Palatino Linotype" w:hAnsi="Palatino Linotype" w:cs="Segoe UI Historic"/>
        </w:rPr>
        <w:t xml:space="preserve">represents </w:t>
      </w:r>
      <w:r w:rsidRPr="00882303">
        <w:rPr>
          <w:rFonts w:ascii="Palatino Linotype" w:hAnsi="Palatino Linotype" w:cs="Segoe UI Historic"/>
        </w:rPr>
        <w:t>10 percent of the maximum annual budget ($24 million)</w:t>
      </w:r>
      <w:r w:rsidRPr="00882303" w:rsidR="00183D13">
        <w:rPr>
          <w:rFonts w:ascii="Palatino Linotype" w:hAnsi="Palatino Linotype" w:cs="Segoe UI Historic"/>
        </w:rPr>
        <w:t>.</w:t>
      </w:r>
      <w:r w:rsidRPr="00882303">
        <w:rPr>
          <w:rFonts w:ascii="Palatino Linotype" w:hAnsi="Palatino Linotype" w:cs="Segoe UI Historic"/>
        </w:rPr>
        <w:t xml:space="preserve"> </w:t>
      </w:r>
    </w:p>
    <w:p w:rsidRPr="00882303" w:rsidR="00E9365B" w:rsidP="00837F65" w:rsidRDefault="00837F65" w14:paraId="43F95A43" w14:textId="7B10D60E">
      <w:pPr>
        <w:pStyle w:val="paragraph"/>
        <w:spacing w:after="0"/>
        <w:textAlignment w:val="baseline"/>
        <w:rPr>
          <w:rFonts w:ascii="Palatino Linotype" w:hAnsi="Palatino Linotype" w:cs="Segoe UI Historic"/>
          <w:u w:val="single"/>
        </w:rPr>
      </w:pPr>
      <w:r w:rsidRPr="00882303">
        <w:rPr>
          <w:rFonts w:ascii="Palatino Linotype" w:hAnsi="Palatino Linotype" w:cs="Segoe UI Historic"/>
          <w:u w:val="single"/>
        </w:rPr>
        <w:lastRenderedPageBreak/>
        <w:t>Requirement One</w:t>
      </w:r>
      <w:r w:rsidRPr="00882303">
        <w:rPr>
          <w:rFonts w:ascii="Palatino Linotype" w:hAnsi="Palatino Linotype" w:cs="Segoe UI Historic"/>
        </w:rPr>
        <w:t>:</w:t>
      </w:r>
      <w:r w:rsidRPr="00882303" w:rsidR="00053EE8">
        <w:rPr>
          <w:rFonts w:ascii="Palatino Linotype" w:hAnsi="Palatino Linotype" w:cs="Segoe UI Historic"/>
        </w:rPr>
        <w:t xml:space="preserve"> </w:t>
      </w:r>
      <w:r w:rsidRPr="00882303" w:rsidR="00E9365B">
        <w:rPr>
          <w:rFonts w:ascii="Palatino Linotype" w:hAnsi="Palatino Linotype" w:cs="Segoe UI Historic"/>
        </w:rPr>
        <w:t>“Focus on energy efficiency, renewable technologies, conservation, and environmental issues.”</w:t>
      </w:r>
    </w:p>
    <w:p w:rsidRPr="00882303" w:rsidR="00353455" w:rsidP="00AE71AB" w:rsidRDefault="003441F0" w14:paraId="18154E5F" w14:textId="5FF2817C">
      <w:pPr>
        <w:pStyle w:val="paragraph"/>
        <w:spacing w:after="0"/>
        <w:textAlignment w:val="baseline"/>
        <w:rPr>
          <w:rFonts w:ascii="Palatino Linotype" w:hAnsi="Palatino Linotype" w:cs="Segoe UI Historic"/>
        </w:rPr>
      </w:pPr>
      <w:r w:rsidRPr="00882303">
        <w:rPr>
          <w:rFonts w:ascii="Palatino Linotype" w:hAnsi="Palatino Linotype" w:cs="Segoe UI Historic"/>
        </w:rPr>
        <w:t>The CEC states that</w:t>
      </w:r>
      <w:r w:rsidRPr="00882303" w:rsidR="0020676B">
        <w:rPr>
          <w:rFonts w:ascii="Palatino Linotype" w:hAnsi="Palatino Linotype" w:cs="Segoe UI Historic"/>
        </w:rPr>
        <w:t xml:space="preserve"> its </w:t>
      </w:r>
      <w:r w:rsidRPr="00882303" w:rsidR="00861C42">
        <w:rPr>
          <w:rFonts w:ascii="Palatino Linotype" w:hAnsi="Palatino Linotype" w:cs="Segoe UI Historic"/>
        </w:rPr>
        <w:t xml:space="preserve">Plan </w:t>
      </w:r>
      <w:r w:rsidRPr="00882303" w:rsidR="0020676B">
        <w:rPr>
          <w:rFonts w:ascii="Palatino Linotype" w:hAnsi="Palatino Linotype" w:cs="Segoe UI Historic"/>
        </w:rPr>
        <w:t xml:space="preserve">is consistent with Requirement </w:t>
      </w:r>
      <w:r w:rsidRPr="00882303" w:rsidR="001240BB">
        <w:rPr>
          <w:rFonts w:ascii="Palatino Linotype" w:hAnsi="Palatino Linotype" w:cs="Segoe UI Historic"/>
        </w:rPr>
        <w:t xml:space="preserve">One. The CEC states that </w:t>
      </w:r>
      <w:r w:rsidRPr="00882303" w:rsidR="008904DB">
        <w:rPr>
          <w:rFonts w:ascii="Palatino Linotype" w:hAnsi="Palatino Linotype" w:cs="Segoe UI Historic"/>
        </w:rPr>
        <w:t>its Gas Leakage Mitigation theme is consistent with a focus on renewable technologies</w:t>
      </w:r>
      <w:r w:rsidRPr="00882303" w:rsidR="00670082">
        <w:rPr>
          <w:rFonts w:ascii="Palatino Linotype" w:hAnsi="Palatino Linotype" w:cs="Segoe UI Historic"/>
        </w:rPr>
        <w:t xml:space="preserve"> and environmental issues</w:t>
      </w:r>
      <w:r w:rsidRPr="00882303" w:rsidR="008904DB">
        <w:rPr>
          <w:rFonts w:ascii="Palatino Linotype" w:hAnsi="Palatino Linotype" w:cs="Segoe UI Historic"/>
        </w:rPr>
        <w:t>, its Building Decarbonization theme is</w:t>
      </w:r>
      <w:r w:rsidRPr="00882303" w:rsidR="00670082">
        <w:rPr>
          <w:rFonts w:ascii="Palatino Linotype" w:hAnsi="Palatino Linotype" w:cs="Segoe UI Historic"/>
        </w:rPr>
        <w:t xml:space="preserve"> consistent with conservation and environmental issues, and its Targeted Gas System Decomissioning theme is consistent with </w:t>
      </w:r>
      <w:r w:rsidRPr="00882303" w:rsidR="00353455">
        <w:rPr>
          <w:rFonts w:ascii="Palatino Linotype" w:hAnsi="Palatino Linotype" w:cs="Segoe UI Historic"/>
        </w:rPr>
        <w:t>conservation.</w:t>
      </w:r>
      <w:r w:rsidRPr="00882303" w:rsidR="00353455">
        <w:rPr>
          <w:rStyle w:val="FootnoteReference"/>
          <w:rFonts w:ascii="Palatino Linotype" w:hAnsi="Palatino Linotype" w:cs="Segoe UI Historic"/>
        </w:rPr>
        <w:footnoteReference w:id="12"/>
      </w:r>
      <w:r w:rsidRPr="00882303" w:rsidR="00353455">
        <w:rPr>
          <w:rFonts w:ascii="Palatino Linotype" w:hAnsi="Palatino Linotype" w:cs="Segoe UI Historic"/>
        </w:rPr>
        <w:t xml:space="preserve"> Further, the CEC states that the Leveraging Cost Share Opportunities theme has the potential of addressing these focus areas.</w:t>
      </w:r>
      <w:r w:rsidRPr="00882303" w:rsidR="00353455">
        <w:rPr>
          <w:rStyle w:val="FootnoteReference"/>
          <w:rFonts w:ascii="Palatino Linotype" w:hAnsi="Palatino Linotype" w:cs="Segoe UI Historic"/>
        </w:rPr>
        <w:footnoteReference w:id="13"/>
      </w:r>
      <w:r w:rsidRPr="00882303" w:rsidR="00353455">
        <w:rPr>
          <w:rFonts w:ascii="Palatino Linotype" w:hAnsi="Palatino Linotype" w:cs="Segoe UI Historic"/>
        </w:rPr>
        <w:t xml:space="preserve"> </w:t>
      </w:r>
    </w:p>
    <w:p w:rsidRPr="00882303" w:rsidR="00353455" w:rsidP="00AE71AB" w:rsidRDefault="00353455" w14:paraId="2E633040" w14:textId="7AAB48D0">
      <w:pPr>
        <w:pStyle w:val="paragraph"/>
        <w:spacing w:after="0"/>
        <w:textAlignment w:val="baseline"/>
        <w:rPr>
          <w:rFonts w:ascii="Palatino Linotype" w:hAnsi="Palatino Linotype" w:cs="Segoe UI Historic"/>
        </w:rPr>
      </w:pPr>
      <w:r w:rsidRPr="00882303">
        <w:rPr>
          <w:rFonts w:ascii="Palatino Linotype" w:hAnsi="Palatino Linotype" w:cs="Segoe UI Historic"/>
        </w:rPr>
        <w:t>The Commission finds that the CEC is compliant with Requirement One.</w:t>
      </w:r>
    </w:p>
    <w:p w:rsidRPr="00882303" w:rsidR="00E9365B" w:rsidP="002E2319" w:rsidRDefault="0020676B" w14:paraId="5E093409" w14:textId="7646E6E8">
      <w:pPr>
        <w:pStyle w:val="paragraph"/>
        <w:spacing w:after="0"/>
        <w:textAlignment w:val="baseline"/>
        <w:rPr>
          <w:rFonts w:ascii="Palatino Linotype" w:hAnsi="Palatino Linotype" w:cs="Segoe UI Historic"/>
          <w:u w:val="single"/>
        </w:rPr>
      </w:pPr>
      <w:r w:rsidRPr="00882303">
        <w:rPr>
          <w:rFonts w:ascii="Palatino Linotype" w:hAnsi="Palatino Linotype" w:cs="Segoe UI Historic"/>
          <w:u w:val="single"/>
        </w:rPr>
        <w:t>Requirement Two</w:t>
      </w:r>
      <w:r w:rsidRPr="00882303">
        <w:rPr>
          <w:rFonts w:ascii="Palatino Linotype" w:hAnsi="Palatino Linotype" w:cs="Segoe UI Historic"/>
        </w:rPr>
        <w:t>:</w:t>
      </w:r>
      <w:r w:rsidRPr="00882303" w:rsidR="00A872E9">
        <w:rPr>
          <w:rFonts w:ascii="Palatino Linotype" w:hAnsi="Palatino Linotype" w:cs="Segoe UI Historic"/>
        </w:rPr>
        <w:t xml:space="preserve"> </w:t>
      </w:r>
      <w:r w:rsidRPr="00882303" w:rsidR="00E9365B">
        <w:rPr>
          <w:rFonts w:ascii="Palatino Linotype" w:hAnsi="Palatino Linotype" w:cs="Segoe UI Historic"/>
        </w:rPr>
        <w:t>“Support State energy policy.”</w:t>
      </w:r>
    </w:p>
    <w:p w:rsidRPr="00882303" w:rsidR="00F034CE" w:rsidP="002E2319" w:rsidRDefault="002344B4" w14:paraId="70842973" w14:textId="32FECDD2">
      <w:pPr>
        <w:pStyle w:val="paragraph"/>
        <w:spacing w:after="0"/>
        <w:textAlignment w:val="baseline"/>
        <w:rPr>
          <w:rFonts w:ascii="Palatino Linotype" w:hAnsi="Palatino Linotype" w:cs="Segoe UI Historic"/>
        </w:rPr>
      </w:pPr>
      <w:r w:rsidRPr="00882303">
        <w:rPr>
          <w:rFonts w:ascii="Palatino Linotype" w:hAnsi="Palatino Linotype" w:cs="Segoe UI Historic"/>
        </w:rPr>
        <w:t xml:space="preserve">The CEC </w:t>
      </w:r>
      <w:r w:rsidRPr="00882303" w:rsidR="00E76588">
        <w:rPr>
          <w:rFonts w:ascii="Palatino Linotype" w:hAnsi="Palatino Linotype" w:cs="Segoe UI Historic"/>
        </w:rPr>
        <w:t xml:space="preserve">describes </w:t>
      </w:r>
      <w:r w:rsidRPr="00882303" w:rsidR="00FF2836">
        <w:rPr>
          <w:rFonts w:ascii="Palatino Linotype" w:hAnsi="Palatino Linotype" w:cs="Segoe UI Historic"/>
        </w:rPr>
        <w:t xml:space="preserve">in </w:t>
      </w:r>
      <w:r w:rsidRPr="00882303" w:rsidR="007B2DC6">
        <w:rPr>
          <w:rFonts w:ascii="Palatino Linotype" w:hAnsi="Palatino Linotype" w:cs="Segoe UI Historic"/>
        </w:rPr>
        <w:t>Appendix A</w:t>
      </w:r>
      <w:r w:rsidRPr="00882303" w:rsidR="00FF2836">
        <w:rPr>
          <w:rFonts w:ascii="Palatino Linotype" w:hAnsi="Palatino Linotype" w:cs="Segoe UI Historic"/>
        </w:rPr>
        <w:t xml:space="preserve"> </w:t>
      </w:r>
      <w:r w:rsidRPr="00882303" w:rsidR="004B3416">
        <w:rPr>
          <w:rFonts w:ascii="Palatino Linotype" w:hAnsi="Palatino Linotype" w:cs="Segoe UI Historic"/>
        </w:rPr>
        <w:t xml:space="preserve">(attached to this Resolution as Attachment A) </w:t>
      </w:r>
      <w:r w:rsidRPr="00882303" w:rsidR="00FF2836">
        <w:rPr>
          <w:rFonts w:ascii="Palatino Linotype" w:hAnsi="Palatino Linotype" w:cs="Segoe UI Historic"/>
        </w:rPr>
        <w:t>of its FY 202</w:t>
      </w:r>
      <w:r w:rsidRPr="00882303" w:rsidR="007B2DC6">
        <w:rPr>
          <w:rFonts w:ascii="Palatino Linotype" w:hAnsi="Palatino Linotype" w:cs="Segoe UI Historic"/>
        </w:rPr>
        <w:t>3</w:t>
      </w:r>
      <w:r w:rsidRPr="00882303" w:rsidR="00FF2836">
        <w:rPr>
          <w:rFonts w:ascii="Palatino Linotype" w:hAnsi="Palatino Linotype" w:cs="Segoe UI Historic"/>
        </w:rPr>
        <w:t>-</w:t>
      </w:r>
      <w:r w:rsidRPr="00882303" w:rsidR="00BC7277">
        <w:rPr>
          <w:rFonts w:ascii="Palatino Linotype" w:hAnsi="Palatino Linotype" w:cs="Segoe UI Historic"/>
        </w:rPr>
        <w:t>20</w:t>
      </w:r>
      <w:r w:rsidRPr="00882303" w:rsidR="00A271A7">
        <w:rPr>
          <w:rFonts w:ascii="Palatino Linotype" w:hAnsi="Palatino Linotype" w:cs="Segoe UI Historic"/>
        </w:rPr>
        <w:t>2</w:t>
      </w:r>
      <w:r w:rsidRPr="00882303" w:rsidR="007B2DC6">
        <w:rPr>
          <w:rFonts w:ascii="Palatino Linotype" w:hAnsi="Palatino Linotype" w:cs="Segoe UI Historic"/>
        </w:rPr>
        <w:t>4</w:t>
      </w:r>
      <w:r w:rsidRPr="00882303" w:rsidR="00A271A7">
        <w:rPr>
          <w:rFonts w:ascii="Palatino Linotype" w:hAnsi="Palatino Linotype" w:cs="Segoe UI Historic"/>
        </w:rPr>
        <w:t xml:space="preserve"> Gas R&amp;D </w:t>
      </w:r>
      <w:r w:rsidRPr="00882303" w:rsidR="00BC7277">
        <w:rPr>
          <w:rFonts w:ascii="Palatino Linotype" w:hAnsi="Palatino Linotype" w:cs="Segoe UI Historic"/>
        </w:rPr>
        <w:t>P</w:t>
      </w:r>
      <w:r w:rsidRPr="00882303" w:rsidR="00A271A7">
        <w:rPr>
          <w:rFonts w:ascii="Palatino Linotype" w:hAnsi="Palatino Linotype" w:cs="Segoe UI Historic"/>
        </w:rPr>
        <w:t>lan</w:t>
      </w:r>
      <w:r w:rsidRPr="00882303" w:rsidR="00191A97">
        <w:rPr>
          <w:rFonts w:ascii="Palatino Linotype" w:hAnsi="Palatino Linotype" w:cs="Segoe UI Historic"/>
        </w:rPr>
        <w:t xml:space="preserve"> how its Plan is consistent with State energy policies</w:t>
      </w:r>
      <w:r w:rsidRPr="00882303" w:rsidR="00FF2836">
        <w:rPr>
          <w:rFonts w:ascii="Palatino Linotype" w:hAnsi="Palatino Linotype" w:cs="Segoe UI Historic"/>
        </w:rPr>
        <w:t>.</w:t>
      </w:r>
      <w:r w:rsidRPr="00882303" w:rsidR="00565EE6">
        <w:rPr>
          <w:rFonts w:ascii="Palatino Linotype" w:hAnsi="Palatino Linotype" w:cs="Segoe UI Historic"/>
        </w:rPr>
        <w:t xml:space="preserve"> The CEC writes how each of its FY 2023-2024 proposed initiatives align with different State policies.</w:t>
      </w:r>
      <w:r w:rsidRPr="00882303" w:rsidR="00FF2836">
        <w:rPr>
          <w:rFonts w:ascii="Palatino Linotype" w:hAnsi="Palatino Linotype" w:cs="Segoe UI Historic"/>
        </w:rPr>
        <w:t xml:space="preserve"> </w:t>
      </w:r>
      <w:r w:rsidRPr="00882303" w:rsidR="00565EE6">
        <w:rPr>
          <w:rFonts w:ascii="Palatino Linotype" w:hAnsi="Palatino Linotype" w:cs="Segoe UI Historic"/>
        </w:rPr>
        <w:t xml:space="preserve">For example, </w:t>
      </w:r>
      <w:r w:rsidRPr="00882303" w:rsidR="00AC28E1">
        <w:rPr>
          <w:rFonts w:ascii="Palatino Linotype" w:hAnsi="Palatino Linotype" w:cs="Segoe UI Historic"/>
        </w:rPr>
        <w:t xml:space="preserve">the </w:t>
      </w:r>
      <w:r w:rsidRPr="00882303" w:rsidR="00D615E0">
        <w:rPr>
          <w:rFonts w:ascii="Palatino Linotype" w:hAnsi="Palatino Linotype" w:cs="Segoe UI Historic"/>
        </w:rPr>
        <w:t>CEC states that its</w:t>
      </w:r>
      <w:r w:rsidRPr="00882303" w:rsidDel="00191A97" w:rsidR="00D615E0">
        <w:rPr>
          <w:rFonts w:ascii="Palatino Linotype" w:hAnsi="Palatino Linotype" w:cs="Segoe UI Historic"/>
        </w:rPr>
        <w:t xml:space="preserve"> </w:t>
      </w:r>
      <w:r w:rsidRPr="00882303" w:rsidR="00191A97">
        <w:rPr>
          <w:rFonts w:ascii="Palatino Linotype" w:hAnsi="Palatino Linotype" w:cs="Segoe UI Historic"/>
        </w:rPr>
        <w:t xml:space="preserve">Plan </w:t>
      </w:r>
      <w:r w:rsidRPr="00882303" w:rsidR="00DC4A63">
        <w:rPr>
          <w:rFonts w:ascii="Palatino Linotype" w:hAnsi="Palatino Linotype" w:cs="Segoe UI Historic"/>
        </w:rPr>
        <w:t>support</w:t>
      </w:r>
      <w:r w:rsidRPr="00882303" w:rsidR="00D615E0">
        <w:rPr>
          <w:rFonts w:ascii="Palatino Linotype" w:hAnsi="Palatino Linotype" w:cs="Segoe UI Historic"/>
        </w:rPr>
        <w:t>s</w:t>
      </w:r>
      <w:r w:rsidRPr="00882303" w:rsidR="00DC4A63">
        <w:rPr>
          <w:rFonts w:ascii="Palatino Linotype" w:hAnsi="Palatino Linotype" w:cs="Segoe UI Historic"/>
        </w:rPr>
        <w:t xml:space="preserve"> </w:t>
      </w:r>
      <w:r w:rsidRPr="00882303" w:rsidR="00961210">
        <w:rPr>
          <w:rFonts w:ascii="Palatino Linotype" w:hAnsi="Palatino Linotype" w:cs="Segoe UI Historic"/>
        </w:rPr>
        <w:t>S</w:t>
      </w:r>
      <w:r w:rsidRPr="00882303" w:rsidR="00DC4A63">
        <w:rPr>
          <w:rFonts w:ascii="Palatino Linotype" w:hAnsi="Palatino Linotype" w:cs="Segoe UI Historic"/>
        </w:rPr>
        <w:t>tate energy polic</w:t>
      </w:r>
      <w:r w:rsidRPr="00882303" w:rsidR="000D16D6">
        <w:rPr>
          <w:rFonts w:ascii="Palatino Linotype" w:hAnsi="Palatino Linotype" w:cs="Segoe UI Historic"/>
        </w:rPr>
        <w:t>ies</w:t>
      </w:r>
      <w:r w:rsidRPr="00882303" w:rsidR="000E4A99">
        <w:rPr>
          <w:rFonts w:ascii="Palatino Linotype" w:hAnsi="Palatino Linotype" w:cs="Segoe UI Historic"/>
        </w:rPr>
        <w:t xml:space="preserve"> because it</w:t>
      </w:r>
      <w:r w:rsidRPr="00882303" w:rsidR="00DC4A63">
        <w:rPr>
          <w:rFonts w:ascii="Palatino Linotype" w:hAnsi="Palatino Linotype" w:cs="Segoe UI Historic"/>
        </w:rPr>
        <w:t xml:space="preserve"> </w:t>
      </w:r>
      <w:r w:rsidRPr="00882303" w:rsidR="009815F1">
        <w:rPr>
          <w:rFonts w:ascii="Palatino Linotype" w:hAnsi="Palatino Linotype" w:cs="Segoe UI Historic"/>
        </w:rPr>
        <w:t>aims to achieve economywide carbon neutrality by 2045 (Executive Order B-55-18)</w:t>
      </w:r>
      <w:r w:rsidRPr="00882303" w:rsidR="00AC28E1">
        <w:rPr>
          <w:rFonts w:ascii="Palatino Linotype" w:hAnsi="Palatino Linotype" w:cs="Segoe UI Historic"/>
        </w:rPr>
        <w:t>.</w:t>
      </w:r>
      <w:r w:rsidRPr="00882303" w:rsidR="00563CA1">
        <w:rPr>
          <w:rStyle w:val="FootnoteReference"/>
          <w:rFonts w:ascii="Palatino Linotype" w:hAnsi="Palatino Linotype" w:cs="Segoe UI Historic"/>
        </w:rPr>
        <w:footnoteReference w:id="14"/>
      </w:r>
      <w:r w:rsidRPr="00882303" w:rsidR="00382337">
        <w:rPr>
          <w:rFonts w:ascii="Palatino Linotype" w:hAnsi="Palatino Linotype" w:cs="Segoe UI Historic"/>
        </w:rPr>
        <w:t xml:space="preserve"> The CEC</w:t>
      </w:r>
      <w:r w:rsidRPr="00882303" w:rsidR="00565EE6">
        <w:rPr>
          <w:rFonts w:ascii="Palatino Linotype" w:hAnsi="Palatino Linotype" w:cs="Segoe UI Historic"/>
        </w:rPr>
        <w:t xml:space="preserve"> also</w:t>
      </w:r>
      <w:r w:rsidRPr="00882303" w:rsidR="00382337">
        <w:rPr>
          <w:rFonts w:ascii="Palatino Linotype" w:hAnsi="Palatino Linotype" w:cs="Segoe UI Historic"/>
        </w:rPr>
        <w:t xml:space="preserve"> discusses that </w:t>
      </w:r>
      <w:r w:rsidRPr="00882303" w:rsidR="00151408">
        <w:rPr>
          <w:rFonts w:ascii="Palatino Linotype" w:hAnsi="Palatino Linotype" w:cs="Segoe UI Historic"/>
        </w:rPr>
        <w:t xml:space="preserve">its </w:t>
      </w:r>
      <w:r w:rsidRPr="00882303" w:rsidR="000577C2">
        <w:rPr>
          <w:rFonts w:ascii="Palatino Linotype" w:hAnsi="Palatino Linotype" w:cs="Segoe UI Historic"/>
        </w:rPr>
        <w:t xml:space="preserve">Building Decarbonization Theme </w:t>
      </w:r>
      <w:r w:rsidRPr="00882303" w:rsidR="00E24555">
        <w:rPr>
          <w:rFonts w:ascii="Palatino Linotype" w:hAnsi="Palatino Linotype" w:cs="Segoe UI Historic"/>
        </w:rPr>
        <w:t>supports Assembly Bill 3232</w:t>
      </w:r>
      <w:r w:rsidRPr="00882303" w:rsidR="00CD2AC2">
        <w:rPr>
          <w:rFonts w:ascii="Palatino Linotype" w:hAnsi="Palatino Linotype" w:cs="Segoe UI Historic"/>
        </w:rPr>
        <w:t xml:space="preserve"> (Friedman, Chapter 373, Statutes of 2018)</w:t>
      </w:r>
      <w:r w:rsidRPr="00882303" w:rsidR="00931FD1">
        <w:rPr>
          <w:rStyle w:val="FootnoteReference"/>
          <w:rFonts w:ascii="Palatino Linotype" w:hAnsi="Palatino Linotype" w:cs="Segoe UI Historic"/>
        </w:rPr>
        <w:footnoteReference w:id="15"/>
      </w:r>
      <w:r w:rsidRPr="00882303" w:rsidR="00E24555">
        <w:rPr>
          <w:rFonts w:ascii="Palatino Linotype" w:hAnsi="Palatino Linotype" w:cs="Segoe UI Historic"/>
        </w:rPr>
        <w:t xml:space="preserve">, which directed the CEC to develop a California Building Decarbonization Assessment to provide a framework to tackle challenges in reducing GHG emissions associated with California’s buildings. The Building Decarbonization theme also supports Senate Bill </w:t>
      </w:r>
      <w:r w:rsidRPr="00882303" w:rsidR="00CD2AC2">
        <w:rPr>
          <w:rFonts w:ascii="Palatino Linotype" w:hAnsi="Palatino Linotype" w:cs="Segoe UI Historic"/>
        </w:rPr>
        <w:t>1477</w:t>
      </w:r>
      <w:r w:rsidRPr="00882303" w:rsidR="00775FB9">
        <w:rPr>
          <w:rStyle w:val="FootnoteReference"/>
          <w:rFonts w:ascii="Palatino Linotype" w:hAnsi="Palatino Linotype" w:cs="Segoe UI Historic"/>
        </w:rPr>
        <w:footnoteReference w:id="16"/>
      </w:r>
      <w:r w:rsidRPr="00882303" w:rsidR="00E24555">
        <w:rPr>
          <w:rFonts w:ascii="Palatino Linotype" w:hAnsi="Palatino Linotype" w:cs="Segoe UI Historic"/>
        </w:rPr>
        <w:t xml:space="preserve"> which require</w:t>
      </w:r>
      <w:r w:rsidRPr="00882303" w:rsidR="00CD2AC2">
        <w:rPr>
          <w:rFonts w:ascii="Palatino Linotype" w:hAnsi="Palatino Linotype" w:cs="Segoe UI Historic"/>
        </w:rPr>
        <w:t xml:space="preserve">s </w:t>
      </w:r>
      <w:r w:rsidRPr="00882303" w:rsidR="00E24555">
        <w:rPr>
          <w:rFonts w:ascii="Palatino Linotype" w:hAnsi="Palatino Linotype" w:cs="Segoe UI Historic"/>
        </w:rPr>
        <w:t xml:space="preserve">the </w:t>
      </w:r>
      <w:r w:rsidRPr="00882303" w:rsidR="00CD2AC2">
        <w:rPr>
          <w:rFonts w:ascii="Palatino Linotype" w:hAnsi="Palatino Linotype" w:cs="Segoe UI Historic"/>
        </w:rPr>
        <w:t xml:space="preserve">CPUC to develop, in consultation with the CEC, two programs aimed at reducing GHG emissions associated with buildings. </w:t>
      </w:r>
    </w:p>
    <w:p w:rsidRPr="00882303" w:rsidR="00E33D58" w:rsidP="002E2319" w:rsidRDefault="00F034CE" w14:paraId="424FF228" w14:textId="0EC39F4A">
      <w:pPr>
        <w:pStyle w:val="paragraph"/>
        <w:spacing w:after="0"/>
        <w:textAlignment w:val="baseline"/>
        <w:rPr>
          <w:rFonts w:ascii="Palatino Linotype" w:hAnsi="Palatino Linotype" w:cs="Segoe UI Historic"/>
        </w:rPr>
      </w:pPr>
      <w:r w:rsidRPr="00882303">
        <w:rPr>
          <w:rFonts w:ascii="Palatino Linotype" w:hAnsi="Palatino Linotype" w:cs="Segoe UI Historic"/>
        </w:rPr>
        <w:t>Based on the</w:t>
      </w:r>
      <w:r w:rsidRPr="00882303" w:rsidR="00AE1A84">
        <w:rPr>
          <w:rFonts w:ascii="Palatino Linotype" w:hAnsi="Palatino Linotype" w:cs="Segoe UI Historic"/>
        </w:rPr>
        <w:t xml:space="preserve"> research themes and</w:t>
      </w:r>
      <w:r w:rsidRPr="00882303">
        <w:rPr>
          <w:rFonts w:ascii="Palatino Linotype" w:hAnsi="Palatino Linotype" w:cs="Segoe UI Historic"/>
        </w:rPr>
        <w:t xml:space="preserve"> initiative</w:t>
      </w:r>
      <w:r w:rsidRPr="00882303" w:rsidR="00AE1A84">
        <w:rPr>
          <w:rFonts w:ascii="Palatino Linotype" w:hAnsi="Palatino Linotype" w:cs="Segoe UI Historic"/>
        </w:rPr>
        <w:t>s</w:t>
      </w:r>
      <w:r w:rsidRPr="00882303">
        <w:rPr>
          <w:rFonts w:ascii="Palatino Linotype" w:hAnsi="Palatino Linotype" w:cs="Segoe UI Historic"/>
        </w:rPr>
        <w:t xml:space="preserve"> described in its FY 202</w:t>
      </w:r>
      <w:r w:rsidRPr="00882303" w:rsidR="00565EE6">
        <w:rPr>
          <w:rFonts w:ascii="Palatino Linotype" w:hAnsi="Palatino Linotype" w:cs="Segoe UI Historic"/>
        </w:rPr>
        <w:t>3</w:t>
      </w:r>
      <w:r w:rsidRPr="00882303">
        <w:rPr>
          <w:rFonts w:ascii="Palatino Linotype" w:hAnsi="Palatino Linotype" w:cs="Segoe UI Historic"/>
        </w:rPr>
        <w:t>-</w:t>
      </w:r>
      <w:r w:rsidRPr="00882303" w:rsidR="00B77073">
        <w:rPr>
          <w:rFonts w:ascii="Palatino Linotype" w:hAnsi="Palatino Linotype" w:cs="Segoe UI Historic"/>
        </w:rPr>
        <w:t>202</w:t>
      </w:r>
      <w:r w:rsidRPr="00882303" w:rsidR="00565EE6">
        <w:rPr>
          <w:rFonts w:ascii="Palatino Linotype" w:hAnsi="Palatino Linotype" w:cs="Segoe UI Historic"/>
        </w:rPr>
        <w:t>4</w:t>
      </w:r>
      <w:r w:rsidRPr="00882303">
        <w:rPr>
          <w:rFonts w:ascii="Palatino Linotype" w:hAnsi="Palatino Linotype" w:cs="Segoe UI Historic"/>
        </w:rPr>
        <w:t xml:space="preserve"> Gas Plan,</w:t>
      </w:r>
      <w:r w:rsidRPr="00882303" w:rsidDel="000C48EA">
        <w:rPr>
          <w:rFonts w:ascii="Palatino Linotype" w:hAnsi="Palatino Linotype" w:cs="Segoe UI Historic"/>
        </w:rPr>
        <w:t xml:space="preserve"> </w:t>
      </w:r>
      <w:r w:rsidRPr="00882303">
        <w:rPr>
          <w:rFonts w:ascii="Palatino Linotype" w:hAnsi="Palatino Linotype" w:cs="Segoe UI Historic"/>
        </w:rPr>
        <w:t>t</w:t>
      </w:r>
      <w:r w:rsidRPr="00882303" w:rsidR="009F0E78">
        <w:rPr>
          <w:rFonts w:ascii="Palatino Linotype" w:hAnsi="Palatino Linotype" w:cs="Segoe UI Historic"/>
        </w:rPr>
        <w:t xml:space="preserve">he </w:t>
      </w:r>
      <w:r w:rsidRPr="00882303" w:rsidR="00234744">
        <w:rPr>
          <w:rFonts w:ascii="Palatino Linotype" w:hAnsi="Palatino Linotype" w:cs="Segoe UI Historic"/>
        </w:rPr>
        <w:t>Commission</w:t>
      </w:r>
      <w:r w:rsidRPr="00882303" w:rsidR="009F0E78">
        <w:rPr>
          <w:rFonts w:ascii="Palatino Linotype" w:hAnsi="Palatino Linotype" w:cs="Segoe UI Historic"/>
        </w:rPr>
        <w:t xml:space="preserve"> finds that the CEC is compliant with Requirement Two.</w:t>
      </w:r>
    </w:p>
    <w:p w:rsidRPr="00882303" w:rsidR="71B9D62C" w:rsidP="71B9D62C" w:rsidRDefault="71B9D62C" w14:paraId="6D79262C" w14:textId="6A4B6313">
      <w:pPr>
        <w:pStyle w:val="paragraph"/>
        <w:spacing w:after="0"/>
        <w:rPr>
          <w:rFonts w:ascii="Palatino Linotype" w:hAnsi="Palatino Linotype" w:cs="Segoe UI Historic"/>
          <w:u w:val="single"/>
        </w:rPr>
      </w:pPr>
    </w:p>
    <w:p w:rsidRPr="00882303" w:rsidR="00E9365B" w:rsidP="002E2319" w:rsidRDefault="000C67D2" w14:paraId="47A8FA84" w14:textId="60F29ADB">
      <w:pPr>
        <w:pStyle w:val="paragraph"/>
        <w:spacing w:after="0"/>
        <w:textAlignment w:val="baseline"/>
        <w:rPr>
          <w:rFonts w:ascii="Palatino Linotype" w:hAnsi="Palatino Linotype" w:cs="Segoe UI Historic"/>
          <w:u w:val="single"/>
        </w:rPr>
      </w:pPr>
      <w:r w:rsidRPr="00882303">
        <w:rPr>
          <w:rFonts w:ascii="Palatino Linotype" w:hAnsi="Palatino Linotype" w:cs="Segoe UI Historic"/>
          <w:u w:val="single"/>
        </w:rPr>
        <w:lastRenderedPageBreak/>
        <w:t>Requirement Three</w:t>
      </w:r>
      <w:r w:rsidRPr="00882303">
        <w:rPr>
          <w:rFonts w:ascii="Palatino Linotype" w:hAnsi="Palatino Linotype" w:cs="Segoe UI Historic"/>
        </w:rPr>
        <w:t>:</w:t>
      </w:r>
      <w:r w:rsidRPr="00882303" w:rsidR="00234744">
        <w:rPr>
          <w:rFonts w:ascii="Palatino Linotype" w:hAnsi="Palatino Linotype" w:cs="Segoe UI Historic"/>
        </w:rPr>
        <w:t xml:space="preserve"> </w:t>
      </w:r>
      <w:r w:rsidRPr="00882303" w:rsidR="00E9365B">
        <w:rPr>
          <w:rFonts w:ascii="Palatino Linotype" w:hAnsi="Palatino Linotype" w:cs="Segoe UI Historic"/>
        </w:rPr>
        <w:t>“Offer a reasonable probability of providing benefits to the general public.”</w:t>
      </w:r>
    </w:p>
    <w:p w:rsidRPr="00882303" w:rsidR="00356D75" w:rsidP="00A568EB" w:rsidRDefault="00570C2D" w14:paraId="4F03C6BC" w14:textId="0DF7A9CF">
      <w:pPr>
        <w:pStyle w:val="paragraph"/>
        <w:rPr>
          <w:rFonts w:ascii="Palatino Linotype" w:hAnsi="Palatino Linotype" w:cs="Segoe UI Historic"/>
        </w:rPr>
      </w:pPr>
      <w:r w:rsidRPr="00882303" w:rsidDel="00271518">
        <w:rPr>
          <w:rFonts w:ascii="Palatino Linotype" w:hAnsi="Palatino Linotype" w:cs="Segoe UI Historic"/>
        </w:rPr>
        <w:t>The CEC sufficiently describes in its FY 202</w:t>
      </w:r>
      <w:r w:rsidRPr="00882303" w:rsidR="006645A8">
        <w:rPr>
          <w:rFonts w:ascii="Palatino Linotype" w:hAnsi="Palatino Linotype" w:cs="Segoe UI Historic"/>
        </w:rPr>
        <w:t>3</w:t>
      </w:r>
      <w:r w:rsidRPr="00882303" w:rsidDel="00271518">
        <w:rPr>
          <w:rFonts w:ascii="Palatino Linotype" w:hAnsi="Palatino Linotype" w:cs="Segoe UI Historic"/>
        </w:rPr>
        <w:t>-</w:t>
      </w:r>
      <w:r w:rsidRPr="00882303">
        <w:rPr>
          <w:rFonts w:ascii="Palatino Linotype" w:hAnsi="Palatino Linotype" w:cs="Segoe UI Historic"/>
        </w:rPr>
        <w:t>20</w:t>
      </w:r>
      <w:r w:rsidRPr="00882303" w:rsidDel="00271518">
        <w:rPr>
          <w:rFonts w:ascii="Palatino Linotype" w:hAnsi="Palatino Linotype" w:cs="Segoe UI Historic"/>
        </w:rPr>
        <w:t>2</w:t>
      </w:r>
      <w:r w:rsidRPr="00882303" w:rsidR="006645A8">
        <w:rPr>
          <w:rFonts w:ascii="Palatino Linotype" w:hAnsi="Palatino Linotype" w:cs="Segoe UI Historic"/>
        </w:rPr>
        <w:t>4</w:t>
      </w:r>
      <w:r w:rsidRPr="00882303" w:rsidDel="00271518">
        <w:rPr>
          <w:rFonts w:ascii="Palatino Linotype" w:hAnsi="Palatino Linotype" w:cs="Segoe UI Historic"/>
        </w:rPr>
        <w:t xml:space="preserve"> Gas R&amp;D </w:t>
      </w:r>
      <w:r w:rsidRPr="00882303">
        <w:rPr>
          <w:rFonts w:ascii="Palatino Linotype" w:hAnsi="Palatino Linotype" w:cs="Segoe UI Historic"/>
        </w:rPr>
        <w:t>P</w:t>
      </w:r>
      <w:r w:rsidRPr="00882303" w:rsidDel="00271518">
        <w:rPr>
          <w:rFonts w:ascii="Palatino Linotype" w:hAnsi="Palatino Linotype" w:cs="Segoe UI Historic"/>
        </w:rPr>
        <w:t xml:space="preserve">lan the general intention of each </w:t>
      </w:r>
      <w:r w:rsidRPr="00882303" w:rsidR="00AE1A84">
        <w:rPr>
          <w:rFonts w:ascii="Palatino Linotype" w:hAnsi="Palatino Linotype" w:cs="Segoe UI Historic"/>
        </w:rPr>
        <w:t>initiative</w:t>
      </w:r>
      <w:r w:rsidRPr="00882303" w:rsidDel="00271518">
        <w:rPr>
          <w:rFonts w:ascii="Palatino Linotype" w:hAnsi="Palatino Linotype" w:cs="Segoe UI Historic"/>
        </w:rPr>
        <w:t xml:space="preserve"> and how the </w:t>
      </w:r>
      <w:r w:rsidRPr="00882303">
        <w:rPr>
          <w:rFonts w:ascii="Palatino Linotype" w:hAnsi="Palatino Linotype" w:cs="Segoe UI Historic"/>
        </w:rPr>
        <w:t>research</w:t>
      </w:r>
      <w:r w:rsidRPr="00882303" w:rsidDel="00271518">
        <w:rPr>
          <w:rFonts w:ascii="Palatino Linotype" w:hAnsi="Palatino Linotype" w:cs="Segoe UI Historic"/>
        </w:rPr>
        <w:t xml:space="preserve"> could improve safety, affordability, environmental sustainability, and equity. </w:t>
      </w:r>
      <w:r w:rsidRPr="00882303" w:rsidR="00C0673C">
        <w:rPr>
          <w:rFonts w:ascii="Palatino Linotype" w:hAnsi="Palatino Linotype" w:cs="Segoe UI Historic"/>
        </w:rPr>
        <w:t>The</w:t>
      </w:r>
      <w:r w:rsidRPr="00882303" w:rsidR="007C6237">
        <w:rPr>
          <w:rFonts w:ascii="Palatino Linotype" w:hAnsi="Palatino Linotype" w:cs="Segoe UI Historic"/>
        </w:rPr>
        <w:t xml:space="preserve"> Plan’s</w:t>
      </w:r>
      <w:r w:rsidRPr="00882303" w:rsidR="00C0673C">
        <w:rPr>
          <w:rFonts w:ascii="Palatino Linotype" w:hAnsi="Palatino Linotype" w:cs="Segoe UI Historic"/>
        </w:rPr>
        <w:t xml:space="preserve"> </w:t>
      </w:r>
      <w:r w:rsidRPr="00882303" w:rsidR="00193904">
        <w:rPr>
          <w:rFonts w:ascii="Palatino Linotype" w:hAnsi="Palatino Linotype" w:cs="Segoe UI Historic"/>
        </w:rPr>
        <w:t xml:space="preserve">proposed </w:t>
      </w:r>
      <w:r w:rsidRPr="00882303" w:rsidR="0096444A">
        <w:rPr>
          <w:rFonts w:ascii="Palatino Linotype" w:hAnsi="Palatino Linotype" w:cs="Segoe UI Historic"/>
        </w:rPr>
        <w:t>benefit</w:t>
      </w:r>
      <w:r w:rsidRPr="00882303" w:rsidR="00C0673C">
        <w:rPr>
          <w:rFonts w:ascii="Palatino Linotype" w:hAnsi="Palatino Linotype" w:cs="Segoe UI Historic"/>
        </w:rPr>
        <w:t xml:space="preserve"> breakdown for each </w:t>
      </w:r>
      <w:r w:rsidRPr="00882303" w:rsidR="0096444A">
        <w:rPr>
          <w:rFonts w:ascii="Palatino Linotype" w:hAnsi="Palatino Linotype" w:cs="Segoe UI Historic"/>
        </w:rPr>
        <w:t>initiative</w:t>
      </w:r>
      <w:r w:rsidRPr="00882303" w:rsidR="00C0673C">
        <w:rPr>
          <w:rFonts w:ascii="Palatino Linotype" w:hAnsi="Palatino Linotype" w:cs="Segoe UI Historic"/>
        </w:rPr>
        <w:t xml:space="preserve"> both names the benefit category and explains in general terms how the </w:t>
      </w:r>
      <w:r w:rsidRPr="00882303" w:rsidR="00AE1A84">
        <w:rPr>
          <w:rFonts w:ascii="Palatino Linotype" w:hAnsi="Palatino Linotype" w:cs="Segoe UI Historic"/>
        </w:rPr>
        <w:t>initiative</w:t>
      </w:r>
      <w:r w:rsidRPr="00882303" w:rsidR="00C0673C">
        <w:rPr>
          <w:rFonts w:ascii="Palatino Linotype" w:hAnsi="Palatino Linotype" w:cs="Segoe UI Historic"/>
        </w:rPr>
        <w:t xml:space="preserve"> addresses the goal</w:t>
      </w:r>
      <w:r w:rsidRPr="00882303" w:rsidR="005C0ED3">
        <w:rPr>
          <w:rFonts w:ascii="Palatino Linotype" w:hAnsi="Palatino Linotype" w:cs="Segoe UI Historic"/>
        </w:rPr>
        <w:t>. For example, as an equity benefit, the CEC asserts that its</w:t>
      </w:r>
      <w:r w:rsidRPr="00882303" w:rsidR="00EC7B4B">
        <w:rPr>
          <w:rFonts w:ascii="Palatino Linotype" w:hAnsi="Palatino Linotype" w:cs="Segoe UI Historic"/>
        </w:rPr>
        <w:t xml:space="preserve"> “</w:t>
      </w:r>
      <w:r w:rsidRPr="00882303" w:rsidR="00356D75">
        <w:rPr>
          <w:rFonts w:ascii="Palatino Linotype" w:hAnsi="Palatino Linotype" w:cs="Segoe UI Historic"/>
        </w:rPr>
        <w:t>Air Pollutant Exposure Assessment in California Residences”</w:t>
      </w:r>
      <w:r w:rsidRPr="00882303" w:rsidR="00EC7B4B">
        <w:rPr>
          <w:rFonts w:ascii="Palatino Linotype" w:hAnsi="Palatino Linotype" w:cs="Segoe UI Historic"/>
        </w:rPr>
        <w:t xml:space="preserve"> initiative </w:t>
      </w:r>
      <w:r w:rsidRPr="00882303" w:rsidR="005C0ED3">
        <w:rPr>
          <w:rFonts w:ascii="Palatino Linotype" w:hAnsi="Palatino Linotype" w:cs="Segoe UI Historic"/>
        </w:rPr>
        <w:t>(</w:t>
      </w:r>
      <w:r w:rsidRPr="00882303" w:rsidR="00356D75">
        <w:rPr>
          <w:rFonts w:ascii="Palatino Linotype" w:hAnsi="Palatino Linotype" w:cs="Segoe UI Historic"/>
        </w:rPr>
        <w:t>Building Decarbonization initiative</w:t>
      </w:r>
      <w:r w:rsidRPr="00882303" w:rsidR="00EC7B4B">
        <w:rPr>
          <w:rFonts w:ascii="Palatino Linotype" w:hAnsi="Palatino Linotype" w:cs="Segoe UI Historic"/>
        </w:rPr>
        <w:t xml:space="preserve"> theme</w:t>
      </w:r>
      <w:r w:rsidRPr="00882303" w:rsidR="005C0ED3">
        <w:rPr>
          <w:rFonts w:ascii="Palatino Linotype" w:hAnsi="Palatino Linotype" w:cs="Segoe UI Historic"/>
        </w:rPr>
        <w:t>) will</w:t>
      </w:r>
      <w:r w:rsidRPr="00882303" w:rsidR="00356D75">
        <w:rPr>
          <w:rFonts w:ascii="Palatino Linotype" w:hAnsi="Palatino Linotype" w:cs="Segoe UI Historic"/>
        </w:rPr>
        <w:t xml:space="preserve"> provide support for decarbonizing homes that maximizes local benefits associated with reduced indoor air pollutant exposures and will focus on </w:t>
      </w:r>
      <w:r w:rsidRPr="00882303" w:rsidR="00216E61">
        <w:rPr>
          <w:rFonts w:ascii="Palatino Linotype" w:hAnsi="Palatino Linotype" w:cs="Segoe UI Historic"/>
        </w:rPr>
        <w:t>diverse</w:t>
      </w:r>
      <w:r w:rsidRPr="00882303" w:rsidR="00356D75">
        <w:rPr>
          <w:rFonts w:ascii="Palatino Linotype" w:hAnsi="Palatino Linotype" w:cs="Segoe UI Historic"/>
        </w:rPr>
        <w:t xml:space="preserve"> housing types, including low-income and multifamily homes.</w:t>
      </w:r>
      <w:r w:rsidRPr="00882303" w:rsidR="00216E61">
        <w:rPr>
          <w:rStyle w:val="FootnoteReference"/>
          <w:rFonts w:ascii="Palatino Linotype" w:hAnsi="Palatino Linotype" w:cs="Segoe UI Historic"/>
        </w:rPr>
        <w:footnoteReference w:id="17"/>
      </w:r>
    </w:p>
    <w:p w:rsidRPr="00882303" w:rsidR="001A049F" w:rsidP="00A568EB" w:rsidRDefault="004E534E" w14:paraId="61F94D08" w14:textId="34671738">
      <w:pPr>
        <w:pStyle w:val="paragraph"/>
        <w:rPr>
          <w:rFonts w:ascii="Palatino Linotype" w:hAnsi="Palatino Linotype" w:cs="Segoe UI Historic"/>
        </w:rPr>
      </w:pPr>
      <w:r w:rsidRPr="00882303">
        <w:rPr>
          <w:rFonts w:ascii="Palatino Linotype" w:hAnsi="Palatino Linotype" w:cs="Segoe UI Historic"/>
        </w:rPr>
        <w:t>The CEC’s FY 202</w:t>
      </w:r>
      <w:r w:rsidRPr="00882303" w:rsidR="003F383F">
        <w:rPr>
          <w:rFonts w:ascii="Palatino Linotype" w:hAnsi="Palatino Linotype" w:cs="Segoe UI Historic"/>
        </w:rPr>
        <w:t>3-</w:t>
      </w:r>
      <w:r w:rsidRPr="00882303">
        <w:rPr>
          <w:rFonts w:ascii="Palatino Linotype" w:hAnsi="Palatino Linotype" w:cs="Segoe UI Historic"/>
        </w:rPr>
        <w:t>202</w:t>
      </w:r>
      <w:r w:rsidRPr="00882303" w:rsidR="003F383F">
        <w:rPr>
          <w:rFonts w:ascii="Palatino Linotype" w:hAnsi="Palatino Linotype" w:cs="Segoe UI Historic"/>
        </w:rPr>
        <w:t>4</w:t>
      </w:r>
      <w:r w:rsidRPr="00882303">
        <w:rPr>
          <w:rFonts w:ascii="Palatino Linotype" w:hAnsi="Palatino Linotype" w:cs="Segoe UI Historic"/>
        </w:rPr>
        <w:t xml:space="preserve"> Gas R&amp;D Plan meets Requirement Three in terms of planning to achieve benefits. </w:t>
      </w:r>
      <w:r w:rsidRPr="00882303" w:rsidR="00FD495F">
        <w:rPr>
          <w:rFonts w:ascii="Palatino Linotype" w:hAnsi="Palatino Linotype" w:cs="Segoe UI Historic"/>
        </w:rPr>
        <w:t>Resolution G-3592 (2023) requires the CEC to apply the impact analysis framework to be established in the EPIC proceeding to all current and future Gas R&amp;D projects and initiatives.</w:t>
      </w:r>
      <w:r w:rsidRPr="00882303" w:rsidR="00C26607">
        <w:rPr>
          <w:rStyle w:val="FootnoteReference"/>
          <w:rFonts w:ascii="Palatino Linotype" w:hAnsi="Palatino Linotype" w:cs="Segoe UI Historic"/>
        </w:rPr>
        <w:footnoteReference w:id="18"/>
      </w:r>
      <w:r w:rsidRPr="00882303" w:rsidR="00FD495F">
        <w:rPr>
          <w:rFonts w:ascii="Palatino Linotype" w:hAnsi="Palatino Linotype" w:cs="Segoe UI Historic"/>
        </w:rPr>
        <w:t xml:space="preserve"> We expect that</w:t>
      </w:r>
      <w:r w:rsidRPr="00882303" w:rsidR="00C26607">
        <w:rPr>
          <w:rFonts w:ascii="Palatino Linotype" w:hAnsi="Palatino Linotype" w:cs="Segoe UI Historic"/>
        </w:rPr>
        <w:t xml:space="preserve"> once this framework is established, </w:t>
      </w:r>
      <w:r w:rsidRPr="00882303" w:rsidR="009B10DF">
        <w:rPr>
          <w:rFonts w:ascii="Palatino Linotype" w:hAnsi="Palatino Linotype" w:cs="Segoe UI Historic"/>
        </w:rPr>
        <w:t xml:space="preserve">the CEC </w:t>
      </w:r>
      <w:r w:rsidRPr="00882303" w:rsidR="00845EC8">
        <w:rPr>
          <w:rFonts w:ascii="Palatino Linotype" w:hAnsi="Palatino Linotype" w:cs="Segoe UI Historic"/>
        </w:rPr>
        <w:t>shall</w:t>
      </w:r>
      <w:r w:rsidRPr="00882303" w:rsidR="009B10DF">
        <w:rPr>
          <w:rFonts w:ascii="Palatino Linotype" w:hAnsi="Palatino Linotype" w:cs="Segoe UI Historic"/>
        </w:rPr>
        <w:t xml:space="preserve"> </w:t>
      </w:r>
      <w:r w:rsidRPr="00882303" w:rsidR="00577ADE">
        <w:rPr>
          <w:rFonts w:ascii="Palatino Linotype" w:hAnsi="Palatino Linotype" w:cs="Segoe UI Historic"/>
        </w:rPr>
        <w:t xml:space="preserve">demonstrate </w:t>
      </w:r>
      <w:r w:rsidRPr="00882303" w:rsidR="0055070A">
        <w:rPr>
          <w:rFonts w:ascii="Palatino Linotype" w:hAnsi="Palatino Linotype" w:cs="Segoe UI Historic"/>
        </w:rPr>
        <w:t xml:space="preserve">outcomes of achieving </w:t>
      </w:r>
      <w:r w:rsidRPr="00882303" w:rsidR="004B6427">
        <w:rPr>
          <w:rFonts w:ascii="Palatino Linotype" w:hAnsi="Palatino Linotype" w:cs="Segoe UI Historic"/>
        </w:rPr>
        <w:t xml:space="preserve">its </w:t>
      </w:r>
      <w:r w:rsidRPr="00882303" w:rsidR="0055070A">
        <w:rPr>
          <w:rFonts w:ascii="Palatino Linotype" w:hAnsi="Palatino Linotype" w:cs="Segoe UI Historic"/>
        </w:rPr>
        <w:t xml:space="preserve">proposed benefits </w:t>
      </w:r>
      <w:r w:rsidRPr="00882303" w:rsidR="006D6436">
        <w:rPr>
          <w:rFonts w:ascii="Palatino Linotype" w:hAnsi="Palatino Linotype" w:cs="Segoe UI Historic"/>
        </w:rPr>
        <w:t xml:space="preserve">for all current and future research projects </w:t>
      </w:r>
      <w:r w:rsidRPr="00882303" w:rsidR="0055070A">
        <w:rPr>
          <w:rFonts w:ascii="Palatino Linotype" w:hAnsi="Palatino Linotype" w:cs="Segoe UI Historic"/>
        </w:rPr>
        <w:t xml:space="preserve">including </w:t>
      </w:r>
      <w:r w:rsidRPr="00882303" w:rsidR="00F24A58">
        <w:rPr>
          <w:rFonts w:ascii="Palatino Linotype" w:hAnsi="Palatino Linotype" w:cs="Segoe UI Historic"/>
        </w:rPr>
        <w:t>through quan</w:t>
      </w:r>
      <w:r w:rsidRPr="00882303" w:rsidR="00C83BB8">
        <w:rPr>
          <w:rFonts w:ascii="Palatino Linotype" w:hAnsi="Palatino Linotype" w:cs="Segoe UI Historic"/>
        </w:rPr>
        <w:t xml:space="preserve">titative </w:t>
      </w:r>
      <w:r w:rsidRPr="00882303" w:rsidR="003D3A7B">
        <w:rPr>
          <w:rFonts w:ascii="Palatino Linotype" w:hAnsi="Palatino Linotype" w:cs="Segoe UI Historic"/>
        </w:rPr>
        <w:t>methodologies.</w:t>
      </w:r>
      <w:r w:rsidRPr="00882303" w:rsidR="006008AA">
        <w:rPr>
          <w:rFonts w:ascii="Palatino Linotype" w:hAnsi="Palatino Linotype" w:cs="Segoe UI Historic"/>
        </w:rPr>
        <w:t xml:space="preserve"> This framework will be informed by the outcome of the EPIC proceeding’s </w:t>
      </w:r>
      <w:r w:rsidRPr="00882303" w:rsidR="00202F41">
        <w:rPr>
          <w:rFonts w:ascii="Palatino Linotype" w:hAnsi="Palatino Linotype" w:cs="Segoe UI Historic"/>
        </w:rPr>
        <w:t>uniform impact analysis framework</w:t>
      </w:r>
      <w:r w:rsidRPr="00882303" w:rsidR="006008AA">
        <w:rPr>
          <w:rFonts w:ascii="Palatino Linotype" w:hAnsi="Palatino Linotype" w:cs="Segoe UI Historic"/>
        </w:rPr>
        <w:t>.</w:t>
      </w:r>
      <w:r w:rsidRPr="00882303" w:rsidR="001D4772">
        <w:rPr>
          <w:rFonts w:ascii="Palatino Linotype" w:hAnsi="Palatino Linotype" w:cs="Segoe UI Historic"/>
        </w:rPr>
        <w:t xml:space="preserve"> Pending the </w:t>
      </w:r>
      <w:r w:rsidRPr="00882303" w:rsidR="00120CFE">
        <w:rPr>
          <w:rFonts w:ascii="Palatino Linotype" w:hAnsi="Palatino Linotype" w:cs="Segoe UI Historic"/>
        </w:rPr>
        <w:t xml:space="preserve">establishment of the Impact Analysis Framework, the CEC’s FY 2023-2024 Plan is compliant with Requirement Three. </w:t>
      </w:r>
    </w:p>
    <w:p w:rsidRPr="00882303" w:rsidR="00E9365B" w:rsidP="002E2319" w:rsidRDefault="006F1EE1" w14:paraId="44BA5C70" w14:textId="4A5408D9">
      <w:pPr>
        <w:pStyle w:val="paragraph"/>
        <w:spacing w:after="0"/>
        <w:textAlignment w:val="baseline"/>
        <w:rPr>
          <w:rFonts w:ascii="Palatino Linotype" w:hAnsi="Palatino Linotype" w:cs="Segoe UI Historic"/>
          <w:u w:val="single"/>
        </w:rPr>
      </w:pPr>
      <w:r w:rsidRPr="00882303">
        <w:rPr>
          <w:rFonts w:ascii="Palatino Linotype" w:hAnsi="Palatino Linotype" w:cs="Segoe UI Historic"/>
          <w:u w:val="single"/>
        </w:rPr>
        <w:t>Requirement Four</w:t>
      </w:r>
      <w:r w:rsidRPr="00882303">
        <w:rPr>
          <w:rFonts w:ascii="Palatino Linotype" w:hAnsi="Palatino Linotype" w:cs="Segoe UI Historic"/>
        </w:rPr>
        <w:t>:</w:t>
      </w:r>
      <w:r w:rsidRPr="00882303" w:rsidR="00E62C52">
        <w:rPr>
          <w:rFonts w:ascii="Palatino Linotype" w:hAnsi="Palatino Linotype" w:cs="Segoe UI Historic"/>
        </w:rPr>
        <w:t xml:space="preserve"> </w:t>
      </w:r>
      <w:r w:rsidRPr="00882303" w:rsidR="00E74D11">
        <w:rPr>
          <w:rFonts w:ascii="Palatino Linotype" w:hAnsi="Palatino Linotype" w:cs="Segoe UI Historic"/>
        </w:rPr>
        <w:t>“</w:t>
      </w:r>
      <w:r w:rsidRPr="00882303" w:rsidR="00E9365B">
        <w:rPr>
          <w:rFonts w:ascii="Palatino Linotype" w:hAnsi="Palatino Linotype" w:cs="Segoe UI Historic"/>
        </w:rPr>
        <w:t>Consider opportunities for collaboration and co-funding opportunities with other entities.”</w:t>
      </w:r>
    </w:p>
    <w:p w:rsidRPr="00882303" w:rsidR="0034677A" w:rsidP="0034677A" w:rsidRDefault="001B3FE5" w14:paraId="76118C31" w14:textId="26BAD5D0">
      <w:pPr>
        <w:pStyle w:val="paragraph"/>
        <w:spacing w:after="0"/>
        <w:textAlignment w:val="baseline"/>
        <w:rPr>
          <w:rFonts w:ascii="Palatino Linotype" w:hAnsi="Palatino Linotype" w:cs="Segoe UI Historic"/>
        </w:rPr>
      </w:pPr>
      <w:r w:rsidRPr="00882303">
        <w:rPr>
          <w:rFonts w:ascii="Palatino Linotype" w:hAnsi="Palatino Linotype" w:cs="Segoe UI Historic"/>
        </w:rPr>
        <w:t>D.04-08-010</w:t>
      </w:r>
      <w:r w:rsidRPr="00882303" w:rsidR="008349FC">
        <w:rPr>
          <w:rFonts w:ascii="Palatino Linotype" w:hAnsi="Palatino Linotype" w:cs="Segoe UI Historic"/>
        </w:rPr>
        <w:t xml:space="preserve"> directs</w:t>
      </w:r>
      <w:r w:rsidRPr="00882303" w:rsidR="00BD6D65">
        <w:rPr>
          <w:rFonts w:ascii="Palatino Linotype" w:hAnsi="Palatino Linotype" w:cs="Segoe UI Historic"/>
        </w:rPr>
        <w:t xml:space="preserve"> </w:t>
      </w:r>
      <w:r w:rsidRPr="00882303" w:rsidR="00263307">
        <w:rPr>
          <w:rFonts w:ascii="Palatino Linotype" w:hAnsi="Palatino Linotype" w:cs="Segoe UI Historic"/>
        </w:rPr>
        <w:t xml:space="preserve">the CEC </w:t>
      </w:r>
      <w:r w:rsidRPr="00882303" w:rsidR="008349FC">
        <w:rPr>
          <w:rFonts w:ascii="Palatino Linotype" w:hAnsi="Palatino Linotype" w:cs="Segoe UI Historic"/>
        </w:rPr>
        <w:t xml:space="preserve">to </w:t>
      </w:r>
      <w:r w:rsidRPr="00882303" w:rsidR="00263307">
        <w:rPr>
          <w:rFonts w:ascii="Palatino Linotype" w:hAnsi="Palatino Linotype" w:cs="Segoe UI Historic"/>
        </w:rPr>
        <w:t>c</w:t>
      </w:r>
      <w:r w:rsidRPr="00882303">
        <w:rPr>
          <w:rFonts w:ascii="Palatino Linotype" w:hAnsi="Palatino Linotype" w:cs="Segoe UI Historic"/>
        </w:rPr>
        <w:t>onsider opportunities for collaboration and co-funding opportunities with other entities.</w:t>
      </w:r>
      <w:r w:rsidRPr="00882303" w:rsidR="002C0825">
        <w:rPr>
          <w:rFonts w:ascii="Palatino Linotype" w:hAnsi="Palatino Linotype" w:cs="Segoe UI Historic"/>
        </w:rPr>
        <w:t xml:space="preserve"> </w:t>
      </w:r>
      <w:r w:rsidRPr="00882303" w:rsidR="00B43C9C">
        <w:rPr>
          <w:rFonts w:ascii="Palatino Linotype" w:hAnsi="Palatino Linotype" w:cs="Segoe UI Historic"/>
        </w:rPr>
        <w:t>In its FY 2023-2024 Plan, the</w:t>
      </w:r>
      <w:r w:rsidRPr="00882303" w:rsidR="000E7A83">
        <w:rPr>
          <w:rFonts w:ascii="Palatino Linotype" w:hAnsi="Palatino Linotype" w:cs="Segoe UI Historic"/>
        </w:rPr>
        <w:t xml:space="preserve"> CEC discusses </w:t>
      </w:r>
      <w:r w:rsidRPr="00882303" w:rsidR="00B43C9C">
        <w:rPr>
          <w:rFonts w:ascii="Palatino Linotype" w:hAnsi="Palatino Linotype" w:cs="Segoe UI Historic"/>
        </w:rPr>
        <w:t>its engagement with California stakeholders including research institutions, governmental agencies, industry, and utility representatives, and the public.</w:t>
      </w:r>
      <w:r w:rsidRPr="00882303" w:rsidR="00B43C9C">
        <w:rPr>
          <w:rStyle w:val="FootnoteReference"/>
          <w:rFonts w:ascii="Palatino Linotype" w:hAnsi="Palatino Linotype" w:cs="Segoe UI Historic"/>
        </w:rPr>
        <w:footnoteReference w:id="19"/>
      </w:r>
      <w:r w:rsidRPr="00882303" w:rsidR="00486690">
        <w:rPr>
          <w:rFonts w:ascii="Palatino Linotype" w:hAnsi="Palatino Linotype" w:cs="Segoe UI Historic"/>
        </w:rPr>
        <w:t xml:space="preserve"> The CEC discusses its ongoing collaboration with California investor-owned utilities (IOUs) including PG&amp;E, SDG&amp;E, and SoCalGas</w:t>
      </w:r>
      <w:r w:rsidRPr="00882303" w:rsidR="00A4288A">
        <w:rPr>
          <w:rFonts w:ascii="Palatino Linotype" w:hAnsi="Palatino Linotype" w:cs="Segoe UI Historic"/>
        </w:rPr>
        <w:t>.</w:t>
      </w:r>
      <w:r w:rsidRPr="00882303" w:rsidR="0034677A">
        <w:rPr>
          <w:rStyle w:val="FootnoteReference"/>
          <w:rFonts w:ascii="Palatino Linotype" w:hAnsi="Palatino Linotype" w:cs="Segoe UI Historic"/>
        </w:rPr>
        <w:footnoteReference w:id="20"/>
      </w:r>
      <w:r w:rsidRPr="00882303" w:rsidR="00A4288A">
        <w:rPr>
          <w:rFonts w:ascii="Palatino Linotype" w:hAnsi="Palatino Linotype" w:cs="Segoe UI Historic"/>
        </w:rPr>
        <w:t xml:space="preserve"> The CEC also states that they often leverage </w:t>
      </w:r>
      <w:proofErr w:type="spellStart"/>
      <w:r w:rsidRPr="00882303" w:rsidR="00A4288A">
        <w:rPr>
          <w:rFonts w:ascii="Palatino Linotype" w:hAnsi="Palatino Linotype" w:cs="Segoe UI Historic"/>
        </w:rPr>
        <w:t>cofunding</w:t>
      </w:r>
      <w:proofErr w:type="spellEnd"/>
      <w:r w:rsidRPr="00882303" w:rsidR="00A4288A">
        <w:rPr>
          <w:rFonts w:ascii="Palatino Linotype" w:hAnsi="Palatino Linotype" w:cs="Segoe UI Historic"/>
        </w:rPr>
        <w:t xml:space="preserve"> opportunities </w:t>
      </w:r>
      <w:r w:rsidRPr="00882303" w:rsidR="0034677A">
        <w:rPr>
          <w:rFonts w:ascii="Palatino Linotype" w:hAnsi="Palatino Linotype" w:cs="Segoe UI Historic"/>
        </w:rPr>
        <w:t>from different entities, including the IOUs.</w:t>
      </w:r>
      <w:r w:rsidRPr="00882303" w:rsidR="0034677A">
        <w:rPr>
          <w:rStyle w:val="FootnoteReference"/>
          <w:rFonts w:ascii="Palatino Linotype" w:hAnsi="Palatino Linotype" w:cs="Segoe UI Historic"/>
        </w:rPr>
        <w:footnoteReference w:id="21"/>
      </w:r>
      <w:r w:rsidRPr="00882303" w:rsidR="0034677A">
        <w:rPr>
          <w:rFonts w:ascii="Palatino Linotype" w:hAnsi="Palatino Linotype" w:cs="Segoe UI Historic"/>
        </w:rPr>
        <w:t xml:space="preserve"> </w:t>
      </w:r>
      <w:r w:rsidRPr="00882303" w:rsidR="000D5C99">
        <w:rPr>
          <w:rFonts w:ascii="Palatino Linotype" w:hAnsi="Palatino Linotype" w:cs="Segoe UI Historic"/>
        </w:rPr>
        <w:t xml:space="preserve">Going forward, the CEC shall meet with the administrators of other Gas R&amp;D programs and describe in its </w:t>
      </w:r>
      <w:r w:rsidRPr="00882303" w:rsidR="000D5C99">
        <w:rPr>
          <w:rFonts w:ascii="Palatino Linotype" w:hAnsi="Palatino Linotype" w:cs="Segoe UI Historic"/>
        </w:rPr>
        <w:lastRenderedPageBreak/>
        <w:t xml:space="preserve">annual plan how its research </w:t>
      </w:r>
      <w:r w:rsidRPr="00882303" w:rsidR="00FE1CF4">
        <w:rPr>
          <w:rFonts w:ascii="Palatino Linotype" w:hAnsi="Palatino Linotype" w:cs="Segoe UI Historic"/>
        </w:rPr>
        <w:t xml:space="preserve">is strategically coordinated and </w:t>
      </w:r>
      <w:r w:rsidRPr="00882303" w:rsidR="000D5C99">
        <w:rPr>
          <w:rFonts w:ascii="Palatino Linotype" w:hAnsi="Palatino Linotype" w:cs="Segoe UI Historic"/>
        </w:rPr>
        <w:t>complements other Gas R&amp;D research occurring in California, consistent with CPUC policies and proceedings. Further, the CEC shall coordinate with all IOU gas R&amp;D administrators to hold an annual public workshop that is structured thematically to demonstrate how administrators are coordinating on gas innovation to benefit ratepayers, including impacts on ESJ communities.</w:t>
      </w:r>
    </w:p>
    <w:p w:rsidRPr="00882303" w:rsidR="003A3F1E" w:rsidP="002E2319" w:rsidRDefault="003A3F1E" w14:paraId="3A0D4C51" w14:textId="72027B54">
      <w:pPr>
        <w:pStyle w:val="paragraph"/>
        <w:spacing w:after="0"/>
        <w:textAlignment w:val="baseline"/>
        <w:rPr>
          <w:rFonts w:ascii="Palatino Linotype" w:hAnsi="Palatino Linotype" w:cs="Segoe UI Historic"/>
        </w:rPr>
      </w:pPr>
      <w:r w:rsidRPr="00882303">
        <w:rPr>
          <w:rFonts w:ascii="Palatino Linotype" w:hAnsi="Palatino Linotype" w:cs="Segoe UI Historic"/>
          <w:b/>
        </w:rPr>
        <w:t>Consistency with Resolution G-3484 (2013) Accounting Requirements</w:t>
      </w:r>
    </w:p>
    <w:p w:rsidRPr="00882303" w:rsidR="002D0A70" w:rsidP="002D0A70" w:rsidRDefault="00432E59" w14:paraId="5E2EB6B2" w14:textId="77777777">
      <w:pPr>
        <w:pStyle w:val="paragraph"/>
        <w:keepNext/>
        <w:textAlignment w:val="baseline"/>
        <w:rPr>
          <w:rFonts w:ascii="Palatino Linotype" w:hAnsi="Palatino Linotype" w:cs="Segoe UI Historic"/>
        </w:rPr>
      </w:pPr>
      <w:r w:rsidRPr="00882303">
        <w:rPr>
          <w:rFonts w:ascii="Palatino Linotype" w:hAnsi="Palatino Linotype" w:cs="Segoe UI Historic"/>
        </w:rPr>
        <w:t xml:space="preserve">Resolution G-3484 directs the CEC to include in </w:t>
      </w:r>
      <w:r w:rsidRPr="00882303" w:rsidR="00C649ED">
        <w:rPr>
          <w:rFonts w:ascii="Palatino Linotype" w:hAnsi="Palatino Linotype" w:cs="Segoe UI Historic"/>
        </w:rPr>
        <w:t xml:space="preserve">its </w:t>
      </w:r>
      <w:r w:rsidRPr="00882303">
        <w:rPr>
          <w:rFonts w:ascii="Palatino Linotype" w:hAnsi="Palatino Linotype" w:cs="Segoe UI Historic"/>
        </w:rPr>
        <w:t xml:space="preserve">proposed </w:t>
      </w:r>
      <w:r w:rsidRPr="00882303" w:rsidR="00762D7B">
        <w:rPr>
          <w:rFonts w:ascii="Palatino Linotype" w:hAnsi="Palatino Linotype" w:cs="Segoe UI Historic"/>
        </w:rPr>
        <w:t xml:space="preserve">Gas R&amp;D </w:t>
      </w:r>
      <w:r w:rsidRPr="00882303">
        <w:rPr>
          <w:rFonts w:ascii="Palatino Linotype" w:hAnsi="Palatino Linotype" w:cs="Segoe UI Historic"/>
        </w:rPr>
        <w:t>budget an account</w:t>
      </w:r>
      <w:r w:rsidRPr="00882303" w:rsidR="00011FB2">
        <w:rPr>
          <w:rFonts w:ascii="Palatino Linotype" w:hAnsi="Palatino Linotype" w:cs="Segoe UI Historic"/>
        </w:rPr>
        <w:t>ing</w:t>
      </w:r>
      <w:r w:rsidRPr="00882303">
        <w:rPr>
          <w:rFonts w:ascii="Palatino Linotype" w:hAnsi="Palatino Linotype" w:cs="Segoe UI Historic"/>
        </w:rPr>
        <w:t xml:space="preserve">, by research area, of then-current unspent funds in the program, including </w:t>
      </w:r>
      <w:r w:rsidRPr="00882303" w:rsidR="00443F51">
        <w:rPr>
          <w:rFonts w:ascii="Palatino Linotype" w:hAnsi="Palatino Linotype" w:cs="Segoe UI Historic"/>
        </w:rPr>
        <w:t>encumber</w:t>
      </w:r>
      <w:r w:rsidRPr="00882303" w:rsidR="004876F8">
        <w:rPr>
          <w:rFonts w:ascii="Palatino Linotype" w:hAnsi="Palatino Linotype" w:cs="Segoe UI Historic"/>
        </w:rPr>
        <w:t xml:space="preserve">ed funds </w:t>
      </w:r>
      <w:r w:rsidRPr="00882303">
        <w:rPr>
          <w:rFonts w:ascii="Palatino Linotype" w:hAnsi="Palatino Linotype" w:cs="Segoe UI Historic"/>
        </w:rPr>
        <w:t>and expiration dates.</w:t>
      </w:r>
      <w:r w:rsidRPr="00882303">
        <w:rPr>
          <w:rStyle w:val="FootnoteReference"/>
          <w:rFonts w:ascii="Palatino Linotype" w:hAnsi="Palatino Linotype" w:cs="Segoe UI Historic"/>
        </w:rPr>
        <w:footnoteReference w:id="22"/>
      </w:r>
      <w:r w:rsidRPr="00882303" w:rsidR="00E96ACA">
        <w:rPr>
          <w:rFonts w:ascii="Palatino Linotype" w:hAnsi="Palatino Linotype" w:cs="Segoe UI Historic"/>
        </w:rPr>
        <w:t xml:space="preserve"> </w:t>
      </w:r>
      <w:r w:rsidRPr="00882303" w:rsidR="002D0A70">
        <w:rPr>
          <w:rFonts w:ascii="Palatino Linotype" w:hAnsi="Palatino Linotype" w:cs="Segoe UI Historic"/>
        </w:rPr>
        <w:t xml:space="preserve"> This requirement shall remain in place for each fiscal year’s proposed budget, until otherwise directed by the CPUC.</w:t>
      </w:r>
    </w:p>
    <w:p w:rsidRPr="00882303" w:rsidR="00E96ACA" w:rsidP="000F7C48" w:rsidRDefault="00D47250" w14:paraId="75A3151D" w14:textId="4123A6AD">
      <w:pPr>
        <w:pStyle w:val="paragraph"/>
        <w:keepNext/>
        <w:textAlignment w:val="baseline"/>
        <w:rPr>
          <w:rFonts w:ascii="Palatino Linotype" w:hAnsi="Palatino Linotype" w:cs="Segoe UI Historic"/>
        </w:rPr>
      </w:pPr>
      <w:r w:rsidRPr="00882303">
        <w:rPr>
          <w:rFonts w:ascii="Palatino Linotype" w:hAnsi="Palatino Linotype" w:cs="Segoe UI Historic"/>
        </w:rPr>
        <w:t>Assembly Bill 148 (Committee on Budget, Chapter 115, Statutes of 2021) provided the CEC the authority to continuously appropriate gas funds from the Public Interest Energy Research, Development, and Demonstration Fund for administering energy-related programs.</w:t>
      </w:r>
      <w:r w:rsidRPr="00882303" w:rsidR="00C804B3">
        <w:rPr>
          <w:rStyle w:val="FootnoteReference"/>
          <w:rFonts w:ascii="Palatino Linotype" w:hAnsi="Palatino Linotype" w:cs="Segoe UI Historic"/>
        </w:rPr>
        <w:footnoteReference w:id="23"/>
      </w:r>
      <w:r w:rsidRPr="00882303">
        <w:rPr>
          <w:rFonts w:ascii="Palatino Linotype" w:hAnsi="Palatino Linotype" w:cs="Segoe UI Historic"/>
        </w:rPr>
        <w:t xml:space="preserve"> As a result, gas R&amp;D funds do not have encumbrance or liquidation dates.</w:t>
      </w:r>
      <w:r w:rsidRPr="00882303" w:rsidR="00C804B3">
        <w:rPr>
          <w:rFonts w:ascii="Palatino Linotype" w:hAnsi="Palatino Linotype" w:cs="Segoe UI Historic"/>
        </w:rPr>
        <w:t xml:space="preserve"> The CEC states that in its FY 2023-2024 Plan and </w:t>
      </w:r>
      <w:proofErr w:type="gramStart"/>
      <w:r w:rsidRPr="00882303" w:rsidR="00C804B3">
        <w:rPr>
          <w:rFonts w:ascii="Palatino Linotype" w:hAnsi="Palatino Linotype" w:cs="Segoe UI Historic"/>
        </w:rPr>
        <w:t>future plans</w:t>
      </w:r>
      <w:proofErr w:type="gramEnd"/>
      <w:r w:rsidRPr="00882303" w:rsidR="00C804B3">
        <w:rPr>
          <w:rFonts w:ascii="Palatino Linotype" w:hAnsi="Palatino Linotype" w:cs="Segoe UI Historic"/>
        </w:rPr>
        <w:t>, the CEC will propose a supplemental budget to reuse any unspent, unencumbered, or other available funds in the Public Interest Energy Research, Development, and Demonstration Fund CEC subaccount.</w:t>
      </w:r>
      <w:r w:rsidRPr="00882303" w:rsidR="00C804B3">
        <w:rPr>
          <w:rStyle w:val="FootnoteReference"/>
          <w:rFonts w:ascii="Palatino Linotype" w:hAnsi="Palatino Linotype" w:cs="Segoe UI Historic"/>
        </w:rPr>
        <w:footnoteReference w:id="24"/>
      </w:r>
    </w:p>
    <w:p w:rsidRPr="00882303" w:rsidR="002E742A" w:rsidP="006771D7" w:rsidRDefault="00150D85" w14:paraId="35A3CF42" w14:textId="042D6344">
      <w:pPr>
        <w:pStyle w:val="paragraph"/>
        <w:spacing w:after="0"/>
        <w:textAlignment w:val="baseline"/>
        <w:rPr>
          <w:rFonts w:ascii="Palatino Linotype" w:hAnsi="Palatino Linotype" w:cs="Segoe UI Historic"/>
        </w:rPr>
      </w:pPr>
      <w:r w:rsidRPr="00882303">
        <w:rPr>
          <w:rFonts w:ascii="Palatino Linotype" w:hAnsi="Palatino Linotype" w:cs="Segoe UI Historic"/>
        </w:rPr>
        <w:t xml:space="preserve">In its FY 2023-2024 Plan, </w:t>
      </w:r>
      <w:r w:rsidRPr="00882303" w:rsidR="006771D7">
        <w:rPr>
          <w:rFonts w:ascii="Palatino Linotype" w:hAnsi="Palatino Linotype" w:cs="Segoe UI Historic"/>
        </w:rPr>
        <w:t xml:space="preserve">CEC </w:t>
      </w:r>
      <w:r w:rsidRPr="00882303">
        <w:rPr>
          <w:rFonts w:ascii="Palatino Linotype" w:hAnsi="Palatino Linotype" w:cs="Segoe UI Historic"/>
        </w:rPr>
        <w:t>proposes a supplemental budget of $6,536,142</w:t>
      </w:r>
      <w:r w:rsidRPr="00882303" w:rsidR="00140BB7">
        <w:rPr>
          <w:rFonts w:ascii="Palatino Linotype" w:hAnsi="Palatino Linotype" w:cs="Segoe UI Historic"/>
        </w:rPr>
        <w:t xml:space="preserve"> </w:t>
      </w:r>
      <w:r w:rsidRPr="00882303">
        <w:rPr>
          <w:rFonts w:ascii="Palatino Linotype" w:hAnsi="Palatino Linotype" w:cs="Segoe UI Historic"/>
        </w:rPr>
        <w:t xml:space="preserve">that consists of </w:t>
      </w:r>
      <w:r w:rsidRPr="00882303" w:rsidR="004A2245">
        <w:rPr>
          <w:rFonts w:ascii="Palatino Linotype" w:hAnsi="Palatino Linotype" w:cs="Segoe UI Historic"/>
        </w:rPr>
        <w:t xml:space="preserve">unused </w:t>
      </w:r>
      <w:r w:rsidRPr="00882303">
        <w:rPr>
          <w:rFonts w:ascii="Palatino Linotype" w:hAnsi="Palatino Linotype" w:cs="Segoe UI Historic"/>
        </w:rPr>
        <w:t xml:space="preserve">funds </w:t>
      </w:r>
      <w:r w:rsidRPr="00882303" w:rsidR="00A02220">
        <w:rPr>
          <w:rFonts w:ascii="Palatino Linotype" w:hAnsi="Palatino Linotype" w:cs="Segoe UI Historic"/>
        </w:rPr>
        <w:t xml:space="preserve">from </w:t>
      </w:r>
      <w:r w:rsidRPr="00882303" w:rsidR="004A2245">
        <w:rPr>
          <w:rFonts w:ascii="Palatino Linotype" w:hAnsi="Palatino Linotype" w:cs="Segoe UI Historic"/>
        </w:rPr>
        <w:t xml:space="preserve">previously planned </w:t>
      </w:r>
      <w:r w:rsidRPr="00882303" w:rsidR="00A02220">
        <w:rPr>
          <w:rFonts w:ascii="Palatino Linotype" w:hAnsi="Palatino Linotype" w:cs="Segoe UI Historic"/>
        </w:rPr>
        <w:t xml:space="preserve">energy efficiency and transportation research initiatives under past </w:t>
      </w:r>
      <w:r w:rsidRPr="00882303" w:rsidR="004A2245">
        <w:rPr>
          <w:rFonts w:ascii="Palatino Linotype" w:hAnsi="Palatino Linotype" w:cs="Segoe UI Historic"/>
        </w:rPr>
        <w:t xml:space="preserve">approved </w:t>
      </w:r>
      <w:r w:rsidRPr="00882303" w:rsidR="00A02220">
        <w:rPr>
          <w:rFonts w:ascii="Palatino Linotype" w:hAnsi="Palatino Linotype" w:cs="Segoe UI Historic"/>
        </w:rPr>
        <w:t>budget plans, such as from cancelled grants and unspent or unencumbered funds.</w:t>
      </w:r>
      <w:r w:rsidRPr="00882303" w:rsidR="00A02220">
        <w:rPr>
          <w:rStyle w:val="FootnoteReference"/>
          <w:rFonts w:ascii="Palatino Linotype" w:hAnsi="Palatino Linotype" w:cs="Segoe UI Historic"/>
        </w:rPr>
        <w:footnoteReference w:id="25"/>
      </w:r>
      <w:r w:rsidRPr="00882303" w:rsidR="002F6C10">
        <w:rPr>
          <w:rFonts w:ascii="Palatino Linotype" w:hAnsi="Palatino Linotype" w:cs="Segoe UI Historic"/>
        </w:rPr>
        <w:t xml:space="preserve"> Specifically, th</w:t>
      </w:r>
      <w:r w:rsidRPr="00882303" w:rsidR="004A2245">
        <w:rPr>
          <w:rFonts w:ascii="Palatino Linotype" w:hAnsi="Palatino Linotype" w:cs="Segoe UI Historic"/>
        </w:rPr>
        <w:t>ese unspent funds</w:t>
      </w:r>
      <w:r w:rsidRPr="00882303" w:rsidR="002F6C10">
        <w:rPr>
          <w:rFonts w:ascii="Palatino Linotype" w:hAnsi="Palatino Linotype" w:cs="Segoe UI Historic"/>
        </w:rPr>
        <w:t xml:space="preserve"> include $1,175,266 from a cancelled project from the 2016/17 Budget Plan, $1,230,000 from </w:t>
      </w:r>
      <w:r w:rsidRPr="00882303" w:rsidR="002F6C10">
        <w:rPr>
          <w:rFonts w:ascii="Palatino Linotype" w:hAnsi="Palatino Linotype" w:cs="Segoe UI Historic"/>
        </w:rPr>
        <w:lastRenderedPageBreak/>
        <w:t>unspent and unencumbered funds from FY 2020–2021 Budget Plan, $2,630,876 from unspent and unencumbered funds from FY 2016-17 Budget Plan.</w:t>
      </w:r>
      <w:r w:rsidRPr="00882303" w:rsidR="002F6C10">
        <w:rPr>
          <w:rStyle w:val="FootnoteReference"/>
          <w:rFonts w:ascii="Palatino Linotype" w:hAnsi="Palatino Linotype" w:cs="Segoe UI Historic"/>
        </w:rPr>
        <w:footnoteReference w:id="26"/>
      </w:r>
    </w:p>
    <w:p w:rsidRPr="00882303" w:rsidR="009A25A3" w:rsidP="006771D7" w:rsidRDefault="002E742A" w14:paraId="56378E72" w14:textId="0DB95CE7">
      <w:pPr>
        <w:pStyle w:val="paragraph"/>
        <w:spacing w:after="0"/>
        <w:textAlignment w:val="baseline"/>
        <w:rPr>
          <w:rFonts w:ascii="Palatino Linotype" w:hAnsi="Palatino Linotype" w:cs="Segoe UI Historic"/>
        </w:rPr>
      </w:pPr>
      <w:r w:rsidRPr="00882303">
        <w:rPr>
          <w:rFonts w:ascii="Palatino Linotype" w:hAnsi="Palatino Linotype" w:cs="Segoe UI Historic"/>
        </w:rPr>
        <w:t xml:space="preserve">The CEC </w:t>
      </w:r>
      <w:r w:rsidRPr="00882303" w:rsidR="000F2767">
        <w:rPr>
          <w:rFonts w:ascii="Palatino Linotype" w:hAnsi="Palatino Linotype" w:cs="Segoe UI Historic"/>
        </w:rPr>
        <w:t>also provides detail on its encumbered and unspent research funds in Appendix B of its FY 2023-2024 Plan</w:t>
      </w:r>
      <w:r w:rsidRPr="00882303" w:rsidR="00EF6AA6">
        <w:rPr>
          <w:rFonts w:ascii="Palatino Linotype" w:hAnsi="Palatino Linotype" w:cs="Segoe UI Historic"/>
        </w:rPr>
        <w:t>, attached to this Resolution as Attachment A</w:t>
      </w:r>
      <w:r w:rsidRPr="00882303" w:rsidR="000F2767">
        <w:rPr>
          <w:rFonts w:ascii="Palatino Linotype" w:hAnsi="Palatino Linotype" w:cs="Segoe UI Historic"/>
        </w:rPr>
        <w:t>.</w:t>
      </w:r>
      <w:r w:rsidRPr="00882303" w:rsidR="000F2767">
        <w:rPr>
          <w:rStyle w:val="FootnoteReference"/>
          <w:rFonts w:ascii="Palatino Linotype" w:hAnsi="Palatino Linotype" w:cs="Segoe UI Historic"/>
        </w:rPr>
        <w:footnoteReference w:id="27"/>
      </w:r>
    </w:p>
    <w:p w:rsidRPr="00882303" w:rsidR="000F2767" w:rsidP="006771D7" w:rsidRDefault="000F2767" w14:paraId="31BA682D" w14:textId="519AC85D">
      <w:pPr>
        <w:pStyle w:val="paragraph"/>
        <w:spacing w:after="0"/>
        <w:textAlignment w:val="baseline"/>
        <w:rPr>
          <w:rFonts w:ascii="Palatino Linotype" w:hAnsi="Palatino Linotype" w:cs="Segoe UI Historic"/>
        </w:rPr>
      </w:pPr>
      <w:r w:rsidRPr="00882303">
        <w:rPr>
          <w:rFonts w:ascii="Palatino Linotype" w:hAnsi="Palatino Linotype" w:cs="Segoe UI Historic"/>
        </w:rPr>
        <w:t>This is compliant with the requirement from G-3484.</w:t>
      </w:r>
    </w:p>
    <w:p w:rsidRPr="00882303" w:rsidR="00CD75E5" w:rsidP="00CD75E5" w:rsidRDefault="009A25A3" w14:paraId="39052191" w14:textId="677F6819">
      <w:pPr>
        <w:pStyle w:val="paragraph"/>
        <w:spacing w:after="0"/>
        <w:textAlignment w:val="baseline"/>
        <w:rPr>
          <w:rFonts w:ascii="Palatino Linotype" w:hAnsi="Palatino Linotype" w:cs="Segoe UI Historic"/>
        </w:rPr>
      </w:pPr>
      <w:r w:rsidRPr="00882303">
        <w:rPr>
          <w:rFonts w:ascii="Palatino Linotype" w:hAnsi="Palatino Linotype" w:cs="Segoe UI Historic"/>
          <w:b/>
        </w:rPr>
        <w:t>Consistency with Resolution G-3571 (2020) Direction</w:t>
      </w:r>
    </w:p>
    <w:p w:rsidRPr="00F84530" w:rsidR="71B9D62C" w:rsidP="71B9D62C" w:rsidRDefault="71B9D62C" w14:paraId="4504495B" w14:textId="19364B88">
      <w:pPr>
        <w:pStyle w:val="paragraph"/>
        <w:rPr>
          <w:rFonts w:ascii="Palatino Linotype" w:hAnsi="Palatino Linotype" w:cs="Segoe UI Historic"/>
          <w:b/>
          <w:bCs/>
          <w:i/>
          <w:iCs/>
          <w:sz w:val="2"/>
          <w:szCs w:val="2"/>
        </w:rPr>
      </w:pPr>
    </w:p>
    <w:p w:rsidRPr="00882303" w:rsidR="00783297" w:rsidP="00F04BCC" w:rsidRDefault="00783297" w14:paraId="09066ADB" w14:textId="5208EB34">
      <w:pPr>
        <w:pStyle w:val="paragraph"/>
        <w:rPr>
          <w:rFonts w:ascii="Palatino Linotype" w:hAnsi="Palatino Linotype" w:cs="Segoe UI Historic"/>
          <w:b/>
          <w:i/>
        </w:rPr>
      </w:pPr>
      <w:r w:rsidRPr="00882303">
        <w:rPr>
          <w:rFonts w:ascii="Palatino Linotype" w:hAnsi="Palatino Linotype" w:cs="Segoe UI Historic"/>
          <w:b/>
          <w:i/>
        </w:rPr>
        <w:t>Advice Letter Submission Process</w:t>
      </w:r>
    </w:p>
    <w:p w:rsidRPr="00882303" w:rsidR="00CD75E5" w:rsidP="00F04BCC" w:rsidRDefault="00CD75E5" w14:paraId="7ABB840A" w14:textId="0F7E79AE">
      <w:pPr>
        <w:pStyle w:val="paragraph"/>
        <w:rPr>
          <w:rFonts w:ascii="Palatino Linotype" w:hAnsi="Palatino Linotype" w:cs="Segoe UI Historic"/>
        </w:rPr>
      </w:pPr>
      <w:r w:rsidRPr="00882303">
        <w:rPr>
          <w:rFonts w:ascii="Palatino Linotype" w:hAnsi="Palatino Linotype" w:cs="Segoe UI Historic"/>
        </w:rPr>
        <w:t xml:space="preserve">Resolution G-3571 requires the CEC to submit </w:t>
      </w:r>
      <w:r w:rsidRPr="00882303" w:rsidR="009B6B5E">
        <w:rPr>
          <w:rFonts w:ascii="Palatino Linotype" w:hAnsi="Palatino Linotype" w:cs="Segoe UI Historic"/>
        </w:rPr>
        <w:t xml:space="preserve">its </w:t>
      </w:r>
      <w:r w:rsidRPr="00882303">
        <w:rPr>
          <w:rFonts w:ascii="Palatino Linotype" w:hAnsi="Palatino Linotype" w:cs="Segoe UI Historic"/>
        </w:rPr>
        <w:t xml:space="preserve">Gas R&amp;D </w:t>
      </w:r>
      <w:r w:rsidRPr="00882303" w:rsidR="00FE1312">
        <w:rPr>
          <w:rFonts w:ascii="Palatino Linotype" w:hAnsi="Palatino Linotype" w:cs="Segoe UI Historic"/>
        </w:rPr>
        <w:t>P</w:t>
      </w:r>
      <w:r w:rsidRPr="00882303">
        <w:rPr>
          <w:rFonts w:ascii="Palatino Linotype" w:hAnsi="Palatino Linotype" w:cs="Segoe UI Historic"/>
        </w:rPr>
        <w:t>lans in the form of a Tier 3 business letter pursuant to General Order 96-B to be served on the gas utilities’ advice letter service lists. The CEC submitted its FY 202</w:t>
      </w:r>
      <w:r w:rsidRPr="00882303" w:rsidR="003D3409">
        <w:rPr>
          <w:rFonts w:ascii="Palatino Linotype" w:hAnsi="Palatino Linotype" w:cs="Segoe UI Historic"/>
        </w:rPr>
        <w:t>3</w:t>
      </w:r>
      <w:r w:rsidRPr="00882303">
        <w:rPr>
          <w:rFonts w:ascii="Palatino Linotype" w:hAnsi="Palatino Linotype" w:cs="Segoe UI Historic"/>
        </w:rPr>
        <w:t>-202</w:t>
      </w:r>
      <w:r w:rsidRPr="00882303" w:rsidR="003D3409">
        <w:rPr>
          <w:rFonts w:ascii="Palatino Linotype" w:hAnsi="Palatino Linotype" w:cs="Segoe UI Historic"/>
        </w:rPr>
        <w:t>4</w:t>
      </w:r>
      <w:r w:rsidRPr="00882303">
        <w:rPr>
          <w:rFonts w:ascii="Palatino Linotype" w:hAnsi="Palatino Linotype" w:cs="Segoe UI Historic"/>
        </w:rPr>
        <w:t xml:space="preserve"> </w:t>
      </w:r>
      <w:r w:rsidRPr="00882303" w:rsidR="009D13D5">
        <w:rPr>
          <w:rFonts w:ascii="Palatino Linotype" w:hAnsi="Palatino Linotype" w:cs="Segoe UI Historic"/>
        </w:rPr>
        <w:t>P</w:t>
      </w:r>
      <w:r w:rsidRPr="00882303">
        <w:rPr>
          <w:rFonts w:ascii="Palatino Linotype" w:hAnsi="Palatino Linotype" w:cs="Segoe UI Historic"/>
        </w:rPr>
        <w:t xml:space="preserve">lan on </w:t>
      </w:r>
      <w:r w:rsidRPr="00882303" w:rsidR="003D3409">
        <w:rPr>
          <w:rFonts w:ascii="Palatino Linotype" w:hAnsi="Palatino Linotype" w:cs="Segoe UI Historic"/>
        </w:rPr>
        <w:t>June 1</w:t>
      </w:r>
      <w:r w:rsidRPr="00882303">
        <w:rPr>
          <w:rFonts w:ascii="Palatino Linotype" w:hAnsi="Palatino Linotype" w:cs="Segoe UI Historic"/>
        </w:rPr>
        <w:t xml:space="preserve">, </w:t>
      </w:r>
      <w:proofErr w:type="gramStart"/>
      <w:r w:rsidRPr="00882303">
        <w:rPr>
          <w:rFonts w:ascii="Palatino Linotype" w:hAnsi="Palatino Linotype" w:cs="Segoe UI Historic"/>
        </w:rPr>
        <w:t>202</w:t>
      </w:r>
      <w:r w:rsidRPr="00882303" w:rsidR="003D3409">
        <w:rPr>
          <w:rFonts w:ascii="Palatino Linotype" w:hAnsi="Palatino Linotype" w:cs="Segoe UI Historic"/>
        </w:rPr>
        <w:t>3</w:t>
      </w:r>
      <w:proofErr w:type="gramEnd"/>
      <w:r w:rsidRPr="00882303">
        <w:rPr>
          <w:rFonts w:ascii="Palatino Linotype" w:hAnsi="Palatino Linotype" w:cs="Segoe UI Historic"/>
        </w:rPr>
        <w:t xml:space="preserve"> as a </w:t>
      </w:r>
      <w:r w:rsidRPr="00882303" w:rsidR="007023E1">
        <w:rPr>
          <w:rFonts w:ascii="Palatino Linotype" w:hAnsi="Palatino Linotype" w:cs="Segoe UI Historic"/>
        </w:rPr>
        <w:br/>
      </w:r>
      <w:r w:rsidRPr="00882303">
        <w:rPr>
          <w:rFonts w:ascii="Palatino Linotype" w:hAnsi="Palatino Linotype" w:cs="Segoe UI Historic"/>
        </w:rPr>
        <w:t xml:space="preserve">Tier 3 Advice Letter through the business letter process. The CEC’s </w:t>
      </w:r>
      <w:r w:rsidRPr="00882303" w:rsidR="00E53414">
        <w:rPr>
          <w:rFonts w:ascii="Palatino Linotype" w:hAnsi="Palatino Linotype" w:cs="Segoe UI Historic"/>
        </w:rPr>
        <w:t>FY 202</w:t>
      </w:r>
      <w:r w:rsidRPr="00882303" w:rsidR="003D3409">
        <w:rPr>
          <w:rFonts w:ascii="Palatino Linotype" w:hAnsi="Palatino Linotype" w:cs="Segoe UI Historic"/>
        </w:rPr>
        <w:t>3</w:t>
      </w:r>
      <w:r w:rsidRPr="00882303" w:rsidR="00E53414">
        <w:rPr>
          <w:rFonts w:ascii="Palatino Linotype" w:hAnsi="Palatino Linotype" w:cs="Segoe UI Historic"/>
        </w:rPr>
        <w:t>-202</w:t>
      </w:r>
      <w:r w:rsidRPr="00882303" w:rsidR="003D3409">
        <w:rPr>
          <w:rFonts w:ascii="Palatino Linotype" w:hAnsi="Palatino Linotype" w:cs="Segoe UI Historic"/>
        </w:rPr>
        <w:t>4</w:t>
      </w:r>
      <w:r w:rsidRPr="00882303" w:rsidR="00E53414">
        <w:rPr>
          <w:rFonts w:ascii="Palatino Linotype" w:hAnsi="Palatino Linotype" w:cs="Segoe UI Historic"/>
        </w:rPr>
        <w:t xml:space="preserve"> </w:t>
      </w:r>
      <w:r w:rsidRPr="00882303" w:rsidR="00FE1312">
        <w:rPr>
          <w:rFonts w:ascii="Palatino Linotype" w:hAnsi="Palatino Linotype" w:cs="Segoe UI Historic"/>
        </w:rPr>
        <w:t>P</w:t>
      </w:r>
      <w:r w:rsidRPr="00882303">
        <w:rPr>
          <w:rFonts w:ascii="Palatino Linotype" w:hAnsi="Palatino Linotype" w:cs="Segoe UI Historic"/>
        </w:rPr>
        <w:t xml:space="preserve">lan </w:t>
      </w:r>
      <w:r w:rsidRPr="00882303" w:rsidR="00B5110E">
        <w:rPr>
          <w:rFonts w:ascii="Palatino Linotype" w:hAnsi="Palatino Linotype" w:cs="Segoe UI Historic"/>
        </w:rPr>
        <w:t>complies</w:t>
      </w:r>
      <w:r w:rsidRPr="00882303">
        <w:rPr>
          <w:rFonts w:ascii="Palatino Linotype" w:hAnsi="Palatino Linotype" w:cs="Segoe UI Historic"/>
        </w:rPr>
        <w:t xml:space="preserve"> with th</w:t>
      </w:r>
      <w:r w:rsidRPr="00882303" w:rsidR="00B5110E">
        <w:rPr>
          <w:rFonts w:ascii="Palatino Linotype" w:hAnsi="Palatino Linotype" w:cs="Segoe UI Historic"/>
        </w:rPr>
        <w:t>is</w:t>
      </w:r>
      <w:r w:rsidRPr="00882303">
        <w:rPr>
          <w:rFonts w:ascii="Palatino Linotype" w:hAnsi="Palatino Linotype" w:cs="Segoe UI Historic"/>
        </w:rPr>
        <w:t xml:space="preserve"> requirement. </w:t>
      </w:r>
    </w:p>
    <w:p w:rsidRPr="00882303" w:rsidR="007D58F9" w:rsidP="00F04BCC" w:rsidRDefault="00F674BE" w14:paraId="0A9C97F2" w14:textId="77777777">
      <w:pPr>
        <w:pStyle w:val="paragraph"/>
        <w:rPr>
          <w:rFonts w:ascii="Palatino Linotype" w:hAnsi="Palatino Linotype" w:cs="Segoe UI Historic"/>
        </w:rPr>
      </w:pPr>
      <w:r w:rsidRPr="00882303">
        <w:rPr>
          <w:rFonts w:ascii="Palatino Linotype" w:hAnsi="Palatino Linotype" w:cs="Segoe UI Historic"/>
        </w:rPr>
        <w:t xml:space="preserve">Resolution G-3571 </w:t>
      </w:r>
      <w:r w:rsidRPr="00882303" w:rsidR="00C2467B">
        <w:rPr>
          <w:rFonts w:ascii="Palatino Linotype" w:hAnsi="Palatino Linotype" w:cs="Segoe UI Historic"/>
        </w:rPr>
        <w:t xml:space="preserve">also </w:t>
      </w:r>
      <w:r w:rsidRPr="00882303">
        <w:rPr>
          <w:rFonts w:ascii="Palatino Linotype" w:hAnsi="Palatino Linotype" w:cs="Segoe UI Historic"/>
        </w:rPr>
        <w:t>includes a requirement for the CEC to post all Gas R&amp;D Budget Plans publicly on the CEC’s website</w:t>
      </w:r>
      <w:r w:rsidRPr="00882303" w:rsidR="001C5D7A">
        <w:rPr>
          <w:rStyle w:val="FootnoteReference"/>
          <w:rFonts w:ascii="Palatino Linotype" w:hAnsi="Palatino Linotype" w:cs="Segoe UI Historic"/>
        </w:rPr>
        <w:footnoteReference w:id="28"/>
      </w:r>
      <w:r w:rsidRPr="00882303">
        <w:rPr>
          <w:rFonts w:ascii="Palatino Linotype" w:hAnsi="Palatino Linotype" w:cs="Segoe UI Historic"/>
        </w:rPr>
        <w:t xml:space="preserve"> </w:t>
      </w:r>
      <w:r w:rsidRPr="00882303" w:rsidR="006D7B7F">
        <w:rPr>
          <w:rFonts w:ascii="Palatino Linotype" w:hAnsi="Palatino Linotype" w:cs="Segoe UI Historic"/>
        </w:rPr>
        <w:t xml:space="preserve">and to notify the CPUC of the web address </w:t>
      </w:r>
      <w:r w:rsidRPr="00882303">
        <w:rPr>
          <w:rFonts w:ascii="Palatino Linotype" w:hAnsi="Palatino Linotype" w:cs="Segoe UI Historic"/>
        </w:rPr>
        <w:t xml:space="preserve">before submitting </w:t>
      </w:r>
      <w:r w:rsidRPr="00882303" w:rsidR="006B1ED9">
        <w:rPr>
          <w:rFonts w:ascii="Palatino Linotype" w:hAnsi="Palatino Linotype" w:cs="Segoe UI Historic"/>
        </w:rPr>
        <w:t xml:space="preserve">its advice letter </w:t>
      </w:r>
      <w:r w:rsidRPr="00882303">
        <w:rPr>
          <w:rFonts w:ascii="Palatino Linotype" w:hAnsi="Palatino Linotype" w:cs="Segoe UI Historic"/>
        </w:rPr>
        <w:t>to the CPUC</w:t>
      </w:r>
      <w:r w:rsidRPr="00882303" w:rsidR="00D5105A">
        <w:rPr>
          <w:rFonts w:ascii="Palatino Linotype" w:hAnsi="Palatino Linotype" w:cs="Segoe UI Historic"/>
        </w:rPr>
        <w:t>.</w:t>
      </w:r>
      <w:r w:rsidRPr="00882303">
        <w:rPr>
          <w:rFonts w:ascii="Palatino Linotype" w:hAnsi="Palatino Linotype" w:cs="Segoe UI Historic"/>
        </w:rPr>
        <w:t xml:space="preserve"> G-3571</w:t>
      </w:r>
      <w:r w:rsidRPr="00882303" w:rsidDel="00C2467B">
        <w:rPr>
          <w:rFonts w:ascii="Palatino Linotype" w:hAnsi="Palatino Linotype" w:cs="Segoe UI Historic"/>
        </w:rPr>
        <w:t xml:space="preserve"> </w:t>
      </w:r>
      <w:r w:rsidRPr="00882303">
        <w:rPr>
          <w:rFonts w:ascii="Palatino Linotype" w:hAnsi="Palatino Linotype" w:cs="Segoe UI Historic"/>
        </w:rPr>
        <w:t xml:space="preserve">requires the CEC to distribute budget plans through the CEC’s listservs. </w:t>
      </w:r>
    </w:p>
    <w:p w:rsidRPr="00882303" w:rsidR="00F674BE" w:rsidP="00F04BCC" w:rsidRDefault="00F674BE" w14:paraId="747A2EA3" w14:textId="5C45D9AE">
      <w:pPr>
        <w:pStyle w:val="paragraph"/>
        <w:rPr>
          <w:rFonts w:ascii="Palatino Linotype" w:hAnsi="Palatino Linotype" w:cs="Segoe UI Historic"/>
        </w:rPr>
      </w:pPr>
      <w:r w:rsidRPr="00882303">
        <w:rPr>
          <w:rFonts w:ascii="Palatino Linotype" w:hAnsi="Palatino Linotype" w:cs="Segoe UI Historic"/>
        </w:rPr>
        <w:t>The CEC</w:t>
      </w:r>
      <w:r w:rsidRPr="00882303" w:rsidR="00F62D57">
        <w:rPr>
          <w:rFonts w:ascii="Palatino Linotype" w:hAnsi="Palatino Linotype" w:cs="Segoe UI Historic"/>
        </w:rPr>
        <w:t xml:space="preserve"> met </w:t>
      </w:r>
      <w:proofErr w:type="gramStart"/>
      <w:r w:rsidRPr="00882303" w:rsidR="00F62D57">
        <w:rPr>
          <w:rFonts w:ascii="Palatino Linotype" w:hAnsi="Palatino Linotype" w:cs="Segoe UI Historic"/>
        </w:rPr>
        <w:t>all of</w:t>
      </w:r>
      <w:proofErr w:type="gramEnd"/>
      <w:r w:rsidRPr="00882303" w:rsidR="00F62D57">
        <w:rPr>
          <w:rFonts w:ascii="Palatino Linotype" w:hAnsi="Palatino Linotype" w:cs="Segoe UI Historic"/>
        </w:rPr>
        <w:t xml:space="preserve"> these requirements for it</w:t>
      </w:r>
      <w:r w:rsidRPr="00882303">
        <w:rPr>
          <w:rFonts w:ascii="Palatino Linotype" w:hAnsi="Palatino Linotype" w:cs="Segoe UI Historic"/>
        </w:rPr>
        <w:t xml:space="preserve">s </w:t>
      </w:r>
      <w:r w:rsidRPr="00882303" w:rsidR="00F43E38">
        <w:rPr>
          <w:rFonts w:ascii="Palatino Linotype" w:hAnsi="Palatino Linotype" w:cs="Segoe UI Historic"/>
        </w:rPr>
        <w:t>FY 202</w:t>
      </w:r>
      <w:r w:rsidRPr="00882303" w:rsidR="003D3409">
        <w:rPr>
          <w:rFonts w:ascii="Palatino Linotype" w:hAnsi="Palatino Linotype" w:cs="Segoe UI Historic"/>
        </w:rPr>
        <w:t>3</w:t>
      </w:r>
      <w:r w:rsidRPr="00882303" w:rsidR="00F43E38">
        <w:rPr>
          <w:rFonts w:ascii="Palatino Linotype" w:hAnsi="Palatino Linotype" w:cs="Segoe UI Historic"/>
        </w:rPr>
        <w:t>-</w:t>
      </w:r>
      <w:r w:rsidRPr="00882303" w:rsidR="00520370">
        <w:rPr>
          <w:rFonts w:ascii="Palatino Linotype" w:hAnsi="Palatino Linotype" w:cs="Segoe UI Historic"/>
        </w:rPr>
        <w:t>20</w:t>
      </w:r>
      <w:r w:rsidRPr="00882303" w:rsidR="00F43E38">
        <w:rPr>
          <w:rFonts w:ascii="Palatino Linotype" w:hAnsi="Palatino Linotype" w:cs="Segoe UI Historic"/>
        </w:rPr>
        <w:t>2</w:t>
      </w:r>
      <w:r w:rsidRPr="00882303" w:rsidR="003D3409">
        <w:rPr>
          <w:rFonts w:ascii="Palatino Linotype" w:hAnsi="Palatino Linotype" w:cs="Segoe UI Historic"/>
        </w:rPr>
        <w:t>4</w:t>
      </w:r>
      <w:r w:rsidRPr="00882303" w:rsidR="00F43E38">
        <w:rPr>
          <w:rFonts w:ascii="Palatino Linotype" w:hAnsi="Palatino Linotype" w:cs="Segoe UI Historic"/>
        </w:rPr>
        <w:t xml:space="preserve"> </w:t>
      </w:r>
      <w:r w:rsidRPr="00882303" w:rsidR="00837B18">
        <w:rPr>
          <w:rFonts w:ascii="Palatino Linotype" w:hAnsi="Palatino Linotype" w:cs="Segoe UI Historic"/>
        </w:rPr>
        <w:t>P</w:t>
      </w:r>
      <w:r w:rsidRPr="00882303">
        <w:rPr>
          <w:rFonts w:ascii="Palatino Linotype" w:hAnsi="Palatino Linotype" w:cs="Segoe UI Historic"/>
        </w:rPr>
        <w:t>lan</w:t>
      </w:r>
      <w:r w:rsidRPr="00882303" w:rsidR="005B7CAD">
        <w:rPr>
          <w:rFonts w:ascii="Palatino Linotype" w:hAnsi="Palatino Linotype" w:cs="Segoe UI Historic"/>
        </w:rPr>
        <w:t xml:space="preserve"> and is compliant with </w:t>
      </w:r>
      <w:r w:rsidRPr="00882303" w:rsidR="009D3C81">
        <w:rPr>
          <w:rFonts w:ascii="Palatino Linotype" w:hAnsi="Palatino Linotype" w:cs="Segoe UI Historic"/>
        </w:rPr>
        <w:t>G-3571</w:t>
      </w:r>
      <w:r w:rsidRPr="00882303" w:rsidR="00363527">
        <w:rPr>
          <w:rFonts w:ascii="Palatino Linotype" w:hAnsi="Palatino Linotype" w:cs="Segoe UI Historic"/>
        </w:rPr>
        <w:t>.</w:t>
      </w:r>
    </w:p>
    <w:p w:rsidRPr="00F84530" w:rsidR="71B9D62C" w:rsidP="71B9D62C" w:rsidRDefault="71B9D62C" w14:paraId="2D10C1DD" w14:textId="783A72E1">
      <w:pPr>
        <w:pStyle w:val="paragraph"/>
        <w:rPr>
          <w:rFonts w:ascii="Palatino Linotype" w:hAnsi="Palatino Linotype" w:cs="Segoe UI Historic"/>
          <w:b/>
          <w:bCs/>
          <w:i/>
          <w:iCs/>
          <w:sz w:val="2"/>
          <w:szCs w:val="2"/>
        </w:rPr>
      </w:pPr>
    </w:p>
    <w:p w:rsidRPr="00882303" w:rsidR="006B2EEF" w:rsidP="00F04BCC" w:rsidRDefault="006B2EEF" w14:paraId="3324CE53" w14:textId="2DFC1FED">
      <w:pPr>
        <w:pStyle w:val="paragraph"/>
        <w:rPr>
          <w:rFonts w:ascii="Palatino Linotype" w:hAnsi="Palatino Linotype" w:cs="Segoe UI Historic"/>
          <w:b/>
        </w:rPr>
      </w:pPr>
      <w:r w:rsidRPr="00882303">
        <w:rPr>
          <w:rFonts w:ascii="Palatino Linotype" w:hAnsi="Palatino Linotype" w:cs="Segoe UI Historic"/>
          <w:b/>
          <w:i/>
        </w:rPr>
        <w:t>COVID-related Requirements</w:t>
      </w:r>
    </w:p>
    <w:p w:rsidRPr="00882303" w:rsidR="00396DCD" w:rsidP="00F04BCC" w:rsidRDefault="008B655D" w14:paraId="017F19BB" w14:textId="77777777">
      <w:pPr>
        <w:pStyle w:val="paragraph"/>
        <w:rPr>
          <w:rFonts w:ascii="Palatino Linotype" w:hAnsi="Palatino Linotype" w:cs="Segoe UI Historic"/>
        </w:rPr>
      </w:pPr>
      <w:r w:rsidRPr="00882303">
        <w:rPr>
          <w:rFonts w:ascii="Palatino Linotype" w:hAnsi="Palatino Linotype" w:cs="Segoe UI Historic"/>
        </w:rPr>
        <w:t xml:space="preserve">Resolution </w:t>
      </w:r>
      <w:r w:rsidRPr="00882303" w:rsidR="006B2EEF">
        <w:rPr>
          <w:rFonts w:ascii="Palatino Linotype" w:hAnsi="Palatino Linotype" w:cs="Segoe UI Historic"/>
        </w:rPr>
        <w:t xml:space="preserve">G-3571 </w:t>
      </w:r>
      <w:r w:rsidRPr="00882303" w:rsidR="00936FA6">
        <w:rPr>
          <w:rFonts w:ascii="Palatino Linotype" w:hAnsi="Palatino Linotype" w:cs="Segoe UI Historic"/>
        </w:rPr>
        <w:t>directs</w:t>
      </w:r>
      <w:r w:rsidRPr="00882303" w:rsidR="00722EC8">
        <w:rPr>
          <w:rFonts w:ascii="Palatino Linotype" w:hAnsi="Palatino Linotype" w:cs="Segoe UI Historic"/>
        </w:rPr>
        <w:t xml:space="preserve"> the CEC to consider “any research gaps that might emerge because of recent budget decreases or reallocations in response to COVID-related economic impacts and potential cofounding opportunities that the Gas R&amp;D program can provide to limit the impact of these gaps on California energy goals.”</w:t>
      </w:r>
      <w:r w:rsidRPr="00882303" w:rsidR="00D5489C">
        <w:rPr>
          <w:rStyle w:val="FootnoteReference"/>
          <w:rFonts w:ascii="Palatino Linotype" w:hAnsi="Palatino Linotype" w:cs="Segoe UI Historic"/>
        </w:rPr>
        <w:footnoteReference w:id="29"/>
      </w:r>
      <w:r w:rsidRPr="00882303" w:rsidR="00D5489C">
        <w:rPr>
          <w:rFonts w:ascii="Palatino Linotype" w:hAnsi="Palatino Linotype" w:cs="Segoe UI Historic"/>
        </w:rPr>
        <w:t xml:space="preserve"> In its </w:t>
      </w:r>
      <w:r w:rsidRPr="00882303" w:rsidR="007023E1">
        <w:rPr>
          <w:rFonts w:ascii="Palatino Linotype" w:hAnsi="Palatino Linotype" w:cs="Segoe UI Historic"/>
        </w:rPr>
        <w:br/>
      </w:r>
      <w:r w:rsidRPr="00882303" w:rsidR="00D5489C">
        <w:rPr>
          <w:rFonts w:ascii="Palatino Linotype" w:hAnsi="Palatino Linotype" w:cs="Segoe UI Historic"/>
        </w:rPr>
        <w:lastRenderedPageBreak/>
        <w:t>FY 202</w:t>
      </w:r>
      <w:r w:rsidRPr="00882303" w:rsidR="00552067">
        <w:rPr>
          <w:rFonts w:ascii="Palatino Linotype" w:hAnsi="Palatino Linotype" w:cs="Segoe UI Historic"/>
        </w:rPr>
        <w:t>3</w:t>
      </w:r>
      <w:r w:rsidRPr="00882303" w:rsidR="00D5489C">
        <w:rPr>
          <w:rFonts w:ascii="Palatino Linotype" w:hAnsi="Palatino Linotype" w:cs="Segoe UI Historic"/>
        </w:rPr>
        <w:t>-2</w:t>
      </w:r>
      <w:r w:rsidRPr="00882303" w:rsidR="00E301FB">
        <w:rPr>
          <w:rFonts w:ascii="Palatino Linotype" w:hAnsi="Palatino Linotype" w:cs="Segoe UI Historic"/>
        </w:rPr>
        <w:t>02</w:t>
      </w:r>
      <w:r w:rsidRPr="00882303" w:rsidR="00552067">
        <w:rPr>
          <w:rFonts w:ascii="Palatino Linotype" w:hAnsi="Palatino Linotype" w:cs="Segoe UI Historic"/>
        </w:rPr>
        <w:t>4</w:t>
      </w:r>
      <w:r w:rsidRPr="00882303" w:rsidR="00D5489C">
        <w:rPr>
          <w:rFonts w:ascii="Palatino Linotype" w:hAnsi="Palatino Linotype" w:cs="Segoe UI Historic"/>
        </w:rPr>
        <w:t xml:space="preserve"> plan, the CEC states: “at this time the CEC is not aware of budget decreases or reallocations that may result in research gaps.”</w:t>
      </w:r>
      <w:r w:rsidRPr="00882303" w:rsidR="00552067">
        <w:rPr>
          <w:rStyle w:val="FootnoteReference"/>
          <w:rFonts w:ascii="Palatino Linotype" w:hAnsi="Palatino Linotype" w:cs="Segoe UI Historic"/>
        </w:rPr>
        <w:footnoteReference w:id="30"/>
      </w:r>
      <w:r w:rsidRPr="00882303" w:rsidR="00F43E38">
        <w:rPr>
          <w:rFonts w:ascii="Palatino Linotype" w:hAnsi="Palatino Linotype" w:cs="Segoe UI Historic"/>
        </w:rPr>
        <w:t xml:space="preserve"> </w:t>
      </w:r>
    </w:p>
    <w:p w:rsidRPr="00882303" w:rsidR="006B2EEF" w:rsidP="00F04BCC" w:rsidRDefault="00F43E38" w14:paraId="3C6192B3" w14:textId="509711F1">
      <w:pPr>
        <w:pStyle w:val="paragraph"/>
        <w:rPr>
          <w:rFonts w:ascii="Palatino Linotype" w:hAnsi="Palatino Linotype" w:cs="Segoe UI Historic"/>
        </w:rPr>
      </w:pPr>
      <w:r w:rsidRPr="00882303">
        <w:rPr>
          <w:rFonts w:ascii="Palatino Linotype" w:hAnsi="Palatino Linotype" w:cs="Segoe UI Historic"/>
        </w:rPr>
        <w:t>Th</w:t>
      </w:r>
      <w:r w:rsidRPr="00882303" w:rsidR="00E53414">
        <w:rPr>
          <w:rFonts w:ascii="Palatino Linotype" w:hAnsi="Palatino Linotype" w:cs="Segoe UI Historic"/>
        </w:rPr>
        <w:t>e CEC</w:t>
      </w:r>
      <w:r w:rsidRPr="00882303">
        <w:rPr>
          <w:rFonts w:ascii="Palatino Linotype" w:hAnsi="Palatino Linotype" w:cs="Segoe UI Historic"/>
        </w:rPr>
        <w:t xml:space="preserve"> is </w:t>
      </w:r>
      <w:r w:rsidRPr="00882303" w:rsidR="00CB55EB">
        <w:rPr>
          <w:rFonts w:ascii="Palatino Linotype" w:hAnsi="Palatino Linotype" w:cs="Segoe UI Historic"/>
        </w:rPr>
        <w:t xml:space="preserve">compliant with </w:t>
      </w:r>
      <w:r w:rsidRPr="00882303" w:rsidR="00436954">
        <w:rPr>
          <w:rFonts w:ascii="Palatino Linotype" w:hAnsi="Palatino Linotype" w:cs="Segoe UI Historic"/>
        </w:rPr>
        <w:t xml:space="preserve">consideration of COVID-related impacts </w:t>
      </w:r>
      <w:r w:rsidRPr="00882303" w:rsidR="0079401C">
        <w:rPr>
          <w:rFonts w:ascii="Palatino Linotype" w:hAnsi="Palatino Linotype" w:cs="Segoe UI Historic"/>
        </w:rPr>
        <w:t xml:space="preserve">in </w:t>
      </w:r>
      <w:r w:rsidRPr="00882303" w:rsidR="00E53414">
        <w:rPr>
          <w:rFonts w:ascii="Palatino Linotype" w:hAnsi="Palatino Linotype" w:cs="Segoe UI Historic"/>
        </w:rPr>
        <w:t xml:space="preserve">G-3571 </w:t>
      </w:r>
      <w:r w:rsidRPr="00882303" w:rsidR="00CB55EB">
        <w:rPr>
          <w:rFonts w:ascii="Palatino Linotype" w:hAnsi="Palatino Linotype" w:cs="Segoe UI Historic"/>
        </w:rPr>
        <w:t>order.</w:t>
      </w:r>
      <w:r w:rsidRPr="00882303" w:rsidR="00F553BD">
        <w:rPr>
          <w:rFonts w:ascii="Palatino Linotype" w:hAnsi="Palatino Linotype" w:cs="Segoe UI Historic"/>
        </w:rPr>
        <w:t xml:space="preserve"> </w:t>
      </w:r>
    </w:p>
    <w:p w:rsidRPr="00882303" w:rsidR="00F553BD" w:rsidP="00F04BCC" w:rsidRDefault="00477482" w14:paraId="0376C8A6" w14:textId="1C81DF27">
      <w:pPr>
        <w:pStyle w:val="paragraph"/>
        <w:rPr>
          <w:rFonts w:ascii="Palatino Linotype" w:hAnsi="Palatino Linotype" w:cs="Segoe UI Historic"/>
        </w:rPr>
      </w:pPr>
      <w:r w:rsidRPr="00882303">
        <w:rPr>
          <w:rFonts w:ascii="Palatino Linotype" w:hAnsi="Palatino Linotype" w:cs="Segoe UI Historic"/>
        </w:rPr>
        <w:t xml:space="preserve">For all future </w:t>
      </w:r>
      <w:r w:rsidRPr="00882303" w:rsidR="006E05E2">
        <w:rPr>
          <w:rFonts w:ascii="Palatino Linotype" w:hAnsi="Palatino Linotype" w:cs="Segoe UI Historic"/>
        </w:rPr>
        <w:t xml:space="preserve">Budget Plans, the CEC </w:t>
      </w:r>
      <w:r w:rsidRPr="00882303" w:rsidR="003F2B77">
        <w:rPr>
          <w:rFonts w:ascii="Palatino Linotype" w:hAnsi="Palatino Linotype" w:cs="Segoe UI Historic"/>
        </w:rPr>
        <w:t xml:space="preserve">no longer </w:t>
      </w:r>
      <w:r w:rsidRPr="00882303" w:rsidR="00ED3C8B">
        <w:rPr>
          <w:rFonts w:ascii="Palatino Linotype" w:hAnsi="Palatino Linotype" w:cs="Segoe UI Historic"/>
        </w:rPr>
        <w:t>necessarily</w:t>
      </w:r>
      <w:r w:rsidRPr="00882303" w:rsidR="003F2B77">
        <w:rPr>
          <w:rFonts w:ascii="Palatino Linotype" w:hAnsi="Palatino Linotype" w:cs="Segoe UI Historic"/>
        </w:rPr>
        <w:t xml:space="preserve"> needs to report on </w:t>
      </w:r>
      <w:r w:rsidR="00DF76F7">
        <w:rPr>
          <w:rFonts w:ascii="Palatino Linotype" w:hAnsi="Palatino Linotype" w:cs="Segoe UI Historic"/>
        </w:rPr>
        <w:br/>
      </w:r>
      <w:r w:rsidRPr="00882303" w:rsidR="003F2B77">
        <w:rPr>
          <w:rFonts w:ascii="Palatino Linotype" w:hAnsi="Palatino Linotype" w:cs="Segoe UI Historic"/>
        </w:rPr>
        <w:t xml:space="preserve">COVID-related impacts, but instead, shall report on any </w:t>
      </w:r>
      <w:r w:rsidRPr="00882303" w:rsidR="00C6427E">
        <w:rPr>
          <w:rFonts w:ascii="Palatino Linotype" w:hAnsi="Palatino Linotype" w:cs="Segoe UI Historic"/>
        </w:rPr>
        <w:t xml:space="preserve">research gaps that might emerge due to unforeseen </w:t>
      </w:r>
      <w:r w:rsidRPr="00882303" w:rsidR="00C03038">
        <w:rPr>
          <w:rFonts w:ascii="Palatino Linotype" w:hAnsi="Palatino Linotype" w:cs="Segoe UI Historic"/>
        </w:rPr>
        <w:t xml:space="preserve">economic or emergency </w:t>
      </w:r>
      <w:r w:rsidRPr="00882303" w:rsidR="00C6427E">
        <w:rPr>
          <w:rFonts w:ascii="Palatino Linotype" w:hAnsi="Palatino Linotype" w:cs="Segoe UI Historic"/>
        </w:rPr>
        <w:t>circumstances</w:t>
      </w:r>
      <w:r w:rsidRPr="00882303" w:rsidR="000B48E9">
        <w:rPr>
          <w:rFonts w:ascii="Palatino Linotype" w:hAnsi="Palatino Linotype" w:cs="Segoe UI Historic"/>
        </w:rPr>
        <w:t xml:space="preserve"> </w:t>
      </w:r>
      <w:r w:rsidRPr="00882303" w:rsidR="00D05349">
        <w:rPr>
          <w:rFonts w:ascii="Palatino Linotype" w:hAnsi="Palatino Linotype" w:cs="Segoe UI Historic"/>
        </w:rPr>
        <w:t>including cybersecurity</w:t>
      </w:r>
      <w:r w:rsidRPr="00882303" w:rsidR="00BC19C8">
        <w:rPr>
          <w:rFonts w:ascii="Palatino Linotype" w:hAnsi="Palatino Linotype" w:cs="Segoe UI Historic"/>
        </w:rPr>
        <w:t>, human-caused</w:t>
      </w:r>
      <w:r w:rsidRPr="00882303" w:rsidR="002431CE">
        <w:rPr>
          <w:rFonts w:ascii="Palatino Linotype" w:hAnsi="Palatino Linotype" w:cs="Segoe UI Historic"/>
        </w:rPr>
        <w:t xml:space="preserve"> and/or natural disaster</w:t>
      </w:r>
      <w:r w:rsidRPr="00882303" w:rsidR="00B07071">
        <w:rPr>
          <w:rFonts w:ascii="Palatino Linotype" w:hAnsi="Palatino Linotype" w:cs="Segoe UI Historic"/>
        </w:rPr>
        <w:t>s</w:t>
      </w:r>
      <w:r w:rsidRPr="00882303" w:rsidR="00C6427E">
        <w:rPr>
          <w:rFonts w:ascii="Palatino Linotype" w:hAnsi="Palatino Linotype" w:cs="Segoe UI Historic"/>
        </w:rPr>
        <w:t xml:space="preserve">. </w:t>
      </w:r>
    </w:p>
    <w:p w:rsidRPr="00F84530" w:rsidR="71B9D62C" w:rsidP="71B9D62C" w:rsidRDefault="71B9D62C" w14:paraId="3C454571" w14:textId="0A70A084">
      <w:pPr>
        <w:pStyle w:val="paragraph"/>
        <w:rPr>
          <w:rFonts w:ascii="Palatino Linotype" w:hAnsi="Palatino Linotype" w:cs="Segoe UI Historic"/>
          <w:b/>
          <w:bCs/>
          <w:i/>
          <w:iCs/>
          <w:sz w:val="2"/>
          <w:szCs w:val="2"/>
        </w:rPr>
      </w:pPr>
    </w:p>
    <w:p w:rsidRPr="00882303" w:rsidR="009F356C" w:rsidP="009F356C" w:rsidRDefault="009F356C" w14:paraId="4FFB0D34" w14:textId="675FA04F">
      <w:pPr>
        <w:pStyle w:val="paragraph"/>
        <w:rPr>
          <w:rFonts w:ascii="Palatino Linotype" w:hAnsi="Palatino Linotype" w:cs="Segoe UI Historic"/>
          <w:b/>
        </w:rPr>
      </w:pPr>
      <w:r w:rsidRPr="00882303">
        <w:rPr>
          <w:rFonts w:ascii="Palatino Linotype" w:hAnsi="Palatino Linotype" w:cs="Segoe UI Historic"/>
          <w:b/>
          <w:i/>
        </w:rPr>
        <w:t>Coordination with CPUC</w:t>
      </w:r>
      <w:r w:rsidRPr="00882303">
        <w:rPr>
          <w:rFonts w:ascii="Palatino Linotype" w:hAnsi="Palatino Linotype" w:cs="Segoe UI Historic"/>
          <w:b/>
        </w:rPr>
        <w:t> </w:t>
      </w:r>
      <w:r w:rsidRPr="00882303" w:rsidR="007C2EA8">
        <w:rPr>
          <w:rFonts w:ascii="Palatino Linotype" w:hAnsi="Palatino Linotype" w:cs="Segoe UI Historic"/>
          <w:b/>
          <w:i/>
        </w:rPr>
        <w:t>Staff</w:t>
      </w:r>
    </w:p>
    <w:p w:rsidRPr="00882303" w:rsidR="009F356C" w:rsidP="009F356C" w:rsidRDefault="009F356C" w14:paraId="6D3671BC" w14:textId="182A7F48">
      <w:pPr>
        <w:pStyle w:val="paragraph"/>
        <w:rPr>
          <w:rFonts w:ascii="Palatino Linotype" w:hAnsi="Palatino Linotype" w:cs="Segoe UI Historic"/>
        </w:rPr>
      </w:pPr>
      <w:r w:rsidRPr="00882303">
        <w:rPr>
          <w:rFonts w:ascii="Palatino Linotype" w:hAnsi="Palatino Linotype" w:cs="Segoe UI Historic"/>
        </w:rPr>
        <w:t>Resolution G-3571 require</w:t>
      </w:r>
      <w:r w:rsidRPr="00882303" w:rsidR="00D55976">
        <w:rPr>
          <w:rFonts w:ascii="Palatino Linotype" w:hAnsi="Palatino Linotype" w:cs="Segoe UI Historic"/>
        </w:rPr>
        <w:t>s</w:t>
      </w:r>
      <w:r w:rsidRPr="00882303">
        <w:rPr>
          <w:rFonts w:ascii="Palatino Linotype" w:hAnsi="Palatino Linotype" w:cs="Segoe UI Historic"/>
        </w:rPr>
        <w:t xml:space="preserve"> the CEC to coordinate with</w:t>
      </w:r>
      <w:r w:rsidRPr="00882303" w:rsidDel="00E53414">
        <w:rPr>
          <w:rFonts w:ascii="Palatino Linotype" w:hAnsi="Palatino Linotype" w:cs="Segoe UI Historic"/>
        </w:rPr>
        <w:t xml:space="preserve"> </w:t>
      </w:r>
      <w:r w:rsidRPr="00882303">
        <w:rPr>
          <w:rFonts w:ascii="Palatino Linotype" w:hAnsi="Palatino Linotype" w:cs="Segoe UI Historic"/>
        </w:rPr>
        <w:t xml:space="preserve">CPUC </w:t>
      </w:r>
      <w:r w:rsidRPr="00882303" w:rsidR="00E53414">
        <w:rPr>
          <w:rFonts w:ascii="Palatino Linotype" w:hAnsi="Palatino Linotype" w:cs="Segoe UI Historic"/>
        </w:rPr>
        <w:t xml:space="preserve">staff on its proposed Gas R&amp;D budget plan </w:t>
      </w:r>
      <w:r w:rsidRPr="00882303">
        <w:rPr>
          <w:rFonts w:ascii="Palatino Linotype" w:hAnsi="Palatino Linotype" w:cs="Segoe UI Historic"/>
        </w:rPr>
        <w:t xml:space="preserve">at least three weeks in advance of the CEC’s public workshop. The CEC met with CPUC staff on December </w:t>
      </w:r>
      <w:r w:rsidRPr="00882303" w:rsidR="001D2F8D">
        <w:rPr>
          <w:rFonts w:ascii="Palatino Linotype" w:hAnsi="Palatino Linotype" w:cs="Segoe UI Historic"/>
        </w:rPr>
        <w:t>14, 2022</w:t>
      </w:r>
      <w:r w:rsidRPr="00882303" w:rsidR="2D09BC3E">
        <w:rPr>
          <w:rFonts w:ascii="Palatino Linotype" w:hAnsi="Palatino Linotype" w:cs="Segoe UI Historic"/>
        </w:rPr>
        <w:t>,</w:t>
      </w:r>
      <w:r w:rsidRPr="00882303">
        <w:rPr>
          <w:rFonts w:ascii="Palatino Linotype" w:hAnsi="Palatino Linotype" w:cs="Segoe UI Historic"/>
        </w:rPr>
        <w:t xml:space="preserve"> prior to the </w:t>
      </w:r>
      <w:r w:rsidRPr="00882303" w:rsidR="004A0CD5">
        <w:rPr>
          <w:rFonts w:ascii="Palatino Linotype" w:hAnsi="Palatino Linotype" w:cs="Segoe UI Historic"/>
        </w:rPr>
        <w:t xml:space="preserve">CEC’s </w:t>
      </w:r>
      <w:r w:rsidRPr="00882303">
        <w:rPr>
          <w:rFonts w:ascii="Palatino Linotype" w:hAnsi="Palatino Linotype" w:cs="Segoe UI Historic"/>
        </w:rPr>
        <w:t>public workshop held on January 1</w:t>
      </w:r>
      <w:r w:rsidRPr="00882303" w:rsidR="008D3140">
        <w:rPr>
          <w:rFonts w:ascii="Palatino Linotype" w:hAnsi="Palatino Linotype" w:cs="Segoe UI Historic"/>
        </w:rPr>
        <w:t>7</w:t>
      </w:r>
      <w:r w:rsidRPr="00882303">
        <w:rPr>
          <w:rFonts w:ascii="Palatino Linotype" w:hAnsi="Palatino Linotype" w:cs="Segoe UI Historic"/>
        </w:rPr>
        <w:t>, 202</w:t>
      </w:r>
      <w:r w:rsidRPr="00882303" w:rsidR="008D3140">
        <w:rPr>
          <w:rFonts w:ascii="Palatino Linotype" w:hAnsi="Palatino Linotype" w:cs="Segoe UI Historic"/>
        </w:rPr>
        <w:t>3</w:t>
      </w:r>
      <w:r w:rsidRPr="00882303">
        <w:rPr>
          <w:rFonts w:ascii="Palatino Linotype" w:hAnsi="Palatino Linotype" w:cs="Segoe UI Historic"/>
        </w:rPr>
        <w:t>.</w:t>
      </w:r>
      <w:r w:rsidRPr="00882303" w:rsidR="00702B07">
        <w:rPr>
          <w:rStyle w:val="FootnoteReference"/>
          <w:rFonts w:ascii="Palatino Linotype" w:hAnsi="Palatino Linotype" w:cs="Segoe UI Historic"/>
        </w:rPr>
        <w:footnoteReference w:id="31"/>
      </w:r>
      <w:r w:rsidRPr="00882303">
        <w:rPr>
          <w:rFonts w:ascii="Palatino Linotype" w:hAnsi="Palatino Linotype" w:cs="Segoe UI Historic"/>
        </w:rPr>
        <w:t xml:space="preserve"> </w:t>
      </w:r>
      <w:r w:rsidRPr="00882303" w:rsidR="00E677C6">
        <w:rPr>
          <w:rFonts w:ascii="Palatino Linotype" w:hAnsi="Palatino Linotype" w:cs="Segoe UI Historic"/>
        </w:rPr>
        <w:t>Early</w:t>
      </w:r>
      <w:r w:rsidRPr="00882303">
        <w:rPr>
          <w:rFonts w:ascii="Palatino Linotype" w:hAnsi="Palatino Linotype" w:cs="Segoe UI Historic"/>
        </w:rPr>
        <w:t xml:space="preserve"> coordination meetings</w:t>
      </w:r>
      <w:r w:rsidRPr="00882303" w:rsidR="00E677C6">
        <w:rPr>
          <w:rFonts w:ascii="Palatino Linotype" w:hAnsi="Palatino Linotype" w:cs="Segoe UI Historic"/>
        </w:rPr>
        <w:t xml:space="preserve"> with CEC and</w:t>
      </w:r>
      <w:r w:rsidRPr="00882303">
        <w:rPr>
          <w:rFonts w:ascii="Palatino Linotype" w:hAnsi="Palatino Linotype" w:cs="Segoe UI Historic"/>
        </w:rPr>
        <w:t xml:space="preserve"> CPUC staff </w:t>
      </w:r>
      <w:r w:rsidRPr="00882303" w:rsidR="00E677C6">
        <w:rPr>
          <w:rFonts w:ascii="Palatino Linotype" w:hAnsi="Palatino Linotype" w:cs="Segoe UI Historic"/>
        </w:rPr>
        <w:t xml:space="preserve">allow subject matter experts to </w:t>
      </w:r>
      <w:r w:rsidRPr="00882303">
        <w:rPr>
          <w:rFonts w:ascii="Palatino Linotype" w:hAnsi="Palatino Linotype" w:cs="Segoe UI Historic"/>
        </w:rPr>
        <w:t>ask relevant questions regarding research initiatives and provide feedback</w:t>
      </w:r>
      <w:r w:rsidRPr="00882303" w:rsidR="00E85C78">
        <w:rPr>
          <w:rFonts w:ascii="Palatino Linotype" w:hAnsi="Palatino Linotype" w:cs="Segoe UI Historic"/>
        </w:rPr>
        <w:t xml:space="preserve">, aiding in ensuring that </w:t>
      </w:r>
      <w:r w:rsidRPr="00882303" w:rsidR="00CF19A2">
        <w:rPr>
          <w:rFonts w:ascii="Palatino Linotype" w:hAnsi="Palatino Linotype" w:cs="Segoe UI Historic"/>
        </w:rPr>
        <w:t>the CEC’s Gas R&amp;D program is aligned with CPUC proceedings</w:t>
      </w:r>
      <w:r w:rsidRPr="00882303">
        <w:rPr>
          <w:rFonts w:ascii="Palatino Linotype" w:hAnsi="Palatino Linotype" w:cs="Segoe UI Historic"/>
        </w:rPr>
        <w:t xml:space="preserve">. Appendix C in the </w:t>
      </w:r>
      <w:r w:rsidRPr="00882303" w:rsidR="0082320B">
        <w:rPr>
          <w:rFonts w:ascii="Palatino Linotype" w:hAnsi="Palatino Linotype" w:cs="Segoe UI Historic"/>
        </w:rPr>
        <w:t>CEC’</w:t>
      </w:r>
      <w:r w:rsidRPr="00882303" w:rsidR="007352CA">
        <w:rPr>
          <w:rFonts w:ascii="Palatino Linotype" w:hAnsi="Palatino Linotype" w:cs="Segoe UI Historic"/>
        </w:rPr>
        <w:t>s FY</w:t>
      </w:r>
      <w:r w:rsidRPr="00882303" w:rsidR="0082320B">
        <w:rPr>
          <w:rFonts w:ascii="Palatino Linotype" w:hAnsi="Palatino Linotype" w:cs="Segoe UI Historic"/>
        </w:rPr>
        <w:t xml:space="preserve"> 202</w:t>
      </w:r>
      <w:r w:rsidRPr="00882303" w:rsidR="00FB31DC">
        <w:rPr>
          <w:rFonts w:ascii="Palatino Linotype" w:hAnsi="Palatino Linotype" w:cs="Segoe UI Historic"/>
        </w:rPr>
        <w:t>3</w:t>
      </w:r>
      <w:r w:rsidRPr="00882303" w:rsidR="0082320B">
        <w:rPr>
          <w:rFonts w:ascii="Palatino Linotype" w:hAnsi="Palatino Linotype" w:cs="Segoe UI Historic"/>
        </w:rPr>
        <w:t>-</w:t>
      </w:r>
      <w:r w:rsidRPr="00882303" w:rsidR="00B77073">
        <w:rPr>
          <w:rFonts w:ascii="Palatino Linotype" w:hAnsi="Palatino Linotype" w:cs="Segoe UI Historic"/>
        </w:rPr>
        <w:t>202</w:t>
      </w:r>
      <w:r w:rsidRPr="00882303" w:rsidR="00FB31DC">
        <w:rPr>
          <w:rFonts w:ascii="Palatino Linotype" w:hAnsi="Palatino Linotype" w:cs="Segoe UI Historic"/>
        </w:rPr>
        <w:t>4</w:t>
      </w:r>
      <w:r w:rsidRPr="00882303" w:rsidR="0082320B">
        <w:rPr>
          <w:rFonts w:ascii="Palatino Linotype" w:hAnsi="Palatino Linotype" w:cs="Segoe UI Historic"/>
        </w:rPr>
        <w:t xml:space="preserve"> Gas R&amp;D </w:t>
      </w:r>
      <w:r w:rsidRPr="00882303" w:rsidR="00E01A9A">
        <w:rPr>
          <w:rFonts w:ascii="Palatino Linotype" w:hAnsi="Palatino Linotype" w:cs="Segoe UI Historic"/>
        </w:rPr>
        <w:t>P</w:t>
      </w:r>
      <w:r w:rsidRPr="00882303" w:rsidR="0082320B">
        <w:rPr>
          <w:rFonts w:ascii="Palatino Linotype" w:hAnsi="Palatino Linotype" w:cs="Segoe UI Historic"/>
        </w:rPr>
        <w:t xml:space="preserve">lan </w:t>
      </w:r>
      <w:r w:rsidRPr="00882303">
        <w:rPr>
          <w:rFonts w:ascii="Palatino Linotype" w:hAnsi="Palatino Linotype" w:cs="Segoe UI Historic"/>
        </w:rPr>
        <w:t>summarizes public comments and questions between the CEC and stakeholders, including the CPUC.</w:t>
      </w:r>
      <w:r w:rsidRPr="00882303" w:rsidR="00ED163B">
        <w:rPr>
          <w:rFonts w:ascii="Palatino Linotype" w:hAnsi="Palatino Linotype" w:cs="Segoe UI Historic"/>
        </w:rPr>
        <w:t xml:space="preserve"> </w:t>
      </w:r>
    </w:p>
    <w:p w:rsidRPr="00882303" w:rsidR="00396DCD" w:rsidP="009F356C" w:rsidRDefault="00396DCD" w14:paraId="03BEC25C" w14:textId="50F293AD">
      <w:pPr>
        <w:pStyle w:val="paragraph"/>
        <w:rPr>
          <w:rFonts w:ascii="Palatino Linotype" w:hAnsi="Palatino Linotype" w:cs="Segoe UI Historic"/>
        </w:rPr>
      </w:pPr>
      <w:r w:rsidRPr="00882303">
        <w:rPr>
          <w:rFonts w:ascii="Palatino Linotype" w:hAnsi="Palatino Linotype" w:cs="Segoe UI Historic"/>
        </w:rPr>
        <w:t>The CEC is compliant with the CPUC staff coordination requirement of G-3571.</w:t>
      </w:r>
    </w:p>
    <w:p w:rsidRPr="00882303" w:rsidR="00130C04" w:rsidP="0074612C" w:rsidRDefault="00130C04" w14:paraId="39FCB1E0" w14:textId="3A11B2BA">
      <w:pPr>
        <w:pStyle w:val="paragraph"/>
        <w:rPr>
          <w:rFonts w:ascii="Palatino Linotype" w:hAnsi="Palatino Linotype" w:cs="Segoe UI Historic"/>
          <w:b/>
        </w:rPr>
      </w:pPr>
      <w:r w:rsidRPr="00882303">
        <w:rPr>
          <w:rFonts w:ascii="Palatino Linotype" w:hAnsi="Palatino Linotype" w:cs="Segoe UI Historic"/>
          <w:b/>
        </w:rPr>
        <w:t xml:space="preserve">Consistency with G-3592 (2023) Direction </w:t>
      </w:r>
    </w:p>
    <w:p w:rsidRPr="00882303" w:rsidR="00ED3274" w:rsidP="0074612C" w:rsidRDefault="00ED3274" w14:paraId="6A382361" w14:textId="11273FA9">
      <w:pPr>
        <w:pStyle w:val="paragraph"/>
        <w:rPr>
          <w:rFonts w:ascii="Palatino Linotype" w:hAnsi="Palatino Linotype" w:cs="Segoe UI Historic"/>
          <w:b/>
        </w:rPr>
      </w:pPr>
      <w:r w:rsidRPr="00882303">
        <w:rPr>
          <w:rFonts w:ascii="Palatino Linotype" w:hAnsi="Palatino Linotype" w:cs="Segoe UI Historic"/>
          <w:b/>
          <w:i/>
          <w:iCs/>
        </w:rPr>
        <w:t>Coordination with the Disadvantaged Communities Advisory Group (DACAG)</w:t>
      </w:r>
    </w:p>
    <w:p w:rsidRPr="00882303" w:rsidR="003C039E" w:rsidP="0074612C" w:rsidRDefault="009A7702" w14:paraId="6D5A1F20" w14:textId="3575B20C">
      <w:pPr>
        <w:pStyle w:val="paragraph"/>
        <w:rPr>
          <w:rFonts w:ascii="Palatino Linotype" w:hAnsi="Palatino Linotype" w:cs="Segoe UI Historic"/>
          <w:bCs/>
        </w:rPr>
      </w:pPr>
      <w:r w:rsidRPr="00882303">
        <w:rPr>
          <w:rFonts w:ascii="Palatino Linotype" w:hAnsi="Palatino Linotype" w:cs="Segoe UI Historic"/>
          <w:bCs/>
        </w:rPr>
        <w:t xml:space="preserve">Resolution </w:t>
      </w:r>
      <w:r w:rsidRPr="00882303" w:rsidR="00ED3274">
        <w:rPr>
          <w:rFonts w:ascii="Palatino Linotype" w:hAnsi="Palatino Linotype" w:cs="Segoe UI Historic"/>
          <w:bCs/>
        </w:rPr>
        <w:t xml:space="preserve">G-3592 </w:t>
      </w:r>
      <w:r w:rsidRPr="00882303">
        <w:rPr>
          <w:rFonts w:ascii="Palatino Linotype" w:hAnsi="Palatino Linotype" w:cs="Segoe UI Historic"/>
          <w:bCs/>
        </w:rPr>
        <w:t>requires the CEC to “Coordinate with the DACAG and provide the DACAG with the option of a live presentation, if desired by the DACAG. The CEC shall also identify and engage appropriate disadvantaged community stakeholders to provide increased input on how to administer the program equitably. The CEC shall include details on how disadvantaged community stakeholders and DACAG input was incorporated into each Gas R&amp;D theme, as relevant to their input.”</w:t>
      </w:r>
      <w:r w:rsidRPr="00882303">
        <w:rPr>
          <w:rStyle w:val="FootnoteReference"/>
          <w:rFonts w:ascii="Palatino Linotype" w:hAnsi="Palatino Linotype" w:cs="Segoe UI Historic"/>
          <w:bCs/>
        </w:rPr>
        <w:footnoteReference w:id="32"/>
      </w:r>
    </w:p>
    <w:p w:rsidRPr="00882303" w:rsidR="003C039E" w:rsidP="0074612C" w:rsidRDefault="00393EFF" w14:paraId="03B72B9E" w14:textId="481EF1D5">
      <w:pPr>
        <w:pStyle w:val="paragraph"/>
        <w:rPr>
          <w:rFonts w:ascii="Palatino Linotype" w:hAnsi="Palatino Linotype" w:cs="Segoe UI Historic"/>
          <w:bCs/>
        </w:rPr>
      </w:pPr>
      <w:r w:rsidRPr="00882303">
        <w:rPr>
          <w:rFonts w:ascii="Palatino Linotype" w:hAnsi="Palatino Linotype" w:cs="Segoe UI Historic"/>
          <w:bCs/>
        </w:rPr>
        <w:lastRenderedPageBreak/>
        <w:t xml:space="preserve">The CEC </w:t>
      </w:r>
      <w:r w:rsidRPr="00882303" w:rsidR="00253BEF">
        <w:rPr>
          <w:rFonts w:ascii="Palatino Linotype" w:hAnsi="Palatino Linotype" w:cs="Segoe UI Historic"/>
          <w:bCs/>
        </w:rPr>
        <w:t xml:space="preserve">presented its </w:t>
      </w:r>
      <w:r w:rsidRPr="00882303" w:rsidR="00C15D45">
        <w:rPr>
          <w:rFonts w:ascii="Palatino Linotype" w:hAnsi="Palatino Linotype" w:cs="Segoe UI Historic"/>
          <w:bCs/>
        </w:rPr>
        <w:t xml:space="preserve">Gas R&amp;D FY 2023-2024 Budget Plan to the DACAG on January 20, 2023. </w:t>
      </w:r>
      <w:r w:rsidRPr="00882303" w:rsidR="005B3EA2">
        <w:rPr>
          <w:rFonts w:ascii="Palatino Linotype" w:hAnsi="Palatino Linotype" w:cs="Segoe UI Historic"/>
          <w:bCs/>
        </w:rPr>
        <w:t xml:space="preserve">The CEC summarizes the DACAG’s comments on its FY 2023-2024 Plan from the January 20, </w:t>
      </w:r>
      <w:proofErr w:type="gramStart"/>
      <w:r w:rsidRPr="00882303" w:rsidR="005B3EA2">
        <w:rPr>
          <w:rFonts w:ascii="Palatino Linotype" w:hAnsi="Palatino Linotype" w:cs="Segoe UI Historic"/>
          <w:bCs/>
        </w:rPr>
        <w:t>2023</w:t>
      </w:r>
      <w:proofErr w:type="gramEnd"/>
      <w:r w:rsidRPr="00882303" w:rsidR="005B3EA2">
        <w:rPr>
          <w:rFonts w:ascii="Palatino Linotype" w:hAnsi="Palatino Linotype" w:cs="Segoe UI Historic"/>
          <w:bCs/>
        </w:rPr>
        <w:t xml:space="preserve"> meeting in Appendix C.</w:t>
      </w:r>
      <w:r w:rsidRPr="00882303" w:rsidR="005B3EA2">
        <w:rPr>
          <w:rStyle w:val="FootnoteReference"/>
          <w:rFonts w:ascii="Palatino Linotype" w:hAnsi="Palatino Linotype" w:cs="Segoe UI Historic"/>
          <w:bCs/>
        </w:rPr>
        <w:footnoteReference w:id="33"/>
      </w:r>
      <w:r w:rsidRPr="00882303" w:rsidR="005B3EA2">
        <w:rPr>
          <w:rFonts w:ascii="Palatino Linotype" w:hAnsi="Palatino Linotype" w:cs="Segoe UI Historic"/>
          <w:bCs/>
        </w:rPr>
        <w:t xml:space="preserve"> </w:t>
      </w:r>
      <w:r w:rsidRPr="00882303" w:rsidR="007A346F">
        <w:rPr>
          <w:rFonts w:ascii="Palatino Linotype" w:hAnsi="Palatino Linotype" w:cs="Segoe UI Historic"/>
          <w:bCs/>
        </w:rPr>
        <w:t xml:space="preserve">The CEC describes </w:t>
      </w:r>
      <w:r w:rsidRPr="00882303" w:rsidR="009714E7">
        <w:rPr>
          <w:rFonts w:ascii="Palatino Linotype" w:hAnsi="Palatino Linotype" w:cs="Segoe UI Historic"/>
          <w:bCs/>
        </w:rPr>
        <w:t>that</w:t>
      </w:r>
      <w:r w:rsidRPr="00882303" w:rsidR="007A346F">
        <w:rPr>
          <w:rFonts w:ascii="Palatino Linotype" w:hAnsi="Palatino Linotype" w:cs="Segoe UI Historic"/>
          <w:bCs/>
        </w:rPr>
        <w:t xml:space="preserve"> it incorporate</w:t>
      </w:r>
      <w:r w:rsidRPr="00882303" w:rsidR="00D01E95">
        <w:rPr>
          <w:rFonts w:ascii="Palatino Linotype" w:hAnsi="Palatino Linotype" w:cs="Segoe UI Historic"/>
          <w:bCs/>
        </w:rPr>
        <w:t>d</w:t>
      </w:r>
      <w:r w:rsidRPr="00882303" w:rsidR="007A346F">
        <w:rPr>
          <w:rFonts w:ascii="Palatino Linotype" w:hAnsi="Palatino Linotype" w:cs="Segoe UI Historic"/>
          <w:bCs/>
        </w:rPr>
        <w:t xml:space="preserve"> DACAG feedback into its </w:t>
      </w:r>
      <w:r w:rsidRPr="00882303" w:rsidR="00FB3C01">
        <w:rPr>
          <w:rFonts w:ascii="Palatino Linotype" w:hAnsi="Palatino Linotype" w:cs="Segoe UI Historic"/>
          <w:bCs/>
        </w:rPr>
        <w:t>Gas Leakage Mitigation initiative</w:t>
      </w:r>
      <w:r w:rsidRPr="00882303" w:rsidR="00E1264E">
        <w:rPr>
          <w:rStyle w:val="FootnoteReference"/>
          <w:rFonts w:ascii="Palatino Linotype" w:hAnsi="Palatino Linotype" w:cs="Segoe UI Historic"/>
          <w:bCs/>
        </w:rPr>
        <w:footnoteReference w:id="34"/>
      </w:r>
      <w:r w:rsidRPr="00882303" w:rsidR="00E1264E">
        <w:rPr>
          <w:rFonts w:ascii="Palatino Linotype" w:hAnsi="Palatino Linotype" w:cs="Segoe UI Historic"/>
          <w:bCs/>
        </w:rPr>
        <w:t xml:space="preserve"> and its </w:t>
      </w:r>
      <w:r w:rsidRPr="00882303" w:rsidR="00FB3C01">
        <w:rPr>
          <w:rFonts w:ascii="Palatino Linotype" w:hAnsi="Palatino Linotype" w:cs="Segoe UI Historic"/>
          <w:bCs/>
        </w:rPr>
        <w:t>Targeted Gas System Decommissioning initiative</w:t>
      </w:r>
      <w:r w:rsidRPr="00882303" w:rsidR="00E1264E">
        <w:rPr>
          <w:rFonts w:ascii="Palatino Linotype" w:hAnsi="Palatino Linotype" w:cs="Segoe UI Historic"/>
          <w:bCs/>
        </w:rPr>
        <w:t>.</w:t>
      </w:r>
      <w:r w:rsidRPr="00882303" w:rsidR="00E1264E">
        <w:rPr>
          <w:rStyle w:val="FootnoteReference"/>
          <w:rFonts w:ascii="Palatino Linotype" w:hAnsi="Palatino Linotype" w:cs="Segoe UI Historic"/>
          <w:bCs/>
        </w:rPr>
        <w:footnoteReference w:id="35"/>
      </w:r>
      <w:r w:rsidRPr="00882303" w:rsidR="00061133">
        <w:rPr>
          <w:rFonts w:ascii="Palatino Linotype" w:hAnsi="Palatino Linotype" w:cs="Segoe UI Historic"/>
          <w:bCs/>
        </w:rPr>
        <w:t xml:space="preserve"> </w:t>
      </w:r>
      <w:r w:rsidRPr="00882303" w:rsidR="009321B0">
        <w:rPr>
          <w:rFonts w:ascii="Palatino Linotype" w:hAnsi="Palatino Linotype" w:cs="Segoe UI Historic"/>
        </w:rPr>
        <w:t xml:space="preserve">DACAG feedback is included as </w:t>
      </w:r>
      <w:r w:rsidRPr="00882303" w:rsidR="00044369">
        <w:rPr>
          <w:rFonts w:ascii="Palatino Linotype" w:hAnsi="Palatino Linotype" w:cs="Segoe UI Historic"/>
        </w:rPr>
        <w:t>Attachment</w:t>
      </w:r>
      <w:r w:rsidRPr="00882303" w:rsidR="009321B0">
        <w:rPr>
          <w:rFonts w:ascii="Palatino Linotype" w:hAnsi="Palatino Linotype" w:cs="Segoe UI Historic"/>
        </w:rPr>
        <w:t xml:space="preserve"> A</w:t>
      </w:r>
      <w:r w:rsidRPr="00882303" w:rsidR="004B3416">
        <w:rPr>
          <w:rFonts w:ascii="Palatino Linotype" w:hAnsi="Palatino Linotype" w:cs="Segoe UI Historic"/>
        </w:rPr>
        <w:t xml:space="preserve">, </w:t>
      </w:r>
      <w:r w:rsidRPr="00882303" w:rsidR="009321B0">
        <w:rPr>
          <w:rFonts w:ascii="Palatino Linotype" w:hAnsi="Palatino Linotype" w:cs="Segoe UI Historic"/>
        </w:rPr>
        <w:t>of this Resolution</w:t>
      </w:r>
      <w:r w:rsidRPr="00882303" w:rsidR="009321B0">
        <w:rPr>
          <w:rFonts w:ascii="Palatino Linotype" w:hAnsi="Palatino Linotype" w:cs="Segoe UI Historic"/>
          <w:bCs/>
        </w:rPr>
        <w:t>.</w:t>
      </w:r>
      <w:r w:rsidRPr="00882303" w:rsidR="00061133">
        <w:rPr>
          <w:rFonts w:ascii="Palatino Linotype" w:hAnsi="Palatino Linotype" w:cs="Segoe UI Historic"/>
          <w:bCs/>
        </w:rPr>
        <w:t xml:space="preserve"> The CEC further elaborates on program equity in the FY 2023-2024 Plan through the “Equity Benefits of Proposed Initiatives” section.</w:t>
      </w:r>
      <w:r w:rsidRPr="00882303" w:rsidR="00061133">
        <w:rPr>
          <w:rStyle w:val="FootnoteReference"/>
          <w:rFonts w:ascii="Palatino Linotype" w:hAnsi="Palatino Linotype" w:cs="Segoe UI Historic"/>
          <w:bCs/>
        </w:rPr>
        <w:footnoteReference w:id="36"/>
      </w:r>
      <w:r w:rsidRPr="00882303" w:rsidR="00061133">
        <w:rPr>
          <w:rFonts w:ascii="Palatino Linotype" w:hAnsi="Palatino Linotype" w:cs="Segoe UI Historic"/>
          <w:bCs/>
        </w:rPr>
        <w:t xml:space="preserve"> </w:t>
      </w:r>
      <w:r w:rsidRPr="00882303" w:rsidR="001F137A">
        <w:rPr>
          <w:rFonts w:ascii="Palatino Linotype" w:hAnsi="Palatino Linotype" w:cs="Segoe UI Historic"/>
          <w:bCs/>
        </w:rPr>
        <w:t>In this section, the CEC describes how it applied the DACAG Equity Framework to guide its Gas R&amp;D investments.</w:t>
      </w:r>
      <w:r w:rsidRPr="00882303" w:rsidR="00892551">
        <w:rPr>
          <w:rStyle w:val="FootnoteReference"/>
          <w:rFonts w:ascii="Palatino Linotype" w:hAnsi="Palatino Linotype" w:cs="Segoe UI Historic"/>
          <w:bCs/>
        </w:rPr>
        <w:footnoteReference w:id="37"/>
      </w:r>
      <w:r w:rsidRPr="00882303" w:rsidR="005F5ACB">
        <w:rPr>
          <w:rFonts w:ascii="Palatino Linotype" w:hAnsi="Palatino Linotype" w:cs="Segoe UI Historic"/>
          <w:bCs/>
        </w:rPr>
        <w:t xml:space="preserve"> The CEC elaborates on its application of the DACAG Equity Framework in Appendix E.</w:t>
      </w:r>
      <w:r w:rsidRPr="00882303" w:rsidR="005F5ACB">
        <w:rPr>
          <w:rStyle w:val="FootnoteReference"/>
          <w:rFonts w:ascii="Palatino Linotype" w:hAnsi="Palatino Linotype" w:cs="Segoe UI Historic"/>
          <w:bCs/>
        </w:rPr>
        <w:footnoteReference w:id="38"/>
      </w:r>
      <w:r w:rsidRPr="00882303" w:rsidR="009321B0">
        <w:rPr>
          <w:rFonts w:ascii="Palatino Linotype" w:hAnsi="Palatino Linotype" w:cs="Segoe UI Historic"/>
          <w:bCs/>
        </w:rPr>
        <w:t xml:space="preserve"> </w:t>
      </w:r>
      <w:r w:rsidRPr="00882303" w:rsidR="00044369">
        <w:rPr>
          <w:rFonts w:ascii="Palatino Linotype" w:hAnsi="Palatino Linotype" w:cs="Segoe UI Historic"/>
          <w:bCs/>
        </w:rPr>
        <w:t xml:space="preserve">The CEC’s application of the DACAG Equity Framework is included as Attachment </w:t>
      </w:r>
      <w:r w:rsidRPr="00882303" w:rsidR="004B3416">
        <w:rPr>
          <w:rFonts w:ascii="Palatino Linotype" w:hAnsi="Palatino Linotype" w:cs="Segoe UI Historic"/>
          <w:bCs/>
        </w:rPr>
        <w:t>A</w:t>
      </w:r>
      <w:r w:rsidRPr="00882303" w:rsidR="003D101E">
        <w:rPr>
          <w:rFonts w:ascii="Palatino Linotype" w:hAnsi="Palatino Linotype" w:cs="Segoe UI Historic"/>
          <w:bCs/>
        </w:rPr>
        <w:t>, Appendix E</w:t>
      </w:r>
      <w:r w:rsidRPr="00882303" w:rsidR="00044369">
        <w:rPr>
          <w:rFonts w:ascii="Palatino Linotype" w:hAnsi="Palatino Linotype" w:cs="Segoe UI Historic"/>
          <w:bCs/>
        </w:rPr>
        <w:t xml:space="preserve"> to this Resolution. </w:t>
      </w:r>
    </w:p>
    <w:p w:rsidRPr="00882303" w:rsidR="00892551" w:rsidP="0074612C" w:rsidRDefault="00892551" w14:paraId="3B872E4D" w14:textId="2B6459AD">
      <w:pPr>
        <w:pStyle w:val="paragraph"/>
        <w:rPr>
          <w:rFonts w:ascii="Palatino Linotype" w:hAnsi="Palatino Linotype" w:cs="Segoe UI Historic"/>
          <w:bCs/>
        </w:rPr>
      </w:pPr>
      <w:r w:rsidRPr="00882303">
        <w:rPr>
          <w:rFonts w:ascii="Palatino Linotype" w:hAnsi="Palatino Linotype" w:cs="Segoe UI Historic"/>
          <w:bCs/>
        </w:rPr>
        <w:t>The CEC</w:t>
      </w:r>
      <w:r w:rsidRPr="00882303" w:rsidR="00387CAD">
        <w:rPr>
          <w:rFonts w:ascii="Palatino Linotype" w:hAnsi="Palatino Linotype" w:cs="Segoe UI Historic"/>
          <w:bCs/>
        </w:rPr>
        <w:t>’s FY 2023-2024 Plan is compliant with th</w:t>
      </w:r>
      <w:r w:rsidRPr="00882303" w:rsidR="004B576F">
        <w:rPr>
          <w:rFonts w:ascii="Palatino Linotype" w:hAnsi="Palatino Linotype" w:cs="Segoe UI Historic"/>
          <w:bCs/>
        </w:rPr>
        <w:t>e DACAG</w:t>
      </w:r>
      <w:r w:rsidRPr="00882303" w:rsidR="00387CAD">
        <w:rPr>
          <w:rFonts w:ascii="Palatino Linotype" w:hAnsi="Palatino Linotype" w:cs="Segoe UI Historic"/>
          <w:bCs/>
        </w:rPr>
        <w:t xml:space="preserve"> requirement from G-3592.</w:t>
      </w:r>
    </w:p>
    <w:p w:rsidRPr="00F84530" w:rsidR="71B9D62C" w:rsidP="71B9D62C" w:rsidRDefault="71B9D62C" w14:paraId="692A5805" w14:textId="18802919">
      <w:pPr>
        <w:pStyle w:val="paragraph"/>
        <w:rPr>
          <w:rFonts w:ascii="Palatino Linotype" w:hAnsi="Palatino Linotype" w:cs="Segoe UI Historic"/>
          <w:b/>
          <w:bCs/>
          <w:i/>
          <w:iCs/>
          <w:sz w:val="2"/>
          <w:szCs w:val="2"/>
        </w:rPr>
      </w:pPr>
    </w:p>
    <w:p w:rsidRPr="00882303" w:rsidR="00031A43" w:rsidP="00031A43" w:rsidRDefault="00031A43" w14:paraId="728F355E" w14:textId="77777777">
      <w:pPr>
        <w:pStyle w:val="paragraph"/>
        <w:rPr>
          <w:rFonts w:ascii="Palatino Linotype" w:hAnsi="Palatino Linotype" w:cs="Segoe UI Historic"/>
          <w:b/>
          <w:i/>
          <w:iCs/>
        </w:rPr>
      </w:pPr>
      <w:r w:rsidRPr="00882303">
        <w:rPr>
          <w:rFonts w:ascii="Palatino Linotype" w:hAnsi="Palatino Linotype" w:cs="Segoe UI Historic"/>
          <w:b/>
          <w:i/>
        </w:rPr>
        <w:t>Coordination with CPUC</w:t>
      </w:r>
      <w:r w:rsidRPr="00882303">
        <w:rPr>
          <w:rFonts w:ascii="Palatino Linotype" w:hAnsi="Palatino Linotype" w:cs="Segoe UI Historic"/>
          <w:b/>
        </w:rPr>
        <w:t> </w:t>
      </w:r>
      <w:r w:rsidRPr="00882303">
        <w:rPr>
          <w:rFonts w:ascii="Palatino Linotype" w:hAnsi="Palatino Linotype" w:cs="Segoe UI Historic"/>
          <w:b/>
          <w:i/>
          <w:iCs/>
        </w:rPr>
        <w:t>Commissioners</w:t>
      </w:r>
    </w:p>
    <w:p w:rsidRPr="00882303" w:rsidR="00031A43" w:rsidP="0074612C" w:rsidRDefault="00031A43" w14:paraId="5F2B43AB" w14:textId="207E0FBB">
      <w:pPr>
        <w:pStyle w:val="paragraph"/>
        <w:rPr>
          <w:rFonts w:ascii="Palatino Linotype" w:hAnsi="Palatino Linotype" w:cs="Segoe UI Historic"/>
        </w:rPr>
      </w:pPr>
      <w:r w:rsidRPr="00882303">
        <w:rPr>
          <w:rFonts w:ascii="Palatino Linotype" w:hAnsi="Palatino Linotype" w:cs="Segoe UI Historic"/>
        </w:rPr>
        <w:t>Building on the same requirement in Resolution G-3571, Resolution G-3592 requires that in all future Gas R&amp;D budget plans, the CEC</w:t>
      </w:r>
      <w:r w:rsidRPr="00882303" w:rsidR="004B576F">
        <w:rPr>
          <w:rFonts w:ascii="Palatino Linotype" w:hAnsi="Palatino Linotype" w:cs="Segoe UI Historic"/>
        </w:rPr>
        <w:t xml:space="preserve"> shall</w:t>
      </w:r>
      <w:r w:rsidRPr="00882303">
        <w:rPr>
          <w:rFonts w:ascii="Palatino Linotype" w:hAnsi="Palatino Linotype" w:cs="Segoe UI Historic"/>
        </w:rPr>
        <w:t xml:space="preserve"> </w:t>
      </w:r>
      <w:r w:rsidRPr="00882303" w:rsidR="0081120D">
        <w:rPr>
          <w:rFonts w:ascii="Palatino Linotype" w:hAnsi="Palatino Linotype" w:cs="Segoe UI Historic"/>
        </w:rPr>
        <w:t>“consult Energy Division staff at least sixty days in advance for the opportunity to present the CEC’s Gas R&amp;D plans to CPUC Commissioners, which may include the Commission’s business meeting or the Commission’s Emerging Technology Committee</w:t>
      </w:r>
      <w:r w:rsidRPr="00882303">
        <w:rPr>
          <w:rFonts w:ascii="Palatino Linotype" w:hAnsi="Palatino Linotype" w:cs="Segoe UI Historic"/>
        </w:rPr>
        <w:t>.</w:t>
      </w:r>
      <w:r w:rsidRPr="00882303" w:rsidR="0081120D">
        <w:rPr>
          <w:rFonts w:ascii="Palatino Linotype" w:hAnsi="Palatino Linotype" w:cs="Segoe UI Historic"/>
        </w:rPr>
        <w:t>”</w:t>
      </w:r>
      <w:r w:rsidRPr="00882303" w:rsidR="0081120D">
        <w:rPr>
          <w:rStyle w:val="FootnoteReference"/>
          <w:rFonts w:ascii="Palatino Linotype" w:hAnsi="Palatino Linotype" w:cs="Segoe UI Historic"/>
        </w:rPr>
        <w:footnoteReference w:id="39"/>
      </w:r>
      <w:r w:rsidRPr="00882303">
        <w:rPr>
          <w:rFonts w:ascii="Palatino Linotype" w:hAnsi="Palatino Linotype" w:cs="Segoe UI Historic"/>
        </w:rPr>
        <w:t xml:space="preserve"> The CEC offered to present the proposed budget plan to Commissioners on May 15, 2023</w:t>
      </w:r>
      <w:r w:rsidRPr="00882303">
        <w:rPr>
          <w:rStyle w:val="FootnoteReference"/>
          <w:rFonts w:ascii="Palatino Linotype" w:hAnsi="Palatino Linotype" w:cs="Segoe UI Historic"/>
        </w:rPr>
        <w:footnoteReference w:id="40"/>
      </w:r>
      <w:r w:rsidRPr="00882303">
        <w:rPr>
          <w:rFonts w:ascii="Palatino Linotype" w:hAnsi="Palatino Linotype" w:cs="Segoe UI Historic"/>
        </w:rPr>
        <w:t xml:space="preserve"> and presented its FY </w:t>
      </w:r>
      <w:r w:rsidR="00DF76F7">
        <w:rPr>
          <w:rFonts w:ascii="Palatino Linotype" w:hAnsi="Palatino Linotype" w:cs="Segoe UI Historic"/>
        </w:rPr>
        <w:br/>
      </w:r>
      <w:r w:rsidRPr="00882303">
        <w:rPr>
          <w:rFonts w:ascii="Palatino Linotype" w:hAnsi="Palatino Linotype" w:cs="Segoe UI Historic"/>
        </w:rPr>
        <w:t>2023-2024 Gas R&amp;D proposed budget plan at the June 29, 2023 CPUC Commissioner voting meeting.</w:t>
      </w:r>
      <w:r w:rsidRPr="00882303">
        <w:rPr>
          <w:rStyle w:val="FootnoteReference"/>
          <w:rFonts w:ascii="Palatino Linotype" w:hAnsi="Palatino Linotype" w:cs="Segoe UI Historic"/>
        </w:rPr>
        <w:footnoteReference w:id="41"/>
      </w:r>
      <w:r w:rsidRPr="00882303">
        <w:rPr>
          <w:rFonts w:ascii="Palatino Linotype" w:hAnsi="Palatino Linotype" w:cs="Segoe UI Historic"/>
        </w:rPr>
        <w:t xml:space="preserve"> This is compliant with the requirement</w:t>
      </w:r>
      <w:r w:rsidRPr="00882303" w:rsidR="0081120D">
        <w:rPr>
          <w:rFonts w:ascii="Palatino Linotype" w:hAnsi="Palatino Linotype" w:cs="Segoe UI Historic"/>
        </w:rPr>
        <w:t>s</w:t>
      </w:r>
      <w:r w:rsidRPr="00882303">
        <w:rPr>
          <w:rFonts w:ascii="Palatino Linotype" w:hAnsi="Palatino Linotype" w:cs="Segoe UI Historic"/>
        </w:rPr>
        <w:t xml:space="preserve"> from G-35</w:t>
      </w:r>
      <w:r w:rsidRPr="00882303" w:rsidR="0081120D">
        <w:rPr>
          <w:rFonts w:ascii="Palatino Linotype" w:hAnsi="Palatino Linotype" w:cs="Segoe UI Historic"/>
        </w:rPr>
        <w:t>92 and G-3571.</w:t>
      </w:r>
    </w:p>
    <w:p w:rsidR="71B9D62C" w:rsidP="71B9D62C" w:rsidRDefault="71B9D62C" w14:paraId="38CDF034" w14:textId="73453D1A">
      <w:pPr>
        <w:pStyle w:val="paragraph"/>
        <w:rPr>
          <w:rFonts w:ascii="Palatino Linotype" w:hAnsi="Palatino Linotype" w:cs="Segoe UI Historic"/>
          <w:b/>
          <w:bCs/>
          <w:i/>
          <w:iCs/>
        </w:rPr>
      </w:pPr>
    </w:p>
    <w:p w:rsidRPr="00882303" w:rsidR="00F84530" w:rsidP="71B9D62C" w:rsidRDefault="00F84530" w14:paraId="6B411459" w14:textId="77777777">
      <w:pPr>
        <w:pStyle w:val="paragraph"/>
        <w:rPr>
          <w:rFonts w:ascii="Palatino Linotype" w:hAnsi="Palatino Linotype" w:cs="Segoe UI Historic"/>
          <w:b/>
          <w:bCs/>
          <w:i/>
          <w:iCs/>
        </w:rPr>
      </w:pPr>
    </w:p>
    <w:p w:rsidRPr="00882303" w:rsidR="0022625B" w:rsidP="0074612C" w:rsidRDefault="0022625B" w14:paraId="19A8C5CC" w14:textId="05A7D767">
      <w:pPr>
        <w:pStyle w:val="paragraph"/>
        <w:rPr>
          <w:rFonts w:ascii="Palatino Linotype" w:hAnsi="Palatino Linotype" w:cs="Segoe UI Historic"/>
          <w:b/>
          <w:bCs/>
          <w:i/>
          <w:iCs/>
        </w:rPr>
      </w:pPr>
      <w:r w:rsidRPr="00882303">
        <w:rPr>
          <w:rFonts w:ascii="Palatino Linotype" w:hAnsi="Palatino Linotype" w:cs="Segoe UI Historic"/>
          <w:b/>
          <w:bCs/>
          <w:i/>
          <w:iCs/>
        </w:rPr>
        <w:lastRenderedPageBreak/>
        <w:t>Collaboration and Co-Funding</w:t>
      </w:r>
    </w:p>
    <w:p w:rsidRPr="00882303" w:rsidR="00D01823" w:rsidP="0004567F" w:rsidRDefault="0004567F" w14:paraId="03884178" w14:textId="77777777">
      <w:pPr>
        <w:pStyle w:val="paragraph"/>
        <w:rPr>
          <w:rFonts w:ascii="Palatino Linotype" w:hAnsi="Palatino Linotype" w:cs="Segoe UI Historic"/>
        </w:rPr>
      </w:pPr>
      <w:r w:rsidRPr="00882303">
        <w:rPr>
          <w:rFonts w:ascii="Palatino Linotype" w:hAnsi="Palatino Linotype" w:cs="Segoe UI Historic"/>
        </w:rPr>
        <w:t>Resolution G-3591 requires th</w:t>
      </w:r>
      <w:r w:rsidRPr="00882303" w:rsidR="00D01823">
        <w:rPr>
          <w:rFonts w:ascii="Palatino Linotype" w:hAnsi="Palatino Linotype" w:cs="Segoe UI Historic"/>
        </w:rPr>
        <w:t xml:space="preserve">at, in its FY 2023-2024 Plan and beyond, the CEC shall: </w:t>
      </w:r>
    </w:p>
    <w:p w:rsidRPr="00882303" w:rsidR="00D01823" w:rsidP="00D01823" w:rsidRDefault="00D01823" w14:paraId="709F0C52" w14:textId="01A8F8A0">
      <w:pPr>
        <w:pStyle w:val="paragraph"/>
        <w:numPr>
          <w:ilvl w:val="0"/>
          <w:numId w:val="44"/>
        </w:numPr>
        <w:rPr>
          <w:rFonts w:ascii="Palatino Linotype" w:hAnsi="Palatino Linotype" w:cs="Segoe UI Historic"/>
        </w:rPr>
      </w:pPr>
      <w:r w:rsidRPr="00882303">
        <w:rPr>
          <w:rFonts w:ascii="Palatino Linotype" w:hAnsi="Palatino Linotype" w:cs="Segoe UI Historic"/>
        </w:rPr>
        <w:t>Describe its process for seeking collaborative and co-funding opportunities, detailed proposals for such opportunities, or explain why it did not consider collaborative and co-funding opportunities.</w:t>
      </w:r>
      <w:r w:rsidRPr="00882303">
        <w:rPr>
          <w:rStyle w:val="FootnoteReference"/>
          <w:rFonts w:ascii="Palatino Linotype" w:hAnsi="Palatino Linotype" w:cs="Segoe UI Historic"/>
        </w:rPr>
        <w:footnoteReference w:id="42"/>
      </w:r>
    </w:p>
    <w:p w:rsidRPr="00882303" w:rsidR="00D01823" w:rsidP="000F7C48" w:rsidRDefault="00D01823" w14:paraId="76646F80" w14:textId="46C2DC6E">
      <w:pPr>
        <w:pStyle w:val="paragraph"/>
        <w:numPr>
          <w:ilvl w:val="0"/>
          <w:numId w:val="44"/>
        </w:numPr>
        <w:rPr>
          <w:rFonts w:ascii="Palatino Linotype" w:hAnsi="Palatino Linotype" w:cs="Segoe UI Historic"/>
        </w:rPr>
      </w:pPr>
      <w:r w:rsidRPr="00882303">
        <w:rPr>
          <w:rFonts w:ascii="Palatino Linotype" w:hAnsi="Palatino Linotype" w:cs="Segoe UI Historic"/>
        </w:rPr>
        <w:t>Include information on coordination with the IOUs and other research stakeholders at both a high-level on coordination process and project level details of partnership, costs, and co-funding within the body of the research plan.</w:t>
      </w:r>
      <w:r w:rsidRPr="00882303">
        <w:rPr>
          <w:rStyle w:val="FootnoteReference"/>
          <w:rFonts w:ascii="Palatino Linotype" w:hAnsi="Palatino Linotype" w:cs="Segoe UI Historic"/>
        </w:rPr>
        <w:footnoteReference w:id="43"/>
      </w:r>
      <w:r w:rsidRPr="00882303">
        <w:rPr>
          <w:rFonts w:ascii="Palatino Linotype" w:hAnsi="Palatino Linotype" w:cs="Segoe UI Historic"/>
        </w:rPr>
        <w:t xml:space="preserve"> </w:t>
      </w:r>
    </w:p>
    <w:p w:rsidRPr="00882303" w:rsidR="0004567F" w:rsidP="0004567F" w:rsidRDefault="00D01823" w14:paraId="218D0AC6" w14:textId="1F2E480F">
      <w:pPr>
        <w:pStyle w:val="paragraph"/>
        <w:rPr>
          <w:rFonts w:ascii="Palatino Linotype" w:hAnsi="Palatino Linotype" w:cs="Segoe UI Historic"/>
        </w:rPr>
      </w:pPr>
      <w:r w:rsidRPr="00882303">
        <w:rPr>
          <w:rFonts w:ascii="Palatino Linotype" w:hAnsi="Palatino Linotype" w:cs="Segoe UI Historic"/>
        </w:rPr>
        <w:t>Further, in</w:t>
      </w:r>
      <w:r w:rsidRPr="00882303" w:rsidR="0004567F">
        <w:rPr>
          <w:rFonts w:ascii="Palatino Linotype" w:hAnsi="Palatino Linotype" w:cs="Segoe UI Historic"/>
        </w:rPr>
        <w:t xml:space="preserve"> D.04-08-010, the Commission emphasized the importance of CEC coordination and engagement with the IOUs on Gas R&amp;D projects. For example, </w:t>
      </w:r>
      <w:r w:rsidR="00DF76F7">
        <w:rPr>
          <w:rFonts w:ascii="Palatino Linotype" w:hAnsi="Palatino Linotype" w:cs="Segoe UI Historic"/>
        </w:rPr>
        <w:br/>
      </w:r>
      <w:r w:rsidRPr="00882303" w:rsidR="0004567F">
        <w:rPr>
          <w:rFonts w:ascii="Palatino Linotype" w:hAnsi="Palatino Linotype" w:cs="Segoe UI Historic"/>
        </w:rPr>
        <w:t>D.04-08-010 directs “the utilities, and other parties, [to] provide potential gas R&amp;D projects to the administrator and the Commission for consideration and inclusion and annual gas R&amp;D programs.”</w:t>
      </w:r>
      <w:r w:rsidRPr="00882303" w:rsidR="0004567F">
        <w:rPr>
          <w:rFonts w:ascii="Palatino Linotype" w:hAnsi="Palatino Linotype" w:cs="Segoe UI Historic"/>
          <w:vertAlign w:val="superscript"/>
        </w:rPr>
        <w:footnoteReference w:id="44"/>
      </w:r>
      <w:r w:rsidRPr="00882303" w:rsidR="0004567F">
        <w:rPr>
          <w:rFonts w:ascii="Palatino Linotype" w:hAnsi="Palatino Linotype" w:cs="Segoe UI Historic"/>
        </w:rPr>
        <w:t xml:space="preserve"> </w:t>
      </w:r>
    </w:p>
    <w:p w:rsidRPr="00882303" w:rsidR="00EA47A0" w:rsidP="0074612C" w:rsidRDefault="0004567F" w14:paraId="4E318481" w14:textId="4D8F3A18">
      <w:pPr>
        <w:pStyle w:val="paragraph"/>
        <w:rPr>
          <w:rFonts w:ascii="Palatino Linotype" w:hAnsi="Palatino Linotype" w:cs="Segoe UI Historic"/>
        </w:rPr>
      </w:pPr>
      <w:r w:rsidRPr="00882303">
        <w:rPr>
          <w:rFonts w:ascii="Palatino Linotype" w:hAnsi="Palatino Linotype" w:cs="Segoe UI Historic"/>
        </w:rPr>
        <w:t xml:space="preserve">The CEC describes coordination with stakeholders and strategic partnerships in its </w:t>
      </w:r>
      <w:r w:rsidR="00DF76F7">
        <w:rPr>
          <w:rFonts w:ascii="Palatino Linotype" w:hAnsi="Palatino Linotype" w:cs="Segoe UI Historic"/>
        </w:rPr>
        <w:br/>
      </w:r>
      <w:r w:rsidRPr="00882303">
        <w:rPr>
          <w:rFonts w:ascii="Palatino Linotype" w:hAnsi="Palatino Linotype" w:cs="Segoe UI Historic"/>
        </w:rPr>
        <w:t>FY 2023-2024 Plan. The CEC discusses the public workshop it held on January 17, 2023 where it received participation from sixty-seven attendees.</w:t>
      </w:r>
      <w:r w:rsidRPr="00882303">
        <w:rPr>
          <w:rFonts w:ascii="Palatino Linotype" w:hAnsi="Palatino Linotype" w:cs="Segoe UI Historic"/>
          <w:vertAlign w:val="superscript"/>
        </w:rPr>
        <w:footnoteReference w:id="45"/>
      </w:r>
      <w:r w:rsidRPr="00882303">
        <w:rPr>
          <w:rFonts w:ascii="Palatino Linotype" w:hAnsi="Palatino Linotype" w:cs="Segoe UI Historic"/>
        </w:rPr>
        <w:t xml:space="preserve">  The CEC further described its process to leverage </w:t>
      </w:r>
      <w:proofErr w:type="spellStart"/>
      <w:r w:rsidRPr="00882303">
        <w:rPr>
          <w:rFonts w:ascii="Palatino Linotype" w:hAnsi="Palatino Linotype" w:cs="Segoe UI Historic"/>
        </w:rPr>
        <w:t>cofunding</w:t>
      </w:r>
      <w:proofErr w:type="spellEnd"/>
      <w:r w:rsidRPr="00882303">
        <w:rPr>
          <w:rFonts w:ascii="Palatino Linotype" w:hAnsi="Palatino Linotype" w:cs="Segoe UI Historic"/>
        </w:rPr>
        <w:t xml:space="preserve"> opportunities by requiring applicants for competitive solicitations to secure match funding, which is usually 10 – 20 percent.</w:t>
      </w:r>
      <w:r w:rsidRPr="00882303">
        <w:rPr>
          <w:rFonts w:ascii="Palatino Linotype" w:hAnsi="Palatino Linotype" w:cs="Segoe UI Historic"/>
          <w:vertAlign w:val="superscript"/>
        </w:rPr>
        <w:footnoteReference w:id="46"/>
      </w:r>
      <w:r w:rsidRPr="00882303">
        <w:rPr>
          <w:rFonts w:ascii="Palatino Linotype" w:hAnsi="Palatino Linotype" w:cs="Segoe UI Historic"/>
        </w:rPr>
        <w:t xml:space="preserve"> </w:t>
      </w:r>
      <w:r w:rsidRPr="00882303" w:rsidR="00BA798C">
        <w:rPr>
          <w:rFonts w:ascii="Palatino Linotype" w:hAnsi="Palatino Linotype" w:cs="Segoe UI Historic"/>
        </w:rPr>
        <w:t>In all future plans, the CEC shall be more</w:t>
      </w:r>
      <w:r w:rsidRPr="00882303" w:rsidR="00D80B6F">
        <w:rPr>
          <w:rFonts w:ascii="Palatino Linotype" w:hAnsi="Palatino Linotype" w:cs="Segoe UI Historic"/>
        </w:rPr>
        <w:t xml:space="preserve"> proactive and</w:t>
      </w:r>
      <w:r w:rsidRPr="00882303" w:rsidR="00BA798C">
        <w:rPr>
          <w:rFonts w:ascii="Palatino Linotype" w:hAnsi="Palatino Linotype" w:cs="Segoe UI Historic"/>
        </w:rPr>
        <w:t xml:space="preserve"> specific </w:t>
      </w:r>
      <w:r w:rsidRPr="00882303" w:rsidR="0012265F">
        <w:rPr>
          <w:rFonts w:ascii="Palatino Linotype" w:hAnsi="Palatino Linotype" w:cs="Segoe UI Historic"/>
        </w:rPr>
        <w:t>i</w:t>
      </w:r>
      <w:r w:rsidRPr="00882303" w:rsidR="00BA798C">
        <w:rPr>
          <w:rFonts w:ascii="Palatino Linotype" w:hAnsi="Palatino Linotype" w:cs="Segoe UI Historic"/>
        </w:rPr>
        <w:t xml:space="preserve">n </w:t>
      </w:r>
      <w:r w:rsidRPr="00882303" w:rsidR="00C146D1">
        <w:rPr>
          <w:rFonts w:ascii="Palatino Linotype" w:hAnsi="Palatino Linotype" w:cs="Segoe UI Historic"/>
        </w:rPr>
        <w:t xml:space="preserve">articulating </w:t>
      </w:r>
      <w:r w:rsidRPr="00882303" w:rsidR="00BA798C">
        <w:rPr>
          <w:rFonts w:ascii="Palatino Linotype" w:hAnsi="Palatino Linotype" w:cs="Segoe UI Historic"/>
        </w:rPr>
        <w:t xml:space="preserve">its coordination and collaboration with the IOUs </w:t>
      </w:r>
      <w:r w:rsidRPr="00882303" w:rsidR="00C146D1">
        <w:rPr>
          <w:rFonts w:ascii="Palatino Linotype" w:hAnsi="Palatino Linotype" w:cs="Segoe UI Historic"/>
        </w:rPr>
        <w:t>(</w:t>
      </w:r>
      <w:r w:rsidRPr="00882303" w:rsidR="00BA798C">
        <w:rPr>
          <w:rFonts w:ascii="Palatino Linotype" w:hAnsi="Palatino Linotype" w:cs="Segoe UI Historic"/>
        </w:rPr>
        <w:t>and other Gas R&amp;D entities</w:t>
      </w:r>
      <w:r w:rsidRPr="00882303" w:rsidR="00C146D1">
        <w:rPr>
          <w:rFonts w:ascii="Palatino Linotype" w:hAnsi="Palatino Linotype" w:cs="Segoe UI Historic"/>
        </w:rPr>
        <w:t>)</w:t>
      </w:r>
      <w:r w:rsidRPr="00882303" w:rsidR="00BA798C">
        <w:rPr>
          <w:rFonts w:ascii="Palatino Linotype" w:hAnsi="Palatino Linotype" w:cs="Segoe UI Historic"/>
        </w:rPr>
        <w:t xml:space="preserve">. </w:t>
      </w:r>
      <w:r w:rsidRPr="00882303" w:rsidR="00007EE7">
        <w:rPr>
          <w:rFonts w:ascii="Palatino Linotype" w:hAnsi="Palatino Linotype" w:cs="Segoe UI Historic"/>
        </w:rPr>
        <w:t>To optimize ratepayer</w:t>
      </w:r>
      <w:r w:rsidRPr="00882303" w:rsidR="00AB0E29">
        <w:rPr>
          <w:rFonts w:ascii="Palatino Linotype" w:hAnsi="Palatino Linotype" w:cs="Segoe UI Historic"/>
        </w:rPr>
        <w:t>s’</w:t>
      </w:r>
      <w:r w:rsidRPr="00882303" w:rsidR="00007EE7">
        <w:rPr>
          <w:rFonts w:ascii="Palatino Linotype" w:hAnsi="Palatino Linotype" w:cs="Segoe UI Historic"/>
        </w:rPr>
        <w:t xml:space="preserve"> investment</w:t>
      </w:r>
      <w:r w:rsidRPr="00882303" w:rsidR="00AA4D00">
        <w:rPr>
          <w:rFonts w:ascii="Palatino Linotype" w:hAnsi="Palatino Linotype" w:cs="Segoe UI Historic"/>
        </w:rPr>
        <w:t xml:space="preserve"> in gas RD&amp;D programs</w:t>
      </w:r>
      <w:r w:rsidRPr="00882303" w:rsidR="004739B9">
        <w:rPr>
          <w:rFonts w:ascii="Palatino Linotype" w:hAnsi="Palatino Linotype" w:cs="Segoe UI Historic"/>
        </w:rPr>
        <w:t xml:space="preserve">, as well as efficiencies to achieving </w:t>
      </w:r>
      <w:r w:rsidRPr="00882303" w:rsidR="00AA4D00">
        <w:rPr>
          <w:rFonts w:ascii="Palatino Linotype" w:hAnsi="Palatino Linotype" w:cs="Segoe UI Historic"/>
        </w:rPr>
        <w:t xml:space="preserve">innovation in the gas sector, </w:t>
      </w:r>
      <w:r w:rsidRPr="00882303" w:rsidR="00007EE7">
        <w:rPr>
          <w:rFonts w:ascii="Palatino Linotype" w:hAnsi="Palatino Linotype" w:cs="Segoe UI Historic"/>
        </w:rPr>
        <w:t>all gas R&amp;D adm</w:t>
      </w:r>
      <w:r w:rsidRPr="00882303" w:rsidR="00B14239">
        <w:rPr>
          <w:rFonts w:ascii="Palatino Linotype" w:hAnsi="Palatino Linotype" w:cs="Segoe UI Historic"/>
        </w:rPr>
        <w:t xml:space="preserve">inistrators must coordinate early at a strategic level </w:t>
      </w:r>
      <w:r w:rsidRPr="00882303" w:rsidR="00A56A26">
        <w:rPr>
          <w:rFonts w:ascii="Palatino Linotype" w:hAnsi="Palatino Linotype" w:cs="Segoe UI Historic"/>
        </w:rPr>
        <w:t xml:space="preserve">to assess each administrator’s appropriate </w:t>
      </w:r>
      <w:r w:rsidRPr="00882303" w:rsidR="00AD4CEF">
        <w:rPr>
          <w:rFonts w:ascii="Palatino Linotype" w:hAnsi="Palatino Linotype" w:cs="Segoe UI Historic"/>
        </w:rPr>
        <w:t xml:space="preserve">and coordinated </w:t>
      </w:r>
      <w:r w:rsidRPr="00882303" w:rsidR="00A56A26">
        <w:rPr>
          <w:rFonts w:ascii="Palatino Linotype" w:hAnsi="Palatino Linotype" w:cs="Segoe UI Historic"/>
        </w:rPr>
        <w:t xml:space="preserve">role in </w:t>
      </w:r>
      <w:r w:rsidRPr="00882303" w:rsidR="0077392D">
        <w:rPr>
          <w:rFonts w:ascii="Palatino Linotype" w:hAnsi="Palatino Linotype" w:cs="Segoe UI Historic"/>
        </w:rPr>
        <w:t xml:space="preserve">needed R&amp;D as guided by the CPUC’s gas-related proceedings. </w:t>
      </w:r>
      <w:r w:rsidRPr="00882303" w:rsidR="00BA798C">
        <w:rPr>
          <w:rFonts w:ascii="Palatino Linotype" w:hAnsi="Palatino Linotype" w:cs="Segoe UI Historic"/>
        </w:rPr>
        <w:t>It is crucial that Gas R&amp;D</w:t>
      </w:r>
      <w:r w:rsidRPr="00882303" w:rsidDel="00AD4CEF" w:rsidR="00BA798C">
        <w:rPr>
          <w:rFonts w:ascii="Palatino Linotype" w:hAnsi="Palatino Linotype" w:cs="Segoe UI Historic"/>
        </w:rPr>
        <w:t xml:space="preserve"> </w:t>
      </w:r>
      <w:r w:rsidRPr="00882303" w:rsidR="00BA798C">
        <w:rPr>
          <w:rFonts w:ascii="Palatino Linotype" w:hAnsi="Palatino Linotype" w:cs="Segoe UI Historic"/>
        </w:rPr>
        <w:t>not duplicate one another</w:t>
      </w:r>
      <w:r w:rsidRPr="00882303" w:rsidR="00AD4CEF">
        <w:rPr>
          <w:rFonts w:ascii="Palatino Linotype" w:hAnsi="Palatino Linotype" w:cs="Segoe UI Historic"/>
        </w:rPr>
        <w:t xml:space="preserve"> </w:t>
      </w:r>
      <w:r w:rsidRPr="00882303" w:rsidR="2171D189">
        <w:rPr>
          <w:rFonts w:ascii="Palatino Linotype" w:hAnsi="Palatino Linotype" w:cs="Segoe UI Historic"/>
        </w:rPr>
        <w:t>and</w:t>
      </w:r>
      <w:r w:rsidRPr="00882303" w:rsidR="00AD4CEF">
        <w:rPr>
          <w:rFonts w:ascii="Palatino Linotype" w:hAnsi="Palatino Linotype" w:cs="Segoe UI Historic"/>
        </w:rPr>
        <w:t xml:space="preserve"> leverage each other’s unique role and strengths</w:t>
      </w:r>
      <w:r w:rsidRPr="00882303" w:rsidR="00BA798C">
        <w:rPr>
          <w:rFonts w:ascii="Palatino Linotype" w:hAnsi="Palatino Linotype" w:cs="Segoe UI Historic"/>
        </w:rPr>
        <w:t xml:space="preserve">. The CEC shall meet with </w:t>
      </w:r>
      <w:r w:rsidRPr="00882303" w:rsidR="002D310C">
        <w:rPr>
          <w:rFonts w:ascii="Palatino Linotype" w:hAnsi="Palatino Linotype" w:cs="Segoe UI Historic"/>
        </w:rPr>
        <w:t>the administrators of other Gas R&amp;D programs and describe in its annual plan how its research complements other Gas R&amp;D research occurring in California</w:t>
      </w:r>
      <w:r w:rsidRPr="00882303" w:rsidR="00A177A2">
        <w:rPr>
          <w:rFonts w:ascii="Palatino Linotype" w:hAnsi="Palatino Linotype" w:cs="Segoe UI Historic"/>
        </w:rPr>
        <w:t>, consistent with CPUC policies and proceedings</w:t>
      </w:r>
      <w:r w:rsidRPr="00882303" w:rsidR="00030405">
        <w:rPr>
          <w:rFonts w:ascii="Palatino Linotype" w:hAnsi="Palatino Linotype" w:cs="Segoe UI Historic"/>
        </w:rPr>
        <w:t>. Further, the CEC shall coordinate with all IOU gas R&amp;D administrators to hold a</w:t>
      </w:r>
      <w:r w:rsidRPr="00882303" w:rsidR="00B930BD">
        <w:rPr>
          <w:rFonts w:ascii="Palatino Linotype" w:hAnsi="Palatino Linotype" w:cs="Segoe UI Historic"/>
        </w:rPr>
        <w:t xml:space="preserve">n annual public workshop that </w:t>
      </w:r>
      <w:r w:rsidRPr="00882303" w:rsidR="0097521B">
        <w:rPr>
          <w:rFonts w:ascii="Palatino Linotype" w:hAnsi="Palatino Linotype" w:cs="Segoe UI Historic"/>
        </w:rPr>
        <w:t xml:space="preserve">is structured thematically </w:t>
      </w:r>
      <w:r w:rsidRPr="00882303" w:rsidR="0097521B">
        <w:rPr>
          <w:rFonts w:ascii="Palatino Linotype" w:hAnsi="Palatino Linotype" w:cs="Segoe UI Historic"/>
        </w:rPr>
        <w:lastRenderedPageBreak/>
        <w:t>to demonstrate how administrators are</w:t>
      </w:r>
      <w:r w:rsidRPr="00882303" w:rsidR="00CB114C">
        <w:rPr>
          <w:rFonts w:ascii="Palatino Linotype" w:hAnsi="Palatino Linotype" w:cs="Segoe UI Historic"/>
        </w:rPr>
        <w:t xml:space="preserve"> coordinating on </w:t>
      </w:r>
      <w:r w:rsidRPr="00882303" w:rsidR="001E0DE9">
        <w:rPr>
          <w:rFonts w:ascii="Palatino Linotype" w:hAnsi="Palatino Linotype" w:cs="Segoe UI Historic"/>
        </w:rPr>
        <w:t>methane</w:t>
      </w:r>
      <w:r w:rsidRPr="00882303" w:rsidR="00CB114C">
        <w:rPr>
          <w:rFonts w:ascii="Palatino Linotype" w:hAnsi="Palatino Linotype" w:cs="Segoe UI Historic"/>
        </w:rPr>
        <w:t xml:space="preserve"> innovation to benefit ratepayers, including impacts on ESJ communities</w:t>
      </w:r>
      <w:r w:rsidRPr="00882303" w:rsidR="002D310C">
        <w:rPr>
          <w:rFonts w:ascii="Palatino Linotype" w:hAnsi="Palatino Linotype" w:cs="Segoe UI Historic"/>
        </w:rPr>
        <w:t>.</w:t>
      </w:r>
    </w:p>
    <w:p w:rsidRPr="00F84530" w:rsidR="71B9D62C" w:rsidP="71B9D62C" w:rsidRDefault="71B9D62C" w14:paraId="25D5FB92" w14:textId="2EF65BBF">
      <w:pPr>
        <w:pStyle w:val="paragraph"/>
        <w:rPr>
          <w:rFonts w:ascii="Palatino Linotype" w:hAnsi="Palatino Linotype" w:cs="Segoe UI Historic"/>
          <w:b/>
          <w:bCs/>
          <w:i/>
          <w:iCs/>
          <w:sz w:val="2"/>
          <w:szCs w:val="2"/>
        </w:rPr>
      </w:pPr>
    </w:p>
    <w:p w:rsidRPr="00882303" w:rsidR="0022625B" w:rsidP="0074612C" w:rsidRDefault="00D3561C" w14:paraId="644CA663" w14:textId="4D25779F">
      <w:pPr>
        <w:pStyle w:val="paragraph"/>
        <w:rPr>
          <w:rFonts w:ascii="Palatino Linotype" w:hAnsi="Palatino Linotype" w:cs="Segoe UI Historic"/>
        </w:rPr>
      </w:pPr>
      <w:r w:rsidRPr="00882303">
        <w:rPr>
          <w:rFonts w:ascii="Palatino Linotype" w:hAnsi="Palatino Linotype" w:cs="Segoe UI Historic"/>
          <w:b/>
          <w:bCs/>
          <w:i/>
          <w:iCs/>
        </w:rPr>
        <w:t>Administrative Budget</w:t>
      </w:r>
    </w:p>
    <w:p w:rsidRPr="00882303" w:rsidR="00D3080D" w:rsidP="0074612C" w:rsidRDefault="00F55840" w14:paraId="7105F3C7" w14:textId="77777777">
      <w:pPr>
        <w:pStyle w:val="paragraph"/>
        <w:rPr>
          <w:rFonts w:ascii="Palatino Linotype" w:hAnsi="Palatino Linotype" w:cs="Segoe UI Historic"/>
        </w:rPr>
      </w:pPr>
      <w:r w:rsidRPr="00882303">
        <w:rPr>
          <w:rFonts w:ascii="Palatino Linotype" w:hAnsi="Palatino Linotype" w:cs="Segoe UI Historic"/>
        </w:rPr>
        <w:t>G-3592 require</w:t>
      </w:r>
      <w:r w:rsidRPr="00882303" w:rsidR="006021EE">
        <w:rPr>
          <w:rFonts w:ascii="Palatino Linotype" w:hAnsi="Palatino Linotype" w:cs="Segoe UI Historic"/>
        </w:rPr>
        <w:t xml:space="preserve">s </w:t>
      </w:r>
      <w:r w:rsidRPr="00882303">
        <w:rPr>
          <w:rFonts w:ascii="Palatino Linotype" w:hAnsi="Palatino Linotype" w:cs="Segoe UI Historic"/>
        </w:rPr>
        <w:t>the CEC to allocate designated costs into an administrative budget template to breakout detailed administrative costs.</w:t>
      </w:r>
      <w:r w:rsidRPr="00882303">
        <w:rPr>
          <w:rStyle w:val="FootnoteReference"/>
          <w:rFonts w:ascii="Palatino Linotype" w:hAnsi="Palatino Linotype" w:cs="Segoe UI Historic"/>
        </w:rPr>
        <w:footnoteReference w:id="47"/>
      </w:r>
      <w:r w:rsidRPr="00882303">
        <w:rPr>
          <w:rFonts w:ascii="Palatino Linotype" w:hAnsi="Palatino Linotype" w:cs="Segoe UI Historic"/>
        </w:rPr>
        <w:t xml:space="preserve"> The CEC</w:t>
      </w:r>
      <w:r w:rsidRPr="00882303" w:rsidR="006021EE">
        <w:rPr>
          <w:rFonts w:ascii="Palatino Linotype" w:hAnsi="Palatino Linotype" w:cs="Segoe UI Historic"/>
        </w:rPr>
        <w:t xml:space="preserve"> breaks down its administrative costs in the template provided in Appendix F of its FY 2023-2024 Plan.</w:t>
      </w:r>
      <w:r w:rsidRPr="00882303" w:rsidR="006021EE">
        <w:rPr>
          <w:rStyle w:val="FootnoteReference"/>
          <w:rFonts w:ascii="Palatino Linotype" w:hAnsi="Palatino Linotype" w:cs="Segoe UI Historic"/>
        </w:rPr>
        <w:footnoteReference w:id="48"/>
      </w:r>
      <w:r w:rsidRPr="00882303" w:rsidR="006021EE">
        <w:rPr>
          <w:rFonts w:ascii="Palatino Linotype" w:hAnsi="Palatino Linotype" w:cs="Segoe UI Historic"/>
        </w:rPr>
        <w:t xml:space="preserve"> </w:t>
      </w:r>
    </w:p>
    <w:p w:rsidRPr="00882303" w:rsidR="002D310C" w:rsidP="0074612C" w:rsidRDefault="006021EE" w14:paraId="17DCD798" w14:textId="3827E00D">
      <w:pPr>
        <w:pStyle w:val="paragraph"/>
        <w:rPr>
          <w:rFonts w:ascii="Palatino Linotype" w:hAnsi="Palatino Linotype" w:cs="Segoe UI Historic"/>
        </w:rPr>
      </w:pPr>
      <w:r w:rsidRPr="00882303">
        <w:rPr>
          <w:rFonts w:ascii="Palatino Linotype" w:hAnsi="Palatino Linotype" w:cs="Segoe UI Historic"/>
        </w:rPr>
        <w:t xml:space="preserve">This </w:t>
      </w:r>
      <w:r w:rsidRPr="00882303" w:rsidR="65F91AFC">
        <w:rPr>
          <w:rFonts w:ascii="Palatino Linotype" w:hAnsi="Palatino Linotype" w:cs="Segoe UI Historic"/>
        </w:rPr>
        <w:t>approach</w:t>
      </w:r>
      <w:r w:rsidRPr="00882303">
        <w:rPr>
          <w:rFonts w:ascii="Palatino Linotype" w:hAnsi="Palatino Linotype" w:cs="Segoe UI Historic"/>
        </w:rPr>
        <w:t xml:space="preserve"> is compliant with the requirement from G-3592. </w:t>
      </w:r>
    </w:p>
    <w:p w:rsidRPr="00F84530" w:rsidR="71B9D62C" w:rsidP="71B9D62C" w:rsidRDefault="71B9D62C" w14:paraId="6E64B51E" w14:textId="1069B714">
      <w:pPr>
        <w:pStyle w:val="paragraph"/>
        <w:rPr>
          <w:rFonts w:ascii="Palatino Linotype" w:hAnsi="Palatino Linotype" w:cs="Segoe UI Historic"/>
          <w:b/>
          <w:bCs/>
          <w:i/>
          <w:iCs/>
          <w:sz w:val="2"/>
          <w:szCs w:val="2"/>
        </w:rPr>
      </w:pPr>
    </w:p>
    <w:p w:rsidRPr="00882303" w:rsidR="00D3561C" w:rsidP="0074612C" w:rsidRDefault="00D3561C" w14:paraId="03BD3E39" w14:textId="0BA67B58">
      <w:pPr>
        <w:pStyle w:val="paragraph"/>
        <w:rPr>
          <w:rFonts w:ascii="Palatino Linotype" w:hAnsi="Palatino Linotype" w:cs="Segoe UI Historic"/>
        </w:rPr>
      </w:pPr>
      <w:r w:rsidRPr="00882303">
        <w:rPr>
          <w:rFonts w:ascii="Palatino Linotype" w:hAnsi="Palatino Linotype" w:cs="Segoe UI Historic"/>
          <w:b/>
          <w:bCs/>
          <w:i/>
          <w:iCs/>
        </w:rPr>
        <w:t>Long-Term Research Roadmap</w:t>
      </w:r>
    </w:p>
    <w:p w:rsidRPr="00882303" w:rsidR="006021EE" w:rsidP="0074612C" w:rsidRDefault="006021EE" w14:paraId="33D91E48" w14:textId="4013DBFC">
      <w:pPr>
        <w:pStyle w:val="paragraph"/>
        <w:rPr>
          <w:rFonts w:ascii="Palatino Linotype" w:hAnsi="Palatino Linotype" w:cs="Segoe UI Historic"/>
        </w:rPr>
      </w:pPr>
      <w:r w:rsidRPr="00882303">
        <w:rPr>
          <w:rFonts w:ascii="Palatino Linotype" w:hAnsi="Palatino Linotype" w:cs="Segoe UI Historic"/>
        </w:rPr>
        <w:t>G-3592 requires the CEC to provide information on the current status</w:t>
      </w:r>
      <w:r w:rsidRPr="00882303" w:rsidR="00FD495F">
        <w:rPr>
          <w:rFonts w:ascii="Palatino Linotype" w:hAnsi="Palatino Linotype" w:cs="Segoe UI Historic"/>
        </w:rPr>
        <w:t xml:space="preserve"> of the Long-Term Research Roadmap, currently titled “Establishing a Long-Term Natural Gas Strategy to Achieve Aggressive Statewide Carbon Neutrality Goals,” including an anticipated timeframe for its completion.</w:t>
      </w:r>
      <w:r w:rsidRPr="00882303" w:rsidR="00FD495F">
        <w:rPr>
          <w:rStyle w:val="FootnoteReference"/>
          <w:rFonts w:ascii="Palatino Linotype" w:hAnsi="Palatino Linotype" w:cs="Segoe UI Historic"/>
        </w:rPr>
        <w:footnoteReference w:id="49"/>
      </w:r>
      <w:r w:rsidRPr="00882303" w:rsidR="00406A03">
        <w:rPr>
          <w:rFonts w:ascii="Palatino Linotype" w:hAnsi="Palatino Linotype" w:cs="Segoe UI Historic"/>
        </w:rPr>
        <w:t xml:space="preserve"> </w:t>
      </w:r>
      <w:r w:rsidRPr="00882303" w:rsidR="00030154">
        <w:rPr>
          <w:rFonts w:ascii="Palatino Linotype" w:hAnsi="Palatino Linotype" w:cs="Segoe UI Historic"/>
        </w:rPr>
        <w:t>The CEC states that the final report was submitted to the CEC on November 30, 2022 and contained recommendations organized</w:t>
      </w:r>
      <w:r w:rsidRPr="00882303" w:rsidR="009E0B65">
        <w:rPr>
          <w:rFonts w:ascii="Palatino Linotype" w:hAnsi="Palatino Linotype" w:cs="Segoe UI Historic"/>
        </w:rPr>
        <w:t xml:space="preserve"> by</w:t>
      </w:r>
      <w:r w:rsidRPr="00882303" w:rsidR="00030154">
        <w:rPr>
          <w:rFonts w:ascii="Palatino Linotype" w:hAnsi="Palatino Linotype" w:cs="Segoe UI Historic"/>
        </w:rPr>
        <w:t xml:space="preserve"> 11 initiatives: </w:t>
      </w:r>
      <w:r w:rsidRPr="00882303" w:rsidR="009C2C6B">
        <w:rPr>
          <w:rFonts w:ascii="Palatino Linotype" w:hAnsi="Palatino Linotype" w:cs="Segoe UI Historic"/>
        </w:rPr>
        <w:t>three under communities, equity, and environment; four under gas end use; and four under gas supply chain elements (production, transport, and storage).</w:t>
      </w:r>
      <w:r w:rsidRPr="00882303" w:rsidR="009C2C6B">
        <w:rPr>
          <w:rStyle w:val="FootnoteReference"/>
          <w:rFonts w:ascii="Palatino Linotype" w:hAnsi="Palatino Linotype" w:cs="Segoe UI Historic"/>
        </w:rPr>
        <w:footnoteReference w:id="50"/>
      </w:r>
      <w:r w:rsidRPr="00882303" w:rsidR="009C2C6B">
        <w:rPr>
          <w:rFonts w:ascii="Palatino Linotype" w:hAnsi="Palatino Linotype" w:cs="Segoe UI Historic"/>
        </w:rPr>
        <w:t xml:space="preserve"> The CE</w:t>
      </w:r>
      <w:r w:rsidRPr="00882303" w:rsidR="000C6CB3">
        <w:rPr>
          <w:rFonts w:ascii="Palatino Linotype" w:hAnsi="Palatino Linotype" w:cs="Segoe UI Historic"/>
        </w:rPr>
        <w:t>C states that these recommendations have partially informed the investments of its FY 2023-2024 Gas R&amp;D Plan.</w:t>
      </w:r>
      <w:r w:rsidRPr="00882303" w:rsidR="000C6CB3">
        <w:rPr>
          <w:rStyle w:val="FootnoteReference"/>
          <w:rFonts w:ascii="Palatino Linotype" w:hAnsi="Palatino Linotype" w:cs="Segoe UI Historic"/>
        </w:rPr>
        <w:footnoteReference w:id="51"/>
      </w:r>
      <w:r w:rsidRPr="00882303" w:rsidR="002B4F2B">
        <w:rPr>
          <w:rFonts w:ascii="Palatino Linotype" w:hAnsi="Palatino Linotype" w:cs="Segoe UI Historic"/>
        </w:rPr>
        <w:t xml:space="preserve"> In the future, the CEC shall </w:t>
      </w:r>
      <w:r w:rsidRPr="00882303" w:rsidR="00DC5987">
        <w:rPr>
          <w:rFonts w:ascii="Palatino Linotype" w:hAnsi="Palatino Linotype" w:cs="Segoe UI Historic"/>
        </w:rPr>
        <w:t xml:space="preserve">coordinate with CPUC staff to ensure that </w:t>
      </w:r>
      <w:r w:rsidRPr="00882303" w:rsidR="00513A91">
        <w:rPr>
          <w:rFonts w:ascii="Palatino Linotype" w:hAnsi="Palatino Linotype" w:cs="Segoe UI Historic"/>
        </w:rPr>
        <w:t xml:space="preserve">research plans are </w:t>
      </w:r>
      <w:r w:rsidRPr="00882303" w:rsidR="00C52865">
        <w:rPr>
          <w:rFonts w:ascii="Palatino Linotype" w:hAnsi="Palatino Linotype" w:cs="Segoe UI Historic"/>
        </w:rPr>
        <w:t>coordinated and consistent with CPUC policies and proceedings.</w:t>
      </w:r>
    </w:p>
    <w:p w:rsidRPr="00882303" w:rsidR="0074612C" w:rsidP="0074612C" w:rsidRDefault="0074612C" w14:paraId="575CCF81" w14:textId="3FF87712">
      <w:pPr>
        <w:pStyle w:val="paragraph"/>
        <w:rPr>
          <w:rFonts w:ascii="Palatino Linotype" w:hAnsi="Palatino Linotype" w:cs="Segoe UI Historic"/>
          <w:b/>
        </w:rPr>
      </w:pPr>
      <w:r w:rsidRPr="00882303">
        <w:rPr>
          <w:rFonts w:ascii="Palatino Linotype" w:hAnsi="Palatino Linotype" w:cs="Segoe UI Historic"/>
          <w:b/>
        </w:rPr>
        <w:t>Reasonableness of Budget Request</w:t>
      </w:r>
    </w:p>
    <w:p w:rsidRPr="00882303" w:rsidR="0074612C" w:rsidP="0074612C" w:rsidRDefault="00D26219" w14:paraId="4CB3ED2A" w14:textId="78E9B1DA">
      <w:pPr>
        <w:pStyle w:val="paragraph"/>
        <w:rPr>
          <w:rFonts w:ascii="Palatino Linotype" w:hAnsi="Palatino Linotype" w:cs="Segoe UI Historic"/>
        </w:rPr>
      </w:pPr>
      <w:r w:rsidRPr="00882303">
        <w:rPr>
          <w:rFonts w:ascii="Palatino Linotype" w:hAnsi="Palatino Linotype" w:cs="Segoe UI Historic"/>
        </w:rPr>
        <w:t>Below we address each</w:t>
      </w:r>
      <w:r w:rsidRPr="00882303" w:rsidR="00E2622D">
        <w:rPr>
          <w:rFonts w:ascii="Palatino Linotype" w:hAnsi="Palatino Linotype" w:cs="Segoe UI Historic"/>
        </w:rPr>
        <w:t xml:space="preserve"> of the following</w:t>
      </w:r>
      <w:r w:rsidRPr="00882303">
        <w:rPr>
          <w:rFonts w:ascii="Palatino Linotype" w:hAnsi="Palatino Linotype" w:cs="Segoe UI Historic"/>
        </w:rPr>
        <w:t xml:space="preserve"> funding</w:t>
      </w:r>
      <w:r w:rsidRPr="00882303" w:rsidDel="00CB372F">
        <w:rPr>
          <w:rFonts w:ascii="Palatino Linotype" w:hAnsi="Palatino Linotype" w:cs="Segoe UI Historic"/>
        </w:rPr>
        <w:t xml:space="preserve"> </w:t>
      </w:r>
      <w:r w:rsidRPr="00882303" w:rsidR="00CB372F">
        <w:rPr>
          <w:rFonts w:ascii="Palatino Linotype" w:hAnsi="Palatino Linotype" w:cs="Segoe UI Historic"/>
        </w:rPr>
        <w:t>areas</w:t>
      </w:r>
      <w:r w:rsidRPr="00882303" w:rsidR="00C157EB">
        <w:rPr>
          <w:rFonts w:ascii="Palatino Linotype" w:hAnsi="Palatino Linotype" w:cs="Segoe UI Historic"/>
        </w:rPr>
        <w:t xml:space="preserve"> </w:t>
      </w:r>
      <w:r w:rsidRPr="00882303" w:rsidR="009C5EC6">
        <w:rPr>
          <w:rFonts w:ascii="Palatino Linotype" w:hAnsi="Palatino Linotype" w:cs="Segoe UI Historic"/>
        </w:rPr>
        <w:t>proposed in the CEC’s 202</w:t>
      </w:r>
      <w:r w:rsidRPr="00882303" w:rsidR="00404570">
        <w:rPr>
          <w:rFonts w:ascii="Palatino Linotype" w:hAnsi="Palatino Linotype" w:cs="Segoe UI Historic"/>
        </w:rPr>
        <w:t>3</w:t>
      </w:r>
      <w:r w:rsidRPr="00882303" w:rsidR="009C5EC6">
        <w:rPr>
          <w:rFonts w:ascii="Palatino Linotype" w:hAnsi="Palatino Linotype" w:cs="Segoe UI Historic"/>
        </w:rPr>
        <w:t>-202</w:t>
      </w:r>
      <w:r w:rsidRPr="00882303" w:rsidR="00404570">
        <w:rPr>
          <w:rFonts w:ascii="Palatino Linotype" w:hAnsi="Palatino Linotype" w:cs="Segoe UI Historic"/>
        </w:rPr>
        <w:t>4</w:t>
      </w:r>
      <w:r w:rsidRPr="00882303" w:rsidR="009C5EC6">
        <w:rPr>
          <w:rFonts w:ascii="Palatino Linotype" w:hAnsi="Palatino Linotype" w:cs="Segoe UI Historic"/>
        </w:rPr>
        <w:t xml:space="preserve"> Gas R&amp;D budget</w:t>
      </w:r>
      <w:r w:rsidRPr="00882303" w:rsidR="00404570">
        <w:rPr>
          <w:rFonts w:ascii="Palatino Linotype" w:hAnsi="Palatino Linotype" w:cs="Segoe UI Historic"/>
        </w:rPr>
        <w:t>:</w:t>
      </w:r>
    </w:p>
    <w:p w:rsidRPr="00882303" w:rsidR="00404570" w:rsidP="00404570" w:rsidRDefault="00404570" w14:paraId="0E998897" w14:textId="77777777">
      <w:pPr>
        <w:pStyle w:val="paragraph"/>
        <w:numPr>
          <w:ilvl w:val="0"/>
          <w:numId w:val="10"/>
        </w:numPr>
        <w:rPr>
          <w:rFonts w:ascii="Palatino Linotype" w:hAnsi="Palatino Linotype" w:cs="Segoe UI Historic"/>
        </w:rPr>
      </w:pPr>
      <w:r w:rsidRPr="00882303">
        <w:rPr>
          <w:rFonts w:ascii="Palatino Linotype" w:hAnsi="Palatino Linotype" w:cs="Segoe UI Historic"/>
        </w:rPr>
        <w:t>Gas Leakage Mitigation ($10,130,876)</w:t>
      </w:r>
    </w:p>
    <w:p w:rsidRPr="00882303" w:rsidR="00404570" w:rsidP="00404570" w:rsidRDefault="00404570" w14:paraId="3319C0D4" w14:textId="77777777">
      <w:pPr>
        <w:pStyle w:val="paragraph"/>
        <w:numPr>
          <w:ilvl w:val="0"/>
          <w:numId w:val="10"/>
        </w:numPr>
        <w:rPr>
          <w:rFonts w:ascii="Palatino Linotype" w:hAnsi="Palatino Linotype" w:cs="Segoe UI Historic"/>
        </w:rPr>
      </w:pPr>
      <w:r w:rsidRPr="00882303">
        <w:rPr>
          <w:rFonts w:ascii="Palatino Linotype" w:hAnsi="Palatino Linotype" w:cs="Segoe UI Historic"/>
        </w:rPr>
        <w:t>Building Decarbonization ($7,000,000)</w:t>
      </w:r>
    </w:p>
    <w:p w:rsidRPr="00882303" w:rsidR="00404570" w:rsidP="00404570" w:rsidRDefault="00404570" w14:paraId="7E0752CA" w14:textId="6F2DC953">
      <w:pPr>
        <w:pStyle w:val="paragraph"/>
        <w:numPr>
          <w:ilvl w:val="0"/>
          <w:numId w:val="10"/>
        </w:numPr>
        <w:rPr>
          <w:rFonts w:ascii="Palatino Linotype" w:hAnsi="Palatino Linotype" w:cs="Segoe UI Historic"/>
        </w:rPr>
      </w:pPr>
      <w:r w:rsidRPr="00882303">
        <w:rPr>
          <w:rFonts w:ascii="Palatino Linotype" w:hAnsi="Palatino Linotype" w:cs="Segoe UI Historic"/>
        </w:rPr>
        <w:t>Target Gas System Decommissioning Theme ($2,000,000)</w:t>
      </w:r>
    </w:p>
    <w:p w:rsidRPr="00882303" w:rsidR="00404570" w:rsidP="00404570" w:rsidRDefault="00404570" w14:paraId="79FFFE0C" w14:textId="77777777">
      <w:pPr>
        <w:pStyle w:val="paragraph"/>
        <w:numPr>
          <w:ilvl w:val="0"/>
          <w:numId w:val="10"/>
        </w:numPr>
        <w:rPr>
          <w:rFonts w:ascii="Palatino Linotype" w:hAnsi="Palatino Linotype" w:cs="Segoe UI Historic"/>
        </w:rPr>
      </w:pPr>
      <w:r w:rsidRPr="00882303">
        <w:rPr>
          <w:rFonts w:ascii="Palatino Linotype" w:hAnsi="Palatino Linotype" w:cs="Segoe UI Historic"/>
        </w:rPr>
        <w:lastRenderedPageBreak/>
        <w:t>Leveraging Cost Share Opportunities ($8,045,266)</w:t>
      </w:r>
    </w:p>
    <w:p w:rsidRPr="00882303" w:rsidR="00404570" w:rsidP="00404570" w:rsidRDefault="00404570" w14:paraId="6CC21D80" w14:textId="77777777">
      <w:pPr>
        <w:pStyle w:val="paragraph"/>
        <w:numPr>
          <w:ilvl w:val="0"/>
          <w:numId w:val="10"/>
        </w:numPr>
        <w:rPr>
          <w:rFonts w:ascii="Palatino Linotype" w:hAnsi="Palatino Linotype" w:cs="Segoe UI Historic"/>
        </w:rPr>
      </w:pPr>
      <w:r w:rsidRPr="00882303">
        <w:rPr>
          <w:rFonts w:ascii="Palatino Linotype" w:hAnsi="Palatino Linotype" w:cs="Segoe UI Historic"/>
        </w:rPr>
        <w:t>Comprehensive Programmatic Evaluation ($960,000)</w:t>
      </w:r>
    </w:p>
    <w:p w:rsidRPr="00882303" w:rsidR="00404570" w:rsidP="00404570" w:rsidRDefault="00404570" w14:paraId="49AD8D4C" w14:textId="57AA48EA">
      <w:pPr>
        <w:pStyle w:val="paragraph"/>
        <w:numPr>
          <w:ilvl w:val="0"/>
          <w:numId w:val="10"/>
        </w:numPr>
        <w:rPr>
          <w:rFonts w:ascii="Palatino Linotype" w:hAnsi="Palatino Linotype" w:cs="Segoe UI Historic"/>
        </w:rPr>
      </w:pPr>
      <w:r w:rsidRPr="00882303">
        <w:rPr>
          <w:rFonts w:ascii="Palatino Linotype" w:hAnsi="Palatino Linotype" w:cs="Segoe UI Historic"/>
        </w:rPr>
        <w:t xml:space="preserve">Program Administration ($2,400,000)  </w:t>
      </w:r>
    </w:p>
    <w:p w:rsidRPr="00F84530" w:rsidR="71B9D62C" w:rsidP="71B9D62C" w:rsidRDefault="71B9D62C" w14:paraId="1C6ABE18" w14:textId="7B6A5D03">
      <w:pPr>
        <w:pStyle w:val="paragraph"/>
        <w:rPr>
          <w:rFonts w:ascii="Palatino Linotype" w:hAnsi="Palatino Linotype" w:cs="Segoe UI Historic"/>
          <w:b/>
          <w:bCs/>
          <w:i/>
          <w:iCs/>
          <w:sz w:val="2"/>
          <w:szCs w:val="2"/>
        </w:rPr>
      </w:pPr>
    </w:p>
    <w:p w:rsidRPr="00882303" w:rsidR="00404570" w:rsidP="0074612C" w:rsidRDefault="00404570" w14:paraId="4754584F" w14:textId="69ADB6F3">
      <w:pPr>
        <w:pStyle w:val="paragraph"/>
        <w:rPr>
          <w:rFonts w:ascii="Palatino Linotype" w:hAnsi="Palatino Linotype" w:cs="Segoe UI Historic"/>
          <w:b/>
          <w:iCs/>
        </w:rPr>
      </w:pPr>
      <w:r w:rsidRPr="00882303">
        <w:rPr>
          <w:rFonts w:ascii="Palatino Linotype" w:hAnsi="Palatino Linotype" w:cs="Segoe UI Historic"/>
          <w:b/>
          <w:i/>
        </w:rPr>
        <w:t>Gas Leakage Mitigation</w:t>
      </w:r>
    </w:p>
    <w:p w:rsidRPr="00882303" w:rsidR="00A4118B" w:rsidP="0074612C" w:rsidRDefault="00404570" w14:paraId="3C91C022" w14:textId="4FDFC53F">
      <w:pPr>
        <w:pStyle w:val="paragraph"/>
        <w:rPr>
          <w:rFonts w:ascii="Palatino Linotype" w:hAnsi="Palatino Linotype" w:cs="Segoe UI Historic"/>
          <w:bCs/>
          <w:iCs/>
        </w:rPr>
      </w:pPr>
      <w:r w:rsidRPr="00882303">
        <w:rPr>
          <w:rFonts w:ascii="Palatino Linotype" w:hAnsi="Palatino Linotype" w:cs="Segoe UI Historic"/>
          <w:bCs/>
          <w:iCs/>
        </w:rPr>
        <w:t>The CEC requests</w:t>
      </w:r>
      <w:r w:rsidRPr="00882303" w:rsidR="00C058CA">
        <w:rPr>
          <w:rFonts w:ascii="Palatino Linotype" w:hAnsi="Palatino Linotype" w:cs="Segoe UI Historic"/>
          <w:bCs/>
          <w:iCs/>
        </w:rPr>
        <w:t xml:space="preserve"> </w:t>
      </w:r>
      <w:r w:rsidRPr="00882303" w:rsidR="009B7622">
        <w:rPr>
          <w:rFonts w:ascii="Palatino Linotype" w:hAnsi="Palatino Linotype" w:cs="Segoe UI Historic"/>
          <w:bCs/>
          <w:iCs/>
        </w:rPr>
        <w:t xml:space="preserve">a total of </w:t>
      </w:r>
      <w:r w:rsidRPr="00882303" w:rsidR="00C058CA">
        <w:rPr>
          <w:rFonts w:ascii="Palatino Linotype" w:hAnsi="Palatino Linotype" w:cs="Segoe UI Historic"/>
          <w:bCs/>
          <w:iCs/>
        </w:rPr>
        <w:t>$10,130,876 for its Gas Leakage Mitigation Initiative theme, encompassing one initiative titled “Innovative Gas Leakage Monitoring, Mitigation, and Prevention Solutions.”</w:t>
      </w:r>
      <w:r w:rsidRPr="00882303" w:rsidR="00F2123C">
        <w:rPr>
          <w:rStyle w:val="FootnoteReference"/>
          <w:rFonts w:ascii="Palatino Linotype" w:hAnsi="Palatino Linotype" w:cs="Segoe UI Historic"/>
          <w:bCs/>
          <w:iCs/>
        </w:rPr>
        <w:footnoteReference w:id="52"/>
      </w:r>
      <w:r w:rsidRPr="00882303" w:rsidR="00C058CA">
        <w:rPr>
          <w:rFonts w:ascii="Palatino Linotype" w:hAnsi="Palatino Linotype" w:cs="Segoe UI Historic"/>
          <w:bCs/>
          <w:iCs/>
        </w:rPr>
        <w:t xml:space="preserve"> </w:t>
      </w:r>
      <w:r w:rsidRPr="00882303" w:rsidR="00A4118B">
        <w:rPr>
          <w:rFonts w:ascii="Palatino Linotype" w:hAnsi="Palatino Linotype" w:cs="Segoe UI Historic"/>
          <w:bCs/>
          <w:iCs/>
        </w:rPr>
        <w:t>Specifically</w:t>
      </w:r>
      <w:r w:rsidRPr="00882303" w:rsidR="00077041">
        <w:rPr>
          <w:rFonts w:ascii="Palatino Linotype" w:hAnsi="Palatino Linotype" w:cs="Segoe UI Historic"/>
          <w:bCs/>
          <w:iCs/>
        </w:rPr>
        <w:t xml:space="preserve">, for this initiative theme, the CEC requests </w:t>
      </w:r>
      <w:r w:rsidRPr="00882303" w:rsidR="00980AA6">
        <w:rPr>
          <w:rFonts w:ascii="Palatino Linotype" w:hAnsi="Palatino Linotype" w:cs="Segoe UI Historic"/>
          <w:bCs/>
          <w:iCs/>
        </w:rPr>
        <w:t xml:space="preserve">to utilize </w:t>
      </w:r>
      <w:r w:rsidRPr="00882303" w:rsidR="00077041">
        <w:rPr>
          <w:rFonts w:ascii="Palatino Linotype" w:hAnsi="Palatino Linotype" w:cs="Segoe UI Historic"/>
          <w:bCs/>
          <w:iCs/>
        </w:rPr>
        <w:t xml:space="preserve">$6,000,000 of FY 2023-2024 Gas R&amp;D funds and </w:t>
      </w:r>
      <w:r w:rsidRPr="00882303" w:rsidR="00FD673B">
        <w:rPr>
          <w:rFonts w:ascii="Palatino Linotype" w:hAnsi="Palatino Linotype" w:cs="Segoe UI Historic"/>
          <w:bCs/>
          <w:iCs/>
        </w:rPr>
        <w:t xml:space="preserve">$4,130,876 </w:t>
      </w:r>
      <w:r w:rsidRPr="00882303" w:rsidR="009B7622">
        <w:rPr>
          <w:rFonts w:ascii="Palatino Linotype" w:hAnsi="Palatino Linotype" w:cs="Segoe UI Historic"/>
          <w:bCs/>
          <w:iCs/>
        </w:rPr>
        <w:t>from a supplemental budget consisting of funds from energy efficiency and transportation research initiatives under past budget plans, such as from cancelled grants and unspent or unencumbered funds.</w:t>
      </w:r>
      <w:r w:rsidRPr="00882303" w:rsidR="009B7622">
        <w:rPr>
          <w:rStyle w:val="FootnoteReference"/>
          <w:rFonts w:ascii="Palatino Linotype" w:hAnsi="Palatino Linotype" w:cs="Segoe UI Historic"/>
          <w:bCs/>
          <w:iCs/>
        </w:rPr>
        <w:footnoteReference w:id="53"/>
      </w:r>
    </w:p>
    <w:p w:rsidRPr="00882303" w:rsidR="00E3644F" w:rsidP="0074612C" w:rsidRDefault="00FF252F" w14:paraId="4F04A6D5" w14:textId="02D4BDDB">
      <w:pPr>
        <w:pStyle w:val="paragraph"/>
        <w:rPr>
          <w:rFonts w:ascii="Palatino Linotype" w:hAnsi="Palatino Linotype" w:cs="Segoe UI Historic"/>
          <w:bCs/>
          <w:iCs/>
        </w:rPr>
      </w:pPr>
      <w:r w:rsidRPr="00882303">
        <w:rPr>
          <w:rFonts w:ascii="Palatino Linotype" w:hAnsi="Palatino Linotype" w:cs="Segoe UI Historic"/>
          <w:bCs/>
          <w:iCs/>
        </w:rPr>
        <w:t>The CEC states that this initiative aligns with the findings of the “Long-Term Technological Development Strategy to Meet Aggressive Statewide Decarbonization Goals.”</w:t>
      </w:r>
      <w:r w:rsidRPr="00882303">
        <w:rPr>
          <w:rStyle w:val="FootnoteReference"/>
          <w:rFonts w:ascii="Palatino Linotype" w:hAnsi="Palatino Linotype" w:cs="Segoe UI Historic"/>
          <w:bCs/>
          <w:iCs/>
        </w:rPr>
        <w:footnoteReference w:id="54"/>
      </w:r>
      <w:r w:rsidRPr="00882303" w:rsidR="00E3644F">
        <w:rPr>
          <w:rFonts w:ascii="Palatino Linotype" w:hAnsi="Palatino Linotype" w:cs="Segoe UI Historic"/>
          <w:bCs/>
          <w:iCs/>
        </w:rPr>
        <w:t xml:space="preserve"> The CEC also states that this initiative advances technological solutions to measure leakage.</w:t>
      </w:r>
      <w:r w:rsidRPr="00882303" w:rsidR="00611F24">
        <w:rPr>
          <w:rFonts w:ascii="Palatino Linotype" w:hAnsi="Palatino Linotype" w:cs="Segoe UI Historic"/>
          <w:bCs/>
          <w:iCs/>
        </w:rPr>
        <w:t xml:space="preserve"> </w:t>
      </w:r>
      <w:r w:rsidRPr="00882303" w:rsidR="00D53541">
        <w:rPr>
          <w:rFonts w:ascii="Palatino Linotype" w:hAnsi="Palatino Linotype" w:cs="Segoe UI Historic"/>
          <w:bCs/>
          <w:iCs/>
        </w:rPr>
        <w:t xml:space="preserve">Reducing methane leakage reduces greenhouse gas emissions impacts and improves air quality. </w:t>
      </w:r>
      <w:r w:rsidRPr="00882303" w:rsidR="00611F24">
        <w:rPr>
          <w:rFonts w:ascii="Palatino Linotype" w:hAnsi="Palatino Linotype" w:cs="Segoe UI Historic"/>
          <w:bCs/>
          <w:iCs/>
        </w:rPr>
        <w:t>The CEC</w:t>
      </w:r>
      <w:r w:rsidRPr="00882303" w:rsidDel="00E536A8" w:rsidR="00611F24">
        <w:rPr>
          <w:rFonts w:ascii="Palatino Linotype" w:hAnsi="Palatino Linotype" w:cs="Segoe UI Historic"/>
          <w:bCs/>
          <w:iCs/>
        </w:rPr>
        <w:t xml:space="preserve"> </w:t>
      </w:r>
      <w:r w:rsidRPr="00882303" w:rsidR="00E536A8">
        <w:rPr>
          <w:rFonts w:ascii="Palatino Linotype" w:hAnsi="Palatino Linotype" w:cs="Segoe UI Historic"/>
          <w:bCs/>
          <w:iCs/>
        </w:rPr>
        <w:t xml:space="preserve">explains that it </w:t>
      </w:r>
      <w:r w:rsidRPr="00882303" w:rsidR="00611F24">
        <w:rPr>
          <w:rFonts w:ascii="Palatino Linotype" w:hAnsi="Palatino Linotype" w:cs="Segoe UI Historic"/>
          <w:bCs/>
          <w:iCs/>
        </w:rPr>
        <w:t xml:space="preserve">responded to DACAG input and expanded this initiative to </w:t>
      </w:r>
      <w:r w:rsidRPr="00882303" w:rsidR="00AB7FAE">
        <w:rPr>
          <w:rFonts w:ascii="Palatino Linotype" w:hAnsi="Palatino Linotype" w:cs="Segoe UI Historic"/>
          <w:bCs/>
          <w:iCs/>
        </w:rPr>
        <w:t xml:space="preserve">detect, monitor, and </w:t>
      </w:r>
      <w:r w:rsidRPr="00882303" w:rsidR="00611F24">
        <w:rPr>
          <w:rFonts w:ascii="Palatino Linotype" w:hAnsi="Palatino Linotype" w:cs="Segoe UI Historic"/>
          <w:bCs/>
          <w:iCs/>
        </w:rPr>
        <w:t>a</w:t>
      </w:r>
      <w:r w:rsidRPr="00882303" w:rsidR="00AB7FAE">
        <w:rPr>
          <w:rFonts w:ascii="Palatino Linotype" w:hAnsi="Palatino Linotype" w:cs="Segoe UI Historic"/>
          <w:bCs/>
          <w:iCs/>
        </w:rPr>
        <w:t>ddress</w:t>
      </w:r>
      <w:r w:rsidRPr="00882303" w:rsidR="00611F24">
        <w:rPr>
          <w:rFonts w:ascii="Palatino Linotype" w:hAnsi="Palatino Linotype" w:cs="Segoe UI Historic"/>
          <w:bCs/>
          <w:iCs/>
        </w:rPr>
        <w:t xml:space="preserve"> methane and methane-hydrogen blends, in addition to hydrogen.</w:t>
      </w:r>
      <w:r w:rsidRPr="00882303" w:rsidR="00611F24">
        <w:rPr>
          <w:rStyle w:val="FootnoteReference"/>
          <w:rFonts w:ascii="Palatino Linotype" w:hAnsi="Palatino Linotype" w:cs="Segoe UI Historic"/>
          <w:bCs/>
          <w:iCs/>
        </w:rPr>
        <w:footnoteReference w:id="55"/>
      </w:r>
      <w:r w:rsidRPr="00882303" w:rsidR="00174575">
        <w:rPr>
          <w:rFonts w:ascii="Palatino Linotype" w:hAnsi="Palatino Linotype" w:cs="Segoe UI Historic"/>
          <w:bCs/>
          <w:iCs/>
        </w:rPr>
        <w:t xml:space="preserve"> </w:t>
      </w:r>
    </w:p>
    <w:p w:rsidRPr="00882303" w:rsidR="005B0EEA" w:rsidP="0074612C" w:rsidRDefault="00FB4DD0" w14:paraId="615A66DA" w14:textId="012FB6D8">
      <w:pPr>
        <w:pStyle w:val="paragraph"/>
        <w:rPr>
          <w:rFonts w:ascii="Palatino Linotype" w:hAnsi="Palatino Linotype" w:cs="Segoe UI Historic"/>
          <w:bCs/>
          <w:iCs/>
        </w:rPr>
      </w:pPr>
      <w:r w:rsidRPr="00882303">
        <w:rPr>
          <w:rFonts w:ascii="Palatino Linotype" w:hAnsi="Palatino Linotype" w:cs="Segoe UI Historic"/>
          <w:bCs/>
          <w:iCs/>
        </w:rPr>
        <w:t xml:space="preserve">In its Plan, the CEC describes that its </w:t>
      </w:r>
      <w:r w:rsidRPr="00882303" w:rsidR="00AB7FAE">
        <w:rPr>
          <w:rFonts w:ascii="Palatino Linotype" w:hAnsi="Palatino Linotype" w:cs="Segoe UI Historic"/>
          <w:bCs/>
          <w:iCs/>
        </w:rPr>
        <w:t xml:space="preserve">“Innovative Gas Leakage Monitoring, Mitigation, and Prevention Solutions” initiative </w:t>
      </w:r>
      <w:r w:rsidRPr="00882303">
        <w:rPr>
          <w:rFonts w:ascii="Palatino Linotype" w:hAnsi="Palatino Linotype" w:cs="Segoe UI Historic"/>
          <w:bCs/>
          <w:iCs/>
        </w:rPr>
        <w:t>will specifically result in RD&amp;D to improve the sensitivity, accuracy, and cost-effectiveness of technologies and techniques for methane, hydrogen, and blends of methane and hydrogen leakage detection, monitoring, mitigation, and prevention.</w:t>
      </w:r>
      <w:r w:rsidRPr="00882303">
        <w:rPr>
          <w:rStyle w:val="FootnoteReference"/>
          <w:rFonts w:ascii="Palatino Linotype" w:hAnsi="Palatino Linotype" w:cs="Segoe UI Historic"/>
          <w:bCs/>
          <w:iCs/>
        </w:rPr>
        <w:footnoteReference w:id="56"/>
      </w:r>
    </w:p>
    <w:p w:rsidRPr="00882303" w:rsidR="00FB4DD0" w:rsidP="0074612C" w:rsidRDefault="005B0EEA" w14:paraId="7EBEC6DE" w14:textId="5FD1104E">
      <w:pPr>
        <w:pStyle w:val="paragraph"/>
        <w:rPr>
          <w:rFonts w:ascii="Palatino Linotype" w:hAnsi="Palatino Linotype" w:cs="Segoe UI Historic"/>
          <w:bCs/>
          <w:iCs/>
        </w:rPr>
      </w:pPr>
      <w:r w:rsidRPr="00882303">
        <w:rPr>
          <w:rFonts w:ascii="Palatino Linotype" w:hAnsi="Palatino Linotype" w:cs="Segoe UI Historic"/>
          <w:bCs/>
          <w:iCs/>
        </w:rPr>
        <w:t xml:space="preserve">While the CEC’s </w:t>
      </w:r>
      <w:r w:rsidRPr="00882303" w:rsidR="00391D19">
        <w:rPr>
          <w:rFonts w:ascii="Palatino Linotype" w:hAnsi="Palatino Linotype" w:cs="Segoe UI Historic"/>
          <w:bCs/>
          <w:iCs/>
        </w:rPr>
        <w:t>Gas Leakage Mitigatio</w:t>
      </w:r>
      <w:r w:rsidRPr="00882303" w:rsidR="00E4766A">
        <w:rPr>
          <w:rFonts w:ascii="Palatino Linotype" w:hAnsi="Palatino Linotype" w:cs="Segoe UI Historic"/>
          <w:bCs/>
          <w:iCs/>
        </w:rPr>
        <w:t xml:space="preserve">n is consistent with the Commission’s goals of safety and reliability of the gas system, we find that </w:t>
      </w:r>
      <w:r w:rsidRPr="00882303" w:rsidR="005F22B8">
        <w:rPr>
          <w:rFonts w:ascii="Palatino Linotype" w:hAnsi="Palatino Linotype" w:cs="Segoe UI Historic"/>
          <w:bCs/>
          <w:iCs/>
        </w:rPr>
        <w:t>the</w:t>
      </w:r>
      <w:r w:rsidRPr="00882303" w:rsidR="00E4766A">
        <w:rPr>
          <w:rFonts w:ascii="Palatino Linotype" w:hAnsi="Palatino Linotype" w:cs="Segoe UI Historic"/>
          <w:bCs/>
          <w:iCs/>
        </w:rPr>
        <w:t xml:space="preserve"> CEC’s Gas Leakage Mitigation theme is </w:t>
      </w:r>
      <w:r w:rsidRPr="00882303" w:rsidR="008E568B">
        <w:rPr>
          <w:rFonts w:ascii="Palatino Linotype" w:hAnsi="Palatino Linotype" w:cs="Segoe UI Historic"/>
          <w:bCs/>
          <w:iCs/>
        </w:rPr>
        <w:t xml:space="preserve">duplicative of </w:t>
      </w:r>
      <w:r w:rsidRPr="00882303" w:rsidR="00F1371A">
        <w:rPr>
          <w:rFonts w:ascii="Palatino Linotype" w:hAnsi="Palatino Linotype" w:cs="Segoe UI Historic"/>
          <w:bCs/>
          <w:iCs/>
        </w:rPr>
        <w:t>ratepayer funding</w:t>
      </w:r>
      <w:r w:rsidRPr="00882303" w:rsidR="008E568B">
        <w:rPr>
          <w:rFonts w:ascii="Palatino Linotype" w:hAnsi="Palatino Linotype" w:cs="Segoe UI Historic"/>
          <w:bCs/>
          <w:iCs/>
        </w:rPr>
        <w:t xml:space="preserve"> </w:t>
      </w:r>
      <w:r w:rsidRPr="00882303" w:rsidR="004124AC">
        <w:rPr>
          <w:rFonts w:ascii="Palatino Linotype" w:hAnsi="Palatino Linotype" w:cs="Segoe UI Historic"/>
          <w:bCs/>
          <w:iCs/>
        </w:rPr>
        <w:t>in</w:t>
      </w:r>
      <w:r w:rsidRPr="00882303" w:rsidR="00F1371A">
        <w:rPr>
          <w:rFonts w:ascii="Palatino Linotype" w:hAnsi="Palatino Linotype" w:cs="Segoe UI Historic"/>
          <w:bCs/>
          <w:iCs/>
        </w:rPr>
        <w:t xml:space="preserve"> </w:t>
      </w:r>
      <w:r w:rsidRPr="00882303" w:rsidR="00CA31B7">
        <w:rPr>
          <w:rFonts w:ascii="Palatino Linotype" w:hAnsi="Palatino Linotype" w:cs="Segoe UI Historic"/>
          <w:bCs/>
          <w:iCs/>
        </w:rPr>
        <w:t>the</w:t>
      </w:r>
      <w:r w:rsidRPr="00882303" w:rsidR="004124AC">
        <w:rPr>
          <w:rFonts w:ascii="Palatino Linotype" w:hAnsi="Palatino Linotype" w:cs="Segoe UI Historic"/>
          <w:bCs/>
          <w:iCs/>
        </w:rPr>
        <w:t xml:space="preserve"> Commission’s</w:t>
      </w:r>
      <w:r w:rsidRPr="00882303" w:rsidR="00CA31B7">
        <w:rPr>
          <w:rFonts w:ascii="Palatino Linotype" w:hAnsi="Palatino Linotype" w:cs="Segoe UI Historic"/>
          <w:bCs/>
          <w:iCs/>
        </w:rPr>
        <w:t xml:space="preserve"> Gas Leak Abatement Order Instituting Rulemaking (OIR),</w:t>
      </w:r>
      <w:r w:rsidRPr="00882303" w:rsidR="00CA31B7">
        <w:rPr>
          <w:rStyle w:val="FootnoteReference"/>
          <w:rFonts w:ascii="Palatino Linotype" w:hAnsi="Palatino Linotype" w:cs="Segoe UI Historic"/>
          <w:bCs/>
          <w:iCs/>
        </w:rPr>
        <w:footnoteReference w:id="57"/>
      </w:r>
      <w:r w:rsidRPr="00882303" w:rsidR="00CA31B7">
        <w:rPr>
          <w:rFonts w:ascii="Palatino Linotype" w:hAnsi="Palatino Linotype" w:cs="Segoe UI Historic"/>
          <w:bCs/>
          <w:iCs/>
        </w:rPr>
        <w:t xml:space="preserve"> mandated by Senate Bill</w:t>
      </w:r>
      <w:r w:rsidRPr="00882303" w:rsidR="00176FB9">
        <w:rPr>
          <w:rFonts w:ascii="Palatino Linotype" w:hAnsi="Palatino Linotype" w:cs="Segoe UI Historic"/>
          <w:bCs/>
          <w:iCs/>
        </w:rPr>
        <w:t xml:space="preserve"> SB </w:t>
      </w:r>
      <w:r w:rsidRPr="00882303" w:rsidR="00CA31B7">
        <w:rPr>
          <w:rFonts w:ascii="Palatino Linotype" w:hAnsi="Palatino Linotype" w:cs="Segoe UI Historic"/>
          <w:bCs/>
          <w:iCs/>
        </w:rPr>
        <w:t>1371</w:t>
      </w:r>
      <w:r w:rsidRPr="00882303" w:rsidR="00C15768">
        <w:rPr>
          <w:rFonts w:ascii="Palatino Linotype" w:hAnsi="Palatino Linotype" w:cs="Segoe UI Historic"/>
          <w:bCs/>
          <w:iCs/>
        </w:rPr>
        <w:t xml:space="preserve">. </w:t>
      </w:r>
      <w:r w:rsidRPr="00882303" w:rsidR="00A1623E">
        <w:rPr>
          <w:rFonts w:ascii="Palatino Linotype" w:hAnsi="Palatino Linotype" w:cs="Segoe UI Historic"/>
          <w:bCs/>
          <w:iCs/>
        </w:rPr>
        <w:t xml:space="preserve">SB 1371 required the CPUC, in consultation with the California Air Resources Board (CARB), to adopt rules and procedures to reduce methane emissions from commission-regulated </w:t>
      </w:r>
      <w:r w:rsidRPr="00882303" w:rsidR="00A1623E">
        <w:rPr>
          <w:rFonts w:ascii="Palatino Linotype" w:hAnsi="Palatino Linotype" w:cs="Segoe UI Historic"/>
          <w:bCs/>
          <w:iCs/>
        </w:rPr>
        <w:lastRenderedPageBreak/>
        <w:t>pipeline facilities</w:t>
      </w:r>
      <w:r w:rsidRPr="00882303" w:rsidR="00A1623E">
        <w:rPr>
          <w:rFonts w:ascii="Palatino Linotype" w:hAnsi="Palatino Linotype" w:cs="Segoe UI Historic"/>
          <w:bCs/>
          <w:iCs/>
          <w:vertAlign w:val="superscript"/>
        </w:rPr>
        <w:t xml:space="preserve"> </w:t>
      </w:r>
      <w:r w:rsidRPr="00882303" w:rsidR="00CA31B7">
        <w:rPr>
          <w:rStyle w:val="FootnoteReference"/>
          <w:rFonts w:ascii="Palatino Linotype" w:hAnsi="Palatino Linotype" w:cs="Segoe UI Historic"/>
          <w:bCs/>
          <w:iCs/>
        </w:rPr>
        <w:footnoteReference w:id="58"/>
      </w:r>
      <w:r w:rsidRPr="00882303" w:rsidR="00186DCC">
        <w:rPr>
          <w:rFonts w:ascii="Palatino Linotype" w:hAnsi="Palatino Linotype" w:cs="Segoe UI Historic"/>
          <w:bCs/>
          <w:iCs/>
        </w:rPr>
        <w:t xml:space="preserve"> </w:t>
      </w:r>
      <w:r w:rsidRPr="00882303" w:rsidR="00B329D2">
        <w:rPr>
          <w:rFonts w:ascii="Palatino Linotype" w:hAnsi="Palatino Linotype" w:cs="Segoe UI Historic"/>
          <w:bCs/>
          <w:iCs/>
        </w:rPr>
        <w:t>D</w:t>
      </w:r>
      <w:r w:rsidRPr="00882303" w:rsidR="004C32F3">
        <w:rPr>
          <w:rFonts w:ascii="Palatino Linotype" w:hAnsi="Palatino Linotype" w:cs="Segoe UI Historic"/>
          <w:bCs/>
          <w:iCs/>
        </w:rPr>
        <w:t>.17-06-015</w:t>
      </w:r>
      <w:r w:rsidRPr="00882303" w:rsidR="00B329D2">
        <w:rPr>
          <w:rFonts w:ascii="Palatino Linotype" w:hAnsi="Palatino Linotype" w:cs="Segoe UI Historic"/>
          <w:bCs/>
          <w:iCs/>
        </w:rPr>
        <w:t xml:space="preserve">, </w:t>
      </w:r>
      <w:r w:rsidRPr="00882303" w:rsidR="004C32F3">
        <w:rPr>
          <w:rFonts w:ascii="Palatino Linotype" w:hAnsi="Palatino Linotype" w:cs="Segoe UI Historic"/>
          <w:bCs/>
          <w:iCs/>
        </w:rPr>
        <w:t>approving</w:t>
      </w:r>
      <w:r w:rsidRPr="00882303" w:rsidR="00B329D2">
        <w:rPr>
          <w:rFonts w:ascii="Palatino Linotype" w:hAnsi="Palatino Linotype" w:cs="Segoe UI Historic"/>
          <w:bCs/>
          <w:iCs/>
        </w:rPr>
        <w:t xml:space="preserve"> the Natural Gas Leak Abatement</w:t>
      </w:r>
      <w:r w:rsidRPr="00882303" w:rsidR="00761D95">
        <w:rPr>
          <w:rFonts w:ascii="Palatino Linotype" w:hAnsi="Palatino Linotype" w:cs="Segoe UI Historic"/>
          <w:bCs/>
          <w:iCs/>
        </w:rPr>
        <w:t xml:space="preserve"> (NGLA)</w:t>
      </w:r>
      <w:r w:rsidRPr="00882303" w:rsidR="00B329D2">
        <w:rPr>
          <w:rFonts w:ascii="Palatino Linotype" w:hAnsi="Palatino Linotype" w:cs="Segoe UI Historic"/>
          <w:bCs/>
          <w:iCs/>
        </w:rPr>
        <w:t xml:space="preserve"> </w:t>
      </w:r>
      <w:r w:rsidRPr="00882303" w:rsidR="004C32F3">
        <w:rPr>
          <w:rFonts w:ascii="Palatino Linotype" w:hAnsi="Palatino Linotype" w:cs="Segoe UI Historic"/>
          <w:bCs/>
          <w:iCs/>
        </w:rPr>
        <w:t>Program,</w:t>
      </w:r>
      <w:r w:rsidRPr="00882303" w:rsidR="001C4E9F">
        <w:rPr>
          <w:rFonts w:ascii="Palatino Linotype" w:hAnsi="Palatino Linotype" w:cs="Segoe UI Historic"/>
          <w:bCs/>
          <w:iCs/>
        </w:rPr>
        <w:t xml:space="preserve"> require</w:t>
      </w:r>
      <w:r w:rsidRPr="00882303" w:rsidR="00B329D2">
        <w:rPr>
          <w:rFonts w:ascii="Palatino Linotype" w:hAnsi="Palatino Linotype" w:cs="Segoe UI Historic"/>
          <w:bCs/>
          <w:iCs/>
        </w:rPr>
        <w:t>d</w:t>
      </w:r>
      <w:r w:rsidRPr="00882303" w:rsidR="001C4E9F">
        <w:rPr>
          <w:rFonts w:ascii="Palatino Linotype" w:hAnsi="Palatino Linotype" w:cs="Segoe UI Historic"/>
          <w:bCs/>
          <w:iCs/>
        </w:rPr>
        <w:t xml:space="preserve"> PG&amp;E, SoCalGas, SDG&amp;E, and Southwest Gas to</w:t>
      </w:r>
      <w:r w:rsidRPr="00882303" w:rsidR="00243C31">
        <w:rPr>
          <w:rFonts w:ascii="Palatino Linotype" w:hAnsi="Palatino Linotype" w:cs="Segoe UI Historic"/>
          <w:bCs/>
          <w:iCs/>
        </w:rPr>
        <w:t xml:space="preserve"> open one-way balancing accounts for the costs of Pilot Projects and Research and Development activities.</w:t>
      </w:r>
      <w:r w:rsidRPr="00882303" w:rsidR="00B329D2">
        <w:rPr>
          <w:rStyle w:val="FootnoteReference"/>
          <w:rFonts w:ascii="Palatino Linotype" w:hAnsi="Palatino Linotype" w:cs="Segoe UI Historic"/>
          <w:bCs/>
          <w:iCs/>
        </w:rPr>
        <w:footnoteReference w:id="59"/>
      </w:r>
      <w:r w:rsidRPr="00882303" w:rsidR="00330AC3">
        <w:rPr>
          <w:rFonts w:ascii="Palatino Linotype" w:hAnsi="Palatino Linotype" w:cs="Segoe UI Historic"/>
          <w:bCs/>
          <w:iCs/>
        </w:rPr>
        <w:t xml:space="preserve"> </w:t>
      </w:r>
      <w:r w:rsidRPr="00882303" w:rsidR="00FC0328">
        <w:rPr>
          <w:rFonts w:ascii="Palatino Linotype" w:hAnsi="Palatino Linotype" w:cs="Segoe UI Historic"/>
          <w:bCs/>
          <w:iCs/>
        </w:rPr>
        <w:t xml:space="preserve">For example, in 2023, the Commission approved Pilot Project </w:t>
      </w:r>
      <w:r w:rsidRPr="00882303" w:rsidR="00831DA3">
        <w:rPr>
          <w:rFonts w:ascii="Palatino Linotype" w:hAnsi="Palatino Linotype" w:cs="Segoe UI Historic"/>
          <w:bCs/>
          <w:iCs/>
        </w:rPr>
        <w:t>budgets for SoCalGas’s and SDG&amp;E’s NGLA R&amp;D program $14,429,709</w:t>
      </w:r>
      <w:r w:rsidRPr="00882303" w:rsidR="00831DA3">
        <w:rPr>
          <w:rFonts w:ascii="Palatino Linotype" w:hAnsi="Palatino Linotype" w:cs="Segoe UI Historic"/>
          <w:bCs/>
          <w:iCs/>
          <w:vertAlign w:val="superscript"/>
        </w:rPr>
        <w:footnoteReference w:id="60"/>
      </w:r>
      <w:r w:rsidRPr="00882303" w:rsidR="00831DA3">
        <w:rPr>
          <w:rFonts w:ascii="Palatino Linotype" w:hAnsi="Palatino Linotype" w:cs="Segoe UI Historic"/>
          <w:bCs/>
          <w:iCs/>
        </w:rPr>
        <w:t xml:space="preserve"> and $1,271,491,</w:t>
      </w:r>
      <w:r w:rsidRPr="00882303" w:rsidR="00831DA3">
        <w:rPr>
          <w:rFonts w:ascii="Palatino Linotype" w:hAnsi="Palatino Linotype" w:cs="Segoe UI Historic"/>
          <w:bCs/>
          <w:iCs/>
          <w:vertAlign w:val="superscript"/>
        </w:rPr>
        <w:footnoteReference w:id="61"/>
      </w:r>
      <w:r w:rsidRPr="00882303" w:rsidR="00831DA3">
        <w:rPr>
          <w:rFonts w:ascii="Palatino Linotype" w:hAnsi="Palatino Linotype" w:cs="Segoe UI Historic"/>
          <w:bCs/>
          <w:iCs/>
        </w:rPr>
        <w:t xml:space="preserve"> </w:t>
      </w:r>
      <w:r w:rsidRPr="00882303" w:rsidR="00FC0328">
        <w:rPr>
          <w:rFonts w:ascii="Palatino Linotype" w:hAnsi="Palatino Linotype" w:cs="Segoe UI Historic"/>
          <w:bCs/>
          <w:iCs/>
        </w:rPr>
        <w:t xml:space="preserve">respectively. </w:t>
      </w:r>
      <w:r w:rsidRPr="00882303" w:rsidR="00E66725">
        <w:rPr>
          <w:rFonts w:ascii="Palatino Linotype" w:hAnsi="Palatino Linotype" w:cs="Segoe UI Historic"/>
          <w:bCs/>
          <w:iCs/>
        </w:rPr>
        <w:t xml:space="preserve">These research and development </w:t>
      </w:r>
      <w:r w:rsidRPr="00882303" w:rsidR="004C32F3">
        <w:rPr>
          <w:rFonts w:ascii="Palatino Linotype" w:hAnsi="Palatino Linotype" w:cs="Segoe UI Historic"/>
          <w:bCs/>
          <w:iCs/>
        </w:rPr>
        <w:t>activities</w:t>
      </w:r>
      <w:r w:rsidRPr="00882303" w:rsidR="00E66725">
        <w:rPr>
          <w:rFonts w:ascii="Palatino Linotype" w:hAnsi="Palatino Linotype" w:cs="Segoe UI Historic"/>
          <w:bCs/>
          <w:iCs/>
        </w:rPr>
        <w:t xml:space="preserve"> are subject to </w:t>
      </w:r>
      <w:r w:rsidRPr="00882303" w:rsidR="004C32F3">
        <w:rPr>
          <w:rFonts w:ascii="Palatino Linotype" w:hAnsi="Palatino Linotype" w:cs="Segoe UI Historic"/>
          <w:bCs/>
          <w:iCs/>
        </w:rPr>
        <w:t xml:space="preserve">the R&amp;D guidelines set in § 740.1. </w:t>
      </w:r>
    </w:p>
    <w:p w:rsidRPr="00882303" w:rsidR="0005419F" w:rsidP="0074612C" w:rsidRDefault="0039556B" w14:paraId="6B6B2E0D" w14:textId="14857CE6">
      <w:pPr>
        <w:pStyle w:val="paragraph"/>
        <w:rPr>
          <w:rFonts w:ascii="Palatino Linotype" w:hAnsi="Palatino Linotype" w:cs="Segoe UI Historic"/>
          <w:bCs/>
          <w:iCs/>
        </w:rPr>
      </w:pPr>
      <w:r w:rsidRPr="00882303">
        <w:rPr>
          <w:rFonts w:ascii="Palatino Linotype" w:hAnsi="Palatino Linotype" w:cs="Segoe UI Historic"/>
          <w:bCs/>
          <w:iCs/>
        </w:rPr>
        <w:t xml:space="preserve">The CEC’s Gas Leakage Mitigation hydrogen blending research requests are duplicative of </w:t>
      </w:r>
      <w:r w:rsidRPr="00882303" w:rsidR="008A2FB3">
        <w:rPr>
          <w:rFonts w:ascii="Palatino Linotype" w:hAnsi="Palatino Linotype" w:cs="Segoe UI Historic"/>
          <w:bCs/>
          <w:iCs/>
        </w:rPr>
        <w:t xml:space="preserve">current CPUC </w:t>
      </w:r>
      <w:r w:rsidRPr="00882303" w:rsidR="00B43128">
        <w:rPr>
          <w:rFonts w:ascii="Palatino Linotype" w:hAnsi="Palatino Linotype" w:cs="Segoe UI Historic"/>
          <w:bCs/>
          <w:iCs/>
        </w:rPr>
        <w:t>approved projects for</w:t>
      </w:r>
      <w:r w:rsidRPr="00882303">
        <w:rPr>
          <w:rFonts w:ascii="Palatino Linotype" w:hAnsi="Palatino Linotype" w:cs="Segoe UI Historic"/>
          <w:bCs/>
          <w:iCs/>
        </w:rPr>
        <w:t xml:space="preserve"> hydrogen blending pilots in D.</w:t>
      </w:r>
      <w:r w:rsidRPr="00882303" w:rsidR="0033260C">
        <w:rPr>
          <w:rFonts w:ascii="Palatino Linotype" w:hAnsi="Palatino Linotype" w:cs="Segoe UI Historic"/>
          <w:bCs/>
          <w:iCs/>
        </w:rPr>
        <w:t>22-12-057</w:t>
      </w:r>
      <w:r w:rsidRPr="00882303" w:rsidR="00B43128">
        <w:rPr>
          <w:rFonts w:ascii="Palatino Linotype" w:hAnsi="Palatino Linotype" w:cs="Segoe UI Historic"/>
          <w:bCs/>
          <w:iCs/>
        </w:rPr>
        <w:t>. This decision</w:t>
      </w:r>
      <w:r w:rsidRPr="00882303" w:rsidR="0033260C">
        <w:rPr>
          <w:rFonts w:ascii="Palatino Linotype" w:hAnsi="Palatino Linotype" w:cs="Segoe UI Historic"/>
          <w:bCs/>
          <w:iCs/>
        </w:rPr>
        <w:t xml:space="preserve"> states that </w:t>
      </w:r>
      <w:r w:rsidRPr="00882303" w:rsidR="00A72CF3">
        <w:rPr>
          <w:rFonts w:ascii="Palatino Linotype" w:hAnsi="Palatino Linotype" w:cs="Segoe UI Historic"/>
          <w:bCs/>
          <w:iCs/>
        </w:rPr>
        <w:t>any proposed hydrogen blending pilot “</w:t>
      </w:r>
      <w:r w:rsidRPr="00882303" w:rsidR="00A10BD5">
        <w:rPr>
          <w:rFonts w:ascii="Palatino Linotype" w:hAnsi="Palatino Linotype" w:cs="Segoe UI Historic"/>
          <w:bCs/>
          <w:iCs/>
        </w:rPr>
        <w:t>demonstrates the ability to reliably detect leakage of any hydrogen, methane, or hydrogen/methane blends and describes rigorous hydrogen leak testing protocols</w:t>
      </w:r>
      <w:r w:rsidRPr="00882303" w:rsidR="00A72CF3">
        <w:rPr>
          <w:rFonts w:ascii="Palatino Linotype" w:hAnsi="Palatino Linotype" w:cs="Segoe UI Historic"/>
          <w:bCs/>
          <w:iCs/>
        </w:rPr>
        <w:t>.”</w:t>
      </w:r>
      <w:r w:rsidRPr="00882303" w:rsidR="00A72CF3">
        <w:rPr>
          <w:rStyle w:val="FootnoteReference"/>
          <w:rFonts w:ascii="Palatino Linotype" w:hAnsi="Palatino Linotype" w:cs="Segoe UI Historic"/>
          <w:bCs/>
          <w:iCs/>
        </w:rPr>
        <w:footnoteReference w:id="62"/>
      </w:r>
      <w:r w:rsidRPr="00882303" w:rsidR="00072C4F">
        <w:rPr>
          <w:rFonts w:ascii="Palatino Linotype" w:hAnsi="Palatino Linotype" w:cs="Segoe UI Historic"/>
          <w:bCs/>
          <w:iCs/>
        </w:rPr>
        <w:t xml:space="preserve"> D.22-12-057 also requires the utilities to </w:t>
      </w:r>
      <w:r w:rsidRPr="00882303" w:rsidR="00661CD6">
        <w:rPr>
          <w:rFonts w:ascii="Palatino Linotype" w:hAnsi="Palatino Linotype" w:cs="Segoe UI Historic"/>
          <w:bCs/>
          <w:iCs/>
        </w:rPr>
        <w:t>file a Hydrogen Blending Compendium Report which would include findings related to hydrogen and methane leakage.</w:t>
      </w:r>
      <w:r w:rsidRPr="00882303" w:rsidR="00661CD6">
        <w:rPr>
          <w:rStyle w:val="FootnoteReference"/>
          <w:rFonts w:ascii="Palatino Linotype" w:hAnsi="Palatino Linotype" w:cs="Segoe UI Historic"/>
          <w:bCs/>
          <w:iCs/>
        </w:rPr>
        <w:footnoteReference w:id="63"/>
      </w:r>
      <w:r w:rsidRPr="00882303" w:rsidR="005F22B8">
        <w:rPr>
          <w:rFonts w:ascii="Palatino Linotype" w:hAnsi="Palatino Linotype" w:cs="Segoe UI Historic"/>
          <w:bCs/>
          <w:iCs/>
        </w:rPr>
        <w:t xml:space="preserve"> </w:t>
      </w:r>
      <w:r w:rsidRPr="00882303" w:rsidR="00B43128">
        <w:rPr>
          <w:rFonts w:ascii="Palatino Linotype" w:hAnsi="Palatino Linotype" w:cs="Segoe UI Historic"/>
          <w:bCs/>
          <w:iCs/>
        </w:rPr>
        <w:t>In addition, o</w:t>
      </w:r>
      <w:r w:rsidRPr="00882303" w:rsidR="00F26C92">
        <w:rPr>
          <w:rFonts w:ascii="Palatino Linotype" w:hAnsi="Palatino Linotype" w:cs="Segoe UI Historic"/>
          <w:bCs/>
          <w:iCs/>
        </w:rPr>
        <w:t xml:space="preserve">utside of D.22-12-057, there are </w:t>
      </w:r>
      <w:r w:rsidRPr="00882303" w:rsidR="00B43128">
        <w:rPr>
          <w:rFonts w:ascii="Palatino Linotype" w:hAnsi="Palatino Linotype" w:cs="Segoe UI Historic"/>
          <w:bCs/>
          <w:iCs/>
        </w:rPr>
        <w:t>several</w:t>
      </w:r>
      <w:r w:rsidRPr="00882303" w:rsidR="00F26C92">
        <w:rPr>
          <w:rFonts w:ascii="Palatino Linotype" w:hAnsi="Palatino Linotype" w:cs="Segoe UI Historic"/>
          <w:bCs/>
          <w:iCs/>
        </w:rPr>
        <w:t xml:space="preserve"> State and Federal funds going toward hydrogen blending and leakage research. For example, ARCHES</w:t>
      </w:r>
      <w:r w:rsidRPr="00882303" w:rsidR="00525776">
        <w:rPr>
          <w:rFonts w:ascii="Palatino Linotype" w:hAnsi="Palatino Linotype" w:cs="Segoe UI Historic"/>
          <w:bCs/>
          <w:iCs/>
        </w:rPr>
        <w:t xml:space="preserve"> (funded by the federal government)</w:t>
      </w:r>
      <w:r w:rsidRPr="00882303" w:rsidR="00F26C92">
        <w:rPr>
          <w:rFonts w:ascii="Palatino Linotype" w:hAnsi="Palatino Linotype" w:cs="Segoe UI Historic"/>
          <w:bCs/>
          <w:iCs/>
        </w:rPr>
        <w:t xml:space="preserve"> </w:t>
      </w:r>
      <w:r w:rsidRPr="00882303" w:rsidR="00370554">
        <w:rPr>
          <w:rFonts w:ascii="Palatino Linotype" w:hAnsi="Palatino Linotype" w:cs="Segoe UI Historic"/>
          <w:bCs/>
          <w:iCs/>
        </w:rPr>
        <w:t>states that it “will conduct safety, codes, and standards work to determine appropriate mechanisms for monitoring and rectifying any potential hydrogen leaks” and that “</w:t>
      </w:r>
      <w:r w:rsidRPr="00882303" w:rsidR="00370554">
        <w:rPr>
          <w:rFonts w:ascii="Palatino Linotype" w:hAnsi="Palatino Linotype" w:cs="Segoe UI Historic"/>
          <w:iCs/>
        </w:rPr>
        <w:t>ARCHES</w:t>
      </w:r>
      <w:r w:rsidRPr="00882303" w:rsidR="00370554">
        <w:rPr>
          <w:rFonts w:ascii="Palatino Linotype" w:hAnsi="Palatino Linotype" w:cs="Segoe UI Historic"/>
          <w:bCs/>
          <w:iCs/>
        </w:rPr>
        <w:t> projects will be required to monitor and repair leaks.”</w:t>
      </w:r>
      <w:r w:rsidRPr="00882303" w:rsidR="00370554">
        <w:rPr>
          <w:rStyle w:val="FootnoteReference"/>
          <w:rFonts w:ascii="Palatino Linotype" w:hAnsi="Palatino Linotype" w:cs="Segoe UI Historic"/>
          <w:bCs/>
          <w:iCs/>
        </w:rPr>
        <w:footnoteReference w:id="64"/>
      </w:r>
      <w:r w:rsidRPr="00882303" w:rsidR="00B43128">
        <w:rPr>
          <w:rFonts w:ascii="Palatino Linotype" w:hAnsi="Palatino Linotype" w:cs="Segoe UI Historic"/>
          <w:bCs/>
          <w:iCs/>
        </w:rPr>
        <w:t xml:space="preserve"> </w:t>
      </w:r>
    </w:p>
    <w:p w:rsidRPr="00882303" w:rsidR="00AB7FAE" w:rsidP="0074612C" w:rsidRDefault="00865D76" w14:paraId="05CB39B6" w14:textId="0AB491F9">
      <w:pPr>
        <w:pStyle w:val="paragraph"/>
        <w:rPr>
          <w:rFonts w:ascii="Palatino Linotype" w:hAnsi="Palatino Linotype" w:cs="Segoe UI Historic"/>
          <w:bCs/>
          <w:iCs/>
        </w:rPr>
      </w:pPr>
      <w:r w:rsidRPr="00882303">
        <w:rPr>
          <w:rFonts w:ascii="Palatino Linotype" w:hAnsi="Palatino Linotype" w:cs="Segoe UI Historic"/>
        </w:rPr>
        <w:t xml:space="preserve">Public Resources Code </w:t>
      </w:r>
      <w:r w:rsidRPr="00882303" w:rsidR="00F814DF">
        <w:rPr>
          <w:rFonts w:ascii="Palatino Linotype" w:hAnsi="Palatino Linotype" w:cs="Segoe UI Historic"/>
        </w:rPr>
        <w:t>25620.1</w:t>
      </w:r>
      <w:r w:rsidRPr="00882303" w:rsidR="008719A3">
        <w:rPr>
          <w:rFonts w:ascii="Palatino Linotype" w:hAnsi="Palatino Linotype" w:cs="Segoe UI Historic"/>
        </w:rPr>
        <w:t xml:space="preserve"> provides general guidance on </w:t>
      </w:r>
      <w:r w:rsidRPr="00882303" w:rsidR="00374965">
        <w:rPr>
          <w:rFonts w:ascii="Palatino Linotype" w:hAnsi="Palatino Linotype" w:cs="Segoe UI Historic"/>
        </w:rPr>
        <w:t>public interest research</w:t>
      </w:r>
      <w:r w:rsidRPr="00882303" w:rsidR="00F814DF">
        <w:rPr>
          <w:rFonts w:ascii="Palatino Linotype" w:hAnsi="Palatino Linotype" w:cs="Segoe UI Historic"/>
        </w:rPr>
        <w:t xml:space="preserve"> </w:t>
      </w:r>
      <w:r w:rsidRPr="00882303" w:rsidR="00F814DF">
        <w:rPr>
          <w:rFonts w:ascii="Palatino Linotype" w:hAnsi="Palatino Linotype" w:cs="Segoe UI Historic"/>
          <w:bCs/>
          <w:iCs/>
        </w:rPr>
        <w:t>stat</w:t>
      </w:r>
      <w:r w:rsidRPr="00882303" w:rsidR="00374965">
        <w:rPr>
          <w:rFonts w:ascii="Palatino Linotype" w:hAnsi="Palatino Linotype" w:cs="Segoe UI Historic"/>
          <w:bCs/>
          <w:iCs/>
        </w:rPr>
        <w:t>ing</w:t>
      </w:r>
      <w:r w:rsidRPr="00882303" w:rsidR="00F814DF">
        <w:rPr>
          <w:rFonts w:ascii="Palatino Linotype" w:hAnsi="Palatino Linotype" w:cs="Segoe UI Historic"/>
        </w:rPr>
        <w:t xml:space="preserve"> that “the commission shall adopt a portfolio approach for the [Public Interest Energy Research, Demonstration and Development] program that</w:t>
      </w:r>
      <w:r w:rsidRPr="00882303" w:rsidR="00400D1C">
        <w:rPr>
          <w:rFonts w:ascii="Palatino Linotype" w:hAnsi="Palatino Linotype" w:cs="Segoe UI Historic"/>
        </w:rPr>
        <w:t>… Ensures that prior, current, and future research not be unnecessarily duplicated.”</w:t>
      </w:r>
      <w:r w:rsidRPr="00882303" w:rsidR="00400D1C">
        <w:rPr>
          <w:rStyle w:val="FootnoteReference"/>
          <w:rFonts w:ascii="Palatino Linotype" w:hAnsi="Palatino Linotype" w:cs="Segoe UI Historic"/>
        </w:rPr>
        <w:footnoteReference w:id="65"/>
      </w:r>
      <w:r w:rsidRPr="00882303" w:rsidR="00ED3292">
        <w:rPr>
          <w:rFonts w:ascii="Palatino Linotype" w:hAnsi="Palatino Linotype" w:cs="Segoe UI Historic"/>
        </w:rPr>
        <w:t xml:space="preserve"> </w:t>
      </w:r>
      <w:r w:rsidRPr="00882303" w:rsidR="00374965">
        <w:rPr>
          <w:rFonts w:ascii="Palatino Linotype" w:hAnsi="Palatino Linotype" w:cs="Segoe UI Historic"/>
          <w:bCs/>
          <w:iCs/>
        </w:rPr>
        <w:t xml:space="preserve">This further illustrates the importance of the Commission’s stated preference for early coordination with CPUC proceedings and gas R&amp;D administrators. </w:t>
      </w:r>
      <w:r w:rsidRPr="00882303" w:rsidR="008359F6">
        <w:rPr>
          <w:rFonts w:ascii="Palatino Linotype" w:hAnsi="Palatino Linotype" w:cs="Segoe UI Historic"/>
        </w:rPr>
        <w:t>For</w:t>
      </w:r>
      <w:r w:rsidRPr="00882303" w:rsidDel="00374965" w:rsidR="008359F6">
        <w:rPr>
          <w:rFonts w:ascii="Palatino Linotype" w:hAnsi="Palatino Linotype" w:cs="Segoe UI Historic"/>
        </w:rPr>
        <w:t xml:space="preserve"> </w:t>
      </w:r>
      <w:r w:rsidRPr="00882303" w:rsidR="008359F6">
        <w:rPr>
          <w:rFonts w:ascii="Palatino Linotype" w:hAnsi="Palatino Linotype" w:cs="Segoe UI Historic"/>
        </w:rPr>
        <w:t xml:space="preserve">these reasons, we deny the </w:t>
      </w:r>
      <w:r w:rsidR="00DF76F7">
        <w:rPr>
          <w:rFonts w:ascii="Palatino Linotype" w:hAnsi="Palatino Linotype" w:cs="Segoe UI Historic"/>
        </w:rPr>
        <w:br/>
      </w:r>
      <w:r w:rsidRPr="00882303" w:rsidR="008359F6">
        <w:rPr>
          <w:rFonts w:ascii="Palatino Linotype" w:hAnsi="Palatino Linotype" w:cs="Segoe UI Historic"/>
        </w:rPr>
        <w:t xml:space="preserve">CEC’s request for $10,130,876 for its Gas Leakage Mitigation Initiative theme. </w:t>
      </w:r>
      <w:r w:rsidRPr="00882303" w:rsidR="00A203F4">
        <w:rPr>
          <w:rFonts w:ascii="Palatino Linotype" w:hAnsi="Palatino Linotype" w:cs="Segoe UI Historic"/>
        </w:rPr>
        <w:t xml:space="preserve">The CEC shall reallocate the $10,130,876 </w:t>
      </w:r>
      <w:r w:rsidRPr="00882303" w:rsidR="00D4390A">
        <w:rPr>
          <w:rFonts w:ascii="Palatino Linotype" w:hAnsi="Palatino Linotype" w:cs="Segoe UI Historic"/>
        </w:rPr>
        <w:t>via a Tier 2 Advice Letter submitted to Energy Division within 60 days. The CEC shall reallocat</w:t>
      </w:r>
      <w:r w:rsidRPr="00882303" w:rsidR="00655635">
        <w:rPr>
          <w:rFonts w:ascii="Palatino Linotype" w:hAnsi="Palatino Linotype" w:cs="Segoe UI Historic"/>
        </w:rPr>
        <w:t>e</w:t>
      </w:r>
      <w:r w:rsidRPr="00882303" w:rsidR="00D4390A">
        <w:rPr>
          <w:rFonts w:ascii="Palatino Linotype" w:hAnsi="Palatino Linotype" w:cs="Segoe UI Historic"/>
        </w:rPr>
        <w:t xml:space="preserve"> these funds toward </w:t>
      </w:r>
      <w:r w:rsidRPr="00882303" w:rsidR="0083493B">
        <w:rPr>
          <w:rFonts w:ascii="Palatino Linotype" w:hAnsi="Palatino Linotype" w:cs="Segoe UI Historic"/>
        </w:rPr>
        <w:t xml:space="preserve">approved </w:t>
      </w:r>
      <w:r w:rsidRPr="00882303" w:rsidR="00655635">
        <w:rPr>
          <w:rFonts w:ascii="Palatino Linotype" w:hAnsi="Palatino Linotype" w:cs="Segoe UI Historic"/>
        </w:rPr>
        <w:t xml:space="preserve">research </w:t>
      </w:r>
      <w:r w:rsidRPr="00882303" w:rsidR="0083493B">
        <w:rPr>
          <w:rFonts w:ascii="Palatino Linotype" w:hAnsi="Palatino Linotype" w:cs="Segoe UI Historic"/>
        </w:rPr>
        <w:t xml:space="preserve">areas, </w:t>
      </w:r>
      <w:r w:rsidRPr="00882303" w:rsidR="0083493B">
        <w:rPr>
          <w:rFonts w:ascii="Palatino Linotype" w:hAnsi="Palatino Linotype" w:cs="Segoe UI Historic"/>
        </w:rPr>
        <w:lastRenderedPageBreak/>
        <w:t>particularly</w:t>
      </w:r>
      <w:r w:rsidRPr="00882303" w:rsidR="00655635">
        <w:rPr>
          <w:rFonts w:ascii="Palatino Linotype" w:hAnsi="Palatino Linotype" w:cs="Segoe UI Historic"/>
        </w:rPr>
        <w:t xml:space="preserve"> </w:t>
      </w:r>
      <w:r w:rsidRPr="00882303" w:rsidR="00D4390A">
        <w:rPr>
          <w:rFonts w:ascii="Palatino Linotype" w:hAnsi="Palatino Linotype" w:cs="Segoe UI Historic"/>
        </w:rPr>
        <w:t xml:space="preserve">gas system </w:t>
      </w:r>
      <w:r w:rsidRPr="00882303" w:rsidR="00CB5918">
        <w:rPr>
          <w:rFonts w:ascii="Palatino Linotype" w:hAnsi="Palatino Linotype" w:cs="Segoe UI Historic"/>
        </w:rPr>
        <w:t>pruning</w:t>
      </w:r>
      <w:r w:rsidRPr="00882303" w:rsidR="0083493B">
        <w:rPr>
          <w:rFonts w:ascii="Palatino Linotype" w:hAnsi="Palatino Linotype" w:cs="Segoe UI Historic"/>
        </w:rPr>
        <w:t>,</w:t>
      </w:r>
      <w:r w:rsidRPr="00882303" w:rsidDel="0083493B" w:rsidR="00CB5918">
        <w:rPr>
          <w:rFonts w:ascii="Palatino Linotype" w:hAnsi="Palatino Linotype" w:cs="Segoe UI Historic"/>
        </w:rPr>
        <w:t xml:space="preserve"> </w:t>
      </w:r>
      <w:r w:rsidRPr="00882303" w:rsidR="00D4390A">
        <w:rPr>
          <w:rFonts w:ascii="Palatino Linotype" w:hAnsi="Palatino Linotype" w:cs="Segoe UI Historic"/>
        </w:rPr>
        <w:t>decommissioning</w:t>
      </w:r>
      <w:r w:rsidRPr="00882303" w:rsidR="0083493B">
        <w:rPr>
          <w:rFonts w:ascii="Palatino Linotype" w:hAnsi="Palatino Linotype" w:cs="Segoe UI Historic"/>
        </w:rPr>
        <w:t>, and safety consistent with Commission proceedings and policies</w:t>
      </w:r>
      <w:r w:rsidRPr="00882303" w:rsidR="00D4390A">
        <w:rPr>
          <w:rFonts w:ascii="Palatino Linotype" w:hAnsi="Palatino Linotype" w:cs="Segoe UI Historic"/>
        </w:rPr>
        <w:t>.</w:t>
      </w:r>
      <w:r w:rsidRPr="00882303" w:rsidR="00D4390A">
        <w:rPr>
          <w:rFonts w:ascii="Palatino Linotype" w:hAnsi="Palatino Linotype" w:cs="Segoe UI Historic"/>
          <w:bCs/>
          <w:iCs/>
        </w:rPr>
        <w:t xml:space="preserve"> </w:t>
      </w:r>
    </w:p>
    <w:p w:rsidRPr="00F84530" w:rsidR="71B9D62C" w:rsidP="71B9D62C" w:rsidRDefault="71B9D62C" w14:paraId="18BD041C" w14:textId="60B598F2">
      <w:pPr>
        <w:pStyle w:val="paragraph"/>
        <w:rPr>
          <w:rFonts w:ascii="Palatino Linotype" w:hAnsi="Palatino Linotype" w:cs="Segoe UI Historic"/>
          <w:b/>
          <w:bCs/>
          <w:i/>
          <w:iCs/>
          <w:sz w:val="2"/>
          <w:szCs w:val="2"/>
        </w:rPr>
      </w:pPr>
    </w:p>
    <w:p w:rsidRPr="00882303" w:rsidR="009C0AB0" w:rsidP="0074612C" w:rsidRDefault="009C0AB0" w14:paraId="4B4F38DA" w14:textId="14AA547B">
      <w:pPr>
        <w:pStyle w:val="paragraph"/>
        <w:rPr>
          <w:rFonts w:ascii="Palatino Linotype" w:hAnsi="Palatino Linotype" w:cs="Segoe UI Historic"/>
          <w:b/>
          <w:bCs/>
        </w:rPr>
      </w:pPr>
      <w:r w:rsidRPr="00882303">
        <w:rPr>
          <w:rFonts w:ascii="Palatino Linotype" w:hAnsi="Palatino Linotype" w:cs="Segoe UI Historic"/>
          <w:b/>
          <w:bCs/>
          <w:i/>
          <w:iCs/>
        </w:rPr>
        <w:t>Building Decarbonization</w:t>
      </w:r>
    </w:p>
    <w:p w:rsidRPr="00882303" w:rsidR="009C0AB0" w:rsidP="0074612C" w:rsidRDefault="00D24793" w14:paraId="07000C56" w14:textId="3256A7F2">
      <w:pPr>
        <w:pStyle w:val="paragraph"/>
        <w:rPr>
          <w:rFonts w:ascii="Palatino Linotype" w:hAnsi="Palatino Linotype" w:cs="Segoe UI Historic"/>
        </w:rPr>
      </w:pPr>
      <w:r w:rsidRPr="00882303">
        <w:rPr>
          <w:rFonts w:ascii="Palatino Linotype" w:hAnsi="Palatino Linotype" w:cs="Segoe UI Historic"/>
        </w:rPr>
        <w:t xml:space="preserve">The CEC requests </w:t>
      </w:r>
      <w:r w:rsidRPr="00882303" w:rsidR="00653034">
        <w:rPr>
          <w:rFonts w:ascii="Palatino Linotype" w:hAnsi="Palatino Linotype" w:cs="Segoe UI Historic"/>
        </w:rPr>
        <w:t>$7 million for its Building Decarbonization initiative theme, encompassing one initiative: “Air Pollutant Exposure Assessment in California Residences.”</w:t>
      </w:r>
      <w:r w:rsidRPr="00882303" w:rsidR="00653034">
        <w:rPr>
          <w:rStyle w:val="FootnoteReference"/>
          <w:rFonts w:ascii="Palatino Linotype" w:hAnsi="Palatino Linotype" w:cs="Segoe UI Historic"/>
        </w:rPr>
        <w:footnoteReference w:id="66"/>
      </w:r>
      <w:r w:rsidRPr="00882303" w:rsidR="00653034">
        <w:rPr>
          <w:rFonts w:ascii="Palatino Linotype" w:hAnsi="Palatino Linotype" w:cs="Segoe UI Historic"/>
        </w:rPr>
        <w:t xml:space="preserve"> The CEC</w:t>
      </w:r>
      <w:r w:rsidRPr="00882303" w:rsidR="00447679">
        <w:rPr>
          <w:rFonts w:ascii="Palatino Linotype" w:hAnsi="Palatino Linotype" w:cs="Segoe UI Historic"/>
        </w:rPr>
        <w:t xml:space="preserve"> states that th</w:t>
      </w:r>
      <w:r w:rsidRPr="00882303" w:rsidR="003A6A08">
        <w:rPr>
          <w:rFonts w:ascii="Palatino Linotype" w:hAnsi="Palatino Linotype" w:cs="Segoe UI Historic"/>
        </w:rPr>
        <w:t>is initiative will support air pollutant exposure assessment in California homes to illuminate health implications of different cooking fuels, with a focus on fossil gas and electricity.</w:t>
      </w:r>
      <w:r w:rsidRPr="00882303" w:rsidR="003A6A08">
        <w:rPr>
          <w:rStyle w:val="FootnoteReference"/>
          <w:rFonts w:ascii="Palatino Linotype" w:hAnsi="Palatino Linotype" w:cs="Segoe UI Historic"/>
        </w:rPr>
        <w:footnoteReference w:id="67"/>
      </w:r>
      <w:r w:rsidRPr="00882303" w:rsidR="003A6A08">
        <w:rPr>
          <w:rFonts w:ascii="Palatino Linotype" w:hAnsi="Palatino Linotype" w:cs="Segoe UI Historic"/>
        </w:rPr>
        <w:t xml:space="preserve"> The CEC states that</w:t>
      </w:r>
      <w:r w:rsidRPr="00882303" w:rsidR="000E5BDC">
        <w:rPr>
          <w:rFonts w:ascii="Palatino Linotype" w:hAnsi="Palatino Linotype" w:cs="Segoe UI Historic"/>
        </w:rPr>
        <w:t xml:space="preserve"> th</w:t>
      </w:r>
      <w:r w:rsidRPr="00882303" w:rsidR="00FE5B69">
        <w:rPr>
          <w:rFonts w:ascii="Palatino Linotype" w:hAnsi="Palatino Linotype" w:cs="Segoe UI Historic"/>
        </w:rPr>
        <w:t>is research complements a FY 2021-2022 Gas R&amp;D</w:t>
      </w:r>
      <w:r w:rsidRPr="00882303" w:rsidR="00DB0483">
        <w:rPr>
          <w:rFonts w:ascii="Palatino Linotype" w:hAnsi="Palatino Linotype" w:cs="Segoe UI Historic"/>
        </w:rPr>
        <w:t xml:space="preserve"> </w:t>
      </w:r>
      <w:r w:rsidRPr="00882303" w:rsidR="00CB3AED">
        <w:rPr>
          <w:rFonts w:ascii="Palatino Linotype" w:hAnsi="Palatino Linotype" w:cs="Segoe UI Historic"/>
        </w:rPr>
        <w:t>research solicitation</w:t>
      </w:r>
      <w:r w:rsidRPr="00882303" w:rsidR="000D6EED">
        <w:rPr>
          <w:rFonts w:ascii="Palatino Linotype" w:hAnsi="Palatino Linotype" w:cs="Segoe UI Historic"/>
        </w:rPr>
        <w:t>, which will measure human exposures to pollutants from residential cooking in multifamily homes.</w:t>
      </w:r>
      <w:r w:rsidRPr="00882303" w:rsidR="000D6EED">
        <w:rPr>
          <w:rStyle w:val="FootnoteReference"/>
          <w:rFonts w:ascii="Palatino Linotype" w:hAnsi="Palatino Linotype" w:cs="Segoe UI Historic"/>
        </w:rPr>
        <w:footnoteReference w:id="68"/>
      </w:r>
      <w:r w:rsidRPr="00882303" w:rsidR="000D6EED">
        <w:rPr>
          <w:rFonts w:ascii="Palatino Linotype" w:hAnsi="Palatino Linotype" w:cs="Segoe UI Historic"/>
        </w:rPr>
        <w:t xml:space="preserve"> The CEC writes that the FY 2023-2024 Gas R&amp;D initiative will enable improved characterization of particulate matter emissions associated with cooking fuel and generated by the cooking process.</w:t>
      </w:r>
      <w:r w:rsidRPr="00882303" w:rsidR="000D6EED">
        <w:rPr>
          <w:rStyle w:val="FootnoteReference"/>
          <w:rFonts w:ascii="Palatino Linotype" w:hAnsi="Palatino Linotype" w:cs="Segoe UI Historic"/>
        </w:rPr>
        <w:footnoteReference w:id="69"/>
      </w:r>
      <w:r w:rsidRPr="00882303" w:rsidR="00FE5B69">
        <w:rPr>
          <w:rFonts w:ascii="Palatino Linotype" w:hAnsi="Palatino Linotype" w:cs="Segoe UI Historic"/>
        </w:rPr>
        <w:t xml:space="preserve"> </w:t>
      </w:r>
      <w:r w:rsidRPr="00882303" w:rsidR="00A75A4D">
        <w:rPr>
          <w:rFonts w:ascii="Palatino Linotype" w:hAnsi="Palatino Linotype" w:cs="Segoe UI Historic"/>
        </w:rPr>
        <w:t>The CEC asserts that the successful execution of th</w:t>
      </w:r>
      <w:r w:rsidRPr="00882303" w:rsidR="00266C70">
        <w:rPr>
          <w:rFonts w:ascii="Palatino Linotype" w:hAnsi="Palatino Linotype" w:cs="Segoe UI Historic"/>
        </w:rPr>
        <w:t>is initiative will deliver a framework for quantifying the magnitude and distribution of indoor exposures to cooking-related indoor air pollutants</w:t>
      </w:r>
      <w:r w:rsidRPr="00882303" w:rsidR="009F55A3">
        <w:rPr>
          <w:rFonts w:ascii="Palatino Linotype" w:hAnsi="Palatino Linotype" w:cs="Segoe UI Historic"/>
        </w:rPr>
        <w:t xml:space="preserve"> associated with a variety of household and demographic characteristics for fossil gas and alternative fuels.</w:t>
      </w:r>
      <w:r w:rsidRPr="00882303" w:rsidR="00E124CB">
        <w:rPr>
          <w:rStyle w:val="FootnoteReference"/>
          <w:rFonts w:ascii="Palatino Linotype" w:hAnsi="Palatino Linotype" w:cs="Segoe UI Historic"/>
        </w:rPr>
        <w:footnoteReference w:id="70"/>
      </w:r>
      <w:r w:rsidRPr="00882303" w:rsidR="009F55A3">
        <w:rPr>
          <w:rFonts w:ascii="Palatino Linotype" w:hAnsi="Palatino Linotype" w:cs="Segoe UI Historic"/>
        </w:rPr>
        <w:t xml:space="preserve"> </w:t>
      </w:r>
      <w:r w:rsidRPr="00882303" w:rsidR="003A6A08">
        <w:rPr>
          <w:rFonts w:ascii="Palatino Linotype" w:hAnsi="Palatino Linotype" w:cs="Segoe UI Historic"/>
        </w:rPr>
        <w:t xml:space="preserve">The CEC states that, in response to </w:t>
      </w:r>
      <w:r w:rsidRPr="00882303" w:rsidR="002E762B">
        <w:rPr>
          <w:rFonts w:ascii="Palatino Linotype" w:hAnsi="Palatino Linotype" w:cs="Segoe UI Historic"/>
        </w:rPr>
        <w:t xml:space="preserve">its 2022 public workshop, the initiative will support an </w:t>
      </w:r>
      <w:r w:rsidRPr="00882303" w:rsidR="002B04D4">
        <w:rPr>
          <w:rFonts w:ascii="Palatino Linotype" w:hAnsi="Palatino Linotype" w:cs="Segoe UI Historic"/>
        </w:rPr>
        <w:t>innovative approach that involves</w:t>
      </w:r>
      <w:r w:rsidRPr="00882303" w:rsidR="002E762B">
        <w:rPr>
          <w:rFonts w:ascii="Palatino Linotype" w:hAnsi="Palatino Linotype" w:cs="Segoe UI Historic"/>
        </w:rPr>
        <w:t xml:space="preserve"> laboratory and field research.</w:t>
      </w:r>
      <w:r w:rsidRPr="00882303" w:rsidR="002E762B">
        <w:rPr>
          <w:rStyle w:val="FootnoteReference"/>
          <w:rFonts w:ascii="Palatino Linotype" w:hAnsi="Palatino Linotype" w:cs="Segoe UI Historic"/>
        </w:rPr>
        <w:footnoteReference w:id="71"/>
      </w:r>
      <w:r w:rsidRPr="00882303" w:rsidR="002E762B">
        <w:rPr>
          <w:rFonts w:ascii="Palatino Linotype" w:hAnsi="Palatino Linotype" w:cs="Segoe UI Historic"/>
        </w:rPr>
        <w:t xml:space="preserve"> The CEC </w:t>
      </w:r>
      <w:r w:rsidRPr="00882303" w:rsidR="005B257B">
        <w:rPr>
          <w:rFonts w:ascii="Palatino Linotype" w:hAnsi="Palatino Linotype" w:cs="Segoe UI Historic"/>
        </w:rPr>
        <w:t xml:space="preserve">asserts </w:t>
      </w:r>
      <w:r w:rsidRPr="00882303" w:rsidR="002E762B">
        <w:rPr>
          <w:rFonts w:ascii="Palatino Linotype" w:hAnsi="Palatino Linotype" w:cs="Segoe UI Historic"/>
        </w:rPr>
        <w:t>that this approach is the most promising strategy for cost-effectively characterizing determinants of residential indoor exposures to cooking-related air pollution in a way that lends itself to quantitative assessment.</w:t>
      </w:r>
      <w:r w:rsidRPr="00882303" w:rsidR="002E762B">
        <w:rPr>
          <w:rStyle w:val="FootnoteReference"/>
          <w:rFonts w:ascii="Palatino Linotype" w:hAnsi="Palatino Linotype" w:cs="Segoe UI Historic"/>
        </w:rPr>
        <w:footnoteReference w:id="72"/>
      </w:r>
      <w:r w:rsidRPr="00882303" w:rsidR="002E762B">
        <w:rPr>
          <w:rFonts w:ascii="Palatino Linotype" w:hAnsi="Palatino Linotype" w:cs="Segoe UI Historic"/>
        </w:rPr>
        <w:t xml:space="preserve"> </w:t>
      </w:r>
    </w:p>
    <w:p w:rsidRPr="00882303" w:rsidR="00CF10AF" w:rsidP="0074612C" w:rsidRDefault="00CF10AF" w14:paraId="4DEB5293" w14:textId="4C50BC79">
      <w:pPr>
        <w:pStyle w:val="paragraph"/>
        <w:rPr>
          <w:rFonts w:ascii="Palatino Linotype" w:hAnsi="Palatino Linotype" w:cs="Segoe UI Historic"/>
        </w:rPr>
      </w:pPr>
      <w:r w:rsidRPr="00882303">
        <w:rPr>
          <w:rFonts w:ascii="Palatino Linotype" w:hAnsi="Palatino Linotype" w:cs="Segoe UI Historic"/>
        </w:rPr>
        <w:t xml:space="preserve">The CEC states that this initiative responds to the CPUC’s direction in Resolution </w:t>
      </w:r>
      <w:r w:rsidR="00DF76F7">
        <w:rPr>
          <w:rFonts w:ascii="Palatino Linotype" w:hAnsi="Palatino Linotype" w:cs="Segoe UI Historic"/>
        </w:rPr>
        <w:br/>
      </w:r>
      <w:r w:rsidRPr="00882303">
        <w:rPr>
          <w:rFonts w:ascii="Palatino Linotype" w:hAnsi="Palatino Linotype" w:cs="Segoe UI Historic"/>
        </w:rPr>
        <w:t>G-3571 to “</w:t>
      </w:r>
      <w:r w:rsidRPr="00882303" w:rsidR="006F619A">
        <w:rPr>
          <w:rFonts w:ascii="Palatino Linotype" w:hAnsi="Palatino Linotype" w:cs="Segoe UI Historic"/>
        </w:rPr>
        <w:t>quantify and document impacts to indoor air quality from natural gas appliances and the potential technically feasible improvements and potential risks to indoor air quality that could be achieved from fuel blending or electrification.”</w:t>
      </w:r>
      <w:r w:rsidRPr="00882303" w:rsidR="006F619A">
        <w:rPr>
          <w:rStyle w:val="FootnoteReference"/>
          <w:rFonts w:ascii="Palatino Linotype" w:hAnsi="Palatino Linotype" w:cs="Segoe UI Historic"/>
        </w:rPr>
        <w:footnoteReference w:id="73"/>
      </w:r>
      <w:r w:rsidRPr="00882303" w:rsidR="00C0778B">
        <w:rPr>
          <w:rFonts w:ascii="Palatino Linotype" w:hAnsi="Palatino Linotype" w:cs="Segoe UI Historic"/>
        </w:rPr>
        <w:t xml:space="preserve"> Further, the CEC discusses that</w:t>
      </w:r>
      <w:r w:rsidRPr="00882303" w:rsidR="00256D85">
        <w:rPr>
          <w:rFonts w:ascii="Palatino Linotype" w:hAnsi="Palatino Linotype" w:cs="Segoe UI Historic"/>
        </w:rPr>
        <w:t xml:space="preserve">, by providing foundational data to support quantitative assessment of exposures to health-damaging indoor air pollutants associated with cooking-related fuels and activities, this </w:t>
      </w:r>
      <w:r w:rsidRPr="00882303" w:rsidR="00C0778B">
        <w:rPr>
          <w:rFonts w:ascii="Palatino Linotype" w:hAnsi="Palatino Linotype" w:cs="Segoe UI Historic"/>
        </w:rPr>
        <w:t xml:space="preserve">initiative will help appropriately encourage </w:t>
      </w:r>
      <w:r w:rsidRPr="00882303" w:rsidR="00C0778B">
        <w:rPr>
          <w:rFonts w:ascii="Palatino Linotype" w:hAnsi="Palatino Linotype" w:cs="Segoe UI Historic"/>
        </w:rPr>
        <w:lastRenderedPageBreak/>
        <w:t>incentives and account for benefits of building decarbonization</w:t>
      </w:r>
      <w:r w:rsidRPr="00882303" w:rsidR="00E2772F">
        <w:rPr>
          <w:rFonts w:ascii="Palatino Linotype" w:hAnsi="Palatino Linotype" w:cs="Segoe UI Historic"/>
        </w:rPr>
        <w:t>.</w:t>
      </w:r>
      <w:r w:rsidRPr="00882303" w:rsidR="00E2772F">
        <w:rPr>
          <w:rStyle w:val="FootnoteReference"/>
          <w:rFonts w:ascii="Palatino Linotype" w:hAnsi="Palatino Linotype" w:cs="Segoe UI Historic"/>
        </w:rPr>
        <w:footnoteReference w:id="74"/>
      </w:r>
      <w:r w:rsidRPr="00882303" w:rsidR="00E2772F">
        <w:rPr>
          <w:rFonts w:ascii="Palatino Linotype" w:hAnsi="Palatino Linotype" w:cs="Segoe UI Historic"/>
        </w:rPr>
        <w:t xml:space="preserve"> </w:t>
      </w:r>
      <w:r w:rsidRPr="00882303" w:rsidR="00C0778B">
        <w:rPr>
          <w:rFonts w:ascii="Palatino Linotype" w:hAnsi="Palatino Linotype" w:cs="Segoe UI Historic"/>
        </w:rPr>
        <w:t xml:space="preserve">The CEC also writes that this initiative will </w:t>
      </w:r>
      <w:r w:rsidRPr="00882303" w:rsidR="00D66A3B">
        <w:rPr>
          <w:rFonts w:ascii="Palatino Linotype" w:hAnsi="Palatino Linotype" w:cs="Segoe UI Historic"/>
        </w:rPr>
        <w:t xml:space="preserve">result in </w:t>
      </w:r>
      <w:r w:rsidRPr="00882303" w:rsidR="00C0778B">
        <w:rPr>
          <w:rFonts w:ascii="Palatino Linotype" w:hAnsi="Palatino Linotype" w:cs="Segoe UI Historic"/>
        </w:rPr>
        <w:t xml:space="preserve">equity benefits </w:t>
      </w:r>
      <w:r w:rsidRPr="00882303" w:rsidR="00234BCF">
        <w:rPr>
          <w:rFonts w:ascii="Palatino Linotype" w:hAnsi="Palatino Linotype" w:cs="Segoe UI Historic"/>
        </w:rPr>
        <w:t xml:space="preserve">by focusing on diverse housing types to support </w:t>
      </w:r>
      <w:r w:rsidRPr="00882303" w:rsidR="005F5F25">
        <w:rPr>
          <w:rFonts w:ascii="Palatino Linotype" w:hAnsi="Palatino Linotype" w:cs="Segoe UI Historic"/>
        </w:rPr>
        <w:t>household decarbonization in a way that maximizes local benefits</w:t>
      </w:r>
      <w:r w:rsidRPr="00882303" w:rsidR="00234BCF">
        <w:rPr>
          <w:rFonts w:ascii="Palatino Linotype" w:hAnsi="Palatino Linotype" w:cs="Segoe UI Historic"/>
        </w:rPr>
        <w:t>.</w:t>
      </w:r>
      <w:r w:rsidRPr="00882303" w:rsidR="00E2772F">
        <w:rPr>
          <w:rStyle w:val="FootnoteReference"/>
          <w:rFonts w:ascii="Palatino Linotype" w:hAnsi="Palatino Linotype" w:cs="Segoe UI Historic"/>
        </w:rPr>
        <w:footnoteReference w:id="75"/>
      </w:r>
    </w:p>
    <w:p w:rsidRPr="00882303" w:rsidR="00AF778A" w:rsidP="0074612C" w:rsidRDefault="00FD4873" w14:paraId="7BBC9251" w14:textId="033151E3">
      <w:pPr>
        <w:pStyle w:val="paragraph"/>
        <w:rPr>
          <w:rFonts w:ascii="Palatino Linotype" w:hAnsi="Palatino Linotype" w:cs="Segoe UI Historic"/>
        </w:rPr>
      </w:pPr>
      <w:r w:rsidRPr="00882303">
        <w:rPr>
          <w:rFonts w:ascii="Palatino Linotype" w:hAnsi="Palatino Linotype" w:cs="Segoe UI Historic"/>
        </w:rPr>
        <w:t xml:space="preserve">The Building Decarbonization initiative theme is </w:t>
      </w:r>
      <w:r w:rsidRPr="00882303" w:rsidR="006129CB">
        <w:rPr>
          <w:rFonts w:ascii="Palatino Linotype" w:hAnsi="Palatino Linotype" w:cs="Segoe UI Historic"/>
        </w:rPr>
        <w:t>consistent with requirement three of D.04-08-010</w:t>
      </w:r>
      <w:r w:rsidRPr="00882303" w:rsidR="00D66A3B">
        <w:rPr>
          <w:rFonts w:ascii="Palatino Linotype" w:hAnsi="Palatino Linotype" w:cs="Segoe UI Historic"/>
        </w:rPr>
        <w:t xml:space="preserve"> to</w:t>
      </w:r>
      <w:r w:rsidRPr="00882303" w:rsidR="006129CB">
        <w:rPr>
          <w:rFonts w:ascii="Palatino Linotype" w:hAnsi="Palatino Linotype" w:cs="Segoe UI Historic"/>
        </w:rPr>
        <w:t xml:space="preserve"> “offer a reasonable probability of providing benefits to the general public.” This initiative theme is also consistent with </w:t>
      </w:r>
      <w:r w:rsidRPr="00882303" w:rsidR="004E5BDB">
        <w:rPr>
          <w:rFonts w:ascii="Palatino Linotype" w:hAnsi="Palatino Linotype" w:cs="Segoe UI Historic"/>
        </w:rPr>
        <w:t>requirement two of D.04-08-010</w:t>
      </w:r>
      <w:r w:rsidRPr="00882303" w:rsidR="00155308">
        <w:rPr>
          <w:rFonts w:ascii="Palatino Linotype" w:hAnsi="Palatino Linotype" w:cs="Segoe UI Historic"/>
        </w:rPr>
        <w:t xml:space="preserve">, “support </w:t>
      </w:r>
      <w:r w:rsidRPr="00882303" w:rsidR="003447E5">
        <w:rPr>
          <w:rFonts w:ascii="Palatino Linotype" w:hAnsi="Palatino Linotype" w:cs="Segoe UI Historic"/>
        </w:rPr>
        <w:t>State energy policy</w:t>
      </w:r>
      <w:r w:rsidRPr="00882303" w:rsidR="004E5BDB">
        <w:rPr>
          <w:rFonts w:ascii="Palatino Linotype" w:hAnsi="Palatino Linotype" w:cs="Segoe UI Historic"/>
        </w:rPr>
        <w:t>,</w:t>
      </w:r>
      <w:r w:rsidRPr="00882303" w:rsidR="003447E5">
        <w:rPr>
          <w:rFonts w:ascii="Palatino Linotype" w:hAnsi="Palatino Linotype" w:cs="Segoe UI Historic"/>
        </w:rPr>
        <w:t>”</w:t>
      </w:r>
      <w:r w:rsidRPr="00882303" w:rsidR="004E5BDB">
        <w:rPr>
          <w:rFonts w:ascii="Palatino Linotype" w:hAnsi="Palatino Linotype" w:cs="Segoe UI Historic"/>
        </w:rPr>
        <w:t xml:space="preserve"> as the CEC’s Integrated </w:t>
      </w:r>
      <w:r w:rsidRPr="00882303" w:rsidR="006D3588">
        <w:rPr>
          <w:rFonts w:ascii="Palatino Linotype" w:hAnsi="Palatino Linotype" w:cs="Segoe UI Historic"/>
        </w:rPr>
        <w:t>Energy Policy Report (IEPR) recommends that “the CEC and other relevant agencies should work to quantify the nonenergy benefits of reducing building emissions, for example, improved public health, where possible, encouraging monetization of these energy-related externalities such that their mitigation of these externalities can increase access to capital for decarbonization projects.”</w:t>
      </w:r>
      <w:r w:rsidRPr="00882303" w:rsidR="00155308">
        <w:rPr>
          <w:rStyle w:val="FootnoteReference"/>
          <w:rFonts w:ascii="Palatino Linotype" w:hAnsi="Palatino Linotype" w:cs="Segoe UI Historic"/>
        </w:rPr>
        <w:footnoteReference w:id="76"/>
      </w:r>
      <w:r w:rsidRPr="00882303" w:rsidR="006D3588">
        <w:rPr>
          <w:rFonts w:ascii="Palatino Linotype" w:hAnsi="Palatino Linotype" w:cs="Segoe UI Historic"/>
        </w:rPr>
        <w:t xml:space="preserve"> </w:t>
      </w:r>
    </w:p>
    <w:p w:rsidR="00E2772F" w:rsidP="0074612C" w:rsidRDefault="00AF778A" w14:paraId="1A2CD210" w14:textId="50AF1AB5">
      <w:pPr>
        <w:pStyle w:val="paragraph"/>
        <w:rPr>
          <w:rFonts w:ascii="Palatino Linotype" w:hAnsi="Palatino Linotype" w:cs="Segoe UI Historic"/>
        </w:rPr>
      </w:pPr>
      <w:r w:rsidRPr="00882303">
        <w:rPr>
          <w:rFonts w:ascii="Palatino Linotype" w:hAnsi="Palatino Linotype" w:cs="Segoe UI Historic"/>
        </w:rPr>
        <w:t>We approve of the $7,000,000 allocated to the Building Decarbonization initiative theme.</w:t>
      </w:r>
      <w:r w:rsidRPr="00882303" w:rsidR="006129CB">
        <w:rPr>
          <w:rFonts w:ascii="Palatino Linotype" w:hAnsi="Palatino Linotype" w:cs="Segoe UI Historic"/>
        </w:rPr>
        <w:t xml:space="preserve"> </w:t>
      </w:r>
      <w:r w:rsidRPr="00882303" w:rsidR="008F513E">
        <w:rPr>
          <w:rFonts w:ascii="Palatino Linotype" w:hAnsi="Palatino Linotype" w:cs="Segoe UI Historic"/>
        </w:rPr>
        <w:t xml:space="preserve">We encourage </w:t>
      </w:r>
      <w:r w:rsidRPr="00882303" w:rsidR="002B649E">
        <w:rPr>
          <w:rFonts w:ascii="Palatino Linotype" w:hAnsi="Palatino Linotype" w:cs="Segoe UI Historic"/>
        </w:rPr>
        <w:t xml:space="preserve">research examining the </w:t>
      </w:r>
      <w:r w:rsidRPr="00882303" w:rsidR="008E41D3">
        <w:rPr>
          <w:rFonts w:ascii="Palatino Linotype" w:hAnsi="Palatino Linotype" w:cs="Segoe UI Historic"/>
        </w:rPr>
        <w:t xml:space="preserve">potential health </w:t>
      </w:r>
      <w:r w:rsidRPr="00882303" w:rsidR="0051355C">
        <w:rPr>
          <w:rFonts w:ascii="Palatino Linotype" w:hAnsi="Palatino Linotype" w:cs="Segoe UI Historic"/>
        </w:rPr>
        <w:t xml:space="preserve">and indoor air </w:t>
      </w:r>
      <w:r w:rsidRPr="00882303" w:rsidR="00981B3A">
        <w:rPr>
          <w:rFonts w:ascii="Palatino Linotype" w:hAnsi="Palatino Linotype" w:cs="Segoe UI Historic"/>
        </w:rPr>
        <w:t>qua</w:t>
      </w:r>
      <w:r w:rsidRPr="00882303" w:rsidR="007953D0">
        <w:rPr>
          <w:rFonts w:ascii="Palatino Linotype" w:hAnsi="Palatino Linotype" w:cs="Segoe UI Historic"/>
        </w:rPr>
        <w:t xml:space="preserve">lity </w:t>
      </w:r>
      <w:r w:rsidRPr="00882303" w:rsidR="00FD240A">
        <w:rPr>
          <w:rFonts w:ascii="Palatino Linotype" w:hAnsi="Palatino Linotype" w:cs="Segoe UI Historic"/>
        </w:rPr>
        <w:t>impact</w:t>
      </w:r>
      <w:r w:rsidRPr="00882303" w:rsidR="0051355C">
        <w:rPr>
          <w:rFonts w:ascii="Palatino Linotype" w:hAnsi="Palatino Linotype" w:cs="Segoe UI Historic"/>
        </w:rPr>
        <w:t>s</w:t>
      </w:r>
      <w:r w:rsidRPr="00882303" w:rsidR="00FD240A">
        <w:rPr>
          <w:rFonts w:ascii="Palatino Linotype" w:hAnsi="Palatino Linotype" w:cs="Segoe UI Historic"/>
        </w:rPr>
        <w:t xml:space="preserve"> of </w:t>
      </w:r>
      <w:r w:rsidRPr="00882303" w:rsidR="00874917">
        <w:rPr>
          <w:rFonts w:ascii="Palatino Linotype" w:hAnsi="Palatino Linotype" w:cs="Segoe UI Historic"/>
        </w:rPr>
        <w:t xml:space="preserve">methane </w:t>
      </w:r>
      <w:r w:rsidRPr="00882303" w:rsidR="000D50D7">
        <w:rPr>
          <w:rFonts w:ascii="Palatino Linotype" w:hAnsi="Palatino Linotype" w:cs="Segoe UI Historic"/>
        </w:rPr>
        <w:t xml:space="preserve">use in other appliances </w:t>
      </w:r>
      <w:r w:rsidRPr="00882303" w:rsidR="00E96C82">
        <w:rPr>
          <w:rFonts w:ascii="Palatino Linotype" w:hAnsi="Palatino Linotype" w:cs="Segoe UI Historic"/>
        </w:rPr>
        <w:t>in the home</w:t>
      </w:r>
      <w:r w:rsidRPr="00882303" w:rsidR="0086157E">
        <w:rPr>
          <w:rFonts w:ascii="Palatino Linotype" w:hAnsi="Palatino Linotype" w:cs="Segoe UI Historic"/>
        </w:rPr>
        <w:t xml:space="preserve"> in addition to </w:t>
      </w:r>
      <w:r w:rsidRPr="00882303" w:rsidR="00AF449A">
        <w:rPr>
          <w:rFonts w:ascii="Palatino Linotype" w:hAnsi="Palatino Linotype" w:cs="Segoe UI Historic"/>
        </w:rPr>
        <w:t>cooking</w:t>
      </w:r>
      <w:r w:rsidRPr="00882303" w:rsidR="002F2FAA">
        <w:rPr>
          <w:rFonts w:ascii="Palatino Linotype" w:hAnsi="Palatino Linotype" w:cs="Segoe UI Historic"/>
        </w:rPr>
        <w:t xml:space="preserve"> appliances</w:t>
      </w:r>
      <w:r w:rsidRPr="00882303" w:rsidR="008E41D3">
        <w:rPr>
          <w:rFonts w:ascii="Palatino Linotype" w:hAnsi="Palatino Linotype" w:cs="Segoe UI Historic"/>
        </w:rPr>
        <w:t>.</w:t>
      </w:r>
      <w:r w:rsidRPr="00882303" w:rsidR="007953D0">
        <w:rPr>
          <w:rFonts w:ascii="Palatino Linotype" w:hAnsi="Palatino Linotype" w:cs="Segoe UI Historic"/>
        </w:rPr>
        <w:t xml:space="preserve"> </w:t>
      </w:r>
      <w:r w:rsidRPr="00882303" w:rsidR="002F2FAA">
        <w:rPr>
          <w:rFonts w:ascii="Palatino Linotype" w:hAnsi="Palatino Linotype" w:cs="Segoe UI Historic"/>
        </w:rPr>
        <w:t>We also encourage</w:t>
      </w:r>
      <w:r w:rsidRPr="00882303" w:rsidR="00C81D8B">
        <w:rPr>
          <w:rFonts w:ascii="Palatino Linotype" w:hAnsi="Palatino Linotype" w:cs="Segoe UI Historic"/>
        </w:rPr>
        <w:t xml:space="preserve"> research into cost</w:t>
      </w:r>
      <w:r w:rsidRPr="00882303" w:rsidR="00BD6028">
        <w:rPr>
          <w:rFonts w:ascii="Palatino Linotype" w:hAnsi="Palatino Linotype" w:cs="Segoe UI Historic"/>
        </w:rPr>
        <w:t>-</w:t>
      </w:r>
      <w:r w:rsidRPr="00882303" w:rsidR="00C81D8B">
        <w:rPr>
          <w:rFonts w:ascii="Palatino Linotype" w:hAnsi="Palatino Linotype" w:cs="Segoe UI Historic"/>
        </w:rPr>
        <w:t>effective short</w:t>
      </w:r>
      <w:r w:rsidRPr="00882303" w:rsidR="00BD6028">
        <w:rPr>
          <w:rFonts w:ascii="Palatino Linotype" w:hAnsi="Palatino Linotype" w:cs="Segoe UI Historic"/>
        </w:rPr>
        <w:t>-</w:t>
      </w:r>
      <w:r w:rsidRPr="00882303" w:rsidR="00C81D8B">
        <w:rPr>
          <w:rFonts w:ascii="Palatino Linotype" w:hAnsi="Palatino Linotype" w:cs="Segoe UI Historic"/>
        </w:rPr>
        <w:t xml:space="preserve">term mitigation of potential </w:t>
      </w:r>
      <w:r w:rsidRPr="00882303" w:rsidR="00BB2E46">
        <w:rPr>
          <w:rFonts w:ascii="Palatino Linotype" w:hAnsi="Palatino Linotype" w:cs="Segoe UI Historic"/>
        </w:rPr>
        <w:t>exposure</w:t>
      </w:r>
      <w:r w:rsidRPr="00882303" w:rsidR="00357A53">
        <w:rPr>
          <w:rFonts w:ascii="Palatino Linotype" w:hAnsi="Palatino Linotype" w:cs="Segoe UI Historic"/>
        </w:rPr>
        <w:t xml:space="preserve"> to methane related constituents</w:t>
      </w:r>
      <w:r w:rsidRPr="00882303" w:rsidR="00BB2E46">
        <w:rPr>
          <w:rFonts w:ascii="Palatino Linotype" w:hAnsi="Palatino Linotype" w:cs="Segoe UI Historic"/>
        </w:rPr>
        <w:t xml:space="preserve"> </w:t>
      </w:r>
      <w:r w:rsidRPr="00882303" w:rsidR="00C76498">
        <w:rPr>
          <w:rFonts w:ascii="Palatino Linotype" w:hAnsi="Palatino Linotype" w:cs="Segoe UI Historic"/>
        </w:rPr>
        <w:t xml:space="preserve">before </w:t>
      </w:r>
      <w:r w:rsidRPr="00882303" w:rsidR="00BE402C">
        <w:rPr>
          <w:rFonts w:ascii="Palatino Linotype" w:hAnsi="Palatino Linotype" w:cs="Segoe UI Historic"/>
        </w:rPr>
        <w:t>full building electrification</w:t>
      </w:r>
      <w:r w:rsidRPr="00882303" w:rsidR="00B102E7">
        <w:rPr>
          <w:rFonts w:ascii="Palatino Linotype" w:hAnsi="Palatino Linotype" w:cs="Segoe UI Historic"/>
        </w:rPr>
        <w:t xml:space="preserve"> can be implemented.</w:t>
      </w:r>
    </w:p>
    <w:p w:rsidRPr="00F84530" w:rsidR="00F84530" w:rsidP="0074612C" w:rsidRDefault="00F84530" w14:paraId="07E0A7B7" w14:textId="77777777">
      <w:pPr>
        <w:pStyle w:val="paragraph"/>
        <w:rPr>
          <w:rFonts w:ascii="Palatino Linotype" w:hAnsi="Palatino Linotype" w:cs="Segoe UI Historic"/>
          <w:sz w:val="2"/>
          <w:szCs w:val="2"/>
        </w:rPr>
      </w:pPr>
    </w:p>
    <w:p w:rsidRPr="00882303" w:rsidR="001D52A5" w:rsidP="0074612C" w:rsidRDefault="001D52A5" w14:paraId="3F61A196" w14:textId="26B96DDC">
      <w:pPr>
        <w:pStyle w:val="paragraph"/>
        <w:rPr>
          <w:rFonts w:ascii="Palatino Linotype" w:hAnsi="Palatino Linotype" w:cs="Segoe UI Historic"/>
        </w:rPr>
      </w:pPr>
      <w:r w:rsidRPr="00882303">
        <w:rPr>
          <w:rFonts w:ascii="Palatino Linotype" w:hAnsi="Palatino Linotype" w:cs="Segoe UI Historic"/>
          <w:b/>
          <w:bCs/>
          <w:i/>
          <w:iCs/>
        </w:rPr>
        <w:t>Targeted Gas System Decommissioning</w:t>
      </w:r>
    </w:p>
    <w:p w:rsidRPr="00882303" w:rsidR="00F835BA" w:rsidP="0074612C" w:rsidRDefault="00F835BA" w14:paraId="2FB649D4" w14:textId="336457DF">
      <w:pPr>
        <w:pStyle w:val="paragraph"/>
        <w:rPr>
          <w:rFonts w:ascii="Palatino Linotype" w:hAnsi="Palatino Linotype" w:cs="Segoe UI Historic"/>
        </w:rPr>
      </w:pPr>
      <w:r w:rsidRPr="00882303">
        <w:rPr>
          <w:rFonts w:ascii="Palatino Linotype" w:hAnsi="Palatino Linotype" w:cs="Segoe UI Historic"/>
        </w:rPr>
        <w:t xml:space="preserve">The </w:t>
      </w:r>
      <w:r w:rsidRPr="00882303" w:rsidR="00204790">
        <w:rPr>
          <w:rFonts w:ascii="Palatino Linotype" w:hAnsi="Palatino Linotype" w:cs="Segoe UI Historic"/>
        </w:rPr>
        <w:t xml:space="preserve">CEC requests $2 million for its Targeted Gas System Decommissioning initiative theme, encompassing one initiative: “Scaled-Up Gas Decommissioning Pilots and Integrated Planning Tools.” </w:t>
      </w:r>
      <w:r w:rsidRPr="00882303" w:rsidR="007A469E">
        <w:rPr>
          <w:rFonts w:ascii="Palatino Linotype" w:hAnsi="Palatino Linotype" w:cs="Segoe UI Historic"/>
        </w:rPr>
        <w:t>The CEC states that this initiative builds on the same initiative in the FY 2022-2023 Gas RD Plan with additional funds for projects that will support the scaling up of decommissioning pilots and advanced integrated planning for gas system decommissioning.</w:t>
      </w:r>
      <w:r w:rsidRPr="00882303" w:rsidR="009403FE">
        <w:rPr>
          <w:rStyle w:val="FootnoteReference"/>
          <w:rFonts w:ascii="Palatino Linotype" w:hAnsi="Palatino Linotype" w:cs="Segoe UI Historic"/>
        </w:rPr>
        <w:footnoteReference w:id="77"/>
      </w:r>
      <w:r w:rsidRPr="00882303" w:rsidR="007A469E">
        <w:rPr>
          <w:rFonts w:ascii="Palatino Linotype" w:hAnsi="Palatino Linotype" w:cs="Segoe UI Historic"/>
        </w:rPr>
        <w:t xml:space="preserve"> </w:t>
      </w:r>
      <w:r w:rsidRPr="00882303" w:rsidR="000143EA">
        <w:rPr>
          <w:rFonts w:ascii="Palatino Linotype" w:hAnsi="Palatino Linotype" w:cs="Segoe UI Historic"/>
        </w:rPr>
        <w:t>The CEC states that this initiative is informed by ongoing interagency coordination between the CPUC and CEC staff regarding the Gas R&amp;D program and Gas R&amp;D priorities.</w:t>
      </w:r>
      <w:r w:rsidRPr="00882303" w:rsidR="000143EA">
        <w:rPr>
          <w:rStyle w:val="FootnoteReference"/>
          <w:rFonts w:ascii="Palatino Linotype" w:hAnsi="Palatino Linotype" w:cs="Segoe UI Historic"/>
        </w:rPr>
        <w:footnoteReference w:id="78"/>
      </w:r>
      <w:r w:rsidRPr="00882303" w:rsidR="000143EA">
        <w:rPr>
          <w:rFonts w:ascii="Palatino Linotype" w:hAnsi="Palatino Linotype" w:cs="Segoe UI Historic"/>
        </w:rPr>
        <w:t xml:space="preserve"> </w:t>
      </w:r>
      <w:r w:rsidRPr="00882303" w:rsidR="0079429E">
        <w:rPr>
          <w:rFonts w:ascii="Palatino Linotype" w:hAnsi="Palatino Linotype" w:cs="Segoe UI Historic"/>
        </w:rPr>
        <w:t>To be responsive to discussions and decisions associated with rulemakings, the</w:t>
      </w:r>
      <w:r w:rsidRPr="00882303" w:rsidR="000143EA">
        <w:rPr>
          <w:rFonts w:ascii="Palatino Linotype" w:hAnsi="Palatino Linotype" w:cs="Segoe UI Historic"/>
        </w:rPr>
        <w:t xml:space="preserve"> CEC also states that this research will likely commence during the latter stages of the CPUC’s long term gas planning rulemaking</w:t>
      </w:r>
      <w:r w:rsidRPr="00882303" w:rsidR="00986817">
        <w:rPr>
          <w:rFonts w:ascii="Palatino Linotype" w:hAnsi="Palatino Linotype" w:cs="Segoe UI Historic"/>
        </w:rPr>
        <w:t xml:space="preserve"> </w:t>
      </w:r>
      <w:r w:rsidRPr="00882303" w:rsidR="00986817">
        <w:rPr>
          <w:rFonts w:ascii="Palatino Linotype" w:hAnsi="Palatino Linotype" w:cs="Segoe UI Historic"/>
        </w:rPr>
        <w:lastRenderedPageBreak/>
        <w:t xml:space="preserve">(R.20-01-007) </w:t>
      </w:r>
      <w:r w:rsidRPr="00882303" w:rsidR="0079429E">
        <w:rPr>
          <w:rFonts w:ascii="Palatino Linotype" w:hAnsi="Palatino Linotype" w:cs="Segoe UI Historic"/>
        </w:rPr>
        <w:t>as well as the CPUC’s rulemaking to modernize the electric grid for a high distributed energy resources future</w:t>
      </w:r>
      <w:r w:rsidRPr="00882303" w:rsidR="00986817">
        <w:rPr>
          <w:rFonts w:ascii="Palatino Linotype" w:hAnsi="Palatino Linotype" w:cs="Segoe UI Historic"/>
        </w:rPr>
        <w:t xml:space="preserve"> (R.21-06-017)</w:t>
      </w:r>
      <w:r w:rsidRPr="00882303" w:rsidR="0079429E">
        <w:rPr>
          <w:rFonts w:ascii="Palatino Linotype" w:hAnsi="Palatino Linotype" w:cs="Segoe UI Historic"/>
        </w:rPr>
        <w:t>.</w:t>
      </w:r>
    </w:p>
    <w:p w:rsidRPr="00882303" w:rsidR="00093480" w:rsidP="0074612C" w:rsidRDefault="00ED0D6A" w14:paraId="7CB08459" w14:textId="161F3654">
      <w:pPr>
        <w:pStyle w:val="paragraph"/>
        <w:rPr>
          <w:rFonts w:ascii="Palatino Linotype" w:hAnsi="Palatino Linotype" w:cs="Segoe UI Historic"/>
        </w:rPr>
      </w:pPr>
      <w:r w:rsidRPr="00882303">
        <w:rPr>
          <w:rFonts w:ascii="Palatino Linotype" w:hAnsi="Palatino Linotype" w:cs="Segoe UI Historic"/>
        </w:rPr>
        <w:t>The CEC states that this research will promote a future large-scale decommissioning pilot to support a cost-controlled and equitable gas transition.</w:t>
      </w:r>
      <w:r w:rsidRPr="00882303" w:rsidR="00093480">
        <w:rPr>
          <w:rStyle w:val="FootnoteReference"/>
          <w:rFonts w:ascii="Palatino Linotype" w:hAnsi="Palatino Linotype" w:cs="Segoe UI Historic"/>
        </w:rPr>
        <w:footnoteReference w:id="79"/>
      </w:r>
      <w:r w:rsidRPr="00882303">
        <w:rPr>
          <w:rFonts w:ascii="Palatino Linotype" w:hAnsi="Palatino Linotype" w:cs="Segoe UI Historic"/>
        </w:rPr>
        <w:t xml:space="preserve"> </w:t>
      </w:r>
      <w:r w:rsidRPr="00882303" w:rsidR="002248E1">
        <w:rPr>
          <w:rFonts w:ascii="Palatino Linotype" w:hAnsi="Palatino Linotype" w:cs="Segoe UI Historic"/>
        </w:rPr>
        <w:t xml:space="preserve">The CEC </w:t>
      </w:r>
      <w:r w:rsidRPr="00882303" w:rsidR="00063B08">
        <w:rPr>
          <w:rFonts w:ascii="Palatino Linotype" w:hAnsi="Palatino Linotype" w:cs="Segoe UI Historic"/>
        </w:rPr>
        <w:t xml:space="preserve">asserts </w:t>
      </w:r>
      <w:r w:rsidRPr="00882303" w:rsidR="002248E1">
        <w:rPr>
          <w:rFonts w:ascii="Palatino Linotype" w:hAnsi="Palatino Linotype" w:cs="Segoe UI Historic"/>
        </w:rPr>
        <w:t xml:space="preserve">that this initiative will support the ratepayer benefits of safety of the gas system, affordability regarding gas system decommissioning, environmental sustainability </w:t>
      </w:r>
      <w:r w:rsidRPr="00882303" w:rsidR="00093480">
        <w:rPr>
          <w:rFonts w:ascii="Palatino Linotype" w:hAnsi="Palatino Linotype" w:cs="Segoe UI Historic"/>
        </w:rPr>
        <w:t>by decarbonization, and equity by examining the implications of decommissioning to a wide range of gas system users.</w:t>
      </w:r>
      <w:r w:rsidRPr="00882303" w:rsidR="00093480">
        <w:rPr>
          <w:rStyle w:val="FootnoteReference"/>
          <w:rFonts w:ascii="Palatino Linotype" w:hAnsi="Palatino Linotype" w:cs="Segoe UI Historic"/>
        </w:rPr>
        <w:footnoteReference w:id="80"/>
      </w:r>
    </w:p>
    <w:p w:rsidRPr="00882303" w:rsidR="00093480" w:rsidP="009D201C" w:rsidRDefault="009D201C" w14:paraId="69021E54" w14:textId="2CA137E7">
      <w:pPr>
        <w:pStyle w:val="paragraph"/>
        <w:rPr>
          <w:rFonts w:ascii="Palatino Linotype" w:hAnsi="Palatino Linotype" w:cs="Segoe UI Historic"/>
        </w:rPr>
      </w:pPr>
      <w:r w:rsidRPr="00882303">
        <w:rPr>
          <w:rFonts w:ascii="Palatino Linotype" w:hAnsi="Palatino Linotype" w:cs="Segoe UI Historic"/>
        </w:rPr>
        <w:t xml:space="preserve">The Targeted Gas System Decommissioning Initiative theme is </w:t>
      </w:r>
      <w:r w:rsidRPr="00882303" w:rsidR="002B6364">
        <w:rPr>
          <w:rFonts w:ascii="Palatino Linotype" w:hAnsi="Palatino Linotype" w:cs="Segoe UI Historic"/>
        </w:rPr>
        <w:t xml:space="preserve">consistent with Requirements One, Two, </w:t>
      </w:r>
      <w:r w:rsidRPr="00882303" w:rsidR="002B1A7E">
        <w:rPr>
          <w:rFonts w:ascii="Palatino Linotype" w:hAnsi="Palatino Linotype" w:cs="Segoe UI Historic"/>
        </w:rPr>
        <w:t xml:space="preserve">and Three </w:t>
      </w:r>
      <w:r w:rsidRPr="00882303" w:rsidR="002B6364">
        <w:rPr>
          <w:rFonts w:ascii="Palatino Linotype" w:hAnsi="Palatino Linotype" w:cs="Segoe UI Historic"/>
        </w:rPr>
        <w:t>of D.04-08-010.</w:t>
      </w:r>
      <w:r w:rsidRPr="00882303" w:rsidR="002B1A7E">
        <w:rPr>
          <w:rFonts w:ascii="Palatino Linotype" w:hAnsi="Palatino Linotype" w:cs="Segoe UI Historic"/>
        </w:rPr>
        <w:t xml:space="preserve"> This initiative theme is also consistent with </w:t>
      </w:r>
      <w:r w:rsidRPr="00882303" w:rsidR="005B51CB">
        <w:rPr>
          <w:rFonts w:ascii="Palatino Linotype" w:hAnsi="Palatino Linotype" w:cs="Segoe UI Historic"/>
        </w:rPr>
        <w:t xml:space="preserve">the Commission’s discussion in Resolution G-3592, which suggested the CEC </w:t>
      </w:r>
      <w:r w:rsidRPr="00882303" w:rsidR="00CC7C6F">
        <w:rPr>
          <w:rFonts w:ascii="Palatino Linotype" w:hAnsi="Palatino Linotype" w:cs="Segoe UI Historic"/>
        </w:rPr>
        <w:t>fund projects regarding gas pipeline and system integrity and gas system decommissioning.</w:t>
      </w:r>
      <w:r w:rsidRPr="00882303" w:rsidR="00CC7C6F">
        <w:rPr>
          <w:rStyle w:val="FootnoteReference"/>
          <w:rFonts w:ascii="Palatino Linotype" w:hAnsi="Palatino Linotype" w:cs="Segoe UI Historic"/>
        </w:rPr>
        <w:footnoteReference w:id="81"/>
      </w:r>
      <w:r w:rsidRPr="00882303" w:rsidR="00CC7C6F">
        <w:rPr>
          <w:rFonts w:ascii="Palatino Linotype" w:hAnsi="Palatino Linotype" w:cs="Segoe UI Historic"/>
        </w:rPr>
        <w:t xml:space="preserve"> </w:t>
      </w:r>
    </w:p>
    <w:p w:rsidRPr="00882303" w:rsidR="00CA7EE9" w:rsidP="009D201C" w:rsidRDefault="009D00B8" w14:paraId="4E814FFD" w14:textId="7610D7DD">
      <w:pPr>
        <w:pStyle w:val="paragraph"/>
        <w:rPr>
          <w:rFonts w:ascii="Palatino Linotype" w:hAnsi="Palatino Linotype" w:cs="Segoe UI Historic"/>
        </w:rPr>
      </w:pPr>
      <w:r w:rsidRPr="00882303">
        <w:rPr>
          <w:rFonts w:ascii="Palatino Linotype" w:hAnsi="Palatino Linotype" w:cs="Segoe UI Historic"/>
        </w:rPr>
        <w:t xml:space="preserve">We find that the Targeted Gas System Decommissioning </w:t>
      </w:r>
      <w:r w:rsidRPr="00882303" w:rsidR="00BA6C82">
        <w:rPr>
          <w:rFonts w:ascii="Palatino Linotype" w:hAnsi="Palatino Linotype" w:cs="Segoe UI Historic"/>
        </w:rPr>
        <w:t>Initiative theme is a key strategy for the CEC’s Gas R&amp;D program</w:t>
      </w:r>
      <w:r w:rsidRPr="00882303" w:rsidR="00A85634">
        <w:rPr>
          <w:rFonts w:ascii="Palatino Linotype" w:hAnsi="Palatino Linotype" w:cs="Segoe UI Historic"/>
        </w:rPr>
        <w:t xml:space="preserve">. As California begins to decommission the gas system, it is essential that </w:t>
      </w:r>
      <w:r w:rsidRPr="00882303" w:rsidR="002C548D">
        <w:rPr>
          <w:rFonts w:ascii="Palatino Linotype" w:hAnsi="Palatino Linotype" w:cs="Segoe UI Historic"/>
        </w:rPr>
        <w:t xml:space="preserve">the CEC and other Gas R&amp;D administrators continue to understand how </w:t>
      </w:r>
      <w:r w:rsidRPr="00882303" w:rsidR="005465BA">
        <w:rPr>
          <w:rFonts w:ascii="Palatino Linotype" w:hAnsi="Palatino Linotype" w:cs="Segoe UI Historic"/>
        </w:rPr>
        <w:t xml:space="preserve">California ratepayers will be affected by decommissioning. Further, it is important that decommissioning is done in a safe, affordable, and equitable manner. </w:t>
      </w:r>
      <w:r w:rsidRPr="00882303" w:rsidR="00CA7EE9">
        <w:rPr>
          <w:rFonts w:ascii="Palatino Linotype" w:hAnsi="Palatino Linotype" w:cs="Segoe UI Historic"/>
        </w:rPr>
        <w:t>Given th</w:t>
      </w:r>
      <w:r w:rsidRPr="00882303" w:rsidR="00E6583C">
        <w:rPr>
          <w:rFonts w:ascii="Palatino Linotype" w:hAnsi="Palatino Linotype" w:cs="Segoe UI Historic"/>
        </w:rPr>
        <w:t xml:space="preserve">e importance of gas system integrity, it is essential that the CEC </w:t>
      </w:r>
      <w:r w:rsidRPr="00882303" w:rsidR="006A478F">
        <w:rPr>
          <w:rFonts w:ascii="Palatino Linotype" w:hAnsi="Palatino Linotype" w:cs="Segoe UI Historic"/>
        </w:rPr>
        <w:t>coordinate with the IOUs that own and operate the gas system to ensure that such research is practical</w:t>
      </w:r>
      <w:r w:rsidRPr="00882303" w:rsidR="004A0FA5">
        <w:rPr>
          <w:rFonts w:ascii="Palatino Linotype" w:hAnsi="Palatino Linotype" w:cs="Segoe UI Historic"/>
        </w:rPr>
        <w:t xml:space="preserve">, </w:t>
      </w:r>
      <w:proofErr w:type="gramStart"/>
      <w:r w:rsidRPr="00882303" w:rsidR="006A478F">
        <w:rPr>
          <w:rFonts w:ascii="Palatino Linotype" w:hAnsi="Palatino Linotype" w:cs="Segoe UI Historic"/>
        </w:rPr>
        <w:t>beneficial</w:t>
      </w:r>
      <w:proofErr w:type="gramEnd"/>
      <w:r w:rsidRPr="00882303" w:rsidR="004A0FA5">
        <w:rPr>
          <w:rFonts w:ascii="Palatino Linotype" w:hAnsi="Palatino Linotype" w:cs="Segoe UI Historic"/>
        </w:rPr>
        <w:t xml:space="preserve"> and not duplicative</w:t>
      </w:r>
      <w:r w:rsidRPr="00882303" w:rsidR="006A478F">
        <w:rPr>
          <w:rFonts w:ascii="Palatino Linotype" w:hAnsi="Palatino Linotype" w:cs="Segoe UI Historic"/>
        </w:rPr>
        <w:t xml:space="preserve">, including consistency with CPUC long-term gas planning </w:t>
      </w:r>
      <w:r w:rsidRPr="00882303" w:rsidR="00A459CC">
        <w:rPr>
          <w:rFonts w:ascii="Palatino Linotype" w:hAnsi="Palatino Linotype" w:cs="Segoe UI Historic"/>
        </w:rPr>
        <w:t xml:space="preserve">policies. Accordingly, in its Tier 2 advice letter, the CEC shall provide details of coordination with </w:t>
      </w:r>
      <w:r w:rsidRPr="00882303" w:rsidR="00762DD3">
        <w:rPr>
          <w:rFonts w:ascii="Palatino Linotype" w:hAnsi="Palatino Linotype" w:cs="Segoe UI Historic"/>
        </w:rPr>
        <w:t xml:space="preserve">the IOUs and CPUC proceedings </w:t>
      </w:r>
      <w:r w:rsidRPr="00882303" w:rsidR="00FA65A1">
        <w:rPr>
          <w:rFonts w:ascii="Palatino Linotype" w:hAnsi="Palatino Linotype" w:cs="Segoe UI Historic"/>
        </w:rPr>
        <w:t xml:space="preserve">related to strategic planning </w:t>
      </w:r>
      <w:r w:rsidRPr="00882303" w:rsidR="0016119B">
        <w:rPr>
          <w:rFonts w:ascii="Palatino Linotype" w:hAnsi="Palatino Linotype" w:cs="Segoe UI Historic"/>
        </w:rPr>
        <w:t>and gas system needs.</w:t>
      </w:r>
      <w:r w:rsidRPr="00882303" w:rsidR="0016119B">
        <w:rPr>
          <w:rStyle w:val="FootnoteReference"/>
          <w:rFonts w:ascii="Palatino Linotype" w:hAnsi="Palatino Linotype" w:cs="Segoe UI Historic"/>
        </w:rPr>
        <w:footnoteReference w:id="82"/>
      </w:r>
      <w:r w:rsidRPr="00882303" w:rsidR="004D0E5C">
        <w:rPr>
          <w:rFonts w:ascii="Palatino Linotype" w:hAnsi="Palatino Linotype" w:cs="Segoe UI Historic"/>
        </w:rPr>
        <w:t xml:space="preserve"> As a public agency the CEC has a unique role in furthering the </w:t>
      </w:r>
      <w:r w:rsidRPr="00882303" w:rsidR="00976DA9">
        <w:rPr>
          <w:rFonts w:ascii="Palatino Linotype" w:hAnsi="Palatino Linotype" w:cs="Segoe UI Historic"/>
        </w:rPr>
        <w:t xml:space="preserve">rational decommissioning of </w:t>
      </w:r>
      <w:r w:rsidRPr="00882303" w:rsidR="00163C2B">
        <w:rPr>
          <w:rFonts w:ascii="Palatino Linotype" w:hAnsi="Palatino Linotype" w:cs="Segoe UI Historic"/>
        </w:rPr>
        <w:t xml:space="preserve">parts of the existing </w:t>
      </w:r>
      <w:r w:rsidRPr="00882303" w:rsidR="002F46B7">
        <w:rPr>
          <w:rFonts w:ascii="Palatino Linotype" w:hAnsi="Palatino Linotype" w:cs="Segoe UI Historic"/>
        </w:rPr>
        <w:t>methane</w:t>
      </w:r>
      <w:r w:rsidRPr="00882303" w:rsidR="000B0AB3">
        <w:rPr>
          <w:rFonts w:ascii="Palatino Linotype" w:hAnsi="Palatino Linotype" w:cs="Segoe UI Historic"/>
        </w:rPr>
        <w:t xml:space="preserve"> fuel</w:t>
      </w:r>
      <w:r w:rsidRPr="00882303" w:rsidR="002F46B7">
        <w:rPr>
          <w:rFonts w:ascii="Palatino Linotype" w:hAnsi="Palatino Linotype" w:cs="Segoe UI Historic"/>
        </w:rPr>
        <w:t xml:space="preserve"> system. </w:t>
      </w:r>
    </w:p>
    <w:p w:rsidRPr="00882303" w:rsidR="009D00B8" w:rsidP="00A1513E" w:rsidRDefault="005465BA" w14:paraId="3CEBF1CC" w14:textId="016E28A2">
      <w:pPr>
        <w:pStyle w:val="paragraph"/>
        <w:rPr>
          <w:rFonts w:ascii="Palatino Linotype" w:hAnsi="Palatino Linotype" w:cs="Segoe UI Historic"/>
        </w:rPr>
      </w:pPr>
      <w:r w:rsidRPr="00882303">
        <w:rPr>
          <w:rFonts w:ascii="Palatino Linotype" w:hAnsi="Palatino Linotype" w:cs="Segoe UI Historic"/>
        </w:rPr>
        <w:t xml:space="preserve">We approve the $2,000,000 </w:t>
      </w:r>
      <w:r w:rsidRPr="00882303" w:rsidR="00410718">
        <w:rPr>
          <w:rFonts w:ascii="Palatino Linotype" w:hAnsi="Palatino Linotype" w:cs="Segoe UI Historic"/>
        </w:rPr>
        <w:t>allocated to the Targeted Gas System Initiative theme</w:t>
      </w:r>
      <w:r w:rsidRPr="00882303" w:rsidR="001D69A8">
        <w:rPr>
          <w:rFonts w:ascii="Palatino Linotype" w:hAnsi="Palatino Linotype" w:cs="Segoe UI Historic"/>
        </w:rPr>
        <w:t xml:space="preserve"> and require additional information on IOU and CPUC coordination in a Tier 2 advice letter</w:t>
      </w:r>
      <w:r w:rsidRPr="00882303" w:rsidR="00410718">
        <w:rPr>
          <w:rFonts w:ascii="Palatino Linotype" w:hAnsi="Palatino Linotype" w:cs="Segoe UI Historic"/>
        </w:rPr>
        <w:t>.</w:t>
      </w:r>
    </w:p>
    <w:p w:rsidRPr="00882303" w:rsidR="71B9D62C" w:rsidP="71B9D62C" w:rsidRDefault="71B9D62C" w14:paraId="27A578A9" w14:textId="6E1AF594">
      <w:pPr>
        <w:pStyle w:val="paragraph"/>
        <w:rPr>
          <w:rFonts w:ascii="Palatino Linotype" w:hAnsi="Palatino Linotype" w:cs="Segoe UI Historic"/>
          <w:b/>
          <w:bCs/>
          <w:i/>
          <w:iCs/>
        </w:rPr>
      </w:pPr>
    </w:p>
    <w:p w:rsidRPr="00882303" w:rsidR="00410718" w:rsidP="0074612C" w:rsidRDefault="00410718" w14:paraId="3286FDC1" w14:textId="222F5EEB">
      <w:pPr>
        <w:pStyle w:val="paragraph"/>
        <w:rPr>
          <w:rFonts w:ascii="Palatino Linotype" w:hAnsi="Palatino Linotype" w:cs="Segoe UI Historic"/>
          <w:bCs/>
          <w:iCs/>
        </w:rPr>
      </w:pPr>
      <w:r w:rsidRPr="00882303">
        <w:rPr>
          <w:rFonts w:ascii="Palatino Linotype" w:hAnsi="Palatino Linotype" w:cs="Segoe UI Historic"/>
          <w:b/>
          <w:i/>
        </w:rPr>
        <w:lastRenderedPageBreak/>
        <w:t>Leveraging Cost Share Opportunities</w:t>
      </w:r>
    </w:p>
    <w:p w:rsidRPr="00882303" w:rsidR="00DE023C" w:rsidP="0074612C" w:rsidRDefault="0083723F" w14:paraId="2164BF1C" w14:textId="20B10926">
      <w:pPr>
        <w:pStyle w:val="paragraph"/>
        <w:rPr>
          <w:rFonts w:ascii="Palatino Linotype" w:hAnsi="Palatino Linotype" w:cs="Segoe UI Historic"/>
          <w:bCs/>
          <w:iCs/>
        </w:rPr>
      </w:pPr>
      <w:r w:rsidRPr="00882303">
        <w:rPr>
          <w:rFonts w:ascii="Palatino Linotype" w:hAnsi="Palatino Linotype" w:cs="Segoe UI Historic"/>
          <w:bCs/>
          <w:iCs/>
        </w:rPr>
        <w:t>The CEC requests $8,045,266 for its Leveraging Cost Share Opportunities Initiative theme</w:t>
      </w:r>
      <w:r w:rsidRPr="00882303" w:rsidR="005832EE">
        <w:rPr>
          <w:rFonts w:ascii="Palatino Linotype" w:hAnsi="Palatino Linotype" w:cs="Segoe UI Historic"/>
          <w:bCs/>
          <w:iCs/>
        </w:rPr>
        <w:t>, encompassing one initiative titled “Federal and Private Cost Share.”</w:t>
      </w:r>
      <w:r w:rsidRPr="00882303" w:rsidR="00DE023C">
        <w:rPr>
          <w:rFonts w:ascii="Palatino Linotype" w:hAnsi="Palatino Linotype" w:cs="Segoe UI Historic"/>
          <w:bCs/>
          <w:iCs/>
        </w:rPr>
        <w:t xml:space="preserve"> Specifically, the CEC requests $5,640,000 of FY 2023-2024 Gas R&amp;D funding for this initiative theme and requests to use $2,405,266 from past energy efficiency research budget plans that were the result of cancelled grants and unspent or unencumbered funds.</w:t>
      </w:r>
      <w:r w:rsidRPr="00882303" w:rsidR="00DE023C">
        <w:rPr>
          <w:rStyle w:val="FootnoteReference"/>
          <w:rFonts w:ascii="Palatino Linotype" w:hAnsi="Palatino Linotype" w:cs="Segoe UI Historic"/>
          <w:bCs/>
          <w:iCs/>
        </w:rPr>
        <w:footnoteReference w:id="83"/>
      </w:r>
      <w:r w:rsidRPr="00882303" w:rsidR="005832EE">
        <w:rPr>
          <w:rFonts w:ascii="Palatino Linotype" w:hAnsi="Palatino Linotype" w:cs="Segoe UI Historic"/>
          <w:bCs/>
          <w:iCs/>
        </w:rPr>
        <w:t xml:space="preserve"> </w:t>
      </w:r>
    </w:p>
    <w:p w:rsidRPr="00882303" w:rsidR="00410718" w:rsidP="0074612C" w:rsidRDefault="005832EE" w14:paraId="1B3BCB47" w14:textId="5F8679A5">
      <w:pPr>
        <w:pStyle w:val="paragraph"/>
        <w:rPr>
          <w:rFonts w:ascii="Palatino Linotype" w:hAnsi="Palatino Linotype" w:cs="Segoe UI Historic"/>
          <w:b/>
          <w:i/>
        </w:rPr>
      </w:pPr>
      <w:r w:rsidRPr="00882303">
        <w:rPr>
          <w:rFonts w:ascii="Palatino Linotype" w:hAnsi="Palatino Linotype" w:cs="Segoe UI Historic"/>
          <w:bCs/>
          <w:iCs/>
        </w:rPr>
        <w:t>Th</w:t>
      </w:r>
      <w:r w:rsidRPr="00882303" w:rsidR="00EB5BFC">
        <w:rPr>
          <w:rFonts w:ascii="Palatino Linotype" w:hAnsi="Palatino Linotype" w:cs="Segoe UI Historic"/>
          <w:bCs/>
          <w:iCs/>
        </w:rPr>
        <w:t>e CEC states that this initiative aims to provide cost share funding to</w:t>
      </w:r>
      <w:r w:rsidR="00DF76F7">
        <w:rPr>
          <w:rFonts w:ascii="Palatino Linotype" w:hAnsi="Palatino Linotype" w:cs="Segoe UI Historic"/>
          <w:bCs/>
          <w:iCs/>
        </w:rPr>
        <w:br/>
      </w:r>
      <w:r w:rsidRPr="00882303" w:rsidR="00EB5BFC">
        <w:rPr>
          <w:rFonts w:ascii="Palatino Linotype" w:hAnsi="Palatino Linotype" w:cs="Segoe UI Historic"/>
          <w:bCs/>
          <w:iCs/>
        </w:rPr>
        <w:t xml:space="preserve"> California-based entities that apply for and receive: “a) an award under an eligible federal funding opportunity announcement (FOA), b) subsequent funding to continue research from a previously awarded federal grant that also received CEC federal </w:t>
      </w:r>
      <w:r w:rsidR="00DF76F7">
        <w:rPr>
          <w:rFonts w:ascii="Palatino Linotype" w:hAnsi="Palatino Linotype" w:cs="Segoe UI Historic"/>
          <w:bCs/>
          <w:iCs/>
        </w:rPr>
        <w:br/>
      </w:r>
      <w:r w:rsidRPr="00882303" w:rsidR="00EB5BFC">
        <w:rPr>
          <w:rFonts w:ascii="Palatino Linotype" w:hAnsi="Palatino Linotype" w:cs="Segoe UI Historic"/>
          <w:bCs/>
          <w:iCs/>
        </w:rPr>
        <w:t>cost-share funding, or c) an award from a private or nonprofit funding opportunity.”</w:t>
      </w:r>
      <w:r w:rsidRPr="00882303" w:rsidR="00EB5BFC">
        <w:rPr>
          <w:rStyle w:val="FootnoteReference"/>
          <w:rFonts w:ascii="Palatino Linotype" w:hAnsi="Palatino Linotype" w:cs="Segoe UI Historic"/>
          <w:bCs/>
          <w:iCs/>
        </w:rPr>
        <w:footnoteReference w:id="84"/>
      </w:r>
      <w:r w:rsidRPr="00882303" w:rsidR="00F466CD">
        <w:rPr>
          <w:rFonts w:ascii="Palatino Linotype" w:hAnsi="Palatino Linotype" w:cs="Segoe UI Historic"/>
          <w:bCs/>
          <w:iCs/>
        </w:rPr>
        <w:t xml:space="preserve"> </w:t>
      </w:r>
      <w:r w:rsidRPr="00882303" w:rsidR="00AF450B">
        <w:rPr>
          <w:rFonts w:ascii="Palatino Linotype" w:hAnsi="Palatino Linotype" w:cs="Segoe UI Historic"/>
          <w:bCs/>
          <w:iCs/>
        </w:rPr>
        <w:t>The CEC argues that cost sharing helps spread the risk among several funders and allows projects that are larger in scope and scale than any funder may be willing to offer.</w:t>
      </w:r>
      <w:r w:rsidRPr="00882303" w:rsidR="00AF450B">
        <w:rPr>
          <w:rStyle w:val="FootnoteReference"/>
          <w:rFonts w:ascii="Palatino Linotype" w:hAnsi="Palatino Linotype" w:cs="Segoe UI Historic"/>
          <w:bCs/>
          <w:iCs/>
        </w:rPr>
        <w:footnoteReference w:id="85"/>
      </w:r>
      <w:r w:rsidRPr="00882303" w:rsidR="00AF450B">
        <w:rPr>
          <w:rFonts w:ascii="Palatino Linotype" w:hAnsi="Palatino Linotype" w:cs="Segoe UI Historic"/>
          <w:bCs/>
          <w:iCs/>
        </w:rPr>
        <w:t xml:space="preserve"> </w:t>
      </w:r>
      <w:r w:rsidRPr="00882303" w:rsidR="00F466CD">
        <w:rPr>
          <w:rFonts w:ascii="Palatino Linotype" w:hAnsi="Palatino Linotype" w:cs="Segoe UI Historic"/>
          <w:bCs/>
          <w:iCs/>
        </w:rPr>
        <w:t>The CEC states that cost sharing is only available to projects that are consistent with the goals and objectives of the Gas R&amp;D program.</w:t>
      </w:r>
      <w:r w:rsidRPr="00882303" w:rsidR="00F466CD">
        <w:rPr>
          <w:rStyle w:val="FootnoteReference"/>
          <w:rFonts w:ascii="Palatino Linotype" w:hAnsi="Palatino Linotype" w:cs="Segoe UI Historic"/>
          <w:bCs/>
          <w:iCs/>
        </w:rPr>
        <w:footnoteReference w:id="86"/>
      </w:r>
      <w:r w:rsidRPr="00882303" w:rsidR="0011429B">
        <w:rPr>
          <w:rFonts w:ascii="Palatino Linotype" w:hAnsi="Palatino Linotype" w:cs="Segoe UI Historic"/>
          <w:bCs/>
          <w:iCs/>
        </w:rPr>
        <w:t xml:space="preserve"> The CEC states that this program will attract funding to California while increasing the competitiveness of California-based organizations in accessing these funds, partnerships, and resources.</w:t>
      </w:r>
      <w:r w:rsidRPr="00882303" w:rsidR="00161501">
        <w:rPr>
          <w:rStyle w:val="FootnoteReference"/>
          <w:rFonts w:ascii="Palatino Linotype" w:hAnsi="Palatino Linotype" w:cs="Segoe UI Historic"/>
          <w:bCs/>
          <w:iCs/>
        </w:rPr>
        <w:footnoteReference w:id="87"/>
      </w:r>
      <w:r w:rsidRPr="00882303" w:rsidR="0011429B">
        <w:rPr>
          <w:rFonts w:ascii="Palatino Linotype" w:hAnsi="Palatino Linotype" w:cs="Segoe UI Historic"/>
          <w:bCs/>
          <w:iCs/>
        </w:rPr>
        <w:t xml:space="preserve"> </w:t>
      </w:r>
    </w:p>
    <w:p w:rsidRPr="00882303" w:rsidR="00020825" w:rsidP="007023E1" w:rsidRDefault="00E011C5" w14:paraId="302BBA16" w14:textId="44F585DC">
      <w:pPr>
        <w:pStyle w:val="paragraph"/>
        <w:keepNext/>
        <w:rPr>
          <w:rFonts w:ascii="Palatino Linotype" w:hAnsi="Palatino Linotype" w:cs="Segoe UI Historic"/>
          <w:bCs/>
          <w:iCs/>
        </w:rPr>
      </w:pPr>
      <w:r w:rsidRPr="00882303">
        <w:rPr>
          <w:rFonts w:ascii="Palatino Linotype" w:hAnsi="Palatino Linotype" w:cs="Segoe UI Historic"/>
        </w:rPr>
        <w:t xml:space="preserve">The Leveraging Cost Share Opportunities Initiative theme is consistent with </w:t>
      </w:r>
      <w:r w:rsidRPr="00882303" w:rsidR="00641926">
        <w:rPr>
          <w:rFonts w:ascii="Palatino Linotype" w:hAnsi="Palatino Linotype" w:cs="Segoe UI Historic"/>
        </w:rPr>
        <w:t xml:space="preserve">Requirement Four of D.04-08-010, which requires the CEC to consider opportunities for collaboration and co-funding opportunities </w:t>
      </w:r>
      <w:r w:rsidRPr="00882303" w:rsidR="005238ED">
        <w:rPr>
          <w:rFonts w:ascii="Palatino Linotype" w:hAnsi="Palatino Linotype" w:cs="Segoe UI Historic"/>
        </w:rPr>
        <w:t xml:space="preserve">with other entities. </w:t>
      </w:r>
      <w:r w:rsidRPr="00882303" w:rsidR="00CF58BE">
        <w:rPr>
          <w:rFonts w:ascii="Palatino Linotype" w:hAnsi="Palatino Linotype" w:cs="Segoe UI Historic"/>
        </w:rPr>
        <w:t>The CPUC</w:t>
      </w:r>
      <w:r w:rsidRPr="00882303" w:rsidR="001B7542">
        <w:rPr>
          <w:rFonts w:ascii="Palatino Linotype" w:hAnsi="Palatino Linotype" w:cs="Segoe UI Historic"/>
        </w:rPr>
        <w:t xml:space="preserve"> s</w:t>
      </w:r>
      <w:r w:rsidRPr="00882303" w:rsidR="00385544">
        <w:rPr>
          <w:rFonts w:ascii="Palatino Linotype" w:hAnsi="Palatino Linotype" w:cs="Segoe UI Historic"/>
        </w:rPr>
        <w:t>upport</w:t>
      </w:r>
      <w:r w:rsidRPr="00882303" w:rsidR="00CF58BE">
        <w:rPr>
          <w:rFonts w:ascii="Palatino Linotype" w:hAnsi="Palatino Linotype" w:cs="Segoe UI Historic"/>
        </w:rPr>
        <w:t>s</w:t>
      </w:r>
      <w:r w:rsidRPr="00882303" w:rsidR="00385544">
        <w:rPr>
          <w:rFonts w:ascii="Palatino Linotype" w:hAnsi="Palatino Linotype" w:cs="Segoe UI Historic"/>
        </w:rPr>
        <w:t xml:space="preserve"> the CEC in seeking to take advantage of cost-sharing opportunities, including those that may be available related to federal matching funds. </w:t>
      </w:r>
      <w:r w:rsidRPr="00882303" w:rsidR="001B7542">
        <w:rPr>
          <w:rFonts w:ascii="Palatino Linotype" w:hAnsi="Palatino Linotype" w:cs="Segoe UI Historic"/>
        </w:rPr>
        <w:t xml:space="preserve">We appreciate that the CEC may not yet be aware of </w:t>
      </w:r>
      <w:r w:rsidRPr="00882303" w:rsidR="00CF58BE">
        <w:rPr>
          <w:rFonts w:ascii="Palatino Linotype" w:hAnsi="Palatino Linotype" w:cs="Segoe UI Historic"/>
        </w:rPr>
        <w:t xml:space="preserve">specific </w:t>
      </w:r>
      <w:r w:rsidRPr="00882303" w:rsidR="001B7542">
        <w:rPr>
          <w:rFonts w:ascii="Palatino Linotype" w:hAnsi="Palatino Linotype" w:cs="Segoe UI Historic"/>
        </w:rPr>
        <w:t>cost sharing opportunities</w:t>
      </w:r>
      <w:r w:rsidRPr="00882303" w:rsidR="00CF58BE">
        <w:rPr>
          <w:rFonts w:ascii="Palatino Linotype" w:hAnsi="Palatino Linotype" w:cs="Segoe UI Historic"/>
        </w:rPr>
        <w:t xml:space="preserve">. </w:t>
      </w:r>
      <w:r w:rsidRPr="00882303" w:rsidR="00020825">
        <w:rPr>
          <w:rFonts w:ascii="Palatino Linotype" w:hAnsi="Palatino Linotype" w:cs="Segoe UI Historic"/>
        </w:rPr>
        <w:t xml:space="preserve">However, cost sharing is not a theme or </w:t>
      </w:r>
      <w:r w:rsidRPr="00882303" w:rsidR="007F4FAC">
        <w:rPr>
          <w:rFonts w:ascii="Palatino Linotype" w:hAnsi="Palatino Linotype" w:cs="Segoe UI Historic"/>
        </w:rPr>
        <w:t xml:space="preserve">gas R&amp;D initiative – it is a strategy. Cost sharing should be used as a strategy across all initiatives. </w:t>
      </w:r>
      <w:r w:rsidRPr="00882303" w:rsidR="00CF58BE">
        <w:rPr>
          <w:rFonts w:ascii="Palatino Linotype" w:hAnsi="Palatino Linotype" w:cs="Segoe UI Historic"/>
        </w:rPr>
        <w:t xml:space="preserve">Accordingly, </w:t>
      </w:r>
      <w:r w:rsidRPr="00882303" w:rsidR="00CF58BE">
        <w:rPr>
          <w:rFonts w:ascii="Palatino Linotype" w:hAnsi="Palatino Linotype" w:cs="Segoe UI Historic"/>
          <w:bCs/>
          <w:iCs/>
        </w:rPr>
        <w:t>t</w:t>
      </w:r>
      <w:r w:rsidRPr="00882303" w:rsidR="004A09D3">
        <w:rPr>
          <w:rFonts w:ascii="Palatino Linotype" w:hAnsi="Palatino Linotype" w:cs="Segoe UI Historic"/>
          <w:bCs/>
          <w:iCs/>
        </w:rPr>
        <w:t>he</w:t>
      </w:r>
      <w:r w:rsidRPr="00882303" w:rsidR="004A09D3">
        <w:rPr>
          <w:rFonts w:ascii="Palatino Linotype" w:hAnsi="Palatino Linotype" w:cs="Segoe UI Historic"/>
        </w:rPr>
        <w:t xml:space="preserve"> CEC should only utilize cost sharing for initiatives </w:t>
      </w:r>
      <w:r w:rsidRPr="00882303" w:rsidR="00E70516">
        <w:rPr>
          <w:rFonts w:ascii="Palatino Linotype" w:hAnsi="Palatino Linotype" w:cs="Segoe UI Historic"/>
        </w:rPr>
        <w:t xml:space="preserve">consistent with those </w:t>
      </w:r>
      <w:r w:rsidRPr="00882303" w:rsidR="004A09D3">
        <w:rPr>
          <w:rFonts w:ascii="Palatino Linotype" w:hAnsi="Palatino Linotype" w:cs="Segoe UI Historic"/>
        </w:rPr>
        <w:t xml:space="preserve">approved in this </w:t>
      </w:r>
      <w:r w:rsidRPr="00882303" w:rsidR="00347462">
        <w:rPr>
          <w:rFonts w:ascii="Palatino Linotype" w:hAnsi="Palatino Linotype" w:cs="Segoe UI Historic"/>
        </w:rPr>
        <w:t>Resolution</w:t>
      </w:r>
      <w:r w:rsidRPr="00882303" w:rsidR="00893971">
        <w:rPr>
          <w:rFonts w:ascii="Palatino Linotype" w:hAnsi="Palatino Linotype" w:cs="Segoe UI Historic"/>
          <w:bCs/>
          <w:iCs/>
        </w:rPr>
        <w:t>, such as gas</w:t>
      </w:r>
      <w:r w:rsidRPr="00882303" w:rsidR="006332ED">
        <w:rPr>
          <w:rFonts w:ascii="Palatino Linotype" w:hAnsi="Palatino Linotype" w:cs="Segoe UI Historic"/>
        </w:rPr>
        <w:t xml:space="preserve"> system </w:t>
      </w:r>
      <w:r w:rsidRPr="00882303" w:rsidR="00893971">
        <w:rPr>
          <w:rFonts w:ascii="Palatino Linotype" w:hAnsi="Palatino Linotype" w:cs="Segoe UI Historic"/>
          <w:bCs/>
          <w:iCs/>
        </w:rPr>
        <w:t xml:space="preserve">pruning, </w:t>
      </w:r>
      <w:r w:rsidRPr="00882303" w:rsidR="006332ED">
        <w:rPr>
          <w:rFonts w:ascii="Palatino Linotype" w:hAnsi="Palatino Linotype" w:cs="Segoe UI Historic"/>
        </w:rPr>
        <w:t xml:space="preserve">decommissioning, </w:t>
      </w:r>
      <w:r w:rsidRPr="00882303" w:rsidR="001359CA">
        <w:rPr>
          <w:rFonts w:ascii="Palatino Linotype" w:hAnsi="Palatino Linotype" w:cs="Segoe UI Historic"/>
        </w:rPr>
        <w:t>and safety</w:t>
      </w:r>
      <w:r w:rsidRPr="00882303" w:rsidR="00893971">
        <w:rPr>
          <w:rFonts w:ascii="Palatino Linotype" w:hAnsi="Palatino Linotype" w:cs="Segoe UI Historic"/>
          <w:bCs/>
          <w:iCs/>
        </w:rPr>
        <w:t xml:space="preserve">, and building decarbonization, </w:t>
      </w:r>
      <w:r w:rsidRPr="00882303" w:rsidR="00156D06">
        <w:rPr>
          <w:rFonts w:ascii="Palatino Linotype" w:hAnsi="Palatino Linotype" w:cs="Segoe UI Historic"/>
          <w:bCs/>
          <w:iCs/>
        </w:rPr>
        <w:t xml:space="preserve">or </w:t>
      </w:r>
      <w:r w:rsidRPr="00882303" w:rsidR="00893971">
        <w:rPr>
          <w:rFonts w:ascii="Palatino Linotype" w:hAnsi="Palatino Linotype" w:cs="Segoe UI Historic"/>
          <w:bCs/>
          <w:iCs/>
        </w:rPr>
        <w:t>as</w:t>
      </w:r>
      <w:r w:rsidRPr="00882303" w:rsidR="00E475CC">
        <w:rPr>
          <w:rFonts w:ascii="Palatino Linotype" w:hAnsi="Palatino Linotype" w:cs="Segoe UI Historic"/>
          <w:bCs/>
          <w:iCs/>
        </w:rPr>
        <w:t xml:space="preserve"> demonstrated</w:t>
      </w:r>
      <w:r w:rsidRPr="00882303" w:rsidR="00893971">
        <w:rPr>
          <w:rFonts w:ascii="Palatino Linotype" w:hAnsi="Palatino Linotype" w:cs="Segoe UI Historic"/>
          <w:bCs/>
          <w:iCs/>
        </w:rPr>
        <w:t xml:space="preserve"> consistent with Commission proceedings and policies</w:t>
      </w:r>
      <w:r w:rsidRPr="00882303" w:rsidR="001359CA">
        <w:rPr>
          <w:rFonts w:ascii="Palatino Linotype" w:hAnsi="Palatino Linotype" w:cs="Segoe UI Historic"/>
          <w:bCs/>
          <w:iCs/>
        </w:rPr>
        <w:t>.</w:t>
      </w:r>
      <w:r w:rsidRPr="00882303" w:rsidR="001359CA">
        <w:rPr>
          <w:rFonts w:ascii="Palatino Linotype" w:hAnsi="Palatino Linotype" w:cs="Segoe UI Historic"/>
        </w:rPr>
        <w:t xml:space="preserve"> </w:t>
      </w:r>
      <w:r w:rsidRPr="00882303" w:rsidR="0094370C">
        <w:rPr>
          <w:rFonts w:ascii="Palatino Linotype" w:hAnsi="Palatino Linotype" w:cs="Segoe UI Historic"/>
        </w:rPr>
        <w:t xml:space="preserve">The CEC must describe in its </w:t>
      </w:r>
      <w:r w:rsidRPr="00882303" w:rsidR="00894845">
        <w:rPr>
          <w:rFonts w:ascii="Palatino Linotype" w:hAnsi="Palatino Linotype" w:cs="Segoe UI Historic"/>
        </w:rPr>
        <w:t>Tier 2 Advice Letter</w:t>
      </w:r>
      <w:r w:rsidRPr="00882303" w:rsidR="00767481">
        <w:rPr>
          <w:rFonts w:ascii="Palatino Linotype" w:hAnsi="Palatino Linotype" w:cs="Segoe UI Historic"/>
        </w:rPr>
        <w:t xml:space="preserve"> </w:t>
      </w:r>
      <w:r w:rsidRPr="00882303" w:rsidR="00335DA1">
        <w:rPr>
          <w:rFonts w:ascii="Palatino Linotype" w:hAnsi="Palatino Linotype" w:cs="Segoe UI Historic"/>
        </w:rPr>
        <w:t xml:space="preserve">the </w:t>
      </w:r>
      <w:r w:rsidRPr="00882303" w:rsidR="00271D5A">
        <w:rPr>
          <w:rFonts w:ascii="Palatino Linotype" w:hAnsi="Palatino Linotype" w:cs="Segoe UI Historic"/>
        </w:rPr>
        <w:t>specific initiatives for proposed funding within the Leveraging Cost Share Opportunities Initiative theme</w:t>
      </w:r>
      <w:r w:rsidRPr="00882303" w:rsidR="00F94C8D">
        <w:rPr>
          <w:rFonts w:ascii="Palatino Linotype" w:hAnsi="Palatino Linotype" w:cs="Segoe UI Historic"/>
        </w:rPr>
        <w:t xml:space="preserve">. </w:t>
      </w:r>
      <w:r w:rsidRPr="00882303" w:rsidR="00DD6DE6">
        <w:rPr>
          <w:rFonts w:ascii="Palatino Linotype" w:hAnsi="Palatino Linotype" w:cs="Segoe UI Historic"/>
        </w:rPr>
        <w:t>The Cost Share</w:t>
      </w:r>
      <w:r w:rsidRPr="00882303" w:rsidR="00856913">
        <w:rPr>
          <w:rFonts w:ascii="Palatino Linotype" w:hAnsi="Palatino Linotype" w:cs="Segoe UI Historic"/>
        </w:rPr>
        <w:t xml:space="preserve"> activity must be consistent with current and future </w:t>
      </w:r>
      <w:r w:rsidRPr="00882303" w:rsidR="008B2844">
        <w:rPr>
          <w:rFonts w:ascii="Palatino Linotype" w:hAnsi="Palatino Linotype" w:cs="Segoe UI Historic"/>
        </w:rPr>
        <w:t>California Energy Policy Goals</w:t>
      </w:r>
      <w:r w:rsidRPr="00882303" w:rsidR="00CD21FC">
        <w:rPr>
          <w:rFonts w:ascii="Palatino Linotype" w:hAnsi="Palatino Linotype" w:cs="Segoe UI Historic"/>
        </w:rPr>
        <w:t xml:space="preserve">, </w:t>
      </w:r>
      <w:r w:rsidRPr="00882303" w:rsidR="008507B8">
        <w:rPr>
          <w:rFonts w:ascii="Palatino Linotype" w:hAnsi="Palatino Linotype" w:cs="Segoe UI Historic"/>
        </w:rPr>
        <w:t>the CPUC</w:t>
      </w:r>
      <w:r w:rsidRPr="00882303" w:rsidR="00BF0CE0">
        <w:rPr>
          <w:rFonts w:ascii="Palatino Linotype" w:hAnsi="Palatino Linotype" w:cs="Segoe UI Historic"/>
        </w:rPr>
        <w:t xml:space="preserve">’s ESJ </w:t>
      </w:r>
      <w:r w:rsidRPr="00882303" w:rsidR="00BF0CE0">
        <w:rPr>
          <w:rFonts w:ascii="Palatino Linotype" w:hAnsi="Palatino Linotype" w:cs="Segoe UI Historic"/>
        </w:rPr>
        <w:lastRenderedPageBreak/>
        <w:t xml:space="preserve">Plan and </w:t>
      </w:r>
      <w:r w:rsidRPr="00882303" w:rsidR="00AC402C">
        <w:rPr>
          <w:rFonts w:ascii="Palatino Linotype" w:hAnsi="Palatino Linotype" w:cs="Segoe UI Historic"/>
        </w:rPr>
        <w:t xml:space="preserve">equity </w:t>
      </w:r>
      <w:r w:rsidRPr="00882303" w:rsidR="00D85D91">
        <w:rPr>
          <w:rFonts w:ascii="Palatino Linotype" w:hAnsi="Palatino Linotype" w:cs="Segoe UI Historic"/>
        </w:rPr>
        <w:t xml:space="preserve">goals, </w:t>
      </w:r>
      <w:r w:rsidRPr="00882303" w:rsidR="00CD21FC">
        <w:rPr>
          <w:rFonts w:ascii="Palatino Linotype" w:hAnsi="Palatino Linotype" w:cs="Segoe UI Historic"/>
        </w:rPr>
        <w:t>reduc</w:t>
      </w:r>
      <w:r w:rsidRPr="00882303" w:rsidR="00434EF7">
        <w:rPr>
          <w:rFonts w:ascii="Palatino Linotype" w:hAnsi="Palatino Linotype" w:cs="Segoe UI Historic"/>
        </w:rPr>
        <w:t xml:space="preserve">tion of ratepayer costs and/or safety </w:t>
      </w:r>
      <w:r w:rsidRPr="00882303" w:rsidR="009A202F">
        <w:rPr>
          <w:rFonts w:ascii="Palatino Linotype" w:hAnsi="Palatino Linotype" w:cs="Segoe UI Historic"/>
        </w:rPr>
        <w:t>co</w:t>
      </w:r>
      <w:r w:rsidRPr="00882303" w:rsidR="009169D6">
        <w:rPr>
          <w:rFonts w:ascii="Palatino Linotype" w:hAnsi="Palatino Linotype" w:cs="Segoe UI Historic"/>
        </w:rPr>
        <w:t>nsiderations.</w:t>
      </w:r>
      <w:r w:rsidRPr="00882303" w:rsidR="00B877A0">
        <w:rPr>
          <w:rFonts w:ascii="Palatino Linotype" w:hAnsi="Palatino Linotype" w:cs="Segoe UI Historic"/>
        </w:rPr>
        <w:t xml:space="preserve"> </w:t>
      </w:r>
      <w:r w:rsidRPr="00882303" w:rsidR="00C83F0E">
        <w:rPr>
          <w:rFonts w:ascii="Palatino Linotype" w:hAnsi="Palatino Linotype" w:cs="Segoe UI Historic"/>
        </w:rPr>
        <w:t>Spe</w:t>
      </w:r>
      <w:r w:rsidRPr="00882303" w:rsidR="000616AC">
        <w:rPr>
          <w:rFonts w:ascii="Palatino Linotype" w:hAnsi="Palatino Linotype" w:cs="Segoe UI Historic"/>
        </w:rPr>
        <w:t xml:space="preserve">cific </w:t>
      </w:r>
      <w:r w:rsidRPr="00882303" w:rsidR="00AB7F36">
        <w:rPr>
          <w:rFonts w:ascii="Palatino Linotype" w:hAnsi="Palatino Linotype" w:cs="Segoe UI Historic"/>
        </w:rPr>
        <w:t xml:space="preserve">attention </w:t>
      </w:r>
      <w:r w:rsidRPr="00882303" w:rsidR="00D75487">
        <w:rPr>
          <w:rFonts w:ascii="Palatino Linotype" w:hAnsi="Palatino Linotype" w:cs="Segoe UI Historic"/>
        </w:rPr>
        <w:t>must be given to</w:t>
      </w:r>
      <w:r w:rsidRPr="00882303" w:rsidR="0093309A">
        <w:rPr>
          <w:rFonts w:ascii="Palatino Linotype" w:hAnsi="Palatino Linotype" w:cs="Segoe UI Historic"/>
        </w:rPr>
        <w:t xml:space="preserve"> </w:t>
      </w:r>
      <w:r w:rsidRPr="00882303" w:rsidR="006F3460">
        <w:rPr>
          <w:rFonts w:ascii="Palatino Linotype" w:hAnsi="Palatino Linotype" w:cs="Segoe UI Historic"/>
        </w:rPr>
        <w:t xml:space="preserve">the </w:t>
      </w:r>
      <w:r w:rsidRPr="00882303" w:rsidR="0093309A">
        <w:rPr>
          <w:rFonts w:ascii="Palatino Linotype" w:hAnsi="Palatino Linotype" w:cs="Segoe UI Historic"/>
        </w:rPr>
        <w:t>overlap of Cal</w:t>
      </w:r>
      <w:r w:rsidRPr="00882303" w:rsidR="00362CE2">
        <w:rPr>
          <w:rFonts w:ascii="Palatino Linotype" w:hAnsi="Palatino Linotype" w:cs="Segoe UI Historic"/>
        </w:rPr>
        <w:t>ifornia</w:t>
      </w:r>
      <w:r w:rsidRPr="00882303" w:rsidR="005D2639">
        <w:rPr>
          <w:rFonts w:ascii="Palatino Linotype" w:hAnsi="Palatino Linotype" w:cs="Segoe UI Historic"/>
        </w:rPr>
        <w:t xml:space="preserve">’s </w:t>
      </w:r>
      <w:r w:rsidRPr="00882303" w:rsidR="00B4212B">
        <w:rPr>
          <w:rFonts w:ascii="Palatino Linotype" w:hAnsi="Palatino Linotype" w:cs="Segoe UI Historic"/>
        </w:rPr>
        <w:t xml:space="preserve">goals for the </w:t>
      </w:r>
      <w:r w:rsidRPr="00882303" w:rsidR="00466E2C">
        <w:rPr>
          <w:rFonts w:ascii="Palatino Linotype" w:hAnsi="Palatino Linotype" w:cs="Segoe UI Historic"/>
        </w:rPr>
        <w:t>environment</w:t>
      </w:r>
      <w:r w:rsidRPr="00882303" w:rsidR="009D5598">
        <w:rPr>
          <w:rFonts w:ascii="Palatino Linotype" w:hAnsi="Palatino Linotype" w:cs="Segoe UI Historic"/>
        </w:rPr>
        <w:t xml:space="preserve"> including local criteria pollutants</w:t>
      </w:r>
      <w:r w:rsidRPr="00882303" w:rsidR="00C50EDE">
        <w:rPr>
          <w:rFonts w:ascii="Palatino Linotype" w:hAnsi="Palatino Linotype" w:cs="Segoe UI Historic"/>
        </w:rPr>
        <w:t>, affordability</w:t>
      </w:r>
      <w:r w:rsidRPr="00882303" w:rsidR="00917FCE">
        <w:rPr>
          <w:rFonts w:ascii="Palatino Linotype" w:hAnsi="Palatino Linotype" w:cs="Segoe UI Historic"/>
        </w:rPr>
        <w:t>,</w:t>
      </w:r>
      <w:r w:rsidRPr="00882303" w:rsidR="00C50EDE">
        <w:rPr>
          <w:rFonts w:ascii="Palatino Linotype" w:hAnsi="Palatino Linotype" w:cs="Segoe UI Historic"/>
        </w:rPr>
        <w:t xml:space="preserve"> </w:t>
      </w:r>
      <w:r w:rsidRPr="00882303" w:rsidR="00513606">
        <w:rPr>
          <w:rFonts w:ascii="Palatino Linotype" w:hAnsi="Palatino Linotype" w:cs="Segoe UI Historic"/>
        </w:rPr>
        <w:t xml:space="preserve">and </w:t>
      </w:r>
      <w:r w:rsidRPr="00882303" w:rsidR="000E62EE">
        <w:rPr>
          <w:rFonts w:ascii="Palatino Linotype" w:hAnsi="Palatino Linotype" w:cs="Segoe UI Historic"/>
        </w:rPr>
        <w:t xml:space="preserve">equity </w:t>
      </w:r>
      <w:r w:rsidRPr="00882303" w:rsidR="00B84B0E">
        <w:rPr>
          <w:rFonts w:ascii="Palatino Linotype" w:hAnsi="Palatino Linotype" w:cs="Segoe UI Historic"/>
        </w:rPr>
        <w:t xml:space="preserve">with private and/or </w:t>
      </w:r>
      <w:r w:rsidR="00DF76F7">
        <w:rPr>
          <w:rFonts w:ascii="Palatino Linotype" w:hAnsi="Palatino Linotype" w:cs="Segoe UI Historic"/>
        </w:rPr>
        <w:br/>
      </w:r>
      <w:r w:rsidRPr="00882303" w:rsidR="00B84B0E">
        <w:rPr>
          <w:rFonts w:ascii="Palatino Linotype" w:hAnsi="Palatino Linotype" w:cs="Segoe UI Historic"/>
        </w:rPr>
        <w:t xml:space="preserve">non-profit </w:t>
      </w:r>
      <w:r w:rsidRPr="00882303" w:rsidR="000D0C31">
        <w:rPr>
          <w:rFonts w:ascii="Palatino Linotype" w:hAnsi="Palatino Linotype" w:cs="Segoe UI Historic"/>
        </w:rPr>
        <w:t xml:space="preserve">sources of </w:t>
      </w:r>
      <w:r w:rsidRPr="00882303" w:rsidR="006001ED">
        <w:rPr>
          <w:rFonts w:ascii="Palatino Linotype" w:hAnsi="Palatino Linotype" w:cs="Segoe UI Historic"/>
        </w:rPr>
        <w:t>funds</w:t>
      </w:r>
      <w:r w:rsidRPr="00882303" w:rsidR="00E7524D">
        <w:rPr>
          <w:rFonts w:ascii="Palatino Linotype" w:hAnsi="Palatino Linotype" w:cs="Segoe UI Historic"/>
        </w:rPr>
        <w:t xml:space="preserve"> </w:t>
      </w:r>
      <w:r w:rsidRPr="00882303" w:rsidR="00163196">
        <w:rPr>
          <w:rFonts w:ascii="Palatino Linotype" w:hAnsi="Palatino Linotype" w:cs="Segoe UI Historic"/>
        </w:rPr>
        <w:t xml:space="preserve">to address </w:t>
      </w:r>
      <w:r w:rsidRPr="00882303" w:rsidR="00B03CA8">
        <w:rPr>
          <w:rFonts w:ascii="Palatino Linotype" w:hAnsi="Palatino Linotype" w:cs="Segoe UI Historic"/>
        </w:rPr>
        <w:t xml:space="preserve">the </w:t>
      </w:r>
      <w:r w:rsidRPr="00882303" w:rsidR="006B592A">
        <w:rPr>
          <w:rFonts w:ascii="Palatino Linotype" w:hAnsi="Palatino Linotype" w:cs="Segoe UI Historic"/>
        </w:rPr>
        <w:t xml:space="preserve">methane </w:t>
      </w:r>
      <w:r w:rsidRPr="00882303" w:rsidR="00F01671">
        <w:rPr>
          <w:rFonts w:ascii="Palatino Linotype" w:hAnsi="Palatino Linotype" w:cs="Segoe UI Historic"/>
        </w:rPr>
        <w:t>gas</w:t>
      </w:r>
      <w:r w:rsidRPr="00882303" w:rsidR="001A1955">
        <w:rPr>
          <w:rFonts w:ascii="Palatino Linotype" w:hAnsi="Palatino Linotype" w:cs="Segoe UI Historic"/>
        </w:rPr>
        <w:t xml:space="preserve"> sector.</w:t>
      </w:r>
      <w:r w:rsidRPr="00882303" w:rsidR="006024A9">
        <w:rPr>
          <w:rFonts w:ascii="Palatino Linotype" w:hAnsi="Palatino Linotype" w:cs="Segoe UI Historic"/>
        </w:rPr>
        <w:t xml:space="preserve"> </w:t>
      </w:r>
      <w:r w:rsidRPr="00882303" w:rsidR="00F01671">
        <w:rPr>
          <w:rFonts w:ascii="Palatino Linotype" w:hAnsi="Palatino Linotype" w:cs="Segoe UI Historic"/>
        </w:rPr>
        <w:t xml:space="preserve"> </w:t>
      </w:r>
    </w:p>
    <w:p w:rsidRPr="00882303" w:rsidR="00190FA0" w:rsidP="00F372B3" w:rsidRDefault="005238ED" w14:paraId="0137DE57" w14:textId="7990CAE1">
      <w:pPr>
        <w:pStyle w:val="paragraph"/>
        <w:keepNext/>
        <w:rPr>
          <w:rFonts w:ascii="Palatino Linotype" w:hAnsi="Palatino Linotype" w:cs="Segoe UI Historic"/>
        </w:rPr>
      </w:pPr>
      <w:r w:rsidRPr="00882303">
        <w:rPr>
          <w:rFonts w:ascii="Palatino Linotype" w:hAnsi="Palatino Linotype" w:cs="Segoe UI Historic"/>
        </w:rPr>
        <w:t>We approve the $8,045,266 allocated to the Leveraging Cost Share Opportunities Initiative theme</w:t>
      </w:r>
      <w:r w:rsidRPr="00882303" w:rsidR="00D8756D">
        <w:rPr>
          <w:rFonts w:ascii="Palatino Linotype" w:hAnsi="Palatino Linotype" w:cs="Segoe UI Historic"/>
        </w:rPr>
        <w:t xml:space="preserve"> with the requirement that specific initiatives for proposed funding </w:t>
      </w:r>
      <w:r w:rsidRPr="00882303" w:rsidR="00F94C8D">
        <w:rPr>
          <w:rFonts w:ascii="Palatino Linotype" w:hAnsi="Palatino Linotype" w:cs="Segoe UI Historic"/>
          <w:bCs/>
          <w:iCs/>
        </w:rPr>
        <w:t>consistent</w:t>
      </w:r>
      <w:r w:rsidRPr="00882303" w:rsidR="00F94C8D">
        <w:rPr>
          <w:rFonts w:ascii="Palatino Linotype" w:hAnsi="Palatino Linotype" w:cs="Segoe UI Historic"/>
        </w:rPr>
        <w:t xml:space="preserve"> with </w:t>
      </w:r>
      <w:r w:rsidRPr="00882303" w:rsidR="00F2296D">
        <w:rPr>
          <w:rFonts w:ascii="Palatino Linotype" w:hAnsi="Palatino Linotype" w:cs="Segoe UI Historic"/>
        </w:rPr>
        <w:t>initiatives approved in this Resolution</w:t>
      </w:r>
      <w:r w:rsidRPr="00882303" w:rsidR="00271D5A">
        <w:rPr>
          <w:rFonts w:ascii="Palatino Linotype" w:hAnsi="Palatino Linotype" w:cs="Segoe UI Historic"/>
        </w:rPr>
        <w:t xml:space="preserve"> and are detailed in the Tier 2 Advice Letter.</w:t>
      </w:r>
    </w:p>
    <w:p w:rsidRPr="00F84530" w:rsidR="71B9D62C" w:rsidP="71B9D62C" w:rsidRDefault="71B9D62C" w14:paraId="1AE3448F" w14:textId="459CEE9F">
      <w:pPr>
        <w:pStyle w:val="paragraph"/>
        <w:rPr>
          <w:rFonts w:ascii="Palatino Linotype" w:hAnsi="Palatino Linotype" w:cs="Segoe UI Historic"/>
          <w:b/>
          <w:bCs/>
          <w:i/>
          <w:iCs/>
          <w:sz w:val="2"/>
          <w:szCs w:val="2"/>
        </w:rPr>
      </w:pPr>
    </w:p>
    <w:p w:rsidRPr="00882303" w:rsidR="00190FA0" w:rsidP="0074612C" w:rsidRDefault="00190FA0" w14:paraId="11197B3B" w14:textId="0489C01D">
      <w:pPr>
        <w:pStyle w:val="paragraph"/>
        <w:rPr>
          <w:rFonts w:ascii="Palatino Linotype" w:hAnsi="Palatino Linotype" w:cs="Segoe UI Historic"/>
          <w:bCs/>
          <w:iCs/>
        </w:rPr>
      </w:pPr>
      <w:r w:rsidRPr="00882303">
        <w:rPr>
          <w:rFonts w:ascii="Palatino Linotype" w:hAnsi="Palatino Linotype" w:cs="Segoe UI Historic"/>
          <w:b/>
          <w:i/>
        </w:rPr>
        <w:t>Comprehensive Programmatic Evaluation</w:t>
      </w:r>
    </w:p>
    <w:p w:rsidRPr="00882303" w:rsidR="00B9011A" w:rsidP="0074612C" w:rsidRDefault="00190FA0" w14:paraId="182E1729" w14:textId="77777777">
      <w:pPr>
        <w:pStyle w:val="paragraph"/>
        <w:rPr>
          <w:rFonts w:ascii="Palatino Linotype" w:hAnsi="Palatino Linotype" w:cs="Segoe UI Historic"/>
          <w:bCs/>
          <w:iCs/>
        </w:rPr>
      </w:pPr>
      <w:r w:rsidRPr="00882303">
        <w:rPr>
          <w:rFonts w:ascii="Palatino Linotype" w:hAnsi="Palatino Linotype" w:cs="Segoe UI Historic"/>
          <w:bCs/>
          <w:iCs/>
        </w:rPr>
        <w:t>In Resolution G-3592, the Commission required the CEC</w:t>
      </w:r>
      <w:r w:rsidRPr="00882303" w:rsidR="00024B77">
        <w:rPr>
          <w:rFonts w:ascii="Palatino Linotype" w:hAnsi="Palatino Linotype" w:cs="Segoe UI Historic"/>
          <w:bCs/>
          <w:iCs/>
        </w:rPr>
        <w:t xml:space="preserve"> in its FY 2023-2024 Gas R&amp;D Plan</w:t>
      </w:r>
      <w:r w:rsidRPr="00882303">
        <w:rPr>
          <w:rFonts w:ascii="Palatino Linotype" w:hAnsi="Palatino Linotype" w:cs="Segoe UI Historic"/>
          <w:bCs/>
          <w:iCs/>
        </w:rPr>
        <w:t xml:space="preserve"> to</w:t>
      </w:r>
      <w:r w:rsidRPr="00882303" w:rsidR="00024B77">
        <w:rPr>
          <w:rFonts w:ascii="Palatino Linotype" w:hAnsi="Palatino Linotype" w:cs="Segoe UI Historic"/>
          <w:bCs/>
          <w:iCs/>
        </w:rPr>
        <w:t xml:space="preserve"> allocate 4% of its budget ($960,000) to fund a comprehensive evaluation of the CEC’s Gas R&amp;D program to be implemented Energy Division, which will develop a scope of work, issue a competitive request for proposal, and hire and manage the contractor. The CEC requests $960,000 in compliance with this order. </w:t>
      </w:r>
    </w:p>
    <w:p w:rsidRPr="00882303" w:rsidR="00190FA0" w:rsidP="0074612C" w:rsidRDefault="00024B77" w14:paraId="7EE84287" w14:textId="181FD4A9">
      <w:pPr>
        <w:pStyle w:val="paragraph"/>
        <w:rPr>
          <w:rFonts w:ascii="Palatino Linotype" w:hAnsi="Palatino Linotype" w:cs="Segoe UI Historic"/>
          <w:bCs/>
          <w:iCs/>
        </w:rPr>
      </w:pPr>
      <w:r w:rsidRPr="00882303">
        <w:rPr>
          <w:rFonts w:ascii="Palatino Linotype" w:hAnsi="Palatino Linotype" w:cs="Segoe UI Historic"/>
        </w:rPr>
        <w:t>We approve the $960,000 allocated to the Comprehensive Programmatic Evaluation.</w:t>
      </w:r>
    </w:p>
    <w:p w:rsidRPr="00F84530" w:rsidR="00F84530" w:rsidP="0074612C" w:rsidRDefault="00F84530" w14:paraId="0EAE65F8" w14:textId="77777777">
      <w:pPr>
        <w:pStyle w:val="paragraph"/>
        <w:rPr>
          <w:rFonts w:ascii="Palatino Linotype" w:hAnsi="Palatino Linotype" w:cs="Segoe UI Historic"/>
          <w:b/>
          <w:i/>
          <w:sz w:val="2"/>
          <w:szCs w:val="2"/>
        </w:rPr>
      </w:pPr>
    </w:p>
    <w:p w:rsidRPr="00882303" w:rsidR="00435E29" w:rsidP="0074612C" w:rsidRDefault="00435E29" w14:paraId="0AACA0AD" w14:textId="508EBB25">
      <w:pPr>
        <w:pStyle w:val="paragraph"/>
        <w:rPr>
          <w:rFonts w:ascii="Palatino Linotype" w:hAnsi="Palatino Linotype" w:cs="Segoe UI Historic"/>
          <w:b/>
          <w:i/>
        </w:rPr>
      </w:pPr>
      <w:r w:rsidRPr="00882303">
        <w:rPr>
          <w:rFonts w:ascii="Palatino Linotype" w:hAnsi="Palatino Linotype" w:cs="Segoe UI Historic"/>
          <w:b/>
          <w:i/>
        </w:rPr>
        <w:t>Administrative Budget</w:t>
      </w:r>
    </w:p>
    <w:p w:rsidRPr="00882303" w:rsidR="00B9011A" w:rsidP="0074612C" w:rsidRDefault="00BD261E" w14:paraId="0066C4F6" w14:textId="5259A9A8">
      <w:pPr>
        <w:pStyle w:val="paragraph"/>
        <w:rPr>
          <w:rFonts w:ascii="Palatino Linotype" w:hAnsi="Palatino Linotype" w:cs="Segoe UI Historic"/>
        </w:rPr>
      </w:pPr>
      <w:r w:rsidRPr="00882303">
        <w:rPr>
          <w:rFonts w:ascii="Palatino Linotype" w:hAnsi="Palatino Linotype" w:cs="Segoe UI Historic"/>
        </w:rPr>
        <w:t>The CEC request</w:t>
      </w:r>
      <w:r w:rsidRPr="00882303" w:rsidR="004335ED">
        <w:rPr>
          <w:rFonts w:ascii="Palatino Linotype" w:hAnsi="Palatino Linotype" w:cs="Segoe UI Historic"/>
        </w:rPr>
        <w:t>s</w:t>
      </w:r>
      <w:r w:rsidRPr="00882303" w:rsidR="00DD15D9">
        <w:rPr>
          <w:rFonts w:ascii="Palatino Linotype" w:hAnsi="Palatino Linotype" w:cs="Segoe UI Historic"/>
        </w:rPr>
        <w:t xml:space="preserve"> to utilize</w:t>
      </w:r>
      <w:r w:rsidRPr="00882303" w:rsidR="00BD7F60">
        <w:rPr>
          <w:rFonts w:ascii="Palatino Linotype" w:hAnsi="Palatino Linotype" w:cs="Segoe UI Historic"/>
        </w:rPr>
        <w:t xml:space="preserve"> 10 percent of its</w:t>
      </w:r>
      <w:r w:rsidRPr="00882303" w:rsidR="00A33A08">
        <w:rPr>
          <w:rFonts w:ascii="Palatino Linotype" w:hAnsi="Palatino Linotype" w:cs="Segoe UI Historic"/>
        </w:rPr>
        <w:t xml:space="preserve"> proposed </w:t>
      </w:r>
      <w:r w:rsidRPr="00882303" w:rsidR="00BD7F60">
        <w:rPr>
          <w:rFonts w:ascii="Palatino Linotype" w:hAnsi="Palatino Linotype" w:cs="Segoe UI Historic"/>
        </w:rPr>
        <w:t xml:space="preserve">$24 million </w:t>
      </w:r>
      <w:r w:rsidRPr="00882303" w:rsidR="006E2463">
        <w:rPr>
          <w:rFonts w:ascii="Palatino Linotype" w:hAnsi="Palatino Linotype" w:cs="Segoe UI Historic"/>
        </w:rPr>
        <w:t>202</w:t>
      </w:r>
      <w:r w:rsidRPr="00882303" w:rsidR="001D52A5">
        <w:rPr>
          <w:rFonts w:ascii="Palatino Linotype" w:hAnsi="Palatino Linotype" w:cs="Segoe UI Historic"/>
        </w:rPr>
        <w:t>3-</w:t>
      </w:r>
      <w:r w:rsidRPr="00882303" w:rsidR="006E2463">
        <w:rPr>
          <w:rFonts w:ascii="Palatino Linotype" w:hAnsi="Palatino Linotype" w:cs="Segoe UI Historic"/>
        </w:rPr>
        <w:t>202</w:t>
      </w:r>
      <w:r w:rsidRPr="00882303" w:rsidR="001D52A5">
        <w:rPr>
          <w:rFonts w:ascii="Palatino Linotype" w:hAnsi="Palatino Linotype" w:cs="Segoe UI Historic"/>
        </w:rPr>
        <w:t>4</w:t>
      </w:r>
      <w:r w:rsidRPr="00882303" w:rsidR="006E2463">
        <w:rPr>
          <w:rFonts w:ascii="Palatino Linotype" w:hAnsi="Palatino Linotype" w:cs="Segoe UI Historic"/>
        </w:rPr>
        <w:t xml:space="preserve"> budget</w:t>
      </w:r>
      <w:r w:rsidRPr="00882303">
        <w:rPr>
          <w:rFonts w:ascii="Palatino Linotype" w:hAnsi="Palatino Linotype" w:cs="Segoe UI Historic"/>
        </w:rPr>
        <w:t xml:space="preserve"> for administrative expenses</w:t>
      </w:r>
      <w:r w:rsidRPr="00882303" w:rsidR="48B8CC72">
        <w:rPr>
          <w:rFonts w:ascii="Palatino Linotype" w:hAnsi="Palatino Linotype" w:cs="Segoe UI Historic"/>
        </w:rPr>
        <w:t>,</w:t>
      </w:r>
      <w:r w:rsidRPr="00882303" w:rsidR="00641DC0">
        <w:rPr>
          <w:rFonts w:ascii="Palatino Linotype" w:hAnsi="Palatino Linotype" w:cs="Segoe UI Historic"/>
        </w:rPr>
        <w:t xml:space="preserve"> </w:t>
      </w:r>
      <w:r w:rsidRPr="00882303" w:rsidR="006E2463">
        <w:rPr>
          <w:rFonts w:ascii="Palatino Linotype" w:hAnsi="Palatino Linotype" w:cs="Segoe UI Historic"/>
        </w:rPr>
        <w:t xml:space="preserve">or </w:t>
      </w:r>
      <w:r w:rsidRPr="00882303">
        <w:rPr>
          <w:rFonts w:ascii="Palatino Linotype" w:hAnsi="Palatino Linotype" w:cs="Segoe UI Historic"/>
        </w:rPr>
        <w:t>$2.4 million</w:t>
      </w:r>
      <w:r w:rsidRPr="00882303" w:rsidR="00985CD0">
        <w:rPr>
          <w:rFonts w:ascii="Palatino Linotype" w:hAnsi="Palatino Linotype" w:cs="Segoe UI Historic"/>
        </w:rPr>
        <w:t xml:space="preserve">. </w:t>
      </w:r>
    </w:p>
    <w:p w:rsidRPr="00882303" w:rsidR="00E6176F" w:rsidP="0074612C" w:rsidRDefault="00985CD0" w14:paraId="7C3B05B7" w14:textId="5588E930">
      <w:pPr>
        <w:pStyle w:val="paragraph"/>
        <w:rPr>
          <w:rFonts w:ascii="Palatino Linotype" w:hAnsi="Palatino Linotype" w:cs="Segoe UI Historic"/>
        </w:rPr>
      </w:pPr>
      <w:r w:rsidRPr="00882303">
        <w:rPr>
          <w:rFonts w:ascii="Palatino Linotype" w:hAnsi="Palatino Linotype" w:cs="Segoe UI Historic"/>
        </w:rPr>
        <w:t xml:space="preserve">We find that this is </w:t>
      </w:r>
      <w:r w:rsidRPr="00882303" w:rsidR="00BD261E">
        <w:rPr>
          <w:rFonts w:ascii="Palatino Linotype" w:hAnsi="Palatino Linotype" w:cs="Segoe UI Historic"/>
        </w:rPr>
        <w:t>an appropriate use of ratepayer funds</w:t>
      </w:r>
      <w:r w:rsidRPr="00882303">
        <w:rPr>
          <w:rFonts w:ascii="Palatino Linotype" w:hAnsi="Palatino Linotype" w:cs="Segoe UI Historic"/>
        </w:rPr>
        <w:t xml:space="preserve"> and approve a $2,400,000 </w:t>
      </w:r>
      <w:r w:rsidRPr="00882303" w:rsidR="00F16DC3">
        <w:rPr>
          <w:rFonts w:ascii="Palatino Linotype" w:hAnsi="Palatino Linotype" w:cs="Segoe UI Historic"/>
        </w:rPr>
        <w:t>administrative budget for the CEC’s FY 2023-2024 Gas R&amp;D program.</w:t>
      </w:r>
    </w:p>
    <w:p w:rsidRPr="00F84530" w:rsidR="71B9D62C" w:rsidP="71B9D62C" w:rsidRDefault="71B9D62C" w14:paraId="311B9042" w14:textId="0D719D86">
      <w:pPr>
        <w:pStyle w:val="paragraph"/>
        <w:rPr>
          <w:rFonts w:ascii="Palatino Linotype" w:hAnsi="Palatino Linotype" w:cs="Segoe UI Historic"/>
          <w:b/>
          <w:bCs/>
          <w:sz w:val="2"/>
          <w:szCs w:val="2"/>
        </w:rPr>
      </w:pPr>
    </w:p>
    <w:p w:rsidRPr="00882303" w:rsidR="008C7063" w:rsidP="0074612C" w:rsidRDefault="00853A00" w14:paraId="4D741174" w14:textId="1AC92C40">
      <w:pPr>
        <w:pStyle w:val="paragraph"/>
        <w:rPr>
          <w:rFonts w:ascii="Palatino Linotype" w:hAnsi="Palatino Linotype" w:cs="Segoe UI Historic"/>
        </w:rPr>
      </w:pPr>
      <w:r w:rsidRPr="00882303">
        <w:rPr>
          <w:rFonts w:ascii="Palatino Linotype" w:hAnsi="Palatino Linotype" w:cs="Segoe UI Historic"/>
          <w:b/>
        </w:rPr>
        <w:t>Summary of CPUC Guidance for the CEC’s Fiscal Year 202</w:t>
      </w:r>
      <w:r w:rsidRPr="00882303" w:rsidR="003F383F">
        <w:rPr>
          <w:rFonts w:ascii="Palatino Linotype" w:hAnsi="Palatino Linotype" w:cs="Segoe UI Historic"/>
          <w:b/>
        </w:rPr>
        <w:t>3</w:t>
      </w:r>
      <w:r w:rsidRPr="00882303">
        <w:rPr>
          <w:rFonts w:ascii="Palatino Linotype" w:hAnsi="Palatino Linotype" w:cs="Segoe UI Historic"/>
          <w:b/>
        </w:rPr>
        <w:t>-202</w:t>
      </w:r>
      <w:r w:rsidRPr="00882303" w:rsidR="003F383F">
        <w:rPr>
          <w:rFonts w:ascii="Palatino Linotype" w:hAnsi="Palatino Linotype" w:cs="Segoe UI Historic"/>
          <w:b/>
        </w:rPr>
        <w:t>4</w:t>
      </w:r>
      <w:r w:rsidRPr="00882303">
        <w:rPr>
          <w:rFonts w:ascii="Palatino Linotype" w:hAnsi="Palatino Linotype" w:cs="Segoe UI Historic"/>
          <w:b/>
        </w:rPr>
        <w:t xml:space="preserve"> Gas R&amp;D Budget Proposal and Beyond</w:t>
      </w:r>
    </w:p>
    <w:p w:rsidRPr="00882303" w:rsidR="00AB546C" w:rsidP="00EB4C9C" w:rsidRDefault="00AB546C" w14:paraId="0A54A767" w14:textId="66D0D191">
      <w:pPr>
        <w:pStyle w:val="paragraph"/>
        <w:spacing w:before="0" w:beforeAutospacing="0" w:after="0" w:afterAutospacing="0"/>
        <w:textAlignment w:val="baseline"/>
        <w:rPr>
          <w:rStyle w:val="eop"/>
          <w:rFonts w:ascii="Palatino Linotype" w:hAnsi="Palatino Linotype" w:cs="Segoe UI Historic" w:eastAsiaTheme="minorHAnsi"/>
        </w:rPr>
      </w:pPr>
      <w:r w:rsidRPr="00882303">
        <w:rPr>
          <w:rStyle w:val="normaltextrun"/>
          <w:rFonts w:ascii="Palatino Linotype" w:hAnsi="Palatino Linotype" w:cs="Segoe UI Historic"/>
        </w:rPr>
        <w:t xml:space="preserve">The CPUC approves in part the California Energy Commission’s (CEC’s) </w:t>
      </w:r>
      <w:r w:rsidRPr="00882303">
        <w:rPr>
          <w:rStyle w:val="normaltextrun"/>
          <w:rFonts w:ascii="Palatino Linotype" w:hAnsi="Palatino Linotype" w:cs="Segoe UI Historic"/>
          <w:i/>
        </w:rPr>
        <w:t>Gas Research and Development Program, Proposed Budget Plan for Fiscal Year 202</w:t>
      </w:r>
      <w:r w:rsidRPr="00882303" w:rsidR="00166C51">
        <w:rPr>
          <w:rStyle w:val="normaltextrun"/>
          <w:rFonts w:ascii="Palatino Linotype" w:hAnsi="Palatino Linotype" w:cs="Segoe UI Historic"/>
          <w:i/>
        </w:rPr>
        <w:t>3-</w:t>
      </w:r>
      <w:r w:rsidRPr="00882303" w:rsidR="00450DB3">
        <w:rPr>
          <w:rStyle w:val="normaltextrun"/>
          <w:rFonts w:ascii="Palatino Linotype" w:hAnsi="Palatino Linotype" w:cs="Segoe UI Historic"/>
          <w:i/>
        </w:rPr>
        <w:t>20</w:t>
      </w:r>
      <w:r w:rsidRPr="00882303">
        <w:rPr>
          <w:rStyle w:val="normaltextrun"/>
          <w:rFonts w:ascii="Palatino Linotype" w:hAnsi="Palatino Linotype" w:cs="Segoe UI Historic"/>
          <w:i/>
        </w:rPr>
        <w:t>2</w:t>
      </w:r>
      <w:r w:rsidRPr="00882303" w:rsidR="00166C51">
        <w:rPr>
          <w:rStyle w:val="normaltextrun"/>
          <w:rFonts w:ascii="Palatino Linotype" w:hAnsi="Palatino Linotype" w:cs="Segoe UI Historic"/>
          <w:i/>
        </w:rPr>
        <w:t>4</w:t>
      </w:r>
      <w:r w:rsidRPr="00882303">
        <w:rPr>
          <w:rStyle w:val="normaltextrun"/>
          <w:rFonts w:ascii="Palatino Linotype" w:hAnsi="Palatino Linotype" w:cs="Segoe UI Historic"/>
        </w:rPr>
        <w:t xml:space="preserve"> with a budget of $24 million,</w:t>
      </w:r>
      <w:r w:rsidRPr="00882303" w:rsidR="002C0423">
        <w:rPr>
          <w:rStyle w:val="normaltextrun"/>
          <w:rFonts w:ascii="Palatino Linotype" w:hAnsi="Palatino Linotype" w:cs="Segoe UI Historic"/>
        </w:rPr>
        <w:t xml:space="preserve"> plus </w:t>
      </w:r>
      <w:r w:rsidRPr="00882303" w:rsidR="002C0423">
        <w:rPr>
          <w:rFonts w:ascii="Palatino Linotype" w:hAnsi="Palatino Linotype" w:cs="Segoe UI Historic"/>
        </w:rPr>
        <w:t>$6,536,412 in unspent funds,</w:t>
      </w:r>
      <w:r w:rsidRPr="00882303">
        <w:rPr>
          <w:rStyle w:val="normaltextrun"/>
          <w:rFonts w:ascii="Palatino Linotype" w:hAnsi="Palatino Linotype" w:cs="Segoe UI Historic"/>
        </w:rPr>
        <w:t xml:space="preserve"> pursuant to D.04-08-010. </w:t>
      </w:r>
      <w:r w:rsidRPr="00882303">
        <w:rPr>
          <w:rStyle w:val="eop"/>
          <w:rFonts w:ascii="Palatino Linotype" w:hAnsi="Palatino Linotype" w:cs="Segoe UI Historic"/>
        </w:rPr>
        <w:t xml:space="preserve"> </w:t>
      </w:r>
    </w:p>
    <w:p w:rsidRPr="00882303" w:rsidR="0074612C" w:rsidP="0074612C" w:rsidRDefault="0074612C" w14:paraId="28B5EE4B" w14:textId="6C2B93A6">
      <w:pPr>
        <w:pStyle w:val="paragraph"/>
        <w:rPr>
          <w:rFonts w:ascii="Palatino Linotype" w:hAnsi="Palatino Linotype" w:cs="Segoe UI Historic"/>
        </w:rPr>
      </w:pPr>
      <w:r w:rsidRPr="00882303">
        <w:rPr>
          <w:rFonts w:ascii="Palatino Linotype" w:hAnsi="Palatino Linotype" w:cs="Segoe UI Historic"/>
        </w:rPr>
        <w:t xml:space="preserve">This funding level has no precedential value regarding the overall program review or funding levels beyond </w:t>
      </w:r>
      <w:r w:rsidRPr="00882303" w:rsidR="00005ECF">
        <w:rPr>
          <w:rFonts w:ascii="Palatino Linotype" w:hAnsi="Palatino Linotype" w:cs="Segoe UI Historic"/>
        </w:rPr>
        <w:t>FY 202</w:t>
      </w:r>
      <w:r w:rsidRPr="00882303" w:rsidR="00166C51">
        <w:rPr>
          <w:rFonts w:ascii="Palatino Linotype" w:hAnsi="Palatino Linotype" w:cs="Segoe UI Historic"/>
        </w:rPr>
        <w:t>3</w:t>
      </w:r>
      <w:r w:rsidRPr="00882303" w:rsidR="00005ECF">
        <w:rPr>
          <w:rFonts w:ascii="Palatino Linotype" w:hAnsi="Palatino Linotype" w:cs="Segoe UI Historic"/>
        </w:rPr>
        <w:t>-</w:t>
      </w:r>
      <w:r w:rsidRPr="00882303" w:rsidR="00D83F18">
        <w:rPr>
          <w:rFonts w:ascii="Palatino Linotype" w:hAnsi="Palatino Linotype" w:cs="Segoe UI Historic"/>
        </w:rPr>
        <w:t>20</w:t>
      </w:r>
      <w:r w:rsidRPr="00882303" w:rsidR="00005ECF">
        <w:rPr>
          <w:rFonts w:ascii="Palatino Linotype" w:hAnsi="Palatino Linotype" w:cs="Segoe UI Historic"/>
        </w:rPr>
        <w:t>2</w:t>
      </w:r>
      <w:r w:rsidRPr="00882303" w:rsidR="00166C51">
        <w:rPr>
          <w:rFonts w:ascii="Palatino Linotype" w:hAnsi="Palatino Linotype" w:cs="Segoe UI Historic"/>
        </w:rPr>
        <w:t>4</w:t>
      </w:r>
      <w:r w:rsidRPr="00882303">
        <w:rPr>
          <w:rFonts w:ascii="Palatino Linotype" w:hAnsi="Palatino Linotype" w:cs="Segoe UI Historic"/>
        </w:rPr>
        <w:t xml:space="preserve">, as the CEC must propose a zero-based budget for </w:t>
      </w:r>
      <w:r w:rsidRPr="00882303">
        <w:rPr>
          <w:rFonts w:ascii="Palatino Linotype" w:hAnsi="Palatino Linotype" w:cs="Segoe UI Historic"/>
        </w:rPr>
        <w:lastRenderedPageBreak/>
        <w:t>each fiscal year. Pending an assessment of the reasonableness of the overall R&amp;D program, the maximum limit for program funding at $24 million is reasonable. </w:t>
      </w:r>
    </w:p>
    <w:p w:rsidRPr="00882303" w:rsidR="00721E64" w:rsidP="000F7C48" w:rsidRDefault="00D6440C" w14:paraId="69D2F723" w14:textId="24DD1631">
      <w:pPr>
        <w:pStyle w:val="paragraph"/>
        <w:rPr>
          <w:rFonts w:ascii="Palatino Linotype" w:hAnsi="Palatino Linotype" w:cs="Segoe UI Historic"/>
        </w:rPr>
      </w:pPr>
      <w:r w:rsidRPr="00882303">
        <w:rPr>
          <w:rFonts w:ascii="Palatino Linotype" w:hAnsi="Palatino Linotype" w:cs="Segoe UI Historic"/>
        </w:rPr>
        <w:t xml:space="preserve">The Commission approves the CEC’s </w:t>
      </w:r>
      <w:r w:rsidRPr="00882303" w:rsidR="007B1E49">
        <w:rPr>
          <w:rFonts w:ascii="Palatino Linotype" w:hAnsi="Palatino Linotype" w:cs="Segoe UI Historic"/>
        </w:rPr>
        <w:t xml:space="preserve">FY </w:t>
      </w:r>
      <w:r w:rsidRPr="00882303">
        <w:rPr>
          <w:rFonts w:ascii="Palatino Linotype" w:hAnsi="Palatino Linotype" w:cs="Segoe UI Historic"/>
        </w:rPr>
        <w:t>202</w:t>
      </w:r>
      <w:r w:rsidRPr="00882303" w:rsidR="002C0423">
        <w:rPr>
          <w:rFonts w:ascii="Palatino Linotype" w:hAnsi="Palatino Linotype" w:cs="Segoe UI Historic"/>
        </w:rPr>
        <w:t>3</w:t>
      </w:r>
      <w:r w:rsidRPr="00882303">
        <w:rPr>
          <w:rFonts w:ascii="Palatino Linotype" w:hAnsi="Palatino Linotype" w:cs="Segoe UI Historic"/>
        </w:rPr>
        <w:t>-202</w:t>
      </w:r>
      <w:r w:rsidRPr="00882303" w:rsidR="002C0423">
        <w:rPr>
          <w:rFonts w:ascii="Palatino Linotype" w:hAnsi="Palatino Linotype" w:cs="Segoe UI Historic"/>
        </w:rPr>
        <w:t>4</w:t>
      </w:r>
      <w:r w:rsidRPr="00882303">
        <w:rPr>
          <w:rFonts w:ascii="Palatino Linotype" w:hAnsi="Palatino Linotype" w:cs="Segoe UI Historic"/>
        </w:rPr>
        <w:t xml:space="preserve"> Gas R&amp;D plan</w:t>
      </w:r>
      <w:r w:rsidRPr="00882303" w:rsidR="00B75755">
        <w:rPr>
          <w:rFonts w:ascii="Palatino Linotype" w:hAnsi="Palatino Linotype" w:cs="Segoe UI Historic"/>
        </w:rPr>
        <w:t xml:space="preserve"> except </w:t>
      </w:r>
      <w:proofErr w:type="gramStart"/>
      <w:r w:rsidRPr="00882303" w:rsidR="00B75755">
        <w:rPr>
          <w:rFonts w:ascii="Palatino Linotype" w:hAnsi="Palatino Linotype" w:cs="Segoe UI Historic"/>
        </w:rPr>
        <w:t>where</w:t>
      </w:r>
      <w:proofErr w:type="gramEnd"/>
      <w:r w:rsidRPr="00882303" w:rsidR="00B75755">
        <w:rPr>
          <w:rFonts w:ascii="Palatino Linotype" w:hAnsi="Palatino Linotype" w:cs="Segoe UI Historic"/>
        </w:rPr>
        <w:t xml:space="preserve"> noted below. </w:t>
      </w:r>
      <w:r w:rsidRPr="00882303" w:rsidR="00073C50">
        <w:rPr>
          <w:rStyle w:val="eop"/>
          <w:rFonts w:ascii="Palatino Linotype" w:hAnsi="Palatino Linotype" w:cs="Segoe UI Historic"/>
        </w:rPr>
        <w:t xml:space="preserve">The CEC shall submit a Tier 2 </w:t>
      </w:r>
      <w:r w:rsidRPr="00882303" w:rsidR="00E00658">
        <w:rPr>
          <w:rStyle w:val="eop"/>
          <w:rFonts w:ascii="Palatino Linotype" w:hAnsi="Palatino Linotype" w:cs="Segoe UI Historic"/>
        </w:rPr>
        <w:t>A</w:t>
      </w:r>
      <w:r w:rsidRPr="00882303" w:rsidR="00073C50">
        <w:rPr>
          <w:rStyle w:val="eop"/>
          <w:rFonts w:ascii="Palatino Linotype" w:hAnsi="Palatino Linotype" w:cs="Segoe UI Historic"/>
        </w:rPr>
        <w:t xml:space="preserve">dvice </w:t>
      </w:r>
      <w:r w:rsidRPr="00882303" w:rsidR="008F0762">
        <w:rPr>
          <w:rStyle w:val="eop"/>
          <w:rFonts w:ascii="Palatino Linotype" w:hAnsi="Palatino Linotype" w:cs="Segoe UI Historic"/>
        </w:rPr>
        <w:t>L</w:t>
      </w:r>
      <w:r w:rsidRPr="00882303" w:rsidR="00073C50">
        <w:rPr>
          <w:rStyle w:val="eop"/>
          <w:rFonts w:ascii="Palatino Linotype" w:hAnsi="Palatino Linotype" w:cs="Segoe UI Historic"/>
        </w:rPr>
        <w:t xml:space="preserve">etter </w:t>
      </w:r>
      <w:r w:rsidRPr="00882303" w:rsidR="001823E3">
        <w:rPr>
          <w:rStyle w:val="eop"/>
          <w:rFonts w:ascii="Palatino Linotype" w:hAnsi="Palatino Linotype" w:cs="Segoe UI Historic"/>
        </w:rPr>
        <w:t>updating its FY 202</w:t>
      </w:r>
      <w:r w:rsidRPr="00882303" w:rsidR="002C0423">
        <w:rPr>
          <w:rStyle w:val="eop"/>
          <w:rFonts w:ascii="Palatino Linotype" w:hAnsi="Palatino Linotype" w:cs="Segoe UI Historic"/>
        </w:rPr>
        <w:t>3</w:t>
      </w:r>
      <w:r w:rsidRPr="00882303" w:rsidR="001823E3">
        <w:rPr>
          <w:rStyle w:val="eop"/>
          <w:rFonts w:ascii="Palatino Linotype" w:hAnsi="Palatino Linotype" w:cs="Segoe UI Historic"/>
        </w:rPr>
        <w:t>-202</w:t>
      </w:r>
      <w:r w:rsidRPr="00882303" w:rsidR="002C0423">
        <w:rPr>
          <w:rStyle w:val="eop"/>
          <w:rFonts w:ascii="Palatino Linotype" w:hAnsi="Palatino Linotype" w:cs="Segoe UI Historic"/>
        </w:rPr>
        <w:t>4</w:t>
      </w:r>
      <w:r w:rsidRPr="00882303" w:rsidR="001823E3">
        <w:rPr>
          <w:rStyle w:val="eop"/>
          <w:rFonts w:ascii="Palatino Linotype" w:hAnsi="Palatino Linotype" w:cs="Segoe UI Historic"/>
        </w:rPr>
        <w:t xml:space="preserve"> Gas R&amp;D Plan </w:t>
      </w:r>
      <w:r w:rsidRPr="00882303" w:rsidR="00073C50">
        <w:rPr>
          <w:rStyle w:val="eop"/>
          <w:rFonts w:ascii="Palatino Linotype" w:hAnsi="Palatino Linotype" w:cs="Segoe UI Historic"/>
        </w:rPr>
        <w:t xml:space="preserve">within 60 days of the issuance of this Resolution as </w:t>
      </w:r>
      <w:r w:rsidRPr="00882303" w:rsidR="00450DB3">
        <w:rPr>
          <w:rStyle w:val="eop"/>
          <w:rFonts w:ascii="Palatino Linotype" w:hAnsi="Palatino Linotype" w:cs="Segoe UI Historic"/>
        </w:rPr>
        <w:t xml:space="preserve">described </w:t>
      </w:r>
      <w:r w:rsidRPr="00882303" w:rsidR="00073C50">
        <w:rPr>
          <w:rStyle w:val="eop"/>
          <w:rFonts w:ascii="Palatino Linotype" w:hAnsi="Palatino Linotype" w:cs="Segoe UI Historic"/>
        </w:rPr>
        <w:t xml:space="preserve">in the </w:t>
      </w:r>
      <w:r w:rsidRPr="00882303" w:rsidR="002C0423">
        <w:rPr>
          <w:rStyle w:val="eop"/>
          <w:rFonts w:ascii="Palatino Linotype" w:hAnsi="Palatino Linotype" w:cs="Segoe UI Historic"/>
        </w:rPr>
        <w:t xml:space="preserve">discussion above </w:t>
      </w:r>
      <w:r w:rsidRPr="00882303" w:rsidR="00450DB3">
        <w:rPr>
          <w:rStyle w:val="eop"/>
          <w:rFonts w:ascii="Palatino Linotype" w:hAnsi="Palatino Linotype" w:cs="Segoe UI Historic"/>
        </w:rPr>
        <w:t>and directed in the ordering paragraphs</w:t>
      </w:r>
      <w:r w:rsidRPr="00882303" w:rsidR="00073C50">
        <w:rPr>
          <w:rStyle w:val="eop"/>
          <w:rFonts w:ascii="Palatino Linotype" w:hAnsi="Palatino Linotype" w:cs="Segoe UI Historic"/>
        </w:rPr>
        <w:t>.</w:t>
      </w:r>
      <w:r w:rsidRPr="00882303" w:rsidR="002A5625">
        <w:rPr>
          <w:rStyle w:val="eop"/>
          <w:rFonts w:ascii="Palatino Linotype" w:hAnsi="Palatino Linotype" w:cs="Segoe UI Historic"/>
        </w:rPr>
        <w:t xml:space="preserve"> </w:t>
      </w:r>
      <w:r w:rsidRPr="00882303" w:rsidR="00A20365">
        <w:rPr>
          <w:rStyle w:val="eop"/>
          <w:rFonts w:ascii="Palatino Linotype" w:hAnsi="Palatino Linotype" w:cs="Segoe UI Historic"/>
        </w:rPr>
        <w:t xml:space="preserve">We </w:t>
      </w:r>
      <w:r w:rsidRPr="00882303" w:rsidR="000D12CB">
        <w:rPr>
          <w:rStyle w:val="eop"/>
          <w:rFonts w:ascii="Palatino Linotype" w:hAnsi="Palatino Linotype" w:cs="Segoe UI Historic"/>
        </w:rPr>
        <w:t>direct</w:t>
      </w:r>
      <w:r w:rsidRPr="00882303" w:rsidR="00A20365">
        <w:rPr>
          <w:rStyle w:val="eop"/>
          <w:rFonts w:ascii="Palatino Linotype" w:hAnsi="Palatino Linotype" w:cs="Segoe UI Historic"/>
        </w:rPr>
        <w:t xml:space="preserve"> the CEC </w:t>
      </w:r>
      <w:r w:rsidRPr="00882303" w:rsidR="000D12CB">
        <w:rPr>
          <w:rStyle w:val="eop"/>
          <w:rFonts w:ascii="Palatino Linotype" w:hAnsi="Palatino Linotype" w:cs="Segoe UI Historic"/>
        </w:rPr>
        <w:t>to</w:t>
      </w:r>
      <w:r w:rsidRPr="00882303" w:rsidR="00A20365">
        <w:rPr>
          <w:rStyle w:val="eop"/>
          <w:rFonts w:ascii="Palatino Linotype" w:hAnsi="Palatino Linotype" w:cs="Segoe UI Historic"/>
        </w:rPr>
        <w:t xml:space="preserve"> provide</w:t>
      </w:r>
      <w:r w:rsidRPr="00882303" w:rsidR="000D12CB">
        <w:rPr>
          <w:rStyle w:val="eop"/>
          <w:rFonts w:ascii="Palatino Linotype" w:hAnsi="Palatino Linotype" w:cs="Segoe UI Historic"/>
        </w:rPr>
        <w:t xml:space="preserve"> both</w:t>
      </w:r>
      <w:r w:rsidRPr="00882303" w:rsidR="00A20365">
        <w:rPr>
          <w:rStyle w:val="eop"/>
          <w:rFonts w:ascii="Palatino Linotype" w:hAnsi="Palatino Linotype" w:cs="Segoe UI Historic"/>
        </w:rPr>
        <w:t xml:space="preserve"> a track-change</w:t>
      </w:r>
      <w:r w:rsidRPr="00882303" w:rsidR="0059634B">
        <w:rPr>
          <w:rStyle w:val="eop"/>
          <w:rFonts w:ascii="Palatino Linotype" w:hAnsi="Palatino Linotype" w:cs="Segoe UI Historic"/>
        </w:rPr>
        <w:t>d update</w:t>
      </w:r>
      <w:r w:rsidRPr="00882303" w:rsidR="0038562F">
        <w:rPr>
          <w:rStyle w:val="eop"/>
          <w:rFonts w:ascii="Palatino Linotype" w:hAnsi="Palatino Linotype" w:cs="Segoe UI Historic"/>
        </w:rPr>
        <w:t xml:space="preserve"> to its</w:t>
      </w:r>
      <w:r w:rsidRPr="00882303" w:rsidR="0059634B">
        <w:rPr>
          <w:rStyle w:val="eop"/>
          <w:rFonts w:ascii="Palatino Linotype" w:hAnsi="Palatino Linotype" w:cs="Segoe UI Historic"/>
        </w:rPr>
        <w:t xml:space="preserve"> </w:t>
      </w:r>
      <w:r w:rsidRPr="00882303" w:rsidR="0038562F">
        <w:rPr>
          <w:rStyle w:val="eop"/>
          <w:rFonts w:ascii="Palatino Linotype" w:hAnsi="Palatino Linotype" w:cs="Segoe UI Historic"/>
        </w:rPr>
        <w:t>FY 202</w:t>
      </w:r>
      <w:r w:rsidRPr="00882303" w:rsidR="002C0423">
        <w:rPr>
          <w:rStyle w:val="eop"/>
          <w:rFonts w:ascii="Palatino Linotype" w:hAnsi="Palatino Linotype" w:cs="Segoe UI Historic"/>
        </w:rPr>
        <w:t>3-</w:t>
      </w:r>
      <w:r w:rsidRPr="00882303" w:rsidR="0038562F">
        <w:rPr>
          <w:rStyle w:val="eop"/>
          <w:rFonts w:ascii="Palatino Linotype" w:hAnsi="Palatino Linotype" w:cs="Segoe UI Historic"/>
        </w:rPr>
        <w:t>202</w:t>
      </w:r>
      <w:r w:rsidRPr="00882303" w:rsidR="002C0423">
        <w:rPr>
          <w:rStyle w:val="eop"/>
          <w:rFonts w:ascii="Palatino Linotype" w:hAnsi="Palatino Linotype" w:cs="Segoe UI Historic"/>
        </w:rPr>
        <w:t>4</w:t>
      </w:r>
      <w:r w:rsidRPr="00882303" w:rsidR="0038562F">
        <w:rPr>
          <w:rStyle w:val="eop"/>
          <w:rFonts w:ascii="Palatino Linotype" w:hAnsi="Palatino Linotype" w:cs="Segoe UI Historic"/>
        </w:rPr>
        <w:t xml:space="preserve"> </w:t>
      </w:r>
      <w:r w:rsidRPr="00882303" w:rsidR="0059634B">
        <w:rPr>
          <w:rStyle w:val="eop"/>
          <w:rFonts w:ascii="Palatino Linotype" w:hAnsi="Palatino Linotype" w:cs="Segoe UI Historic"/>
        </w:rPr>
        <w:t xml:space="preserve">Gas R&amp;D Plan along with a clean </w:t>
      </w:r>
      <w:r w:rsidRPr="00882303" w:rsidR="0038562F">
        <w:rPr>
          <w:rStyle w:val="eop"/>
          <w:rFonts w:ascii="Palatino Linotype" w:hAnsi="Palatino Linotype" w:cs="Segoe UI Historic"/>
        </w:rPr>
        <w:t>version</w:t>
      </w:r>
      <w:r w:rsidRPr="00882303" w:rsidDel="0038562F" w:rsidR="006D0F0D">
        <w:rPr>
          <w:rStyle w:val="eop"/>
          <w:rFonts w:ascii="Palatino Linotype" w:hAnsi="Palatino Linotype" w:cs="Segoe UI Historic"/>
        </w:rPr>
        <w:t xml:space="preserve"> </w:t>
      </w:r>
      <w:r w:rsidRPr="00882303" w:rsidR="006D0F0D">
        <w:rPr>
          <w:rStyle w:val="eop"/>
          <w:rFonts w:ascii="Palatino Linotype" w:hAnsi="Palatino Linotype" w:cs="Segoe UI Historic"/>
        </w:rPr>
        <w:t>so the C</w:t>
      </w:r>
      <w:r w:rsidRPr="00882303" w:rsidR="0038562F">
        <w:rPr>
          <w:rStyle w:val="eop"/>
          <w:rFonts w:ascii="Palatino Linotype" w:hAnsi="Palatino Linotype" w:cs="Segoe UI Historic"/>
        </w:rPr>
        <w:t>PUC</w:t>
      </w:r>
      <w:r w:rsidRPr="00882303" w:rsidR="006D0F0D">
        <w:rPr>
          <w:rStyle w:val="eop"/>
          <w:rFonts w:ascii="Palatino Linotype" w:hAnsi="Palatino Linotype" w:cs="Segoe UI Historic"/>
        </w:rPr>
        <w:t xml:space="preserve"> </w:t>
      </w:r>
      <w:r w:rsidRPr="00882303" w:rsidR="00450DB3">
        <w:rPr>
          <w:rStyle w:val="eop"/>
          <w:rFonts w:ascii="Palatino Linotype" w:hAnsi="Palatino Linotype" w:cs="Segoe UI Historic"/>
        </w:rPr>
        <w:t xml:space="preserve">and parties </w:t>
      </w:r>
      <w:r w:rsidRPr="00882303" w:rsidR="006D0F0D">
        <w:rPr>
          <w:rStyle w:val="eop"/>
          <w:rFonts w:ascii="Palatino Linotype" w:hAnsi="Palatino Linotype" w:cs="Segoe UI Historic"/>
        </w:rPr>
        <w:t>can easily review changes.</w:t>
      </w:r>
      <w:r w:rsidRPr="00882303" w:rsidR="00073C50">
        <w:rPr>
          <w:rStyle w:val="eop"/>
          <w:rFonts w:ascii="Palatino Linotype" w:hAnsi="Palatino Linotype" w:cs="Segoe UI Historic"/>
        </w:rPr>
        <w:t xml:space="preserve"> </w:t>
      </w:r>
      <w:r w:rsidRPr="00882303" w:rsidR="001823E3">
        <w:rPr>
          <w:rStyle w:val="eop"/>
          <w:rFonts w:ascii="Palatino Linotype" w:hAnsi="Palatino Linotype" w:cs="Segoe UI Historic"/>
        </w:rPr>
        <w:t xml:space="preserve">The CEC shall </w:t>
      </w:r>
      <w:r w:rsidRPr="00882303" w:rsidR="004849B7">
        <w:rPr>
          <w:rFonts w:ascii="Palatino Linotype" w:hAnsi="Palatino Linotype" w:cs="Segoe UI Historic"/>
        </w:rPr>
        <w:t xml:space="preserve">include </w:t>
      </w:r>
      <w:r w:rsidRPr="00882303" w:rsidR="000B605A">
        <w:rPr>
          <w:rFonts w:ascii="Palatino Linotype" w:hAnsi="Palatino Linotype" w:cs="Segoe UI Historic"/>
        </w:rPr>
        <w:t xml:space="preserve">additional </w:t>
      </w:r>
      <w:r w:rsidRPr="00882303" w:rsidR="000C5B27">
        <w:rPr>
          <w:rFonts w:ascii="Palatino Linotype" w:hAnsi="Palatino Linotype" w:cs="Segoe UI Historic"/>
        </w:rPr>
        <w:t xml:space="preserve">requirements in subsequent </w:t>
      </w:r>
      <w:r w:rsidRPr="00882303" w:rsidR="000B605A">
        <w:rPr>
          <w:rFonts w:ascii="Palatino Linotype" w:hAnsi="Palatino Linotype" w:cs="Segoe UI Historic"/>
        </w:rPr>
        <w:t xml:space="preserve">Gas R&amp;D </w:t>
      </w:r>
      <w:r w:rsidRPr="00882303" w:rsidR="00450DB3">
        <w:rPr>
          <w:rFonts w:ascii="Palatino Linotype" w:hAnsi="Palatino Linotype" w:cs="Segoe UI Historic"/>
        </w:rPr>
        <w:t>P</w:t>
      </w:r>
      <w:r w:rsidRPr="00882303" w:rsidR="000B605A">
        <w:rPr>
          <w:rFonts w:ascii="Palatino Linotype" w:hAnsi="Palatino Linotype" w:cs="Segoe UI Historic"/>
        </w:rPr>
        <w:t>lan submissions</w:t>
      </w:r>
      <w:r w:rsidRPr="00882303" w:rsidR="003769D2">
        <w:rPr>
          <w:rFonts w:ascii="Palatino Linotype" w:hAnsi="Palatino Linotype" w:cs="Segoe UI Historic"/>
        </w:rPr>
        <w:t xml:space="preserve"> as described below</w:t>
      </w:r>
      <w:r w:rsidRPr="00882303" w:rsidR="000C5B27">
        <w:rPr>
          <w:rFonts w:ascii="Palatino Linotype" w:hAnsi="Palatino Linotype" w:cs="Segoe UI Historic"/>
        </w:rPr>
        <w:t>.</w:t>
      </w:r>
      <w:r w:rsidRPr="00882303" w:rsidR="00135F38">
        <w:rPr>
          <w:rFonts w:ascii="Palatino Linotype" w:hAnsi="Palatino Linotype" w:cs="Segoe UI Historic"/>
        </w:rPr>
        <w:t xml:space="preserve"> </w:t>
      </w:r>
    </w:p>
    <w:p w:rsidRPr="00F84530" w:rsidR="71B9D62C" w:rsidP="71B9D62C" w:rsidRDefault="71B9D62C" w14:paraId="5DC9C10B" w14:textId="45A8D191">
      <w:pPr>
        <w:pStyle w:val="paragraph"/>
        <w:spacing w:after="0"/>
        <w:rPr>
          <w:rFonts w:ascii="Palatino Linotype" w:hAnsi="Palatino Linotype" w:cs="Segoe UI Historic"/>
          <w:b/>
          <w:bCs/>
          <w:sz w:val="2"/>
          <w:szCs w:val="2"/>
          <w:u w:val="single"/>
        </w:rPr>
      </w:pPr>
    </w:p>
    <w:p w:rsidRPr="00882303" w:rsidR="007F646D" w:rsidP="007F646D" w:rsidRDefault="007F646D" w14:paraId="7447D1EE" w14:textId="3A10AABD">
      <w:pPr>
        <w:pStyle w:val="paragraph"/>
        <w:spacing w:after="0"/>
        <w:textAlignment w:val="baseline"/>
        <w:rPr>
          <w:rFonts w:ascii="Palatino Linotype" w:hAnsi="Palatino Linotype" w:cs="Segoe UI Historic"/>
          <w:b/>
          <w:u w:val="single"/>
        </w:rPr>
      </w:pPr>
      <w:r w:rsidRPr="00882303">
        <w:rPr>
          <w:rFonts w:ascii="Palatino Linotype" w:hAnsi="Palatino Linotype" w:cs="Segoe UI Historic"/>
          <w:b/>
          <w:u w:val="single"/>
        </w:rPr>
        <w:t xml:space="preserve">COMMENTS </w:t>
      </w:r>
    </w:p>
    <w:p w:rsidRPr="00882303" w:rsidR="007F646D" w:rsidP="007F646D" w:rsidRDefault="007F646D" w14:paraId="6FC66F28" w14:textId="3F713D2E">
      <w:pPr>
        <w:pStyle w:val="paragraph"/>
        <w:spacing w:after="0"/>
        <w:textAlignment w:val="baseline"/>
        <w:rPr>
          <w:rFonts w:ascii="Palatino Linotype" w:hAnsi="Palatino Linotype" w:cs="Segoe UI Historic"/>
        </w:rPr>
      </w:pPr>
      <w:r w:rsidRPr="00882303">
        <w:rPr>
          <w:rFonts w:ascii="Palatino Linotype" w:hAnsi="Palatino Linotype" w:cs="Segoe UI Historic"/>
        </w:rPr>
        <w:t xml:space="preserve">Public Utilities Code section 311(g)(1) provides that this Resolution must be served on all parties and subject to at least 30 </w:t>
      </w:r>
      <w:proofErr w:type="gramStart"/>
      <w:r w:rsidRPr="00882303">
        <w:rPr>
          <w:rFonts w:ascii="Palatino Linotype" w:hAnsi="Palatino Linotype" w:cs="Segoe UI Historic"/>
        </w:rPr>
        <w:t>days</w:t>
      </w:r>
      <w:proofErr w:type="gramEnd"/>
      <w:r w:rsidRPr="00882303">
        <w:rPr>
          <w:rFonts w:ascii="Palatino Linotype" w:hAnsi="Palatino Linotype" w:cs="Segoe UI Historic"/>
        </w:rPr>
        <w:t xml:space="preserve"> public review.</w:t>
      </w:r>
      <w:r w:rsidRPr="00882303">
        <w:t> </w:t>
      </w:r>
      <w:r w:rsidRPr="00882303">
        <w:rPr>
          <w:rFonts w:ascii="Palatino Linotype" w:hAnsi="Palatino Linotype" w:cs="Segoe UI Historic"/>
        </w:rPr>
        <w:t xml:space="preserve"> Any comments are due within 20 days of the date of its mailing and publication on the Commission’s website and in accordance with any instructions accompanying the notice. Section 311(g)(2) provides that this 30-day review period and 20-day comment period may be reduced or waived upon the stipulation of all parties in the proceeding.</w:t>
      </w:r>
      <w:r w:rsidRPr="00882303">
        <w:t>  </w:t>
      </w:r>
      <w:r w:rsidRPr="00882303">
        <w:rPr>
          <w:rFonts w:ascii="Palatino Linotype" w:hAnsi="Palatino Linotype" w:cs="Segoe UI Historic"/>
        </w:rPr>
        <w:t xml:space="preserve"> </w:t>
      </w:r>
    </w:p>
    <w:p w:rsidRPr="00882303" w:rsidR="00297BF9" w:rsidP="007F646D" w:rsidRDefault="007F646D" w14:paraId="01A1F65D" w14:textId="77777777">
      <w:pPr>
        <w:pStyle w:val="paragraph"/>
        <w:spacing w:after="0"/>
        <w:textAlignment w:val="baseline"/>
        <w:rPr>
          <w:rFonts w:ascii="Palatino Linotype" w:hAnsi="Palatino Linotype" w:cs="Segoe UI Historic"/>
        </w:rPr>
      </w:pPr>
      <w:r w:rsidRPr="00882303">
        <w:rPr>
          <w:rFonts w:ascii="Palatino Linotype" w:hAnsi="Palatino Linotype" w:cs="Segoe UI Historic"/>
        </w:rPr>
        <w:t>The 30-day review and 20-day comment period for the draft of this resolution was neither waived nor reduced.</w:t>
      </w:r>
      <w:r w:rsidRPr="00882303">
        <w:t> </w:t>
      </w:r>
      <w:r w:rsidRPr="00882303">
        <w:rPr>
          <w:rFonts w:ascii="Palatino Linotype" w:hAnsi="Palatino Linotype" w:cs="Segoe UI Historic"/>
        </w:rPr>
        <w:t xml:space="preserve"> Accordingly, this draft resolution was mailed to parties for comments, and will be placed on the Commission's agenda no earlier than 30 days from today.</w:t>
      </w:r>
    </w:p>
    <w:p w:rsidRPr="00F84530" w:rsidR="71B9D62C" w:rsidP="71B9D62C" w:rsidRDefault="71B9D62C" w14:paraId="40ACA602" w14:textId="2276429C">
      <w:pPr>
        <w:pStyle w:val="paragraph"/>
        <w:spacing w:after="0"/>
        <w:rPr>
          <w:rFonts w:ascii="Palatino Linotype" w:hAnsi="Palatino Linotype" w:cs="Segoe UI Historic"/>
          <w:b/>
          <w:bCs/>
          <w:sz w:val="2"/>
          <w:szCs w:val="2"/>
          <w:u w:val="single"/>
        </w:rPr>
      </w:pPr>
    </w:p>
    <w:p w:rsidRPr="00882303" w:rsidR="00364F1B" w:rsidP="007F646D" w:rsidRDefault="00364F1B" w14:paraId="42583DF2" w14:textId="0ABCA210">
      <w:pPr>
        <w:pStyle w:val="paragraph"/>
        <w:spacing w:after="0"/>
        <w:textAlignment w:val="baseline"/>
        <w:rPr>
          <w:rFonts w:ascii="Palatino Linotype" w:hAnsi="Palatino Linotype" w:cs="Segoe UI Historic"/>
        </w:rPr>
      </w:pPr>
      <w:r w:rsidRPr="00882303">
        <w:rPr>
          <w:rFonts w:ascii="Palatino Linotype" w:hAnsi="Palatino Linotype" w:cs="Segoe UI Historic"/>
          <w:b/>
          <w:u w:val="single"/>
        </w:rPr>
        <w:t>FINDINGS</w:t>
      </w:r>
    </w:p>
    <w:p w:rsidRPr="00882303" w:rsidR="00B31107" w:rsidP="00B31107" w:rsidRDefault="00B31107" w14:paraId="781A3A72" w14:textId="25E4AF92">
      <w:pPr>
        <w:pStyle w:val="paragraph"/>
        <w:numPr>
          <w:ilvl w:val="0"/>
          <w:numId w:val="14"/>
        </w:numPr>
        <w:spacing w:after="240" w:afterAutospacing="0"/>
        <w:textAlignment w:val="baseline"/>
        <w:rPr>
          <w:rFonts w:ascii="Palatino Linotype" w:hAnsi="Palatino Linotype" w:cs="Segoe UI Historic"/>
        </w:rPr>
      </w:pPr>
      <w:r w:rsidRPr="00882303">
        <w:rPr>
          <w:rFonts w:ascii="Palatino Linotype" w:hAnsi="Palatino Linotype" w:cs="Segoe UI Historic"/>
        </w:rPr>
        <w:t>The California Energy Commission (CEC) filed its Fiscal Year 202</w:t>
      </w:r>
      <w:r w:rsidRPr="00882303" w:rsidR="003F383F">
        <w:rPr>
          <w:rFonts w:ascii="Palatino Linotype" w:hAnsi="Palatino Linotype" w:cs="Segoe UI Historic"/>
        </w:rPr>
        <w:t>3-</w:t>
      </w:r>
      <w:r w:rsidRPr="00882303">
        <w:rPr>
          <w:rFonts w:ascii="Palatino Linotype" w:hAnsi="Palatino Linotype" w:cs="Segoe UI Historic"/>
        </w:rPr>
        <w:t>202</w:t>
      </w:r>
      <w:r w:rsidRPr="00882303" w:rsidR="003F383F">
        <w:rPr>
          <w:rFonts w:ascii="Palatino Linotype" w:hAnsi="Palatino Linotype" w:cs="Segoe UI Historic"/>
        </w:rPr>
        <w:t>4</w:t>
      </w:r>
      <w:r w:rsidRPr="00882303">
        <w:rPr>
          <w:rFonts w:ascii="Palatino Linotype" w:hAnsi="Palatino Linotype" w:cs="Segoe UI Historic"/>
        </w:rPr>
        <w:t xml:space="preserve"> Gas Research and Development Program budget and program plan, per </w:t>
      </w:r>
      <w:r w:rsidRPr="00882303" w:rsidR="007D0248">
        <w:rPr>
          <w:rFonts w:ascii="Palatino Linotype" w:hAnsi="Palatino Linotype" w:cs="Segoe UI Historic"/>
        </w:rPr>
        <w:br/>
      </w:r>
      <w:r w:rsidRPr="00882303">
        <w:rPr>
          <w:rFonts w:ascii="Palatino Linotype" w:hAnsi="Palatino Linotype" w:cs="Segoe UI Historic"/>
        </w:rPr>
        <w:t>Decision (D.) 04-08-010.</w:t>
      </w:r>
    </w:p>
    <w:p w:rsidRPr="00882303" w:rsidR="0089581E" w:rsidRDefault="00B31107" w14:paraId="3659C9E1" w14:textId="26C2BF9C">
      <w:pPr>
        <w:pStyle w:val="paragraph"/>
        <w:numPr>
          <w:ilvl w:val="0"/>
          <w:numId w:val="14"/>
        </w:numPr>
        <w:spacing w:after="240" w:afterAutospacing="0"/>
        <w:textAlignment w:val="baseline"/>
        <w:rPr>
          <w:rFonts w:ascii="Palatino Linotype" w:hAnsi="Palatino Linotype" w:cs="Segoe UI Historic"/>
        </w:rPr>
      </w:pPr>
      <w:r w:rsidRPr="00882303">
        <w:rPr>
          <w:rFonts w:ascii="Palatino Linotype" w:hAnsi="Palatino Linotype" w:cs="Segoe UI Historic"/>
        </w:rPr>
        <w:t xml:space="preserve">The CEC’s plan </w:t>
      </w:r>
      <w:r w:rsidRPr="00882303" w:rsidR="006D45BB">
        <w:rPr>
          <w:rFonts w:ascii="Palatino Linotype" w:hAnsi="Palatino Linotype" w:cs="Segoe UI Historic"/>
        </w:rPr>
        <w:t>generally</w:t>
      </w:r>
      <w:r w:rsidRPr="00882303">
        <w:rPr>
          <w:rFonts w:ascii="Palatino Linotype" w:hAnsi="Palatino Linotype" w:cs="Segoe UI Historic"/>
        </w:rPr>
        <w:t xml:space="preserve"> meets the requirements of D.04-08-010</w:t>
      </w:r>
      <w:r w:rsidRPr="00882303" w:rsidR="006D45BB">
        <w:rPr>
          <w:rFonts w:ascii="Palatino Linotype" w:hAnsi="Palatino Linotype" w:cs="Segoe UI Historic"/>
        </w:rPr>
        <w:t>, except where noted</w:t>
      </w:r>
      <w:r w:rsidRPr="00882303" w:rsidR="0030768D">
        <w:rPr>
          <w:rFonts w:ascii="Palatino Linotype" w:hAnsi="Palatino Linotype" w:cs="Segoe UI Historic"/>
        </w:rPr>
        <w:t>.</w:t>
      </w:r>
    </w:p>
    <w:p w:rsidRPr="00882303" w:rsidR="00E73673" w:rsidRDefault="00E73673" w14:paraId="0A3217BD" w14:textId="315B0EA7">
      <w:pPr>
        <w:pStyle w:val="paragraph"/>
        <w:numPr>
          <w:ilvl w:val="0"/>
          <w:numId w:val="14"/>
        </w:numPr>
        <w:spacing w:after="240" w:afterAutospacing="0"/>
        <w:textAlignment w:val="baseline"/>
        <w:rPr>
          <w:rFonts w:ascii="Palatino Linotype" w:hAnsi="Palatino Linotype" w:cs="Segoe UI Historic"/>
        </w:rPr>
      </w:pPr>
      <w:r w:rsidRPr="00882303">
        <w:rPr>
          <w:rFonts w:ascii="Palatino Linotype" w:hAnsi="Palatino Linotype" w:cs="Segoe UI Historic"/>
        </w:rPr>
        <w:t>The CEC’s plan sufficiently me</w:t>
      </w:r>
      <w:r w:rsidRPr="00882303" w:rsidR="00C605C8">
        <w:rPr>
          <w:rFonts w:ascii="Palatino Linotype" w:hAnsi="Palatino Linotype" w:cs="Segoe UI Historic"/>
        </w:rPr>
        <w:t>e</w:t>
      </w:r>
      <w:r w:rsidRPr="00882303">
        <w:rPr>
          <w:rFonts w:ascii="Palatino Linotype" w:hAnsi="Palatino Linotype" w:cs="Segoe UI Historic"/>
        </w:rPr>
        <w:t>t</w:t>
      </w:r>
      <w:r w:rsidRPr="00882303" w:rsidR="00C605C8">
        <w:rPr>
          <w:rFonts w:ascii="Palatino Linotype" w:hAnsi="Palatino Linotype" w:cs="Segoe UI Historic"/>
        </w:rPr>
        <w:t>s</w:t>
      </w:r>
      <w:r w:rsidRPr="00882303">
        <w:rPr>
          <w:rFonts w:ascii="Palatino Linotype" w:hAnsi="Palatino Linotype" w:cs="Segoe UI Historic"/>
        </w:rPr>
        <w:t xml:space="preserve"> the Accounting Requirements of G-3484 (2020).</w:t>
      </w:r>
    </w:p>
    <w:p w:rsidRPr="00882303" w:rsidR="002B0F95" w:rsidRDefault="002B0F95" w14:paraId="3A31B940" w14:textId="79BF7BE7">
      <w:pPr>
        <w:pStyle w:val="paragraph"/>
        <w:numPr>
          <w:ilvl w:val="0"/>
          <w:numId w:val="14"/>
        </w:numPr>
        <w:spacing w:after="240" w:afterAutospacing="0"/>
        <w:textAlignment w:val="baseline"/>
        <w:rPr>
          <w:rFonts w:ascii="Palatino Linotype" w:hAnsi="Palatino Linotype" w:cs="Segoe UI Historic"/>
        </w:rPr>
      </w:pPr>
      <w:r w:rsidRPr="00882303">
        <w:rPr>
          <w:rFonts w:ascii="Palatino Linotype" w:hAnsi="Palatino Linotype" w:cs="Segoe UI Historic"/>
        </w:rPr>
        <w:lastRenderedPageBreak/>
        <w:t>The CEC’s plan sufficiently addresses the research topic areas required in G-3584</w:t>
      </w:r>
      <w:r w:rsidRPr="00882303" w:rsidR="00E73673">
        <w:rPr>
          <w:rFonts w:ascii="Palatino Linotype" w:hAnsi="Palatino Linotype" w:cs="Segoe UI Historic"/>
        </w:rPr>
        <w:t xml:space="preserve"> (2021)</w:t>
      </w:r>
      <w:r w:rsidRPr="00882303">
        <w:rPr>
          <w:rFonts w:ascii="Palatino Linotype" w:hAnsi="Palatino Linotype" w:cs="Segoe UI Historic"/>
        </w:rPr>
        <w:t xml:space="preserve">. </w:t>
      </w:r>
      <w:r w:rsidRPr="00882303" w:rsidR="00A2458D">
        <w:rPr>
          <w:rFonts w:ascii="Palatino Linotype" w:hAnsi="Palatino Linotype" w:cs="Segoe UI Historic"/>
        </w:rPr>
        <w:t xml:space="preserve"> </w:t>
      </w:r>
    </w:p>
    <w:p w:rsidRPr="00882303" w:rsidR="00A2458D" w:rsidRDefault="00A2458D" w14:paraId="629BB721" w14:textId="0602461C">
      <w:pPr>
        <w:pStyle w:val="paragraph"/>
        <w:numPr>
          <w:ilvl w:val="0"/>
          <w:numId w:val="14"/>
        </w:numPr>
        <w:spacing w:after="240" w:afterAutospacing="0"/>
        <w:textAlignment w:val="baseline"/>
        <w:rPr>
          <w:rFonts w:ascii="Palatino Linotype" w:hAnsi="Palatino Linotype" w:cs="Segoe UI Historic"/>
        </w:rPr>
      </w:pPr>
      <w:r w:rsidRPr="00882303">
        <w:rPr>
          <w:rFonts w:ascii="Palatino Linotype" w:hAnsi="Palatino Linotype" w:cs="Segoe UI Historic"/>
        </w:rPr>
        <w:t>The CEC’s plan generally meets the requirements of G-3592 (2023), except where noted.</w:t>
      </w:r>
    </w:p>
    <w:p w:rsidRPr="00882303" w:rsidR="006D5797" w:rsidP="00D551FF" w:rsidRDefault="0089581E" w14:paraId="2A935632" w14:textId="177B3203">
      <w:pPr>
        <w:pStyle w:val="paragraph"/>
        <w:numPr>
          <w:ilvl w:val="0"/>
          <w:numId w:val="14"/>
        </w:numPr>
        <w:spacing w:after="240" w:afterAutospacing="0"/>
        <w:textAlignment w:val="baseline"/>
        <w:rPr>
          <w:rFonts w:ascii="Palatino Linotype" w:hAnsi="Palatino Linotype" w:cs="Segoe UI Historic"/>
        </w:rPr>
      </w:pPr>
      <w:r w:rsidRPr="00882303">
        <w:rPr>
          <w:rFonts w:ascii="Palatino Linotype" w:hAnsi="Palatino Linotype" w:cs="Segoe UI Historic"/>
        </w:rPr>
        <w:t xml:space="preserve">The CEC’s request for </w:t>
      </w:r>
      <w:r w:rsidRPr="00882303" w:rsidR="00241B79">
        <w:rPr>
          <w:rFonts w:ascii="Palatino Linotype" w:hAnsi="Palatino Linotype" w:cs="Segoe UI Historic"/>
        </w:rPr>
        <w:t xml:space="preserve">a </w:t>
      </w:r>
      <w:r w:rsidRPr="00882303">
        <w:rPr>
          <w:rFonts w:ascii="Palatino Linotype" w:hAnsi="Palatino Linotype" w:cs="Segoe UI Historic"/>
        </w:rPr>
        <w:t>10 percent budget for administrative expenses</w:t>
      </w:r>
      <w:r w:rsidRPr="00882303" w:rsidR="00311C07">
        <w:rPr>
          <w:rFonts w:ascii="Palatino Linotype" w:hAnsi="Palatino Linotype" w:cs="Segoe UI Historic"/>
        </w:rPr>
        <w:t>, or</w:t>
      </w:r>
      <w:r w:rsidRPr="00882303">
        <w:rPr>
          <w:rFonts w:ascii="Palatino Linotype" w:hAnsi="Palatino Linotype" w:cs="Segoe UI Historic"/>
        </w:rPr>
        <w:t xml:space="preserve"> </w:t>
      </w:r>
      <w:r w:rsidRPr="00882303" w:rsidR="007D0248">
        <w:rPr>
          <w:rFonts w:ascii="Palatino Linotype" w:hAnsi="Palatino Linotype" w:cs="Segoe UI Historic"/>
        </w:rPr>
        <w:br/>
      </w:r>
      <w:r w:rsidRPr="00882303" w:rsidR="00311C07">
        <w:rPr>
          <w:rFonts w:ascii="Palatino Linotype" w:hAnsi="Palatino Linotype" w:cs="Segoe UI Historic"/>
        </w:rPr>
        <w:t xml:space="preserve">$2.4 million, </w:t>
      </w:r>
      <w:r w:rsidRPr="00882303">
        <w:rPr>
          <w:rFonts w:ascii="Palatino Linotype" w:hAnsi="Palatino Linotype" w:cs="Segoe UI Historic"/>
        </w:rPr>
        <w:t xml:space="preserve">is appropriate. </w:t>
      </w:r>
    </w:p>
    <w:p w:rsidRPr="00882303" w:rsidR="00B31107" w:rsidRDefault="00E029FF" w14:paraId="249E3A14" w14:textId="463FFD44">
      <w:pPr>
        <w:pStyle w:val="paragraph"/>
        <w:numPr>
          <w:ilvl w:val="0"/>
          <w:numId w:val="14"/>
        </w:numPr>
        <w:spacing w:after="240" w:afterAutospacing="0"/>
        <w:textAlignment w:val="baseline"/>
        <w:rPr>
          <w:rFonts w:ascii="Palatino Linotype" w:hAnsi="Palatino Linotype" w:cs="Segoe UI Historic"/>
        </w:rPr>
      </w:pPr>
      <w:r w:rsidRPr="00882303">
        <w:rPr>
          <w:rFonts w:ascii="Palatino Linotype" w:hAnsi="Palatino Linotype" w:cs="Segoe UI Historic"/>
        </w:rPr>
        <w:t xml:space="preserve">CPUC </w:t>
      </w:r>
      <w:r w:rsidRPr="00882303" w:rsidR="00C97C2F">
        <w:rPr>
          <w:rFonts w:ascii="Palatino Linotype" w:hAnsi="Palatino Linotype" w:cs="Segoe UI Historic"/>
        </w:rPr>
        <w:t xml:space="preserve">finds </w:t>
      </w:r>
      <w:r w:rsidRPr="00882303">
        <w:rPr>
          <w:rFonts w:ascii="Palatino Linotype" w:hAnsi="Palatino Linotype" w:cs="Segoe UI Historic"/>
        </w:rPr>
        <w:t xml:space="preserve">that </w:t>
      </w:r>
      <w:r w:rsidRPr="00882303" w:rsidR="004C2FD1">
        <w:rPr>
          <w:rFonts w:ascii="Palatino Linotype" w:hAnsi="Palatino Linotype" w:cs="Segoe UI Historic"/>
        </w:rPr>
        <w:t>the CEC</w:t>
      </w:r>
      <w:r w:rsidRPr="00882303" w:rsidR="00C92FB5">
        <w:rPr>
          <w:rFonts w:ascii="Palatino Linotype" w:hAnsi="Palatino Linotype" w:cs="Segoe UI Historic"/>
        </w:rPr>
        <w:t xml:space="preserve"> must apply impact analysis methodology as soon as it is </w:t>
      </w:r>
      <w:r w:rsidRPr="00882303" w:rsidR="00E03675">
        <w:rPr>
          <w:rFonts w:ascii="Palatino Linotype" w:hAnsi="Palatino Linotype" w:cs="Segoe UI Historic"/>
        </w:rPr>
        <w:t>adopted by the CPUC in the EPIC proceeding.</w:t>
      </w:r>
      <w:r w:rsidRPr="00882303" w:rsidR="00C92FB5">
        <w:rPr>
          <w:rFonts w:ascii="Palatino Linotype" w:hAnsi="Palatino Linotype" w:cs="Segoe UI Historic"/>
        </w:rPr>
        <w:t xml:space="preserve"> </w:t>
      </w:r>
    </w:p>
    <w:p w:rsidRPr="00882303" w:rsidR="00C97C2F" w:rsidP="00C97C2F" w:rsidRDefault="00E73673" w14:paraId="049C4262" w14:textId="0B7184AB">
      <w:pPr>
        <w:pStyle w:val="paragraph"/>
        <w:numPr>
          <w:ilvl w:val="0"/>
          <w:numId w:val="14"/>
        </w:numPr>
        <w:spacing w:after="240" w:afterAutospacing="0"/>
        <w:textAlignment w:val="baseline"/>
        <w:rPr>
          <w:rFonts w:ascii="Palatino Linotype" w:hAnsi="Palatino Linotype" w:cs="Segoe UI Historic"/>
        </w:rPr>
      </w:pPr>
      <w:r w:rsidRPr="00882303">
        <w:rPr>
          <w:rFonts w:ascii="Palatino Linotype" w:hAnsi="Palatino Linotype" w:cs="Segoe UI Historic"/>
        </w:rPr>
        <w:t xml:space="preserve">CPUC </w:t>
      </w:r>
      <w:r w:rsidRPr="00882303" w:rsidR="00C97C2F">
        <w:rPr>
          <w:rFonts w:ascii="Palatino Linotype" w:hAnsi="Palatino Linotype" w:cs="Segoe UI Historic"/>
        </w:rPr>
        <w:t xml:space="preserve">finds </w:t>
      </w:r>
      <w:r w:rsidRPr="00882303">
        <w:rPr>
          <w:rFonts w:ascii="Palatino Linotype" w:hAnsi="Palatino Linotype" w:cs="Segoe UI Historic"/>
        </w:rPr>
        <w:t>that the CEC’s FY 202</w:t>
      </w:r>
      <w:r w:rsidRPr="00882303" w:rsidR="00576F91">
        <w:rPr>
          <w:rFonts w:ascii="Palatino Linotype" w:hAnsi="Palatino Linotype" w:cs="Segoe UI Historic"/>
        </w:rPr>
        <w:t>3</w:t>
      </w:r>
      <w:r w:rsidRPr="00882303">
        <w:rPr>
          <w:rFonts w:ascii="Palatino Linotype" w:hAnsi="Palatino Linotype" w:cs="Segoe UI Historic"/>
        </w:rPr>
        <w:t>-202</w:t>
      </w:r>
      <w:r w:rsidRPr="00882303" w:rsidR="00576F91">
        <w:rPr>
          <w:rFonts w:ascii="Palatino Linotype" w:hAnsi="Palatino Linotype" w:cs="Segoe UI Historic"/>
        </w:rPr>
        <w:t>4 and beyond</w:t>
      </w:r>
      <w:r w:rsidRPr="00882303">
        <w:rPr>
          <w:rFonts w:ascii="Palatino Linotype" w:hAnsi="Palatino Linotype" w:cs="Segoe UI Historic"/>
        </w:rPr>
        <w:t xml:space="preserve"> Gas R&amp;D Plan</w:t>
      </w:r>
      <w:r w:rsidRPr="00882303" w:rsidR="00576F91">
        <w:rPr>
          <w:rFonts w:ascii="Palatino Linotype" w:hAnsi="Palatino Linotype" w:cs="Segoe UI Historic"/>
        </w:rPr>
        <w:t>s</w:t>
      </w:r>
      <w:r w:rsidRPr="00882303">
        <w:rPr>
          <w:rFonts w:ascii="Palatino Linotype" w:hAnsi="Palatino Linotype" w:cs="Segoe UI Historic"/>
        </w:rPr>
        <w:t xml:space="preserve"> </w:t>
      </w:r>
      <w:r w:rsidRPr="00882303" w:rsidR="002707EB">
        <w:rPr>
          <w:rFonts w:ascii="Palatino Linotype" w:hAnsi="Palatino Linotype" w:cs="Segoe UI Historic"/>
        </w:rPr>
        <w:t xml:space="preserve">shall </w:t>
      </w:r>
      <w:r w:rsidRPr="00882303">
        <w:rPr>
          <w:rFonts w:ascii="Palatino Linotype" w:hAnsi="Palatino Linotype" w:cs="Segoe UI Historic"/>
        </w:rPr>
        <w:t xml:space="preserve">provide more information on </w:t>
      </w:r>
      <w:r w:rsidRPr="00882303" w:rsidR="002707EB">
        <w:rPr>
          <w:rFonts w:ascii="Palatino Linotype" w:hAnsi="Palatino Linotype" w:cs="Segoe UI Historic"/>
        </w:rPr>
        <w:t>collaboration and co-funding</w:t>
      </w:r>
      <w:r w:rsidRPr="00882303" w:rsidR="00F82106">
        <w:rPr>
          <w:rFonts w:ascii="Palatino Linotype" w:hAnsi="Palatino Linotype" w:cs="Segoe UI Historic"/>
        </w:rPr>
        <w:t>.</w:t>
      </w:r>
      <w:r w:rsidRPr="00882303" w:rsidR="00A2458D">
        <w:rPr>
          <w:rFonts w:ascii="Palatino Linotype" w:hAnsi="Palatino Linotype" w:cs="Segoe UI Historic"/>
        </w:rPr>
        <w:t xml:space="preserve"> </w:t>
      </w:r>
    </w:p>
    <w:p w:rsidRPr="00882303" w:rsidR="00A2458D" w:rsidP="00C97C2F" w:rsidRDefault="00473CA0" w14:paraId="73F9800C" w14:textId="763381E3">
      <w:pPr>
        <w:pStyle w:val="paragraph"/>
        <w:numPr>
          <w:ilvl w:val="0"/>
          <w:numId w:val="14"/>
        </w:numPr>
        <w:spacing w:after="240" w:afterAutospacing="0"/>
        <w:textAlignment w:val="baseline"/>
        <w:rPr>
          <w:rFonts w:ascii="Palatino Linotype" w:hAnsi="Palatino Linotype" w:cs="Segoe UI Historic"/>
        </w:rPr>
      </w:pPr>
      <w:r w:rsidRPr="00882303">
        <w:rPr>
          <w:rFonts w:ascii="Palatino Linotype" w:hAnsi="Palatino Linotype" w:cs="Segoe UI Historic"/>
        </w:rPr>
        <w:t>CPUC finds that the CEC should reallocate the $10</w:t>
      </w:r>
      <w:r w:rsidRPr="00882303" w:rsidR="00F30ABD">
        <w:rPr>
          <w:rFonts w:ascii="Palatino Linotype" w:hAnsi="Palatino Linotype" w:cs="Segoe UI Historic"/>
        </w:rPr>
        <w:t>,130,876</w:t>
      </w:r>
      <w:r w:rsidRPr="00882303">
        <w:rPr>
          <w:rFonts w:ascii="Palatino Linotype" w:hAnsi="Palatino Linotype" w:cs="Segoe UI Historic"/>
        </w:rPr>
        <w:t xml:space="preserve"> originally proposed to the Gas Leakage Mitigation Initiative theme. </w:t>
      </w:r>
    </w:p>
    <w:p w:rsidR="00F30ABD" w:rsidP="00C97C2F" w:rsidRDefault="00F30ABD" w14:paraId="6D5E4164" w14:textId="4244FB72">
      <w:pPr>
        <w:pStyle w:val="paragraph"/>
        <w:numPr>
          <w:ilvl w:val="0"/>
          <w:numId w:val="14"/>
        </w:numPr>
        <w:spacing w:after="240" w:afterAutospacing="0"/>
        <w:textAlignment w:val="baseline"/>
        <w:rPr>
          <w:rFonts w:ascii="Palatino Linotype" w:hAnsi="Palatino Linotype" w:cs="Segoe UI Historic"/>
        </w:rPr>
      </w:pPr>
      <w:r w:rsidRPr="00882303">
        <w:rPr>
          <w:rFonts w:ascii="Palatino Linotype" w:hAnsi="Palatino Linotype" w:cs="Segoe UI Historic"/>
        </w:rPr>
        <w:t>CPUC finds that the CEC should provide more detail on its Leveraging Cost Share Opportunities Initiative theme</w:t>
      </w:r>
      <w:r w:rsidRPr="00882303" w:rsidR="006A5BCB">
        <w:rPr>
          <w:rFonts w:ascii="Palatino Linotype" w:hAnsi="Palatino Linotype" w:cs="Segoe UI Historic"/>
        </w:rPr>
        <w:t xml:space="preserve"> and how the projects are consistent with approved initiatives and </w:t>
      </w:r>
      <w:r w:rsidRPr="00882303" w:rsidR="00BD71F8">
        <w:rPr>
          <w:rFonts w:ascii="Palatino Linotype" w:hAnsi="Palatino Linotype" w:cs="Segoe UI Historic"/>
        </w:rPr>
        <w:t xml:space="preserve">benefit </w:t>
      </w:r>
      <w:r w:rsidRPr="00882303" w:rsidR="00AE5BBC">
        <w:rPr>
          <w:rFonts w:ascii="Palatino Linotype" w:hAnsi="Palatino Linotype" w:cs="Segoe UI Historic"/>
        </w:rPr>
        <w:t>ratepayers</w:t>
      </w:r>
      <w:r w:rsidRPr="00882303">
        <w:rPr>
          <w:rFonts w:ascii="Palatino Linotype" w:hAnsi="Palatino Linotype" w:cs="Segoe UI Historic"/>
        </w:rPr>
        <w:t>.</w:t>
      </w:r>
    </w:p>
    <w:p w:rsidRPr="00F84530" w:rsidR="00DF76F7" w:rsidP="00DF76F7" w:rsidRDefault="00DF76F7" w14:paraId="72BC84FF" w14:textId="77777777">
      <w:pPr>
        <w:pStyle w:val="paragraph"/>
        <w:spacing w:after="240" w:afterAutospacing="0"/>
        <w:textAlignment w:val="baseline"/>
        <w:rPr>
          <w:rFonts w:ascii="Palatino Linotype" w:hAnsi="Palatino Linotype" w:cs="Segoe UI Historic"/>
          <w:sz w:val="2"/>
          <w:szCs w:val="2"/>
        </w:rPr>
      </w:pPr>
    </w:p>
    <w:p w:rsidRPr="00882303" w:rsidR="001530E2" w:rsidP="001530E2" w:rsidRDefault="007A5180" w14:paraId="3DD07124" w14:textId="76710492">
      <w:pPr>
        <w:pStyle w:val="paragraph"/>
        <w:spacing w:after="240" w:afterAutospacing="0"/>
        <w:textAlignment w:val="baseline"/>
        <w:rPr>
          <w:rFonts w:ascii="Palatino Linotype" w:hAnsi="Palatino Linotype" w:cs="Segoe UI Historic"/>
        </w:rPr>
      </w:pPr>
      <w:r w:rsidRPr="00882303">
        <w:rPr>
          <w:rFonts w:ascii="Palatino Linotype" w:hAnsi="Palatino Linotype" w:cs="Segoe UI Historic"/>
          <w:b/>
          <w:u w:val="single"/>
        </w:rPr>
        <w:t>THEREFORE,</w:t>
      </w:r>
      <w:r w:rsidRPr="00882303" w:rsidR="001530E2">
        <w:rPr>
          <w:rFonts w:ascii="Palatino Linotype" w:hAnsi="Palatino Linotype" w:cs="Segoe UI Historic"/>
          <w:b/>
          <w:u w:val="single"/>
        </w:rPr>
        <w:t xml:space="preserve"> IT IS ORDERED THAT:</w:t>
      </w:r>
    </w:p>
    <w:p w:rsidRPr="00882303" w:rsidR="00CE21DC" w:rsidP="001530E2" w:rsidRDefault="00CE21DC" w14:paraId="19CDE02B" w14:textId="48D61399">
      <w:pPr>
        <w:pStyle w:val="paragraph"/>
        <w:numPr>
          <w:ilvl w:val="0"/>
          <w:numId w:val="15"/>
        </w:numPr>
        <w:spacing w:after="240" w:afterAutospacing="0"/>
        <w:textAlignment w:val="baseline"/>
        <w:rPr>
          <w:rFonts w:ascii="Palatino Linotype" w:hAnsi="Palatino Linotype" w:cs="Segoe UI Historic"/>
        </w:rPr>
      </w:pPr>
      <w:r w:rsidRPr="00882303">
        <w:rPr>
          <w:rFonts w:ascii="Palatino Linotype" w:hAnsi="Palatino Linotype" w:cs="Segoe UI Historic"/>
        </w:rPr>
        <w:t>The Gas R&amp;D program</w:t>
      </w:r>
      <w:r w:rsidRPr="00882303" w:rsidR="0001136D">
        <w:rPr>
          <w:rFonts w:ascii="Palatino Linotype" w:hAnsi="Palatino Linotype" w:cs="Segoe UI Historic"/>
        </w:rPr>
        <w:t xml:space="preserve"> funding level for F</w:t>
      </w:r>
      <w:r w:rsidRPr="00882303" w:rsidR="00B8281B">
        <w:rPr>
          <w:rFonts w:ascii="Palatino Linotype" w:hAnsi="Palatino Linotype" w:cs="Segoe UI Historic"/>
        </w:rPr>
        <w:t>iscal Year 2</w:t>
      </w:r>
      <w:r w:rsidRPr="00882303" w:rsidR="0001136D">
        <w:rPr>
          <w:rFonts w:ascii="Palatino Linotype" w:hAnsi="Palatino Linotype" w:cs="Segoe UI Historic"/>
        </w:rPr>
        <w:t>02</w:t>
      </w:r>
      <w:r w:rsidRPr="00882303" w:rsidR="003F383F">
        <w:rPr>
          <w:rFonts w:ascii="Palatino Linotype" w:hAnsi="Palatino Linotype" w:cs="Segoe UI Historic"/>
        </w:rPr>
        <w:t>3-2024</w:t>
      </w:r>
      <w:r w:rsidRPr="00882303" w:rsidR="008C202A">
        <w:rPr>
          <w:rFonts w:ascii="Palatino Linotype" w:hAnsi="Palatino Linotype" w:cs="Segoe UI Historic"/>
        </w:rPr>
        <w:t xml:space="preserve"> (AL</w:t>
      </w:r>
      <w:r w:rsidRPr="00882303" w:rsidR="003F383F">
        <w:rPr>
          <w:rFonts w:ascii="Palatino Linotype" w:hAnsi="Palatino Linotype" w:cs="Segoe UI Historic"/>
        </w:rPr>
        <w:t xml:space="preserve"> 5</w:t>
      </w:r>
      <w:r w:rsidRPr="00882303" w:rsidR="008C202A">
        <w:rPr>
          <w:rFonts w:ascii="Palatino Linotype" w:hAnsi="Palatino Linotype" w:cs="Segoe UI Historic"/>
        </w:rPr>
        <w:t>-G)</w:t>
      </w:r>
      <w:r w:rsidRPr="00882303" w:rsidR="0001136D">
        <w:rPr>
          <w:rFonts w:ascii="Palatino Linotype" w:hAnsi="Palatino Linotype" w:cs="Segoe UI Historic"/>
        </w:rPr>
        <w:t xml:space="preserve"> is $24</w:t>
      </w:r>
      <w:r w:rsidRPr="00882303" w:rsidR="0021009C">
        <w:rPr>
          <w:rFonts w:ascii="Palatino Linotype" w:hAnsi="Palatino Linotype" w:cs="Segoe UI Historic"/>
        </w:rPr>
        <w:t xml:space="preserve">,000,000 </w:t>
      </w:r>
      <w:r w:rsidRPr="00882303" w:rsidR="008B2B78">
        <w:rPr>
          <w:rFonts w:ascii="Palatino Linotype" w:hAnsi="Palatino Linotype" w:cs="Segoe UI Historic"/>
        </w:rPr>
        <w:t xml:space="preserve">plus $6,536,412 in unspent funds, </w:t>
      </w:r>
      <w:r w:rsidRPr="00882303" w:rsidR="0021009C">
        <w:rPr>
          <w:rFonts w:ascii="Palatino Linotype" w:hAnsi="Palatino Linotype" w:cs="Segoe UI Historic"/>
        </w:rPr>
        <w:t>totaling</w:t>
      </w:r>
      <w:r w:rsidRPr="00882303" w:rsidR="008B2B78">
        <w:rPr>
          <w:rFonts w:ascii="Palatino Linotype" w:hAnsi="Palatino Linotype" w:cs="Segoe UI Historic"/>
        </w:rPr>
        <w:t xml:space="preserve"> $30,</w:t>
      </w:r>
      <w:r w:rsidRPr="00882303" w:rsidR="0021009C">
        <w:rPr>
          <w:rFonts w:ascii="Palatino Linotype" w:hAnsi="Palatino Linotype" w:cs="Segoe UI Historic"/>
        </w:rPr>
        <w:t>536,412.</w:t>
      </w:r>
    </w:p>
    <w:p w:rsidRPr="00882303" w:rsidR="0001136D" w:rsidP="001530E2" w:rsidRDefault="0001136D" w14:paraId="20FF856F" w14:textId="2213C352">
      <w:pPr>
        <w:pStyle w:val="paragraph"/>
        <w:numPr>
          <w:ilvl w:val="0"/>
          <w:numId w:val="15"/>
        </w:numPr>
        <w:spacing w:after="240" w:afterAutospacing="0"/>
        <w:textAlignment w:val="baseline"/>
        <w:rPr>
          <w:rFonts w:ascii="Palatino Linotype" w:hAnsi="Palatino Linotype" w:cs="Segoe UI Historic"/>
        </w:rPr>
      </w:pPr>
      <w:r w:rsidRPr="00882303">
        <w:rPr>
          <w:rFonts w:ascii="Palatino Linotype" w:hAnsi="Palatino Linotype" w:cs="Segoe UI Historic"/>
        </w:rPr>
        <w:t>The</w:t>
      </w:r>
      <w:r w:rsidRPr="00882303" w:rsidDel="00A84C55">
        <w:rPr>
          <w:rFonts w:ascii="Palatino Linotype" w:hAnsi="Palatino Linotype" w:cs="Segoe UI Historic"/>
        </w:rPr>
        <w:t xml:space="preserve"> </w:t>
      </w:r>
      <w:r w:rsidRPr="00882303" w:rsidR="00A84C55">
        <w:rPr>
          <w:rFonts w:ascii="Palatino Linotype" w:hAnsi="Palatino Linotype" w:cs="Segoe UI Historic"/>
        </w:rPr>
        <w:t>California Energy Commission’s</w:t>
      </w:r>
      <w:r w:rsidRPr="00882303">
        <w:rPr>
          <w:rFonts w:ascii="Palatino Linotype" w:hAnsi="Palatino Linotype" w:cs="Segoe UI Historic"/>
        </w:rPr>
        <w:t xml:space="preserve"> administrative budget is </w:t>
      </w:r>
      <w:r w:rsidRPr="00882303" w:rsidR="002D2BF3">
        <w:rPr>
          <w:rFonts w:ascii="Palatino Linotype" w:hAnsi="Palatino Linotype" w:cs="Segoe UI Historic"/>
        </w:rPr>
        <w:t xml:space="preserve">capped at </w:t>
      </w:r>
      <w:r w:rsidRPr="00882303">
        <w:rPr>
          <w:rFonts w:ascii="Palatino Linotype" w:hAnsi="Palatino Linotype" w:cs="Segoe UI Historic"/>
        </w:rPr>
        <w:t xml:space="preserve">10 percent of the total </w:t>
      </w:r>
      <w:r w:rsidRPr="00882303" w:rsidR="00265962">
        <w:rPr>
          <w:rFonts w:ascii="Palatino Linotype" w:hAnsi="Palatino Linotype" w:cs="Segoe UI Historic"/>
        </w:rPr>
        <w:t xml:space="preserve">annual </w:t>
      </w:r>
      <w:r w:rsidRPr="00882303">
        <w:rPr>
          <w:rFonts w:ascii="Palatino Linotype" w:hAnsi="Palatino Linotype" w:cs="Segoe UI Historic"/>
        </w:rPr>
        <w:t>budget of $24 million, or $</w:t>
      </w:r>
      <w:r w:rsidRPr="00882303" w:rsidR="00B8281B">
        <w:rPr>
          <w:rFonts w:ascii="Palatino Linotype" w:hAnsi="Palatino Linotype" w:cs="Segoe UI Historic"/>
        </w:rPr>
        <w:t>2</w:t>
      </w:r>
      <w:r w:rsidRPr="00882303">
        <w:rPr>
          <w:rFonts w:ascii="Palatino Linotype" w:hAnsi="Palatino Linotype" w:cs="Segoe UI Historic"/>
        </w:rPr>
        <w:t>.4 million.</w:t>
      </w:r>
    </w:p>
    <w:p w:rsidRPr="00882303" w:rsidR="00A84C55" w:rsidP="001530E2" w:rsidRDefault="00A84C55" w14:paraId="430A4901" w14:textId="134FE574">
      <w:pPr>
        <w:pStyle w:val="paragraph"/>
        <w:numPr>
          <w:ilvl w:val="0"/>
          <w:numId w:val="15"/>
        </w:numPr>
        <w:spacing w:after="240" w:afterAutospacing="0"/>
        <w:textAlignment w:val="baseline"/>
        <w:rPr>
          <w:rFonts w:ascii="Palatino Linotype" w:hAnsi="Palatino Linotype" w:cs="Segoe UI Historic"/>
        </w:rPr>
      </w:pPr>
      <w:r w:rsidRPr="00882303">
        <w:rPr>
          <w:rFonts w:ascii="Palatino Linotype" w:hAnsi="Palatino Linotype" w:cs="Segoe UI Historic"/>
        </w:rPr>
        <w:t xml:space="preserve"> The California Energy Commission </w:t>
      </w:r>
      <w:r w:rsidRPr="00882303" w:rsidR="00D652F4">
        <w:rPr>
          <w:rFonts w:ascii="Palatino Linotype" w:hAnsi="Palatino Linotype" w:cs="Segoe UI Historic"/>
        </w:rPr>
        <w:t xml:space="preserve">(CEC) </w:t>
      </w:r>
      <w:r w:rsidRPr="00882303" w:rsidR="003D59A4">
        <w:rPr>
          <w:rFonts w:ascii="Palatino Linotype" w:hAnsi="Palatino Linotype" w:cs="Segoe UI Historic"/>
        </w:rPr>
        <w:t>shall submit a Tier 2 Advice Letter within 60 days with</w:t>
      </w:r>
      <w:r w:rsidRPr="00882303" w:rsidR="00C552AB">
        <w:rPr>
          <w:rFonts w:ascii="Palatino Linotype" w:hAnsi="Palatino Linotype" w:cs="Segoe UI Historic"/>
        </w:rPr>
        <w:t xml:space="preserve"> the following</w:t>
      </w:r>
      <w:r w:rsidRPr="00882303" w:rsidR="003D59A4">
        <w:rPr>
          <w:rFonts w:ascii="Palatino Linotype" w:hAnsi="Palatino Linotype" w:cs="Segoe UI Historic"/>
        </w:rPr>
        <w:t xml:space="preserve">: </w:t>
      </w:r>
    </w:p>
    <w:p w:rsidRPr="00882303" w:rsidR="003D59A4" w:rsidP="003D59A4" w:rsidRDefault="00C552AB" w14:paraId="541D16F1" w14:textId="173A0221">
      <w:pPr>
        <w:pStyle w:val="paragraph"/>
        <w:numPr>
          <w:ilvl w:val="1"/>
          <w:numId w:val="15"/>
        </w:numPr>
        <w:spacing w:after="240" w:afterAutospacing="0"/>
        <w:textAlignment w:val="baseline"/>
        <w:rPr>
          <w:rFonts w:ascii="Palatino Linotype" w:hAnsi="Palatino Linotype" w:cs="Segoe UI Historic"/>
        </w:rPr>
      </w:pPr>
      <w:r w:rsidRPr="00882303">
        <w:rPr>
          <w:rFonts w:ascii="Palatino Linotype" w:hAnsi="Palatino Linotype" w:cs="Segoe UI Historic"/>
        </w:rPr>
        <w:t xml:space="preserve">Detail on </w:t>
      </w:r>
      <w:r w:rsidRPr="00882303" w:rsidR="00213944">
        <w:rPr>
          <w:rFonts w:ascii="Palatino Linotype" w:hAnsi="Palatino Linotype" w:cs="Segoe UI Historic"/>
        </w:rPr>
        <w:t xml:space="preserve">the specific initiatives for proposed funding within the Leveraging Cost Share Opportunities Initiative theme. </w:t>
      </w:r>
    </w:p>
    <w:p w:rsidRPr="00882303" w:rsidR="00213944" w:rsidP="003D59A4" w:rsidRDefault="00213944" w14:paraId="102B760C" w14:textId="1E81CB5A">
      <w:pPr>
        <w:pStyle w:val="paragraph"/>
        <w:numPr>
          <w:ilvl w:val="1"/>
          <w:numId w:val="15"/>
        </w:numPr>
        <w:spacing w:after="240" w:afterAutospacing="0"/>
        <w:textAlignment w:val="baseline"/>
        <w:rPr>
          <w:rFonts w:ascii="Palatino Linotype" w:hAnsi="Palatino Linotype" w:cs="Segoe UI Historic"/>
        </w:rPr>
      </w:pPr>
      <w:r w:rsidRPr="00882303">
        <w:rPr>
          <w:rFonts w:ascii="Palatino Linotype" w:hAnsi="Palatino Linotype" w:cs="Segoe UI Historic"/>
        </w:rPr>
        <w:t xml:space="preserve">Reallocation of </w:t>
      </w:r>
      <w:r w:rsidRPr="00882303" w:rsidR="009A3B4B">
        <w:rPr>
          <w:rFonts w:ascii="Palatino Linotype" w:hAnsi="Palatino Linotype" w:cs="Segoe UI Historic"/>
        </w:rPr>
        <w:t xml:space="preserve">the $10,130,876 </w:t>
      </w:r>
      <w:r w:rsidRPr="00882303" w:rsidR="00D652F4">
        <w:rPr>
          <w:rFonts w:ascii="Palatino Linotype" w:hAnsi="Palatino Linotype" w:cs="Segoe UI Historic"/>
        </w:rPr>
        <w:t>currently within the Gas Leakage Mitigation Initiative theme. The CEC shall reallocate these funds</w:t>
      </w:r>
      <w:r w:rsidRPr="00882303" w:rsidR="00D652F4">
        <w:rPr>
          <w:rFonts w:ascii="Palatino Linotype" w:hAnsi="Palatino Linotype" w:cs="Segoe UI Historic" w:eastAsiaTheme="minorHAnsi"/>
        </w:rPr>
        <w:t xml:space="preserve"> </w:t>
      </w:r>
      <w:r w:rsidRPr="00882303" w:rsidR="00D652F4">
        <w:rPr>
          <w:rFonts w:ascii="Palatino Linotype" w:hAnsi="Palatino Linotype" w:cs="Segoe UI Historic"/>
          <w:bCs/>
          <w:iCs/>
        </w:rPr>
        <w:t>toward approved research areas, particularly gas system pruning, decommissioning, and safety consistent with Commission proceedings and policies.</w:t>
      </w:r>
    </w:p>
    <w:p w:rsidRPr="00882303" w:rsidR="00B76F31" w:rsidP="00B76F31" w:rsidRDefault="00B76F31" w14:paraId="147E2B5E" w14:textId="469F84CF">
      <w:pPr>
        <w:pStyle w:val="paragraph"/>
        <w:numPr>
          <w:ilvl w:val="0"/>
          <w:numId w:val="15"/>
        </w:numPr>
        <w:spacing w:after="240" w:afterAutospacing="0"/>
        <w:textAlignment w:val="baseline"/>
        <w:rPr>
          <w:rFonts w:ascii="Palatino Linotype" w:hAnsi="Palatino Linotype" w:cs="Segoe UI Historic"/>
        </w:rPr>
      </w:pPr>
      <w:r w:rsidRPr="00882303">
        <w:rPr>
          <w:rFonts w:ascii="Palatino Linotype" w:hAnsi="Palatino Linotype" w:cs="Segoe UI Historic"/>
        </w:rPr>
        <w:lastRenderedPageBreak/>
        <w:t xml:space="preserve"> In all </w:t>
      </w:r>
      <w:proofErr w:type="gramStart"/>
      <w:r w:rsidRPr="00882303">
        <w:rPr>
          <w:rFonts w:ascii="Palatino Linotype" w:hAnsi="Palatino Linotype" w:cs="Segoe UI Historic"/>
        </w:rPr>
        <w:t>future plans</w:t>
      </w:r>
      <w:proofErr w:type="gramEnd"/>
      <w:r w:rsidRPr="00882303">
        <w:rPr>
          <w:rFonts w:ascii="Palatino Linotype" w:hAnsi="Palatino Linotype" w:cs="Segoe UI Historic"/>
        </w:rPr>
        <w:t>, the California Energy Commission (CEC) shall be proactive and specific in articulating its coordination and collaboration with the Investor-Owned Utilities (IOUs), and other Gas Research and Development (R&amp;D) entities</w:t>
      </w:r>
      <w:r w:rsidRPr="00882303" w:rsidR="007B7D2B">
        <w:rPr>
          <w:rFonts w:ascii="Palatino Linotype" w:hAnsi="Palatino Linotype" w:cs="Segoe UI Historic"/>
        </w:rPr>
        <w:t>, in advance of commencing its plan</w:t>
      </w:r>
      <w:r w:rsidRPr="00882303">
        <w:rPr>
          <w:rFonts w:ascii="Palatino Linotype" w:hAnsi="Palatino Linotype" w:cs="Segoe UI Historic"/>
        </w:rPr>
        <w:t>. The CEC shall meet with the administrators of other Gas R&amp;D programs and describe in its annual plan how its research complements other Gas R&amp;D research occurring in California, consistent with CPUC policies and proceedings. Further, the CEC shall coordinate with all IOU Gas R&amp;D administrators to hold an annual public workshop that is structured thematically to demonstrate how administrators are coordinating on gas innovation to benefit ratepayers, including impacts on Environmental and Social Justice communities.</w:t>
      </w:r>
      <w:r w:rsidRPr="00882303" w:rsidR="00D30B56">
        <w:rPr>
          <w:rFonts w:ascii="Palatino Linotype" w:hAnsi="Palatino Linotype" w:cs="Segoe UI Historic"/>
        </w:rPr>
        <w:t xml:space="preserve">  </w:t>
      </w:r>
    </w:p>
    <w:p w:rsidRPr="00882303" w:rsidR="00D30B56" w:rsidP="00B76F31" w:rsidRDefault="0038189F" w14:paraId="2F1E0FB6" w14:textId="4678CDB9">
      <w:pPr>
        <w:pStyle w:val="paragraph"/>
        <w:numPr>
          <w:ilvl w:val="0"/>
          <w:numId w:val="15"/>
        </w:numPr>
        <w:spacing w:after="240" w:afterAutospacing="0"/>
        <w:textAlignment w:val="baseline"/>
        <w:rPr>
          <w:rFonts w:ascii="Palatino Linotype" w:hAnsi="Palatino Linotype" w:cs="Segoe UI Historic"/>
        </w:rPr>
      </w:pPr>
      <w:r w:rsidRPr="00882303">
        <w:rPr>
          <w:rFonts w:ascii="Palatino Linotype" w:hAnsi="Palatino Linotype" w:cs="Segoe UI Historic"/>
        </w:rPr>
        <w:t xml:space="preserve">To ensure that research plans are coordinated, consistent, and aligned with CPUC policies and proceedings, </w:t>
      </w:r>
      <w:r w:rsidRPr="00882303" w:rsidR="007B7D2B">
        <w:rPr>
          <w:rFonts w:ascii="Palatino Linotype" w:hAnsi="Palatino Linotype" w:cs="Segoe UI Historic"/>
        </w:rPr>
        <w:t>the California Energy Commission shall coordinate with Energy Division and CPUC Staff in advance of commencing its plan</w:t>
      </w:r>
      <w:r w:rsidRPr="00882303">
        <w:rPr>
          <w:rFonts w:ascii="Palatino Linotype" w:hAnsi="Palatino Linotype" w:cs="Segoe UI Historic"/>
        </w:rPr>
        <w:t>.</w:t>
      </w:r>
    </w:p>
    <w:p w:rsidR="007D0248" w:rsidP="00D24F5B" w:rsidRDefault="00955AAD" w14:paraId="7C42B22C" w14:textId="0CA6D440">
      <w:pPr>
        <w:pStyle w:val="paragraph"/>
        <w:numPr>
          <w:ilvl w:val="0"/>
          <w:numId w:val="15"/>
        </w:numPr>
        <w:spacing w:after="240" w:afterAutospacing="0"/>
        <w:textAlignment w:val="baseline"/>
        <w:rPr>
          <w:rFonts w:ascii="Palatino Linotype" w:hAnsi="Palatino Linotype" w:cs="Segoe UI Historic"/>
        </w:rPr>
      </w:pPr>
      <w:r w:rsidRPr="00882303">
        <w:rPr>
          <w:rFonts w:ascii="Palatino Linotype" w:hAnsi="Palatino Linotype" w:cs="Segoe UI Historic"/>
        </w:rPr>
        <w:t xml:space="preserve"> </w:t>
      </w:r>
      <w:r w:rsidRPr="00882303" w:rsidR="009C3026">
        <w:rPr>
          <w:rFonts w:ascii="Palatino Linotype" w:hAnsi="Palatino Linotype" w:cs="Segoe UI Historic"/>
        </w:rPr>
        <w:t>Once the Electric Program Investment Charge (EPIC) program’s Uniform Impact Analysis framework is approved by the Commission, the</w:t>
      </w:r>
      <w:r w:rsidRPr="00882303">
        <w:rPr>
          <w:rFonts w:ascii="Palatino Linotype" w:hAnsi="Palatino Linotype" w:cs="Segoe UI Historic"/>
        </w:rPr>
        <w:t xml:space="preserve"> California Energy Commission shall </w:t>
      </w:r>
      <w:r w:rsidRPr="00882303" w:rsidR="009C3026">
        <w:rPr>
          <w:rFonts w:ascii="Palatino Linotype" w:hAnsi="Palatino Linotype" w:cs="Segoe UI Historic"/>
        </w:rPr>
        <w:t xml:space="preserve">use this framework to </w:t>
      </w:r>
      <w:r w:rsidRPr="00882303">
        <w:rPr>
          <w:rFonts w:ascii="Palatino Linotype" w:hAnsi="Palatino Linotype" w:cs="Segoe UI Historic"/>
        </w:rPr>
        <w:t xml:space="preserve">demonstrate outcomes of </w:t>
      </w:r>
      <w:r w:rsidRPr="00882303" w:rsidR="008562C5">
        <w:rPr>
          <w:rFonts w:ascii="Palatino Linotype" w:hAnsi="Palatino Linotype" w:cs="Segoe UI Historic"/>
        </w:rPr>
        <w:t>achieving its proposed benefits for all current and future research projects including through quantit</w:t>
      </w:r>
      <w:r w:rsidRPr="00882303" w:rsidR="00CC392B">
        <w:rPr>
          <w:rFonts w:ascii="Palatino Linotype" w:hAnsi="Palatino Linotype" w:cs="Segoe UI Historic"/>
        </w:rPr>
        <w:t>ative methodologies</w:t>
      </w:r>
      <w:r w:rsidRPr="00882303" w:rsidR="009C3026">
        <w:rPr>
          <w:rFonts w:ascii="Palatino Linotype" w:hAnsi="Palatino Linotype" w:cs="Segoe UI Historic"/>
        </w:rPr>
        <w:t xml:space="preserve">.  </w:t>
      </w:r>
    </w:p>
    <w:p w:rsidRPr="00882303" w:rsidR="00DF76F7" w:rsidP="00DF76F7" w:rsidRDefault="00DF76F7" w14:paraId="52359A9D" w14:textId="77777777">
      <w:pPr>
        <w:pStyle w:val="paragraph"/>
        <w:spacing w:after="240" w:afterAutospacing="0"/>
        <w:textAlignment w:val="baseline"/>
        <w:rPr>
          <w:rFonts w:ascii="Palatino Linotype" w:hAnsi="Palatino Linotype" w:cs="Segoe UI Historic"/>
        </w:rPr>
      </w:pPr>
    </w:p>
    <w:p w:rsidRPr="00882303" w:rsidR="00765A34" w:rsidP="00765A34" w:rsidRDefault="00765A34" w14:paraId="74296514" w14:textId="52D2CE57">
      <w:pPr>
        <w:pStyle w:val="paragraph"/>
        <w:spacing w:after="240" w:afterAutospacing="0"/>
        <w:textAlignment w:val="baseline"/>
        <w:rPr>
          <w:rFonts w:ascii="Palatino Linotype" w:hAnsi="Palatino Linotype" w:cs="Segoe UI Historic"/>
        </w:rPr>
      </w:pPr>
      <w:r w:rsidRPr="00882303">
        <w:rPr>
          <w:rFonts w:ascii="Palatino Linotype" w:hAnsi="Palatino Linotype" w:cs="Segoe UI Historic"/>
        </w:rPr>
        <w:t xml:space="preserve">This Resolution is effective today. </w:t>
      </w:r>
    </w:p>
    <w:p w:rsidRPr="00882303" w:rsidR="00765A34" w:rsidP="00765A34" w:rsidRDefault="00765A34" w14:paraId="6F4FED56" w14:textId="713E0893">
      <w:pPr>
        <w:pStyle w:val="paragraph"/>
        <w:spacing w:after="240" w:afterAutospacing="0"/>
        <w:textAlignment w:val="baseline"/>
        <w:rPr>
          <w:rFonts w:ascii="Palatino Linotype" w:hAnsi="Palatino Linotype" w:cs="Segoe UI Historic"/>
        </w:rPr>
      </w:pPr>
      <w:r w:rsidRPr="00882303">
        <w:rPr>
          <w:rFonts w:ascii="Palatino Linotype" w:hAnsi="Palatino Linotype" w:cs="Segoe UI Historic"/>
        </w:rPr>
        <w:t xml:space="preserve">I certify that the foregoing resolution was duly introduced, passed, and adopted at a conference of the Public Utilities Commission of the State of California held on </w:t>
      </w:r>
      <w:r w:rsidR="00DF76F7">
        <w:rPr>
          <w:rFonts w:ascii="Palatino Linotype" w:hAnsi="Palatino Linotype" w:cs="Segoe UI Historic"/>
        </w:rPr>
        <w:br/>
        <w:t>May</w:t>
      </w:r>
      <w:r w:rsidRPr="00882303" w:rsidR="005826AC">
        <w:rPr>
          <w:rFonts w:ascii="Palatino Linotype" w:hAnsi="Palatino Linotype" w:cs="Segoe UI Historic"/>
        </w:rPr>
        <w:t xml:space="preserve"> </w:t>
      </w:r>
      <w:r w:rsidR="00DF76F7">
        <w:rPr>
          <w:rFonts w:ascii="Palatino Linotype" w:hAnsi="Palatino Linotype" w:cs="Segoe UI Historic"/>
        </w:rPr>
        <w:t>9</w:t>
      </w:r>
      <w:r w:rsidRPr="00882303" w:rsidR="005826AC">
        <w:rPr>
          <w:rFonts w:ascii="Palatino Linotype" w:hAnsi="Palatino Linotype" w:cs="Segoe UI Historic"/>
        </w:rPr>
        <w:t>, 2024</w:t>
      </w:r>
      <w:r w:rsidRPr="00882303">
        <w:rPr>
          <w:rFonts w:ascii="Palatino Linotype" w:hAnsi="Palatino Linotype" w:cs="Segoe UI Historic"/>
        </w:rPr>
        <w:t>; the following Commissioners voting favorably thereon:</w:t>
      </w:r>
    </w:p>
    <w:p w:rsidRPr="00882303" w:rsidR="0059499F" w:rsidP="00765A34" w:rsidRDefault="0059499F" w14:paraId="46FFFA62" w14:textId="77777777">
      <w:pPr>
        <w:pStyle w:val="paragraph"/>
        <w:spacing w:after="240" w:afterAutospacing="0"/>
        <w:textAlignment w:val="baseline"/>
        <w:rPr>
          <w:rFonts w:ascii="Palatino Linotype" w:hAnsi="Palatino Linotype" w:cs="Segoe UI Historic"/>
        </w:rPr>
      </w:pPr>
    </w:p>
    <w:p w:rsidRPr="00882303" w:rsidR="00765A34" w:rsidP="0059499F" w:rsidRDefault="00765A34" w14:paraId="48DFCA72" w14:textId="733E5A91">
      <w:pPr>
        <w:pStyle w:val="paragraph"/>
        <w:spacing w:before="0" w:beforeAutospacing="0" w:after="0" w:afterAutospacing="0"/>
        <w:ind w:left="6030"/>
        <w:textAlignment w:val="baseline"/>
        <w:rPr>
          <w:rFonts w:ascii="Palatino Linotype" w:hAnsi="Palatino Linotype" w:cs="Segoe UI Historic"/>
        </w:rPr>
      </w:pPr>
      <w:r w:rsidRPr="00882303">
        <w:rPr>
          <w:rFonts w:ascii="Palatino Linotype" w:hAnsi="Palatino Linotype" w:cs="Segoe UI Historic"/>
        </w:rPr>
        <w:t>_______________</w:t>
      </w:r>
    </w:p>
    <w:p w:rsidRPr="00882303" w:rsidR="00765A34" w:rsidP="0059499F" w:rsidRDefault="00765A34" w14:paraId="301D0457" w14:textId="2EE1AA3C">
      <w:pPr>
        <w:pStyle w:val="paragraph"/>
        <w:spacing w:before="0" w:beforeAutospacing="0" w:after="0" w:afterAutospacing="0"/>
        <w:ind w:left="6030"/>
        <w:textAlignment w:val="baseline"/>
        <w:rPr>
          <w:rFonts w:ascii="Palatino Linotype" w:hAnsi="Palatino Linotype" w:cs="Segoe UI Historic"/>
        </w:rPr>
      </w:pPr>
      <w:r w:rsidRPr="00882303">
        <w:rPr>
          <w:rFonts w:ascii="Palatino Linotype" w:hAnsi="Palatino Linotype" w:cs="Segoe UI Historic"/>
        </w:rPr>
        <w:t>Rachel Peterson</w:t>
      </w:r>
    </w:p>
    <w:p w:rsidRPr="00882303" w:rsidR="00765A34" w:rsidP="0059499F" w:rsidRDefault="00765A34" w14:paraId="224C8286" w14:textId="1511E31C">
      <w:pPr>
        <w:pStyle w:val="paragraph"/>
        <w:spacing w:before="0" w:beforeAutospacing="0" w:after="0" w:afterAutospacing="0"/>
        <w:ind w:left="6030"/>
        <w:textAlignment w:val="baseline"/>
        <w:rPr>
          <w:rFonts w:ascii="Palatino Linotype" w:hAnsi="Palatino Linotype" w:cs="Segoe UI Historic"/>
        </w:rPr>
      </w:pPr>
      <w:r w:rsidRPr="00882303">
        <w:rPr>
          <w:rFonts w:ascii="Palatino Linotype" w:hAnsi="Palatino Linotype" w:cs="Segoe UI Historic"/>
        </w:rPr>
        <w:t>Executive Director</w:t>
      </w:r>
    </w:p>
    <w:p w:rsidRPr="00882303" w:rsidR="00046E39" w:rsidP="00297BF9" w:rsidRDefault="00046E39" w14:paraId="00818DBC" w14:textId="18BB8B3E">
      <w:pPr>
        <w:rPr>
          <w:rFonts w:ascii="Palatino Linotype" w:hAnsi="Palatino Linotype" w:eastAsia="Times New Roman" w:cs="Segoe UI Historic"/>
          <w:b/>
          <w:sz w:val="24"/>
          <w:szCs w:val="24"/>
        </w:rPr>
      </w:pPr>
      <w:r w:rsidRPr="00882303">
        <w:rPr>
          <w:rStyle w:val="eop"/>
          <w:rFonts w:ascii="Palatino Linotype" w:hAnsi="Palatino Linotype" w:cs="Segoe UI Historic"/>
          <w:sz w:val="24"/>
          <w:szCs w:val="24"/>
        </w:rPr>
        <w:t> </w:t>
      </w:r>
    </w:p>
    <w:p w:rsidRPr="00882303" w:rsidR="00395372" w:rsidP="00046E39" w:rsidRDefault="00395372" w14:paraId="622CBB8C" w14:textId="281E7C1C">
      <w:pPr>
        <w:rPr>
          <w:rFonts w:ascii="Palatino Linotype" w:hAnsi="Palatino Linotype" w:eastAsia="Times New Roman" w:cs="Segoe UI Historic"/>
          <w:sz w:val="24"/>
          <w:szCs w:val="24"/>
        </w:rPr>
      </w:pPr>
    </w:p>
    <w:sectPr w:rsidRPr="00882303" w:rsidR="00395372" w:rsidSect="00C849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22BC" w14:textId="77777777" w:rsidR="00C849DC" w:rsidRDefault="00C849DC" w:rsidP="00F9482D">
      <w:pPr>
        <w:spacing w:after="0" w:line="240" w:lineRule="auto"/>
      </w:pPr>
      <w:r>
        <w:separator/>
      </w:r>
    </w:p>
  </w:endnote>
  <w:endnote w:type="continuationSeparator" w:id="0">
    <w:p w14:paraId="7C498174" w14:textId="77777777" w:rsidR="00C849DC" w:rsidRDefault="00C849DC" w:rsidP="00F9482D">
      <w:pPr>
        <w:spacing w:after="0" w:line="240" w:lineRule="auto"/>
      </w:pPr>
      <w:r>
        <w:continuationSeparator/>
      </w:r>
    </w:p>
  </w:endnote>
  <w:endnote w:type="continuationNotice" w:id="1">
    <w:p w14:paraId="119A1999" w14:textId="77777777" w:rsidR="00C849DC" w:rsidRDefault="00C84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cs="Times New Roman"/>
        <w:sz w:val="24"/>
        <w:szCs w:val="24"/>
      </w:rPr>
      <w:id w:val="635687301"/>
      <w:docPartObj>
        <w:docPartGallery w:val="Page Numbers (Bottom of Page)"/>
        <w:docPartUnique/>
      </w:docPartObj>
    </w:sdtPr>
    <w:sdtEndPr>
      <w:rPr>
        <w:noProof/>
      </w:rPr>
    </w:sdtEndPr>
    <w:sdtContent>
      <w:p w14:paraId="790671D0" w14:textId="6D6B30CA" w:rsidR="00920803" w:rsidRPr="005775F5" w:rsidRDefault="00920803" w:rsidP="008E5970">
        <w:pPr>
          <w:pStyle w:val="Footer"/>
          <w:jc w:val="center"/>
          <w:rPr>
            <w:rFonts w:ascii="Palatino Linotype" w:hAnsi="Palatino Linotype" w:cs="Times New Roman"/>
            <w:sz w:val="24"/>
            <w:szCs w:val="24"/>
          </w:rPr>
        </w:pPr>
        <w:r w:rsidRPr="005775F5">
          <w:rPr>
            <w:rFonts w:ascii="Palatino Linotype" w:hAnsi="Palatino Linotype" w:cs="Times New Roman"/>
            <w:sz w:val="24"/>
            <w:szCs w:val="24"/>
            <w:shd w:val="clear" w:color="auto" w:fill="FFFFFF" w:themeFill="background1"/>
          </w:rPr>
          <w:fldChar w:fldCharType="begin"/>
        </w:r>
        <w:r w:rsidRPr="005775F5">
          <w:rPr>
            <w:rFonts w:ascii="Palatino Linotype" w:hAnsi="Palatino Linotype" w:cs="Times New Roman"/>
            <w:sz w:val="24"/>
            <w:szCs w:val="24"/>
            <w:shd w:val="clear" w:color="auto" w:fill="FFFFFF" w:themeFill="background1"/>
          </w:rPr>
          <w:instrText xml:space="preserve"> PAGE   \* MERGEFORMAT </w:instrText>
        </w:r>
        <w:r w:rsidRPr="005775F5">
          <w:rPr>
            <w:rFonts w:ascii="Palatino Linotype" w:hAnsi="Palatino Linotype" w:cs="Times New Roman"/>
            <w:sz w:val="24"/>
            <w:szCs w:val="24"/>
            <w:shd w:val="clear" w:color="auto" w:fill="FFFFFF" w:themeFill="background1"/>
          </w:rPr>
          <w:fldChar w:fldCharType="separate"/>
        </w:r>
        <w:r w:rsidRPr="005775F5">
          <w:rPr>
            <w:rFonts w:ascii="Palatino Linotype" w:hAnsi="Palatino Linotype" w:cs="Times New Roman"/>
            <w:sz w:val="24"/>
            <w:szCs w:val="24"/>
            <w:shd w:val="clear" w:color="auto" w:fill="FFFFFF" w:themeFill="background1"/>
          </w:rPr>
          <w:t>2</w:t>
        </w:r>
        <w:r w:rsidRPr="005775F5">
          <w:rPr>
            <w:rFonts w:ascii="Palatino Linotype" w:hAnsi="Palatino Linotype" w:cs="Times New Roman"/>
            <w:sz w:val="24"/>
            <w:szCs w:val="24"/>
            <w:shd w:val="clear" w:color="auto" w:fill="FFFFFF" w:themeFill="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24"/>
      </w:rPr>
      <w:id w:val="1884366980"/>
      <w:docPartObj>
        <w:docPartGallery w:val="Page Numbers (Bottom of Page)"/>
        <w:docPartUnique/>
      </w:docPartObj>
    </w:sdtPr>
    <w:sdtEndPr>
      <w:rPr>
        <w:noProof/>
      </w:rPr>
    </w:sdtEndPr>
    <w:sdtContent>
      <w:p w14:paraId="1170CE0F" w14:textId="2226A753" w:rsidR="005775F5" w:rsidRPr="005775F5" w:rsidRDefault="00E90341" w:rsidP="00015CEC">
        <w:pPr>
          <w:pStyle w:val="Footer"/>
          <w:rPr>
            <w:rFonts w:ascii="Palatino Linotype" w:hAnsi="Palatino Linotype"/>
            <w:sz w:val="24"/>
            <w:szCs w:val="24"/>
          </w:rPr>
        </w:pPr>
        <w:r w:rsidRPr="00E90341">
          <w:rPr>
            <w:rFonts w:ascii="Tahoma" w:hAnsi="Tahoma" w:cs="Tahoma"/>
            <w:sz w:val="20"/>
            <w:szCs w:val="20"/>
          </w:rPr>
          <w:t>528343435</w:t>
        </w:r>
        <w:r w:rsidRPr="00E90341">
          <w:rPr>
            <w:rFonts w:ascii="Palatino Linotype" w:hAnsi="Palatino Linotype"/>
            <w:sz w:val="24"/>
            <w:szCs w:val="24"/>
          </w:rPr>
          <w:t xml:space="preserve">  </w:t>
        </w:r>
        <w:r>
          <w:rPr>
            <w:rFonts w:ascii="Palatino Linotype" w:hAnsi="Palatino Linotype"/>
            <w:sz w:val="24"/>
            <w:szCs w:val="24"/>
          </w:rPr>
          <w:t xml:space="preserve"> </w:t>
        </w:r>
        <w:r w:rsidR="00015CEC">
          <w:rPr>
            <w:rFonts w:ascii="Palatino Linotype" w:hAnsi="Palatino Linotype"/>
            <w:sz w:val="24"/>
            <w:szCs w:val="24"/>
          </w:rPr>
          <w:tab/>
        </w:r>
        <w:r w:rsidR="005775F5" w:rsidRPr="005775F5">
          <w:rPr>
            <w:rFonts w:ascii="Palatino Linotype" w:hAnsi="Palatino Linotype"/>
            <w:sz w:val="24"/>
            <w:szCs w:val="24"/>
          </w:rPr>
          <w:fldChar w:fldCharType="begin"/>
        </w:r>
        <w:r w:rsidR="005775F5" w:rsidRPr="005775F5">
          <w:rPr>
            <w:rFonts w:ascii="Palatino Linotype" w:hAnsi="Palatino Linotype"/>
            <w:sz w:val="24"/>
            <w:szCs w:val="24"/>
          </w:rPr>
          <w:instrText xml:space="preserve"> PAGE   \* MERGEFORMAT </w:instrText>
        </w:r>
        <w:r w:rsidR="005775F5" w:rsidRPr="005775F5">
          <w:rPr>
            <w:rFonts w:ascii="Palatino Linotype" w:hAnsi="Palatino Linotype"/>
            <w:sz w:val="24"/>
            <w:szCs w:val="24"/>
          </w:rPr>
          <w:fldChar w:fldCharType="separate"/>
        </w:r>
        <w:r w:rsidR="005775F5" w:rsidRPr="005775F5">
          <w:rPr>
            <w:rFonts w:ascii="Palatino Linotype" w:hAnsi="Palatino Linotype"/>
            <w:noProof/>
            <w:sz w:val="24"/>
            <w:szCs w:val="24"/>
          </w:rPr>
          <w:t>2</w:t>
        </w:r>
        <w:r w:rsidR="005775F5" w:rsidRPr="005775F5">
          <w:rPr>
            <w:rFonts w:ascii="Palatino Linotype" w:hAnsi="Palatino Linotype"/>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1F52" w14:textId="77777777" w:rsidR="00C849DC" w:rsidRDefault="00C849DC" w:rsidP="00F9482D">
      <w:pPr>
        <w:spacing w:after="0" w:line="240" w:lineRule="auto"/>
      </w:pPr>
      <w:r>
        <w:separator/>
      </w:r>
    </w:p>
  </w:footnote>
  <w:footnote w:type="continuationSeparator" w:id="0">
    <w:p w14:paraId="105B46A1" w14:textId="77777777" w:rsidR="00C849DC" w:rsidRDefault="00C849DC" w:rsidP="00F9482D">
      <w:pPr>
        <w:spacing w:after="0" w:line="240" w:lineRule="auto"/>
      </w:pPr>
      <w:r>
        <w:continuationSeparator/>
      </w:r>
    </w:p>
  </w:footnote>
  <w:footnote w:type="continuationNotice" w:id="1">
    <w:p w14:paraId="654D5A9B" w14:textId="77777777" w:rsidR="00C849DC" w:rsidRDefault="00C849DC">
      <w:pPr>
        <w:spacing w:after="0" w:line="240" w:lineRule="auto"/>
      </w:pPr>
    </w:p>
  </w:footnote>
  <w:footnote w:id="2">
    <w:p w14:paraId="44480E74" w14:textId="5A116E2C" w:rsidR="00F9482D" w:rsidRPr="008579BE" w:rsidRDefault="00F9482D">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Style w:val="normaltextrun"/>
          <w:rFonts w:ascii="Palatino Linotype" w:hAnsi="Palatino Linotype"/>
          <w:shd w:val="clear" w:color="auto" w:fill="FFFFFF"/>
        </w:rPr>
        <w:t>Available at </w:t>
      </w:r>
      <w:hyperlink r:id="rId1" w:tgtFrame="_blank" w:history="1">
        <w:r w:rsidRPr="008579BE">
          <w:rPr>
            <w:rStyle w:val="normaltextrun"/>
            <w:rFonts w:ascii="Palatino Linotype" w:hAnsi="Palatino Linotype" w:cs="Segoe UI"/>
            <w:u w:val="single"/>
            <w:shd w:val="clear" w:color="auto" w:fill="FFFFFF"/>
          </w:rPr>
          <w:t>https://leginfo.legislature.ca.gov/faces/billTextClient.xhtml?bill_id=199920000AB1002</w:t>
        </w:r>
      </w:hyperlink>
      <w:r w:rsidRPr="008579BE">
        <w:rPr>
          <w:rStyle w:val="normaltextrun"/>
          <w:rFonts w:ascii="Palatino Linotype" w:hAnsi="Palatino Linotype"/>
          <w:shd w:val="clear" w:color="auto" w:fill="FFFFFF"/>
        </w:rPr>
        <w:t>.  </w:t>
      </w:r>
      <w:r w:rsidRPr="008579BE">
        <w:rPr>
          <w:rStyle w:val="eop"/>
          <w:rFonts w:ascii="Palatino Linotype" w:hAnsi="Palatino Linotype"/>
          <w:shd w:val="clear" w:color="auto" w:fill="FFFFFF"/>
        </w:rPr>
        <w:t> </w:t>
      </w:r>
    </w:p>
  </w:footnote>
  <w:footnote w:id="3">
    <w:p w14:paraId="3CAFCADA" w14:textId="1BA93998" w:rsidR="00F9482D" w:rsidRPr="008579BE" w:rsidRDefault="00F9482D">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D.04-08-010 at 25.</w:t>
      </w:r>
    </w:p>
  </w:footnote>
  <w:footnote w:id="4">
    <w:p w14:paraId="173EAB79" w14:textId="2E5201EF" w:rsidR="00C00437" w:rsidRPr="008579BE" w:rsidRDefault="00C00437">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D.04-08-010 at 31.</w:t>
      </w:r>
    </w:p>
  </w:footnote>
  <w:footnote w:id="5">
    <w:p w14:paraId="651C3A2F" w14:textId="5380E6E5" w:rsidR="008E1AA0" w:rsidRPr="008579BE" w:rsidRDefault="008E1AA0">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D.04-08-010 at 42.</w:t>
      </w:r>
    </w:p>
  </w:footnote>
  <w:footnote w:id="6">
    <w:p w14:paraId="7DA79A58" w14:textId="122852F6" w:rsidR="00C00437" w:rsidRPr="008579BE" w:rsidRDefault="00C00437">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w:t>
      </w:r>
      <w:r w:rsidR="000600D7" w:rsidRPr="008579BE">
        <w:rPr>
          <w:rFonts w:ascii="Palatino Linotype" w:hAnsi="Palatino Linotype"/>
        </w:rPr>
        <w:t>D.04-08-010 at 32.</w:t>
      </w:r>
    </w:p>
  </w:footnote>
  <w:footnote w:id="7">
    <w:p w14:paraId="6A345EC8" w14:textId="5574A67C" w:rsidR="003020C3" w:rsidRPr="008579BE" w:rsidRDefault="003020C3">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D.04-08-010 at 38.</w:t>
      </w:r>
    </w:p>
  </w:footnote>
  <w:footnote w:id="8">
    <w:p w14:paraId="5CDCE3B2" w14:textId="6BBAE7B1" w:rsidR="004035E8" w:rsidRPr="008579BE" w:rsidRDefault="004035E8">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D.04-08-010 at 2</w:t>
      </w:r>
      <w:r w:rsidR="00D04DAB" w:rsidRPr="008579BE">
        <w:rPr>
          <w:rFonts w:ascii="Palatino Linotype" w:hAnsi="Palatino Linotype"/>
        </w:rPr>
        <w:t>.</w:t>
      </w:r>
    </w:p>
  </w:footnote>
  <w:footnote w:id="9">
    <w:p w14:paraId="44288809" w14:textId="4BA8C1D1" w:rsidR="000A7302" w:rsidRPr="008579BE" w:rsidRDefault="000A7302">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7. </w:t>
      </w:r>
    </w:p>
  </w:footnote>
  <w:footnote w:id="10">
    <w:p w14:paraId="7C66013D" w14:textId="676E41E8" w:rsidR="00C94525" w:rsidRPr="008579BE" w:rsidRDefault="00C94525">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11.</w:t>
      </w:r>
    </w:p>
  </w:footnote>
  <w:footnote w:id="11">
    <w:p w14:paraId="08522DB7" w14:textId="0DC7E042" w:rsidR="00A76A7D" w:rsidRPr="008579BE" w:rsidRDefault="00A76A7D">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D.04-08-010 at 28.</w:t>
      </w:r>
    </w:p>
  </w:footnote>
  <w:footnote w:id="12">
    <w:p w14:paraId="050759FA" w14:textId="38FAB1D9" w:rsidR="00353455" w:rsidRPr="008579BE" w:rsidRDefault="00353455">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FY 2023-2024 Plan at 5.</w:t>
      </w:r>
    </w:p>
  </w:footnote>
  <w:footnote w:id="13">
    <w:p w14:paraId="312C203B" w14:textId="03D3BF14" w:rsidR="00353455" w:rsidRPr="008579BE" w:rsidRDefault="00353455">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Ibid.</w:t>
      </w:r>
    </w:p>
  </w:footnote>
  <w:footnote w:id="14">
    <w:p w14:paraId="063EA146" w14:textId="053795A9" w:rsidR="00563CA1" w:rsidRPr="008579BE" w:rsidRDefault="00563CA1">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w:t>
      </w:r>
      <w:r w:rsidR="00565EE6" w:rsidRPr="008579BE">
        <w:rPr>
          <w:rFonts w:ascii="Palatino Linotype" w:hAnsi="Palatino Linotype"/>
        </w:rPr>
        <w:t>A-2.</w:t>
      </w:r>
      <w:r w:rsidRPr="008579BE">
        <w:rPr>
          <w:rFonts w:ascii="Palatino Linotype" w:hAnsi="Palatino Linotype"/>
        </w:rPr>
        <w:t xml:space="preserve"> </w:t>
      </w:r>
    </w:p>
  </w:footnote>
  <w:footnote w:id="15">
    <w:p w14:paraId="2194EFB9" w14:textId="37F483BC" w:rsidR="00931FD1" w:rsidRPr="008579BE" w:rsidRDefault="00931FD1">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 xml:space="preserve">Assembly Bill 3232: </w:t>
      </w:r>
      <w:hyperlink r:id="rId2" w:history="1">
        <w:r w:rsidRPr="008579BE">
          <w:rPr>
            <w:rStyle w:val="Hyperlink"/>
            <w:rFonts w:ascii="Palatino Linotype" w:hAnsi="Palatino Linotype"/>
            <w:lang w:val="en-ZW"/>
          </w:rPr>
          <w:t>https://leginfo.legislature.ca.gov/faces/billNavClient.xhtml?bill_id=201720180AB3232</w:t>
        </w:r>
      </w:hyperlink>
      <w:r w:rsidRPr="008579BE">
        <w:rPr>
          <w:rFonts w:ascii="Palatino Linotype" w:hAnsi="Palatino Linotype"/>
          <w:lang w:val="en-ZW"/>
        </w:rPr>
        <w:t xml:space="preserve"> </w:t>
      </w:r>
    </w:p>
  </w:footnote>
  <w:footnote w:id="16">
    <w:p w14:paraId="14F3DFD4" w14:textId="4E47E4C9" w:rsidR="00775FB9" w:rsidRPr="008579BE" w:rsidRDefault="00775FB9">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 xml:space="preserve">Senate Bill 1477: </w:t>
      </w:r>
      <w:hyperlink r:id="rId3" w:history="1">
        <w:r w:rsidR="004B3416" w:rsidRPr="008579BE">
          <w:rPr>
            <w:rStyle w:val="Hyperlink"/>
            <w:rFonts w:ascii="Palatino Linotype" w:hAnsi="Palatino Linotype"/>
            <w:lang w:val="en-ZW"/>
          </w:rPr>
          <w:t>https://leginfo.legislature.ca.gov/faces/billNavClient.xhtml?bill_id=201720180SB1477</w:t>
        </w:r>
      </w:hyperlink>
      <w:r w:rsidR="004B3416" w:rsidRPr="008579BE">
        <w:rPr>
          <w:rFonts w:ascii="Palatino Linotype" w:hAnsi="Palatino Linotype"/>
          <w:lang w:val="en-ZW"/>
        </w:rPr>
        <w:t xml:space="preserve"> </w:t>
      </w:r>
    </w:p>
  </w:footnote>
  <w:footnote w:id="17">
    <w:p w14:paraId="5B52635B" w14:textId="32230BE8" w:rsidR="00216E61" w:rsidRPr="008579BE" w:rsidRDefault="00216E61">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23.</w:t>
      </w:r>
    </w:p>
  </w:footnote>
  <w:footnote w:id="18">
    <w:p w14:paraId="00DFC828" w14:textId="2F5EA8A1" w:rsidR="00C26607" w:rsidRPr="008579BE" w:rsidRDefault="00C26607">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G-3592 at Ordering Paragraph 6.</w:t>
      </w:r>
    </w:p>
  </w:footnote>
  <w:footnote w:id="19">
    <w:p w14:paraId="501FEAF3" w14:textId="57E95BA8" w:rsidR="00B43C9C" w:rsidRPr="008579BE" w:rsidRDefault="00B43C9C">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11.</w:t>
      </w:r>
    </w:p>
  </w:footnote>
  <w:footnote w:id="20">
    <w:p w14:paraId="7AC3EC34" w14:textId="3837204C" w:rsidR="0034677A" w:rsidRPr="008579BE" w:rsidRDefault="0034677A">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Ibid.</w:t>
      </w:r>
    </w:p>
  </w:footnote>
  <w:footnote w:id="21">
    <w:p w14:paraId="6255A714" w14:textId="7D00F56A" w:rsidR="0034677A" w:rsidRPr="008579BE" w:rsidRDefault="0034677A">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Ibid.</w:t>
      </w:r>
    </w:p>
  </w:footnote>
  <w:footnote w:id="22">
    <w:p w14:paraId="01D69B18" w14:textId="715F1704" w:rsidR="00432E59" w:rsidRPr="008579BE" w:rsidRDefault="00432E59">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“Encumbered funds” refers to funds that are committed to projects through an executed contract but have not yet been spent. The CEC has budget authority to encumber funds within two years of authorization. “Spent funds” refers to contracted funds that are spent on a project. “Unspent funds” refers to contracted funds that have not yet been spent on a project or funds that have not been encumbered. The CEC has budget authority to spend encumbered funds within four years of encumbering them through a contract. “Disencumbered funds” refers to previously encumbered funds that become unencumbered because the project has been terminated or was completed under budget or due to other reasons. “Supplemental funds” refers to encumbered but unspent funds that are requested for use on new projects. More detail on the definition of encumbered funds can be found here: </w:t>
      </w:r>
      <w:hyperlink r:id="rId4" w:history="1">
        <w:r w:rsidR="0003280A" w:rsidRPr="008579BE">
          <w:rPr>
            <w:rStyle w:val="Hyperlink"/>
            <w:rFonts w:ascii="Palatino Linotype" w:hAnsi="Palatino Linotype"/>
            <w:color w:val="auto"/>
          </w:rPr>
          <w:t>www.ebudget.ca.gov/reference/GlossaryOfTerms.pdf</w:t>
        </w:r>
      </w:hyperlink>
      <w:r w:rsidR="00D04DAB" w:rsidRPr="008579BE">
        <w:rPr>
          <w:rFonts w:ascii="Palatino Linotype" w:hAnsi="Palatino Linotype"/>
        </w:rPr>
        <w:t>.</w:t>
      </w:r>
    </w:p>
  </w:footnote>
  <w:footnote w:id="23">
    <w:p w14:paraId="5AD1DDC3" w14:textId="31EA0646" w:rsidR="00C804B3" w:rsidRPr="008579BE" w:rsidRDefault="00C804B3">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13.</w:t>
      </w:r>
    </w:p>
  </w:footnote>
  <w:footnote w:id="24">
    <w:p w14:paraId="2E8B1F7F" w14:textId="465FD7A1" w:rsidR="00C804B3" w:rsidRPr="008579BE" w:rsidRDefault="00C804B3">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Ibid.</w:t>
      </w:r>
    </w:p>
  </w:footnote>
  <w:footnote w:id="25">
    <w:p w14:paraId="44FF5635" w14:textId="40752AA5" w:rsidR="00A02220" w:rsidRPr="008579BE" w:rsidRDefault="00A02220">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w:t>
      </w:r>
      <w:r w:rsidR="00C804B3" w:rsidRPr="008579BE">
        <w:rPr>
          <w:rFonts w:ascii="Palatino Linotype" w:hAnsi="Palatino Linotype"/>
        </w:rPr>
        <w:t>Ibid.</w:t>
      </w:r>
    </w:p>
  </w:footnote>
  <w:footnote w:id="26">
    <w:p w14:paraId="3CE5A108" w14:textId="21EEA851" w:rsidR="002F6C10" w:rsidRPr="008579BE" w:rsidRDefault="002F6C10">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Footnote 22.</w:t>
      </w:r>
    </w:p>
  </w:footnote>
  <w:footnote w:id="27">
    <w:p w14:paraId="58D9F258" w14:textId="310F5FE1" w:rsidR="000F2767" w:rsidRPr="008579BE" w:rsidRDefault="000F2767">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Appendix B.</w:t>
      </w:r>
    </w:p>
  </w:footnote>
  <w:footnote w:id="28">
    <w:p w14:paraId="603AE602" w14:textId="5E3A2B0B" w:rsidR="001C5D7A" w:rsidRPr="008579BE" w:rsidRDefault="001C5D7A">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“California Energy Commission Annual Reports.” Available at </w:t>
      </w:r>
      <w:hyperlink r:id="rId5" w:history="1">
        <w:r w:rsidR="007D65F5" w:rsidRPr="008579BE">
          <w:rPr>
            <w:rStyle w:val="Hyperlink"/>
            <w:rFonts w:ascii="Palatino Linotype" w:hAnsi="Palatino Linotype"/>
            <w:color w:val="auto"/>
          </w:rPr>
          <w:t>https://www.energy.ca.gov/data-reports/reports/energy-research-and-development-investment-plans-and-annual-reports</w:t>
        </w:r>
      </w:hyperlink>
      <w:r w:rsidR="007D65F5" w:rsidRPr="008579BE">
        <w:rPr>
          <w:rFonts w:ascii="Palatino Linotype" w:hAnsi="Palatino Linotype"/>
        </w:rPr>
        <w:t xml:space="preserve">. </w:t>
      </w:r>
    </w:p>
  </w:footnote>
  <w:footnote w:id="29">
    <w:p w14:paraId="08611F69" w14:textId="3D37E6D3" w:rsidR="00D5489C" w:rsidRPr="008579BE" w:rsidRDefault="00D5489C">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Resolution G-3571, OP 8e</w:t>
      </w:r>
      <w:r w:rsidR="00D04DAB" w:rsidRPr="008579BE">
        <w:rPr>
          <w:rFonts w:ascii="Palatino Linotype" w:hAnsi="Palatino Linotype"/>
        </w:rPr>
        <w:t>.</w:t>
      </w:r>
    </w:p>
  </w:footnote>
  <w:footnote w:id="30">
    <w:p w14:paraId="50BD50F7" w14:textId="3F7FF454" w:rsidR="00552067" w:rsidRPr="008579BE" w:rsidRDefault="00552067">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7.</w:t>
      </w:r>
    </w:p>
  </w:footnote>
  <w:footnote w:id="31">
    <w:p w14:paraId="66E341B1" w14:textId="75FE26D4" w:rsidR="00702B07" w:rsidRPr="008579BE" w:rsidRDefault="00702B07">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Ibid.</w:t>
      </w:r>
    </w:p>
  </w:footnote>
  <w:footnote w:id="32">
    <w:p w14:paraId="61B479AD" w14:textId="5AEEFF18" w:rsidR="009A7702" w:rsidRPr="008579BE" w:rsidRDefault="009A7702">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G-3592 at Ordering Paragraph 5a. </w:t>
      </w:r>
    </w:p>
  </w:footnote>
  <w:footnote w:id="33">
    <w:p w14:paraId="6350569E" w14:textId="69F1C2E5" w:rsidR="005B3EA2" w:rsidRPr="008579BE" w:rsidRDefault="005B3EA2">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Appendix C</w:t>
      </w:r>
      <w:r w:rsidR="005F5ACB" w:rsidRPr="008579BE">
        <w:rPr>
          <w:rFonts w:ascii="Palatino Linotype" w:hAnsi="Palatino Linotype"/>
        </w:rPr>
        <w:t>, C-4 to C-7.</w:t>
      </w:r>
    </w:p>
  </w:footnote>
  <w:footnote w:id="34">
    <w:p w14:paraId="7F5A9A0D" w14:textId="25F1B484" w:rsidR="00E1264E" w:rsidRPr="008579BE" w:rsidRDefault="00E1264E">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19-20.</w:t>
      </w:r>
    </w:p>
  </w:footnote>
  <w:footnote w:id="35">
    <w:p w14:paraId="78021AA0" w14:textId="7654D7A2" w:rsidR="00E1264E" w:rsidRPr="008579BE" w:rsidRDefault="00E1264E">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w:t>
      </w:r>
      <w:r w:rsidR="009714E7" w:rsidRPr="008579BE">
        <w:rPr>
          <w:rFonts w:ascii="Palatino Linotype" w:hAnsi="Palatino Linotype"/>
        </w:rPr>
        <w:t>FY 2023-2024 Plan at 25.</w:t>
      </w:r>
    </w:p>
  </w:footnote>
  <w:footnote w:id="36">
    <w:p w14:paraId="0ABDAAAA" w14:textId="21B93B63" w:rsidR="00061133" w:rsidRPr="008579BE" w:rsidRDefault="00061133">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29.</w:t>
      </w:r>
    </w:p>
  </w:footnote>
  <w:footnote w:id="37">
    <w:p w14:paraId="3CCB3513" w14:textId="62A6EDD4" w:rsidR="00892551" w:rsidRPr="008579BE" w:rsidRDefault="00892551">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29-30.</w:t>
      </w:r>
    </w:p>
  </w:footnote>
  <w:footnote w:id="38">
    <w:p w14:paraId="6ABFAD24" w14:textId="699DA6DD" w:rsidR="005F5ACB" w:rsidRPr="008579BE" w:rsidRDefault="005F5ACB">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Appendix E.</w:t>
      </w:r>
    </w:p>
  </w:footnote>
  <w:footnote w:id="39">
    <w:p w14:paraId="374C2123" w14:textId="46F93309" w:rsidR="0081120D" w:rsidRPr="008579BE" w:rsidRDefault="0081120D">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G-3592 at Ordering Paragraph 5b.</w:t>
      </w:r>
    </w:p>
  </w:footnote>
  <w:footnote w:id="40">
    <w:p w14:paraId="2DD00B96" w14:textId="77777777" w:rsidR="00031A43" w:rsidRPr="008579BE" w:rsidRDefault="00031A43" w:rsidP="00031A43">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6.</w:t>
      </w:r>
    </w:p>
  </w:footnote>
  <w:footnote w:id="41">
    <w:p w14:paraId="2159415A" w14:textId="77777777" w:rsidR="00031A43" w:rsidRPr="008579BE" w:rsidRDefault="00031A43" w:rsidP="00031A43">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The CEC’s presentation on its Gas R&amp;D Program Proposed Budget Plan for FY 2023-2024 at the June 29, 2023 CPUC Commission Voting Meeting can be found at this link: </w:t>
      </w:r>
      <w:hyperlink r:id="rId6" w:history="1">
        <w:r w:rsidRPr="008579BE">
          <w:rPr>
            <w:rStyle w:val="Hyperlink"/>
            <w:rFonts w:ascii="Palatino Linotype" w:hAnsi="Palatino Linotype"/>
          </w:rPr>
          <w:t>https://www.cpuc.ca.gov/-/media/cpuc-website/transparency/voting-meetings/presentations-archive/2023/6-29-23_commeeting.pdf</w:t>
        </w:r>
      </w:hyperlink>
      <w:r w:rsidRPr="008579BE">
        <w:rPr>
          <w:rFonts w:ascii="Palatino Linotype" w:hAnsi="Palatino Linotype"/>
        </w:rPr>
        <w:t xml:space="preserve"> </w:t>
      </w:r>
    </w:p>
  </w:footnote>
  <w:footnote w:id="42">
    <w:p w14:paraId="4A56B740" w14:textId="01608A35" w:rsidR="00D01823" w:rsidRPr="008579BE" w:rsidRDefault="00D01823">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G-3592 at Ordering Paragraph 5c.</w:t>
      </w:r>
    </w:p>
  </w:footnote>
  <w:footnote w:id="43">
    <w:p w14:paraId="0773B46A" w14:textId="1C904E23" w:rsidR="00D01823" w:rsidRPr="008579BE" w:rsidRDefault="00D01823">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G-3592 at Ordering Paragraph 5d.</w:t>
      </w:r>
    </w:p>
  </w:footnote>
  <w:footnote w:id="44">
    <w:p w14:paraId="341B2909" w14:textId="77777777" w:rsidR="0004567F" w:rsidRPr="008579BE" w:rsidRDefault="0004567F" w:rsidP="0004567F">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D.04-08-010 at 28.</w:t>
      </w:r>
    </w:p>
  </w:footnote>
  <w:footnote w:id="45">
    <w:p w14:paraId="1102205B" w14:textId="77777777" w:rsidR="0004567F" w:rsidRPr="008579BE" w:rsidRDefault="0004567F" w:rsidP="0004567F">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FY 2023-2024 Plan at 11.</w:t>
      </w:r>
    </w:p>
  </w:footnote>
  <w:footnote w:id="46">
    <w:p w14:paraId="199FED9F" w14:textId="77777777" w:rsidR="0004567F" w:rsidRPr="008579BE" w:rsidRDefault="0004567F" w:rsidP="0004567F">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 xml:space="preserve">FY 2023-2024 at 11. </w:t>
      </w:r>
    </w:p>
  </w:footnote>
  <w:footnote w:id="47">
    <w:p w14:paraId="4CEC75CC" w14:textId="388F13DA" w:rsidR="00F55840" w:rsidRPr="008579BE" w:rsidRDefault="00F55840">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G-3592 at Ordering Paragraph 5e.</w:t>
      </w:r>
    </w:p>
  </w:footnote>
  <w:footnote w:id="48">
    <w:p w14:paraId="1DD134C8" w14:textId="2D3EF0F2" w:rsidR="006021EE" w:rsidRPr="008579BE" w:rsidRDefault="006021EE">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Appendix F-1.</w:t>
      </w:r>
    </w:p>
  </w:footnote>
  <w:footnote w:id="49">
    <w:p w14:paraId="6C8C8E6A" w14:textId="5FD791B4" w:rsidR="00FD495F" w:rsidRPr="008579BE" w:rsidRDefault="00FD495F">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G-3592 at Ordering Paragraph 5f. </w:t>
      </w:r>
    </w:p>
  </w:footnote>
  <w:footnote w:id="50">
    <w:p w14:paraId="2B5A9D01" w14:textId="545F2BA6" w:rsidR="009C2C6B" w:rsidRPr="008579BE" w:rsidRDefault="009C2C6B">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7.</w:t>
      </w:r>
    </w:p>
  </w:footnote>
  <w:footnote w:id="51">
    <w:p w14:paraId="020B8116" w14:textId="39A2E67E" w:rsidR="000C6CB3" w:rsidRPr="008579BE" w:rsidRDefault="000C6CB3">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Ibid.</w:t>
      </w:r>
    </w:p>
  </w:footnote>
  <w:footnote w:id="52">
    <w:p w14:paraId="336B820A" w14:textId="0BDE79B9" w:rsidR="00F2123C" w:rsidRPr="008579BE" w:rsidRDefault="00F2123C">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14.</w:t>
      </w:r>
    </w:p>
  </w:footnote>
  <w:footnote w:id="53">
    <w:p w14:paraId="665E1C01" w14:textId="76D43533" w:rsidR="009B7622" w:rsidRPr="008579BE" w:rsidRDefault="009B7622">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13.</w:t>
      </w:r>
    </w:p>
  </w:footnote>
  <w:footnote w:id="54">
    <w:p w14:paraId="02862549" w14:textId="1B94615C" w:rsidR="00FF252F" w:rsidRPr="008579BE" w:rsidRDefault="00FF252F">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Ibid.</w:t>
      </w:r>
    </w:p>
  </w:footnote>
  <w:footnote w:id="55">
    <w:p w14:paraId="2A79D7BD" w14:textId="6FE059E8" w:rsidR="00611F24" w:rsidRPr="008579BE" w:rsidRDefault="00611F24">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15</w:t>
      </w:r>
      <w:r w:rsidR="00AB7FAE" w:rsidRPr="008579BE">
        <w:rPr>
          <w:rFonts w:ascii="Palatino Linotype" w:hAnsi="Palatino Linotype"/>
        </w:rPr>
        <w:t>-16</w:t>
      </w:r>
      <w:r w:rsidRPr="008579BE">
        <w:rPr>
          <w:rFonts w:ascii="Palatino Linotype" w:hAnsi="Palatino Linotype"/>
        </w:rPr>
        <w:t>.</w:t>
      </w:r>
    </w:p>
  </w:footnote>
  <w:footnote w:id="56">
    <w:p w14:paraId="09E8BA33" w14:textId="27636996" w:rsidR="00FB4DD0" w:rsidRPr="008579BE" w:rsidRDefault="00FB4DD0">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16.</w:t>
      </w:r>
    </w:p>
  </w:footnote>
  <w:footnote w:id="57">
    <w:p w14:paraId="3856548A" w14:textId="247741B5" w:rsidR="00CA31B7" w:rsidRPr="008579BE" w:rsidRDefault="00CA31B7">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Methane Leak Proceeding: R.15-01-008</w:t>
      </w:r>
    </w:p>
  </w:footnote>
  <w:footnote w:id="58">
    <w:p w14:paraId="11F087B3" w14:textId="72DEDBC4" w:rsidR="00CA31B7" w:rsidRPr="008579BE" w:rsidRDefault="00CA31B7">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w:t>
      </w:r>
      <w:hyperlink r:id="rId7" w:history="1">
        <w:r w:rsidRPr="008579BE">
          <w:rPr>
            <w:rStyle w:val="Hyperlink"/>
            <w:rFonts w:ascii="Palatino Linotype" w:hAnsi="Palatino Linotype"/>
          </w:rPr>
          <w:t>Senate Bill 1371 Natural Gas: Leakage Abatement | California Air Resources Board</w:t>
        </w:r>
      </w:hyperlink>
    </w:p>
  </w:footnote>
  <w:footnote w:id="59">
    <w:p w14:paraId="0D200743" w14:textId="3303622A" w:rsidR="00B329D2" w:rsidRPr="008579BE" w:rsidRDefault="00B329D2">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004C32F3" w:rsidRPr="008579BE">
        <w:rPr>
          <w:rFonts w:ascii="Palatino Linotype" w:hAnsi="Palatino Linotype"/>
          <w:lang w:val="en-ZW"/>
        </w:rPr>
        <w:t>D.17-06-015</w:t>
      </w:r>
      <w:r w:rsidRPr="008579BE">
        <w:rPr>
          <w:rFonts w:ascii="Palatino Linotype" w:hAnsi="Palatino Linotype"/>
          <w:lang w:val="en-ZW"/>
        </w:rPr>
        <w:t xml:space="preserve"> at Ordering Paragraph 9. </w:t>
      </w:r>
    </w:p>
  </w:footnote>
  <w:footnote w:id="60">
    <w:p w14:paraId="192F8EB4" w14:textId="77777777" w:rsidR="00831DA3" w:rsidRPr="008579BE" w:rsidRDefault="00831DA3" w:rsidP="00831DA3">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Resolution G-3595.</w:t>
      </w:r>
    </w:p>
  </w:footnote>
  <w:footnote w:id="61">
    <w:p w14:paraId="50823C1F" w14:textId="77777777" w:rsidR="00831DA3" w:rsidRPr="008579BE" w:rsidRDefault="00831DA3" w:rsidP="00831DA3">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Resolution G-3599.</w:t>
      </w:r>
    </w:p>
  </w:footnote>
  <w:footnote w:id="62">
    <w:p w14:paraId="33535246" w14:textId="502B5EBC" w:rsidR="00A72CF3" w:rsidRPr="008579BE" w:rsidRDefault="00A72CF3">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 xml:space="preserve">D.22-12-057 at </w:t>
      </w:r>
      <w:r w:rsidR="00A10BD5" w:rsidRPr="008579BE">
        <w:rPr>
          <w:rFonts w:ascii="Palatino Linotype" w:hAnsi="Palatino Linotype"/>
          <w:lang w:val="en-ZW"/>
        </w:rPr>
        <w:t>Ordering Paragraph 7k</w:t>
      </w:r>
      <w:r w:rsidRPr="008579BE">
        <w:rPr>
          <w:rFonts w:ascii="Palatino Linotype" w:hAnsi="Palatino Linotype"/>
          <w:lang w:val="en-ZW"/>
        </w:rPr>
        <w:t>.</w:t>
      </w:r>
    </w:p>
  </w:footnote>
  <w:footnote w:id="63">
    <w:p w14:paraId="2D7F935B" w14:textId="7088B66B" w:rsidR="00661CD6" w:rsidRPr="008579BE" w:rsidRDefault="00661CD6">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D.22-12-057 at 30.</w:t>
      </w:r>
    </w:p>
  </w:footnote>
  <w:footnote w:id="64">
    <w:p w14:paraId="38AD93E0" w14:textId="4CBA61A4" w:rsidR="00370554" w:rsidRPr="008579BE" w:rsidRDefault="00370554">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hyperlink r:id="rId8" w:history="1">
        <w:r w:rsidRPr="008579BE">
          <w:rPr>
            <w:rStyle w:val="Hyperlink"/>
            <w:rFonts w:ascii="Palatino Linotype" w:hAnsi="Palatino Linotype"/>
          </w:rPr>
          <w:t>https://archesh2.org/frequently-asked-questions/</w:t>
        </w:r>
      </w:hyperlink>
      <w:r w:rsidRPr="008579BE">
        <w:rPr>
          <w:rFonts w:ascii="Palatino Linotype" w:hAnsi="Palatino Linotype"/>
        </w:rPr>
        <w:t xml:space="preserve"> </w:t>
      </w:r>
    </w:p>
  </w:footnote>
  <w:footnote w:id="65">
    <w:p w14:paraId="5FC212AA" w14:textId="625F4C83" w:rsidR="00400D1C" w:rsidRPr="008579BE" w:rsidRDefault="00400D1C">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 xml:space="preserve">PRC 25620.1 at </w:t>
      </w:r>
      <w:r w:rsidR="008359F6" w:rsidRPr="008579BE">
        <w:rPr>
          <w:rFonts w:ascii="Palatino Linotype" w:hAnsi="Palatino Linotype"/>
          <w:lang w:val="en-ZW"/>
        </w:rPr>
        <w:t>c8.</w:t>
      </w:r>
    </w:p>
  </w:footnote>
  <w:footnote w:id="66">
    <w:p w14:paraId="2E52C9FB" w14:textId="283CB520" w:rsidR="00653034" w:rsidRPr="008579BE" w:rsidRDefault="00653034">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21. </w:t>
      </w:r>
    </w:p>
  </w:footnote>
  <w:footnote w:id="67">
    <w:p w14:paraId="17B9FFE4" w14:textId="734EC8C1" w:rsidR="003A6A08" w:rsidRPr="008579BE" w:rsidRDefault="003A6A08">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Ibid.</w:t>
      </w:r>
    </w:p>
  </w:footnote>
  <w:footnote w:id="68">
    <w:p w14:paraId="4175CADA" w14:textId="22EBC558" w:rsidR="000D6EED" w:rsidRPr="008579BE" w:rsidRDefault="000D6EED">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FY 2023-2024 Plan at 22.</w:t>
      </w:r>
    </w:p>
  </w:footnote>
  <w:footnote w:id="69">
    <w:p w14:paraId="06065764" w14:textId="1EB07982" w:rsidR="000D6EED" w:rsidRPr="008579BE" w:rsidRDefault="000D6EED">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Pr="008579BE">
        <w:rPr>
          <w:rFonts w:ascii="Palatino Linotype" w:hAnsi="Palatino Linotype"/>
          <w:lang w:val="en-ZW"/>
        </w:rPr>
        <w:t>Ibid.</w:t>
      </w:r>
    </w:p>
  </w:footnote>
  <w:footnote w:id="70">
    <w:p w14:paraId="027AB956" w14:textId="62368E15" w:rsidR="00E124CB" w:rsidRPr="008579BE" w:rsidRDefault="00E124CB">
      <w:pPr>
        <w:pStyle w:val="FootnoteText"/>
        <w:rPr>
          <w:rFonts w:ascii="Palatino Linotype" w:hAnsi="Palatino Linotype"/>
          <w:lang w:val="en-ZW"/>
        </w:rPr>
      </w:pPr>
      <w:r w:rsidRPr="008579BE">
        <w:rPr>
          <w:rStyle w:val="FootnoteReference"/>
          <w:rFonts w:ascii="Palatino Linotype" w:hAnsi="Palatino Linotype"/>
        </w:rPr>
        <w:footnoteRef/>
      </w:r>
      <w:r w:rsidRPr="008579BE">
        <w:rPr>
          <w:rFonts w:ascii="Palatino Linotype" w:hAnsi="Palatino Linotype"/>
        </w:rPr>
        <w:t xml:space="preserve"> </w:t>
      </w:r>
      <w:r w:rsidR="000D6EED" w:rsidRPr="008579BE">
        <w:rPr>
          <w:rFonts w:ascii="Palatino Linotype" w:hAnsi="Palatino Linotype"/>
          <w:lang w:val="en-ZW"/>
        </w:rPr>
        <w:t>Ibid</w:t>
      </w:r>
      <w:r w:rsidRPr="008579BE">
        <w:rPr>
          <w:rFonts w:ascii="Palatino Linotype" w:hAnsi="Palatino Linotype"/>
          <w:lang w:val="en-ZW"/>
        </w:rPr>
        <w:t>.</w:t>
      </w:r>
    </w:p>
  </w:footnote>
  <w:footnote w:id="71">
    <w:p w14:paraId="12361315" w14:textId="7810D5B4" w:rsidR="002E762B" w:rsidRPr="008579BE" w:rsidRDefault="002E762B">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w:t>
      </w:r>
      <w:r w:rsidR="00A259F4" w:rsidRPr="008579BE">
        <w:rPr>
          <w:rFonts w:ascii="Palatino Linotype" w:hAnsi="Palatino Linotype"/>
        </w:rPr>
        <w:t>FY 2023-2024 Plan at 21.</w:t>
      </w:r>
    </w:p>
  </w:footnote>
  <w:footnote w:id="72">
    <w:p w14:paraId="212BDAD0" w14:textId="4311DDE7" w:rsidR="002E762B" w:rsidRPr="008579BE" w:rsidRDefault="002E762B">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Ibid.</w:t>
      </w:r>
    </w:p>
  </w:footnote>
  <w:footnote w:id="73">
    <w:p w14:paraId="7C9DD2A3" w14:textId="1E5515A9" w:rsidR="006F619A" w:rsidRPr="008579BE" w:rsidRDefault="006F619A">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Resolution G-3571 </w:t>
      </w:r>
      <w:r w:rsidR="00960EB2" w:rsidRPr="008579BE">
        <w:rPr>
          <w:rFonts w:ascii="Palatino Linotype" w:hAnsi="Palatino Linotype"/>
        </w:rPr>
        <w:t>at 15.</w:t>
      </w:r>
    </w:p>
  </w:footnote>
  <w:footnote w:id="74">
    <w:p w14:paraId="3BA231F1" w14:textId="77777777" w:rsidR="00E2772F" w:rsidRPr="008579BE" w:rsidRDefault="00E2772F" w:rsidP="00E2772F">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23.</w:t>
      </w:r>
    </w:p>
  </w:footnote>
  <w:footnote w:id="75">
    <w:p w14:paraId="4F66ECD7" w14:textId="2852DC8C" w:rsidR="00E2772F" w:rsidRPr="008579BE" w:rsidRDefault="00E2772F">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Ibid.</w:t>
      </w:r>
    </w:p>
  </w:footnote>
  <w:footnote w:id="76">
    <w:p w14:paraId="1428A519" w14:textId="1660F783" w:rsidR="00155308" w:rsidRPr="008579BE" w:rsidRDefault="00155308">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CEC’s Integrated Energy Policy Report (IEPR) Volume 1: Building Decarbonization (2021).  </w:t>
      </w:r>
    </w:p>
  </w:footnote>
  <w:footnote w:id="77">
    <w:p w14:paraId="140372E7" w14:textId="7F6C11CF" w:rsidR="009403FE" w:rsidRPr="008579BE" w:rsidRDefault="009403FE">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24. </w:t>
      </w:r>
    </w:p>
  </w:footnote>
  <w:footnote w:id="78">
    <w:p w14:paraId="6EC071CA" w14:textId="7613213D" w:rsidR="000143EA" w:rsidRPr="008579BE" w:rsidRDefault="000143EA">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25. </w:t>
      </w:r>
    </w:p>
  </w:footnote>
  <w:footnote w:id="79">
    <w:p w14:paraId="1F4FFC30" w14:textId="33B77932" w:rsidR="00093480" w:rsidRPr="008579BE" w:rsidRDefault="00093480">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26. </w:t>
      </w:r>
    </w:p>
  </w:footnote>
  <w:footnote w:id="80">
    <w:p w14:paraId="2BA24E4A" w14:textId="3584A475" w:rsidR="00093480" w:rsidRPr="008579BE" w:rsidRDefault="00093480">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27.</w:t>
      </w:r>
    </w:p>
  </w:footnote>
  <w:footnote w:id="81">
    <w:p w14:paraId="646AB2EB" w14:textId="07998896" w:rsidR="00CC7C6F" w:rsidRPr="008579BE" w:rsidRDefault="00CC7C6F">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G-3692 at Ordering Paragraph 4.</w:t>
      </w:r>
    </w:p>
  </w:footnote>
  <w:footnote w:id="82">
    <w:p w14:paraId="614BC12E" w14:textId="5469CBEB" w:rsidR="0016119B" w:rsidRPr="008579BE" w:rsidRDefault="0016119B">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Strategic planning coordination with IOU </w:t>
      </w:r>
      <w:r w:rsidR="002D5C7C" w:rsidRPr="008579BE">
        <w:rPr>
          <w:rFonts w:ascii="Palatino Linotype" w:hAnsi="Palatino Linotype"/>
        </w:rPr>
        <w:t xml:space="preserve">and other </w:t>
      </w:r>
      <w:r w:rsidRPr="008579BE">
        <w:rPr>
          <w:rFonts w:ascii="Palatino Linotype" w:hAnsi="Palatino Linotype"/>
        </w:rPr>
        <w:t xml:space="preserve">gas R&amp;D </w:t>
      </w:r>
      <w:r w:rsidR="002D5C7C" w:rsidRPr="008579BE">
        <w:rPr>
          <w:rFonts w:ascii="Palatino Linotype" w:hAnsi="Palatino Linotype"/>
        </w:rPr>
        <w:t xml:space="preserve">administrators is </w:t>
      </w:r>
      <w:r w:rsidR="003822C1" w:rsidRPr="008579BE">
        <w:rPr>
          <w:rFonts w:ascii="Palatino Linotype" w:hAnsi="Palatino Linotype"/>
        </w:rPr>
        <w:t xml:space="preserve">different from </w:t>
      </w:r>
      <w:r w:rsidR="00022759" w:rsidRPr="008579BE">
        <w:rPr>
          <w:rFonts w:ascii="Palatino Linotype" w:hAnsi="Palatino Linotype"/>
        </w:rPr>
        <w:t xml:space="preserve">considerations of competition or </w:t>
      </w:r>
      <w:r w:rsidR="003822C1" w:rsidRPr="008579BE">
        <w:rPr>
          <w:rFonts w:ascii="Palatino Linotype" w:hAnsi="Palatino Linotype"/>
        </w:rPr>
        <w:t xml:space="preserve">R&amp;D project collaboration and co-funding and </w:t>
      </w:r>
      <w:r w:rsidR="00022759" w:rsidRPr="008579BE">
        <w:rPr>
          <w:rFonts w:ascii="Palatino Linotype" w:hAnsi="Palatino Linotype"/>
        </w:rPr>
        <w:t xml:space="preserve">the two </w:t>
      </w:r>
      <w:r w:rsidR="003822C1" w:rsidRPr="008579BE">
        <w:rPr>
          <w:rFonts w:ascii="Palatino Linotype" w:hAnsi="Palatino Linotype"/>
        </w:rPr>
        <w:t xml:space="preserve">should not </w:t>
      </w:r>
      <w:r w:rsidR="00D951AE" w:rsidRPr="008579BE">
        <w:rPr>
          <w:rFonts w:ascii="Palatino Linotype" w:hAnsi="Palatino Linotype"/>
        </w:rPr>
        <w:t>be conflated</w:t>
      </w:r>
      <w:r w:rsidR="00022759" w:rsidRPr="008579BE">
        <w:rPr>
          <w:rFonts w:ascii="Palatino Linotype" w:hAnsi="Palatino Linotype"/>
        </w:rPr>
        <w:t>.</w:t>
      </w:r>
      <w:r w:rsidR="00D951AE" w:rsidRPr="008579BE">
        <w:rPr>
          <w:rFonts w:ascii="Palatino Linotype" w:hAnsi="Palatino Linotype"/>
        </w:rPr>
        <w:t xml:space="preserve"> </w:t>
      </w:r>
    </w:p>
  </w:footnote>
  <w:footnote w:id="83">
    <w:p w14:paraId="42B8AEC7" w14:textId="34A27AD9" w:rsidR="00DE023C" w:rsidRPr="008579BE" w:rsidRDefault="00DE023C">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29.</w:t>
      </w:r>
    </w:p>
  </w:footnote>
  <w:footnote w:id="84">
    <w:p w14:paraId="127BAF38" w14:textId="101BD91D" w:rsidR="00EB5BFC" w:rsidRPr="008579BE" w:rsidRDefault="00EB5BFC">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28.</w:t>
      </w:r>
      <w:r w:rsidR="00F466CD" w:rsidRPr="008579BE">
        <w:rPr>
          <w:rFonts w:ascii="Palatino Linotype" w:hAnsi="Palatino Linotype"/>
        </w:rPr>
        <w:t xml:space="preserve"> </w:t>
      </w:r>
    </w:p>
  </w:footnote>
  <w:footnote w:id="85">
    <w:p w14:paraId="2E9C6920" w14:textId="0698CFE9" w:rsidR="00AF450B" w:rsidRPr="008579BE" w:rsidRDefault="00AF450B">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Ibid.</w:t>
      </w:r>
    </w:p>
  </w:footnote>
  <w:footnote w:id="86">
    <w:p w14:paraId="412C25A0" w14:textId="59EE0ACC" w:rsidR="00F466CD" w:rsidRPr="008579BE" w:rsidRDefault="00F466CD">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Ibid.</w:t>
      </w:r>
    </w:p>
  </w:footnote>
  <w:footnote w:id="87">
    <w:p w14:paraId="6B6E689A" w14:textId="60A41CE8" w:rsidR="00161501" w:rsidRPr="008579BE" w:rsidRDefault="00161501">
      <w:pPr>
        <w:pStyle w:val="FootnoteText"/>
        <w:rPr>
          <w:rFonts w:ascii="Palatino Linotype" w:hAnsi="Palatino Linotype"/>
        </w:rPr>
      </w:pPr>
      <w:r w:rsidRPr="008579BE">
        <w:rPr>
          <w:rStyle w:val="FootnoteReference"/>
          <w:rFonts w:ascii="Palatino Linotype" w:hAnsi="Palatino Linotype"/>
        </w:rPr>
        <w:footnoteRef/>
      </w:r>
      <w:r w:rsidRPr="008579BE">
        <w:rPr>
          <w:rFonts w:ascii="Palatino Linotype" w:hAnsi="Palatino Linotype"/>
        </w:rPr>
        <w:t xml:space="preserve"> FY 2023-2024 Plan at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7CEB" w14:textId="34A2A1C4" w:rsidR="00EA445E" w:rsidRPr="00C0102A" w:rsidRDefault="003B38D0">
    <w:pPr>
      <w:pStyle w:val="Header"/>
      <w:rPr>
        <w:rFonts w:ascii="Palatino Linotype" w:hAnsi="Palatino Linotype"/>
        <w:i/>
        <w:iCs/>
        <w:sz w:val="24"/>
        <w:szCs w:val="24"/>
        <w:lang w:val="en-ZW"/>
      </w:rPr>
    </w:pPr>
    <w:r w:rsidRPr="00047D20">
      <w:rPr>
        <w:rFonts w:ascii="Palatino Linotype" w:hAnsi="Palatino Linotype"/>
        <w:sz w:val="24"/>
        <w:szCs w:val="24"/>
        <w:lang w:val="en-ZW"/>
      </w:rPr>
      <w:t>R</w:t>
    </w:r>
    <w:r w:rsidR="005775F5">
      <w:rPr>
        <w:rFonts w:ascii="Palatino Linotype" w:hAnsi="Palatino Linotype"/>
        <w:sz w:val="24"/>
        <w:szCs w:val="24"/>
        <w:lang w:val="en-ZW"/>
      </w:rPr>
      <w:t>esolution</w:t>
    </w:r>
    <w:r w:rsidRPr="00047D20">
      <w:rPr>
        <w:rFonts w:ascii="Palatino Linotype" w:hAnsi="Palatino Linotype"/>
        <w:sz w:val="24"/>
        <w:szCs w:val="24"/>
        <w:lang w:val="en-ZW"/>
      </w:rPr>
      <w:t xml:space="preserve"> G-3</w:t>
    </w:r>
    <w:r w:rsidR="00C0102A">
      <w:rPr>
        <w:rFonts w:ascii="Palatino Linotype" w:hAnsi="Palatino Linotype"/>
        <w:sz w:val="24"/>
        <w:szCs w:val="24"/>
        <w:lang w:val="en-ZW"/>
      </w:rPr>
      <w:t>603</w:t>
    </w:r>
    <w:r w:rsidR="005775F5">
      <w:rPr>
        <w:rFonts w:ascii="Palatino Linotype" w:hAnsi="Palatino Linotype"/>
        <w:sz w:val="24"/>
        <w:szCs w:val="24"/>
        <w:lang w:val="en-ZW"/>
      </w:rPr>
      <w:tab/>
      <w:t>DRAFT</w:t>
    </w:r>
    <w:r w:rsidR="005775F5">
      <w:rPr>
        <w:rFonts w:ascii="Palatino Linotype" w:hAnsi="Palatino Linotype"/>
        <w:sz w:val="24"/>
        <w:szCs w:val="24"/>
        <w:lang w:val="en-ZW"/>
      </w:rPr>
      <w:tab/>
    </w:r>
    <w:r w:rsidR="00882303" w:rsidRPr="00882303">
      <w:rPr>
        <w:rFonts w:ascii="Palatino Linotype" w:hAnsi="Palatino Linotype"/>
        <w:sz w:val="24"/>
        <w:szCs w:val="24"/>
        <w:lang w:val="en-ZW"/>
      </w:rPr>
      <w:t>May 9, 2024</w:t>
    </w:r>
  </w:p>
  <w:p w14:paraId="53F4A401" w14:textId="34824F8E" w:rsidR="00BA112C" w:rsidRDefault="008525A5">
    <w:pPr>
      <w:pStyle w:val="Header"/>
      <w:rPr>
        <w:rFonts w:ascii="Palatino Linotype" w:hAnsi="Palatino Linotype"/>
        <w:sz w:val="24"/>
        <w:szCs w:val="24"/>
        <w:lang w:val="en-ZW"/>
      </w:rPr>
    </w:pPr>
    <w:r>
      <w:rPr>
        <w:rFonts w:ascii="Palatino Linotype" w:hAnsi="Palatino Linotype"/>
        <w:sz w:val="24"/>
        <w:szCs w:val="24"/>
        <w:lang w:val="en-ZW"/>
      </w:rPr>
      <w:t xml:space="preserve">CEC </w:t>
    </w:r>
    <w:r w:rsidR="005775F5">
      <w:rPr>
        <w:rFonts w:ascii="Palatino Linotype" w:hAnsi="Palatino Linotype"/>
        <w:sz w:val="24"/>
        <w:szCs w:val="24"/>
        <w:lang w:val="en-ZW"/>
      </w:rPr>
      <w:t xml:space="preserve">AL </w:t>
    </w:r>
    <w:r w:rsidR="00297BF9">
      <w:rPr>
        <w:rFonts w:ascii="Palatino Linotype" w:hAnsi="Palatino Linotype"/>
        <w:sz w:val="24"/>
        <w:szCs w:val="24"/>
        <w:lang w:val="en-ZW"/>
      </w:rPr>
      <w:t>5-</w:t>
    </w:r>
    <w:r w:rsidR="005775F5">
      <w:rPr>
        <w:rFonts w:ascii="Palatino Linotype" w:hAnsi="Palatino Linotype"/>
        <w:sz w:val="24"/>
        <w:szCs w:val="24"/>
        <w:lang w:val="en-ZW"/>
      </w:rPr>
      <w:t>G</w:t>
    </w:r>
    <w:r>
      <w:rPr>
        <w:rFonts w:ascii="Palatino Linotype" w:hAnsi="Palatino Linotype"/>
        <w:sz w:val="24"/>
        <w:szCs w:val="24"/>
        <w:lang w:val="en-ZW"/>
      </w:rPr>
      <w:t>/AKZ</w:t>
    </w:r>
  </w:p>
  <w:p w14:paraId="15C45DE2" w14:textId="77777777" w:rsidR="005775F5" w:rsidRPr="00047D20" w:rsidRDefault="005775F5">
    <w:pPr>
      <w:pStyle w:val="Header"/>
      <w:rPr>
        <w:rFonts w:ascii="Palatino Linotype" w:hAnsi="Palatino Linotype"/>
        <w:sz w:val="24"/>
        <w:szCs w:val="24"/>
        <w:lang w:val="en-Z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38EB" w14:textId="56257A2C" w:rsidR="005775F5" w:rsidRPr="005775F5" w:rsidRDefault="005775F5">
    <w:pPr>
      <w:pStyle w:val="Header"/>
      <w:rPr>
        <w:rFonts w:ascii="Palatino Linotype" w:hAnsi="Palatino Linotype"/>
        <w:sz w:val="24"/>
        <w:szCs w:val="24"/>
      </w:rPr>
    </w:pPr>
    <w:r w:rsidRPr="005775F5">
      <w:rPr>
        <w:rFonts w:ascii="Palatino Linotype" w:hAnsi="Palatino Linotype"/>
        <w:sz w:val="24"/>
        <w:szCs w:val="24"/>
      </w:rP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4E0"/>
    <w:multiLevelType w:val="hybridMultilevel"/>
    <w:tmpl w:val="F046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38E2"/>
    <w:multiLevelType w:val="multilevel"/>
    <w:tmpl w:val="0986B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8121F7"/>
    <w:multiLevelType w:val="hybridMultilevel"/>
    <w:tmpl w:val="89C6E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7EF7"/>
    <w:multiLevelType w:val="multilevel"/>
    <w:tmpl w:val="1A9400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AD5662"/>
    <w:multiLevelType w:val="hybridMultilevel"/>
    <w:tmpl w:val="67EE9D4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15:restartNumberingAfterBreak="0">
    <w:nsid w:val="12EC0E4F"/>
    <w:multiLevelType w:val="multilevel"/>
    <w:tmpl w:val="5BAE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91568"/>
    <w:multiLevelType w:val="multilevel"/>
    <w:tmpl w:val="F0686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60B26"/>
    <w:multiLevelType w:val="multilevel"/>
    <w:tmpl w:val="9E82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EA4DEE"/>
    <w:multiLevelType w:val="multilevel"/>
    <w:tmpl w:val="AD4A82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01176"/>
    <w:multiLevelType w:val="hybridMultilevel"/>
    <w:tmpl w:val="FCCC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01D85"/>
    <w:multiLevelType w:val="hybridMultilevel"/>
    <w:tmpl w:val="793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F174E"/>
    <w:multiLevelType w:val="hybridMultilevel"/>
    <w:tmpl w:val="9CB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53B4A"/>
    <w:multiLevelType w:val="multilevel"/>
    <w:tmpl w:val="8F8E9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C07546"/>
    <w:multiLevelType w:val="hybridMultilevel"/>
    <w:tmpl w:val="94EA5A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28F7C58"/>
    <w:multiLevelType w:val="hybridMultilevel"/>
    <w:tmpl w:val="F3661F84"/>
    <w:lvl w:ilvl="0" w:tplc="F348C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36F4D"/>
    <w:multiLevelType w:val="hybridMultilevel"/>
    <w:tmpl w:val="40AA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37560"/>
    <w:multiLevelType w:val="hybridMultilevel"/>
    <w:tmpl w:val="337A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867A6"/>
    <w:multiLevelType w:val="hybridMultilevel"/>
    <w:tmpl w:val="B57AB6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0701D"/>
    <w:multiLevelType w:val="hybridMultilevel"/>
    <w:tmpl w:val="75F6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B48C7"/>
    <w:multiLevelType w:val="multilevel"/>
    <w:tmpl w:val="38044C6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08473F0"/>
    <w:multiLevelType w:val="multilevel"/>
    <w:tmpl w:val="FF12ED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B8088F"/>
    <w:multiLevelType w:val="hybridMultilevel"/>
    <w:tmpl w:val="0D42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60A03"/>
    <w:multiLevelType w:val="multilevel"/>
    <w:tmpl w:val="90046E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361237"/>
    <w:multiLevelType w:val="hybridMultilevel"/>
    <w:tmpl w:val="FEA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C06C5"/>
    <w:multiLevelType w:val="hybridMultilevel"/>
    <w:tmpl w:val="E23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27139"/>
    <w:multiLevelType w:val="hybridMultilevel"/>
    <w:tmpl w:val="FE50E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D47F5"/>
    <w:multiLevelType w:val="multilevel"/>
    <w:tmpl w:val="8B245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58706F"/>
    <w:multiLevelType w:val="multilevel"/>
    <w:tmpl w:val="4CBAF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816CA6"/>
    <w:multiLevelType w:val="multilevel"/>
    <w:tmpl w:val="B67EA2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77264E"/>
    <w:multiLevelType w:val="multilevel"/>
    <w:tmpl w:val="6D2EF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CE35AAA"/>
    <w:multiLevelType w:val="hybridMultilevel"/>
    <w:tmpl w:val="022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27402"/>
    <w:multiLevelType w:val="hybridMultilevel"/>
    <w:tmpl w:val="7510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A19F0"/>
    <w:multiLevelType w:val="hybridMultilevel"/>
    <w:tmpl w:val="9B4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A53C4"/>
    <w:multiLevelType w:val="multilevel"/>
    <w:tmpl w:val="B26A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232422"/>
    <w:multiLevelType w:val="multilevel"/>
    <w:tmpl w:val="DC2AB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B4397A"/>
    <w:multiLevelType w:val="multilevel"/>
    <w:tmpl w:val="9CFC1D5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5A8608FD"/>
    <w:multiLevelType w:val="multilevel"/>
    <w:tmpl w:val="215C0F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BF2521"/>
    <w:multiLevelType w:val="hybridMultilevel"/>
    <w:tmpl w:val="0E0EA652"/>
    <w:lvl w:ilvl="0" w:tplc="DE9CB1C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0B6D43"/>
    <w:multiLevelType w:val="hybridMultilevel"/>
    <w:tmpl w:val="E04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F7760"/>
    <w:multiLevelType w:val="hybridMultilevel"/>
    <w:tmpl w:val="C8CE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806AA"/>
    <w:multiLevelType w:val="multilevel"/>
    <w:tmpl w:val="8DBA998E"/>
    <w:lvl w:ilvl="0">
      <w:start w:val="1"/>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2D3733"/>
    <w:multiLevelType w:val="multilevel"/>
    <w:tmpl w:val="AD4E2A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EDF3CE7"/>
    <w:multiLevelType w:val="multilevel"/>
    <w:tmpl w:val="56349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C82FCC"/>
    <w:multiLevelType w:val="multilevel"/>
    <w:tmpl w:val="AA2E3B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B97304"/>
    <w:multiLevelType w:val="multilevel"/>
    <w:tmpl w:val="6F1E4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5083597">
    <w:abstractNumId w:val="35"/>
  </w:num>
  <w:num w:numId="2" w16cid:durableId="1027875465">
    <w:abstractNumId w:val="15"/>
  </w:num>
  <w:num w:numId="3" w16cid:durableId="727725882">
    <w:abstractNumId w:val="26"/>
  </w:num>
  <w:num w:numId="4" w16cid:durableId="1893300843">
    <w:abstractNumId w:val="44"/>
  </w:num>
  <w:num w:numId="5" w16cid:durableId="1034965671">
    <w:abstractNumId w:val="17"/>
  </w:num>
  <w:num w:numId="6" w16cid:durableId="928007278">
    <w:abstractNumId w:val="5"/>
  </w:num>
  <w:num w:numId="7" w16cid:durableId="1604532987">
    <w:abstractNumId w:val="42"/>
  </w:num>
  <w:num w:numId="8" w16cid:durableId="1944148797">
    <w:abstractNumId w:val="36"/>
  </w:num>
  <w:num w:numId="9" w16cid:durableId="102386961">
    <w:abstractNumId w:val="8"/>
  </w:num>
  <w:num w:numId="10" w16cid:durableId="1257325208">
    <w:abstractNumId w:val="0"/>
  </w:num>
  <w:num w:numId="11" w16cid:durableId="2140343535">
    <w:abstractNumId w:val="32"/>
  </w:num>
  <w:num w:numId="12" w16cid:durableId="1225525355">
    <w:abstractNumId w:val="10"/>
  </w:num>
  <w:num w:numId="13" w16cid:durableId="1503352078">
    <w:abstractNumId w:val="25"/>
  </w:num>
  <w:num w:numId="14" w16cid:durableId="158542376">
    <w:abstractNumId w:val="14"/>
  </w:num>
  <w:num w:numId="15" w16cid:durableId="529954272">
    <w:abstractNumId w:val="37"/>
  </w:num>
  <w:num w:numId="16" w16cid:durableId="510993906">
    <w:abstractNumId w:val="39"/>
  </w:num>
  <w:num w:numId="17" w16cid:durableId="1489899548">
    <w:abstractNumId w:val="21"/>
  </w:num>
  <w:num w:numId="18" w16cid:durableId="733234214">
    <w:abstractNumId w:val="40"/>
  </w:num>
  <w:num w:numId="19" w16cid:durableId="478690561">
    <w:abstractNumId w:val="6"/>
  </w:num>
  <w:num w:numId="20" w16cid:durableId="208417692">
    <w:abstractNumId w:val="7"/>
  </w:num>
  <w:num w:numId="21" w16cid:durableId="768431354">
    <w:abstractNumId w:val="33"/>
  </w:num>
  <w:num w:numId="22" w16cid:durableId="940574113">
    <w:abstractNumId w:val="34"/>
  </w:num>
  <w:num w:numId="23" w16cid:durableId="266236324">
    <w:abstractNumId w:val="22"/>
  </w:num>
  <w:num w:numId="24" w16cid:durableId="1996373109">
    <w:abstractNumId w:val="12"/>
  </w:num>
  <w:num w:numId="25" w16cid:durableId="359287281">
    <w:abstractNumId w:val="20"/>
  </w:num>
  <w:num w:numId="26" w16cid:durableId="1879313761">
    <w:abstractNumId w:val="43"/>
  </w:num>
  <w:num w:numId="27" w16cid:durableId="2098094084">
    <w:abstractNumId w:val="27"/>
  </w:num>
  <w:num w:numId="28" w16cid:durableId="1187015196">
    <w:abstractNumId w:val="1"/>
  </w:num>
  <w:num w:numId="29" w16cid:durableId="1912422794">
    <w:abstractNumId w:val="41"/>
  </w:num>
  <w:num w:numId="30" w16cid:durableId="122818909">
    <w:abstractNumId w:val="28"/>
  </w:num>
  <w:num w:numId="31" w16cid:durableId="1571428617">
    <w:abstractNumId w:val="29"/>
  </w:num>
  <w:num w:numId="32" w16cid:durableId="580796792">
    <w:abstractNumId w:val="3"/>
  </w:num>
  <w:num w:numId="33" w16cid:durableId="723141432">
    <w:abstractNumId w:val="13"/>
  </w:num>
  <w:num w:numId="34" w16cid:durableId="279730282">
    <w:abstractNumId w:val="4"/>
  </w:num>
  <w:num w:numId="35" w16cid:durableId="863788358">
    <w:abstractNumId w:val="11"/>
  </w:num>
  <w:num w:numId="36" w16cid:durableId="335158497">
    <w:abstractNumId w:val="31"/>
  </w:num>
  <w:num w:numId="37" w16cid:durableId="254091092">
    <w:abstractNumId w:val="2"/>
  </w:num>
  <w:num w:numId="38" w16cid:durableId="279805123">
    <w:abstractNumId w:val="30"/>
  </w:num>
  <w:num w:numId="39" w16cid:durableId="469711663">
    <w:abstractNumId w:val="9"/>
  </w:num>
  <w:num w:numId="40" w16cid:durableId="1098596669">
    <w:abstractNumId w:val="24"/>
  </w:num>
  <w:num w:numId="41" w16cid:durableId="2105954744">
    <w:abstractNumId w:val="23"/>
  </w:num>
  <w:num w:numId="42" w16cid:durableId="1503857921">
    <w:abstractNumId w:val="16"/>
  </w:num>
  <w:num w:numId="43" w16cid:durableId="1053195393">
    <w:abstractNumId w:val="18"/>
  </w:num>
  <w:num w:numId="44" w16cid:durableId="1559707480">
    <w:abstractNumId w:val="38"/>
  </w:num>
  <w:num w:numId="45" w16cid:durableId="875801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34"/>
    <w:rsid w:val="0000019B"/>
    <w:rsid w:val="0000114E"/>
    <w:rsid w:val="00001F2F"/>
    <w:rsid w:val="00002443"/>
    <w:rsid w:val="00002526"/>
    <w:rsid w:val="00002F50"/>
    <w:rsid w:val="00003750"/>
    <w:rsid w:val="000042EC"/>
    <w:rsid w:val="00005ECF"/>
    <w:rsid w:val="0000602A"/>
    <w:rsid w:val="00006423"/>
    <w:rsid w:val="0000658B"/>
    <w:rsid w:val="0000752B"/>
    <w:rsid w:val="00007EE7"/>
    <w:rsid w:val="000100F0"/>
    <w:rsid w:val="0001136D"/>
    <w:rsid w:val="000114DB"/>
    <w:rsid w:val="00011EF9"/>
    <w:rsid w:val="00011F1A"/>
    <w:rsid w:val="00011FB2"/>
    <w:rsid w:val="00012466"/>
    <w:rsid w:val="0001250E"/>
    <w:rsid w:val="00012DE1"/>
    <w:rsid w:val="00012F28"/>
    <w:rsid w:val="000143EA"/>
    <w:rsid w:val="0001474D"/>
    <w:rsid w:val="000148FE"/>
    <w:rsid w:val="00014E28"/>
    <w:rsid w:val="00014E97"/>
    <w:rsid w:val="00015040"/>
    <w:rsid w:val="00015374"/>
    <w:rsid w:val="000156DE"/>
    <w:rsid w:val="000156F5"/>
    <w:rsid w:val="00015CEC"/>
    <w:rsid w:val="00015E42"/>
    <w:rsid w:val="00016052"/>
    <w:rsid w:val="0001634F"/>
    <w:rsid w:val="0001797E"/>
    <w:rsid w:val="000205E7"/>
    <w:rsid w:val="00020825"/>
    <w:rsid w:val="000209FA"/>
    <w:rsid w:val="00020A6E"/>
    <w:rsid w:val="000219BF"/>
    <w:rsid w:val="00021BB3"/>
    <w:rsid w:val="0002235F"/>
    <w:rsid w:val="000225A5"/>
    <w:rsid w:val="00022759"/>
    <w:rsid w:val="00023574"/>
    <w:rsid w:val="000242A4"/>
    <w:rsid w:val="00024857"/>
    <w:rsid w:val="00024A3D"/>
    <w:rsid w:val="00024B77"/>
    <w:rsid w:val="000254F6"/>
    <w:rsid w:val="00025F0E"/>
    <w:rsid w:val="000267C2"/>
    <w:rsid w:val="0002716C"/>
    <w:rsid w:val="00027AB2"/>
    <w:rsid w:val="00027E98"/>
    <w:rsid w:val="00027F6C"/>
    <w:rsid w:val="00030154"/>
    <w:rsid w:val="00030405"/>
    <w:rsid w:val="00031624"/>
    <w:rsid w:val="00031867"/>
    <w:rsid w:val="00031A43"/>
    <w:rsid w:val="00031B6B"/>
    <w:rsid w:val="0003280A"/>
    <w:rsid w:val="00032E60"/>
    <w:rsid w:val="00032FBC"/>
    <w:rsid w:val="00033210"/>
    <w:rsid w:val="00033B8A"/>
    <w:rsid w:val="00033D1A"/>
    <w:rsid w:val="000345B4"/>
    <w:rsid w:val="00035C77"/>
    <w:rsid w:val="00035FBD"/>
    <w:rsid w:val="000360D6"/>
    <w:rsid w:val="00036664"/>
    <w:rsid w:val="0003679B"/>
    <w:rsid w:val="00036C59"/>
    <w:rsid w:val="00037143"/>
    <w:rsid w:val="00037285"/>
    <w:rsid w:val="00037510"/>
    <w:rsid w:val="00040186"/>
    <w:rsid w:val="000402CC"/>
    <w:rsid w:val="0004089D"/>
    <w:rsid w:val="00042808"/>
    <w:rsid w:val="00043006"/>
    <w:rsid w:val="00043467"/>
    <w:rsid w:val="000436D5"/>
    <w:rsid w:val="00044369"/>
    <w:rsid w:val="000451A3"/>
    <w:rsid w:val="0004567F"/>
    <w:rsid w:val="00045C4C"/>
    <w:rsid w:val="00045F78"/>
    <w:rsid w:val="000467B1"/>
    <w:rsid w:val="00046C3C"/>
    <w:rsid w:val="00046E39"/>
    <w:rsid w:val="0004774C"/>
    <w:rsid w:val="00047D20"/>
    <w:rsid w:val="00047F6A"/>
    <w:rsid w:val="0005009F"/>
    <w:rsid w:val="00050480"/>
    <w:rsid w:val="0005085D"/>
    <w:rsid w:val="00050D85"/>
    <w:rsid w:val="00051086"/>
    <w:rsid w:val="00051BD9"/>
    <w:rsid w:val="00051C98"/>
    <w:rsid w:val="00051DB4"/>
    <w:rsid w:val="00051DB6"/>
    <w:rsid w:val="00052003"/>
    <w:rsid w:val="0005264C"/>
    <w:rsid w:val="0005268A"/>
    <w:rsid w:val="0005298D"/>
    <w:rsid w:val="0005327B"/>
    <w:rsid w:val="0005373B"/>
    <w:rsid w:val="0005379C"/>
    <w:rsid w:val="00053E18"/>
    <w:rsid w:val="00053E23"/>
    <w:rsid w:val="00053EE8"/>
    <w:rsid w:val="0005419F"/>
    <w:rsid w:val="000543A9"/>
    <w:rsid w:val="00056243"/>
    <w:rsid w:val="00057245"/>
    <w:rsid w:val="000574EE"/>
    <w:rsid w:val="000577C2"/>
    <w:rsid w:val="00057E7A"/>
    <w:rsid w:val="000600D7"/>
    <w:rsid w:val="000601C8"/>
    <w:rsid w:val="000608D2"/>
    <w:rsid w:val="00060B48"/>
    <w:rsid w:val="00060CCC"/>
    <w:rsid w:val="00060D13"/>
    <w:rsid w:val="00060F2F"/>
    <w:rsid w:val="00061133"/>
    <w:rsid w:val="000616AC"/>
    <w:rsid w:val="000617D4"/>
    <w:rsid w:val="000622D6"/>
    <w:rsid w:val="00062880"/>
    <w:rsid w:val="00062EB7"/>
    <w:rsid w:val="000630BB"/>
    <w:rsid w:val="000634B1"/>
    <w:rsid w:val="00063B08"/>
    <w:rsid w:val="00063CB9"/>
    <w:rsid w:val="000642D7"/>
    <w:rsid w:val="00064D6E"/>
    <w:rsid w:val="00064DD8"/>
    <w:rsid w:val="00065B1D"/>
    <w:rsid w:val="00066147"/>
    <w:rsid w:val="0006664D"/>
    <w:rsid w:val="00066B93"/>
    <w:rsid w:val="000679FF"/>
    <w:rsid w:val="00067C7B"/>
    <w:rsid w:val="000706DD"/>
    <w:rsid w:val="00071D18"/>
    <w:rsid w:val="000728CD"/>
    <w:rsid w:val="00072C4F"/>
    <w:rsid w:val="000732D3"/>
    <w:rsid w:val="00073A4C"/>
    <w:rsid w:val="00073C50"/>
    <w:rsid w:val="00073CC8"/>
    <w:rsid w:val="000744BC"/>
    <w:rsid w:val="00074782"/>
    <w:rsid w:val="00074AE9"/>
    <w:rsid w:val="0007505C"/>
    <w:rsid w:val="00075534"/>
    <w:rsid w:val="00075AC1"/>
    <w:rsid w:val="00075D1A"/>
    <w:rsid w:val="00076B2B"/>
    <w:rsid w:val="00077041"/>
    <w:rsid w:val="00077203"/>
    <w:rsid w:val="0007722F"/>
    <w:rsid w:val="00077657"/>
    <w:rsid w:val="00077BED"/>
    <w:rsid w:val="00080038"/>
    <w:rsid w:val="00080829"/>
    <w:rsid w:val="0008257E"/>
    <w:rsid w:val="00082699"/>
    <w:rsid w:val="00082887"/>
    <w:rsid w:val="00082CB9"/>
    <w:rsid w:val="00083119"/>
    <w:rsid w:val="00083633"/>
    <w:rsid w:val="00083A4B"/>
    <w:rsid w:val="00083A87"/>
    <w:rsid w:val="000841D5"/>
    <w:rsid w:val="00084E3D"/>
    <w:rsid w:val="000852DB"/>
    <w:rsid w:val="000853E1"/>
    <w:rsid w:val="00085835"/>
    <w:rsid w:val="00086663"/>
    <w:rsid w:val="00086B0A"/>
    <w:rsid w:val="0008729E"/>
    <w:rsid w:val="00087B84"/>
    <w:rsid w:val="00087E49"/>
    <w:rsid w:val="000903C7"/>
    <w:rsid w:val="00090B2E"/>
    <w:rsid w:val="0009242D"/>
    <w:rsid w:val="0009253A"/>
    <w:rsid w:val="0009286C"/>
    <w:rsid w:val="00093415"/>
    <w:rsid w:val="00093480"/>
    <w:rsid w:val="000937E3"/>
    <w:rsid w:val="00095672"/>
    <w:rsid w:val="00095F89"/>
    <w:rsid w:val="00096EE5"/>
    <w:rsid w:val="000975B6"/>
    <w:rsid w:val="000A0F78"/>
    <w:rsid w:val="000A1805"/>
    <w:rsid w:val="000A22F0"/>
    <w:rsid w:val="000A28A2"/>
    <w:rsid w:val="000A355E"/>
    <w:rsid w:val="000A42EE"/>
    <w:rsid w:val="000A4BBB"/>
    <w:rsid w:val="000A4FA8"/>
    <w:rsid w:val="000A5059"/>
    <w:rsid w:val="000A53F6"/>
    <w:rsid w:val="000A62EA"/>
    <w:rsid w:val="000A705B"/>
    <w:rsid w:val="000A7302"/>
    <w:rsid w:val="000B05F6"/>
    <w:rsid w:val="000B08C5"/>
    <w:rsid w:val="000B09B7"/>
    <w:rsid w:val="000B0AB3"/>
    <w:rsid w:val="000B1572"/>
    <w:rsid w:val="000B19E4"/>
    <w:rsid w:val="000B1ED3"/>
    <w:rsid w:val="000B2253"/>
    <w:rsid w:val="000B24AC"/>
    <w:rsid w:val="000B3A76"/>
    <w:rsid w:val="000B4272"/>
    <w:rsid w:val="000B44B1"/>
    <w:rsid w:val="000B48E9"/>
    <w:rsid w:val="000B49B5"/>
    <w:rsid w:val="000B4A5A"/>
    <w:rsid w:val="000B52A8"/>
    <w:rsid w:val="000B535B"/>
    <w:rsid w:val="000B5F21"/>
    <w:rsid w:val="000B605A"/>
    <w:rsid w:val="000B69CF"/>
    <w:rsid w:val="000B740B"/>
    <w:rsid w:val="000B787B"/>
    <w:rsid w:val="000B7F0F"/>
    <w:rsid w:val="000B7FED"/>
    <w:rsid w:val="000C031D"/>
    <w:rsid w:val="000C174C"/>
    <w:rsid w:val="000C2A65"/>
    <w:rsid w:val="000C3519"/>
    <w:rsid w:val="000C3566"/>
    <w:rsid w:val="000C4836"/>
    <w:rsid w:val="000C48EA"/>
    <w:rsid w:val="000C4D66"/>
    <w:rsid w:val="000C4FC0"/>
    <w:rsid w:val="000C54F2"/>
    <w:rsid w:val="000C5B27"/>
    <w:rsid w:val="000C67D2"/>
    <w:rsid w:val="000C6CB3"/>
    <w:rsid w:val="000C6FE0"/>
    <w:rsid w:val="000C7CA7"/>
    <w:rsid w:val="000D0C31"/>
    <w:rsid w:val="000D12CB"/>
    <w:rsid w:val="000D16D6"/>
    <w:rsid w:val="000D18B7"/>
    <w:rsid w:val="000D2457"/>
    <w:rsid w:val="000D293E"/>
    <w:rsid w:val="000D3F02"/>
    <w:rsid w:val="000D45D6"/>
    <w:rsid w:val="000D50D7"/>
    <w:rsid w:val="000D54F7"/>
    <w:rsid w:val="000D5C99"/>
    <w:rsid w:val="000D6064"/>
    <w:rsid w:val="000D6EED"/>
    <w:rsid w:val="000D7A3E"/>
    <w:rsid w:val="000D7ACA"/>
    <w:rsid w:val="000D7E54"/>
    <w:rsid w:val="000E0F75"/>
    <w:rsid w:val="000E119D"/>
    <w:rsid w:val="000E2EAE"/>
    <w:rsid w:val="000E3C17"/>
    <w:rsid w:val="000E4A99"/>
    <w:rsid w:val="000E5BDC"/>
    <w:rsid w:val="000E5E17"/>
    <w:rsid w:val="000E612D"/>
    <w:rsid w:val="000E6287"/>
    <w:rsid w:val="000E62EE"/>
    <w:rsid w:val="000E6EBA"/>
    <w:rsid w:val="000E7642"/>
    <w:rsid w:val="000E7A83"/>
    <w:rsid w:val="000E7B49"/>
    <w:rsid w:val="000E7D37"/>
    <w:rsid w:val="000F096C"/>
    <w:rsid w:val="000F0C9F"/>
    <w:rsid w:val="000F0E7A"/>
    <w:rsid w:val="000F1254"/>
    <w:rsid w:val="000F1503"/>
    <w:rsid w:val="000F227C"/>
    <w:rsid w:val="000F2767"/>
    <w:rsid w:val="000F2FE3"/>
    <w:rsid w:val="000F30F6"/>
    <w:rsid w:val="000F3779"/>
    <w:rsid w:val="000F503C"/>
    <w:rsid w:val="000F5691"/>
    <w:rsid w:val="000F580F"/>
    <w:rsid w:val="000F5C70"/>
    <w:rsid w:val="000F5DB3"/>
    <w:rsid w:val="000F6128"/>
    <w:rsid w:val="000F6664"/>
    <w:rsid w:val="000F746C"/>
    <w:rsid w:val="000F7AD0"/>
    <w:rsid w:val="000F7C48"/>
    <w:rsid w:val="00100B22"/>
    <w:rsid w:val="00101932"/>
    <w:rsid w:val="00101CB8"/>
    <w:rsid w:val="00102337"/>
    <w:rsid w:val="00103660"/>
    <w:rsid w:val="001047B5"/>
    <w:rsid w:val="001053C4"/>
    <w:rsid w:val="001056BC"/>
    <w:rsid w:val="00105E45"/>
    <w:rsid w:val="001074B4"/>
    <w:rsid w:val="00110EEE"/>
    <w:rsid w:val="001118F6"/>
    <w:rsid w:val="00111B46"/>
    <w:rsid w:val="001123DD"/>
    <w:rsid w:val="00112FAA"/>
    <w:rsid w:val="00113089"/>
    <w:rsid w:val="00113238"/>
    <w:rsid w:val="00113AD4"/>
    <w:rsid w:val="00113C72"/>
    <w:rsid w:val="0011429B"/>
    <w:rsid w:val="00115950"/>
    <w:rsid w:val="0011663A"/>
    <w:rsid w:val="0011702C"/>
    <w:rsid w:val="00117ADB"/>
    <w:rsid w:val="00117D09"/>
    <w:rsid w:val="0012058B"/>
    <w:rsid w:val="00120CFE"/>
    <w:rsid w:val="001215E9"/>
    <w:rsid w:val="00121D50"/>
    <w:rsid w:val="0012265F"/>
    <w:rsid w:val="00123E54"/>
    <w:rsid w:val="00123E9B"/>
    <w:rsid w:val="001240BB"/>
    <w:rsid w:val="00124144"/>
    <w:rsid w:val="00125AF8"/>
    <w:rsid w:val="00126138"/>
    <w:rsid w:val="00127C13"/>
    <w:rsid w:val="00127D1B"/>
    <w:rsid w:val="001305E1"/>
    <w:rsid w:val="00130B6A"/>
    <w:rsid w:val="00130C04"/>
    <w:rsid w:val="0013103E"/>
    <w:rsid w:val="001310A8"/>
    <w:rsid w:val="00131777"/>
    <w:rsid w:val="00131BD6"/>
    <w:rsid w:val="00131DEA"/>
    <w:rsid w:val="00133149"/>
    <w:rsid w:val="0013316E"/>
    <w:rsid w:val="001331F7"/>
    <w:rsid w:val="001333FC"/>
    <w:rsid w:val="00134E29"/>
    <w:rsid w:val="001356A9"/>
    <w:rsid w:val="001359CA"/>
    <w:rsid w:val="00135E03"/>
    <w:rsid w:val="00135F38"/>
    <w:rsid w:val="0013785A"/>
    <w:rsid w:val="00137B26"/>
    <w:rsid w:val="00140AE2"/>
    <w:rsid w:val="00140B38"/>
    <w:rsid w:val="00140BB7"/>
    <w:rsid w:val="00142854"/>
    <w:rsid w:val="0014290E"/>
    <w:rsid w:val="00142E08"/>
    <w:rsid w:val="00143BFD"/>
    <w:rsid w:val="001449C8"/>
    <w:rsid w:val="00144C44"/>
    <w:rsid w:val="00144E0E"/>
    <w:rsid w:val="00146C3D"/>
    <w:rsid w:val="001474AC"/>
    <w:rsid w:val="00150798"/>
    <w:rsid w:val="001509CC"/>
    <w:rsid w:val="00150A6B"/>
    <w:rsid w:val="00150D85"/>
    <w:rsid w:val="00150F9A"/>
    <w:rsid w:val="00150FA4"/>
    <w:rsid w:val="0015121A"/>
    <w:rsid w:val="00151408"/>
    <w:rsid w:val="00151496"/>
    <w:rsid w:val="00151702"/>
    <w:rsid w:val="0015217B"/>
    <w:rsid w:val="001521B0"/>
    <w:rsid w:val="001527B6"/>
    <w:rsid w:val="001530E2"/>
    <w:rsid w:val="0015424C"/>
    <w:rsid w:val="00155308"/>
    <w:rsid w:val="00156D06"/>
    <w:rsid w:val="0015799B"/>
    <w:rsid w:val="00157F66"/>
    <w:rsid w:val="0016023F"/>
    <w:rsid w:val="00160637"/>
    <w:rsid w:val="0016069A"/>
    <w:rsid w:val="001606E4"/>
    <w:rsid w:val="0016099A"/>
    <w:rsid w:val="001609C9"/>
    <w:rsid w:val="00160C04"/>
    <w:rsid w:val="00160E7F"/>
    <w:rsid w:val="0016119B"/>
    <w:rsid w:val="00161501"/>
    <w:rsid w:val="00162723"/>
    <w:rsid w:val="00162C2E"/>
    <w:rsid w:val="00162FCA"/>
    <w:rsid w:val="00163196"/>
    <w:rsid w:val="00163C2B"/>
    <w:rsid w:val="00164616"/>
    <w:rsid w:val="00165700"/>
    <w:rsid w:val="001661B5"/>
    <w:rsid w:val="001665F9"/>
    <w:rsid w:val="0016681A"/>
    <w:rsid w:val="00166C51"/>
    <w:rsid w:val="00167644"/>
    <w:rsid w:val="00170461"/>
    <w:rsid w:val="001710BC"/>
    <w:rsid w:val="001721DF"/>
    <w:rsid w:val="001726BD"/>
    <w:rsid w:val="00172B03"/>
    <w:rsid w:val="00173495"/>
    <w:rsid w:val="00173E6B"/>
    <w:rsid w:val="001744DF"/>
    <w:rsid w:val="00174575"/>
    <w:rsid w:val="0017593E"/>
    <w:rsid w:val="00175A8F"/>
    <w:rsid w:val="00175EDB"/>
    <w:rsid w:val="00176C64"/>
    <w:rsid w:val="00176FB9"/>
    <w:rsid w:val="00177C46"/>
    <w:rsid w:val="00180843"/>
    <w:rsid w:val="00180CAB"/>
    <w:rsid w:val="0018159D"/>
    <w:rsid w:val="001817C4"/>
    <w:rsid w:val="00181D3A"/>
    <w:rsid w:val="0018225D"/>
    <w:rsid w:val="001823B1"/>
    <w:rsid w:val="001823E3"/>
    <w:rsid w:val="00182B3E"/>
    <w:rsid w:val="00182E70"/>
    <w:rsid w:val="001830D4"/>
    <w:rsid w:val="00183940"/>
    <w:rsid w:val="00183D13"/>
    <w:rsid w:val="00186DCC"/>
    <w:rsid w:val="00190005"/>
    <w:rsid w:val="00190FA0"/>
    <w:rsid w:val="00191A97"/>
    <w:rsid w:val="00191BE3"/>
    <w:rsid w:val="00191C91"/>
    <w:rsid w:val="00192AA5"/>
    <w:rsid w:val="00192AFA"/>
    <w:rsid w:val="00192CB0"/>
    <w:rsid w:val="0019356B"/>
    <w:rsid w:val="00193904"/>
    <w:rsid w:val="00193FD1"/>
    <w:rsid w:val="00194230"/>
    <w:rsid w:val="00194C46"/>
    <w:rsid w:val="0019530F"/>
    <w:rsid w:val="00195621"/>
    <w:rsid w:val="00195D5A"/>
    <w:rsid w:val="00195FB7"/>
    <w:rsid w:val="00195FD8"/>
    <w:rsid w:val="00196410"/>
    <w:rsid w:val="00196F28"/>
    <w:rsid w:val="0019710F"/>
    <w:rsid w:val="00197E59"/>
    <w:rsid w:val="001A03A5"/>
    <w:rsid w:val="001A049F"/>
    <w:rsid w:val="001A0CBC"/>
    <w:rsid w:val="001A1955"/>
    <w:rsid w:val="001A2E26"/>
    <w:rsid w:val="001A3D9B"/>
    <w:rsid w:val="001A42F8"/>
    <w:rsid w:val="001A471D"/>
    <w:rsid w:val="001A52E5"/>
    <w:rsid w:val="001A55EF"/>
    <w:rsid w:val="001A5C7E"/>
    <w:rsid w:val="001A5CB2"/>
    <w:rsid w:val="001A5D65"/>
    <w:rsid w:val="001A6808"/>
    <w:rsid w:val="001A6A07"/>
    <w:rsid w:val="001A6B2E"/>
    <w:rsid w:val="001A7132"/>
    <w:rsid w:val="001A7247"/>
    <w:rsid w:val="001A7343"/>
    <w:rsid w:val="001A7795"/>
    <w:rsid w:val="001A7833"/>
    <w:rsid w:val="001B0D19"/>
    <w:rsid w:val="001B0E6F"/>
    <w:rsid w:val="001B3FE5"/>
    <w:rsid w:val="001B44E2"/>
    <w:rsid w:val="001B4507"/>
    <w:rsid w:val="001B4C4B"/>
    <w:rsid w:val="001B4CA6"/>
    <w:rsid w:val="001B4D65"/>
    <w:rsid w:val="001B4F24"/>
    <w:rsid w:val="001B59BD"/>
    <w:rsid w:val="001B607F"/>
    <w:rsid w:val="001B6C74"/>
    <w:rsid w:val="001B71F2"/>
    <w:rsid w:val="001B7334"/>
    <w:rsid w:val="001B7542"/>
    <w:rsid w:val="001B7C07"/>
    <w:rsid w:val="001C02C5"/>
    <w:rsid w:val="001C0A27"/>
    <w:rsid w:val="001C0C3E"/>
    <w:rsid w:val="001C10A0"/>
    <w:rsid w:val="001C26C2"/>
    <w:rsid w:val="001C4920"/>
    <w:rsid w:val="001C4E9F"/>
    <w:rsid w:val="001C5110"/>
    <w:rsid w:val="001C5D7A"/>
    <w:rsid w:val="001C6861"/>
    <w:rsid w:val="001C7188"/>
    <w:rsid w:val="001C71A3"/>
    <w:rsid w:val="001D1799"/>
    <w:rsid w:val="001D1C40"/>
    <w:rsid w:val="001D233E"/>
    <w:rsid w:val="001D2F8D"/>
    <w:rsid w:val="001D2F8E"/>
    <w:rsid w:val="001D3127"/>
    <w:rsid w:val="001D3452"/>
    <w:rsid w:val="001D34B1"/>
    <w:rsid w:val="001D38E1"/>
    <w:rsid w:val="001D4772"/>
    <w:rsid w:val="001D4A59"/>
    <w:rsid w:val="001D52A5"/>
    <w:rsid w:val="001D593D"/>
    <w:rsid w:val="001D6005"/>
    <w:rsid w:val="001D69A8"/>
    <w:rsid w:val="001D702D"/>
    <w:rsid w:val="001D7445"/>
    <w:rsid w:val="001D793A"/>
    <w:rsid w:val="001D7EC3"/>
    <w:rsid w:val="001E0147"/>
    <w:rsid w:val="001E01DC"/>
    <w:rsid w:val="001E052C"/>
    <w:rsid w:val="001E0776"/>
    <w:rsid w:val="001E0807"/>
    <w:rsid w:val="001E0A6B"/>
    <w:rsid w:val="001E0BE6"/>
    <w:rsid w:val="001E0DE9"/>
    <w:rsid w:val="001E0FD9"/>
    <w:rsid w:val="001E1601"/>
    <w:rsid w:val="001E1BD2"/>
    <w:rsid w:val="001E2625"/>
    <w:rsid w:val="001E3178"/>
    <w:rsid w:val="001E3B5C"/>
    <w:rsid w:val="001E3C24"/>
    <w:rsid w:val="001E41DF"/>
    <w:rsid w:val="001E45D3"/>
    <w:rsid w:val="001E5964"/>
    <w:rsid w:val="001E654A"/>
    <w:rsid w:val="001E6667"/>
    <w:rsid w:val="001E79FF"/>
    <w:rsid w:val="001F0C9D"/>
    <w:rsid w:val="001F137A"/>
    <w:rsid w:val="001F29A1"/>
    <w:rsid w:val="001F3C14"/>
    <w:rsid w:val="001F485C"/>
    <w:rsid w:val="001F4868"/>
    <w:rsid w:val="001F57CE"/>
    <w:rsid w:val="001F5B7F"/>
    <w:rsid w:val="001F5E1A"/>
    <w:rsid w:val="001F5E95"/>
    <w:rsid w:val="001F60FF"/>
    <w:rsid w:val="0020132D"/>
    <w:rsid w:val="0020207C"/>
    <w:rsid w:val="00202F41"/>
    <w:rsid w:val="0020410E"/>
    <w:rsid w:val="00204790"/>
    <w:rsid w:val="00204A01"/>
    <w:rsid w:val="00205CC1"/>
    <w:rsid w:val="002061CF"/>
    <w:rsid w:val="0020676B"/>
    <w:rsid w:val="00206916"/>
    <w:rsid w:val="00207A36"/>
    <w:rsid w:val="0021009C"/>
    <w:rsid w:val="00210C30"/>
    <w:rsid w:val="002125B3"/>
    <w:rsid w:val="00212E34"/>
    <w:rsid w:val="00213226"/>
    <w:rsid w:val="00213556"/>
    <w:rsid w:val="00213944"/>
    <w:rsid w:val="0021482F"/>
    <w:rsid w:val="0021545C"/>
    <w:rsid w:val="00215774"/>
    <w:rsid w:val="00215C7E"/>
    <w:rsid w:val="00215F0A"/>
    <w:rsid w:val="00216408"/>
    <w:rsid w:val="00216E61"/>
    <w:rsid w:val="002203CA"/>
    <w:rsid w:val="00220655"/>
    <w:rsid w:val="002209D9"/>
    <w:rsid w:val="00220F6A"/>
    <w:rsid w:val="002220AD"/>
    <w:rsid w:val="00222D86"/>
    <w:rsid w:val="00223BC8"/>
    <w:rsid w:val="00224156"/>
    <w:rsid w:val="00224200"/>
    <w:rsid w:val="002248E1"/>
    <w:rsid w:val="0022554E"/>
    <w:rsid w:val="00225A5A"/>
    <w:rsid w:val="0022625B"/>
    <w:rsid w:val="0022626A"/>
    <w:rsid w:val="0022746C"/>
    <w:rsid w:val="00227693"/>
    <w:rsid w:val="00230427"/>
    <w:rsid w:val="00230870"/>
    <w:rsid w:val="00231E77"/>
    <w:rsid w:val="00231ED5"/>
    <w:rsid w:val="002325BB"/>
    <w:rsid w:val="00232C56"/>
    <w:rsid w:val="002344B4"/>
    <w:rsid w:val="00234744"/>
    <w:rsid w:val="00234BCF"/>
    <w:rsid w:val="0023584F"/>
    <w:rsid w:val="002370FB"/>
    <w:rsid w:val="00237585"/>
    <w:rsid w:val="00237B5C"/>
    <w:rsid w:val="00237BB8"/>
    <w:rsid w:val="0024051B"/>
    <w:rsid w:val="00241B79"/>
    <w:rsid w:val="00242E5A"/>
    <w:rsid w:val="002431CE"/>
    <w:rsid w:val="00243C31"/>
    <w:rsid w:val="00243F8E"/>
    <w:rsid w:val="00247021"/>
    <w:rsid w:val="002477A2"/>
    <w:rsid w:val="00247E0B"/>
    <w:rsid w:val="00250668"/>
    <w:rsid w:val="00250670"/>
    <w:rsid w:val="00250730"/>
    <w:rsid w:val="0025138A"/>
    <w:rsid w:val="002513DD"/>
    <w:rsid w:val="002531BE"/>
    <w:rsid w:val="00253BEF"/>
    <w:rsid w:val="00253D56"/>
    <w:rsid w:val="00254BDC"/>
    <w:rsid w:val="00254CED"/>
    <w:rsid w:val="002552B9"/>
    <w:rsid w:val="00256111"/>
    <w:rsid w:val="002567BB"/>
    <w:rsid w:val="00256B6C"/>
    <w:rsid w:val="00256D85"/>
    <w:rsid w:val="002571D4"/>
    <w:rsid w:val="00257255"/>
    <w:rsid w:val="002574F2"/>
    <w:rsid w:val="002608D6"/>
    <w:rsid w:val="0026170A"/>
    <w:rsid w:val="00261CE8"/>
    <w:rsid w:val="002620FA"/>
    <w:rsid w:val="00263096"/>
    <w:rsid w:val="00263307"/>
    <w:rsid w:val="0026346F"/>
    <w:rsid w:val="00263F80"/>
    <w:rsid w:val="002648C1"/>
    <w:rsid w:val="00264B37"/>
    <w:rsid w:val="00264E9E"/>
    <w:rsid w:val="00264F9B"/>
    <w:rsid w:val="00265962"/>
    <w:rsid w:val="00265F6C"/>
    <w:rsid w:val="002660AF"/>
    <w:rsid w:val="002662B5"/>
    <w:rsid w:val="002664F7"/>
    <w:rsid w:val="00266536"/>
    <w:rsid w:val="002667BC"/>
    <w:rsid w:val="00266C70"/>
    <w:rsid w:val="0026719E"/>
    <w:rsid w:val="002675EF"/>
    <w:rsid w:val="00267711"/>
    <w:rsid w:val="002707EB"/>
    <w:rsid w:val="002709F1"/>
    <w:rsid w:val="00271518"/>
    <w:rsid w:val="002718E1"/>
    <w:rsid w:val="00271D5A"/>
    <w:rsid w:val="00272751"/>
    <w:rsid w:val="0027420B"/>
    <w:rsid w:val="002752FB"/>
    <w:rsid w:val="00275960"/>
    <w:rsid w:val="002759AB"/>
    <w:rsid w:val="00275AB0"/>
    <w:rsid w:val="0027681A"/>
    <w:rsid w:val="0027710E"/>
    <w:rsid w:val="002775E9"/>
    <w:rsid w:val="00277D02"/>
    <w:rsid w:val="00281C02"/>
    <w:rsid w:val="00281E53"/>
    <w:rsid w:val="00281F1B"/>
    <w:rsid w:val="0028213D"/>
    <w:rsid w:val="00282FCD"/>
    <w:rsid w:val="00283F4E"/>
    <w:rsid w:val="00285003"/>
    <w:rsid w:val="002850A5"/>
    <w:rsid w:val="002853D5"/>
    <w:rsid w:val="0028568F"/>
    <w:rsid w:val="00285AD3"/>
    <w:rsid w:val="00285DA7"/>
    <w:rsid w:val="00285EE8"/>
    <w:rsid w:val="00290C2E"/>
    <w:rsid w:val="00290D66"/>
    <w:rsid w:val="00290F7C"/>
    <w:rsid w:val="002912AC"/>
    <w:rsid w:val="00291987"/>
    <w:rsid w:val="002928FF"/>
    <w:rsid w:val="00293A1C"/>
    <w:rsid w:val="00293FB1"/>
    <w:rsid w:val="00294B37"/>
    <w:rsid w:val="00295B7B"/>
    <w:rsid w:val="00295E95"/>
    <w:rsid w:val="0029706B"/>
    <w:rsid w:val="00297322"/>
    <w:rsid w:val="00297BF9"/>
    <w:rsid w:val="002A04B1"/>
    <w:rsid w:val="002A05F9"/>
    <w:rsid w:val="002A11A1"/>
    <w:rsid w:val="002A1B9F"/>
    <w:rsid w:val="002A2276"/>
    <w:rsid w:val="002A3A23"/>
    <w:rsid w:val="002A4066"/>
    <w:rsid w:val="002A4976"/>
    <w:rsid w:val="002A4D82"/>
    <w:rsid w:val="002A5625"/>
    <w:rsid w:val="002A6869"/>
    <w:rsid w:val="002A707C"/>
    <w:rsid w:val="002B04D4"/>
    <w:rsid w:val="002B0C78"/>
    <w:rsid w:val="002B0F2C"/>
    <w:rsid w:val="002B0F95"/>
    <w:rsid w:val="002B156E"/>
    <w:rsid w:val="002B1A7E"/>
    <w:rsid w:val="002B2270"/>
    <w:rsid w:val="002B24A9"/>
    <w:rsid w:val="002B273F"/>
    <w:rsid w:val="002B317C"/>
    <w:rsid w:val="002B3565"/>
    <w:rsid w:val="002B3715"/>
    <w:rsid w:val="002B3AF4"/>
    <w:rsid w:val="002B48EE"/>
    <w:rsid w:val="002B4F2B"/>
    <w:rsid w:val="002B5A49"/>
    <w:rsid w:val="002B5B73"/>
    <w:rsid w:val="002B5DB5"/>
    <w:rsid w:val="002B6364"/>
    <w:rsid w:val="002B649E"/>
    <w:rsid w:val="002B6EBB"/>
    <w:rsid w:val="002C0423"/>
    <w:rsid w:val="002C0825"/>
    <w:rsid w:val="002C098E"/>
    <w:rsid w:val="002C0C7A"/>
    <w:rsid w:val="002C1251"/>
    <w:rsid w:val="002C1526"/>
    <w:rsid w:val="002C1F3B"/>
    <w:rsid w:val="002C2DFA"/>
    <w:rsid w:val="002C2F0D"/>
    <w:rsid w:val="002C3350"/>
    <w:rsid w:val="002C3A42"/>
    <w:rsid w:val="002C3B3D"/>
    <w:rsid w:val="002C49E7"/>
    <w:rsid w:val="002C4FB2"/>
    <w:rsid w:val="002C501F"/>
    <w:rsid w:val="002C52FA"/>
    <w:rsid w:val="002C548D"/>
    <w:rsid w:val="002C5710"/>
    <w:rsid w:val="002C5835"/>
    <w:rsid w:val="002C59DF"/>
    <w:rsid w:val="002C7A8E"/>
    <w:rsid w:val="002C7ABF"/>
    <w:rsid w:val="002D0A70"/>
    <w:rsid w:val="002D1556"/>
    <w:rsid w:val="002D1BB9"/>
    <w:rsid w:val="002D27E1"/>
    <w:rsid w:val="002D2BF3"/>
    <w:rsid w:val="002D310C"/>
    <w:rsid w:val="002D395D"/>
    <w:rsid w:val="002D3EB1"/>
    <w:rsid w:val="002D4559"/>
    <w:rsid w:val="002D524A"/>
    <w:rsid w:val="002D525B"/>
    <w:rsid w:val="002D5540"/>
    <w:rsid w:val="002D5BC8"/>
    <w:rsid w:val="002D5C7C"/>
    <w:rsid w:val="002D6140"/>
    <w:rsid w:val="002D68B0"/>
    <w:rsid w:val="002D6FE1"/>
    <w:rsid w:val="002E1969"/>
    <w:rsid w:val="002E19A6"/>
    <w:rsid w:val="002E20C7"/>
    <w:rsid w:val="002E2319"/>
    <w:rsid w:val="002E26C6"/>
    <w:rsid w:val="002E2F82"/>
    <w:rsid w:val="002E3790"/>
    <w:rsid w:val="002E3B4C"/>
    <w:rsid w:val="002E43B5"/>
    <w:rsid w:val="002E44C1"/>
    <w:rsid w:val="002E496A"/>
    <w:rsid w:val="002E4F23"/>
    <w:rsid w:val="002E5533"/>
    <w:rsid w:val="002E5A33"/>
    <w:rsid w:val="002E6092"/>
    <w:rsid w:val="002E646B"/>
    <w:rsid w:val="002E6818"/>
    <w:rsid w:val="002E742A"/>
    <w:rsid w:val="002E762B"/>
    <w:rsid w:val="002E770A"/>
    <w:rsid w:val="002F00CF"/>
    <w:rsid w:val="002F02E7"/>
    <w:rsid w:val="002F0437"/>
    <w:rsid w:val="002F0DFB"/>
    <w:rsid w:val="002F0E17"/>
    <w:rsid w:val="002F2C6B"/>
    <w:rsid w:val="002F2FAA"/>
    <w:rsid w:val="002F46B7"/>
    <w:rsid w:val="002F4CE5"/>
    <w:rsid w:val="002F4D51"/>
    <w:rsid w:val="002F4D62"/>
    <w:rsid w:val="002F565D"/>
    <w:rsid w:val="002F67D3"/>
    <w:rsid w:val="002F6C10"/>
    <w:rsid w:val="002F7427"/>
    <w:rsid w:val="002F7741"/>
    <w:rsid w:val="00300258"/>
    <w:rsid w:val="003009B1"/>
    <w:rsid w:val="00301DB5"/>
    <w:rsid w:val="003020C3"/>
    <w:rsid w:val="00303769"/>
    <w:rsid w:val="00303BDA"/>
    <w:rsid w:val="00304BF5"/>
    <w:rsid w:val="00304E77"/>
    <w:rsid w:val="00305AE7"/>
    <w:rsid w:val="00306347"/>
    <w:rsid w:val="00306B8C"/>
    <w:rsid w:val="00306C5F"/>
    <w:rsid w:val="00306C68"/>
    <w:rsid w:val="0030768D"/>
    <w:rsid w:val="00307DC4"/>
    <w:rsid w:val="003104E7"/>
    <w:rsid w:val="00311C07"/>
    <w:rsid w:val="003126E9"/>
    <w:rsid w:val="00312867"/>
    <w:rsid w:val="00312CC9"/>
    <w:rsid w:val="0031428E"/>
    <w:rsid w:val="00314539"/>
    <w:rsid w:val="003164A4"/>
    <w:rsid w:val="003167A5"/>
    <w:rsid w:val="0031721A"/>
    <w:rsid w:val="00317328"/>
    <w:rsid w:val="00317779"/>
    <w:rsid w:val="0032055F"/>
    <w:rsid w:val="0032085A"/>
    <w:rsid w:val="00320BB0"/>
    <w:rsid w:val="003215B9"/>
    <w:rsid w:val="003217BB"/>
    <w:rsid w:val="00321AD3"/>
    <w:rsid w:val="0032253D"/>
    <w:rsid w:val="00322BFF"/>
    <w:rsid w:val="00322EA6"/>
    <w:rsid w:val="0032341E"/>
    <w:rsid w:val="003238A5"/>
    <w:rsid w:val="00323D8B"/>
    <w:rsid w:val="003241E4"/>
    <w:rsid w:val="00324A53"/>
    <w:rsid w:val="00324A8B"/>
    <w:rsid w:val="00324D12"/>
    <w:rsid w:val="00324DE7"/>
    <w:rsid w:val="00325201"/>
    <w:rsid w:val="0032521F"/>
    <w:rsid w:val="0032610C"/>
    <w:rsid w:val="00326C47"/>
    <w:rsid w:val="00327E98"/>
    <w:rsid w:val="00330AC3"/>
    <w:rsid w:val="00331CBA"/>
    <w:rsid w:val="0033260C"/>
    <w:rsid w:val="0033261C"/>
    <w:rsid w:val="00332A0D"/>
    <w:rsid w:val="00333A11"/>
    <w:rsid w:val="00334054"/>
    <w:rsid w:val="00335B84"/>
    <w:rsid w:val="00335DA1"/>
    <w:rsid w:val="003364D0"/>
    <w:rsid w:val="00336E18"/>
    <w:rsid w:val="00337305"/>
    <w:rsid w:val="0033747D"/>
    <w:rsid w:val="003420DC"/>
    <w:rsid w:val="00342890"/>
    <w:rsid w:val="00342B19"/>
    <w:rsid w:val="00343760"/>
    <w:rsid w:val="00343DB7"/>
    <w:rsid w:val="003441F0"/>
    <w:rsid w:val="00344375"/>
    <w:rsid w:val="003447E5"/>
    <w:rsid w:val="0034677A"/>
    <w:rsid w:val="00346E81"/>
    <w:rsid w:val="00347462"/>
    <w:rsid w:val="003475BC"/>
    <w:rsid w:val="00347B22"/>
    <w:rsid w:val="00347D62"/>
    <w:rsid w:val="00350357"/>
    <w:rsid w:val="003511C7"/>
    <w:rsid w:val="00351966"/>
    <w:rsid w:val="003525E1"/>
    <w:rsid w:val="00353216"/>
    <w:rsid w:val="00353455"/>
    <w:rsid w:val="00354194"/>
    <w:rsid w:val="00354948"/>
    <w:rsid w:val="00354AA8"/>
    <w:rsid w:val="00355073"/>
    <w:rsid w:val="0035573B"/>
    <w:rsid w:val="003557AA"/>
    <w:rsid w:val="00355ED6"/>
    <w:rsid w:val="003564E6"/>
    <w:rsid w:val="00356D25"/>
    <w:rsid w:val="00356D75"/>
    <w:rsid w:val="0035761A"/>
    <w:rsid w:val="00357A53"/>
    <w:rsid w:val="00357CF9"/>
    <w:rsid w:val="003605C2"/>
    <w:rsid w:val="00360E84"/>
    <w:rsid w:val="00361520"/>
    <w:rsid w:val="00362258"/>
    <w:rsid w:val="003624E9"/>
    <w:rsid w:val="00362622"/>
    <w:rsid w:val="00362BFC"/>
    <w:rsid w:val="00362C8E"/>
    <w:rsid w:val="00362CE2"/>
    <w:rsid w:val="00363527"/>
    <w:rsid w:val="00364733"/>
    <w:rsid w:val="00364F1B"/>
    <w:rsid w:val="003656A6"/>
    <w:rsid w:val="003656E0"/>
    <w:rsid w:val="00366255"/>
    <w:rsid w:val="003670E5"/>
    <w:rsid w:val="003671BE"/>
    <w:rsid w:val="00367246"/>
    <w:rsid w:val="00367F73"/>
    <w:rsid w:val="00370554"/>
    <w:rsid w:val="00371CBF"/>
    <w:rsid w:val="003720BF"/>
    <w:rsid w:val="003722F5"/>
    <w:rsid w:val="0037250B"/>
    <w:rsid w:val="0037380F"/>
    <w:rsid w:val="0037466C"/>
    <w:rsid w:val="00374965"/>
    <w:rsid w:val="00374B72"/>
    <w:rsid w:val="00374EF7"/>
    <w:rsid w:val="00374FA2"/>
    <w:rsid w:val="00375BFE"/>
    <w:rsid w:val="00375D3B"/>
    <w:rsid w:val="003769D2"/>
    <w:rsid w:val="00376E80"/>
    <w:rsid w:val="003805BC"/>
    <w:rsid w:val="00380E40"/>
    <w:rsid w:val="0038189F"/>
    <w:rsid w:val="00381A89"/>
    <w:rsid w:val="003822C1"/>
    <w:rsid w:val="00382337"/>
    <w:rsid w:val="003824C0"/>
    <w:rsid w:val="0038359C"/>
    <w:rsid w:val="00384C9D"/>
    <w:rsid w:val="00385544"/>
    <w:rsid w:val="0038562F"/>
    <w:rsid w:val="00386D64"/>
    <w:rsid w:val="00387B5F"/>
    <w:rsid w:val="00387C83"/>
    <w:rsid w:val="00387CAD"/>
    <w:rsid w:val="0039038F"/>
    <w:rsid w:val="0039046C"/>
    <w:rsid w:val="00391444"/>
    <w:rsid w:val="00391CEC"/>
    <w:rsid w:val="00391D19"/>
    <w:rsid w:val="00392F1F"/>
    <w:rsid w:val="00393EFF"/>
    <w:rsid w:val="003944DB"/>
    <w:rsid w:val="003946A5"/>
    <w:rsid w:val="00395372"/>
    <w:rsid w:val="0039556B"/>
    <w:rsid w:val="0039581C"/>
    <w:rsid w:val="0039603E"/>
    <w:rsid w:val="003963CF"/>
    <w:rsid w:val="003963DB"/>
    <w:rsid w:val="0039659B"/>
    <w:rsid w:val="00396C07"/>
    <w:rsid w:val="00396DCD"/>
    <w:rsid w:val="00397536"/>
    <w:rsid w:val="003A01D5"/>
    <w:rsid w:val="003A027A"/>
    <w:rsid w:val="003A02C7"/>
    <w:rsid w:val="003A0441"/>
    <w:rsid w:val="003A0886"/>
    <w:rsid w:val="003A17CD"/>
    <w:rsid w:val="003A3A89"/>
    <w:rsid w:val="003A3F1E"/>
    <w:rsid w:val="003A5638"/>
    <w:rsid w:val="003A63FF"/>
    <w:rsid w:val="003A6A08"/>
    <w:rsid w:val="003A6B5F"/>
    <w:rsid w:val="003A7374"/>
    <w:rsid w:val="003A7E26"/>
    <w:rsid w:val="003B0413"/>
    <w:rsid w:val="003B0A7B"/>
    <w:rsid w:val="003B1076"/>
    <w:rsid w:val="003B13B3"/>
    <w:rsid w:val="003B2673"/>
    <w:rsid w:val="003B3289"/>
    <w:rsid w:val="003B38D0"/>
    <w:rsid w:val="003B514A"/>
    <w:rsid w:val="003B5D6D"/>
    <w:rsid w:val="003B649C"/>
    <w:rsid w:val="003B6BCC"/>
    <w:rsid w:val="003B6D51"/>
    <w:rsid w:val="003B6F17"/>
    <w:rsid w:val="003B7909"/>
    <w:rsid w:val="003B7AE2"/>
    <w:rsid w:val="003C012A"/>
    <w:rsid w:val="003C0370"/>
    <w:rsid w:val="003C039E"/>
    <w:rsid w:val="003C206E"/>
    <w:rsid w:val="003C2EB1"/>
    <w:rsid w:val="003C2FCB"/>
    <w:rsid w:val="003C31D2"/>
    <w:rsid w:val="003C38BA"/>
    <w:rsid w:val="003C4B2A"/>
    <w:rsid w:val="003C4BB5"/>
    <w:rsid w:val="003C4F26"/>
    <w:rsid w:val="003C5156"/>
    <w:rsid w:val="003C58F4"/>
    <w:rsid w:val="003C6479"/>
    <w:rsid w:val="003C6C91"/>
    <w:rsid w:val="003C6FF7"/>
    <w:rsid w:val="003C74A7"/>
    <w:rsid w:val="003C7566"/>
    <w:rsid w:val="003C79EE"/>
    <w:rsid w:val="003C7D48"/>
    <w:rsid w:val="003D0725"/>
    <w:rsid w:val="003D0BB6"/>
    <w:rsid w:val="003D0F09"/>
    <w:rsid w:val="003D101E"/>
    <w:rsid w:val="003D1E38"/>
    <w:rsid w:val="003D23DC"/>
    <w:rsid w:val="003D269C"/>
    <w:rsid w:val="003D2EC2"/>
    <w:rsid w:val="003D326D"/>
    <w:rsid w:val="003D3409"/>
    <w:rsid w:val="003D354C"/>
    <w:rsid w:val="003D37C1"/>
    <w:rsid w:val="003D3A7B"/>
    <w:rsid w:val="003D3B9E"/>
    <w:rsid w:val="003D5029"/>
    <w:rsid w:val="003D59A4"/>
    <w:rsid w:val="003D634A"/>
    <w:rsid w:val="003D6568"/>
    <w:rsid w:val="003D6666"/>
    <w:rsid w:val="003E05F4"/>
    <w:rsid w:val="003E0F04"/>
    <w:rsid w:val="003E1156"/>
    <w:rsid w:val="003E14BE"/>
    <w:rsid w:val="003E17E0"/>
    <w:rsid w:val="003E1CF1"/>
    <w:rsid w:val="003E2D6D"/>
    <w:rsid w:val="003E3CE3"/>
    <w:rsid w:val="003E3E52"/>
    <w:rsid w:val="003E3EF1"/>
    <w:rsid w:val="003E42E8"/>
    <w:rsid w:val="003E4C6D"/>
    <w:rsid w:val="003E5275"/>
    <w:rsid w:val="003E590E"/>
    <w:rsid w:val="003E5F1B"/>
    <w:rsid w:val="003E6FA7"/>
    <w:rsid w:val="003F025C"/>
    <w:rsid w:val="003F0809"/>
    <w:rsid w:val="003F1339"/>
    <w:rsid w:val="003F15FA"/>
    <w:rsid w:val="003F1B9A"/>
    <w:rsid w:val="003F2B77"/>
    <w:rsid w:val="003F3039"/>
    <w:rsid w:val="003F383F"/>
    <w:rsid w:val="003F4599"/>
    <w:rsid w:val="003F4CEC"/>
    <w:rsid w:val="003F60D4"/>
    <w:rsid w:val="003F6950"/>
    <w:rsid w:val="003F6C87"/>
    <w:rsid w:val="003F7FDE"/>
    <w:rsid w:val="0040004F"/>
    <w:rsid w:val="00400088"/>
    <w:rsid w:val="004002AB"/>
    <w:rsid w:val="00400D1C"/>
    <w:rsid w:val="004010CE"/>
    <w:rsid w:val="0040144C"/>
    <w:rsid w:val="00401A07"/>
    <w:rsid w:val="00402622"/>
    <w:rsid w:val="00402713"/>
    <w:rsid w:val="004031DE"/>
    <w:rsid w:val="004035E8"/>
    <w:rsid w:val="00403707"/>
    <w:rsid w:val="00403C15"/>
    <w:rsid w:val="00404570"/>
    <w:rsid w:val="00404AEF"/>
    <w:rsid w:val="0040569C"/>
    <w:rsid w:val="004056ED"/>
    <w:rsid w:val="004062B4"/>
    <w:rsid w:val="0040652B"/>
    <w:rsid w:val="00406647"/>
    <w:rsid w:val="00406A03"/>
    <w:rsid w:val="00406F50"/>
    <w:rsid w:val="00407C5E"/>
    <w:rsid w:val="00407D9D"/>
    <w:rsid w:val="0041062C"/>
    <w:rsid w:val="00410718"/>
    <w:rsid w:val="00410F7E"/>
    <w:rsid w:val="00411626"/>
    <w:rsid w:val="00411A3F"/>
    <w:rsid w:val="004124AC"/>
    <w:rsid w:val="00413E53"/>
    <w:rsid w:val="00414600"/>
    <w:rsid w:val="00414A85"/>
    <w:rsid w:val="00414F68"/>
    <w:rsid w:val="00415015"/>
    <w:rsid w:val="004150D8"/>
    <w:rsid w:val="004153A4"/>
    <w:rsid w:val="00415845"/>
    <w:rsid w:val="00415901"/>
    <w:rsid w:val="00417910"/>
    <w:rsid w:val="004207A9"/>
    <w:rsid w:val="00420B0C"/>
    <w:rsid w:val="004218DC"/>
    <w:rsid w:val="00421AD2"/>
    <w:rsid w:val="00421B0D"/>
    <w:rsid w:val="00421CE1"/>
    <w:rsid w:val="00422401"/>
    <w:rsid w:val="00422D33"/>
    <w:rsid w:val="0042335F"/>
    <w:rsid w:val="0042387B"/>
    <w:rsid w:val="00424665"/>
    <w:rsid w:val="0042528D"/>
    <w:rsid w:val="00425824"/>
    <w:rsid w:val="00425A59"/>
    <w:rsid w:val="00425F61"/>
    <w:rsid w:val="0042695D"/>
    <w:rsid w:val="00426B0D"/>
    <w:rsid w:val="00426D23"/>
    <w:rsid w:val="00426EA9"/>
    <w:rsid w:val="004271CE"/>
    <w:rsid w:val="00427EB6"/>
    <w:rsid w:val="004301AD"/>
    <w:rsid w:val="00431270"/>
    <w:rsid w:val="00431C49"/>
    <w:rsid w:val="00431DC6"/>
    <w:rsid w:val="00431F68"/>
    <w:rsid w:val="00432583"/>
    <w:rsid w:val="0043261A"/>
    <w:rsid w:val="00432E59"/>
    <w:rsid w:val="004330B2"/>
    <w:rsid w:val="004335ED"/>
    <w:rsid w:val="004338DB"/>
    <w:rsid w:val="00434511"/>
    <w:rsid w:val="004346B1"/>
    <w:rsid w:val="00434EF7"/>
    <w:rsid w:val="00435A62"/>
    <w:rsid w:val="00435C01"/>
    <w:rsid w:val="00435E29"/>
    <w:rsid w:val="0043626F"/>
    <w:rsid w:val="00436954"/>
    <w:rsid w:val="0043727F"/>
    <w:rsid w:val="004404A2"/>
    <w:rsid w:val="00440DDF"/>
    <w:rsid w:val="00441DA0"/>
    <w:rsid w:val="0044272C"/>
    <w:rsid w:val="004439DA"/>
    <w:rsid w:val="00443F51"/>
    <w:rsid w:val="0044409E"/>
    <w:rsid w:val="004467CA"/>
    <w:rsid w:val="004468F2"/>
    <w:rsid w:val="00447679"/>
    <w:rsid w:val="00447FEF"/>
    <w:rsid w:val="00450DB3"/>
    <w:rsid w:val="004515DA"/>
    <w:rsid w:val="004522D5"/>
    <w:rsid w:val="004528A1"/>
    <w:rsid w:val="0045380D"/>
    <w:rsid w:val="00453B28"/>
    <w:rsid w:val="0045484E"/>
    <w:rsid w:val="004551A3"/>
    <w:rsid w:val="0045556D"/>
    <w:rsid w:val="004561F9"/>
    <w:rsid w:val="00456512"/>
    <w:rsid w:val="00456756"/>
    <w:rsid w:val="00457335"/>
    <w:rsid w:val="0045790D"/>
    <w:rsid w:val="00457C69"/>
    <w:rsid w:val="00457CBA"/>
    <w:rsid w:val="0046044E"/>
    <w:rsid w:val="00460BA7"/>
    <w:rsid w:val="00460D5C"/>
    <w:rsid w:val="00461064"/>
    <w:rsid w:val="00461476"/>
    <w:rsid w:val="00461F38"/>
    <w:rsid w:val="0046270D"/>
    <w:rsid w:val="00463970"/>
    <w:rsid w:val="00463BC6"/>
    <w:rsid w:val="00463E38"/>
    <w:rsid w:val="00466187"/>
    <w:rsid w:val="00466654"/>
    <w:rsid w:val="00466BC3"/>
    <w:rsid w:val="00466E2C"/>
    <w:rsid w:val="004672E5"/>
    <w:rsid w:val="0046741E"/>
    <w:rsid w:val="00471DA9"/>
    <w:rsid w:val="004739B9"/>
    <w:rsid w:val="00473C0F"/>
    <w:rsid w:val="00473CA0"/>
    <w:rsid w:val="00474D17"/>
    <w:rsid w:val="0047542F"/>
    <w:rsid w:val="00476762"/>
    <w:rsid w:val="00477482"/>
    <w:rsid w:val="00480828"/>
    <w:rsid w:val="00480941"/>
    <w:rsid w:val="0048199A"/>
    <w:rsid w:val="00483196"/>
    <w:rsid w:val="004849B7"/>
    <w:rsid w:val="00484E08"/>
    <w:rsid w:val="00484ED1"/>
    <w:rsid w:val="00485FCA"/>
    <w:rsid w:val="00486690"/>
    <w:rsid w:val="00487494"/>
    <w:rsid w:val="004876F8"/>
    <w:rsid w:val="00490BC7"/>
    <w:rsid w:val="00491404"/>
    <w:rsid w:val="0049241E"/>
    <w:rsid w:val="00492C80"/>
    <w:rsid w:val="00493885"/>
    <w:rsid w:val="004941C2"/>
    <w:rsid w:val="0049425E"/>
    <w:rsid w:val="00494E35"/>
    <w:rsid w:val="004951DA"/>
    <w:rsid w:val="00495B5D"/>
    <w:rsid w:val="00495B8A"/>
    <w:rsid w:val="004963C6"/>
    <w:rsid w:val="004A09D3"/>
    <w:rsid w:val="004A0CD5"/>
    <w:rsid w:val="004A0F4A"/>
    <w:rsid w:val="004A0FA5"/>
    <w:rsid w:val="004A10ED"/>
    <w:rsid w:val="004A1AFF"/>
    <w:rsid w:val="004A1DD3"/>
    <w:rsid w:val="004A2245"/>
    <w:rsid w:val="004A2292"/>
    <w:rsid w:val="004A3258"/>
    <w:rsid w:val="004A3D7B"/>
    <w:rsid w:val="004A3E5F"/>
    <w:rsid w:val="004A5D55"/>
    <w:rsid w:val="004A625F"/>
    <w:rsid w:val="004A6D5E"/>
    <w:rsid w:val="004B00BB"/>
    <w:rsid w:val="004B01FC"/>
    <w:rsid w:val="004B0586"/>
    <w:rsid w:val="004B0D47"/>
    <w:rsid w:val="004B1202"/>
    <w:rsid w:val="004B184E"/>
    <w:rsid w:val="004B197B"/>
    <w:rsid w:val="004B1DED"/>
    <w:rsid w:val="004B1F91"/>
    <w:rsid w:val="004B3416"/>
    <w:rsid w:val="004B3C64"/>
    <w:rsid w:val="004B3C93"/>
    <w:rsid w:val="004B41EB"/>
    <w:rsid w:val="004B553A"/>
    <w:rsid w:val="004B576F"/>
    <w:rsid w:val="004B5FD4"/>
    <w:rsid w:val="004B6170"/>
    <w:rsid w:val="004B6427"/>
    <w:rsid w:val="004B6F79"/>
    <w:rsid w:val="004B7518"/>
    <w:rsid w:val="004C03A5"/>
    <w:rsid w:val="004C0A01"/>
    <w:rsid w:val="004C0F4D"/>
    <w:rsid w:val="004C1545"/>
    <w:rsid w:val="004C1EB5"/>
    <w:rsid w:val="004C2DF0"/>
    <w:rsid w:val="004C2FD1"/>
    <w:rsid w:val="004C32F3"/>
    <w:rsid w:val="004C366E"/>
    <w:rsid w:val="004C38B9"/>
    <w:rsid w:val="004C45AB"/>
    <w:rsid w:val="004C7150"/>
    <w:rsid w:val="004C7F21"/>
    <w:rsid w:val="004D0E5C"/>
    <w:rsid w:val="004D1932"/>
    <w:rsid w:val="004D2F61"/>
    <w:rsid w:val="004D3063"/>
    <w:rsid w:val="004D3BF9"/>
    <w:rsid w:val="004D4750"/>
    <w:rsid w:val="004D4977"/>
    <w:rsid w:val="004D56D8"/>
    <w:rsid w:val="004D7745"/>
    <w:rsid w:val="004E0814"/>
    <w:rsid w:val="004E0DFA"/>
    <w:rsid w:val="004E1595"/>
    <w:rsid w:val="004E1DE4"/>
    <w:rsid w:val="004E1EDB"/>
    <w:rsid w:val="004E23D2"/>
    <w:rsid w:val="004E2535"/>
    <w:rsid w:val="004E257E"/>
    <w:rsid w:val="004E2588"/>
    <w:rsid w:val="004E2F8D"/>
    <w:rsid w:val="004E32AF"/>
    <w:rsid w:val="004E3D4A"/>
    <w:rsid w:val="004E41A5"/>
    <w:rsid w:val="004E47EA"/>
    <w:rsid w:val="004E496C"/>
    <w:rsid w:val="004E505B"/>
    <w:rsid w:val="004E534E"/>
    <w:rsid w:val="004E56B6"/>
    <w:rsid w:val="004E5708"/>
    <w:rsid w:val="004E57C0"/>
    <w:rsid w:val="004E5BDB"/>
    <w:rsid w:val="004E5FF6"/>
    <w:rsid w:val="004E6719"/>
    <w:rsid w:val="004E6C4B"/>
    <w:rsid w:val="004E7267"/>
    <w:rsid w:val="004E7777"/>
    <w:rsid w:val="004E7951"/>
    <w:rsid w:val="004F0006"/>
    <w:rsid w:val="004F0065"/>
    <w:rsid w:val="004F03C7"/>
    <w:rsid w:val="004F05AE"/>
    <w:rsid w:val="004F0AB9"/>
    <w:rsid w:val="004F0E2B"/>
    <w:rsid w:val="004F1C4E"/>
    <w:rsid w:val="004F2945"/>
    <w:rsid w:val="004F2A72"/>
    <w:rsid w:val="004F35AB"/>
    <w:rsid w:val="004F41F2"/>
    <w:rsid w:val="004F4306"/>
    <w:rsid w:val="004F43B5"/>
    <w:rsid w:val="004F43C7"/>
    <w:rsid w:val="004F43C8"/>
    <w:rsid w:val="004F45A2"/>
    <w:rsid w:val="004F5066"/>
    <w:rsid w:val="004F596B"/>
    <w:rsid w:val="004F711C"/>
    <w:rsid w:val="005009C5"/>
    <w:rsid w:val="00501219"/>
    <w:rsid w:val="005018D4"/>
    <w:rsid w:val="00501C8B"/>
    <w:rsid w:val="00502190"/>
    <w:rsid w:val="00503D77"/>
    <w:rsid w:val="005049FE"/>
    <w:rsid w:val="00505044"/>
    <w:rsid w:val="00505133"/>
    <w:rsid w:val="00505138"/>
    <w:rsid w:val="0050524C"/>
    <w:rsid w:val="005052BA"/>
    <w:rsid w:val="00506BEA"/>
    <w:rsid w:val="00506C68"/>
    <w:rsid w:val="00506F1B"/>
    <w:rsid w:val="00510F66"/>
    <w:rsid w:val="00510FE5"/>
    <w:rsid w:val="00511448"/>
    <w:rsid w:val="00511B0A"/>
    <w:rsid w:val="00512251"/>
    <w:rsid w:val="005124F0"/>
    <w:rsid w:val="0051355C"/>
    <w:rsid w:val="00513606"/>
    <w:rsid w:val="00513A91"/>
    <w:rsid w:val="00513C59"/>
    <w:rsid w:val="00514129"/>
    <w:rsid w:val="00514A62"/>
    <w:rsid w:val="00515129"/>
    <w:rsid w:val="005156DD"/>
    <w:rsid w:val="00515A4C"/>
    <w:rsid w:val="00515F44"/>
    <w:rsid w:val="0051668E"/>
    <w:rsid w:val="00516A23"/>
    <w:rsid w:val="00517126"/>
    <w:rsid w:val="00517264"/>
    <w:rsid w:val="00517F1B"/>
    <w:rsid w:val="00520370"/>
    <w:rsid w:val="005203F3"/>
    <w:rsid w:val="00520FBE"/>
    <w:rsid w:val="00521FBE"/>
    <w:rsid w:val="0052296B"/>
    <w:rsid w:val="005238ED"/>
    <w:rsid w:val="0052498D"/>
    <w:rsid w:val="00525088"/>
    <w:rsid w:val="00525776"/>
    <w:rsid w:val="00525CE1"/>
    <w:rsid w:val="00526D8B"/>
    <w:rsid w:val="0053009F"/>
    <w:rsid w:val="005302A9"/>
    <w:rsid w:val="005310EA"/>
    <w:rsid w:val="0053126E"/>
    <w:rsid w:val="00532586"/>
    <w:rsid w:val="00533D0B"/>
    <w:rsid w:val="00534689"/>
    <w:rsid w:val="00534A08"/>
    <w:rsid w:val="0053530B"/>
    <w:rsid w:val="005361F8"/>
    <w:rsid w:val="00537226"/>
    <w:rsid w:val="0054094D"/>
    <w:rsid w:val="00540D75"/>
    <w:rsid w:val="005411D8"/>
    <w:rsid w:val="00541475"/>
    <w:rsid w:val="00541706"/>
    <w:rsid w:val="00542605"/>
    <w:rsid w:val="005429D6"/>
    <w:rsid w:val="00542E55"/>
    <w:rsid w:val="0054300D"/>
    <w:rsid w:val="00544170"/>
    <w:rsid w:val="005445DD"/>
    <w:rsid w:val="005449C0"/>
    <w:rsid w:val="00545F27"/>
    <w:rsid w:val="00546364"/>
    <w:rsid w:val="005465BA"/>
    <w:rsid w:val="00546846"/>
    <w:rsid w:val="005469A7"/>
    <w:rsid w:val="00546FAF"/>
    <w:rsid w:val="0054730F"/>
    <w:rsid w:val="00547D12"/>
    <w:rsid w:val="00547F35"/>
    <w:rsid w:val="0055070A"/>
    <w:rsid w:val="00551001"/>
    <w:rsid w:val="00552067"/>
    <w:rsid w:val="00552A73"/>
    <w:rsid w:val="00553428"/>
    <w:rsid w:val="00554179"/>
    <w:rsid w:val="00555559"/>
    <w:rsid w:val="0055565E"/>
    <w:rsid w:val="005560CF"/>
    <w:rsid w:val="00556885"/>
    <w:rsid w:val="005569C6"/>
    <w:rsid w:val="00557340"/>
    <w:rsid w:val="00557468"/>
    <w:rsid w:val="00557D45"/>
    <w:rsid w:val="005602C1"/>
    <w:rsid w:val="005610EE"/>
    <w:rsid w:val="00561949"/>
    <w:rsid w:val="005622FD"/>
    <w:rsid w:val="005634E2"/>
    <w:rsid w:val="00563CA1"/>
    <w:rsid w:val="00563DC4"/>
    <w:rsid w:val="00563EF0"/>
    <w:rsid w:val="00563FF0"/>
    <w:rsid w:val="00565294"/>
    <w:rsid w:val="00565EE6"/>
    <w:rsid w:val="00566607"/>
    <w:rsid w:val="0056695D"/>
    <w:rsid w:val="005677F9"/>
    <w:rsid w:val="0057077F"/>
    <w:rsid w:val="005708A3"/>
    <w:rsid w:val="00570ADF"/>
    <w:rsid w:val="00570C2D"/>
    <w:rsid w:val="005713F5"/>
    <w:rsid w:val="005723B3"/>
    <w:rsid w:val="005730D4"/>
    <w:rsid w:val="00574227"/>
    <w:rsid w:val="0057464C"/>
    <w:rsid w:val="00574847"/>
    <w:rsid w:val="005748B3"/>
    <w:rsid w:val="00574936"/>
    <w:rsid w:val="00576A9F"/>
    <w:rsid w:val="00576F91"/>
    <w:rsid w:val="005775F5"/>
    <w:rsid w:val="0057764E"/>
    <w:rsid w:val="00577ADE"/>
    <w:rsid w:val="00580499"/>
    <w:rsid w:val="00581378"/>
    <w:rsid w:val="00581E1C"/>
    <w:rsid w:val="005824F3"/>
    <w:rsid w:val="005826AC"/>
    <w:rsid w:val="00582B48"/>
    <w:rsid w:val="00582C14"/>
    <w:rsid w:val="00582DA8"/>
    <w:rsid w:val="005832EE"/>
    <w:rsid w:val="00583532"/>
    <w:rsid w:val="00583813"/>
    <w:rsid w:val="00583DF3"/>
    <w:rsid w:val="00584133"/>
    <w:rsid w:val="0058465B"/>
    <w:rsid w:val="00584BF3"/>
    <w:rsid w:val="00584E5A"/>
    <w:rsid w:val="005853E9"/>
    <w:rsid w:val="00585505"/>
    <w:rsid w:val="005864D2"/>
    <w:rsid w:val="00586AC8"/>
    <w:rsid w:val="0059001A"/>
    <w:rsid w:val="00590A44"/>
    <w:rsid w:val="005915D4"/>
    <w:rsid w:val="005916FB"/>
    <w:rsid w:val="00591A62"/>
    <w:rsid w:val="005925B1"/>
    <w:rsid w:val="00592B3C"/>
    <w:rsid w:val="0059499F"/>
    <w:rsid w:val="00594A3B"/>
    <w:rsid w:val="00595CBE"/>
    <w:rsid w:val="0059634B"/>
    <w:rsid w:val="005975EE"/>
    <w:rsid w:val="005A10BF"/>
    <w:rsid w:val="005A1542"/>
    <w:rsid w:val="005A2072"/>
    <w:rsid w:val="005A2D7B"/>
    <w:rsid w:val="005A309E"/>
    <w:rsid w:val="005A42EF"/>
    <w:rsid w:val="005A44BD"/>
    <w:rsid w:val="005A4E3B"/>
    <w:rsid w:val="005A6694"/>
    <w:rsid w:val="005A6B8A"/>
    <w:rsid w:val="005A7B71"/>
    <w:rsid w:val="005B02CB"/>
    <w:rsid w:val="005B0699"/>
    <w:rsid w:val="005B084F"/>
    <w:rsid w:val="005B08E5"/>
    <w:rsid w:val="005B0EBB"/>
    <w:rsid w:val="005B0EEA"/>
    <w:rsid w:val="005B1209"/>
    <w:rsid w:val="005B14B5"/>
    <w:rsid w:val="005B1B5A"/>
    <w:rsid w:val="005B208B"/>
    <w:rsid w:val="005B21E3"/>
    <w:rsid w:val="005B257B"/>
    <w:rsid w:val="005B2629"/>
    <w:rsid w:val="005B29FC"/>
    <w:rsid w:val="005B2FC7"/>
    <w:rsid w:val="005B3A4E"/>
    <w:rsid w:val="005B3E4C"/>
    <w:rsid w:val="005B3EA2"/>
    <w:rsid w:val="005B47FB"/>
    <w:rsid w:val="005B51CB"/>
    <w:rsid w:val="005B6412"/>
    <w:rsid w:val="005B6613"/>
    <w:rsid w:val="005B6B48"/>
    <w:rsid w:val="005B6C7F"/>
    <w:rsid w:val="005B6E1F"/>
    <w:rsid w:val="005B752E"/>
    <w:rsid w:val="005B7C86"/>
    <w:rsid w:val="005B7CAD"/>
    <w:rsid w:val="005C02D2"/>
    <w:rsid w:val="005C03B7"/>
    <w:rsid w:val="005C0ED3"/>
    <w:rsid w:val="005C1352"/>
    <w:rsid w:val="005C17DA"/>
    <w:rsid w:val="005C1F54"/>
    <w:rsid w:val="005C35D4"/>
    <w:rsid w:val="005C42DB"/>
    <w:rsid w:val="005C4DD4"/>
    <w:rsid w:val="005C569E"/>
    <w:rsid w:val="005C73EF"/>
    <w:rsid w:val="005C7B48"/>
    <w:rsid w:val="005D157E"/>
    <w:rsid w:val="005D172B"/>
    <w:rsid w:val="005D19BA"/>
    <w:rsid w:val="005D1ED4"/>
    <w:rsid w:val="005D217B"/>
    <w:rsid w:val="005D23F1"/>
    <w:rsid w:val="005D255B"/>
    <w:rsid w:val="005D2639"/>
    <w:rsid w:val="005D2A81"/>
    <w:rsid w:val="005D3311"/>
    <w:rsid w:val="005D3FC2"/>
    <w:rsid w:val="005D44B2"/>
    <w:rsid w:val="005D534A"/>
    <w:rsid w:val="005D5C99"/>
    <w:rsid w:val="005D734B"/>
    <w:rsid w:val="005D7916"/>
    <w:rsid w:val="005D7BCC"/>
    <w:rsid w:val="005E02A9"/>
    <w:rsid w:val="005E0C68"/>
    <w:rsid w:val="005E11E9"/>
    <w:rsid w:val="005E23F3"/>
    <w:rsid w:val="005E277D"/>
    <w:rsid w:val="005E2FDD"/>
    <w:rsid w:val="005E317F"/>
    <w:rsid w:val="005E32B9"/>
    <w:rsid w:val="005E4665"/>
    <w:rsid w:val="005E54DF"/>
    <w:rsid w:val="005E5520"/>
    <w:rsid w:val="005E5A85"/>
    <w:rsid w:val="005E65B4"/>
    <w:rsid w:val="005E6BA2"/>
    <w:rsid w:val="005F0813"/>
    <w:rsid w:val="005F22B8"/>
    <w:rsid w:val="005F2C1E"/>
    <w:rsid w:val="005F2C22"/>
    <w:rsid w:val="005F3257"/>
    <w:rsid w:val="005F3505"/>
    <w:rsid w:val="005F35BA"/>
    <w:rsid w:val="005F4C4E"/>
    <w:rsid w:val="005F5ACB"/>
    <w:rsid w:val="005F5F25"/>
    <w:rsid w:val="005F659D"/>
    <w:rsid w:val="005F77CD"/>
    <w:rsid w:val="006001ED"/>
    <w:rsid w:val="00600629"/>
    <w:rsid w:val="006008AA"/>
    <w:rsid w:val="00600A15"/>
    <w:rsid w:val="00600C62"/>
    <w:rsid w:val="00600F27"/>
    <w:rsid w:val="0060196D"/>
    <w:rsid w:val="00601A39"/>
    <w:rsid w:val="006021EE"/>
    <w:rsid w:val="0060226E"/>
    <w:rsid w:val="006024A9"/>
    <w:rsid w:val="0060251C"/>
    <w:rsid w:val="006031B2"/>
    <w:rsid w:val="00604725"/>
    <w:rsid w:val="00604F38"/>
    <w:rsid w:val="00606FD9"/>
    <w:rsid w:val="006072D9"/>
    <w:rsid w:val="006075C8"/>
    <w:rsid w:val="00607A41"/>
    <w:rsid w:val="00611F24"/>
    <w:rsid w:val="006129CB"/>
    <w:rsid w:val="00613368"/>
    <w:rsid w:val="00614539"/>
    <w:rsid w:val="00614A44"/>
    <w:rsid w:val="00614D2C"/>
    <w:rsid w:val="006158F8"/>
    <w:rsid w:val="00615ECB"/>
    <w:rsid w:val="00616D1B"/>
    <w:rsid w:val="00617141"/>
    <w:rsid w:val="00620938"/>
    <w:rsid w:val="00620DDF"/>
    <w:rsid w:val="00622A53"/>
    <w:rsid w:val="00623E4D"/>
    <w:rsid w:val="0062465E"/>
    <w:rsid w:val="00625619"/>
    <w:rsid w:val="00625894"/>
    <w:rsid w:val="00626653"/>
    <w:rsid w:val="00626D1F"/>
    <w:rsid w:val="00627B2E"/>
    <w:rsid w:val="00630F09"/>
    <w:rsid w:val="0063149E"/>
    <w:rsid w:val="006332ED"/>
    <w:rsid w:val="0063388E"/>
    <w:rsid w:val="0063422E"/>
    <w:rsid w:val="00636712"/>
    <w:rsid w:val="00636ACD"/>
    <w:rsid w:val="00636EC9"/>
    <w:rsid w:val="0064033E"/>
    <w:rsid w:val="00640CA6"/>
    <w:rsid w:val="0064123E"/>
    <w:rsid w:val="00641628"/>
    <w:rsid w:val="00641926"/>
    <w:rsid w:val="00641DC0"/>
    <w:rsid w:val="00641E29"/>
    <w:rsid w:val="00642059"/>
    <w:rsid w:val="00642501"/>
    <w:rsid w:val="0064317C"/>
    <w:rsid w:val="0064349E"/>
    <w:rsid w:val="0064379B"/>
    <w:rsid w:val="00643CA0"/>
    <w:rsid w:val="006445DE"/>
    <w:rsid w:val="00644D03"/>
    <w:rsid w:val="006468F7"/>
    <w:rsid w:val="00646988"/>
    <w:rsid w:val="00646BD8"/>
    <w:rsid w:val="00646D4E"/>
    <w:rsid w:val="00646F95"/>
    <w:rsid w:val="00647A03"/>
    <w:rsid w:val="00647EAC"/>
    <w:rsid w:val="00650FDB"/>
    <w:rsid w:val="00651665"/>
    <w:rsid w:val="00651BB7"/>
    <w:rsid w:val="00651CD2"/>
    <w:rsid w:val="00652D9D"/>
    <w:rsid w:val="00653034"/>
    <w:rsid w:val="00653437"/>
    <w:rsid w:val="00653F8C"/>
    <w:rsid w:val="006548E7"/>
    <w:rsid w:val="00654999"/>
    <w:rsid w:val="00655635"/>
    <w:rsid w:val="006558B1"/>
    <w:rsid w:val="00655BA6"/>
    <w:rsid w:val="0065671B"/>
    <w:rsid w:val="006569F7"/>
    <w:rsid w:val="006571F5"/>
    <w:rsid w:val="006579FB"/>
    <w:rsid w:val="00660286"/>
    <w:rsid w:val="006607CB"/>
    <w:rsid w:val="00661029"/>
    <w:rsid w:val="006618C0"/>
    <w:rsid w:val="00661CD6"/>
    <w:rsid w:val="00661CE4"/>
    <w:rsid w:val="00661DAA"/>
    <w:rsid w:val="00661FB2"/>
    <w:rsid w:val="0066273A"/>
    <w:rsid w:val="006645A8"/>
    <w:rsid w:val="0066645B"/>
    <w:rsid w:val="00666E1B"/>
    <w:rsid w:val="0066731B"/>
    <w:rsid w:val="006675D7"/>
    <w:rsid w:val="00670082"/>
    <w:rsid w:val="006702CE"/>
    <w:rsid w:val="00670511"/>
    <w:rsid w:val="00670957"/>
    <w:rsid w:val="006719B8"/>
    <w:rsid w:val="00671E7B"/>
    <w:rsid w:val="006720CE"/>
    <w:rsid w:val="006729EB"/>
    <w:rsid w:val="00672DD2"/>
    <w:rsid w:val="006730AF"/>
    <w:rsid w:val="0067419D"/>
    <w:rsid w:val="0067477B"/>
    <w:rsid w:val="00675626"/>
    <w:rsid w:val="00675AC6"/>
    <w:rsid w:val="00675F8A"/>
    <w:rsid w:val="00676161"/>
    <w:rsid w:val="0067650C"/>
    <w:rsid w:val="00676883"/>
    <w:rsid w:val="00676BAB"/>
    <w:rsid w:val="006771D7"/>
    <w:rsid w:val="00677302"/>
    <w:rsid w:val="0067733D"/>
    <w:rsid w:val="0067744C"/>
    <w:rsid w:val="00677FF8"/>
    <w:rsid w:val="006804D5"/>
    <w:rsid w:val="006805CC"/>
    <w:rsid w:val="00680EC9"/>
    <w:rsid w:val="00681076"/>
    <w:rsid w:val="00683C5F"/>
    <w:rsid w:val="00684365"/>
    <w:rsid w:val="0068473C"/>
    <w:rsid w:val="006847E0"/>
    <w:rsid w:val="006856BA"/>
    <w:rsid w:val="00685B6E"/>
    <w:rsid w:val="0068796A"/>
    <w:rsid w:val="00690301"/>
    <w:rsid w:val="00690594"/>
    <w:rsid w:val="00690731"/>
    <w:rsid w:val="00690900"/>
    <w:rsid w:val="00690946"/>
    <w:rsid w:val="00690C1A"/>
    <w:rsid w:val="00691548"/>
    <w:rsid w:val="0069157D"/>
    <w:rsid w:val="00691995"/>
    <w:rsid w:val="00691F6F"/>
    <w:rsid w:val="0069213B"/>
    <w:rsid w:val="0069213E"/>
    <w:rsid w:val="00692EDB"/>
    <w:rsid w:val="006938A9"/>
    <w:rsid w:val="00693C95"/>
    <w:rsid w:val="006963BF"/>
    <w:rsid w:val="00696BE6"/>
    <w:rsid w:val="00696CE9"/>
    <w:rsid w:val="00696FA0"/>
    <w:rsid w:val="00697612"/>
    <w:rsid w:val="006A0018"/>
    <w:rsid w:val="006A0376"/>
    <w:rsid w:val="006A13A0"/>
    <w:rsid w:val="006A1EB7"/>
    <w:rsid w:val="006A1F21"/>
    <w:rsid w:val="006A2083"/>
    <w:rsid w:val="006A211A"/>
    <w:rsid w:val="006A274F"/>
    <w:rsid w:val="006A33F5"/>
    <w:rsid w:val="006A3969"/>
    <w:rsid w:val="006A478F"/>
    <w:rsid w:val="006A5BCB"/>
    <w:rsid w:val="006A6638"/>
    <w:rsid w:val="006A6848"/>
    <w:rsid w:val="006A71EE"/>
    <w:rsid w:val="006A7C92"/>
    <w:rsid w:val="006B01B8"/>
    <w:rsid w:val="006B02C0"/>
    <w:rsid w:val="006B1851"/>
    <w:rsid w:val="006B1C8A"/>
    <w:rsid w:val="006B1ED9"/>
    <w:rsid w:val="006B22BC"/>
    <w:rsid w:val="006B2547"/>
    <w:rsid w:val="006B2638"/>
    <w:rsid w:val="006B27CF"/>
    <w:rsid w:val="006B2EEF"/>
    <w:rsid w:val="006B4599"/>
    <w:rsid w:val="006B4E66"/>
    <w:rsid w:val="006B5497"/>
    <w:rsid w:val="006B592A"/>
    <w:rsid w:val="006B5B0A"/>
    <w:rsid w:val="006B61CB"/>
    <w:rsid w:val="006B674B"/>
    <w:rsid w:val="006B68B0"/>
    <w:rsid w:val="006B7E0D"/>
    <w:rsid w:val="006C017D"/>
    <w:rsid w:val="006C0558"/>
    <w:rsid w:val="006C1182"/>
    <w:rsid w:val="006C1E8F"/>
    <w:rsid w:val="006C31D2"/>
    <w:rsid w:val="006C36B0"/>
    <w:rsid w:val="006C3BC0"/>
    <w:rsid w:val="006C3E5D"/>
    <w:rsid w:val="006C477C"/>
    <w:rsid w:val="006C5206"/>
    <w:rsid w:val="006C5238"/>
    <w:rsid w:val="006C57B0"/>
    <w:rsid w:val="006C626D"/>
    <w:rsid w:val="006C73A7"/>
    <w:rsid w:val="006C7439"/>
    <w:rsid w:val="006C79DB"/>
    <w:rsid w:val="006D029E"/>
    <w:rsid w:val="006D0566"/>
    <w:rsid w:val="006D0647"/>
    <w:rsid w:val="006D0731"/>
    <w:rsid w:val="006D0AFE"/>
    <w:rsid w:val="006D0F05"/>
    <w:rsid w:val="006D0F0D"/>
    <w:rsid w:val="006D1070"/>
    <w:rsid w:val="006D19CA"/>
    <w:rsid w:val="006D305B"/>
    <w:rsid w:val="006D3197"/>
    <w:rsid w:val="006D3588"/>
    <w:rsid w:val="006D3636"/>
    <w:rsid w:val="006D39C1"/>
    <w:rsid w:val="006D3BF3"/>
    <w:rsid w:val="006D3D05"/>
    <w:rsid w:val="006D3FD9"/>
    <w:rsid w:val="006D45BB"/>
    <w:rsid w:val="006D5797"/>
    <w:rsid w:val="006D5C00"/>
    <w:rsid w:val="006D61B8"/>
    <w:rsid w:val="006D6436"/>
    <w:rsid w:val="006D6990"/>
    <w:rsid w:val="006D6EEF"/>
    <w:rsid w:val="006D7181"/>
    <w:rsid w:val="006D7572"/>
    <w:rsid w:val="006D7B7F"/>
    <w:rsid w:val="006E00E8"/>
    <w:rsid w:val="006E01E6"/>
    <w:rsid w:val="006E05E2"/>
    <w:rsid w:val="006E06F4"/>
    <w:rsid w:val="006E0920"/>
    <w:rsid w:val="006E101B"/>
    <w:rsid w:val="006E2275"/>
    <w:rsid w:val="006E2463"/>
    <w:rsid w:val="006E2C5E"/>
    <w:rsid w:val="006E3073"/>
    <w:rsid w:val="006E3156"/>
    <w:rsid w:val="006E3884"/>
    <w:rsid w:val="006E3EE2"/>
    <w:rsid w:val="006E3EE3"/>
    <w:rsid w:val="006E4AEE"/>
    <w:rsid w:val="006E5191"/>
    <w:rsid w:val="006E58F8"/>
    <w:rsid w:val="006E598E"/>
    <w:rsid w:val="006E5DFC"/>
    <w:rsid w:val="006E5FD0"/>
    <w:rsid w:val="006E71DA"/>
    <w:rsid w:val="006F055B"/>
    <w:rsid w:val="006F1832"/>
    <w:rsid w:val="006F1EE1"/>
    <w:rsid w:val="006F2815"/>
    <w:rsid w:val="006F29C4"/>
    <w:rsid w:val="006F2F90"/>
    <w:rsid w:val="006F3460"/>
    <w:rsid w:val="006F3C64"/>
    <w:rsid w:val="006F3DF5"/>
    <w:rsid w:val="006F4EC6"/>
    <w:rsid w:val="006F5EB2"/>
    <w:rsid w:val="006F619A"/>
    <w:rsid w:val="006F6B6E"/>
    <w:rsid w:val="006F7223"/>
    <w:rsid w:val="006F7CE4"/>
    <w:rsid w:val="006F7E72"/>
    <w:rsid w:val="00701607"/>
    <w:rsid w:val="00701AC2"/>
    <w:rsid w:val="00701BAA"/>
    <w:rsid w:val="007023E1"/>
    <w:rsid w:val="007026C7"/>
    <w:rsid w:val="00702B07"/>
    <w:rsid w:val="00703450"/>
    <w:rsid w:val="007042BE"/>
    <w:rsid w:val="00704473"/>
    <w:rsid w:val="00704C40"/>
    <w:rsid w:val="00705D56"/>
    <w:rsid w:val="007073E6"/>
    <w:rsid w:val="0070749E"/>
    <w:rsid w:val="007101DE"/>
    <w:rsid w:val="0071025E"/>
    <w:rsid w:val="00710679"/>
    <w:rsid w:val="007107AF"/>
    <w:rsid w:val="00710B4C"/>
    <w:rsid w:val="00711005"/>
    <w:rsid w:val="007116B3"/>
    <w:rsid w:val="0071285B"/>
    <w:rsid w:val="00712D42"/>
    <w:rsid w:val="00713072"/>
    <w:rsid w:val="00713568"/>
    <w:rsid w:val="00713DD3"/>
    <w:rsid w:val="007153FF"/>
    <w:rsid w:val="00716EC5"/>
    <w:rsid w:val="00716FCE"/>
    <w:rsid w:val="007178B3"/>
    <w:rsid w:val="00720337"/>
    <w:rsid w:val="007218DC"/>
    <w:rsid w:val="00721E64"/>
    <w:rsid w:val="00722056"/>
    <w:rsid w:val="00722065"/>
    <w:rsid w:val="00722839"/>
    <w:rsid w:val="00722EC8"/>
    <w:rsid w:val="00726DB1"/>
    <w:rsid w:val="00726EAD"/>
    <w:rsid w:val="00727533"/>
    <w:rsid w:val="0072766E"/>
    <w:rsid w:val="00727691"/>
    <w:rsid w:val="0073000A"/>
    <w:rsid w:val="0073012F"/>
    <w:rsid w:val="00730423"/>
    <w:rsid w:val="00730D91"/>
    <w:rsid w:val="0073159D"/>
    <w:rsid w:val="0073191B"/>
    <w:rsid w:val="00731BE3"/>
    <w:rsid w:val="007328AD"/>
    <w:rsid w:val="007330B9"/>
    <w:rsid w:val="0073330E"/>
    <w:rsid w:val="00733577"/>
    <w:rsid w:val="00733629"/>
    <w:rsid w:val="00734177"/>
    <w:rsid w:val="00734F56"/>
    <w:rsid w:val="007352CA"/>
    <w:rsid w:val="007357D9"/>
    <w:rsid w:val="00736421"/>
    <w:rsid w:val="007376C6"/>
    <w:rsid w:val="00737F51"/>
    <w:rsid w:val="00740A7F"/>
    <w:rsid w:val="00740D45"/>
    <w:rsid w:val="00741D2E"/>
    <w:rsid w:val="00742EDB"/>
    <w:rsid w:val="007443D4"/>
    <w:rsid w:val="00744AA1"/>
    <w:rsid w:val="00744C0F"/>
    <w:rsid w:val="00744DDD"/>
    <w:rsid w:val="0074612C"/>
    <w:rsid w:val="00746565"/>
    <w:rsid w:val="00746E9F"/>
    <w:rsid w:val="007474C5"/>
    <w:rsid w:val="00747D99"/>
    <w:rsid w:val="00747EE9"/>
    <w:rsid w:val="00750029"/>
    <w:rsid w:val="00750CB3"/>
    <w:rsid w:val="00750F8F"/>
    <w:rsid w:val="007511C8"/>
    <w:rsid w:val="00751CE9"/>
    <w:rsid w:val="00752818"/>
    <w:rsid w:val="00752D2A"/>
    <w:rsid w:val="007530D0"/>
    <w:rsid w:val="00754CE5"/>
    <w:rsid w:val="00754CFB"/>
    <w:rsid w:val="00754F9C"/>
    <w:rsid w:val="007569BF"/>
    <w:rsid w:val="00756E50"/>
    <w:rsid w:val="007570EE"/>
    <w:rsid w:val="007575D6"/>
    <w:rsid w:val="00760271"/>
    <w:rsid w:val="00760FA2"/>
    <w:rsid w:val="007616F9"/>
    <w:rsid w:val="00761768"/>
    <w:rsid w:val="00761D95"/>
    <w:rsid w:val="00762B19"/>
    <w:rsid w:val="00762C20"/>
    <w:rsid w:val="00762D7B"/>
    <w:rsid w:val="00762DD3"/>
    <w:rsid w:val="00762EF2"/>
    <w:rsid w:val="007641A7"/>
    <w:rsid w:val="00764FB2"/>
    <w:rsid w:val="00765A34"/>
    <w:rsid w:val="00765C98"/>
    <w:rsid w:val="00766204"/>
    <w:rsid w:val="00766D03"/>
    <w:rsid w:val="00766EAF"/>
    <w:rsid w:val="00767481"/>
    <w:rsid w:val="007714DE"/>
    <w:rsid w:val="00771A6A"/>
    <w:rsid w:val="007721CD"/>
    <w:rsid w:val="00772B3D"/>
    <w:rsid w:val="0077392D"/>
    <w:rsid w:val="00775241"/>
    <w:rsid w:val="007752EF"/>
    <w:rsid w:val="00775364"/>
    <w:rsid w:val="00775795"/>
    <w:rsid w:val="00775FB9"/>
    <w:rsid w:val="007763B8"/>
    <w:rsid w:val="00776CFB"/>
    <w:rsid w:val="00776FFF"/>
    <w:rsid w:val="00777731"/>
    <w:rsid w:val="00777C65"/>
    <w:rsid w:val="00777CB1"/>
    <w:rsid w:val="00777D7A"/>
    <w:rsid w:val="00780A4D"/>
    <w:rsid w:val="00782012"/>
    <w:rsid w:val="0078215A"/>
    <w:rsid w:val="00782746"/>
    <w:rsid w:val="00783297"/>
    <w:rsid w:val="00783E2C"/>
    <w:rsid w:val="007842B4"/>
    <w:rsid w:val="007878A9"/>
    <w:rsid w:val="007879B3"/>
    <w:rsid w:val="00790DE7"/>
    <w:rsid w:val="00791267"/>
    <w:rsid w:val="007914F4"/>
    <w:rsid w:val="00791BBA"/>
    <w:rsid w:val="00792E7D"/>
    <w:rsid w:val="00793DE0"/>
    <w:rsid w:val="0079401C"/>
    <w:rsid w:val="0079429E"/>
    <w:rsid w:val="007946CF"/>
    <w:rsid w:val="007953D0"/>
    <w:rsid w:val="00795596"/>
    <w:rsid w:val="0079564E"/>
    <w:rsid w:val="0079583F"/>
    <w:rsid w:val="00795B57"/>
    <w:rsid w:val="00797924"/>
    <w:rsid w:val="007A08E3"/>
    <w:rsid w:val="007A1991"/>
    <w:rsid w:val="007A1F80"/>
    <w:rsid w:val="007A20C3"/>
    <w:rsid w:val="007A346F"/>
    <w:rsid w:val="007A469E"/>
    <w:rsid w:val="007A5180"/>
    <w:rsid w:val="007A55B3"/>
    <w:rsid w:val="007A5F8D"/>
    <w:rsid w:val="007A640A"/>
    <w:rsid w:val="007A7188"/>
    <w:rsid w:val="007A7892"/>
    <w:rsid w:val="007A7D62"/>
    <w:rsid w:val="007B030E"/>
    <w:rsid w:val="007B16A5"/>
    <w:rsid w:val="007B1E49"/>
    <w:rsid w:val="007B228D"/>
    <w:rsid w:val="007B2AE4"/>
    <w:rsid w:val="007B2DC6"/>
    <w:rsid w:val="007B3399"/>
    <w:rsid w:val="007B3421"/>
    <w:rsid w:val="007B3646"/>
    <w:rsid w:val="007B415E"/>
    <w:rsid w:val="007B5B3C"/>
    <w:rsid w:val="007B709D"/>
    <w:rsid w:val="007B7BFC"/>
    <w:rsid w:val="007B7D2B"/>
    <w:rsid w:val="007C0649"/>
    <w:rsid w:val="007C07D3"/>
    <w:rsid w:val="007C080A"/>
    <w:rsid w:val="007C1156"/>
    <w:rsid w:val="007C1701"/>
    <w:rsid w:val="007C2437"/>
    <w:rsid w:val="007C28ED"/>
    <w:rsid w:val="007C2EA8"/>
    <w:rsid w:val="007C3679"/>
    <w:rsid w:val="007C4DA0"/>
    <w:rsid w:val="007C5BA1"/>
    <w:rsid w:val="007C6237"/>
    <w:rsid w:val="007C6765"/>
    <w:rsid w:val="007C7294"/>
    <w:rsid w:val="007C766B"/>
    <w:rsid w:val="007D0194"/>
    <w:rsid w:val="007D0248"/>
    <w:rsid w:val="007D0377"/>
    <w:rsid w:val="007D072E"/>
    <w:rsid w:val="007D0DB3"/>
    <w:rsid w:val="007D0F79"/>
    <w:rsid w:val="007D1B49"/>
    <w:rsid w:val="007D29AD"/>
    <w:rsid w:val="007D3FAB"/>
    <w:rsid w:val="007D47BE"/>
    <w:rsid w:val="007D58F9"/>
    <w:rsid w:val="007D59DB"/>
    <w:rsid w:val="007D62AA"/>
    <w:rsid w:val="007D65F5"/>
    <w:rsid w:val="007D67A1"/>
    <w:rsid w:val="007D6C23"/>
    <w:rsid w:val="007D7DFA"/>
    <w:rsid w:val="007E03DD"/>
    <w:rsid w:val="007E04DE"/>
    <w:rsid w:val="007E07C5"/>
    <w:rsid w:val="007E081C"/>
    <w:rsid w:val="007E2FD9"/>
    <w:rsid w:val="007E3894"/>
    <w:rsid w:val="007E42B7"/>
    <w:rsid w:val="007E4338"/>
    <w:rsid w:val="007E55C3"/>
    <w:rsid w:val="007E61FC"/>
    <w:rsid w:val="007E6977"/>
    <w:rsid w:val="007E698E"/>
    <w:rsid w:val="007E6BDC"/>
    <w:rsid w:val="007E70A7"/>
    <w:rsid w:val="007E76B5"/>
    <w:rsid w:val="007E7A2F"/>
    <w:rsid w:val="007E7A52"/>
    <w:rsid w:val="007E7AB1"/>
    <w:rsid w:val="007F0F70"/>
    <w:rsid w:val="007F1BD2"/>
    <w:rsid w:val="007F1BF7"/>
    <w:rsid w:val="007F1C40"/>
    <w:rsid w:val="007F24D9"/>
    <w:rsid w:val="007F33F6"/>
    <w:rsid w:val="007F351F"/>
    <w:rsid w:val="007F4692"/>
    <w:rsid w:val="007F4BA9"/>
    <w:rsid w:val="007F4FAC"/>
    <w:rsid w:val="007F565D"/>
    <w:rsid w:val="007F5AD8"/>
    <w:rsid w:val="007F646D"/>
    <w:rsid w:val="007F7122"/>
    <w:rsid w:val="007F7FBF"/>
    <w:rsid w:val="0080016C"/>
    <w:rsid w:val="00800B7D"/>
    <w:rsid w:val="00800F75"/>
    <w:rsid w:val="0080104F"/>
    <w:rsid w:val="0080281C"/>
    <w:rsid w:val="00802C02"/>
    <w:rsid w:val="00803DAD"/>
    <w:rsid w:val="00804CD1"/>
    <w:rsid w:val="00805572"/>
    <w:rsid w:val="00806728"/>
    <w:rsid w:val="00807474"/>
    <w:rsid w:val="00807831"/>
    <w:rsid w:val="0080799D"/>
    <w:rsid w:val="00810BCA"/>
    <w:rsid w:val="00810BCF"/>
    <w:rsid w:val="0081120D"/>
    <w:rsid w:val="0081174E"/>
    <w:rsid w:val="00812161"/>
    <w:rsid w:val="00812DF4"/>
    <w:rsid w:val="00812EA1"/>
    <w:rsid w:val="008130C0"/>
    <w:rsid w:val="00813A09"/>
    <w:rsid w:val="00813C6F"/>
    <w:rsid w:val="00813F27"/>
    <w:rsid w:val="00815098"/>
    <w:rsid w:val="008154CB"/>
    <w:rsid w:val="008172F7"/>
    <w:rsid w:val="00817ACD"/>
    <w:rsid w:val="00821D41"/>
    <w:rsid w:val="008225BB"/>
    <w:rsid w:val="0082320B"/>
    <w:rsid w:val="00823246"/>
    <w:rsid w:val="008233E8"/>
    <w:rsid w:val="0082376E"/>
    <w:rsid w:val="00823E87"/>
    <w:rsid w:val="00824B5B"/>
    <w:rsid w:val="00825AF2"/>
    <w:rsid w:val="00826BF0"/>
    <w:rsid w:val="00831DA3"/>
    <w:rsid w:val="00832758"/>
    <w:rsid w:val="0083323C"/>
    <w:rsid w:val="0083363A"/>
    <w:rsid w:val="00833AF4"/>
    <w:rsid w:val="0083493B"/>
    <w:rsid w:val="008349FC"/>
    <w:rsid w:val="00834ECD"/>
    <w:rsid w:val="008354AA"/>
    <w:rsid w:val="008359F6"/>
    <w:rsid w:val="00835CE4"/>
    <w:rsid w:val="00836DE8"/>
    <w:rsid w:val="0083723F"/>
    <w:rsid w:val="00837B18"/>
    <w:rsid w:val="00837DE2"/>
    <w:rsid w:val="00837F65"/>
    <w:rsid w:val="00840064"/>
    <w:rsid w:val="00840588"/>
    <w:rsid w:val="0084083C"/>
    <w:rsid w:val="00841E0F"/>
    <w:rsid w:val="00843EB4"/>
    <w:rsid w:val="008442D6"/>
    <w:rsid w:val="00844C9E"/>
    <w:rsid w:val="00844F2B"/>
    <w:rsid w:val="008453E9"/>
    <w:rsid w:val="00845B61"/>
    <w:rsid w:val="00845EC8"/>
    <w:rsid w:val="0084731B"/>
    <w:rsid w:val="008507B8"/>
    <w:rsid w:val="00850A07"/>
    <w:rsid w:val="00850E55"/>
    <w:rsid w:val="008510B4"/>
    <w:rsid w:val="00852253"/>
    <w:rsid w:val="00852337"/>
    <w:rsid w:val="0085235C"/>
    <w:rsid w:val="008525A5"/>
    <w:rsid w:val="00852A18"/>
    <w:rsid w:val="00852E24"/>
    <w:rsid w:val="00853613"/>
    <w:rsid w:val="0085385B"/>
    <w:rsid w:val="00853A00"/>
    <w:rsid w:val="00854184"/>
    <w:rsid w:val="00854576"/>
    <w:rsid w:val="00855215"/>
    <w:rsid w:val="008555CB"/>
    <w:rsid w:val="0085586E"/>
    <w:rsid w:val="008562C5"/>
    <w:rsid w:val="00856913"/>
    <w:rsid w:val="00857136"/>
    <w:rsid w:val="008579BE"/>
    <w:rsid w:val="008609CB"/>
    <w:rsid w:val="00860E9C"/>
    <w:rsid w:val="00860F65"/>
    <w:rsid w:val="00860F72"/>
    <w:rsid w:val="00861146"/>
    <w:rsid w:val="0086118E"/>
    <w:rsid w:val="0086157E"/>
    <w:rsid w:val="00861C42"/>
    <w:rsid w:val="00862B65"/>
    <w:rsid w:val="00862BE0"/>
    <w:rsid w:val="008636BE"/>
    <w:rsid w:val="00863D3B"/>
    <w:rsid w:val="00864F93"/>
    <w:rsid w:val="00865D76"/>
    <w:rsid w:val="00866444"/>
    <w:rsid w:val="008672B8"/>
    <w:rsid w:val="00867C54"/>
    <w:rsid w:val="00867E68"/>
    <w:rsid w:val="00870870"/>
    <w:rsid w:val="00870DC3"/>
    <w:rsid w:val="00870FDA"/>
    <w:rsid w:val="008719A3"/>
    <w:rsid w:val="0087356A"/>
    <w:rsid w:val="00873BD8"/>
    <w:rsid w:val="00873CD1"/>
    <w:rsid w:val="008740B6"/>
    <w:rsid w:val="00874917"/>
    <w:rsid w:val="00875C42"/>
    <w:rsid w:val="00875F1C"/>
    <w:rsid w:val="00877033"/>
    <w:rsid w:val="00877756"/>
    <w:rsid w:val="0087779F"/>
    <w:rsid w:val="008820A1"/>
    <w:rsid w:val="00882183"/>
    <w:rsid w:val="0088220A"/>
    <w:rsid w:val="00882303"/>
    <w:rsid w:val="00882D83"/>
    <w:rsid w:val="008833C7"/>
    <w:rsid w:val="0088413E"/>
    <w:rsid w:val="00886044"/>
    <w:rsid w:val="00886BDA"/>
    <w:rsid w:val="00886CCB"/>
    <w:rsid w:val="00887A03"/>
    <w:rsid w:val="00890036"/>
    <w:rsid w:val="008904DB"/>
    <w:rsid w:val="00890D51"/>
    <w:rsid w:val="008917CD"/>
    <w:rsid w:val="008918BF"/>
    <w:rsid w:val="00892551"/>
    <w:rsid w:val="00893278"/>
    <w:rsid w:val="00893971"/>
    <w:rsid w:val="00893B48"/>
    <w:rsid w:val="00893B7F"/>
    <w:rsid w:val="00894604"/>
    <w:rsid w:val="008947E3"/>
    <w:rsid w:val="00894845"/>
    <w:rsid w:val="00894AF8"/>
    <w:rsid w:val="0089530F"/>
    <w:rsid w:val="0089570D"/>
    <w:rsid w:val="0089581E"/>
    <w:rsid w:val="00895A39"/>
    <w:rsid w:val="00895BC8"/>
    <w:rsid w:val="00896F77"/>
    <w:rsid w:val="008975CE"/>
    <w:rsid w:val="00897AE9"/>
    <w:rsid w:val="008A06BB"/>
    <w:rsid w:val="008A08F2"/>
    <w:rsid w:val="008A0C67"/>
    <w:rsid w:val="008A1FE7"/>
    <w:rsid w:val="008A28CA"/>
    <w:rsid w:val="008A2D98"/>
    <w:rsid w:val="008A2F29"/>
    <w:rsid w:val="008A2FB3"/>
    <w:rsid w:val="008A39DB"/>
    <w:rsid w:val="008A4944"/>
    <w:rsid w:val="008A540A"/>
    <w:rsid w:val="008A5B93"/>
    <w:rsid w:val="008A66D7"/>
    <w:rsid w:val="008A7258"/>
    <w:rsid w:val="008A7BB9"/>
    <w:rsid w:val="008A7E97"/>
    <w:rsid w:val="008B040C"/>
    <w:rsid w:val="008B0D33"/>
    <w:rsid w:val="008B1308"/>
    <w:rsid w:val="008B2129"/>
    <w:rsid w:val="008B2333"/>
    <w:rsid w:val="008B2844"/>
    <w:rsid w:val="008B2B78"/>
    <w:rsid w:val="008B2DE6"/>
    <w:rsid w:val="008B2E60"/>
    <w:rsid w:val="008B3367"/>
    <w:rsid w:val="008B435C"/>
    <w:rsid w:val="008B4485"/>
    <w:rsid w:val="008B4562"/>
    <w:rsid w:val="008B469E"/>
    <w:rsid w:val="008B521A"/>
    <w:rsid w:val="008B569F"/>
    <w:rsid w:val="008B655D"/>
    <w:rsid w:val="008B67BE"/>
    <w:rsid w:val="008B682F"/>
    <w:rsid w:val="008B71DC"/>
    <w:rsid w:val="008B75C3"/>
    <w:rsid w:val="008B7DEB"/>
    <w:rsid w:val="008C00D3"/>
    <w:rsid w:val="008C02AB"/>
    <w:rsid w:val="008C02B3"/>
    <w:rsid w:val="008C0C68"/>
    <w:rsid w:val="008C1059"/>
    <w:rsid w:val="008C16CE"/>
    <w:rsid w:val="008C1BC0"/>
    <w:rsid w:val="008C1DF4"/>
    <w:rsid w:val="008C202A"/>
    <w:rsid w:val="008C216E"/>
    <w:rsid w:val="008C236B"/>
    <w:rsid w:val="008C2FE8"/>
    <w:rsid w:val="008C32B3"/>
    <w:rsid w:val="008C498D"/>
    <w:rsid w:val="008C6346"/>
    <w:rsid w:val="008C6B60"/>
    <w:rsid w:val="008C7063"/>
    <w:rsid w:val="008C7190"/>
    <w:rsid w:val="008C7F89"/>
    <w:rsid w:val="008D0806"/>
    <w:rsid w:val="008D09B7"/>
    <w:rsid w:val="008D1812"/>
    <w:rsid w:val="008D1EC2"/>
    <w:rsid w:val="008D2C9C"/>
    <w:rsid w:val="008D2CEA"/>
    <w:rsid w:val="008D3140"/>
    <w:rsid w:val="008D3FBC"/>
    <w:rsid w:val="008D430F"/>
    <w:rsid w:val="008D4925"/>
    <w:rsid w:val="008D50A5"/>
    <w:rsid w:val="008D5128"/>
    <w:rsid w:val="008D5196"/>
    <w:rsid w:val="008D6066"/>
    <w:rsid w:val="008D67F2"/>
    <w:rsid w:val="008D7F82"/>
    <w:rsid w:val="008E1774"/>
    <w:rsid w:val="008E1AA0"/>
    <w:rsid w:val="008E1E28"/>
    <w:rsid w:val="008E2517"/>
    <w:rsid w:val="008E278A"/>
    <w:rsid w:val="008E293D"/>
    <w:rsid w:val="008E390A"/>
    <w:rsid w:val="008E3E20"/>
    <w:rsid w:val="008E3E87"/>
    <w:rsid w:val="008E41D3"/>
    <w:rsid w:val="008E43E4"/>
    <w:rsid w:val="008E48E6"/>
    <w:rsid w:val="008E4B20"/>
    <w:rsid w:val="008E516E"/>
    <w:rsid w:val="008E568B"/>
    <w:rsid w:val="008E5970"/>
    <w:rsid w:val="008E5FC8"/>
    <w:rsid w:val="008E69C8"/>
    <w:rsid w:val="008E7FD5"/>
    <w:rsid w:val="008F009A"/>
    <w:rsid w:val="008F0143"/>
    <w:rsid w:val="008F0762"/>
    <w:rsid w:val="008F11BF"/>
    <w:rsid w:val="008F1A0B"/>
    <w:rsid w:val="008F245F"/>
    <w:rsid w:val="008F25F6"/>
    <w:rsid w:val="008F29B0"/>
    <w:rsid w:val="008F2BCA"/>
    <w:rsid w:val="008F2F94"/>
    <w:rsid w:val="008F3554"/>
    <w:rsid w:val="008F355C"/>
    <w:rsid w:val="008F3CB3"/>
    <w:rsid w:val="008F41F8"/>
    <w:rsid w:val="008F4AAB"/>
    <w:rsid w:val="008F513E"/>
    <w:rsid w:val="008F550B"/>
    <w:rsid w:val="008F64A3"/>
    <w:rsid w:val="008F667F"/>
    <w:rsid w:val="008F6C32"/>
    <w:rsid w:val="008F6C7E"/>
    <w:rsid w:val="008F6D7B"/>
    <w:rsid w:val="008F70D1"/>
    <w:rsid w:val="008F7227"/>
    <w:rsid w:val="008F7546"/>
    <w:rsid w:val="009000B8"/>
    <w:rsid w:val="00900D92"/>
    <w:rsid w:val="00900EC3"/>
    <w:rsid w:val="00900EF8"/>
    <w:rsid w:val="00902152"/>
    <w:rsid w:val="009026CC"/>
    <w:rsid w:val="00904522"/>
    <w:rsid w:val="00904F8C"/>
    <w:rsid w:val="009054F0"/>
    <w:rsid w:val="009065E3"/>
    <w:rsid w:val="00906A2A"/>
    <w:rsid w:val="00907A7A"/>
    <w:rsid w:val="0091006A"/>
    <w:rsid w:val="0091145D"/>
    <w:rsid w:val="00912057"/>
    <w:rsid w:val="00912331"/>
    <w:rsid w:val="00912863"/>
    <w:rsid w:val="009135AA"/>
    <w:rsid w:val="00913AB5"/>
    <w:rsid w:val="0091507E"/>
    <w:rsid w:val="00915F84"/>
    <w:rsid w:val="00915FF1"/>
    <w:rsid w:val="0091669E"/>
    <w:rsid w:val="009169D6"/>
    <w:rsid w:val="009173D7"/>
    <w:rsid w:val="009179D7"/>
    <w:rsid w:val="00917B18"/>
    <w:rsid w:val="00917B47"/>
    <w:rsid w:val="00917FCE"/>
    <w:rsid w:val="00920803"/>
    <w:rsid w:val="00920C2F"/>
    <w:rsid w:val="0092167C"/>
    <w:rsid w:val="0092188C"/>
    <w:rsid w:val="009248AF"/>
    <w:rsid w:val="009256FC"/>
    <w:rsid w:val="00925C1C"/>
    <w:rsid w:val="00925D38"/>
    <w:rsid w:val="00925EFB"/>
    <w:rsid w:val="00926032"/>
    <w:rsid w:val="00926890"/>
    <w:rsid w:val="009269F9"/>
    <w:rsid w:val="00927171"/>
    <w:rsid w:val="00927962"/>
    <w:rsid w:val="00927A8C"/>
    <w:rsid w:val="00927B05"/>
    <w:rsid w:val="0093086F"/>
    <w:rsid w:val="00930AD3"/>
    <w:rsid w:val="009316A8"/>
    <w:rsid w:val="00931AAB"/>
    <w:rsid w:val="00931FD1"/>
    <w:rsid w:val="009321B0"/>
    <w:rsid w:val="0093260C"/>
    <w:rsid w:val="00932815"/>
    <w:rsid w:val="00932ABD"/>
    <w:rsid w:val="0093309A"/>
    <w:rsid w:val="009344FA"/>
    <w:rsid w:val="0093513F"/>
    <w:rsid w:val="00935231"/>
    <w:rsid w:val="00935D2C"/>
    <w:rsid w:val="00935D90"/>
    <w:rsid w:val="00936896"/>
    <w:rsid w:val="00936CC5"/>
    <w:rsid w:val="00936FA6"/>
    <w:rsid w:val="009403FE"/>
    <w:rsid w:val="009409DC"/>
    <w:rsid w:val="00941CBC"/>
    <w:rsid w:val="009421D9"/>
    <w:rsid w:val="00942B09"/>
    <w:rsid w:val="00942C48"/>
    <w:rsid w:val="009432CA"/>
    <w:rsid w:val="00943347"/>
    <w:rsid w:val="00943689"/>
    <w:rsid w:val="0094369E"/>
    <w:rsid w:val="0094370C"/>
    <w:rsid w:val="00943814"/>
    <w:rsid w:val="00943EC3"/>
    <w:rsid w:val="00944CD8"/>
    <w:rsid w:val="00944EB9"/>
    <w:rsid w:val="0094522A"/>
    <w:rsid w:val="00945F51"/>
    <w:rsid w:val="00946728"/>
    <w:rsid w:val="009467A0"/>
    <w:rsid w:val="00947494"/>
    <w:rsid w:val="00947832"/>
    <w:rsid w:val="00950117"/>
    <w:rsid w:val="00950BEE"/>
    <w:rsid w:val="0095196E"/>
    <w:rsid w:val="009524F9"/>
    <w:rsid w:val="009525E7"/>
    <w:rsid w:val="00952B80"/>
    <w:rsid w:val="00952C64"/>
    <w:rsid w:val="009538BD"/>
    <w:rsid w:val="00954B8F"/>
    <w:rsid w:val="009556BA"/>
    <w:rsid w:val="00955AAD"/>
    <w:rsid w:val="00955D33"/>
    <w:rsid w:val="009563F5"/>
    <w:rsid w:val="009578A3"/>
    <w:rsid w:val="00960CB5"/>
    <w:rsid w:val="00960EB2"/>
    <w:rsid w:val="00961210"/>
    <w:rsid w:val="00962001"/>
    <w:rsid w:val="0096444A"/>
    <w:rsid w:val="00965563"/>
    <w:rsid w:val="00965A09"/>
    <w:rsid w:val="0096619A"/>
    <w:rsid w:val="009668C7"/>
    <w:rsid w:val="00966B52"/>
    <w:rsid w:val="00967734"/>
    <w:rsid w:val="00967AE4"/>
    <w:rsid w:val="00967BEB"/>
    <w:rsid w:val="00967C84"/>
    <w:rsid w:val="00970D45"/>
    <w:rsid w:val="00971334"/>
    <w:rsid w:val="009714E7"/>
    <w:rsid w:val="00971EB0"/>
    <w:rsid w:val="00971EFE"/>
    <w:rsid w:val="00973A08"/>
    <w:rsid w:val="00973AA9"/>
    <w:rsid w:val="00973D44"/>
    <w:rsid w:val="00973F03"/>
    <w:rsid w:val="00974433"/>
    <w:rsid w:val="00974C35"/>
    <w:rsid w:val="0097521B"/>
    <w:rsid w:val="00976DA9"/>
    <w:rsid w:val="0097768E"/>
    <w:rsid w:val="00977AB3"/>
    <w:rsid w:val="00980744"/>
    <w:rsid w:val="00980932"/>
    <w:rsid w:val="00980AA6"/>
    <w:rsid w:val="009815F1"/>
    <w:rsid w:val="00981826"/>
    <w:rsid w:val="00981B3A"/>
    <w:rsid w:val="009835BD"/>
    <w:rsid w:val="00983B53"/>
    <w:rsid w:val="00983F3F"/>
    <w:rsid w:val="00984FFF"/>
    <w:rsid w:val="00985079"/>
    <w:rsid w:val="009855C0"/>
    <w:rsid w:val="00985CD0"/>
    <w:rsid w:val="0098651C"/>
    <w:rsid w:val="00986817"/>
    <w:rsid w:val="009868FE"/>
    <w:rsid w:val="00986B88"/>
    <w:rsid w:val="00986ECC"/>
    <w:rsid w:val="00987156"/>
    <w:rsid w:val="0098715B"/>
    <w:rsid w:val="00987263"/>
    <w:rsid w:val="00987CCA"/>
    <w:rsid w:val="009900E3"/>
    <w:rsid w:val="00990DFE"/>
    <w:rsid w:val="00991AB1"/>
    <w:rsid w:val="00992390"/>
    <w:rsid w:val="00992756"/>
    <w:rsid w:val="009930DB"/>
    <w:rsid w:val="00993297"/>
    <w:rsid w:val="00993E12"/>
    <w:rsid w:val="00993EC5"/>
    <w:rsid w:val="00995512"/>
    <w:rsid w:val="00995FC0"/>
    <w:rsid w:val="00995FEA"/>
    <w:rsid w:val="009964EE"/>
    <w:rsid w:val="00996528"/>
    <w:rsid w:val="00996E10"/>
    <w:rsid w:val="009972DB"/>
    <w:rsid w:val="009A1077"/>
    <w:rsid w:val="009A1D8D"/>
    <w:rsid w:val="009A1EE1"/>
    <w:rsid w:val="009A202F"/>
    <w:rsid w:val="009A25A3"/>
    <w:rsid w:val="009A2D10"/>
    <w:rsid w:val="009A2EAD"/>
    <w:rsid w:val="009A357F"/>
    <w:rsid w:val="009A3B4B"/>
    <w:rsid w:val="009A3C87"/>
    <w:rsid w:val="009A48B2"/>
    <w:rsid w:val="009A5887"/>
    <w:rsid w:val="009A69ED"/>
    <w:rsid w:val="009A6C35"/>
    <w:rsid w:val="009A6DB3"/>
    <w:rsid w:val="009A742C"/>
    <w:rsid w:val="009A7702"/>
    <w:rsid w:val="009B097F"/>
    <w:rsid w:val="009B10DF"/>
    <w:rsid w:val="009B121D"/>
    <w:rsid w:val="009B1239"/>
    <w:rsid w:val="009B13B3"/>
    <w:rsid w:val="009B27AD"/>
    <w:rsid w:val="009B35E5"/>
    <w:rsid w:val="009B3DE3"/>
    <w:rsid w:val="009B47F5"/>
    <w:rsid w:val="009B50B3"/>
    <w:rsid w:val="009B5796"/>
    <w:rsid w:val="009B59FA"/>
    <w:rsid w:val="009B6894"/>
    <w:rsid w:val="009B6974"/>
    <w:rsid w:val="009B6B5E"/>
    <w:rsid w:val="009B6DF2"/>
    <w:rsid w:val="009B6ED8"/>
    <w:rsid w:val="009B7622"/>
    <w:rsid w:val="009B7D8C"/>
    <w:rsid w:val="009C00ED"/>
    <w:rsid w:val="009C0775"/>
    <w:rsid w:val="009C082F"/>
    <w:rsid w:val="009C0938"/>
    <w:rsid w:val="009C0AB0"/>
    <w:rsid w:val="009C117C"/>
    <w:rsid w:val="009C1A5E"/>
    <w:rsid w:val="009C20C6"/>
    <w:rsid w:val="009C2C6B"/>
    <w:rsid w:val="009C3026"/>
    <w:rsid w:val="009C31D8"/>
    <w:rsid w:val="009C3C55"/>
    <w:rsid w:val="009C417F"/>
    <w:rsid w:val="009C5159"/>
    <w:rsid w:val="009C5175"/>
    <w:rsid w:val="009C5EC6"/>
    <w:rsid w:val="009C5F00"/>
    <w:rsid w:val="009C6A26"/>
    <w:rsid w:val="009C6AC5"/>
    <w:rsid w:val="009C7557"/>
    <w:rsid w:val="009C793B"/>
    <w:rsid w:val="009D00B8"/>
    <w:rsid w:val="009D01F3"/>
    <w:rsid w:val="009D05EC"/>
    <w:rsid w:val="009D06A3"/>
    <w:rsid w:val="009D13D5"/>
    <w:rsid w:val="009D1BEA"/>
    <w:rsid w:val="009D1E38"/>
    <w:rsid w:val="009D201C"/>
    <w:rsid w:val="009D2C35"/>
    <w:rsid w:val="009D3C81"/>
    <w:rsid w:val="009D5598"/>
    <w:rsid w:val="009D5A62"/>
    <w:rsid w:val="009D5DC6"/>
    <w:rsid w:val="009D623A"/>
    <w:rsid w:val="009D66DF"/>
    <w:rsid w:val="009D7359"/>
    <w:rsid w:val="009E0B65"/>
    <w:rsid w:val="009E113C"/>
    <w:rsid w:val="009E153B"/>
    <w:rsid w:val="009E17E9"/>
    <w:rsid w:val="009E1D31"/>
    <w:rsid w:val="009E22D2"/>
    <w:rsid w:val="009E32AC"/>
    <w:rsid w:val="009E385F"/>
    <w:rsid w:val="009E3992"/>
    <w:rsid w:val="009E3CE8"/>
    <w:rsid w:val="009E3FDB"/>
    <w:rsid w:val="009E45DE"/>
    <w:rsid w:val="009E4CF6"/>
    <w:rsid w:val="009E4D15"/>
    <w:rsid w:val="009E50A2"/>
    <w:rsid w:val="009E5894"/>
    <w:rsid w:val="009E672F"/>
    <w:rsid w:val="009E6A9D"/>
    <w:rsid w:val="009E6B10"/>
    <w:rsid w:val="009E6B31"/>
    <w:rsid w:val="009E74C4"/>
    <w:rsid w:val="009E775E"/>
    <w:rsid w:val="009E7D70"/>
    <w:rsid w:val="009F088E"/>
    <w:rsid w:val="009F0E78"/>
    <w:rsid w:val="009F1A88"/>
    <w:rsid w:val="009F2156"/>
    <w:rsid w:val="009F2930"/>
    <w:rsid w:val="009F2B8C"/>
    <w:rsid w:val="009F351D"/>
    <w:rsid w:val="009F356C"/>
    <w:rsid w:val="009F448B"/>
    <w:rsid w:val="009F4C32"/>
    <w:rsid w:val="009F52A5"/>
    <w:rsid w:val="009F55A3"/>
    <w:rsid w:val="009F5E82"/>
    <w:rsid w:val="009F6844"/>
    <w:rsid w:val="009F70EB"/>
    <w:rsid w:val="009F711C"/>
    <w:rsid w:val="00A00C5F"/>
    <w:rsid w:val="00A00C7D"/>
    <w:rsid w:val="00A01427"/>
    <w:rsid w:val="00A016CF"/>
    <w:rsid w:val="00A02220"/>
    <w:rsid w:val="00A02277"/>
    <w:rsid w:val="00A02B5F"/>
    <w:rsid w:val="00A03921"/>
    <w:rsid w:val="00A03ACB"/>
    <w:rsid w:val="00A04259"/>
    <w:rsid w:val="00A047AB"/>
    <w:rsid w:val="00A05A86"/>
    <w:rsid w:val="00A06AEB"/>
    <w:rsid w:val="00A06B61"/>
    <w:rsid w:val="00A07CB3"/>
    <w:rsid w:val="00A1045D"/>
    <w:rsid w:val="00A1078C"/>
    <w:rsid w:val="00A109E8"/>
    <w:rsid w:val="00A10BD5"/>
    <w:rsid w:val="00A11047"/>
    <w:rsid w:val="00A110DC"/>
    <w:rsid w:val="00A11A63"/>
    <w:rsid w:val="00A12091"/>
    <w:rsid w:val="00A12654"/>
    <w:rsid w:val="00A12A04"/>
    <w:rsid w:val="00A12A39"/>
    <w:rsid w:val="00A12CD7"/>
    <w:rsid w:val="00A1343D"/>
    <w:rsid w:val="00A13475"/>
    <w:rsid w:val="00A13B74"/>
    <w:rsid w:val="00A13CA7"/>
    <w:rsid w:val="00A14B28"/>
    <w:rsid w:val="00A1513E"/>
    <w:rsid w:val="00A1623E"/>
    <w:rsid w:val="00A17641"/>
    <w:rsid w:val="00A176E9"/>
    <w:rsid w:val="00A177A2"/>
    <w:rsid w:val="00A177A6"/>
    <w:rsid w:val="00A20327"/>
    <w:rsid w:val="00A20365"/>
    <w:rsid w:val="00A2037F"/>
    <w:rsid w:val="00A203F4"/>
    <w:rsid w:val="00A20FA3"/>
    <w:rsid w:val="00A21894"/>
    <w:rsid w:val="00A21D79"/>
    <w:rsid w:val="00A22073"/>
    <w:rsid w:val="00A22132"/>
    <w:rsid w:val="00A223A7"/>
    <w:rsid w:val="00A228A8"/>
    <w:rsid w:val="00A22DB4"/>
    <w:rsid w:val="00A231BE"/>
    <w:rsid w:val="00A235EB"/>
    <w:rsid w:val="00A2370E"/>
    <w:rsid w:val="00A2428A"/>
    <w:rsid w:val="00A2458D"/>
    <w:rsid w:val="00A24804"/>
    <w:rsid w:val="00A24ABB"/>
    <w:rsid w:val="00A24E93"/>
    <w:rsid w:val="00A24F41"/>
    <w:rsid w:val="00A2508B"/>
    <w:rsid w:val="00A2511D"/>
    <w:rsid w:val="00A259F4"/>
    <w:rsid w:val="00A25EE5"/>
    <w:rsid w:val="00A271A7"/>
    <w:rsid w:val="00A27284"/>
    <w:rsid w:val="00A2787C"/>
    <w:rsid w:val="00A31673"/>
    <w:rsid w:val="00A31C31"/>
    <w:rsid w:val="00A31F49"/>
    <w:rsid w:val="00A32136"/>
    <w:rsid w:val="00A329CA"/>
    <w:rsid w:val="00A32DC6"/>
    <w:rsid w:val="00A32E0A"/>
    <w:rsid w:val="00A33A08"/>
    <w:rsid w:val="00A33B86"/>
    <w:rsid w:val="00A34308"/>
    <w:rsid w:val="00A3440B"/>
    <w:rsid w:val="00A34907"/>
    <w:rsid w:val="00A35104"/>
    <w:rsid w:val="00A35577"/>
    <w:rsid w:val="00A357C6"/>
    <w:rsid w:val="00A36360"/>
    <w:rsid w:val="00A3683C"/>
    <w:rsid w:val="00A36B23"/>
    <w:rsid w:val="00A37A64"/>
    <w:rsid w:val="00A4118B"/>
    <w:rsid w:val="00A41243"/>
    <w:rsid w:val="00A41C28"/>
    <w:rsid w:val="00A42121"/>
    <w:rsid w:val="00A4288A"/>
    <w:rsid w:val="00A42954"/>
    <w:rsid w:val="00A429EB"/>
    <w:rsid w:val="00A42FCB"/>
    <w:rsid w:val="00A43342"/>
    <w:rsid w:val="00A43B1E"/>
    <w:rsid w:val="00A448E9"/>
    <w:rsid w:val="00A44BEA"/>
    <w:rsid w:val="00A44C46"/>
    <w:rsid w:val="00A453C3"/>
    <w:rsid w:val="00A4579B"/>
    <w:rsid w:val="00A459CC"/>
    <w:rsid w:val="00A47035"/>
    <w:rsid w:val="00A4736D"/>
    <w:rsid w:val="00A47567"/>
    <w:rsid w:val="00A47820"/>
    <w:rsid w:val="00A51A85"/>
    <w:rsid w:val="00A51AA6"/>
    <w:rsid w:val="00A522A6"/>
    <w:rsid w:val="00A52558"/>
    <w:rsid w:val="00A52830"/>
    <w:rsid w:val="00A52BC8"/>
    <w:rsid w:val="00A5392E"/>
    <w:rsid w:val="00A53A87"/>
    <w:rsid w:val="00A54352"/>
    <w:rsid w:val="00A54A77"/>
    <w:rsid w:val="00A54D9D"/>
    <w:rsid w:val="00A552FC"/>
    <w:rsid w:val="00A55578"/>
    <w:rsid w:val="00A56582"/>
    <w:rsid w:val="00A5668E"/>
    <w:rsid w:val="00A568EB"/>
    <w:rsid w:val="00A56A26"/>
    <w:rsid w:val="00A57475"/>
    <w:rsid w:val="00A60741"/>
    <w:rsid w:val="00A608C0"/>
    <w:rsid w:val="00A61F66"/>
    <w:rsid w:val="00A6205D"/>
    <w:rsid w:val="00A620E1"/>
    <w:rsid w:val="00A62143"/>
    <w:rsid w:val="00A626DD"/>
    <w:rsid w:val="00A62737"/>
    <w:rsid w:val="00A627D9"/>
    <w:rsid w:val="00A6360A"/>
    <w:rsid w:val="00A64442"/>
    <w:rsid w:val="00A64E2B"/>
    <w:rsid w:val="00A65397"/>
    <w:rsid w:val="00A654F0"/>
    <w:rsid w:val="00A673C8"/>
    <w:rsid w:val="00A72CF3"/>
    <w:rsid w:val="00A73742"/>
    <w:rsid w:val="00A73D8A"/>
    <w:rsid w:val="00A74330"/>
    <w:rsid w:val="00A746AF"/>
    <w:rsid w:val="00A747EF"/>
    <w:rsid w:val="00A74C9F"/>
    <w:rsid w:val="00A753F5"/>
    <w:rsid w:val="00A75A4D"/>
    <w:rsid w:val="00A765A7"/>
    <w:rsid w:val="00A76A7D"/>
    <w:rsid w:val="00A76E39"/>
    <w:rsid w:val="00A778C7"/>
    <w:rsid w:val="00A80836"/>
    <w:rsid w:val="00A80BA0"/>
    <w:rsid w:val="00A80CFC"/>
    <w:rsid w:val="00A8146E"/>
    <w:rsid w:val="00A81E06"/>
    <w:rsid w:val="00A81FC8"/>
    <w:rsid w:val="00A82A03"/>
    <w:rsid w:val="00A82CE5"/>
    <w:rsid w:val="00A83642"/>
    <w:rsid w:val="00A83EA5"/>
    <w:rsid w:val="00A84C55"/>
    <w:rsid w:val="00A85634"/>
    <w:rsid w:val="00A8657B"/>
    <w:rsid w:val="00A872E9"/>
    <w:rsid w:val="00A90B0B"/>
    <w:rsid w:val="00A92744"/>
    <w:rsid w:val="00A92E1E"/>
    <w:rsid w:val="00A93351"/>
    <w:rsid w:val="00A9496D"/>
    <w:rsid w:val="00A95A28"/>
    <w:rsid w:val="00A95A55"/>
    <w:rsid w:val="00A96FDC"/>
    <w:rsid w:val="00A97526"/>
    <w:rsid w:val="00A97721"/>
    <w:rsid w:val="00AA02B0"/>
    <w:rsid w:val="00AA172B"/>
    <w:rsid w:val="00AA1963"/>
    <w:rsid w:val="00AA1C5E"/>
    <w:rsid w:val="00AA1E44"/>
    <w:rsid w:val="00AA2514"/>
    <w:rsid w:val="00AA30E1"/>
    <w:rsid w:val="00AA3436"/>
    <w:rsid w:val="00AA374D"/>
    <w:rsid w:val="00AA38BB"/>
    <w:rsid w:val="00AA3911"/>
    <w:rsid w:val="00AA42B3"/>
    <w:rsid w:val="00AA4D00"/>
    <w:rsid w:val="00AA4DF9"/>
    <w:rsid w:val="00AA6ACA"/>
    <w:rsid w:val="00AA6B7B"/>
    <w:rsid w:val="00AA6FB7"/>
    <w:rsid w:val="00AA735C"/>
    <w:rsid w:val="00AA73FC"/>
    <w:rsid w:val="00AB0E29"/>
    <w:rsid w:val="00AB11B9"/>
    <w:rsid w:val="00AB2BC7"/>
    <w:rsid w:val="00AB390E"/>
    <w:rsid w:val="00AB4538"/>
    <w:rsid w:val="00AB485B"/>
    <w:rsid w:val="00AB4A96"/>
    <w:rsid w:val="00AB4DB1"/>
    <w:rsid w:val="00AB546C"/>
    <w:rsid w:val="00AB5D08"/>
    <w:rsid w:val="00AB69AC"/>
    <w:rsid w:val="00AB77C8"/>
    <w:rsid w:val="00AB7F36"/>
    <w:rsid w:val="00AB7FAE"/>
    <w:rsid w:val="00AC0A42"/>
    <w:rsid w:val="00AC0D23"/>
    <w:rsid w:val="00AC1500"/>
    <w:rsid w:val="00AC1A37"/>
    <w:rsid w:val="00AC1C96"/>
    <w:rsid w:val="00AC1EBF"/>
    <w:rsid w:val="00AC257F"/>
    <w:rsid w:val="00AC28E1"/>
    <w:rsid w:val="00AC2F4B"/>
    <w:rsid w:val="00AC3FC5"/>
    <w:rsid w:val="00AC402C"/>
    <w:rsid w:val="00AC4692"/>
    <w:rsid w:val="00AC4F04"/>
    <w:rsid w:val="00AC7F96"/>
    <w:rsid w:val="00AD11DC"/>
    <w:rsid w:val="00AD22B9"/>
    <w:rsid w:val="00AD23A3"/>
    <w:rsid w:val="00AD2BCC"/>
    <w:rsid w:val="00AD2E2C"/>
    <w:rsid w:val="00AD2FE9"/>
    <w:rsid w:val="00AD3124"/>
    <w:rsid w:val="00AD3EC9"/>
    <w:rsid w:val="00AD4CEF"/>
    <w:rsid w:val="00AD5121"/>
    <w:rsid w:val="00AD6FED"/>
    <w:rsid w:val="00AD79EF"/>
    <w:rsid w:val="00AE01A3"/>
    <w:rsid w:val="00AE0B0B"/>
    <w:rsid w:val="00AE12ED"/>
    <w:rsid w:val="00AE1A84"/>
    <w:rsid w:val="00AE2571"/>
    <w:rsid w:val="00AE33DF"/>
    <w:rsid w:val="00AE33F8"/>
    <w:rsid w:val="00AE3B41"/>
    <w:rsid w:val="00AE3D0C"/>
    <w:rsid w:val="00AE52A3"/>
    <w:rsid w:val="00AE5AA1"/>
    <w:rsid w:val="00AE5BBC"/>
    <w:rsid w:val="00AE6006"/>
    <w:rsid w:val="00AE69AC"/>
    <w:rsid w:val="00AE71AB"/>
    <w:rsid w:val="00AE71F1"/>
    <w:rsid w:val="00AF0514"/>
    <w:rsid w:val="00AF0CBA"/>
    <w:rsid w:val="00AF1FE5"/>
    <w:rsid w:val="00AF3030"/>
    <w:rsid w:val="00AF303C"/>
    <w:rsid w:val="00AF31DF"/>
    <w:rsid w:val="00AF35BE"/>
    <w:rsid w:val="00AF3CCF"/>
    <w:rsid w:val="00AF3E35"/>
    <w:rsid w:val="00AF449A"/>
    <w:rsid w:val="00AF450B"/>
    <w:rsid w:val="00AF4986"/>
    <w:rsid w:val="00AF4CAD"/>
    <w:rsid w:val="00AF64B9"/>
    <w:rsid w:val="00AF64C3"/>
    <w:rsid w:val="00AF778A"/>
    <w:rsid w:val="00AF79A3"/>
    <w:rsid w:val="00AF7E81"/>
    <w:rsid w:val="00B00073"/>
    <w:rsid w:val="00B009E7"/>
    <w:rsid w:val="00B00A7B"/>
    <w:rsid w:val="00B00B2B"/>
    <w:rsid w:val="00B00B36"/>
    <w:rsid w:val="00B00E19"/>
    <w:rsid w:val="00B01AFD"/>
    <w:rsid w:val="00B03616"/>
    <w:rsid w:val="00B03CA8"/>
    <w:rsid w:val="00B04B31"/>
    <w:rsid w:val="00B04BD4"/>
    <w:rsid w:val="00B04F0F"/>
    <w:rsid w:val="00B05430"/>
    <w:rsid w:val="00B054A2"/>
    <w:rsid w:val="00B055DC"/>
    <w:rsid w:val="00B05CB1"/>
    <w:rsid w:val="00B05D89"/>
    <w:rsid w:val="00B0623B"/>
    <w:rsid w:val="00B07071"/>
    <w:rsid w:val="00B075E7"/>
    <w:rsid w:val="00B075FE"/>
    <w:rsid w:val="00B07739"/>
    <w:rsid w:val="00B07C9A"/>
    <w:rsid w:val="00B07EB5"/>
    <w:rsid w:val="00B102E7"/>
    <w:rsid w:val="00B1052E"/>
    <w:rsid w:val="00B1062C"/>
    <w:rsid w:val="00B107CA"/>
    <w:rsid w:val="00B11D8B"/>
    <w:rsid w:val="00B11EA6"/>
    <w:rsid w:val="00B12C1D"/>
    <w:rsid w:val="00B1311A"/>
    <w:rsid w:val="00B14239"/>
    <w:rsid w:val="00B142BE"/>
    <w:rsid w:val="00B146FC"/>
    <w:rsid w:val="00B14AD8"/>
    <w:rsid w:val="00B156AE"/>
    <w:rsid w:val="00B158E3"/>
    <w:rsid w:val="00B15D47"/>
    <w:rsid w:val="00B15F6E"/>
    <w:rsid w:val="00B16F15"/>
    <w:rsid w:val="00B16F29"/>
    <w:rsid w:val="00B1768D"/>
    <w:rsid w:val="00B1768E"/>
    <w:rsid w:val="00B21141"/>
    <w:rsid w:val="00B21315"/>
    <w:rsid w:val="00B22799"/>
    <w:rsid w:val="00B24F27"/>
    <w:rsid w:val="00B25028"/>
    <w:rsid w:val="00B25840"/>
    <w:rsid w:val="00B26284"/>
    <w:rsid w:val="00B26481"/>
    <w:rsid w:val="00B2676C"/>
    <w:rsid w:val="00B309FA"/>
    <w:rsid w:val="00B31107"/>
    <w:rsid w:val="00B31C46"/>
    <w:rsid w:val="00B31FA3"/>
    <w:rsid w:val="00B326AD"/>
    <w:rsid w:val="00B32765"/>
    <w:rsid w:val="00B329D2"/>
    <w:rsid w:val="00B32F75"/>
    <w:rsid w:val="00B33A99"/>
    <w:rsid w:val="00B341D9"/>
    <w:rsid w:val="00B34961"/>
    <w:rsid w:val="00B34BEA"/>
    <w:rsid w:val="00B35448"/>
    <w:rsid w:val="00B36EDF"/>
    <w:rsid w:val="00B37346"/>
    <w:rsid w:val="00B379F3"/>
    <w:rsid w:val="00B404F6"/>
    <w:rsid w:val="00B40980"/>
    <w:rsid w:val="00B4119A"/>
    <w:rsid w:val="00B4120B"/>
    <w:rsid w:val="00B4212B"/>
    <w:rsid w:val="00B42BD8"/>
    <w:rsid w:val="00B43128"/>
    <w:rsid w:val="00B4362B"/>
    <w:rsid w:val="00B43C9C"/>
    <w:rsid w:val="00B44912"/>
    <w:rsid w:val="00B44AB3"/>
    <w:rsid w:val="00B45E97"/>
    <w:rsid w:val="00B47C34"/>
    <w:rsid w:val="00B50052"/>
    <w:rsid w:val="00B50768"/>
    <w:rsid w:val="00B50B47"/>
    <w:rsid w:val="00B50ED4"/>
    <w:rsid w:val="00B5102C"/>
    <w:rsid w:val="00B51109"/>
    <w:rsid w:val="00B5110E"/>
    <w:rsid w:val="00B52B9B"/>
    <w:rsid w:val="00B53459"/>
    <w:rsid w:val="00B55612"/>
    <w:rsid w:val="00B55EED"/>
    <w:rsid w:val="00B56AEF"/>
    <w:rsid w:val="00B56CD5"/>
    <w:rsid w:val="00B60D23"/>
    <w:rsid w:val="00B626F4"/>
    <w:rsid w:val="00B62B12"/>
    <w:rsid w:val="00B62EFE"/>
    <w:rsid w:val="00B63605"/>
    <w:rsid w:val="00B63B3A"/>
    <w:rsid w:val="00B64FCC"/>
    <w:rsid w:val="00B65636"/>
    <w:rsid w:val="00B662C2"/>
    <w:rsid w:val="00B67442"/>
    <w:rsid w:val="00B67AEF"/>
    <w:rsid w:val="00B67D45"/>
    <w:rsid w:val="00B67F05"/>
    <w:rsid w:val="00B700BA"/>
    <w:rsid w:val="00B70213"/>
    <w:rsid w:val="00B71FB4"/>
    <w:rsid w:val="00B723BE"/>
    <w:rsid w:val="00B72817"/>
    <w:rsid w:val="00B747F3"/>
    <w:rsid w:val="00B75101"/>
    <w:rsid w:val="00B75755"/>
    <w:rsid w:val="00B762EA"/>
    <w:rsid w:val="00B766C0"/>
    <w:rsid w:val="00B76E5B"/>
    <w:rsid w:val="00B76F31"/>
    <w:rsid w:val="00B77073"/>
    <w:rsid w:val="00B77574"/>
    <w:rsid w:val="00B8027B"/>
    <w:rsid w:val="00B81152"/>
    <w:rsid w:val="00B827E5"/>
    <w:rsid w:val="00B8281B"/>
    <w:rsid w:val="00B82987"/>
    <w:rsid w:val="00B82AD5"/>
    <w:rsid w:val="00B84034"/>
    <w:rsid w:val="00B843F6"/>
    <w:rsid w:val="00B846AC"/>
    <w:rsid w:val="00B84B0E"/>
    <w:rsid w:val="00B85355"/>
    <w:rsid w:val="00B85B86"/>
    <w:rsid w:val="00B86823"/>
    <w:rsid w:val="00B868F8"/>
    <w:rsid w:val="00B87273"/>
    <w:rsid w:val="00B87381"/>
    <w:rsid w:val="00B87507"/>
    <w:rsid w:val="00B877A0"/>
    <w:rsid w:val="00B87DB1"/>
    <w:rsid w:val="00B900C5"/>
    <w:rsid w:val="00B9011A"/>
    <w:rsid w:val="00B90A31"/>
    <w:rsid w:val="00B90A78"/>
    <w:rsid w:val="00B90EE6"/>
    <w:rsid w:val="00B91D62"/>
    <w:rsid w:val="00B92665"/>
    <w:rsid w:val="00B930BD"/>
    <w:rsid w:val="00B942EA"/>
    <w:rsid w:val="00B9448D"/>
    <w:rsid w:val="00B94B0F"/>
    <w:rsid w:val="00B9577E"/>
    <w:rsid w:val="00B957A9"/>
    <w:rsid w:val="00B95D32"/>
    <w:rsid w:val="00B9764C"/>
    <w:rsid w:val="00B97CDC"/>
    <w:rsid w:val="00BA0AF5"/>
    <w:rsid w:val="00BA112C"/>
    <w:rsid w:val="00BA20B6"/>
    <w:rsid w:val="00BA2CCD"/>
    <w:rsid w:val="00BA31DC"/>
    <w:rsid w:val="00BA4C21"/>
    <w:rsid w:val="00BA5462"/>
    <w:rsid w:val="00BA58A1"/>
    <w:rsid w:val="00BA5C7A"/>
    <w:rsid w:val="00BA6C82"/>
    <w:rsid w:val="00BA715E"/>
    <w:rsid w:val="00BA723E"/>
    <w:rsid w:val="00BA798C"/>
    <w:rsid w:val="00BA7BC3"/>
    <w:rsid w:val="00BA7E6C"/>
    <w:rsid w:val="00BB029A"/>
    <w:rsid w:val="00BB0767"/>
    <w:rsid w:val="00BB1389"/>
    <w:rsid w:val="00BB2184"/>
    <w:rsid w:val="00BB235D"/>
    <w:rsid w:val="00BB255A"/>
    <w:rsid w:val="00BB299C"/>
    <w:rsid w:val="00BB2E46"/>
    <w:rsid w:val="00BB2E96"/>
    <w:rsid w:val="00BB343C"/>
    <w:rsid w:val="00BB5E4D"/>
    <w:rsid w:val="00BB6A3A"/>
    <w:rsid w:val="00BB6BE5"/>
    <w:rsid w:val="00BB7095"/>
    <w:rsid w:val="00BB71CE"/>
    <w:rsid w:val="00BC10C4"/>
    <w:rsid w:val="00BC1534"/>
    <w:rsid w:val="00BC1984"/>
    <w:rsid w:val="00BC19C8"/>
    <w:rsid w:val="00BC1CFE"/>
    <w:rsid w:val="00BC2E51"/>
    <w:rsid w:val="00BC387B"/>
    <w:rsid w:val="00BC3A5F"/>
    <w:rsid w:val="00BC4156"/>
    <w:rsid w:val="00BC4448"/>
    <w:rsid w:val="00BC4911"/>
    <w:rsid w:val="00BC58B6"/>
    <w:rsid w:val="00BC5D57"/>
    <w:rsid w:val="00BC672B"/>
    <w:rsid w:val="00BC6A4B"/>
    <w:rsid w:val="00BC6D38"/>
    <w:rsid w:val="00BC71BB"/>
    <w:rsid w:val="00BC7277"/>
    <w:rsid w:val="00BC7513"/>
    <w:rsid w:val="00BD0772"/>
    <w:rsid w:val="00BD261E"/>
    <w:rsid w:val="00BD2C6D"/>
    <w:rsid w:val="00BD3D42"/>
    <w:rsid w:val="00BD3E5F"/>
    <w:rsid w:val="00BD5491"/>
    <w:rsid w:val="00BD6028"/>
    <w:rsid w:val="00BD6357"/>
    <w:rsid w:val="00BD68B1"/>
    <w:rsid w:val="00BD6D65"/>
    <w:rsid w:val="00BD71F8"/>
    <w:rsid w:val="00BD7A67"/>
    <w:rsid w:val="00BD7F60"/>
    <w:rsid w:val="00BE0979"/>
    <w:rsid w:val="00BE1BD4"/>
    <w:rsid w:val="00BE216B"/>
    <w:rsid w:val="00BE2210"/>
    <w:rsid w:val="00BE2642"/>
    <w:rsid w:val="00BE297C"/>
    <w:rsid w:val="00BE2B39"/>
    <w:rsid w:val="00BE30A5"/>
    <w:rsid w:val="00BE402C"/>
    <w:rsid w:val="00BE5D63"/>
    <w:rsid w:val="00BE62F5"/>
    <w:rsid w:val="00BE6909"/>
    <w:rsid w:val="00BE6A15"/>
    <w:rsid w:val="00BE6B0B"/>
    <w:rsid w:val="00BE6C1E"/>
    <w:rsid w:val="00BF0C10"/>
    <w:rsid w:val="00BF0CE0"/>
    <w:rsid w:val="00BF10AB"/>
    <w:rsid w:val="00BF15BC"/>
    <w:rsid w:val="00BF16E9"/>
    <w:rsid w:val="00BF2981"/>
    <w:rsid w:val="00BF30A8"/>
    <w:rsid w:val="00BF4A26"/>
    <w:rsid w:val="00BF4A5B"/>
    <w:rsid w:val="00BF53F7"/>
    <w:rsid w:val="00BF59E2"/>
    <w:rsid w:val="00BF666C"/>
    <w:rsid w:val="00BF68F5"/>
    <w:rsid w:val="00BF6D93"/>
    <w:rsid w:val="00C00296"/>
    <w:rsid w:val="00C00437"/>
    <w:rsid w:val="00C00E20"/>
    <w:rsid w:val="00C00EB6"/>
    <w:rsid w:val="00C0102A"/>
    <w:rsid w:val="00C019D8"/>
    <w:rsid w:val="00C02106"/>
    <w:rsid w:val="00C02590"/>
    <w:rsid w:val="00C03038"/>
    <w:rsid w:val="00C030B8"/>
    <w:rsid w:val="00C0476D"/>
    <w:rsid w:val="00C047D8"/>
    <w:rsid w:val="00C04D5F"/>
    <w:rsid w:val="00C04DA1"/>
    <w:rsid w:val="00C054C0"/>
    <w:rsid w:val="00C058CA"/>
    <w:rsid w:val="00C05AB5"/>
    <w:rsid w:val="00C05E1D"/>
    <w:rsid w:val="00C05F75"/>
    <w:rsid w:val="00C0601A"/>
    <w:rsid w:val="00C0673C"/>
    <w:rsid w:val="00C0778B"/>
    <w:rsid w:val="00C078AB"/>
    <w:rsid w:val="00C101EF"/>
    <w:rsid w:val="00C104F9"/>
    <w:rsid w:val="00C1094F"/>
    <w:rsid w:val="00C12281"/>
    <w:rsid w:val="00C12C9C"/>
    <w:rsid w:val="00C12F68"/>
    <w:rsid w:val="00C13581"/>
    <w:rsid w:val="00C13B76"/>
    <w:rsid w:val="00C146D1"/>
    <w:rsid w:val="00C14BAD"/>
    <w:rsid w:val="00C15681"/>
    <w:rsid w:val="00C15719"/>
    <w:rsid w:val="00C15768"/>
    <w:rsid w:val="00C157EB"/>
    <w:rsid w:val="00C15D45"/>
    <w:rsid w:val="00C15DAA"/>
    <w:rsid w:val="00C16005"/>
    <w:rsid w:val="00C16F96"/>
    <w:rsid w:val="00C1709E"/>
    <w:rsid w:val="00C17224"/>
    <w:rsid w:val="00C17D7C"/>
    <w:rsid w:val="00C204D5"/>
    <w:rsid w:val="00C20B47"/>
    <w:rsid w:val="00C20BFA"/>
    <w:rsid w:val="00C20C9D"/>
    <w:rsid w:val="00C21698"/>
    <w:rsid w:val="00C2236E"/>
    <w:rsid w:val="00C229EB"/>
    <w:rsid w:val="00C23322"/>
    <w:rsid w:val="00C23680"/>
    <w:rsid w:val="00C2397A"/>
    <w:rsid w:val="00C23FB1"/>
    <w:rsid w:val="00C245F0"/>
    <w:rsid w:val="00C2467B"/>
    <w:rsid w:val="00C2471B"/>
    <w:rsid w:val="00C254A3"/>
    <w:rsid w:val="00C25BA1"/>
    <w:rsid w:val="00C25EB0"/>
    <w:rsid w:val="00C26280"/>
    <w:rsid w:val="00C26607"/>
    <w:rsid w:val="00C26733"/>
    <w:rsid w:val="00C2777A"/>
    <w:rsid w:val="00C2797E"/>
    <w:rsid w:val="00C30F1D"/>
    <w:rsid w:val="00C31136"/>
    <w:rsid w:val="00C3205A"/>
    <w:rsid w:val="00C32674"/>
    <w:rsid w:val="00C32D22"/>
    <w:rsid w:val="00C337AD"/>
    <w:rsid w:val="00C34511"/>
    <w:rsid w:val="00C34C28"/>
    <w:rsid w:val="00C35699"/>
    <w:rsid w:val="00C35AC3"/>
    <w:rsid w:val="00C35B4A"/>
    <w:rsid w:val="00C367B6"/>
    <w:rsid w:val="00C36877"/>
    <w:rsid w:val="00C36A88"/>
    <w:rsid w:val="00C36E69"/>
    <w:rsid w:val="00C37CFE"/>
    <w:rsid w:val="00C40279"/>
    <w:rsid w:val="00C4036E"/>
    <w:rsid w:val="00C41742"/>
    <w:rsid w:val="00C4178B"/>
    <w:rsid w:val="00C421AA"/>
    <w:rsid w:val="00C42262"/>
    <w:rsid w:val="00C42B28"/>
    <w:rsid w:val="00C438AD"/>
    <w:rsid w:val="00C4466F"/>
    <w:rsid w:val="00C44AEC"/>
    <w:rsid w:val="00C474E5"/>
    <w:rsid w:val="00C477B1"/>
    <w:rsid w:val="00C501CC"/>
    <w:rsid w:val="00C50EDE"/>
    <w:rsid w:val="00C5153E"/>
    <w:rsid w:val="00C515C1"/>
    <w:rsid w:val="00C51920"/>
    <w:rsid w:val="00C51D23"/>
    <w:rsid w:val="00C5239A"/>
    <w:rsid w:val="00C52865"/>
    <w:rsid w:val="00C5293B"/>
    <w:rsid w:val="00C52B00"/>
    <w:rsid w:val="00C53088"/>
    <w:rsid w:val="00C530F4"/>
    <w:rsid w:val="00C5325D"/>
    <w:rsid w:val="00C53F0F"/>
    <w:rsid w:val="00C54776"/>
    <w:rsid w:val="00C552AB"/>
    <w:rsid w:val="00C552DA"/>
    <w:rsid w:val="00C55508"/>
    <w:rsid w:val="00C55DCC"/>
    <w:rsid w:val="00C569CC"/>
    <w:rsid w:val="00C56C2E"/>
    <w:rsid w:val="00C575E5"/>
    <w:rsid w:val="00C57912"/>
    <w:rsid w:val="00C60038"/>
    <w:rsid w:val="00C600C9"/>
    <w:rsid w:val="00C60102"/>
    <w:rsid w:val="00C605C8"/>
    <w:rsid w:val="00C61E22"/>
    <w:rsid w:val="00C61F34"/>
    <w:rsid w:val="00C6257A"/>
    <w:rsid w:val="00C640BC"/>
    <w:rsid w:val="00C6427E"/>
    <w:rsid w:val="00C649ED"/>
    <w:rsid w:val="00C64B10"/>
    <w:rsid w:val="00C64BE9"/>
    <w:rsid w:val="00C65643"/>
    <w:rsid w:val="00C66455"/>
    <w:rsid w:val="00C66A28"/>
    <w:rsid w:val="00C67866"/>
    <w:rsid w:val="00C67C70"/>
    <w:rsid w:val="00C70457"/>
    <w:rsid w:val="00C7049C"/>
    <w:rsid w:val="00C705CD"/>
    <w:rsid w:val="00C70672"/>
    <w:rsid w:val="00C70B50"/>
    <w:rsid w:val="00C71E3E"/>
    <w:rsid w:val="00C723FA"/>
    <w:rsid w:val="00C7375E"/>
    <w:rsid w:val="00C738C7"/>
    <w:rsid w:val="00C73DA7"/>
    <w:rsid w:val="00C74727"/>
    <w:rsid w:val="00C74EE8"/>
    <w:rsid w:val="00C75302"/>
    <w:rsid w:val="00C7551A"/>
    <w:rsid w:val="00C75808"/>
    <w:rsid w:val="00C75E6A"/>
    <w:rsid w:val="00C76498"/>
    <w:rsid w:val="00C76A01"/>
    <w:rsid w:val="00C76B8D"/>
    <w:rsid w:val="00C77079"/>
    <w:rsid w:val="00C77753"/>
    <w:rsid w:val="00C80233"/>
    <w:rsid w:val="00C804B3"/>
    <w:rsid w:val="00C81D8B"/>
    <w:rsid w:val="00C81E4C"/>
    <w:rsid w:val="00C82F8E"/>
    <w:rsid w:val="00C839A0"/>
    <w:rsid w:val="00C83BB8"/>
    <w:rsid w:val="00C83F0E"/>
    <w:rsid w:val="00C843DC"/>
    <w:rsid w:val="00C844E8"/>
    <w:rsid w:val="00C84944"/>
    <w:rsid w:val="00C849DC"/>
    <w:rsid w:val="00C86287"/>
    <w:rsid w:val="00C87655"/>
    <w:rsid w:val="00C904F8"/>
    <w:rsid w:val="00C91320"/>
    <w:rsid w:val="00C91C66"/>
    <w:rsid w:val="00C926BE"/>
    <w:rsid w:val="00C92A09"/>
    <w:rsid w:val="00C92A4B"/>
    <w:rsid w:val="00C92EAE"/>
    <w:rsid w:val="00C92FB5"/>
    <w:rsid w:val="00C944DF"/>
    <w:rsid w:val="00C94525"/>
    <w:rsid w:val="00C95355"/>
    <w:rsid w:val="00C956CD"/>
    <w:rsid w:val="00C96A32"/>
    <w:rsid w:val="00C97041"/>
    <w:rsid w:val="00C97765"/>
    <w:rsid w:val="00C97C2F"/>
    <w:rsid w:val="00C97EBE"/>
    <w:rsid w:val="00CA05E7"/>
    <w:rsid w:val="00CA081B"/>
    <w:rsid w:val="00CA1F11"/>
    <w:rsid w:val="00CA26A2"/>
    <w:rsid w:val="00CA2A5F"/>
    <w:rsid w:val="00CA31B7"/>
    <w:rsid w:val="00CA35E8"/>
    <w:rsid w:val="00CA41F0"/>
    <w:rsid w:val="00CA5E63"/>
    <w:rsid w:val="00CA7259"/>
    <w:rsid w:val="00CA7458"/>
    <w:rsid w:val="00CA79AE"/>
    <w:rsid w:val="00CA7EE9"/>
    <w:rsid w:val="00CB03BC"/>
    <w:rsid w:val="00CB114C"/>
    <w:rsid w:val="00CB1327"/>
    <w:rsid w:val="00CB1FF8"/>
    <w:rsid w:val="00CB25FF"/>
    <w:rsid w:val="00CB2934"/>
    <w:rsid w:val="00CB3238"/>
    <w:rsid w:val="00CB3462"/>
    <w:rsid w:val="00CB372F"/>
    <w:rsid w:val="00CB3AED"/>
    <w:rsid w:val="00CB44A8"/>
    <w:rsid w:val="00CB4538"/>
    <w:rsid w:val="00CB5308"/>
    <w:rsid w:val="00CB55EB"/>
    <w:rsid w:val="00CB5918"/>
    <w:rsid w:val="00CB654C"/>
    <w:rsid w:val="00CB6887"/>
    <w:rsid w:val="00CB6EEC"/>
    <w:rsid w:val="00CB72B0"/>
    <w:rsid w:val="00CC0EE9"/>
    <w:rsid w:val="00CC1755"/>
    <w:rsid w:val="00CC19D2"/>
    <w:rsid w:val="00CC1C41"/>
    <w:rsid w:val="00CC1DA3"/>
    <w:rsid w:val="00CC392B"/>
    <w:rsid w:val="00CC4B95"/>
    <w:rsid w:val="00CC4D74"/>
    <w:rsid w:val="00CC5319"/>
    <w:rsid w:val="00CC545B"/>
    <w:rsid w:val="00CC6496"/>
    <w:rsid w:val="00CC6710"/>
    <w:rsid w:val="00CC72D5"/>
    <w:rsid w:val="00CC73FF"/>
    <w:rsid w:val="00CC7C6F"/>
    <w:rsid w:val="00CD017A"/>
    <w:rsid w:val="00CD0839"/>
    <w:rsid w:val="00CD08D9"/>
    <w:rsid w:val="00CD0DF3"/>
    <w:rsid w:val="00CD0F68"/>
    <w:rsid w:val="00CD12D4"/>
    <w:rsid w:val="00CD1F4A"/>
    <w:rsid w:val="00CD21FC"/>
    <w:rsid w:val="00CD245C"/>
    <w:rsid w:val="00CD2742"/>
    <w:rsid w:val="00CD2AC2"/>
    <w:rsid w:val="00CD3372"/>
    <w:rsid w:val="00CD4C3E"/>
    <w:rsid w:val="00CD5E6D"/>
    <w:rsid w:val="00CD712B"/>
    <w:rsid w:val="00CD75E5"/>
    <w:rsid w:val="00CD75FE"/>
    <w:rsid w:val="00CD7C39"/>
    <w:rsid w:val="00CE001C"/>
    <w:rsid w:val="00CE002E"/>
    <w:rsid w:val="00CE00F1"/>
    <w:rsid w:val="00CE07CD"/>
    <w:rsid w:val="00CE1613"/>
    <w:rsid w:val="00CE1732"/>
    <w:rsid w:val="00CE1880"/>
    <w:rsid w:val="00CE1EAF"/>
    <w:rsid w:val="00CE206E"/>
    <w:rsid w:val="00CE21DC"/>
    <w:rsid w:val="00CE22C0"/>
    <w:rsid w:val="00CE2A95"/>
    <w:rsid w:val="00CE3249"/>
    <w:rsid w:val="00CE39F8"/>
    <w:rsid w:val="00CE3D5C"/>
    <w:rsid w:val="00CE3F6B"/>
    <w:rsid w:val="00CE5595"/>
    <w:rsid w:val="00CE65DF"/>
    <w:rsid w:val="00CE6ADC"/>
    <w:rsid w:val="00CE6C64"/>
    <w:rsid w:val="00CE6FB2"/>
    <w:rsid w:val="00CE72DD"/>
    <w:rsid w:val="00CE781A"/>
    <w:rsid w:val="00CE7AF6"/>
    <w:rsid w:val="00CE7CD2"/>
    <w:rsid w:val="00CF02AA"/>
    <w:rsid w:val="00CF10AF"/>
    <w:rsid w:val="00CF1787"/>
    <w:rsid w:val="00CF19A2"/>
    <w:rsid w:val="00CF19EE"/>
    <w:rsid w:val="00CF1A5B"/>
    <w:rsid w:val="00CF1AEC"/>
    <w:rsid w:val="00CF31CB"/>
    <w:rsid w:val="00CF33DD"/>
    <w:rsid w:val="00CF38CA"/>
    <w:rsid w:val="00CF4A4C"/>
    <w:rsid w:val="00CF5850"/>
    <w:rsid w:val="00CF58BE"/>
    <w:rsid w:val="00CF6220"/>
    <w:rsid w:val="00CF6435"/>
    <w:rsid w:val="00CF6FF2"/>
    <w:rsid w:val="00D012E9"/>
    <w:rsid w:val="00D01823"/>
    <w:rsid w:val="00D01E95"/>
    <w:rsid w:val="00D02315"/>
    <w:rsid w:val="00D028D8"/>
    <w:rsid w:val="00D028DB"/>
    <w:rsid w:val="00D0331E"/>
    <w:rsid w:val="00D03798"/>
    <w:rsid w:val="00D03806"/>
    <w:rsid w:val="00D03CD6"/>
    <w:rsid w:val="00D04516"/>
    <w:rsid w:val="00D04777"/>
    <w:rsid w:val="00D04DAB"/>
    <w:rsid w:val="00D0505C"/>
    <w:rsid w:val="00D05349"/>
    <w:rsid w:val="00D0605A"/>
    <w:rsid w:val="00D065B4"/>
    <w:rsid w:val="00D0773A"/>
    <w:rsid w:val="00D1016B"/>
    <w:rsid w:val="00D10E14"/>
    <w:rsid w:val="00D11752"/>
    <w:rsid w:val="00D11AF6"/>
    <w:rsid w:val="00D1260B"/>
    <w:rsid w:val="00D13DD3"/>
    <w:rsid w:val="00D145CA"/>
    <w:rsid w:val="00D157AE"/>
    <w:rsid w:val="00D15B04"/>
    <w:rsid w:val="00D15FC7"/>
    <w:rsid w:val="00D16778"/>
    <w:rsid w:val="00D207E6"/>
    <w:rsid w:val="00D2167B"/>
    <w:rsid w:val="00D21741"/>
    <w:rsid w:val="00D217AE"/>
    <w:rsid w:val="00D21B27"/>
    <w:rsid w:val="00D21B29"/>
    <w:rsid w:val="00D2368A"/>
    <w:rsid w:val="00D241E0"/>
    <w:rsid w:val="00D24793"/>
    <w:rsid w:val="00D24C41"/>
    <w:rsid w:val="00D24DF4"/>
    <w:rsid w:val="00D24F5B"/>
    <w:rsid w:val="00D25022"/>
    <w:rsid w:val="00D25A1C"/>
    <w:rsid w:val="00D25F7D"/>
    <w:rsid w:val="00D26219"/>
    <w:rsid w:val="00D26240"/>
    <w:rsid w:val="00D2628A"/>
    <w:rsid w:val="00D26EC3"/>
    <w:rsid w:val="00D27243"/>
    <w:rsid w:val="00D30635"/>
    <w:rsid w:val="00D3080D"/>
    <w:rsid w:val="00D30B56"/>
    <w:rsid w:val="00D31280"/>
    <w:rsid w:val="00D328F5"/>
    <w:rsid w:val="00D33437"/>
    <w:rsid w:val="00D33676"/>
    <w:rsid w:val="00D33ADA"/>
    <w:rsid w:val="00D3561C"/>
    <w:rsid w:val="00D35778"/>
    <w:rsid w:val="00D35C22"/>
    <w:rsid w:val="00D36578"/>
    <w:rsid w:val="00D36A74"/>
    <w:rsid w:val="00D37941"/>
    <w:rsid w:val="00D401CE"/>
    <w:rsid w:val="00D405F9"/>
    <w:rsid w:val="00D40633"/>
    <w:rsid w:val="00D40D03"/>
    <w:rsid w:val="00D41133"/>
    <w:rsid w:val="00D41B71"/>
    <w:rsid w:val="00D42973"/>
    <w:rsid w:val="00D4390A"/>
    <w:rsid w:val="00D43947"/>
    <w:rsid w:val="00D43A4E"/>
    <w:rsid w:val="00D43B40"/>
    <w:rsid w:val="00D43F64"/>
    <w:rsid w:val="00D4426C"/>
    <w:rsid w:val="00D44357"/>
    <w:rsid w:val="00D4443A"/>
    <w:rsid w:val="00D44AF9"/>
    <w:rsid w:val="00D44B2C"/>
    <w:rsid w:val="00D45736"/>
    <w:rsid w:val="00D45CF3"/>
    <w:rsid w:val="00D45D77"/>
    <w:rsid w:val="00D460C2"/>
    <w:rsid w:val="00D46978"/>
    <w:rsid w:val="00D47250"/>
    <w:rsid w:val="00D47F6F"/>
    <w:rsid w:val="00D50803"/>
    <w:rsid w:val="00D5105A"/>
    <w:rsid w:val="00D5238A"/>
    <w:rsid w:val="00D52729"/>
    <w:rsid w:val="00D531FB"/>
    <w:rsid w:val="00D53396"/>
    <w:rsid w:val="00D53541"/>
    <w:rsid w:val="00D5367F"/>
    <w:rsid w:val="00D53856"/>
    <w:rsid w:val="00D543D0"/>
    <w:rsid w:val="00D5489C"/>
    <w:rsid w:val="00D54A83"/>
    <w:rsid w:val="00D551FF"/>
    <w:rsid w:val="00D55557"/>
    <w:rsid w:val="00D55976"/>
    <w:rsid w:val="00D55E30"/>
    <w:rsid w:val="00D560A8"/>
    <w:rsid w:val="00D56681"/>
    <w:rsid w:val="00D569F6"/>
    <w:rsid w:val="00D571BF"/>
    <w:rsid w:val="00D576C7"/>
    <w:rsid w:val="00D57B45"/>
    <w:rsid w:val="00D57FDB"/>
    <w:rsid w:val="00D60377"/>
    <w:rsid w:val="00D6048C"/>
    <w:rsid w:val="00D615E0"/>
    <w:rsid w:val="00D636FD"/>
    <w:rsid w:val="00D63DDD"/>
    <w:rsid w:val="00D6440C"/>
    <w:rsid w:val="00D6453C"/>
    <w:rsid w:val="00D6455E"/>
    <w:rsid w:val="00D6493C"/>
    <w:rsid w:val="00D652F4"/>
    <w:rsid w:val="00D66A3B"/>
    <w:rsid w:val="00D67291"/>
    <w:rsid w:val="00D67875"/>
    <w:rsid w:val="00D701DD"/>
    <w:rsid w:val="00D70259"/>
    <w:rsid w:val="00D7103D"/>
    <w:rsid w:val="00D7139A"/>
    <w:rsid w:val="00D71CB4"/>
    <w:rsid w:val="00D7263D"/>
    <w:rsid w:val="00D73419"/>
    <w:rsid w:val="00D7368D"/>
    <w:rsid w:val="00D741AD"/>
    <w:rsid w:val="00D74344"/>
    <w:rsid w:val="00D74345"/>
    <w:rsid w:val="00D7442A"/>
    <w:rsid w:val="00D74D3E"/>
    <w:rsid w:val="00D75487"/>
    <w:rsid w:val="00D75714"/>
    <w:rsid w:val="00D76518"/>
    <w:rsid w:val="00D8070D"/>
    <w:rsid w:val="00D80B6F"/>
    <w:rsid w:val="00D819D9"/>
    <w:rsid w:val="00D83020"/>
    <w:rsid w:val="00D83E78"/>
    <w:rsid w:val="00D83F18"/>
    <w:rsid w:val="00D84166"/>
    <w:rsid w:val="00D847FD"/>
    <w:rsid w:val="00D84838"/>
    <w:rsid w:val="00D84876"/>
    <w:rsid w:val="00D857FC"/>
    <w:rsid w:val="00D85D91"/>
    <w:rsid w:val="00D85ECB"/>
    <w:rsid w:val="00D86686"/>
    <w:rsid w:val="00D8682E"/>
    <w:rsid w:val="00D8756D"/>
    <w:rsid w:val="00D879E3"/>
    <w:rsid w:val="00D87FA1"/>
    <w:rsid w:val="00D90542"/>
    <w:rsid w:val="00D90CAD"/>
    <w:rsid w:val="00D9128F"/>
    <w:rsid w:val="00D919CA"/>
    <w:rsid w:val="00D91E35"/>
    <w:rsid w:val="00D91EED"/>
    <w:rsid w:val="00D94E72"/>
    <w:rsid w:val="00D951AE"/>
    <w:rsid w:val="00D95286"/>
    <w:rsid w:val="00D95645"/>
    <w:rsid w:val="00D95822"/>
    <w:rsid w:val="00D96C73"/>
    <w:rsid w:val="00D97943"/>
    <w:rsid w:val="00DA0CFA"/>
    <w:rsid w:val="00DA0E21"/>
    <w:rsid w:val="00DA0E97"/>
    <w:rsid w:val="00DA274A"/>
    <w:rsid w:val="00DA3405"/>
    <w:rsid w:val="00DA3A00"/>
    <w:rsid w:val="00DA5586"/>
    <w:rsid w:val="00DA597F"/>
    <w:rsid w:val="00DA6160"/>
    <w:rsid w:val="00DA675C"/>
    <w:rsid w:val="00DA7770"/>
    <w:rsid w:val="00DA7F92"/>
    <w:rsid w:val="00DB0262"/>
    <w:rsid w:val="00DB0483"/>
    <w:rsid w:val="00DB0BF4"/>
    <w:rsid w:val="00DB1693"/>
    <w:rsid w:val="00DB16CB"/>
    <w:rsid w:val="00DB1EC2"/>
    <w:rsid w:val="00DB2A8D"/>
    <w:rsid w:val="00DB39A9"/>
    <w:rsid w:val="00DB3C0A"/>
    <w:rsid w:val="00DB4109"/>
    <w:rsid w:val="00DB642F"/>
    <w:rsid w:val="00DB6677"/>
    <w:rsid w:val="00DB6B96"/>
    <w:rsid w:val="00DB7421"/>
    <w:rsid w:val="00DB78BB"/>
    <w:rsid w:val="00DC0472"/>
    <w:rsid w:val="00DC158D"/>
    <w:rsid w:val="00DC16F3"/>
    <w:rsid w:val="00DC2198"/>
    <w:rsid w:val="00DC2903"/>
    <w:rsid w:val="00DC2BEF"/>
    <w:rsid w:val="00DC2DAD"/>
    <w:rsid w:val="00DC33BF"/>
    <w:rsid w:val="00DC3627"/>
    <w:rsid w:val="00DC40EE"/>
    <w:rsid w:val="00DC432F"/>
    <w:rsid w:val="00DC4A63"/>
    <w:rsid w:val="00DC57DC"/>
    <w:rsid w:val="00DC5987"/>
    <w:rsid w:val="00DC5D95"/>
    <w:rsid w:val="00DC5FAA"/>
    <w:rsid w:val="00DC6383"/>
    <w:rsid w:val="00DC68EF"/>
    <w:rsid w:val="00DC73D3"/>
    <w:rsid w:val="00DC7625"/>
    <w:rsid w:val="00DD0CD9"/>
    <w:rsid w:val="00DD10B1"/>
    <w:rsid w:val="00DD15D9"/>
    <w:rsid w:val="00DD1B61"/>
    <w:rsid w:val="00DD1E96"/>
    <w:rsid w:val="00DD2700"/>
    <w:rsid w:val="00DD281C"/>
    <w:rsid w:val="00DD2D24"/>
    <w:rsid w:val="00DD2FB7"/>
    <w:rsid w:val="00DD3415"/>
    <w:rsid w:val="00DD4AD3"/>
    <w:rsid w:val="00DD4B29"/>
    <w:rsid w:val="00DD4BA7"/>
    <w:rsid w:val="00DD5EDF"/>
    <w:rsid w:val="00DD6ABC"/>
    <w:rsid w:val="00DD6DE6"/>
    <w:rsid w:val="00DD74F9"/>
    <w:rsid w:val="00DD7A95"/>
    <w:rsid w:val="00DD7E67"/>
    <w:rsid w:val="00DE015A"/>
    <w:rsid w:val="00DE023C"/>
    <w:rsid w:val="00DE0584"/>
    <w:rsid w:val="00DE0738"/>
    <w:rsid w:val="00DE31B6"/>
    <w:rsid w:val="00DE4A56"/>
    <w:rsid w:val="00DE4D55"/>
    <w:rsid w:val="00DE56E8"/>
    <w:rsid w:val="00DE588D"/>
    <w:rsid w:val="00DE5E6B"/>
    <w:rsid w:val="00DE62A7"/>
    <w:rsid w:val="00DE6E39"/>
    <w:rsid w:val="00DE7357"/>
    <w:rsid w:val="00DE7CCD"/>
    <w:rsid w:val="00DF3164"/>
    <w:rsid w:val="00DF45DF"/>
    <w:rsid w:val="00DF493F"/>
    <w:rsid w:val="00DF4D0C"/>
    <w:rsid w:val="00DF57E5"/>
    <w:rsid w:val="00DF620F"/>
    <w:rsid w:val="00DF6782"/>
    <w:rsid w:val="00DF6D1D"/>
    <w:rsid w:val="00DF76F7"/>
    <w:rsid w:val="00E00658"/>
    <w:rsid w:val="00E011C5"/>
    <w:rsid w:val="00E01758"/>
    <w:rsid w:val="00E01A9A"/>
    <w:rsid w:val="00E021A0"/>
    <w:rsid w:val="00E029FF"/>
    <w:rsid w:val="00E03675"/>
    <w:rsid w:val="00E0406E"/>
    <w:rsid w:val="00E044FB"/>
    <w:rsid w:val="00E045AF"/>
    <w:rsid w:val="00E04732"/>
    <w:rsid w:val="00E04CCD"/>
    <w:rsid w:val="00E04E34"/>
    <w:rsid w:val="00E04EE5"/>
    <w:rsid w:val="00E053C3"/>
    <w:rsid w:val="00E055DA"/>
    <w:rsid w:val="00E06377"/>
    <w:rsid w:val="00E0745E"/>
    <w:rsid w:val="00E07F38"/>
    <w:rsid w:val="00E10565"/>
    <w:rsid w:val="00E10C6E"/>
    <w:rsid w:val="00E114BD"/>
    <w:rsid w:val="00E124CB"/>
    <w:rsid w:val="00E1264E"/>
    <w:rsid w:val="00E12ACB"/>
    <w:rsid w:val="00E14EA8"/>
    <w:rsid w:val="00E17555"/>
    <w:rsid w:val="00E17D29"/>
    <w:rsid w:val="00E17D43"/>
    <w:rsid w:val="00E20102"/>
    <w:rsid w:val="00E2036D"/>
    <w:rsid w:val="00E20956"/>
    <w:rsid w:val="00E212CD"/>
    <w:rsid w:val="00E214AD"/>
    <w:rsid w:val="00E2247A"/>
    <w:rsid w:val="00E224C8"/>
    <w:rsid w:val="00E2255A"/>
    <w:rsid w:val="00E243BC"/>
    <w:rsid w:val="00E24555"/>
    <w:rsid w:val="00E2483C"/>
    <w:rsid w:val="00E2548E"/>
    <w:rsid w:val="00E25D6B"/>
    <w:rsid w:val="00E2622D"/>
    <w:rsid w:val="00E26513"/>
    <w:rsid w:val="00E26524"/>
    <w:rsid w:val="00E26C5D"/>
    <w:rsid w:val="00E2772F"/>
    <w:rsid w:val="00E301FB"/>
    <w:rsid w:val="00E3023D"/>
    <w:rsid w:val="00E313F2"/>
    <w:rsid w:val="00E31DA1"/>
    <w:rsid w:val="00E32021"/>
    <w:rsid w:val="00E32A1C"/>
    <w:rsid w:val="00E33D58"/>
    <w:rsid w:val="00E3460B"/>
    <w:rsid w:val="00E3492F"/>
    <w:rsid w:val="00E349FB"/>
    <w:rsid w:val="00E35403"/>
    <w:rsid w:val="00E36445"/>
    <w:rsid w:val="00E3644F"/>
    <w:rsid w:val="00E36760"/>
    <w:rsid w:val="00E36B77"/>
    <w:rsid w:val="00E373B8"/>
    <w:rsid w:val="00E405D4"/>
    <w:rsid w:val="00E4084E"/>
    <w:rsid w:val="00E4131F"/>
    <w:rsid w:val="00E4430B"/>
    <w:rsid w:val="00E44A6C"/>
    <w:rsid w:val="00E44B97"/>
    <w:rsid w:val="00E44F9C"/>
    <w:rsid w:val="00E45B6B"/>
    <w:rsid w:val="00E464B9"/>
    <w:rsid w:val="00E47457"/>
    <w:rsid w:val="00E475CC"/>
    <w:rsid w:val="00E4766A"/>
    <w:rsid w:val="00E47CD8"/>
    <w:rsid w:val="00E507CE"/>
    <w:rsid w:val="00E50EF7"/>
    <w:rsid w:val="00E52D41"/>
    <w:rsid w:val="00E532D6"/>
    <w:rsid w:val="00E533CA"/>
    <w:rsid w:val="00E53414"/>
    <w:rsid w:val="00E535B3"/>
    <w:rsid w:val="00E536A8"/>
    <w:rsid w:val="00E53721"/>
    <w:rsid w:val="00E539EC"/>
    <w:rsid w:val="00E54923"/>
    <w:rsid w:val="00E549F4"/>
    <w:rsid w:val="00E57929"/>
    <w:rsid w:val="00E606B6"/>
    <w:rsid w:val="00E60822"/>
    <w:rsid w:val="00E60F6D"/>
    <w:rsid w:val="00E6176F"/>
    <w:rsid w:val="00E618ED"/>
    <w:rsid w:val="00E62C52"/>
    <w:rsid w:val="00E6331A"/>
    <w:rsid w:val="00E643F5"/>
    <w:rsid w:val="00E6449D"/>
    <w:rsid w:val="00E64EF2"/>
    <w:rsid w:val="00E6512C"/>
    <w:rsid w:val="00E6553C"/>
    <w:rsid w:val="00E6583C"/>
    <w:rsid w:val="00E65D73"/>
    <w:rsid w:val="00E661CC"/>
    <w:rsid w:val="00E6621D"/>
    <w:rsid w:val="00E6624F"/>
    <w:rsid w:val="00E66725"/>
    <w:rsid w:val="00E677C6"/>
    <w:rsid w:val="00E67888"/>
    <w:rsid w:val="00E67ED4"/>
    <w:rsid w:val="00E70516"/>
    <w:rsid w:val="00E70B2A"/>
    <w:rsid w:val="00E7100A"/>
    <w:rsid w:val="00E730DD"/>
    <w:rsid w:val="00E73673"/>
    <w:rsid w:val="00E7398A"/>
    <w:rsid w:val="00E746DB"/>
    <w:rsid w:val="00E74D11"/>
    <w:rsid w:val="00E7524D"/>
    <w:rsid w:val="00E75AD5"/>
    <w:rsid w:val="00E76318"/>
    <w:rsid w:val="00E76588"/>
    <w:rsid w:val="00E76600"/>
    <w:rsid w:val="00E80101"/>
    <w:rsid w:val="00E811FD"/>
    <w:rsid w:val="00E8255E"/>
    <w:rsid w:val="00E8268F"/>
    <w:rsid w:val="00E82E16"/>
    <w:rsid w:val="00E834AA"/>
    <w:rsid w:val="00E83909"/>
    <w:rsid w:val="00E83BC3"/>
    <w:rsid w:val="00E83DEB"/>
    <w:rsid w:val="00E85B4F"/>
    <w:rsid w:val="00E85C78"/>
    <w:rsid w:val="00E86296"/>
    <w:rsid w:val="00E865D9"/>
    <w:rsid w:val="00E86B6E"/>
    <w:rsid w:val="00E8759D"/>
    <w:rsid w:val="00E879A0"/>
    <w:rsid w:val="00E87B1C"/>
    <w:rsid w:val="00E87E6D"/>
    <w:rsid w:val="00E90341"/>
    <w:rsid w:val="00E903F0"/>
    <w:rsid w:val="00E9133D"/>
    <w:rsid w:val="00E91B9D"/>
    <w:rsid w:val="00E91F00"/>
    <w:rsid w:val="00E9205C"/>
    <w:rsid w:val="00E9301A"/>
    <w:rsid w:val="00E93096"/>
    <w:rsid w:val="00E9365B"/>
    <w:rsid w:val="00E93914"/>
    <w:rsid w:val="00E93926"/>
    <w:rsid w:val="00E9450A"/>
    <w:rsid w:val="00E96ACA"/>
    <w:rsid w:val="00E96C82"/>
    <w:rsid w:val="00E9726E"/>
    <w:rsid w:val="00E97949"/>
    <w:rsid w:val="00EA1D32"/>
    <w:rsid w:val="00EA29D5"/>
    <w:rsid w:val="00EA2C33"/>
    <w:rsid w:val="00EA2CB8"/>
    <w:rsid w:val="00EA32D4"/>
    <w:rsid w:val="00EA445E"/>
    <w:rsid w:val="00EA47A0"/>
    <w:rsid w:val="00EA4B35"/>
    <w:rsid w:val="00EA686F"/>
    <w:rsid w:val="00EA69C1"/>
    <w:rsid w:val="00EA6A42"/>
    <w:rsid w:val="00EA7509"/>
    <w:rsid w:val="00EA78AB"/>
    <w:rsid w:val="00EB0149"/>
    <w:rsid w:val="00EB02D9"/>
    <w:rsid w:val="00EB0374"/>
    <w:rsid w:val="00EB0C5F"/>
    <w:rsid w:val="00EB1D48"/>
    <w:rsid w:val="00EB25A7"/>
    <w:rsid w:val="00EB2A88"/>
    <w:rsid w:val="00EB2F77"/>
    <w:rsid w:val="00EB3AB0"/>
    <w:rsid w:val="00EB3CA6"/>
    <w:rsid w:val="00EB3EB4"/>
    <w:rsid w:val="00EB42C9"/>
    <w:rsid w:val="00EB47BB"/>
    <w:rsid w:val="00EB4C9C"/>
    <w:rsid w:val="00EB5122"/>
    <w:rsid w:val="00EB54C8"/>
    <w:rsid w:val="00EB5BFC"/>
    <w:rsid w:val="00EB62DE"/>
    <w:rsid w:val="00EB69AF"/>
    <w:rsid w:val="00EB7892"/>
    <w:rsid w:val="00EC14AC"/>
    <w:rsid w:val="00EC1589"/>
    <w:rsid w:val="00EC182C"/>
    <w:rsid w:val="00EC1F20"/>
    <w:rsid w:val="00EC26D5"/>
    <w:rsid w:val="00EC3869"/>
    <w:rsid w:val="00EC41F1"/>
    <w:rsid w:val="00EC471F"/>
    <w:rsid w:val="00EC4875"/>
    <w:rsid w:val="00EC4E5B"/>
    <w:rsid w:val="00EC5113"/>
    <w:rsid w:val="00EC5124"/>
    <w:rsid w:val="00EC5D47"/>
    <w:rsid w:val="00EC5E30"/>
    <w:rsid w:val="00EC7147"/>
    <w:rsid w:val="00EC7674"/>
    <w:rsid w:val="00EC7B4B"/>
    <w:rsid w:val="00EC7C76"/>
    <w:rsid w:val="00EC7E7D"/>
    <w:rsid w:val="00ED0D6A"/>
    <w:rsid w:val="00ED1255"/>
    <w:rsid w:val="00ED140B"/>
    <w:rsid w:val="00ED1557"/>
    <w:rsid w:val="00ED163B"/>
    <w:rsid w:val="00ED2451"/>
    <w:rsid w:val="00ED3274"/>
    <w:rsid w:val="00ED3292"/>
    <w:rsid w:val="00ED3ADC"/>
    <w:rsid w:val="00ED3C54"/>
    <w:rsid w:val="00ED3C8B"/>
    <w:rsid w:val="00ED4D57"/>
    <w:rsid w:val="00ED6A0E"/>
    <w:rsid w:val="00ED6AC4"/>
    <w:rsid w:val="00ED7DB9"/>
    <w:rsid w:val="00EE008C"/>
    <w:rsid w:val="00EE01AF"/>
    <w:rsid w:val="00EE0B2F"/>
    <w:rsid w:val="00EE1280"/>
    <w:rsid w:val="00EE1B2B"/>
    <w:rsid w:val="00EE1C1C"/>
    <w:rsid w:val="00EE1E7C"/>
    <w:rsid w:val="00EE202F"/>
    <w:rsid w:val="00EE233E"/>
    <w:rsid w:val="00EE2F99"/>
    <w:rsid w:val="00EE3EFB"/>
    <w:rsid w:val="00EE4100"/>
    <w:rsid w:val="00EE435E"/>
    <w:rsid w:val="00EE483E"/>
    <w:rsid w:val="00EE5DAA"/>
    <w:rsid w:val="00EE5E43"/>
    <w:rsid w:val="00EE6220"/>
    <w:rsid w:val="00EE68DE"/>
    <w:rsid w:val="00EE75BE"/>
    <w:rsid w:val="00EE793F"/>
    <w:rsid w:val="00EF08AF"/>
    <w:rsid w:val="00EF117F"/>
    <w:rsid w:val="00EF1A73"/>
    <w:rsid w:val="00EF2039"/>
    <w:rsid w:val="00EF28C3"/>
    <w:rsid w:val="00EF3FCB"/>
    <w:rsid w:val="00EF479A"/>
    <w:rsid w:val="00EF54C3"/>
    <w:rsid w:val="00EF6AA6"/>
    <w:rsid w:val="00EF6F5C"/>
    <w:rsid w:val="00EF7960"/>
    <w:rsid w:val="00EF7BEE"/>
    <w:rsid w:val="00F00593"/>
    <w:rsid w:val="00F00CFC"/>
    <w:rsid w:val="00F0100B"/>
    <w:rsid w:val="00F01671"/>
    <w:rsid w:val="00F01747"/>
    <w:rsid w:val="00F01D29"/>
    <w:rsid w:val="00F024DE"/>
    <w:rsid w:val="00F034CE"/>
    <w:rsid w:val="00F03BAA"/>
    <w:rsid w:val="00F04BCC"/>
    <w:rsid w:val="00F0554A"/>
    <w:rsid w:val="00F06967"/>
    <w:rsid w:val="00F06A3D"/>
    <w:rsid w:val="00F0757C"/>
    <w:rsid w:val="00F07DDB"/>
    <w:rsid w:val="00F07EE5"/>
    <w:rsid w:val="00F07F9C"/>
    <w:rsid w:val="00F1038E"/>
    <w:rsid w:val="00F104AA"/>
    <w:rsid w:val="00F110B7"/>
    <w:rsid w:val="00F1181B"/>
    <w:rsid w:val="00F1186B"/>
    <w:rsid w:val="00F12146"/>
    <w:rsid w:val="00F1297E"/>
    <w:rsid w:val="00F12C19"/>
    <w:rsid w:val="00F1371A"/>
    <w:rsid w:val="00F13958"/>
    <w:rsid w:val="00F13999"/>
    <w:rsid w:val="00F13B0D"/>
    <w:rsid w:val="00F143C8"/>
    <w:rsid w:val="00F15823"/>
    <w:rsid w:val="00F16DC3"/>
    <w:rsid w:val="00F16F46"/>
    <w:rsid w:val="00F1720B"/>
    <w:rsid w:val="00F2028E"/>
    <w:rsid w:val="00F20803"/>
    <w:rsid w:val="00F20FF5"/>
    <w:rsid w:val="00F2123C"/>
    <w:rsid w:val="00F2296D"/>
    <w:rsid w:val="00F235B2"/>
    <w:rsid w:val="00F23636"/>
    <w:rsid w:val="00F2383D"/>
    <w:rsid w:val="00F24967"/>
    <w:rsid w:val="00F24A58"/>
    <w:rsid w:val="00F25593"/>
    <w:rsid w:val="00F25E65"/>
    <w:rsid w:val="00F25E7D"/>
    <w:rsid w:val="00F267A9"/>
    <w:rsid w:val="00F26C92"/>
    <w:rsid w:val="00F2784F"/>
    <w:rsid w:val="00F30ABD"/>
    <w:rsid w:val="00F31515"/>
    <w:rsid w:val="00F32059"/>
    <w:rsid w:val="00F3278C"/>
    <w:rsid w:val="00F33F0B"/>
    <w:rsid w:val="00F3489B"/>
    <w:rsid w:val="00F34BE8"/>
    <w:rsid w:val="00F35D82"/>
    <w:rsid w:val="00F363AC"/>
    <w:rsid w:val="00F372B3"/>
    <w:rsid w:val="00F37511"/>
    <w:rsid w:val="00F3756D"/>
    <w:rsid w:val="00F400B4"/>
    <w:rsid w:val="00F4169A"/>
    <w:rsid w:val="00F41A6E"/>
    <w:rsid w:val="00F41D14"/>
    <w:rsid w:val="00F42955"/>
    <w:rsid w:val="00F42989"/>
    <w:rsid w:val="00F42B20"/>
    <w:rsid w:val="00F42D30"/>
    <w:rsid w:val="00F436BE"/>
    <w:rsid w:val="00F437BB"/>
    <w:rsid w:val="00F43AB3"/>
    <w:rsid w:val="00F43E38"/>
    <w:rsid w:val="00F44038"/>
    <w:rsid w:val="00F44B5A"/>
    <w:rsid w:val="00F44CFF"/>
    <w:rsid w:val="00F44F35"/>
    <w:rsid w:val="00F45389"/>
    <w:rsid w:val="00F456B5"/>
    <w:rsid w:val="00F45C6F"/>
    <w:rsid w:val="00F466CD"/>
    <w:rsid w:val="00F46B76"/>
    <w:rsid w:val="00F46DEB"/>
    <w:rsid w:val="00F47869"/>
    <w:rsid w:val="00F509DB"/>
    <w:rsid w:val="00F50DAA"/>
    <w:rsid w:val="00F51017"/>
    <w:rsid w:val="00F51209"/>
    <w:rsid w:val="00F53125"/>
    <w:rsid w:val="00F53A2F"/>
    <w:rsid w:val="00F5481A"/>
    <w:rsid w:val="00F54864"/>
    <w:rsid w:val="00F54A82"/>
    <w:rsid w:val="00F551BD"/>
    <w:rsid w:val="00F552AE"/>
    <w:rsid w:val="00F55348"/>
    <w:rsid w:val="00F553BD"/>
    <w:rsid w:val="00F55840"/>
    <w:rsid w:val="00F55FB6"/>
    <w:rsid w:val="00F56357"/>
    <w:rsid w:val="00F579E3"/>
    <w:rsid w:val="00F57AF2"/>
    <w:rsid w:val="00F57B2B"/>
    <w:rsid w:val="00F57FCE"/>
    <w:rsid w:val="00F60D3A"/>
    <w:rsid w:val="00F61AB2"/>
    <w:rsid w:val="00F622D1"/>
    <w:rsid w:val="00F62D57"/>
    <w:rsid w:val="00F63280"/>
    <w:rsid w:val="00F637BC"/>
    <w:rsid w:val="00F63A61"/>
    <w:rsid w:val="00F64427"/>
    <w:rsid w:val="00F64F4D"/>
    <w:rsid w:val="00F662F2"/>
    <w:rsid w:val="00F663E2"/>
    <w:rsid w:val="00F674BE"/>
    <w:rsid w:val="00F70256"/>
    <w:rsid w:val="00F70ABD"/>
    <w:rsid w:val="00F70B5A"/>
    <w:rsid w:val="00F7183B"/>
    <w:rsid w:val="00F72DD3"/>
    <w:rsid w:val="00F732C0"/>
    <w:rsid w:val="00F741DC"/>
    <w:rsid w:val="00F754C3"/>
    <w:rsid w:val="00F754F8"/>
    <w:rsid w:val="00F755E6"/>
    <w:rsid w:val="00F75B6B"/>
    <w:rsid w:val="00F75FDC"/>
    <w:rsid w:val="00F76AEC"/>
    <w:rsid w:val="00F77A49"/>
    <w:rsid w:val="00F80221"/>
    <w:rsid w:val="00F814DF"/>
    <w:rsid w:val="00F81979"/>
    <w:rsid w:val="00F82106"/>
    <w:rsid w:val="00F8285F"/>
    <w:rsid w:val="00F835BA"/>
    <w:rsid w:val="00F84530"/>
    <w:rsid w:val="00F84705"/>
    <w:rsid w:val="00F84AFD"/>
    <w:rsid w:val="00F84C16"/>
    <w:rsid w:val="00F8571F"/>
    <w:rsid w:val="00F87160"/>
    <w:rsid w:val="00F87585"/>
    <w:rsid w:val="00F9102B"/>
    <w:rsid w:val="00F9187C"/>
    <w:rsid w:val="00F91C56"/>
    <w:rsid w:val="00F92915"/>
    <w:rsid w:val="00F93229"/>
    <w:rsid w:val="00F933EF"/>
    <w:rsid w:val="00F9373D"/>
    <w:rsid w:val="00F946D3"/>
    <w:rsid w:val="00F9482D"/>
    <w:rsid w:val="00F94C8D"/>
    <w:rsid w:val="00F94DC8"/>
    <w:rsid w:val="00F9513A"/>
    <w:rsid w:val="00F95306"/>
    <w:rsid w:val="00F97165"/>
    <w:rsid w:val="00F975F9"/>
    <w:rsid w:val="00FA0121"/>
    <w:rsid w:val="00FA0FCA"/>
    <w:rsid w:val="00FA10BC"/>
    <w:rsid w:val="00FA1255"/>
    <w:rsid w:val="00FA154E"/>
    <w:rsid w:val="00FA1A35"/>
    <w:rsid w:val="00FA203A"/>
    <w:rsid w:val="00FA2264"/>
    <w:rsid w:val="00FA3493"/>
    <w:rsid w:val="00FA507C"/>
    <w:rsid w:val="00FA580B"/>
    <w:rsid w:val="00FA5A80"/>
    <w:rsid w:val="00FA5D83"/>
    <w:rsid w:val="00FA604F"/>
    <w:rsid w:val="00FA65A1"/>
    <w:rsid w:val="00FA7255"/>
    <w:rsid w:val="00FA7283"/>
    <w:rsid w:val="00FB0169"/>
    <w:rsid w:val="00FB0574"/>
    <w:rsid w:val="00FB18AF"/>
    <w:rsid w:val="00FB1BBA"/>
    <w:rsid w:val="00FB1DFC"/>
    <w:rsid w:val="00FB1EDF"/>
    <w:rsid w:val="00FB21D1"/>
    <w:rsid w:val="00FB22CD"/>
    <w:rsid w:val="00FB31DC"/>
    <w:rsid w:val="00FB3C01"/>
    <w:rsid w:val="00FB4DD0"/>
    <w:rsid w:val="00FB601A"/>
    <w:rsid w:val="00FB61E5"/>
    <w:rsid w:val="00FB7C90"/>
    <w:rsid w:val="00FC0328"/>
    <w:rsid w:val="00FC106B"/>
    <w:rsid w:val="00FC11E9"/>
    <w:rsid w:val="00FC1696"/>
    <w:rsid w:val="00FC1A09"/>
    <w:rsid w:val="00FC2F19"/>
    <w:rsid w:val="00FC3245"/>
    <w:rsid w:val="00FC3F65"/>
    <w:rsid w:val="00FC46BC"/>
    <w:rsid w:val="00FC4AD1"/>
    <w:rsid w:val="00FC4FB0"/>
    <w:rsid w:val="00FC5093"/>
    <w:rsid w:val="00FC62BA"/>
    <w:rsid w:val="00FC62F7"/>
    <w:rsid w:val="00FC6396"/>
    <w:rsid w:val="00FC6EF5"/>
    <w:rsid w:val="00FD0900"/>
    <w:rsid w:val="00FD0F48"/>
    <w:rsid w:val="00FD240A"/>
    <w:rsid w:val="00FD2439"/>
    <w:rsid w:val="00FD29BA"/>
    <w:rsid w:val="00FD40FE"/>
    <w:rsid w:val="00FD4257"/>
    <w:rsid w:val="00FD4873"/>
    <w:rsid w:val="00FD48A5"/>
    <w:rsid w:val="00FD495F"/>
    <w:rsid w:val="00FD4FF2"/>
    <w:rsid w:val="00FD627B"/>
    <w:rsid w:val="00FD673B"/>
    <w:rsid w:val="00FD677E"/>
    <w:rsid w:val="00FD67C8"/>
    <w:rsid w:val="00FD7145"/>
    <w:rsid w:val="00FD7C72"/>
    <w:rsid w:val="00FD7FC8"/>
    <w:rsid w:val="00FE084B"/>
    <w:rsid w:val="00FE12AC"/>
    <w:rsid w:val="00FE1312"/>
    <w:rsid w:val="00FE1CF4"/>
    <w:rsid w:val="00FE3767"/>
    <w:rsid w:val="00FE49E3"/>
    <w:rsid w:val="00FE4DDF"/>
    <w:rsid w:val="00FE5B69"/>
    <w:rsid w:val="00FE60E7"/>
    <w:rsid w:val="00FE66B8"/>
    <w:rsid w:val="00FE674D"/>
    <w:rsid w:val="00FE6A9F"/>
    <w:rsid w:val="00FE6C67"/>
    <w:rsid w:val="00FE71CD"/>
    <w:rsid w:val="00FE7AAD"/>
    <w:rsid w:val="00FF0264"/>
    <w:rsid w:val="00FF0674"/>
    <w:rsid w:val="00FF11DA"/>
    <w:rsid w:val="00FF252F"/>
    <w:rsid w:val="00FF2836"/>
    <w:rsid w:val="00FF3701"/>
    <w:rsid w:val="00FF489A"/>
    <w:rsid w:val="00FF4AC4"/>
    <w:rsid w:val="00FF4DC4"/>
    <w:rsid w:val="00FF504D"/>
    <w:rsid w:val="00FF574B"/>
    <w:rsid w:val="00FF6228"/>
    <w:rsid w:val="00FF69EE"/>
    <w:rsid w:val="00FF6DB2"/>
    <w:rsid w:val="051A0F18"/>
    <w:rsid w:val="05BB7CEE"/>
    <w:rsid w:val="05E75666"/>
    <w:rsid w:val="06BA9AEE"/>
    <w:rsid w:val="09109DDB"/>
    <w:rsid w:val="0BBB3C64"/>
    <w:rsid w:val="0C44F771"/>
    <w:rsid w:val="0DEC08E1"/>
    <w:rsid w:val="0F0A3D2D"/>
    <w:rsid w:val="0F8AA37E"/>
    <w:rsid w:val="10C88D54"/>
    <w:rsid w:val="12B3BEA9"/>
    <w:rsid w:val="1447E9FA"/>
    <w:rsid w:val="150BC3FB"/>
    <w:rsid w:val="15C00494"/>
    <w:rsid w:val="164404A2"/>
    <w:rsid w:val="173890F7"/>
    <w:rsid w:val="17624FE3"/>
    <w:rsid w:val="184364BD"/>
    <w:rsid w:val="1B21B537"/>
    <w:rsid w:val="1BF7FFFD"/>
    <w:rsid w:val="1C6E568A"/>
    <w:rsid w:val="1D234740"/>
    <w:rsid w:val="1F5A1631"/>
    <w:rsid w:val="2171D189"/>
    <w:rsid w:val="246D832E"/>
    <w:rsid w:val="2861760D"/>
    <w:rsid w:val="2869FAC0"/>
    <w:rsid w:val="299AF3F2"/>
    <w:rsid w:val="2B9D6191"/>
    <w:rsid w:val="2C78C7CE"/>
    <w:rsid w:val="2D09BC3E"/>
    <w:rsid w:val="3065F245"/>
    <w:rsid w:val="3079582B"/>
    <w:rsid w:val="30BC0BD0"/>
    <w:rsid w:val="31DB1F0A"/>
    <w:rsid w:val="374037CE"/>
    <w:rsid w:val="37729C0D"/>
    <w:rsid w:val="395D48A2"/>
    <w:rsid w:val="397CC977"/>
    <w:rsid w:val="3AF54600"/>
    <w:rsid w:val="3B1899D8"/>
    <w:rsid w:val="3BD0AFA4"/>
    <w:rsid w:val="3C951BB9"/>
    <w:rsid w:val="3FC175F1"/>
    <w:rsid w:val="406FA9D8"/>
    <w:rsid w:val="420D54D5"/>
    <w:rsid w:val="427762A1"/>
    <w:rsid w:val="43D4C266"/>
    <w:rsid w:val="44C47AE0"/>
    <w:rsid w:val="451F5F24"/>
    <w:rsid w:val="45A0CB62"/>
    <w:rsid w:val="45EF04D7"/>
    <w:rsid w:val="46D626E8"/>
    <w:rsid w:val="477AA246"/>
    <w:rsid w:val="47BF9935"/>
    <w:rsid w:val="48B8CC72"/>
    <w:rsid w:val="490C9F1E"/>
    <w:rsid w:val="4D2D985C"/>
    <w:rsid w:val="4D9F0276"/>
    <w:rsid w:val="4DF89983"/>
    <w:rsid w:val="4E5710FF"/>
    <w:rsid w:val="4F4895FA"/>
    <w:rsid w:val="5002082D"/>
    <w:rsid w:val="50D95BD7"/>
    <w:rsid w:val="51993A79"/>
    <w:rsid w:val="52828415"/>
    <w:rsid w:val="52A07A67"/>
    <w:rsid w:val="538CA200"/>
    <w:rsid w:val="55DB35DA"/>
    <w:rsid w:val="574C0ADF"/>
    <w:rsid w:val="58E7DB40"/>
    <w:rsid w:val="59F4AB40"/>
    <w:rsid w:val="59F9F449"/>
    <w:rsid w:val="5A1D9528"/>
    <w:rsid w:val="5D6E9B60"/>
    <w:rsid w:val="5DC9571F"/>
    <w:rsid w:val="5DDC42A3"/>
    <w:rsid w:val="5F268985"/>
    <w:rsid w:val="622145C7"/>
    <w:rsid w:val="6228017F"/>
    <w:rsid w:val="64684759"/>
    <w:rsid w:val="64B68A1B"/>
    <w:rsid w:val="657EE265"/>
    <w:rsid w:val="65F91AFC"/>
    <w:rsid w:val="6600CF0E"/>
    <w:rsid w:val="669E22D2"/>
    <w:rsid w:val="675E0174"/>
    <w:rsid w:val="68E69E10"/>
    <w:rsid w:val="6B11AF3C"/>
    <w:rsid w:val="6CB5D15B"/>
    <w:rsid w:val="6F1D5EB9"/>
    <w:rsid w:val="6F752E14"/>
    <w:rsid w:val="7110FE75"/>
    <w:rsid w:val="71B9D62C"/>
    <w:rsid w:val="724F3602"/>
    <w:rsid w:val="728239CC"/>
    <w:rsid w:val="72ACCED6"/>
    <w:rsid w:val="74918837"/>
    <w:rsid w:val="74ABD80E"/>
    <w:rsid w:val="74EB5080"/>
    <w:rsid w:val="7523188E"/>
    <w:rsid w:val="75CB473B"/>
    <w:rsid w:val="75EF6F57"/>
    <w:rsid w:val="785A0759"/>
    <w:rsid w:val="792D4BE1"/>
    <w:rsid w:val="79778D86"/>
    <w:rsid w:val="79BEF286"/>
    <w:rsid w:val="7AA3D95F"/>
    <w:rsid w:val="7DFC9907"/>
    <w:rsid w:val="7ECA1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A01ED"/>
  <w15:chartTrackingRefBased/>
  <w15:docId w15:val="{384BAAD2-4FC2-4530-A457-12BCBB447E67}"/>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1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1334"/>
  </w:style>
  <w:style w:type="character" w:customStyle="1" w:styleId="eop">
    <w:name w:val="eop"/>
    <w:basedOn w:val="DefaultParagraphFont"/>
    <w:rsid w:val="00971334"/>
  </w:style>
  <w:style w:type="character" w:customStyle="1" w:styleId="tabchar">
    <w:name w:val="tabchar"/>
    <w:basedOn w:val="DefaultParagraphFont"/>
    <w:rsid w:val="00971334"/>
  </w:style>
  <w:style w:type="character" w:customStyle="1" w:styleId="superscript">
    <w:name w:val="superscript"/>
    <w:basedOn w:val="DefaultParagraphFont"/>
    <w:rsid w:val="00F9482D"/>
  </w:style>
  <w:style w:type="paragraph" w:styleId="FootnoteText">
    <w:name w:val="footnote text"/>
    <w:basedOn w:val="Normal"/>
    <w:link w:val="FootnoteTextChar"/>
    <w:uiPriority w:val="99"/>
    <w:semiHidden/>
    <w:unhideWhenUsed/>
    <w:rsid w:val="00F94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82D"/>
    <w:rPr>
      <w:sz w:val="20"/>
      <w:szCs w:val="20"/>
    </w:rPr>
  </w:style>
  <w:style w:type="character" w:styleId="FootnoteReference">
    <w:name w:val="footnote reference"/>
    <w:basedOn w:val="DefaultParagraphFont"/>
    <w:uiPriority w:val="99"/>
    <w:semiHidden/>
    <w:unhideWhenUsed/>
    <w:rsid w:val="00F9482D"/>
    <w:rPr>
      <w:vertAlign w:val="superscript"/>
    </w:rPr>
  </w:style>
  <w:style w:type="character" w:styleId="CommentReference">
    <w:name w:val="annotation reference"/>
    <w:basedOn w:val="DefaultParagraphFont"/>
    <w:uiPriority w:val="99"/>
    <w:semiHidden/>
    <w:unhideWhenUsed/>
    <w:rsid w:val="00361520"/>
    <w:rPr>
      <w:sz w:val="16"/>
      <w:szCs w:val="16"/>
    </w:rPr>
  </w:style>
  <w:style w:type="paragraph" w:styleId="CommentText">
    <w:name w:val="annotation text"/>
    <w:basedOn w:val="Normal"/>
    <w:link w:val="CommentTextChar"/>
    <w:uiPriority w:val="99"/>
    <w:unhideWhenUsed/>
    <w:rsid w:val="00361520"/>
    <w:pPr>
      <w:spacing w:line="240" w:lineRule="auto"/>
    </w:pPr>
    <w:rPr>
      <w:sz w:val="20"/>
      <w:szCs w:val="20"/>
    </w:rPr>
  </w:style>
  <w:style w:type="character" w:customStyle="1" w:styleId="CommentTextChar">
    <w:name w:val="Comment Text Char"/>
    <w:basedOn w:val="DefaultParagraphFont"/>
    <w:link w:val="CommentText"/>
    <w:uiPriority w:val="99"/>
    <w:rsid w:val="00361520"/>
    <w:rPr>
      <w:sz w:val="20"/>
      <w:szCs w:val="20"/>
    </w:rPr>
  </w:style>
  <w:style w:type="paragraph" w:styleId="CommentSubject">
    <w:name w:val="annotation subject"/>
    <w:basedOn w:val="CommentText"/>
    <w:next w:val="CommentText"/>
    <w:link w:val="CommentSubjectChar"/>
    <w:uiPriority w:val="99"/>
    <w:semiHidden/>
    <w:unhideWhenUsed/>
    <w:rsid w:val="00361520"/>
    <w:rPr>
      <w:b/>
      <w:bCs/>
    </w:rPr>
  </w:style>
  <w:style w:type="character" w:customStyle="1" w:styleId="CommentSubjectChar">
    <w:name w:val="Comment Subject Char"/>
    <w:basedOn w:val="CommentTextChar"/>
    <w:link w:val="CommentSubject"/>
    <w:uiPriority w:val="99"/>
    <w:semiHidden/>
    <w:rsid w:val="00361520"/>
    <w:rPr>
      <w:b/>
      <w:bCs/>
      <w:sz w:val="20"/>
      <w:szCs w:val="20"/>
    </w:rPr>
  </w:style>
  <w:style w:type="character" w:styleId="Hyperlink">
    <w:name w:val="Hyperlink"/>
    <w:basedOn w:val="DefaultParagraphFont"/>
    <w:uiPriority w:val="99"/>
    <w:unhideWhenUsed/>
    <w:rsid w:val="00432E59"/>
    <w:rPr>
      <w:color w:val="0563C1" w:themeColor="hyperlink"/>
      <w:u w:val="single"/>
    </w:rPr>
  </w:style>
  <w:style w:type="character" w:styleId="UnresolvedMention">
    <w:name w:val="Unresolved Mention"/>
    <w:basedOn w:val="DefaultParagraphFont"/>
    <w:uiPriority w:val="99"/>
    <w:semiHidden/>
    <w:unhideWhenUsed/>
    <w:rsid w:val="00432E59"/>
    <w:rPr>
      <w:color w:val="605E5C"/>
      <w:shd w:val="clear" w:color="auto" w:fill="E1DFDD"/>
    </w:rPr>
  </w:style>
  <w:style w:type="paragraph" w:styleId="Header">
    <w:name w:val="header"/>
    <w:basedOn w:val="Normal"/>
    <w:link w:val="HeaderChar"/>
    <w:uiPriority w:val="99"/>
    <w:unhideWhenUsed/>
    <w:rsid w:val="00920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03"/>
  </w:style>
  <w:style w:type="paragraph" w:styleId="Footer">
    <w:name w:val="footer"/>
    <w:basedOn w:val="Normal"/>
    <w:link w:val="FooterChar"/>
    <w:uiPriority w:val="99"/>
    <w:unhideWhenUsed/>
    <w:rsid w:val="00920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803"/>
  </w:style>
  <w:style w:type="character" w:customStyle="1" w:styleId="scxw265855955">
    <w:name w:val="scxw265855955"/>
    <w:basedOn w:val="DefaultParagraphFont"/>
    <w:rsid w:val="00135E03"/>
  </w:style>
  <w:style w:type="character" w:styleId="FollowedHyperlink">
    <w:name w:val="FollowedHyperlink"/>
    <w:basedOn w:val="DefaultParagraphFont"/>
    <w:uiPriority w:val="99"/>
    <w:semiHidden/>
    <w:unhideWhenUsed/>
    <w:rsid w:val="006E06F4"/>
    <w:rPr>
      <w:color w:val="954F72" w:themeColor="followedHyperlink"/>
      <w:u w:val="single"/>
    </w:rPr>
  </w:style>
  <w:style w:type="paragraph" w:styleId="Revision">
    <w:name w:val="Revision"/>
    <w:hidden/>
    <w:uiPriority w:val="99"/>
    <w:semiHidden/>
    <w:rsid w:val="00DE0584"/>
    <w:pPr>
      <w:spacing w:after="0" w:line="240" w:lineRule="auto"/>
    </w:pPr>
  </w:style>
  <w:style w:type="character" w:styleId="Mention">
    <w:name w:val="Mention"/>
    <w:basedOn w:val="DefaultParagraphFont"/>
    <w:uiPriority w:val="99"/>
    <w:unhideWhenUsed/>
    <w:rsid w:val="004672E5"/>
    <w:rPr>
      <w:color w:val="2B579A"/>
      <w:shd w:val="clear" w:color="auto" w:fill="E6E6E6"/>
    </w:rPr>
  </w:style>
  <w:style w:type="paragraph" w:styleId="ListParagraph">
    <w:name w:val="List Paragraph"/>
    <w:basedOn w:val="Normal"/>
    <w:uiPriority w:val="34"/>
    <w:qFormat/>
    <w:rsid w:val="00C515C1"/>
    <w:pPr>
      <w:ind w:left="720"/>
      <w:contextualSpacing/>
    </w:pPr>
  </w:style>
  <w:style w:type="paragraph" w:styleId="EndnoteText">
    <w:name w:val="endnote text"/>
    <w:basedOn w:val="Normal"/>
    <w:link w:val="EndnoteTextChar"/>
    <w:uiPriority w:val="99"/>
    <w:semiHidden/>
    <w:unhideWhenUsed/>
    <w:rsid w:val="00AC4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4692"/>
    <w:rPr>
      <w:sz w:val="20"/>
      <w:szCs w:val="20"/>
    </w:rPr>
  </w:style>
  <w:style w:type="character" w:styleId="EndnoteReference">
    <w:name w:val="endnote reference"/>
    <w:basedOn w:val="DefaultParagraphFont"/>
    <w:uiPriority w:val="99"/>
    <w:semiHidden/>
    <w:unhideWhenUsed/>
    <w:rsid w:val="00AC4692"/>
    <w:rPr>
      <w:vertAlign w:val="superscript"/>
    </w:rPr>
  </w:style>
  <w:style w:type="character" w:customStyle="1" w:styleId="contextualspellingandgrammarerror">
    <w:name w:val="contextualspellingandgrammarerror"/>
    <w:basedOn w:val="DefaultParagraphFont"/>
    <w:rsid w:val="00DC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0998">
      <w:bodyDiv w:val="1"/>
      <w:marLeft w:val="0"/>
      <w:marRight w:val="0"/>
      <w:marTop w:val="0"/>
      <w:marBottom w:val="0"/>
      <w:divBdr>
        <w:top w:val="none" w:sz="0" w:space="0" w:color="auto"/>
        <w:left w:val="none" w:sz="0" w:space="0" w:color="auto"/>
        <w:bottom w:val="none" w:sz="0" w:space="0" w:color="auto"/>
        <w:right w:val="none" w:sz="0" w:space="0" w:color="auto"/>
      </w:divBdr>
      <w:divsChild>
        <w:div w:id="382682004">
          <w:marLeft w:val="0"/>
          <w:marRight w:val="0"/>
          <w:marTop w:val="0"/>
          <w:marBottom w:val="0"/>
          <w:divBdr>
            <w:top w:val="none" w:sz="0" w:space="0" w:color="auto"/>
            <w:left w:val="none" w:sz="0" w:space="0" w:color="auto"/>
            <w:bottom w:val="none" w:sz="0" w:space="0" w:color="auto"/>
            <w:right w:val="none" w:sz="0" w:space="0" w:color="auto"/>
          </w:divBdr>
        </w:div>
        <w:div w:id="392429820">
          <w:marLeft w:val="0"/>
          <w:marRight w:val="0"/>
          <w:marTop w:val="0"/>
          <w:marBottom w:val="0"/>
          <w:divBdr>
            <w:top w:val="none" w:sz="0" w:space="0" w:color="auto"/>
            <w:left w:val="none" w:sz="0" w:space="0" w:color="auto"/>
            <w:bottom w:val="none" w:sz="0" w:space="0" w:color="auto"/>
            <w:right w:val="none" w:sz="0" w:space="0" w:color="auto"/>
          </w:divBdr>
        </w:div>
        <w:div w:id="1299215674">
          <w:marLeft w:val="0"/>
          <w:marRight w:val="0"/>
          <w:marTop w:val="0"/>
          <w:marBottom w:val="0"/>
          <w:divBdr>
            <w:top w:val="none" w:sz="0" w:space="0" w:color="auto"/>
            <w:left w:val="none" w:sz="0" w:space="0" w:color="auto"/>
            <w:bottom w:val="none" w:sz="0" w:space="0" w:color="auto"/>
            <w:right w:val="none" w:sz="0" w:space="0" w:color="auto"/>
          </w:divBdr>
        </w:div>
        <w:div w:id="1311250477">
          <w:marLeft w:val="0"/>
          <w:marRight w:val="0"/>
          <w:marTop w:val="0"/>
          <w:marBottom w:val="0"/>
          <w:divBdr>
            <w:top w:val="none" w:sz="0" w:space="0" w:color="auto"/>
            <w:left w:val="none" w:sz="0" w:space="0" w:color="auto"/>
            <w:bottom w:val="none" w:sz="0" w:space="0" w:color="auto"/>
            <w:right w:val="none" w:sz="0" w:space="0" w:color="auto"/>
          </w:divBdr>
        </w:div>
        <w:div w:id="1411930637">
          <w:marLeft w:val="0"/>
          <w:marRight w:val="0"/>
          <w:marTop w:val="0"/>
          <w:marBottom w:val="0"/>
          <w:divBdr>
            <w:top w:val="none" w:sz="0" w:space="0" w:color="auto"/>
            <w:left w:val="none" w:sz="0" w:space="0" w:color="auto"/>
            <w:bottom w:val="none" w:sz="0" w:space="0" w:color="auto"/>
            <w:right w:val="none" w:sz="0" w:space="0" w:color="auto"/>
          </w:divBdr>
        </w:div>
        <w:div w:id="1450665176">
          <w:marLeft w:val="0"/>
          <w:marRight w:val="0"/>
          <w:marTop w:val="0"/>
          <w:marBottom w:val="0"/>
          <w:divBdr>
            <w:top w:val="none" w:sz="0" w:space="0" w:color="auto"/>
            <w:left w:val="none" w:sz="0" w:space="0" w:color="auto"/>
            <w:bottom w:val="none" w:sz="0" w:space="0" w:color="auto"/>
            <w:right w:val="none" w:sz="0" w:space="0" w:color="auto"/>
          </w:divBdr>
        </w:div>
        <w:div w:id="1672292926">
          <w:marLeft w:val="0"/>
          <w:marRight w:val="0"/>
          <w:marTop w:val="0"/>
          <w:marBottom w:val="0"/>
          <w:divBdr>
            <w:top w:val="none" w:sz="0" w:space="0" w:color="auto"/>
            <w:left w:val="none" w:sz="0" w:space="0" w:color="auto"/>
            <w:bottom w:val="none" w:sz="0" w:space="0" w:color="auto"/>
            <w:right w:val="none" w:sz="0" w:space="0" w:color="auto"/>
          </w:divBdr>
        </w:div>
        <w:div w:id="1724524766">
          <w:marLeft w:val="0"/>
          <w:marRight w:val="0"/>
          <w:marTop w:val="0"/>
          <w:marBottom w:val="0"/>
          <w:divBdr>
            <w:top w:val="none" w:sz="0" w:space="0" w:color="auto"/>
            <w:left w:val="none" w:sz="0" w:space="0" w:color="auto"/>
            <w:bottom w:val="none" w:sz="0" w:space="0" w:color="auto"/>
            <w:right w:val="none" w:sz="0" w:space="0" w:color="auto"/>
          </w:divBdr>
        </w:div>
      </w:divsChild>
    </w:div>
    <w:div w:id="205341474">
      <w:bodyDiv w:val="1"/>
      <w:marLeft w:val="0"/>
      <w:marRight w:val="0"/>
      <w:marTop w:val="0"/>
      <w:marBottom w:val="0"/>
      <w:divBdr>
        <w:top w:val="none" w:sz="0" w:space="0" w:color="auto"/>
        <w:left w:val="none" w:sz="0" w:space="0" w:color="auto"/>
        <w:bottom w:val="none" w:sz="0" w:space="0" w:color="auto"/>
        <w:right w:val="none" w:sz="0" w:space="0" w:color="auto"/>
      </w:divBdr>
    </w:div>
    <w:div w:id="213086081">
      <w:bodyDiv w:val="1"/>
      <w:marLeft w:val="0"/>
      <w:marRight w:val="0"/>
      <w:marTop w:val="0"/>
      <w:marBottom w:val="0"/>
      <w:divBdr>
        <w:top w:val="none" w:sz="0" w:space="0" w:color="auto"/>
        <w:left w:val="none" w:sz="0" w:space="0" w:color="auto"/>
        <w:bottom w:val="none" w:sz="0" w:space="0" w:color="auto"/>
        <w:right w:val="none" w:sz="0" w:space="0" w:color="auto"/>
      </w:divBdr>
      <w:divsChild>
        <w:div w:id="523595060">
          <w:marLeft w:val="0"/>
          <w:marRight w:val="0"/>
          <w:marTop w:val="0"/>
          <w:marBottom w:val="0"/>
          <w:divBdr>
            <w:top w:val="none" w:sz="0" w:space="0" w:color="auto"/>
            <w:left w:val="none" w:sz="0" w:space="0" w:color="auto"/>
            <w:bottom w:val="none" w:sz="0" w:space="0" w:color="auto"/>
            <w:right w:val="none" w:sz="0" w:space="0" w:color="auto"/>
          </w:divBdr>
          <w:divsChild>
            <w:div w:id="910382607">
              <w:marLeft w:val="0"/>
              <w:marRight w:val="0"/>
              <w:marTop w:val="0"/>
              <w:marBottom w:val="0"/>
              <w:divBdr>
                <w:top w:val="none" w:sz="0" w:space="0" w:color="auto"/>
                <w:left w:val="none" w:sz="0" w:space="0" w:color="auto"/>
                <w:bottom w:val="none" w:sz="0" w:space="0" w:color="auto"/>
                <w:right w:val="none" w:sz="0" w:space="0" w:color="auto"/>
              </w:divBdr>
            </w:div>
          </w:divsChild>
        </w:div>
        <w:div w:id="1384214230">
          <w:marLeft w:val="0"/>
          <w:marRight w:val="0"/>
          <w:marTop w:val="0"/>
          <w:marBottom w:val="0"/>
          <w:divBdr>
            <w:top w:val="none" w:sz="0" w:space="0" w:color="auto"/>
            <w:left w:val="none" w:sz="0" w:space="0" w:color="auto"/>
            <w:bottom w:val="none" w:sz="0" w:space="0" w:color="auto"/>
            <w:right w:val="none" w:sz="0" w:space="0" w:color="auto"/>
          </w:divBdr>
        </w:div>
      </w:divsChild>
    </w:div>
    <w:div w:id="355353420">
      <w:bodyDiv w:val="1"/>
      <w:marLeft w:val="0"/>
      <w:marRight w:val="0"/>
      <w:marTop w:val="0"/>
      <w:marBottom w:val="0"/>
      <w:divBdr>
        <w:top w:val="none" w:sz="0" w:space="0" w:color="auto"/>
        <w:left w:val="none" w:sz="0" w:space="0" w:color="auto"/>
        <w:bottom w:val="none" w:sz="0" w:space="0" w:color="auto"/>
        <w:right w:val="none" w:sz="0" w:space="0" w:color="auto"/>
      </w:divBdr>
      <w:divsChild>
        <w:div w:id="41029773">
          <w:marLeft w:val="0"/>
          <w:marRight w:val="0"/>
          <w:marTop w:val="0"/>
          <w:marBottom w:val="0"/>
          <w:divBdr>
            <w:top w:val="none" w:sz="0" w:space="0" w:color="auto"/>
            <w:left w:val="none" w:sz="0" w:space="0" w:color="auto"/>
            <w:bottom w:val="none" w:sz="0" w:space="0" w:color="auto"/>
            <w:right w:val="none" w:sz="0" w:space="0" w:color="auto"/>
          </w:divBdr>
        </w:div>
        <w:div w:id="55669848">
          <w:marLeft w:val="0"/>
          <w:marRight w:val="0"/>
          <w:marTop w:val="0"/>
          <w:marBottom w:val="0"/>
          <w:divBdr>
            <w:top w:val="none" w:sz="0" w:space="0" w:color="auto"/>
            <w:left w:val="none" w:sz="0" w:space="0" w:color="auto"/>
            <w:bottom w:val="none" w:sz="0" w:space="0" w:color="auto"/>
            <w:right w:val="none" w:sz="0" w:space="0" w:color="auto"/>
          </w:divBdr>
        </w:div>
        <w:div w:id="79959390">
          <w:marLeft w:val="0"/>
          <w:marRight w:val="0"/>
          <w:marTop w:val="0"/>
          <w:marBottom w:val="0"/>
          <w:divBdr>
            <w:top w:val="none" w:sz="0" w:space="0" w:color="auto"/>
            <w:left w:val="none" w:sz="0" w:space="0" w:color="auto"/>
            <w:bottom w:val="none" w:sz="0" w:space="0" w:color="auto"/>
            <w:right w:val="none" w:sz="0" w:space="0" w:color="auto"/>
          </w:divBdr>
          <w:divsChild>
            <w:div w:id="1578057976">
              <w:marLeft w:val="0"/>
              <w:marRight w:val="0"/>
              <w:marTop w:val="0"/>
              <w:marBottom w:val="0"/>
              <w:divBdr>
                <w:top w:val="none" w:sz="0" w:space="0" w:color="auto"/>
                <w:left w:val="none" w:sz="0" w:space="0" w:color="auto"/>
                <w:bottom w:val="none" w:sz="0" w:space="0" w:color="auto"/>
                <w:right w:val="none" w:sz="0" w:space="0" w:color="auto"/>
              </w:divBdr>
            </w:div>
            <w:div w:id="1718823220">
              <w:marLeft w:val="0"/>
              <w:marRight w:val="0"/>
              <w:marTop w:val="0"/>
              <w:marBottom w:val="0"/>
              <w:divBdr>
                <w:top w:val="none" w:sz="0" w:space="0" w:color="auto"/>
                <w:left w:val="none" w:sz="0" w:space="0" w:color="auto"/>
                <w:bottom w:val="none" w:sz="0" w:space="0" w:color="auto"/>
                <w:right w:val="none" w:sz="0" w:space="0" w:color="auto"/>
              </w:divBdr>
            </w:div>
            <w:div w:id="1834445514">
              <w:marLeft w:val="0"/>
              <w:marRight w:val="0"/>
              <w:marTop w:val="0"/>
              <w:marBottom w:val="0"/>
              <w:divBdr>
                <w:top w:val="none" w:sz="0" w:space="0" w:color="auto"/>
                <w:left w:val="none" w:sz="0" w:space="0" w:color="auto"/>
                <w:bottom w:val="none" w:sz="0" w:space="0" w:color="auto"/>
                <w:right w:val="none" w:sz="0" w:space="0" w:color="auto"/>
              </w:divBdr>
            </w:div>
            <w:div w:id="2136023466">
              <w:marLeft w:val="0"/>
              <w:marRight w:val="0"/>
              <w:marTop w:val="0"/>
              <w:marBottom w:val="0"/>
              <w:divBdr>
                <w:top w:val="none" w:sz="0" w:space="0" w:color="auto"/>
                <w:left w:val="none" w:sz="0" w:space="0" w:color="auto"/>
                <w:bottom w:val="none" w:sz="0" w:space="0" w:color="auto"/>
                <w:right w:val="none" w:sz="0" w:space="0" w:color="auto"/>
              </w:divBdr>
            </w:div>
          </w:divsChild>
        </w:div>
        <w:div w:id="188445987">
          <w:marLeft w:val="0"/>
          <w:marRight w:val="0"/>
          <w:marTop w:val="0"/>
          <w:marBottom w:val="0"/>
          <w:divBdr>
            <w:top w:val="none" w:sz="0" w:space="0" w:color="auto"/>
            <w:left w:val="none" w:sz="0" w:space="0" w:color="auto"/>
            <w:bottom w:val="none" w:sz="0" w:space="0" w:color="auto"/>
            <w:right w:val="none" w:sz="0" w:space="0" w:color="auto"/>
          </w:divBdr>
        </w:div>
        <w:div w:id="196241956">
          <w:marLeft w:val="0"/>
          <w:marRight w:val="0"/>
          <w:marTop w:val="0"/>
          <w:marBottom w:val="0"/>
          <w:divBdr>
            <w:top w:val="none" w:sz="0" w:space="0" w:color="auto"/>
            <w:left w:val="none" w:sz="0" w:space="0" w:color="auto"/>
            <w:bottom w:val="none" w:sz="0" w:space="0" w:color="auto"/>
            <w:right w:val="none" w:sz="0" w:space="0" w:color="auto"/>
          </w:divBdr>
        </w:div>
        <w:div w:id="217130544">
          <w:marLeft w:val="0"/>
          <w:marRight w:val="0"/>
          <w:marTop w:val="0"/>
          <w:marBottom w:val="0"/>
          <w:divBdr>
            <w:top w:val="none" w:sz="0" w:space="0" w:color="auto"/>
            <w:left w:val="none" w:sz="0" w:space="0" w:color="auto"/>
            <w:bottom w:val="none" w:sz="0" w:space="0" w:color="auto"/>
            <w:right w:val="none" w:sz="0" w:space="0" w:color="auto"/>
          </w:divBdr>
        </w:div>
        <w:div w:id="311369236">
          <w:marLeft w:val="0"/>
          <w:marRight w:val="0"/>
          <w:marTop w:val="0"/>
          <w:marBottom w:val="0"/>
          <w:divBdr>
            <w:top w:val="none" w:sz="0" w:space="0" w:color="auto"/>
            <w:left w:val="none" w:sz="0" w:space="0" w:color="auto"/>
            <w:bottom w:val="none" w:sz="0" w:space="0" w:color="auto"/>
            <w:right w:val="none" w:sz="0" w:space="0" w:color="auto"/>
          </w:divBdr>
        </w:div>
        <w:div w:id="352726236">
          <w:marLeft w:val="0"/>
          <w:marRight w:val="0"/>
          <w:marTop w:val="0"/>
          <w:marBottom w:val="0"/>
          <w:divBdr>
            <w:top w:val="none" w:sz="0" w:space="0" w:color="auto"/>
            <w:left w:val="none" w:sz="0" w:space="0" w:color="auto"/>
            <w:bottom w:val="none" w:sz="0" w:space="0" w:color="auto"/>
            <w:right w:val="none" w:sz="0" w:space="0" w:color="auto"/>
          </w:divBdr>
        </w:div>
        <w:div w:id="382411408">
          <w:marLeft w:val="0"/>
          <w:marRight w:val="0"/>
          <w:marTop w:val="0"/>
          <w:marBottom w:val="0"/>
          <w:divBdr>
            <w:top w:val="none" w:sz="0" w:space="0" w:color="auto"/>
            <w:left w:val="none" w:sz="0" w:space="0" w:color="auto"/>
            <w:bottom w:val="none" w:sz="0" w:space="0" w:color="auto"/>
            <w:right w:val="none" w:sz="0" w:space="0" w:color="auto"/>
          </w:divBdr>
        </w:div>
        <w:div w:id="420949205">
          <w:marLeft w:val="0"/>
          <w:marRight w:val="0"/>
          <w:marTop w:val="0"/>
          <w:marBottom w:val="0"/>
          <w:divBdr>
            <w:top w:val="none" w:sz="0" w:space="0" w:color="auto"/>
            <w:left w:val="none" w:sz="0" w:space="0" w:color="auto"/>
            <w:bottom w:val="none" w:sz="0" w:space="0" w:color="auto"/>
            <w:right w:val="none" w:sz="0" w:space="0" w:color="auto"/>
          </w:divBdr>
        </w:div>
        <w:div w:id="460267856">
          <w:marLeft w:val="0"/>
          <w:marRight w:val="0"/>
          <w:marTop w:val="0"/>
          <w:marBottom w:val="0"/>
          <w:divBdr>
            <w:top w:val="none" w:sz="0" w:space="0" w:color="auto"/>
            <w:left w:val="none" w:sz="0" w:space="0" w:color="auto"/>
            <w:bottom w:val="none" w:sz="0" w:space="0" w:color="auto"/>
            <w:right w:val="none" w:sz="0" w:space="0" w:color="auto"/>
          </w:divBdr>
        </w:div>
        <w:div w:id="502162435">
          <w:marLeft w:val="0"/>
          <w:marRight w:val="0"/>
          <w:marTop w:val="0"/>
          <w:marBottom w:val="0"/>
          <w:divBdr>
            <w:top w:val="none" w:sz="0" w:space="0" w:color="auto"/>
            <w:left w:val="none" w:sz="0" w:space="0" w:color="auto"/>
            <w:bottom w:val="none" w:sz="0" w:space="0" w:color="auto"/>
            <w:right w:val="none" w:sz="0" w:space="0" w:color="auto"/>
          </w:divBdr>
        </w:div>
        <w:div w:id="623655614">
          <w:marLeft w:val="0"/>
          <w:marRight w:val="0"/>
          <w:marTop w:val="0"/>
          <w:marBottom w:val="0"/>
          <w:divBdr>
            <w:top w:val="none" w:sz="0" w:space="0" w:color="auto"/>
            <w:left w:val="none" w:sz="0" w:space="0" w:color="auto"/>
            <w:bottom w:val="none" w:sz="0" w:space="0" w:color="auto"/>
            <w:right w:val="none" w:sz="0" w:space="0" w:color="auto"/>
          </w:divBdr>
        </w:div>
        <w:div w:id="643237483">
          <w:marLeft w:val="0"/>
          <w:marRight w:val="0"/>
          <w:marTop w:val="0"/>
          <w:marBottom w:val="0"/>
          <w:divBdr>
            <w:top w:val="none" w:sz="0" w:space="0" w:color="auto"/>
            <w:left w:val="none" w:sz="0" w:space="0" w:color="auto"/>
            <w:bottom w:val="none" w:sz="0" w:space="0" w:color="auto"/>
            <w:right w:val="none" w:sz="0" w:space="0" w:color="auto"/>
          </w:divBdr>
        </w:div>
        <w:div w:id="800922711">
          <w:marLeft w:val="0"/>
          <w:marRight w:val="0"/>
          <w:marTop w:val="0"/>
          <w:marBottom w:val="0"/>
          <w:divBdr>
            <w:top w:val="none" w:sz="0" w:space="0" w:color="auto"/>
            <w:left w:val="none" w:sz="0" w:space="0" w:color="auto"/>
            <w:bottom w:val="none" w:sz="0" w:space="0" w:color="auto"/>
            <w:right w:val="none" w:sz="0" w:space="0" w:color="auto"/>
          </w:divBdr>
        </w:div>
        <w:div w:id="808787215">
          <w:marLeft w:val="0"/>
          <w:marRight w:val="0"/>
          <w:marTop w:val="0"/>
          <w:marBottom w:val="0"/>
          <w:divBdr>
            <w:top w:val="none" w:sz="0" w:space="0" w:color="auto"/>
            <w:left w:val="none" w:sz="0" w:space="0" w:color="auto"/>
            <w:bottom w:val="none" w:sz="0" w:space="0" w:color="auto"/>
            <w:right w:val="none" w:sz="0" w:space="0" w:color="auto"/>
          </w:divBdr>
          <w:divsChild>
            <w:div w:id="247809491">
              <w:marLeft w:val="0"/>
              <w:marRight w:val="0"/>
              <w:marTop w:val="0"/>
              <w:marBottom w:val="0"/>
              <w:divBdr>
                <w:top w:val="none" w:sz="0" w:space="0" w:color="auto"/>
                <w:left w:val="none" w:sz="0" w:space="0" w:color="auto"/>
                <w:bottom w:val="none" w:sz="0" w:space="0" w:color="auto"/>
                <w:right w:val="none" w:sz="0" w:space="0" w:color="auto"/>
              </w:divBdr>
            </w:div>
            <w:div w:id="650406787">
              <w:marLeft w:val="0"/>
              <w:marRight w:val="0"/>
              <w:marTop w:val="0"/>
              <w:marBottom w:val="0"/>
              <w:divBdr>
                <w:top w:val="none" w:sz="0" w:space="0" w:color="auto"/>
                <w:left w:val="none" w:sz="0" w:space="0" w:color="auto"/>
                <w:bottom w:val="none" w:sz="0" w:space="0" w:color="auto"/>
                <w:right w:val="none" w:sz="0" w:space="0" w:color="auto"/>
              </w:divBdr>
            </w:div>
            <w:div w:id="1163815543">
              <w:marLeft w:val="0"/>
              <w:marRight w:val="0"/>
              <w:marTop w:val="0"/>
              <w:marBottom w:val="0"/>
              <w:divBdr>
                <w:top w:val="none" w:sz="0" w:space="0" w:color="auto"/>
                <w:left w:val="none" w:sz="0" w:space="0" w:color="auto"/>
                <w:bottom w:val="none" w:sz="0" w:space="0" w:color="auto"/>
                <w:right w:val="none" w:sz="0" w:space="0" w:color="auto"/>
              </w:divBdr>
            </w:div>
            <w:div w:id="1275097800">
              <w:marLeft w:val="0"/>
              <w:marRight w:val="0"/>
              <w:marTop w:val="0"/>
              <w:marBottom w:val="0"/>
              <w:divBdr>
                <w:top w:val="none" w:sz="0" w:space="0" w:color="auto"/>
                <w:left w:val="none" w:sz="0" w:space="0" w:color="auto"/>
                <w:bottom w:val="none" w:sz="0" w:space="0" w:color="auto"/>
                <w:right w:val="none" w:sz="0" w:space="0" w:color="auto"/>
              </w:divBdr>
            </w:div>
            <w:div w:id="2089303066">
              <w:marLeft w:val="0"/>
              <w:marRight w:val="0"/>
              <w:marTop w:val="0"/>
              <w:marBottom w:val="0"/>
              <w:divBdr>
                <w:top w:val="none" w:sz="0" w:space="0" w:color="auto"/>
                <w:left w:val="none" w:sz="0" w:space="0" w:color="auto"/>
                <w:bottom w:val="none" w:sz="0" w:space="0" w:color="auto"/>
                <w:right w:val="none" w:sz="0" w:space="0" w:color="auto"/>
              </w:divBdr>
            </w:div>
          </w:divsChild>
        </w:div>
        <w:div w:id="851332706">
          <w:marLeft w:val="0"/>
          <w:marRight w:val="0"/>
          <w:marTop w:val="0"/>
          <w:marBottom w:val="0"/>
          <w:divBdr>
            <w:top w:val="none" w:sz="0" w:space="0" w:color="auto"/>
            <w:left w:val="none" w:sz="0" w:space="0" w:color="auto"/>
            <w:bottom w:val="none" w:sz="0" w:space="0" w:color="auto"/>
            <w:right w:val="none" w:sz="0" w:space="0" w:color="auto"/>
          </w:divBdr>
        </w:div>
        <w:div w:id="1015766134">
          <w:marLeft w:val="0"/>
          <w:marRight w:val="0"/>
          <w:marTop w:val="0"/>
          <w:marBottom w:val="0"/>
          <w:divBdr>
            <w:top w:val="none" w:sz="0" w:space="0" w:color="auto"/>
            <w:left w:val="none" w:sz="0" w:space="0" w:color="auto"/>
            <w:bottom w:val="none" w:sz="0" w:space="0" w:color="auto"/>
            <w:right w:val="none" w:sz="0" w:space="0" w:color="auto"/>
          </w:divBdr>
          <w:divsChild>
            <w:div w:id="491334935">
              <w:marLeft w:val="0"/>
              <w:marRight w:val="0"/>
              <w:marTop w:val="0"/>
              <w:marBottom w:val="0"/>
              <w:divBdr>
                <w:top w:val="none" w:sz="0" w:space="0" w:color="auto"/>
                <w:left w:val="none" w:sz="0" w:space="0" w:color="auto"/>
                <w:bottom w:val="none" w:sz="0" w:space="0" w:color="auto"/>
                <w:right w:val="none" w:sz="0" w:space="0" w:color="auto"/>
              </w:divBdr>
            </w:div>
            <w:div w:id="653873668">
              <w:marLeft w:val="0"/>
              <w:marRight w:val="0"/>
              <w:marTop w:val="0"/>
              <w:marBottom w:val="0"/>
              <w:divBdr>
                <w:top w:val="none" w:sz="0" w:space="0" w:color="auto"/>
                <w:left w:val="none" w:sz="0" w:space="0" w:color="auto"/>
                <w:bottom w:val="none" w:sz="0" w:space="0" w:color="auto"/>
                <w:right w:val="none" w:sz="0" w:space="0" w:color="auto"/>
              </w:divBdr>
            </w:div>
            <w:div w:id="666129508">
              <w:marLeft w:val="0"/>
              <w:marRight w:val="0"/>
              <w:marTop w:val="0"/>
              <w:marBottom w:val="0"/>
              <w:divBdr>
                <w:top w:val="none" w:sz="0" w:space="0" w:color="auto"/>
                <w:left w:val="none" w:sz="0" w:space="0" w:color="auto"/>
                <w:bottom w:val="none" w:sz="0" w:space="0" w:color="auto"/>
                <w:right w:val="none" w:sz="0" w:space="0" w:color="auto"/>
              </w:divBdr>
            </w:div>
            <w:div w:id="834076767">
              <w:marLeft w:val="0"/>
              <w:marRight w:val="0"/>
              <w:marTop w:val="0"/>
              <w:marBottom w:val="0"/>
              <w:divBdr>
                <w:top w:val="none" w:sz="0" w:space="0" w:color="auto"/>
                <w:left w:val="none" w:sz="0" w:space="0" w:color="auto"/>
                <w:bottom w:val="none" w:sz="0" w:space="0" w:color="auto"/>
                <w:right w:val="none" w:sz="0" w:space="0" w:color="auto"/>
              </w:divBdr>
            </w:div>
            <w:div w:id="1280382561">
              <w:marLeft w:val="0"/>
              <w:marRight w:val="0"/>
              <w:marTop w:val="0"/>
              <w:marBottom w:val="0"/>
              <w:divBdr>
                <w:top w:val="none" w:sz="0" w:space="0" w:color="auto"/>
                <w:left w:val="none" w:sz="0" w:space="0" w:color="auto"/>
                <w:bottom w:val="none" w:sz="0" w:space="0" w:color="auto"/>
                <w:right w:val="none" w:sz="0" w:space="0" w:color="auto"/>
              </w:divBdr>
            </w:div>
          </w:divsChild>
        </w:div>
        <w:div w:id="1081105424">
          <w:marLeft w:val="0"/>
          <w:marRight w:val="0"/>
          <w:marTop w:val="0"/>
          <w:marBottom w:val="0"/>
          <w:divBdr>
            <w:top w:val="none" w:sz="0" w:space="0" w:color="auto"/>
            <w:left w:val="none" w:sz="0" w:space="0" w:color="auto"/>
            <w:bottom w:val="none" w:sz="0" w:space="0" w:color="auto"/>
            <w:right w:val="none" w:sz="0" w:space="0" w:color="auto"/>
          </w:divBdr>
        </w:div>
        <w:div w:id="1120882258">
          <w:marLeft w:val="0"/>
          <w:marRight w:val="0"/>
          <w:marTop w:val="0"/>
          <w:marBottom w:val="0"/>
          <w:divBdr>
            <w:top w:val="none" w:sz="0" w:space="0" w:color="auto"/>
            <w:left w:val="none" w:sz="0" w:space="0" w:color="auto"/>
            <w:bottom w:val="none" w:sz="0" w:space="0" w:color="auto"/>
            <w:right w:val="none" w:sz="0" w:space="0" w:color="auto"/>
          </w:divBdr>
        </w:div>
        <w:div w:id="1125998968">
          <w:marLeft w:val="0"/>
          <w:marRight w:val="0"/>
          <w:marTop w:val="0"/>
          <w:marBottom w:val="0"/>
          <w:divBdr>
            <w:top w:val="none" w:sz="0" w:space="0" w:color="auto"/>
            <w:left w:val="none" w:sz="0" w:space="0" w:color="auto"/>
            <w:bottom w:val="none" w:sz="0" w:space="0" w:color="auto"/>
            <w:right w:val="none" w:sz="0" w:space="0" w:color="auto"/>
          </w:divBdr>
        </w:div>
        <w:div w:id="1219823969">
          <w:marLeft w:val="0"/>
          <w:marRight w:val="0"/>
          <w:marTop w:val="0"/>
          <w:marBottom w:val="0"/>
          <w:divBdr>
            <w:top w:val="none" w:sz="0" w:space="0" w:color="auto"/>
            <w:left w:val="none" w:sz="0" w:space="0" w:color="auto"/>
            <w:bottom w:val="none" w:sz="0" w:space="0" w:color="auto"/>
            <w:right w:val="none" w:sz="0" w:space="0" w:color="auto"/>
          </w:divBdr>
        </w:div>
        <w:div w:id="1225140279">
          <w:marLeft w:val="0"/>
          <w:marRight w:val="0"/>
          <w:marTop w:val="0"/>
          <w:marBottom w:val="0"/>
          <w:divBdr>
            <w:top w:val="none" w:sz="0" w:space="0" w:color="auto"/>
            <w:left w:val="none" w:sz="0" w:space="0" w:color="auto"/>
            <w:bottom w:val="none" w:sz="0" w:space="0" w:color="auto"/>
            <w:right w:val="none" w:sz="0" w:space="0" w:color="auto"/>
          </w:divBdr>
          <w:divsChild>
            <w:div w:id="802625846">
              <w:marLeft w:val="0"/>
              <w:marRight w:val="0"/>
              <w:marTop w:val="0"/>
              <w:marBottom w:val="0"/>
              <w:divBdr>
                <w:top w:val="none" w:sz="0" w:space="0" w:color="auto"/>
                <w:left w:val="none" w:sz="0" w:space="0" w:color="auto"/>
                <w:bottom w:val="none" w:sz="0" w:space="0" w:color="auto"/>
                <w:right w:val="none" w:sz="0" w:space="0" w:color="auto"/>
              </w:divBdr>
            </w:div>
            <w:div w:id="1018697108">
              <w:marLeft w:val="0"/>
              <w:marRight w:val="0"/>
              <w:marTop w:val="0"/>
              <w:marBottom w:val="0"/>
              <w:divBdr>
                <w:top w:val="none" w:sz="0" w:space="0" w:color="auto"/>
                <w:left w:val="none" w:sz="0" w:space="0" w:color="auto"/>
                <w:bottom w:val="none" w:sz="0" w:space="0" w:color="auto"/>
                <w:right w:val="none" w:sz="0" w:space="0" w:color="auto"/>
              </w:divBdr>
            </w:div>
            <w:div w:id="1362706218">
              <w:marLeft w:val="0"/>
              <w:marRight w:val="0"/>
              <w:marTop w:val="0"/>
              <w:marBottom w:val="0"/>
              <w:divBdr>
                <w:top w:val="none" w:sz="0" w:space="0" w:color="auto"/>
                <w:left w:val="none" w:sz="0" w:space="0" w:color="auto"/>
                <w:bottom w:val="none" w:sz="0" w:space="0" w:color="auto"/>
                <w:right w:val="none" w:sz="0" w:space="0" w:color="auto"/>
              </w:divBdr>
            </w:div>
            <w:div w:id="1667317187">
              <w:marLeft w:val="0"/>
              <w:marRight w:val="0"/>
              <w:marTop w:val="0"/>
              <w:marBottom w:val="0"/>
              <w:divBdr>
                <w:top w:val="none" w:sz="0" w:space="0" w:color="auto"/>
                <w:left w:val="none" w:sz="0" w:space="0" w:color="auto"/>
                <w:bottom w:val="none" w:sz="0" w:space="0" w:color="auto"/>
                <w:right w:val="none" w:sz="0" w:space="0" w:color="auto"/>
              </w:divBdr>
            </w:div>
            <w:div w:id="1935816775">
              <w:marLeft w:val="0"/>
              <w:marRight w:val="0"/>
              <w:marTop w:val="0"/>
              <w:marBottom w:val="0"/>
              <w:divBdr>
                <w:top w:val="none" w:sz="0" w:space="0" w:color="auto"/>
                <w:left w:val="none" w:sz="0" w:space="0" w:color="auto"/>
                <w:bottom w:val="none" w:sz="0" w:space="0" w:color="auto"/>
                <w:right w:val="none" w:sz="0" w:space="0" w:color="auto"/>
              </w:divBdr>
            </w:div>
          </w:divsChild>
        </w:div>
        <w:div w:id="1284380820">
          <w:marLeft w:val="0"/>
          <w:marRight w:val="0"/>
          <w:marTop w:val="0"/>
          <w:marBottom w:val="0"/>
          <w:divBdr>
            <w:top w:val="none" w:sz="0" w:space="0" w:color="auto"/>
            <w:left w:val="none" w:sz="0" w:space="0" w:color="auto"/>
            <w:bottom w:val="none" w:sz="0" w:space="0" w:color="auto"/>
            <w:right w:val="none" w:sz="0" w:space="0" w:color="auto"/>
          </w:divBdr>
        </w:div>
        <w:div w:id="1333801081">
          <w:marLeft w:val="0"/>
          <w:marRight w:val="0"/>
          <w:marTop w:val="0"/>
          <w:marBottom w:val="0"/>
          <w:divBdr>
            <w:top w:val="none" w:sz="0" w:space="0" w:color="auto"/>
            <w:left w:val="none" w:sz="0" w:space="0" w:color="auto"/>
            <w:bottom w:val="none" w:sz="0" w:space="0" w:color="auto"/>
            <w:right w:val="none" w:sz="0" w:space="0" w:color="auto"/>
          </w:divBdr>
        </w:div>
        <w:div w:id="1383678908">
          <w:marLeft w:val="0"/>
          <w:marRight w:val="0"/>
          <w:marTop w:val="0"/>
          <w:marBottom w:val="0"/>
          <w:divBdr>
            <w:top w:val="none" w:sz="0" w:space="0" w:color="auto"/>
            <w:left w:val="none" w:sz="0" w:space="0" w:color="auto"/>
            <w:bottom w:val="none" w:sz="0" w:space="0" w:color="auto"/>
            <w:right w:val="none" w:sz="0" w:space="0" w:color="auto"/>
          </w:divBdr>
        </w:div>
        <w:div w:id="1449355748">
          <w:marLeft w:val="0"/>
          <w:marRight w:val="0"/>
          <w:marTop w:val="0"/>
          <w:marBottom w:val="0"/>
          <w:divBdr>
            <w:top w:val="none" w:sz="0" w:space="0" w:color="auto"/>
            <w:left w:val="none" w:sz="0" w:space="0" w:color="auto"/>
            <w:bottom w:val="none" w:sz="0" w:space="0" w:color="auto"/>
            <w:right w:val="none" w:sz="0" w:space="0" w:color="auto"/>
          </w:divBdr>
          <w:divsChild>
            <w:div w:id="175196643">
              <w:marLeft w:val="0"/>
              <w:marRight w:val="0"/>
              <w:marTop w:val="0"/>
              <w:marBottom w:val="0"/>
              <w:divBdr>
                <w:top w:val="none" w:sz="0" w:space="0" w:color="auto"/>
                <w:left w:val="none" w:sz="0" w:space="0" w:color="auto"/>
                <w:bottom w:val="none" w:sz="0" w:space="0" w:color="auto"/>
                <w:right w:val="none" w:sz="0" w:space="0" w:color="auto"/>
              </w:divBdr>
            </w:div>
            <w:div w:id="330523339">
              <w:marLeft w:val="0"/>
              <w:marRight w:val="0"/>
              <w:marTop w:val="0"/>
              <w:marBottom w:val="0"/>
              <w:divBdr>
                <w:top w:val="none" w:sz="0" w:space="0" w:color="auto"/>
                <w:left w:val="none" w:sz="0" w:space="0" w:color="auto"/>
                <w:bottom w:val="none" w:sz="0" w:space="0" w:color="auto"/>
                <w:right w:val="none" w:sz="0" w:space="0" w:color="auto"/>
              </w:divBdr>
            </w:div>
            <w:div w:id="1026061362">
              <w:marLeft w:val="0"/>
              <w:marRight w:val="0"/>
              <w:marTop w:val="0"/>
              <w:marBottom w:val="0"/>
              <w:divBdr>
                <w:top w:val="none" w:sz="0" w:space="0" w:color="auto"/>
                <w:left w:val="none" w:sz="0" w:space="0" w:color="auto"/>
                <w:bottom w:val="none" w:sz="0" w:space="0" w:color="auto"/>
                <w:right w:val="none" w:sz="0" w:space="0" w:color="auto"/>
              </w:divBdr>
            </w:div>
            <w:div w:id="1392122590">
              <w:marLeft w:val="0"/>
              <w:marRight w:val="0"/>
              <w:marTop w:val="0"/>
              <w:marBottom w:val="0"/>
              <w:divBdr>
                <w:top w:val="none" w:sz="0" w:space="0" w:color="auto"/>
                <w:left w:val="none" w:sz="0" w:space="0" w:color="auto"/>
                <w:bottom w:val="none" w:sz="0" w:space="0" w:color="auto"/>
                <w:right w:val="none" w:sz="0" w:space="0" w:color="auto"/>
              </w:divBdr>
            </w:div>
            <w:div w:id="1727336218">
              <w:marLeft w:val="0"/>
              <w:marRight w:val="0"/>
              <w:marTop w:val="0"/>
              <w:marBottom w:val="0"/>
              <w:divBdr>
                <w:top w:val="none" w:sz="0" w:space="0" w:color="auto"/>
                <w:left w:val="none" w:sz="0" w:space="0" w:color="auto"/>
                <w:bottom w:val="none" w:sz="0" w:space="0" w:color="auto"/>
                <w:right w:val="none" w:sz="0" w:space="0" w:color="auto"/>
              </w:divBdr>
            </w:div>
          </w:divsChild>
        </w:div>
        <w:div w:id="1518691824">
          <w:marLeft w:val="0"/>
          <w:marRight w:val="0"/>
          <w:marTop w:val="0"/>
          <w:marBottom w:val="0"/>
          <w:divBdr>
            <w:top w:val="none" w:sz="0" w:space="0" w:color="auto"/>
            <w:left w:val="none" w:sz="0" w:space="0" w:color="auto"/>
            <w:bottom w:val="none" w:sz="0" w:space="0" w:color="auto"/>
            <w:right w:val="none" w:sz="0" w:space="0" w:color="auto"/>
          </w:divBdr>
        </w:div>
        <w:div w:id="1609463433">
          <w:marLeft w:val="0"/>
          <w:marRight w:val="0"/>
          <w:marTop w:val="0"/>
          <w:marBottom w:val="0"/>
          <w:divBdr>
            <w:top w:val="none" w:sz="0" w:space="0" w:color="auto"/>
            <w:left w:val="none" w:sz="0" w:space="0" w:color="auto"/>
            <w:bottom w:val="none" w:sz="0" w:space="0" w:color="auto"/>
            <w:right w:val="none" w:sz="0" w:space="0" w:color="auto"/>
          </w:divBdr>
        </w:div>
        <w:div w:id="1670137156">
          <w:marLeft w:val="0"/>
          <w:marRight w:val="0"/>
          <w:marTop w:val="0"/>
          <w:marBottom w:val="0"/>
          <w:divBdr>
            <w:top w:val="none" w:sz="0" w:space="0" w:color="auto"/>
            <w:left w:val="none" w:sz="0" w:space="0" w:color="auto"/>
            <w:bottom w:val="none" w:sz="0" w:space="0" w:color="auto"/>
            <w:right w:val="none" w:sz="0" w:space="0" w:color="auto"/>
          </w:divBdr>
          <w:divsChild>
            <w:div w:id="178784391">
              <w:marLeft w:val="0"/>
              <w:marRight w:val="0"/>
              <w:marTop w:val="0"/>
              <w:marBottom w:val="0"/>
              <w:divBdr>
                <w:top w:val="none" w:sz="0" w:space="0" w:color="auto"/>
                <w:left w:val="none" w:sz="0" w:space="0" w:color="auto"/>
                <w:bottom w:val="none" w:sz="0" w:space="0" w:color="auto"/>
                <w:right w:val="none" w:sz="0" w:space="0" w:color="auto"/>
              </w:divBdr>
            </w:div>
            <w:div w:id="258369930">
              <w:marLeft w:val="0"/>
              <w:marRight w:val="0"/>
              <w:marTop w:val="0"/>
              <w:marBottom w:val="0"/>
              <w:divBdr>
                <w:top w:val="none" w:sz="0" w:space="0" w:color="auto"/>
                <w:left w:val="none" w:sz="0" w:space="0" w:color="auto"/>
                <w:bottom w:val="none" w:sz="0" w:space="0" w:color="auto"/>
                <w:right w:val="none" w:sz="0" w:space="0" w:color="auto"/>
              </w:divBdr>
            </w:div>
            <w:div w:id="350843608">
              <w:marLeft w:val="0"/>
              <w:marRight w:val="0"/>
              <w:marTop w:val="0"/>
              <w:marBottom w:val="0"/>
              <w:divBdr>
                <w:top w:val="none" w:sz="0" w:space="0" w:color="auto"/>
                <w:left w:val="none" w:sz="0" w:space="0" w:color="auto"/>
                <w:bottom w:val="none" w:sz="0" w:space="0" w:color="auto"/>
                <w:right w:val="none" w:sz="0" w:space="0" w:color="auto"/>
              </w:divBdr>
            </w:div>
            <w:div w:id="566495362">
              <w:marLeft w:val="0"/>
              <w:marRight w:val="0"/>
              <w:marTop w:val="0"/>
              <w:marBottom w:val="0"/>
              <w:divBdr>
                <w:top w:val="none" w:sz="0" w:space="0" w:color="auto"/>
                <w:left w:val="none" w:sz="0" w:space="0" w:color="auto"/>
                <w:bottom w:val="none" w:sz="0" w:space="0" w:color="auto"/>
                <w:right w:val="none" w:sz="0" w:space="0" w:color="auto"/>
              </w:divBdr>
            </w:div>
            <w:div w:id="1268274616">
              <w:marLeft w:val="0"/>
              <w:marRight w:val="0"/>
              <w:marTop w:val="0"/>
              <w:marBottom w:val="0"/>
              <w:divBdr>
                <w:top w:val="none" w:sz="0" w:space="0" w:color="auto"/>
                <w:left w:val="none" w:sz="0" w:space="0" w:color="auto"/>
                <w:bottom w:val="none" w:sz="0" w:space="0" w:color="auto"/>
                <w:right w:val="none" w:sz="0" w:space="0" w:color="auto"/>
              </w:divBdr>
            </w:div>
          </w:divsChild>
        </w:div>
        <w:div w:id="1676496496">
          <w:marLeft w:val="0"/>
          <w:marRight w:val="0"/>
          <w:marTop w:val="0"/>
          <w:marBottom w:val="0"/>
          <w:divBdr>
            <w:top w:val="none" w:sz="0" w:space="0" w:color="auto"/>
            <w:left w:val="none" w:sz="0" w:space="0" w:color="auto"/>
            <w:bottom w:val="none" w:sz="0" w:space="0" w:color="auto"/>
            <w:right w:val="none" w:sz="0" w:space="0" w:color="auto"/>
          </w:divBdr>
        </w:div>
        <w:div w:id="1703898342">
          <w:marLeft w:val="0"/>
          <w:marRight w:val="0"/>
          <w:marTop w:val="0"/>
          <w:marBottom w:val="0"/>
          <w:divBdr>
            <w:top w:val="none" w:sz="0" w:space="0" w:color="auto"/>
            <w:left w:val="none" w:sz="0" w:space="0" w:color="auto"/>
            <w:bottom w:val="none" w:sz="0" w:space="0" w:color="auto"/>
            <w:right w:val="none" w:sz="0" w:space="0" w:color="auto"/>
          </w:divBdr>
        </w:div>
        <w:div w:id="1794248605">
          <w:marLeft w:val="0"/>
          <w:marRight w:val="0"/>
          <w:marTop w:val="0"/>
          <w:marBottom w:val="0"/>
          <w:divBdr>
            <w:top w:val="none" w:sz="0" w:space="0" w:color="auto"/>
            <w:left w:val="none" w:sz="0" w:space="0" w:color="auto"/>
            <w:bottom w:val="none" w:sz="0" w:space="0" w:color="auto"/>
            <w:right w:val="none" w:sz="0" w:space="0" w:color="auto"/>
          </w:divBdr>
          <w:divsChild>
            <w:div w:id="82919981">
              <w:marLeft w:val="0"/>
              <w:marRight w:val="0"/>
              <w:marTop w:val="0"/>
              <w:marBottom w:val="0"/>
              <w:divBdr>
                <w:top w:val="none" w:sz="0" w:space="0" w:color="auto"/>
                <w:left w:val="none" w:sz="0" w:space="0" w:color="auto"/>
                <w:bottom w:val="none" w:sz="0" w:space="0" w:color="auto"/>
                <w:right w:val="none" w:sz="0" w:space="0" w:color="auto"/>
              </w:divBdr>
            </w:div>
            <w:div w:id="919557720">
              <w:marLeft w:val="0"/>
              <w:marRight w:val="0"/>
              <w:marTop w:val="0"/>
              <w:marBottom w:val="0"/>
              <w:divBdr>
                <w:top w:val="none" w:sz="0" w:space="0" w:color="auto"/>
                <w:left w:val="none" w:sz="0" w:space="0" w:color="auto"/>
                <w:bottom w:val="none" w:sz="0" w:space="0" w:color="auto"/>
                <w:right w:val="none" w:sz="0" w:space="0" w:color="auto"/>
              </w:divBdr>
            </w:div>
            <w:div w:id="1567573664">
              <w:marLeft w:val="0"/>
              <w:marRight w:val="0"/>
              <w:marTop w:val="0"/>
              <w:marBottom w:val="0"/>
              <w:divBdr>
                <w:top w:val="none" w:sz="0" w:space="0" w:color="auto"/>
                <w:left w:val="none" w:sz="0" w:space="0" w:color="auto"/>
                <w:bottom w:val="none" w:sz="0" w:space="0" w:color="auto"/>
                <w:right w:val="none" w:sz="0" w:space="0" w:color="auto"/>
              </w:divBdr>
            </w:div>
            <w:div w:id="1704286624">
              <w:marLeft w:val="0"/>
              <w:marRight w:val="0"/>
              <w:marTop w:val="0"/>
              <w:marBottom w:val="0"/>
              <w:divBdr>
                <w:top w:val="none" w:sz="0" w:space="0" w:color="auto"/>
                <w:left w:val="none" w:sz="0" w:space="0" w:color="auto"/>
                <w:bottom w:val="none" w:sz="0" w:space="0" w:color="auto"/>
                <w:right w:val="none" w:sz="0" w:space="0" w:color="auto"/>
              </w:divBdr>
            </w:div>
            <w:div w:id="2049256501">
              <w:marLeft w:val="0"/>
              <w:marRight w:val="0"/>
              <w:marTop w:val="0"/>
              <w:marBottom w:val="0"/>
              <w:divBdr>
                <w:top w:val="none" w:sz="0" w:space="0" w:color="auto"/>
                <w:left w:val="none" w:sz="0" w:space="0" w:color="auto"/>
                <w:bottom w:val="none" w:sz="0" w:space="0" w:color="auto"/>
                <w:right w:val="none" w:sz="0" w:space="0" w:color="auto"/>
              </w:divBdr>
            </w:div>
          </w:divsChild>
        </w:div>
        <w:div w:id="1883205734">
          <w:marLeft w:val="0"/>
          <w:marRight w:val="0"/>
          <w:marTop w:val="0"/>
          <w:marBottom w:val="0"/>
          <w:divBdr>
            <w:top w:val="none" w:sz="0" w:space="0" w:color="auto"/>
            <w:left w:val="none" w:sz="0" w:space="0" w:color="auto"/>
            <w:bottom w:val="none" w:sz="0" w:space="0" w:color="auto"/>
            <w:right w:val="none" w:sz="0" w:space="0" w:color="auto"/>
          </w:divBdr>
        </w:div>
        <w:div w:id="1987128277">
          <w:marLeft w:val="0"/>
          <w:marRight w:val="0"/>
          <w:marTop w:val="0"/>
          <w:marBottom w:val="0"/>
          <w:divBdr>
            <w:top w:val="none" w:sz="0" w:space="0" w:color="auto"/>
            <w:left w:val="none" w:sz="0" w:space="0" w:color="auto"/>
            <w:bottom w:val="none" w:sz="0" w:space="0" w:color="auto"/>
            <w:right w:val="none" w:sz="0" w:space="0" w:color="auto"/>
          </w:divBdr>
        </w:div>
        <w:div w:id="2024630059">
          <w:marLeft w:val="0"/>
          <w:marRight w:val="0"/>
          <w:marTop w:val="0"/>
          <w:marBottom w:val="0"/>
          <w:divBdr>
            <w:top w:val="none" w:sz="0" w:space="0" w:color="auto"/>
            <w:left w:val="none" w:sz="0" w:space="0" w:color="auto"/>
            <w:bottom w:val="none" w:sz="0" w:space="0" w:color="auto"/>
            <w:right w:val="none" w:sz="0" w:space="0" w:color="auto"/>
          </w:divBdr>
        </w:div>
        <w:div w:id="2040203971">
          <w:marLeft w:val="0"/>
          <w:marRight w:val="0"/>
          <w:marTop w:val="0"/>
          <w:marBottom w:val="0"/>
          <w:divBdr>
            <w:top w:val="none" w:sz="0" w:space="0" w:color="auto"/>
            <w:left w:val="none" w:sz="0" w:space="0" w:color="auto"/>
            <w:bottom w:val="none" w:sz="0" w:space="0" w:color="auto"/>
            <w:right w:val="none" w:sz="0" w:space="0" w:color="auto"/>
          </w:divBdr>
        </w:div>
        <w:div w:id="2082100233">
          <w:marLeft w:val="0"/>
          <w:marRight w:val="0"/>
          <w:marTop w:val="0"/>
          <w:marBottom w:val="0"/>
          <w:divBdr>
            <w:top w:val="none" w:sz="0" w:space="0" w:color="auto"/>
            <w:left w:val="none" w:sz="0" w:space="0" w:color="auto"/>
            <w:bottom w:val="none" w:sz="0" w:space="0" w:color="auto"/>
            <w:right w:val="none" w:sz="0" w:space="0" w:color="auto"/>
          </w:divBdr>
        </w:div>
        <w:div w:id="2128352523">
          <w:marLeft w:val="0"/>
          <w:marRight w:val="0"/>
          <w:marTop w:val="0"/>
          <w:marBottom w:val="0"/>
          <w:divBdr>
            <w:top w:val="none" w:sz="0" w:space="0" w:color="auto"/>
            <w:left w:val="none" w:sz="0" w:space="0" w:color="auto"/>
            <w:bottom w:val="none" w:sz="0" w:space="0" w:color="auto"/>
            <w:right w:val="none" w:sz="0" w:space="0" w:color="auto"/>
          </w:divBdr>
        </w:div>
        <w:div w:id="2133664818">
          <w:marLeft w:val="0"/>
          <w:marRight w:val="0"/>
          <w:marTop w:val="0"/>
          <w:marBottom w:val="0"/>
          <w:divBdr>
            <w:top w:val="none" w:sz="0" w:space="0" w:color="auto"/>
            <w:left w:val="none" w:sz="0" w:space="0" w:color="auto"/>
            <w:bottom w:val="none" w:sz="0" w:space="0" w:color="auto"/>
            <w:right w:val="none" w:sz="0" w:space="0" w:color="auto"/>
          </w:divBdr>
        </w:div>
      </w:divsChild>
    </w:div>
    <w:div w:id="403451878">
      <w:bodyDiv w:val="1"/>
      <w:marLeft w:val="0"/>
      <w:marRight w:val="0"/>
      <w:marTop w:val="0"/>
      <w:marBottom w:val="0"/>
      <w:divBdr>
        <w:top w:val="none" w:sz="0" w:space="0" w:color="auto"/>
        <w:left w:val="none" w:sz="0" w:space="0" w:color="auto"/>
        <w:bottom w:val="none" w:sz="0" w:space="0" w:color="auto"/>
        <w:right w:val="none" w:sz="0" w:space="0" w:color="auto"/>
      </w:divBdr>
      <w:divsChild>
        <w:div w:id="676620926">
          <w:marLeft w:val="0"/>
          <w:marRight w:val="0"/>
          <w:marTop w:val="0"/>
          <w:marBottom w:val="0"/>
          <w:divBdr>
            <w:top w:val="none" w:sz="0" w:space="0" w:color="auto"/>
            <w:left w:val="none" w:sz="0" w:space="0" w:color="auto"/>
            <w:bottom w:val="none" w:sz="0" w:space="0" w:color="auto"/>
            <w:right w:val="none" w:sz="0" w:space="0" w:color="auto"/>
          </w:divBdr>
          <w:divsChild>
            <w:div w:id="1779256346">
              <w:marLeft w:val="0"/>
              <w:marRight w:val="0"/>
              <w:marTop w:val="0"/>
              <w:marBottom w:val="0"/>
              <w:divBdr>
                <w:top w:val="none" w:sz="0" w:space="0" w:color="auto"/>
                <w:left w:val="none" w:sz="0" w:space="0" w:color="auto"/>
                <w:bottom w:val="none" w:sz="0" w:space="0" w:color="auto"/>
                <w:right w:val="none" w:sz="0" w:space="0" w:color="auto"/>
              </w:divBdr>
            </w:div>
            <w:div w:id="2052419439">
              <w:marLeft w:val="0"/>
              <w:marRight w:val="0"/>
              <w:marTop w:val="0"/>
              <w:marBottom w:val="0"/>
              <w:divBdr>
                <w:top w:val="none" w:sz="0" w:space="0" w:color="auto"/>
                <w:left w:val="none" w:sz="0" w:space="0" w:color="auto"/>
                <w:bottom w:val="none" w:sz="0" w:space="0" w:color="auto"/>
                <w:right w:val="none" w:sz="0" w:space="0" w:color="auto"/>
              </w:divBdr>
            </w:div>
          </w:divsChild>
        </w:div>
        <w:div w:id="1017542906">
          <w:marLeft w:val="0"/>
          <w:marRight w:val="0"/>
          <w:marTop w:val="0"/>
          <w:marBottom w:val="0"/>
          <w:divBdr>
            <w:top w:val="none" w:sz="0" w:space="0" w:color="auto"/>
            <w:left w:val="none" w:sz="0" w:space="0" w:color="auto"/>
            <w:bottom w:val="none" w:sz="0" w:space="0" w:color="auto"/>
            <w:right w:val="none" w:sz="0" w:space="0" w:color="auto"/>
          </w:divBdr>
          <w:divsChild>
            <w:div w:id="609700362">
              <w:marLeft w:val="0"/>
              <w:marRight w:val="0"/>
              <w:marTop w:val="0"/>
              <w:marBottom w:val="0"/>
              <w:divBdr>
                <w:top w:val="none" w:sz="0" w:space="0" w:color="auto"/>
                <w:left w:val="none" w:sz="0" w:space="0" w:color="auto"/>
                <w:bottom w:val="none" w:sz="0" w:space="0" w:color="auto"/>
                <w:right w:val="none" w:sz="0" w:space="0" w:color="auto"/>
              </w:divBdr>
            </w:div>
            <w:div w:id="779836101">
              <w:marLeft w:val="0"/>
              <w:marRight w:val="0"/>
              <w:marTop w:val="0"/>
              <w:marBottom w:val="0"/>
              <w:divBdr>
                <w:top w:val="none" w:sz="0" w:space="0" w:color="auto"/>
                <w:left w:val="none" w:sz="0" w:space="0" w:color="auto"/>
                <w:bottom w:val="none" w:sz="0" w:space="0" w:color="auto"/>
                <w:right w:val="none" w:sz="0" w:space="0" w:color="auto"/>
              </w:divBdr>
            </w:div>
            <w:div w:id="1059131084">
              <w:marLeft w:val="0"/>
              <w:marRight w:val="0"/>
              <w:marTop w:val="0"/>
              <w:marBottom w:val="0"/>
              <w:divBdr>
                <w:top w:val="none" w:sz="0" w:space="0" w:color="auto"/>
                <w:left w:val="none" w:sz="0" w:space="0" w:color="auto"/>
                <w:bottom w:val="none" w:sz="0" w:space="0" w:color="auto"/>
                <w:right w:val="none" w:sz="0" w:space="0" w:color="auto"/>
              </w:divBdr>
            </w:div>
            <w:div w:id="1344438225">
              <w:marLeft w:val="0"/>
              <w:marRight w:val="0"/>
              <w:marTop w:val="0"/>
              <w:marBottom w:val="0"/>
              <w:divBdr>
                <w:top w:val="none" w:sz="0" w:space="0" w:color="auto"/>
                <w:left w:val="none" w:sz="0" w:space="0" w:color="auto"/>
                <w:bottom w:val="none" w:sz="0" w:space="0" w:color="auto"/>
                <w:right w:val="none" w:sz="0" w:space="0" w:color="auto"/>
              </w:divBdr>
            </w:div>
            <w:div w:id="1990597316">
              <w:marLeft w:val="0"/>
              <w:marRight w:val="0"/>
              <w:marTop w:val="0"/>
              <w:marBottom w:val="0"/>
              <w:divBdr>
                <w:top w:val="none" w:sz="0" w:space="0" w:color="auto"/>
                <w:left w:val="none" w:sz="0" w:space="0" w:color="auto"/>
                <w:bottom w:val="none" w:sz="0" w:space="0" w:color="auto"/>
                <w:right w:val="none" w:sz="0" w:space="0" w:color="auto"/>
              </w:divBdr>
            </w:div>
          </w:divsChild>
        </w:div>
        <w:div w:id="1097943052">
          <w:marLeft w:val="0"/>
          <w:marRight w:val="0"/>
          <w:marTop w:val="0"/>
          <w:marBottom w:val="0"/>
          <w:divBdr>
            <w:top w:val="none" w:sz="0" w:space="0" w:color="auto"/>
            <w:left w:val="none" w:sz="0" w:space="0" w:color="auto"/>
            <w:bottom w:val="none" w:sz="0" w:space="0" w:color="auto"/>
            <w:right w:val="none" w:sz="0" w:space="0" w:color="auto"/>
          </w:divBdr>
        </w:div>
        <w:div w:id="1177386861">
          <w:marLeft w:val="0"/>
          <w:marRight w:val="0"/>
          <w:marTop w:val="0"/>
          <w:marBottom w:val="0"/>
          <w:divBdr>
            <w:top w:val="none" w:sz="0" w:space="0" w:color="auto"/>
            <w:left w:val="none" w:sz="0" w:space="0" w:color="auto"/>
            <w:bottom w:val="none" w:sz="0" w:space="0" w:color="auto"/>
            <w:right w:val="none" w:sz="0" w:space="0" w:color="auto"/>
          </w:divBdr>
          <w:divsChild>
            <w:div w:id="15233981">
              <w:marLeft w:val="0"/>
              <w:marRight w:val="0"/>
              <w:marTop w:val="0"/>
              <w:marBottom w:val="0"/>
              <w:divBdr>
                <w:top w:val="none" w:sz="0" w:space="0" w:color="auto"/>
                <w:left w:val="none" w:sz="0" w:space="0" w:color="auto"/>
                <w:bottom w:val="none" w:sz="0" w:space="0" w:color="auto"/>
                <w:right w:val="none" w:sz="0" w:space="0" w:color="auto"/>
              </w:divBdr>
            </w:div>
            <w:div w:id="50229795">
              <w:marLeft w:val="0"/>
              <w:marRight w:val="0"/>
              <w:marTop w:val="0"/>
              <w:marBottom w:val="0"/>
              <w:divBdr>
                <w:top w:val="none" w:sz="0" w:space="0" w:color="auto"/>
                <w:left w:val="none" w:sz="0" w:space="0" w:color="auto"/>
                <w:bottom w:val="none" w:sz="0" w:space="0" w:color="auto"/>
                <w:right w:val="none" w:sz="0" w:space="0" w:color="auto"/>
              </w:divBdr>
            </w:div>
            <w:div w:id="1134911346">
              <w:marLeft w:val="0"/>
              <w:marRight w:val="0"/>
              <w:marTop w:val="0"/>
              <w:marBottom w:val="0"/>
              <w:divBdr>
                <w:top w:val="none" w:sz="0" w:space="0" w:color="auto"/>
                <w:left w:val="none" w:sz="0" w:space="0" w:color="auto"/>
                <w:bottom w:val="none" w:sz="0" w:space="0" w:color="auto"/>
                <w:right w:val="none" w:sz="0" w:space="0" w:color="auto"/>
              </w:divBdr>
            </w:div>
            <w:div w:id="1152600728">
              <w:marLeft w:val="0"/>
              <w:marRight w:val="0"/>
              <w:marTop w:val="0"/>
              <w:marBottom w:val="0"/>
              <w:divBdr>
                <w:top w:val="none" w:sz="0" w:space="0" w:color="auto"/>
                <w:left w:val="none" w:sz="0" w:space="0" w:color="auto"/>
                <w:bottom w:val="none" w:sz="0" w:space="0" w:color="auto"/>
                <w:right w:val="none" w:sz="0" w:space="0" w:color="auto"/>
              </w:divBdr>
            </w:div>
            <w:div w:id="14972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601">
      <w:bodyDiv w:val="1"/>
      <w:marLeft w:val="0"/>
      <w:marRight w:val="0"/>
      <w:marTop w:val="0"/>
      <w:marBottom w:val="0"/>
      <w:divBdr>
        <w:top w:val="none" w:sz="0" w:space="0" w:color="auto"/>
        <w:left w:val="none" w:sz="0" w:space="0" w:color="auto"/>
        <w:bottom w:val="none" w:sz="0" w:space="0" w:color="auto"/>
        <w:right w:val="none" w:sz="0" w:space="0" w:color="auto"/>
      </w:divBdr>
      <w:divsChild>
        <w:div w:id="117144313">
          <w:marLeft w:val="0"/>
          <w:marRight w:val="0"/>
          <w:marTop w:val="0"/>
          <w:marBottom w:val="0"/>
          <w:divBdr>
            <w:top w:val="none" w:sz="0" w:space="0" w:color="auto"/>
            <w:left w:val="none" w:sz="0" w:space="0" w:color="auto"/>
            <w:bottom w:val="none" w:sz="0" w:space="0" w:color="auto"/>
            <w:right w:val="none" w:sz="0" w:space="0" w:color="auto"/>
          </w:divBdr>
          <w:divsChild>
            <w:div w:id="445999905">
              <w:marLeft w:val="0"/>
              <w:marRight w:val="0"/>
              <w:marTop w:val="0"/>
              <w:marBottom w:val="0"/>
              <w:divBdr>
                <w:top w:val="none" w:sz="0" w:space="0" w:color="auto"/>
                <w:left w:val="none" w:sz="0" w:space="0" w:color="auto"/>
                <w:bottom w:val="none" w:sz="0" w:space="0" w:color="auto"/>
                <w:right w:val="none" w:sz="0" w:space="0" w:color="auto"/>
              </w:divBdr>
            </w:div>
          </w:divsChild>
        </w:div>
        <w:div w:id="196429672">
          <w:marLeft w:val="0"/>
          <w:marRight w:val="0"/>
          <w:marTop w:val="0"/>
          <w:marBottom w:val="0"/>
          <w:divBdr>
            <w:top w:val="none" w:sz="0" w:space="0" w:color="auto"/>
            <w:left w:val="none" w:sz="0" w:space="0" w:color="auto"/>
            <w:bottom w:val="none" w:sz="0" w:space="0" w:color="auto"/>
            <w:right w:val="none" w:sz="0" w:space="0" w:color="auto"/>
          </w:divBdr>
          <w:divsChild>
            <w:div w:id="1553232457">
              <w:marLeft w:val="0"/>
              <w:marRight w:val="0"/>
              <w:marTop w:val="0"/>
              <w:marBottom w:val="0"/>
              <w:divBdr>
                <w:top w:val="none" w:sz="0" w:space="0" w:color="auto"/>
                <w:left w:val="none" w:sz="0" w:space="0" w:color="auto"/>
                <w:bottom w:val="none" w:sz="0" w:space="0" w:color="auto"/>
                <w:right w:val="none" w:sz="0" w:space="0" w:color="auto"/>
              </w:divBdr>
            </w:div>
          </w:divsChild>
        </w:div>
        <w:div w:id="215240101">
          <w:marLeft w:val="0"/>
          <w:marRight w:val="0"/>
          <w:marTop w:val="0"/>
          <w:marBottom w:val="0"/>
          <w:divBdr>
            <w:top w:val="none" w:sz="0" w:space="0" w:color="auto"/>
            <w:left w:val="none" w:sz="0" w:space="0" w:color="auto"/>
            <w:bottom w:val="none" w:sz="0" w:space="0" w:color="auto"/>
            <w:right w:val="none" w:sz="0" w:space="0" w:color="auto"/>
          </w:divBdr>
          <w:divsChild>
            <w:div w:id="525555858">
              <w:marLeft w:val="0"/>
              <w:marRight w:val="0"/>
              <w:marTop w:val="0"/>
              <w:marBottom w:val="0"/>
              <w:divBdr>
                <w:top w:val="none" w:sz="0" w:space="0" w:color="auto"/>
                <w:left w:val="none" w:sz="0" w:space="0" w:color="auto"/>
                <w:bottom w:val="none" w:sz="0" w:space="0" w:color="auto"/>
                <w:right w:val="none" w:sz="0" w:space="0" w:color="auto"/>
              </w:divBdr>
            </w:div>
          </w:divsChild>
        </w:div>
        <w:div w:id="326439380">
          <w:marLeft w:val="0"/>
          <w:marRight w:val="0"/>
          <w:marTop w:val="0"/>
          <w:marBottom w:val="0"/>
          <w:divBdr>
            <w:top w:val="none" w:sz="0" w:space="0" w:color="auto"/>
            <w:left w:val="none" w:sz="0" w:space="0" w:color="auto"/>
            <w:bottom w:val="none" w:sz="0" w:space="0" w:color="auto"/>
            <w:right w:val="none" w:sz="0" w:space="0" w:color="auto"/>
          </w:divBdr>
          <w:divsChild>
            <w:div w:id="1521550310">
              <w:marLeft w:val="0"/>
              <w:marRight w:val="0"/>
              <w:marTop w:val="0"/>
              <w:marBottom w:val="0"/>
              <w:divBdr>
                <w:top w:val="none" w:sz="0" w:space="0" w:color="auto"/>
                <w:left w:val="none" w:sz="0" w:space="0" w:color="auto"/>
                <w:bottom w:val="none" w:sz="0" w:space="0" w:color="auto"/>
                <w:right w:val="none" w:sz="0" w:space="0" w:color="auto"/>
              </w:divBdr>
            </w:div>
          </w:divsChild>
        </w:div>
        <w:div w:id="330061339">
          <w:marLeft w:val="0"/>
          <w:marRight w:val="0"/>
          <w:marTop w:val="0"/>
          <w:marBottom w:val="0"/>
          <w:divBdr>
            <w:top w:val="none" w:sz="0" w:space="0" w:color="auto"/>
            <w:left w:val="none" w:sz="0" w:space="0" w:color="auto"/>
            <w:bottom w:val="none" w:sz="0" w:space="0" w:color="auto"/>
            <w:right w:val="none" w:sz="0" w:space="0" w:color="auto"/>
          </w:divBdr>
          <w:divsChild>
            <w:div w:id="1635597690">
              <w:marLeft w:val="0"/>
              <w:marRight w:val="0"/>
              <w:marTop w:val="0"/>
              <w:marBottom w:val="0"/>
              <w:divBdr>
                <w:top w:val="none" w:sz="0" w:space="0" w:color="auto"/>
                <w:left w:val="none" w:sz="0" w:space="0" w:color="auto"/>
                <w:bottom w:val="none" w:sz="0" w:space="0" w:color="auto"/>
                <w:right w:val="none" w:sz="0" w:space="0" w:color="auto"/>
              </w:divBdr>
            </w:div>
          </w:divsChild>
        </w:div>
        <w:div w:id="422191395">
          <w:marLeft w:val="0"/>
          <w:marRight w:val="0"/>
          <w:marTop w:val="0"/>
          <w:marBottom w:val="0"/>
          <w:divBdr>
            <w:top w:val="none" w:sz="0" w:space="0" w:color="auto"/>
            <w:left w:val="none" w:sz="0" w:space="0" w:color="auto"/>
            <w:bottom w:val="none" w:sz="0" w:space="0" w:color="auto"/>
            <w:right w:val="none" w:sz="0" w:space="0" w:color="auto"/>
          </w:divBdr>
          <w:divsChild>
            <w:div w:id="2079669666">
              <w:marLeft w:val="0"/>
              <w:marRight w:val="0"/>
              <w:marTop w:val="0"/>
              <w:marBottom w:val="0"/>
              <w:divBdr>
                <w:top w:val="none" w:sz="0" w:space="0" w:color="auto"/>
                <w:left w:val="none" w:sz="0" w:space="0" w:color="auto"/>
                <w:bottom w:val="none" w:sz="0" w:space="0" w:color="auto"/>
                <w:right w:val="none" w:sz="0" w:space="0" w:color="auto"/>
              </w:divBdr>
            </w:div>
          </w:divsChild>
        </w:div>
        <w:div w:id="445317272">
          <w:marLeft w:val="0"/>
          <w:marRight w:val="0"/>
          <w:marTop w:val="0"/>
          <w:marBottom w:val="0"/>
          <w:divBdr>
            <w:top w:val="none" w:sz="0" w:space="0" w:color="auto"/>
            <w:left w:val="none" w:sz="0" w:space="0" w:color="auto"/>
            <w:bottom w:val="none" w:sz="0" w:space="0" w:color="auto"/>
            <w:right w:val="none" w:sz="0" w:space="0" w:color="auto"/>
          </w:divBdr>
          <w:divsChild>
            <w:div w:id="1152524428">
              <w:marLeft w:val="0"/>
              <w:marRight w:val="0"/>
              <w:marTop w:val="0"/>
              <w:marBottom w:val="0"/>
              <w:divBdr>
                <w:top w:val="none" w:sz="0" w:space="0" w:color="auto"/>
                <w:left w:val="none" w:sz="0" w:space="0" w:color="auto"/>
                <w:bottom w:val="none" w:sz="0" w:space="0" w:color="auto"/>
                <w:right w:val="none" w:sz="0" w:space="0" w:color="auto"/>
              </w:divBdr>
            </w:div>
          </w:divsChild>
        </w:div>
        <w:div w:id="449780804">
          <w:marLeft w:val="0"/>
          <w:marRight w:val="0"/>
          <w:marTop w:val="0"/>
          <w:marBottom w:val="0"/>
          <w:divBdr>
            <w:top w:val="none" w:sz="0" w:space="0" w:color="auto"/>
            <w:left w:val="none" w:sz="0" w:space="0" w:color="auto"/>
            <w:bottom w:val="none" w:sz="0" w:space="0" w:color="auto"/>
            <w:right w:val="none" w:sz="0" w:space="0" w:color="auto"/>
          </w:divBdr>
          <w:divsChild>
            <w:div w:id="234976642">
              <w:marLeft w:val="0"/>
              <w:marRight w:val="0"/>
              <w:marTop w:val="0"/>
              <w:marBottom w:val="0"/>
              <w:divBdr>
                <w:top w:val="none" w:sz="0" w:space="0" w:color="auto"/>
                <w:left w:val="none" w:sz="0" w:space="0" w:color="auto"/>
                <w:bottom w:val="none" w:sz="0" w:space="0" w:color="auto"/>
                <w:right w:val="none" w:sz="0" w:space="0" w:color="auto"/>
              </w:divBdr>
            </w:div>
          </w:divsChild>
        </w:div>
        <w:div w:id="519587283">
          <w:marLeft w:val="0"/>
          <w:marRight w:val="0"/>
          <w:marTop w:val="0"/>
          <w:marBottom w:val="0"/>
          <w:divBdr>
            <w:top w:val="none" w:sz="0" w:space="0" w:color="auto"/>
            <w:left w:val="none" w:sz="0" w:space="0" w:color="auto"/>
            <w:bottom w:val="none" w:sz="0" w:space="0" w:color="auto"/>
            <w:right w:val="none" w:sz="0" w:space="0" w:color="auto"/>
          </w:divBdr>
          <w:divsChild>
            <w:div w:id="1956516569">
              <w:marLeft w:val="0"/>
              <w:marRight w:val="0"/>
              <w:marTop w:val="0"/>
              <w:marBottom w:val="0"/>
              <w:divBdr>
                <w:top w:val="none" w:sz="0" w:space="0" w:color="auto"/>
                <w:left w:val="none" w:sz="0" w:space="0" w:color="auto"/>
                <w:bottom w:val="none" w:sz="0" w:space="0" w:color="auto"/>
                <w:right w:val="none" w:sz="0" w:space="0" w:color="auto"/>
              </w:divBdr>
            </w:div>
          </w:divsChild>
        </w:div>
        <w:div w:id="578292832">
          <w:marLeft w:val="0"/>
          <w:marRight w:val="0"/>
          <w:marTop w:val="0"/>
          <w:marBottom w:val="0"/>
          <w:divBdr>
            <w:top w:val="none" w:sz="0" w:space="0" w:color="auto"/>
            <w:left w:val="none" w:sz="0" w:space="0" w:color="auto"/>
            <w:bottom w:val="none" w:sz="0" w:space="0" w:color="auto"/>
            <w:right w:val="none" w:sz="0" w:space="0" w:color="auto"/>
          </w:divBdr>
          <w:divsChild>
            <w:div w:id="339506865">
              <w:marLeft w:val="0"/>
              <w:marRight w:val="0"/>
              <w:marTop w:val="0"/>
              <w:marBottom w:val="0"/>
              <w:divBdr>
                <w:top w:val="none" w:sz="0" w:space="0" w:color="auto"/>
                <w:left w:val="none" w:sz="0" w:space="0" w:color="auto"/>
                <w:bottom w:val="none" w:sz="0" w:space="0" w:color="auto"/>
                <w:right w:val="none" w:sz="0" w:space="0" w:color="auto"/>
              </w:divBdr>
            </w:div>
          </w:divsChild>
        </w:div>
        <w:div w:id="639072611">
          <w:marLeft w:val="0"/>
          <w:marRight w:val="0"/>
          <w:marTop w:val="0"/>
          <w:marBottom w:val="0"/>
          <w:divBdr>
            <w:top w:val="none" w:sz="0" w:space="0" w:color="auto"/>
            <w:left w:val="none" w:sz="0" w:space="0" w:color="auto"/>
            <w:bottom w:val="none" w:sz="0" w:space="0" w:color="auto"/>
            <w:right w:val="none" w:sz="0" w:space="0" w:color="auto"/>
          </w:divBdr>
          <w:divsChild>
            <w:div w:id="1920819942">
              <w:marLeft w:val="0"/>
              <w:marRight w:val="0"/>
              <w:marTop w:val="0"/>
              <w:marBottom w:val="0"/>
              <w:divBdr>
                <w:top w:val="none" w:sz="0" w:space="0" w:color="auto"/>
                <w:left w:val="none" w:sz="0" w:space="0" w:color="auto"/>
                <w:bottom w:val="none" w:sz="0" w:space="0" w:color="auto"/>
                <w:right w:val="none" w:sz="0" w:space="0" w:color="auto"/>
              </w:divBdr>
            </w:div>
          </w:divsChild>
        </w:div>
        <w:div w:id="710039185">
          <w:marLeft w:val="0"/>
          <w:marRight w:val="0"/>
          <w:marTop w:val="0"/>
          <w:marBottom w:val="0"/>
          <w:divBdr>
            <w:top w:val="none" w:sz="0" w:space="0" w:color="auto"/>
            <w:left w:val="none" w:sz="0" w:space="0" w:color="auto"/>
            <w:bottom w:val="none" w:sz="0" w:space="0" w:color="auto"/>
            <w:right w:val="none" w:sz="0" w:space="0" w:color="auto"/>
          </w:divBdr>
          <w:divsChild>
            <w:div w:id="1767455229">
              <w:marLeft w:val="0"/>
              <w:marRight w:val="0"/>
              <w:marTop w:val="0"/>
              <w:marBottom w:val="0"/>
              <w:divBdr>
                <w:top w:val="none" w:sz="0" w:space="0" w:color="auto"/>
                <w:left w:val="none" w:sz="0" w:space="0" w:color="auto"/>
                <w:bottom w:val="none" w:sz="0" w:space="0" w:color="auto"/>
                <w:right w:val="none" w:sz="0" w:space="0" w:color="auto"/>
              </w:divBdr>
            </w:div>
          </w:divsChild>
        </w:div>
        <w:div w:id="754058200">
          <w:marLeft w:val="0"/>
          <w:marRight w:val="0"/>
          <w:marTop w:val="0"/>
          <w:marBottom w:val="0"/>
          <w:divBdr>
            <w:top w:val="none" w:sz="0" w:space="0" w:color="auto"/>
            <w:left w:val="none" w:sz="0" w:space="0" w:color="auto"/>
            <w:bottom w:val="none" w:sz="0" w:space="0" w:color="auto"/>
            <w:right w:val="none" w:sz="0" w:space="0" w:color="auto"/>
          </w:divBdr>
          <w:divsChild>
            <w:div w:id="1149520205">
              <w:marLeft w:val="0"/>
              <w:marRight w:val="0"/>
              <w:marTop w:val="0"/>
              <w:marBottom w:val="0"/>
              <w:divBdr>
                <w:top w:val="none" w:sz="0" w:space="0" w:color="auto"/>
                <w:left w:val="none" w:sz="0" w:space="0" w:color="auto"/>
                <w:bottom w:val="none" w:sz="0" w:space="0" w:color="auto"/>
                <w:right w:val="none" w:sz="0" w:space="0" w:color="auto"/>
              </w:divBdr>
            </w:div>
          </w:divsChild>
        </w:div>
        <w:div w:id="794101970">
          <w:marLeft w:val="0"/>
          <w:marRight w:val="0"/>
          <w:marTop w:val="0"/>
          <w:marBottom w:val="0"/>
          <w:divBdr>
            <w:top w:val="none" w:sz="0" w:space="0" w:color="auto"/>
            <w:left w:val="none" w:sz="0" w:space="0" w:color="auto"/>
            <w:bottom w:val="none" w:sz="0" w:space="0" w:color="auto"/>
            <w:right w:val="none" w:sz="0" w:space="0" w:color="auto"/>
          </w:divBdr>
          <w:divsChild>
            <w:div w:id="485826073">
              <w:marLeft w:val="0"/>
              <w:marRight w:val="0"/>
              <w:marTop w:val="0"/>
              <w:marBottom w:val="0"/>
              <w:divBdr>
                <w:top w:val="none" w:sz="0" w:space="0" w:color="auto"/>
                <w:left w:val="none" w:sz="0" w:space="0" w:color="auto"/>
                <w:bottom w:val="none" w:sz="0" w:space="0" w:color="auto"/>
                <w:right w:val="none" w:sz="0" w:space="0" w:color="auto"/>
              </w:divBdr>
            </w:div>
          </w:divsChild>
        </w:div>
        <w:div w:id="827088973">
          <w:marLeft w:val="0"/>
          <w:marRight w:val="0"/>
          <w:marTop w:val="0"/>
          <w:marBottom w:val="0"/>
          <w:divBdr>
            <w:top w:val="none" w:sz="0" w:space="0" w:color="auto"/>
            <w:left w:val="none" w:sz="0" w:space="0" w:color="auto"/>
            <w:bottom w:val="none" w:sz="0" w:space="0" w:color="auto"/>
            <w:right w:val="none" w:sz="0" w:space="0" w:color="auto"/>
          </w:divBdr>
          <w:divsChild>
            <w:div w:id="817578313">
              <w:marLeft w:val="0"/>
              <w:marRight w:val="0"/>
              <w:marTop w:val="0"/>
              <w:marBottom w:val="0"/>
              <w:divBdr>
                <w:top w:val="none" w:sz="0" w:space="0" w:color="auto"/>
                <w:left w:val="none" w:sz="0" w:space="0" w:color="auto"/>
                <w:bottom w:val="none" w:sz="0" w:space="0" w:color="auto"/>
                <w:right w:val="none" w:sz="0" w:space="0" w:color="auto"/>
              </w:divBdr>
            </w:div>
          </w:divsChild>
        </w:div>
        <w:div w:id="979068682">
          <w:marLeft w:val="0"/>
          <w:marRight w:val="0"/>
          <w:marTop w:val="0"/>
          <w:marBottom w:val="0"/>
          <w:divBdr>
            <w:top w:val="none" w:sz="0" w:space="0" w:color="auto"/>
            <w:left w:val="none" w:sz="0" w:space="0" w:color="auto"/>
            <w:bottom w:val="none" w:sz="0" w:space="0" w:color="auto"/>
            <w:right w:val="none" w:sz="0" w:space="0" w:color="auto"/>
          </w:divBdr>
          <w:divsChild>
            <w:div w:id="1294824151">
              <w:marLeft w:val="0"/>
              <w:marRight w:val="0"/>
              <w:marTop w:val="0"/>
              <w:marBottom w:val="0"/>
              <w:divBdr>
                <w:top w:val="none" w:sz="0" w:space="0" w:color="auto"/>
                <w:left w:val="none" w:sz="0" w:space="0" w:color="auto"/>
                <w:bottom w:val="none" w:sz="0" w:space="0" w:color="auto"/>
                <w:right w:val="none" w:sz="0" w:space="0" w:color="auto"/>
              </w:divBdr>
            </w:div>
          </w:divsChild>
        </w:div>
        <w:div w:id="979768927">
          <w:marLeft w:val="0"/>
          <w:marRight w:val="0"/>
          <w:marTop w:val="0"/>
          <w:marBottom w:val="0"/>
          <w:divBdr>
            <w:top w:val="none" w:sz="0" w:space="0" w:color="auto"/>
            <w:left w:val="none" w:sz="0" w:space="0" w:color="auto"/>
            <w:bottom w:val="none" w:sz="0" w:space="0" w:color="auto"/>
            <w:right w:val="none" w:sz="0" w:space="0" w:color="auto"/>
          </w:divBdr>
          <w:divsChild>
            <w:div w:id="1979650988">
              <w:marLeft w:val="0"/>
              <w:marRight w:val="0"/>
              <w:marTop w:val="0"/>
              <w:marBottom w:val="0"/>
              <w:divBdr>
                <w:top w:val="none" w:sz="0" w:space="0" w:color="auto"/>
                <w:left w:val="none" w:sz="0" w:space="0" w:color="auto"/>
                <w:bottom w:val="none" w:sz="0" w:space="0" w:color="auto"/>
                <w:right w:val="none" w:sz="0" w:space="0" w:color="auto"/>
              </w:divBdr>
            </w:div>
          </w:divsChild>
        </w:div>
        <w:div w:id="1120296013">
          <w:marLeft w:val="0"/>
          <w:marRight w:val="0"/>
          <w:marTop w:val="0"/>
          <w:marBottom w:val="0"/>
          <w:divBdr>
            <w:top w:val="none" w:sz="0" w:space="0" w:color="auto"/>
            <w:left w:val="none" w:sz="0" w:space="0" w:color="auto"/>
            <w:bottom w:val="none" w:sz="0" w:space="0" w:color="auto"/>
            <w:right w:val="none" w:sz="0" w:space="0" w:color="auto"/>
          </w:divBdr>
          <w:divsChild>
            <w:div w:id="977488479">
              <w:marLeft w:val="0"/>
              <w:marRight w:val="0"/>
              <w:marTop w:val="0"/>
              <w:marBottom w:val="0"/>
              <w:divBdr>
                <w:top w:val="none" w:sz="0" w:space="0" w:color="auto"/>
                <w:left w:val="none" w:sz="0" w:space="0" w:color="auto"/>
                <w:bottom w:val="none" w:sz="0" w:space="0" w:color="auto"/>
                <w:right w:val="none" w:sz="0" w:space="0" w:color="auto"/>
              </w:divBdr>
            </w:div>
          </w:divsChild>
        </w:div>
        <w:div w:id="1149712441">
          <w:marLeft w:val="0"/>
          <w:marRight w:val="0"/>
          <w:marTop w:val="0"/>
          <w:marBottom w:val="0"/>
          <w:divBdr>
            <w:top w:val="none" w:sz="0" w:space="0" w:color="auto"/>
            <w:left w:val="none" w:sz="0" w:space="0" w:color="auto"/>
            <w:bottom w:val="none" w:sz="0" w:space="0" w:color="auto"/>
            <w:right w:val="none" w:sz="0" w:space="0" w:color="auto"/>
          </w:divBdr>
          <w:divsChild>
            <w:div w:id="116218328">
              <w:marLeft w:val="0"/>
              <w:marRight w:val="0"/>
              <w:marTop w:val="0"/>
              <w:marBottom w:val="0"/>
              <w:divBdr>
                <w:top w:val="none" w:sz="0" w:space="0" w:color="auto"/>
                <w:left w:val="none" w:sz="0" w:space="0" w:color="auto"/>
                <w:bottom w:val="none" w:sz="0" w:space="0" w:color="auto"/>
                <w:right w:val="none" w:sz="0" w:space="0" w:color="auto"/>
              </w:divBdr>
            </w:div>
          </w:divsChild>
        </w:div>
        <w:div w:id="1153988859">
          <w:marLeft w:val="0"/>
          <w:marRight w:val="0"/>
          <w:marTop w:val="0"/>
          <w:marBottom w:val="0"/>
          <w:divBdr>
            <w:top w:val="none" w:sz="0" w:space="0" w:color="auto"/>
            <w:left w:val="none" w:sz="0" w:space="0" w:color="auto"/>
            <w:bottom w:val="none" w:sz="0" w:space="0" w:color="auto"/>
            <w:right w:val="none" w:sz="0" w:space="0" w:color="auto"/>
          </w:divBdr>
          <w:divsChild>
            <w:div w:id="162477255">
              <w:marLeft w:val="0"/>
              <w:marRight w:val="0"/>
              <w:marTop w:val="0"/>
              <w:marBottom w:val="0"/>
              <w:divBdr>
                <w:top w:val="none" w:sz="0" w:space="0" w:color="auto"/>
                <w:left w:val="none" w:sz="0" w:space="0" w:color="auto"/>
                <w:bottom w:val="none" w:sz="0" w:space="0" w:color="auto"/>
                <w:right w:val="none" w:sz="0" w:space="0" w:color="auto"/>
              </w:divBdr>
            </w:div>
          </w:divsChild>
        </w:div>
        <w:div w:id="1248003798">
          <w:marLeft w:val="0"/>
          <w:marRight w:val="0"/>
          <w:marTop w:val="0"/>
          <w:marBottom w:val="0"/>
          <w:divBdr>
            <w:top w:val="none" w:sz="0" w:space="0" w:color="auto"/>
            <w:left w:val="none" w:sz="0" w:space="0" w:color="auto"/>
            <w:bottom w:val="none" w:sz="0" w:space="0" w:color="auto"/>
            <w:right w:val="none" w:sz="0" w:space="0" w:color="auto"/>
          </w:divBdr>
          <w:divsChild>
            <w:div w:id="1694914892">
              <w:marLeft w:val="0"/>
              <w:marRight w:val="0"/>
              <w:marTop w:val="0"/>
              <w:marBottom w:val="0"/>
              <w:divBdr>
                <w:top w:val="none" w:sz="0" w:space="0" w:color="auto"/>
                <w:left w:val="none" w:sz="0" w:space="0" w:color="auto"/>
                <w:bottom w:val="none" w:sz="0" w:space="0" w:color="auto"/>
                <w:right w:val="none" w:sz="0" w:space="0" w:color="auto"/>
              </w:divBdr>
            </w:div>
          </w:divsChild>
        </w:div>
        <w:div w:id="1370836013">
          <w:marLeft w:val="0"/>
          <w:marRight w:val="0"/>
          <w:marTop w:val="0"/>
          <w:marBottom w:val="0"/>
          <w:divBdr>
            <w:top w:val="none" w:sz="0" w:space="0" w:color="auto"/>
            <w:left w:val="none" w:sz="0" w:space="0" w:color="auto"/>
            <w:bottom w:val="none" w:sz="0" w:space="0" w:color="auto"/>
            <w:right w:val="none" w:sz="0" w:space="0" w:color="auto"/>
          </w:divBdr>
          <w:divsChild>
            <w:div w:id="1214733417">
              <w:marLeft w:val="0"/>
              <w:marRight w:val="0"/>
              <w:marTop w:val="0"/>
              <w:marBottom w:val="0"/>
              <w:divBdr>
                <w:top w:val="none" w:sz="0" w:space="0" w:color="auto"/>
                <w:left w:val="none" w:sz="0" w:space="0" w:color="auto"/>
                <w:bottom w:val="none" w:sz="0" w:space="0" w:color="auto"/>
                <w:right w:val="none" w:sz="0" w:space="0" w:color="auto"/>
              </w:divBdr>
            </w:div>
          </w:divsChild>
        </w:div>
        <w:div w:id="1376663543">
          <w:marLeft w:val="0"/>
          <w:marRight w:val="0"/>
          <w:marTop w:val="0"/>
          <w:marBottom w:val="0"/>
          <w:divBdr>
            <w:top w:val="none" w:sz="0" w:space="0" w:color="auto"/>
            <w:left w:val="none" w:sz="0" w:space="0" w:color="auto"/>
            <w:bottom w:val="none" w:sz="0" w:space="0" w:color="auto"/>
            <w:right w:val="none" w:sz="0" w:space="0" w:color="auto"/>
          </w:divBdr>
          <w:divsChild>
            <w:div w:id="1610044574">
              <w:marLeft w:val="0"/>
              <w:marRight w:val="0"/>
              <w:marTop w:val="0"/>
              <w:marBottom w:val="0"/>
              <w:divBdr>
                <w:top w:val="none" w:sz="0" w:space="0" w:color="auto"/>
                <w:left w:val="none" w:sz="0" w:space="0" w:color="auto"/>
                <w:bottom w:val="none" w:sz="0" w:space="0" w:color="auto"/>
                <w:right w:val="none" w:sz="0" w:space="0" w:color="auto"/>
              </w:divBdr>
            </w:div>
          </w:divsChild>
        </w:div>
        <w:div w:id="1385911201">
          <w:marLeft w:val="0"/>
          <w:marRight w:val="0"/>
          <w:marTop w:val="0"/>
          <w:marBottom w:val="0"/>
          <w:divBdr>
            <w:top w:val="none" w:sz="0" w:space="0" w:color="auto"/>
            <w:left w:val="none" w:sz="0" w:space="0" w:color="auto"/>
            <w:bottom w:val="none" w:sz="0" w:space="0" w:color="auto"/>
            <w:right w:val="none" w:sz="0" w:space="0" w:color="auto"/>
          </w:divBdr>
          <w:divsChild>
            <w:div w:id="374741289">
              <w:marLeft w:val="0"/>
              <w:marRight w:val="0"/>
              <w:marTop w:val="0"/>
              <w:marBottom w:val="0"/>
              <w:divBdr>
                <w:top w:val="none" w:sz="0" w:space="0" w:color="auto"/>
                <w:left w:val="none" w:sz="0" w:space="0" w:color="auto"/>
                <w:bottom w:val="none" w:sz="0" w:space="0" w:color="auto"/>
                <w:right w:val="none" w:sz="0" w:space="0" w:color="auto"/>
              </w:divBdr>
            </w:div>
          </w:divsChild>
        </w:div>
        <w:div w:id="1524974757">
          <w:marLeft w:val="0"/>
          <w:marRight w:val="0"/>
          <w:marTop w:val="0"/>
          <w:marBottom w:val="0"/>
          <w:divBdr>
            <w:top w:val="none" w:sz="0" w:space="0" w:color="auto"/>
            <w:left w:val="none" w:sz="0" w:space="0" w:color="auto"/>
            <w:bottom w:val="none" w:sz="0" w:space="0" w:color="auto"/>
            <w:right w:val="none" w:sz="0" w:space="0" w:color="auto"/>
          </w:divBdr>
          <w:divsChild>
            <w:div w:id="194583129">
              <w:marLeft w:val="0"/>
              <w:marRight w:val="0"/>
              <w:marTop w:val="0"/>
              <w:marBottom w:val="0"/>
              <w:divBdr>
                <w:top w:val="none" w:sz="0" w:space="0" w:color="auto"/>
                <w:left w:val="none" w:sz="0" w:space="0" w:color="auto"/>
                <w:bottom w:val="none" w:sz="0" w:space="0" w:color="auto"/>
                <w:right w:val="none" w:sz="0" w:space="0" w:color="auto"/>
              </w:divBdr>
            </w:div>
          </w:divsChild>
        </w:div>
        <w:div w:id="1669476176">
          <w:marLeft w:val="0"/>
          <w:marRight w:val="0"/>
          <w:marTop w:val="0"/>
          <w:marBottom w:val="0"/>
          <w:divBdr>
            <w:top w:val="none" w:sz="0" w:space="0" w:color="auto"/>
            <w:left w:val="none" w:sz="0" w:space="0" w:color="auto"/>
            <w:bottom w:val="none" w:sz="0" w:space="0" w:color="auto"/>
            <w:right w:val="none" w:sz="0" w:space="0" w:color="auto"/>
          </w:divBdr>
          <w:divsChild>
            <w:div w:id="92022933">
              <w:marLeft w:val="0"/>
              <w:marRight w:val="0"/>
              <w:marTop w:val="0"/>
              <w:marBottom w:val="0"/>
              <w:divBdr>
                <w:top w:val="none" w:sz="0" w:space="0" w:color="auto"/>
                <w:left w:val="none" w:sz="0" w:space="0" w:color="auto"/>
                <w:bottom w:val="none" w:sz="0" w:space="0" w:color="auto"/>
                <w:right w:val="none" w:sz="0" w:space="0" w:color="auto"/>
              </w:divBdr>
            </w:div>
          </w:divsChild>
        </w:div>
        <w:div w:id="1800801757">
          <w:marLeft w:val="0"/>
          <w:marRight w:val="0"/>
          <w:marTop w:val="0"/>
          <w:marBottom w:val="0"/>
          <w:divBdr>
            <w:top w:val="none" w:sz="0" w:space="0" w:color="auto"/>
            <w:left w:val="none" w:sz="0" w:space="0" w:color="auto"/>
            <w:bottom w:val="none" w:sz="0" w:space="0" w:color="auto"/>
            <w:right w:val="none" w:sz="0" w:space="0" w:color="auto"/>
          </w:divBdr>
          <w:divsChild>
            <w:div w:id="209155190">
              <w:marLeft w:val="0"/>
              <w:marRight w:val="0"/>
              <w:marTop w:val="0"/>
              <w:marBottom w:val="0"/>
              <w:divBdr>
                <w:top w:val="none" w:sz="0" w:space="0" w:color="auto"/>
                <w:left w:val="none" w:sz="0" w:space="0" w:color="auto"/>
                <w:bottom w:val="none" w:sz="0" w:space="0" w:color="auto"/>
                <w:right w:val="none" w:sz="0" w:space="0" w:color="auto"/>
              </w:divBdr>
            </w:div>
          </w:divsChild>
        </w:div>
        <w:div w:id="1821730904">
          <w:marLeft w:val="0"/>
          <w:marRight w:val="0"/>
          <w:marTop w:val="0"/>
          <w:marBottom w:val="0"/>
          <w:divBdr>
            <w:top w:val="none" w:sz="0" w:space="0" w:color="auto"/>
            <w:left w:val="none" w:sz="0" w:space="0" w:color="auto"/>
            <w:bottom w:val="none" w:sz="0" w:space="0" w:color="auto"/>
            <w:right w:val="none" w:sz="0" w:space="0" w:color="auto"/>
          </w:divBdr>
          <w:divsChild>
            <w:div w:id="183326502">
              <w:marLeft w:val="0"/>
              <w:marRight w:val="0"/>
              <w:marTop w:val="0"/>
              <w:marBottom w:val="0"/>
              <w:divBdr>
                <w:top w:val="none" w:sz="0" w:space="0" w:color="auto"/>
                <w:left w:val="none" w:sz="0" w:space="0" w:color="auto"/>
                <w:bottom w:val="none" w:sz="0" w:space="0" w:color="auto"/>
                <w:right w:val="none" w:sz="0" w:space="0" w:color="auto"/>
              </w:divBdr>
            </w:div>
          </w:divsChild>
        </w:div>
        <w:div w:id="1866752180">
          <w:marLeft w:val="0"/>
          <w:marRight w:val="0"/>
          <w:marTop w:val="0"/>
          <w:marBottom w:val="0"/>
          <w:divBdr>
            <w:top w:val="none" w:sz="0" w:space="0" w:color="auto"/>
            <w:left w:val="none" w:sz="0" w:space="0" w:color="auto"/>
            <w:bottom w:val="none" w:sz="0" w:space="0" w:color="auto"/>
            <w:right w:val="none" w:sz="0" w:space="0" w:color="auto"/>
          </w:divBdr>
          <w:divsChild>
            <w:div w:id="1167399907">
              <w:marLeft w:val="0"/>
              <w:marRight w:val="0"/>
              <w:marTop w:val="0"/>
              <w:marBottom w:val="0"/>
              <w:divBdr>
                <w:top w:val="none" w:sz="0" w:space="0" w:color="auto"/>
                <w:left w:val="none" w:sz="0" w:space="0" w:color="auto"/>
                <w:bottom w:val="none" w:sz="0" w:space="0" w:color="auto"/>
                <w:right w:val="none" w:sz="0" w:space="0" w:color="auto"/>
              </w:divBdr>
            </w:div>
          </w:divsChild>
        </w:div>
        <w:div w:id="1966962081">
          <w:marLeft w:val="0"/>
          <w:marRight w:val="0"/>
          <w:marTop w:val="0"/>
          <w:marBottom w:val="0"/>
          <w:divBdr>
            <w:top w:val="none" w:sz="0" w:space="0" w:color="auto"/>
            <w:left w:val="none" w:sz="0" w:space="0" w:color="auto"/>
            <w:bottom w:val="none" w:sz="0" w:space="0" w:color="auto"/>
            <w:right w:val="none" w:sz="0" w:space="0" w:color="auto"/>
          </w:divBdr>
          <w:divsChild>
            <w:div w:id="10303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3797">
      <w:bodyDiv w:val="1"/>
      <w:marLeft w:val="0"/>
      <w:marRight w:val="0"/>
      <w:marTop w:val="0"/>
      <w:marBottom w:val="0"/>
      <w:divBdr>
        <w:top w:val="none" w:sz="0" w:space="0" w:color="auto"/>
        <w:left w:val="none" w:sz="0" w:space="0" w:color="auto"/>
        <w:bottom w:val="none" w:sz="0" w:space="0" w:color="auto"/>
        <w:right w:val="none" w:sz="0" w:space="0" w:color="auto"/>
      </w:divBdr>
      <w:divsChild>
        <w:div w:id="226230613">
          <w:marLeft w:val="0"/>
          <w:marRight w:val="0"/>
          <w:marTop w:val="0"/>
          <w:marBottom w:val="0"/>
          <w:divBdr>
            <w:top w:val="none" w:sz="0" w:space="0" w:color="auto"/>
            <w:left w:val="none" w:sz="0" w:space="0" w:color="auto"/>
            <w:bottom w:val="none" w:sz="0" w:space="0" w:color="auto"/>
            <w:right w:val="none" w:sz="0" w:space="0" w:color="auto"/>
          </w:divBdr>
        </w:div>
        <w:div w:id="604924946">
          <w:marLeft w:val="0"/>
          <w:marRight w:val="0"/>
          <w:marTop w:val="0"/>
          <w:marBottom w:val="0"/>
          <w:divBdr>
            <w:top w:val="none" w:sz="0" w:space="0" w:color="auto"/>
            <w:left w:val="none" w:sz="0" w:space="0" w:color="auto"/>
            <w:bottom w:val="none" w:sz="0" w:space="0" w:color="auto"/>
            <w:right w:val="none" w:sz="0" w:space="0" w:color="auto"/>
          </w:divBdr>
          <w:divsChild>
            <w:div w:id="424765535">
              <w:marLeft w:val="0"/>
              <w:marRight w:val="0"/>
              <w:marTop w:val="0"/>
              <w:marBottom w:val="0"/>
              <w:divBdr>
                <w:top w:val="none" w:sz="0" w:space="0" w:color="auto"/>
                <w:left w:val="none" w:sz="0" w:space="0" w:color="auto"/>
                <w:bottom w:val="none" w:sz="0" w:space="0" w:color="auto"/>
                <w:right w:val="none" w:sz="0" w:space="0" w:color="auto"/>
              </w:divBdr>
            </w:div>
            <w:div w:id="756369991">
              <w:marLeft w:val="0"/>
              <w:marRight w:val="0"/>
              <w:marTop w:val="0"/>
              <w:marBottom w:val="0"/>
              <w:divBdr>
                <w:top w:val="none" w:sz="0" w:space="0" w:color="auto"/>
                <w:left w:val="none" w:sz="0" w:space="0" w:color="auto"/>
                <w:bottom w:val="none" w:sz="0" w:space="0" w:color="auto"/>
                <w:right w:val="none" w:sz="0" w:space="0" w:color="auto"/>
              </w:divBdr>
            </w:div>
            <w:div w:id="1009910679">
              <w:marLeft w:val="0"/>
              <w:marRight w:val="0"/>
              <w:marTop w:val="0"/>
              <w:marBottom w:val="0"/>
              <w:divBdr>
                <w:top w:val="none" w:sz="0" w:space="0" w:color="auto"/>
                <w:left w:val="none" w:sz="0" w:space="0" w:color="auto"/>
                <w:bottom w:val="none" w:sz="0" w:space="0" w:color="auto"/>
                <w:right w:val="none" w:sz="0" w:space="0" w:color="auto"/>
              </w:divBdr>
            </w:div>
            <w:div w:id="1287541652">
              <w:marLeft w:val="0"/>
              <w:marRight w:val="0"/>
              <w:marTop w:val="0"/>
              <w:marBottom w:val="0"/>
              <w:divBdr>
                <w:top w:val="none" w:sz="0" w:space="0" w:color="auto"/>
                <w:left w:val="none" w:sz="0" w:space="0" w:color="auto"/>
                <w:bottom w:val="none" w:sz="0" w:space="0" w:color="auto"/>
                <w:right w:val="none" w:sz="0" w:space="0" w:color="auto"/>
              </w:divBdr>
            </w:div>
            <w:div w:id="1963530511">
              <w:marLeft w:val="0"/>
              <w:marRight w:val="0"/>
              <w:marTop w:val="0"/>
              <w:marBottom w:val="0"/>
              <w:divBdr>
                <w:top w:val="none" w:sz="0" w:space="0" w:color="auto"/>
                <w:left w:val="none" w:sz="0" w:space="0" w:color="auto"/>
                <w:bottom w:val="none" w:sz="0" w:space="0" w:color="auto"/>
                <w:right w:val="none" w:sz="0" w:space="0" w:color="auto"/>
              </w:divBdr>
            </w:div>
          </w:divsChild>
        </w:div>
        <w:div w:id="1250580182">
          <w:marLeft w:val="0"/>
          <w:marRight w:val="0"/>
          <w:marTop w:val="0"/>
          <w:marBottom w:val="0"/>
          <w:divBdr>
            <w:top w:val="none" w:sz="0" w:space="0" w:color="auto"/>
            <w:left w:val="none" w:sz="0" w:space="0" w:color="auto"/>
            <w:bottom w:val="none" w:sz="0" w:space="0" w:color="auto"/>
            <w:right w:val="none" w:sz="0" w:space="0" w:color="auto"/>
          </w:divBdr>
          <w:divsChild>
            <w:div w:id="1150053953">
              <w:marLeft w:val="0"/>
              <w:marRight w:val="0"/>
              <w:marTop w:val="0"/>
              <w:marBottom w:val="0"/>
              <w:divBdr>
                <w:top w:val="none" w:sz="0" w:space="0" w:color="auto"/>
                <w:left w:val="none" w:sz="0" w:space="0" w:color="auto"/>
                <w:bottom w:val="none" w:sz="0" w:space="0" w:color="auto"/>
                <w:right w:val="none" w:sz="0" w:space="0" w:color="auto"/>
              </w:divBdr>
            </w:div>
            <w:div w:id="1312366575">
              <w:marLeft w:val="0"/>
              <w:marRight w:val="0"/>
              <w:marTop w:val="0"/>
              <w:marBottom w:val="0"/>
              <w:divBdr>
                <w:top w:val="none" w:sz="0" w:space="0" w:color="auto"/>
                <w:left w:val="none" w:sz="0" w:space="0" w:color="auto"/>
                <w:bottom w:val="none" w:sz="0" w:space="0" w:color="auto"/>
                <w:right w:val="none" w:sz="0" w:space="0" w:color="auto"/>
              </w:divBdr>
            </w:div>
          </w:divsChild>
        </w:div>
        <w:div w:id="1500656875">
          <w:marLeft w:val="0"/>
          <w:marRight w:val="0"/>
          <w:marTop w:val="0"/>
          <w:marBottom w:val="0"/>
          <w:divBdr>
            <w:top w:val="none" w:sz="0" w:space="0" w:color="auto"/>
            <w:left w:val="none" w:sz="0" w:space="0" w:color="auto"/>
            <w:bottom w:val="none" w:sz="0" w:space="0" w:color="auto"/>
            <w:right w:val="none" w:sz="0" w:space="0" w:color="auto"/>
          </w:divBdr>
          <w:divsChild>
            <w:div w:id="407963634">
              <w:marLeft w:val="0"/>
              <w:marRight w:val="0"/>
              <w:marTop w:val="0"/>
              <w:marBottom w:val="0"/>
              <w:divBdr>
                <w:top w:val="none" w:sz="0" w:space="0" w:color="auto"/>
                <w:left w:val="none" w:sz="0" w:space="0" w:color="auto"/>
                <w:bottom w:val="none" w:sz="0" w:space="0" w:color="auto"/>
                <w:right w:val="none" w:sz="0" w:space="0" w:color="auto"/>
              </w:divBdr>
            </w:div>
            <w:div w:id="1145901927">
              <w:marLeft w:val="0"/>
              <w:marRight w:val="0"/>
              <w:marTop w:val="0"/>
              <w:marBottom w:val="0"/>
              <w:divBdr>
                <w:top w:val="none" w:sz="0" w:space="0" w:color="auto"/>
                <w:left w:val="none" w:sz="0" w:space="0" w:color="auto"/>
                <w:bottom w:val="none" w:sz="0" w:space="0" w:color="auto"/>
                <w:right w:val="none" w:sz="0" w:space="0" w:color="auto"/>
              </w:divBdr>
            </w:div>
            <w:div w:id="1428236417">
              <w:marLeft w:val="0"/>
              <w:marRight w:val="0"/>
              <w:marTop w:val="0"/>
              <w:marBottom w:val="0"/>
              <w:divBdr>
                <w:top w:val="none" w:sz="0" w:space="0" w:color="auto"/>
                <w:left w:val="none" w:sz="0" w:space="0" w:color="auto"/>
                <w:bottom w:val="none" w:sz="0" w:space="0" w:color="auto"/>
                <w:right w:val="none" w:sz="0" w:space="0" w:color="auto"/>
              </w:divBdr>
            </w:div>
            <w:div w:id="1743718038">
              <w:marLeft w:val="0"/>
              <w:marRight w:val="0"/>
              <w:marTop w:val="0"/>
              <w:marBottom w:val="0"/>
              <w:divBdr>
                <w:top w:val="none" w:sz="0" w:space="0" w:color="auto"/>
                <w:left w:val="none" w:sz="0" w:space="0" w:color="auto"/>
                <w:bottom w:val="none" w:sz="0" w:space="0" w:color="auto"/>
                <w:right w:val="none" w:sz="0" w:space="0" w:color="auto"/>
              </w:divBdr>
            </w:div>
            <w:div w:id="21349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575">
      <w:bodyDiv w:val="1"/>
      <w:marLeft w:val="0"/>
      <w:marRight w:val="0"/>
      <w:marTop w:val="0"/>
      <w:marBottom w:val="0"/>
      <w:divBdr>
        <w:top w:val="none" w:sz="0" w:space="0" w:color="auto"/>
        <w:left w:val="none" w:sz="0" w:space="0" w:color="auto"/>
        <w:bottom w:val="none" w:sz="0" w:space="0" w:color="auto"/>
        <w:right w:val="none" w:sz="0" w:space="0" w:color="auto"/>
      </w:divBdr>
      <w:divsChild>
        <w:div w:id="72090482">
          <w:marLeft w:val="0"/>
          <w:marRight w:val="0"/>
          <w:marTop w:val="0"/>
          <w:marBottom w:val="0"/>
          <w:divBdr>
            <w:top w:val="none" w:sz="0" w:space="0" w:color="auto"/>
            <w:left w:val="none" w:sz="0" w:space="0" w:color="auto"/>
            <w:bottom w:val="none" w:sz="0" w:space="0" w:color="auto"/>
            <w:right w:val="none" w:sz="0" w:space="0" w:color="auto"/>
          </w:divBdr>
          <w:divsChild>
            <w:div w:id="388774122">
              <w:marLeft w:val="0"/>
              <w:marRight w:val="0"/>
              <w:marTop w:val="0"/>
              <w:marBottom w:val="0"/>
              <w:divBdr>
                <w:top w:val="none" w:sz="0" w:space="0" w:color="auto"/>
                <w:left w:val="none" w:sz="0" w:space="0" w:color="auto"/>
                <w:bottom w:val="none" w:sz="0" w:space="0" w:color="auto"/>
                <w:right w:val="none" w:sz="0" w:space="0" w:color="auto"/>
              </w:divBdr>
            </w:div>
            <w:div w:id="1154569886">
              <w:marLeft w:val="0"/>
              <w:marRight w:val="0"/>
              <w:marTop w:val="0"/>
              <w:marBottom w:val="0"/>
              <w:divBdr>
                <w:top w:val="none" w:sz="0" w:space="0" w:color="auto"/>
                <w:left w:val="none" w:sz="0" w:space="0" w:color="auto"/>
                <w:bottom w:val="none" w:sz="0" w:space="0" w:color="auto"/>
                <w:right w:val="none" w:sz="0" w:space="0" w:color="auto"/>
              </w:divBdr>
            </w:div>
            <w:div w:id="1380592179">
              <w:marLeft w:val="0"/>
              <w:marRight w:val="0"/>
              <w:marTop w:val="0"/>
              <w:marBottom w:val="0"/>
              <w:divBdr>
                <w:top w:val="none" w:sz="0" w:space="0" w:color="auto"/>
                <w:left w:val="none" w:sz="0" w:space="0" w:color="auto"/>
                <w:bottom w:val="none" w:sz="0" w:space="0" w:color="auto"/>
                <w:right w:val="none" w:sz="0" w:space="0" w:color="auto"/>
              </w:divBdr>
            </w:div>
            <w:div w:id="1637760166">
              <w:marLeft w:val="0"/>
              <w:marRight w:val="0"/>
              <w:marTop w:val="0"/>
              <w:marBottom w:val="0"/>
              <w:divBdr>
                <w:top w:val="none" w:sz="0" w:space="0" w:color="auto"/>
                <w:left w:val="none" w:sz="0" w:space="0" w:color="auto"/>
                <w:bottom w:val="none" w:sz="0" w:space="0" w:color="auto"/>
                <w:right w:val="none" w:sz="0" w:space="0" w:color="auto"/>
              </w:divBdr>
            </w:div>
            <w:div w:id="1994020203">
              <w:marLeft w:val="0"/>
              <w:marRight w:val="0"/>
              <w:marTop w:val="0"/>
              <w:marBottom w:val="0"/>
              <w:divBdr>
                <w:top w:val="none" w:sz="0" w:space="0" w:color="auto"/>
                <w:left w:val="none" w:sz="0" w:space="0" w:color="auto"/>
                <w:bottom w:val="none" w:sz="0" w:space="0" w:color="auto"/>
                <w:right w:val="none" w:sz="0" w:space="0" w:color="auto"/>
              </w:divBdr>
            </w:div>
          </w:divsChild>
        </w:div>
        <w:div w:id="125240057">
          <w:marLeft w:val="0"/>
          <w:marRight w:val="0"/>
          <w:marTop w:val="0"/>
          <w:marBottom w:val="0"/>
          <w:divBdr>
            <w:top w:val="none" w:sz="0" w:space="0" w:color="auto"/>
            <w:left w:val="none" w:sz="0" w:space="0" w:color="auto"/>
            <w:bottom w:val="none" w:sz="0" w:space="0" w:color="auto"/>
            <w:right w:val="none" w:sz="0" w:space="0" w:color="auto"/>
          </w:divBdr>
        </w:div>
        <w:div w:id="848956834">
          <w:marLeft w:val="0"/>
          <w:marRight w:val="0"/>
          <w:marTop w:val="0"/>
          <w:marBottom w:val="0"/>
          <w:divBdr>
            <w:top w:val="none" w:sz="0" w:space="0" w:color="auto"/>
            <w:left w:val="none" w:sz="0" w:space="0" w:color="auto"/>
            <w:bottom w:val="none" w:sz="0" w:space="0" w:color="auto"/>
            <w:right w:val="none" w:sz="0" w:space="0" w:color="auto"/>
          </w:divBdr>
          <w:divsChild>
            <w:div w:id="27025956">
              <w:marLeft w:val="0"/>
              <w:marRight w:val="0"/>
              <w:marTop w:val="0"/>
              <w:marBottom w:val="0"/>
              <w:divBdr>
                <w:top w:val="none" w:sz="0" w:space="0" w:color="auto"/>
                <w:left w:val="none" w:sz="0" w:space="0" w:color="auto"/>
                <w:bottom w:val="none" w:sz="0" w:space="0" w:color="auto"/>
                <w:right w:val="none" w:sz="0" w:space="0" w:color="auto"/>
              </w:divBdr>
            </w:div>
            <w:div w:id="580873258">
              <w:marLeft w:val="0"/>
              <w:marRight w:val="0"/>
              <w:marTop w:val="0"/>
              <w:marBottom w:val="0"/>
              <w:divBdr>
                <w:top w:val="none" w:sz="0" w:space="0" w:color="auto"/>
                <w:left w:val="none" w:sz="0" w:space="0" w:color="auto"/>
                <w:bottom w:val="none" w:sz="0" w:space="0" w:color="auto"/>
                <w:right w:val="none" w:sz="0" w:space="0" w:color="auto"/>
              </w:divBdr>
            </w:div>
            <w:div w:id="618999894">
              <w:marLeft w:val="0"/>
              <w:marRight w:val="0"/>
              <w:marTop w:val="0"/>
              <w:marBottom w:val="0"/>
              <w:divBdr>
                <w:top w:val="none" w:sz="0" w:space="0" w:color="auto"/>
                <w:left w:val="none" w:sz="0" w:space="0" w:color="auto"/>
                <w:bottom w:val="none" w:sz="0" w:space="0" w:color="auto"/>
                <w:right w:val="none" w:sz="0" w:space="0" w:color="auto"/>
              </w:divBdr>
            </w:div>
            <w:div w:id="888108306">
              <w:marLeft w:val="0"/>
              <w:marRight w:val="0"/>
              <w:marTop w:val="0"/>
              <w:marBottom w:val="0"/>
              <w:divBdr>
                <w:top w:val="none" w:sz="0" w:space="0" w:color="auto"/>
                <w:left w:val="none" w:sz="0" w:space="0" w:color="auto"/>
                <w:bottom w:val="none" w:sz="0" w:space="0" w:color="auto"/>
                <w:right w:val="none" w:sz="0" w:space="0" w:color="auto"/>
              </w:divBdr>
            </w:div>
            <w:div w:id="1706060818">
              <w:marLeft w:val="0"/>
              <w:marRight w:val="0"/>
              <w:marTop w:val="0"/>
              <w:marBottom w:val="0"/>
              <w:divBdr>
                <w:top w:val="none" w:sz="0" w:space="0" w:color="auto"/>
                <w:left w:val="none" w:sz="0" w:space="0" w:color="auto"/>
                <w:bottom w:val="none" w:sz="0" w:space="0" w:color="auto"/>
                <w:right w:val="none" w:sz="0" w:space="0" w:color="auto"/>
              </w:divBdr>
            </w:div>
          </w:divsChild>
        </w:div>
        <w:div w:id="1394428505">
          <w:marLeft w:val="0"/>
          <w:marRight w:val="0"/>
          <w:marTop w:val="0"/>
          <w:marBottom w:val="0"/>
          <w:divBdr>
            <w:top w:val="none" w:sz="0" w:space="0" w:color="auto"/>
            <w:left w:val="none" w:sz="0" w:space="0" w:color="auto"/>
            <w:bottom w:val="none" w:sz="0" w:space="0" w:color="auto"/>
            <w:right w:val="none" w:sz="0" w:space="0" w:color="auto"/>
          </w:divBdr>
          <w:divsChild>
            <w:div w:id="1221987845">
              <w:marLeft w:val="0"/>
              <w:marRight w:val="0"/>
              <w:marTop w:val="0"/>
              <w:marBottom w:val="0"/>
              <w:divBdr>
                <w:top w:val="none" w:sz="0" w:space="0" w:color="auto"/>
                <w:left w:val="none" w:sz="0" w:space="0" w:color="auto"/>
                <w:bottom w:val="none" w:sz="0" w:space="0" w:color="auto"/>
                <w:right w:val="none" w:sz="0" w:space="0" w:color="auto"/>
              </w:divBdr>
            </w:div>
            <w:div w:id="18936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584">
      <w:bodyDiv w:val="1"/>
      <w:marLeft w:val="0"/>
      <w:marRight w:val="0"/>
      <w:marTop w:val="0"/>
      <w:marBottom w:val="0"/>
      <w:divBdr>
        <w:top w:val="none" w:sz="0" w:space="0" w:color="auto"/>
        <w:left w:val="none" w:sz="0" w:space="0" w:color="auto"/>
        <w:bottom w:val="none" w:sz="0" w:space="0" w:color="auto"/>
        <w:right w:val="none" w:sz="0" w:space="0" w:color="auto"/>
      </w:divBdr>
      <w:divsChild>
        <w:div w:id="38211325">
          <w:marLeft w:val="0"/>
          <w:marRight w:val="0"/>
          <w:marTop w:val="0"/>
          <w:marBottom w:val="0"/>
          <w:divBdr>
            <w:top w:val="none" w:sz="0" w:space="0" w:color="auto"/>
            <w:left w:val="none" w:sz="0" w:space="0" w:color="auto"/>
            <w:bottom w:val="none" w:sz="0" w:space="0" w:color="auto"/>
            <w:right w:val="none" w:sz="0" w:space="0" w:color="auto"/>
          </w:divBdr>
        </w:div>
        <w:div w:id="140855868">
          <w:marLeft w:val="0"/>
          <w:marRight w:val="0"/>
          <w:marTop w:val="0"/>
          <w:marBottom w:val="0"/>
          <w:divBdr>
            <w:top w:val="none" w:sz="0" w:space="0" w:color="auto"/>
            <w:left w:val="none" w:sz="0" w:space="0" w:color="auto"/>
            <w:bottom w:val="none" w:sz="0" w:space="0" w:color="auto"/>
            <w:right w:val="none" w:sz="0" w:space="0" w:color="auto"/>
          </w:divBdr>
        </w:div>
        <w:div w:id="155388569">
          <w:marLeft w:val="0"/>
          <w:marRight w:val="0"/>
          <w:marTop w:val="0"/>
          <w:marBottom w:val="0"/>
          <w:divBdr>
            <w:top w:val="none" w:sz="0" w:space="0" w:color="auto"/>
            <w:left w:val="none" w:sz="0" w:space="0" w:color="auto"/>
            <w:bottom w:val="none" w:sz="0" w:space="0" w:color="auto"/>
            <w:right w:val="none" w:sz="0" w:space="0" w:color="auto"/>
          </w:divBdr>
        </w:div>
        <w:div w:id="230623726">
          <w:marLeft w:val="0"/>
          <w:marRight w:val="0"/>
          <w:marTop w:val="0"/>
          <w:marBottom w:val="0"/>
          <w:divBdr>
            <w:top w:val="none" w:sz="0" w:space="0" w:color="auto"/>
            <w:left w:val="none" w:sz="0" w:space="0" w:color="auto"/>
            <w:bottom w:val="none" w:sz="0" w:space="0" w:color="auto"/>
            <w:right w:val="none" w:sz="0" w:space="0" w:color="auto"/>
          </w:divBdr>
        </w:div>
        <w:div w:id="342705288">
          <w:marLeft w:val="0"/>
          <w:marRight w:val="0"/>
          <w:marTop w:val="0"/>
          <w:marBottom w:val="0"/>
          <w:divBdr>
            <w:top w:val="none" w:sz="0" w:space="0" w:color="auto"/>
            <w:left w:val="none" w:sz="0" w:space="0" w:color="auto"/>
            <w:bottom w:val="none" w:sz="0" w:space="0" w:color="auto"/>
            <w:right w:val="none" w:sz="0" w:space="0" w:color="auto"/>
          </w:divBdr>
        </w:div>
        <w:div w:id="461771684">
          <w:marLeft w:val="0"/>
          <w:marRight w:val="0"/>
          <w:marTop w:val="0"/>
          <w:marBottom w:val="0"/>
          <w:divBdr>
            <w:top w:val="none" w:sz="0" w:space="0" w:color="auto"/>
            <w:left w:val="none" w:sz="0" w:space="0" w:color="auto"/>
            <w:bottom w:val="none" w:sz="0" w:space="0" w:color="auto"/>
            <w:right w:val="none" w:sz="0" w:space="0" w:color="auto"/>
          </w:divBdr>
        </w:div>
        <w:div w:id="504635459">
          <w:marLeft w:val="0"/>
          <w:marRight w:val="0"/>
          <w:marTop w:val="0"/>
          <w:marBottom w:val="0"/>
          <w:divBdr>
            <w:top w:val="none" w:sz="0" w:space="0" w:color="auto"/>
            <w:left w:val="none" w:sz="0" w:space="0" w:color="auto"/>
            <w:bottom w:val="none" w:sz="0" w:space="0" w:color="auto"/>
            <w:right w:val="none" w:sz="0" w:space="0" w:color="auto"/>
          </w:divBdr>
        </w:div>
        <w:div w:id="563949368">
          <w:marLeft w:val="0"/>
          <w:marRight w:val="0"/>
          <w:marTop w:val="0"/>
          <w:marBottom w:val="0"/>
          <w:divBdr>
            <w:top w:val="none" w:sz="0" w:space="0" w:color="auto"/>
            <w:left w:val="none" w:sz="0" w:space="0" w:color="auto"/>
            <w:bottom w:val="none" w:sz="0" w:space="0" w:color="auto"/>
            <w:right w:val="none" w:sz="0" w:space="0" w:color="auto"/>
          </w:divBdr>
        </w:div>
        <w:div w:id="715197732">
          <w:marLeft w:val="0"/>
          <w:marRight w:val="0"/>
          <w:marTop w:val="0"/>
          <w:marBottom w:val="0"/>
          <w:divBdr>
            <w:top w:val="none" w:sz="0" w:space="0" w:color="auto"/>
            <w:left w:val="none" w:sz="0" w:space="0" w:color="auto"/>
            <w:bottom w:val="none" w:sz="0" w:space="0" w:color="auto"/>
            <w:right w:val="none" w:sz="0" w:space="0" w:color="auto"/>
          </w:divBdr>
        </w:div>
        <w:div w:id="804657645">
          <w:marLeft w:val="0"/>
          <w:marRight w:val="0"/>
          <w:marTop w:val="0"/>
          <w:marBottom w:val="0"/>
          <w:divBdr>
            <w:top w:val="none" w:sz="0" w:space="0" w:color="auto"/>
            <w:left w:val="none" w:sz="0" w:space="0" w:color="auto"/>
            <w:bottom w:val="none" w:sz="0" w:space="0" w:color="auto"/>
            <w:right w:val="none" w:sz="0" w:space="0" w:color="auto"/>
          </w:divBdr>
        </w:div>
        <w:div w:id="896478724">
          <w:marLeft w:val="0"/>
          <w:marRight w:val="0"/>
          <w:marTop w:val="0"/>
          <w:marBottom w:val="0"/>
          <w:divBdr>
            <w:top w:val="none" w:sz="0" w:space="0" w:color="auto"/>
            <w:left w:val="none" w:sz="0" w:space="0" w:color="auto"/>
            <w:bottom w:val="none" w:sz="0" w:space="0" w:color="auto"/>
            <w:right w:val="none" w:sz="0" w:space="0" w:color="auto"/>
          </w:divBdr>
        </w:div>
        <w:div w:id="1145856396">
          <w:marLeft w:val="0"/>
          <w:marRight w:val="0"/>
          <w:marTop w:val="0"/>
          <w:marBottom w:val="0"/>
          <w:divBdr>
            <w:top w:val="none" w:sz="0" w:space="0" w:color="auto"/>
            <w:left w:val="none" w:sz="0" w:space="0" w:color="auto"/>
            <w:bottom w:val="none" w:sz="0" w:space="0" w:color="auto"/>
            <w:right w:val="none" w:sz="0" w:space="0" w:color="auto"/>
          </w:divBdr>
        </w:div>
        <w:div w:id="1184174152">
          <w:marLeft w:val="0"/>
          <w:marRight w:val="0"/>
          <w:marTop w:val="0"/>
          <w:marBottom w:val="0"/>
          <w:divBdr>
            <w:top w:val="none" w:sz="0" w:space="0" w:color="auto"/>
            <w:left w:val="none" w:sz="0" w:space="0" w:color="auto"/>
            <w:bottom w:val="none" w:sz="0" w:space="0" w:color="auto"/>
            <w:right w:val="none" w:sz="0" w:space="0" w:color="auto"/>
          </w:divBdr>
        </w:div>
        <w:div w:id="1305164051">
          <w:marLeft w:val="0"/>
          <w:marRight w:val="0"/>
          <w:marTop w:val="0"/>
          <w:marBottom w:val="0"/>
          <w:divBdr>
            <w:top w:val="none" w:sz="0" w:space="0" w:color="auto"/>
            <w:left w:val="none" w:sz="0" w:space="0" w:color="auto"/>
            <w:bottom w:val="none" w:sz="0" w:space="0" w:color="auto"/>
            <w:right w:val="none" w:sz="0" w:space="0" w:color="auto"/>
          </w:divBdr>
        </w:div>
        <w:div w:id="1492090751">
          <w:marLeft w:val="0"/>
          <w:marRight w:val="0"/>
          <w:marTop w:val="0"/>
          <w:marBottom w:val="0"/>
          <w:divBdr>
            <w:top w:val="none" w:sz="0" w:space="0" w:color="auto"/>
            <w:left w:val="none" w:sz="0" w:space="0" w:color="auto"/>
            <w:bottom w:val="none" w:sz="0" w:space="0" w:color="auto"/>
            <w:right w:val="none" w:sz="0" w:space="0" w:color="auto"/>
          </w:divBdr>
        </w:div>
        <w:div w:id="1739472809">
          <w:marLeft w:val="0"/>
          <w:marRight w:val="0"/>
          <w:marTop w:val="0"/>
          <w:marBottom w:val="0"/>
          <w:divBdr>
            <w:top w:val="none" w:sz="0" w:space="0" w:color="auto"/>
            <w:left w:val="none" w:sz="0" w:space="0" w:color="auto"/>
            <w:bottom w:val="none" w:sz="0" w:space="0" w:color="auto"/>
            <w:right w:val="none" w:sz="0" w:space="0" w:color="auto"/>
          </w:divBdr>
        </w:div>
        <w:div w:id="2030836925">
          <w:marLeft w:val="0"/>
          <w:marRight w:val="0"/>
          <w:marTop w:val="0"/>
          <w:marBottom w:val="0"/>
          <w:divBdr>
            <w:top w:val="none" w:sz="0" w:space="0" w:color="auto"/>
            <w:left w:val="none" w:sz="0" w:space="0" w:color="auto"/>
            <w:bottom w:val="none" w:sz="0" w:space="0" w:color="auto"/>
            <w:right w:val="none" w:sz="0" w:space="0" w:color="auto"/>
          </w:divBdr>
        </w:div>
        <w:div w:id="2098479666">
          <w:marLeft w:val="0"/>
          <w:marRight w:val="0"/>
          <w:marTop w:val="0"/>
          <w:marBottom w:val="0"/>
          <w:divBdr>
            <w:top w:val="none" w:sz="0" w:space="0" w:color="auto"/>
            <w:left w:val="none" w:sz="0" w:space="0" w:color="auto"/>
            <w:bottom w:val="none" w:sz="0" w:space="0" w:color="auto"/>
            <w:right w:val="none" w:sz="0" w:space="0" w:color="auto"/>
          </w:divBdr>
        </w:div>
      </w:divsChild>
    </w:div>
    <w:div w:id="640842950">
      <w:bodyDiv w:val="1"/>
      <w:marLeft w:val="0"/>
      <w:marRight w:val="0"/>
      <w:marTop w:val="0"/>
      <w:marBottom w:val="0"/>
      <w:divBdr>
        <w:top w:val="none" w:sz="0" w:space="0" w:color="auto"/>
        <w:left w:val="none" w:sz="0" w:space="0" w:color="auto"/>
        <w:bottom w:val="none" w:sz="0" w:space="0" w:color="auto"/>
        <w:right w:val="none" w:sz="0" w:space="0" w:color="auto"/>
      </w:divBdr>
      <w:divsChild>
        <w:div w:id="38096339">
          <w:marLeft w:val="0"/>
          <w:marRight w:val="0"/>
          <w:marTop w:val="0"/>
          <w:marBottom w:val="0"/>
          <w:divBdr>
            <w:top w:val="none" w:sz="0" w:space="0" w:color="auto"/>
            <w:left w:val="none" w:sz="0" w:space="0" w:color="auto"/>
            <w:bottom w:val="none" w:sz="0" w:space="0" w:color="auto"/>
            <w:right w:val="none" w:sz="0" w:space="0" w:color="auto"/>
          </w:divBdr>
        </w:div>
        <w:div w:id="354159274">
          <w:marLeft w:val="0"/>
          <w:marRight w:val="0"/>
          <w:marTop w:val="0"/>
          <w:marBottom w:val="0"/>
          <w:divBdr>
            <w:top w:val="none" w:sz="0" w:space="0" w:color="auto"/>
            <w:left w:val="none" w:sz="0" w:space="0" w:color="auto"/>
            <w:bottom w:val="none" w:sz="0" w:space="0" w:color="auto"/>
            <w:right w:val="none" w:sz="0" w:space="0" w:color="auto"/>
          </w:divBdr>
        </w:div>
        <w:div w:id="865556341">
          <w:marLeft w:val="0"/>
          <w:marRight w:val="0"/>
          <w:marTop w:val="0"/>
          <w:marBottom w:val="0"/>
          <w:divBdr>
            <w:top w:val="none" w:sz="0" w:space="0" w:color="auto"/>
            <w:left w:val="none" w:sz="0" w:space="0" w:color="auto"/>
            <w:bottom w:val="none" w:sz="0" w:space="0" w:color="auto"/>
            <w:right w:val="none" w:sz="0" w:space="0" w:color="auto"/>
          </w:divBdr>
        </w:div>
        <w:div w:id="979111030">
          <w:marLeft w:val="0"/>
          <w:marRight w:val="0"/>
          <w:marTop w:val="0"/>
          <w:marBottom w:val="0"/>
          <w:divBdr>
            <w:top w:val="none" w:sz="0" w:space="0" w:color="auto"/>
            <w:left w:val="none" w:sz="0" w:space="0" w:color="auto"/>
            <w:bottom w:val="none" w:sz="0" w:space="0" w:color="auto"/>
            <w:right w:val="none" w:sz="0" w:space="0" w:color="auto"/>
          </w:divBdr>
        </w:div>
        <w:div w:id="1231846369">
          <w:marLeft w:val="0"/>
          <w:marRight w:val="0"/>
          <w:marTop w:val="0"/>
          <w:marBottom w:val="0"/>
          <w:divBdr>
            <w:top w:val="none" w:sz="0" w:space="0" w:color="auto"/>
            <w:left w:val="none" w:sz="0" w:space="0" w:color="auto"/>
            <w:bottom w:val="none" w:sz="0" w:space="0" w:color="auto"/>
            <w:right w:val="none" w:sz="0" w:space="0" w:color="auto"/>
          </w:divBdr>
        </w:div>
      </w:divsChild>
    </w:div>
    <w:div w:id="813985201">
      <w:bodyDiv w:val="1"/>
      <w:marLeft w:val="0"/>
      <w:marRight w:val="0"/>
      <w:marTop w:val="0"/>
      <w:marBottom w:val="0"/>
      <w:divBdr>
        <w:top w:val="none" w:sz="0" w:space="0" w:color="auto"/>
        <w:left w:val="none" w:sz="0" w:space="0" w:color="auto"/>
        <w:bottom w:val="none" w:sz="0" w:space="0" w:color="auto"/>
        <w:right w:val="none" w:sz="0" w:space="0" w:color="auto"/>
      </w:divBdr>
    </w:div>
    <w:div w:id="899563317">
      <w:bodyDiv w:val="1"/>
      <w:marLeft w:val="0"/>
      <w:marRight w:val="0"/>
      <w:marTop w:val="0"/>
      <w:marBottom w:val="0"/>
      <w:divBdr>
        <w:top w:val="none" w:sz="0" w:space="0" w:color="auto"/>
        <w:left w:val="none" w:sz="0" w:space="0" w:color="auto"/>
        <w:bottom w:val="none" w:sz="0" w:space="0" w:color="auto"/>
        <w:right w:val="none" w:sz="0" w:space="0" w:color="auto"/>
      </w:divBdr>
      <w:divsChild>
        <w:div w:id="995256219">
          <w:marLeft w:val="0"/>
          <w:marRight w:val="0"/>
          <w:marTop w:val="0"/>
          <w:marBottom w:val="0"/>
          <w:divBdr>
            <w:top w:val="none" w:sz="0" w:space="0" w:color="auto"/>
            <w:left w:val="none" w:sz="0" w:space="0" w:color="auto"/>
            <w:bottom w:val="none" w:sz="0" w:space="0" w:color="auto"/>
            <w:right w:val="none" w:sz="0" w:space="0" w:color="auto"/>
          </w:divBdr>
        </w:div>
        <w:div w:id="1185439335">
          <w:marLeft w:val="0"/>
          <w:marRight w:val="0"/>
          <w:marTop w:val="0"/>
          <w:marBottom w:val="0"/>
          <w:divBdr>
            <w:top w:val="none" w:sz="0" w:space="0" w:color="auto"/>
            <w:left w:val="none" w:sz="0" w:space="0" w:color="auto"/>
            <w:bottom w:val="none" w:sz="0" w:space="0" w:color="auto"/>
            <w:right w:val="none" w:sz="0" w:space="0" w:color="auto"/>
          </w:divBdr>
        </w:div>
        <w:div w:id="1214925735">
          <w:marLeft w:val="0"/>
          <w:marRight w:val="0"/>
          <w:marTop w:val="0"/>
          <w:marBottom w:val="0"/>
          <w:divBdr>
            <w:top w:val="none" w:sz="0" w:space="0" w:color="auto"/>
            <w:left w:val="none" w:sz="0" w:space="0" w:color="auto"/>
            <w:bottom w:val="none" w:sz="0" w:space="0" w:color="auto"/>
            <w:right w:val="none" w:sz="0" w:space="0" w:color="auto"/>
          </w:divBdr>
        </w:div>
        <w:div w:id="1492479425">
          <w:marLeft w:val="0"/>
          <w:marRight w:val="0"/>
          <w:marTop w:val="0"/>
          <w:marBottom w:val="0"/>
          <w:divBdr>
            <w:top w:val="none" w:sz="0" w:space="0" w:color="auto"/>
            <w:left w:val="none" w:sz="0" w:space="0" w:color="auto"/>
            <w:bottom w:val="none" w:sz="0" w:space="0" w:color="auto"/>
            <w:right w:val="none" w:sz="0" w:space="0" w:color="auto"/>
          </w:divBdr>
        </w:div>
        <w:div w:id="1599602733">
          <w:marLeft w:val="0"/>
          <w:marRight w:val="0"/>
          <w:marTop w:val="0"/>
          <w:marBottom w:val="0"/>
          <w:divBdr>
            <w:top w:val="none" w:sz="0" w:space="0" w:color="auto"/>
            <w:left w:val="none" w:sz="0" w:space="0" w:color="auto"/>
            <w:bottom w:val="none" w:sz="0" w:space="0" w:color="auto"/>
            <w:right w:val="none" w:sz="0" w:space="0" w:color="auto"/>
          </w:divBdr>
        </w:div>
      </w:divsChild>
    </w:div>
    <w:div w:id="1213156147">
      <w:bodyDiv w:val="1"/>
      <w:marLeft w:val="0"/>
      <w:marRight w:val="0"/>
      <w:marTop w:val="0"/>
      <w:marBottom w:val="0"/>
      <w:divBdr>
        <w:top w:val="none" w:sz="0" w:space="0" w:color="auto"/>
        <w:left w:val="none" w:sz="0" w:space="0" w:color="auto"/>
        <w:bottom w:val="none" w:sz="0" w:space="0" w:color="auto"/>
        <w:right w:val="none" w:sz="0" w:space="0" w:color="auto"/>
      </w:divBdr>
      <w:divsChild>
        <w:div w:id="175340901">
          <w:marLeft w:val="0"/>
          <w:marRight w:val="0"/>
          <w:marTop w:val="0"/>
          <w:marBottom w:val="0"/>
          <w:divBdr>
            <w:top w:val="none" w:sz="0" w:space="0" w:color="auto"/>
            <w:left w:val="none" w:sz="0" w:space="0" w:color="auto"/>
            <w:bottom w:val="none" w:sz="0" w:space="0" w:color="auto"/>
            <w:right w:val="none" w:sz="0" w:space="0" w:color="auto"/>
          </w:divBdr>
        </w:div>
        <w:div w:id="1232160319">
          <w:marLeft w:val="0"/>
          <w:marRight w:val="0"/>
          <w:marTop w:val="0"/>
          <w:marBottom w:val="0"/>
          <w:divBdr>
            <w:top w:val="none" w:sz="0" w:space="0" w:color="auto"/>
            <w:left w:val="none" w:sz="0" w:space="0" w:color="auto"/>
            <w:bottom w:val="none" w:sz="0" w:space="0" w:color="auto"/>
            <w:right w:val="none" w:sz="0" w:space="0" w:color="auto"/>
          </w:divBdr>
        </w:div>
      </w:divsChild>
    </w:div>
    <w:div w:id="1513840098">
      <w:bodyDiv w:val="1"/>
      <w:marLeft w:val="0"/>
      <w:marRight w:val="0"/>
      <w:marTop w:val="0"/>
      <w:marBottom w:val="0"/>
      <w:divBdr>
        <w:top w:val="none" w:sz="0" w:space="0" w:color="auto"/>
        <w:left w:val="none" w:sz="0" w:space="0" w:color="auto"/>
        <w:bottom w:val="none" w:sz="0" w:space="0" w:color="auto"/>
        <w:right w:val="none" w:sz="0" w:space="0" w:color="auto"/>
      </w:divBdr>
      <w:divsChild>
        <w:div w:id="85615189">
          <w:marLeft w:val="0"/>
          <w:marRight w:val="0"/>
          <w:marTop w:val="0"/>
          <w:marBottom w:val="0"/>
          <w:divBdr>
            <w:top w:val="none" w:sz="0" w:space="0" w:color="auto"/>
            <w:left w:val="none" w:sz="0" w:space="0" w:color="auto"/>
            <w:bottom w:val="none" w:sz="0" w:space="0" w:color="auto"/>
            <w:right w:val="none" w:sz="0" w:space="0" w:color="auto"/>
          </w:divBdr>
        </w:div>
        <w:div w:id="191500579">
          <w:marLeft w:val="0"/>
          <w:marRight w:val="0"/>
          <w:marTop w:val="0"/>
          <w:marBottom w:val="0"/>
          <w:divBdr>
            <w:top w:val="none" w:sz="0" w:space="0" w:color="auto"/>
            <w:left w:val="none" w:sz="0" w:space="0" w:color="auto"/>
            <w:bottom w:val="none" w:sz="0" w:space="0" w:color="auto"/>
            <w:right w:val="none" w:sz="0" w:space="0" w:color="auto"/>
          </w:divBdr>
        </w:div>
        <w:div w:id="408582452">
          <w:marLeft w:val="0"/>
          <w:marRight w:val="0"/>
          <w:marTop w:val="0"/>
          <w:marBottom w:val="0"/>
          <w:divBdr>
            <w:top w:val="none" w:sz="0" w:space="0" w:color="auto"/>
            <w:left w:val="none" w:sz="0" w:space="0" w:color="auto"/>
            <w:bottom w:val="none" w:sz="0" w:space="0" w:color="auto"/>
            <w:right w:val="none" w:sz="0" w:space="0" w:color="auto"/>
          </w:divBdr>
        </w:div>
        <w:div w:id="426925851">
          <w:marLeft w:val="0"/>
          <w:marRight w:val="0"/>
          <w:marTop w:val="0"/>
          <w:marBottom w:val="0"/>
          <w:divBdr>
            <w:top w:val="none" w:sz="0" w:space="0" w:color="auto"/>
            <w:left w:val="none" w:sz="0" w:space="0" w:color="auto"/>
            <w:bottom w:val="none" w:sz="0" w:space="0" w:color="auto"/>
            <w:right w:val="none" w:sz="0" w:space="0" w:color="auto"/>
          </w:divBdr>
        </w:div>
        <w:div w:id="472331787">
          <w:marLeft w:val="0"/>
          <w:marRight w:val="0"/>
          <w:marTop w:val="0"/>
          <w:marBottom w:val="0"/>
          <w:divBdr>
            <w:top w:val="none" w:sz="0" w:space="0" w:color="auto"/>
            <w:left w:val="none" w:sz="0" w:space="0" w:color="auto"/>
            <w:bottom w:val="none" w:sz="0" w:space="0" w:color="auto"/>
            <w:right w:val="none" w:sz="0" w:space="0" w:color="auto"/>
          </w:divBdr>
        </w:div>
        <w:div w:id="675233103">
          <w:marLeft w:val="0"/>
          <w:marRight w:val="0"/>
          <w:marTop w:val="0"/>
          <w:marBottom w:val="0"/>
          <w:divBdr>
            <w:top w:val="none" w:sz="0" w:space="0" w:color="auto"/>
            <w:left w:val="none" w:sz="0" w:space="0" w:color="auto"/>
            <w:bottom w:val="none" w:sz="0" w:space="0" w:color="auto"/>
            <w:right w:val="none" w:sz="0" w:space="0" w:color="auto"/>
          </w:divBdr>
        </w:div>
        <w:div w:id="699598019">
          <w:marLeft w:val="0"/>
          <w:marRight w:val="0"/>
          <w:marTop w:val="0"/>
          <w:marBottom w:val="0"/>
          <w:divBdr>
            <w:top w:val="none" w:sz="0" w:space="0" w:color="auto"/>
            <w:left w:val="none" w:sz="0" w:space="0" w:color="auto"/>
            <w:bottom w:val="none" w:sz="0" w:space="0" w:color="auto"/>
            <w:right w:val="none" w:sz="0" w:space="0" w:color="auto"/>
          </w:divBdr>
        </w:div>
        <w:div w:id="814763639">
          <w:marLeft w:val="0"/>
          <w:marRight w:val="0"/>
          <w:marTop w:val="0"/>
          <w:marBottom w:val="0"/>
          <w:divBdr>
            <w:top w:val="none" w:sz="0" w:space="0" w:color="auto"/>
            <w:left w:val="none" w:sz="0" w:space="0" w:color="auto"/>
            <w:bottom w:val="none" w:sz="0" w:space="0" w:color="auto"/>
            <w:right w:val="none" w:sz="0" w:space="0" w:color="auto"/>
          </w:divBdr>
        </w:div>
        <w:div w:id="1031147909">
          <w:marLeft w:val="0"/>
          <w:marRight w:val="0"/>
          <w:marTop w:val="0"/>
          <w:marBottom w:val="0"/>
          <w:divBdr>
            <w:top w:val="none" w:sz="0" w:space="0" w:color="auto"/>
            <w:left w:val="none" w:sz="0" w:space="0" w:color="auto"/>
            <w:bottom w:val="none" w:sz="0" w:space="0" w:color="auto"/>
            <w:right w:val="none" w:sz="0" w:space="0" w:color="auto"/>
          </w:divBdr>
        </w:div>
        <w:div w:id="1327243042">
          <w:marLeft w:val="0"/>
          <w:marRight w:val="0"/>
          <w:marTop w:val="0"/>
          <w:marBottom w:val="0"/>
          <w:divBdr>
            <w:top w:val="none" w:sz="0" w:space="0" w:color="auto"/>
            <w:left w:val="none" w:sz="0" w:space="0" w:color="auto"/>
            <w:bottom w:val="none" w:sz="0" w:space="0" w:color="auto"/>
            <w:right w:val="none" w:sz="0" w:space="0" w:color="auto"/>
          </w:divBdr>
        </w:div>
        <w:div w:id="1330718204">
          <w:marLeft w:val="0"/>
          <w:marRight w:val="0"/>
          <w:marTop w:val="0"/>
          <w:marBottom w:val="0"/>
          <w:divBdr>
            <w:top w:val="none" w:sz="0" w:space="0" w:color="auto"/>
            <w:left w:val="none" w:sz="0" w:space="0" w:color="auto"/>
            <w:bottom w:val="none" w:sz="0" w:space="0" w:color="auto"/>
            <w:right w:val="none" w:sz="0" w:space="0" w:color="auto"/>
          </w:divBdr>
        </w:div>
        <w:div w:id="1336690448">
          <w:marLeft w:val="0"/>
          <w:marRight w:val="0"/>
          <w:marTop w:val="0"/>
          <w:marBottom w:val="0"/>
          <w:divBdr>
            <w:top w:val="none" w:sz="0" w:space="0" w:color="auto"/>
            <w:left w:val="none" w:sz="0" w:space="0" w:color="auto"/>
            <w:bottom w:val="none" w:sz="0" w:space="0" w:color="auto"/>
            <w:right w:val="none" w:sz="0" w:space="0" w:color="auto"/>
          </w:divBdr>
        </w:div>
        <w:div w:id="1347174395">
          <w:marLeft w:val="0"/>
          <w:marRight w:val="0"/>
          <w:marTop w:val="0"/>
          <w:marBottom w:val="0"/>
          <w:divBdr>
            <w:top w:val="none" w:sz="0" w:space="0" w:color="auto"/>
            <w:left w:val="none" w:sz="0" w:space="0" w:color="auto"/>
            <w:bottom w:val="none" w:sz="0" w:space="0" w:color="auto"/>
            <w:right w:val="none" w:sz="0" w:space="0" w:color="auto"/>
          </w:divBdr>
        </w:div>
        <w:div w:id="1348141620">
          <w:marLeft w:val="0"/>
          <w:marRight w:val="0"/>
          <w:marTop w:val="0"/>
          <w:marBottom w:val="0"/>
          <w:divBdr>
            <w:top w:val="none" w:sz="0" w:space="0" w:color="auto"/>
            <w:left w:val="none" w:sz="0" w:space="0" w:color="auto"/>
            <w:bottom w:val="none" w:sz="0" w:space="0" w:color="auto"/>
            <w:right w:val="none" w:sz="0" w:space="0" w:color="auto"/>
          </w:divBdr>
        </w:div>
        <w:div w:id="1355233164">
          <w:marLeft w:val="0"/>
          <w:marRight w:val="0"/>
          <w:marTop w:val="0"/>
          <w:marBottom w:val="0"/>
          <w:divBdr>
            <w:top w:val="none" w:sz="0" w:space="0" w:color="auto"/>
            <w:left w:val="none" w:sz="0" w:space="0" w:color="auto"/>
            <w:bottom w:val="none" w:sz="0" w:space="0" w:color="auto"/>
            <w:right w:val="none" w:sz="0" w:space="0" w:color="auto"/>
          </w:divBdr>
        </w:div>
        <w:div w:id="1726831977">
          <w:marLeft w:val="0"/>
          <w:marRight w:val="0"/>
          <w:marTop w:val="0"/>
          <w:marBottom w:val="0"/>
          <w:divBdr>
            <w:top w:val="none" w:sz="0" w:space="0" w:color="auto"/>
            <w:left w:val="none" w:sz="0" w:space="0" w:color="auto"/>
            <w:bottom w:val="none" w:sz="0" w:space="0" w:color="auto"/>
            <w:right w:val="none" w:sz="0" w:space="0" w:color="auto"/>
          </w:divBdr>
        </w:div>
        <w:div w:id="2097511283">
          <w:marLeft w:val="0"/>
          <w:marRight w:val="0"/>
          <w:marTop w:val="0"/>
          <w:marBottom w:val="0"/>
          <w:divBdr>
            <w:top w:val="none" w:sz="0" w:space="0" w:color="auto"/>
            <w:left w:val="none" w:sz="0" w:space="0" w:color="auto"/>
            <w:bottom w:val="none" w:sz="0" w:space="0" w:color="auto"/>
            <w:right w:val="none" w:sz="0" w:space="0" w:color="auto"/>
          </w:divBdr>
        </w:div>
        <w:div w:id="2144883069">
          <w:marLeft w:val="0"/>
          <w:marRight w:val="0"/>
          <w:marTop w:val="0"/>
          <w:marBottom w:val="0"/>
          <w:divBdr>
            <w:top w:val="none" w:sz="0" w:space="0" w:color="auto"/>
            <w:left w:val="none" w:sz="0" w:space="0" w:color="auto"/>
            <w:bottom w:val="none" w:sz="0" w:space="0" w:color="auto"/>
            <w:right w:val="none" w:sz="0" w:space="0" w:color="auto"/>
          </w:divBdr>
        </w:div>
      </w:divsChild>
    </w:div>
    <w:div w:id="1532063969">
      <w:bodyDiv w:val="1"/>
      <w:marLeft w:val="0"/>
      <w:marRight w:val="0"/>
      <w:marTop w:val="0"/>
      <w:marBottom w:val="0"/>
      <w:divBdr>
        <w:top w:val="none" w:sz="0" w:space="0" w:color="auto"/>
        <w:left w:val="none" w:sz="0" w:space="0" w:color="auto"/>
        <w:bottom w:val="none" w:sz="0" w:space="0" w:color="auto"/>
        <w:right w:val="none" w:sz="0" w:space="0" w:color="auto"/>
      </w:divBdr>
      <w:divsChild>
        <w:div w:id="316499957">
          <w:marLeft w:val="0"/>
          <w:marRight w:val="0"/>
          <w:marTop w:val="0"/>
          <w:marBottom w:val="0"/>
          <w:divBdr>
            <w:top w:val="none" w:sz="0" w:space="0" w:color="auto"/>
            <w:left w:val="none" w:sz="0" w:space="0" w:color="auto"/>
            <w:bottom w:val="none" w:sz="0" w:space="0" w:color="auto"/>
            <w:right w:val="none" w:sz="0" w:space="0" w:color="auto"/>
          </w:divBdr>
        </w:div>
        <w:div w:id="785000691">
          <w:marLeft w:val="0"/>
          <w:marRight w:val="0"/>
          <w:marTop w:val="0"/>
          <w:marBottom w:val="0"/>
          <w:divBdr>
            <w:top w:val="none" w:sz="0" w:space="0" w:color="auto"/>
            <w:left w:val="none" w:sz="0" w:space="0" w:color="auto"/>
            <w:bottom w:val="none" w:sz="0" w:space="0" w:color="auto"/>
            <w:right w:val="none" w:sz="0" w:space="0" w:color="auto"/>
          </w:divBdr>
        </w:div>
        <w:div w:id="1098020621">
          <w:marLeft w:val="0"/>
          <w:marRight w:val="0"/>
          <w:marTop w:val="0"/>
          <w:marBottom w:val="0"/>
          <w:divBdr>
            <w:top w:val="none" w:sz="0" w:space="0" w:color="auto"/>
            <w:left w:val="none" w:sz="0" w:space="0" w:color="auto"/>
            <w:bottom w:val="none" w:sz="0" w:space="0" w:color="auto"/>
            <w:right w:val="none" w:sz="0" w:space="0" w:color="auto"/>
          </w:divBdr>
        </w:div>
        <w:div w:id="1120763872">
          <w:marLeft w:val="0"/>
          <w:marRight w:val="0"/>
          <w:marTop w:val="0"/>
          <w:marBottom w:val="0"/>
          <w:divBdr>
            <w:top w:val="none" w:sz="0" w:space="0" w:color="auto"/>
            <w:left w:val="none" w:sz="0" w:space="0" w:color="auto"/>
            <w:bottom w:val="none" w:sz="0" w:space="0" w:color="auto"/>
            <w:right w:val="none" w:sz="0" w:space="0" w:color="auto"/>
          </w:divBdr>
        </w:div>
        <w:div w:id="1431780110">
          <w:marLeft w:val="0"/>
          <w:marRight w:val="0"/>
          <w:marTop w:val="0"/>
          <w:marBottom w:val="0"/>
          <w:divBdr>
            <w:top w:val="none" w:sz="0" w:space="0" w:color="auto"/>
            <w:left w:val="none" w:sz="0" w:space="0" w:color="auto"/>
            <w:bottom w:val="none" w:sz="0" w:space="0" w:color="auto"/>
            <w:right w:val="none" w:sz="0" w:space="0" w:color="auto"/>
          </w:divBdr>
        </w:div>
        <w:div w:id="1589314774">
          <w:marLeft w:val="0"/>
          <w:marRight w:val="0"/>
          <w:marTop w:val="0"/>
          <w:marBottom w:val="0"/>
          <w:divBdr>
            <w:top w:val="none" w:sz="0" w:space="0" w:color="auto"/>
            <w:left w:val="none" w:sz="0" w:space="0" w:color="auto"/>
            <w:bottom w:val="none" w:sz="0" w:space="0" w:color="auto"/>
            <w:right w:val="none" w:sz="0" w:space="0" w:color="auto"/>
          </w:divBdr>
        </w:div>
        <w:div w:id="1656908199">
          <w:marLeft w:val="0"/>
          <w:marRight w:val="0"/>
          <w:marTop w:val="0"/>
          <w:marBottom w:val="0"/>
          <w:divBdr>
            <w:top w:val="none" w:sz="0" w:space="0" w:color="auto"/>
            <w:left w:val="none" w:sz="0" w:space="0" w:color="auto"/>
            <w:bottom w:val="none" w:sz="0" w:space="0" w:color="auto"/>
            <w:right w:val="none" w:sz="0" w:space="0" w:color="auto"/>
          </w:divBdr>
        </w:div>
        <w:div w:id="1686245970">
          <w:marLeft w:val="0"/>
          <w:marRight w:val="0"/>
          <w:marTop w:val="0"/>
          <w:marBottom w:val="0"/>
          <w:divBdr>
            <w:top w:val="none" w:sz="0" w:space="0" w:color="auto"/>
            <w:left w:val="none" w:sz="0" w:space="0" w:color="auto"/>
            <w:bottom w:val="none" w:sz="0" w:space="0" w:color="auto"/>
            <w:right w:val="none" w:sz="0" w:space="0" w:color="auto"/>
          </w:divBdr>
        </w:div>
        <w:div w:id="1856192318">
          <w:marLeft w:val="0"/>
          <w:marRight w:val="0"/>
          <w:marTop w:val="0"/>
          <w:marBottom w:val="0"/>
          <w:divBdr>
            <w:top w:val="none" w:sz="0" w:space="0" w:color="auto"/>
            <w:left w:val="none" w:sz="0" w:space="0" w:color="auto"/>
            <w:bottom w:val="none" w:sz="0" w:space="0" w:color="auto"/>
            <w:right w:val="none" w:sz="0" w:space="0" w:color="auto"/>
          </w:divBdr>
        </w:div>
        <w:div w:id="1867213961">
          <w:marLeft w:val="0"/>
          <w:marRight w:val="0"/>
          <w:marTop w:val="0"/>
          <w:marBottom w:val="0"/>
          <w:divBdr>
            <w:top w:val="none" w:sz="0" w:space="0" w:color="auto"/>
            <w:left w:val="none" w:sz="0" w:space="0" w:color="auto"/>
            <w:bottom w:val="none" w:sz="0" w:space="0" w:color="auto"/>
            <w:right w:val="none" w:sz="0" w:space="0" w:color="auto"/>
          </w:divBdr>
          <w:divsChild>
            <w:div w:id="417559329">
              <w:marLeft w:val="0"/>
              <w:marRight w:val="0"/>
              <w:marTop w:val="0"/>
              <w:marBottom w:val="0"/>
              <w:divBdr>
                <w:top w:val="none" w:sz="0" w:space="0" w:color="auto"/>
                <w:left w:val="none" w:sz="0" w:space="0" w:color="auto"/>
                <w:bottom w:val="none" w:sz="0" w:space="0" w:color="auto"/>
                <w:right w:val="none" w:sz="0" w:space="0" w:color="auto"/>
              </w:divBdr>
            </w:div>
          </w:divsChild>
        </w:div>
        <w:div w:id="2056199609">
          <w:marLeft w:val="0"/>
          <w:marRight w:val="0"/>
          <w:marTop w:val="0"/>
          <w:marBottom w:val="0"/>
          <w:divBdr>
            <w:top w:val="none" w:sz="0" w:space="0" w:color="auto"/>
            <w:left w:val="none" w:sz="0" w:space="0" w:color="auto"/>
            <w:bottom w:val="none" w:sz="0" w:space="0" w:color="auto"/>
            <w:right w:val="none" w:sz="0" w:space="0" w:color="auto"/>
          </w:divBdr>
        </w:div>
      </w:divsChild>
    </w:div>
    <w:div w:id="1555463391">
      <w:bodyDiv w:val="1"/>
      <w:marLeft w:val="0"/>
      <w:marRight w:val="0"/>
      <w:marTop w:val="0"/>
      <w:marBottom w:val="0"/>
      <w:divBdr>
        <w:top w:val="none" w:sz="0" w:space="0" w:color="auto"/>
        <w:left w:val="none" w:sz="0" w:space="0" w:color="auto"/>
        <w:bottom w:val="none" w:sz="0" w:space="0" w:color="auto"/>
        <w:right w:val="none" w:sz="0" w:space="0" w:color="auto"/>
      </w:divBdr>
      <w:divsChild>
        <w:div w:id="81920933">
          <w:marLeft w:val="0"/>
          <w:marRight w:val="0"/>
          <w:marTop w:val="0"/>
          <w:marBottom w:val="0"/>
          <w:divBdr>
            <w:top w:val="none" w:sz="0" w:space="0" w:color="auto"/>
            <w:left w:val="none" w:sz="0" w:space="0" w:color="auto"/>
            <w:bottom w:val="none" w:sz="0" w:space="0" w:color="auto"/>
            <w:right w:val="none" w:sz="0" w:space="0" w:color="auto"/>
          </w:divBdr>
        </w:div>
        <w:div w:id="179585312">
          <w:marLeft w:val="0"/>
          <w:marRight w:val="0"/>
          <w:marTop w:val="0"/>
          <w:marBottom w:val="0"/>
          <w:divBdr>
            <w:top w:val="none" w:sz="0" w:space="0" w:color="auto"/>
            <w:left w:val="none" w:sz="0" w:space="0" w:color="auto"/>
            <w:bottom w:val="none" w:sz="0" w:space="0" w:color="auto"/>
            <w:right w:val="none" w:sz="0" w:space="0" w:color="auto"/>
          </w:divBdr>
        </w:div>
        <w:div w:id="501896212">
          <w:marLeft w:val="0"/>
          <w:marRight w:val="0"/>
          <w:marTop w:val="0"/>
          <w:marBottom w:val="0"/>
          <w:divBdr>
            <w:top w:val="none" w:sz="0" w:space="0" w:color="auto"/>
            <w:left w:val="none" w:sz="0" w:space="0" w:color="auto"/>
            <w:bottom w:val="none" w:sz="0" w:space="0" w:color="auto"/>
            <w:right w:val="none" w:sz="0" w:space="0" w:color="auto"/>
          </w:divBdr>
        </w:div>
        <w:div w:id="553664670">
          <w:marLeft w:val="0"/>
          <w:marRight w:val="0"/>
          <w:marTop w:val="0"/>
          <w:marBottom w:val="0"/>
          <w:divBdr>
            <w:top w:val="none" w:sz="0" w:space="0" w:color="auto"/>
            <w:left w:val="none" w:sz="0" w:space="0" w:color="auto"/>
            <w:bottom w:val="none" w:sz="0" w:space="0" w:color="auto"/>
            <w:right w:val="none" w:sz="0" w:space="0" w:color="auto"/>
          </w:divBdr>
        </w:div>
        <w:div w:id="669909216">
          <w:marLeft w:val="0"/>
          <w:marRight w:val="0"/>
          <w:marTop w:val="0"/>
          <w:marBottom w:val="0"/>
          <w:divBdr>
            <w:top w:val="none" w:sz="0" w:space="0" w:color="auto"/>
            <w:left w:val="none" w:sz="0" w:space="0" w:color="auto"/>
            <w:bottom w:val="none" w:sz="0" w:space="0" w:color="auto"/>
            <w:right w:val="none" w:sz="0" w:space="0" w:color="auto"/>
          </w:divBdr>
        </w:div>
        <w:div w:id="895243696">
          <w:marLeft w:val="0"/>
          <w:marRight w:val="0"/>
          <w:marTop w:val="0"/>
          <w:marBottom w:val="0"/>
          <w:divBdr>
            <w:top w:val="none" w:sz="0" w:space="0" w:color="auto"/>
            <w:left w:val="none" w:sz="0" w:space="0" w:color="auto"/>
            <w:bottom w:val="none" w:sz="0" w:space="0" w:color="auto"/>
            <w:right w:val="none" w:sz="0" w:space="0" w:color="auto"/>
          </w:divBdr>
        </w:div>
        <w:div w:id="895627054">
          <w:marLeft w:val="0"/>
          <w:marRight w:val="0"/>
          <w:marTop w:val="0"/>
          <w:marBottom w:val="0"/>
          <w:divBdr>
            <w:top w:val="none" w:sz="0" w:space="0" w:color="auto"/>
            <w:left w:val="none" w:sz="0" w:space="0" w:color="auto"/>
            <w:bottom w:val="none" w:sz="0" w:space="0" w:color="auto"/>
            <w:right w:val="none" w:sz="0" w:space="0" w:color="auto"/>
          </w:divBdr>
        </w:div>
        <w:div w:id="1003161940">
          <w:marLeft w:val="0"/>
          <w:marRight w:val="0"/>
          <w:marTop w:val="0"/>
          <w:marBottom w:val="0"/>
          <w:divBdr>
            <w:top w:val="none" w:sz="0" w:space="0" w:color="auto"/>
            <w:left w:val="none" w:sz="0" w:space="0" w:color="auto"/>
            <w:bottom w:val="none" w:sz="0" w:space="0" w:color="auto"/>
            <w:right w:val="none" w:sz="0" w:space="0" w:color="auto"/>
          </w:divBdr>
        </w:div>
        <w:div w:id="1110858553">
          <w:marLeft w:val="0"/>
          <w:marRight w:val="0"/>
          <w:marTop w:val="0"/>
          <w:marBottom w:val="0"/>
          <w:divBdr>
            <w:top w:val="none" w:sz="0" w:space="0" w:color="auto"/>
            <w:left w:val="none" w:sz="0" w:space="0" w:color="auto"/>
            <w:bottom w:val="none" w:sz="0" w:space="0" w:color="auto"/>
            <w:right w:val="none" w:sz="0" w:space="0" w:color="auto"/>
          </w:divBdr>
        </w:div>
        <w:div w:id="1352993941">
          <w:marLeft w:val="0"/>
          <w:marRight w:val="0"/>
          <w:marTop w:val="0"/>
          <w:marBottom w:val="0"/>
          <w:divBdr>
            <w:top w:val="none" w:sz="0" w:space="0" w:color="auto"/>
            <w:left w:val="none" w:sz="0" w:space="0" w:color="auto"/>
            <w:bottom w:val="none" w:sz="0" w:space="0" w:color="auto"/>
            <w:right w:val="none" w:sz="0" w:space="0" w:color="auto"/>
          </w:divBdr>
        </w:div>
        <w:div w:id="1525511482">
          <w:marLeft w:val="0"/>
          <w:marRight w:val="0"/>
          <w:marTop w:val="0"/>
          <w:marBottom w:val="0"/>
          <w:divBdr>
            <w:top w:val="none" w:sz="0" w:space="0" w:color="auto"/>
            <w:left w:val="none" w:sz="0" w:space="0" w:color="auto"/>
            <w:bottom w:val="none" w:sz="0" w:space="0" w:color="auto"/>
            <w:right w:val="none" w:sz="0" w:space="0" w:color="auto"/>
          </w:divBdr>
        </w:div>
        <w:div w:id="1823546782">
          <w:marLeft w:val="0"/>
          <w:marRight w:val="0"/>
          <w:marTop w:val="0"/>
          <w:marBottom w:val="0"/>
          <w:divBdr>
            <w:top w:val="none" w:sz="0" w:space="0" w:color="auto"/>
            <w:left w:val="none" w:sz="0" w:space="0" w:color="auto"/>
            <w:bottom w:val="none" w:sz="0" w:space="0" w:color="auto"/>
            <w:right w:val="none" w:sz="0" w:space="0" w:color="auto"/>
          </w:divBdr>
        </w:div>
        <w:div w:id="1931616317">
          <w:marLeft w:val="0"/>
          <w:marRight w:val="0"/>
          <w:marTop w:val="0"/>
          <w:marBottom w:val="0"/>
          <w:divBdr>
            <w:top w:val="none" w:sz="0" w:space="0" w:color="auto"/>
            <w:left w:val="none" w:sz="0" w:space="0" w:color="auto"/>
            <w:bottom w:val="none" w:sz="0" w:space="0" w:color="auto"/>
            <w:right w:val="none" w:sz="0" w:space="0" w:color="auto"/>
          </w:divBdr>
        </w:div>
        <w:div w:id="1967656760">
          <w:marLeft w:val="0"/>
          <w:marRight w:val="0"/>
          <w:marTop w:val="0"/>
          <w:marBottom w:val="0"/>
          <w:divBdr>
            <w:top w:val="none" w:sz="0" w:space="0" w:color="auto"/>
            <w:left w:val="none" w:sz="0" w:space="0" w:color="auto"/>
            <w:bottom w:val="none" w:sz="0" w:space="0" w:color="auto"/>
            <w:right w:val="none" w:sz="0" w:space="0" w:color="auto"/>
          </w:divBdr>
        </w:div>
        <w:div w:id="2015036458">
          <w:marLeft w:val="0"/>
          <w:marRight w:val="0"/>
          <w:marTop w:val="0"/>
          <w:marBottom w:val="0"/>
          <w:divBdr>
            <w:top w:val="none" w:sz="0" w:space="0" w:color="auto"/>
            <w:left w:val="none" w:sz="0" w:space="0" w:color="auto"/>
            <w:bottom w:val="none" w:sz="0" w:space="0" w:color="auto"/>
            <w:right w:val="none" w:sz="0" w:space="0" w:color="auto"/>
          </w:divBdr>
        </w:div>
      </w:divsChild>
    </w:div>
    <w:div w:id="1653876092">
      <w:bodyDiv w:val="1"/>
      <w:marLeft w:val="0"/>
      <w:marRight w:val="0"/>
      <w:marTop w:val="0"/>
      <w:marBottom w:val="0"/>
      <w:divBdr>
        <w:top w:val="none" w:sz="0" w:space="0" w:color="auto"/>
        <w:left w:val="none" w:sz="0" w:space="0" w:color="auto"/>
        <w:bottom w:val="none" w:sz="0" w:space="0" w:color="auto"/>
        <w:right w:val="none" w:sz="0" w:space="0" w:color="auto"/>
      </w:divBdr>
      <w:divsChild>
        <w:div w:id="834422878">
          <w:marLeft w:val="0"/>
          <w:marRight w:val="0"/>
          <w:marTop w:val="0"/>
          <w:marBottom w:val="0"/>
          <w:divBdr>
            <w:top w:val="none" w:sz="0" w:space="0" w:color="auto"/>
            <w:left w:val="none" w:sz="0" w:space="0" w:color="auto"/>
            <w:bottom w:val="none" w:sz="0" w:space="0" w:color="auto"/>
            <w:right w:val="none" w:sz="0" w:space="0" w:color="auto"/>
          </w:divBdr>
        </w:div>
        <w:div w:id="1316760822">
          <w:marLeft w:val="0"/>
          <w:marRight w:val="0"/>
          <w:marTop w:val="0"/>
          <w:marBottom w:val="0"/>
          <w:divBdr>
            <w:top w:val="none" w:sz="0" w:space="0" w:color="auto"/>
            <w:left w:val="none" w:sz="0" w:space="0" w:color="auto"/>
            <w:bottom w:val="none" w:sz="0" w:space="0" w:color="auto"/>
            <w:right w:val="none" w:sz="0" w:space="0" w:color="auto"/>
          </w:divBdr>
        </w:div>
        <w:div w:id="1701710460">
          <w:marLeft w:val="0"/>
          <w:marRight w:val="0"/>
          <w:marTop w:val="0"/>
          <w:marBottom w:val="0"/>
          <w:divBdr>
            <w:top w:val="none" w:sz="0" w:space="0" w:color="auto"/>
            <w:left w:val="none" w:sz="0" w:space="0" w:color="auto"/>
            <w:bottom w:val="none" w:sz="0" w:space="0" w:color="auto"/>
            <w:right w:val="none" w:sz="0" w:space="0" w:color="auto"/>
          </w:divBdr>
        </w:div>
        <w:div w:id="1708067141">
          <w:marLeft w:val="0"/>
          <w:marRight w:val="0"/>
          <w:marTop w:val="0"/>
          <w:marBottom w:val="0"/>
          <w:divBdr>
            <w:top w:val="none" w:sz="0" w:space="0" w:color="auto"/>
            <w:left w:val="none" w:sz="0" w:space="0" w:color="auto"/>
            <w:bottom w:val="none" w:sz="0" w:space="0" w:color="auto"/>
            <w:right w:val="none" w:sz="0" w:space="0" w:color="auto"/>
          </w:divBdr>
        </w:div>
      </w:divsChild>
    </w:div>
    <w:div w:id="1667173889">
      <w:bodyDiv w:val="1"/>
      <w:marLeft w:val="0"/>
      <w:marRight w:val="0"/>
      <w:marTop w:val="0"/>
      <w:marBottom w:val="0"/>
      <w:divBdr>
        <w:top w:val="none" w:sz="0" w:space="0" w:color="auto"/>
        <w:left w:val="none" w:sz="0" w:space="0" w:color="auto"/>
        <w:bottom w:val="none" w:sz="0" w:space="0" w:color="auto"/>
        <w:right w:val="none" w:sz="0" w:space="0" w:color="auto"/>
      </w:divBdr>
      <w:divsChild>
        <w:div w:id="90979794">
          <w:marLeft w:val="0"/>
          <w:marRight w:val="0"/>
          <w:marTop w:val="0"/>
          <w:marBottom w:val="0"/>
          <w:divBdr>
            <w:top w:val="none" w:sz="0" w:space="0" w:color="auto"/>
            <w:left w:val="none" w:sz="0" w:space="0" w:color="auto"/>
            <w:bottom w:val="none" w:sz="0" w:space="0" w:color="auto"/>
            <w:right w:val="none" w:sz="0" w:space="0" w:color="auto"/>
          </w:divBdr>
        </w:div>
        <w:div w:id="160854512">
          <w:marLeft w:val="0"/>
          <w:marRight w:val="0"/>
          <w:marTop w:val="0"/>
          <w:marBottom w:val="0"/>
          <w:divBdr>
            <w:top w:val="none" w:sz="0" w:space="0" w:color="auto"/>
            <w:left w:val="none" w:sz="0" w:space="0" w:color="auto"/>
            <w:bottom w:val="none" w:sz="0" w:space="0" w:color="auto"/>
            <w:right w:val="none" w:sz="0" w:space="0" w:color="auto"/>
          </w:divBdr>
        </w:div>
        <w:div w:id="190383017">
          <w:marLeft w:val="0"/>
          <w:marRight w:val="0"/>
          <w:marTop w:val="0"/>
          <w:marBottom w:val="0"/>
          <w:divBdr>
            <w:top w:val="none" w:sz="0" w:space="0" w:color="auto"/>
            <w:left w:val="none" w:sz="0" w:space="0" w:color="auto"/>
            <w:bottom w:val="none" w:sz="0" w:space="0" w:color="auto"/>
            <w:right w:val="none" w:sz="0" w:space="0" w:color="auto"/>
          </w:divBdr>
        </w:div>
        <w:div w:id="519321167">
          <w:marLeft w:val="0"/>
          <w:marRight w:val="0"/>
          <w:marTop w:val="0"/>
          <w:marBottom w:val="0"/>
          <w:divBdr>
            <w:top w:val="none" w:sz="0" w:space="0" w:color="auto"/>
            <w:left w:val="none" w:sz="0" w:space="0" w:color="auto"/>
            <w:bottom w:val="none" w:sz="0" w:space="0" w:color="auto"/>
            <w:right w:val="none" w:sz="0" w:space="0" w:color="auto"/>
          </w:divBdr>
        </w:div>
        <w:div w:id="550113991">
          <w:marLeft w:val="0"/>
          <w:marRight w:val="0"/>
          <w:marTop w:val="0"/>
          <w:marBottom w:val="0"/>
          <w:divBdr>
            <w:top w:val="none" w:sz="0" w:space="0" w:color="auto"/>
            <w:left w:val="none" w:sz="0" w:space="0" w:color="auto"/>
            <w:bottom w:val="none" w:sz="0" w:space="0" w:color="auto"/>
            <w:right w:val="none" w:sz="0" w:space="0" w:color="auto"/>
          </w:divBdr>
        </w:div>
        <w:div w:id="595098408">
          <w:marLeft w:val="0"/>
          <w:marRight w:val="0"/>
          <w:marTop w:val="0"/>
          <w:marBottom w:val="0"/>
          <w:divBdr>
            <w:top w:val="none" w:sz="0" w:space="0" w:color="auto"/>
            <w:left w:val="none" w:sz="0" w:space="0" w:color="auto"/>
            <w:bottom w:val="none" w:sz="0" w:space="0" w:color="auto"/>
            <w:right w:val="none" w:sz="0" w:space="0" w:color="auto"/>
          </w:divBdr>
        </w:div>
        <w:div w:id="697661197">
          <w:marLeft w:val="0"/>
          <w:marRight w:val="0"/>
          <w:marTop w:val="0"/>
          <w:marBottom w:val="0"/>
          <w:divBdr>
            <w:top w:val="none" w:sz="0" w:space="0" w:color="auto"/>
            <w:left w:val="none" w:sz="0" w:space="0" w:color="auto"/>
            <w:bottom w:val="none" w:sz="0" w:space="0" w:color="auto"/>
            <w:right w:val="none" w:sz="0" w:space="0" w:color="auto"/>
          </w:divBdr>
        </w:div>
        <w:div w:id="823161624">
          <w:marLeft w:val="0"/>
          <w:marRight w:val="0"/>
          <w:marTop w:val="0"/>
          <w:marBottom w:val="0"/>
          <w:divBdr>
            <w:top w:val="none" w:sz="0" w:space="0" w:color="auto"/>
            <w:left w:val="none" w:sz="0" w:space="0" w:color="auto"/>
            <w:bottom w:val="none" w:sz="0" w:space="0" w:color="auto"/>
            <w:right w:val="none" w:sz="0" w:space="0" w:color="auto"/>
          </w:divBdr>
        </w:div>
        <w:div w:id="859516065">
          <w:marLeft w:val="0"/>
          <w:marRight w:val="0"/>
          <w:marTop w:val="0"/>
          <w:marBottom w:val="0"/>
          <w:divBdr>
            <w:top w:val="none" w:sz="0" w:space="0" w:color="auto"/>
            <w:left w:val="none" w:sz="0" w:space="0" w:color="auto"/>
            <w:bottom w:val="none" w:sz="0" w:space="0" w:color="auto"/>
            <w:right w:val="none" w:sz="0" w:space="0" w:color="auto"/>
          </w:divBdr>
        </w:div>
        <w:div w:id="912548596">
          <w:marLeft w:val="0"/>
          <w:marRight w:val="0"/>
          <w:marTop w:val="0"/>
          <w:marBottom w:val="0"/>
          <w:divBdr>
            <w:top w:val="none" w:sz="0" w:space="0" w:color="auto"/>
            <w:left w:val="none" w:sz="0" w:space="0" w:color="auto"/>
            <w:bottom w:val="none" w:sz="0" w:space="0" w:color="auto"/>
            <w:right w:val="none" w:sz="0" w:space="0" w:color="auto"/>
          </w:divBdr>
        </w:div>
        <w:div w:id="1288506253">
          <w:marLeft w:val="0"/>
          <w:marRight w:val="0"/>
          <w:marTop w:val="0"/>
          <w:marBottom w:val="0"/>
          <w:divBdr>
            <w:top w:val="none" w:sz="0" w:space="0" w:color="auto"/>
            <w:left w:val="none" w:sz="0" w:space="0" w:color="auto"/>
            <w:bottom w:val="none" w:sz="0" w:space="0" w:color="auto"/>
            <w:right w:val="none" w:sz="0" w:space="0" w:color="auto"/>
          </w:divBdr>
        </w:div>
        <w:div w:id="1398014196">
          <w:marLeft w:val="0"/>
          <w:marRight w:val="0"/>
          <w:marTop w:val="0"/>
          <w:marBottom w:val="0"/>
          <w:divBdr>
            <w:top w:val="none" w:sz="0" w:space="0" w:color="auto"/>
            <w:left w:val="none" w:sz="0" w:space="0" w:color="auto"/>
            <w:bottom w:val="none" w:sz="0" w:space="0" w:color="auto"/>
            <w:right w:val="none" w:sz="0" w:space="0" w:color="auto"/>
          </w:divBdr>
        </w:div>
        <w:div w:id="1659963033">
          <w:marLeft w:val="0"/>
          <w:marRight w:val="0"/>
          <w:marTop w:val="0"/>
          <w:marBottom w:val="0"/>
          <w:divBdr>
            <w:top w:val="none" w:sz="0" w:space="0" w:color="auto"/>
            <w:left w:val="none" w:sz="0" w:space="0" w:color="auto"/>
            <w:bottom w:val="none" w:sz="0" w:space="0" w:color="auto"/>
            <w:right w:val="none" w:sz="0" w:space="0" w:color="auto"/>
          </w:divBdr>
        </w:div>
        <w:div w:id="1691832139">
          <w:marLeft w:val="0"/>
          <w:marRight w:val="0"/>
          <w:marTop w:val="0"/>
          <w:marBottom w:val="0"/>
          <w:divBdr>
            <w:top w:val="none" w:sz="0" w:space="0" w:color="auto"/>
            <w:left w:val="none" w:sz="0" w:space="0" w:color="auto"/>
            <w:bottom w:val="none" w:sz="0" w:space="0" w:color="auto"/>
            <w:right w:val="none" w:sz="0" w:space="0" w:color="auto"/>
          </w:divBdr>
        </w:div>
        <w:div w:id="2137526758">
          <w:marLeft w:val="0"/>
          <w:marRight w:val="0"/>
          <w:marTop w:val="0"/>
          <w:marBottom w:val="0"/>
          <w:divBdr>
            <w:top w:val="none" w:sz="0" w:space="0" w:color="auto"/>
            <w:left w:val="none" w:sz="0" w:space="0" w:color="auto"/>
            <w:bottom w:val="none" w:sz="0" w:space="0" w:color="auto"/>
            <w:right w:val="none" w:sz="0" w:space="0" w:color="auto"/>
          </w:divBdr>
        </w:div>
      </w:divsChild>
    </w:div>
    <w:div w:id="1668174047">
      <w:bodyDiv w:val="1"/>
      <w:marLeft w:val="0"/>
      <w:marRight w:val="0"/>
      <w:marTop w:val="0"/>
      <w:marBottom w:val="0"/>
      <w:divBdr>
        <w:top w:val="none" w:sz="0" w:space="0" w:color="auto"/>
        <w:left w:val="none" w:sz="0" w:space="0" w:color="auto"/>
        <w:bottom w:val="none" w:sz="0" w:space="0" w:color="auto"/>
        <w:right w:val="none" w:sz="0" w:space="0" w:color="auto"/>
      </w:divBdr>
      <w:divsChild>
        <w:div w:id="96029846">
          <w:marLeft w:val="0"/>
          <w:marRight w:val="0"/>
          <w:marTop w:val="0"/>
          <w:marBottom w:val="0"/>
          <w:divBdr>
            <w:top w:val="none" w:sz="0" w:space="0" w:color="auto"/>
            <w:left w:val="none" w:sz="0" w:space="0" w:color="auto"/>
            <w:bottom w:val="none" w:sz="0" w:space="0" w:color="auto"/>
            <w:right w:val="none" w:sz="0" w:space="0" w:color="auto"/>
          </w:divBdr>
        </w:div>
        <w:div w:id="676735737">
          <w:marLeft w:val="0"/>
          <w:marRight w:val="0"/>
          <w:marTop w:val="0"/>
          <w:marBottom w:val="0"/>
          <w:divBdr>
            <w:top w:val="none" w:sz="0" w:space="0" w:color="auto"/>
            <w:left w:val="none" w:sz="0" w:space="0" w:color="auto"/>
            <w:bottom w:val="none" w:sz="0" w:space="0" w:color="auto"/>
            <w:right w:val="none" w:sz="0" w:space="0" w:color="auto"/>
          </w:divBdr>
        </w:div>
        <w:div w:id="769005838">
          <w:marLeft w:val="0"/>
          <w:marRight w:val="0"/>
          <w:marTop w:val="0"/>
          <w:marBottom w:val="0"/>
          <w:divBdr>
            <w:top w:val="none" w:sz="0" w:space="0" w:color="auto"/>
            <w:left w:val="none" w:sz="0" w:space="0" w:color="auto"/>
            <w:bottom w:val="none" w:sz="0" w:space="0" w:color="auto"/>
            <w:right w:val="none" w:sz="0" w:space="0" w:color="auto"/>
          </w:divBdr>
        </w:div>
        <w:div w:id="832986353">
          <w:marLeft w:val="0"/>
          <w:marRight w:val="0"/>
          <w:marTop w:val="0"/>
          <w:marBottom w:val="0"/>
          <w:divBdr>
            <w:top w:val="none" w:sz="0" w:space="0" w:color="auto"/>
            <w:left w:val="none" w:sz="0" w:space="0" w:color="auto"/>
            <w:bottom w:val="none" w:sz="0" w:space="0" w:color="auto"/>
            <w:right w:val="none" w:sz="0" w:space="0" w:color="auto"/>
          </w:divBdr>
        </w:div>
        <w:div w:id="917447845">
          <w:marLeft w:val="0"/>
          <w:marRight w:val="0"/>
          <w:marTop w:val="0"/>
          <w:marBottom w:val="0"/>
          <w:divBdr>
            <w:top w:val="none" w:sz="0" w:space="0" w:color="auto"/>
            <w:left w:val="none" w:sz="0" w:space="0" w:color="auto"/>
            <w:bottom w:val="none" w:sz="0" w:space="0" w:color="auto"/>
            <w:right w:val="none" w:sz="0" w:space="0" w:color="auto"/>
          </w:divBdr>
        </w:div>
      </w:divsChild>
    </w:div>
    <w:div w:id="1958757637">
      <w:bodyDiv w:val="1"/>
      <w:marLeft w:val="0"/>
      <w:marRight w:val="0"/>
      <w:marTop w:val="0"/>
      <w:marBottom w:val="0"/>
      <w:divBdr>
        <w:top w:val="none" w:sz="0" w:space="0" w:color="auto"/>
        <w:left w:val="none" w:sz="0" w:space="0" w:color="auto"/>
        <w:bottom w:val="none" w:sz="0" w:space="0" w:color="auto"/>
        <w:right w:val="none" w:sz="0" w:space="0" w:color="auto"/>
      </w:divBdr>
      <w:divsChild>
        <w:div w:id="850291641">
          <w:marLeft w:val="0"/>
          <w:marRight w:val="0"/>
          <w:marTop w:val="0"/>
          <w:marBottom w:val="0"/>
          <w:divBdr>
            <w:top w:val="none" w:sz="0" w:space="0" w:color="auto"/>
            <w:left w:val="none" w:sz="0" w:space="0" w:color="auto"/>
            <w:bottom w:val="none" w:sz="0" w:space="0" w:color="auto"/>
            <w:right w:val="none" w:sz="0" w:space="0" w:color="auto"/>
          </w:divBdr>
        </w:div>
        <w:div w:id="1190070189">
          <w:marLeft w:val="0"/>
          <w:marRight w:val="0"/>
          <w:marTop w:val="0"/>
          <w:marBottom w:val="0"/>
          <w:divBdr>
            <w:top w:val="none" w:sz="0" w:space="0" w:color="auto"/>
            <w:left w:val="none" w:sz="0" w:space="0" w:color="auto"/>
            <w:bottom w:val="none" w:sz="0" w:space="0" w:color="auto"/>
            <w:right w:val="none" w:sz="0" w:space="0" w:color="auto"/>
          </w:divBdr>
        </w:div>
      </w:divsChild>
    </w:div>
    <w:div w:id="2055614155">
      <w:bodyDiv w:val="1"/>
      <w:marLeft w:val="0"/>
      <w:marRight w:val="0"/>
      <w:marTop w:val="0"/>
      <w:marBottom w:val="0"/>
      <w:divBdr>
        <w:top w:val="none" w:sz="0" w:space="0" w:color="auto"/>
        <w:left w:val="none" w:sz="0" w:space="0" w:color="auto"/>
        <w:bottom w:val="none" w:sz="0" w:space="0" w:color="auto"/>
        <w:right w:val="none" w:sz="0" w:space="0" w:color="auto"/>
      </w:divBdr>
      <w:divsChild>
        <w:div w:id="137655541">
          <w:marLeft w:val="0"/>
          <w:marRight w:val="0"/>
          <w:marTop w:val="0"/>
          <w:marBottom w:val="0"/>
          <w:divBdr>
            <w:top w:val="none" w:sz="0" w:space="0" w:color="auto"/>
            <w:left w:val="none" w:sz="0" w:space="0" w:color="auto"/>
            <w:bottom w:val="none" w:sz="0" w:space="0" w:color="auto"/>
            <w:right w:val="none" w:sz="0" w:space="0" w:color="auto"/>
          </w:divBdr>
        </w:div>
        <w:div w:id="551699601">
          <w:marLeft w:val="0"/>
          <w:marRight w:val="0"/>
          <w:marTop w:val="0"/>
          <w:marBottom w:val="0"/>
          <w:divBdr>
            <w:top w:val="none" w:sz="0" w:space="0" w:color="auto"/>
            <w:left w:val="none" w:sz="0" w:space="0" w:color="auto"/>
            <w:bottom w:val="none" w:sz="0" w:space="0" w:color="auto"/>
            <w:right w:val="none" w:sz="0" w:space="0" w:color="auto"/>
          </w:divBdr>
        </w:div>
        <w:div w:id="982849572">
          <w:marLeft w:val="0"/>
          <w:marRight w:val="0"/>
          <w:marTop w:val="0"/>
          <w:marBottom w:val="0"/>
          <w:divBdr>
            <w:top w:val="none" w:sz="0" w:space="0" w:color="auto"/>
            <w:left w:val="none" w:sz="0" w:space="0" w:color="auto"/>
            <w:bottom w:val="none" w:sz="0" w:space="0" w:color="auto"/>
            <w:right w:val="none" w:sz="0" w:space="0" w:color="auto"/>
          </w:divBdr>
        </w:div>
        <w:div w:id="1121805669">
          <w:marLeft w:val="0"/>
          <w:marRight w:val="0"/>
          <w:marTop w:val="0"/>
          <w:marBottom w:val="0"/>
          <w:divBdr>
            <w:top w:val="none" w:sz="0" w:space="0" w:color="auto"/>
            <w:left w:val="none" w:sz="0" w:space="0" w:color="auto"/>
            <w:bottom w:val="none" w:sz="0" w:space="0" w:color="auto"/>
            <w:right w:val="none" w:sz="0" w:space="0" w:color="auto"/>
          </w:divBdr>
        </w:div>
        <w:div w:id="2049521439">
          <w:marLeft w:val="0"/>
          <w:marRight w:val="0"/>
          <w:marTop w:val="0"/>
          <w:marBottom w:val="0"/>
          <w:divBdr>
            <w:top w:val="none" w:sz="0" w:space="0" w:color="auto"/>
            <w:left w:val="none" w:sz="0" w:space="0" w:color="auto"/>
            <w:bottom w:val="none" w:sz="0" w:space="0" w:color="auto"/>
            <w:right w:val="none" w:sz="0" w:space="0" w:color="auto"/>
          </w:divBdr>
        </w:div>
      </w:divsChild>
    </w:div>
    <w:div w:id="2068528815">
      <w:bodyDiv w:val="1"/>
      <w:marLeft w:val="0"/>
      <w:marRight w:val="0"/>
      <w:marTop w:val="0"/>
      <w:marBottom w:val="0"/>
      <w:divBdr>
        <w:top w:val="none" w:sz="0" w:space="0" w:color="auto"/>
        <w:left w:val="none" w:sz="0" w:space="0" w:color="auto"/>
        <w:bottom w:val="none" w:sz="0" w:space="0" w:color="auto"/>
        <w:right w:val="none" w:sz="0" w:space="0" w:color="auto"/>
      </w:divBdr>
      <w:divsChild>
        <w:div w:id="124012846">
          <w:marLeft w:val="0"/>
          <w:marRight w:val="0"/>
          <w:marTop w:val="0"/>
          <w:marBottom w:val="0"/>
          <w:divBdr>
            <w:top w:val="none" w:sz="0" w:space="0" w:color="auto"/>
            <w:left w:val="none" w:sz="0" w:space="0" w:color="auto"/>
            <w:bottom w:val="none" w:sz="0" w:space="0" w:color="auto"/>
            <w:right w:val="none" w:sz="0" w:space="0" w:color="auto"/>
          </w:divBdr>
        </w:div>
        <w:div w:id="340740824">
          <w:marLeft w:val="0"/>
          <w:marRight w:val="0"/>
          <w:marTop w:val="0"/>
          <w:marBottom w:val="0"/>
          <w:divBdr>
            <w:top w:val="none" w:sz="0" w:space="0" w:color="auto"/>
            <w:left w:val="none" w:sz="0" w:space="0" w:color="auto"/>
            <w:bottom w:val="none" w:sz="0" w:space="0" w:color="auto"/>
            <w:right w:val="none" w:sz="0" w:space="0" w:color="auto"/>
          </w:divBdr>
        </w:div>
        <w:div w:id="435104604">
          <w:marLeft w:val="0"/>
          <w:marRight w:val="0"/>
          <w:marTop w:val="0"/>
          <w:marBottom w:val="0"/>
          <w:divBdr>
            <w:top w:val="none" w:sz="0" w:space="0" w:color="auto"/>
            <w:left w:val="none" w:sz="0" w:space="0" w:color="auto"/>
            <w:bottom w:val="none" w:sz="0" w:space="0" w:color="auto"/>
            <w:right w:val="none" w:sz="0" w:space="0" w:color="auto"/>
          </w:divBdr>
        </w:div>
        <w:div w:id="461732746">
          <w:marLeft w:val="0"/>
          <w:marRight w:val="0"/>
          <w:marTop w:val="0"/>
          <w:marBottom w:val="0"/>
          <w:divBdr>
            <w:top w:val="none" w:sz="0" w:space="0" w:color="auto"/>
            <w:left w:val="none" w:sz="0" w:space="0" w:color="auto"/>
            <w:bottom w:val="none" w:sz="0" w:space="0" w:color="auto"/>
            <w:right w:val="none" w:sz="0" w:space="0" w:color="auto"/>
          </w:divBdr>
        </w:div>
        <w:div w:id="737679173">
          <w:marLeft w:val="0"/>
          <w:marRight w:val="0"/>
          <w:marTop w:val="0"/>
          <w:marBottom w:val="0"/>
          <w:divBdr>
            <w:top w:val="none" w:sz="0" w:space="0" w:color="auto"/>
            <w:left w:val="none" w:sz="0" w:space="0" w:color="auto"/>
            <w:bottom w:val="none" w:sz="0" w:space="0" w:color="auto"/>
            <w:right w:val="none" w:sz="0" w:space="0" w:color="auto"/>
          </w:divBdr>
        </w:div>
        <w:div w:id="1378238092">
          <w:marLeft w:val="0"/>
          <w:marRight w:val="0"/>
          <w:marTop w:val="0"/>
          <w:marBottom w:val="0"/>
          <w:divBdr>
            <w:top w:val="none" w:sz="0" w:space="0" w:color="auto"/>
            <w:left w:val="none" w:sz="0" w:space="0" w:color="auto"/>
            <w:bottom w:val="none" w:sz="0" w:space="0" w:color="auto"/>
            <w:right w:val="none" w:sz="0" w:space="0" w:color="auto"/>
          </w:divBdr>
        </w:div>
        <w:div w:id="1397783994">
          <w:marLeft w:val="0"/>
          <w:marRight w:val="0"/>
          <w:marTop w:val="0"/>
          <w:marBottom w:val="0"/>
          <w:divBdr>
            <w:top w:val="none" w:sz="0" w:space="0" w:color="auto"/>
            <w:left w:val="none" w:sz="0" w:space="0" w:color="auto"/>
            <w:bottom w:val="none" w:sz="0" w:space="0" w:color="auto"/>
            <w:right w:val="none" w:sz="0" w:space="0" w:color="auto"/>
          </w:divBdr>
        </w:div>
        <w:div w:id="21107386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rchesh2.org/frequently-asked-questions/" TargetMode="External"/><Relationship Id="rId3" Type="http://schemas.openxmlformats.org/officeDocument/2006/relationships/hyperlink" Target="https://leginfo.legislature.ca.gov/faces/billNavClient.xhtml?bill_id=201720180SB1477" TargetMode="External"/><Relationship Id="rId7" Type="http://schemas.openxmlformats.org/officeDocument/2006/relationships/hyperlink" Target="https://ww2.arb.ca.gov/resources/documents/senate-bill-1371-natural-gas-leakage-abatement" TargetMode="External"/><Relationship Id="rId2" Type="http://schemas.openxmlformats.org/officeDocument/2006/relationships/hyperlink" Target="https://leginfo.legislature.ca.gov/faces/billNavClient.xhtml?bill_id=201720180AB3232" TargetMode="External"/><Relationship Id="rId1" Type="http://schemas.openxmlformats.org/officeDocument/2006/relationships/hyperlink" Target="https://leginfo.legislature.ca.gov/faces/billTextClient.xhtml?bill_id=199920000AB1002" TargetMode="External"/><Relationship Id="rId6" Type="http://schemas.openxmlformats.org/officeDocument/2006/relationships/hyperlink" Target="https://www.cpuc.ca.gov/-/media/cpuc-website/transparency/voting-meetings/presentations-archive/2023/6-29-23_commeeting.pdf" TargetMode="External"/><Relationship Id="rId5" Type="http://schemas.openxmlformats.org/officeDocument/2006/relationships/hyperlink" Target="https://www.energy.ca.gov/data-reports/reports/energy-research-and-development-investment-plans-and-annual-reports" TargetMode="External"/><Relationship Id="rId4" Type="http://schemas.openxmlformats.org/officeDocument/2006/relationships/hyperlink" Target="http://www.ebudget.ca.gov/reference/GlossaryOfT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1F19-4C1F-410E-912A-A75528DC38A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6539</ap:Words>
  <ap:Characters>37274</ap:Characters>
  <ap:Application>Microsoft Office Word</ap:Application>
  <ap:DocSecurity>0</ap:DocSecurity>
  <ap:Lines>310</ap:Lines>
  <ap:Paragraphs>87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43726</ap:CharactersWithSpaces>
  <ap:SharedDoc>false</ap:SharedDoc>
  <ap:HLinks>
    <vt:vector baseType="variant" size="48">
      <vt:variant>
        <vt:i4>917573</vt:i4>
      </vt:variant>
      <vt:variant>
        <vt:i4>21</vt:i4>
      </vt:variant>
      <vt:variant>
        <vt:i4>0</vt:i4>
      </vt:variant>
      <vt:variant>
        <vt:i4>5</vt:i4>
      </vt:variant>
      <vt:variant>
        <vt:lpwstr>https://archesh2.org/frequently-asked-questions/</vt:lpwstr>
      </vt:variant>
      <vt:variant>
        <vt:lpwstr/>
      </vt:variant>
      <vt:variant>
        <vt:i4>5767236</vt:i4>
      </vt:variant>
      <vt:variant>
        <vt:i4>18</vt:i4>
      </vt:variant>
      <vt:variant>
        <vt:i4>0</vt:i4>
      </vt:variant>
      <vt:variant>
        <vt:i4>5</vt:i4>
      </vt:variant>
      <vt:variant>
        <vt:lpwstr>https://ww2.arb.ca.gov/resources/documents/senate-bill-1371-natural-gas-leakage-abatement</vt:lpwstr>
      </vt:variant>
      <vt:variant>
        <vt:lpwstr/>
      </vt:variant>
      <vt:variant>
        <vt:i4>7536722</vt:i4>
      </vt:variant>
      <vt:variant>
        <vt:i4>15</vt:i4>
      </vt:variant>
      <vt:variant>
        <vt:i4>0</vt:i4>
      </vt:variant>
      <vt:variant>
        <vt:i4>5</vt:i4>
      </vt:variant>
      <vt:variant>
        <vt:lpwstr>https://www.cpuc.ca.gov/-/media/cpuc-website/transparency/voting-meetings/presentations-archive/2023/6-29-23_commeeting.pdf</vt:lpwstr>
      </vt:variant>
      <vt:variant>
        <vt:lpwstr/>
      </vt:variant>
      <vt:variant>
        <vt:i4>3145785</vt:i4>
      </vt:variant>
      <vt:variant>
        <vt:i4>12</vt:i4>
      </vt:variant>
      <vt:variant>
        <vt:i4>0</vt:i4>
      </vt:variant>
      <vt:variant>
        <vt:i4>5</vt:i4>
      </vt:variant>
      <vt:variant>
        <vt:lpwstr>https://www.energy.ca.gov/data-reports/reports/energy-research-and-development-investment-plans-and-annual-reports</vt:lpwstr>
      </vt:variant>
      <vt:variant>
        <vt:lpwstr/>
      </vt:variant>
      <vt:variant>
        <vt:i4>3080291</vt:i4>
      </vt:variant>
      <vt:variant>
        <vt:i4>9</vt:i4>
      </vt:variant>
      <vt:variant>
        <vt:i4>0</vt:i4>
      </vt:variant>
      <vt:variant>
        <vt:i4>5</vt:i4>
      </vt:variant>
      <vt:variant>
        <vt:lpwstr>http://www.ebudget.ca.gov/reference/GlossaryOfTerms.pdf</vt:lpwstr>
      </vt:variant>
      <vt:variant>
        <vt:lpwstr/>
      </vt:variant>
      <vt:variant>
        <vt:i4>7602266</vt:i4>
      </vt:variant>
      <vt:variant>
        <vt:i4>6</vt:i4>
      </vt:variant>
      <vt:variant>
        <vt:i4>0</vt:i4>
      </vt:variant>
      <vt:variant>
        <vt:i4>5</vt:i4>
      </vt:variant>
      <vt:variant>
        <vt:lpwstr>https://leginfo.legislature.ca.gov/faces/billNavClient.xhtml?bill_id=201720180SB1477</vt:lpwstr>
      </vt:variant>
      <vt:variant>
        <vt:lpwstr/>
      </vt:variant>
      <vt:variant>
        <vt:i4>7798862</vt:i4>
      </vt:variant>
      <vt:variant>
        <vt:i4>3</vt:i4>
      </vt:variant>
      <vt:variant>
        <vt:i4>0</vt:i4>
      </vt:variant>
      <vt:variant>
        <vt:i4>5</vt:i4>
      </vt:variant>
      <vt:variant>
        <vt:lpwstr>https://leginfo.legislature.ca.gov/faces/billNavClient.xhtml?bill_id=201720180AB3232</vt:lpwstr>
      </vt:variant>
      <vt:variant>
        <vt:lpwstr/>
      </vt:variant>
      <vt:variant>
        <vt:i4>5767217</vt:i4>
      </vt:variant>
      <vt:variant>
        <vt:i4>0</vt:i4>
      </vt:variant>
      <vt:variant>
        <vt:i4>0</vt:i4>
      </vt:variant>
      <vt:variant>
        <vt:i4>5</vt:i4>
      </vt:variant>
      <vt:variant>
        <vt:lpwstr>https://leginfo.legislature.ca.gov/faces/billTextClient.xhtml?bill_id=199920000AB1002</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2024-03-27T11:24:44Z</dcterms:created>
  <dcterms:modified xsi:type="dcterms:W3CDTF">2024-03-27T11:24:44Z</dcterms:modified>
</cp:coreProperties>
</file>