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E36D91" w:rsidR="00B221EE" w:rsidP="00D855B8" w:rsidRDefault="00B221EE" w14:paraId="01F77BEF" w14:textId="71756DAC">
      <w:pPr>
        <w:jc w:val="center"/>
        <w:rPr>
          <w:rFonts w:ascii="Palatino Linotype" w:hAnsi="Palatino Linotype"/>
          <w:b/>
          <w:szCs w:val="24"/>
        </w:rPr>
      </w:pPr>
      <w:r w:rsidRPr="00E36D91">
        <w:rPr>
          <w:rFonts w:ascii="Palatino Linotype" w:hAnsi="Palatino Linotype"/>
          <w:b/>
          <w:szCs w:val="24"/>
        </w:rPr>
        <w:t>PUBLIC UTILITIES COMMISSION OF THE STATE OF CALIFORNIA</w:t>
      </w:r>
    </w:p>
    <w:p w:rsidRPr="00E36D91" w:rsidR="00B221EE" w:rsidRDefault="00B221EE" w14:paraId="0E5A2D16" w14:textId="77777777">
      <w:pPr>
        <w:jc w:val="center"/>
        <w:rPr>
          <w:rFonts w:ascii="Palatino Linotype" w:hAnsi="Palatino Linotype"/>
          <w:b/>
          <w:szCs w:val="24"/>
        </w:rPr>
      </w:pPr>
    </w:p>
    <w:tbl>
      <w:tblPr>
        <w:tblW w:w="9450" w:type="dxa"/>
        <w:tblInd w:w="108" w:type="dxa"/>
        <w:tblLayout w:type="fixed"/>
        <w:tblLook w:val="0000" w:firstRow="0" w:lastRow="0" w:firstColumn="0" w:lastColumn="0" w:noHBand="0" w:noVBand="0"/>
      </w:tblPr>
      <w:tblGrid>
        <w:gridCol w:w="4788"/>
        <w:gridCol w:w="4662"/>
      </w:tblGrid>
      <w:tr w:rsidRPr="00E36D91" w:rsidR="00B221EE" w14:paraId="6C2FDB92" w14:textId="77777777">
        <w:tc>
          <w:tcPr>
            <w:tcW w:w="4788" w:type="dxa"/>
            <w:tcBorders>
              <w:top w:val="nil"/>
              <w:left w:val="nil"/>
              <w:bottom w:val="nil"/>
              <w:right w:val="nil"/>
            </w:tcBorders>
          </w:tcPr>
          <w:p w:rsidRPr="00E36D91" w:rsidR="00B221EE" w:rsidP="00A00DCD" w:rsidRDefault="00B221EE" w14:paraId="34804D62" w14:textId="4C71A810">
            <w:pPr>
              <w:rPr>
                <w:rFonts w:ascii="Palatino Linotype" w:hAnsi="Palatino Linotype"/>
                <w:b/>
                <w:szCs w:val="24"/>
                <w:lang w:val="fr-FR"/>
              </w:rPr>
            </w:pPr>
            <w:r w:rsidRPr="00E36D91">
              <w:rPr>
                <w:rFonts w:ascii="Palatino Linotype" w:hAnsi="Palatino Linotype"/>
                <w:b/>
                <w:szCs w:val="24"/>
                <w:lang w:val="fr-FR"/>
              </w:rPr>
              <w:t>Communications Division</w:t>
            </w:r>
            <w:r w:rsidRPr="00E36D91" w:rsidR="002E2AAD">
              <w:rPr>
                <w:rFonts w:ascii="Palatino Linotype" w:hAnsi="Palatino Linotype"/>
                <w:b/>
                <w:szCs w:val="24"/>
                <w:lang w:val="fr-FR"/>
              </w:rPr>
              <w:t xml:space="preserve">          </w:t>
            </w:r>
            <w:r w:rsidRPr="00E36D91" w:rsidR="00A00DCD">
              <w:rPr>
                <w:rFonts w:ascii="Palatino Linotype" w:hAnsi="Palatino Linotype"/>
                <w:b/>
                <w:szCs w:val="24"/>
                <w:lang w:val="fr-FR"/>
              </w:rPr>
              <w:t xml:space="preserve">   </w:t>
            </w:r>
          </w:p>
        </w:tc>
        <w:tc>
          <w:tcPr>
            <w:tcW w:w="4662" w:type="dxa"/>
            <w:tcBorders>
              <w:top w:val="nil"/>
              <w:left w:val="nil"/>
              <w:bottom w:val="nil"/>
              <w:right w:val="nil"/>
            </w:tcBorders>
          </w:tcPr>
          <w:p w:rsidRPr="00E36D91" w:rsidR="00B221EE" w:rsidP="00621491" w:rsidRDefault="00B221EE" w14:paraId="39256F69" w14:textId="0B918740">
            <w:pPr>
              <w:jc w:val="right"/>
              <w:rPr>
                <w:rFonts w:ascii="Palatino Linotype" w:hAnsi="Palatino Linotype"/>
                <w:b/>
                <w:szCs w:val="24"/>
                <w:lang w:val="fr-FR"/>
              </w:rPr>
            </w:pPr>
            <w:r w:rsidRPr="00E36D91">
              <w:rPr>
                <w:rFonts w:ascii="Palatino Linotype" w:hAnsi="Palatino Linotype"/>
                <w:b/>
                <w:szCs w:val="24"/>
                <w:lang w:val="fr-FR"/>
              </w:rPr>
              <w:t xml:space="preserve">RESOLUTION </w:t>
            </w:r>
            <w:r w:rsidR="006D6C41">
              <w:rPr>
                <w:rFonts w:ascii="Palatino Linotype" w:hAnsi="Palatino Linotype"/>
                <w:b/>
                <w:color w:val="000000" w:themeColor="text1"/>
                <w:szCs w:val="24"/>
                <w:lang w:val="fr-FR"/>
              </w:rPr>
              <w:t>T-17815</w:t>
            </w:r>
          </w:p>
        </w:tc>
      </w:tr>
      <w:tr w:rsidRPr="00E36D91" w:rsidR="004F5F27" w14:paraId="6A7C7419" w14:textId="77777777">
        <w:tc>
          <w:tcPr>
            <w:tcW w:w="4788" w:type="dxa"/>
            <w:tcBorders>
              <w:top w:val="nil"/>
              <w:left w:val="nil"/>
              <w:bottom w:val="nil"/>
              <w:right w:val="nil"/>
            </w:tcBorders>
          </w:tcPr>
          <w:p w:rsidRPr="00E36D91" w:rsidR="00B221EE" w:rsidP="00621491" w:rsidRDefault="00B221EE" w14:paraId="0307545F" w14:textId="77777777">
            <w:pPr>
              <w:rPr>
                <w:rFonts w:ascii="Palatino Linotype" w:hAnsi="Palatino Linotype"/>
                <w:b/>
                <w:szCs w:val="24"/>
              </w:rPr>
            </w:pPr>
            <w:r w:rsidRPr="00E36D91">
              <w:rPr>
                <w:rFonts w:ascii="Palatino Linotype" w:hAnsi="Palatino Linotype"/>
                <w:b/>
                <w:szCs w:val="24"/>
              </w:rPr>
              <w:t>Carrier Oversight &amp; Programs Branch</w:t>
            </w:r>
          </w:p>
        </w:tc>
        <w:tc>
          <w:tcPr>
            <w:tcW w:w="4662" w:type="dxa"/>
            <w:tcBorders>
              <w:top w:val="nil"/>
              <w:left w:val="nil"/>
              <w:bottom w:val="nil"/>
              <w:right w:val="nil"/>
            </w:tcBorders>
          </w:tcPr>
          <w:p w:rsidRPr="00E36D91" w:rsidR="00B221EE" w:rsidP="00621491" w:rsidRDefault="006D5DEC" w14:paraId="4B3C7C61" w14:textId="2C5D530D">
            <w:pPr>
              <w:jc w:val="right"/>
              <w:rPr>
                <w:rFonts w:ascii="Palatino Linotype" w:hAnsi="Palatino Linotype"/>
                <w:b/>
                <w:color w:val="FF0000"/>
                <w:szCs w:val="24"/>
              </w:rPr>
            </w:pPr>
            <w:r w:rsidRPr="006D5DEC">
              <w:rPr>
                <w:rFonts w:ascii="Palatino Linotype" w:hAnsi="Palatino Linotype"/>
                <w:b/>
                <w:szCs w:val="24"/>
              </w:rPr>
              <w:t>April 18</w:t>
            </w:r>
            <w:r w:rsidRPr="00E36D91" w:rsidR="00E62C31">
              <w:rPr>
                <w:rFonts w:ascii="Palatino Linotype" w:hAnsi="Palatino Linotype"/>
                <w:b/>
                <w:szCs w:val="24"/>
              </w:rPr>
              <w:t>, 202</w:t>
            </w:r>
            <w:r w:rsidR="0094704E">
              <w:rPr>
                <w:rFonts w:ascii="Palatino Linotype" w:hAnsi="Palatino Linotype"/>
                <w:b/>
                <w:szCs w:val="24"/>
              </w:rPr>
              <w:t>4</w:t>
            </w:r>
          </w:p>
        </w:tc>
      </w:tr>
    </w:tbl>
    <w:p w:rsidRPr="00E36D91" w:rsidR="00B221EE" w:rsidRDefault="00B221EE" w14:paraId="437ED247" w14:textId="77777777">
      <w:pPr>
        <w:rPr>
          <w:rFonts w:ascii="Palatino Linotype" w:hAnsi="Palatino Linotype"/>
          <w:szCs w:val="24"/>
        </w:rPr>
      </w:pPr>
    </w:p>
    <w:p w:rsidRPr="00E36D91" w:rsidR="00B221EE" w:rsidRDefault="00B221EE" w14:paraId="7355B68C" w14:textId="4B5D0780">
      <w:pPr>
        <w:jc w:val="center"/>
        <w:rPr>
          <w:rFonts w:ascii="Palatino Linotype" w:hAnsi="Palatino Linotype"/>
          <w:szCs w:val="24"/>
        </w:rPr>
      </w:pPr>
      <w:r w:rsidRPr="00E36D91">
        <w:rPr>
          <w:rFonts w:ascii="Palatino Linotype" w:hAnsi="Palatino Linotype"/>
          <w:b/>
          <w:szCs w:val="24"/>
          <w:u w:val="single"/>
        </w:rPr>
        <w:t>R</w:t>
      </w:r>
      <w:r w:rsidRPr="00E36D91">
        <w:rPr>
          <w:rFonts w:ascii="Palatino Linotype" w:hAnsi="Palatino Linotype"/>
          <w:szCs w:val="24"/>
        </w:rPr>
        <w:t xml:space="preserve"> </w:t>
      </w:r>
      <w:r w:rsidRPr="00E36D91">
        <w:rPr>
          <w:rFonts w:ascii="Palatino Linotype" w:hAnsi="Palatino Linotype"/>
          <w:b/>
          <w:szCs w:val="24"/>
          <w:u w:val="single"/>
        </w:rPr>
        <w:t>E</w:t>
      </w:r>
      <w:r w:rsidRPr="00E36D91">
        <w:rPr>
          <w:rFonts w:ascii="Palatino Linotype" w:hAnsi="Palatino Linotype"/>
          <w:szCs w:val="24"/>
        </w:rPr>
        <w:t xml:space="preserve"> </w:t>
      </w:r>
      <w:r w:rsidRPr="00E36D91">
        <w:rPr>
          <w:rFonts w:ascii="Palatino Linotype" w:hAnsi="Palatino Linotype"/>
          <w:b/>
          <w:szCs w:val="24"/>
          <w:u w:val="single"/>
        </w:rPr>
        <w:t>S</w:t>
      </w:r>
      <w:r w:rsidRPr="00E36D91">
        <w:rPr>
          <w:rFonts w:ascii="Palatino Linotype" w:hAnsi="Palatino Linotype"/>
          <w:szCs w:val="24"/>
        </w:rPr>
        <w:t xml:space="preserve"> </w:t>
      </w:r>
      <w:r w:rsidRPr="00E36D91">
        <w:rPr>
          <w:rFonts w:ascii="Palatino Linotype" w:hAnsi="Palatino Linotype"/>
          <w:b/>
          <w:szCs w:val="24"/>
          <w:u w:val="single"/>
        </w:rPr>
        <w:t>O</w:t>
      </w:r>
      <w:r w:rsidRPr="00E36D91">
        <w:rPr>
          <w:rFonts w:ascii="Palatino Linotype" w:hAnsi="Palatino Linotype"/>
          <w:szCs w:val="24"/>
        </w:rPr>
        <w:t xml:space="preserve"> </w:t>
      </w:r>
      <w:r w:rsidRPr="00E36D91">
        <w:rPr>
          <w:rFonts w:ascii="Palatino Linotype" w:hAnsi="Palatino Linotype"/>
          <w:b/>
          <w:szCs w:val="24"/>
          <w:u w:val="single"/>
        </w:rPr>
        <w:t>L</w:t>
      </w:r>
      <w:r w:rsidRPr="00E36D91">
        <w:rPr>
          <w:rFonts w:ascii="Palatino Linotype" w:hAnsi="Palatino Linotype"/>
          <w:szCs w:val="24"/>
        </w:rPr>
        <w:t xml:space="preserve"> </w:t>
      </w:r>
      <w:r w:rsidRPr="00E36D91">
        <w:rPr>
          <w:rFonts w:ascii="Palatino Linotype" w:hAnsi="Palatino Linotype"/>
          <w:b/>
          <w:szCs w:val="24"/>
          <w:u w:val="single"/>
        </w:rPr>
        <w:t>U</w:t>
      </w:r>
      <w:r w:rsidRPr="00E36D91">
        <w:rPr>
          <w:rFonts w:ascii="Palatino Linotype" w:hAnsi="Palatino Linotype"/>
          <w:szCs w:val="24"/>
        </w:rPr>
        <w:t xml:space="preserve"> </w:t>
      </w:r>
      <w:r w:rsidRPr="00E36D91">
        <w:rPr>
          <w:rFonts w:ascii="Palatino Linotype" w:hAnsi="Palatino Linotype"/>
          <w:b/>
          <w:szCs w:val="24"/>
          <w:u w:val="single"/>
        </w:rPr>
        <w:t>T</w:t>
      </w:r>
      <w:r w:rsidRPr="00E36D91">
        <w:rPr>
          <w:rFonts w:ascii="Palatino Linotype" w:hAnsi="Palatino Linotype"/>
          <w:szCs w:val="24"/>
        </w:rPr>
        <w:t xml:space="preserve"> </w:t>
      </w:r>
      <w:r w:rsidRPr="00E36D91">
        <w:rPr>
          <w:rFonts w:ascii="Palatino Linotype" w:hAnsi="Palatino Linotype"/>
          <w:b/>
          <w:szCs w:val="24"/>
          <w:u w:val="single"/>
        </w:rPr>
        <w:t>I</w:t>
      </w:r>
      <w:r w:rsidRPr="00E36D91">
        <w:rPr>
          <w:rFonts w:ascii="Palatino Linotype" w:hAnsi="Palatino Linotype"/>
          <w:szCs w:val="24"/>
        </w:rPr>
        <w:t xml:space="preserve"> </w:t>
      </w:r>
      <w:r w:rsidRPr="00E36D91">
        <w:rPr>
          <w:rFonts w:ascii="Palatino Linotype" w:hAnsi="Palatino Linotype"/>
          <w:b/>
          <w:szCs w:val="24"/>
          <w:u w:val="single"/>
        </w:rPr>
        <w:t>O</w:t>
      </w:r>
      <w:r w:rsidRPr="00E36D91">
        <w:rPr>
          <w:rFonts w:ascii="Palatino Linotype" w:hAnsi="Palatino Linotype"/>
          <w:szCs w:val="24"/>
        </w:rPr>
        <w:t xml:space="preserve"> </w:t>
      </w:r>
      <w:r w:rsidRPr="00E36D91">
        <w:rPr>
          <w:rFonts w:ascii="Palatino Linotype" w:hAnsi="Palatino Linotype"/>
          <w:b/>
          <w:szCs w:val="24"/>
          <w:u w:val="single"/>
        </w:rPr>
        <w:t>N</w:t>
      </w:r>
    </w:p>
    <w:p w:rsidRPr="00E36D91" w:rsidR="00B221EE" w:rsidP="00D23E2A" w:rsidRDefault="00B221EE" w14:paraId="3A490103" w14:textId="77777777">
      <w:pPr>
        <w:tabs>
          <w:tab w:val="left" w:pos="6075"/>
        </w:tabs>
        <w:rPr>
          <w:rFonts w:ascii="Palatino Linotype" w:hAnsi="Palatino Linotype"/>
          <w:szCs w:val="24"/>
        </w:rPr>
      </w:pPr>
      <w:r w:rsidRPr="00E36D91">
        <w:rPr>
          <w:rFonts w:ascii="Palatino Linotype" w:hAnsi="Palatino Linotype"/>
          <w:szCs w:val="24"/>
        </w:rPr>
        <w:tab/>
      </w:r>
    </w:p>
    <w:p w:rsidR="00B221EE" w:rsidP="00374453" w:rsidRDefault="00B221EE" w14:paraId="1DB89626" w14:textId="564C2212">
      <w:pPr>
        <w:pStyle w:val="BlockText"/>
        <w:pBdr>
          <w:bottom w:val="single" w:color="auto" w:sz="12" w:space="1"/>
        </w:pBdr>
        <w:ind w:left="810" w:right="720"/>
        <w:rPr>
          <w:rFonts w:ascii="Palatino Linotype" w:hAnsi="Palatino Linotype" w:cs="TimesNewRomanPSMT"/>
          <w:szCs w:val="24"/>
        </w:rPr>
      </w:pPr>
      <w:r w:rsidRPr="00E36D91">
        <w:rPr>
          <w:rFonts w:ascii="Palatino Linotype" w:hAnsi="Palatino Linotype"/>
          <w:szCs w:val="24"/>
        </w:rPr>
        <w:t xml:space="preserve">Resolution </w:t>
      </w:r>
      <w:bookmarkStart w:name="OLE_LINK6" w:id="0"/>
      <w:bookmarkStart w:name="OLE_LINK7" w:id="1"/>
      <w:r w:rsidR="006D6C41">
        <w:rPr>
          <w:rFonts w:ascii="Palatino Linotype" w:hAnsi="Palatino Linotype"/>
          <w:color w:val="000000" w:themeColor="text1"/>
          <w:szCs w:val="24"/>
        </w:rPr>
        <w:t>T-17815</w:t>
      </w:r>
      <w:r w:rsidRPr="00E36D91" w:rsidR="006412B9">
        <w:rPr>
          <w:rFonts w:ascii="Palatino Linotype" w:hAnsi="Palatino Linotype"/>
          <w:szCs w:val="24"/>
        </w:rPr>
        <w:t xml:space="preserve">.  </w:t>
      </w:r>
      <w:bookmarkStart w:name="OLE_LINK8" w:id="2"/>
      <w:bookmarkStart w:name="OLE_LINK11" w:id="3"/>
      <w:r w:rsidRPr="00E36D91" w:rsidR="00403B51">
        <w:rPr>
          <w:rFonts w:ascii="Palatino Linotype" w:hAnsi="Palatino Linotype"/>
          <w:szCs w:val="24"/>
        </w:rPr>
        <w:t xml:space="preserve">This Resolution </w:t>
      </w:r>
      <w:r w:rsidRPr="00E36D91" w:rsidR="006C50E7">
        <w:rPr>
          <w:rFonts w:ascii="Palatino Linotype" w:hAnsi="Palatino Linotype"/>
          <w:szCs w:val="24"/>
        </w:rPr>
        <w:t>r</w:t>
      </w:r>
      <w:r w:rsidRPr="00E36D91" w:rsidR="00686076">
        <w:rPr>
          <w:rFonts w:ascii="Palatino Linotype" w:hAnsi="Palatino Linotype"/>
          <w:szCs w:val="24"/>
        </w:rPr>
        <w:t xml:space="preserve">evokes </w:t>
      </w:r>
      <w:r w:rsidRPr="00E36D91" w:rsidR="00C51914">
        <w:rPr>
          <w:rFonts w:ascii="Palatino Linotype" w:hAnsi="Palatino Linotype"/>
          <w:szCs w:val="24"/>
        </w:rPr>
        <w:t xml:space="preserve">the </w:t>
      </w:r>
      <w:r w:rsidRPr="00E36D91" w:rsidR="006C50E7">
        <w:rPr>
          <w:rFonts w:ascii="Palatino Linotype" w:hAnsi="Palatino Linotype"/>
          <w:szCs w:val="24"/>
        </w:rPr>
        <w:t>o</w:t>
      </w:r>
      <w:r w:rsidRPr="00E36D91" w:rsidR="00686076">
        <w:rPr>
          <w:rFonts w:ascii="Palatino Linotype" w:hAnsi="Palatino Linotype"/>
          <w:szCs w:val="24"/>
        </w:rPr>
        <w:t>perating</w:t>
      </w:r>
      <w:r w:rsidRPr="00E36D91" w:rsidR="00C51914">
        <w:rPr>
          <w:rFonts w:ascii="Palatino Linotype" w:hAnsi="Palatino Linotype"/>
          <w:szCs w:val="24"/>
        </w:rPr>
        <w:t xml:space="preserve"> </w:t>
      </w:r>
      <w:r w:rsidRPr="00E36D91" w:rsidR="006C50E7">
        <w:rPr>
          <w:rFonts w:ascii="Palatino Linotype" w:hAnsi="Palatino Linotype"/>
          <w:szCs w:val="24"/>
        </w:rPr>
        <w:t>authority</w:t>
      </w:r>
      <w:r w:rsidRPr="00E36D91" w:rsidR="00424A14">
        <w:rPr>
          <w:rFonts w:ascii="Palatino Linotype" w:hAnsi="Palatino Linotype"/>
          <w:szCs w:val="24"/>
        </w:rPr>
        <w:t xml:space="preserve"> </w:t>
      </w:r>
      <w:r w:rsidRPr="00E36D91" w:rsidR="00B37D5B">
        <w:rPr>
          <w:rFonts w:ascii="Palatino Linotype" w:hAnsi="Palatino Linotype"/>
          <w:szCs w:val="24"/>
        </w:rPr>
        <w:t>of</w:t>
      </w:r>
      <w:r w:rsidRPr="00E36D91" w:rsidR="00316AAD">
        <w:rPr>
          <w:rFonts w:ascii="Palatino Linotype" w:hAnsi="Palatino Linotype"/>
          <w:szCs w:val="24"/>
        </w:rPr>
        <w:t xml:space="preserve"> </w:t>
      </w:r>
      <w:r w:rsidR="00B273D4">
        <w:rPr>
          <w:rFonts w:ascii="Palatino Linotype" w:hAnsi="Palatino Linotype"/>
          <w:szCs w:val="24"/>
        </w:rPr>
        <w:t xml:space="preserve">two </w:t>
      </w:r>
      <w:r w:rsidR="005E6173">
        <w:rPr>
          <w:rFonts w:ascii="Palatino Linotype" w:hAnsi="Palatino Linotype"/>
          <w:szCs w:val="24"/>
        </w:rPr>
        <w:t>(</w:t>
      </w:r>
      <w:r w:rsidR="00B273D4">
        <w:rPr>
          <w:rFonts w:ascii="Palatino Linotype" w:hAnsi="Palatino Linotype"/>
          <w:szCs w:val="24"/>
        </w:rPr>
        <w:t>2</w:t>
      </w:r>
      <w:r w:rsidR="005E6173">
        <w:rPr>
          <w:rFonts w:ascii="Palatino Linotype" w:hAnsi="Palatino Linotype"/>
          <w:szCs w:val="24"/>
        </w:rPr>
        <w:t xml:space="preserve">) </w:t>
      </w:r>
      <w:r w:rsidRPr="00E36D91" w:rsidR="00862C0A">
        <w:rPr>
          <w:rFonts w:ascii="Palatino Linotype" w:hAnsi="Palatino Linotype"/>
          <w:szCs w:val="24"/>
        </w:rPr>
        <w:t xml:space="preserve">telephone corporations </w:t>
      </w:r>
      <w:r w:rsidRPr="00E36D91" w:rsidR="00AD6975">
        <w:rPr>
          <w:rFonts w:ascii="Palatino Linotype" w:hAnsi="Palatino Linotype" w:cs="TimesNewRomanPSMT"/>
          <w:szCs w:val="24"/>
        </w:rPr>
        <w:t xml:space="preserve">for </w:t>
      </w:r>
      <w:r w:rsidRPr="00E36D91" w:rsidR="006C50E7">
        <w:rPr>
          <w:rFonts w:ascii="Palatino Linotype" w:hAnsi="Palatino Linotype" w:cs="TimesNewRomanPSMT"/>
          <w:szCs w:val="24"/>
        </w:rPr>
        <w:t xml:space="preserve">failing </w:t>
      </w:r>
      <w:r w:rsidRPr="00E36D91" w:rsidR="00AD6975">
        <w:rPr>
          <w:rFonts w:ascii="Palatino Linotype" w:hAnsi="Palatino Linotype" w:cs="TimesNewRomanPSMT"/>
          <w:szCs w:val="24"/>
        </w:rPr>
        <w:t xml:space="preserve">to </w:t>
      </w:r>
      <w:r w:rsidRPr="00E36D91" w:rsidR="006C50E7">
        <w:rPr>
          <w:rFonts w:ascii="Palatino Linotype" w:hAnsi="Palatino Linotype" w:cs="TimesNewRomanPSMT"/>
          <w:szCs w:val="24"/>
        </w:rPr>
        <w:t xml:space="preserve">comply </w:t>
      </w:r>
      <w:r w:rsidRPr="00E36D91" w:rsidR="00AD6975">
        <w:rPr>
          <w:rFonts w:ascii="Palatino Linotype" w:hAnsi="Palatino Linotype" w:cs="TimesNewRomanPSMT"/>
          <w:szCs w:val="24"/>
        </w:rPr>
        <w:t xml:space="preserve">with </w:t>
      </w:r>
      <w:r w:rsidRPr="00E36D91" w:rsidR="00C54123">
        <w:rPr>
          <w:rFonts w:ascii="Palatino Linotype" w:hAnsi="Palatino Linotype" w:cs="TimesNewRomanPSMT"/>
          <w:szCs w:val="24"/>
        </w:rPr>
        <w:t>Commission-</w:t>
      </w:r>
      <w:r w:rsidRPr="00E36D91" w:rsidR="006C50E7">
        <w:rPr>
          <w:rFonts w:ascii="Palatino Linotype" w:hAnsi="Palatino Linotype" w:cs="TimesNewRomanPSMT"/>
          <w:szCs w:val="24"/>
        </w:rPr>
        <w:t xml:space="preserve">mandated </w:t>
      </w:r>
      <w:r w:rsidRPr="00E36D91" w:rsidR="001A2901">
        <w:rPr>
          <w:rFonts w:ascii="Palatino Linotype" w:hAnsi="Palatino Linotype" w:cs="TimesNewRomanPSMT"/>
          <w:szCs w:val="24"/>
        </w:rPr>
        <w:t>Annual Report</w:t>
      </w:r>
      <w:r w:rsidR="0022079D">
        <w:rPr>
          <w:rFonts w:ascii="Palatino Linotype" w:hAnsi="Palatino Linotype" w:cs="TimesNewRomanPSMT"/>
          <w:szCs w:val="24"/>
        </w:rPr>
        <w:t>s</w:t>
      </w:r>
      <w:r w:rsidRPr="00E36D91" w:rsidR="00C54123">
        <w:rPr>
          <w:rFonts w:ascii="Palatino Linotype" w:hAnsi="Palatino Linotype" w:cs="TimesNewRomanPSMT"/>
          <w:szCs w:val="24"/>
        </w:rPr>
        <w:t xml:space="preserve"> </w:t>
      </w:r>
      <w:r w:rsidRPr="00E36D91" w:rsidR="00956AFE">
        <w:rPr>
          <w:rFonts w:ascii="Palatino Linotype" w:hAnsi="Palatino Linotype" w:cs="TimesNewRomanPSMT"/>
          <w:szCs w:val="24"/>
        </w:rPr>
        <w:t xml:space="preserve">and/or </w:t>
      </w:r>
      <w:r w:rsidR="0022079D">
        <w:rPr>
          <w:rFonts w:ascii="Palatino Linotype" w:hAnsi="Palatino Linotype" w:cs="TimesNewRomanPSMT"/>
          <w:szCs w:val="24"/>
        </w:rPr>
        <w:t xml:space="preserve">Annual </w:t>
      </w:r>
      <w:r w:rsidRPr="00E36D91" w:rsidR="00956AFE">
        <w:rPr>
          <w:rFonts w:ascii="Palatino Linotype" w:hAnsi="Palatino Linotype" w:cs="TimesNewRomanPSMT"/>
          <w:szCs w:val="24"/>
        </w:rPr>
        <w:t>Performance Bond requirements</w:t>
      </w:r>
      <w:r w:rsidRPr="00E36D91" w:rsidR="006412B9">
        <w:rPr>
          <w:rFonts w:ascii="Palatino Linotype" w:hAnsi="Palatino Linotype" w:cs="TimesNewRomanPSMT"/>
          <w:szCs w:val="24"/>
        </w:rPr>
        <w:t xml:space="preserve">.  </w:t>
      </w:r>
      <w:bookmarkEnd w:id="0"/>
      <w:bookmarkEnd w:id="1"/>
      <w:bookmarkEnd w:id="2"/>
      <w:bookmarkEnd w:id="3"/>
    </w:p>
    <w:p w:rsidRPr="00E36D91" w:rsidR="003B0EF0" w:rsidP="00374453" w:rsidRDefault="003B0EF0" w14:paraId="78C348F7" w14:textId="77777777">
      <w:pPr>
        <w:pStyle w:val="BlockText"/>
        <w:pBdr>
          <w:bottom w:val="single" w:color="auto" w:sz="12" w:space="1"/>
        </w:pBdr>
        <w:ind w:left="810" w:right="720"/>
        <w:rPr>
          <w:rFonts w:ascii="Palatino Linotype" w:hAnsi="Palatino Linotype"/>
          <w:szCs w:val="24"/>
        </w:rPr>
      </w:pPr>
    </w:p>
    <w:p w:rsidRPr="00E36D91" w:rsidR="00B221EE" w:rsidRDefault="00B221EE" w14:paraId="373B7B9B" w14:textId="77777777">
      <w:pPr>
        <w:rPr>
          <w:rFonts w:ascii="Palatino Linotype" w:hAnsi="Palatino Linotype"/>
          <w:szCs w:val="24"/>
        </w:rPr>
      </w:pPr>
    </w:p>
    <w:p w:rsidRPr="00E36D91" w:rsidR="00B221EE" w:rsidRDefault="00B221EE" w14:paraId="0001C7B9" w14:textId="77777777">
      <w:pPr>
        <w:pStyle w:val="Heading1"/>
        <w:numPr>
          <w:ilvl w:val="0"/>
          <w:numId w:val="0"/>
        </w:numPr>
        <w:spacing w:before="0" w:after="0"/>
        <w:rPr>
          <w:rFonts w:ascii="Palatino Linotype" w:hAnsi="Palatino Linotype"/>
          <w:szCs w:val="24"/>
          <w:u w:val="single"/>
        </w:rPr>
      </w:pPr>
      <w:r w:rsidRPr="00E36D91">
        <w:rPr>
          <w:rFonts w:ascii="Palatino Linotype" w:hAnsi="Palatino Linotype"/>
          <w:szCs w:val="24"/>
          <w:u w:val="single"/>
        </w:rPr>
        <w:t>SUMMARY</w:t>
      </w:r>
    </w:p>
    <w:p w:rsidRPr="00E36D91" w:rsidR="00B221EE" w:rsidRDefault="00B221EE" w14:paraId="5F57B296" w14:textId="77777777">
      <w:pPr>
        <w:rPr>
          <w:rFonts w:ascii="Palatino Linotype" w:hAnsi="Palatino Linotype"/>
          <w:szCs w:val="24"/>
        </w:rPr>
      </w:pPr>
    </w:p>
    <w:p w:rsidRPr="00E36D91" w:rsidR="00F64A86" w:rsidP="75EBC0A7" w:rsidRDefault="75EBC0A7" w14:paraId="426B0F0B" w14:textId="70692A12">
      <w:pPr>
        <w:rPr>
          <w:rFonts w:ascii="Palatino Linotype" w:hAnsi="Palatino Linotype"/>
          <w:szCs w:val="24"/>
        </w:rPr>
      </w:pPr>
      <w:r w:rsidRPr="00E36D91">
        <w:rPr>
          <w:rFonts w:ascii="Palatino Linotype" w:hAnsi="Palatino Linotype"/>
          <w:szCs w:val="24"/>
        </w:rPr>
        <w:t xml:space="preserve">This Resolution </w:t>
      </w:r>
      <w:r w:rsidRPr="00E36D91" w:rsidR="00871FC6">
        <w:rPr>
          <w:rFonts w:ascii="Palatino Linotype" w:hAnsi="Palatino Linotype"/>
          <w:szCs w:val="24"/>
        </w:rPr>
        <w:t xml:space="preserve">approves the </w:t>
      </w:r>
      <w:r w:rsidRPr="00E36D91">
        <w:rPr>
          <w:rFonts w:ascii="Palatino Linotype" w:hAnsi="Palatino Linotype"/>
          <w:szCs w:val="24"/>
        </w:rPr>
        <w:t>revo</w:t>
      </w:r>
      <w:r w:rsidRPr="00E36D91" w:rsidR="00871FC6">
        <w:rPr>
          <w:rFonts w:ascii="Palatino Linotype" w:hAnsi="Palatino Linotype"/>
          <w:szCs w:val="24"/>
        </w:rPr>
        <w:t>cation of</w:t>
      </w:r>
      <w:r w:rsidRPr="00E36D91">
        <w:rPr>
          <w:rFonts w:ascii="Palatino Linotype" w:hAnsi="Palatino Linotype"/>
          <w:szCs w:val="24"/>
        </w:rPr>
        <w:t xml:space="preserve"> the operating authority of </w:t>
      </w:r>
      <w:r w:rsidRPr="005F483C" w:rsidR="00B273D4">
        <w:rPr>
          <w:rFonts w:ascii="Palatino Linotype" w:hAnsi="Palatino Linotype"/>
          <w:szCs w:val="24"/>
        </w:rPr>
        <w:t>two</w:t>
      </w:r>
      <w:r w:rsidRPr="005F483C" w:rsidR="00F8617C">
        <w:rPr>
          <w:rFonts w:ascii="Palatino Linotype" w:hAnsi="Palatino Linotype"/>
          <w:szCs w:val="24"/>
        </w:rPr>
        <w:t xml:space="preserve"> </w:t>
      </w:r>
      <w:r w:rsidRPr="005F483C" w:rsidR="005E6173">
        <w:rPr>
          <w:rFonts w:ascii="Palatino Linotype" w:hAnsi="Palatino Linotype"/>
          <w:szCs w:val="24"/>
        </w:rPr>
        <w:t>(</w:t>
      </w:r>
      <w:r w:rsidRPr="005F483C" w:rsidR="00B273D4">
        <w:rPr>
          <w:rFonts w:ascii="Palatino Linotype" w:hAnsi="Palatino Linotype"/>
          <w:szCs w:val="24"/>
        </w:rPr>
        <w:t>2</w:t>
      </w:r>
      <w:r w:rsidRPr="005F483C" w:rsidR="005E6173">
        <w:rPr>
          <w:rFonts w:ascii="Palatino Linotype" w:hAnsi="Palatino Linotype"/>
          <w:szCs w:val="24"/>
        </w:rPr>
        <w:t>)</w:t>
      </w:r>
      <w:r w:rsidR="005E6173">
        <w:rPr>
          <w:rFonts w:ascii="Palatino Linotype" w:hAnsi="Palatino Linotype"/>
          <w:b/>
          <w:bCs/>
          <w:szCs w:val="24"/>
        </w:rPr>
        <w:t xml:space="preserve"> </w:t>
      </w:r>
      <w:r w:rsidRPr="00E36D91">
        <w:rPr>
          <w:rFonts w:ascii="Palatino Linotype" w:hAnsi="Palatino Linotype"/>
          <w:szCs w:val="24"/>
        </w:rPr>
        <w:t xml:space="preserve">telephone corporations (carriers) for failure to comply with one or </w:t>
      </w:r>
      <w:r w:rsidRPr="00E36D91" w:rsidR="00BE5E65">
        <w:rPr>
          <w:rFonts w:ascii="Palatino Linotype" w:hAnsi="Palatino Linotype"/>
          <w:szCs w:val="24"/>
        </w:rPr>
        <w:t>more</w:t>
      </w:r>
      <w:r w:rsidRPr="00E36D91">
        <w:rPr>
          <w:rFonts w:ascii="Palatino Linotype" w:hAnsi="Palatino Linotype"/>
          <w:szCs w:val="24"/>
        </w:rPr>
        <w:t xml:space="preserve"> California Public Utilities Commission (Commission</w:t>
      </w:r>
      <w:r w:rsidRPr="00E36D91" w:rsidR="00260D18">
        <w:rPr>
          <w:rFonts w:ascii="Palatino Linotype" w:hAnsi="Palatino Linotype"/>
          <w:szCs w:val="24"/>
        </w:rPr>
        <w:t xml:space="preserve"> or CPUC</w:t>
      </w:r>
      <w:r w:rsidRPr="00E36D91">
        <w:rPr>
          <w:rFonts w:ascii="Palatino Linotype" w:hAnsi="Palatino Linotype"/>
          <w:szCs w:val="24"/>
        </w:rPr>
        <w:t xml:space="preserve">) annual </w:t>
      </w:r>
      <w:r w:rsidRPr="00E36D91" w:rsidR="00BE5E65">
        <w:rPr>
          <w:rFonts w:ascii="Palatino Linotype" w:hAnsi="Palatino Linotype"/>
          <w:szCs w:val="24"/>
        </w:rPr>
        <w:t>compliance</w:t>
      </w:r>
      <w:r w:rsidRPr="00E36D91">
        <w:rPr>
          <w:rFonts w:ascii="Palatino Linotype" w:hAnsi="Palatino Linotype"/>
          <w:szCs w:val="24"/>
        </w:rPr>
        <w:t xml:space="preserve"> requirements for calendar year</w:t>
      </w:r>
      <w:r w:rsidRPr="00E36D91" w:rsidR="00EC2DED">
        <w:rPr>
          <w:rFonts w:ascii="Palatino Linotype" w:hAnsi="Palatino Linotype"/>
          <w:szCs w:val="24"/>
        </w:rPr>
        <w:t xml:space="preserve"> </w:t>
      </w:r>
      <w:r w:rsidR="006C3DFB">
        <w:rPr>
          <w:rFonts w:ascii="Palatino Linotype" w:hAnsi="Palatino Linotype"/>
          <w:szCs w:val="24"/>
        </w:rPr>
        <w:t>(CY) 2022</w:t>
      </w:r>
      <w:r w:rsidRPr="00E36D91">
        <w:rPr>
          <w:rFonts w:ascii="Palatino Linotype" w:hAnsi="Palatino Linotype"/>
          <w:szCs w:val="24"/>
        </w:rPr>
        <w:t xml:space="preserve"> with respect to: a) </w:t>
      </w:r>
      <w:r w:rsidRPr="00E36D91" w:rsidR="001107F0">
        <w:rPr>
          <w:rFonts w:ascii="Palatino Linotype" w:hAnsi="Palatino Linotype"/>
          <w:szCs w:val="24"/>
        </w:rPr>
        <w:t>A</w:t>
      </w:r>
      <w:r w:rsidRPr="00E36D91">
        <w:rPr>
          <w:rFonts w:ascii="Palatino Linotype" w:hAnsi="Palatino Linotype"/>
          <w:szCs w:val="24"/>
        </w:rPr>
        <w:t xml:space="preserve">nnual Operational and Financial Information report; b) </w:t>
      </w:r>
      <w:r w:rsidRPr="00E36D91" w:rsidR="001107F0">
        <w:rPr>
          <w:rFonts w:ascii="Palatino Linotype" w:hAnsi="Palatino Linotype"/>
          <w:szCs w:val="24"/>
        </w:rPr>
        <w:t>A</w:t>
      </w:r>
      <w:r w:rsidRPr="00E36D91">
        <w:rPr>
          <w:rFonts w:ascii="Palatino Linotype" w:hAnsi="Palatino Linotype"/>
          <w:szCs w:val="24"/>
        </w:rPr>
        <w:t>nnual Affiliate Transaction report</w:t>
      </w:r>
      <w:r w:rsidRPr="00E36D91" w:rsidR="002C702D">
        <w:rPr>
          <w:rFonts w:ascii="Palatino Linotype" w:hAnsi="Palatino Linotype"/>
          <w:szCs w:val="24"/>
        </w:rPr>
        <w:t xml:space="preserve"> (collectively known as Annual Reports)</w:t>
      </w:r>
      <w:r w:rsidRPr="00E36D91" w:rsidR="00956AFE">
        <w:rPr>
          <w:rFonts w:ascii="Palatino Linotype" w:hAnsi="Palatino Linotype"/>
          <w:szCs w:val="24"/>
        </w:rPr>
        <w:t>,</w:t>
      </w:r>
      <w:r w:rsidR="00BF757D">
        <w:rPr>
          <w:rFonts w:ascii="Palatino Linotype" w:hAnsi="Palatino Linotype"/>
          <w:szCs w:val="24"/>
        </w:rPr>
        <w:t xml:space="preserve"> and/</w:t>
      </w:r>
      <w:r w:rsidRPr="00E36D91" w:rsidR="00956AFE">
        <w:rPr>
          <w:rFonts w:ascii="Palatino Linotype" w:hAnsi="Palatino Linotype"/>
          <w:szCs w:val="24"/>
        </w:rPr>
        <w:t xml:space="preserve">or </w:t>
      </w:r>
      <w:r w:rsidRPr="00E36D91" w:rsidR="00BE5E65">
        <w:rPr>
          <w:rFonts w:ascii="Palatino Linotype" w:hAnsi="Palatino Linotype"/>
          <w:szCs w:val="24"/>
        </w:rPr>
        <w:t>c)</w:t>
      </w:r>
      <w:r w:rsidRPr="00E36D91" w:rsidR="00956AFE">
        <w:rPr>
          <w:rFonts w:ascii="Palatino Linotype" w:hAnsi="Palatino Linotype"/>
          <w:szCs w:val="24"/>
        </w:rPr>
        <w:t xml:space="preserve"> </w:t>
      </w:r>
      <w:r w:rsidRPr="00E36D91" w:rsidR="00036863">
        <w:rPr>
          <w:rFonts w:ascii="Palatino Linotype" w:hAnsi="Palatino Linotype"/>
          <w:szCs w:val="24"/>
        </w:rPr>
        <w:t xml:space="preserve">Annual </w:t>
      </w:r>
      <w:r w:rsidRPr="00E36D91" w:rsidR="00956AFE">
        <w:rPr>
          <w:rFonts w:ascii="Palatino Linotype" w:hAnsi="Palatino Linotype"/>
          <w:szCs w:val="24"/>
        </w:rPr>
        <w:t>Performance Bond</w:t>
      </w:r>
      <w:r w:rsidRPr="00E36D91" w:rsidR="003665C9">
        <w:rPr>
          <w:rFonts w:ascii="Palatino Linotype" w:hAnsi="Palatino Linotype"/>
          <w:szCs w:val="24"/>
        </w:rPr>
        <w:t xml:space="preserve"> requirement</w:t>
      </w:r>
      <w:r w:rsidRPr="00E36D91">
        <w:rPr>
          <w:rFonts w:ascii="Palatino Linotype" w:hAnsi="Palatino Linotype"/>
          <w:szCs w:val="24"/>
        </w:rPr>
        <w:t>.</w:t>
      </w:r>
      <w:r w:rsidRPr="00E36D91" w:rsidR="00956AFE">
        <w:rPr>
          <w:rFonts w:ascii="Palatino Linotype" w:hAnsi="Palatino Linotype"/>
          <w:szCs w:val="24"/>
        </w:rPr>
        <w:t xml:space="preserve">  </w:t>
      </w:r>
      <w:r w:rsidRPr="00E36D91" w:rsidR="00871FC6">
        <w:rPr>
          <w:rFonts w:ascii="Palatino Linotype" w:hAnsi="Palatino Linotype"/>
          <w:szCs w:val="24"/>
        </w:rPr>
        <w:t xml:space="preserve">The revocation of the operating authority is effective </w:t>
      </w:r>
      <w:r w:rsidRPr="00E36D91" w:rsidR="007A5683">
        <w:rPr>
          <w:rFonts w:ascii="Palatino Linotype" w:hAnsi="Palatino Linotype"/>
          <w:szCs w:val="24"/>
        </w:rPr>
        <w:t xml:space="preserve">30 </w:t>
      </w:r>
      <w:r w:rsidRPr="00E36D91" w:rsidR="008B0007">
        <w:rPr>
          <w:rFonts w:ascii="Palatino Linotype" w:hAnsi="Palatino Linotype"/>
          <w:szCs w:val="24"/>
        </w:rPr>
        <w:t xml:space="preserve">calendar </w:t>
      </w:r>
      <w:r w:rsidRPr="00E36D91" w:rsidR="007A5683">
        <w:rPr>
          <w:rFonts w:ascii="Palatino Linotype" w:hAnsi="Palatino Linotype"/>
          <w:szCs w:val="24"/>
        </w:rPr>
        <w:t xml:space="preserve">days from the </w:t>
      </w:r>
      <w:r w:rsidR="00BF757D">
        <w:rPr>
          <w:rFonts w:ascii="Palatino Linotype" w:hAnsi="Palatino Linotype"/>
          <w:szCs w:val="24"/>
        </w:rPr>
        <w:t xml:space="preserve">date of </w:t>
      </w:r>
      <w:r w:rsidRPr="00E36D91" w:rsidR="00871FC6">
        <w:rPr>
          <w:rFonts w:ascii="Palatino Linotype" w:hAnsi="Palatino Linotype"/>
          <w:szCs w:val="24"/>
        </w:rPr>
        <w:t xml:space="preserve">approval of this Resolution. </w:t>
      </w:r>
      <w:r w:rsidR="00BF757D">
        <w:t xml:space="preserve">This Resolution, however, allows any of the carriers identified to fully resolve their outstanding compliance obligations, including paying all penalties before the revocation becomes effective. </w:t>
      </w:r>
      <w:r w:rsidRPr="00E36D91">
        <w:rPr>
          <w:rFonts w:ascii="Palatino Linotype" w:hAnsi="Palatino Linotype"/>
          <w:szCs w:val="24"/>
        </w:rPr>
        <w:t xml:space="preserve">Appendix A of this Resolution lists the carriers subject to revocation </w:t>
      </w:r>
      <w:r w:rsidRPr="00E36D91" w:rsidR="00871FC6">
        <w:rPr>
          <w:rFonts w:ascii="Palatino Linotype" w:hAnsi="Palatino Linotype"/>
          <w:szCs w:val="24"/>
        </w:rPr>
        <w:t xml:space="preserve">of </w:t>
      </w:r>
      <w:r w:rsidRPr="00E36D91" w:rsidR="00060AB1">
        <w:rPr>
          <w:rFonts w:ascii="Palatino Linotype" w:hAnsi="Palatino Linotype"/>
          <w:szCs w:val="24"/>
        </w:rPr>
        <w:t xml:space="preserve">their </w:t>
      </w:r>
      <w:r w:rsidRPr="00E36D91">
        <w:rPr>
          <w:rFonts w:ascii="Palatino Linotype" w:hAnsi="Palatino Linotype"/>
          <w:szCs w:val="24"/>
        </w:rPr>
        <w:t>operating authority.</w:t>
      </w:r>
    </w:p>
    <w:p w:rsidRPr="00E36D91" w:rsidR="00F25173" w:rsidRDefault="00F25173" w14:paraId="202CE593" w14:textId="77777777">
      <w:pPr>
        <w:pStyle w:val="HTMLPreformatted"/>
        <w:rPr>
          <w:rFonts w:ascii="Palatino Linotype" w:hAnsi="Palatino Linotype"/>
          <w:sz w:val="24"/>
          <w:szCs w:val="24"/>
        </w:rPr>
      </w:pPr>
    </w:p>
    <w:p w:rsidRPr="00E36D91" w:rsidR="00070EDA" w:rsidP="009246D7" w:rsidRDefault="00B221EE" w14:paraId="7570044D" w14:textId="09E6E1EC">
      <w:pPr>
        <w:pStyle w:val="Heading1"/>
        <w:numPr>
          <w:ilvl w:val="0"/>
          <w:numId w:val="0"/>
        </w:numPr>
        <w:spacing w:before="0" w:after="0"/>
        <w:rPr>
          <w:rFonts w:ascii="Palatino Linotype" w:hAnsi="Palatino Linotype"/>
          <w:szCs w:val="24"/>
          <w:u w:val="single"/>
        </w:rPr>
      </w:pPr>
      <w:r w:rsidRPr="00E36D91">
        <w:rPr>
          <w:rFonts w:ascii="Palatino Linotype" w:hAnsi="Palatino Linotype"/>
          <w:szCs w:val="24"/>
          <w:u w:val="single"/>
        </w:rPr>
        <w:t>BACKGROUND</w:t>
      </w:r>
    </w:p>
    <w:p w:rsidRPr="00E36D91" w:rsidR="003005D2" w:rsidP="001D3840" w:rsidRDefault="003005D2" w14:paraId="7975C78A" w14:textId="3674EACD">
      <w:pPr>
        <w:rPr>
          <w:rFonts w:ascii="Palatino Linotype" w:hAnsi="Palatino Linotype"/>
          <w:szCs w:val="24"/>
        </w:rPr>
      </w:pPr>
    </w:p>
    <w:p w:rsidRPr="00E36D91" w:rsidR="004C3DC7" w:rsidP="75EBC0A7" w:rsidRDefault="004C3DC7" w14:paraId="6527BF9F" w14:textId="24995BC1">
      <w:pPr>
        <w:rPr>
          <w:rFonts w:ascii="Palatino Linotype" w:hAnsi="Palatino Linotype"/>
          <w:szCs w:val="24"/>
        </w:rPr>
      </w:pPr>
      <w:r w:rsidRPr="00E36D91">
        <w:rPr>
          <w:rFonts w:ascii="Palatino Linotype" w:hAnsi="Palatino Linotype"/>
          <w:szCs w:val="24"/>
        </w:rPr>
        <w:t xml:space="preserve">The Commission has broad </w:t>
      </w:r>
      <w:r w:rsidRPr="00E36D91" w:rsidR="008069EE">
        <w:rPr>
          <w:rFonts w:ascii="Palatino Linotype" w:hAnsi="Palatino Linotype"/>
          <w:szCs w:val="24"/>
        </w:rPr>
        <w:t>r</w:t>
      </w:r>
      <w:r w:rsidRPr="00E36D91">
        <w:rPr>
          <w:rFonts w:ascii="Palatino Linotype" w:hAnsi="Palatino Linotype"/>
          <w:szCs w:val="24"/>
        </w:rPr>
        <w:t>egulatory authority and grants telephone corporations</w:t>
      </w:r>
      <w:r w:rsidRPr="00E36D91" w:rsidR="00F26067">
        <w:rPr>
          <w:rFonts w:ascii="Palatino Linotype" w:hAnsi="Palatino Linotype"/>
          <w:szCs w:val="24"/>
        </w:rPr>
        <w:t xml:space="preserve"> operating authority in California</w:t>
      </w:r>
      <w:r w:rsidRPr="00E36D91" w:rsidR="006412B9">
        <w:rPr>
          <w:rFonts w:ascii="Palatino Linotype" w:hAnsi="Palatino Linotype"/>
          <w:szCs w:val="24"/>
        </w:rPr>
        <w:t xml:space="preserve">.  </w:t>
      </w:r>
      <w:r w:rsidRPr="00E36D91">
        <w:rPr>
          <w:rFonts w:ascii="Palatino Linotype" w:hAnsi="Palatino Linotype"/>
          <w:szCs w:val="24"/>
        </w:rPr>
        <w:t xml:space="preserve">The </w:t>
      </w:r>
      <w:r w:rsidRPr="00E36D91" w:rsidR="00871FC6">
        <w:rPr>
          <w:rFonts w:ascii="Palatino Linotype" w:hAnsi="Palatino Linotype"/>
          <w:szCs w:val="24"/>
        </w:rPr>
        <w:t xml:space="preserve">operating authority of a wireline carrier is granted through a </w:t>
      </w:r>
      <w:r w:rsidRPr="00E36D91">
        <w:rPr>
          <w:rFonts w:ascii="Palatino Linotype" w:hAnsi="Palatino Linotype"/>
          <w:szCs w:val="24"/>
        </w:rPr>
        <w:t>C</w:t>
      </w:r>
      <w:r w:rsidRPr="00E36D91" w:rsidR="005B4ECE">
        <w:rPr>
          <w:rFonts w:ascii="Palatino Linotype" w:hAnsi="Palatino Linotype"/>
          <w:szCs w:val="24"/>
        </w:rPr>
        <w:t xml:space="preserve">ertificate of </w:t>
      </w:r>
      <w:r w:rsidRPr="00E36D91">
        <w:rPr>
          <w:rFonts w:ascii="Palatino Linotype" w:hAnsi="Palatino Linotype"/>
          <w:szCs w:val="24"/>
        </w:rPr>
        <w:t>P</w:t>
      </w:r>
      <w:r w:rsidRPr="00E36D91" w:rsidR="005B4ECE">
        <w:rPr>
          <w:rFonts w:ascii="Palatino Linotype" w:hAnsi="Palatino Linotype"/>
          <w:szCs w:val="24"/>
        </w:rPr>
        <w:t xml:space="preserve">ublic </w:t>
      </w:r>
      <w:r w:rsidRPr="00E36D91">
        <w:rPr>
          <w:rFonts w:ascii="Palatino Linotype" w:hAnsi="Palatino Linotype"/>
          <w:szCs w:val="24"/>
        </w:rPr>
        <w:t>C</w:t>
      </w:r>
      <w:r w:rsidRPr="00E36D91" w:rsidR="005B4ECE">
        <w:rPr>
          <w:rFonts w:ascii="Palatino Linotype" w:hAnsi="Palatino Linotype"/>
          <w:szCs w:val="24"/>
        </w:rPr>
        <w:t xml:space="preserve">onvenience and </w:t>
      </w:r>
      <w:r w:rsidRPr="00E36D91">
        <w:rPr>
          <w:rFonts w:ascii="Palatino Linotype" w:hAnsi="Palatino Linotype"/>
          <w:szCs w:val="24"/>
        </w:rPr>
        <w:t>N</w:t>
      </w:r>
      <w:r w:rsidRPr="00E36D91" w:rsidR="005B4ECE">
        <w:rPr>
          <w:rFonts w:ascii="Palatino Linotype" w:hAnsi="Palatino Linotype"/>
          <w:szCs w:val="24"/>
        </w:rPr>
        <w:t>ecessity (CPCN)</w:t>
      </w:r>
      <w:r w:rsidRPr="00E36D91">
        <w:rPr>
          <w:rFonts w:ascii="Palatino Linotype" w:hAnsi="Palatino Linotype"/>
          <w:szCs w:val="24"/>
        </w:rPr>
        <w:t xml:space="preserve"> </w:t>
      </w:r>
      <w:r w:rsidRPr="00E36D91" w:rsidR="00871FC6">
        <w:rPr>
          <w:rFonts w:ascii="Palatino Linotype" w:hAnsi="Palatino Linotype"/>
          <w:szCs w:val="24"/>
        </w:rPr>
        <w:t xml:space="preserve">application </w:t>
      </w:r>
      <w:r w:rsidRPr="00E36D91">
        <w:rPr>
          <w:rFonts w:ascii="Palatino Linotype" w:hAnsi="Palatino Linotype"/>
          <w:szCs w:val="24"/>
        </w:rPr>
        <w:t xml:space="preserve">pursuant to Public </w:t>
      </w:r>
      <w:r w:rsidR="0022079D">
        <w:rPr>
          <w:rFonts w:ascii="Palatino Linotype" w:hAnsi="Palatino Linotype"/>
          <w:szCs w:val="24"/>
        </w:rPr>
        <w:t xml:space="preserve">(Pub.) </w:t>
      </w:r>
      <w:r w:rsidRPr="00E36D91">
        <w:rPr>
          <w:rFonts w:ascii="Palatino Linotype" w:hAnsi="Palatino Linotype"/>
          <w:szCs w:val="24"/>
        </w:rPr>
        <w:t>Utilities</w:t>
      </w:r>
      <w:r w:rsidRPr="00E36D91" w:rsidR="00E629BB">
        <w:rPr>
          <w:rFonts w:ascii="Palatino Linotype" w:hAnsi="Palatino Linotype"/>
          <w:szCs w:val="24"/>
        </w:rPr>
        <w:t xml:space="preserve"> (U</w:t>
      </w:r>
      <w:r w:rsidR="0022079D">
        <w:rPr>
          <w:rFonts w:ascii="Palatino Linotype" w:hAnsi="Palatino Linotype"/>
          <w:szCs w:val="24"/>
        </w:rPr>
        <w:t>til.</w:t>
      </w:r>
      <w:r w:rsidRPr="00E36D91" w:rsidR="00E629BB">
        <w:rPr>
          <w:rFonts w:ascii="Palatino Linotype" w:hAnsi="Palatino Linotype"/>
          <w:szCs w:val="24"/>
        </w:rPr>
        <w:t>)</w:t>
      </w:r>
      <w:r w:rsidRPr="00E36D91">
        <w:rPr>
          <w:rFonts w:ascii="Palatino Linotype" w:hAnsi="Palatino Linotype"/>
          <w:szCs w:val="24"/>
        </w:rPr>
        <w:t xml:space="preserve"> Code </w:t>
      </w:r>
      <w:r w:rsidRPr="00E36D91" w:rsidR="00E629BB">
        <w:rPr>
          <w:rFonts w:ascii="Palatino Linotype" w:hAnsi="Palatino Linotype"/>
          <w:szCs w:val="24"/>
        </w:rPr>
        <w:t>Section</w:t>
      </w:r>
      <w:r w:rsidRPr="00E36D91">
        <w:rPr>
          <w:rFonts w:ascii="Palatino Linotype" w:hAnsi="Palatino Linotype"/>
          <w:szCs w:val="24"/>
        </w:rPr>
        <w:t xml:space="preserve"> </w:t>
      </w:r>
      <w:r w:rsidRPr="00E36D91" w:rsidR="00576904">
        <w:rPr>
          <w:rFonts w:ascii="Palatino Linotype" w:hAnsi="Palatino Linotype"/>
          <w:szCs w:val="24"/>
        </w:rPr>
        <w:t xml:space="preserve">(§) </w:t>
      </w:r>
      <w:r w:rsidRPr="00E36D91">
        <w:rPr>
          <w:rFonts w:ascii="Palatino Linotype" w:hAnsi="Palatino Linotype"/>
          <w:szCs w:val="24"/>
        </w:rPr>
        <w:t>1001</w:t>
      </w:r>
      <w:r w:rsidRPr="00E36D91" w:rsidR="00871FC6">
        <w:rPr>
          <w:rFonts w:ascii="Palatino Linotype" w:hAnsi="Palatino Linotype"/>
          <w:szCs w:val="24"/>
        </w:rPr>
        <w:t xml:space="preserve"> </w:t>
      </w:r>
      <w:r w:rsidRPr="00E36D91" w:rsidR="00D02D34">
        <w:rPr>
          <w:rFonts w:ascii="Palatino Linotype" w:hAnsi="Palatino Linotype"/>
          <w:szCs w:val="24"/>
        </w:rPr>
        <w:t xml:space="preserve">or </w:t>
      </w:r>
      <w:r w:rsidRPr="00E36D91" w:rsidR="00871FC6">
        <w:rPr>
          <w:rFonts w:ascii="Palatino Linotype" w:hAnsi="Palatino Linotype"/>
          <w:szCs w:val="24"/>
        </w:rPr>
        <w:t>a Simplified R</w:t>
      </w:r>
      <w:r w:rsidRPr="00E36D91">
        <w:rPr>
          <w:rFonts w:ascii="Palatino Linotype" w:hAnsi="Palatino Linotype"/>
          <w:szCs w:val="24"/>
        </w:rPr>
        <w:t xml:space="preserve">egistration pursuant to </w:t>
      </w:r>
      <w:r w:rsidRPr="00E36D91" w:rsidR="00E629BB">
        <w:rPr>
          <w:rFonts w:ascii="Palatino Linotype" w:hAnsi="Palatino Linotype"/>
          <w:szCs w:val="24"/>
        </w:rPr>
        <w:t>P</w:t>
      </w:r>
      <w:r w:rsidR="0022079D">
        <w:rPr>
          <w:rFonts w:ascii="Palatino Linotype" w:hAnsi="Palatino Linotype"/>
          <w:szCs w:val="24"/>
        </w:rPr>
        <w:t xml:space="preserve">ub. </w:t>
      </w:r>
      <w:r w:rsidRPr="00E36D91" w:rsidR="00E629BB">
        <w:rPr>
          <w:rFonts w:ascii="Palatino Linotype" w:hAnsi="Palatino Linotype"/>
          <w:szCs w:val="24"/>
        </w:rPr>
        <w:t>U</w:t>
      </w:r>
      <w:r w:rsidR="0022079D">
        <w:rPr>
          <w:rFonts w:ascii="Palatino Linotype" w:hAnsi="Palatino Linotype"/>
          <w:szCs w:val="24"/>
        </w:rPr>
        <w:t>til.</w:t>
      </w:r>
      <w:r w:rsidRPr="00E36D91">
        <w:rPr>
          <w:rFonts w:ascii="Palatino Linotype" w:hAnsi="Palatino Linotype"/>
          <w:szCs w:val="24"/>
        </w:rPr>
        <w:t xml:space="preserve"> Code § 1013</w:t>
      </w:r>
      <w:r w:rsidRPr="00E36D91" w:rsidR="006412B9">
        <w:rPr>
          <w:rFonts w:ascii="Palatino Linotype" w:hAnsi="Palatino Linotype"/>
          <w:szCs w:val="24"/>
        </w:rPr>
        <w:t>.</w:t>
      </w:r>
      <w:r w:rsidR="006C3DFB">
        <w:rPr>
          <w:rStyle w:val="FootnoteReference"/>
          <w:szCs w:val="24"/>
        </w:rPr>
        <w:footnoteReference w:id="1"/>
      </w:r>
      <w:r w:rsidRPr="00E36D91" w:rsidR="006412B9">
        <w:rPr>
          <w:rFonts w:ascii="Palatino Linotype" w:hAnsi="Palatino Linotype"/>
          <w:szCs w:val="24"/>
        </w:rPr>
        <w:t xml:space="preserve">  </w:t>
      </w:r>
      <w:r w:rsidRPr="00E36D91">
        <w:rPr>
          <w:rFonts w:ascii="Palatino Linotype" w:hAnsi="Palatino Linotype"/>
          <w:szCs w:val="24"/>
        </w:rPr>
        <w:t xml:space="preserve">Commercial Mobile Radio Service (CMRS) providers (also known as wireless </w:t>
      </w:r>
      <w:r w:rsidRPr="00E36D91" w:rsidR="008069EE">
        <w:rPr>
          <w:rFonts w:ascii="Palatino Linotype" w:hAnsi="Palatino Linotype"/>
          <w:szCs w:val="24"/>
        </w:rPr>
        <w:t>carriers</w:t>
      </w:r>
      <w:r w:rsidRPr="00E36D91">
        <w:rPr>
          <w:rFonts w:ascii="Palatino Linotype" w:hAnsi="Palatino Linotype"/>
          <w:szCs w:val="24"/>
        </w:rPr>
        <w:t xml:space="preserve">) are required to file a Wireless Identification Registration (WIR) pursuant to Decision (D.) </w:t>
      </w:r>
      <w:r w:rsidRPr="00E36D91" w:rsidR="008A68A5">
        <w:rPr>
          <w:rFonts w:ascii="Palatino Linotype" w:hAnsi="Palatino Linotype"/>
          <w:szCs w:val="24"/>
        </w:rPr>
        <w:t>94-10-031</w:t>
      </w:r>
      <w:r w:rsidRPr="00E36D91" w:rsidR="006412B9">
        <w:rPr>
          <w:rFonts w:ascii="Palatino Linotype" w:hAnsi="Palatino Linotype"/>
          <w:szCs w:val="24"/>
        </w:rPr>
        <w:t>.</w:t>
      </w:r>
      <w:r w:rsidR="00E36D91">
        <w:rPr>
          <w:rStyle w:val="FootnoteReference"/>
          <w:szCs w:val="24"/>
        </w:rPr>
        <w:footnoteReference w:id="2"/>
      </w:r>
      <w:r w:rsidRPr="00E36D91" w:rsidR="001C437D">
        <w:rPr>
          <w:rFonts w:ascii="Palatino Linotype" w:hAnsi="Palatino Linotype"/>
          <w:szCs w:val="24"/>
        </w:rPr>
        <w:t xml:space="preserve"> </w:t>
      </w:r>
      <w:r w:rsidRPr="00E36D91" w:rsidR="0008695B">
        <w:rPr>
          <w:rFonts w:ascii="Palatino Linotype" w:hAnsi="Palatino Linotype"/>
          <w:szCs w:val="24"/>
        </w:rPr>
        <w:t xml:space="preserve"> </w:t>
      </w:r>
      <w:r w:rsidRPr="00E36D91">
        <w:rPr>
          <w:rFonts w:ascii="Palatino Linotype" w:hAnsi="Palatino Linotype"/>
          <w:szCs w:val="24"/>
        </w:rPr>
        <w:t xml:space="preserve">In each of these </w:t>
      </w:r>
      <w:r w:rsidRPr="00E36D91">
        <w:rPr>
          <w:rFonts w:ascii="Palatino Linotype" w:hAnsi="Palatino Linotype"/>
          <w:szCs w:val="24"/>
        </w:rPr>
        <w:lastRenderedPageBreak/>
        <w:t xml:space="preserve">instances, the applicant is authorized to operate in California as a </w:t>
      </w:r>
      <w:r w:rsidR="00997184">
        <w:rPr>
          <w:rFonts w:ascii="Palatino Linotype" w:hAnsi="Palatino Linotype"/>
          <w:szCs w:val="24"/>
        </w:rPr>
        <w:br/>
      </w:r>
      <w:r w:rsidRPr="00E36D91">
        <w:rPr>
          <w:rFonts w:ascii="Palatino Linotype" w:hAnsi="Palatino Linotype"/>
          <w:szCs w:val="24"/>
        </w:rPr>
        <w:t xml:space="preserve">“telephone corporation” pursuant to </w:t>
      </w:r>
      <w:r w:rsidRPr="00E36D91" w:rsidR="00945E01">
        <w:rPr>
          <w:rFonts w:ascii="Palatino Linotype" w:hAnsi="Palatino Linotype"/>
          <w:szCs w:val="24"/>
        </w:rPr>
        <w:t>P</w:t>
      </w:r>
      <w:r w:rsidR="0022079D">
        <w:rPr>
          <w:rFonts w:ascii="Palatino Linotype" w:hAnsi="Palatino Linotype"/>
          <w:szCs w:val="24"/>
        </w:rPr>
        <w:t xml:space="preserve">ub. </w:t>
      </w:r>
      <w:r w:rsidRPr="00E36D91" w:rsidR="00945E01">
        <w:rPr>
          <w:rFonts w:ascii="Palatino Linotype" w:hAnsi="Palatino Linotype"/>
          <w:szCs w:val="24"/>
        </w:rPr>
        <w:t>U</w:t>
      </w:r>
      <w:r w:rsidR="0022079D">
        <w:rPr>
          <w:rFonts w:ascii="Palatino Linotype" w:hAnsi="Palatino Linotype"/>
          <w:szCs w:val="24"/>
        </w:rPr>
        <w:t>til.</w:t>
      </w:r>
      <w:r w:rsidRPr="00E36D91">
        <w:rPr>
          <w:rFonts w:ascii="Palatino Linotype" w:hAnsi="Palatino Linotype"/>
          <w:szCs w:val="24"/>
        </w:rPr>
        <w:t xml:space="preserve"> Code </w:t>
      </w:r>
      <w:r w:rsidRPr="00E36D91" w:rsidR="00576904">
        <w:rPr>
          <w:rFonts w:ascii="Palatino Linotype" w:hAnsi="Palatino Linotype"/>
          <w:szCs w:val="24"/>
        </w:rPr>
        <w:t>§</w:t>
      </w:r>
      <w:r w:rsidRPr="00E36D91">
        <w:rPr>
          <w:rFonts w:ascii="Palatino Linotype" w:hAnsi="Palatino Linotype"/>
          <w:szCs w:val="24"/>
        </w:rPr>
        <w:t xml:space="preserve"> 234</w:t>
      </w:r>
      <w:r w:rsidR="00E36D91">
        <w:rPr>
          <w:rFonts w:ascii="Palatino Linotype" w:hAnsi="Palatino Linotype"/>
          <w:szCs w:val="24"/>
        </w:rPr>
        <w:t xml:space="preserve"> once it receives its operating authority under P</w:t>
      </w:r>
      <w:r w:rsidR="0022079D">
        <w:rPr>
          <w:rFonts w:ascii="Palatino Linotype" w:hAnsi="Palatino Linotype"/>
          <w:szCs w:val="24"/>
        </w:rPr>
        <w:t xml:space="preserve">ub. </w:t>
      </w:r>
      <w:r w:rsidR="00E36D91">
        <w:rPr>
          <w:rFonts w:ascii="Palatino Linotype" w:hAnsi="Palatino Linotype"/>
          <w:szCs w:val="24"/>
        </w:rPr>
        <w:t>U</w:t>
      </w:r>
      <w:r w:rsidR="0022079D">
        <w:rPr>
          <w:rFonts w:ascii="Palatino Linotype" w:hAnsi="Palatino Linotype"/>
          <w:szCs w:val="24"/>
        </w:rPr>
        <w:t>til.</w:t>
      </w:r>
      <w:r w:rsidR="00E36D91">
        <w:rPr>
          <w:rFonts w:ascii="Palatino Linotype" w:hAnsi="Palatino Linotype"/>
          <w:szCs w:val="24"/>
        </w:rPr>
        <w:t xml:space="preserve"> Code § 1001 or </w:t>
      </w:r>
      <w:r w:rsidR="00E73F4C">
        <w:rPr>
          <w:rFonts w:ascii="Palatino Linotype" w:hAnsi="Palatino Linotype"/>
          <w:szCs w:val="24"/>
        </w:rPr>
        <w:t xml:space="preserve">§ </w:t>
      </w:r>
      <w:r w:rsidR="00E36D91">
        <w:rPr>
          <w:rFonts w:ascii="Palatino Linotype" w:hAnsi="Palatino Linotype"/>
          <w:szCs w:val="24"/>
        </w:rPr>
        <w:t xml:space="preserve">1013, or </w:t>
      </w:r>
      <w:r w:rsidR="006D5DEC">
        <w:rPr>
          <w:rFonts w:ascii="Palatino Linotype" w:hAnsi="Palatino Linotype"/>
          <w:szCs w:val="24"/>
        </w:rPr>
        <w:t>once its registration has been accepted</w:t>
      </w:r>
      <w:r w:rsidR="00E36D91">
        <w:rPr>
          <w:rFonts w:ascii="Palatino Linotype" w:hAnsi="Palatino Linotype"/>
          <w:szCs w:val="24"/>
        </w:rPr>
        <w:t xml:space="preserve"> if it is a wireless corporation</w:t>
      </w:r>
      <w:r w:rsidRPr="00E36D91">
        <w:rPr>
          <w:rFonts w:ascii="Palatino Linotype" w:hAnsi="Palatino Linotype"/>
          <w:szCs w:val="24"/>
        </w:rPr>
        <w:t>.</w:t>
      </w:r>
    </w:p>
    <w:p w:rsidRPr="00E36D91" w:rsidR="00AE75E8" w:rsidP="75EBC0A7" w:rsidRDefault="00AE75E8" w14:paraId="1456E244" w14:textId="77777777">
      <w:pPr>
        <w:rPr>
          <w:rFonts w:ascii="Palatino Linotype" w:hAnsi="Palatino Linotype"/>
          <w:szCs w:val="24"/>
        </w:rPr>
      </w:pPr>
    </w:p>
    <w:p w:rsidRPr="00E36D91" w:rsidR="00AE75E8" w:rsidP="75EBC0A7" w:rsidRDefault="00EC2DED" w14:paraId="74D763E3" w14:textId="6721C08F">
      <w:pPr>
        <w:rPr>
          <w:rFonts w:ascii="Palatino Linotype" w:hAnsi="Palatino Linotype"/>
          <w:szCs w:val="24"/>
        </w:rPr>
      </w:pPr>
      <w:r w:rsidRPr="00E36D91">
        <w:rPr>
          <w:rFonts w:ascii="Palatino Linotype" w:hAnsi="Palatino Linotype"/>
          <w:szCs w:val="24"/>
        </w:rPr>
        <w:t>All c</w:t>
      </w:r>
      <w:r w:rsidRPr="00E36D91" w:rsidR="75EBC0A7">
        <w:rPr>
          <w:rFonts w:ascii="Palatino Linotype" w:hAnsi="Palatino Linotype"/>
          <w:szCs w:val="24"/>
        </w:rPr>
        <w:t xml:space="preserve">arriers are subject to compliance filings attendant to </w:t>
      </w:r>
      <w:r w:rsidRPr="00E36D91" w:rsidR="00813AE2">
        <w:rPr>
          <w:rFonts w:ascii="Palatino Linotype" w:hAnsi="Palatino Linotype"/>
          <w:szCs w:val="24"/>
        </w:rPr>
        <w:t>their</w:t>
      </w:r>
      <w:r w:rsidRPr="00E36D91" w:rsidR="75EBC0A7">
        <w:rPr>
          <w:rFonts w:ascii="Palatino Linotype" w:hAnsi="Palatino Linotype"/>
          <w:szCs w:val="24"/>
        </w:rPr>
        <w:t xml:space="preserve"> operating authority including, but not limited to,</w:t>
      </w:r>
      <w:r w:rsidRPr="00E36D91" w:rsidR="00AE75E8">
        <w:rPr>
          <w:rFonts w:ascii="Palatino Linotype" w:hAnsi="Palatino Linotype"/>
          <w:szCs w:val="24"/>
        </w:rPr>
        <w:t xml:space="preserve"> submission of various annual reporting obligations. Among the annual </w:t>
      </w:r>
      <w:r w:rsidRPr="00E36D91" w:rsidR="000C266D">
        <w:rPr>
          <w:rFonts w:ascii="Palatino Linotype" w:hAnsi="Palatino Linotype"/>
          <w:szCs w:val="24"/>
        </w:rPr>
        <w:t>reporting obligations</w:t>
      </w:r>
      <w:r w:rsidRPr="00E36D91" w:rsidR="00AE75E8">
        <w:rPr>
          <w:rFonts w:ascii="Palatino Linotype" w:hAnsi="Palatino Linotype"/>
          <w:szCs w:val="24"/>
        </w:rPr>
        <w:t xml:space="preserve"> due from carriers are the following:</w:t>
      </w:r>
    </w:p>
    <w:p w:rsidRPr="00E36D91" w:rsidR="00AE75E8" w:rsidP="75EBC0A7" w:rsidRDefault="00AE75E8" w14:paraId="13FB2163" w14:textId="77777777">
      <w:pPr>
        <w:rPr>
          <w:rFonts w:ascii="Palatino Linotype" w:hAnsi="Palatino Linotype"/>
          <w:szCs w:val="24"/>
        </w:rPr>
      </w:pPr>
    </w:p>
    <w:p w:rsidRPr="00E36D91" w:rsidR="00AE75E8" w:rsidP="00D77460" w:rsidRDefault="00AE75E8" w14:paraId="6118EB7E" w14:textId="687C8522">
      <w:pPr>
        <w:keepNext/>
        <w:numPr>
          <w:ilvl w:val="0"/>
          <w:numId w:val="52"/>
        </w:numPr>
        <w:overflowPunct/>
        <w:spacing w:after="120"/>
        <w:textAlignment w:val="auto"/>
        <w:rPr>
          <w:rFonts w:ascii="Palatino Linotype" w:hAnsi="Palatino Linotype"/>
          <w:szCs w:val="24"/>
        </w:rPr>
      </w:pPr>
      <w:r w:rsidRPr="00E36D91">
        <w:rPr>
          <w:rFonts w:ascii="Palatino Linotype" w:hAnsi="Palatino Linotype"/>
          <w:szCs w:val="24"/>
        </w:rPr>
        <w:t>A</w:t>
      </w:r>
      <w:r w:rsidRPr="00E36D91" w:rsidR="002C702D">
        <w:rPr>
          <w:rFonts w:ascii="Palatino Linotype" w:hAnsi="Palatino Linotype"/>
          <w:szCs w:val="24"/>
        </w:rPr>
        <w:t>nnual</w:t>
      </w:r>
      <w:r w:rsidRPr="00E36D91">
        <w:rPr>
          <w:rFonts w:ascii="Palatino Linotype" w:hAnsi="Palatino Linotype"/>
          <w:szCs w:val="24"/>
        </w:rPr>
        <w:t xml:space="preserve"> Report on Carrier</w:t>
      </w:r>
      <w:r w:rsidR="003311DD">
        <w:rPr>
          <w:rFonts w:ascii="Palatino Linotype" w:hAnsi="Palatino Linotype"/>
          <w:szCs w:val="24"/>
        </w:rPr>
        <w:t>’s</w:t>
      </w:r>
      <w:r w:rsidRPr="00E36D91">
        <w:rPr>
          <w:rFonts w:ascii="Palatino Linotype" w:hAnsi="Palatino Linotype"/>
          <w:szCs w:val="24"/>
        </w:rPr>
        <w:t xml:space="preserve"> </w:t>
      </w:r>
      <w:r w:rsidRPr="00E36D91" w:rsidR="000C266D">
        <w:rPr>
          <w:rFonts w:ascii="Palatino Linotype" w:hAnsi="Palatino Linotype"/>
          <w:szCs w:val="24"/>
        </w:rPr>
        <w:t>O</w:t>
      </w:r>
      <w:r w:rsidRPr="00E36D91" w:rsidR="002C702D">
        <w:rPr>
          <w:rFonts w:ascii="Palatino Linotype" w:hAnsi="Palatino Linotype"/>
          <w:szCs w:val="24"/>
        </w:rPr>
        <w:t>perations and</w:t>
      </w:r>
      <w:r w:rsidRPr="00E36D91" w:rsidR="000C266D">
        <w:rPr>
          <w:rFonts w:ascii="Palatino Linotype" w:hAnsi="Palatino Linotype"/>
          <w:szCs w:val="24"/>
        </w:rPr>
        <w:t xml:space="preserve"> F</w:t>
      </w:r>
      <w:r w:rsidRPr="00E36D91" w:rsidR="002C702D">
        <w:rPr>
          <w:rFonts w:ascii="Palatino Linotype" w:hAnsi="Palatino Linotype"/>
          <w:szCs w:val="24"/>
        </w:rPr>
        <w:t>inancials</w:t>
      </w:r>
      <w:r w:rsidRPr="00E36D91">
        <w:rPr>
          <w:rFonts w:ascii="Palatino Linotype" w:hAnsi="Palatino Linotype"/>
          <w:szCs w:val="24"/>
        </w:rPr>
        <w:t xml:space="preserve"> on a </w:t>
      </w:r>
      <w:r w:rsidR="00E73F4C">
        <w:rPr>
          <w:rFonts w:ascii="Palatino Linotype" w:hAnsi="Palatino Linotype"/>
          <w:szCs w:val="24"/>
        </w:rPr>
        <w:t>CY</w:t>
      </w:r>
      <w:r w:rsidRPr="00E36D91">
        <w:rPr>
          <w:rFonts w:ascii="Palatino Linotype" w:hAnsi="Palatino Linotype"/>
          <w:szCs w:val="24"/>
        </w:rPr>
        <w:t xml:space="preserve"> basis pursuant to General Order (GO) 104-A due March 31 of the following year.</w:t>
      </w:r>
    </w:p>
    <w:p w:rsidRPr="00E36D91" w:rsidR="00AE75E8" w:rsidP="00D77460" w:rsidRDefault="00AE75E8" w14:paraId="730AD3AD" w14:textId="7253A434">
      <w:pPr>
        <w:keepNext/>
        <w:numPr>
          <w:ilvl w:val="0"/>
          <w:numId w:val="52"/>
        </w:numPr>
        <w:overflowPunct/>
        <w:spacing w:after="120"/>
        <w:textAlignment w:val="auto"/>
        <w:rPr>
          <w:rFonts w:ascii="Palatino Linotype" w:hAnsi="Palatino Linotype"/>
          <w:szCs w:val="24"/>
        </w:rPr>
      </w:pPr>
      <w:r w:rsidRPr="00E36D91">
        <w:rPr>
          <w:rFonts w:ascii="Palatino Linotype" w:hAnsi="Palatino Linotype"/>
          <w:szCs w:val="24"/>
        </w:rPr>
        <w:t>Annual Affiliate Transaction Reports on a CY basis</w:t>
      </w:r>
      <w:r w:rsidRPr="00E36D91" w:rsidR="75EBC0A7">
        <w:rPr>
          <w:rFonts w:ascii="Palatino Linotype" w:hAnsi="Palatino Linotype"/>
          <w:szCs w:val="24"/>
        </w:rPr>
        <w:t xml:space="preserve"> </w:t>
      </w:r>
      <w:r w:rsidRPr="00E36D91">
        <w:rPr>
          <w:rFonts w:ascii="Palatino Linotype" w:hAnsi="Palatino Linotype"/>
          <w:szCs w:val="24"/>
        </w:rPr>
        <w:t>pursuant to</w:t>
      </w:r>
      <w:r w:rsidRPr="00E36D91" w:rsidR="75EBC0A7">
        <w:rPr>
          <w:rFonts w:ascii="Palatino Linotype" w:hAnsi="Palatino Linotype"/>
          <w:szCs w:val="24"/>
        </w:rPr>
        <w:t xml:space="preserve"> D.93-02-019</w:t>
      </w:r>
      <w:r w:rsidRPr="00E36D91" w:rsidR="002C702D">
        <w:rPr>
          <w:rFonts w:ascii="Palatino Linotype" w:hAnsi="Palatino Linotype"/>
          <w:szCs w:val="24"/>
        </w:rPr>
        <w:t xml:space="preserve"> </w:t>
      </w:r>
      <w:r w:rsidRPr="00E36D91" w:rsidR="000C266D">
        <w:rPr>
          <w:rFonts w:ascii="Palatino Linotype" w:hAnsi="Palatino Linotype"/>
          <w:szCs w:val="24"/>
        </w:rPr>
        <w:t>due May 1 of the following year.</w:t>
      </w:r>
    </w:p>
    <w:p w:rsidRPr="00E36D91" w:rsidR="000C266D" w:rsidP="00D77460" w:rsidRDefault="00AE75E8" w14:paraId="10C2D4BB" w14:textId="2A61CB97">
      <w:pPr>
        <w:keepNext/>
        <w:numPr>
          <w:ilvl w:val="0"/>
          <w:numId w:val="52"/>
        </w:numPr>
        <w:overflowPunct/>
        <w:spacing w:after="120"/>
        <w:textAlignment w:val="auto"/>
        <w:rPr>
          <w:rFonts w:ascii="Palatino Linotype" w:hAnsi="Palatino Linotype"/>
          <w:szCs w:val="24"/>
        </w:rPr>
      </w:pPr>
      <w:r w:rsidRPr="00E36D91">
        <w:rPr>
          <w:rFonts w:ascii="Palatino Linotype" w:hAnsi="Palatino Linotype"/>
          <w:szCs w:val="24"/>
        </w:rPr>
        <w:t>A</w:t>
      </w:r>
      <w:r w:rsidRPr="00E36D91" w:rsidR="00036863">
        <w:rPr>
          <w:rFonts w:ascii="Palatino Linotype" w:hAnsi="Palatino Linotype"/>
          <w:szCs w:val="24"/>
        </w:rPr>
        <w:t xml:space="preserve">nnual </w:t>
      </w:r>
      <w:r w:rsidRPr="00E36D91" w:rsidR="004C5FED">
        <w:rPr>
          <w:rFonts w:ascii="Palatino Linotype" w:hAnsi="Palatino Linotype"/>
          <w:szCs w:val="24"/>
        </w:rPr>
        <w:t xml:space="preserve">Performance Bond </w:t>
      </w:r>
      <w:r w:rsidRPr="00E36D91" w:rsidR="003665C9">
        <w:rPr>
          <w:rFonts w:ascii="Palatino Linotype" w:hAnsi="Palatino Linotype"/>
          <w:szCs w:val="24"/>
        </w:rPr>
        <w:t xml:space="preserve">requirement </w:t>
      </w:r>
      <w:r w:rsidRPr="00E36D91" w:rsidR="004C5FED">
        <w:rPr>
          <w:rFonts w:ascii="Palatino Linotype" w:hAnsi="Palatino Linotype"/>
          <w:szCs w:val="24"/>
        </w:rPr>
        <w:t xml:space="preserve">pursuant to </w:t>
      </w:r>
      <w:bookmarkStart w:name="_Hlk75517977" w:id="4"/>
      <w:r w:rsidRPr="00E36D91" w:rsidR="004C5FED">
        <w:rPr>
          <w:rFonts w:ascii="Palatino Linotype" w:hAnsi="Palatino Linotype"/>
          <w:szCs w:val="24"/>
        </w:rPr>
        <w:t xml:space="preserve">D.13-05-035 and/or </w:t>
      </w:r>
      <w:r w:rsidR="00997184">
        <w:rPr>
          <w:rFonts w:ascii="Palatino Linotype" w:hAnsi="Palatino Linotype"/>
          <w:szCs w:val="24"/>
        </w:rPr>
        <w:br/>
      </w:r>
      <w:r w:rsidRPr="00E36D91" w:rsidR="004C5FED">
        <w:rPr>
          <w:rFonts w:ascii="Palatino Linotype" w:hAnsi="Palatino Linotype"/>
          <w:szCs w:val="24"/>
        </w:rPr>
        <w:t>D.11-09-026</w:t>
      </w:r>
      <w:bookmarkEnd w:id="4"/>
      <w:r w:rsidRPr="00E36D91" w:rsidR="000C266D">
        <w:rPr>
          <w:rFonts w:ascii="Palatino Linotype" w:hAnsi="Palatino Linotype"/>
          <w:szCs w:val="24"/>
        </w:rPr>
        <w:t xml:space="preserve"> due on March 31 of each year.</w:t>
      </w:r>
      <w:r w:rsidRPr="00E36D91" w:rsidR="75EBC0A7">
        <w:rPr>
          <w:rFonts w:ascii="Palatino Linotype" w:hAnsi="Palatino Linotype"/>
          <w:szCs w:val="24"/>
        </w:rPr>
        <w:t xml:space="preserve"> </w:t>
      </w:r>
    </w:p>
    <w:p w:rsidRPr="00E36D91" w:rsidR="00A45D06" w:rsidP="000C266D" w:rsidRDefault="75EBC0A7" w14:paraId="05F37F20" w14:textId="1CB9C006">
      <w:pPr>
        <w:rPr>
          <w:rFonts w:ascii="Palatino Linotype" w:hAnsi="Palatino Linotype"/>
          <w:szCs w:val="24"/>
        </w:rPr>
      </w:pPr>
      <w:r w:rsidRPr="00E36D91">
        <w:rPr>
          <w:rFonts w:ascii="Palatino Linotype" w:hAnsi="Palatino Linotype"/>
          <w:szCs w:val="24"/>
        </w:rPr>
        <w:t xml:space="preserve">These obligations are identified in the </w:t>
      </w:r>
      <w:r w:rsidRPr="00E36D91" w:rsidR="00944102">
        <w:rPr>
          <w:rFonts w:ascii="Palatino Linotype" w:hAnsi="Palatino Linotype"/>
          <w:szCs w:val="24"/>
        </w:rPr>
        <w:t xml:space="preserve">CPCN </w:t>
      </w:r>
      <w:r w:rsidRPr="00E36D91">
        <w:rPr>
          <w:rFonts w:ascii="Palatino Linotype" w:hAnsi="Palatino Linotype"/>
          <w:szCs w:val="24"/>
        </w:rPr>
        <w:t>Decision</w:t>
      </w:r>
      <w:r w:rsidRPr="00E36D91" w:rsidR="0008695B">
        <w:rPr>
          <w:rStyle w:val="FootnoteReference"/>
          <w:rFonts w:ascii="Palatino Linotype" w:hAnsi="Palatino Linotype"/>
          <w:sz w:val="24"/>
          <w:szCs w:val="24"/>
        </w:rPr>
        <w:footnoteReference w:id="3"/>
      </w:r>
      <w:r w:rsidRPr="00E36D91">
        <w:rPr>
          <w:rFonts w:ascii="Palatino Linotype" w:hAnsi="Palatino Linotype"/>
          <w:szCs w:val="24"/>
        </w:rPr>
        <w:t xml:space="preserve"> </w:t>
      </w:r>
      <w:r w:rsidR="00BF757D">
        <w:rPr>
          <w:rFonts w:ascii="Palatino Linotype" w:hAnsi="Palatino Linotype"/>
          <w:szCs w:val="24"/>
        </w:rPr>
        <w:t xml:space="preserve">or WIR approval letter </w:t>
      </w:r>
      <w:r w:rsidRPr="00E36D91">
        <w:rPr>
          <w:rFonts w:ascii="Palatino Linotype" w:hAnsi="Palatino Linotype"/>
          <w:szCs w:val="24"/>
        </w:rPr>
        <w:t xml:space="preserve">that granted the carriers’ operating authority. The Commission may suspend or revoke </w:t>
      </w:r>
      <w:r w:rsidRPr="00E36D91" w:rsidR="00576904">
        <w:rPr>
          <w:rFonts w:ascii="Palatino Linotype" w:hAnsi="Palatino Linotype"/>
          <w:szCs w:val="24"/>
        </w:rPr>
        <w:t xml:space="preserve">the </w:t>
      </w:r>
      <w:r w:rsidRPr="00E36D91">
        <w:rPr>
          <w:rFonts w:ascii="Palatino Linotype" w:hAnsi="Palatino Linotype"/>
          <w:szCs w:val="24"/>
        </w:rPr>
        <w:t xml:space="preserve">operating authority of telephone corporations that fail to make required annual </w:t>
      </w:r>
      <w:r w:rsidRPr="00E36D91" w:rsidR="00EC1F28">
        <w:rPr>
          <w:rFonts w:ascii="Palatino Linotype" w:hAnsi="Palatino Linotype"/>
          <w:szCs w:val="24"/>
        </w:rPr>
        <w:t>compliance filings</w:t>
      </w:r>
      <w:r w:rsidRPr="00E36D91">
        <w:rPr>
          <w:rFonts w:ascii="Palatino Linotype" w:hAnsi="Palatino Linotype"/>
          <w:szCs w:val="24"/>
        </w:rPr>
        <w:t xml:space="preserve"> per D.93-05-010. </w:t>
      </w:r>
    </w:p>
    <w:p w:rsidRPr="00E36D91" w:rsidR="0063406C" w:rsidRDefault="0063406C" w14:paraId="2DC42C20" w14:textId="77777777">
      <w:pPr>
        <w:rPr>
          <w:rFonts w:ascii="Palatino Linotype" w:hAnsi="Palatino Linotype"/>
          <w:szCs w:val="24"/>
        </w:rPr>
      </w:pPr>
    </w:p>
    <w:p w:rsidRPr="00E36D91" w:rsidR="003005D2" w:rsidP="75EBC0A7" w:rsidRDefault="75EBC0A7" w14:paraId="3E608314" w14:textId="1FB51AE1">
      <w:pPr>
        <w:rPr>
          <w:rFonts w:ascii="Palatino Linotype" w:hAnsi="Palatino Linotype"/>
          <w:szCs w:val="24"/>
        </w:rPr>
      </w:pPr>
      <w:r w:rsidRPr="00E36D91">
        <w:rPr>
          <w:rFonts w:ascii="Palatino Linotype" w:hAnsi="Palatino Linotype"/>
          <w:szCs w:val="24"/>
        </w:rPr>
        <w:t>On June 21, 2018, the Commission adopted Resolution T-17601</w:t>
      </w:r>
      <w:r w:rsidRPr="00E36D91" w:rsidR="00036863">
        <w:rPr>
          <w:rFonts w:ascii="Palatino Linotype" w:hAnsi="Palatino Linotype"/>
          <w:szCs w:val="24"/>
        </w:rPr>
        <w:t xml:space="preserve"> </w:t>
      </w:r>
      <w:r w:rsidRPr="00E36D91">
        <w:rPr>
          <w:rFonts w:ascii="Palatino Linotype" w:hAnsi="Palatino Linotype"/>
          <w:szCs w:val="24"/>
        </w:rPr>
        <w:t>authoriz</w:t>
      </w:r>
      <w:r w:rsidRPr="00E36D91" w:rsidR="00036863">
        <w:rPr>
          <w:rFonts w:ascii="Palatino Linotype" w:hAnsi="Palatino Linotype"/>
          <w:szCs w:val="24"/>
        </w:rPr>
        <w:t>ing</w:t>
      </w:r>
      <w:r w:rsidRPr="00E36D91">
        <w:rPr>
          <w:rFonts w:ascii="Palatino Linotype" w:hAnsi="Palatino Linotype"/>
          <w:szCs w:val="24"/>
        </w:rPr>
        <w:t xml:space="preserve"> </w:t>
      </w:r>
      <w:r w:rsidRPr="00E36D91" w:rsidR="00871FC6">
        <w:rPr>
          <w:rFonts w:ascii="Palatino Linotype" w:hAnsi="Palatino Linotype"/>
          <w:szCs w:val="24"/>
        </w:rPr>
        <w:t xml:space="preserve">Communications Division (CD) </w:t>
      </w:r>
      <w:r w:rsidRPr="00E36D91">
        <w:rPr>
          <w:rFonts w:ascii="Palatino Linotype" w:hAnsi="Palatino Linotype"/>
          <w:szCs w:val="24"/>
        </w:rPr>
        <w:t xml:space="preserve">to implement a citation program for enforcing telecommunications carrier compliance with the Commission’s Resolutions, Decisions, </w:t>
      </w:r>
      <w:r w:rsidRPr="00E36D91" w:rsidR="009A0C7E">
        <w:rPr>
          <w:rFonts w:ascii="Palatino Linotype" w:hAnsi="Palatino Linotype"/>
          <w:szCs w:val="24"/>
        </w:rPr>
        <w:t>Orders,</w:t>
      </w:r>
      <w:r w:rsidRPr="00E36D91">
        <w:rPr>
          <w:rFonts w:ascii="Palatino Linotype" w:hAnsi="Palatino Linotype"/>
          <w:szCs w:val="24"/>
        </w:rPr>
        <w:t xml:space="preserve"> and the Public Utilities Code.  Resolution T-17601 adopted the citation procedure, a list of violations, and associated penalty amounts.  </w:t>
      </w:r>
    </w:p>
    <w:p w:rsidRPr="00E36D91" w:rsidR="00067C49" w:rsidP="00067C49" w:rsidRDefault="00067C49" w14:paraId="2895FBE7" w14:textId="35618F03">
      <w:pPr>
        <w:rPr>
          <w:rFonts w:ascii="Palatino Linotype" w:hAnsi="Palatino Linotype"/>
          <w:b/>
          <w:bCs/>
          <w:szCs w:val="24"/>
        </w:rPr>
      </w:pPr>
    </w:p>
    <w:p w:rsidRPr="00E36D91" w:rsidR="00D52054" w:rsidP="00DA462D" w:rsidRDefault="00823CE8" w14:paraId="469E48A1" w14:textId="670C1310">
      <w:pPr>
        <w:rPr>
          <w:rFonts w:ascii="Palatino Linotype" w:hAnsi="Palatino Linotype"/>
          <w:b/>
          <w:szCs w:val="24"/>
          <w:u w:val="single"/>
        </w:rPr>
      </w:pPr>
      <w:r w:rsidRPr="00E36D91">
        <w:rPr>
          <w:rFonts w:ascii="Palatino Linotype" w:hAnsi="Palatino Linotype"/>
          <w:b/>
          <w:szCs w:val="24"/>
          <w:u w:val="single"/>
        </w:rPr>
        <w:t>DISCUSSION</w:t>
      </w:r>
    </w:p>
    <w:p w:rsidRPr="00E36D91" w:rsidR="00127FA7" w:rsidP="009246D7" w:rsidRDefault="00823CE8" w14:paraId="41552BEB" w14:textId="77777777">
      <w:pPr>
        <w:rPr>
          <w:rFonts w:ascii="Palatino Linotype" w:hAnsi="Palatino Linotype"/>
          <w:b/>
          <w:szCs w:val="24"/>
        </w:rPr>
      </w:pPr>
      <w:r w:rsidRPr="00E36D91" w:rsidDel="00B811C6">
        <w:rPr>
          <w:rFonts w:ascii="Palatino Linotype" w:hAnsi="Palatino Linotype"/>
          <w:szCs w:val="24"/>
        </w:rPr>
        <w:t xml:space="preserve"> </w:t>
      </w:r>
    </w:p>
    <w:p w:rsidRPr="00E36D91" w:rsidR="00060AB1" w:rsidRDefault="008032CF" w14:paraId="39E72193" w14:textId="7B68A395">
      <w:pPr>
        <w:pStyle w:val="HTMLPreformatted"/>
        <w:rPr>
          <w:rFonts w:ascii="Palatino Linotype" w:hAnsi="Palatino Linotype"/>
          <w:sz w:val="24"/>
          <w:szCs w:val="24"/>
        </w:rPr>
      </w:pPr>
      <w:r w:rsidRPr="00E36D91">
        <w:rPr>
          <w:rFonts w:ascii="Palatino Linotype" w:hAnsi="Palatino Linotype"/>
          <w:sz w:val="24"/>
          <w:szCs w:val="24"/>
        </w:rPr>
        <w:t>The Commission inform</w:t>
      </w:r>
      <w:r w:rsidR="00E36D91">
        <w:rPr>
          <w:rFonts w:ascii="Palatino Linotype" w:hAnsi="Palatino Linotype"/>
          <w:sz w:val="24"/>
          <w:szCs w:val="24"/>
        </w:rPr>
        <w:t>s</w:t>
      </w:r>
      <w:r w:rsidRPr="00E36D91">
        <w:rPr>
          <w:rFonts w:ascii="Palatino Linotype" w:hAnsi="Palatino Linotype"/>
          <w:sz w:val="24"/>
          <w:szCs w:val="24"/>
        </w:rPr>
        <w:t xml:space="preserve"> a</w:t>
      </w:r>
      <w:r w:rsidRPr="00E36D91" w:rsidR="003B7637">
        <w:rPr>
          <w:rFonts w:ascii="Palatino Linotype" w:hAnsi="Palatino Linotype"/>
          <w:sz w:val="24"/>
          <w:szCs w:val="24"/>
        </w:rPr>
        <w:t>ll</w:t>
      </w:r>
      <w:r w:rsidRPr="00E36D91" w:rsidR="00854733">
        <w:rPr>
          <w:rFonts w:ascii="Palatino Linotype" w:hAnsi="Palatino Linotype"/>
          <w:sz w:val="24"/>
          <w:szCs w:val="24"/>
        </w:rPr>
        <w:t xml:space="preserve"> carrier</w:t>
      </w:r>
      <w:r w:rsidRPr="00E36D91" w:rsidR="003B7637">
        <w:rPr>
          <w:rFonts w:ascii="Palatino Linotype" w:hAnsi="Palatino Linotype"/>
          <w:sz w:val="24"/>
          <w:szCs w:val="24"/>
        </w:rPr>
        <w:t xml:space="preserve">s </w:t>
      </w:r>
      <w:r w:rsidRPr="00E36D91">
        <w:rPr>
          <w:rFonts w:ascii="Palatino Linotype" w:hAnsi="Palatino Linotype"/>
          <w:sz w:val="24"/>
          <w:szCs w:val="24"/>
        </w:rPr>
        <w:t xml:space="preserve">of </w:t>
      </w:r>
      <w:r w:rsidRPr="00E36D91" w:rsidR="00060AB1">
        <w:rPr>
          <w:rFonts w:ascii="Palatino Linotype" w:hAnsi="Palatino Linotype"/>
          <w:sz w:val="24"/>
          <w:szCs w:val="24"/>
        </w:rPr>
        <w:t>their</w:t>
      </w:r>
      <w:r w:rsidRPr="00E36D91" w:rsidR="00854733">
        <w:rPr>
          <w:rFonts w:ascii="Palatino Linotype" w:hAnsi="Palatino Linotype"/>
          <w:sz w:val="24"/>
          <w:szCs w:val="24"/>
        </w:rPr>
        <w:t xml:space="preserve"> reporting obligations </w:t>
      </w:r>
      <w:r w:rsidRPr="00E36D91" w:rsidR="00576904">
        <w:rPr>
          <w:rFonts w:ascii="Palatino Linotype" w:hAnsi="Palatino Linotype"/>
          <w:sz w:val="24"/>
          <w:szCs w:val="24"/>
        </w:rPr>
        <w:t>in on</w:t>
      </w:r>
      <w:r w:rsidRPr="00E36D91" w:rsidR="004E3C46">
        <w:rPr>
          <w:rFonts w:ascii="Palatino Linotype" w:hAnsi="Palatino Linotype"/>
          <w:sz w:val="24"/>
          <w:szCs w:val="24"/>
        </w:rPr>
        <w:t>e</w:t>
      </w:r>
      <w:r w:rsidRPr="00E36D91" w:rsidR="00576904">
        <w:rPr>
          <w:rFonts w:ascii="Palatino Linotype" w:hAnsi="Palatino Linotype"/>
          <w:sz w:val="24"/>
          <w:szCs w:val="24"/>
        </w:rPr>
        <w:t xml:space="preserve"> of three ways: (1) </w:t>
      </w:r>
      <w:r w:rsidRPr="00E36D91">
        <w:rPr>
          <w:rFonts w:ascii="Palatino Linotype" w:hAnsi="Palatino Linotype"/>
          <w:sz w:val="24"/>
          <w:szCs w:val="24"/>
        </w:rPr>
        <w:t xml:space="preserve">as part of </w:t>
      </w:r>
      <w:r w:rsidRPr="00E36D91" w:rsidR="00854733">
        <w:rPr>
          <w:rFonts w:ascii="Palatino Linotype" w:hAnsi="Palatino Linotype"/>
          <w:sz w:val="24"/>
          <w:szCs w:val="24"/>
        </w:rPr>
        <w:t>the final Commission Decision granting a CPCN to operate as a telephone corporation in California</w:t>
      </w:r>
      <w:r w:rsidRPr="00E36D91" w:rsidR="00576904">
        <w:rPr>
          <w:rFonts w:ascii="Palatino Linotype" w:hAnsi="Palatino Linotype"/>
          <w:sz w:val="24"/>
          <w:szCs w:val="24"/>
        </w:rPr>
        <w:t>; (2)</w:t>
      </w:r>
      <w:r w:rsidRPr="00E36D91" w:rsidR="00854733">
        <w:rPr>
          <w:rFonts w:ascii="Palatino Linotype" w:hAnsi="Palatino Linotype"/>
          <w:sz w:val="24"/>
          <w:szCs w:val="24"/>
        </w:rPr>
        <w:t xml:space="preserve"> through the</w:t>
      </w:r>
      <w:r w:rsidRPr="00E36D91" w:rsidR="000312F1">
        <w:rPr>
          <w:rFonts w:ascii="Palatino Linotype" w:hAnsi="Palatino Linotype"/>
          <w:sz w:val="24"/>
          <w:szCs w:val="24"/>
        </w:rPr>
        <w:t xml:space="preserve"> Executive Director Decision granting a</w:t>
      </w:r>
      <w:r w:rsidRPr="00E36D91" w:rsidR="00854733">
        <w:rPr>
          <w:rFonts w:ascii="Palatino Linotype" w:hAnsi="Palatino Linotype"/>
          <w:sz w:val="24"/>
          <w:szCs w:val="24"/>
        </w:rPr>
        <w:t xml:space="preserve"> Registration License</w:t>
      </w:r>
      <w:r w:rsidRPr="00E36D91" w:rsidR="00576904">
        <w:rPr>
          <w:rFonts w:ascii="Palatino Linotype" w:hAnsi="Palatino Linotype"/>
          <w:sz w:val="24"/>
          <w:szCs w:val="24"/>
        </w:rPr>
        <w:t>; (3)</w:t>
      </w:r>
      <w:r w:rsidRPr="00E36D91" w:rsidR="00854733">
        <w:rPr>
          <w:rFonts w:ascii="Palatino Linotype" w:hAnsi="Palatino Linotype"/>
          <w:sz w:val="24"/>
          <w:szCs w:val="24"/>
        </w:rPr>
        <w:t xml:space="preserve"> or </w:t>
      </w:r>
      <w:r w:rsidRPr="00E36D91" w:rsidR="00576904">
        <w:rPr>
          <w:rFonts w:ascii="Palatino Linotype" w:hAnsi="Palatino Linotype"/>
          <w:sz w:val="24"/>
          <w:szCs w:val="24"/>
        </w:rPr>
        <w:t>via a</w:t>
      </w:r>
      <w:r w:rsidRPr="00E36D91" w:rsidR="006D285A">
        <w:rPr>
          <w:rFonts w:ascii="Palatino Linotype" w:hAnsi="Palatino Linotype"/>
          <w:sz w:val="24"/>
          <w:szCs w:val="24"/>
        </w:rPr>
        <w:t xml:space="preserve"> </w:t>
      </w:r>
      <w:r w:rsidRPr="00E36D91" w:rsidR="003B7637">
        <w:rPr>
          <w:rFonts w:ascii="Palatino Linotype" w:hAnsi="Palatino Linotype"/>
          <w:sz w:val="24"/>
          <w:szCs w:val="24"/>
        </w:rPr>
        <w:t xml:space="preserve">WIR </w:t>
      </w:r>
      <w:r w:rsidRPr="00E36D91" w:rsidR="00854733">
        <w:rPr>
          <w:rFonts w:ascii="Palatino Linotype" w:hAnsi="Palatino Linotype"/>
          <w:sz w:val="24"/>
          <w:szCs w:val="24"/>
        </w:rPr>
        <w:t>approval</w:t>
      </w:r>
      <w:r w:rsidRPr="00E36D91" w:rsidR="003B7637">
        <w:rPr>
          <w:rFonts w:ascii="Palatino Linotype" w:hAnsi="Palatino Linotype"/>
          <w:sz w:val="24"/>
          <w:szCs w:val="24"/>
        </w:rPr>
        <w:t xml:space="preserve"> letter</w:t>
      </w:r>
      <w:r w:rsidRPr="00E36D91" w:rsidR="00576904">
        <w:rPr>
          <w:rFonts w:ascii="Palatino Linotype" w:hAnsi="Palatino Linotype"/>
          <w:sz w:val="24"/>
          <w:szCs w:val="24"/>
        </w:rPr>
        <w:t xml:space="preserve"> from the Director of CD</w:t>
      </w:r>
      <w:r w:rsidRPr="00E36D91" w:rsidR="00854733">
        <w:rPr>
          <w:rFonts w:ascii="Palatino Linotype" w:hAnsi="Palatino Linotype"/>
          <w:sz w:val="24"/>
          <w:szCs w:val="24"/>
        </w:rPr>
        <w:t xml:space="preserve">. </w:t>
      </w:r>
      <w:r w:rsidRPr="00E36D91" w:rsidR="0047170E">
        <w:rPr>
          <w:rFonts w:ascii="Palatino Linotype" w:hAnsi="Palatino Linotype"/>
          <w:sz w:val="24"/>
          <w:szCs w:val="24"/>
        </w:rPr>
        <w:t xml:space="preserve"> </w:t>
      </w:r>
      <w:r w:rsidRPr="00E36D91" w:rsidR="00182338">
        <w:rPr>
          <w:rFonts w:ascii="Palatino Linotype" w:hAnsi="Palatino Linotype"/>
          <w:sz w:val="24"/>
          <w:szCs w:val="24"/>
        </w:rPr>
        <w:t xml:space="preserve">Also, </w:t>
      </w:r>
      <w:r w:rsidRPr="00E36D91" w:rsidR="00854733">
        <w:rPr>
          <w:rFonts w:ascii="Palatino Linotype" w:hAnsi="Palatino Linotype"/>
          <w:sz w:val="24"/>
          <w:szCs w:val="24"/>
        </w:rPr>
        <w:t xml:space="preserve">CD annually notifies all carriers of </w:t>
      </w:r>
      <w:r w:rsidRPr="00E36D91" w:rsidR="00060AB1">
        <w:rPr>
          <w:rFonts w:ascii="Palatino Linotype" w:hAnsi="Palatino Linotype"/>
          <w:sz w:val="24"/>
          <w:szCs w:val="24"/>
        </w:rPr>
        <w:t>their</w:t>
      </w:r>
      <w:r w:rsidRPr="00E36D91" w:rsidR="00854733">
        <w:rPr>
          <w:rFonts w:ascii="Palatino Linotype" w:hAnsi="Palatino Linotype"/>
          <w:sz w:val="24"/>
          <w:szCs w:val="24"/>
        </w:rPr>
        <w:t xml:space="preserve"> reporting obligations by sending an email to each carrier’s primary regulatory contact person</w:t>
      </w:r>
      <w:r w:rsidRPr="00E36D91" w:rsidR="00036863">
        <w:rPr>
          <w:rFonts w:ascii="Palatino Linotype" w:hAnsi="Palatino Linotype"/>
          <w:sz w:val="24"/>
          <w:szCs w:val="24"/>
        </w:rPr>
        <w:t>.</w:t>
      </w:r>
      <w:r w:rsidRPr="00E36D91" w:rsidR="00BE5E65">
        <w:rPr>
          <w:rStyle w:val="FootnoteReference"/>
          <w:rFonts w:ascii="Palatino Linotype" w:hAnsi="Palatino Linotype"/>
          <w:sz w:val="24"/>
          <w:szCs w:val="24"/>
        </w:rPr>
        <w:footnoteReference w:id="4"/>
      </w:r>
      <w:r w:rsidRPr="00E36D91" w:rsidR="00854733">
        <w:rPr>
          <w:rFonts w:ascii="Palatino Linotype" w:hAnsi="Palatino Linotype"/>
          <w:sz w:val="24"/>
          <w:szCs w:val="24"/>
        </w:rPr>
        <w:t xml:space="preserve"> </w:t>
      </w:r>
      <w:r w:rsidRPr="00E36D91" w:rsidR="00036863">
        <w:rPr>
          <w:rFonts w:ascii="Palatino Linotype" w:hAnsi="Palatino Linotype"/>
          <w:sz w:val="24"/>
          <w:szCs w:val="24"/>
        </w:rPr>
        <w:t xml:space="preserve">A copy of the annual reminder notice to all </w:t>
      </w:r>
      <w:r w:rsidRPr="00E36D91" w:rsidR="00036863">
        <w:rPr>
          <w:rFonts w:ascii="Palatino Linotype" w:hAnsi="Palatino Linotype"/>
          <w:sz w:val="24"/>
          <w:szCs w:val="24"/>
        </w:rPr>
        <w:lastRenderedPageBreak/>
        <w:t xml:space="preserve">carriers </w:t>
      </w:r>
      <w:r w:rsidRPr="00E36D91" w:rsidR="00854733">
        <w:rPr>
          <w:rFonts w:ascii="Palatino Linotype" w:hAnsi="Palatino Linotype"/>
          <w:sz w:val="24"/>
          <w:szCs w:val="24"/>
        </w:rPr>
        <w:t xml:space="preserve">is posted </w:t>
      </w:r>
      <w:r w:rsidRPr="00E36D91" w:rsidR="00036863">
        <w:rPr>
          <w:rFonts w:ascii="Palatino Linotype" w:hAnsi="Palatino Linotype"/>
          <w:sz w:val="24"/>
          <w:szCs w:val="24"/>
        </w:rPr>
        <w:t>on</w:t>
      </w:r>
      <w:r w:rsidRPr="00E36D91" w:rsidR="00854733">
        <w:rPr>
          <w:rFonts w:ascii="Palatino Linotype" w:hAnsi="Palatino Linotype"/>
          <w:sz w:val="24"/>
          <w:szCs w:val="24"/>
        </w:rPr>
        <w:t xml:space="preserve"> the Commission CD website.</w:t>
      </w:r>
      <w:r w:rsidRPr="00E36D91" w:rsidR="00036863">
        <w:rPr>
          <w:rStyle w:val="FootnoteReference"/>
          <w:rFonts w:ascii="Palatino Linotype" w:hAnsi="Palatino Linotype"/>
          <w:sz w:val="24"/>
          <w:szCs w:val="24"/>
        </w:rPr>
        <w:footnoteReference w:id="5"/>
      </w:r>
      <w:r w:rsidRPr="00E36D91" w:rsidR="00854733">
        <w:rPr>
          <w:rFonts w:ascii="Palatino Linotype" w:hAnsi="Palatino Linotype"/>
          <w:sz w:val="24"/>
          <w:szCs w:val="24"/>
        </w:rPr>
        <w:t xml:space="preserve"> </w:t>
      </w:r>
      <w:r w:rsidRPr="00E36D91" w:rsidR="0047170E">
        <w:rPr>
          <w:rFonts w:ascii="Palatino Linotype" w:hAnsi="Palatino Linotype"/>
          <w:sz w:val="24"/>
          <w:szCs w:val="24"/>
        </w:rPr>
        <w:t xml:space="preserve"> </w:t>
      </w:r>
      <w:r w:rsidRPr="00E36D91" w:rsidR="00854733">
        <w:rPr>
          <w:rFonts w:ascii="Palatino Linotype" w:hAnsi="Palatino Linotype"/>
          <w:sz w:val="24"/>
          <w:szCs w:val="24"/>
        </w:rPr>
        <w:t xml:space="preserve">Additionally, CD sends an email </w:t>
      </w:r>
      <w:r w:rsidRPr="00E36D91" w:rsidR="00182338">
        <w:rPr>
          <w:rFonts w:ascii="Palatino Linotype" w:hAnsi="Palatino Linotype"/>
          <w:sz w:val="24"/>
          <w:szCs w:val="24"/>
        </w:rPr>
        <w:t xml:space="preserve">notice </w:t>
      </w:r>
      <w:r w:rsidRPr="00E36D91" w:rsidR="00854733">
        <w:rPr>
          <w:rFonts w:ascii="Palatino Linotype" w:hAnsi="Palatino Linotype"/>
          <w:sz w:val="24"/>
          <w:szCs w:val="24"/>
        </w:rPr>
        <w:t xml:space="preserve">to a carrier who fails to meet the deadlines associated with the reporting requirements. </w:t>
      </w:r>
    </w:p>
    <w:p w:rsidRPr="00E36D91" w:rsidR="00854733" w:rsidRDefault="00854733" w14:paraId="1A8F0BF7" w14:textId="55585CA6">
      <w:pPr>
        <w:pStyle w:val="HTMLPreformatted"/>
        <w:rPr>
          <w:rFonts w:ascii="Palatino Linotype" w:hAnsi="Palatino Linotype"/>
          <w:sz w:val="24"/>
          <w:szCs w:val="24"/>
        </w:rPr>
      </w:pPr>
      <w:r w:rsidRPr="00E36D91">
        <w:rPr>
          <w:rFonts w:ascii="Palatino Linotype" w:hAnsi="Palatino Linotype"/>
          <w:sz w:val="24"/>
          <w:szCs w:val="24"/>
        </w:rPr>
        <w:t xml:space="preserve"> </w:t>
      </w:r>
    </w:p>
    <w:p w:rsidRPr="00E36D91" w:rsidR="00F56C11" w:rsidP="00003FB3" w:rsidRDefault="75EBC0A7" w14:paraId="29B7F0D3" w14:textId="04CC167B">
      <w:pPr>
        <w:pStyle w:val="HTMLPreformatted"/>
        <w:rPr>
          <w:rFonts w:ascii="Palatino Linotype" w:hAnsi="Palatino Linotype"/>
          <w:sz w:val="24"/>
          <w:szCs w:val="24"/>
        </w:rPr>
      </w:pPr>
      <w:r w:rsidRPr="00E36D91">
        <w:rPr>
          <w:rFonts w:ascii="Palatino Linotype" w:hAnsi="Palatino Linotype"/>
          <w:sz w:val="24"/>
          <w:szCs w:val="24"/>
        </w:rPr>
        <w:t xml:space="preserve">Communications Division </w:t>
      </w:r>
      <w:r w:rsidRPr="00E36D91" w:rsidR="00500B06">
        <w:rPr>
          <w:rFonts w:ascii="Palatino Linotype" w:hAnsi="Palatino Linotype"/>
          <w:sz w:val="24"/>
          <w:szCs w:val="24"/>
        </w:rPr>
        <w:t xml:space="preserve">issued citations to </w:t>
      </w:r>
      <w:r w:rsidRPr="00E36D91">
        <w:rPr>
          <w:rFonts w:ascii="Palatino Linotype" w:hAnsi="Palatino Linotype"/>
          <w:sz w:val="24"/>
          <w:szCs w:val="24"/>
        </w:rPr>
        <w:t xml:space="preserve">carriers </w:t>
      </w:r>
      <w:r w:rsidRPr="00E36D91" w:rsidR="00455100">
        <w:rPr>
          <w:rFonts w:ascii="Palatino Linotype" w:hAnsi="Palatino Linotype"/>
          <w:sz w:val="24"/>
          <w:szCs w:val="24"/>
        </w:rPr>
        <w:t xml:space="preserve">that </w:t>
      </w:r>
      <w:r w:rsidRPr="00E36D91">
        <w:rPr>
          <w:rFonts w:ascii="Palatino Linotype" w:hAnsi="Palatino Linotype"/>
          <w:sz w:val="24"/>
          <w:szCs w:val="24"/>
        </w:rPr>
        <w:t xml:space="preserve">failed to </w:t>
      </w:r>
      <w:r w:rsidRPr="00E36D91" w:rsidR="00500B06">
        <w:rPr>
          <w:rFonts w:ascii="Palatino Linotype" w:hAnsi="Palatino Linotype"/>
          <w:sz w:val="24"/>
          <w:szCs w:val="24"/>
        </w:rPr>
        <w:t xml:space="preserve">comply with the </w:t>
      </w:r>
      <w:r w:rsidR="00C14B6C">
        <w:rPr>
          <w:rFonts w:ascii="Palatino Linotype" w:hAnsi="Palatino Linotype"/>
          <w:sz w:val="24"/>
          <w:szCs w:val="24"/>
        </w:rPr>
        <w:t>A</w:t>
      </w:r>
      <w:r w:rsidRPr="00E36D91" w:rsidR="000C266D">
        <w:rPr>
          <w:rFonts w:ascii="Palatino Linotype" w:hAnsi="Palatino Linotype"/>
          <w:sz w:val="24"/>
          <w:szCs w:val="24"/>
        </w:rPr>
        <w:t xml:space="preserve">nnual </w:t>
      </w:r>
      <w:r w:rsidR="00C14B6C">
        <w:rPr>
          <w:rFonts w:ascii="Palatino Linotype" w:hAnsi="Palatino Linotype"/>
          <w:sz w:val="24"/>
          <w:szCs w:val="24"/>
        </w:rPr>
        <w:t>R</w:t>
      </w:r>
      <w:r w:rsidRPr="00E36D91" w:rsidR="00500B06">
        <w:rPr>
          <w:rFonts w:ascii="Palatino Linotype" w:hAnsi="Palatino Linotype"/>
          <w:sz w:val="24"/>
          <w:szCs w:val="24"/>
        </w:rPr>
        <w:t>eport</w:t>
      </w:r>
      <w:r w:rsidR="00C14B6C">
        <w:rPr>
          <w:rFonts w:ascii="Palatino Linotype" w:hAnsi="Palatino Linotype"/>
          <w:sz w:val="24"/>
          <w:szCs w:val="24"/>
        </w:rPr>
        <w:t>s</w:t>
      </w:r>
      <w:r w:rsidR="002005A9">
        <w:rPr>
          <w:rFonts w:ascii="Palatino Linotype" w:hAnsi="Palatino Linotype"/>
          <w:sz w:val="24"/>
          <w:szCs w:val="24"/>
        </w:rPr>
        <w:t xml:space="preserve"> and</w:t>
      </w:r>
      <w:r w:rsidR="00C14B6C">
        <w:rPr>
          <w:rFonts w:ascii="Palatino Linotype" w:hAnsi="Palatino Linotype"/>
          <w:sz w:val="24"/>
          <w:szCs w:val="24"/>
        </w:rPr>
        <w:t>/or</w:t>
      </w:r>
      <w:r w:rsidR="002005A9">
        <w:rPr>
          <w:rFonts w:ascii="Palatino Linotype" w:hAnsi="Palatino Linotype"/>
          <w:sz w:val="24"/>
          <w:szCs w:val="24"/>
        </w:rPr>
        <w:t xml:space="preserve"> </w:t>
      </w:r>
      <w:r w:rsidR="00C14B6C">
        <w:rPr>
          <w:rFonts w:ascii="Palatino Linotype" w:hAnsi="Palatino Linotype"/>
          <w:sz w:val="24"/>
          <w:szCs w:val="24"/>
        </w:rPr>
        <w:t>A</w:t>
      </w:r>
      <w:r w:rsidR="002005A9">
        <w:rPr>
          <w:rFonts w:ascii="Palatino Linotype" w:hAnsi="Palatino Linotype"/>
          <w:sz w:val="24"/>
          <w:szCs w:val="24"/>
        </w:rPr>
        <w:t xml:space="preserve">nnual </w:t>
      </w:r>
      <w:r w:rsidR="00C14B6C">
        <w:rPr>
          <w:rFonts w:ascii="Palatino Linotype" w:hAnsi="Palatino Linotype"/>
          <w:sz w:val="24"/>
          <w:szCs w:val="24"/>
        </w:rPr>
        <w:t>P</w:t>
      </w:r>
      <w:r w:rsidR="002005A9">
        <w:rPr>
          <w:rFonts w:ascii="Palatino Linotype" w:hAnsi="Palatino Linotype"/>
          <w:sz w:val="24"/>
          <w:szCs w:val="24"/>
        </w:rPr>
        <w:t xml:space="preserve">erformance </w:t>
      </w:r>
      <w:r w:rsidR="00C14B6C">
        <w:rPr>
          <w:rFonts w:ascii="Palatino Linotype" w:hAnsi="Palatino Linotype"/>
          <w:sz w:val="24"/>
          <w:szCs w:val="24"/>
        </w:rPr>
        <w:t>B</w:t>
      </w:r>
      <w:r w:rsidR="002005A9">
        <w:rPr>
          <w:rFonts w:ascii="Palatino Linotype" w:hAnsi="Palatino Linotype"/>
          <w:sz w:val="24"/>
          <w:szCs w:val="24"/>
        </w:rPr>
        <w:t>ond</w:t>
      </w:r>
      <w:r w:rsidRPr="00E36D91" w:rsidR="00500B06">
        <w:rPr>
          <w:rFonts w:ascii="Palatino Linotype" w:hAnsi="Palatino Linotype"/>
          <w:sz w:val="24"/>
          <w:szCs w:val="24"/>
        </w:rPr>
        <w:t xml:space="preserve"> requirements.  Of the carriers cited, </w:t>
      </w:r>
      <w:r w:rsidR="00B273D4">
        <w:rPr>
          <w:rFonts w:ascii="Palatino Linotype" w:hAnsi="Palatino Linotype"/>
          <w:sz w:val="24"/>
          <w:szCs w:val="24"/>
        </w:rPr>
        <w:t xml:space="preserve">two </w:t>
      </w:r>
      <w:r w:rsidR="007C4847">
        <w:rPr>
          <w:rFonts w:ascii="Palatino Linotype" w:hAnsi="Palatino Linotype"/>
          <w:sz w:val="24"/>
          <w:szCs w:val="24"/>
        </w:rPr>
        <w:t>(</w:t>
      </w:r>
      <w:r w:rsidR="00B273D4">
        <w:rPr>
          <w:rFonts w:ascii="Palatino Linotype" w:hAnsi="Palatino Linotype"/>
          <w:sz w:val="24"/>
          <w:szCs w:val="24"/>
        </w:rPr>
        <w:t>2</w:t>
      </w:r>
      <w:r w:rsidR="007C4847">
        <w:rPr>
          <w:rFonts w:ascii="Palatino Linotype" w:hAnsi="Palatino Linotype"/>
          <w:sz w:val="24"/>
          <w:szCs w:val="24"/>
        </w:rPr>
        <w:t>)</w:t>
      </w:r>
      <w:r w:rsidRPr="00E36D91" w:rsidR="00500B06">
        <w:rPr>
          <w:rFonts w:ascii="Palatino Linotype" w:hAnsi="Palatino Linotype"/>
          <w:sz w:val="24"/>
          <w:szCs w:val="24"/>
        </w:rPr>
        <w:t xml:space="preserve"> failed to </w:t>
      </w:r>
      <w:r w:rsidRPr="00E36D91" w:rsidR="002403F4">
        <w:rPr>
          <w:rFonts w:ascii="Palatino Linotype" w:hAnsi="Palatino Linotype"/>
          <w:sz w:val="24"/>
          <w:szCs w:val="24"/>
        </w:rPr>
        <w:t xml:space="preserve">resolve the citation issued.  </w:t>
      </w:r>
      <w:proofErr w:type="gramStart"/>
      <w:r w:rsidRPr="00E36D91" w:rsidR="002403F4">
        <w:rPr>
          <w:rFonts w:ascii="Palatino Linotype" w:hAnsi="Palatino Linotype"/>
          <w:sz w:val="24"/>
          <w:szCs w:val="24"/>
        </w:rPr>
        <w:t>In order to</w:t>
      </w:r>
      <w:proofErr w:type="gramEnd"/>
      <w:r w:rsidRPr="00E36D91" w:rsidR="002403F4">
        <w:rPr>
          <w:rFonts w:ascii="Palatino Linotype" w:hAnsi="Palatino Linotype"/>
          <w:sz w:val="24"/>
          <w:szCs w:val="24"/>
        </w:rPr>
        <w:t xml:space="preserve"> resolve a citation, </w:t>
      </w:r>
      <w:r w:rsidRPr="00C33712" w:rsidR="002005A9">
        <w:rPr>
          <w:rFonts w:ascii="Palatino Linotype" w:hAnsi="Palatino Linotype"/>
          <w:sz w:val="24"/>
          <w:szCs w:val="24"/>
        </w:rPr>
        <w:t xml:space="preserve">within 30 days from the issuance of the citation, the carrier must correct the outstanding violation </w:t>
      </w:r>
      <w:r w:rsidR="00997184">
        <w:rPr>
          <w:rFonts w:ascii="Palatino Linotype" w:hAnsi="Palatino Linotype"/>
          <w:sz w:val="24"/>
          <w:szCs w:val="24"/>
        </w:rPr>
        <w:br/>
      </w:r>
      <w:r w:rsidRPr="00C33712" w:rsidR="002005A9">
        <w:rPr>
          <w:rFonts w:ascii="Palatino Linotype" w:hAnsi="Palatino Linotype"/>
          <w:sz w:val="24"/>
          <w:szCs w:val="24"/>
        </w:rPr>
        <w:t>(e.g., submit the outstanding reporting requirement) and pay the penalty amount or file an appeal pursuant to ALJ-377.</w:t>
      </w:r>
      <w:r w:rsidR="002005A9">
        <w:rPr>
          <w:rFonts w:ascii="Palatino Linotype" w:hAnsi="Palatino Linotype"/>
          <w:sz w:val="24"/>
          <w:szCs w:val="24"/>
        </w:rPr>
        <w:t xml:space="preserve"> </w:t>
      </w:r>
      <w:r w:rsidRPr="00E36D91" w:rsidR="00003FB3">
        <w:rPr>
          <w:rFonts w:ascii="Palatino Linotype" w:hAnsi="Palatino Linotype"/>
          <w:sz w:val="24"/>
          <w:szCs w:val="24"/>
        </w:rPr>
        <w:t>Appendix A of this resolution provides the list of the carriers</w:t>
      </w:r>
      <w:r w:rsidRPr="00E36D91" w:rsidR="000B2F84">
        <w:rPr>
          <w:rFonts w:ascii="Palatino Linotype" w:hAnsi="Palatino Linotype"/>
          <w:sz w:val="24"/>
          <w:szCs w:val="24"/>
        </w:rPr>
        <w:t xml:space="preserve"> that failed to comply with citation</w:t>
      </w:r>
      <w:r w:rsidRPr="00E36D91" w:rsidR="00500B06">
        <w:rPr>
          <w:rFonts w:ascii="Palatino Linotype" w:hAnsi="Palatino Linotype"/>
          <w:sz w:val="24"/>
          <w:szCs w:val="24"/>
        </w:rPr>
        <w:t>s</w:t>
      </w:r>
      <w:r w:rsidRPr="00E36D91" w:rsidR="000B2F84">
        <w:rPr>
          <w:rFonts w:ascii="Palatino Linotype" w:hAnsi="Palatino Linotype"/>
          <w:sz w:val="24"/>
          <w:szCs w:val="24"/>
        </w:rPr>
        <w:t xml:space="preserve">. The list provides the </w:t>
      </w:r>
      <w:r w:rsidRPr="00E36D91" w:rsidR="00945E01">
        <w:rPr>
          <w:rFonts w:ascii="Palatino Linotype" w:hAnsi="Palatino Linotype"/>
          <w:sz w:val="24"/>
          <w:szCs w:val="24"/>
        </w:rPr>
        <w:t>carrier’s</w:t>
      </w:r>
      <w:r w:rsidRPr="00E36D91" w:rsidR="000B2F84">
        <w:rPr>
          <w:rFonts w:ascii="Palatino Linotype" w:hAnsi="Palatino Linotype"/>
          <w:sz w:val="24"/>
          <w:szCs w:val="24"/>
        </w:rPr>
        <w:t xml:space="preserve"> name, utility ID </w:t>
      </w:r>
      <w:r w:rsidRPr="00E36D91" w:rsidR="00455100">
        <w:rPr>
          <w:rFonts w:ascii="Palatino Linotype" w:hAnsi="Palatino Linotype"/>
          <w:sz w:val="24"/>
          <w:szCs w:val="24"/>
        </w:rPr>
        <w:t>number, the</w:t>
      </w:r>
      <w:r w:rsidRPr="00E36D91" w:rsidR="00003FB3">
        <w:rPr>
          <w:rFonts w:ascii="Palatino Linotype" w:hAnsi="Palatino Linotype"/>
          <w:sz w:val="24"/>
          <w:szCs w:val="24"/>
        </w:rPr>
        <w:t xml:space="preserve"> citation number, violation, and total penalty amount owed to the Commission. The following is a summary information of the list by carrier type:</w:t>
      </w:r>
    </w:p>
    <w:p w:rsidRPr="00E36D91" w:rsidR="00F56C11" w:rsidRDefault="00F56C11" w14:paraId="3365648F" w14:textId="77777777">
      <w:pPr>
        <w:pStyle w:val="HTMLPreformatted"/>
        <w:rPr>
          <w:rFonts w:ascii="Palatino Linotype" w:hAnsi="Palatino Linotype"/>
          <w:sz w:val="24"/>
          <w:szCs w:val="24"/>
        </w:rPr>
      </w:pPr>
    </w:p>
    <w:p w:rsidRPr="00E36D91" w:rsidR="00F56C11" w:rsidP="00F56C11" w:rsidRDefault="00B273D4" w14:paraId="26056E07" w14:textId="55AC4F32">
      <w:pPr>
        <w:pStyle w:val="HTMLPreformatted"/>
        <w:numPr>
          <w:ilvl w:val="0"/>
          <w:numId w:val="55"/>
        </w:numPr>
        <w:rPr>
          <w:rFonts w:ascii="Palatino Linotype" w:hAnsi="Palatino Linotype"/>
          <w:sz w:val="24"/>
          <w:szCs w:val="24"/>
        </w:rPr>
      </w:pPr>
      <w:r>
        <w:rPr>
          <w:rFonts w:ascii="Palatino Linotype" w:hAnsi="Palatino Linotype"/>
          <w:sz w:val="24"/>
          <w:szCs w:val="24"/>
        </w:rPr>
        <w:t>One</w:t>
      </w:r>
      <w:r w:rsidRPr="00E36D91">
        <w:rPr>
          <w:rFonts w:ascii="Palatino Linotype" w:hAnsi="Palatino Linotype"/>
          <w:sz w:val="24"/>
          <w:szCs w:val="24"/>
        </w:rPr>
        <w:t xml:space="preserve"> </w:t>
      </w:r>
      <w:r w:rsidRPr="00E36D91" w:rsidR="004B7BFA">
        <w:rPr>
          <w:rFonts w:ascii="Palatino Linotype" w:hAnsi="Palatino Linotype"/>
          <w:sz w:val="24"/>
          <w:szCs w:val="24"/>
        </w:rPr>
        <w:t>(</w:t>
      </w:r>
      <w:r>
        <w:rPr>
          <w:rFonts w:ascii="Palatino Linotype" w:hAnsi="Palatino Linotype"/>
          <w:sz w:val="24"/>
          <w:szCs w:val="24"/>
        </w:rPr>
        <w:t>1</w:t>
      </w:r>
      <w:r w:rsidRPr="00E36D91" w:rsidR="004B7BFA">
        <w:rPr>
          <w:rFonts w:ascii="Palatino Linotype" w:hAnsi="Palatino Linotype"/>
          <w:sz w:val="24"/>
          <w:szCs w:val="24"/>
        </w:rPr>
        <w:t>)</w:t>
      </w:r>
      <w:r w:rsidRPr="00E36D91" w:rsidR="75EBC0A7">
        <w:rPr>
          <w:rFonts w:ascii="Palatino Linotype" w:hAnsi="Palatino Linotype"/>
          <w:sz w:val="24"/>
          <w:szCs w:val="24"/>
        </w:rPr>
        <w:t xml:space="preserve"> wireline </w:t>
      </w:r>
      <w:r w:rsidRPr="00E36D91" w:rsidR="00862E23">
        <w:rPr>
          <w:rFonts w:ascii="Palatino Linotype" w:hAnsi="Palatino Linotype"/>
          <w:sz w:val="24"/>
          <w:szCs w:val="24"/>
        </w:rPr>
        <w:t>carrier</w:t>
      </w:r>
      <w:r w:rsidRPr="00E36D91" w:rsidR="75EBC0A7">
        <w:rPr>
          <w:rFonts w:ascii="Palatino Linotype" w:hAnsi="Palatino Linotype"/>
          <w:sz w:val="24"/>
          <w:szCs w:val="24"/>
        </w:rPr>
        <w:t xml:space="preserve"> failed to comply with </w:t>
      </w:r>
      <w:r w:rsidRPr="00E36D91" w:rsidR="00F56C11">
        <w:rPr>
          <w:rFonts w:ascii="Palatino Linotype" w:hAnsi="Palatino Linotype"/>
          <w:sz w:val="24"/>
          <w:szCs w:val="24"/>
        </w:rPr>
        <w:t>three</w:t>
      </w:r>
      <w:r w:rsidRPr="00E36D91" w:rsidR="75EBC0A7">
        <w:rPr>
          <w:rFonts w:ascii="Palatino Linotype" w:hAnsi="Palatino Linotype"/>
          <w:sz w:val="24"/>
          <w:szCs w:val="24"/>
        </w:rPr>
        <w:t xml:space="preserve"> annual obligation</w:t>
      </w:r>
      <w:r w:rsidRPr="00E36D91" w:rsidR="00F56C11">
        <w:rPr>
          <w:rFonts w:ascii="Palatino Linotype" w:hAnsi="Palatino Linotype"/>
          <w:sz w:val="24"/>
          <w:szCs w:val="24"/>
        </w:rPr>
        <w:t>s</w:t>
      </w:r>
      <w:r w:rsidRPr="00E36D91" w:rsidR="004D7031">
        <w:rPr>
          <w:rFonts w:ascii="Palatino Linotype" w:hAnsi="Palatino Linotype"/>
          <w:sz w:val="24"/>
          <w:szCs w:val="24"/>
        </w:rPr>
        <w:t>, consisting of</w:t>
      </w:r>
      <w:r w:rsidRPr="00E36D91" w:rsidR="75EBC0A7">
        <w:rPr>
          <w:rFonts w:ascii="Palatino Linotype" w:hAnsi="Palatino Linotype"/>
          <w:sz w:val="24"/>
          <w:szCs w:val="24"/>
        </w:rPr>
        <w:t xml:space="preserve"> </w:t>
      </w:r>
      <w:r w:rsidRPr="00E36D91" w:rsidR="00F56C11">
        <w:rPr>
          <w:rFonts w:ascii="Palatino Linotype" w:hAnsi="Palatino Linotype"/>
          <w:sz w:val="24"/>
          <w:szCs w:val="24"/>
        </w:rPr>
        <w:t xml:space="preserve">(a) </w:t>
      </w:r>
      <w:r w:rsidRPr="00E36D91" w:rsidR="75EBC0A7">
        <w:rPr>
          <w:rFonts w:ascii="Palatino Linotype" w:hAnsi="Palatino Linotype"/>
          <w:sz w:val="24"/>
          <w:szCs w:val="24"/>
        </w:rPr>
        <w:t>Annual Operational and Financial Information reports</w:t>
      </w:r>
      <w:r w:rsidRPr="00E36D91" w:rsidR="005173FD">
        <w:rPr>
          <w:rFonts w:ascii="Palatino Linotype" w:hAnsi="Palatino Linotype"/>
          <w:sz w:val="24"/>
          <w:szCs w:val="24"/>
        </w:rPr>
        <w:t xml:space="preserve"> for </w:t>
      </w:r>
      <w:r w:rsidR="006C3DFB">
        <w:rPr>
          <w:rFonts w:ascii="Palatino Linotype" w:hAnsi="Palatino Linotype"/>
          <w:sz w:val="24"/>
          <w:szCs w:val="24"/>
        </w:rPr>
        <w:t>CY 2022</w:t>
      </w:r>
      <w:r w:rsidRPr="00E36D91" w:rsidR="75EBC0A7">
        <w:rPr>
          <w:rFonts w:ascii="Palatino Linotype" w:hAnsi="Palatino Linotype"/>
          <w:sz w:val="24"/>
          <w:szCs w:val="24"/>
        </w:rPr>
        <w:t xml:space="preserve"> </w:t>
      </w:r>
      <w:r w:rsidRPr="00E36D91" w:rsidR="004D7031">
        <w:rPr>
          <w:rFonts w:ascii="Palatino Linotype" w:hAnsi="Palatino Linotype"/>
          <w:sz w:val="24"/>
          <w:szCs w:val="24"/>
        </w:rPr>
        <w:t xml:space="preserve">and </w:t>
      </w:r>
      <w:r w:rsidRPr="00E36D91" w:rsidR="00F56C11">
        <w:rPr>
          <w:rFonts w:ascii="Palatino Linotype" w:hAnsi="Palatino Linotype"/>
          <w:sz w:val="24"/>
          <w:szCs w:val="24"/>
        </w:rPr>
        <w:t xml:space="preserve">(b) </w:t>
      </w:r>
      <w:r w:rsidRPr="00E36D91" w:rsidR="005F6606">
        <w:rPr>
          <w:rFonts w:ascii="Palatino Linotype" w:hAnsi="Palatino Linotype"/>
          <w:sz w:val="24"/>
          <w:szCs w:val="24"/>
        </w:rPr>
        <w:t>Annual</w:t>
      </w:r>
      <w:r w:rsidRPr="00E36D91" w:rsidR="004D7031">
        <w:rPr>
          <w:rFonts w:ascii="Palatino Linotype" w:hAnsi="Palatino Linotype"/>
          <w:sz w:val="24"/>
          <w:szCs w:val="24"/>
        </w:rPr>
        <w:t xml:space="preserve"> Performance Bond</w:t>
      </w:r>
      <w:r w:rsidRPr="00E36D91" w:rsidR="005F6606">
        <w:rPr>
          <w:rFonts w:ascii="Palatino Linotype" w:hAnsi="Palatino Linotype"/>
          <w:sz w:val="24"/>
          <w:szCs w:val="24"/>
        </w:rPr>
        <w:t xml:space="preserve"> requirement</w:t>
      </w:r>
      <w:r w:rsidR="007A081A">
        <w:rPr>
          <w:rFonts w:ascii="Palatino Linotype" w:hAnsi="Palatino Linotype"/>
          <w:sz w:val="24"/>
          <w:szCs w:val="24"/>
        </w:rPr>
        <w:t>s</w:t>
      </w:r>
      <w:r w:rsidRPr="00E36D91" w:rsidR="00F56C11">
        <w:rPr>
          <w:rFonts w:ascii="Palatino Linotype" w:hAnsi="Palatino Linotype"/>
          <w:sz w:val="24"/>
          <w:szCs w:val="24"/>
        </w:rPr>
        <w:t>, both</w:t>
      </w:r>
      <w:r w:rsidRPr="00E36D91" w:rsidR="004D7031">
        <w:rPr>
          <w:rFonts w:ascii="Palatino Linotype" w:hAnsi="Palatino Linotype"/>
          <w:sz w:val="24"/>
          <w:szCs w:val="24"/>
        </w:rPr>
        <w:t xml:space="preserve"> </w:t>
      </w:r>
      <w:r w:rsidRPr="00E36D91" w:rsidR="75EBC0A7">
        <w:rPr>
          <w:rFonts w:ascii="Palatino Linotype" w:hAnsi="Palatino Linotype"/>
          <w:sz w:val="24"/>
          <w:szCs w:val="24"/>
        </w:rPr>
        <w:t xml:space="preserve">due </w:t>
      </w:r>
      <w:r w:rsidRPr="00E36D91" w:rsidR="007F1736">
        <w:rPr>
          <w:rFonts w:ascii="Palatino Linotype" w:hAnsi="Palatino Linotype"/>
          <w:sz w:val="24"/>
          <w:szCs w:val="24"/>
        </w:rPr>
        <w:t>March 31, 202</w:t>
      </w:r>
      <w:r w:rsidR="007A081A">
        <w:rPr>
          <w:rFonts w:ascii="Palatino Linotype" w:hAnsi="Palatino Linotype"/>
          <w:sz w:val="24"/>
          <w:szCs w:val="24"/>
        </w:rPr>
        <w:t>3</w:t>
      </w:r>
      <w:r w:rsidRPr="00E36D91" w:rsidR="004D7031">
        <w:rPr>
          <w:rFonts w:ascii="Palatino Linotype" w:hAnsi="Palatino Linotype"/>
          <w:sz w:val="24"/>
          <w:szCs w:val="24"/>
        </w:rPr>
        <w:t>,</w:t>
      </w:r>
      <w:r w:rsidRPr="00E36D91" w:rsidR="75EBC0A7">
        <w:rPr>
          <w:rFonts w:ascii="Palatino Linotype" w:hAnsi="Palatino Linotype"/>
          <w:sz w:val="24"/>
          <w:szCs w:val="24"/>
        </w:rPr>
        <w:t xml:space="preserve"> and </w:t>
      </w:r>
      <w:r w:rsidRPr="00E36D91" w:rsidR="00F56C11">
        <w:rPr>
          <w:rFonts w:ascii="Palatino Linotype" w:hAnsi="Palatino Linotype"/>
          <w:sz w:val="24"/>
          <w:szCs w:val="24"/>
        </w:rPr>
        <w:t xml:space="preserve">(c) </w:t>
      </w:r>
      <w:r w:rsidRPr="00E36D91" w:rsidR="75EBC0A7">
        <w:rPr>
          <w:rFonts w:ascii="Palatino Linotype" w:hAnsi="Palatino Linotype"/>
          <w:sz w:val="24"/>
          <w:szCs w:val="24"/>
        </w:rPr>
        <w:t>Annual Affiliate Transaction reports</w:t>
      </w:r>
      <w:r w:rsidRPr="00E36D91" w:rsidR="005173FD">
        <w:rPr>
          <w:rFonts w:ascii="Palatino Linotype" w:hAnsi="Palatino Linotype"/>
          <w:sz w:val="24"/>
          <w:szCs w:val="24"/>
        </w:rPr>
        <w:t xml:space="preserve"> for </w:t>
      </w:r>
      <w:r w:rsidR="006C3DFB">
        <w:rPr>
          <w:rFonts w:ascii="Palatino Linotype" w:hAnsi="Palatino Linotype"/>
          <w:sz w:val="24"/>
          <w:szCs w:val="24"/>
        </w:rPr>
        <w:t>CY 2022</w:t>
      </w:r>
      <w:r w:rsidRPr="00E36D91" w:rsidR="75EBC0A7">
        <w:rPr>
          <w:rFonts w:ascii="Palatino Linotype" w:hAnsi="Palatino Linotype"/>
          <w:sz w:val="24"/>
          <w:szCs w:val="24"/>
        </w:rPr>
        <w:t xml:space="preserve"> due </w:t>
      </w:r>
      <w:r w:rsidRPr="00E36D91" w:rsidR="007F1736">
        <w:rPr>
          <w:rFonts w:ascii="Palatino Linotype" w:hAnsi="Palatino Linotype"/>
          <w:sz w:val="24"/>
          <w:szCs w:val="24"/>
        </w:rPr>
        <w:t>May 1, 202</w:t>
      </w:r>
      <w:r w:rsidR="007A081A">
        <w:rPr>
          <w:rFonts w:ascii="Palatino Linotype" w:hAnsi="Palatino Linotype"/>
          <w:sz w:val="24"/>
          <w:szCs w:val="24"/>
        </w:rPr>
        <w:t>3</w:t>
      </w:r>
      <w:r w:rsidR="00C14B6C">
        <w:rPr>
          <w:rFonts w:ascii="Palatino Linotype" w:hAnsi="Palatino Linotype"/>
          <w:sz w:val="24"/>
          <w:szCs w:val="24"/>
        </w:rPr>
        <w:t>.</w:t>
      </w:r>
    </w:p>
    <w:p w:rsidRPr="00E36D91" w:rsidR="00F56C11" w:rsidP="00F56C11" w:rsidRDefault="007A081A" w14:paraId="1A1C3860" w14:textId="7B1B5DFD">
      <w:pPr>
        <w:pStyle w:val="HTMLPreformatted"/>
        <w:numPr>
          <w:ilvl w:val="0"/>
          <w:numId w:val="55"/>
        </w:numPr>
        <w:rPr>
          <w:rFonts w:ascii="Palatino Linotype" w:hAnsi="Palatino Linotype"/>
          <w:sz w:val="24"/>
          <w:szCs w:val="24"/>
        </w:rPr>
      </w:pPr>
      <w:r>
        <w:rPr>
          <w:rFonts w:ascii="Palatino Linotype" w:hAnsi="Palatino Linotype"/>
          <w:sz w:val="24"/>
          <w:szCs w:val="24"/>
        </w:rPr>
        <w:t>One (1</w:t>
      </w:r>
      <w:r w:rsidR="00222270">
        <w:rPr>
          <w:rFonts w:ascii="Palatino Linotype" w:hAnsi="Palatino Linotype"/>
          <w:sz w:val="24"/>
          <w:szCs w:val="24"/>
        </w:rPr>
        <w:t>)</w:t>
      </w:r>
      <w:r w:rsidRPr="00E36D91" w:rsidR="00D1527F">
        <w:rPr>
          <w:rFonts w:ascii="Palatino Linotype" w:hAnsi="Palatino Linotype"/>
          <w:sz w:val="24"/>
          <w:szCs w:val="24"/>
        </w:rPr>
        <w:t xml:space="preserve"> </w:t>
      </w:r>
      <w:r w:rsidRPr="00E36D91" w:rsidR="75EBC0A7">
        <w:rPr>
          <w:rFonts w:ascii="Palatino Linotype" w:hAnsi="Palatino Linotype"/>
          <w:sz w:val="24"/>
          <w:szCs w:val="24"/>
        </w:rPr>
        <w:t>wirel</w:t>
      </w:r>
      <w:r w:rsidRPr="00E36D91" w:rsidR="004D7031">
        <w:rPr>
          <w:rFonts w:ascii="Palatino Linotype" w:hAnsi="Palatino Linotype"/>
          <w:sz w:val="24"/>
          <w:szCs w:val="24"/>
        </w:rPr>
        <w:t>ine</w:t>
      </w:r>
      <w:r w:rsidRPr="00E36D91" w:rsidR="75EBC0A7">
        <w:rPr>
          <w:rFonts w:ascii="Palatino Linotype" w:hAnsi="Palatino Linotype"/>
          <w:sz w:val="24"/>
          <w:szCs w:val="24"/>
        </w:rPr>
        <w:t xml:space="preserve"> carrier</w:t>
      </w:r>
      <w:r w:rsidRPr="00E36D91" w:rsidR="00F56C11">
        <w:rPr>
          <w:rFonts w:ascii="Palatino Linotype" w:hAnsi="Palatino Linotype"/>
          <w:sz w:val="24"/>
          <w:szCs w:val="24"/>
        </w:rPr>
        <w:t xml:space="preserve"> </w:t>
      </w:r>
      <w:r w:rsidRPr="00E36D91" w:rsidR="75EBC0A7">
        <w:rPr>
          <w:rFonts w:ascii="Palatino Linotype" w:hAnsi="Palatino Linotype"/>
          <w:sz w:val="24"/>
          <w:szCs w:val="24"/>
        </w:rPr>
        <w:t xml:space="preserve">failed to comply with </w:t>
      </w:r>
      <w:r w:rsidRPr="00E36D91" w:rsidR="005F6606">
        <w:rPr>
          <w:rFonts w:ascii="Palatino Linotype" w:hAnsi="Palatino Linotype"/>
          <w:sz w:val="24"/>
          <w:szCs w:val="24"/>
        </w:rPr>
        <w:t xml:space="preserve">the </w:t>
      </w:r>
      <w:r w:rsidRPr="00E36D91" w:rsidR="002C6C62">
        <w:rPr>
          <w:rFonts w:ascii="Palatino Linotype" w:hAnsi="Palatino Linotype"/>
          <w:sz w:val="24"/>
          <w:szCs w:val="24"/>
        </w:rPr>
        <w:t>A</w:t>
      </w:r>
      <w:r w:rsidRPr="00E36D91" w:rsidR="005F6606">
        <w:rPr>
          <w:rFonts w:ascii="Palatino Linotype" w:hAnsi="Palatino Linotype"/>
          <w:sz w:val="24"/>
          <w:szCs w:val="24"/>
        </w:rPr>
        <w:t>nnual</w:t>
      </w:r>
      <w:r w:rsidRPr="00E36D91" w:rsidR="004D7031">
        <w:rPr>
          <w:rFonts w:ascii="Palatino Linotype" w:hAnsi="Palatino Linotype"/>
          <w:sz w:val="24"/>
          <w:szCs w:val="24"/>
        </w:rPr>
        <w:t xml:space="preserve"> Performance Bond</w:t>
      </w:r>
      <w:r w:rsidRPr="00E36D91" w:rsidR="005F6606">
        <w:rPr>
          <w:rFonts w:ascii="Palatino Linotype" w:hAnsi="Palatino Linotype"/>
          <w:sz w:val="24"/>
          <w:szCs w:val="24"/>
        </w:rPr>
        <w:t xml:space="preserve"> requirement</w:t>
      </w:r>
      <w:r w:rsidRPr="00E36D91" w:rsidR="004D7031">
        <w:rPr>
          <w:rFonts w:ascii="Palatino Linotype" w:hAnsi="Palatino Linotype"/>
          <w:sz w:val="24"/>
          <w:szCs w:val="24"/>
        </w:rPr>
        <w:t xml:space="preserve"> </w:t>
      </w:r>
      <w:r>
        <w:rPr>
          <w:rFonts w:ascii="Palatino Linotype" w:hAnsi="Palatino Linotype"/>
          <w:sz w:val="24"/>
          <w:szCs w:val="24"/>
        </w:rPr>
        <w:t>due March 31, 2023</w:t>
      </w:r>
      <w:r w:rsidR="00C14B6C">
        <w:rPr>
          <w:rFonts w:ascii="Palatino Linotype" w:hAnsi="Palatino Linotype"/>
          <w:sz w:val="24"/>
          <w:szCs w:val="24"/>
        </w:rPr>
        <w:t>.</w:t>
      </w:r>
    </w:p>
    <w:p w:rsidRPr="00E36D91" w:rsidR="00F56C11" w:rsidP="00F56C11" w:rsidRDefault="00F56C11" w14:paraId="23755C0B" w14:textId="77777777">
      <w:pPr>
        <w:pStyle w:val="HTMLPreformatted"/>
        <w:rPr>
          <w:rFonts w:ascii="Palatino Linotype" w:hAnsi="Palatino Linotype"/>
          <w:sz w:val="24"/>
          <w:szCs w:val="24"/>
        </w:rPr>
      </w:pPr>
    </w:p>
    <w:p w:rsidRPr="00E36D91" w:rsidR="00045E55" w:rsidRDefault="75EBC0A7" w14:paraId="28E24AB0" w14:textId="2A67E3D8">
      <w:pPr>
        <w:pStyle w:val="HTMLPreformatted"/>
        <w:rPr>
          <w:rFonts w:ascii="Palatino Linotype" w:hAnsi="Palatino Linotype"/>
          <w:sz w:val="24"/>
          <w:szCs w:val="24"/>
        </w:rPr>
      </w:pPr>
      <w:r w:rsidRPr="00E36D91">
        <w:rPr>
          <w:rFonts w:ascii="Palatino Linotype" w:hAnsi="Palatino Linotype"/>
          <w:sz w:val="24"/>
          <w:szCs w:val="24"/>
        </w:rPr>
        <w:t>C</w:t>
      </w:r>
      <w:r w:rsidRPr="00E36D91" w:rsidR="006B6D25">
        <w:rPr>
          <w:rFonts w:ascii="Palatino Linotype" w:hAnsi="Palatino Linotype"/>
          <w:sz w:val="24"/>
          <w:szCs w:val="24"/>
        </w:rPr>
        <w:t xml:space="preserve">ommunications </w:t>
      </w:r>
      <w:r w:rsidRPr="00E36D91">
        <w:rPr>
          <w:rFonts w:ascii="Palatino Linotype" w:hAnsi="Palatino Linotype"/>
          <w:sz w:val="24"/>
          <w:szCs w:val="24"/>
        </w:rPr>
        <w:t>D</w:t>
      </w:r>
      <w:r w:rsidRPr="00E36D91" w:rsidR="006B6D25">
        <w:rPr>
          <w:rFonts w:ascii="Palatino Linotype" w:hAnsi="Palatino Linotype"/>
          <w:sz w:val="24"/>
          <w:szCs w:val="24"/>
        </w:rPr>
        <w:t xml:space="preserve">ivision </w:t>
      </w:r>
      <w:r w:rsidRPr="00E36D91" w:rsidR="00D559CC">
        <w:rPr>
          <w:rFonts w:ascii="Palatino Linotype" w:hAnsi="Palatino Linotype"/>
          <w:sz w:val="24"/>
          <w:szCs w:val="24"/>
        </w:rPr>
        <w:t xml:space="preserve">took the following steps </w:t>
      </w:r>
      <w:r w:rsidRPr="00E36D91">
        <w:rPr>
          <w:rFonts w:ascii="Palatino Linotype" w:hAnsi="Palatino Linotype"/>
          <w:sz w:val="24"/>
          <w:szCs w:val="24"/>
        </w:rPr>
        <w:t>to communicate</w:t>
      </w:r>
      <w:r w:rsidRPr="00E36D91" w:rsidR="00EC2DED">
        <w:rPr>
          <w:rFonts w:ascii="Palatino Linotype" w:hAnsi="Palatino Linotype"/>
          <w:sz w:val="24"/>
          <w:szCs w:val="24"/>
        </w:rPr>
        <w:t xml:space="preserve"> </w:t>
      </w:r>
      <w:r w:rsidRPr="00E36D91" w:rsidR="0055063B">
        <w:rPr>
          <w:rFonts w:ascii="Palatino Linotype" w:hAnsi="Palatino Linotype"/>
          <w:sz w:val="24"/>
          <w:szCs w:val="24"/>
        </w:rPr>
        <w:t>to</w:t>
      </w:r>
      <w:r w:rsidRPr="00E36D91" w:rsidR="00D559CC">
        <w:rPr>
          <w:rFonts w:ascii="Palatino Linotype" w:hAnsi="Palatino Linotype"/>
          <w:sz w:val="24"/>
          <w:szCs w:val="24"/>
        </w:rPr>
        <w:t xml:space="preserve"> </w:t>
      </w:r>
      <w:r w:rsidRPr="00E36D91" w:rsidR="006B6D25">
        <w:rPr>
          <w:rFonts w:ascii="Palatino Linotype" w:hAnsi="Palatino Linotype"/>
          <w:sz w:val="24"/>
          <w:szCs w:val="24"/>
        </w:rPr>
        <w:t xml:space="preserve">and remind </w:t>
      </w:r>
      <w:r w:rsidRPr="00E36D91">
        <w:rPr>
          <w:rFonts w:ascii="Palatino Linotype" w:hAnsi="Palatino Linotype"/>
          <w:sz w:val="24"/>
          <w:szCs w:val="24"/>
        </w:rPr>
        <w:t>carriers</w:t>
      </w:r>
      <w:r w:rsidRPr="00E36D91" w:rsidR="006B6D25">
        <w:rPr>
          <w:rFonts w:ascii="Palatino Linotype" w:hAnsi="Palatino Linotype"/>
          <w:sz w:val="24"/>
          <w:szCs w:val="24"/>
        </w:rPr>
        <w:t xml:space="preserve"> about</w:t>
      </w:r>
      <w:r w:rsidRPr="00E36D91">
        <w:rPr>
          <w:rFonts w:ascii="Palatino Linotype" w:hAnsi="Palatino Linotype"/>
          <w:sz w:val="24"/>
          <w:szCs w:val="24"/>
        </w:rPr>
        <w:t xml:space="preserve"> </w:t>
      </w:r>
      <w:r w:rsidRPr="00E36D91" w:rsidR="00060AB1">
        <w:rPr>
          <w:rFonts w:ascii="Palatino Linotype" w:hAnsi="Palatino Linotype"/>
          <w:sz w:val="24"/>
          <w:szCs w:val="24"/>
        </w:rPr>
        <w:t xml:space="preserve">their </w:t>
      </w:r>
      <w:r w:rsidRPr="00E36D91">
        <w:rPr>
          <w:rFonts w:ascii="Palatino Linotype" w:hAnsi="Palatino Linotype"/>
          <w:sz w:val="24"/>
          <w:szCs w:val="24"/>
        </w:rPr>
        <w:t xml:space="preserve">annual reporting obligations: </w:t>
      </w:r>
    </w:p>
    <w:p w:rsidRPr="00E36D91" w:rsidR="00FE52E8" w:rsidRDefault="00FE52E8" w14:paraId="0C5811E4" w14:textId="77777777">
      <w:pPr>
        <w:pStyle w:val="HTMLPreformatted"/>
        <w:rPr>
          <w:rFonts w:ascii="Palatino Linotype" w:hAnsi="Palatino Linotype"/>
          <w:sz w:val="24"/>
          <w:szCs w:val="24"/>
        </w:rPr>
      </w:pPr>
    </w:p>
    <w:p w:rsidRPr="00E36D91" w:rsidR="00094881" w:rsidP="00D77460" w:rsidRDefault="00094881" w14:paraId="6B2F4E18" w14:textId="50045EE4">
      <w:pPr>
        <w:keepNext/>
        <w:numPr>
          <w:ilvl w:val="0"/>
          <w:numId w:val="58"/>
        </w:numPr>
        <w:overflowPunct/>
        <w:spacing w:after="120"/>
        <w:textAlignment w:val="auto"/>
        <w:rPr>
          <w:rFonts w:ascii="Palatino Linotype" w:hAnsi="Palatino Linotype"/>
          <w:szCs w:val="24"/>
        </w:rPr>
      </w:pPr>
      <w:r w:rsidRPr="00E36D91">
        <w:rPr>
          <w:rFonts w:ascii="Palatino Linotype" w:hAnsi="Palatino Linotype"/>
          <w:szCs w:val="24"/>
        </w:rPr>
        <w:t xml:space="preserve">On </w:t>
      </w:r>
      <w:r w:rsidRPr="00E36D91" w:rsidR="007F1736">
        <w:rPr>
          <w:rFonts w:ascii="Palatino Linotype" w:hAnsi="Palatino Linotype"/>
          <w:szCs w:val="24"/>
        </w:rPr>
        <w:t>January 6, 202</w:t>
      </w:r>
      <w:r w:rsidR="007A081A">
        <w:rPr>
          <w:rFonts w:ascii="Palatino Linotype" w:hAnsi="Palatino Linotype"/>
          <w:szCs w:val="24"/>
        </w:rPr>
        <w:t>3</w:t>
      </w:r>
      <w:r w:rsidRPr="00E36D91">
        <w:rPr>
          <w:rFonts w:ascii="Palatino Linotype" w:hAnsi="Palatino Linotype"/>
          <w:szCs w:val="24"/>
        </w:rPr>
        <w:t xml:space="preserve">, CD </w:t>
      </w:r>
      <w:r w:rsidRPr="00E36D91" w:rsidR="001E52C4">
        <w:rPr>
          <w:rFonts w:ascii="Palatino Linotype" w:hAnsi="Palatino Linotype"/>
          <w:szCs w:val="24"/>
        </w:rPr>
        <w:t xml:space="preserve">emailed and </w:t>
      </w:r>
      <w:r w:rsidRPr="00E36D91">
        <w:rPr>
          <w:rFonts w:ascii="Palatino Linotype" w:hAnsi="Palatino Linotype"/>
          <w:szCs w:val="24"/>
        </w:rPr>
        <w:t xml:space="preserve">posted on the </w:t>
      </w:r>
      <w:r w:rsidRPr="00E36D91" w:rsidR="00D559CC">
        <w:rPr>
          <w:rFonts w:ascii="Palatino Linotype" w:hAnsi="Palatino Linotype"/>
          <w:szCs w:val="24"/>
        </w:rPr>
        <w:t>C</w:t>
      </w:r>
      <w:r w:rsidRPr="00E36D91" w:rsidR="00B25A79">
        <w:rPr>
          <w:rFonts w:ascii="Palatino Linotype" w:hAnsi="Palatino Linotype"/>
          <w:szCs w:val="24"/>
        </w:rPr>
        <w:t>ommission</w:t>
      </w:r>
      <w:r w:rsidRPr="00E36D91" w:rsidR="00D559CC">
        <w:rPr>
          <w:rFonts w:ascii="Palatino Linotype" w:hAnsi="Palatino Linotype"/>
          <w:szCs w:val="24"/>
        </w:rPr>
        <w:t>’s</w:t>
      </w:r>
      <w:r w:rsidRPr="00E36D91" w:rsidR="00B25A79">
        <w:rPr>
          <w:rFonts w:ascii="Palatino Linotype" w:hAnsi="Palatino Linotype"/>
          <w:szCs w:val="24"/>
        </w:rPr>
        <w:t xml:space="preserve"> </w:t>
      </w:r>
      <w:r w:rsidRPr="00E36D91">
        <w:rPr>
          <w:rFonts w:ascii="Palatino Linotype" w:hAnsi="Palatino Linotype"/>
          <w:szCs w:val="24"/>
        </w:rPr>
        <w:t xml:space="preserve">website notices </w:t>
      </w:r>
      <w:r w:rsidRPr="00E36D91" w:rsidR="001C78DC">
        <w:rPr>
          <w:rFonts w:ascii="Palatino Linotype" w:hAnsi="Palatino Linotype"/>
          <w:szCs w:val="24"/>
        </w:rPr>
        <w:t>to all telecommunications carrier</w:t>
      </w:r>
      <w:r w:rsidR="00B273D4">
        <w:rPr>
          <w:rFonts w:ascii="Palatino Linotype" w:hAnsi="Palatino Linotype"/>
          <w:szCs w:val="24"/>
        </w:rPr>
        <w:t>s</w:t>
      </w:r>
      <w:r w:rsidRPr="00E36D91" w:rsidR="001C78DC">
        <w:rPr>
          <w:rFonts w:ascii="Palatino Linotype" w:hAnsi="Palatino Linotype"/>
          <w:szCs w:val="24"/>
        </w:rPr>
        <w:t xml:space="preserve"> </w:t>
      </w:r>
      <w:r w:rsidR="002005A9">
        <w:rPr>
          <w:rFonts w:ascii="Palatino Linotype" w:hAnsi="Palatino Linotype"/>
          <w:szCs w:val="24"/>
        </w:rPr>
        <w:t>to submit A</w:t>
      </w:r>
      <w:r w:rsidRPr="00E36D91" w:rsidR="001C78DC">
        <w:rPr>
          <w:rFonts w:ascii="Palatino Linotype" w:hAnsi="Palatino Linotype"/>
          <w:szCs w:val="24"/>
        </w:rPr>
        <w:t>nnual report</w:t>
      </w:r>
      <w:r w:rsidR="002005A9">
        <w:rPr>
          <w:rFonts w:ascii="Palatino Linotype" w:hAnsi="Palatino Linotype"/>
          <w:szCs w:val="24"/>
        </w:rPr>
        <w:t>s</w:t>
      </w:r>
      <w:r w:rsidRPr="00E36D91" w:rsidR="001C78DC">
        <w:rPr>
          <w:rFonts w:ascii="Palatino Linotype" w:hAnsi="Palatino Linotype"/>
          <w:szCs w:val="24"/>
        </w:rPr>
        <w:t xml:space="preserve"> and </w:t>
      </w:r>
      <w:r w:rsidR="002005A9">
        <w:rPr>
          <w:rFonts w:ascii="Palatino Linotype" w:hAnsi="Palatino Linotype"/>
          <w:szCs w:val="24"/>
        </w:rPr>
        <w:t xml:space="preserve">Annual Performance Bonds. The notice required that </w:t>
      </w:r>
      <w:r w:rsidRPr="00E36D91" w:rsidR="00C01CED">
        <w:rPr>
          <w:rFonts w:ascii="Palatino Linotype" w:hAnsi="Palatino Linotype"/>
          <w:szCs w:val="24"/>
        </w:rPr>
        <w:t>all Interexchange Carriers (Wholesale and Reseller) and</w:t>
      </w:r>
      <w:r w:rsidRPr="00E36D91" w:rsidR="001E52C4">
        <w:rPr>
          <w:rFonts w:ascii="Palatino Linotype" w:hAnsi="Palatino Linotype"/>
          <w:szCs w:val="24"/>
        </w:rPr>
        <w:t xml:space="preserve"> all</w:t>
      </w:r>
      <w:r w:rsidRPr="00E36D91" w:rsidR="00C01CED">
        <w:rPr>
          <w:rFonts w:ascii="Palatino Linotype" w:hAnsi="Palatino Linotype"/>
          <w:szCs w:val="24"/>
        </w:rPr>
        <w:t xml:space="preserve"> Competitive Local Carriers (Wholesale and Reseller) must submit an </w:t>
      </w:r>
      <w:r w:rsidRPr="00E36D91" w:rsidR="001107F0">
        <w:rPr>
          <w:rFonts w:ascii="Palatino Linotype" w:hAnsi="Palatino Linotype"/>
          <w:szCs w:val="24"/>
        </w:rPr>
        <w:t xml:space="preserve">Annual </w:t>
      </w:r>
      <w:r w:rsidRPr="00E36D91" w:rsidR="00C01CED">
        <w:rPr>
          <w:rFonts w:ascii="Palatino Linotype" w:hAnsi="Palatino Linotype"/>
          <w:szCs w:val="24"/>
        </w:rPr>
        <w:t>Operational and Financial Information report</w:t>
      </w:r>
      <w:r w:rsidRPr="00E36D91" w:rsidR="002C702D">
        <w:rPr>
          <w:rFonts w:ascii="Palatino Linotype" w:hAnsi="Palatino Linotype"/>
          <w:szCs w:val="24"/>
        </w:rPr>
        <w:t xml:space="preserve"> </w:t>
      </w:r>
      <w:r w:rsidRPr="00E36D91" w:rsidR="00EC2DED">
        <w:rPr>
          <w:rFonts w:ascii="Palatino Linotype" w:hAnsi="Palatino Linotype"/>
          <w:szCs w:val="24"/>
        </w:rPr>
        <w:t xml:space="preserve">for </w:t>
      </w:r>
      <w:r w:rsidR="006C3DFB">
        <w:rPr>
          <w:rFonts w:ascii="Palatino Linotype" w:hAnsi="Palatino Linotype"/>
          <w:szCs w:val="24"/>
        </w:rPr>
        <w:t>CY 2022</w:t>
      </w:r>
      <w:r w:rsidR="002005A9">
        <w:rPr>
          <w:rFonts w:ascii="Palatino Linotype" w:hAnsi="Palatino Linotype"/>
          <w:szCs w:val="24"/>
        </w:rPr>
        <w:t xml:space="preserve"> (</w:t>
      </w:r>
      <w:r w:rsidR="007A081A">
        <w:rPr>
          <w:rFonts w:ascii="Palatino Linotype" w:hAnsi="Palatino Linotype"/>
          <w:szCs w:val="24"/>
        </w:rPr>
        <w:t>due March 31, 2023</w:t>
      </w:r>
      <w:r w:rsidR="002005A9">
        <w:rPr>
          <w:rFonts w:ascii="Palatino Linotype" w:hAnsi="Palatino Linotype"/>
          <w:szCs w:val="24"/>
        </w:rPr>
        <w:t>)</w:t>
      </w:r>
      <w:r w:rsidRPr="00E36D91" w:rsidR="00A61126">
        <w:rPr>
          <w:rFonts w:ascii="Palatino Linotype" w:hAnsi="Palatino Linotype"/>
          <w:szCs w:val="24"/>
        </w:rPr>
        <w:t xml:space="preserve">, </w:t>
      </w:r>
      <w:r w:rsidR="002005A9">
        <w:rPr>
          <w:rFonts w:ascii="Palatino Linotype" w:hAnsi="Palatino Linotype"/>
          <w:szCs w:val="24"/>
        </w:rPr>
        <w:t xml:space="preserve">an </w:t>
      </w:r>
      <w:r w:rsidRPr="00E36D91" w:rsidR="001107F0">
        <w:rPr>
          <w:rFonts w:ascii="Palatino Linotype" w:hAnsi="Palatino Linotype"/>
          <w:szCs w:val="24"/>
        </w:rPr>
        <w:t>Annual</w:t>
      </w:r>
      <w:r w:rsidRPr="00E36D91" w:rsidR="007F1736">
        <w:rPr>
          <w:rFonts w:ascii="Palatino Linotype" w:hAnsi="Palatino Linotype"/>
          <w:szCs w:val="24"/>
        </w:rPr>
        <w:t xml:space="preserve"> Performance Bond </w:t>
      </w:r>
      <w:r w:rsidR="002005A9">
        <w:rPr>
          <w:rFonts w:ascii="Palatino Linotype" w:hAnsi="Palatino Linotype"/>
          <w:szCs w:val="24"/>
        </w:rPr>
        <w:t>(</w:t>
      </w:r>
      <w:r w:rsidR="007A081A">
        <w:rPr>
          <w:rFonts w:ascii="Palatino Linotype" w:hAnsi="Palatino Linotype"/>
          <w:szCs w:val="24"/>
        </w:rPr>
        <w:t>due March 31, 2023</w:t>
      </w:r>
      <w:r w:rsidR="002005A9">
        <w:rPr>
          <w:rFonts w:ascii="Palatino Linotype" w:hAnsi="Palatino Linotype"/>
          <w:szCs w:val="24"/>
        </w:rPr>
        <w:t>)</w:t>
      </w:r>
      <w:r w:rsidRPr="00E36D91" w:rsidR="00A61126">
        <w:rPr>
          <w:rFonts w:ascii="Palatino Linotype" w:hAnsi="Palatino Linotype"/>
          <w:szCs w:val="24"/>
        </w:rPr>
        <w:t>,</w:t>
      </w:r>
      <w:r w:rsidRPr="00E36D91" w:rsidR="007F1736">
        <w:rPr>
          <w:rFonts w:ascii="Palatino Linotype" w:hAnsi="Palatino Linotype"/>
          <w:szCs w:val="24"/>
        </w:rPr>
        <w:t xml:space="preserve"> </w:t>
      </w:r>
      <w:r w:rsidRPr="00E36D91" w:rsidR="00C01CED">
        <w:rPr>
          <w:rFonts w:ascii="Palatino Linotype" w:hAnsi="Palatino Linotype"/>
          <w:szCs w:val="24"/>
        </w:rPr>
        <w:t xml:space="preserve">and </w:t>
      </w:r>
      <w:r w:rsidR="002005A9">
        <w:rPr>
          <w:rFonts w:ascii="Palatino Linotype" w:hAnsi="Palatino Linotype"/>
          <w:szCs w:val="24"/>
        </w:rPr>
        <w:t xml:space="preserve">an </w:t>
      </w:r>
      <w:r w:rsidRPr="00E36D91" w:rsidR="001107F0">
        <w:rPr>
          <w:rFonts w:ascii="Palatino Linotype" w:hAnsi="Palatino Linotype"/>
          <w:szCs w:val="24"/>
        </w:rPr>
        <w:t xml:space="preserve">Annual </w:t>
      </w:r>
      <w:r w:rsidRPr="00E36D91" w:rsidR="00C01CED">
        <w:rPr>
          <w:rFonts w:ascii="Palatino Linotype" w:hAnsi="Palatino Linotype"/>
          <w:szCs w:val="24"/>
        </w:rPr>
        <w:t>Affiliate Transaction report</w:t>
      </w:r>
      <w:r w:rsidRPr="00E36D91" w:rsidR="00EC2DED">
        <w:rPr>
          <w:rFonts w:ascii="Palatino Linotype" w:hAnsi="Palatino Linotype"/>
          <w:szCs w:val="24"/>
        </w:rPr>
        <w:t xml:space="preserve"> for </w:t>
      </w:r>
      <w:r w:rsidR="006C3DFB">
        <w:rPr>
          <w:rFonts w:ascii="Palatino Linotype" w:hAnsi="Palatino Linotype"/>
          <w:szCs w:val="24"/>
        </w:rPr>
        <w:t>CY 2022</w:t>
      </w:r>
      <w:r w:rsidRPr="00E36D91" w:rsidR="00E554C0">
        <w:rPr>
          <w:rFonts w:ascii="Palatino Linotype" w:hAnsi="Palatino Linotype"/>
          <w:szCs w:val="24"/>
        </w:rPr>
        <w:t xml:space="preserve"> </w:t>
      </w:r>
      <w:r w:rsidR="002005A9">
        <w:rPr>
          <w:rFonts w:ascii="Palatino Linotype" w:hAnsi="Palatino Linotype"/>
          <w:szCs w:val="24"/>
        </w:rPr>
        <w:t>(</w:t>
      </w:r>
      <w:r w:rsidR="007A081A">
        <w:rPr>
          <w:rFonts w:ascii="Palatino Linotype" w:hAnsi="Palatino Linotype"/>
          <w:szCs w:val="24"/>
        </w:rPr>
        <w:t>due May 1, 2023</w:t>
      </w:r>
      <w:r w:rsidR="002005A9">
        <w:rPr>
          <w:rFonts w:ascii="Palatino Linotype" w:hAnsi="Palatino Linotype"/>
          <w:szCs w:val="24"/>
        </w:rPr>
        <w:t>)</w:t>
      </w:r>
      <w:r w:rsidRPr="00E36D91" w:rsidR="00B337AB">
        <w:rPr>
          <w:rFonts w:ascii="Palatino Linotype" w:hAnsi="Palatino Linotype"/>
          <w:szCs w:val="24"/>
        </w:rPr>
        <w:t xml:space="preserve">. </w:t>
      </w:r>
      <w:r w:rsidR="002005A9">
        <w:rPr>
          <w:rFonts w:ascii="Palatino Linotype" w:hAnsi="Palatino Linotype"/>
          <w:szCs w:val="24"/>
        </w:rPr>
        <w:t xml:space="preserve">Additionally, all Wireless carriers including </w:t>
      </w:r>
      <w:r w:rsidRPr="00E36D91" w:rsidR="00B337AB">
        <w:rPr>
          <w:rFonts w:ascii="Palatino Linotype" w:hAnsi="Palatino Linotype"/>
          <w:szCs w:val="24"/>
        </w:rPr>
        <w:t>Cellular Telephone Utilities (Wholesale and Reseller), all Personal Communications Carriers</w:t>
      </w:r>
      <w:r w:rsidR="003311DD">
        <w:rPr>
          <w:rFonts w:ascii="Palatino Linotype" w:hAnsi="Palatino Linotype"/>
          <w:szCs w:val="24"/>
        </w:rPr>
        <w:t>,</w:t>
      </w:r>
      <w:r w:rsidRPr="00E36D91" w:rsidR="00B337AB">
        <w:rPr>
          <w:rFonts w:ascii="Palatino Linotype" w:hAnsi="Palatino Linotype"/>
          <w:szCs w:val="24"/>
        </w:rPr>
        <w:t xml:space="preserve"> and all Radio </w:t>
      </w:r>
      <w:r w:rsidRPr="00E36D91" w:rsidR="00B337AB">
        <w:rPr>
          <w:rFonts w:ascii="Palatino Linotype" w:hAnsi="Palatino Linotype"/>
          <w:szCs w:val="24"/>
        </w:rPr>
        <w:lastRenderedPageBreak/>
        <w:t xml:space="preserve">Telephone Utilities must </w:t>
      </w:r>
      <w:r w:rsidRPr="00E36D91" w:rsidR="001107F0">
        <w:rPr>
          <w:rFonts w:ascii="Palatino Linotype" w:hAnsi="Palatino Linotype"/>
          <w:szCs w:val="24"/>
        </w:rPr>
        <w:t>submit an Annual</w:t>
      </w:r>
      <w:r w:rsidRPr="00E36D91" w:rsidR="00B337AB">
        <w:rPr>
          <w:rFonts w:ascii="Palatino Linotype" w:hAnsi="Palatino Linotype"/>
          <w:szCs w:val="24"/>
        </w:rPr>
        <w:t xml:space="preserve"> Performance Bond</w:t>
      </w:r>
      <w:r w:rsidR="002005A9">
        <w:rPr>
          <w:rFonts w:ascii="Palatino Linotype" w:hAnsi="Palatino Linotype"/>
          <w:szCs w:val="24"/>
        </w:rPr>
        <w:t xml:space="preserve"> (</w:t>
      </w:r>
      <w:r w:rsidR="007A081A">
        <w:rPr>
          <w:rFonts w:ascii="Palatino Linotype" w:hAnsi="Palatino Linotype"/>
          <w:szCs w:val="24"/>
        </w:rPr>
        <w:t>due March 31, 2023</w:t>
      </w:r>
      <w:r w:rsidR="002005A9">
        <w:rPr>
          <w:rFonts w:ascii="Palatino Linotype" w:hAnsi="Palatino Linotype"/>
          <w:szCs w:val="24"/>
        </w:rPr>
        <w:t>)</w:t>
      </w:r>
      <w:r w:rsidRPr="00E36D91" w:rsidR="00B337AB">
        <w:rPr>
          <w:rFonts w:ascii="Palatino Linotype" w:hAnsi="Palatino Linotype"/>
          <w:szCs w:val="24"/>
        </w:rPr>
        <w:t xml:space="preserve">, and </w:t>
      </w:r>
      <w:r w:rsidR="002005A9">
        <w:rPr>
          <w:rFonts w:ascii="Palatino Linotype" w:hAnsi="Palatino Linotype"/>
          <w:szCs w:val="24"/>
        </w:rPr>
        <w:t xml:space="preserve">an </w:t>
      </w:r>
      <w:r w:rsidRPr="00E36D91" w:rsidR="001107F0">
        <w:rPr>
          <w:rFonts w:ascii="Palatino Linotype" w:hAnsi="Palatino Linotype"/>
          <w:szCs w:val="24"/>
        </w:rPr>
        <w:t xml:space="preserve">Annual </w:t>
      </w:r>
      <w:r w:rsidRPr="00E36D91" w:rsidR="00B337AB">
        <w:rPr>
          <w:rFonts w:ascii="Palatino Linotype" w:hAnsi="Palatino Linotype"/>
          <w:szCs w:val="24"/>
        </w:rPr>
        <w:t xml:space="preserve">Affiliate Transaction report </w:t>
      </w:r>
      <w:r w:rsidR="002005A9">
        <w:rPr>
          <w:rFonts w:ascii="Palatino Linotype" w:hAnsi="Palatino Linotype"/>
          <w:szCs w:val="24"/>
        </w:rPr>
        <w:t>for CY 2022 (</w:t>
      </w:r>
      <w:r w:rsidR="007A081A">
        <w:rPr>
          <w:rFonts w:ascii="Palatino Linotype" w:hAnsi="Palatino Linotype"/>
          <w:szCs w:val="24"/>
        </w:rPr>
        <w:t>due May 1, 2023</w:t>
      </w:r>
      <w:r w:rsidR="002005A9">
        <w:rPr>
          <w:rFonts w:ascii="Palatino Linotype" w:hAnsi="Palatino Linotype"/>
          <w:szCs w:val="24"/>
        </w:rPr>
        <w:t>)</w:t>
      </w:r>
      <w:r w:rsidRPr="00E36D91" w:rsidR="00C01CED">
        <w:rPr>
          <w:rFonts w:ascii="Palatino Linotype" w:hAnsi="Palatino Linotype"/>
          <w:szCs w:val="24"/>
        </w:rPr>
        <w:t>.</w:t>
      </w:r>
    </w:p>
    <w:p w:rsidRPr="00E36D91" w:rsidR="00A61126" w:rsidP="00D77460" w:rsidRDefault="00A61126" w14:paraId="4016268F" w14:textId="537C5DB9">
      <w:pPr>
        <w:keepNext/>
        <w:numPr>
          <w:ilvl w:val="0"/>
          <w:numId w:val="58"/>
        </w:numPr>
        <w:overflowPunct/>
        <w:spacing w:after="120"/>
        <w:textAlignment w:val="auto"/>
        <w:rPr>
          <w:rFonts w:ascii="Palatino Linotype" w:hAnsi="Palatino Linotype"/>
          <w:szCs w:val="24"/>
        </w:rPr>
      </w:pPr>
      <w:r w:rsidRPr="00E36D91">
        <w:rPr>
          <w:rFonts w:ascii="Palatino Linotype" w:hAnsi="Palatino Linotype"/>
          <w:szCs w:val="24"/>
        </w:rPr>
        <w:t xml:space="preserve">On </w:t>
      </w:r>
      <w:r w:rsidR="007A081A">
        <w:rPr>
          <w:rFonts w:ascii="Palatino Linotype" w:hAnsi="Palatino Linotype"/>
          <w:szCs w:val="24"/>
        </w:rPr>
        <w:t>February 6, 2023</w:t>
      </w:r>
      <w:r w:rsidRPr="00E36D91" w:rsidR="00EB65A8">
        <w:rPr>
          <w:rFonts w:ascii="Palatino Linotype" w:hAnsi="Palatino Linotype"/>
          <w:szCs w:val="24"/>
        </w:rPr>
        <w:t>,</w:t>
      </w:r>
      <w:r w:rsidRPr="00E36D91">
        <w:rPr>
          <w:rFonts w:ascii="Palatino Linotype" w:hAnsi="Palatino Linotype"/>
          <w:szCs w:val="24"/>
        </w:rPr>
        <w:t xml:space="preserve"> CD sent an e-mail</w:t>
      </w:r>
      <w:r w:rsidRPr="00E36D91" w:rsidR="00EC2DED">
        <w:rPr>
          <w:rFonts w:ascii="Palatino Linotype" w:hAnsi="Palatino Linotype"/>
          <w:szCs w:val="24"/>
        </w:rPr>
        <w:t xml:space="preserve"> reminder</w:t>
      </w:r>
      <w:r w:rsidRPr="00E36D91">
        <w:rPr>
          <w:rFonts w:ascii="Palatino Linotype" w:hAnsi="Palatino Linotype"/>
          <w:szCs w:val="24"/>
        </w:rPr>
        <w:t xml:space="preserve"> to all carriers </w:t>
      </w:r>
      <w:r w:rsidRPr="00E36D91" w:rsidR="00EC2DED">
        <w:rPr>
          <w:rFonts w:ascii="Palatino Linotype" w:hAnsi="Palatino Linotype"/>
          <w:szCs w:val="24"/>
        </w:rPr>
        <w:t>about</w:t>
      </w:r>
      <w:r w:rsidRPr="00E36D91">
        <w:rPr>
          <w:rFonts w:ascii="Palatino Linotype" w:hAnsi="Palatino Linotype"/>
          <w:szCs w:val="24"/>
        </w:rPr>
        <w:t xml:space="preserve"> </w:t>
      </w:r>
      <w:r w:rsidRPr="00E36D91" w:rsidR="00060AB1">
        <w:rPr>
          <w:rFonts w:ascii="Palatino Linotype" w:hAnsi="Palatino Linotype"/>
          <w:szCs w:val="24"/>
        </w:rPr>
        <w:t xml:space="preserve">their </w:t>
      </w:r>
      <w:r w:rsidRPr="00E36D91" w:rsidR="00EC2DED">
        <w:rPr>
          <w:rFonts w:ascii="Palatino Linotype" w:hAnsi="Palatino Linotype"/>
          <w:szCs w:val="24"/>
        </w:rPr>
        <w:t xml:space="preserve">reporting </w:t>
      </w:r>
      <w:r w:rsidRPr="00E36D91">
        <w:rPr>
          <w:rFonts w:ascii="Palatino Linotype" w:hAnsi="Palatino Linotype"/>
          <w:szCs w:val="24"/>
        </w:rPr>
        <w:t>obligations</w:t>
      </w:r>
      <w:r w:rsidRPr="00E36D91" w:rsidR="00EC2DED">
        <w:rPr>
          <w:rFonts w:ascii="Palatino Linotype" w:hAnsi="Palatino Linotype"/>
          <w:szCs w:val="24"/>
        </w:rPr>
        <w:t xml:space="preserve"> including but not limited to</w:t>
      </w:r>
      <w:r w:rsidRPr="00E36D91">
        <w:rPr>
          <w:rFonts w:ascii="Palatino Linotype" w:hAnsi="Palatino Linotype"/>
          <w:szCs w:val="24"/>
        </w:rPr>
        <w:t xml:space="preserve"> submi</w:t>
      </w:r>
      <w:r w:rsidRPr="00E36D91" w:rsidR="00EC2DED">
        <w:rPr>
          <w:rFonts w:ascii="Palatino Linotype" w:hAnsi="Palatino Linotype"/>
          <w:szCs w:val="24"/>
        </w:rPr>
        <w:t xml:space="preserve">ssion of </w:t>
      </w:r>
      <w:r w:rsidR="00406725">
        <w:rPr>
          <w:rFonts w:ascii="Palatino Linotype" w:hAnsi="Palatino Linotype"/>
          <w:szCs w:val="24"/>
        </w:rPr>
        <w:t>an</w:t>
      </w:r>
      <w:r w:rsidRPr="00E36D91" w:rsidR="00406725">
        <w:rPr>
          <w:rFonts w:ascii="Palatino Linotype" w:hAnsi="Palatino Linotype"/>
          <w:szCs w:val="24"/>
        </w:rPr>
        <w:t xml:space="preserve"> </w:t>
      </w:r>
      <w:r w:rsidRPr="00E36D91" w:rsidR="001107F0">
        <w:rPr>
          <w:rFonts w:ascii="Palatino Linotype" w:hAnsi="Palatino Linotype"/>
          <w:szCs w:val="24"/>
        </w:rPr>
        <w:t xml:space="preserve">Annual </w:t>
      </w:r>
      <w:r w:rsidRPr="00E36D91">
        <w:rPr>
          <w:rFonts w:ascii="Palatino Linotype" w:hAnsi="Palatino Linotype"/>
          <w:szCs w:val="24"/>
        </w:rPr>
        <w:t xml:space="preserve">Operational and Financial Information report </w:t>
      </w:r>
      <w:r w:rsidRPr="00E36D91" w:rsidR="00EC2DED">
        <w:rPr>
          <w:rFonts w:ascii="Palatino Linotype" w:hAnsi="Palatino Linotype"/>
          <w:szCs w:val="24"/>
        </w:rPr>
        <w:t xml:space="preserve">for </w:t>
      </w:r>
      <w:r w:rsidR="006C3DFB">
        <w:rPr>
          <w:rFonts w:ascii="Palatino Linotype" w:hAnsi="Palatino Linotype"/>
          <w:szCs w:val="24"/>
        </w:rPr>
        <w:t>CY 2022</w:t>
      </w:r>
      <w:r w:rsidRPr="00E36D91" w:rsidR="00EC2DED">
        <w:rPr>
          <w:rFonts w:ascii="Palatino Linotype" w:hAnsi="Palatino Linotype"/>
          <w:szCs w:val="24"/>
        </w:rPr>
        <w:t xml:space="preserve"> </w:t>
      </w:r>
      <w:r w:rsidR="007A081A">
        <w:rPr>
          <w:rFonts w:ascii="Palatino Linotype" w:hAnsi="Palatino Linotype"/>
          <w:szCs w:val="24"/>
        </w:rPr>
        <w:t>due March 31, 2023</w:t>
      </w:r>
      <w:r w:rsidRPr="00E36D91">
        <w:rPr>
          <w:rFonts w:ascii="Palatino Linotype" w:hAnsi="Palatino Linotype"/>
          <w:szCs w:val="24"/>
        </w:rPr>
        <w:t xml:space="preserve">, </w:t>
      </w:r>
      <w:r w:rsidR="00406725">
        <w:rPr>
          <w:rFonts w:ascii="Palatino Linotype" w:hAnsi="Palatino Linotype"/>
          <w:szCs w:val="24"/>
        </w:rPr>
        <w:t xml:space="preserve">an </w:t>
      </w:r>
      <w:r w:rsidRPr="00E36D91" w:rsidR="001107F0">
        <w:rPr>
          <w:rFonts w:ascii="Palatino Linotype" w:hAnsi="Palatino Linotype"/>
          <w:szCs w:val="24"/>
        </w:rPr>
        <w:t>Annual</w:t>
      </w:r>
      <w:r w:rsidRPr="00E36D91">
        <w:rPr>
          <w:rFonts w:ascii="Palatino Linotype" w:hAnsi="Palatino Linotype"/>
          <w:szCs w:val="24"/>
        </w:rPr>
        <w:t xml:space="preserve"> Performance Bond </w:t>
      </w:r>
      <w:r w:rsidR="007A081A">
        <w:rPr>
          <w:rFonts w:ascii="Palatino Linotype" w:hAnsi="Palatino Linotype"/>
          <w:szCs w:val="24"/>
        </w:rPr>
        <w:t>due March 31, 2023</w:t>
      </w:r>
      <w:r w:rsidRPr="00E36D91">
        <w:rPr>
          <w:rFonts w:ascii="Palatino Linotype" w:hAnsi="Palatino Linotype"/>
          <w:szCs w:val="24"/>
        </w:rPr>
        <w:t>, and</w:t>
      </w:r>
      <w:r w:rsidR="00406725">
        <w:rPr>
          <w:rFonts w:ascii="Palatino Linotype" w:hAnsi="Palatino Linotype"/>
          <w:szCs w:val="24"/>
        </w:rPr>
        <w:t xml:space="preserve"> an </w:t>
      </w:r>
      <w:r w:rsidRPr="00E36D91" w:rsidR="001107F0">
        <w:rPr>
          <w:rFonts w:ascii="Palatino Linotype" w:hAnsi="Palatino Linotype"/>
          <w:szCs w:val="24"/>
        </w:rPr>
        <w:t xml:space="preserve">Annual </w:t>
      </w:r>
      <w:r w:rsidRPr="00E36D91">
        <w:rPr>
          <w:rFonts w:ascii="Palatino Linotype" w:hAnsi="Palatino Linotype"/>
          <w:szCs w:val="24"/>
        </w:rPr>
        <w:t>Affiliate Transaction report</w:t>
      </w:r>
      <w:r w:rsidRPr="00E36D91" w:rsidR="00EC2DED">
        <w:rPr>
          <w:rFonts w:ascii="Palatino Linotype" w:hAnsi="Palatino Linotype"/>
          <w:szCs w:val="24"/>
        </w:rPr>
        <w:t xml:space="preserve"> for </w:t>
      </w:r>
      <w:r w:rsidR="006C3DFB">
        <w:rPr>
          <w:rFonts w:ascii="Palatino Linotype" w:hAnsi="Palatino Linotype"/>
          <w:szCs w:val="24"/>
        </w:rPr>
        <w:t>CY 2022</w:t>
      </w:r>
      <w:r w:rsidRPr="00E36D91">
        <w:rPr>
          <w:rFonts w:ascii="Palatino Linotype" w:hAnsi="Palatino Linotype"/>
          <w:szCs w:val="24"/>
        </w:rPr>
        <w:t xml:space="preserve"> </w:t>
      </w:r>
      <w:r w:rsidR="007A081A">
        <w:rPr>
          <w:rFonts w:ascii="Palatino Linotype" w:hAnsi="Palatino Linotype"/>
          <w:szCs w:val="24"/>
        </w:rPr>
        <w:t>due May 1, 2023</w:t>
      </w:r>
      <w:r w:rsidRPr="00E36D91">
        <w:rPr>
          <w:rFonts w:ascii="Palatino Linotype" w:hAnsi="Palatino Linotype"/>
          <w:szCs w:val="24"/>
        </w:rPr>
        <w:t>.</w:t>
      </w:r>
    </w:p>
    <w:p w:rsidRPr="00E36D91" w:rsidR="00595756" w:rsidP="00D77460" w:rsidRDefault="00595756" w14:paraId="1A9A3A94" w14:textId="73421546">
      <w:pPr>
        <w:keepNext/>
        <w:numPr>
          <w:ilvl w:val="0"/>
          <w:numId w:val="58"/>
        </w:numPr>
        <w:overflowPunct/>
        <w:spacing w:after="120"/>
        <w:textAlignment w:val="auto"/>
        <w:rPr>
          <w:rFonts w:ascii="Palatino Linotype" w:hAnsi="Palatino Linotype"/>
          <w:szCs w:val="24"/>
        </w:rPr>
      </w:pPr>
      <w:r w:rsidRPr="00E36D91">
        <w:rPr>
          <w:rFonts w:ascii="Palatino Linotype" w:hAnsi="Palatino Linotype"/>
          <w:szCs w:val="24"/>
        </w:rPr>
        <w:t xml:space="preserve">On </w:t>
      </w:r>
      <w:r w:rsidR="00386CD2">
        <w:rPr>
          <w:rFonts w:ascii="Palatino Linotype" w:hAnsi="Palatino Linotype"/>
          <w:szCs w:val="24"/>
        </w:rPr>
        <w:t>June 8, 2023</w:t>
      </w:r>
      <w:r w:rsidRPr="00E36D91" w:rsidR="00422DCC">
        <w:rPr>
          <w:rFonts w:ascii="Palatino Linotype" w:hAnsi="Palatino Linotype"/>
          <w:szCs w:val="24"/>
        </w:rPr>
        <w:t>,</w:t>
      </w:r>
      <w:r w:rsidRPr="00E36D91">
        <w:rPr>
          <w:rFonts w:ascii="Palatino Linotype" w:hAnsi="Palatino Linotype"/>
          <w:szCs w:val="24"/>
        </w:rPr>
        <w:t xml:space="preserve"> </w:t>
      </w:r>
      <w:r w:rsidRPr="00E36D91" w:rsidR="00087B92">
        <w:rPr>
          <w:rFonts w:ascii="Palatino Linotype" w:hAnsi="Palatino Linotype"/>
          <w:szCs w:val="24"/>
        </w:rPr>
        <w:t xml:space="preserve">CD sent </w:t>
      </w:r>
      <w:r w:rsidRPr="00E36D91">
        <w:rPr>
          <w:rFonts w:ascii="Palatino Linotype" w:hAnsi="Palatino Linotype"/>
          <w:szCs w:val="24"/>
        </w:rPr>
        <w:t xml:space="preserve">an </w:t>
      </w:r>
      <w:r w:rsidRPr="00E36D91" w:rsidR="00087B92">
        <w:rPr>
          <w:rFonts w:ascii="Palatino Linotype" w:hAnsi="Palatino Linotype"/>
          <w:szCs w:val="24"/>
        </w:rPr>
        <w:t>e-mail</w:t>
      </w:r>
      <w:r w:rsidRPr="00E36D91">
        <w:rPr>
          <w:rFonts w:ascii="Palatino Linotype" w:hAnsi="Palatino Linotype"/>
          <w:szCs w:val="24"/>
        </w:rPr>
        <w:t xml:space="preserve"> </w:t>
      </w:r>
      <w:r w:rsidRPr="00E36D91" w:rsidR="00EB65A8">
        <w:rPr>
          <w:rFonts w:ascii="Palatino Linotype" w:hAnsi="Palatino Linotype"/>
          <w:szCs w:val="24"/>
        </w:rPr>
        <w:t xml:space="preserve">notice of noncompliance </w:t>
      </w:r>
      <w:r w:rsidRPr="00E36D91" w:rsidR="009A61A3">
        <w:rPr>
          <w:rFonts w:ascii="Palatino Linotype" w:hAnsi="Palatino Linotype"/>
          <w:szCs w:val="24"/>
        </w:rPr>
        <w:t>to all carriers</w:t>
      </w:r>
      <w:r w:rsidRPr="00E36D91" w:rsidR="00E554C0">
        <w:rPr>
          <w:rFonts w:ascii="Palatino Linotype" w:hAnsi="Palatino Linotype"/>
          <w:szCs w:val="24"/>
        </w:rPr>
        <w:t xml:space="preserve"> </w:t>
      </w:r>
      <w:r w:rsidRPr="00E36D91" w:rsidR="009A61A3">
        <w:rPr>
          <w:rFonts w:ascii="Palatino Linotype" w:hAnsi="Palatino Linotype"/>
          <w:szCs w:val="24"/>
        </w:rPr>
        <w:t xml:space="preserve">that </w:t>
      </w:r>
      <w:r w:rsidRPr="00E36D91" w:rsidR="00EB7BAC">
        <w:rPr>
          <w:rFonts w:ascii="Palatino Linotype" w:hAnsi="Palatino Linotype"/>
          <w:szCs w:val="24"/>
        </w:rPr>
        <w:t>failed to</w:t>
      </w:r>
      <w:r w:rsidR="002005A9">
        <w:rPr>
          <w:rFonts w:ascii="Palatino Linotype" w:hAnsi="Palatino Linotype"/>
          <w:szCs w:val="24"/>
        </w:rPr>
        <w:t xml:space="preserve"> submit their A</w:t>
      </w:r>
      <w:r w:rsidRPr="00E36D91" w:rsidR="009A61A3">
        <w:rPr>
          <w:rFonts w:ascii="Palatino Linotype" w:hAnsi="Palatino Linotype"/>
          <w:szCs w:val="24"/>
        </w:rPr>
        <w:t xml:space="preserve">nnual </w:t>
      </w:r>
      <w:r w:rsidR="002005A9">
        <w:rPr>
          <w:rFonts w:ascii="Palatino Linotype" w:hAnsi="Palatino Linotype"/>
          <w:szCs w:val="24"/>
        </w:rPr>
        <w:t>R</w:t>
      </w:r>
      <w:r w:rsidRPr="00E36D91" w:rsidR="009A61A3">
        <w:rPr>
          <w:rFonts w:ascii="Palatino Linotype" w:hAnsi="Palatino Linotype"/>
          <w:szCs w:val="24"/>
        </w:rPr>
        <w:t>eport</w:t>
      </w:r>
      <w:r w:rsidR="002005A9">
        <w:rPr>
          <w:rFonts w:ascii="Palatino Linotype" w:hAnsi="Palatino Linotype"/>
          <w:szCs w:val="24"/>
        </w:rPr>
        <w:t>s</w:t>
      </w:r>
      <w:r w:rsidRPr="00E36D91" w:rsidR="009A61A3">
        <w:rPr>
          <w:rFonts w:ascii="Palatino Linotype" w:hAnsi="Palatino Linotype"/>
          <w:szCs w:val="24"/>
        </w:rPr>
        <w:t xml:space="preserve"> </w:t>
      </w:r>
      <w:r w:rsidRPr="00E36D91" w:rsidR="00EB7BAC">
        <w:rPr>
          <w:rFonts w:ascii="Palatino Linotype" w:hAnsi="Palatino Linotype"/>
          <w:szCs w:val="24"/>
        </w:rPr>
        <w:t>and</w:t>
      </w:r>
      <w:r w:rsidR="002005A9">
        <w:rPr>
          <w:rFonts w:ascii="Palatino Linotype" w:hAnsi="Palatino Linotype"/>
          <w:szCs w:val="24"/>
        </w:rPr>
        <w:t>/or</w:t>
      </w:r>
      <w:r w:rsidRPr="00E36D91" w:rsidR="00EB7BAC">
        <w:rPr>
          <w:rFonts w:ascii="Palatino Linotype" w:hAnsi="Palatino Linotype"/>
          <w:szCs w:val="24"/>
        </w:rPr>
        <w:t xml:space="preserve"> </w:t>
      </w:r>
      <w:r w:rsidR="002005A9">
        <w:rPr>
          <w:rFonts w:ascii="Palatino Linotype" w:hAnsi="Palatino Linotype"/>
          <w:szCs w:val="24"/>
        </w:rPr>
        <w:t>Annual Performance bond by the due dates</w:t>
      </w:r>
      <w:r w:rsidR="00C115D6">
        <w:rPr>
          <w:rFonts w:ascii="Palatino Linotype" w:hAnsi="Palatino Linotype"/>
          <w:szCs w:val="24"/>
        </w:rPr>
        <w:t xml:space="preserve"> established</w:t>
      </w:r>
      <w:r w:rsidR="00B71514">
        <w:rPr>
          <w:rFonts w:ascii="Palatino Linotype" w:hAnsi="Palatino Linotype"/>
          <w:szCs w:val="24"/>
        </w:rPr>
        <w:t>.</w:t>
      </w:r>
      <w:r w:rsidR="00B71514">
        <w:rPr>
          <w:rStyle w:val="FootnoteReference"/>
          <w:szCs w:val="24"/>
        </w:rPr>
        <w:footnoteReference w:id="6"/>
      </w:r>
      <w:r w:rsidR="00B71514">
        <w:rPr>
          <w:rFonts w:ascii="Palatino Linotype" w:hAnsi="Palatino Linotype"/>
          <w:szCs w:val="24"/>
        </w:rPr>
        <w:t xml:space="preserve">  </w:t>
      </w:r>
      <w:r w:rsidRPr="00E36D91" w:rsidR="00EB65A8">
        <w:rPr>
          <w:rFonts w:ascii="Palatino Linotype" w:hAnsi="Palatino Linotype"/>
          <w:szCs w:val="24"/>
        </w:rPr>
        <w:t xml:space="preserve">Noncompliant carriers were </w:t>
      </w:r>
      <w:r w:rsidRPr="00E36D91" w:rsidR="00EC2DED">
        <w:rPr>
          <w:rFonts w:ascii="Palatino Linotype" w:hAnsi="Palatino Linotype"/>
          <w:szCs w:val="24"/>
        </w:rPr>
        <w:t>informed o</w:t>
      </w:r>
      <w:r w:rsidRPr="00E36D91" w:rsidR="00EB65A8">
        <w:rPr>
          <w:rFonts w:ascii="Palatino Linotype" w:hAnsi="Palatino Linotype"/>
          <w:szCs w:val="24"/>
        </w:rPr>
        <w:t>f potential enforcement action</w:t>
      </w:r>
      <w:r w:rsidRPr="00E36D91" w:rsidR="00EC2DED">
        <w:rPr>
          <w:rFonts w:ascii="Palatino Linotype" w:hAnsi="Palatino Linotype"/>
          <w:szCs w:val="24"/>
        </w:rPr>
        <w:t xml:space="preserve"> by the Commission that</w:t>
      </w:r>
      <w:r w:rsidRPr="00E36D91" w:rsidR="00EB65A8">
        <w:rPr>
          <w:rFonts w:ascii="Palatino Linotype" w:hAnsi="Palatino Linotype"/>
          <w:szCs w:val="24"/>
        </w:rPr>
        <w:t xml:space="preserve"> includ</w:t>
      </w:r>
      <w:r w:rsidRPr="00E36D91" w:rsidR="00EC2DED">
        <w:rPr>
          <w:rFonts w:ascii="Palatino Linotype" w:hAnsi="Palatino Linotype"/>
          <w:szCs w:val="24"/>
        </w:rPr>
        <w:t>es</w:t>
      </w:r>
      <w:r w:rsidRPr="00E36D91" w:rsidR="00EB65A8">
        <w:rPr>
          <w:rFonts w:ascii="Palatino Linotype" w:hAnsi="Palatino Linotype"/>
          <w:szCs w:val="24"/>
        </w:rPr>
        <w:t xml:space="preserve"> </w:t>
      </w:r>
      <w:r w:rsidRPr="00E36D91" w:rsidR="00EC2DED">
        <w:rPr>
          <w:rFonts w:ascii="Palatino Linotype" w:hAnsi="Palatino Linotype"/>
          <w:szCs w:val="24"/>
        </w:rPr>
        <w:t>penalties and/or fines</w:t>
      </w:r>
      <w:r w:rsidRPr="00E36D91" w:rsidR="006D060D">
        <w:rPr>
          <w:rFonts w:ascii="Palatino Linotype" w:hAnsi="Palatino Linotype"/>
          <w:szCs w:val="24"/>
        </w:rPr>
        <w:t>.</w:t>
      </w:r>
    </w:p>
    <w:p w:rsidRPr="00E36D91" w:rsidR="006D060D" w:rsidP="00D77460" w:rsidRDefault="75EBC0A7" w14:paraId="02B6EE6C" w14:textId="1617A3F3">
      <w:pPr>
        <w:keepNext/>
        <w:numPr>
          <w:ilvl w:val="0"/>
          <w:numId w:val="58"/>
        </w:numPr>
        <w:overflowPunct/>
        <w:spacing w:after="120"/>
        <w:textAlignment w:val="auto"/>
        <w:rPr>
          <w:rFonts w:ascii="Palatino Linotype" w:hAnsi="Palatino Linotype"/>
          <w:szCs w:val="24"/>
        </w:rPr>
      </w:pPr>
      <w:r w:rsidRPr="00E36D91">
        <w:rPr>
          <w:rFonts w:ascii="Palatino Linotype" w:hAnsi="Palatino Linotype"/>
          <w:szCs w:val="24"/>
        </w:rPr>
        <w:t xml:space="preserve">On </w:t>
      </w:r>
      <w:r w:rsidR="00386CD2">
        <w:rPr>
          <w:rFonts w:ascii="Palatino Linotype" w:hAnsi="Palatino Linotype"/>
          <w:szCs w:val="24"/>
        </w:rPr>
        <w:t>July 11, 2023</w:t>
      </w:r>
      <w:r w:rsidRPr="00E36D91">
        <w:rPr>
          <w:rFonts w:ascii="Palatino Linotype" w:hAnsi="Palatino Linotype"/>
          <w:szCs w:val="24"/>
        </w:rPr>
        <w:t>, CD issued its first citation to carrier</w:t>
      </w:r>
      <w:r w:rsidRPr="00E36D91" w:rsidR="000B2F84">
        <w:rPr>
          <w:rFonts w:ascii="Palatino Linotype" w:hAnsi="Palatino Linotype"/>
          <w:szCs w:val="24"/>
        </w:rPr>
        <w:t>s</w:t>
      </w:r>
      <w:r w:rsidRPr="00E36D91">
        <w:rPr>
          <w:rFonts w:ascii="Palatino Linotype" w:hAnsi="Palatino Linotype"/>
          <w:szCs w:val="24"/>
        </w:rPr>
        <w:t xml:space="preserve"> that </w:t>
      </w:r>
      <w:r w:rsidRPr="00E36D91" w:rsidR="000B2F84">
        <w:rPr>
          <w:rFonts w:ascii="Palatino Linotype" w:hAnsi="Palatino Linotype"/>
          <w:szCs w:val="24"/>
        </w:rPr>
        <w:t xml:space="preserve">were </w:t>
      </w:r>
      <w:r w:rsidRPr="00E36D91">
        <w:rPr>
          <w:rFonts w:ascii="Palatino Linotype" w:hAnsi="Palatino Linotype"/>
          <w:szCs w:val="24"/>
        </w:rPr>
        <w:t xml:space="preserve">noncompliant with </w:t>
      </w:r>
      <w:r w:rsidR="00C115D6">
        <w:rPr>
          <w:rFonts w:ascii="Palatino Linotype" w:hAnsi="Palatino Linotype"/>
          <w:szCs w:val="24"/>
        </w:rPr>
        <w:t>submitting A</w:t>
      </w:r>
      <w:r w:rsidRPr="00E36D91">
        <w:rPr>
          <w:rFonts w:ascii="Palatino Linotype" w:hAnsi="Palatino Linotype"/>
          <w:szCs w:val="24"/>
        </w:rPr>
        <w:t xml:space="preserve">nnual </w:t>
      </w:r>
      <w:r w:rsidR="00C115D6">
        <w:rPr>
          <w:rFonts w:ascii="Palatino Linotype" w:hAnsi="Palatino Linotype"/>
          <w:szCs w:val="24"/>
        </w:rPr>
        <w:t>R</w:t>
      </w:r>
      <w:r w:rsidRPr="00E36D91">
        <w:rPr>
          <w:rFonts w:ascii="Palatino Linotype" w:hAnsi="Palatino Linotype"/>
          <w:szCs w:val="24"/>
        </w:rPr>
        <w:t>eport</w:t>
      </w:r>
      <w:r w:rsidR="00C115D6">
        <w:rPr>
          <w:rFonts w:ascii="Palatino Linotype" w:hAnsi="Palatino Linotype"/>
          <w:szCs w:val="24"/>
        </w:rPr>
        <w:t>s and/or Annual Performance bond</w:t>
      </w:r>
      <w:r w:rsidR="00406725">
        <w:rPr>
          <w:rFonts w:ascii="Palatino Linotype" w:hAnsi="Palatino Linotype"/>
          <w:szCs w:val="24"/>
        </w:rPr>
        <w:t xml:space="preserve"> requirements</w:t>
      </w:r>
      <w:r w:rsidRPr="00E36D91">
        <w:rPr>
          <w:rFonts w:ascii="Palatino Linotype" w:hAnsi="Palatino Linotype"/>
          <w:szCs w:val="24"/>
        </w:rPr>
        <w:t>.</w:t>
      </w:r>
      <w:r w:rsidR="00B71514">
        <w:rPr>
          <w:rStyle w:val="FootnoteReference"/>
          <w:szCs w:val="24"/>
        </w:rPr>
        <w:footnoteReference w:id="7"/>
      </w:r>
      <w:r w:rsidRPr="00E36D91">
        <w:rPr>
          <w:rFonts w:ascii="Palatino Linotype" w:hAnsi="Palatino Linotype"/>
          <w:szCs w:val="24"/>
        </w:rPr>
        <w:t xml:space="preserve">  </w:t>
      </w:r>
      <w:r w:rsidRPr="008B1EE6" w:rsidR="00C115D6">
        <w:rPr>
          <w:rFonts w:ascii="Palatino Linotype" w:hAnsi="Palatino Linotype"/>
          <w:szCs w:val="24"/>
        </w:rPr>
        <w:t xml:space="preserve">Carriers were given 30 calendar days to address the citation. </w:t>
      </w:r>
      <w:r w:rsidRPr="00E36D91">
        <w:rPr>
          <w:rFonts w:ascii="Palatino Linotype" w:hAnsi="Palatino Linotype"/>
          <w:szCs w:val="24"/>
        </w:rPr>
        <w:t xml:space="preserve">The citation </w:t>
      </w:r>
      <w:r w:rsidRPr="00E36D91" w:rsidR="006D285A">
        <w:rPr>
          <w:rFonts w:ascii="Palatino Linotype" w:hAnsi="Palatino Linotype"/>
          <w:szCs w:val="24"/>
        </w:rPr>
        <w:t xml:space="preserve">package </w:t>
      </w:r>
      <w:r w:rsidRPr="00E36D91">
        <w:rPr>
          <w:rFonts w:ascii="Palatino Linotype" w:hAnsi="Palatino Linotype"/>
          <w:szCs w:val="24"/>
        </w:rPr>
        <w:t>comprise</w:t>
      </w:r>
      <w:r w:rsidRPr="00E36D91" w:rsidR="00B337AB">
        <w:rPr>
          <w:rFonts w:ascii="Palatino Linotype" w:hAnsi="Palatino Linotype"/>
          <w:szCs w:val="24"/>
        </w:rPr>
        <w:t>d</w:t>
      </w:r>
      <w:r w:rsidRPr="00E36D91">
        <w:rPr>
          <w:rFonts w:ascii="Palatino Linotype" w:hAnsi="Palatino Linotype"/>
          <w:szCs w:val="24"/>
        </w:rPr>
        <w:t xml:space="preserve"> the citation notice letter with information on the violation and the penalty amount of $1000 per violation, instructions on how to pay the penalty, information on potential ten percent (10%) late payment fees, and instructions on how to submit an appeal of the citation</w:t>
      </w:r>
      <w:r w:rsidRPr="00E36D91" w:rsidR="006D285A">
        <w:rPr>
          <w:rFonts w:ascii="Palatino Linotype" w:hAnsi="Palatino Linotype"/>
          <w:szCs w:val="24"/>
        </w:rPr>
        <w:t xml:space="preserve">.  </w:t>
      </w:r>
      <w:r w:rsidRPr="00E36D91">
        <w:rPr>
          <w:rFonts w:ascii="Palatino Linotype" w:hAnsi="Palatino Linotype"/>
          <w:szCs w:val="24"/>
        </w:rPr>
        <w:t xml:space="preserve">The citation package for each carrier was delivered via United States Postal Service (USPS) </w:t>
      </w:r>
      <w:r w:rsidRPr="00E36D91" w:rsidR="003311DD">
        <w:rPr>
          <w:rFonts w:ascii="Palatino Linotype" w:hAnsi="Palatino Linotype"/>
          <w:szCs w:val="24"/>
        </w:rPr>
        <w:t xml:space="preserve">certified </w:t>
      </w:r>
      <w:r w:rsidRPr="00E36D91">
        <w:rPr>
          <w:rFonts w:ascii="Palatino Linotype" w:hAnsi="Palatino Linotype"/>
          <w:szCs w:val="24"/>
        </w:rPr>
        <w:t xml:space="preserve">mail using the primary regulatory contact information. The same package was </w:t>
      </w:r>
      <w:r w:rsidR="00C115D6">
        <w:rPr>
          <w:rFonts w:ascii="Palatino Linotype" w:hAnsi="Palatino Linotype"/>
          <w:szCs w:val="24"/>
        </w:rPr>
        <w:t>sent in</w:t>
      </w:r>
      <w:r w:rsidRPr="00E36D91">
        <w:rPr>
          <w:rFonts w:ascii="Palatino Linotype" w:hAnsi="Palatino Linotype"/>
          <w:szCs w:val="24"/>
        </w:rPr>
        <w:t xml:space="preserve"> PDF</w:t>
      </w:r>
      <w:r w:rsidR="00C115D6">
        <w:rPr>
          <w:rFonts w:ascii="Palatino Linotype" w:hAnsi="Palatino Linotype"/>
          <w:szCs w:val="24"/>
        </w:rPr>
        <w:t xml:space="preserve"> format </w:t>
      </w:r>
      <w:r w:rsidRPr="00E36D91">
        <w:rPr>
          <w:rFonts w:ascii="Palatino Linotype" w:hAnsi="Palatino Linotype"/>
          <w:szCs w:val="24"/>
        </w:rPr>
        <w:t>via email to the primary regulatory contact</w:t>
      </w:r>
      <w:r w:rsidR="00C115D6">
        <w:rPr>
          <w:rFonts w:ascii="Palatino Linotype" w:hAnsi="Palatino Linotype"/>
          <w:szCs w:val="24"/>
        </w:rPr>
        <w:t xml:space="preserve"> information.</w:t>
      </w:r>
    </w:p>
    <w:p w:rsidRPr="00E36D91" w:rsidR="001414A6" w:rsidP="00D77460" w:rsidRDefault="75EBC0A7" w14:paraId="598A2307" w14:textId="776241A6">
      <w:pPr>
        <w:keepNext/>
        <w:numPr>
          <w:ilvl w:val="0"/>
          <w:numId w:val="58"/>
        </w:numPr>
        <w:overflowPunct/>
        <w:spacing w:after="120"/>
        <w:textAlignment w:val="auto"/>
        <w:rPr>
          <w:rFonts w:ascii="Palatino Linotype" w:hAnsi="Palatino Linotype"/>
          <w:szCs w:val="24"/>
        </w:rPr>
      </w:pPr>
      <w:r w:rsidRPr="00E36D91">
        <w:rPr>
          <w:rFonts w:ascii="Palatino Linotype" w:hAnsi="Palatino Linotype"/>
          <w:szCs w:val="24"/>
        </w:rPr>
        <w:t xml:space="preserve">On </w:t>
      </w:r>
      <w:r w:rsidR="00386CD2">
        <w:rPr>
          <w:rFonts w:ascii="Palatino Linotype" w:hAnsi="Palatino Linotype"/>
          <w:szCs w:val="24"/>
        </w:rPr>
        <w:t>September 6, 2023</w:t>
      </w:r>
      <w:r w:rsidRPr="00E36D91">
        <w:rPr>
          <w:rFonts w:ascii="Palatino Linotype" w:hAnsi="Palatino Linotype"/>
          <w:szCs w:val="24"/>
        </w:rPr>
        <w:t>, CD issued its second citation to carrier</w:t>
      </w:r>
      <w:r w:rsidRPr="00E36D91" w:rsidR="000B2F84">
        <w:rPr>
          <w:rFonts w:ascii="Palatino Linotype" w:hAnsi="Palatino Linotype"/>
          <w:szCs w:val="24"/>
        </w:rPr>
        <w:t>s</w:t>
      </w:r>
      <w:r w:rsidRPr="00E36D91">
        <w:rPr>
          <w:rFonts w:ascii="Palatino Linotype" w:hAnsi="Palatino Linotype"/>
          <w:szCs w:val="24"/>
        </w:rPr>
        <w:t xml:space="preserve"> that continued to be noncompliant with </w:t>
      </w:r>
      <w:r w:rsidR="00C115D6">
        <w:rPr>
          <w:rFonts w:ascii="Palatino Linotype" w:hAnsi="Palatino Linotype"/>
          <w:szCs w:val="24"/>
        </w:rPr>
        <w:t>submitting A</w:t>
      </w:r>
      <w:r w:rsidRPr="00E36D91">
        <w:rPr>
          <w:rFonts w:ascii="Palatino Linotype" w:hAnsi="Palatino Linotype"/>
          <w:szCs w:val="24"/>
        </w:rPr>
        <w:t xml:space="preserve">nnual </w:t>
      </w:r>
      <w:r w:rsidR="00C115D6">
        <w:rPr>
          <w:rFonts w:ascii="Palatino Linotype" w:hAnsi="Palatino Linotype"/>
          <w:szCs w:val="24"/>
        </w:rPr>
        <w:t>R</w:t>
      </w:r>
      <w:r w:rsidRPr="00E36D91">
        <w:rPr>
          <w:rFonts w:ascii="Palatino Linotype" w:hAnsi="Palatino Linotype"/>
          <w:szCs w:val="24"/>
        </w:rPr>
        <w:t>eport</w:t>
      </w:r>
      <w:r w:rsidR="00C115D6">
        <w:rPr>
          <w:rFonts w:ascii="Palatino Linotype" w:hAnsi="Palatino Linotype"/>
          <w:szCs w:val="24"/>
        </w:rPr>
        <w:t xml:space="preserve">s and/or Annual Performance Bond </w:t>
      </w:r>
      <w:r w:rsidRPr="00E36D91">
        <w:rPr>
          <w:rFonts w:ascii="Palatino Linotype" w:hAnsi="Palatino Linotype"/>
          <w:szCs w:val="24"/>
        </w:rPr>
        <w:t>requirements.</w:t>
      </w:r>
      <w:r w:rsidR="00B71514">
        <w:rPr>
          <w:rStyle w:val="FootnoteReference"/>
          <w:szCs w:val="24"/>
        </w:rPr>
        <w:footnoteReference w:id="8"/>
      </w:r>
      <w:r w:rsidR="00C115D6">
        <w:rPr>
          <w:rFonts w:ascii="Palatino Linotype" w:hAnsi="Palatino Linotype"/>
          <w:szCs w:val="24"/>
        </w:rPr>
        <w:t xml:space="preserve"> </w:t>
      </w:r>
      <w:r w:rsidRPr="008B1EE6" w:rsidR="00C115D6">
        <w:rPr>
          <w:rFonts w:ascii="Palatino Linotype" w:hAnsi="Palatino Linotype"/>
          <w:szCs w:val="24"/>
        </w:rPr>
        <w:t>Carriers were given 30 calendar days to address the citation</w:t>
      </w:r>
      <w:r w:rsidR="00C115D6">
        <w:rPr>
          <w:rFonts w:ascii="Palatino Linotype" w:hAnsi="Palatino Linotype"/>
          <w:szCs w:val="24"/>
        </w:rPr>
        <w:t>.</w:t>
      </w:r>
      <w:r w:rsidRPr="00E36D91">
        <w:rPr>
          <w:rFonts w:ascii="Palatino Linotype" w:hAnsi="Palatino Linotype"/>
          <w:szCs w:val="24"/>
        </w:rPr>
        <w:t xml:space="preserve"> The citation </w:t>
      </w:r>
      <w:r w:rsidRPr="00E36D91" w:rsidR="006D285A">
        <w:rPr>
          <w:rFonts w:ascii="Palatino Linotype" w:hAnsi="Palatino Linotype"/>
          <w:szCs w:val="24"/>
        </w:rPr>
        <w:t xml:space="preserve">package </w:t>
      </w:r>
      <w:r w:rsidRPr="00E36D91" w:rsidR="00455100">
        <w:rPr>
          <w:rFonts w:ascii="Palatino Linotype" w:hAnsi="Palatino Linotype"/>
          <w:szCs w:val="24"/>
        </w:rPr>
        <w:t>contained</w:t>
      </w:r>
      <w:r w:rsidRPr="00E36D91">
        <w:rPr>
          <w:rFonts w:ascii="Palatino Linotype" w:hAnsi="Palatino Linotype"/>
          <w:szCs w:val="24"/>
        </w:rPr>
        <w:t xml:space="preserve"> the citation notice letter with information on the violation and an increased penalty amount </w:t>
      </w:r>
      <w:r w:rsidRPr="00E36D91" w:rsidR="00192E74">
        <w:rPr>
          <w:rFonts w:ascii="Palatino Linotype" w:hAnsi="Palatino Linotype"/>
          <w:szCs w:val="24"/>
        </w:rPr>
        <w:t>by $200</w:t>
      </w:r>
      <w:r w:rsidRPr="00E36D91">
        <w:rPr>
          <w:rFonts w:ascii="Palatino Linotype" w:hAnsi="Palatino Linotype"/>
          <w:szCs w:val="24"/>
        </w:rPr>
        <w:t xml:space="preserve"> per violation</w:t>
      </w:r>
      <w:r w:rsidRPr="00E36D91" w:rsidR="00192E74">
        <w:rPr>
          <w:rFonts w:ascii="Palatino Linotype" w:hAnsi="Palatino Linotype"/>
          <w:szCs w:val="24"/>
        </w:rPr>
        <w:t xml:space="preserve"> from the original amount</w:t>
      </w:r>
      <w:r w:rsidRPr="00E36D91">
        <w:rPr>
          <w:rFonts w:ascii="Palatino Linotype" w:hAnsi="Palatino Linotype"/>
          <w:szCs w:val="24"/>
        </w:rPr>
        <w:t xml:space="preserve">, instructions on how to pay the penalty, information on potential ten percent (10%) late payment fees, and instructions on how to submit an appeal of the citation. The citation package for each carrier was delivered via USPS </w:t>
      </w:r>
      <w:r w:rsidRPr="00E36D91" w:rsidR="003311DD">
        <w:rPr>
          <w:rFonts w:ascii="Palatino Linotype" w:hAnsi="Palatino Linotype"/>
          <w:szCs w:val="24"/>
        </w:rPr>
        <w:t xml:space="preserve">certified </w:t>
      </w:r>
      <w:r w:rsidRPr="00E36D91">
        <w:rPr>
          <w:rFonts w:ascii="Palatino Linotype" w:hAnsi="Palatino Linotype"/>
          <w:szCs w:val="24"/>
        </w:rPr>
        <w:t xml:space="preserve">mail using the primary regulatory contact information. </w:t>
      </w:r>
      <w:r w:rsidRPr="00E36D91" w:rsidR="00C115D6">
        <w:rPr>
          <w:rFonts w:ascii="Palatino Linotype" w:hAnsi="Palatino Linotype"/>
          <w:szCs w:val="24"/>
        </w:rPr>
        <w:t xml:space="preserve">The same </w:t>
      </w:r>
      <w:r w:rsidRPr="00E36D91" w:rsidR="00C115D6">
        <w:rPr>
          <w:rFonts w:ascii="Palatino Linotype" w:hAnsi="Palatino Linotype"/>
          <w:szCs w:val="24"/>
        </w:rPr>
        <w:lastRenderedPageBreak/>
        <w:t xml:space="preserve">package was </w:t>
      </w:r>
      <w:r w:rsidR="00C115D6">
        <w:rPr>
          <w:rFonts w:ascii="Palatino Linotype" w:hAnsi="Palatino Linotype"/>
          <w:szCs w:val="24"/>
        </w:rPr>
        <w:t>sent in</w:t>
      </w:r>
      <w:r w:rsidRPr="00E36D91" w:rsidR="00C115D6">
        <w:rPr>
          <w:rFonts w:ascii="Palatino Linotype" w:hAnsi="Palatino Linotype"/>
          <w:szCs w:val="24"/>
        </w:rPr>
        <w:t xml:space="preserve"> PDF</w:t>
      </w:r>
      <w:r w:rsidR="00C115D6">
        <w:rPr>
          <w:rFonts w:ascii="Palatino Linotype" w:hAnsi="Palatino Linotype"/>
          <w:szCs w:val="24"/>
        </w:rPr>
        <w:t xml:space="preserve"> format </w:t>
      </w:r>
      <w:r w:rsidRPr="00E36D91" w:rsidR="00C115D6">
        <w:rPr>
          <w:rFonts w:ascii="Palatino Linotype" w:hAnsi="Palatino Linotype"/>
          <w:szCs w:val="24"/>
        </w:rPr>
        <w:t>via email to the primary regulatory contact</w:t>
      </w:r>
      <w:r w:rsidR="00C115D6">
        <w:rPr>
          <w:rFonts w:ascii="Palatino Linotype" w:hAnsi="Palatino Linotype"/>
          <w:szCs w:val="24"/>
        </w:rPr>
        <w:t xml:space="preserve"> information.</w:t>
      </w:r>
    </w:p>
    <w:p w:rsidRPr="00E36D91" w:rsidR="00D32899" w:rsidP="00D77460" w:rsidRDefault="75EBC0A7" w14:paraId="0065CD80" w14:textId="30D85FA7">
      <w:pPr>
        <w:keepNext/>
        <w:numPr>
          <w:ilvl w:val="0"/>
          <w:numId w:val="58"/>
        </w:numPr>
        <w:overflowPunct/>
        <w:spacing w:after="120"/>
        <w:textAlignment w:val="auto"/>
        <w:rPr>
          <w:rFonts w:ascii="Palatino Linotype" w:hAnsi="Palatino Linotype"/>
          <w:szCs w:val="24"/>
        </w:rPr>
      </w:pPr>
      <w:r w:rsidRPr="00E36D91">
        <w:rPr>
          <w:rFonts w:ascii="Palatino Linotype" w:hAnsi="Palatino Linotype"/>
          <w:szCs w:val="24"/>
        </w:rPr>
        <w:t xml:space="preserve"> Th</w:t>
      </w:r>
      <w:r w:rsidRPr="00E36D91" w:rsidR="000B2F84">
        <w:rPr>
          <w:rFonts w:ascii="Palatino Linotype" w:hAnsi="Palatino Linotype"/>
          <w:szCs w:val="24"/>
        </w:rPr>
        <w:t xml:space="preserve">e draft </w:t>
      </w:r>
      <w:r w:rsidRPr="00E36D91">
        <w:rPr>
          <w:rFonts w:ascii="Palatino Linotype" w:hAnsi="Palatino Linotype"/>
          <w:szCs w:val="24"/>
        </w:rPr>
        <w:t xml:space="preserve">Resolution and associated Notice of Availability </w:t>
      </w:r>
      <w:r w:rsidRPr="00E36D91" w:rsidR="000B2F84">
        <w:rPr>
          <w:rFonts w:ascii="Palatino Linotype" w:hAnsi="Palatino Linotype"/>
          <w:szCs w:val="24"/>
        </w:rPr>
        <w:t xml:space="preserve">for </w:t>
      </w:r>
      <w:r w:rsidR="00E132D8">
        <w:rPr>
          <w:rFonts w:ascii="Palatino Linotype" w:hAnsi="Palatino Linotype"/>
          <w:szCs w:val="24"/>
        </w:rPr>
        <w:t xml:space="preserve">a </w:t>
      </w:r>
      <w:r w:rsidRPr="00E36D91" w:rsidR="000B2F84">
        <w:rPr>
          <w:rFonts w:ascii="Palatino Linotype" w:hAnsi="Palatino Linotype"/>
          <w:szCs w:val="24"/>
        </w:rPr>
        <w:t xml:space="preserve">30-day comment period </w:t>
      </w:r>
      <w:r w:rsidRPr="00E36D91" w:rsidR="009A0C7E">
        <w:rPr>
          <w:rFonts w:ascii="Palatino Linotype" w:hAnsi="Palatino Linotype"/>
          <w:szCs w:val="24"/>
        </w:rPr>
        <w:t>constitute</w:t>
      </w:r>
      <w:r w:rsidRPr="00E36D91" w:rsidR="00B337AB">
        <w:rPr>
          <w:rFonts w:ascii="Palatino Linotype" w:hAnsi="Palatino Linotype"/>
          <w:szCs w:val="24"/>
        </w:rPr>
        <w:t>s</w:t>
      </w:r>
      <w:r w:rsidRPr="00E36D91" w:rsidR="000B2F84">
        <w:rPr>
          <w:rFonts w:ascii="Palatino Linotype" w:hAnsi="Palatino Linotype"/>
          <w:szCs w:val="24"/>
        </w:rPr>
        <w:t xml:space="preserve"> </w:t>
      </w:r>
      <w:r w:rsidRPr="00E36D91" w:rsidR="009A0C7E">
        <w:rPr>
          <w:rFonts w:ascii="Palatino Linotype" w:hAnsi="Palatino Linotype"/>
          <w:szCs w:val="24"/>
        </w:rPr>
        <w:t>the</w:t>
      </w:r>
      <w:r w:rsidRPr="00E36D91">
        <w:rPr>
          <w:rFonts w:ascii="Palatino Linotype" w:hAnsi="Palatino Linotype"/>
          <w:szCs w:val="24"/>
        </w:rPr>
        <w:t xml:space="preserve"> final notice to carriers who have not complied with </w:t>
      </w:r>
      <w:r w:rsidR="00C115D6">
        <w:rPr>
          <w:rFonts w:ascii="Palatino Linotype" w:hAnsi="Palatino Linotype"/>
          <w:szCs w:val="24"/>
        </w:rPr>
        <w:t>submitting A</w:t>
      </w:r>
      <w:r w:rsidRPr="00E36D91">
        <w:rPr>
          <w:rFonts w:ascii="Palatino Linotype" w:hAnsi="Palatino Linotype"/>
          <w:szCs w:val="24"/>
        </w:rPr>
        <w:t xml:space="preserve">nnual </w:t>
      </w:r>
      <w:r w:rsidR="00C115D6">
        <w:rPr>
          <w:rFonts w:ascii="Palatino Linotype" w:hAnsi="Palatino Linotype"/>
          <w:szCs w:val="24"/>
        </w:rPr>
        <w:t>R</w:t>
      </w:r>
      <w:r w:rsidRPr="00E36D91">
        <w:rPr>
          <w:rFonts w:ascii="Palatino Linotype" w:hAnsi="Palatino Linotype"/>
          <w:szCs w:val="24"/>
        </w:rPr>
        <w:t>eport</w:t>
      </w:r>
      <w:r w:rsidR="00C115D6">
        <w:rPr>
          <w:rFonts w:ascii="Palatino Linotype" w:hAnsi="Palatino Linotype"/>
          <w:szCs w:val="24"/>
        </w:rPr>
        <w:t>s</w:t>
      </w:r>
      <w:r w:rsidRPr="00E36D91">
        <w:rPr>
          <w:rFonts w:ascii="Palatino Linotype" w:hAnsi="Palatino Linotype"/>
          <w:szCs w:val="24"/>
        </w:rPr>
        <w:t xml:space="preserve"> </w:t>
      </w:r>
      <w:r w:rsidR="00F323F5">
        <w:rPr>
          <w:rFonts w:ascii="Palatino Linotype" w:hAnsi="Palatino Linotype"/>
          <w:szCs w:val="24"/>
        </w:rPr>
        <w:t xml:space="preserve">and </w:t>
      </w:r>
      <w:r w:rsidR="00C115D6">
        <w:rPr>
          <w:rFonts w:ascii="Palatino Linotype" w:hAnsi="Palatino Linotype"/>
          <w:szCs w:val="24"/>
        </w:rPr>
        <w:t>A</w:t>
      </w:r>
      <w:r w:rsidR="00F323F5">
        <w:rPr>
          <w:rFonts w:ascii="Palatino Linotype" w:hAnsi="Palatino Linotype"/>
          <w:szCs w:val="24"/>
        </w:rPr>
        <w:t xml:space="preserve">nnual </w:t>
      </w:r>
      <w:r w:rsidR="00C115D6">
        <w:rPr>
          <w:rFonts w:ascii="Palatino Linotype" w:hAnsi="Palatino Linotype"/>
          <w:szCs w:val="24"/>
        </w:rPr>
        <w:t>P</w:t>
      </w:r>
      <w:r w:rsidR="00F323F5">
        <w:rPr>
          <w:rFonts w:ascii="Palatino Linotype" w:hAnsi="Palatino Linotype"/>
          <w:szCs w:val="24"/>
        </w:rPr>
        <w:t xml:space="preserve">erformance </w:t>
      </w:r>
      <w:r w:rsidR="00C115D6">
        <w:rPr>
          <w:rFonts w:ascii="Palatino Linotype" w:hAnsi="Palatino Linotype"/>
          <w:szCs w:val="24"/>
        </w:rPr>
        <w:t>B</w:t>
      </w:r>
      <w:r w:rsidR="00F323F5">
        <w:rPr>
          <w:rFonts w:ascii="Palatino Linotype" w:hAnsi="Palatino Linotype"/>
          <w:szCs w:val="24"/>
        </w:rPr>
        <w:t>ond requirements</w:t>
      </w:r>
      <w:r w:rsidRPr="00E36D91">
        <w:rPr>
          <w:rFonts w:ascii="Palatino Linotype" w:hAnsi="Palatino Linotype"/>
          <w:szCs w:val="24"/>
        </w:rPr>
        <w:t xml:space="preserve">.  </w:t>
      </w:r>
    </w:p>
    <w:p w:rsidRPr="00E36D91" w:rsidR="0075175B" w:rsidP="00FB763D" w:rsidRDefault="005173FD" w14:paraId="33073C75" w14:textId="7A35346D">
      <w:pPr>
        <w:pStyle w:val="HTMLPreformatted"/>
        <w:rPr>
          <w:rFonts w:ascii="Palatino Linotype" w:hAnsi="Palatino Linotype"/>
          <w:sz w:val="24"/>
          <w:szCs w:val="24"/>
        </w:rPr>
      </w:pPr>
      <w:r w:rsidRPr="00E36D91">
        <w:rPr>
          <w:rFonts w:ascii="Palatino Linotype" w:hAnsi="Palatino Linotype"/>
          <w:sz w:val="24"/>
          <w:szCs w:val="24"/>
        </w:rPr>
        <w:t>CD</w:t>
      </w:r>
      <w:r w:rsidRPr="00E36D91" w:rsidR="002403F4">
        <w:rPr>
          <w:rFonts w:ascii="Palatino Linotype" w:hAnsi="Palatino Linotype"/>
          <w:sz w:val="24"/>
          <w:szCs w:val="24"/>
        </w:rPr>
        <w:t xml:space="preserve"> undertook the necessary measures to notify and remind carriers of the obligation to comply with the Commission’s </w:t>
      </w:r>
      <w:r w:rsidR="00F323F5">
        <w:rPr>
          <w:rFonts w:ascii="Palatino Linotype" w:hAnsi="Palatino Linotype"/>
          <w:sz w:val="24"/>
          <w:szCs w:val="24"/>
        </w:rPr>
        <w:t>A</w:t>
      </w:r>
      <w:r w:rsidRPr="00E36D91" w:rsidR="002403F4">
        <w:rPr>
          <w:rFonts w:ascii="Palatino Linotype" w:hAnsi="Palatino Linotype"/>
          <w:sz w:val="24"/>
          <w:szCs w:val="24"/>
        </w:rPr>
        <w:t xml:space="preserve">nnual </w:t>
      </w:r>
      <w:r w:rsidR="00F323F5">
        <w:rPr>
          <w:rFonts w:ascii="Palatino Linotype" w:hAnsi="Palatino Linotype"/>
          <w:sz w:val="24"/>
          <w:szCs w:val="24"/>
        </w:rPr>
        <w:t>R</w:t>
      </w:r>
      <w:r w:rsidRPr="00E36D91" w:rsidR="002403F4">
        <w:rPr>
          <w:rFonts w:ascii="Palatino Linotype" w:hAnsi="Palatino Linotype"/>
          <w:sz w:val="24"/>
          <w:szCs w:val="24"/>
        </w:rPr>
        <w:t>eport</w:t>
      </w:r>
      <w:r w:rsidR="00F323F5">
        <w:rPr>
          <w:rFonts w:ascii="Palatino Linotype" w:hAnsi="Palatino Linotype"/>
          <w:sz w:val="24"/>
          <w:szCs w:val="24"/>
        </w:rPr>
        <w:t>s and</w:t>
      </w:r>
      <w:r w:rsidR="00C115D6">
        <w:rPr>
          <w:rFonts w:ascii="Palatino Linotype" w:hAnsi="Palatino Linotype"/>
          <w:sz w:val="24"/>
          <w:szCs w:val="24"/>
        </w:rPr>
        <w:t>/or</w:t>
      </w:r>
      <w:r w:rsidR="00F323F5">
        <w:rPr>
          <w:rFonts w:ascii="Palatino Linotype" w:hAnsi="Palatino Linotype"/>
          <w:sz w:val="24"/>
          <w:szCs w:val="24"/>
        </w:rPr>
        <w:t xml:space="preserve"> Annual Performance Bond requirements</w:t>
      </w:r>
      <w:r w:rsidRPr="00E36D91" w:rsidR="002403F4">
        <w:rPr>
          <w:rFonts w:ascii="Palatino Linotype" w:hAnsi="Palatino Linotype"/>
          <w:sz w:val="24"/>
          <w:szCs w:val="24"/>
        </w:rPr>
        <w:t xml:space="preserve"> for carriers and provided ample time and opportunity for these carriers to comply. </w:t>
      </w:r>
      <w:r w:rsidRPr="00E36D91" w:rsidR="00B273D4">
        <w:rPr>
          <w:rFonts w:ascii="Palatino Linotype" w:hAnsi="Palatino Linotype"/>
          <w:sz w:val="24"/>
          <w:szCs w:val="24"/>
        </w:rPr>
        <w:t>Despite</w:t>
      </w:r>
      <w:r w:rsidRPr="00E36D91" w:rsidR="002403F4">
        <w:rPr>
          <w:rFonts w:ascii="Palatino Linotype" w:hAnsi="Palatino Linotype"/>
          <w:sz w:val="24"/>
          <w:szCs w:val="24"/>
        </w:rPr>
        <w:t xml:space="preserve"> all these efforts, the carriers failed to address and/or comply with the citation issued. </w:t>
      </w:r>
    </w:p>
    <w:p w:rsidRPr="00E36D91" w:rsidR="0075175B" w:rsidP="00FB763D" w:rsidRDefault="0075175B" w14:paraId="1F5149B1" w14:textId="77A60F12">
      <w:pPr>
        <w:pStyle w:val="HTMLPreformatted"/>
        <w:rPr>
          <w:rFonts w:ascii="Palatino Linotype" w:hAnsi="Palatino Linotype"/>
          <w:sz w:val="24"/>
          <w:szCs w:val="24"/>
        </w:rPr>
      </w:pPr>
    </w:p>
    <w:p w:rsidRPr="00E36D91" w:rsidR="00E87A0D" w:rsidP="00596A2D" w:rsidRDefault="00E87A0D" w14:paraId="17DE1DF3" w14:textId="77777777">
      <w:pPr>
        <w:pStyle w:val="HTMLPreformatted"/>
        <w:rPr>
          <w:rFonts w:ascii="Palatino Linotype" w:hAnsi="Palatino Linotype"/>
          <w:b/>
          <w:szCs w:val="24"/>
          <w:u w:val="single"/>
        </w:rPr>
      </w:pPr>
      <w:r w:rsidRPr="00E36D91">
        <w:rPr>
          <w:rFonts w:ascii="Palatino Linotype" w:hAnsi="Palatino Linotype"/>
          <w:b/>
          <w:sz w:val="24"/>
          <w:szCs w:val="24"/>
          <w:u w:val="single"/>
        </w:rPr>
        <w:t>SAFETY IMPACT</w:t>
      </w:r>
    </w:p>
    <w:p w:rsidRPr="00E36D91" w:rsidR="00BF5DA4" w:rsidP="00E87A0D" w:rsidRDefault="00BF5DA4" w14:paraId="3F2FA03C" w14:textId="77777777">
      <w:pPr>
        <w:pStyle w:val="HTMLPreformatted"/>
        <w:rPr>
          <w:rFonts w:ascii="Palatino Linotype" w:hAnsi="Palatino Linotype"/>
          <w:b/>
          <w:sz w:val="24"/>
          <w:szCs w:val="24"/>
          <w:u w:val="single"/>
        </w:rPr>
      </w:pPr>
    </w:p>
    <w:p w:rsidRPr="00E36D91" w:rsidR="00906B79" w:rsidP="00BD2246" w:rsidRDefault="00E87A0D" w14:paraId="2122F70A" w14:textId="71F9ED0B">
      <w:pPr>
        <w:pStyle w:val="HTMLPreformatted"/>
        <w:rPr>
          <w:rFonts w:ascii="Palatino Linotype" w:hAnsi="Palatino Linotype"/>
          <w:sz w:val="24"/>
          <w:szCs w:val="24"/>
        </w:rPr>
      </w:pPr>
      <w:r w:rsidRPr="00E36D91">
        <w:rPr>
          <w:rFonts w:ascii="Palatino Linotype" w:hAnsi="Palatino Linotype"/>
          <w:sz w:val="24"/>
          <w:szCs w:val="24"/>
        </w:rPr>
        <w:t xml:space="preserve">This Resolution seeks to </w:t>
      </w:r>
      <w:r w:rsidRPr="00E36D91" w:rsidR="0060640E">
        <w:rPr>
          <w:rFonts w:ascii="Palatino Linotype" w:hAnsi="Palatino Linotype"/>
          <w:sz w:val="24"/>
          <w:szCs w:val="24"/>
        </w:rPr>
        <w:t xml:space="preserve">achieve carrier </w:t>
      </w:r>
      <w:r w:rsidRPr="00E36D91">
        <w:rPr>
          <w:rFonts w:ascii="Palatino Linotype" w:hAnsi="Palatino Linotype"/>
          <w:sz w:val="24"/>
          <w:szCs w:val="24"/>
        </w:rPr>
        <w:t xml:space="preserve">compliance </w:t>
      </w:r>
      <w:r w:rsidRPr="00E36D91" w:rsidR="00AB365C">
        <w:rPr>
          <w:rFonts w:ascii="Palatino Linotype" w:hAnsi="Palatino Linotype"/>
          <w:sz w:val="24"/>
          <w:szCs w:val="24"/>
        </w:rPr>
        <w:t>in</w:t>
      </w:r>
      <w:r w:rsidRPr="00E36D91" w:rsidR="00E629BB">
        <w:rPr>
          <w:rFonts w:ascii="Palatino Linotype" w:hAnsi="Palatino Linotype"/>
          <w:sz w:val="24"/>
          <w:szCs w:val="24"/>
        </w:rPr>
        <w:t xml:space="preserve"> submitting </w:t>
      </w:r>
      <w:r w:rsidRPr="00E36D91" w:rsidR="00A33FDE">
        <w:rPr>
          <w:rFonts w:ascii="Palatino Linotype" w:hAnsi="Palatino Linotype"/>
          <w:sz w:val="24"/>
          <w:szCs w:val="24"/>
        </w:rPr>
        <w:t xml:space="preserve">required annual </w:t>
      </w:r>
      <w:r w:rsidRPr="00E36D91" w:rsidR="00AB365C">
        <w:rPr>
          <w:rFonts w:ascii="Palatino Linotype" w:hAnsi="Palatino Linotype"/>
          <w:sz w:val="24"/>
          <w:szCs w:val="24"/>
        </w:rPr>
        <w:t>compliance filings</w:t>
      </w:r>
      <w:r w:rsidRPr="00E36D91" w:rsidR="006412B9">
        <w:rPr>
          <w:rFonts w:ascii="Palatino Linotype" w:hAnsi="Palatino Linotype"/>
          <w:sz w:val="24"/>
          <w:szCs w:val="24"/>
        </w:rPr>
        <w:t xml:space="preserve">.  </w:t>
      </w:r>
      <w:r w:rsidRPr="00E36D91" w:rsidR="005446FB">
        <w:rPr>
          <w:rFonts w:ascii="Palatino Linotype" w:hAnsi="Palatino Linotype"/>
          <w:sz w:val="24"/>
          <w:szCs w:val="24"/>
        </w:rPr>
        <w:t>This promotes</w:t>
      </w:r>
      <w:r w:rsidRPr="00E36D91" w:rsidR="00BD7DF9">
        <w:rPr>
          <w:rFonts w:ascii="Palatino Linotype" w:hAnsi="Palatino Linotype"/>
          <w:sz w:val="24"/>
          <w:szCs w:val="24"/>
        </w:rPr>
        <w:t xml:space="preserve"> transparency and reduce</w:t>
      </w:r>
      <w:r w:rsidRPr="00E36D91" w:rsidR="005446FB">
        <w:rPr>
          <w:rFonts w:ascii="Palatino Linotype" w:hAnsi="Palatino Linotype"/>
          <w:sz w:val="24"/>
          <w:szCs w:val="24"/>
        </w:rPr>
        <w:t>s</w:t>
      </w:r>
      <w:r w:rsidRPr="00E36D91" w:rsidR="00BD7DF9">
        <w:rPr>
          <w:rFonts w:ascii="Palatino Linotype" w:hAnsi="Palatino Linotype"/>
          <w:sz w:val="24"/>
          <w:szCs w:val="24"/>
        </w:rPr>
        <w:t xml:space="preserve"> the risk of financial harm </w:t>
      </w:r>
      <w:r w:rsidRPr="00E36D91">
        <w:rPr>
          <w:rFonts w:ascii="Palatino Linotype" w:hAnsi="Palatino Linotype"/>
          <w:sz w:val="24"/>
          <w:szCs w:val="24"/>
        </w:rPr>
        <w:t xml:space="preserve">to </w:t>
      </w:r>
      <w:r w:rsidRPr="00E36D91" w:rsidR="0060640E">
        <w:rPr>
          <w:rFonts w:ascii="Palatino Linotype" w:hAnsi="Palatino Linotype"/>
          <w:sz w:val="24"/>
          <w:szCs w:val="24"/>
        </w:rPr>
        <w:t xml:space="preserve">California </w:t>
      </w:r>
      <w:r w:rsidRPr="00E36D91">
        <w:rPr>
          <w:rFonts w:ascii="Palatino Linotype" w:hAnsi="Palatino Linotype"/>
          <w:sz w:val="24"/>
          <w:szCs w:val="24"/>
        </w:rPr>
        <w:t xml:space="preserve">customers, thereby promoting </w:t>
      </w:r>
      <w:r w:rsidRPr="00E36D91" w:rsidR="00F64A86">
        <w:rPr>
          <w:rFonts w:ascii="Palatino Linotype" w:hAnsi="Palatino Linotype"/>
          <w:sz w:val="24"/>
          <w:szCs w:val="24"/>
        </w:rPr>
        <w:t>public safety</w:t>
      </w:r>
      <w:r w:rsidRPr="00E36D91">
        <w:rPr>
          <w:rFonts w:ascii="Palatino Linotype" w:hAnsi="Palatino Linotype"/>
          <w:sz w:val="24"/>
          <w:szCs w:val="24"/>
        </w:rPr>
        <w:t>.</w:t>
      </w:r>
    </w:p>
    <w:p w:rsidRPr="00E36D91" w:rsidR="00E87A0D" w:rsidP="00BD2246" w:rsidRDefault="00E87A0D" w14:paraId="556BFAEC" w14:textId="77777777">
      <w:pPr>
        <w:pStyle w:val="HTMLPreformatted"/>
        <w:rPr>
          <w:rFonts w:ascii="Palatino Linotype" w:hAnsi="Palatino Linotype"/>
          <w:sz w:val="24"/>
          <w:szCs w:val="24"/>
        </w:rPr>
      </w:pPr>
    </w:p>
    <w:p w:rsidRPr="00E36D91" w:rsidR="00B221EE" w:rsidRDefault="00B221EE" w14:paraId="2A8603BB" w14:textId="77777777">
      <w:pPr>
        <w:pStyle w:val="HTMLPreformatted"/>
        <w:rPr>
          <w:rFonts w:ascii="Palatino Linotype" w:hAnsi="Palatino Linotype"/>
          <w:b/>
          <w:sz w:val="24"/>
          <w:szCs w:val="24"/>
          <w:u w:val="single"/>
        </w:rPr>
      </w:pPr>
      <w:r w:rsidRPr="00E36D91">
        <w:rPr>
          <w:rFonts w:ascii="Palatino Linotype" w:hAnsi="Palatino Linotype"/>
          <w:b/>
          <w:sz w:val="24"/>
          <w:szCs w:val="24"/>
          <w:u w:val="single"/>
        </w:rPr>
        <w:t>CONCLUSION</w:t>
      </w:r>
    </w:p>
    <w:p w:rsidRPr="00E36D91" w:rsidR="00B221EE" w:rsidRDefault="00B221EE" w14:paraId="7249E829" w14:textId="77777777">
      <w:pPr>
        <w:pStyle w:val="HTMLPreformatted"/>
        <w:rPr>
          <w:rFonts w:ascii="Palatino Linotype" w:hAnsi="Palatino Linotype"/>
          <w:sz w:val="24"/>
          <w:szCs w:val="24"/>
        </w:rPr>
      </w:pPr>
    </w:p>
    <w:p w:rsidR="00F323F5" w:rsidP="00240CFF" w:rsidRDefault="002403F4" w14:paraId="06199370" w14:textId="04B28611">
      <w:pPr>
        <w:pStyle w:val="HTMLPreformatted"/>
        <w:rPr>
          <w:rFonts w:ascii="Palatino Linotype" w:hAnsi="Palatino Linotype" w:cs="Times New Roman"/>
          <w:sz w:val="24"/>
          <w:szCs w:val="24"/>
        </w:rPr>
      </w:pPr>
      <w:r w:rsidRPr="00E36D91">
        <w:rPr>
          <w:rFonts w:ascii="Palatino Linotype" w:hAnsi="Palatino Linotype"/>
          <w:sz w:val="24"/>
          <w:szCs w:val="24"/>
        </w:rPr>
        <w:t xml:space="preserve">The carriers listed in Appendix A failed to resolve the outstanding citation issued. </w:t>
      </w:r>
      <w:r w:rsidR="008B1EE6">
        <w:rPr>
          <w:rFonts w:ascii="Palatino Linotype" w:hAnsi="Palatino Linotype"/>
          <w:sz w:val="24"/>
          <w:szCs w:val="24"/>
        </w:rPr>
        <w:t>For any</w:t>
      </w:r>
      <w:r w:rsidRPr="008B1EE6" w:rsidR="00F323F5">
        <w:rPr>
          <w:rFonts w:ascii="Palatino Linotype" w:hAnsi="Palatino Linotype"/>
          <w:sz w:val="24"/>
          <w:szCs w:val="24"/>
        </w:rPr>
        <w:t xml:space="preserve"> carrier listed in Appendix A </w:t>
      </w:r>
      <w:r w:rsidR="008B1EE6">
        <w:rPr>
          <w:rFonts w:ascii="Palatino Linotype" w:hAnsi="Palatino Linotype"/>
          <w:sz w:val="24"/>
          <w:szCs w:val="24"/>
        </w:rPr>
        <w:t>to</w:t>
      </w:r>
      <w:r w:rsidRPr="008B1EE6" w:rsidR="00F323F5">
        <w:rPr>
          <w:rFonts w:ascii="Palatino Linotype" w:hAnsi="Palatino Linotype"/>
          <w:sz w:val="24"/>
          <w:szCs w:val="24"/>
        </w:rPr>
        <w:t xml:space="preserve"> retain </w:t>
      </w:r>
      <w:r w:rsidR="008B1EE6">
        <w:rPr>
          <w:rFonts w:ascii="Palatino Linotype" w:hAnsi="Palatino Linotype"/>
          <w:sz w:val="24"/>
          <w:szCs w:val="24"/>
        </w:rPr>
        <w:t>its</w:t>
      </w:r>
      <w:r w:rsidRPr="008B1EE6" w:rsidR="00F323F5">
        <w:rPr>
          <w:rFonts w:ascii="Palatino Linotype" w:hAnsi="Palatino Linotype"/>
          <w:sz w:val="24"/>
          <w:szCs w:val="24"/>
        </w:rPr>
        <w:t xml:space="preserve"> operating authority or registration</w:t>
      </w:r>
      <w:r w:rsidR="008B1EE6">
        <w:rPr>
          <w:rFonts w:ascii="Palatino Linotype" w:hAnsi="Palatino Linotype"/>
          <w:sz w:val="24"/>
          <w:szCs w:val="24"/>
        </w:rPr>
        <w:t xml:space="preserve"> it must resolve</w:t>
      </w:r>
      <w:r w:rsidRPr="008B1EE6" w:rsidR="00F323F5">
        <w:rPr>
          <w:rFonts w:ascii="Palatino Linotype" w:hAnsi="Palatino Linotype"/>
          <w:sz w:val="24"/>
          <w:szCs w:val="24"/>
        </w:rPr>
        <w:t xml:space="preserve"> the citation within thirty (30) calendar days from the effective date of this resolution by submitting the outstanding </w:t>
      </w:r>
      <w:r w:rsidR="00406725">
        <w:rPr>
          <w:rFonts w:ascii="Palatino Linotype" w:hAnsi="Palatino Linotype"/>
          <w:sz w:val="24"/>
          <w:szCs w:val="24"/>
        </w:rPr>
        <w:t>Annual R</w:t>
      </w:r>
      <w:r w:rsidRPr="008B1EE6" w:rsidR="00F323F5">
        <w:rPr>
          <w:rFonts w:ascii="Palatino Linotype" w:hAnsi="Palatino Linotype"/>
          <w:sz w:val="24"/>
          <w:szCs w:val="24"/>
        </w:rPr>
        <w:t>eport</w:t>
      </w:r>
      <w:r w:rsidR="00406725">
        <w:rPr>
          <w:rFonts w:ascii="Palatino Linotype" w:hAnsi="Palatino Linotype"/>
          <w:sz w:val="24"/>
          <w:szCs w:val="24"/>
        </w:rPr>
        <w:t>s and/or Annual Performance Bond</w:t>
      </w:r>
      <w:r w:rsidRPr="008B1EE6" w:rsidR="00F323F5">
        <w:rPr>
          <w:rFonts w:ascii="Palatino Linotype" w:hAnsi="Palatino Linotype"/>
          <w:sz w:val="24"/>
          <w:szCs w:val="24"/>
        </w:rPr>
        <w:t xml:space="preserve"> requirement</w:t>
      </w:r>
      <w:r w:rsidR="008B1EE6">
        <w:rPr>
          <w:rFonts w:ascii="Palatino Linotype" w:hAnsi="Palatino Linotype"/>
          <w:sz w:val="24"/>
          <w:szCs w:val="24"/>
        </w:rPr>
        <w:t>(</w:t>
      </w:r>
      <w:r w:rsidR="00406725">
        <w:rPr>
          <w:rFonts w:ascii="Palatino Linotype" w:hAnsi="Palatino Linotype"/>
          <w:sz w:val="24"/>
          <w:szCs w:val="24"/>
        </w:rPr>
        <w:t>s</w:t>
      </w:r>
      <w:r w:rsidR="008B1EE6">
        <w:rPr>
          <w:rFonts w:ascii="Palatino Linotype" w:hAnsi="Palatino Linotype"/>
          <w:sz w:val="24"/>
          <w:szCs w:val="24"/>
        </w:rPr>
        <w:t>) and</w:t>
      </w:r>
      <w:r w:rsidRPr="008B1EE6" w:rsidR="00F323F5">
        <w:rPr>
          <w:rFonts w:ascii="Palatino Linotype" w:hAnsi="Palatino Linotype"/>
          <w:sz w:val="24"/>
          <w:szCs w:val="24"/>
        </w:rPr>
        <w:t xml:space="preserve"> pay</w:t>
      </w:r>
      <w:r w:rsidR="008B1EE6">
        <w:rPr>
          <w:rFonts w:ascii="Palatino Linotype" w:hAnsi="Palatino Linotype"/>
          <w:sz w:val="24"/>
          <w:szCs w:val="24"/>
        </w:rPr>
        <w:t>ing</w:t>
      </w:r>
      <w:r w:rsidRPr="008B1EE6" w:rsidR="00F323F5">
        <w:rPr>
          <w:rFonts w:ascii="Palatino Linotype" w:hAnsi="Palatino Linotype"/>
          <w:sz w:val="24"/>
          <w:szCs w:val="24"/>
        </w:rPr>
        <w:t xml:space="preserve"> the outstanding penalty</w:t>
      </w:r>
      <w:r w:rsidR="00F323F5">
        <w:rPr>
          <w:rFonts w:ascii="Palatino Linotype" w:hAnsi="Palatino Linotype"/>
          <w:sz w:val="24"/>
          <w:szCs w:val="24"/>
        </w:rPr>
        <w:t xml:space="preserve">.  </w:t>
      </w:r>
      <w:r w:rsidRPr="00E36D91" w:rsidR="00240CFF">
        <w:rPr>
          <w:rFonts w:ascii="Palatino Linotype" w:hAnsi="Palatino Linotype" w:cs="Times New Roman"/>
          <w:sz w:val="24"/>
          <w:szCs w:val="24"/>
        </w:rPr>
        <w:t xml:space="preserve">If a carrier continues to be in default beyond 30 </w:t>
      </w:r>
      <w:r w:rsidRPr="00E36D91" w:rsidR="00CE58FE">
        <w:rPr>
          <w:rFonts w:ascii="Palatino Linotype" w:hAnsi="Palatino Linotype" w:cs="Times New Roman"/>
          <w:sz w:val="24"/>
          <w:szCs w:val="24"/>
        </w:rPr>
        <w:t xml:space="preserve">calendar </w:t>
      </w:r>
      <w:r w:rsidRPr="00E36D91" w:rsidR="00240CFF">
        <w:rPr>
          <w:rFonts w:ascii="Palatino Linotype" w:hAnsi="Palatino Linotype" w:cs="Times New Roman"/>
          <w:sz w:val="24"/>
          <w:szCs w:val="24"/>
        </w:rPr>
        <w:t xml:space="preserve">days from the effective date of this Resolution, the carrier’s CPCN and/or registration license will be revoked. </w:t>
      </w:r>
    </w:p>
    <w:p w:rsidR="00F323F5" w:rsidP="00240CFF" w:rsidRDefault="00F323F5" w14:paraId="37BC966D" w14:textId="77777777">
      <w:pPr>
        <w:pStyle w:val="HTMLPreformatted"/>
        <w:rPr>
          <w:rFonts w:ascii="Palatino Linotype" w:hAnsi="Palatino Linotype" w:cs="Times New Roman"/>
          <w:sz w:val="24"/>
          <w:szCs w:val="24"/>
        </w:rPr>
      </w:pPr>
    </w:p>
    <w:p w:rsidRPr="00E36D91" w:rsidR="00240CFF" w:rsidP="00240CFF" w:rsidRDefault="00240CFF" w14:paraId="481593F6" w14:textId="7E29754F">
      <w:pPr>
        <w:pStyle w:val="HTMLPreformatted"/>
        <w:rPr>
          <w:rFonts w:ascii="Palatino Linotype" w:hAnsi="Palatino Linotype"/>
          <w:sz w:val="24"/>
          <w:szCs w:val="24"/>
        </w:rPr>
      </w:pPr>
      <w:r w:rsidRPr="00E36D91">
        <w:rPr>
          <w:rFonts w:ascii="Palatino Linotype" w:hAnsi="Palatino Linotype" w:cs="Times New Roman"/>
          <w:sz w:val="24"/>
          <w:szCs w:val="24"/>
        </w:rPr>
        <w:t>We also hereby direct telephone corporations to notify CD</w:t>
      </w:r>
      <w:r w:rsidRPr="00E36D91" w:rsidR="00A955C0">
        <w:rPr>
          <w:rFonts w:ascii="Palatino Linotype" w:hAnsi="Palatino Linotype" w:cs="Times New Roman"/>
          <w:sz w:val="24"/>
          <w:szCs w:val="24"/>
        </w:rPr>
        <w:t xml:space="preserve"> </w:t>
      </w:r>
      <w:r w:rsidRPr="00E36D91" w:rsidR="00A955C0">
        <w:rPr>
          <w:rFonts w:ascii="Palatino Linotype" w:hAnsi="Palatino Linotype"/>
          <w:sz w:val="24"/>
          <w:szCs w:val="24"/>
        </w:rPr>
        <w:t xml:space="preserve">staff via email to </w:t>
      </w:r>
      <w:hyperlink w:history="1" r:id="rId8">
        <w:r w:rsidRPr="00E36D91" w:rsidR="00A955C0">
          <w:rPr>
            <w:rStyle w:val="Hyperlink"/>
            <w:rFonts w:ascii="Palatino Linotype" w:hAnsi="Palatino Linotype"/>
            <w:sz w:val="24"/>
            <w:szCs w:val="24"/>
          </w:rPr>
          <w:t>cdcompliance@cpuc.ca.gov</w:t>
        </w:r>
      </w:hyperlink>
      <w:r w:rsidRPr="00E36D91">
        <w:rPr>
          <w:rFonts w:ascii="Palatino Linotype" w:hAnsi="Palatino Linotype" w:cs="Times New Roman"/>
          <w:sz w:val="24"/>
          <w:szCs w:val="24"/>
        </w:rPr>
        <w:t xml:space="preserve"> if they provide services to any of the carriers listed in Appendix A and to cease from conducting business with </w:t>
      </w:r>
      <w:r w:rsidR="00E678FF">
        <w:rPr>
          <w:rFonts w:ascii="Palatino Linotype" w:hAnsi="Palatino Linotype" w:cs="Times New Roman"/>
          <w:sz w:val="24"/>
          <w:szCs w:val="24"/>
        </w:rPr>
        <w:t xml:space="preserve">any </w:t>
      </w:r>
      <w:r w:rsidRPr="00E36D91">
        <w:rPr>
          <w:rFonts w:ascii="Palatino Linotype" w:hAnsi="Palatino Linotype" w:cs="Times New Roman"/>
          <w:sz w:val="24"/>
          <w:szCs w:val="24"/>
        </w:rPr>
        <w:t>carrier</w:t>
      </w:r>
      <w:r w:rsidR="00E678FF">
        <w:rPr>
          <w:rFonts w:ascii="Palatino Linotype" w:hAnsi="Palatino Linotype" w:cs="Times New Roman"/>
          <w:sz w:val="24"/>
          <w:szCs w:val="24"/>
        </w:rPr>
        <w:t xml:space="preserve"> that has had its license</w:t>
      </w:r>
      <w:r w:rsidRPr="00E36D91">
        <w:rPr>
          <w:rFonts w:ascii="Palatino Linotype" w:hAnsi="Palatino Linotype" w:cs="Times New Roman"/>
          <w:sz w:val="24"/>
          <w:szCs w:val="24"/>
        </w:rPr>
        <w:t xml:space="preserve"> </w:t>
      </w:r>
      <w:r w:rsidR="00406725">
        <w:rPr>
          <w:rFonts w:ascii="Palatino Linotype" w:hAnsi="Palatino Linotype" w:cs="Times New Roman"/>
          <w:sz w:val="24"/>
          <w:szCs w:val="24"/>
        </w:rPr>
        <w:t xml:space="preserve">or registration </w:t>
      </w:r>
      <w:r w:rsidRPr="00E36D91">
        <w:rPr>
          <w:rFonts w:ascii="Palatino Linotype" w:hAnsi="Palatino Linotype" w:cs="Times New Roman"/>
          <w:sz w:val="24"/>
          <w:szCs w:val="24"/>
        </w:rPr>
        <w:t>revoked by this Resolution.</w:t>
      </w:r>
      <w:r w:rsidR="00E678FF">
        <w:rPr>
          <w:rFonts w:ascii="Palatino Linotype" w:hAnsi="Palatino Linotype" w:cs="Times New Roman"/>
          <w:sz w:val="24"/>
          <w:szCs w:val="24"/>
        </w:rPr>
        <w:t xml:space="preserve"> </w:t>
      </w:r>
    </w:p>
    <w:p w:rsidRPr="00E36D91" w:rsidR="005B4ECE" w:rsidP="00366BB3" w:rsidRDefault="005B4ECE" w14:paraId="05CFFC4C" w14:textId="77777777">
      <w:pPr>
        <w:pStyle w:val="HTMLPreformatted"/>
        <w:rPr>
          <w:rFonts w:ascii="Palatino Linotype" w:hAnsi="Palatino Linotype"/>
          <w:sz w:val="24"/>
          <w:szCs w:val="24"/>
        </w:rPr>
      </w:pPr>
    </w:p>
    <w:p w:rsidRPr="00E36D91" w:rsidR="00A82E46" w:rsidP="009D3BB8" w:rsidRDefault="008B58D6" w14:paraId="45653EE5" w14:textId="5FE1BBDE">
      <w:pPr>
        <w:pStyle w:val="HTMLPreformatted"/>
        <w:rPr>
          <w:rFonts w:ascii="Palatino Linotype" w:hAnsi="Palatino Linotype"/>
          <w:sz w:val="24"/>
          <w:szCs w:val="24"/>
        </w:rPr>
      </w:pPr>
      <w:r w:rsidRPr="00E36D91">
        <w:rPr>
          <w:rFonts w:ascii="Palatino Linotype" w:hAnsi="Palatino Linotype"/>
          <w:sz w:val="24"/>
          <w:szCs w:val="24"/>
        </w:rPr>
        <w:t xml:space="preserve">After revocation of </w:t>
      </w:r>
      <w:r w:rsidRPr="00E36D91" w:rsidR="00BD7DF9">
        <w:rPr>
          <w:rFonts w:ascii="Palatino Linotype" w:hAnsi="Palatino Linotype"/>
          <w:sz w:val="24"/>
          <w:szCs w:val="24"/>
        </w:rPr>
        <w:t xml:space="preserve">its </w:t>
      </w:r>
      <w:r w:rsidRPr="00E36D91">
        <w:rPr>
          <w:rFonts w:ascii="Palatino Linotype" w:hAnsi="Palatino Linotype"/>
          <w:sz w:val="24"/>
          <w:szCs w:val="24"/>
        </w:rPr>
        <w:t xml:space="preserve">operating authority, a wireline carrier seeking to continue operating </w:t>
      </w:r>
      <w:r w:rsidR="00731481">
        <w:rPr>
          <w:rFonts w:ascii="Palatino Linotype" w:hAnsi="Palatino Linotype"/>
          <w:sz w:val="24"/>
          <w:szCs w:val="24"/>
        </w:rPr>
        <w:t xml:space="preserve">in California </w:t>
      </w:r>
      <w:r w:rsidRPr="00E36D91" w:rsidR="00F56C93">
        <w:rPr>
          <w:rFonts w:ascii="Palatino Linotype" w:hAnsi="Palatino Linotype"/>
          <w:sz w:val="24"/>
          <w:szCs w:val="24"/>
        </w:rPr>
        <w:t>must file a P</w:t>
      </w:r>
      <w:r w:rsidR="00C115D6">
        <w:rPr>
          <w:rFonts w:ascii="Palatino Linotype" w:hAnsi="Palatino Linotype"/>
          <w:sz w:val="24"/>
          <w:szCs w:val="24"/>
        </w:rPr>
        <w:t xml:space="preserve">ub. </w:t>
      </w:r>
      <w:r w:rsidRPr="00E36D91" w:rsidR="00F56C93">
        <w:rPr>
          <w:rFonts w:ascii="Palatino Linotype" w:hAnsi="Palatino Linotype"/>
          <w:sz w:val="24"/>
          <w:szCs w:val="24"/>
        </w:rPr>
        <w:t>U</w:t>
      </w:r>
      <w:r w:rsidR="00C115D6">
        <w:rPr>
          <w:rFonts w:ascii="Palatino Linotype" w:hAnsi="Palatino Linotype"/>
          <w:sz w:val="24"/>
          <w:szCs w:val="24"/>
        </w:rPr>
        <w:t xml:space="preserve">til. </w:t>
      </w:r>
      <w:r w:rsidRPr="00E36D91" w:rsidR="00F56C93">
        <w:rPr>
          <w:rFonts w:ascii="Palatino Linotype" w:hAnsi="Palatino Linotype"/>
          <w:sz w:val="24"/>
          <w:szCs w:val="24"/>
        </w:rPr>
        <w:t xml:space="preserve"> Code § 1001 application </w:t>
      </w:r>
      <w:r w:rsidRPr="00E36D91">
        <w:rPr>
          <w:rFonts w:ascii="Palatino Linotype" w:hAnsi="Palatino Linotype"/>
          <w:sz w:val="24"/>
          <w:szCs w:val="24"/>
        </w:rPr>
        <w:t>for a new</w:t>
      </w:r>
      <w:r w:rsidRPr="00E36D91" w:rsidR="00E629BB">
        <w:rPr>
          <w:rFonts w:ascii="Palatino Linotype" w:hAnsi="Palatino Linotype"/>
          <w:sz w:val="24"/>
          <w:szCs w:val="24"/>
        </w:rPr>
        <w:t xml:space="preserve"> </w:t>
      </w:r>
      <w:r w:rsidRPr="00E36D91" w:rsidR="00F56C93">
        <w:rPr>
          <w:rFonts w:ascii="Palatino Linotype" w:hAnsi="Palatino Linotype"/>
          <w:sz w:val="24"/>
          <w:szCs w:val="24"/>
        </w:rPr>
        <w:t xml:space="preserve">operating </w:t>
      </w:r>
      <w:r w:rsidRPr="00E36D91" w:rsidR="00260D18">
        <w:rPr>
          <w:rFonts w:ascii="Palatino Linotype" w:hAnsi="Palatino Linotype"/>
          <w:sz w:val="24"/>
          <w:szCs w:val="24"/>
        </w:rPr>
        <w:t>authority</w:t>
      </w:r>
      <w:r w:rsidR="00731481">
        <w:rPr>
          <w:rFonts w:ascii="Palatino Linotype" w:hAnsi="Palatino Linotype"/>
          <w:sz w:val="24"/>
          <w:szCs w:val="24"/>
        </w:rPr>
        <w:t>, e</w:t>
      </w:r>
      <w:r w:rsidRPr="00E36D91" w:rsidR="00260D18">
        <w:rPr>
          <w:rFonts w:ascii="Palatino Linotype" w:hAnsi="Palatino Linotype"/>
          <w:sz w:val="24"/>
          <w:szCs w:val="24"/>
        </w:rPr>
        <w:t>ven</w:t>
      </w:r>
      <w:r w:rsidRPr="00E36D91">
        <w:rPr>
          <w:rFonts w:ascii="Palatino Linotype" w:hAnsi="Palatino Linotype"/>
          <w:sz w:val="24"/>
          <w:szCs w:val="24"/>
        </w:rPr>
        <w:t xml:space="preserve"> if the </w:t>
      </w:r>
      <w:r w:rsidRPr="00E36D91" w:rsidR="00F56C93">
        <w:rPr>
          <w:rFonts w:ascii="Palatino Linotype" w:hAnsi="Palatino Linotype"/>
          <w:sz w:val="24"/>
          <w:szCs w:val="24"/>
        </w:rPr>
        <w:t xml:space="preserve">Commission previously granted a </w:t>
      </w:r>
      <w:r w:rsidRPr="00E36D91">
        <w:rPr>
          <w:rFonts w:ascii="Palatino Linotype" w:hAnsi="Palatino Linotype"/>
          <w:sz w:val="24"/>
          <w:szCs w:val="24"/>
        </w:rPr>
        <w:t xml:space="preserve">carrier </w:t>
      </w:r>
      <w:r w:rsidRPr="00E36D91" w:rsidR="005B4ECE">
        <w:rPr>
          <w:rFonts w:ascii="Palatino Linotype" w:hAnsi="Palatino Linotype"/>
          <w:sz w:val="24"/>
          <w:szCs w:val="24"/>
        </w:rPr>
        <w:t>operating authority under the Simplified registration process pursuant to P</w:t>
      </w:r>
      <w:r w:rsidR="00C115D6">
        <w:rPr>
          <w:rFonts w:ascii="Palatino Linotype" w:hAnsi="Palatino Linotype"/>
          <w:sz w:val="24"/>
          <w:szCs w:val="24"/>
        </w:rPr>
        <w:t xml:space="preserve">ub. </w:t>
      </w:r>
      <w:r w:rsidRPr="00E36D91" w:rsidR="005B4ECE">
        <w:rPr>
          <w:rFonts w:ascii="Palatino Linotype" w:hAnsi="Palatino Linotype"/>
          <w:sz w:val="24"/>
          <w:szCs w:val="24"/>
        </w:rPr>
        <w:t>U</w:t>
      </w:r>
      <w:r w:rsidR="00C115D6">
        <w:rPr>
          <w:rFonts w:ascii="Palatino Linotype" w:hAnsi="Palatino Linotype"/>
          <w:sz w:val="24"/>
          <w:szCs w:val="24"/>
        </w:rPr>
        <w:t>til.</w:t>
      </w:r>
      <w:r w:rsidRPr="00E36D91" w:rsidR="005B4ECE">
        <w:rPr>
          <w:rFonts w:ascii="Palatino Linotype" w:hAnsi="Palatino Linotype"/>
          <w:sz w:val="24"/>
          <w:szCs w:val="24"/>
        </w:rPr>
        <w:t xml:space="preserve"> Code § 1013</w:t>
      </w:r>
      <w:r w:rsidR="00731481">
        <w:rPr>
          <w:rFonts w:ascii="Palatino Linotype" w:hAnsi="Palatino Linotype"/>
          <w:sz w:val="24"/>
          <w:szCs w:val="24"/>
        </w:rPr>
        <w:t>.  I</w:t>
      </w:r>
      <w:r w:rsidRPr="00E36D91">
        <w:rPr>
          <w:rFonts w:ascii="Palatino Linotype" w:hAnsi="Palatino Linotype"/>
          <w:sz w:val="24"/>
          <w:szCs w:val="24"/>
        </w:rPr>
        <w:t>n</w:t>
      </w:r>
      <w:r w:rsidRPr="00E36D91" w:rsidR="00F56C93">
        <w:rPr>
          <w:rFonts w:ascii="Palatino Linotype" w:hAnsi="Palatino Linotype"/>
          <w:sz w:val="24"/>
          <w:szCs w:val="24"/>
        </w:rPr>
        <w:t xml:space="preserve"> its application</w:t>
      </w:r>
      <w:r w:rsidRPr="00E36D91">
        <w:rPr>
          <w:rFonts w:ascii="Palatino Linotype" w:hAnsi="Palatino Linotype"/>
          <w:sz w:val="24"/>
          <w:szCs w:val="24"/>
        </w:rPr>
        <w:t xml:space="preserve">, </w:t>
      </w:r>
      <w:r w:rsidRPr="00E36D91" w:rsidR="00F56C93">
        <w:rPr>
          <w:rFonts w:ascii="Palatino Linotype" w:hAnsi="Palatino Linotype"/>
          <w:sz w:val="24"/>
          <w:szCs w:val="24"/>
        </w:rPr>
        <w:t xml:space="preserve">the carrier </w:t>
      </w:r>
      <w:r w:rsidRPr="00E36D91">
        <w:rPr>
          <w:rFonts w:ascii="Palatino Linotype" w:hAnsi="Palatino Linotype"/>
          <w:sz w:val="24"/>
          <w:szCs w:val="24"/>
        </w:rPr>
        <w:t xml:space="preserve">must disclose the previous revocation via </w:t>
      </w:r>
      <w:proofErr w:type="gramStart"/>
      <w:r w:rsidR="00731481">
        <w:rPr>
          <w:rFonts w:ascii="Palatino Linotype" w:hAnsi="Palatino Linotype"/>
          <w:sz w:val="24"/>
          <w:szCs w:val="24"/>
        </w:rPr>
        <w:t xml:space="preserve">a </w:t>
      </w:r>
      <w:r w:rsidRPr="00E36D91">
        <w:rPr>
          <w:rFonts w:ascii="Palatino Linotype" w:hAnsi="Palatino Linotype"/>
          <w:sz w:val="24"/>
          <w:szCs w:val="24"/>
        </w:rPr>
        <w:t>sworn affidavit</w:t>
      </w:r>
      <w:proofErr w:type="gramEnd"/>
      <w:r w:rsidRPr="00E36D91">
        <w:rPr>
          <w:rFonts w:ascii="Palatino Linotype" w:hAnsi="Palatino Linotype"/>
          <w:sz w:val="24"/>
          <w:szCs w:val="24"/>
        </w:rPr>
        <w:t>.</w:t>
      </w:r>
      <w:r w:rsidRPr="00E36D91" w:rsidR="009D3BB8">
        <w:rPr>
          <w:rFonts w:ascii="Palatino Linotype" w:hAnsi="Palatino Linotype"/>
          <w:sz w:val="24"/>
          <w:szCs w:val="24"/>
        </w:rPr>
        <w:t xml:space="preserve">  Similarly,</w:t>
      </w:r>
      <w:r w:rsidRPr="00E36D91" w:rsidR="002C2A86">
        <w:rPr>
          <w:rFonts w:ascii="Palatino Linotype" w:hAnsi="Palatino Linotype"/>
          <w:sz w:val="24"/>
          <w:szCs w:val="24"/>
        </w:rPr>
        <w:t xml:space="preserve"> </w:t>
      </w:r>
      <w:r w:rsidRPr="00E36D91" w:rsidR="00BF04F7">
        <w:rPr>
          <w:rFonts w:ascii="Palatino Linotype" w:hAnsi="Palatino Linotype"/>
          <w:sz w:val="24"/>
          <w:szCs w:val="24"/>
        </w:rPr>
        <w:t xml:space="preserve">a </w:t>
      </w:r>
      <w:r w:rsidRPr="00E36D91" w:rsidR="009D3BB8">
        <w:rPr>
          <w:rFonts w:ascii="Palatino Linotype" w:hAnsi="Palatino Linotype"/>
          <w:sz w:val="24"/>
          <w:szCs w:val="24"/>
        </w:rPr>
        <w:t>wireless carrier</w:t>
      </w:r>
      <w:r w:rsidRPr="00E36D91" w:rsidR="00BF04F7">
        <w:rPr>
          <w:rFonts w:ascii="Palatino Linotype" w:hAnsi="Palatino Linotype"/>
          <w:sz w:val="24"/>
          <w:szCs w:val="24"/>
        </w:rPr>
        <w:t xml:space="preserve"> </w:t>
      </w:r>
      <w:r w:rsidRPr="00E36D91" w:rsidR="009D3BB8">
        <w:rPr>
          <w:rFonts w:ascii="Palatino Linotype" w:hAnsi="Palatino Linotype"/>
          <w:sz w:val="24"/>
          <w:szCs w:val="24"/>
        </w:rPr>
        <w:t xml:space="preserve">seeking to </w:t>
      </w:r>
      <w:r w:rsidR="00406725">
        <w:rPr>
          <w:rFonts w:ascii="Palatino Linotype" w:hAnsi="Palatino Linotype"/>
          <w:sz w:val="24"/>
          <w:szCs w:val="24"/>
        </w:rPr>
        <w:t xml:space="preserve">comply </w:t>
      </w:r>
      <w:r w:rsidR="008B1EE6">
        <w:rPr>
          <w:rFonts w:ascii="Palatino Linotype" w:hAnsi="Palatino Linotype"/>
          <w:sz w:val="24"/>
          <w:szCs w:val="24"/>
        </w:rPr>
        <w:t>with</w:t>
      </w:r>
      <w:r w:rsidR="00406725">
        <w:rPr>
          <w:rFonts w:ascii="Palatino Linotype" w:hAnsi="Palatino Linotype"/>
          <w:sz w:val="24"/>
          <w:szCs w:val="24"/>
        </w:rPr>
        <w:t xml:space="preserve"> the Commission’s registration requirements </w:t>
      </w:r>
      <w:r w:rsidRPr="00E36D91" w:rsidR="002C2A86">
        <w:rPr>
          <w:rFonts w:ascii="Palatino Linotype" w:hAnsi="Palatino Linotype"/>
          <w:sz w:val="24"/>
          <w:szCs w:val="24"/>
        </w:rPr>
        <w:t>must</w:t>
      </w:r>
      <w:r w:rsidRPr="00E36D91" w:rsidR="009D3BB8">
        <w:rPr>
          <w:rFonts w:ascii="Palatino Linotype" w:hAnsi="Palatino Linotype"/>
          <w:sz w:val="24"/>
          <w:szCs w:val="24"/>
        </w:rPr>
        <w:t xml:space="preserve"> apply for a </w:t>
      </w:r>
      <w:r w:rsidRPr="00E36D91" w:rsidR="004807B3">
        <w:rPr>
          <w:rFonts w:ascii="Palatino Linotype" w:hAnsi="Palatino Linotype"/>
          <w:sz w:val="24"/>
          <w:szCs w:val="24"/>
        </w:rPr>
        <w:t xml:space="preserve">new </w:t>
      </w:r>
      <w:r w:rsidRPr="00E36D91" w:rsidR="009D3BB8">
        <w:rPr>
          <w:rFonts w:ascii="Palatino Linotype" w:hAnsi="Palatino Linotype"/>
          <w:sz w:val="24"/>
          <w:szCs w:val="24"/>
        </w:rPr>
        <w:t>WIR</w:t>
      </w:r>
      <w:r w:rsidRPr="00E36D91" w:rsidR="00BD7DF9">
        <w:rPr>
          <w:rFonts w:ascii="Palatino Linotype" w:hAnsi="Palatino Linotype"/>
          <w:sz w:val="24"/>
          <w:szCs w:val="24"/>
        </w:rPr>
        <w:t xml:space="preserve"> and disclose the previous revocation via </w:t>
      </w:r>
      <w:proofErr w:type="gramStart"/>
      <w:r w:rsidR="00731481">
        <w:rPr>
          <w:rFonts w:ascii="Palatino Linotype" w:hAnsi="Palatino Linotype"/>
          <w:sz w:val="24"/>
          <w:szCs w:val="24"/>
        </w:rPr>
        <w:t xml:space="preserve">a </w:t>
      </w:r>
      <w:r w:rsidRPr="00E36D91" w:rsidR="00BD7DF9">
        <w:rPr>
          <w:rFonts w:ascii="Palatino Linotype" w:hAnsi="Palatino Linotype"/>
          <w:sz w:val="24"/>
          <w:szCs w:val="24"/>
        </w:rPr>
        <w:t>sworn affidavit</w:t>
      </w:r>
      <w:proofErr w:type="gramEnd"/>
      <w:r w:rsidRPr="00E36D91" w:rsidR="00BD7DF9">
        <w:rPr>
          <w:rFonts w:ascii="Palatino Linotype" w:hAnsi="Palatino Linotype"/>
          <w:sz w:val="24"/>
          <w:szCs w:val="24"/>
        </w:rPr>
        <w:t>.</w:t>
      </w:r>
      <w:r w:rsidRPr="00E36D91" w:rsidR="0047170E">
        <w:rPr>
          <w:rFonts w:ascii="Palatino Linotype" w:hAnsi="Palatino Linotype"/>
          <w:sz w:val="24"/>
          <w:szCs w:val="24"/>
        </w:rPr>
        <w:t xml:space="preserve"> </w:t>
      </w:r>
      <w:r w:rsidRPr="008B1EE6" w:rsidR="00F323F5">
        <w:rPr>
          <w:rFonts w:ascii="Palatino Linotype" w:hAnsi="Palatino Linotype"/>
          <w:sz w:val="24"/>
          <w:szCs w:val="24"/>
        </w:rPr>
        <w:t xml:space="preserve">All outstanding penalties, interest, surcharges, and </w:t>
      </w:r>
      <w:r w:rsidRPr="008B1EE6" w:rsidR="00F323F5">
        <w:rPr>
          <w:rFonts w:ascii="Palatino Linotype" w:hAnsi="Palatino Linotype"/>
          <w:sz w:val="24"/>
          <w:szCs w:val="24"/>
        </w:rPr>
        <w:lastRenderedPageBreak/>
        <w:t xml:space="preserve">user fees owed to the Commission shall be paid before any new CPCN or registration </w:t>
      </w:r>
      <w:r w:rsidR="008B1EE6">
        <w:rPr>
          <w:rFonts w:ascii="Palatino Linotype" w:hAnsi="Palatino Linotype"/>
          <w:sz w:val="24"/>
          <w:szCs w:val="24"/>
        </w:rPr>
        <w:t>is</w:t>
      </w:r>
      <w:r w:rsidRPr="008B1EE6" w:rsidR="00F323F5">
        <w:rPr>
          <w:rFonts w:ascii="Palatino Linotype" w:hAnsi="Palatino Linotype"/>
          <w:sz w:val="24"/>
          <w:szCs w:val="24"/>
        </w:rPr>
        <w:t xml:space="preserve"> approved.</w:t>
      </w:r>
    </w:p>
    <w:p w:rsidRPr="00E36D91" w:rsidR="00240CFF" w:rsidP="009D3BB8" w:rsidRDefault="00240CFF" w14:paraId="2CFFF751" w14:textId="72BFB44A">
      <w:pPr>
        <w:pStyle w:val="HTMLPreformatted"/>
        <w:rPr>
          <w:rFonts w:ascii="Palatino Linotype" w:hAnsi="Palatino Linotype"/>
          <w:sz w:val="24"/>
          <w:szCs w:val="24"/>
        </w:rPr>
      </w:pPr>
    </w:p>
    <w:p w:rsidRPr="00E36D91" w:rsidR="00CE58FE" w:rsidP="00CE58FE" w:rsidRDefault="00240CFF" w14:paraId="2EDEE6DA" w14:textId="46A2C243">
      <w:pPr>
        <w:pStyle w:val="HTMLPreformatted"/>
        <w:rPr>
          <w:rFonts w:ascii="Palatino Linotype" w:hAnsi="Palatino Linotype"/>
          <w:sz w:val="24"/>
          <w:szCs w:val="24"/>
        </w:rPr>
      </w:pPr>
      <w:r w:rsidRPr="00E36D91">
        <w:rPr>
          <w:rFonts w:ascii="Palatino Linotype" w:hAnsi="Palatino Linotype"/>
          <w:sz w:val="24"/>
          <w:szCs w:val="24"/>
        </w:rPr>
        <w:t xml:space="preserve">Carriers that continue to operate after revocation of </w:t>
      </w:r>
      <w:r w:rsidR="00731481">
        <w:rPr>
          <w:rFonts w:ascii="Palatino Linotype" w:hAnsi="Palatino Linotype"/>
          <w:sz w:val="24"/>
          <w:szCs w:val="24"/>
        </w:rPr>
        <w:t>their</w:t>
      </w:r>
      <w:r w:rsidRPr="00E36D91">
        <w:rPr>
          <w:rFonts w:ascii="Palatino Linotype" w:hAnsi="Palatino Linotype"/>
          <w:sz w:val="24"/>
          <w:szCs w:val="24"/>
        </w:rPr>
        <w:t xml:space="preserve"> operating authority </w:t>
      </w:r>
      <w:r w:rsidR="00406725">
        <w:rPr>
          <w:rFonts w:ascii="Palatino Linotype" w:hAnsi="Palatino Linotype"/>
          <w:sz w:val="24"/>
          <w:szCs w:val="24"/>
        </w:rPr>
        <w:t xml:space="preserve">or </w:t>
      </w:r>
      <w:r w:rsidR="008B1EE6">
        <w:rPr>
          <w:rFonts w:ascii="Palatino Linotype" w:hAnsi="Palatino Linotype"/>
          <w:sz w:val="24"/>
          <w:szCs w:val="24"/>
        </w:rPr>
        <w:t>registration and</w:t>
      </w:r>
      <w:r w:rsidRPr="00E36D91" w:rsidR="00CE58FE">
        <w:rPr>
          <w:rFonts w:ascii="Palatino Linotype" w:hAnsi="Palatino Linotype"/>
          <w:sz w:val="24"/>
          <w:szCs w:val="24"/>
        </w:rPr>
        <w:t xml:space="preserve"> fail to obtain the requisite operating authority</w:t>
      </w:r>
      <w:r w:rsidR="00406725">
        <w:rPr>
          <w:rFonts w:ascii="Palatino Linotype" w:hAnsi="Palatino Linotype"/>
          <w:sz w:val="24"/>
          <w:szCs w:val="24"/>
        </w:rPr>
        <w:t xml:space="preserve"> or registration</w:t>
      </w:r>
      <w:r w:rsidRPr="00E36D91" w:rsidR="00CE58FE">
        <w:rPr>
          <w:rFonts w:ascii="Palatino Linotype" w:hAnsi="Palatino Linotype"/>
          <w:sz w:val="24"/>
          <w:szCs w:val="24"/>
        </w:rPr>
        <w:t xml:space="preserve"> </w:t>
      </w:r>
      <w:r w:rsidRPr="00E36D91">
        <w:rPr>
          <w:rFonts w:ascii="Palatino Linotype" w:hAnsi="Palatino Linotype"/>
          <w:sz w:val="24"/>
          <w:szCs w:val="24"/>
        </w:rPr>
        <w:t xml:space="preserve">will </w:t>
      </w:r>
      <w:r w:rsidRPr="00E36D91" w:rsidR="00CE58FE">
        <w:rPr>
          <w:rFonts w:ascii="Palatino Linotype" w:hAnsi="Palatino Linotype"/>
          <w:sz w:val="24"/>
          <w:szCs w:val="24"/>
        </w:rPr>
        <w:t xml:space="preserve">be subject to </w:t>
      </w:r>
      <w:r w:rsidRPr="004D1D15" w:rsidR="00CE58FE">
        <w:rPr>
          <w:rFonts w:ascii="Palatino Linotype" w:hAnsi="Palatino Linotype"/>
          <w:sz w:val="24"/>
          <w:szCs w:val="24"/>
        </w:rPr>
        <w:t>enforcement action by the Commission, including possible fines or other sanctions.</w:t>
      </w:r>
    </w:p>
    <w:p w:rsidRPr="004D1D15" w:rsidR="00583E3C" w:rsidP="00CE58FE" w:rsidRDefault="00583E3C" w14:paraId="1D744A5A" w14:textId="77777777">
      <w:pPr>
        <w:pStyle w:val="HTMLPreformatted"/>
        <w:rPr>
          <w:rFonts w:ascii="Palatino Linotype" w:hAnsi="Palatino Linotype"/>
          <w:sz w:val="24"/>
          <w:szCs w:val="24"/>
        </w:rPr>
      </w:pPr>
      <w:bookmarkStart w:name="_Hlk23167644" w:id="5"/>
    </w:p>
    <w:p w:rsidRPr="00E36D91" w:rsidR="00A362FB" w:rsidRDefault="00B221EE" w14:paraId="04B83ED3" w14:textId="6E932160">
      <w:pPr>
        <w:rPr>
          <w:rFonts w:ascii="Palatino Linotype" w:hAnsi="Palatino Linotype"/>
          <w:b/>
          <w:szCs w:val="24"/>
          <w:u w:val="single"/>
        </w:rPr>
      </w:pPr>
      <w:r w:rsidRPr="00E36D91">
        <w:rPr>
          <w:rFonts w:ascii="Palatino Linotype" w:hAnsi="Palatino Linotype"/>
          <w:b/>
          <w:szCs w:val="24"/>
          <w:u w:val="single"/>
        </w:rPr>
        <w:t>COMMENTS ON THE DRAFT RESOLUTION</w:t>
      </w:r>
    </w:p>
    <w:p w:rsidRPr="00E36D91" w:rsidR="000E2562" w:rsidRDefault="00FD64CC" w14:paraId="047D85CD" w14:textId="5A6F8E70">
      <w:pPr>
        <w:rPr>
          <w:rFonts w:ascii="Palatino Linotype" w:hAnsi="Palatino Linotype"/>
          <w:b/>
          <w:szCs w:val="24"/>
          <w:u w:val="single"/>
        </w:rPr>
      </w:pPr>
      <w:r w:rsidRPr="00E36D91">
        <w:rPr>
          <w:rFonts w:ascii="Palatino Linotype" w:hAnsi="Palatino Linotype"/>
          <w:b/>
          <w:szCs w:val="24"/>
          <w:u w:val="single"/>
        </w:rPr>
        <w:t xml:space="preserve"> </w:t>
      </w:r>
    </w:p>
    <w:bookmarkEnd w:id="5"/>
    <w:p w:rsidRPr="00E36D91" w:rsidR="001C52BD" w:rsidP="00B25A79" w:rsidRDefault="00C91DF0" w14:paraId="703967B9" w14:textId="3E57C6FB">
      <w:pPr>
        <w:keepNext/>
        <w:tabs>
          <w:tab w:val="right" w:pos="10080"/>
        </w:tabs>
        <w:rPr>
          <w:rFonts w:ascii="Palatino Linotype" w:hAnsi="Palatino Linotype"/>
          <w:szCs w:val="24"/>
        </w:rPr>
      </w:pPr>
      <w:r w:rsidRPr="00E36D91">
        <w:rPr>
          <w:rFonts w:ascii="Palatino Linotype" w:hAnsi="Palatino Linotype"/>
          <w:szCs w:val="24"/>
        </w:rPr>
        <w:t>In compliance with P</w:t>
      </w:r>
      <w:r w:rsidR="00C115D6">
        <w:rPr>
          <w:rFonts w:ascii="Palatino Linotype" w:hAnsi="Palatino Linotype"/>
          <w:szCs w:val="24"/>
        </w:rPr>
        <w:t xml:space="preserve">ub. </w:t>
      </w:r>
      <w:r w:rsidRPr="00E36D91">
        <w:rPr>
          <w:rFonts w:ascii="Palatino Linotype" w:hAnsi="Palatino Linotype"/>
          <w:szCs w:val="24"/>
        </w:rPr>
        <w:t>U</w:t>
      </w:r>
      <w:r w:rsidR="00C115D6">
        <w:rPr>
          <w:rFonts w:ascii="Palatino Linotype" w:hAnsi="Palatino Linotype"/>
          <w:szCs w:val="24"/>
        </w:rPr>
        <w:t>til.</w:t>
      </w:r>
      <w:r w:rsidRPr="00E36D91">
        <w:rPr>
          <w:rFonts w:ascii="Palatino Linotype" w:hAnsi="Palatino Linotype"/>
          <w:szCs w:val="24"/>
        </w:rPr>
        <w:t xml:space="preserve"> Code § 311 (g), a Notice of Availability was e-mailed on </w:t>
      </w:r>
      <w:r w:rsidRPr="00D033D0" w:rsidR="00D033D0">
        <w:rPr>
          <w:rFonts w:ascii="Palatino Linotype" w:hAnsi="Palatino Linotype"/>
          <w:szCs w:val="24"/>
        </w:rPr>
        <w:t>March 1</w:t>
      </w:r>
      <w:r w:rsidR="00937F1A">
        <w:rPr>
          <w:rFonts w:ascii="Palatino Linotype" w:hAnsi="Palatino Linotype"/>
          <w:szCs w:val="24"/>
        </w:rPr>
        <w:t>2</w:t>
      </w:r>
      <w:r w:rsidRPr="00D033D0" w:rsidR="00D033D0">
        <w:rPr>
          <w:rFonts w:ascii="Palatino Linotype" w:hAnsi="Palatino Linotype"/>
          <w:szCs w:val="24"/>
        </w:rPr>
        <w:t>, 2024</w:t>
      </w:r>
      <w:r w:rsidRPr="00D033D0">
        <w:rPr>
          <w:rFonts w:ascii="Palatino Linotype" w:hAnsi="Palatino Linotype"/>
          <w:szCs w:val="24"/>
        </w:rPr>
        <w:t>, to all</w:t>
      </w:r>
      <w:r w:rsidRPr="00E36D91">
        <w:rPr>
          <w:rFonts w:ascii="Palatino Linotype" w:hAnsi="Palatino Linotype"/>
          <w:szCs w:val="24"/>
        </w:rPr>
        <w:t xml:space="preserve"> telephone carriers informing these parties that the draft of this Resolution is available at the Commission’s website </w:t>
      </w:r>
      <w:hyperlink w:history="1" r:id="rId9">
        <w:r w:rsidRPr="00AB6A15" w:rsidR="00945E01">
          <w:rPr>
            <w:rStyle w:val="Hyperlink"/>
            <w:rFonts w:ascii="Palatino Linotype" w:hAnsi="Palatino Linotype"/>
            <w:szCs w:val="24"/>
          </w:rPr>
          <w:t>http://www.cpuc.ca.gov/</w:t>
        </w:r>
      </w:hyperlink>
      <w:r w:rsidRPr="00E36D91">
        <w:rPr>
          <w:rFonts w:ascii="Palatino Linotype" w:hAnsi="Palatino Linotype"/>
          <w:szCs w:val="24"/>
        </w:rPr>
        <w:t xml:space="preserve"> and is available for public comments</w:t>
      </w:r>
      <w:r w:rsidR="0047427E">
        <w:rPr>
          <w:rFonts w:ascii="Palatino Linotype" w:hAnsi="Palatino Linotype"/>
          <w:szCs w:val="24"/>
        </w:rPr>
        <w:t xml:space="preserve"> </w:t>
      </w:r>
      <w:r w:rsidR="0047427E">
        <w:t xml:space="preserve">The Commission received no public comments. </w:t>
      </w:r>
      <w:r w:rsidRPr="00E36D91" w:rsidR="0047427E">
        <w:rPr>
          <w:rFonts w:ascii="Palatino Linotype" w:hAnsi="Palatino Linotype"/>
          <w:szCs w:val="24"/>
        </w:rPr>
        <w:t xml:space="preserve"> </w:t>
      </w:r>
    </w:p>
    <w:p w:rsidRPr="00E36D91" w:rsidR="00C91DF0" w:rsidP="00E2352B" w:rsidRDefault="00C91DF0" w14:paraId="1BED4EE1" w14:textId="77777777">
      <w:pPr>
        <w:rPr>
          <w:rFonts w:ascii="Palatino Linotype" w:hAnsi="Palatino Linotype"/>
          <w:b/>
          <w:szCs w:val="24"/>
          <w:u w:val="single"/>
        </w:rPr>
      </w:pPr>
    </w:p>
    <w:p w:rsidRPr="00E36D91" w:rsidR="00E2352B" w:rsidP="00E2352B" w:rsidRDefault="00B221EE" w14:paraId="732B40C2" w14:textId="0265F179">
      <w:pPr>
        <w:rPr>
          <w:rFonts w:ascii="Palatino Linotype" w:hAnsi="Palatino Linotype"/>
          <w:szCs w:val="24"/>
        </w:rPr>
      </w:pPr>
      <w:r w:rsidRPr="00E36D91">
        <w:rPr>
          <w:rFonts w:ascii="Palatino Linotype" w:hAnsi="Palatino Linotype"/>
          <w:b/>
          <w:szCs w:val="24"/>
          <w:u w:val="single"/>
        </w:rPr>
        <w:t>FINDINGS</w:t>
      </w:r>
      <w:r w:rsidRPr="00E36D91" w:rsidR="00505502">
        <w:rPr>
          <w:rFonts w:ascii="Palatino Linotype" w:hAnsi="Palatino Linotype"/>
          <w:b/>
          <w:szCs w:val="24"/>
          <w:u w:val="single"/>
        </w:rPr>
        <w:t xml:space="preserve"> AND CONCLUSIONS</w:t>
      </w:r>
    </w:p>
    <w:p w:rsidRPr="00E36D91" w:rsidR="00E2352B" w:rsidP="00E2352B" w:rsidRDefault="00E2352B" w14:paraId="5D604F88" w14:textId="77777777">
      <w:pPr>
        <w:pStyle w:val="Default"/>
        <w:ind w:left="720"/>
        <w:rPr>
          <w:rFonts w:ascii="Palatino Linotype" w:hAnsi="Palatino Linotype" w:cs="Times New Roman"/>
          <w:color w:val="auto"/>
        </w:rPr>
      </w:pPr>
    </w:p>
    <w:p w:rsidR="003C4510" w:rsidP="00DD3819" w:rsidRDefault="75EBC0A7" w14:paraId="7E507266" w14:textId="11704843">
      <w:pPr>
        <w:keepNext/>
        <w:numPr>
          <w:ilvl w:val="0"/>
          <w:numId w:val="59"/>
        </w:numPr>
        <w:overflowPunct/>
        <w:spacing w:after="120"/>
        <w:textAlignment w:val="auto"/>
        <w:rPr>
          <w:rFonts w:ascii="Palatino Linotype" w:hAnsi="Palatino Linotype"/>
          <w:szCs w:val="24"/>
        </w:rPr>
      </w:pPr>
      <w:r w:rsidRPr="00E36D91">
        <w:rPr>
          <w:rFonts w:ascii="Palatino Linotype" w:hAnsi="Palatino Linotype"/>
          <w:szCs w:val="24"/>
        </w:rPr>
        <w:t>The Commission has broad regulatory authority and grants operating authority to telephone corporations via the Certificate of Public Convenience and Necessity Application process (pursuant to P</w:t>
      </w:r>
      <w:r w:rsidR="00C115D6">
        <w:rPr>
          <w:rFonts w:ascii="Palatino Linotype" w:hAnsi="Palatino Linotype"/>
          <w:szCs w:val="24"/>
        </w:rPr>
        <w:t xml:space="preserve">ub. </w:t>
      </w:r>
      <w:r w:rsidRPr="00E36D91">
        <w:rPr>
          <w:rFonts w:ascii="Palatino Linotype" w:hAnsi="Palatino Linotype"/>
          <w:szCs w:val="24"/>
        </w:rPr>
        <w:t>U</w:t>
      </w:r>
      <w:r w:rsidR="00C115D6">
        <w:rPr>
          <w:rFonts w:ascii="Palatino Linotype" w:hAnsi="Palatino Linotype"/>
          <w:szCs w:val="24"/>
        </w:rPr>
        <w:t>til.</w:t>
      </w:r>
      <w:r w:rsidRPr="00E36D91">
        <w:rPr>
          <w:rFonts w:ascii="Palatino Linotype" w:hAnsi="Palatino Linotype"/>
          <w:szCs w:val="24"/>
        </w:rPr>
        <w:t xml:space="preserve"> Code § 1001), the </w:t>
      </w:r>
      <w:r w:rsidRPr="00E36D91" w:rsidR="00F26067">
        <w:rPr>
          <w:rFonts w:ascii="Palatino Linotype" w:hAnsi="Palatino Linotype"/>
          <w:szCs w:val="24"/>
        </w:rPr>
        <w:t>Simplified Registration</w:t>
      </w:r>
      <w:r w:rsidRPr="00E36D91">
        <w:rPr>
          <w:rFonts w:ascii="Palatino Linotype" w:hAnsi="Palatino Linotype"/>
          <w:szCs w:val="24"/>
        </w:rPr>
        <w:t xml:space="preserve"> process (pursuant to P</w:t>
      </w:r>
      <w:r w:rsidR="00C14B6C">
        <w:rPr>
          <w:rFonts w:ascii="Palatino Linotype" w:hAnsi="Palatino Linotype"/>
          <w:szCs w:val="24"/>
        </w:rPr>
        <w:t xml:space="preserve">ub. </w:t>
      </w:r>
      <w:r w:rsidRPr="00E36D91">
        <w:rPr>
          <w:rFonts w:ascii="Palatino Linotype" w:hAnsi="Palatino Linotype"/>
          <w:szCs w:val="24"/>
        </w:rPr>
        <w:t>U</w:t>
      </w:r>
      <w:r w:rsidR="00C14B6C">
        <w:rPr>
          <w:rFonts w:ascii="Palatino Linotype" w:hAnsi="Palatino Linotype"/>
          <w:szCs w:val="24"/>
        </w:rPr>
        <w:t>til.</w:t>
      </w:r>
      <w:r w:rsidRPr="00E36D91">
        <w:rPr>
          <w:rFonts w:ascii="Palatino Linotype" w:hAnsi="Palatino Linotype"/>
          <w:szCs w:val="24"/>
        </w:rPr>
        <w:t xml:space="preserve"> Code § 1013)</w:t>
      </w:r>
      <w:r w:rsidRPr="00E36D91" w:rsidR="00F56C93">
        <w:rPr>
          <w:rFonts w:ascii="Palatino Linotype" w:hAnsi="Palatino Linotype"/>
          <w:szCs w:val="24"/>
        </w:rPr>
        <w:t>,</w:t>
      </w:r>
      <w:r w:rsidRPr="00E36D91">
        <w:rPr>
          <w:rFonts w:ascii="Palatino Linotype" w:hAnsi="Palatino Linotype"/>
          <w:szCs w:val="24"/>
        </w:rPr>
        <w:t xml:space="preserve"> or </w:t>
      </w:r>
      <w:r w:rsidRPr="00E36D91" w:rsidR="00F56C93">
        <w:rPr>
          <w:rFonts w:ascii="Palatino Linotype" w:hAnsi="Palatino Linotype"/>
          <w:szCs w:val="24"/>
        </w:rPr>
        <w:t xml:space="preserve">the </w:t>
      </w:r>
      <w:r w:rsidRPr="00E36D91">
        <w:rPr>
          <w:rFonts w:ascii="Palatino Linotype" w:hAnsi="Palatino Linotype"/>
          <w:szCs w:val="24"/>
        </w:rPr>
        <w:t xml:space="preserve">Wireless Identification Registration process (pursuant to D.94-10-031). </w:t>
      </w:r>
    </w:p>
    <w:p w:rsidR="00E629BB" w:rsidP="00DD3819" w:rsidRDefault="00E629BB" w14:paraId="52EDA0F3" w14:textId="7D5B1D4E">
      <w:pPr>
        <w:keepNext/>
        <w:numPr>
          <w:ilvl w:val="0"/>
          <w:numId w:val="59"/>
        </w:numPr>
        <w:overflowPunct/>
        <w:spacing w:after="120"/>
        <w:textAlignment w:val="auto"/>
        <w:rPr>
          <w:rFonts w:ascii="Palatino Linotype" w:hAnsi="Palatino Linotype"/>
          <w:szCs w:val="24"/>
        </w:rPr>
      </w:pPr>
      <w:r w:rsidRPr="00E36D91">
        <w:rPr>
          <w:rFonts w:ascii="Palatino Linotype" w:hAnsi="Palatino Linotype"/>
          <w:szCs w:val="24"/>
        </w:rPr>
        <w:t xml:space="preserve">On June 21, 2018, the Commission adopted Resolution T-17601 that authorized CD Staff to implement a citation program for enforcing compliance by telecommunications carriers with the Commission’s Resolutions, Decisions, </w:t>
      </w:r>
      <w:r w:rsidRPr="00E36D91" w:rsidR="009A0C7E">
        <w:rPr>
          <w:rFonts w:ascii="Palatino Linotype" w:hAnsi="Palatino Linotype"/>
          <w:szCs w:val="24"/>
        </w:rPr>
        <w:t>Orders,</w:t>
      </w:r>
      <w:r w:rsidRPr="00E36D91">
        <w:rPr>
          <w:rFonts w:ascii="Palatino Linotype" w:hAnsi="Palatino Linotype"/>
          <w:szCs w:val="24"/>
        </w:rPr>
        <w:t xml:space="preserve"> and the Public Utilities Code.  Resolution T-17601 adopted the citation procedure, a list of violations and associated penalty amounts.  </w:t>
      </w:r>
    </w:p>
    <w:p w:rsidR="003C4510" w:rsidP="00DD3819" w:rsidRDefault="003C4510" w14:paraId="1A7DD402" w14:textId="3247DBE5">
      <w:pPr>
        <w:keepNext/>
        <w:numPr>
          <w:ilvl w:val="0"/>
          <w:numId w:val="59"/>
        </w:numPr>
        <w:overflowPunct/>
        <w:spacing w:after="120"/>
        <w:textAlignment w:val="auto"/>
        <w:rPr>
          <w:rFonts w:ascii="Palatino Linotype" w:hAnsi="Palatino Linotype"/>
          <w:szCs w:val="24"/>
        </w:rPr>
      </w:pPr>
      <w:r w:rsidRPr="00E36D91">
        <w:rPr>
          <w:rFonts w:ascii="Palatino Linotype" w:hAnsi="Palatino Linotype"/>
          <w:szCs w:val="24"/>
        </w:rPr>
        <w:t xml:space="preserve">Carriers are subject to compliance filings attendant to </w:t>
      </w:r>
      <w:r w:rsidRPr="00E36D91" w:rsidR="00060AB1">
        <w:rPr>
          <w:rFonts w:ascii="Palatino Linotype" w:hAnsi="Palatino Linotype"/>
          <w:szCs w:val="24"/>
        </w:rPr>
        <w:t>their</w:t>
      </w:r>
      <w:r w:rsidRPr="00E36D91">
        <w:rPr>
          <w:rFonts w:ascii="Palatino Linotype" w:hAnsi="Palatino Linotype"/>
          <w:szCs w:val="24"/>
        </w:rPr>
        <w:t xml:space="preserve"> operating authority.</w:t>
      </w:r>
    </w:p>
    <w:p w:rsidR="003C4510" w:rsidP="00DD3819" w:rsidRDefault="003C4510" w14:paraId="21736F45" w14:textId="73BD16B6">
      <w:pPr>
        <w:keepNext/>
        <w:numPr>
          <w:ilvl w:val="0"/>
          <w:numId w:val="59"/>
        </w:numPr>
        <w:overflowPunct/>
        <w:spacing w:after="120"/>
        <w:textAlignment w:val="auto"/>
        <w:rPr>
          <w:rFonts w:ascii="Palatino Linotype" w:hAnsi="Palatino Linotype"/>
          <w:szCs w:val="24"/>
        </w:rPr>
      </w:pPr>
      <w:r w:rsidRPr="00E36D91">
        <w:rPr>
          <w:rFonts w:ascii="Palatino Linotype" w:hAnsi="Palatino Linotype"/>
          <w:szCs w:val="24"/>
        </w:rPr>
        <w:t>All</w:t>
      </w:r>
      <w:r w:rsidRPr="00E36D91" w:rsidR="00CF5203">
        <w:rPr>
          <w:rFonts w:ascii="Palatino Linotype" w:hAnsi="Palatino Linotype"/>
          <w:szCs w:val="24"/>
        </w:rPr>
        <w:t xml:space="preserve"> Interexchange Carriers (Wholesale and Reseller) and all Competitive Local Carriers (Wholesale and Reseller) are obligated to submit an</w:t>
      </w:r>
      <w:r w:rsidR="00C14B6C">
        <w:rPr>
          <w:rFonts w:ascii="Palatino Linotype" w:hAnsi="Palatino Linotype"/>
          <w:szCs w:val="24"/>
        </w:rPr>
        <w:t xml:space="preserve"> Annual</w:t>
      </w:r>
      <w:r w:rsidRPr="00E36D91" w:rsidR="00CF5203">
        <w:rPr>
          <w:rFonts w:ascii="Palatino Linotype" w:hAnsi="Palatino Linotype"/>
          <w:szCs w:val="24"/>
        </w:rPr>
        <w:t xml:space="preserve"> Operational and Financial Information report</w:t>
      </w:r>
      <w:r w:rsidR="00C14B6C">
        <w:rPr>
          <w:rFonts w:ascii="Palatino Linotype" w:hAnsi="Palatino Linotype"/>
          <w:szCs w:val="24"/>
        </w:rPr>
        <w:t xml:space="preserve"> for CY 2022,</w:t>
      </w:r>
      <w:r w:rsidRPr="00E36D91" w:rsidR="00CF5203">
        <w:rPr>
          <w:rFonts w:ascii="Palatino Linotype" w:hAnsi="Palatino Linotype"/>
          <w:szCs w:val="24"/>
        </w:rPr>
        <w:t xml:space="preserve"> </w:t>
      </w:r>
      <w:r w:rsidRPr="00E36D91" w:rsidR="00455100">
        <w:rPr>
          <w:rFonts w:ascii="Palatino Linotype" w:hAnsi="Palatino Linotype"/>
          <w:szCs w:val="24"/>
        </w:rPr>
        <w:t>and</w:t>
      </w:r>
      <w:r w:rsidRPr="00E36D91" w:rsidR="00CF5203">
        <w:rPr>
          <w:rFonts w:ascii="Palatino Linotype" w:hAnsi="Palatino Linotype"/>
          <w:szCs w:val="24"/>
        </w:rPr>
        <w:t xml:space="preserve"> </w:t>
      </w:r>
      <w:r w:rsidR="00C14B6C">
        <w:rPr>
          <w:rFonts w:ascii="Palatino Linotype" w:hAnsi="Palatino Linotype"/>
          <w:szCs w:val="24"/>
        </w:rPr>
        <w:t xml:space="preserve">Annual </w:t>
      </w:r>
      <w:r w:rsidRPr="00E36D91" w:rsidR="00CF5203">
        <w:rPr>
          <w:rFonts w:ascii="Palatino Linotype" w:hAnsi="Palatino Linotype"/>
          <w:szCs w:val="24"/>
        </w:rPr>
        <w:t>Performance Bond</w:t>
      </w:r>
      <w:r w:rsidR="00C14B6C">
        <w:rPr>
          <w:rFonts w:ascii="Palatino Linotype" w:hAnsi="Palatino Linotype"/>
          <w:szCs w:val="24"/>
        </w:rPr>
        <w:t xml:space="preserve"> (both due </w:t>
      </w:r>
      <w:r w:rsidR="005B19C2">
        <w:rPr>
          <w:rFonts w:ascii="Palatino Linotype" w:hAnsi="Palatino Linotype"/>
          <w:szCs w:val="24"/>
        </w:rPr>
        <w:t>March 31, 2023</w:t>
      </w:r>
      <w:r w:rsidR="00C14B6C">
        <w:rPr>
          <w:rFonts w:ascii="Palatino Linotype" w:hAnsi="Palatino Linotype"/>
          <w:szCs w:val="24"/>
        </w:rPr>
        <w:t>)</w:t>
      </w:r>
      <w:r w:rsidRPr="00E36D91" w:rsidR="00CF5203">
        <w:rPr>
          <w:rFonts w:ascii="Palatino Linotype" w:hAnsi="Palatino Linotype"/>
          <w:szCs w:val="24"/>
        </w:rPr>
        <w:t xml:space="preserve">, and </w:t>
      </w:r>
      <w:r w:rsidR="00E678FF">
        <w:rPr>
          <w:rFonts w:ascii="Palatino Linotype" w:hAnsi="Palatino Linotype"/>
          <w:szCs w:val="24"/>
        </w:rPr>
        <w:t>must</w:t>
      </w:r>
      <w:r w:rsidRPr="00E36D91" w:rsidR="00CF5203">
        <w:rPr>
          <w:rFonts w:ascii="Palatino Linotype" w:hAnsi="Palatino Linotype"/>
          <w:szCs w:val="24"/>
        </w:rPr>
        <w:t xml:space="preserve"> submit an </w:t>
      </w:r>
      <w:r w:rsidR="00C14B6C">
        <w:rPr>
          <w:rFonts w:ascii="Palatino Linotype" w:hAnsi="Palatino Linotype"/>
          <w:szCs w:val="24"/>
        </w:rPr>
        <w:t xml:space="preserve">Annual </w:t>
      </w:r>
      <w:r w:rsidRPr="00E36D91" w:rsidR="00CF5203">
        <w:rPr>
          <w:rFonts w:ascii="Palatino Linotype" w:hAnsi="Palatino Linotype"/>
          <w:szCs w:val="24"/>
        </w:rPr>
        <w:t>Affiliate Transaction</w:t>
      </w:r>
      <w:r w:rsidR="00C14B6C">
        <w:rPr>
          <w:rFonts w:ascii="Palatino Linotype" w:hAnsi="Palatino Linotype"/>
          <w:szCs w:val="24"/>
        </w:rPr>
        <w:t xml:space="preserve"> </w:t>
      </w:r>
      <w:r w:rsidRPr="00E36D91" w:rsidR="00CF5203">
        <w:rPr>
          <w:rFonts w:ascii="Palatino Linotype" w:hAnsi="Palatino Linotype"/>
          <w:szCs w:val="24"/>
        </w:rPr>
        <w:t>report</w:t>
      </w:r>
      <w:r w:rsidR="00C14B6C">
        <w:rPr>
          <w:rFonts w:ascii="Palatino Linotype" w:hAnsi="Palatino Linotype"/>
          <w:szCs w:val="24"/>
        </w:rPr>
        <w:t xml:space="preserve"> for CY 2022 (due</w:t>
      </w:r>
      <w:r w:rsidRPr="00E36D91" w:rsidR="00CF5203">
        <w:rPr>
          <w:rFonts w:ascii="Palatino Linotype" w:hAnsi="Palatino Linotype"/>
          <w:szCs w:val="24"/>
        </w:rPr>
        <w:t xml:space="preserve"> </w:t>
      </w:r>
      <w:r w:rsidR="005B19C2">
        <w:rPr>
          <w:rFonts w:ascii="Palatino Linotype" w:hAnsi="Palatino Linotype"/>
          <w:szCs w:val="24"/>
        </w:rPr>
        <w:t>May 1, 2023</w:t>
      </w:r>
      <w:r w:rsidR="00C14B6C">
        <w:rPr>
          <w:rFonts w:ascii="Palatino Linotype" w:hAnsi="Palatino Linotype"/>
          <w:szCs w:val="24"/>
        </w:rPr>
        <w:t>)</w:t>
      </w:r>
      <w:r w:rsidRPr="00E36D91" w:rsidR="00D17DCD">
        <w:rPr>
          <w:rFonts w:ascii="Palatino Linotype" w:hAnsi="Palatino Linotype"/>
          <w:szCs w:val="24"/>
        </w:rPr>
        <w:t>,</w:t>
      </w:r>
      <w:r w:rsidRPr="00E36D91" w:rsidR="00CF5203">
        <w:rPr>
          <w:rFonts w:ascii="Palatino Linotype" w:hAnsi="Palatino Linotype"/>
          <w:szCs w:val="24"/>
        </w:rPr>
        <w:t xml:space="preserve"> </w:t>
      </w:r>
      <w:r w:rsidRPr="00E36D91" w:rsidR="00A45D06">
        <w:rPr>
          <w:rFonts w:ascii="Palatino Linotype" w:hAnsi="Palatino Linotype"/>
          <w:szCs w:val="24"/>
        </w:rPr>
        <w:t>pursuant to General Order (GO) 104-A</w:t>
      </w:r>
      <w:r w:rsidRPr="00E36D91" w:rsidR="00CF5203">
        <w:rPr>
          <w:rFonts w:ascii="Palatino Linotype" w:hAnsi="Palatino Linotype"/>
          <w:szCs w:val="24"/>
        </w:rPr>
        <w:t xml:space="preserve">, </w:t>
      </w:r>
      <w:r w:rsidRPr="00E36D91" w:rsidR="00A45D06">
        <w:rPr>
          <w:rFonts w:ascii="Palatino Linotype" w:hAnsi="Palatino Linotype"/>
          <w:szCs w:val="24"/>
        </w:rPr>
        <w:t>D.93-02-019</w:t>
      </w:r>
      <w:r w:rsidRPr="00E36D91" w:rsidR="00CF5203">
        <w:rPr>
          <w:rFonts w:ascii="Palatino Linotype" w:hAnsi="Palatino Linotype"/>
          <w:szCs w:val="24"/>
        </w:rPr>
        <w:t>, D.13-05-035 and/or D.11-09-026</w:t>
      </w:r>
      <w:r w:rsidRPr="00E36D91" w:rsidR="00A45D06">
        <w:rPr>
          <w:rFonts w:ascii="Palatino Linotype" w:hAnsi="Palatino Linotype"/>
          <w:szCs w:val="24"/>
        </w:rPr>
        <w:t>.</w:t>
      </w:r>
    </w:p>
    <w:p w:rsidR="00583E3C" w:rsidP="00DD3819" w:rsidRDefault="00CF5203" w14:paraId="4F894063" w14:textId="7330CBC3">
      <w:pPr>
        <w:keepNext/>
        <w:numPr>
          <w:ilvl w:val="0"/>
          <w:numId w:val="59"/>
        </w:numPr>
        <w:overflowPunct/>
        <w:spacing w:after="120"/>
        <w:textAlignment w:val="auto"/>
        <w:rPr>
          <w:rFonts w:ascii="Palatino Linotype" w:hAnsi="Palatino Linotype"/>
          <w:szCs w:val="24"/>
        </w:rPr>
      </w:pPr>
      <w:r w:rsidRPr="00E36D91">
        <w:rPr>
          <w:rFonts w:ascii="Palatino Linotype" w:hAnsi="Palatino Linotype"/>
          <w:szCs w:val="24"/>
        </w:rPr>
        <w:t>All</w:t>
      </w:r>
      <w:r w:rsidR="00C14B6C">
        <w:rPr>
          <w:rFonts w:ascii="Palatino Linotype" w:hAnsi="Palatino Linotype"/>
          <w:szCs w:val="24"/>
        </w:rPr>
        <w:t xml:space="preserve"> Wireless carriers including all</w:t>
      </w:r>
      <w:r w:rsidRPr="00E36D91">
        <w:rPr>
          <w:rFonts w:ascii="Palatino Linotype" w:hAnsi="Palatino Linotype"/>
          <w:szCs w:val="24"/>
        </w:rPr>
        <w:t xml:space="preserve"> Cellular Telephone Utilities (Wholesale and Reseller), all Personal Communications Carriers and all Radio Telephone Utilities are obligated to file </w:t>
      </w:r>
      <w:r w:rsidR="00C14B6C">
        <w:rPr>
          <w:rFonts w:ascii="Palatino Linotype" w:hAnsi="Palatino Linotype"/>
          <w:szCs w:val="24"/>
        </w:rPr>
        <w:t>an Annual</w:t>
      </w:r>
      <w:r w:rsidRPr="00E36D91">
        <w:rPr>
          <w:rFonts w:ascii="Palatino Linotype" w:hAnsi="Palatino Linotype"/>
          <w:szCs w:val="24"/>
        </w:rPr>
        <w:t xml:space="preserve"> Performance Bond</w:t>
      </w:r>
      <w:r w:rsidR="00C14B6C">
        <w:rPr>
          <w:rFonts w:ascii="Palatino Linotype" w:hAnsi="Palatino Linotype"/>
          <w:szCs w:val="24"/>
        </w:rPr>
        <w:t xml:space="preserve"> (due</w:t>
      </w:r>
      <w:r w:rsidRPr="00E36D91">
        <w:rPr>
          <w:rFonts w:ascii="Palatino Linotype" w:hAnsi="Palatino Linotype"/>
          <w:szCs w:val="24"/>
        </w:rPr>
        <w:t xml:space="preserve"> </w:t>
      </w:r>
      <w:r w:rsidR="005B19C2">
        <w:rPr>
          <w:rFonts w:ascii="Palatino Linotype" w:hAnsi="Palatino Linotype"/>
          <w:szCs w:val="24"/>
        </w:rPr>
        <w:t>March 31, 2023</w:t>
      </w:r>
      <w:r w:rsidR="00C14B6C">
        <w:rPr>
          <w:rFonts w:ascii="Palatino Linotype" w:hAnsi="Palatino Linotype"/>
          <w:szCs w:val="24"/>
        </w:rPr>
        <w:t>)</w:t>
      </w:r>
      <w:r w:rsidR="004D1D15">
        <w:rPr>
          <w:rFonts w:ascii="Palatino Linotype" w:hAnsi="Palatino Linotype"/>
          <w:szCs w:val="24"/>
        </w:rPr>
        <w:t>, and</w:t>
      </w:r>
      <w:r w:rsidRPr="00E36D91">
        <w:rPr>
          <w:rFonts w:ascii="Palatino Linotype" w:hAnsi="Palatino Linotype"/>
          <w:szCs w:val="24"/>
        </w:rPr>
        <w:t xml:space="preserve"> to </w:t>
      </w:r>
      <w:r w:rsidRPr="00E36D91">
        <w:rPr>
          <w:rFonts w:ascii="Palatino Linotype" w:hAnsi="Palatino Linotype"/>
          <w:szCs w:val="24"/>
        </w:rPr>
        <w:lastRenderedPageBreak/>
        <w:t xml:space="preserve">submit an </w:t>
      </w:r>
      <w:r w:rsidR="00C14B6C">
        <w:rPr>
          <w:rFonts w:ascii="Palatino Linotype" w:hAnsi="Palatino Linotype"/>
          <w:szCs w:val="24"/>
        </w:rPr>
        <w:t xml:space="preserve">Annual </w:t>
      </w:r>
      <w:r w:rsidRPr="00E36D91">
        <w:rPr>
          <w:rFonts w:ascii="Palatino Linotype" w:hAnsi="Palatino Linotype"/>
          <w:szCs w:val="24"/>
        </w:rPr>
        <w:t xml:space="preserve">Affiliate Transaction report </w:t>
      </w:r>
      <w:r w:rsidR="00C14B6C">
        <w:rPr>
          <w:rFonts w:ascii="Palatino Linotype" w:hAnsi="Palatino Linotype"/>
          <w:szCs w:val="24"/>
        </w:rPr>
        <w:t xml:space="preserve">(due </w:t>
      </w:r>
      <w:r w:rsidR="005B19C2">
        <w:rPr>
          <w:rFonts w:ascii="Palatino Linotype" w:hAnsi="Palatino Linotype"/>
          <w:szCs w:val="24"/>
        </w:rPr>
        <w:t>May 1, 2023</w:t>
      </w:r>
      <w:r w:rsidR="00C14B6C">
        <w:rPr>
          <w:rFonts w:ascii="Palatino Linotype" w:hAnsi="Palatino Linotype"/>
          <w:szCs w:val="24"/>
        </w:rPr>
        <w:t>)</w:t>
      </w:r>
      <w:r w:rsidRPr="00E36D91" w:rsidR="0095360B">
        <w:rPr>
          <w:rFonts w:ascii="Palatino Linotype" w:hAnsi="Palatino Linotype"/>
          <w:szCs w:val="24"/>
        </w:rPr>
        <w:t>,</w:t>
      </w:r>
      <w:r w:rsidRPr="00E36D91">
        <w:rPr>
          <w:rFonts w:ascii="Palatino Linotype" w:hAnsi="Palatino Linotype"/>
          <w:szCs w:val="24"/>
        </w:rPr>
        <w:t xml:space="preserve"> pursuant to General Order (GO) 104-A, D.93-02-019, D.13-05-035 and/or D.11-09-026.</w:t>
      </w:r>
    </w:p>
    <w:p w:rsidR="00290D1C" w:rsidP="00DD3819" w:rsidRDefault="00290D1C" w14:paraId="41DDAAA6" w14:textId="7D08A405">
      <w:pPr>
        <w:keepNext/>
        <w:numPr>
          <w:ilvl w:val="0"/>
          <w:numId w:val="59"/>
        </w:numPr>
        <w:overflowPunct/>
        <w:spacing w:after="120"/>
        <w:textAlignment w:val="auto"/>
        <w:rPr>
          <w:rFonts w:ascii="Palatino Linotype" w:hAnsi="Palatino Linotype"/>
          <w:szCs w:val="24"/>
        </w:rPr>
      </w:pPr>
      <w:r w:rsidRPr="00E36D91">
        <w:rPr>
          <w:rFonts w:ascii="Palatino Linotype" w:hAnsi="Palatino Linotype"/>
          <w:szCs w:val="24"/>
        </w:rPr>
        <w:t xml:space="preserve">The Commission may suspend or revoke </w:t>
      </w:r>
      <w:r w:rsidRPr="00E36D91" w:rsidR="00F56C93">
        <w:rPr>
          <w:rFonts w:ascii="Palatino Linotype" w:hAnsi="Palatino Linotype"/>
          <w:szCs w:val="24"/>
        </w:rPr>
        <w:t xml:space="preserve">the </w:t>
      </w:r>
      <w:r w:rsidRPr="00E36D91">
        <w:rPr>
          <w:rFonts w:ascii="Palatino Linotype" w:hAnsi="Palatino Linotype"/>
          <w:szCs w:val="24"/>
        </w:rPr>
        <w:t xml:space="preserve">operating authority of telephone carriers that </w:t>
      </w:r>
      <w:r w:rsidRPr="00E36D91" w:rsidR="00B00163">
        <w:rPr>
          <w:rFonts w:ascii="Palatino Linotype" w:hAnsi="Palatino Linotype"/>
          <w:szCs w:val="24"/>
        </w:rPr>
        <w:t>fail to make required annual reports</w:t>
      </w:r>
      <w:r w:rsidRPr="00E36D91">
        <w:rPr>
          <w:rFonts w:ascii="Palatino Linotype" w:hAnsi="Palatino Linotype"/>
          <w:szCs w:val="24"/>
        </w:rPr>
        <w:t>, per D.93-05-010</w:t>
      </w:r>
      <w:r w:rsidRPr="00E36D91" w:rsidR="006412B9">
        <w:rPr>
          <w:rFonts w:ascii="Palatino Linotype" w:hAnsi="Palatino Linotype"/>
          <w:szCs w:val="24"/>
        </w:rPr>
        <w:t xml:space="preserve">.  </w:t>
      </w:r>
    </w:p>
    <w:p w:rsidR="00A45D06" w:rsidP="00DD3819" w:rsidRDefault="002C2A86" w14:paraId="53C89088" w14:textId="41615B97">
      <w:pPr>
        <w:keepNext/>
        <w:numPr>
          <w:ilvl w:val="0"/>
          <w:numId w:val="59"/>
        </w:numPr>
        <w:overflowPunct/>
        <w:spacing w:after="120"/>
        <w:textAlignment w:val="auto"/>
        <w:rPr>
          <w:rFonts w:ascii="Palatino Linotype" w:hAnsi="Palatino Linotype"/>
          <w:szCs w:val="24"/>
        </w:rPr>
      </w:pPr>
      <w:r w:rsidRPr="00E36D91">
        <w:rPr>
          <w:rFonts w:ascii="Palatino Linotype" w:hAnsi="Palatino Linotype"/>
          <w:szCs w:val="24"/>
        </w:rPr>
        <w:t xml:space="preserve">Communications Division </w:t>
      </w:r>
      <w:r w:rsidRPr="00E36D91" w:rsidR="003C4510">
        <w:rPr>
          <w:rFonts w:ascii="Palatino Linotype" w:hAnsi="Palatino Linotype"/>
          <w:szCs w:val="24"/>
        </w:rPr>
        <w:t xml:space="preserve">staff </w:t>
      </w:r>
      <w:r w:rsidRPr="00E36D91" w:rsidR="00E2352B">
        <w:rPr>
          <w:rFonts w:ascii="Palatino Linotype" w:hAnsi="Palatino Linotype"/>
          <w:szCs w:val="24"/>
        </w:rPr>
        <w:t xml:space="preserve">undertook proper and reasonable measures to inform and remind </w:t>
      </w:r>
      <w:r w:rsidRPr="00E36D91" w:rsidR="00DD663D">
        <w:rPr>
          <w:rFonts w:ascii="Palatino Linotype" w:hAnsi="Palatino Linotype"/>
          <w:szCs w:val="24"/>
        </w:rPr>
        <w:t xml:space="preserve">the </w:t>
      </w:r>
      <w:r w:rsidR="00C14B6C">
        <w:rPr>
          <w:rFonts w:ascii="Palatino Linotype" w:hAnsi="Palatino Linotype"/>
          <w:color w:val="000000" w:themeColor="text1"/>
          <w:szCs w:val="24"/>
        </w:rPr>
        <w:t>carriers</w:t>
      </w:r>
      <w:r w:rsidRPr="00E36D91" w:rsidR="008F676D">
        <w:rPr>
          <w:rFonts w:ascii="Palatino Linotype" w:hAnsi="Palatino Linotype"/>
          <w:szCs w:val="24"/>
        </w:rPr>
        <w:t xml:space="preserve"> </w:t>
      </w:r>
      <w:r w:rsidRPr="00E36D91" w:rsidR="00E2352B">
        <w:rPr>
          <w:rFonts w:ascii="Palatino Linotype" w:hAnsi="Palatino Linotype"/>
          <w:szCs w:val="24"/>
        </w:rPr>
        <w:t xml:space="preserve">listed in Appendix A of </w:t>
      </w:r>
      <w:r w:rsidRPr="00E36D91" w:rsidR="00060AB1">
        <w:rPr>
          <w:rFonts w:ascii="Palatino Linotype" w:hAnsi="Palatino Linotype"/>
          <w:szCs w:val="24"/>
        </w:rPr>
        <w:t>their</w:t>
      </w:r>
      <w:r w:rsidRPr="00E36D91" w:rsidR="00876856">
        <w:rPr>
          <w:rFonts w:ascii="Palatino Linotype" w:hAnsi="Palatino Linotype"/>
          <w:szCs w:val="24"/>
        </w:rPr>
        <w:t xml:space="preserve"> </w:t>
      </w:r>
      <w:r w:rsidRPr="00E36D91" w:rsidR="003C4510">
        <w:rPr>
          <w:rFonts w:ascii="Palatino Linotype" w:hAnsi="Palatino Linotype"/>
          <w:szCs w:val="24"/>
        </w:rPr>
        <w:t xml:space="preserve">obligations to comply with Commission </w:t>
      </w:r>
      <w:r w:rsidR="00406725">
        <w:rPr>
          <w:rFonts w:ascii="Palatino Linotype" w:hAnsi="Palatino Linotype"/>
          <w:szCs w:val="24"/>
        </w:rPr>
        <w:t>A</w:t>
      </w:r>
      <w:r w:rsidRPr="00E36D91" w:rsidR="00B00163">
        <w:rPr>
          <w:rFonts w:ascii="Palatino Linotype" w:hAnsi="Palatino Linotype"/>
          <w:szCs w:val="24"/>
        </w:rPr>
        <w:t>nnual</w:t>
      </w:r>
      <w:r w:rsidRPr="00E36D91" w:rsidR="002B10CB">
        <w:rPr>
          <w:rFonts w:ascii="Palatino Linotype" w:hAnsi="Palatino Linotype"/>
          <w:szCs w:val="24"/>
        </w:rPr>
        <w:t xml:space="preserve"> </w:t>
      </w:r>
      <w:r w:rsidR="00406725">
        <w:rPr>
          <w:rFonts w:ascii="Palatino Linotype" w:hAnsi="Palatino Linotype"/>
          <w:szCs w:val="24"/>
        </w:rPr>
        <w:t>R</w:t>
      </w:r>
      <w:r w:rsidRPr="00E36D91" w:rsidR="002B10CB">
        <w:rPr>
          <w:rFonts w:ascii="Palatino Linotype" w:hAnsi="Palatino Linotype"/>
          <w:szCs w:val="24"/>
        </w:rPr>
        <w:t>eport</w:t>
      </w:r>
      <w:r w:rsidR="00406725">
        <w:rPr>
          <w:rFonts w:ascii="Palatino Linotype" w:hAnsi="Palatino Linotype"/>
          <w:szCs w:val="24"/>
        </w:rPr>
        <w:t xml:space="preserve">s and Annual Performance Bond </w:t>
      </w:r>
      <w:r w:rsidRPr="00E36D91" w:rsidR="00C16F1B">
        <w:rPr>
          <w:rFonts w:ascii="Palatino Linotype" w:hAnsi="Palatino Linotype"/>
          <w:szCs w:val="24"/>
        </w:rPr>
        <w:t>r</w:t>
      </w:r>
      <w:r w:rsidRPr="00E36D91" w:rsidR="00E2352B">
        <w:rPr>
          <w:rFonts w:ascii="Palatino Linotype" w:hAnsi="Palatino Linotype"/>
          <w:szCs w:val="24"/>
        </w:rPr>
        <w:t>equirements</w:t>
      </w:r>
      <w:r w:rsidRPr="00E36D91" w:rsidR="003C4510">
        <w:rPr>
          <w:rFonts w:ascii="Palatino Linotype" w:hAnsi="Palatino Linotype"/>
          <w:szCs w:val="24"/>
        </w:rPr>
        <w:t xml:space="preserve"> for telecommunication carriers.</w:t>
      </w:r>
    </w:p>
    <w:p w:rsidR="0022079D" w:rsidP="00DD3819" w:rsidRDefault="0022079D" w14:paraId="141758F5" w14:textId="3BD7B107">
      <w:pPr>
        <w:keepNext/>
        <w:numPr>
          <w:ilvl w:val="0"/>
          <w:numId w:val="59"/>
        </w:numPr>
        <w:overflowPunct/>
        <w:spacing w:after="120"/>
        <w:textAlignment w:val="auto"/>
        <w:rPr>
          <w:rFonts w:ascii="Palatino Linotype" w:hAnsi="Palatino Linotype"/>
          <w:szCs w:val="24"/>
        </w:rPr>
      </w:pPr>
      <w:r w:rsidRPr="002B14B1">
        <w:rPr>
          <w:rFonts w:ascii="Palatino Linotype" w:hAnsi="Palatino Linotype"/>
          <w:szCs w:val="24"/>
        </w:rPr>
        <w:t>If the carriers listed in Appendix A continue to be in noncompliance beyond thirty (30) calendar days from the effective date of this Resolution, it is reasonable to revoke each carrier’s CPCN or registrations.</w:t>
      </w:r>
    </w:p>
    <w:p w:rsidR="00CE58FE" w:rsidP="00DD3819" w:rsidRDefault="00CE58FE" w14:paraId="14F8F4AE" w14:textId="1F33D398">
      <w:pPr>
        <w:keepNext/>
        <w:numPr>
          <w:ilvl w:val="0"/>
          <w:numId w:val="59"/>
        </w:numPr>
        <w:overflowPunct/>
        <w:spacing w:after="120"/>
        <w:textAlignment w:val="auto"/>
        <w:rPr>
          <w:rFonts w:ascii="Palatino Linotype" w:hAnsi="Palatino Linotype"/>
          <w:szCs w:val="24"/>
        </w:rPr>
      </w:pPr>
      <w:r w:rsidRPr="00731481">
        <w:rPr>
          <w:rFonts w:ascii="Palatino Linotype" w:hAnsi="Palatino Linotype"/>
          <w:szCs w:val="24"/>
        </w:rPr>
        <w:t>All telephone corporations must notify CD</w:t>
      </w:r>
      <w:r w:rsidRPr="00E36D91" w:rsidR="00A955C0">
        <w:rPr>
          <w:rFonts w:ascii="Palatino Linotype" w:hAnsi="Palatino Linotype"/>
          <w:szCs w:val="24"/>
        </w:rPr>
        <w:t xml:space="preserve"> staff via email to </w:t>
      </w:r>
      <w:hyperlink w:history="1" r:id="rId10">
        <w:r w:rsidRPr="00AB6A15" w:rsidR="00A955C0">
          <w:rPr>
            <w:rStyle w:val="Hyperlink"/>
            <w:rFonts w:ascii="Palatino Linotype" w:hAnsi="Palatino Linotype"/>
            <w:szCs w:val="24"/>
          </w:rPr>
          <w:t>cdcompliance@cpuc.ca.gov</w:t>
        </w:r>
      </w:hyperlink>
      <w:r w:rsidRPr="00E36D91" w:rsidR="00A955C0">
        <w:rPr>
          <w:rFonts w:ascii="Palatino Linotype" w:hAnsi="Palatino Linotype"/>
          <w:szCs w:val="24"/>
        </w:rPr>
        <w:t xml:space="preserve"> </w:t>
      </w:r>
      <w:r w:rsidRPr="00731481">
        <w:rPr>
          <w:rFonts w:ascii="Palatino Linotype" w:hAnsi="Palatino Linotype"/>
          <w:szCs w:val="24"/>
        </w:rPr>
        <w:t>if they provide services to any of the carriers listed in Appendix A and to cease from conducting business with the carriers whose license</w:t>
      </w:r>
      <w:r w:rsidR="004D1D15">
        <w:rPr>
          <w:rFonts w:ascii="Palatino Linotype" w:hAnsi="Palatino Linotype"/>
          <w:szCs w:val="24"/>
        </w:rPr>
        <w:t>s</w:t>
      </w:r>
      <w:r w:rsidR="00406725">
        <w:rPr>
          <w:rFonts w:ascii="Palatino Linotype" w:hAnsi="Palatino Linotype"/>
          <w:szCs w:val="24"/>
        </w:rPr>
        <w:t xml:space="preserve"> or registration</w:t>
      </w:r>
      <w:r w:rsidRPr="00731481">
        <w:rPr>
          <w:rFonts w:ascii="Palatino Linotype" w:hAnsi="Palatino Linotype"/>
          <w:szCs w:val="24"/>
        </w:rPr>
        <w:t xml:space="preserve"> have been revoked by this Resolution.</w:t>
      </w:r>
    </w:p>
    <w:p w:rsidRPr="00FC424F" w:rsidR="00E725D1" w:rsidP="00DD3819" w:rsidRDefault="75EBC0A7" w14:paraId="726F2E3F" w14:textId="234A9AF7">
      <w:pPr>
        <w:keepNext/>
        <w:numPr>
          <w:ilvl w:val="0"/>
          <w:numId w:val="59"/>
        </w:numPr>
        <w:overflowPunct/>
        <w:spacing w:after="120"/>
        <w:textAlignment w:val="auto"/>
        <w:rPr>
          <w:rFonts w:ascii="Palatino Linotype" w:hAnsi="Palatino Linotype" w:eastAsia="Palatino Linotype" w:cs="Palatino Linotype"/>
          <w:szCs w:val="24"/>
        </w:rPr>
      </w:pPr>
      <w:r w:rsidRPr="00731481">
        <w:rPr>
          <w:rFonts w:ascii="Palatino Linotype" w:hAnsi="Palatino Linotype"/>
          <w:szCs w:val="24"/>
        </w:rPr>
        <w:t>If a carrier’s operating authority</w:t>
      </w:r>
      <w:r w:rsidR="00406725">
        <w:rPr>
          <w:rFonts w:ascii="Palatino Linotype" w:hAnsi="Palatino Linotype"/>
          <w:szCs w:val="24"/>
        </w:rPr>
        <w:t xml:space="preserve"> or registration</w:t>
      </w:r>
      <w:r w:rsidRPr="00E36D91">
        <w:rPr>
          <w:rFonts w:ascii="Palatino Linotype" w:hAnsi="Palatino Linotype"/>
          <w:szCs w:val="24"/>
        </w:rPr>
        <w:t xml:space="preserve"> is revoked, the carrier seeking to continue </w:t>
      </w:r>
      <w:r w:rsidRPr="00E36D91" w:rsidR="009A0C7E">
        <w:rPr>
          <w:rFonts w:ascii="Palatino Linotype" w:hAnsi="Palatino Linotype"/>
          <w:szCs w:val="24"/>
        </w:rPr>
        <w:t>operating in</w:t>
      </w:r>
      <w:r w:rsidRPr="00E36D91">
        <w:rPr>
          <w:rFonts w:ascii="Palatino Linotype" w:hAnsi="Palatino Linotype"/>
          <w:szCs w:val="24"/>
        </w:rPr>
        <w:t xml:space="preserve"> the State of California must file </w:t>
      </w:r>
      <w:r w:rsidRPr="00E36D91" w:rsidR="009A0C7E">
        <w:rPr>
          <w:rFonts w:ascii="Palatino Linotype" w:hAnsi="Palatino Linotype"/>
          <w:szCs w:val="24"/>
        </w:rPr>
        <w:t>a request</w:t>
      </w:r>
      <w:r w:rsidRPr="00E36D91">
        <w:rPr>
          <w:rFonts w:ascii="Palatino Linotype" w:hAnsi="Palatino Linotype"/>
          <w:szCs w:val="24"/>
        </w:rPr>
        <w:t xml:space="preserve"> with the </w:t>
      </w:r>
      <w:r w:rsidRPr="00E36D91" w:rsidR="009A0C7E">
        <w:rPr>
          <w:rFonts w:ascii="Palatino Linotype" w:hAnsi="Palatino Linotype"/>
          <w:szCs w:val="24"/>
        </w:rPr>
        <w:t>CPUC via</w:t>
      </w:r>
      <w:r w:rsidRPr="00E36D91">
        <w:rPr>
          <w:rFonts w:ascii="Palatino Linotype" w:hAnsi="Palatino Linotype"/>
          <w:szCs w:val="24"/>
        </w:rPr>
        <w:t xml:space="preserve"> a CPCN </w:t>
      </w:r>
      <w:r w:rsidRPr="00E36D91" w:rsidR="009A0C7E">
        <w:rPr>
          <w:rFonts w:ascii="Palatino Linotype" w:hAnsi="Palatino Linotype"/>
          <w:szCs w:val="24"/>
        </w:rPr>
        <w:t>application or</w:t>
      </w:r>
      <w:r w:rsidRPr="00E36D91">
        <w:rPr>
          <w:rFonts w:ascii="Palatino Linotype" w:hAnsi="Palatino Linotype"/>
          <w:szCs w:val="24"/>
        </w:rPr>
        <w:t xml:space="preserve"> a new WIR request. </w:t>
      </w:r>
      <w:r w:rsidRPr="00E36D91" w:rsidR="00F56C93">
        <w:rPr>
          <w:rFonts w:ascii="Palatino Linotype" w:hAnsi="Palatino Linotype"/>
          <w:szCs w:val="24"/>
        </w:rPr>
        <w:t xml:space="preserve">If the CPUC has revoked a </w:t>
      </w:r>
      <w:r w:rsidRPr="00E36D91">
        <w:rPr>
          <w:rFonts w:ascii="Palatino Linotype" w:hAnsi="Palatino Linotype"/>
          <w:szCs w:val="24"/>
        </w:rPr>
        <w:t>carrier</w:t>
      </w:r>
      <w:r w:rsidRPr="00E36D91" w:rsidR="00F56C93">
        <w:rPr>
          <w:rFonts w:ascii="Palatino Linotype" w:hAnsi="Palatino Linotype"/>
          <w:szCs w:val="24"/>
        </w:rPr>
        <w:t xml:space="preserve">’s </w:t>
      </w:r>
      <w:r w:rsidRPr="00E36D91">
        <w:rPr>
          <w:rFonts w:ascii="Palatino Linotype" w:hAnsi="Palatino Linotype"/>
          <w:szCs w:val="24"/>
        </w:rPr>
        <w:t>operating authority</w:t>
      </w:r>
      <w:r w:rsidRPr="00E36D91" w:rsidR="00F56C93">
        <w:rPr>
          <w:rFonts w:ascii="Palatino Linotype" w:hAnsi="Palatino Linotype"/>
          <w:szCs w:val="24"/>
        </w:rPr>
        <w:t>, the carrier</w:t>
      </w:r>
      <w:r w:rsidRPr="00E36D91">
        <w:rPr>
          <w:rFonts w:ascii="Palatino Linotype" w:hAnsi="Palatino Linotype"/>
          <w:szCs w:val="24"/>
        </w:rPr>
        <w:t xml:space="preserve"> cannot us</w:t>
      </w:r>
      <w:r w:rsidR="00E678FF">
        <w:rPr>
          <w:rFonts w:ascii="Palatino Linotype" w:hAnsi="Palatino Linotype"/>
          <w:szCs w:val="24"/>
        </w:rPr>
        <w:t>e</w:t>
      </w:r>
      <w:r w:rsidRPr="00E36D91">
        <w:rPr>
          <w:rFonts w:ascii="Palatino Linotype" w:hAnsi="Palatino Linotype"/>
          <w:szCs w:val="24"/>
        </w:rPr>
        <w:t xml:space="preserve"> the </w:t>
      </w:r>
      <w:r w:rsidRPr="00E36D91" w:rsidR="005B4ECE">
        <w:rPr>
          <w:rFonts w:ascii="Palatino Linotype" w:hAnsi="Palatino Linotype"/>
          <w:szCs w:val="24"/>
        </w:rPr>
        <w:t>Simplified Registration</w:t>
      </w:r>
      <w:r w:rsidRPr="00E36D91">
        <w:rPr>
          <w:rFonts w:ascii="Palatino Linotype" w:hAnsi="Palatino Linotype"/>
          <w:szCs w:val="24"/>
        </w:rPr>
        <w:t xml:space="preserve"> process pursuant to P</w:t>
      </w:r>
      <w:r w:rsidR="00C14B6C">
        <w:rPr>
          <w:rFonts w:ascii="Palatino Linotype" w:hAnsi="Palatino Linotype"/>
          <w:szCs w:val="24"/>
        </w:rPr>
        <w:t xml:space="preserve">ub. </w:t>
      </w:r>
      <w:r w:rsidRPr="00E36D91">
        <w:rPr>
          <w:rFonts w:ascii="Palatino Linotype" w:hAnsi="Palatino Linotype"/>
          <w:szCs w:val="24"/>
        </w:rPr>
        <w:t>U</w:t>
      </w:r>
      <w:r w:rsidR="00C14B6C">
        <w:rPr>
          <w:rFonts w:ascii="Palatino Linotype" w:hAnsi="Palatino Linotype"/>
          <w:szCs w:val="24"/>
        </w:rPr>
        <w:t>til.</w:t>
      </w:r>
      <w:r w:rsidRPr="00E36D91">
        <w:rPr>
          <w:rFonts w:ascii="Palatino Linotype" w:hAnsi="Palatino Linotype"/>
          <w:szCs w:val="24"/>
        </w:rPr>
        <w:t xml:space="preserve"> Code § 1013. </w:t>
      </w:r>
      <w:r w:rsidRPr="00E36D91" w:rsidR="001C437D">
        <w:rPr>
          <w:rFonts w:ascii="Palatino Linotype" w:hAnsi="Palatino Linotype"/>
          <w:szCs w:val="24"/>
        </w:rPr>
        <w:t xml:space="preserve"> </w:t>
      </w:r>
      <w:r w:rsidRPr="00E36D91">
        <w:rPr>
          <w:rFonts w:ascii="Palatino Linotype" w:hAnsi="Palatino Linotype"/>
          <w:szCs w:val="24"/>
        </w:rPr>
        <w:t xml:space="preserve">All carriers shall disclose the previous revocation via </w:t>
      </w:r>
      <w:proofErr w:type="gramStart"/>
      <w:r w:rsidRPr="00E36D91" w:rsidR="00F56C93">
        <w:rPr>
          <w:rFonts w:ascii="Palatino Linotype" w:hAnsi="Palatino Linotype"/>
          <w:szCs w:val="24"/>
        </w:rPr>
        <w:t xml:space="preserve">a </w:t>
      </w:r>
      <w:r w:rsidRPr="00E36D91">
        <w:rPr>
          <w:rFonts w:ascii="Palatino Linotype" w:hAnsi="Palatino Linotype"/>
          <w:szCs w:val="24"/>
        </w:rPr>
        <w:t>sworn affidavit</w:t>
      </w:r>
      <w:proofErr w:type="gramEnd"/>
      <w:r w:rsidRPr="00E36D91">
        <w:rPr>
          <w:rFonts w:ascii="Palatino Linotype" w:hAnsi="Palatino Linotype"/>
          <w:szCs w:val="24"/>
        </w:rPr>
        <w:t xml:space="preserve"> and pay all outstanding penalties, interest or fines owed to the Commission </w:t>
      </w:r>
      <w:r w:rsidR="00E678FF">
        <w:rPr>
          <w:rFonts w:ascii="Palatino Linotype" w:hAnsi="Palatino Linotype"/>
          <w:szCs w:val="24"/>
        </w:rPr>
        <w:t xml:space="preserve">in order </w:t>
      </w:r>
      <w:r w:rsidRPr="00E36D91">
        <w:rPr>
          <w:rFonts w:ascii="Palatino Linotype" w:hAnsi="Palatino Linotype"/>
          <w:szCs w:val="24"/>
        </w:rPr>
        <w:t>to be granted authority to operate in California.</w:t>
      </w:r>
    </w:p>
    <w:p w:rsidR="00CE58FE" w:rsidP="000E442E" w:rsidRDefault="00CE58FE" w14:paraId="766E4ED2" w14:textId="235BDA1B">
      <w:pPr>
        <w:keepNext/>
        <w:numPr>
          <w:ilvl w:val="0"/>
          <w:numId w:val="59"/>
        </w:numPr>
        <w:overflowPunct/>
        <w:spacing w:after="120"/>
        <w:textAlignment w:val="auto"/>
        <w:rPr>
          <w:rFonts w:ascii="Palatino Linotype" w:hAnsi="Palatino Linotype"/>
          <w:szCs w:val="24"/>
        </w:rPr>
      </w:pPr>
      <w:r w:rsidRPr="00E36D91">
        <w:rPr>
          <w:rFonts w:ascii="Palatino Linotype" w:hAnsi="Palatino Linotype"/>
          <w:szCs w:val="24"/>
        </w:rPr>
        <w:t xml:space="preserve">Carriers that continue to operate after revocation of </w:t>
      </w:r>
      <w:r w:rsidR="00596A2D">
        <w:rPr>
          <w:rFonts w:ascii="Palatino Linotype" w:hAnsi="Palatino Linotype"/>
          <w:szCs w:val="24"/>
        </w:rPr>
        <w:t>their</w:t>
      </w:r>
      <w:r w:rsidRPr="00E36D91">
        <w:rPr>
          <w:rFonts w:ascii="Palatino Linotype" w:hAnsi="Palatino Linotype"/>
          <w:szCs w:val="24"/>
        </w:rPr>
        <w:t xml:space="preserve"> operating authority </w:t>
      </w:r>
      <w:r w:rsidR="00406725">
        <w:rPr>
          <w:rFonts w:ascii="Palatino Linotype" w:hAnsi="Palatino Linotype"/>
          <w:szCs w:val="24"/>
        </w:rPr>
        <w:t>or registration and</w:t>
      </w:r>
      <w:r w:rsidRPr="00E36D91">
        <w:rPr>
          <w:rFonts w:ascii="Palatino Linotype" w:hAnsi="Palatino Linotype"/>
          <w:szCs w:val="24"/>
        </w:rPr>
        <w:t xml:space="preserve"> fail to obtain the requisite operating authority </w:t>
      </w:r>
      <w:r w:rsidR="00406725">
        <w:rPr>
          <w:rFonts w:ascii="Palatino Linotype" w:hAnsi="Palatino Linotype"/>
          <w:szCs w:val="24"/>
        </w:rPr>
        <w:t xml:space="preserve">or registration </w:t>
      </w:r>
      <w:r w:rsidR="00E678FF">
        <w:rPr>
          <w:rFonts w:ascii="Palatino Linotype" w:hAnsi="Palatino Linotype"/>
          <w:szCs w:val="24"/>
        </w:rPr>
        <w:t>should</w:t>
      </w:r>
      <w:r w:rsidRPr="00E36D91">
        <w:rPr>
          <w:rFonts w:ascii="Palatino Linotype" w:hAnsi="Palatino Linotype"/>
          <w:szCs w:val="24"/>
        </w:rPr>
        <w:t xml:space="preserve"> be subject to enforcement action by the Commission, including possible fines or other sanctions.</w:t>
      </w:r>
    </w:p>
    <w:p w:rsidRPr="00AB6A15" w:rsidR="006B38CA" w:rsidP="000E442E" w:rsidRDefault="75EBC0A7" w14:paraId="48C495AF" w14:textId="487964DF">
      <w:pPr>
        <w:keepNext/>
        <w:numPr>
          <w:ilvl w:val="0"/>
          <w:numId w:val="59"/>
        </w:numPr>
        <w:overflowPunct/>
        <w:spacing w:after="120"/>
        <w:textAlignment w:val="auto"/>
        <w:rPr>
          <w:rFonts w:ascii="Palatino Linotype" w:hAnsi="Palatino Linotype"/>
          <w:szCs w:val="24"/>
        </w:rPr>
      </w:pPr>
      <w:r w:rsidRPr="00AB6A15">
        <w:rPr>
          <w:rFonts w:ascii="Palatino Linotype" w:hAnsi="Palatino Linotype"/>
          <w:szCs w:val="24"/>
        </w:rPr>
        <w:t xml:space="preserve">The Commission e-mailed a Notice of Availability of this Resolution on </w:t>
      </w:r>
      <w:r w:rsidR="00937F1A">
        <w:rPr>
          <w:rFonts w:ascii="Palatino Linotype" w:hAnsi="Palatino Linotype"/>
          <w:szCs w:val="24"/>
        </w:rPr>
        <w:t>March 12</w:t>
      </w:r>
      <w:r w:rsidRPr="005F483C" w:rsidR="00D033D0">
        <w:rPr>
          <w:rFonts w:ascii="Palatino Linotype" w:hAnsi="Palatino Linotype"/>
          <w:szCs w:val="24"/>
        </w:rPr>
        <w:t>, 2024</w:t>
      </w:r>
      <w:r w:rsidRPr="00AB6A15">
        <w:rPr>
          <w:rFonts w:ascii="Palatino Linotype" w:hAnsi="Palatino Linotype"/>
          <w:szCs w:val="24"/>
        </w:rPr>
        <w:t xml:space="preserve">, to all telephone carriers informing these parties that the draft of this Resolution is available at the Commission’s website </w:t>
      </w:r>
      <w:hyperlink w:history="1" r:id="rId11">
        <w:r w:rsidRPr="00AB6A15" w:rsidR="005B4ECE">
          <w:rPr>
            <w:rStyle w:val="Hyperlink"/>
            <w:rFonts w:ascii="Palatino Linotype" w:hAnsi="Palatino Linotype"/>
            <w:szCs w:val="24"/>
          </w:rPr>
          <w:t>http://www.cpuc.ca.gov/</w:t>
        </w:r>
      </w:hyperlink>
      <w:r w:rsidRPr="00AB6A15">
        <w:rPr>
          <w:rFonts w:ascii="Palatino Linotype" w:hAnsi="Palatino Linotype"/>
          <w:szCs w:val="24"/>
        </w:rPr>
        <w:t xml:space="preserve"> and is available for public comments.</w:t>
      </w:r>
      <w:r w:rsidR="0047427E">
        <w:rPr>
          <w:rFonts w:ascii="Palatino Linotype" w:hAnsi="Palatino Linotype"/>
          <w:szCs w:val="24"/>
        </w:rPr>
        <w:t xml:space="preserve">  </w:t>
      </w:r>
      <w:r w:rsidRPr="001F6209" w:rsidR="0047427E">
        <w:rPr>
          <w:rFonts w:ascii="Palatino Linotype" w:hAnsi="Palatino Linotype"/>
          <w:szCs w:val="24"/>
        </w:rPr>
        <w:t>The Commission received no public comments.</w:t>
      </w:r>
      <w:r w:rsidRPr="001F6209" w:rsidR="0047427E">
        <w:rPr>
          <w:rFonts w:ascii="Palatino Linotype" w:hAnsi="Palatino Linotype"/>
          <w:szCs w:val="24"/>
        </w:rPr>
        <w:cr/>
      </w:r>
    </w:p>
    <w:p w:rsidRPr="00E36D91" w:rsidR="00B221EE" w:rsidP="00596A2D" w:rsidRDefault="00B221EE" w14:paraId="4D3FB4FF" w14:textId="11551685">
      <w:pPr>
        <w:pStyle w:val="HTMLPreformatted"/>
        <w:keepNext/>
        <w:rPr>
          <w:rFonts w:ascii="Palatino Linotype" w:hAnsi="Palatino Linotype"/>
          <w:sz w:val="24"/>
          <w:szCs w:val="24"/>
        </w:rPr>
      </w:pPr>
      <w:r w:rsidRPr="00E36D91">
        <w:rPr>
          <w:rFonts w:ascii="Palatino Linotype" w:hAnsi="Palatino Linotype"/>
          <w:b/>
          <w:sz w:val="24"/>
          <w:szCs w:val="24"/>
        </w:rPr>
        <w:t>THEREFORE, IT IS ORDERED</w:t>
      </w:r>
      <w:r w:rsidRPr="00E36D91" w:rsidR="00F755EA">
        <w:rPr>
          <w:rFonts w:ascii="Palatino Linotype" w:hAnsi="Palatino Linotype"/>
          <w:b/>
          <w:sz w:val="24"/>
          <w:szCs w:val="24"/>
        </w:rPr>
        <w:t xml:space="preserve"> THAT:</w:t>
      </w:r>
    </w:p>
    <w:p w:rsidRPr="00E36D91" w:rsidR="00B221EE" w:rsidP="00596A2D" w:rsidRDefault="00B221EE" w14:paraId="200F6B7D" w14:textId="77777777">
      <w:pPr>
        <w:keepNext/>
        <w:rPr>
          <w:rFonts w:ascii="Palatino Linotype" w:hAnsi="Palatino Linotype"/>
          <w:szCs w:val="24"/>
        </w:rPr>
      </w:pPr>
    </w:p>
    <w:p w:rsidR="00CC580C" w:rsidP="00DD3819" w:rsidRDefault="0022079D" w14:paraId="394BA176" w14:textId="50E42796">
      <w:pPr>
        <w:keepNext/>
        <w:numPr>
          <w:ilvl w:val="0"/>
          <w:numId w:val="60"/>
        </w:numPr>
        <w:overflowPunct/>
        <w:spacing w:after="120"/>
        <w:textAlignment w:val="auto"/>
        <w:rPr>
          <w:rFonts w:ascii="Palatino Linotype" w:hAnsi="Palatino Linotype"/>
          <w:szCs w:val="24"/>
        </w:rPr>
      </w:pPr>
      <w:r w:rsidRPr="002B14B1">
        <w:rPr>
          <w:rFonts w:ascii="Palatino Linotype" w:hAnsi="Palatino Linotype"/>
          <w:szCs w:val="24"/>
        </w:rPr>
        <w:t xml:space="preserve">Within thirty (30) days of the effective date of this Resolution, each of the carriers listed in Appendix A shall fully comply with the citation issued by submitting </w:t>
      </w:r>
      <w:r w:rsidRPr="002B14B1">
        <w:rPr>
          <w:rFonts w:ascii="Palatino Linotype" w:hAnsi="Palatino Linotype"/>
          <w:szCs w:val="24"/>
        </w:rPr>
        <w:lastRenderedPageBreak/>
        <w:t xml:space="preserve">the outstanding </w:t>
      </w:r>
      <w:r w:rsidR="00406725">
        <w:rPr>
          <w:rFonts w:ascii="Palatino Linotype" w:hAnsi="Palatino Linotype"/>
          <w:szCs w:val="24"/>
        </w:rPr>
        <w:t>Annual R</w:t>
      </w:r>
      <w:r w:rsidRPr="002B14B1">
        <w:rPr>
          <w:rFonts w:ascii="Palatino Linotype" w:hAnsi="Palatino Linotype"/>
          <w:szCs w:val="24"/>
        </w:rPr>
        <w:t>eport</w:t>
      </w:r>
      <w:r w:rsidR="00406725">
        <w:rPr>
          <w:rFonts w:ascii="Palatino Linotype" w:hAnsi="Palatino Linotype"/>
          <w:szCs w:val="24"/>
        </w:rPr>
        <w:t xml:space="preserve">s and/or Annual Performance Bond </w:t>
      </w:r>
      <w:r w:rsidRPr="002B14B1" w:rsidR="002B14B1">
        <w:rPr>
          <w:rFonts w:ascii="Palatino Linotype" w:hAnsi="Palatino Linotype"/>
          <w:szCs w:val="24"/>
        </w:rPr>
        <w:t>requirement</w:t>
      </w:r>
      <w:r w:rsidR="002B14B1">
        <w:rPr>
          <w:rFonts w:ascii="Palatino Linotype" w:hAnsi="Palatino Linotype"/>
          <w:szCs w:val="24"/>
        </w:rPr>
        <w:t>s and</w:t>
      </w:r>
      <w:r w:rsidRPr="002B14B1">
        <w:rPr>
          <w:rFonts w:ascii="Palatino Linotype" w:hAnsi="Palatino Linotype"/>
          <w:szCs w:val="24"/>
        </w:rPr>
        <w:t xml:space="preserve"> pay</w:t>
      </w:r>
      <w:r w:rsidR="002B14B1">
        <w:rPr>
          <w:rFonts w:ascii="Palatino Linotype" w:hAnsi="Palatino Linotype"/>
          <w:szCs w:val="24"/>
        </w:rPr>
        <w:t>ing</w:t>
      </w:r>
      <w:r w:rsidRPr="002B14B1">
        <w:rPr>
          <w:rFonts w:ascii="Palatino Linotype" w:hAnsi="Palatino Linotype"/>
          <w:szCs w:val="24"/>
        </w:rPr>
        <w:t xml:space="preserve"> the outstanding penalty.</w:t>
      </w:r>
    </w:p>
    <w:p w:rsidR="0022079D" w:rsidP="00DD3819" w:rsidRDefault="0022079D" w14:paraId="107ADC3C" w14:textId="26833C9B">
      <w:pPr>
        <w:keepNext/>
        <w:numPr>
          <w:ilvl w:val="0"/>
          <w:numId w:val="60"/>
        </w:numPr>
        <w:overflowPunct/>
        <w:spacing w:after="120"/>
        <w:textAlignment w:val="auto"/>
        <w:rPr>
          <w:rFonts w:ascii="Palatino Linotype" w:hAnsi="Palatino Linotype"/>
          <w:szCs w:val="24"/>
        </w:rPr>
      </w:pPr>
      <w:r w:rsidRPr="002B14B1">
        <w:rPr>
          <w:rFonts w:ascii="Palatino Linotype" w:hAnsi="Palatino Linotype"/>
          <w:szCs w:val="24"/>
        </w:rPr>
        <w:t xml:space="preserve">Failure by any carrier listed in Appendix A to comply with Ordering paragraph 1 of this Resolution shall result in immediate revocation of </w:t>
      </w:r>
      <w:r w:rsidR="002B14B1">
        <w:rPr>
          <w:rFonts w:ascii="Palatino Linotype" w:hAnsi="Palatino Linotype"/>
          <w:szCs w:val="24"/>
        </w:rPr>
        <w:t>its</w:t>
      </w:r>
      <w:r w:rsidRPr="002B14B1">
        <w:rPr>
          <w:rFonts w:ascii="Palatino Linotype" w:hAnsi="Palatino Linotype"/>
          <w:szCs w:val="24"/>
        </w:rPr>
        <w:t xml:space="preserve"> operating authority</w:t>
      </w:r>
      <w:r w:rsidR="00406725">
        <w:rPr>
          <w:rFonts w:ascii="Palatino Linotype" w:hAnsi="Palatino Linotype"/>
          <w:szCs w:val="24"/>
        </w:rPr>
        <w:t xml:space="preserve"> or registration</w:t>
      </w:r>
      <w:r w:rsidRPr="002B14B1">
        <w:rPr>
          <w:rFonts w:ascii="Palatino Linotype" w:hAnsi="Palatino Linotype"/>
          <w:szCs w:val="24"/>
        </w:rPr>
        <w:t xml:space="preserve"> from the </w:t>
      </w:r>
      <w:r w:rsidR="00406725">
        <w:rPr>
          <w:rFonts w:ascii="Palatino Linotype" w:hAnsi="Palatino Linotype"/>
          <w:szCs w:val="24"/>
        </w:rPr>
        <w:t>C</w:t>
      </w:r>
      <w:r w:rsidRPr="002B14B1">
        <w:rPr>
          <w:rFonts w:ascii="Palatino Linotype" w:hAnsi="Palatino Linotype"/>
          <w:szCs w:val="24"/>
        </w:rPr>
        <w:t xml:space="preserve">ommission and </w:t>
      </w:r>
      <w:r w:rsidR="002B14B1">
        <w:rPr>
          <w:rFonts w:ascii="Palatino Linotype" w:hAnsi="Palatino Linotype"/>
          <w:szCs w:val="24"/>
        </w:rPr>
        <w:t>it</w:t>
      </w:r>
      <w:r w:rsidRPr="002B14B1">
        <w:rPr>
          <w:rFonts w:ascii="Palatino Linotype" w:hAnsi="Palatino Linotype"/>
          <w:szCs w:val="24"/>
        </w:rPr>
        <w:t xml:space="preserve"> no longer</w:t>
      </w:r>
      <w:r w:rsidR="002B14B1">
        <w:rPr>
          <w:rFonts w:ascii="Palatino Linotype" w:hAnsi="Palatino Linotype"/>
          <w:szCs w:val="24"/>
        </w:rPr>
        <w:t xml:space="preserve"> will be</w:t>
      </w:r>
      <w:r w:rsidRPr="002B14B1">
        <w:rPr>
          <w:rFonts w:ascii="Palatino Linotype" w:hAnsi="Palatino Linotype"/>
          <w:szCs w:val="24"/>
        </w:rPr>
        <w:t xml:space="preserve"> authorized to provide service in California</w:t>
      </w:r>
      <w:r>
        <w:rPr>
          <w:rFonts w:ascii="Palatino Linotype" w:hAnsi="Palatino Linotype"/>
          <w:szCs w:val="24"/>
        </w:rPr>
        <w:t>.</w:t>
      </w:r>
    </w:p>
    <w:p w:rsidRPr="00FC424F" w:rsidR="00CE58FE" w:rsidP="00DD3819" w:rsidRDefault="00CE58FE" w14:paraId="29F4EF0F" w14:textId="43262D3F">
      <w:pPr>
        <w:keepNext/>
        <w:numPr>
          <w:ilvl w:val="0"/>
          <w:numId w:val="60"/>
        </w:numPr>
        <w:overflowPunct/>
        <w:spacing w:after="120"/>
        <w:textAlignment w:val="auto"/>
        <w:rPr>
          <w:rFonts w:ascii="Palatino Linotype" w:hAnsi="Palatino Linotype" w:eastAsia="Palatino Linotype" w:cs="Palatino Linotype"/>
          <w:szCs w:val="24"/>
        </w:rPr>
      </w:pPr>
      <w:r w:rsidRPr="00E36D91">
        <w:rPr>
          <w:rFonts w:ascii="Palatino Linotype" w:hAnsi="Palatino Linotype"/>
          <w:szCs w:val="24"/>
        </w:rPr>
        <w:t xml:space="preserve">All telephone corporations shall notify CD </w:t>
      </w:r>
      <w:r w:rsidRPr="00E36D91" w:rsidR="00A955C0">
        <w:rPr>
          <w:rFonts w:ascii="Palatino Linotype" w:hAnsi="Palatino Linotype"/>
          <w:szCs w:val="24"/>
        </w:rPr>
        <w:t xml:space="preserve">staff via email to </w:t>
      </w:r>
      <w:hyperlink w:history="1" r:id="rId12">
        <w:r w:rsidRPr="00E36D91" w:rsidR="00A955C0">
          <w:rPr>
            <w:rStyle w:val="Hyperlink"/>
            <w:rFonts w:ascii="Palatino Linotype" w:hAnsi="Palatino Linotype"/>
            <w:szCs w:val="24"/>
          </w:rPr>
          <w:t>cdcompliance@cpuc.ca.gov</w:t>
        </w:r>
      </w:hyperlink>
      <w:r w:rsidRPr="00E36D91" w:rsidR="00A955C0">
        <w:rPr>
          <w:rFonts w:ascii="Palatino Linotype" w:hAnsi="Palatino Linotype"/>
          <w:szCs w:val="24"/>
        </w:rPr>
        <w:t xml:space="preserve"> </w:t>
      </w:r>
      <w:r w:rsidRPr="00E36D91">
        <w:rPr>
          <w:rFonts w:ascii="Palatino Linotype" w:hAnsi="Palatino Linotype"/>
          <w:szCs w:val="24"/>
        </w:rPr>
        <w:t>if they provide services to any of the carriers listed in Appendix A and cease from conducting business with the carriers whose license</w:t>
      </w:r>
      <w:r w:rsidR="00D855B8">
        <w:rPr>
          <w:rFonts w:ascii="Palatino Linotype" w:hAnsi="Palatino Linotype"/>
          <w:szCs w:val="24"/>
        </w:rPr>
        <w:t>s</w:t>
      </w:r>
      <w:r w:rsidRPr="00E36D91">
        <w:rPr>
          <w:rFonts w:ascii="Palatino Linotype" w:hAnsi="Palatino Linotype"/>
          <w:szCs w:val="24"/>
        </w:rPr>
        <w:t xml:space="preserve"> have been revoked by this Resolution.</w:t>
      </w:r>
    </w:p>
    <w:p w:rsidRPr="00FC424F" w:rsidR="003C4510" w:rsidP="00DD3819" w:rsidRDefault="75EBC0A7" w14:paraId="6FC6F561" w14:textId="1ACE7EF5">
      <w:pPr>
        <w:keepNext/>
        <w:numPr>
          <w:ilvl w:val="0"/>
          <w:numId w:val="60"/>
        </w:numPr>
        <w:overflowPunct/>
        <w:spacing w:after="120"/>
        <w:textAlignment w:val="auto"/>
        <w:rPr>
          <w:rFonts w:ascii="Palatino Linotype" w:hAnsi="Palatino Linotype" w:eastAsia="Palatino Linotype" w:cs="Palatino Linotype"/>
          <w:szCs w:val="24"/>
        </w:rPr>
      </w:pPr>
      <w:r w:rsidRPr="00E36D91">
        <w:rPr>
          <w:rFonts w:ascii="Palatino Linotype" w:hAnsi="Palatino Linotype"/>
          <w:szCs w:val="24"/>
        </w:rPr>
        <w:t xml:space="preserve">Carriers seeking to continue operations in the </w:t>
      </w:r>
      <w:r w:rsidR="00AB22F4">
        <w:rPr>
          <w:rFonts w:ascii="Palatino Linotype" w:hAnsi="Palatino Linotype"/>
          <w:szCs w:val="24"/>
        </w:rPr>
        <w:t>S</w:t>
      </w:r>
      <w:r w:rsidRPr="00E36D91">
        <w:rPr>
          <w:rFonts w:ascii="Palatino Linotype" w:hAnsi="Palatino Linotype"/>
          <w:szCs w:val="24"/>
        </w:rPr>
        <w:t>tate of California must file a new request</w:t>
      </w:r>
      <w:r w:rsidR="00AB22F4">
        <w:rPr>
          <w:rFonts w:ascii="Palatino Linotype" w:hAnsi="Palatino Linotype"/>
          <w:szCs w:val="24"/>
        </w:rPr>
        <w:t xml:space="preserve"> for operating authority or registration</w:t>
      </w:r>
      <w:r w:rsidRPr="00E36D91">
        <w:rPr>
          <w:rFonts w:ascii="Palatino Linotype" w:hAnsi="Palatino Linotype"/>
          <w:szCs w:val="24"/>
        </w:rPr>
        <w:t xml:space="preserve"> </w:t>
      </w:r>
      <w:r w:rsidR="00596A2D">
        <w:rPr>
          <w:rFonts w:ascii="Palatino Linotype" w:hAnsi="Palatino Linotype"/>
          <w:szCs w:val="24"/>
        </w:rPr>
        <w:t>with</w:t>
      </w:r>
      <w:r w:rsidRPr="00E36D91" w:rsidR="00596A2D">
        <w:rPr>
          <w:rFonts w:ascii="Palatino Linotype" w:hAnsi="Palatino Linotype"/>
          <w:szCs w:val="24"/>
        </w:rPr>
        <w:t xml:space="preserve"> </w:t>
      </w:r>
      <w:r w:rsidRPr="00E36D91">
        <w:rPr>
          <w:rFonts w:ascii="Palatino Linotype" w:hAnsi="Palatino Linotype"/>
          <w:szCs w:val="24"/>
        </w:rPr>
        <w:t xml:space="preserve">the Commission. Wireline carriers shall file a CPCN application and cannot use the </w:t>
      </w:r>
      <w:r w:rsidRPr="00E36D91" w:rsidR="005B4ECE">
        <w:rPr>
          <w:rFonts w:ascii="Palatino Linotype" w:hAnsi="Palatino Linotype"/>
          <w:szCs w:val="24"/>
        </w:rPr>
        <w:t xml:space="preserve">Simplified </w:t>
      </w:r>
      <w:r w:rsidRPr="00E36D91">
        <w:rPr>
          <w:rFonts w:ascii="Palatino Linotype" w:hAnsi="Palatino Linotype"/>
          <w:szCs w:val="24"/>
        </w:rPr>
        <w:t>Registration process pursuant to P</w:t>
      </w:r>
      <w:r w:rsidR="00970A35">
        <w:rPr>
          <w:rFonts w:ascii="Palatino Linotype" w:hAnsi="Palatino Linotype"/>
          <w:szCs w:val="24"/>
        </w:rPr>
        <w:t xml:space="preserve">ub. </w:t>
      </w:r>
      <w:r w:rsidRPr="00E36D91">
        <w:rPr>
          <w:rFonts w:ascii="Palatino Linotype" w:hAnsi="Palatino Linotype"/>
          <w:szCs w:val="24"/>
        </w:rPr>
        <w:t>U</w:t>
      </w:r>
      <w:r w:rsidR="00970A35">
        <w:rPr>
          <w:rFonts w:ascii="Palatino Linotype" w:hAnsi="Palatino Linotype"/>
          <w:szCs w:val="24"/>
        </w:rPr>
        <w:t>til.</w:t>
      </w:r>
      <w:r w:rsidRPr="00E36D91">
        <w:rPr>
          <w:rFonts w:ascii="Palatino Linotype" w:hAnsi="Palatino Linotype"/>
          <w:szCs w:val="24"/>
        </w:rPr>
        <w:t xml:space="preserve"> Code § 1013. Wireless carriers shall file a new WIR request. All carriers shall disclose the previous revocation via </w:t>
      </w:r>
      <w:proofErr w:type="gramStart"/>
      <w:r w:rsidRPr="00E36D91" w:rsidR="004E3C46">
        <w:rPr>
          <w:rFonts w:ascii="Palatino Linotype" w:hAnsi="Palatino Linotype"/>
          <w:szCs w:val="24"/>
        </w:rPr>
        <w:t xml:space="preserve">a </w:t>
      </w:r>
      <w:r w:rsidRPr="00E36D91">
        <w:rPr>
          <w:rFonts w:ascii="Palatino Linotype" w:hAnsi="Palatino Linotype"/>
          <w:szCs w:val="24"/>
        </w:rPr>
        <w:t>sworn affidavit</w:t>
      </w:r>
      <w:proofErr w:type="gramEnd"/>
      <w:r w:rsidRPr="00E36D91">
        <w:rPr>
          <w:rFonts w:ascii="Palatino Linotype" w:hAnsi="Palatino Linotype"/>
          <w:szCs w:val="24"/>
        </w:rPr>
        <w:t xml:space="preserve"> and pay all outstanding penalties, interest or fines owed to the Commission to be granted </w:t>
      </w:r>
      <w:r w:rsidR="00AB22F4">
        <w:rPr>
          <w:rFonts w:ascii="Palatino Linotype" w:hAnsi="Palatino Linotype"/>
          <w:szCs w:val="24"/>
        </w:rPr>
        <w:t xml:space="preserve">a registration or </w:t>
      </w:r>
      <w:r w:rsidRPr="00E36D91">
        <w:rPr>
          <w:rFonts w:ascii="Palatino Linotype" w:hAnsi="Palatino Linotype"/>
          <w:szCs w:val="24"/>
        </w:rPr>
        <w:t>authority to operate in California.</w:t>
      </w:r>
    </w:p>
    <w:p w:rsidRPr="00E36D91" w:rsidR="00CE58FE" w:rsidP="00DD3819" w:rsidRDefault="00CE58FE" w14:paraId="5411CB1A" w14:textId="7ACB8839">
      <w:pPr>
        <w:keepNext/>
        <w:numPr>
          <w:ilvl w:val="0"/>
          <w:numId w:val="60"/>
        </w:numPr>
        <w:overflowPunct/>
        <w:spacing w:after="120"/>
        <w:textAlignment w:val="auto"/>
        <w:rPr>
          <w:rFonts w:ascii="Palatino Linotype" w:hAnsi="Palatino Linotype"/>
          <w:szCs w:val="24"/>
        </w:rPr>
      </w:pPr>
      <w:r w:rsidRPr="00E36D91">
        <w:rPr>
          <w:rFonts w:ascii="Palatino Linotype" w:hAnsi="Palatino Linotype"/>
          <w:szCs w:val="24"/>
        </w:rPr>
        <w:t xml:space="preserve">Carriers that continue to operate after revocation of </w:t>
      </w:r>
      <w:r w:rsidR="00E678FF">
        <w:rPr>
          <w:rFonts w:ascii="Palatino Linotype" w:hAnsi="Palatino Linotype"/>
          <w:szCs w:val="24"/>
        </w:rPr>
        <w:t>their</w:t>
      </w:r>
      <w:r w:rsidRPr="00E36D91">
        <w:rPr>
          <w:rFonts w:ascii="Palatino Linotype" w:hAnsi="Palatino Linotype"/>
          <w:szCs w:val="24"/>
        </w:rPr>
        <w:t xml:space="preserve"> operating authority</w:t>
      </w:r>
      <w:r w:rsidR="00AB22F4">
        <w:rPr>
          <w:rFonts w:ascii="Palatino Linotype" w:hAnsi="Palatino Linotype"/>
          <w:szCs w:val="24"/>
        </w:rPr>
        <w:t xml:space="preserve"> or registration</w:t>
      </w:r>
      <w:r w:rsidRPr="00E36D91">
        <w:rPr>
          <w:rFonts w:ascii="Palatino Linotype" w:hAnsi="Palatino Linotype"/>
          <w:szCs w:val="24"/>
        </w:rPr>
        <w:t xml:space="preserve"> and fail to obtain the requisite operating authority </w:t>
      </w:r>
      <w:r w:rsidR="00AB22F4">
        <w:rPr>
          <w:rFonts w:ascii="Palatino Linotype" w:hAnsi="Palatino Linotype"/>
          <w:szCs w:val="24"/>
        </w:rPr>
        <w:t xml:space="preserve">or registration </w:t>
      </w:r>
      <w:r w:rsidRPr="00E36D91" w:rsidR="00A955C0">
        <w:rPr>
          <w:rFonts w:ascii="Palatino Linotype" w:hAnsi="Palatino Linotype"/>
          <w:szCs w:val="24"/>
        </w:rPr>
        <w:t>shall</w:t>
      </w:r>
      <w:r w:rsidRPr="00E36D91">
        <w:rPr>
          <w:rFonts w:ascii="Palatino Linotype" w:hAnsi="Palatino Linotype"/>
          <w:szCs w:val="24"/>
        </w:rPr>
        <w:t xml:space="preserve"> be subject to enforcement action by the Commission, including possible fines or other sanctions.</w:t>
      </w:r>
    </w:p>
    <w:p w:rsidRPr="00E36D91" w:rsidR="00B221EE" w:rsidP="00972BD7" w:rsidRDefault="00D77460" w14:paraId="7AF14832" w14:textId="28233AC3">
      <w:pPr>
        <w:overflowPunct/>
        <w:autoSpaceDE/>
        <w:autoSpaceDN/>
        <w:adjustRightInd/>
        <w:textAlignment w:val="auto"/>
        <w:rPr>
          <w:rFonts w:ascii="Palatino Linotype" w:hAnsi="Palatino Linotype" w:cs="Courier New"/>
          <w:szCs w:val="24"/>
        </w:rPr>
      </w:pPr>
      <w:r>
        <w:rPr>
          <w:rFonts w:ascii="Palatino Linotype" w:hAnsi="Palatino Linotype"/>
          <w:szCs w:val="24"/>
        </w:rPr>
        <w:br w:type="page"/>
      </w:r>
      <w:r w:rsidRPr="00E36D91" w:rsidR="00B221EE">
        <w:rPr>
          <w:rFonts w:ascii="Palatino Linotype" w:hAnsi="Palatino Linotype"/>
          <w:szCs w:val="24"/>
        </w:rPr>
        <w:lastRenderedPageBreak/>
        <w:t>This Resolution is effective today.</w:t>
      </w:r>
    </w:p>
    <w:p w:rsidRPr="00E36D91" w:rsidR="00B221EE" w:rsidRDefault="00B221EE" w14:paraId="156BB0DC" w14:textId="77777777">
      <w:pPr>
        <w:pStyle w:val="HTMLPreformatted"/>
        <w:rPr>
          <w:rFonts w:ascii="Palatino Linotype" w:hAnsi="Palatino Linotype"/>
          <w:sz w:val="24"/>
          <w:szCs w:val="24"/>
        </w:rPr>
      </w:pPr>
    </w:p>
    <w:p w:rsidR="004E7017" w:rsidP="00C10CA7" w:rsidRDefault="00EE5915" w14:paraId="6E1E8331" w14:textId="77777777">
      <w:pPr>
        <w:pStyle w:val="HTMLPreformatted"/>
        <w:rPr>
          <w:rFonts w:ascii="Palatino Linotype" w:hAnsi="Palatino Linotype"/>
          <w:sz w:val="24"/>
          <w:szCs w:val="24"/>
        </w:rPr>
      </w:pPr>
      <w:r w:rsidRPr="00E36D91">
        <w:rPr>
          <w:rFonts w:ascii="Palatino Linotype" w:hAnsi="Palatino Linotype"/>
          <w:sz w:val="24"/>
          <w:szCs w:val="24"/>
        </w:rPr>
        <w:t>I certify that the foregoing resolution was duly introduced, passed, and adopted at a conference of the Public Utilities Commission of the State of California held on</w:t>
      </w:r>
      <w:r w:rsidR="004E7017">
        <w:rPr>
          <w:rFonts w:ascii="Palatino Linotype" w:hAnsi="Palatino Linotype"/>
          <w:sz w:val="24"/>
          <w:szCs w:val="24"/>
        </w:rPr>
        <w:t xml:space="preserve">, </w:t>
      </w:r>
    </w:p>
    <w:p w:rsidRPr="00E36D91" w:rsidR="00EE5915" w:rsidP="00C10CA7" w:rsidRDefault="004E7017" w14:paraId="50C122D7" w14:textId="273F9986">
      <w:pPr>
        <w:pStyle w:val="HTMLPreformatted"/>
        <w:rPr>
          <w:rFonts w:ascii="Palatino Linotype" w:hAnsi="Palatino Linotype"/>
          <w:sz w:val="24"/>
          <w:szCs w:val="24"/>
        </w:rPr>
      </w:pPr>
      <w:r>
        <w:rPr>
          <w:rFonts w:ascii="Palatino Linotype" w:hAnsi="Palatino Linotype"/>
          <w:sz w:val="24"/>
          <w:szCs w:val="24"/>
        </w:rPr>
        <w:t>April 18, 2024</w:t>
      </w:r>
      <w:r w:rsidR="008F131E">
        <w:rPr>
          <w:rFonts w:ascii="Palatino Linotype" w:hAnsi="Palatino Linotype"/>
          <w:sz w:val="24"/>
          <w:szCs w:val="24"/>
        </w:rPr>
        <w:t>,</w:t>
      </w:r>
      <w:r w:rsidRPr="00E36D91" w:rsidR="00EE5915">
        <w:rPr>
          <w:rFonts w:ascii="Palatino Linotype" w:hAnsi="Palatino Linotype"/>
          <w:sz w:val="24"/>
          <w:szCs w:val="24"/>
        </w:rPr>
        <w:t xml:space="preserve"> the following Commissioners voting favorable thereon:</w:t>
      </w:r>
    </w:p>
    <w:p w:rsidRPr="00E36D91" w:rsidR="00CD6CC5" w:rsidP="00160AC7" w:rsidRDefault="00CD6CC5" w14:paraId="65D45B3D" w14:textId="77777777">
      <w:pPr>
        <w:pStyle w:val="HTMLPreformatted"/>
        <w:rPr>
          <w:rFonts w:ascii="Palatino Linotype" w:hAnsi="Palatino Linotype"/>
          <w:sz w:val="24"/>
          <w:szCs w:val="24"/>
        </w:rPr>
      </w:pPr>
    </w:p>
    <w:p w:rsidRPr="00E36D91" w:rsidR="002B40BF" w:rsidP="002B40BF" w:rsidRDefault="002B40BF" w14:paraId="033908DB" w14:textId="77777777">
      <w:pPr>
        <w:overflowPunct/>
        <w:autoSpaceDE/>
        <w:autoSpaceDN/>
        <w:adjustRightInd/>
        <w:textAlignment w:val="auto"/>
        <w:rPr>
          <w:rFonts w:ascii="Palatino Linotype" w:hAnsi="Palatino Linotype" w:cs="Tahoma"/>
          <w:szCs w:val="24"/>
        </w:rPr>
      </w:pPr>
    </w:p>
    <w:p w:rsidRPr="00BD5A66" w:rsidR="00461A87" w:rsidP="008F131E" w:rsidRDefault="008F131E" w14:paraId="4D0DF63F" w14:textId="01AF468F">
      <w:pPr>
        <w:overflowPunct/>
        <w:autoSpaceDE/>
        <w:autoSpaceDN/>
        <w:adjustRightInd/>
        <w:textAlignment w:val="auto"/>
        <w:rPr>
          <w:sz w:val="26"/>
          <w:szCs w:val="22"/>
        </w:rPr>
      </w:pPr>
      <w:r w:rsidRPr="008F131E">
        <w:rPr>
          <w:rFonts w:ascii="Palatino Linotype" w:hAnsi="Palatino Linotype" w:cs="Tahoma"/>
          <w:noProof/>
          <w:color w:val="000000" w:themeColor="text1"/>
          <w:szCs w:val="24"/>
        </w:rPr>
        <mc:AlternateContent>
          <mc:Choice Requires="wps">
            <w:drawing>
              <wp:anchor distT="0" distB="0" distL="114300" distR="114300" simplePos="0" relativeHeight="251659264" behindDoc="0" locked="0" layoutInCell="1" allowOverlap="1" wp14:editId="1E44A674" wp14:anchorId="2C6EB55D">
                <wp:simplePos x="0" y="0"/>
                <wp:positionH relativeFrom="column">
                  <wp:posOffset>3215640</wp:posOffset>
                </wp:positionH>
                <wp:positionV relativeFrom="paragraph">
                  <wp:posOffset>222885</wp:posOffset>
                </wp:positionV>
                <wp:extent cx="1943100" cy="15240"/>
                <wp:effectExtent l="0" t="0" r="19050" b="22860"/>
                <wp:wrapNone/>
                <wp:docPr id="88050748" name="Straight Connector 1"/>
                <wp:cNvGraphicFramePr/>
                <a:graphic xmlns:a="http://schemas.openxmlformats.org/drawingml/2006/main">
                  <a:graphicData uri="http://schemas.microsoft.com/office/word/2010/wordprocessingShape">
                    <wps:wsp>
                      <wps:cNvCnPr/>
                      <wps:spPr>
                        <a:xfrm flipV="1">
                          <a:off x="0" y="0"/>
                          <a:ext cx="19431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253.2pt,17.55pt" to="406.2pt,18.75pt" w14:anchorId="18E57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vnvQEAAOIDAAAOAAAAZHJzL2Uyb0RvYy54bWysU01v2zAMvQ/YfxB0X2xn3bAZcXpo0V2K&#10;rtjXXZWpWIC+IGmx8+9H0YlTrAWGFb0IpsT3yPdIby4na9geYtLedbxZ1ZyBk77Xbtfxnz9u3n3i&#10;LGXhemG8g44fIPHL7ds3mzG0sPaDNz1EhiQutWPo+JBzaKsqyQGsSCsfwOGj8tGKjGHcVX0UI7Jb&#10;U63r+mM1+tiH6CWkhLfX8yPfEr9SIPNXpRJkZjqOvWU6I50P5ay2G9HuogiDlsc2xAu6sEI7LLpQ&#10;XYss2O+on1BZLaNPXuWV9LbySmkJpAHVNPVfar4PIgBpQXNSWGxKr0cr7/ZX7j6iDWNIbQr3saiY&#10;VLRMGR1+4UxJF3bKJrLtsNgGU2YSL5vPF++bGt2V+NZ8WF+QrdVMU+hCTPkLeMvKR8eNdkWVaMX+&#10;NmUsjamnlHJtXDmTN7q/0cZQUPYBrkxke4GTzFNTJoe4R1kYFWR1FkJf+WBgZv0Gium+NEzVacfO&#10;nEJKcPnEaxxmF5jCDhZg/W/gMb9Agfbvf8ALgip7lxew1c7H56qfrVBz/smBWXex4MH3BxoxWYOL&#10;RM4dl75s6uOY4Odfc/sHAAD//wMAUEsDBBQABgAIAAAAIQAhSjl04AAAAAkBAAAPAAAAZHJzL2Rv&#10;d25yZXYueG1sTI/LTsMwEEX3SPyDNUjsqJ2UlCqNUyGkVohdQyXUnRM7DzUeR7Gbpnw9wwqWc+fo&#10;zplsO9ueTWb0nUMJ0UIAM1g53WEj4fi5e1oD80GhVr1DI+FmPGzz+7tMpdpd8WCmIjSMStCnSkIb&#10;wpBy7qvWWOUXbjBIu9qNVgUax4brUV2p3PY8FmLFreqQLrRqMG+tqc7FxUrYlfXt9L3/eo/rfdye&#10;P5bHw1QIKR8f5tcNsGDm8AfDrz6pQ05Opbug9qyXkIjVM6ESlkkEjIB1FFNQUvCSAM8z/v+D/AcA&#10;AP//AwBQSwECLQAUAAYACAAAACEAtoM4kv4AAADhAQAAEwAAAAAAAAAAAAAAAAAAAAAAW0NvbnRl&#10;bnRfVHlwZXNdLnhtbFBLAQItABQABgAIAAAAIQA4/SH/1gAAAJQBAAALAAAAAAAAAAAAAAAAAC8B&#10;AABfcmVscy8ucmVsc1BLAQItABQABgAIAAAAIQDRdSvnvQEAAOIDAAAOAAAAAAAAAAAAAAAAAC4C&#10;AABkcnMvZTJvRG9jLnhtbFBLAQItABQABgAIAAAAIQAhSjl04AAAAAkBAAAPAAAAAAAAAAAAAAAA&#10;ABcEAABkcnMvZG93bnJldi54bWxQSwUGAAAAAAQABADzAAAAJAUAAAAA&#10;"/>
            </w:pict>
          </mc:Fallback>
        </mc:AlternateContent>
      </w:r>
      <w:r>
        <w:rPr>
          <w:rFonts w:ascii="Palatino Linotype" w:hAnsi="Palatino Linotype" w:cs="Tahoma"/>
          <w:szCs w:val="24"/>
        </w:rPr>
        <w:tab/>
      </w:r>
      <w:r>
        <w:rPr>
          <w:rFonts w:ascii="Palatino Linotype" w:hAnsi="Palatino Linotype" w:cs="Tahoma"/>
          <w:szCs w:val="24"/>
        </w:rPr>
        <w:tab/>
      </w:r>
      <w:r>
        <w:rPr>
          <w:rFonts w:ascii="Palatino Linotype" w:hAnsi="Palatino Linotype" w:cs="Tahoma"/>
          <w:szCs w:val="24"/>
        </w:rPr>
        <w:tab/>
      </w:r>
      <w:r>
        <w:rPr>
          <w:rFonts w:ascii="Palatino Linotype" w:hAnsi="Palatino Linotype" w:cs="Tahoma"/>
          <w:szCs w:val="24"/>
        </w:rPr>
        <w:tab/>
      </w:r>
      <w:r>
        <w:rPr>
          <w:rFonts w:ascii="Palatino Linotype" w:hAnsi="Palatino Linotype" w:cs="Tahoma"/>
          <w:szCs w:val="24"/>
        </w:rPr>
        <w:tab/>
      </w:r>
      <w:r>
        <w:rPr>
          <w:rFonts w:ascii="Palatino Linotype" w:hAnsi="Palatino Linotype" w:cs="Tahoma"/>
          <w:szCs w:val="24"/>
        </w:rPr>
        <w:tab/>
      </w:r>
      <w:r>
        <w:rPr>
          <w:rFonts w:ascii="Palatino Linotype" w:hAnsi="Palatino Linotype" w:cs="Tahoma"/>
          <w:szCs w:val="24"/>
        </w:rPr>
        <w:tab/>
        <w:t xml:space="preserve">     /s/RACHEL PETERSON</w:t>
      </w:r>
      <w:r>
        <w:rPr>
          <w:rFonts w:ascii="Palatino Linotype" w:hAnsi="Palatino Linotype" w:cs="Tahoma"/>
          <w:szCs w:val="24"/>
        </w:rPr>
        <w:tab/>
      </w:r>
      <w:r>
        <w:rPr>
          <w:rFonts w:ascii="Palatino Linotype" w:hAnsi="Palatino Linotype" w:cs="Tahoma"/>
          <w:szCs w:val="24"/>
        </w:rPr>
        <w:tab/>
      </w:r>
      <w:r>
        <w:rPr>
          <w:rFonts w:ascii="Palatino Linotype" w:hAnsi="Palatino Linotype" w:cs="Tahoma"/>
          <w:szCs w:val="24"/>
        </w:rPr>
        <w:tab/>
      </w:r>
      <w:r>
        <w:rPr>
          <w:rFonts w:ascii="Palatino Linotype" w:hAnsi="Palatino Linotype" w:cs="Tahoma"/>
          <w:szCs w:val="24"/>
        </w:rPr>
        <w:tab/>
      </w:r>
      <w:r>
        <w:rPr>
          <w:rFonts w:ascii="Palatino Linotype" w:hAnsi="Palatino Linotype" w:cs="Tahoma"/>
          <w:szCs w:val="24"/>
        </w:rPr>
        <w:tab/>
      </w:r>
      <w:r w:rsidRPr="00BD5A66" w:rsidR="00461A87">
        <w:rPr>
          <w:sz w:val="26"/>
          <w:szCs w:val="22"/>
        </w:rPr>
        <w:t xml:space="preserve">                                              </w:t>
      </w:r>
      <w:r>
        <w:rPr>
          <w:sz w:val="26"/>
          <w:szCs w:val="22"/>
        </w:rPr>
        <w:t xml:space="preserve">     </w:t>
      </w:r>
      <w:r w:rsidRPr="00BD5A66" w:rsidR="00461A87">
        <w:rPr>
          <w:sz w:val="26"/>
          <w:szCs w:val="22"/>
        </w:rPr>
        <w:t xml:space="preserve"> </w:t>
      </w:r>
      <w:r>
        <w:rPr>
          <w:sz w:val="26"/>
          <w:szCs w:val="22"/>
        </w:rPr>
        <w:t>Rachel</w:t>
      </w:r>
      <w:r w:rsidRPr="00BD5A66">
        <w:rPr>
          <w:sz w:val="26"/>
          <w:szCs w:val="22"/>
        </w:rPr>
        <w:t xml:space="preserve"> </w:t>
      </w:r>
      <w:r>
        <w:rPr>
          <w:sz w:val="26"/>
          <w:szCs w:val="22"/>
        </w:rPr>
        <w:t>Peterson</w:t>
      </w:r>
    </w:p>
    <w:p w:rsidR="00461A87" w:rsidP="00461A87" w:rsidRDefault="00461A87" w14:paraId="2BACBE62" w14:textId="77777777">
      <w:pPr>
        <w:pStyle w:val="BodyText"/>
      </w:pPr>
      <w:r>
        <w:t xml:space="preserve">                                                                                              Executive Director</w:t>
      </w:r>
    </w:p>
    <w:p w:rsidR="00D43837" w:rsidP="00D43837" w:rsidRDefault="00D43837" w14:paraId="2B07E7B6" w14:textId="77777777">
      <w:pPr>
        <w:ind w:left="5040"/>
        <w:rPr>
          <w:rFonts w:ascii="Palatino Linotype" w:hAnsi="Palatino Linotype"/>
          <w:szCs w:val="24"/>
        </w:rPr>
      </w:pPr>
    </w:p>
    <w:p w:rsidR="00DE549A" w:rsidP="00D43837" w:rsidRDefault="00DE549A" w14:paraId="1B6D620D" w14:textId="77777777">
      <w:pPr>
        <w:ind w:left="5040"/>
        <w:rPr>
          <w:rFonts w:ascii="Palatino Linotype" w:hAnsi="Palatino Linotype"/>
          <w:szCs w:val="24"/>
        </w:rPr>
      </w:pPr>
    </w:p>
    <w:p w:rsidR="00D43837" w:rsidP="00D43837" w:rsidRDefault="00D43837" w14:paraId="760A2683" w14:textId="77777777">
      <w:pPr>
        <w:ind w:left="5040"/>
        <w:rPr>
          <w:rFonts w:ascii="Palatino Linotype" w:hAnsi="Palatino Linotype"/>
          <w:szCs w:val="24"/>
        </w:rPr>
      </w:pPr>
    </w:p>
    <w:p w:rsidRPr="00512847" w:rsidR="00D43837" w:rsidP="00D43837" w:rsidRDefault="00DE549A" w14:paraId="4AD676BA" w14:textId="0BF0FFF5">
      <w:pPr>
        <w:ind w:left="5760"/>
        <w:rPr>
          <w:rFonts w:ascii="Palatino Linotype" w:hAnsi="Palatino Linotype"/>
          <w:szCs w:val="24"/>
        </w:rPr>
      </w:pPr>
      <w:r>
        <w:rPr>
          <w:rFonts w:ascii="Palatino Linotype" w:hAnsi="Palatino Linotype"/>
          <w:szCs w:val="24"/>
        </w:rPr>
        <w:t xml:space="preserve">       </w:t>
      </w:r>
      <w:r w:rsidRPr="00512847" w:rsidR="00D43837">
        <w:rPr>
          <w:rFonts w:ascii="Palatino Linotype" w:hAnsi="Palatino Linotype"/>
          <w:szCs w:val="24"/>
        </w:rPr>
        <w:t>ALICE REYNOLDS</w:t>
      </w:r>
    </w:p>
    <w:p w:rsidRPr="00512847" w:rsidR="00D43837" w:rsidP="00D43837" w:rsidRDefault="00D43837" w14:paraId="20959683" w14:textId="7816C5A9">
      <w:pPr>
        <w:rPr>
          <w:rFonts w:ascii="Palatino Linotype" w:hAnsi="Palatino Linotype"/>
          <w:szCs w:val="24"/>
        </w:rPr>
      </w:pPr>
      <w:r w:rsidRPr="00512847">
        <w:rPr>
          <w:rFonts w:ascii="Palatino Linotype" w:hAnsi="Palatino Linotype"/>
          <w:szCs w:val="24"/>
        </w:rPr>
        <w:t xml:space="preserve">                                                                                                             President </w:t>
      </w:r>
    </w:p>
    <w:p w:rsidR="00D43837" w:rsidP="00D43837" w:rsidRDefault="00D43837" w14:paraId="25BBEA5F" w14:textId="013D4417">
      <w:pPr>
        <w:ind w:left="5040"/>
        <w:rPr>
          <w:rFonts w:ascii="Palatino Linotype" w:hAnsi="Palatino Linotype"/>
          <w:szCs w:val="24"/>
        </w:rPr>
      </w:pPr>
      <w:r w:rsidRPr="00512847">
        <w:rPr>
          <w:rFonts w:ascii="Palatino Linotype" w:hAnsi="Palatino Linotype"/>
          <w:szCs w:val="24"/>
        </w:rPr>
        <w:t xml:space="preserve">                    </w:t>
      </w:r>
    </w:p>
    <w:p w:rsidRPr="00512847" w:rsidR="00DE549A" w:rsidP="00D43837" w:rsidRDefault="00DE549A" w14:paraId="5146A5D1" w14:textId="77777777">
      <w:pPr>
        <w:ind w:left="5040"/>
        <w:rPr>
          <w:rFonts w:ascii="Palatino Linotype" w:hAnsi="Palatino Linotype"/>
          <w:szCs w:val="24"/>
        </w:rPr>
      </w:pPr>
    </w:p>
    <w:p w:rsidRPr="00512847" w:rsidR="00D43837" w:rsidP="00D43837" w:rsidRDefault="00D43837" w14:paraId="351AFCA1" w14:textId="77777777">
      <w:pPr>
        <w:ind w:left="5040"/>
        <w:rPr>
          <w:rFonts w:ascii="Palatino Linotype" w:hAnsi="Palatino Linotype"/>
          <w:szCs w:val="24"/>
        </w:rPr>
      </w:pPr>
      <w:r w:rsidRPr="00512847">
        <w:rPr>
          <w:rFonts w:ascii="Palatino Linotype" w:hAnsi="Palatino Linotype"/>
          <w:szCs w:val="24"/>
        </w:rPr>
        <w:t xml:space="preserve">                    DARCIE L. HOUCK </w:t>
      </w:r>
    </w:p>
    <w:p w:rsidRPr="00512847" w:rsidR="00D43837" w:rsidP="00D43837" w:rsidRDefault="00D43837" w14:paraId="675A7637" w14:textId="77777777">
      <w:pPr>
        <w:ind w:left="5040"/>
        <w:rPr>
          <w:rFonts w:ascii="Palatino Linotype" w:hAnsi="Palatino Linotype"/>
          <w:szCs w:val="24"/>
        </w:rPr>
      </w:pPr>
      <w:r w:rsidRPr="00512847">
        <w:rPr>
          <w:rFonts w:ascii="Palatino Linotype" w:hAnsi="Palatino Linotype"/>
          <w:szCs w:val="24"/>
        </w:rPr>
        <w:t xml:space="preserve">                    JOHN REYNOLDS </w:t>
      </w:r>
    </w:p>
    <w:p w:rsidR="00D43837" w:rsidP="00D43837" w:rsidRDefault="00D43837" w14:paraId="147611FF" w14:textId="77777777">
      <w:pPr>
        <w:rPr>
          <w:rFonts w:ascii="Palatino Linotype" w:hAnsi="Palatino Linotype"/>
          <w:szCs w:val="24"/>
        </w:rPr>
      </w:pPr>
      <w:r w:rsidRPr="00512847">
        <w:rPr>
          <w:rFonts w:ascii="Palatino Linotype" w:hAnsi="Palatino Linotype"/>
          <w:szCs w:val="24"/>
        </w:rPr>
        <w:t xml:space="preserve">                                                                                                        KAREN DOUGLAS</w:t>
      </w:r>
    </w:p>
    <w:p w:rsidRPr="00512847" w:rsidR="00DE549A" w:rsidP="00D43837" w:rsidRDefault="00DE549A" w14:paraId="4571F694" w14:textId="15420B9B">
      <w:pPr>
        <w:rPr>
          <w:rFonts w:ascii="Palatino Linotype" w:hAnsi="Palatino Linotype"/>
          <w:szCs w:val="24"/>
        </w:rPr>
      </w:pP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r>
      <w:r>
        <w:rPr>
          <w:rFonts w:ascii="Palatino Linotype" w:hAnsi="Palatino Linotype"/>
          <w:szCs w:val="24"/>
        </w:rPr>
        <w:tab/>
        <w:t xml:space="preserve">        MATTHEW BAKER</w:t>
      </w:r>
    </w:p>
    <w:p w:rsidR="00D43837" w:rsidP="00D43837" w:rsidRDefault="00D43837" w14:paraId="44060902" w14:textId="61DE61D2">
      <w:pPr>
        <w:pStyle w:val="BodyText"/>
        <w:jc w:val="center"/>
        <w:rPr>
          <w:rFonts w:ascii="Palatino Linotype" w:hAnsi="Palatino Linotype"/>
          <w:szCs w:val="24"/>
        </w:rPr>
      </w:pPr>
      <w:r w:rsidRPr="00512847">
        <w:rPr>
          <w:rFonts w:ascii="Palatino Linotype" w:hAnsi="Palatino Linotype"/>
          <w:szCs w:val="24"/>
        </w:rPr>
        <w:t xml:space="preserve">                                                                                            Commissioners</w:t>
      </w:r>
    </w:p>
    <w:p w:rsidRPr="00E36D91" w:rsidR="002B40BF" w:rsidP="002B40BF" w:rsidRDefault="002B40BF" w14:paraId="4C441A82" w14:textId="77777777">
      <w:pPr>
        <w:rPr>
          <w:rFonts w:ascii="Palatino Linotype" w:hAnsi="Palatino Linotype" w:cs="Tahoma"/>
          <w:szCs w:val="24"/>
        </w:rPr>
      </w:pPr>
    </w:p>
    <w:p w:rsidRPr="00E36D91" w:rsidR="002B40BF" w:rsidP="002B40BF" w:rsidRDefault="002B40BF" w14:paraId="6BB9B861" w14:textId="77777777">
      <w:pPr>
        <w:rPr>
          <w:rFonts w:ascii="Palatino Linotype" w:hAnsi="Palatino Linotype" w:cs="Tahoma"/>
          <w:szCs w:val="24"/>
        </w:rPr>
      </w:pPr>
    </w:p>
    <w:p w:rsidRPr="00E36D91" w:rsidR="002B40BF" w:rsidP="002B40BF" w:rsidRDefault="002B40BF" w14:paraId="4EE34232" w14:textId="77777777">
      <w:pPr>
        <w:rPr>
          <w:rFonts w:ascii="Palatino Linotype" w:hAnsi="Palatino Linotype" w:cs="Tahoma"/>
          <w:szCs w:val="24"/>
        </w:rPr>
      </w:pPr>
    </w:p>
    <w:p w:rsidRPr="00E36D91" w:rsidR="002B40BF" w:rsidP="002B40BF" w:rsidRDefault="002B40BF" w14:paraId="7F6F53CC" w14:textId="77777777">
      <w:pPr>
        <w:rPr>
          <w:rFonts w:ascii="Palatino Linotype" w:hAnsi="Palatino Linotype" w:cs="Tahoma"/>
          <w:szCs w:val="24"/>
        </w:rPr>
      </w:pPr>
    </w:p>
    <w:p w:rsidRPr="00E36D91" w:rsidR="002B40BF" w:rsidP="002B40BF" w:rsidRDefault="002B40BF" w14:paraId="6CEEBEEE" w14:textId="77777777">
      <w:pPr>
        <w:rPr>
          <w:rFonts w:ascii="Palatino Linotype" w:hAnsi="Palatino Linotype" w:cs="Tahoma"/>
          <w:szCs w:val="24"/>
        </w:rPr>
      </w:pPr>
    </w:p>
    <w:p w:rsidRPr="00E36D91" w:rsidR="002B40BF" w:rsidP="002B40BF" w:rsidRDefault="002B40BF" w14:paraId="1E1F9A30" w14:textId="77777777">
      <w:pPr>
        <w:rPr>
          <w:rFonts w:ascii="Palatino Linotype" w:hAnsi="Palatino Linotype" w:cs="Tahoma"/>
          <w:szCs w:val="24"/>
        </w:rPr>
      </w:pPr>
    </w:p>
    <w:p w:rsidRPr="00E36D91" w:rsidR="002B40BF" w:rsidP="002B40BF" w:rsidRDefault="002B40BF" w14:paraId="3D6AE24E" w14:textId="77777777">
      <w:pPr>
        <w:rPr>
          <w:rFonts w:ascii="Palatino Linotype" w:hAnsi="Palatino Linotype" w:cs="Tahoma"/>
          <w:szCs w:val="24"/>
        </w:rPr>
      </w:pPr>
    </w:p>
    <w:p w:rsidRPr="00E36D91" w:rsidR="002B40BF" w:rsidP="002B40BF" w:rsidRDefault="002B40BF" w14:paraId="48788D06" w14:textId="77777777">
      <w:pPr>
        <w:rPr>
          <w:rFonts w:ascii="Palatino Linotype" w:hAnsi="Palatino Linotype" w:cs="Tahoma"/>
          <w:szCs w:val="24"/>
        </w:rPr>
      </w:pPr>
    </w:p>
    <w:p w:rsidRPr="00E36D91" w:rsidR="002B40BF" w:rsidP="002B40BF" w:rsidRDefault="002B40BF" w14:paraId="53C6EBFB" w14:textId="77777777">
      <w:pPr>
        <w:rPr>
          <w:rFonts w:ascii="Palatino Linotype" w:hAnsi="Palatino Linotype" w:cs="Tahoma"/>
          <w:szCs w:val="24"/>
        </w:rPr>
      </w:pPr>
    </w:p>
    <w:p w:rsidRPr="00E36D91" w:rsidR="008B0007" w:rsidRDefault="008B0007" w14:paraId="7DFB12AE" w14:textId="56CBF9E1">
      <w:pPr>
        <w:overflowPunct/>
        <w:autoSpaceDE/>
        <w:autoSpaceDN/>
        <w:adjustRightInd/>
        <w:textAlignment w:val="auto"/>
        <w:rPr>
          <w:rFonts w:ascii="Palatino Linotype" w:hAnsi="Palatino Linotype" w:cs="Tahoma"/>
          <w:szCs w:val="24"/>
        </w:rPr>
      </w:pPr>
    </w:p>
    <w:p w:rsidRPr="00E36D91" w:rsidR="002B40BF" w:rsidP="002B40BF" w:rsidRDefault="002B40BF" w14:paraId="72C5C9D2" w14:textId="77777777">
      <w:pPr>
        <w:rPr>
          <w:rFonts w:ascii="Palatino Linotype" w:hAnsi="Palatino Linotype" w:cs="Tahoma"/>
          <w:szCs w:val="24"/>
        </w:rPr>
      </w:pPr>
    </w:p>
    <w:p w:rsidRPr="00E36D91" w:rsidR="002B40BF" w:rsidP="002B40BF" w:rsidRDefault="002B40BF" w14:paraId="28DC7D6B" w14:textId="77777777">
      <w:pPr>
        <w:rPr>
          <w:rFonts w:ascii="Palatino Linotype" w:hAnsi="Palatino Linotype" w:cs="Tahoma"/>
          <w:szCs w:val="24"/>
        </w:rPr>
        <w:sectPr w:rsidRPr="00E36D91" w:rsidR="002B40BF" w:rsidSect="009438DE">
          <w:headerReference w:type="default" r:id="rId13"/>
          <w:footerReference w:type="default" r:id="rId14"/>
          <w:headerReference w:type="first" r:id="rId15"/>
          <w:pgSz w:w="12240" w:h="15840" w:code="1"/>
          <w:pgMar w:top="1354" w:right="1440" w:bottom="994" w:left="1440" w:header="634" w:footer="648" w:gutter="0"/>
          <w:pgNumType w:start="1"/>
          <w:cols w:space="720"/>
          <w:titlePg/>
          <w:docGrid w:linePitch="326"/>
        </w:sectPr>
      </w:pPr>
    </w:p>
    <w:p w:rsidRPr="002B14B1" w:rsidR="008B0007" w:rsidP="001107F0" w:rsidRDefault="008B0007" w14:paraId="4A212691" w14:textId="635F5CA5">
      <w:pPr>
        <w:tabs>
          <w:tab w:val="left" w:pos="4361"/>
          <w:tab w:val="left" w:pos="5380"/>
        </w:tabs>
        <w:overflowPunct/>
        <w:autoSpaceDE/>
        <w:adjustRightInd/>
        <w:jc w:val="center"/>
        <w:rPr>
          <w:rFonts w:ascii="Palatino Linotype" w:hAnsi="Palatino Linotype" w:eastAsia="Calibri" w:cs="Calibri"/>
          <w:b/>
          <w:bCs/>
          <w:szCs w:val="24"/>
        </w:rPr>
      </w:pPr>
      <w:r w:rsidRPr="002B14B1">
        <w:rPr>
          <w:rFonts w:ascii="Palatino Linotype" w:hAnsi="Palatino Linotype" w:eastAsia="Calibri" w:cs="Calibri"/>
          <w:b/>
          <w:bCs/>
          <w:szCs w:val="24"/>
        </w:rPr>
        <w:lastRenderedPageBreak/>
        <w:t>Appendix A</w:t>
      </w:r>
    </w:p>
    <w:p w:rsidRPr="00E36D91" w:rsidR="00DD663D" w:rsidP="001107F0" w:rsidRDefault="00DD663D" w14:paraId="75F0E875" w14:textId="1E471387">
      <w:pPr>
        <w:tabs>
          <w:tab w:val="left" w:pos="4361"/>
          <w:tab w:val="left" w:pos="5380"/>
        </w:tabs>
        <w:overflowPunct/>
        <w:autoSpaceDE/>
        <w:adjustRightInd/>
        <w:jc w:val="center"/>
        <w:rPr>
          <w:rFonts w:ascii="Palatino Linotype" w:hAnsi="Palatino Linotype" w:eastAsia="Calibri" w:cs="Calibri"/>
          <w:szCs w:val="24"/>
        </w:rPr>
      </w:pPr>
      <w:r w:rsidRPr="00E36D91">
        <w:rPr>
          <w:rFonts w:ascii="Palatino Linotype" w:hAnsi="Palatino Linotype" w:eastAsia="Calibri" w:cs="Calibri"/>
          <w:szCs w:val="24"/>
        </w:rPr>
        <w:t xml:space="preserve">List of </w:t>
      </w:r>
      <w:r w:rsidR="0022079D">
        <w:rPr>
          <w:rFonts w:ascii="Palatino Linotype" w:hAnsi="Palatino Linotype" w:eastAsia="Calibri" w:cs="Calibri"/>
          <w:szCs w:val="24"/>
        </w:rPr>
        <w:t xml:space="preserve">Carriers for </w:t>
      </w:r>
      <w:r w:rsidRPr="00E36D91">
        <w:rPr>
          <w:rFonts w:ascii="Palatino Linotype" w:hAnsi="Palatino Linotype" w:eastAsia="Calibri" w:cs="Calibri"/>
          <w:szCs w:val="24"/>
        </w:rPr>
        <w:t>Revo</w:t>
      </w:r>
      <w:r w:rsidR="0022079D">
        <w:rPr>
          <w:rFonts w:ascii="Palatino Linotype" w:hAnsi="Palatino Linotype" w:eastAsia="Calibri" w:cs="Calibri"/>
          <w:szCs w:val="24"/>
        </w:rPr>
        <w:t>cation of Operating Authority</w:t>
      </w:r>
    </w:p>
    <w:p w:rsidRPr="00E36D91" w:rsidR="00DD663D" w:rsidP="00DD663D" w:rsidRDefault="00DD663D" w14:paraId="3612C339" w14:textId="77777777">
      <w:pPr>
        <w:overflowPunct/>
        <w:autoSpaceDE/>
        <w:adjustRightInd/>
        <w:rPr>
          <w:rFonts w:ascii="Palatino Linotype" w:hAnsi="Palatino Linotype" w:eastAsia="Calibri" w:cs="Calibri"/>
          <w:szCs w:val="24"/>
        </w:rPr>
      </w:pPr>
    </w:p>
    <w:tbl>
      <w:tblPr>
        <w:tblW w:w="9535" w:type="dxa"/>
        <w:tblLook w:val="04A0" w:firstRow="1" w:lastRow="0" w:firstColumn="1" w:lastColumn="0" w:noHBand="0" w:noVBand="1"/>
      </w:tblPr>
      <w:tblGrid>
        <w:gridCol w:w="896"/>
        <w:gridCol w:w="1979"/>
        <w:gridCol w:w="1440"/>
        <w:gridCol w:w="3510"/>
        <w:gridCol w:w="1710"/>
      </w:tblGrid>
      <w:tr w:rsidRPr="00E36D91" w:rsidR="00D17DCD" w:rsidTr="005B19C2" w14:paraId="50245D07" w14:textId="77777777">
        <w:trPr>
          <w:trHeight w:val="301"/>
        </w:trPr>
        <w:tc>
          <w:tcPr>
            <w:tcW w:w="89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36D91" w:rsidR="00D17DCD" w:rsidP="00D17DCD" w:rsidRDefault="00D17DCD" w14:paraId="3C6EF4AD" w14:textId="77777777">
            <w:pPr>
              <w:overflowPunct/>
              <w:autoSpaceDE/>
              <w:autoSpaceDN/>
              <w:adjustRightInd/>
              <w:jc w:val="center"/>
              <w:textAlignment w:val="auto"/>
              <w:rPr>
                <w:rFonts w:ascii="Palatino Linotype" w:hAnsi="Palatino Linotype" w:cs="Calibri"/>
                <w:b/>
                <w:bCs/>
                <w:color w:val="000000"/>
                <w:szCs w:val="24"/>
              </w:rPr>
            </w:pPr>
            <w:r w:rsidRPr="00E36D91">
              <w:rPr>
                <w:rFonts w:ascii="Palatino Linotype" w:hAnsi="Palatino Linotype" w:cs="Calibri"/>
                <w:b/>
                <w:bCs/>
                <w:color w:val="000000"/>
                <w:szCs w:val="24"/>
              </w:rPr>
              <w:t>Count</w:t>
            </w:r>
          </w:p>
        </w:tc>
        <w:tc>
          <w:tcPr>
            <w:tcW w:w="197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36D91" w:rsidR="00D17DCD" w:rsidP="00D17DCD" w:rsidRDefault="00D17DCD" w14:paraId="07AD6C0A" w14:textId="77777777">
            <w:pPr>
              <w:overflowPunct/>
              <w:autoSpaceDE/>
              <w:autoSpaceDN/>
              <w:adjustRightInd/>
              <w:jc w:val="center"/>
              <w:textAlignment w:val="auto"/>
              <w:rPr>
                <w:rFonts w:ascii="Palatino Linotype" w:hAnsi="Palatino Linotype" w:cs="Calibri"/>
                <w:b/>
                <w:bCs/>
                <w:szCs w:val="24"/>
              </w:rPr>
            </w:pPr>
            <w:r w:rsidRPr="00E36D91">
              <w:rPr>
                <w:rFonts w:ascii="Palatino Linotype" w:hAnsi="Palatino Linotype" w:cs="Calibri"/>
                <w:b/>
                <w:bCs/>
                <w:szCs w:val="24"/>
              </w:rPr>
              <w:t>Citation Number</w:t>
            </w:r>
          </w:p>
        </w:tc>
        <w:tc>
          <w:tcPr>
            <w:tcW w:w="144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36D91" w:rsidR="00D17DCD" w:rsidP="00D17DCD" w:rsidRDefault="00D17DCD" w14:paraId="23167149" w14:textId="77777777">
            <w:pPr>
              <w:overflowPunct/>
              <w:autoSpaceDE/>
              <w:autoSpaceDN/>
              <w:adjustRightInd/>
              <w:jc w:val="center"/>
              <w:textAlignment w:val="auto"/>
              <w:rPr>
                <w:rFonts w:ascii="Palatino Linotype" w:hAnsi="Palatino Linotype" w:cs="Calibri"/>
                <w:b/>
                <w:bCs/>
                <w:color w:val="000000"/>
                <w:szCs w:val="24"/>
              </w:rPr>
            </w:pPr>
            <w:r w:rsidRPr="00E36D91">
              <w:rPr>
                <w:rFonts w:ascii="Palatino Linotype" w:hAnsi="Palatino Linotype" w:cs="Calibri"/>
                <w:b/>
                <w:bCs/>
                <w:color w:val="000000"/>
                <w:szCs w:val="24"/>
              </w:rPr>
              <w:t>Corporate ID Number</w:t>
            </w:r>
          </w:p>
        </w:tc>
        <w:tc>
          <w:tcPr>
            <w:tcW w:w="351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36D91" w:rsidR="00D17DCD" w:rsidP="00D17DCD" w:rsidRDefault="00D17DCD" w14:paraId="2F04B318" w14:textId="77777777">
            <w:pPr>
              <w:overflowPunct/>
              <w:autoSpaceDE/>
              <w:autoSpaceDN/>
              <w:adjustRightInd/>
              <w:jc w:val="center"/>
              <w:textAlignment w:val="auto"/>
              <w:rPr>
                <w:rFonts w:ascii="Palatino Linotype" w:hAnsi="Palatino Linotype" w:cs="Calibri"/>
                <w:b/>
                <w:bCs/>
                <w:szCs w:val="24"/>
              </w:rPr>
            </w:pPr>
            <w:r w:rsidRPr="00E36D91">
              <w:rPr>
                <w:rFonts w:ascii="Palatino Linotype" w:hAnsi="Palatino Linotype" w:cs="Calibri"/>
                <w:b/>
                <w:bCs/>
                <w:szCs w:val="24"/>
              </w:rPr>
              <w:t>Utility Name</w:t>
            </w:r>
          </w:p>
        </w:tc>
        <w:tc>
          <w:tcPr>
            <w:tcW w:w="171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36D91" w:rsidR="00D17DCD" w:rsidP="00D17DCD" w:rsidRDefault="00D17DCD" w14:paraId="625774B0" w14:textId="77777777">
            <w:pPr>
              <w:overflowPunct/>
              <w:autoSpaceDE/>
              <w:autoSpaceDN/>
              <w:adjustRightInd/>
              <w:jc w:val="center"/>
              <w:textAlignment w:val="auto"/>
              <w:rPr>
                <w:rFonts w:ascii="Palatino Linotype" w:hAnsi="Palatino Linotype" w:cs="Calibri"/>
                <w:b/>
                <w:bCs/>
                <w:color w:val="000000"/>
                <w:szCs w:val="24"/>
              </w:rPr>
            </w:pPr>
            <w:r w:rsidRPr="00E36D91">
              <w:rPr>
                <w:rFonts w:ascii="Palatino Linotype" w:hAnsi="Palatino Linotype" w:cs="Calibri"/>
                <w:b/>
                <w:bCs/>
                <w:color w:val="000000"/>
                <w:szCs w:val="24"/>
              </w:rPr>
              <w:t>Total Penalty Amount (including 10% Late Payment)</w:t>
            </w:r>
          </w:p>
        </w:tc>
      </w:tr>
      <w:tr w:rsidR="005B19C2" w:rsidTr="005F483C" w14:paraId="31D19E6F" w14:textId="77777777">
        <w:trPr>
          <w:trHeight w:val="720"/>
        </w:trPr>
        <w:tc>
          <w:tcPr>
            <w:tcW w:w="9535" w:type="dxa"/>
            <w:gridSpan w:val="5"/>
            <w:tcBorders>
              <w:top w:val="single" w:color="auto" w:sz="8" w:space="0"/>
              <w:left w:val="single" w:color="auto" w:sz="8" w:space="0"/>
              <w:bottom w:val="single" w:color="auto" w:sz="4" w:space="0"/>
              <w:right w:val="single" w:color="000000" w:sz="8" w:space="0"/>
            </w:tcBorders>
            <w:shd w:val="clear" w:color="auto" w:fill="auto"/>
            <w:hideMark/>
          </w:tcPr>
          <w:p w:rsidR="005B19C2" w:rsidRDefault="005B19C2" w14:paraId="4D257A4C" w14:textId="235B8BCF">
            <w:pPr>
              <w:overflowPunct/>
              <w:autoSpaceDE/>
              <w:autoSpaceDN/>
              <w:adjustRightInd/>
              <w:jc w:val="center"/>
              <w:textAlignment w:val="auto"/>
              <w:rPr>
                <w:rFonts w:ascii="Palatino Linotype" w:hAnsi="Palatino Linotype" w:cs="Calibri"/>
                <w:b/>
                <w:bCs/>
                <w:color w:val="000000"/>
              </w:rPr>
            </w:pPr>
            <w:r>
              <w:rPr>
                <w:rFonts w:ascii="Palatino Linotype" w:hAnsi="Palatino Linotype" w:cs="Calibri"/>
                <w:b/>
                <w:bCs/>
                <w:color w:val="000000"/>
              </w:rPr>
              <w:t>Wireline Carrier Did Not Submit an (a) Annual Operational and Financial Information Report for CY 2022, (b) Annual Performance Bond and (c) Annual Affiliate Transaction Report for CY 2022</w:t>
            </w:r>
          </w:p>
        </w:tc>
      </w:tr>
      <w:tr w:rsidR="005B19C2" w:rsidTr="005F483C" w14:paraId="5AF97F23" w14:textId="77777777">
        <w:trPr>
          <w:trHeight w:val="708"/>
        </w:trPr>
        <w:tc>
          <w:tcPr>
            <w:tcW w:w="896"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5B19C2" w:rsidRDefault="00B273D4" w14:paraId="64248775" w14:textId="0A0F5AE5">
            <w:pPr>
              <w:jc w:val="center"/>
              <w:rPr>
                <w:rFonts w:ascii="Palatino Linotype" w:hAnsi="Palatino Linotype" w:cs="Calibri"/>
                <w:color w:val="000000"/>
              </w:rPr>
            </w:pPr>
            <w:r>
              <w:rPr>
                <w:rFonts w:ascii="Palatino Linotype" w:hAnsi="Palatino Linotype" w:cs="Calibri"/>
                <w:color w:val="000000"/>
              </w:rPr>
              <w:t>1</w:t>
            </w:r>
          </w:p>
        </w:tc>
        <w:tc>
          <w:tcPr>
            <w:tcW w:w="19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5B19C2" w:rsidRDefault="005B19C2" w14:paraId="686D8B50" w14:textId="77777777">
            <w:pPr>
              <w:jc w:val="center"/>
              <w:rPr>
                <w:rFonts w:ascii="Palatino Linotype" w:hAnsi="Palatino Linotype" w:cs="Calibri"/>
                <w:color w:val="000000"/>
              </w:rPr>
            </w:pPr>
            <w:r>
              <w:rPr>
                <w:rFonts w:ascii="Palatino Linotype" w:hAnsi="Palatino Linotype" w:cs="Calibri"/>
                <w:color w:val="000000"/>
              </w:rPr>
              <w:t>CD-2023-07-064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5B19C2" w:rsidRDefault="005B19C2" w14:paraId="4D8666E9" w14:textId="77777777">
            <w:pPr>
              <w:jc w:val="center"/>
              <w:rPr>
                <w:rFonts w:ascii="Palatino Linotype" w:hAnsi="Palatino Linotype" w:cs="Calibri"/>
                <w:color w:val="000000"/>
              </w:rPr>
            </w:pPr>
            <w:r>
              <w:rPr>
                <w:rFonts w:ascii="Palatino Linotype" w:hAnsi="Palatino Linotype" w:cs="Calibri"/>
                <w:color w:val="000000"/>
              </w:rPr>
              <w:t>U-7207-C</w:t>
            </w:r>
          </w:p>
        </w:tc>
        <w:tc>
          <w:tcPr>
            <w:tcW w:w="35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5B19C2" w:rsidRDefault="005B19C2" w14:paraId="3826D33C" w14:textId="77777777">
            <w:pPr>
              <w:jc w:val="center"/>
              <w:rPr>
                <w:rFonts w:ascii="Palatino Linotype" w:hAnsi="Palatino Linotype" w:cs="Calibri"/>
                <w:color w:val="000000"/>
              </w:rPr>
            </w:pPr>
            <w:r>
              <w:rPr>
                <w:rFonts w:ascii="Palatino Linotype" w:hAnsi="Palatino Linotype" w:cs="Calibri"/>
                <w:color w:val="000000"/>
              </w:rPr>
              <w:t>XYN Communications of California, LLC</w:t>
            </w:r>
          </w:p>
        </w:tc>
        <w:tc>
          <w:tcPr>
            <w:tcW w:w="171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005B19C2" w:rsidRDefault="005B19C2" w14:paraId="44826F6D" w14:textId="77777777">
            <w:pPr>
              <w:jc w:val="center"/>
              <w:rPr>
                <w:rFonts w:ascii="Palatino Linotype" w:hAnsi="Palatino Linotype" w:cs="Calibri"/>
                <w:color w:val="000000"/>
              </w:rPr>
            </w:pPr>
            <w:r>
              <w:rPr>
                <w:rFonts w:ascii="Palatino Linotype" w:hAnsi="Palatino Linotype" w:cs="Calibri"/>
                <w:color w:val="000000"/>
              </w:rPr>
              <w:t>$3,960</w:t>
            </w:r>
          </w:p>
        </w:tc>
      </w:tr>
      <w:tr w:rsidR="005B19C2" w:rsidTr="005F483C" w14:paraId="4CC31EB5" w14:textId="77777777">
        <w:trPr>
          <w:trHeight w:val="360"/>
        </w:trPr>
        <w:tc>
          <w:tcPr>
            <w:tcW w:w="9535" w:type="dxa"/>
            <w:gridSpan w:val="5"/>
            <w:tcBorders>
              <w:top w:val="single" w:color="auto" w:sz="4" w:space="0"/>
              <w:left w:val="single" w:color="auto" w:sz="8" w:space="0"/>
              <w:bottom w:val="single" w:color="auto" w:sz="8" w:space="0"/>
              <w:right w:val="single" w:color="000000" w:sz="8" w:space="0"/>
            </w:tcBorders>
            <w:shd w:val="clear" w:color="auto" w:fill="auto"/>
            <w:hideMark/>
          </w:tcPr>
          <w:p w:rsidR="005B19C2" w:rsidRDefault="005B19C2" w14:paraId="62B4CA56" w14:textId="77777777">
            <w:pPr>
              <w:jc w:val="center"/>
              <w:rPr>
                <w:rFonts w:ascii="Palatino Linotype" w:hAnsi="Palatino Linotype" w:cs="Calibri"/>
                <w:b/>
                <w:bCs/>
                <w:color w:val="000000"/>
              </w:rPr>
            </w:pPr>
            <w:r>
              <w:rPr>
                <w:rFonts w:ascii="Palatino Linotype" w:hAnsi="Palatino Linotype" w:cs="Calibri"/>
                <w:b/>
                <w:bCs/>
                <w:color w:val="000000"/>
              </w:rPr>
              <w:t>Wireline Carrier Did Not Submit an Annual Performance Bond</w:t>
            </w:r>
          </w:p>
        </w:tc>
      </w:tr>
      <w:tr w:rsidR="005B19C2" w:rsidTr="005B19C2" w14:paraId="2EA36087" w14:textId="77777777">
        <w:trPr>
          <w:trHeight w:val="360"/>
        </w:trPr>
        <w:tc>
          <w:tcPr>
            <w:tcW w:w="896" w:type="dxa"/>
            <w:tcBorders>
              <w:top w:val="nil"/>
              <w:left w:val="single" w:color="auto" w:sz="8" w:space="0"/>
              <w:bottom w:val="single" w:color="auto" w:sz="8" w:space="0"/>
              <w:right w:val="single" w:color="auto" w:sz="8" w:space="0"/>
            </w:tcBorders>
            <w:shd w:val="clear" w:color="auto" w:fill="auto"/>
            <w:hideMark/>
          </w:tcPr>
          <w:p w:rsidR="005B19C2" w:rsidRDefault="00B273D4" w14:paraId="747DDAF2" w14:textId="0A1EBCBD">
            <w:pPr>
              <w:jc w:val="center"/>
              <w:rPr>
                <w:rFonts w:ascii="Palatino Linotype" w:hAnsi="Palatino Linotype" w:cs="Calibri"/>
                <w:color w:val="000000"/>
              </w:rPr>
            </w:pPr>
            <w:r>
              <w:rPr>
                <w:rFonts w:ascii="Palatino Linotype" w:hAnsi="Palatino Linotype" w:cs="Calibri"/>
                <w:color w:val="000000"/>
              </w:rPr>
              <w:t>2</w:t>
            </w:r>
          </w:p>
        </w:tc>
        <w:tc>
          <w:tcPr>
            <w:tcW w:w="1979" w:type="dxa"/>
            <w:tcBorders>
              <w:top w:val="nil"/>
              <w:left w:val="nil"/>
              <w:bottom w:val="single" w:color="auto" w:sz="8" w:space="0"/>
              <w:right w:val="single" w:color="auto" w:sz="8" w:space="0"/>
            </w:tcBorders>
            <w:shd w:val="clear" w:color="auto" w:fill="auto"/>
            <w:hideMark/>
          </w:tcPr>
          <w:p w:rsidR="005B19C2" w:rsidRDefault="005B19C2" w14:paraId="1B4563E9" w14:textId="77777777">
            <w:pPr>
              <w:jc w:val="center"/>
              <w:rPr>
                <w:rFonts w:ascii="Palatino Linotype" w:hAnsi="Palatino Linotype" w:cs="Calibri"/>
                <w:color w:val="000000"/>
              </w:rPr>
            </w:pPr>
            <w:r>
              <w:rPr>
                <w:rFonts w:ascii="Palatino Linotype" w:hAnsi="Palatino Linotype" w:cs="Calibri"/>
                <w:color w:val="000000"/>
              </w:rPr>
              <w:t>CD-2023-07-035</w:t>
            </w:r>
          </w:p>
        </w:tc>
        <w:tc>
          <w:tcPr>
            <w:tcW w:w="1440" w:type="dxa"/>
            <w:tcBorders>
              <w:top w:val="nil"/>
              <w:left w:val="nil"/>
              <w:bottom w:val="single" w:color="auto" w:sz="8" w:space="0"/>
              <w:right w:val="single" w:color="auto" w:sz="8" w:space="0"/>
            </w:tcBorders>
            <w:shd w:val="clear" w:color="auto" w:fill="auto"/>
            <w:noWrap/>
            <w:hideMark/>
          </w:tcPr>
          <w:p w:rsidR="005B19C2" w:rsidRDefault="005B19C2" w14:paraId="5016ADFF" w14:textId="77777777">
            <w:pPr>
              <w:jc w:val="center"/>
              <w:rPr>
                <w:rFonts w:ascii="Palatino Linotype" w:hAnsi="Palatino Linotype" w:cs="Calibri"/>
                <w:color w:val="000000"/>
              </w:rPr>
            </w:pPr>
            <w:r>
              <w:rPr>
                <w:rFonts w:ascii="Palatino Linotype" w:hAnsi="Palatino Linotype" w:cs="Calibri"/>
                <w:color w:val="000000"/>
              </w:rPr>
              <w:t>U-7373-C</w:t>
            </w:r>
          </w:p>
        </w:tc>
        <w:tc>
          <w:tcPr>
            <w:tcW w:w="3510" w:type="dxa"/>
            <w:tcBorders>
              <w:top w:val="nil"/>
              <w:left w:val="nil"/>
              <w:bottom w:val="single" w:color="auto" w:sz="8" w:space="0"/>
              <w:right w:val="single" w:color="auto" w:sz="8" w:space="0"/>
            </w:tcBorders>
            <w:shd w:val="clear" w:color="auto" w:fill="auto"/>
            <w:hideMark/>
          </w:tcPr>
          <w:p w:rsidR="005B19C2" w:rsidRDefault="005B19C2" w14:paraId="111DED00" w14:textId="77777777">
            <w:pPr>
              <w:jc w:val="center"/>
              <w:rPr>
                <w:rFonts w:ascii="Palatino Linotype" w:hAnsi="Palatino Linotype" w:cs="Calibri"/>
                <w:color w:val="000000"/>
              </w:rPr>
            </w:pPr>
            <w:proofErr w:type="spellStart"/>
            <w:r>
              <w:rPr>
                <w:rFonts w:ascii="Palatino Linotype" w:hAnsi="Palatino Linotype" w:cs="Calibri"/>
                <w:color w:val="000000"/>
              </w:rPr>
              <w:t>EcoVate</w:t>
            </w:r>
            <w:proofErr w:type="spellEnd"/>
            <w:r>
              <w:rPr>
                <w:rFonts w:ascii="Palatino Linotype" w:hAnsi="Palatino Linotype" w:cs="Calibri"/>
                <w:color w:val="000000"/>
              </w:rPr>
              <w:t>, Inc.</w:t>
            </w:r>
          </w:p>
        </w:tc>
        <w:tc>
          <w:tcPr>
            <w:tcW w:w="1710" w:type="dxa"/>
            <w:tcBorders>
              <w:top w:val="nil"/>
              <w:left w:val="nil"/>
              <w:bottom w:val="single" w:color="auto" w:sz="8" w:space="0"/>
              <w:right w:val="single" w:color="auto" w:sz="8" w:space="0"/>
            </w:tcBorders>
            <w:shd w:val="clear" w:color="auto" w:fill="auto"/>
            <w:noWrap/>
            <w:hideMark/>
          </w:tcPr>
          <w:p w:rsidR="005B19C2" w:rsidRDefault="005B19C2" w14:paraId="4419D8EA" w14:textId="77777777">
            <w:pPr>
              <w:jc w:val="center"/>
              <w:rPr>
                <w:rFonts w:ascii="Palatino Linotype" w:hAnsi="Palatino Linotype" w:cs="Calibri"/>
                <w:color w:val="000000"/>
              </w:rPr>
            </w:pPr>
            <w:r>
              <w:rPr>
                <w:rFonts w:ascii="Palatino Linotype" w:hAnsi="Palatino Linotype" w:cs="Calibri"/>
                <w:color w:val="000000"/>
              </w:rPr>
              <w:t>$1,320</w:t>
            </w:r>
          </w:p>
        </w:tc>
      </w:tr>
    </w:tbl>
    <w:p w:rsidRPr="00E36D91" w:rsidR="000D41D8" w:rsidP="00741824" w:rsidRDefault="000D41D8" w14:paraId="438C8324" w14:textId="2E41FCB0">
      <w:pPr>
        <w:jc w:val="center"/>
        <w:rPr>
          <w:rFonts w:ascii="Palatino Linotype" w:hAnsi="Palatino Linotype" w:eastAsia="Calibri" w:cs="Calibri"/>
          <w:szCs w:val="24"/>
        </w:rPr>
      </w:pPr>
    </w:p>
    <w:p w:rsidRPr="00E36D91" w:rsidR="006D07C8" w:rsidP="006D07C8" w:rsidRDefault="006D07C8" w14:paraId="4623150E" w14:textId="77777777">
      <w:pPr>
        <w:pStyle w:val="Footer"/>
        <w:jc w:val="center"/>
        <w:rPr>
          <w:rFonts w:ascii="Palatino Linotype" w:hAnsi="Palatino Linotype"/>
          <w:b/>
          <w:bCs/>
          <w:szCs w:val="24"/>
        </w:rPr>
      </w:pPr>
      <w:r w:rsidRPr="00E36D91">
        <w:rPr>
          <w:rFonts w:ascii="Palatino Linotype" w:hAnsi="Palatino Linotype"/>
          <w:b/>
          <w:bCs/>
          <w:noProof/>
          <w:szCs w:val="24"/>
        </w:rPr>
        <w:t>End of Appendix A</w:t>
      </w:r>
    </w:p>
    <w:p w:rsidRPr="00E36D91" w:rsidR="006D07C8" w:rsidP="00741824" w:rsidRDefault="006D07C8" w14:paraId="497C71B5" w14:textId="77777777">
      <w:pPr>
        <w:jc w:val="center"/>
        <w:rPr>
          <w:rFonts w:ascii="Palatino Linotype" w:hAnsi="Palatino Linotype" w:eastAsia="Calibri" w:cs="Calibri"/>
          <w:szCs w:val="24"/>
        </w:rPr>
      </w:pPr>
    </w:p>
    <w:sectPr w:rsidRPr="00E36D91" w:rsidR="006D07C8" w:rsidSect="009438DE">
      <w:headerReference w:type="default" r:id="rId16"/>
      <w:footerReference w:type="default" r:id="rId17"/>
      <w:pgSz w:w="12240" w:h="15840" w:code="1"/>
      <w:pgMar w:top="1354" w:right="1440" w:bottom="994" w:left="1440" w:header="634" w:footer="64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122C" w14:textId="77777777" w:rsidR="009438DE" w:rsidRDefault="009438DE">
      <w:r>
        <w:separator/>
      </w:r>
    </w:p>
  </w:endnote>
  <w:endnote w:type="continuationSeparator" w:id="0">
    <w:p w14:paraId="547A6C92" w14:textId="77777777" w:rsidR="009438DE" w:rsidRDefault="0094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33541"/>
      <w:docPartObj>
        <w:docPartGallery w:val="Page Numbers (Bottom of Page)"/>
        <w:docPartUnique/>
      </w:docPartObj>
    </w:sdtPr>
    <w:sdtEndPr>
      <w:rPr>
        <w:noProof/>
      </w:rPr>
    </w:sdtEndPr>
    <w:sdtContent>
      <w:p w14:paraId="02FF8356" w14:textId="589546E5" w:rsidR="00854733" w:rsidRPr="00CC054A" w:rsidRDefault="00CC054A" w:rsidP="00CC0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1D45" w14:textId="7C7E213B" w:rsidR="00854733" w:rsidRPr="002524CD" w:rsidRDefault="00854733">
    <w:pPr>
      <w:pStyle w:val="Footer"/>
      <w:jc w:val="center"/>
      <w:rPr>
        <w:noProof/>
        <w:sz w:val="20"/>
      </w:rPr>
    </w:pPr>
    <w:r w:rsidRPr="002524CD">
      <w:rPr>
        <w:sz w:val="20"/>
      </w:rPr>
      <w:t>A-</w:t>
    </w:r>
    <w:r w:rsidRPr="002524CD">
      <w:rPr>
        <w:sz w:val="20"/>
      </w:rPr>
      <w:fldChar w:fldCharType="begin"/>
    </w:r>
    <w:r w:rsidRPr="002524CD">
      <w:rPr>
        <w:sz w:val="20"/>
      </w:rPr>
      <w:instrText xml:space="preserve"> PAGE   \* MERGEFORMAT </w:instrText>
    </w:r>
    <w:r w:rsidRPr="002524CD">
      <w:rPr>
        <w:sz w:val="20"/>
      </w:rPr>
      <w:fldChar w:fldCharType="separate"/>
    </w:r>
    <w:r>
      <w:rPr>
        <w:noProof/>
        <w:sz w:val="20"/>
      </w:rPr>
      <w:t>1</w:t>
    </w:r>
    <w:r w:rsidRPr="002524CD">
      <w:rPr>
        <w:noProof/>
        <w:sz w:val="20"/>
      </w:rPr>
      <w:fldChar w:fldCharType="end"/>
    </w:r>
  </w:p>
  <w:p w14:paraId="2773F159" w14:textId="77777777" w:rsidR="00854733" w:rsidRPr="002524CD" w:rsidRDefault="0085473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D67D" w14:textId="77777777" w:rsidR="009438DE" w:rsidRDefault="009438DE">
      <w:r>
        <w:separator/>
      </w:r>
    </w:p>
  </w:footnote>
  <w:footnote w:type="continuationSeparator" w:id="0">
    <w:p w14:paraId="1A24D77B" w14:textId="77777777" w:rsidR="009438DE" w:rsidRDefault="009438DE">
      <w:r>
        <w:continuationSeparator/>
      </w:r>
    </w:p>
  </w:footnote>
  <w:footnote w:id="1">
    <w:p w14:paraId="5A69EA52" w14:textId="33B14CD5" w:rsidR="006C3DFB" w:rsidRPr="006C3DFB" w:rsidRDefault="006C3DFB" w:rsidP="006C3DFB">
      <w:pPr>
        <w:overflowPunct/>
        <w:textAlignment w:val="auto"/>
        <w:rPr>
          <w:sz w:val="20"/>
        </w:rPr>
      </w:pPr>
      <w:r>
        <w:rPr>
          <w:rStyle w:val="FootnoteReference"/>
        </w:rPr>
        <w:footnoteRef/>
      </w:r>
      <w:r>
        <w:t xml:space="preserve"> </w:t>
      </w:r>
      <w:r w:rsidRPr="001F54F2">
        <w:rPr>
          <w:sz w:val="20"/>
        </w:rPr>
        <w:t>The authority conferred through the</w:t>
      </w:r>
      <w:r w:rsidRPr="00DF7DAD">
        <w:rPr>
          <w:sz w:val="20"/>
        </w:rPr>
        <w:t xml:space="preserve"> CPCN application and Simplified Registration is identical, and in each instance the applicant receives a "utility" or "U" number, acknowledging the authority granted</w:t>
      </w:r>
      <w:r w:rsidRPr="00346F9E">
        <w:rPr>
          <w:sz w:val="20"/>
        </w:rPr>
        <w:t xml:space="preserve"> and</w:t>
      </w:r>
      <w:r>
        <w:rPr>
          <w:sz w:val="20"/>
        </w:rPr>
        <w:t xml:space="preserve"> the responsibilities that come attendant with that authority</w:t>
      </w:r>
      <w:r w:rsidRPr="000312F1">
        <w:rPr>
          <w:sz w:val="20"/>
        </w:rPr>
        <w:t xml:space="preserve">.  </w:t>
      </w:r>
      <w:r>
        <w:rPr>
          <w:sz w:val="20"/>
        </w:rPr>
        <w:t>T</w:t>
      </w:r>
      <w:r w:rsidRPr="000312F1">
        <w:rPr>
          <w:sz w:val="20"/>
        </w:rPr>
        <w:t xml:space="preserve">he CPCN process is a formal </w:t>
      </w:r>
      <w:r>
        <w:rPr>
          <w:sz w:val="20"/>
        </w:rPr>
        <w:t>process</w:t>
      </w:r>
      <w:r w:rsidRPr="000312F1">
        <w:rPr>
          <w:sz w:val="20"/>
        </w:rPr>
        <w:t xml:space="preserve">, while the </w:t>
      </w:r>
      <w:r>
        <w:rPr>
          <w:sz w:val="20"/>
        </w:rPr>
        <w:t xml:space="preserve">Simplified Registration </w:t>
      </w:r>
      <w:r w:rsidRPr="000312F1">
        <w:rPr>
          <w:sz w:val="20"/>
        </w:rPr>
        <w:t>is ministerial.</w:t>
      </w:r>
    </w:p>
  </w:footnote>
  <w:footnote w:id="2">
    <w:p w14:paraId="45FB32AE" w14:textId="71C7C5AC" w:rsidR="00E36D91" w:rsidRPr="003311DD" w:rsidRDefault="00E36D91">
      <w:pPr>
        <w:pStyle w:val="FootnoteText"/>
        <w:rPr>
          <w:sz w:val="20"/>
        </w:rPr>
      </w:pPr>
      <w:r>
        <w:rPr>
          <w:rStyle w:val="FootnoteReference"/>
        </w:rPr>
        <w:footnoteRef/>
      </w:r>
      <w:r>
        <w:t xml:space="preserve"> </w:t>
      </w:r>
      <w:r w:rsidRPr="003311DD">
        <w:rPr>
          <w:sz w:val="20"/>
        </w:rPr>
        <w:t xml:space="preserve">A different process applies to wireless carriers due to applicable federal statutes. </w:t>
      </w:r>
    </w:p>
  </w:footnote>
  <w:footnote w:id="3">
    <w:p w14:paraId="646C9914" w14:textId="07A0CB36" w:rsidR="0008695B" w:rsidRPr="003311DD" w:rsidRDefault="0008695B">
      <w:pPr>
        <w:pStyle w:val="FootnoteText"/>
        <w:rPr>
          <w:sz w:val="20"/>
        </w:rPr>
      </w:pPr>
      <w:r w:rsidRPr="003311DD">
        <w:rPr>
          <w:rStyle w:val="FootnoteReference"/>
          <w:sz w:val="20"/>
        </w:rPr>
        <w:footnoteRef/>
      </w:r>
      <w:r w:rsidRPr="003311DD">
        <w:rPr>
          <w:sz w:val="20"/>
        </w:rPr>
        <w:t xml:space="preserve"> Registration Licenses are </w:t>
      </w:r>
      <w:r w:rsidR="00F26067" w:rsidRPr="003311DD">
        <w:rPr>
          <w:sz w:val="20"/>
        </w:rPr>
        <w:t>obtained through a Simplified Registration process pursuant to P</w:t>
      </w:r>
      <w:r w:rsidR="005B7128">
        <w:rPr>
          <w:sz w:val="20"/>
        </w:rPr>
        <w:t xml:space="preserve">ub. </w:t>
      </w:r>
      <w:r w:rsidR="00F26067" w:rsidRPr="003311DD">
        <w:rPr>
          <w:sz w:val="20"/>
        </w:rPr>
        <w:t>U</w:t>
      </w:r>
      <w:r w:rsidR="005B7128">
        <w:rPr>
          <w:sz w:val="20"/>
        </w:rPr>
        <w:t>til.</w:t>
      </w:r>
      <w:r w:rsidR="00F26067" w:rsidRPr="003311DD">
        <w:rPr>
          <w:sz w:val="20"/>
        </w:rPr>
        <w:t xml:space="preserve"> Code </w:t>
      </w:r>
      <w:r w:rsidR="00576904" w:rsidRPr="003311DD">
        <w:rPr>
          <w:sz w:val="20"/>
        </w:rPr>
        <w:t>§</w:t>
      </w:r>
      <w:r w:rsidR="00F26067" w:rsidRPr="003311DD">
        <w:rPr>
          <w:sz w:val="20"/>
        </w:rPr>
        <w:t xml:space="preserve"> 1013 and issue</w:t>
      </w:r>
      <w:r w:rsidR="00576904" w:rsidRPr="003311DD">
        <w:rPr>
          <w:sz w:val="20"/>
        </w:rPr>
        <w:t>d</w:t>
      </w:r>
      <w:r w:rsidRPr="003311DD">
        <w:rPr>
          <w:sz w:val="20"/>
        </w:rPr>
        <w:t xml:space="preserve"> via an Executive Director decision.</w:t>
      </w:r>
    </w:p>
  </w:footnote>
  <w:footnote w:id="4">
    <w:p w14:paraId="45524EFA" w14:textId="3CF477B5" w:rsidR="00BE5E65" w:rsidRDefault="00BE5E65">
      <w:pPr>
        <w:pStyle w:val="FootnoteText"/>
      </w:pPr>
      <w:r w:rsidRPr="003311DD">
        <w:rPr>
          <w:rStyle w:val="FootnoteReference"/>
          <w:sz w:val="20"/>
        </w:rPr>
        <w:footnoteRef/>
      </w:r>
      <w:r w:rsidRPr="003311DD">
        <w:rPr>
          <w:sz w:val="20"/>
        </w:rPr>
        <w:t xml:space="preserve"> Carriers are obligated to provide the Commission’s Communications Division with the name(s), address(es), and telephone number(s) of </w:t>
      </w:r>
      <w:r w:rsidR="00060AB1" w:rsidRPr="003311DD">
        <w:rPr>
          <w:sz w:val="20"/>
        </w:rPr>
        <w:t xml:space="preserve">their </w:t>
      </w:r>
      <w:r w:rsidRPr="003311DD">
        <w:rPr>
          <w:sz w:val="20"/>
        </w:rPr>
        <w:t>designated regulatory/official contact person(s).  This</w:t>
      </w:r>
      <w:r w:rsidRPr="005F0B9F">
        <w:rPr>
          <w:sz w:val="20"/>
        </w:rPr>
        <w:t xml:space="preserve"> information must be provided electronically, using the “Communications Utility Contact Update Form” </w:t>
      </w:r>
      <w:r w:rsidRPr="00036863">
        <w:rPr>
          <w:sz w:val="20"/>
        </w:rPr>
        <w:t xml:space="preserve">found at </w:t>
      </w:r>
      <w:hyperlink r:id="rId1" w:history="1">
        <w:r w:rsidR="006776A0" w:rsidRPr="00494586">
          <w:rPr>
            <w:rStyle w:val="Hyperlink"/>
            <w:sz w:val="20"/>
          </w:rPr>
          <w:t>https://www.cpuc.ca.gov/-/media/cpuc-website/divisions/communications-division/documents/licensing-compliance/contact-information-update-request-form.pdf</w:t>
        </w:r>
      </w:hyperlink>
      <w:r w:rsidRPr="00036863">
        <w:rPr>
          <w:sz w:val="20"/>
        </w:rPr>
        <w:t>.</w:t>
      </w:r>
      <w:r w:rsidRPr="005F0B9F">
        <w:rPr>
          <w:sz w:val="20"/>
        </w:rPr>
        <w:t xml:space="preserve"> This information must be updated if the name(s), address(es), and telephone number(s) change, or at least annually by June 1 of each calendar year.</w:t>
      </w:r>
    </w:p>
  </w:footnote>
  <w:footnote w:id="5">
    <w:p w14:paraId="14E7CA73" w14:textId="36B5D18F" w:rsidR="00036863" w:rsidRDefault="00036863">
      <w:pPr>
        <w:pStyle w:val="FootnoteText"/>
      </w:pPr>
      <w:r>
        <w:rPr>
          <w:rStyle w:val="FootnoteReference"/>
        </w:rPr>
        <w:footnoteRef/>
      </w:r>
      <w:r>
        <w:t xml:space="preserve"> </w:t>
      </w:r>
      <w:r w:rsidRPr="00302305">
        <w:rPr>
          <w:sz w:val="20"/>
          <w:szCs w:val="18"/>
        </w:rPr>
        <w:t>The annual reminder notice to all carriers</w:t>
      </w:r>
      <w:r w:rsidR="00945E01">
        <w:rPr>
          <w:sz w:val="20"/>
          <w:szCs w:val="18"/>
        </w:rPr>
        <w:t xml:space="preserve"> posted and </w:t>
      </w:r>
      <w:r w:rsidRPr="00302305">
        <w:rPr>
          <w:sz w:val="20"/>
          <w:szCs w:val="18"/>
        </w:rPr>
        <w:t xml:space="preserve">available at </w:t>
      </w:r>
      <w:r w:rsidR="00945E01">
        <w:rPr>
          <w:sz w:val="20"/>
          <w:szCs w:val="18"/>
        </w:rPr>
        <w:t xml:space="preserve">the Commission website at </w:t>
      </w:r>
      <w:hyperlink r:id="rId2" w:history="1">
        <w:r w:rsidR="00945E01" w:rsidRPr="002D2F5F">
          <w:rPr>
            <w:rStyle w:val="Hyperlink"/>
            <w:sz w:val="20"/>
            <w:szCs w:val="18"/>
          </w:rPr>
          <w:t>https://www.cpuc.ca.gov/industries-and-topics/internet-and-phone/carrier-reporting-requirements</w:t>
        </w:r>
      </w:hyperlink>
    </w:p>
  </w:footnote>
  <w:footnote w:id="6">
    <w:p w14:paraId="2AB7D510" w14:textId="6472CAE2" w:rsidR="00B71514" w:rsidRDefault="00B71514">
      <w:pPr>
        <w:pStyle w:val="FootnoteText"/>
      </w:pPr>
      <w:r>
        <w:rPr>
          <w:rStyle w:val="FootnoteReference"/>
        </w:rPr>
        <w:footnoteRef/>
      </w:r>
      <w:r>
        <w:t xml:space="preserve"> </w:t>
      </w:r>
      <w:r w:rsidR="0040633C">
        <w:rPr>
          <w:sz w:val="20"/>
        </w:rPr>
        <w:t xml:space="preserve">On </w:t>
      </w:r>
      <w:r w:rsidRPr="00D033D0">
        <w:rPr>
          <w:sz w:val="20"/>
        </w:rPr>
        <w:t>September 22, 2023</w:t>
      </w:r>
      <w:r w:rsidR="0040633C">
        <w:rPr>
          <w:sz w:val="20"/>
        </w:rPr>
        <w:t xml:space="preserve">, CD issued an additional </w:t>
      </w:r>
      <w:r w:rsidR="0040633C" w:rsidRPr="008B3D05">
        <w:rPr>
          <w:sz w:val="20"/>
        </w:rPr>
        <w:t xml:space="preserve">notice of noncompliance </w:t>
      </w:r>
      <w:r w:rsidR="0040633C">
        <w:rPr>
          <w:sz w:val="20"/>
        </w:rPr>
        <w:t>to one carrier</w:t>
      </w:r>
      <w:r w:rsidRPr="00D033D0">
        <w:rPr>
          <w:sz w:val="20"/>
        </w:rPr>
        <w:t>.</w:t>
      </w:r>
    </w:p>
  </w:footnote>
  <w:footnote w:id="7">
    <w:p w14:paraId="23F96251" w14:textId="298B566B" w:rsidR="00B71514" w:rsidRDefault="00B71514">
      <w:pPr>
        <w:pStyle w:val="FootnoteText"/>
      </w:pPr>
      <w:r>
        <w:rPr>
          <w:rStyle w:val="FootnoteReference"/>
        </w:rPr>
        <w:footnoteRef/>
      </w:r>
      <w:r>
        <w:t xml:space="preserve"> </w:t>
      </w:r>
      <w:r w:rsidR="0040633C">
        <w:t xml:space="preserve">On </w:t>
      </w:r>
      <w:r w:rsidR="0040633C" w:rsidRPr="008B3D05">
        <w:rPr>
          <w:sz w:val="20"/>
        </w:rPr>
        <w:t>November 14, 2023</w:t>
      </w:r>
      <w:r w:rsidR="0040633C">
        <w:rPr>
          <w:sz w:val="20"/>
        </w:rPr>
        <w:t xml:space="preserve">, CD issued an additional </w:t>
      </w:r>
      <w:r w:rsidRPr="00D033D0">
        <w:rPr>
          <w:sz w:val="20"/>
        </w:rPr>
        <w:t xml:space="preserve">first citation </w:t>
      </w:r>
      <w:r w:rsidR="0040633C">
        <w:rPr>
          <w:sz w:val="20"/>
        </w:rPr>
        <w:t>to one carrier.</w:t>
      </w:r>
    </w:p>
  </w:footnote>
  <w:footnote w:id="8">
    <w:p w14:paraId="0F7D8797" w14:textId="419DE785" w:rsidR="00B71514" w:rsidRDefault="00B71514">
      <w:pPr>
        <w:pStyle w:val="FootnoteText"/>
      </w:pPr>
      <w:r>
        <w:rPr>
          <w:rStyle w:val="FootnoteReference"/>
        </w:rPr>
        <w:footnoteRef/>
      </w:r>
      <w:r>
        <w:t xml:space="preserve"> </w:t>
      </w:r>
      <w:r w:rsidR="0040633C">
        <w:t xml:space="preserve">On </w:t>
      </w:r>
      <w:r w:rsidR="0040633C" w:rsidRPr="008B3D05">
        <w:rPr>
          <w:sz w:val="20"/>
        </w:rPr>
        <w:t>September 28, 2023</w:t>
      </w:r>
      <w:r w:rsidR="0040633C">
        <w:rPr>
          <w:sz w:val="20"/>
        </w:rPr>
        <w:t xml:space="preserve">, CD issued additional </w:t>
      </w:r>
      <w:r w:rsidRPr="00D033D0">
        <w:rPr>
          <w:sz w:val="20"/>
        </w:rPr>
        <w:t xml:space="preserve">second citations </w:t>
      </w:r>
      <w:r w:rsidR="0040633C">
        <w:rPr>
          <w:sz w:val="20"/>
        </w:rPr>
        <w:t>to three carriers</w:t>
      </w:r>
      <w:r w:rsidRPr="00D033D0">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9ED2" w14:textId="46CE5ED0" w:rsidR="001C52BD" w:rsidRDefault="001C52BD" w:rsidP="001C52BD">
    <w:pPr>
      <w:pStyle w:val="Header"/>
      <w:tabs>
        <w:tab w:val="clear" w:pos="8640"/>
        <w:tab w:val="right" w:pos="9270"/>
      </w:tabs>
      <w:ind w:right="90"/>
    </w:pPr>
    <w:r>
      <w:t xml:space="preserve">Resolution </w:t>
    </w:r>
    <w:r w:rsidR="006D6C41">
      <w:t>T-17815</w:t>
    </w:r>
    <w:r>
      <w:t xml:space="preserve"> </w:t>
    </w:r>
    <w:r>
      <w:tab/>
    </w:r>
  </w:p>
  <w:p w14:paraId="4C449ECD" w14:textId="77777777" w:rsidR="001C52BD" w:rsidRPr="005F0B9F" w:rsidRDefault="001C52BD" w:rsidP="001C52BD">
    <w:pPr>
      <w:tabs>
        <w:tab w:val="left" w:pos="450"/>
      </w:tabs>
      <w:rPr>
        <w:rFonts w:ascii="Palatino Linotype" w:hAnsi="Palatino Linotype"/>
        <w:b/>
        <w:color w:val="FF0000"/>
        <w:szCs w:val="24"/>
      </w:rPr>
    </w:pPr>
    <w:r>
      <w:t xml:space="preserve">CD/JHY                                                                                                                              </w:t>
    </w:r>
  </w:p>
  <w:p w14:paraId="562AC14F" w14:textId="35F0F616" w:rsidR="00854733" w:rsidRDefault="00854733" w:rsidP="002B40BF">
    <w:pPr>
      <w:pStyle w:val="Header"/>
      <w:tabs>
        <w:tab w:val="clear" w:pos="8640"/>
        <w:tab w:val="right" w:pos="9270"/>
      </w:tabs>
      <w:ind w:righ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1E5" w14:textId="07F6023F" w:rsidR="004C7566" w:rsidRDefault="004C7566" w:rsidP="004C7566">
    <w:pPr>
      <w:pStyle w:val="Header"/>
      <w:tabs>
        <w:tab w:val="clear" w:pos="8640"/>
        <w:tab w:val="right" w:pos="9270"/>
      </w:tabs>
      <w:ind w:right="90"/>
    </w:pPr>
    <w:r>
      <w:t xml:space="preserve">Resolution T-17815 </w:t>
    </w:r>
    <w:r>
      <w:tab/>
      <w:t xml:space="preserve">                                       </w:t>
    </w:r>
    <w:r w:rsidR="002972EC">
      <w:t xml:space="preserve">                         Date of Issuance: April 19, 2024</w:t>
    </w:r>
  </w:p>
  <w:p w14:paraId="4B7DC81F" w14:textId="03C0D1C7" w:rsidR="00CC054A" w:rsidRPr="00CC054A" w:rsidRDefault="004C7566" w:rsidP="00CC054A">
    <w:pPr>
      <w:tabs>
        <w:tab w:val="left" w:pos="450"/>
      </w:tabs>
      <w:rPr>
        <w:rFonts w:ascii="Palatino Linotype" w:hAnsi="Palatino Linotype"/>
        <w:b/>
        <w:color w:val="FF0000"/>
        <w:szCs w:val="24"/>
      </w:rPr>
    </w:pPr>
    <w:r>
      <w:t xml:space="preserve">CD/JHY                                                                                                    </w:t>
    </w:r>
    <w:r w:rsidR="004006E2">
      <w:tab/>
    </w:r>
    <w:r w:rsidR="004006E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B6B9" w14:textId="35974FE1" w:rsidR="00CC054A" w:rsidRDefault="00CC054A" w:rsidP="00CC054A">
    <w:pPr>
      <w:pStyle w:val="Header"/>
      <w:tabs>
        <w:tab w:val="clear" w:pos="8640"/>
        <w:tab w:val="right" w:pos="9270"/>
      </w:tabs>
      <w:ind w:right="90"/>
    </w:pPr>
    <w:r>
      <w:t xml:space="preserve">Resolution </w:t>
    </w:r>
    <w:r w:rsidR="006D6C41">
      <w:t>T-17815</w:t>
    </w:r>
    <w:r>
      <w:t xml:space="preserve"> </w:t>
    </w:r>
    <w:r>
      <w:tab/>
    </w:r>
    <w:r w:rsidRPr="00A7262D">
      <w:rPr>
        <w:b/>
        <w:bCs/>
      </w:rPr>
      <w:t>DRAFT</w:t>
    </w:r>
    <w:r>
      <w:tab/>
    </w:r>
  </w:p>
  <w:p w14:paraId="4814B16C" w14:textId="77777777" w:rsidR="00CC054A" w:rsidRPr="005F0B9F" w:rsidRDefault="00CC054A" w:rsidP="00CC054A">
    <w:pPr>
      <w:tabs>
        <w:tab w:val="left" w:pos="450"/>
      </w:tabs>
      <w:rPr>
        <w:rFonts w:ascii="Palatino Linotype" w:hAnsi="Palatino Linotype"/>
        <w:b/>
        <w:color w:val="FF0000"/>
        <w:szCs w:val="24"/>
      </w:rPr>
    </w:pPr>
    <w:r>
      <w:t xml:space="preserve">CD/JHY                                                                                                                              </w:t>
    </w:r>
  </w:p>
  <w:p w14:paraId="4E0B6BC6" w14:textId="1CDCA8D6" w:rsidR="00854733" w:rsidRDefault="00854733" w:rsidP="00A9576A">
    <w:pPr>
      <w:pStyle w:val="Header"/>
      <w:tabs>
        <w:tab w:val="clear" w:pos="8640"/>
        <w:tab w:val="right" w:pos="9270"/>
      </w:tabs>
      <w:ind w:righ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C7C"/>
    <w:multiLevelType w:val="hybridMultilevel"/>
    <w:tmpl w:val="F2403B30"/>
    <w:lvl w:ilvl="0" w:tplc="17BE54F2">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E7D36"/>
    <w:multiLevelType w:val="hybridMultilevel"/>
    <w:tmpl w:val="A9D03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44F4B"/>
    <w:multiLevelType w:val="hybridMultilevel"/>
    <w:tmpl w:val="CE58A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F2D40"/>
    <w:multiLevelType w:val="hybridMultilevel"/>
    <w:tmpl w:val="F2403B30"/>
    <w:lvl w:ilvl="0" w:tplc="17BE54F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C67A14"/>
    <w:multiLevelType w:val="hybridMultilevel"/>
    <w:tmpl w:val="E2D487B6"/>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5F0EFD"/>
    <w:multiLevelType w:val="singleLevel"/>
    <w:tmpl w:val="6C60099E"/>
    <w:lvl w:ilvl="0">
      <w:start w:val="1"/>
      <w:numFmt w:val="decimal"/>
      <w:lvlText w:val="%1."/>
      <w:lvlJc w:val="left"/>
      <w:pPr>
        <w:tabs>
          <w:tab w:val="num" w:pos="420"/>
        </w:tabs>
        <w:ind w:left="420" w:hanging="360"/>
      </w:pPr>
      <w:rPr>
        <w:rFonts w:cs="Times New Roman" w:hint="default"/>
      </w:rPr>
    </w:lvl>
  </w:abstractNum>
  <w:abstractNum w:abstractNumId="6" w15:restartNumberingAfterBreak="0">
    <w:nsid w:val="07B612B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8DA3B89"/>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0B643895"/>
    <w:multiLevelType w:val="hybridMultilevel"/>
    <w:tmpl w:val="F2403B30"/>
    <w:lvl w:ilvl="0" w:tplc="FFFFFFFF">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F72A77"/>
    <w:multiLevelType w:val="hybridMultilevel"/>
    <w:tmpl w:val="B98E0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66A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1971297"/>
    <w:multiLevelType w:val="singleLevel"/>
    <w:tmpl w:val="AAF61DAA"/>
    <w:lvl w:ilvl="0">
      <w:start w:val="2"/>
      <w:numFmt w:val="decimal"/>
      <w:lvlText w:val="%1."/>
      <w:lvlJc w:val="left"/>
      <w:pPr>
        <w:tabs>
          <w:tab w:val="num" w:pos="420"/>
        </w:tabs>
        <w:ind w:left="420" w:hanging="360"/>
      </w:pPr>
      <w:rPr>
        <w:rFonts w:cs="Times New Roman" w:hint="default"/>
      </w:rPr>
    </w:lvl>
  </w:abstractNum>
  <w:abstractNum w:abstractNumId="12" w15:restartNumberingAfterBreak="0">
    <w:nsid w:val="161273FB"/>
    <w:multiLevelType w:val="hybridMultilevel"/>
    <w:tmpl w:val="7B1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D3088"/>
    <w:multiLevelType w:val="singleLevel"/>
    <w:tmpl w:val="00063860"/>
    <w:lvl w:ilvl="0">
      <w:start w:val="5004"/>
      <w:numFmt w:val="decimal"/>
      <w:lvlText w:val="%1"/>
      <w:lvlJc w:val="left"/>
      <w:pPr>
        <w:tabs>
          <w:tab w:val="num" w:pos="600"/>
        </w:tabs>
        <w:ind w:left="600" w:hanging="600"/>
      </w:pPr>
      <w:rPr>
        <w:rFonts w:cs="Times New Roman" w:hint="default"/>
      </w:rPr>
    </w:lvl>
  </w:abstractNum>
  <w:abstractNum w:abstractNumId="14" w15:restartNumberingAfterBreak="0">
    <w:nsid w:val="19BE4752"/>
    <w:multiLevelType w:val="singleLevel"/>
    <w:tmpl w:val="A92EB5B6"/>
    <w:lvl w:ilvl="0">
      <w:start w:val="1"/>
      <w:numFmt w:val="decimal"/>
      <w:lvlText w:val="%1."/>
      <w:lvlJc w:val="left"/>
      <w:pPr>
        <w:tabs>
          <w:tab w:val="num" w:pos="420"/>
        </w:tabs>
        <w:ind w:left="420" w:hanging="360"/>
      </w:pPr>
      <w:rPr>
        <w:rFonts w:cs="Times New Roman" w:hint="default"/>
      </w:rPr>
    </w:lvl>
  </w:abstractNum>
  <w:abstractNum w:abstractNumId="15" w15:restartNumberingAfterBreak="0">
    <w:nsid w:val="1A0F7674"/>
    <w:multiLevelType w:val="hybridMultilevel"/>
    <w:tmpl w:val="31F00EE8"/>
    <w:lvl w:ilvl="0" w:tplc="3EB28B4E">
      <w:start w:val="1"/>
      <w:numFmt w:val="decimal"/>
      <w:lvlText w:val="%1."/>
      <w:lvlJc w:val="left"/>
      <w:pPr>
        <w:tabs>
          <w:tab w:val="num" w:pos="360"/>
        </w:tabs>
        <w:ind w:left="360" w:hanging="360"/>
      </w:pPr>
      <w:rPr>
        <w:rFonts w:cs="Times New Roman" w:hint="default"/>
      </w:rPr>
    </w:lvl>
    <w:lvl w:ilvl="1" w:tplc="AD5E97E4" w:tentative="1">
      <w:start w:val="1"/>
      <w:numFmt w:val="lowerLetter"/>
      <w:lvlText w:val="%2."/>
      <w:lvlJc w:val="left"/>
      <w:pPr>
        <w:tabs>
          <w:tab w:val="num" w:pos="1440"/>
        </w:tabs>
        <w:ind w:left="1440" w:hanging="360"/>
      </w:pPr>
      <w:rPr>
        <w:rFonts w:cs="Times New Roman"/>
      </w:rPr>
    </w:lvl>
    <w:lvl w:ilvl="2" w:tplc="8C181876" w:tentative="1">
      <w:start w:val="1"/>
      <w:numFmt w:val="lowerRoman"/>
      <w:lvlText w:val="%3."/>
      <w:lvlJc w:val="right"/>
      <w:pPr>
        <w:tabs>
          <w:tab w:val="num" w:pos="2160"/>
        </w:tabs>
        <w:ind w:left="2160" w:hanging="180"/>
      </w:pPr>
      <w:rPr>
        <w:rFonts w:cs="Times New Roman"/>
      </w:rPr>
    </w:lvl>
    <w:lvl w:ilvl="3" w:tplc="D3504556" w:tentative="1">
      <w:start w:val="1"/>
      <w:numFmt w:val="decimal"/>
      <w:lvlText w:val="%4."/>
      <w:lvlJc w:val="left"/>
      <w:pPr>
        <w:tabs>
          <w:tab w:val="num" w:pos="2880"/>
        </w:tabs>
        <w:ind w:left="2880" w:hanging="360"/>
      </w:pPr>
      <w:rPr>
        <w:rFonts w:cs="Times New Roman"/>
      </w:rPr>
    </w:lvl>
    <w:lvl w:ilvl="4" w:tplc="71927ECC" w:tentative="1">
      <w:start w:val="1"/>
      <w:numFmt w:val="lowerLetter"/>
      <w:lvlText w:val="%5."/>
      <w:lvlJc w:val="left"/>
      <w:pPr>
        <w:tabs>
          <w:tab w:val="num" w:pos="3600"/>
        </w:tabs>
        <w:ind w:left="3600" w:hanging="360"/>
      </w:pPr>
      <w:rPr>
        <w:rFonts w:cs="Times New Roman"/>
      </w:rPr>
    </w:lvl>
    <w:lvl w:ilvl="5" w:tplc="E848A912" w:tentative="1">
      <w:start w:val="1"/>
      <w:numFmt w:val="lowerRoman"/>
      <w:lvlText w:val="%6."/>
      <w:lvlJc w:val="right"/>
      <w:pPr>
        <w:tabs>
          <w:tab w:val="num" w:pos="4320"/>
        </w:tabs>
        <w:ind w:left="4320" w:hanging="180"/>
      </w:pPr>
      <w:rPr>
        <w:rFonts w:cs="Times New Roman"/>
      </w:rPr>
    </w:lvl>
    <w:lvl w:ilvl="6" w:tplc="8230DCBE" w:tentative="1">
      <w:start w:val="1"/>
      <w:numFmt w:val="decimal"/>
      <w:lvlText w:val="%7."/>
      <w:lvlJc w:val="left"/>
      <w:pPr>
        <w:tabs>
          <w:tab w:val="num" w:pos="5040"/>
        </w:tabs>
        <w:ind w:left="5040" w:hanging="360"/>
      </w:pPr>
      <w:rPr>
        <w:rFonts w:cs="Times New Roman"/>
      </w:rPr>
    </w:lvl>
    <w:lvl w:ilvl="7" w:tplc="F9FA95E0" w:tentative="1">
      <w:start w:val="1"/>
      <w:numFmt w:val="lowerLetter"/>
      <w:lvlText w:val="%8."/>
      <w:lvlJc w:val="left"/>
      <w:pPr>
        <w:tabs>
          <w:tab w:val="num" w:pos="5760"/>
        </w:tabs>
        <w:ind w:left="5760" w:hanging="360"/>
      </w:pPr>
      <w:rPr>
        <w:rFonts w:cs="Times New Roman"/>
      </w:rPr>
    </w:lvl>
    <w:lvl w:ilvl="8" w:tplc="575E3F2C"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5E7FD3"/>
    <w:multiLevelType w:val="hybridMultilevel"/>
    <w:tmpl w:val="28B2B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33739"/>
    <w:multiLevelType w:val="hybridMultilevel"/>
    <w:tmpl w:val="71809D80"/>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7408F"/>
    <w:multiLevelType w:val="hybridMultilevel"/>
    <w:tmpl w:val="DA74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F2ABE"/>
    <w:multiLevelType w:val="hybridMultilevel"/>
    <w:tmpl w:val="F32A35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012D7F"/>
    <w:multiLevelType w:val="hybridMultilevel"/>
    <w:tmpl w:val="CCE2867C"/>
    <w:lvl w:ilvl="0" w:tplc="25DCAC6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231687"/>
    <w:multiLevelType w:val="hybridMultilevel"/>
    <w:tmpl w:val="DD66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E65004"/>
    <w:multiLevelType w:val="hybridMultilevel"/>
    <w:tmpl w:val="C67898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7876CC"/>
    <w:multiLevelType w:val="hybridMultilevel"/>
    <w:tmpl w:val="C41A93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272A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D7C1A92"/>
    <w:multiLevelType w:val="hybridMultilevel"/>
    <w:tmpl w:val="3572D784"/>
    <w:lvl w:ilvl="0" w:tplc="0409000F">
      <w:start w:val="1"/>
      <w:numFmt w:val="decimal"/>
      <w:lvlText w:val="%1."/>
      <w:lvlJc w:val="left"/>
      <w:pPr>
        <w:tabs>
          <w:tab w:val="num" w:pos="1008"/>
        </w:tabs>
        <w:ind w:left="1008" w:hanging="360"/>
      </w:pPr>
      <w:rPr>
        <w:rFonts w:cs="Times New Roman"/>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26" w15:restartNumberingAfterBreak="0">
    <w:nsid w:val="2E23418E"/>
    <w:multiLevelType w:val="hybridMultilevel"/>
    <w:tmpl w:val="1CB0D9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0A05B1"/>
    <w:multiLevelType w:val="hybridMultilevel"/>
    <w:tmpl w:val="F2403B30"/>
    <w:lvl w:ilvl="0" w:tplc="17BE54F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2D067A"/>
    <w:multiLevelType w:val="hybridMultilevel"/>
    <w:tmpl w:val="4FF4B0DA"/>
    <w:lvl w:ilvl="0" w:tplc="168C821C">
      <w:start w:val="1"/>
      <w:numFmt w:val="decimal"/>
      <w:lvlText w:val="%1."/>
      <w:lvlJc w:val="left"/>
      <w:pPr>
        <w:tabs>
          <w:tab w:val="num" w:pos="360"/>
        </w:tabs>
        <w:ind w:left="360" w:hanging="360"/>
      </w:pPr>
      <w:rPr>
        <w:rFonts w:cs="Times New Roman" w:hint="default"/>
      </w:rPr>
    </w:lvl>
    <w:lvl w:ilvl="1" w:tplc="D6F4D41C" w:tentative="1">
      <w:start w:val="1"/>
      <w:numFmt w:val="lowerLetter"/>
      <w:lvlText w:val="%2."/>
      <w:lvlJc w:val="left"/>
      <w:pPr>
        <w:tabs>
          <w:tab w:val="num" w:pos="1440"/>
        </w:tabs>
        <w:ind w:left="1440" w:hanging="360"/>
      </w:pPr>
      <w:rPr>
        <w:rFonts w:cs="Times New Roman"/>
      </w:rPr>
    </w:lvl>
    <w:lvl w:ilvl="2" w:tplc="B47680D2" w:tentative="1">
      <w:start w:val="1"/>
      <w:numFmt w:val="lowerRoman"/>
      <w:lvlText w:val="%3."/>
      <w:lvlJc w:val="right"/>
      <w:pPr>
        <w:tabs>
          <w:tab w:val="num" w:pos="2160"/>
        </w:tabs>
        <w:ind w:left="2160" w:hanging="180"/>
      </w:pPr>
      <w:rPr>
        <w:rFonts w:cs="Times New Roman"/>
      </w:rPr>
    </w:lvl>
    <w:lvl w:ilvl="3" w:tplc="875A11E2" w:tentative="1">
      <w:start w:val="1"/>
      <w:numFmt w:val="decimal"/>
      <w:lvlText w:val="%4."/>
      <w:lvlJc w:val="left"/>
      <w:pPr>
        <w:tabs>
          <w:tab w:val="num" w:pos="2880"/>
        </w:tabs>
        <w:ind w:left="2880" w:hanging="360"/>
      </w:pPr>
      <w:rPr>
        <w:rFonts w:cs="Times New Roman"/>
      </w:rPr>
    </w:lvl>
    <w:lvl w:ilvl="4" w:tplc="6C5C922A" w:tentative="1">
      <w:start w:val="1"/>
      <w:numFmt w:val="lowerLetter"/>
      <w:lvlText w:val="%5."/>
      <w:lvlJc w:val="left"/>
      <w:pPr>
        <w:tabs>
          <w:tab w:val="num" w:pos="3600"/>
        </w:tabs>
        <w:ind w:left="3600" w:hanging="360"/>
      </w:pPr>
      <w:rPr>
        <w:rFonts w:cs="Times New Roman"/>
      </w:rPr>
    </w:lvl>
    <w:lvl w:ilvl="5" w:tplc="C6181364" w:tentative="1">
      <w:start w:val="1"/>
      <w:numFmt w:val="lowerRoman"/>
      <w:lvlText w:val="%6."/>
      <w:lvlJc w:val="right"/>
      <w:pPr>
        <w:tabs>
          <w:tab w:val="num" w:pos="4320"/>
        </w:tabs>
        <w:ind w:left="4320" w:hanging="180"/>
      </w:pPr>
      <w:rPr>
        <w:rFonts w:cs="Times New Roman"/>
      </w:rPr>
    </w:lvl>
    <w:lvl w:ilvl="6" w:tplc="5D227454" w:tentative="1">
      <w:start w:val="1"/>
      <w:numFmt w:val="decimal"/>
      <w:lvlText w:val="%7."/>
      <w:lvlJc w:val="left"/>
      <w:pPr>
        <w:tabs>
          <w:tab w:val="num" w:pos="5040"/>
        </w:tabs>
        <w:ind w:left="5040" w:hanging="360"/>
      </w:pPr>
      <w:rPr>
        <w:rFonts w:cs="Times New Roman"/>
      </w:rPr>
    </w:lvl>
    <w:lvl w:ilvl="7" w:tplc="4106F666" w:tentative="1">
      <w:start w:val="1"/>
      <w:numFmt w:val="lowerLetter"/>
      <w:lvlText w:val="%8."/>
      <w:lvlJc w:val="left"/>
      <w:pPr>
        <w:tabs>
          <w:tab w:val="num" w:pos="5760"/>
        </w:tabs>
        <w:ind w:left="5760" w:hanging="360"/>
      </w:pPr>
      <w:rPr>
        <w:rFonts w:cs="Times New Roman"/>
      </w:rPr>
    </w:lvl>
    <w:lvl w:ilvl="8" w:tplc="2D42AAA8" w:tentative="1">
      <w:start w:val="1"/>
      <w:numFmt w:val="lowerRoman"/>
      <w:lvlText w:val="%9."/>
      <w:lvlJc w:val="right"/>
      <w:pPr>
        <w:tabs>
          <w:tab w:val="num" w:pos="6480"/>
        </w:tabs>
        <w:ind w:left="6480" w:hanging="180"/>
      </w:pPr>
      <w:rPr>
        <w:rFonts w:cs="Times New Roman"/>
      </w:rPr>
    </w:lvl>
  </w:abstractNum>
  <w:abstractNum w:abstractNumId="29" w15:restartNumberingAfterBreak="0">
    <w:nsid w:val="396F1A1D"/>
    <w:multiLevelType w:val="singleLevel"/>
    <w:tmpl w:val="739A51AE"/>
    <w:lvl w:ilvl="0">
      <w:start w:val="1"/>
      <w:numFmt w:val="decimal"/>
      <w:lvlText w:val="%1."/>
      <w:legacy w:legacy="1" w:legacySpace="144" w:legacyIndent="0"/>
      <w:lvlJc w:val="left"/>
    </w:lvl>
  </w:abstractNum>
  <w:abstractNum w:abstractNumId="30" w15:restartNumberingAfterBreak="0">
    <w:nsid w:val="3A0F1285"/>
    <w:multiLevelType w:val="hybridMultilevel"/>
    <w:tmpl w:val="EBF6C6E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3EA61CFC"/>
    <w:multiLevelType w:val="hybridMultilevel"/>
    <w:tmpl w:val="6E88D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C04A45"/>
    <w:multiLevelType w:val="hybridMultilevel"/>
    <w:tmpl w:val="ECECA340"/>
    <w:lvl w:ilvl="0" w:tplc="6AC446B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B429BE"/>
    <w:multiLevelType w:val="hybridMultilevel"/>
    <w:tmpl w:val="95B0E8E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38062A"/>
    <w:multiLevelType w:val="hybridMultilevel"/>
    <w:tmpl w:val="87A67596"/>
    <w:lvl w:ilvl="0" w:tplc="ACA82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A633A"/>
    <w:multiLevelType w:val="hybridMultilevel"/>
    <w:tmpl w:val="F2403B30"/>
    <w:lvl w:ilvl="0" w:tplc="FFFFFFFF">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3E669EC"/>
    <w:multiLevelType w:val="hybridMultilevel"/>
    <w:tmpl w:val="BDD05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F17A5D"/>
    <w:multiLevelType w:val="hybridMultilevel"/>
    <w:tmpl w:val="48F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6E7B70"/>
    <w:multiLevelType w:val="hybridMultilevel"/>
    <w:tmpl w:val="F2403B30"/>
    <w:lvl w:ilvl="0" w:tplc="FFFFFFFF">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7A80450"/>
    <w:multiLevelType w:val="hybridMultilevel"/>
    <w:tmpl w:val="3DAA3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673877"/>
    <w:multiLevelType w:val="singleLevel"/>
    <w:tmpl w:val="739A51AE"/>
    <w:lvl w:ilvl="0">
      <w:start w:val="1"/>
      <w:numFmt w:val="decimal"/>
      <w:lvlText w:val="%1."/>
      <w:legacy w:legacy="1" w:legacySpace="144" w:legacyIndent="0"/>
      <w:lvlJc w:val="left"/>
      <w:rPr>
        <w:rFonts w:cs="Times New Roman"/>
      </w:rPr>
    </w:lvl>
  </w:abstractNum>
  <w:abstractNum w:abstractNumId="41" w15:restartNumberingAfterBreak="0">
    <w:nsid w:val="5A5D5902"/>
    <w:multiLevelType w:val="hybridMultilevel"/>
    <w:tmpl w:val="F17CC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685B0E"/>
    <w:multiLevelType w:val="hybridMultilevel"/>
    <w:tmpl w:val="13AC12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937163"/>
    <w:multiLevelType w:val="hybridMultilevel"/>
    <w:tmpl w:val="70FC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C3167E"/>
    <w:multiLevelType w:val="hybridMultilevel"/>
    <w:tmpl w:val="4E8A8FF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567860"/>
    <w:multiLevelType w:val="hybridMultilevel"/>
    <w:tmpl w:val="7F72A8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01248E"/>
    <w:multiLevelType w:val="hybridMultilevel"/>
    <w:tmpl w:val="20827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C878CC"/>
    <w:multiLevelType w:val="hybridMultilevel"/>
    <w:tmpl w:val="E5C8A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83C0F61"/>
    <w:multiLevelType w:val="hybridMultilevel"/>
    <w:tmpl w:val="6B089A38"/>
    <w:lvl w:ilvl="0" w:tplc="1D6C07A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C375652"/>
    <w:multiLevelType w:val="hybridMultilevel"/>
    <w:tmpl w:val="7A5806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781B0F"/>
    <w:multiLevelType w:val="hybridMultilevel"/>
    <w:tmpl w:val="9AD69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5EE0C4C"/>
    <w:multiLevelType w:val="hybridMultilevel"/>
    <w:tmpl w:val="F2403B30"/>
    <w:lvl w:ilvl="0" w:tplc="FFFFFFFF">
      <w:start w:val="1"/>
      <w:numFmt w:val="decimal"/>
      <w:lvlText w:val="%1."/>
      <w:lvlJc w:val="left"/>
      <w:pPr>
        <w:tabs>
          <w:tab w:val="num" w:pos="360"/>
        </w:tabs>
        <w:ind w:left="360" w:hanging="360"/>
      </w:pPr>
      <w:rPr>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15:restartNumberingAfterBreak="0">
    <w:nsid w:val="77873EB2"/>
    <w:multiLevelType w:val="hybridMultilevel"/>
    <w:tmpl w:val="021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BE7108"/>
    <w:multiLevelType w:val="singleLevel"/>
    <w:tmpl w:val="BCB63E94"/>
    <w:lvl w:ilvl="0">
      <w:start w:val="1"/>
      <w:numFmt w:val="decimal"/>
      <w:lvlText w:val="%1."/>
      <w:lvlJc w:val="left"/>
      <w:pPr>
        <w:ind w:left="360" w:hanging="360"/>
      </w:pPr>
      <w:rPr>
        <w:b w:val="0"/>
      </w:rPr>
    </w:lvl>
  </w:abstractNum>
  <w:abstractNum w:abstractNumId="54" w15:restartNumberingAfterBreak="0">
    <w:nsid w:val="7B1C30FD"/>
    <w:multiLevelType w:val="singleLevel"/>
    <w:tmpl w:val="2FB6A734"/>
    <w:lvl w:ilvl="0">
      <w:start w:val="1"/>
      <w:numFmt w:val="decimal"/>
      <w:lvlText w:val="%1."/>
      <w:legacy w:legacy="1" w:legacySpace="144" w:legacyIndent="0"/>
      <w:lvlJc w:val="left"/>
      <w:rPr>
        <w:rFonts w:cs="Times New Roman"/>
      </w:rPr>
    </w:lvl>
  </w:abstractNum>
  <w:abstractNum w:abstractNumId="55" w15:restartNumberingAfterBreak="0">
    <w:nsid w:val="7C2E555B"/>
    <w:multiLevelType w:val="hybridMultilevel"/>
    <w:tmpl w:val="F802E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B60AD6"/>
    <w:multiLevelType w:val="hybridMultilevel"/>
    <w:tmpl w:val="7E3889FC"/>
    <w:lvl w:ilvl="0" w:tplc="26921322">
      <w:start w:val="1"/>
      <w:numFmt w:val="decimal"/>
      <w:lvlText w:val="%1."/>
      <w:lvlJc w:val="left"/>
      <w:pPr>
        <w:ind w:left="1272" w:hanging="360"/>
      </w:pPr>
      <w:rPr>
        <w:rFonts w:hint="default"/>
      </w:rPr>
    </w:lvl>
    <w:lvl w:ilvl="1" w:tplc="04090019">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57" w15:restartNumberingAfterBreak="0">
    <w:nsid w:val="7ED63B8D"/>
    <w:multiLevelType w:val="hybridMultilevel"/>
    <w:tmpl w:val="94E4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EA3527"/>
    <w:multiLevelType w:val="hybridMultilevel"/>
    <w:tmpl w:val="52F04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EFE36A8"/>
    <w:multiLevelType w:val="hybridMultilevel"/>
    <w:tmpl w:val="153261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08474589">
    <w:abstractNumId w:val="13"/>
  </w:num>
  <w:num w:numId="2" w16cid:durableId="174420503">
    <w:abstractNumId w:val="11"/>
  </w:num>
  <w:num w:numId="3" w16cid:durableId="937178495">
    <w:abstractNumId w:val="5"/>
  </w:num>
  <w:num w:numId="4" w16cid:durableId="1214274995">
    <w:abstractNumId w:val="14"/>
  </w:num>
  <w:num w:numId="5" w16cid:durableId="19090281">
    <w:abstractNumId w:val="6"/>
  </w:num>
  <w:num w:numId="6" w16cid:durableId="369645168">
    <w:abstractNumId w:val="28"/>
  </w:num>
  <w:num w:numId="7" w16cid:durableId="1542790113">
    <w:abstractNumId w:val="15"/>
  </w:num>
  <w:num w:numId="8" w16cid:durableId="1332219237">
    <w:abstractNumId w:val="17"/>
  </w:num>
  <w:num w:numId="9" w16cid:durableId="961156205">
    <w:abstractNumId w:val="59"/>
  </w:num>
  <w:num w:numId="10" w16cid:durableId="1095133747">
    <w:abstractNumId w:val="45"/>
  </w:num>
  <w:num w:numId="11" w16cid:durableId="1784616697">
    <w:abstractNumId w:val="22"/>
  </w:num>
  <w:num w:numId="12" w16cid:durableId="373387887">
    <w:abstractNumId w:val="19"/>
  </w:num>
  <w:num w:numId="13" w16cid:durableId="1336961745">
    <w:abstractNumId w:val="25"/>
  </w:num>
  <w:num w:numId="14" w16cid:durableId="605159764">
    <w:abstractNumId w:val="40"/>
  </w:num>
  <w:num w:numId="15" w16cid:durableId="1429084756">
    <w:abstractNumId w:val="16"/>
  </w:num>
  <w:num w:numId="16" w16cid:durableId="362092617">
    <w:abstractNumId w:val="10"/>
  </w:num>
  <w:num w:numId="17" w16cid:durableId="305282107">
    <w:abstractNumId w:val="24"/>
  </w:num>
  <w:num w:numId="18" w16cid:durableId="1530684517">
    <w:abstractNumId w:val="7"/>
  </w:num>
  <w:num w:numId="19" w16cid:durableId="1262686524">
    <w:abstractNumId w:val="57"/>
  </w:num>
  <w:num w:numId="20" w16cid:durableId="1751268722">
    <w:abstractNumId w:val="20"/>
  </w:num>
  <w:num w:numId="21" w16cid:durableId="1367409255">
    <w:abstractNumId w:val="49"/>
  </w:num>
  <w:num w:numId="22" w16cid:durableId="1451558300">
    <w:abstractNumId w:val="29"/>
  </w:num>
  <w:num w:numId="23" w16cid:durableId="485560573">
    <w:abstractNumId w:val="50"/>
  </w:num>
  <w:num w:numId="24" w16cid:durableId="1681732541">
    <w:abstractNumId w:val="36"/>
  </w:num>
  <w:num w:numId="25" w16cid:durableId="369109045">
    <w:abstractNumId w:val="47"/>
  </w:num>
  <w:num w:numId="26" w16cid:durableId="674695822">
    <w:abstractNumId w:val="44"/>
  </w:num>
  <w:num w:numId="27" w16cid:durableId="1682970963">
    <w:abstractNumId w:val="41"/>
  </w:num>
  <w:num w:numId="28" w16cid:durableId="1134786172">
    <w:abstractNumId w:val="31"/>
  </w:num>
  <w:num w:numId="29" w16cid:durableId="645164617">
    <w:abstractNumId w:val="27"/>
  </w:num>
  <w:num w:numId="30" w16cid:durableId="490685053">
    <w:abstractNumId w:val="4"/>
  </w:num>
  <w:num w:numId="31" w16cid:durableId="1441758604">
    <w:abstractNumId w:val="55"/>
  </w:num>
  <w:num w:numId="32" w16cid:durableId="1379891683">
    <w:abstractNumId w:val="58"/>
  </w:num>
  <w:num w:numId="33" w16cid:durableId="1771899984">
    <w:abstractNumId w:val="1"/>
  </w:num>
  <w:num w:numId="34" w16cid:durableId="2068065402">
    <w:abstractNumId w:val="39"/>
  </w:num>
  <w:num w:numId="35" w16cid:durableId="784034441">
    <w:abstractNumId w:val="21"/>
  </w:num>
  <w:num w:numId="36" w16cid:durableId="494689621">
    <w:abstractNumId w:val="46"/>
  </w:num>
  <w:num w:numId="37" w16cid:durableId="916327812">
    <w:abstractNumId w:val="30"/>
  </w:num>
  <w:num w:numId="38" w16cid:durableId="491605732">
    <w:abstractNumId w:val="48"/>
  </w:num>
  <w:num w:numId="39" w16cid:durableId="1269964810">
    <w:abstractNumId w:val="54"/>
  </w:num>
  <w:num w:numId="40" w16cid:durableId="1078483116">
    <w:abstractNumId w:val="37"/>
  </w:num>
  <w:num w:numId="41" w16cid:durableId="1821265909">
    <w:abstractNumId w:val="42"/>
  </w:num>
  <w:num w:numId="42" w16cid:durableId="268700174">
    <w:abstractNumId w:val="32"/>
  </w:num>
  <w:num w:numId="43" w16cid:durableId="225843001">
    <w:abstractNumId w:val="56"/>
  </w:num>
  <w:num w:numId="44" w16cid:durableId="1018700352">
    <w:abstractNumId w:val="43"/>
  </w:num>
  <w:num w:numId="45" w16cid:durableId="840848840">
    <w:abstractNumId w:val="23"/>
  </w:num>
  <w:num w:numId="46" w16cid:durableId="1101485039">
    <w:abstractNumId w:val="9"/>
  </w:num>
  <w:num w:numId="47" w16cid:durableId="1393389060">
    <w:abstractNumId w:val="2"/>
  </w:num>
  <w:num w:numId="48" w16cid:durableId="330529162">
    <w:abstractNumId w:val="34"/>
  </w:num>
  <w:num w:numId="49" w16cid:durableId="2089493732">
    <w:abstractNumId w:val="33"/>
  </w:num>
  <w:num w:numId="50" w16cid:durableId="1082724346">
    <w:abstractNumId w:val="53"/>
  </w:num>
  <w:num w:numId="51" w16cid:durableId="381179934">
    <w:abstractNumId w:val="0"/>
  </w:num>
  <w:num w:numId="52" w16cid:durableId="265233492">
    <w:abstractNumId w:val="3"/>
  </w:num>
  <w:num w:numId="53" w16cid:durableId="4066153">
    <w:abstractNumId w:val="26"/>
  </w:num>
  <w:num w:numId="54" w16cid:durableId="125198651">
    <w:abstractNumId w:val="52"/>
  </w:num>
  <w:num w:numId="55" w16cid:durableId="2014915560">
    <w:abstractNumId w:val="12"/>
  </w:num>
  <w:num w:numId="56" w16cid:durableId="607740164">
    <w:abstractNumId w:val="18"/>
  </w:num>
  <w:num w:numId="57" w16cid:durableId="1888374751">
    <w:abstractNumId w:val="51"/>
  </w:num>
  <w:num w:numId="58" w16cid:durableId="1496460854">
    <w:abstractNumId w:val="8"/>
  </w:num>
  <w:num w:numId="59" w16cid:durableId="107965999">
    <w:abstractNumId w:val="35"/>
  </w:num>
  <w:num w:numId="60" w16cid:durableId="986252161">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activeWritingStyle w:lang="fr-FR" w:vendorID="64" w:dllVersion="6" w:nlCheck="1" w:checkStyle="0" w:appName="MSWord"/>
  <w:activeWritingStyle w:lang="en-US" w:vendorID="64" w:dllVersion="6" w:nlCheck="1" w:checkStyle="1" w:appName="MSWord"/>
  <w:activeWritingStyle w:lang="en-US" w:vendorID="64" w:dllVersion="0" w:nlCheck="1" w:checkStyle="0" w:appName="MSWord"/>
  <w:activeWritingStyle w:lang="fr-FR" w:vendorID="64" w:dllVersion="0" w:nlCheck="1" w:checkStyle="0"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D4"/>
    <w:rsid w:val="0000085E"/>
    <w:rsid w:val="00000E9D"/>
    <w:rsid w:val="00001783"/>
    <w:rsid w:val="00001799"/>
    <w:rsid w:val="00001B4B"/>
    <w:rsid w:val="00003FB3"/>
    <w:rsid w:val="0000435C"/>
    <w:rsid w:val="0001209C"/>
    <w:rsid w:val="00012761"/>
    <w:rsid w:val="000129A4"/>
    <w:rsid w:val="00012A14"/>
    <w:rsid w:val="00012A7C"/>
    <w:rsid w:val="00015137"/>
    <w:rsid w:val="000154B8"/>
    <w:rsid w:val="000157B8"/>
    <w:rsid w:val="00017BD8"/>
    <w:rsid w:val="00020FD9"/>
    <w:rsid w:val="00021D4F"/>
    <w:rsid w:val="00021E89"/>
    <w:rsid w:val="0002414D"/>
    <w:rsid w:val="000245BF"/>
    <w:rsid w:val="00025403"/>
    <w:rsid w:val="00025453"/>
    <w:rsid w:val="000312F1"/>
    <w:rsid w:val="00031A7A"/>
    <w:rsid w:val="00033E03"/>
    <w:rsid w:val="000348A7"/>
    <w:rsid w:val="0003553A"/>
    <w:rsid w:val="00035994"/>
    <w:rsid w:val="00036863"/>
    <w:rsid w:val="00041348"/>
    <w:rsid w:val="00041F28"/>
    <w:rsid w:val="0004215A"/>
    <w:rsid w:val="00042BE3"/>
    <w:rsid w:val="00043C4C"/>
    <w:rsid w:val="00045844"/>
    <w:rsid w:val="00045E55"/>
    <w:rsid w:val="00054315"/>
    <w:rsid w:val="00055280"/>
    <w:rsid w:val="000568AB"/>
    <w:rsid w:val="0005793A"/>
    <w:rsid w:val="00060945"/>
    <w:rsid w:val="00060AB1"/>
    <w:rsid w:val="00062095"/>
    <w:rsid w:val="00063B26"/>
    <w:rsid w:val="0006579D"/>
    <w:rsid w:val="00067C49"/>
    <w:rsid w:val="00070EDA"/>
    <w:rsid w:val="00072119"/>
    <w:rsid w:val="00072276"/>
    <w:rsid w:val="000722C2"/>
    <w:rsid w:val="000778EF"/>
    <w:rsid w:val="00086444"/>
    <w:rsid w:val="0008695B"/>
    <w:rsid w:val="00087B92"/>
    <w:rsid w:val="00087C56"/>
    <w:rsid w:val="0009246C"/>
    <w:rsid w:val="00092862"/>
    <w:rsid w:val="00094881"/>
    <w:rsid w:val="000958BB"/>
    <w:rsid w:val="000A15E9"/>
    <w:rsid w:val="000A1D5E"/>
    <w:rsid w:val="000A3861"/>
    <w:rsid w:val="000A39A5"/>
    <w:rsid w:val="000A7498"/>
    <w:rsid w:val="000A764E"/>
    <w:rsid w:val="000B1DD4"/>
    <w:rsid w:val="000B2868"/>
    <w:rsid w:val="000B2F84"/>
    <w:rsid w:val="000B50DD"/>
    <w:rsid w:val="000C0D5A"/>
    <w:rsid w:val="000C1621"/>
    <w:rsid w:val="000C20D9"/>
    <w:rsid w:val="000C266D"/>
    <w:rsid w:val="000C3CDB"/>
    <w:rsid w:val="000C481A"/>
    <w:rsid w:val="000C5DA5"/>
    <w:rsid w:val="000C6B61"/>
    <w:rsid w:val="000C7AC9"/>
    <w:rsid w:val="000D0093"/>
    <w:rsid w:val="000D14E6"/>
    <w:rsid w:val="000D2177"/>
    <w:rsid w:val="000D2884"/>
    <w:rsid w:val="000D308B"/>
    <w:rsid w:val="000D41D8"/>
    <w:rsid w:val="000D4FAA"/>
    <w:rsid w:val="000D617D"/>
    <w:rsid w:val="000D7C19"/>
    <w:rsid w:val="000E16E5"/>
    <w:rsid w:val="000E245B"/>
    <w:rsid w:val="000E2562"/>
    <w:rsid w:val="000E3CB8"/>
    <w:rsid w:val="000E442E"/>
    <w:rsid w:val="000E4538"/>
    <w:rsid w:val="000F0206"/>
    <w:rsid w:val="000F12F0"/>
    <w:rsid w:val="000F1BE6"/>
    <w:rsid w:val="000F4570"/>
    <w:rsid w:val="000F4C3D"/>
    <w:rsid w:val="000F56A5"/>
    <w:rsid w:val="000F5705"/>
    <w:rsid w:val="0010207C"/>
    <w:rsid w:val="0010531B"/>
    <w:rsid w:val="00105A8F"/>
    <w:rsid w:val="0011009F"/>
    <w:rsid w:val="001101FE"/>
    <w:rsid w:val="001107F0"/>
    <w:rsid w:val="00111F36"/>
    <w:rsid w:val="0011772B"/>
    <w:rsid w:val="00117FAD"/>
    <w:rsid w:val="0012084F"/>
    <w:rsid w:val="00120E0B"/>
    <w:rsid w:val="001221F4"/>
    <w:rsid w:val="00122EDB"/>
    <w:rsid w:val="0012515E"/>
    <w:rsid w:val="00126097"/>
    <w:rsid w:val="00127FA7"/>
    <w:rsid w:val="001300AF"/>
    <w:rsid w:val="001303DC"/>
    <w:rsid w:val="0013083A"/>
    <w:rsid w:val="00131CB4"/>
    <w:rsid w:val="00133146"/>
    <w:rsid w:val="0013342A"/>
    <w:rsid w:val="0013505D"/>
    <w:rsid w:val="00135D13"/>
    <w:rsid w:val="0013636B"/>
    <w:rsid w:val="00137387"/>
    <w:rsid w:val="00137BAD"/>
    <w:rsid w:val="001414A6"/>
    <w:rsid w:val="00142E1D"/>
    <w:rsid w:val="0014417D"/>
    <w:rsid w:val="0014557F"/>
    <w:rsid w:val="0014645B"/>
    <w:rsid w:val="0015225B"/>
    <w:rsid w:val="00152C84"/>
    <w:rsid w:val="00155013"/>
    <w:rsid w:val="00160AC7"/>
    <w:rsid w:val="00160D79"/>
    <w:rsid w:val="00163ED1"/>
    <w:rsid w:val="00165430"/>
    <w:rsid w:val="00165523"/>
    <w:rsid w:val="00166044"/>
    <w:rsid w:val="00166CAD"/>
    <w:rsid w:val="00166CCD"/>
    <w:rsid w:val="00167B68"/>
    <w:rsid w:val="00172206"/>
    <w:rsid w:val="001757CF"/>
    <w:rsid w:val="00175C98"/>
    <w:rsid w:val="001802FB"/>
    <w:rsid w:val="001804C8"/>
    <w:rsid w:val="00182338"/>
    <w:rsid w:val="00182D4D"/>
    <w:rsid w:val="0018671C"/>
    <w:rsid w:val="00187129"/>
    <w:rsid w:val="00191BA4"/>
    <w:rsid w:val="00191D6D"/>
    <w:rsid w:val="00192E74"/>
    <w:rsid w:val="001940C9"/>
    <w:rsid w:val="00194ED4"/>
    <w:rsid w:val="001962F6"/>
    <w:rsid w:val="001978E9"/>
    <w:rsid w:val="00197A30"/>
    <w:rsid w:val="001A0483"/>
    <w:rsid w:val="001A04A2"/>
    <w:rsid w:val="001A277C"/>
    <w:rsid w:val="001A2901"/>
    <w:rsid w:val="001A4534"/>
    <w:rsid w:val="001B0EDD"/>
    <w:rsid w:val="001B1381"/>
    <w:rsid w:val="001B39E3"/>
    <w:rsid w:val="001B7027"/>
    <w:rsid w:val="001B7F81"/>
    <w:rsid w:val="001B7F8C"/>
    <w:rsid w:val="001C03D4"/>
    <w:rsid w:val="001C0EE5"/>
    <w:rsid w:val="001C1E07"/>
    <w:rsid w:val="001C2EA2"/>
    <w:rsid w:val="001C338E"/>
    <w:rsid w:val="001C437D"/>
    <w:rsid w:val="001C51F2"/>
    <w:rsid w:val="001C52BD"/>
    <w:rsid w:val="001C601F"/>
    <w:rsid w:val="001C772D"/>
    <w:rsid w:val="001C78DC"/>
    <w:rsid w:val="001D0D27"/>
    <w:rsid w:val="001D2042"/>
    <w:rsid w:val="001D2A33"/>
    <w:rsid w:val="001D2E62"/>
    <w:rsid w:val="001D3840"/>
    <w:rsid w:val="001D41DF"/>
    <w:rsid w:val="001D4594"/>
    <w:rsid w:val="001D77A1"/>
    <w:rsid w:val="001E48AB"/>
    <w:rsid w:val="001E52C4"/>
    <w:rsid w:val="001E6525"/>
    <w:rsid w:val="001E66A0"/>
    <w:rsid w:val="001F0EF3"/>
    <w:rsid w:val="001F1FEB"/>
    <w:rsid w:val="001F3B18"/>
    <w:rsid w:val="001F54DA"/>
    <w:rsid w:val="001F54F2"/>
    <w:rsid w:val="001F5B5A"/>
    <w:rsid w:val="001F6B20"/>
    <w:rsid w:val="001F7D5B"/>
    <w:rsid w:val="002005A9"/>
    <w:rsid w:val="002005B0"/>
    <w:rsid w:val="00201CE8"/>
    <w:rsid w:val="00201DE0"/>
    <w:rsid w:val="00202A77"/>
    <w:rsid w:val="002058BC"/>
    <w:rsid w:val="00205C85"/>
    <w:rsid w:val="0020647A"/>
    <w:rsid w:val="002068F3"/>
    <w:rsid w:val="00206D7E"/>
    <w:rsid w:val="00211473"/>
    <w:rsid w:val="002143A4"/>
    <w:rsid w:val="002146EA"/>
    <w:rsid w:val="002168FB"/>
    <w:rsid w:val="00217D93"/>
    <w:rsid w:val="00217ECE"/>
    <w:rsid w:val="00217F25"/>
    <w:rsid w:val="00220227"/>
    <w:rsid w:val="0022079D"/>
    <w:rsid w:val="00222270"/>
    <w:rsid w:val="00224126"/>
    <w:rsid w:val="00226A20"/>
    <w:rsid w:val="00232A2D"/>
    <w:rsid w:val="00233ED1"/>
    <w:rsid w:val="00235374"/>
    <w:rsid w:val="0023561C"/>
    <w:rsid w:val="00240103"/>
    <w:rsid w:val="002403F4"/>
    <w:rsid w:val="00240ABB"/>
    <w:rsid w:val="00240B7B"/>
    <w:rsid w:val="00240CFF"/>
    <w:rsid w:val="00241A9F"/>
    <w:rsid w:val="00241E02"/>
    <w:rsid w:val="00242B40"/>
    <w:rsid w:val="00243579"/>
    <w:rsid w:val="00244F35"/>
    <w:rsid w:val="002507A1"/>
    <w:rsid w:val="002524CD"/>
    <w:rsid w:val="00257D74"/>
    <w:rsid w:val="00260D18"/>
    <w:rsid w:val="00261060"/>
    <w:rsid w:val="00262FDD"/>
    <w:rsid w:val="00263ED8"/>
    <w:rsid w:val="00264F0C"/>
    <w:rsid w:val="002674F7"/>
    <w:rsid w:val="00271815"/>
    <w:rsid w:val="00271D61"/>
    <w:rsid w:val="00272D6A"/>
    <w:rsid w:val="0027320E"/>
    <w:rsid w:val="00276D35"/>
    <w:rsid w:val="002834CC"/>
    <w:rsid w:val="0028729F"/>
    <w:rsid w:val="00290D1C"/>
    <w:rsid w:val="00291585"/>
    <w:rsid w:val="002916B9"/>
    <w:rsid w:val="0029415B"/>
    <w:rsid w:val="00294185"/>
    <w:rsid w:val="00295F0C"/>
    <w:rsid w:val="00296486"/>
    <w:rsid w:val="00296932"/>
    <w:rsid w:val="002972EC"/>
    <w:rsid w:val="00297E47"/>
    <w:rsid w:val="002A1B9F"/>
    <w:rsid w:val="002A1CA7"/>
    <w:rsid w:val="002A42BC"/>
    <w:rsid w:val="002A5801"/>
    <w:rsid w:val="002A6541"/>
    <w:rsid w:val="002A7551"/>
    <w:rsid w:val="002A780F"/>
    <w:rsid w:val="002B10CB"/>
    <w:rsid w:val="002B1129"/>
    <w:rsid w:val="002B14B1"/>
    <w:rsid w:val="002B1DE2"/>
    <w:rsid w:val="002B2C7F"/>
    <w:rsid w:val="002B39DF"/>
    <w:rsid w:val="002B40BF"/>
    <w:rsid w:val="002B5C8B"/>
    <w:rsid w:val="002C0383"/>
    <w:rsid w:val="002C0B64"/>
    <w:rsid w:val="002C2A86"/>
    <w:rsid w:val="002C2D33"/>
    <w:rsid w:val="002C3426"/>
    <w:rsid w:val="002C4E2F"/>
    <w:rsid w:val="002C535F"/>
    <w:rsid w:val="002C6C62"/>
    <w:rsid w:val="002C702D"/>
    <w:rsid w:val="002D1754"/>
    <w:rsid w:val="002D1CE3"/>
    <w:rsid w:val="002D2D7A"/>
    <w:rsid w:val="002D36D9"/>
    <w:rsid w:val="002D6BBD"/>
    <w:rsid w:val="002D7374"/>
    <w:rsid w:val="002E0040"/>
    <w:rsid w:val="002E03A3"/>
    <w:rsid w:val="002E1235"/>
    <w:rsid w:val="002E2AAD"/>
    <w:rsid w:val="002E3FE7"/>
    <w:rsid w:val="002E4439"/>
    <w:rsid w:val="002E5063"/>
    <w:rsid w:val="002E660D"/>
    <w:rsid w:val="002E6BC1"/>
    <w:rsid w:val="002F1E40"/>
    <w:rsid w:val="002F2B07"/>
    <w:rsid w:val="002F2F4E"/>
    <w:rsid w:val="002F3392"/>
    <w:rsid w:val="003005D2"/>
    <w:rsid w:val="00300C11"/>
    <w:rsid w:val="00302305"/>
    <w:rsid w:val="00302FF4"/>
    <w:rsid w:val="003068EE"/>
    <w:rsid w:val="00307374"/>
    <w:rsid w:val="00313510"/>
    <w:rsid w:val="00313E71"/>
    <w:rsid w:val="00314AF3"/>
    <w:rsid w:val="00314C23"/>
    <w:rsid w:val="003153A5"/>
    <w:rsid w:val="00316AAD"/>
    <w:rsid w:val="00317793"/>
    <w:rsid w:val="0032033D"/>
    <w:rsid w:val="003210DA"/>
    <w:rsid w:val="00321BD5"/>
    <w:rsid w:val="00323F7D"/>
    <w:rsid w:val="00324B61"/>
    <w:rsid w:val="0032703F"/>
    <w:rsid w:val="00327DB7"/>
    <w:rsid w:val="003311DD"/>
    <w:rsid w:val="003326D4"/>
    <w:rsid w:val="00333A8A"/>
    <w:rsid w:val="00336ABE"/>
    <w:rsid w:val="00336C5E"/>
    <w:rsid w:val="0034068F"/>
    <w:rsid w:val="00345931"/>
    <w:rsid w:val="00346F9E"/>
    <w:rsid w:val="00347D13"/>
    <w:rsid w:val="003504D4"/>
    <w:rsid w:val="00352F79"/>
    <w:rsid w:val="00353C62"/>
    <w:rsid w:val="00353C9D"/>
    <w:rsid w:val="00355C0A"/>
    <w:rsid w:val="00357BF6"/>
    <w:rsid w:val="00360AFB"/>
    <w:rsid w:val="00361EF5"/>
    <w:rsid w:val="00363A58"/>
    <w:rsid w:val="003643CD"/>
    <w:rsid w:val="0036642E"/>
    <w:rsid w:val="003665C9"/>
    <w:rsid w:val="0036677F"/>
    <w:rsid w:val="00366BB3"/>
    <w:rsid w:val="003714B3"/>
    <w:rsid w:val="00372A79"/>
    <w:rsid w:val="00374453"/>
    <w:rsid w:val="00374FDE"/>
    <w:rsid w:val="00375EC9"/>
    <w:rsid w:val="00375F9B"/>
    <w:rsid w:val="00377FE0"/>
    <w:rsid w:val="00385130"/>
    <w:rsid w:val="003852A7"/>
    <w:rsid w:val="00386CD2"/>
    <w:rsid w:val="00387631"/>
    <w:rsid w:val="00391CF8"/>
    <w:rsid w:val="003930A1"/>
    <w:rsid w:val="003939FB"/>
    <w:rsid w:val="00395E1E"/>
    <w:rsid w:val="00397D26"/>
    <w:rsid w:val="003A243A"/>
    <w:rsid w:val="003A635F"/>
    <w:rsid w:val="003A73C0"/>
    <w:rsid w:val="003B04A0"/>
    <w:rsid w:val="003B0EF0"/>
    <w:rsid w:val="003B2F1A"/>
    <w:rsid w:val="003B5C9C"/>
    <w:rsid w:val="003B6282"/>
    <w:rsid w:val="003B62BA"/>
    <w:rsid w:val="003B7637"/>
    <w:rsid w:val="003C0813"/>
    <w:rsid w:val="003C0D37"/>
    <w:rsid w:val="003C4510"/>
    <w:rsid w:val="003C628E"/>
    <w:rsid w:val="003C629D"/>
    <w:rsid w:val="003D0067"/>
    <w:rsid w:val="003D01A1"/>
    <w:rsid w:val="003D0D86"/>
    <w:rsid w:val="003D199A"/>
    <w:rsid w:val="003D2289"/>
    <w:rsid w:val="003D3619"/>
    <w:rsid w:val="003D480B"/>
    <w:rsid w:val="003D4B2B"/>
    <w:rsid w:val="003D725B"/>
    <w:rsid w:val="003D7FE7"/>
    <w:rsid w:val="003E150B"/>
    <w:rsid w:val="003E43BC"/>
    <w:rsid w:val="003E4809"/>
    <w:rsid w:val="003E48FA"/>
    <w:rsid w:val="003E7131"/>
    <w:rsid w:val="003E7C23"/>
    <w:rsid w:val="003F2071"/>
    <w:rsid w:val="003F2170"/>
    <w:rsid w:val="003F29CD"/>
    <w:rsid w:val="003F46E1"/>
    <w:rsid w:val="003F6968"/>
    <w:rsid w:val="003F69DE"/>
    <w:rsid w:val="004004F3"/>
    <w:rsid w:val="004006E2"/>
    <w:rsid w:val="004007B8"/>
    <w:rsid w:val="00403B51"/>
    <w:rsid w:val="00403B96"/>
    <w:rsid w:val="00403CC6"/>
    <w:rsid w:val="00404F12"/>
    <w:rsid w:val="0040633C"/>
    <w:rsid w:val="00406725"/>
    <w:rsid w:val="0040799E"/>
    <w:rsid w:val="00412C4C"/>
    <w:rsid w:val="00412C65"/>
    <w:rsid w:val="004141DA"/>
    <w:rsid w:val="00416116"/>
    <w:rsid w:val="00417439"/>
    <w:rsid w:val="00420FF3"/>
    <w:rsid w:val="00422DCC"/>
    <w:rsid w:val="00424A14"/>
    <w:rsid w:val="004350D2"/>
    <w:rsid w:val="004353C6"/>
    <w:rsid w:val="00436831"/>
    <w:rsid w:val="00440235"/>
    <w:rsid w:val="00441CBB"/>
    <w:rsid w:val="0044210B"/>
    <w:rsid w:val="0044344D"/>
    <w:rsid w:val="004435F0"/>
    <w:rsid w:val="00444E72"/>
    <w:rsid w:val="004459F0"/>
    <w:rsid w:val="00445BBF"/>
    <w:rsid w:val="00445DF3"/>
    <w:rsid w:val="00446838"/>
    <w:rsid w:val="004476E9"/>
    <w:rsid w:val="00447E5A"/>
    <w:rsid w:val="00447F3D"/>
    <w:rsid w:val="0045259D"/>
    <w:rsid w:val="00452BDA"/>
    <w:rsid w:val="00452EA8"/>
    <w:rsid w:val="00453B48"/>
    <w:rsid w:val="00454870"/>
    <w:rsid w:val="00455100"/>
    <w:rsid w:val="00456C67"/>
    <w:rsid w:val="00457EEC"/>
    <w:rsid w:val="004607BA"/>
    <w:rsid w:val="00461A87"/>
    <w:rsid w:val="00462456"/>
    <w:rsid w:val="00463BF4"/>
    <w:rsid w:val="00465E30"/>
    <w:rsid w:val="00466147"/>
    <w:rsid w:val="004677A4"/>
    <w:rsid w:val="00467804"/>
    <w:rsid w:val="00470625"/>
    <w:rsid w:val="004716FA"/>
    <w:rsid w:val="0047170E"/>
    <w:rsid w:val="004720C7"/>
    <w:rsid w:val="00472304"/>
    <w:rsid w:val="00472F2D"/>
    <w:rsid w:val="0047427E"/>
    <w:rsid w:val="00475357"/>
    <w:rsid w:val="00476883"/>
    <w:rsid w:val="00476943"/>
    <w:rsid w:val="004807B3"/>
    <w:rsid w:val="004809CE"/>
    <w:rsid w:val="0048303C"/>
    <w:rsid w:val="0048384E"/>
    <w:rsid w:val="00483A24"/>
    <w:rsid w:val="00483BEF"/>
    <w:rsid w:val="00484474"/>
    <w:rsid w:val="00484947"/>
    <w:rsid w:val="0048553F"/>
    <w:rsid w:val="004857D4"/>
    <w:rsid w:val="00485C90"/>
    <w:rsid w:val="00485D18"/>
    <w:rsid w:val="004868F2"/>
    <w:rsid w:val="00491276"/>
    <w:rsid w:val="00491D1D"/>
    <w:rsid w:val="00491F02"/>
    <w:rsid w:val="0049420E"/>
    <w:rsid w:val="00494F6F"/>
    <w:rsid w:val="00497217"/>
    <w:rsid w:val="004A01F7"/>
    <w:rsid w:val="004A210E"/>
    <w:rsid w:val="004A36DD"/>
    <w:rsid w:val="004A3BDB"/>
    <w:rsid w:val="004A79F2"/>
    <w:rsid w:val="004B34E2"/>
    <w:rsid w:val="004B488D"/>
    <w:rsid w:val="004B5219"/>
    <w:rsid w:val="004B643B"/>
    <w:rsid w:val="004B68F3"/>
    <w:rsid w:val="004B77E9"/>
    <w:rsid w:val="004B7BFA"/>
    <w:rsid w:val="004C1890"/>
    <w:rsid w:val="004C230E"/>
    <w:rsid w:val="004C3CA1"/>
    <w:rsid w:val="004C3DC7"/>
    <w:rsid w:val="004C402A"/>
    <w:rsid w:val="004C4111"/>
    <w:rsid w:val="004C5182"/>
    <w:rsid w:val="004C5FED"/>
    <w:rsid w:val="004C6B80"/>
    <w:rsid w:val="004C7566"/>
    <w:rsid w:val="004C7650"/>
    <w:rsid w:val="004D0B9B"/>
    <w:rsid w:val="004D1D15"/>
    <w:rsid w:val="004D5232"/>
    <w:rsid w:val="004D56B9"/>
    <w:rsid w:val="004D669D"/>
    <w:rsid w:val="004D6EB5"/>
    <w:rsid w:val="004D7031"/>
    <w:rsid w:val="004E11E3"/>
    <w:rsid w:val="004E243A"/>
    <w:rsid w:val="004E28D0"/>
    <w:rsid w:val="004E294A"/>
    <w:rsid w:val="004E3C46"/>
    <w:rsid w:val="004E5392"/>
    <w:rsid w:val="004E7017"/>
    <w:rsid w:val="004E720E"/>
    <w:rsid w:val="004F0724"/>
    <w:rsid w:val="004F0B7C"/>
    <w:rsid w:val="004F0CAD"/>
    <w:rsid w:val="004F3495"/>
    <w:rsid w:val="004F3547"/>
    <w:rsid w:val="004F5F27"/>
    <w:rsid w:val="004F7BC1"/>
    <w:rsid w:val="00500B06"/>
    <w:rsid w:val="00501B23"/>
    <w:rsid w:val="00502207"/>
    <w:rsid w:val="0050382A"/>
    <w:rsid w:val="00505502"/>
    <w:rsid w:val="00505B53"/>
    <w:rsid w:val="005142AA"/>
    <w:rsid w:val="00516DEB"/>
    <w:rsid w:val="00516E26"/>
    <w:rsid w:val="005173FD"/>
    <w:rsid w:val="005178CB"/>
    <w:rsid w:val="00520943"/>
    <w:rsid w:val="00521421"/>
    <w:rsid w:val="00522921"/>
    <w:rsid w:val="0052433D"/>
    <w:rsid w:val="005276E3"/>
    <w:rsid w:val="0053349F"/>
    <w:rsid w:val="00533865"/>
    <w:rsid w:val="00533DC6"/>
    <w:rsid w:val="00534F26"/>
    <w:rsid w:val="00537DC7"/>
    <w:rsid w:val="0054055F"/>
    <w:rsid w:val="0054163A"/>
    <w:rsid w:val="00542F00"/>
    <w:rsid w:val="005446FB"/>
    <w:rsid w:val="0054709F"/>
    <w:rsid w:val="0055025F"/>
    <w:rsid w:val="0055063B"/>
    <w:rsid w:val="00552BF7"/>
    <w:rsid w:val="00552F4B"/>
    <w:rsid w:val="005556C1"/>
    <w:rsid w:val="0055673F"/>
    <w:rsid w:val="0055704C"/>
    <w:rsid w:val="00557ED3"/>
    <w:rsid w:val="005612E3"/>
    <w:rsid w:val="0056297F"/>
    <w:rsid w:val="00564DE3"/>
    <w:rsid w:val="00565835"/>
    <w:rsid w:val="005659E5"/>
    <w:rsid w:val="00566C86"/>
    <w:rsid w:val="005742DC"/>
    <w:rsid w:val="005747DA"/>
    <w:rsid w:val="0057614B"/>
    <w:rsid w:val="00576904"/>
    <w:rsid w:val="00576DDF"/>
    <w:rsid w:val="00580CE5"/>
    <w:rsid w:val="00582201"/>
    <w:rsid w:val="005829CD"/>
    <w:rsid w:val="00583E3C"/>
    <w:rsid w:val="00585A3B"/>
    <w:rsid w:val="005921A4"/>
    <w:rsid w:val="00592ECB"/>
    <w:rsid w:val="00594D05"/>
    <w:rsid w:val="00595756"/>
    <w:rsid w:val="0059662F"/>
    <w:rsid w:val="00596A2D"/>
    <w:rsid w:val="00597471"/>
    <w:rsid w:val="00597515"/>
    <w:rsid w:val="00597F0F"/>
    <w:rsid w:val="005A0A0E"/>
    <w:rsid w:val="005A0E65"/>
    <w:rsid w:val="005A14E8"/>
    <w:rsid w:val="005A16A7"/>
    <w:rsid w:val="005A59C9"/>
    <w:rsid w:val="005B0C03"/>
    <w:rsid w:val="005B19C2"/>
    <w:rsid w:val="005B1EC0"/>
    <w:rsid w:val="005B2E26"/>
    <w:rsid w:val="005B319A"/>
    <w:rsid w:val="005B3C50"/>
    <w:rsid w:val="005B4D65"/>
    <w:rsid w:val="005B4ECE"/>
    <w:rsid w:val="005B59F8"/>
    <w:rsid w:val="005B6EB5"/>
    <w:rsid w:val="005B7128"/>
    <w:rsid w:val="005C200E"/>
    <w:rsid w:val="005C398D"/>
    <w:rsid w:val="005C4E96"/>
    <w:rsid w:val="005C58B6"/>
    <w:rsid w:val="005C6007"/>
    <w:rsid w:val="005C62C2"/>
    <w:rsid w:val="005C6468"/>
    <w:rsid w:val="005C67DC"/>
    <w:rsid w:val="005C7A46"/>
    <w:rsid w:val="005C7CD8"/>
    <w:rsid w:val="005D0A82"/>
    <w:rsid w:val="005D20FF"/>
    <w:rsid w:val="005D2EA0"/>
    <w:rsid w:val="005D58D2"/>
    <w:rsid w:val="005D60BA"/>
    <w:rsid w:val="005D6B39"/>
    <w:rsid w:val="005E0B9F"/>
    <w:rsid w:val="005E1356"/>
    <w:rsid w:val="005E2EA5"/>
    <w:rsid w:val="005E30EC"/>
    <w:rsid w:val="005E46F4"/>
    <w:rsid w:val="005E5100"/>
    <w:rsid w:val="005E561D"/>
    <w:rsid w:val="005E6173"/>
    <w:rsid w:val="005E61BA"/>
    <w:rsid w:val="005F1E18"/>
    <w:rsid w:val="005F2151"/>
    <w:rsid w:val="005F3661"/>
    <w:rsid w:val="005F483C"/>
    <w:rsid w:val="005F610A"/>
    <w:rsid w:val="005F6606"/>
    <w:rsid w:val="005F676B"/>
    <w:rsid w:val="005F6786"/>
    <w:rsid w:val="0060244E"/>
    <w:rsid w:val="00602898"/>
    <w:rsid w:val="00603274"/>
    <w:rsid w:val="00603521"/>
    <w:rsid w:val="006043E7"/>
    <w:rsid w:val="00605035"/>
    <w:rsid w:val="00605484"/>
    <w:rsid w:val="0060640E"/>
    <w:rsid w:val="00607937"/>
    <w:rsid w:val="006103A7"/>
    <w:rsid w:val="0061058D"/>
    <w:rsid w:val="0061199A"/>
    <w:rsid w:val="00612AB0"/>
    <w:rsid w:val="00613C0E"/>
    <w:rsid w:val="0061405B"/>
    <w:rsid w:val="0061533C"/>
    <w:rsid w:val="0061533D"/>
    <w:rsid w:val="00615F59"/>
    <w:rsid w:val="00620855"/>
    <w:rsid w:val="00621491"/>
    <w:rsid w:val="00621B63"/>
    <w:rsid w:val="00623685"/>
    <w:rsid w:val="0062525D"/>
    <w:rsid w:val="00625A63"/>
    <w:rsid w:val="00627ED4"/>
    <w:rsid w:val="00632735"/>
    <w:rsid w:val="0063406C"/>
    <w:rsid w:val="00634430"/>
    <w:rsid w:val="00634AFC"/>
    <w:rsid w:val="00634DAB"/>
    <w:rsid w:val="00635511"/>
    <w:rsid w:val="006355CF"/>
    <w:rsid w:val="006373D7"/>
    <w:rsid w:val="006376DD"/>
    <w:rsid w:val="00640EA3"/>
    <w:rsid w:val="006412B9"/>
    <w:rsid w:val="006413D0"/>
    <w:rsid w:val="0064245B"/>
    <w:rsid w:val="0064278D"/>
    <w:rsid w:val="006436AE"/>
    <w:rsid w:val="006441CC"/>
    <w:rsid w:val="006445F6"/>
    <w:rsid w:val="006452E8"/>
    <w:rsid w:val="0064556C"/>
    <w:rsid w:val="00647F98"/>
    <w:rsid w:val="00650ECA"/>
    <w:rsid w:val="006528B5"/>
    <w:rsid w:val="00653C5C"/>
    <w:rsid w:val="00654925"/>
    <w:rsid w:val="00655598"/>
    <w:rsid w:val="00656ED5"/>
    <w:rsid w:val="0065783D"/>
    <w:rsid w:val="006609ED"/>
    <w:rsid w:val="0066394B"/>
    <w:rsid w:val="0066408B"/>
    <w:rsid w:val="0066473C"/>
    <w:rsid w:val="00666B8A"/>
    <w:rsid w:val="00667A2C"/>
    <w:rsid w:val="00667E92"/>
    <w:rsid w:val="0067146B"/>
    <w:rsid w:val="00672707"/>
    <w:rsid w:val="00673365"/>
    <w:rsid w:val="00673634"/>
    <w:rsid w:val="006776A0"/>
    <w:rsid w:val="00680211"/>
    <w:rsid w:val="00680A0B"/>
    <w:rsid w:val="00680FD3"/>
    <w:rsid w:val="006818B0"/>
    <w:rsid w:val="0068224E"/>
    <w:rsid w:val="00682AB7"/>
    <w:rsid w:val="00685FE5"/>
    <w:rsid w:val="00686076"/>
    <w:rsid w:val="006860D3"/>
    <w:rsid w:val="00693224"/>
    <w:rsid w:val="0069365E"/>
    <w:rsid w:val="006937EA"/>
    <w:rsid w:val="00693A7C"/>
    <w:rsid w:val="00696F70"/>
    <w:rsid w:val="006979EF"/>
    <w:rsid w:val="006A034F"/>
    <w:rsid w:val="006A0B8D"/>
    <w:rsid w:val="006A2077"/>
    <w:rsid w:val="006A309F"/>
    <w:rsid w:val="006A6146"/>
    <w:rsid w:val="006A690B"/>
    <w:rsid w:val="006A71D6"/>
    <w:rsid w:val="006A7902"/>
    <w:rsid w:val="006B0671"/>
    <w:rsid w:val="006B0A1A"/>
    <w:rsid w:val="006B3611"/>
    <w:rsid w:val="006B38CA"/>
    <w:rsid w:val="006B396C"/>
    <w:rsid w:val="006B48B2"/>
    <w:rsid w:val="006B4D93"/>
    <w:rsid w:val="006B6394"/>
    <w:rsid w:val="006B6D25"/>
    <w:rsid w:val="006B7299"/>
    <w:rsid w:val="006C2675"/>
    <w:rsid w:val="006C2690"/>
    <w:rsid w:val="006C3864"/>
    <w:rsid w:val="006C3DFB"/>
    <w:rsid w:val="006C4465"/>
    <w:rsid w:val="006C50E7"/>
    <w:rsid w:val="006C595E"/>
    <w:rsid w:val="006C5D5F"/>
    <w:rsid w:val="006C7A9C"/>
    <w:rsid w:val="006D0122"/>
    <w:rsid w:val="006D060D"/>
    <w:rsid w:val="006D07C8"/>
    <w:rsid w:val="006D1FC6"/>
    <w:rsid w:val="006D285A"/>
    <w:rsid w:val="006D4A03"/>
    <w:rsid w:val="006D5DEC"/>
    <w:rsid w:val="006D5FDA"/>
    <w:rsid w:val="006D683B"/>
    <w:rsid w:val="006D6C41"/>
    <w:rsid w:val="006D7A97"/>
    <w:rsid w:val="006E54BC"/>
    <w:rsid w:val="006E5CBA"/>
    <w:rsid w:val="006E74FD"/>
    <w:rsid w:val="006F1FC8"/>
    <w:rsid w:val="006F27D6"/>
    <w:rsid w:val="006F29BF"/>
    <w:rsid w:val="006F336B"/>
    <w:rsid w:val="006F4124"/>
    <w:rsid w:val="006F69BA"/>
    <w:rsid w:val="007055BB"/>
    <w:rsid w:val="007068C7"/>
    <w:rsid w:val="0070696A"/>
    <w:rsid w:val="00706AE2"/>
    <w:rsid w:val="0070722D"/>
    <w:rsid w:val="007101FD"/>
    <w:rsid w:val="00711C7F"/>
    <w:rsid w:val="007163C6"/>
    <w:rsid w:val="00720BE0"/>
    <w:rsid w:val="0072354E"/>
    <w:rsid w:val="0073138C"/>
    <w:rsid w:val="00731481"/>
    <w:rsid w:val="007370C3"/>
    <w:rsid w:val="00740CD4"/>
    <w:rsid w:val="0074181B"/>
    <w:rsid w:val="00741824"/>
    <w:rsid w:val="00741DAA"/>
    <w:rsid w:val="00741E01"/>
    <w:rsid w:val="00743885"/>
    <w:rsid w:val="007452CE"/>
    <w:rsid w:val="007453E9"/>
    <w:rsid w:val="00747242"/>
    <w:rsid w:val="0075175B"/>
    <w:rsid w:val="00751A75"/>
    <w:rsid w:val="00752D06"/>
    <w:rsid w:val="00753962"/>
    <w:rsid w:val="00755111"/>
    <w:rsid w:val="0075577A"/>
    <w:rsid w:val="0075639F"/>
    <w:rsid w:val="007574C1"/>
    <w:rsid w:val="00757C13"/>
    <w:rsid w:val="007618C1"/>
    <w:rsid w:val="00762654"/>
    <w:rsid w:val="00763341"/>
    <w:rsid w:val="00764408"/>
    <w:rsid w:val="00767046"/>
    <w:rsid w:val="007675B2"/>
    <w:rsid w:val="007700DA"/>
    <w:rsid w:val="00770443"/>
    <w:rsid w:val="0077070F"/>
    <w:rsid w:val="007708B5"/>
    <w:rsid w:val="007713CF"/>
    <w:rsid w:val="00771D2E"/>
    <w:rsid w:val="0077490A"/>
    <w:rsid w:val="00774A56"/>
    <w:rsid w:val="007767AA"/>
    <w:rsid w:val="00781875"/>
    <w:rsid w:val="00782AEC"/>
    <w:rsid w:val="00783456"/>
    <w:rsid w:val="0078493C"/>
    <w:rsid w:val="00784FDE"/>
    <w:rsid w:val="007870B1"/>
    <w:rsid w:val="00787604"/>
    <w:rsid w:val="00791CEC"/>
    <w:rsid w:val="00791DCD"/>
    <w:rsid w:val="0079202A"/>
    <w:rsid w:val="0079214D"/>
    <w:rsid w:val="00794538"/>
    <w:rsid w:val="007958C6"/>
    <w:rsid w:val="00797151"/>
    <w:rsid w:val="007A081A"/>
    <w:rsid w:val="007A0FB9"/>
    <w:rsid w:val="007A18F6"/>
    <w:rsid w:val="007A24FD"/>
    <w:rsid w:val="007A3274"/>
    <w:rsid w:val="007A4136"/>
    <w:rsid w:val="007A41FC"/>
    <w:rsid w:val="007A441E"/>
    <w:rsid w:val="007A4420"/>
    <w:rsid w:val="007A5683"/>
    <w:rsid w:val="007A6C23"/>
    <w:rsid w:val="007B006D"/>
    <w:rsid w:val="007B04BB"/>
    <w:rsid w:val="007B182E"/>
    <w:rsid w:val="007B1FA8"/>
    <w:rsid w:val="007B62D1"/>
    <w:rsid w:val="007B7D2E"/>
    <w:rsid w:val="007C066E"/>
    <w:rsid w:val="007C0DFD"/>
    <w:rsid w:val="007C1B11"/>
    <w:rsid w:val="007C1CB2"/>
    <w:rsid w:val="007C4847"/>
    <w:rsid w:val="007D22E9"/>
    <w:rsid w:val="007D418E"/>
    <w:rsid w:val="007D41D9"/>
    <w:rsid w:val="007D6F36"/>
    <w:rsid w:val="007D76E1"/>
    <w:rsid w:val="007E1155"/>
    <w:rsid w:val="007E2ADE"/>
    <w:rsid w:val="007E33A4"/>
    <w:rsid w:val="007E442F"/>
    <w:rsid w:val="007E504F"/>
    <w:rsid w:val="007E5571"/>
    <w:rsid w:val="007E657F"/>
    <w:rsid w:val="007E6DDB"/>
    <w:rsid w:val="007E7BC7"/>
    <w:rsid w:val="007F0151"/>
    <w:rsid w:val="007F028F"/>
    <w:rsid w:val="007F0B1B"/>
    <w:rsid w:val="007F1736"/>
    <w:rsid w:val="007F4086"/>
    <w:rsid w:val="007F487B"/>
    <w:rsid w:val="007F7533"/>
    <w:rsid w:val="008019CE"/>
    <w:rsid w:val="0080220E"/>
    <w:rsid w:val="0080312A"/>
    <w:rsid w:val="008032CF"/>
    <w:rsid w:val="00803AB5"/>
    <w:rsid w:val="00805DAA"/>
    <w:rsid w:val="008069EE"/>
    <w:rsid w:val="00810620"/>
    <w:rsid w:val="00811405"/>
    <w:rsid w:val="0081148E"/>
    <w:rsid w:val="00812F1B"/>
    <w:rsid w:val="00813AE2"/>
    <w:rsid w:val="0081746E"/>
    <w:rsid w:val="0082037E"/>
    <w:rsid w:val="00820435"/>
    <w:rsid w:val="00820A33"/>
    <w:rsid w:val="00822EE0"/>
    <w:rsid w:val="00823CE8"/>
    <w:rsid w:val="0082513C"/>
    <w:rsid w:val="00826272"/>
    <w:rsid w:val="00827549"/>
    <w:rsid w:val="00831A21"/>
    <w:rsid w:val="008323D3"/>
    <w:rsid w:val="00832F25"/>
    <w:rsid w:val="00833118"/>
    <w:rsid w:val="00834E89"/>
    <w:rsid w:val="0083582A"/>
    <w:rsid w:val="00836F74"/>
    <w:rsid w:val="0083768A"/>
    <w:rsid w:val="00842355"/>
    <w:rsid w:val="0084235A"/>
    <w:rsid w:val="008428ED"/>
    <w:rsid w:val="00842E60"/>
    <w:rsid w:val="00844D72"/>
    <w:rsid w:val="00850B1C"/>
    <w:rsid w:val="008527AD"/>
    <w:rsid w:val="00854733"/>
    <w:rsid w:val="0086013C"/>
    <w:rsid w:val="00861B7F"/>
    <w:rsid w:val="00862C0A"/>
    <w:rsid w:val="00862E23"/>
    <w:rsid w:val="00865455"/>
    <w:rsid w:val="00865918"/>
    <w:rsid w:val="008662B6"/>
    <w:rsid w:val="00867A93"/>
    <w:rsid w:val="00870580"/>
    <w:rsid w:val="008709BE"/>
    <w:rsid w:val="008710B4"/>
    <w:rsid w:val="008713EE"/>
    <w:rsid w:val="00871FC6"/>
    <w:rsid w:val="00876856"/>
    <w:rsid w:val="00881044"/>
    <w:rsid w:val="0088116F"/>
    <w:rsid w:val="00881580"/>
    <w:rsid w:val="00881F4A"/>
    <w:rsid w:val="00884B6A"/>
    <w:rsid w:val="008865F7"/>
    <w:rsid w:val="008868B1"/>
    <w:rsid w:val="00890A35"/>
    <w:rsid w:val="00891035"/>
    <w:rsid w:val="00893398"/>
    <w:rsid w:val="0089371B"/>
    <w:rsid w:val="008A0267"/>
    <w:rsid w:val="008A0EFD"/>
    <w:rsid w:val="008A4E13"/>
    <w:rsid w:val="008A5151"/>
    <w:rsid w:val="008A5EAE"/>
    <w:rsid w:val="008A68A5"/>
    <w:rsid w:val="008B0007"/>
    <w:rsid w:val="008B1636"/>
    <w:rsid w:val="008B1D37"/>
    <w:rsid w:val="008B1EE6"/>
    <w:rsid w:val="008B21BE"/>
    <w:rsid w:val="008B3E3B"/>
    <w:rsid w:val="008B4226"/>
    <w:rsid w:val="008B4E94"/>
    <w:rsid w:val="008B58D6"/>
    <w:rsid w:val="008B5AA7"/>
    <w:rsid w:val="008B5C91"/>
    <w:rsid w:val="008B6BC7"/>
    <w:rsid w:val="008B749E"/>
    <w:rsid w:val="008B788B"/>
    <w:rsid w:val="008B7EF8"/>
    <w:rsid w:val="008C11EF"/>
    <w:rsid w:val="008C2117"/>
    <w:rsid w:val="008C5011"/>
    <w:rsid w:val="008C6CD7"/>
    <w:rsid w:val="008C76EB"/>
    <w:rsid w:val="008C7D90"/>
    <w:rsid w:val="008D03FD"/>
    <w:rsid w:val="008D12DE"/>
    <w:rsid w:val="008D1DC4"/>
    <w:rsid w:val="008D27B1"/>
    <w:rsid w:val="008D53BE"/>
    <w:rsid w:val="008E0E70"/>
    <w:rsid w:val="008E0ECF"/>
    <w:rsid w:val="008E40DB"/>
    <w:rsid w:val="008E4DE3"/>
    <w:rsid w:val="008E5749"/>
    <w:rsid w:val="008E64BF"/>
    <w:rsid w:val="008E6511"/>
    <w:rsid w:val="008E69B1"/>
    <w:rsid w:val="008F0F4E"/>
    <w:rsid w:val="008F131E"/>
    <w:rsid w:val="008F1431"/>
    <w:rsid w:val="008F214A"/>
    <w:rsid w:val="008F2278"/>
    <w:rsid w:val="008F2BC8"/>
    <w:rsid w:val="008F34BD"/>
    <w:rsid w:val="008F437D"/>
    <w:rsid w:val="008F51C4"/>
    <w:rsid w:val="008F676D"/>
    <w:rsid w:val="008F6D8A"/>
    <w:rsid w:val="008F7709"/>
    <w:rsid w:val="00901189"/>
    <w:rsid w:val="009016FF"/>
    <w:rsid w:val="00901C0F"/>
    <w:rsid w:val="00906B79"/>
    <w:rsid w:val="0090764A"/>
    <w:rsid w:val="00911839"/>
    <w:rsid w:val="00911DCB"/>
    <w:rsid w:val="00913682"/>
    <w:rsid w:val="00914020"/>
    <w:rsid w:val="00914221"/>
    <w:rsid w:val="0091539F"/>
    <w:rsid w:val="0092409A"/>
    <w:rsid w:val="009246D7"/>
    <w:rsid w:val="009249F5"/>
    <w:rsid w:val="009257B3"/>
    <w:rsid w:val="0092683C"/>
    <w:rsid w:val="00927374"/>
    <w:rsid w:val="00930F90"/>
    <w:rsid w:val="00932191"/>
    <w:rsid w:val="00932C96"/>
    <w:rsid w:val="009367C0"/>
    <w:rsid w:val="00937F1A"/>
    <w:rsid w:val="0094141B"/>
    <w:rsid w:val="00943137"/>
    <w:rsid w:val="009438DE"/>
    <w:rsid w:val="00944102"/>
    <w:rsid w:val="009443FA"/>
    <w:rsid w:val="00944FCA"/>
    <w:rsid w:val="00945E01"/>
    <w:rsid w:val="0094704E"/>
    <w:rsid w:val="00952D8D"/>
    <w:rsid w:val="0095360B"/>
    <w:rsid w:val="009544EF"/>
    <w:rsid w:val="0095498E"/>
    <w:rsid w:val="00955CA3"/>
    <w:rsid w:val="00956AFE"/>
    <w:rsid w:val="00961534"/>
    <w:rsid w:val="00965237"/>
    <w:rsid w:val="00965586"/>
    <w:rsid w:val="00965D96"/>
    <w:rsid w:val="009660C2"/>
    <w:rsid w:val="009670E5"/>
    <w:rsid w:val="009671F3"/>
    <w:rsid w:val="009678E2"/>
    <w:rsid w:val="00967E4F"/>
    <w:rsid w:val="00970177"/>
    <w:rsid w:val="00970A35"/>
    <w:rsid w:val="00971352"/>
    <w:rsid w:val="0097173D"/>
    <w:rsid w:val="009729B9"/>
    <w:rsid w:val="00972BD7"/>
    <w:rsid w:val="00973192"/>
    <w:rsid w:val="0097448F"/>
    <w:rsid w:val="009778AC"/>
    <w:rsid w:val="00977AFF"/>
    <w:rsid w:val="00977FCF"/>
    <w:rsid w:val="00982A8E"/>
    <w:rsid w:val="00983CDF"/>
    <w:rsid w:val="00984B92"/>
    <w:rsid w:val="0098624A"/>
    <w:rsid w:val="0099106D"/>
    <w:rsid w:val="00991388"/>
    <w:rsid w:val="00991A27"/>
    <w:rsid w:val="00993633"/>
    <w:rsid w:val="00995336"/>
    <w:rsid w:val="00997184"/>
    <w:rsid w:val="00997DC0"/>
    <w:rsid w:val="00997DCB"/>
    <w:rsid w:val="009A0C7E"/>
    <w:rsid w:val="009A0EDB"/>
    <w:rsid w:val="009A139D"/>
    <w:rsid w:val="009A339F"/>
    <w:rsid w:val="009A3D9C"/>
    <w:rsid w:val="009A4889"/>
    <w:rsid w:val="009A61A3"/>
    <w:rsid w:val="009B1133"/>
    <w:rsid w:val="009B2871"/>
    <w:rsid w:val="009B36F5"/>
    <w:rsid w:val="009B5F28"/>
    <w:rsid w:val="009B6D57"/>
    <w:rsid w:val="009C4A26"/>
    <w:rsid w:val="009C6739"/>
    <w:rsid w:val="009D2F8B"/>
    <w:rsid w:val="009D3BB8"/>
    <w:rsid w:val="009D51CF"/>
    <w:rsid w:val="009E0985"/>
    <w:rsid w:val="009E09DE"/>
    <w:rsid w:val="009E10A6"/>
    <w:rsid w:val="009E23E7"/>
    <w:rsid w:val="009E52AD"/>
    <w:rsid w:val="009E594C"/>
    <w:rsid w:val="009F0F43"/>
    <w:rsid w:val="009F1632"/>
    <w:rsid w:val="009F22C3"/>
    <w:rsid w:val="009F2792"/>
    <w:rsid w:val="009F3FDD"/>
    <w:rsid w:val="009F4539"/>
    <w:rsid w:val="009F72C0"/>
    <w:rsid w:val="00A00222"/>
    <w:rsid w:val="00A00DCD"/>
    <w:rsid w:val="00A01197"/>
    <w:rsid w:val="00A0190E"/>
    <w:rsid w:val="00A047EC"/>
    <w:rsid w:val="00A04F44"/>
    <w:rsid w:val="00A06C00"/>
    <w:rsid w:val="00A0709B"/>
    <w:rsid w:val="00A07FC8"/>
    <w:rsid w:val="00A12BA5"/>
    <w:rsid w:val="00A1535D"/>
    <w:rsid w:val="00A21A90"/>
    <w:rsid w:val="00A2302C"/>
    <w:rsid w:val="00A24550"/>
    <w:rsid w:val="00A24C31"/>
    <w:rsid w:val="00A2793B"/>
    <w:rsid w:val="00A3100A"/>
    <w:rsid w:val="00A33FDE"/>
    <w:rsid w:val="00A35AD4"/>
    <w:rsid w:val="00A362FB"/>
    <w:rsid w:val="00A406C4"/>
    <w:rsid w:val="00A40FF1"/>
    <w:rsid w:val="00A412B2"/>
    <w:rsid w:val="00A412FC"/>
    <w:rsid w:val="00A4311B"/>
    <w:rsid w:val="00A43E45"/>
    <w:rsid w:val="00A450A9"/>
    <w:rsid w:val="00A45D06"/>
    <w:rsid w:val="00A460DC"/>
    <w:rsid w:val="00A51184"/>
    <w:rsid w:val="00A5176B"/>
    <w:rsid w:val="00A51B41"/>
    <w:rsid w:val="00A51EF6"/>
    <w:rsid w:val="00A550DA"/>
    <w:rsid w:val="00A55713"/>
    <w:rsid w:val="00A56412"/>
    <w:rsid w:val="00A56801"/>
    <w:rsid w:val="00A61126"/>
    <w:rsid w:val="00A624FA"/>
    <w:rsid w:val="00A6291C"/>
    <w:rsid w:val="00A63603"/>
    <w:rsid w:val="00A63705"/>
    <w:rsid w:val="00A66F01"/>
    <w:rsid w:val="00A6785F"/>
    <w:rsid w:val="00A67929"/>
    <w:rsid w:val="00A67C85"/>
    <w:rsid w:val="00A7262D"/>
    <w:rsid w:val="00A72788"/>
    <w:rsid w:val="00A7358E"/>
    <w:rsid w:val="00A738EC"/>
    <w:rsid w:val="00A74434"/>
    <w:rsid w:val="00A82311"/>
    <w:rsid w:val="00A824AD"/>
    <w:rsid w:val="00A82E46"/>
    <w:rsid w:val="00A84A50"/>
    <w:rsid w:val="00A8539D"/>
    <w:rsid w:val="00A85613"/>
    <w:rsid w:val="00A861A9"/>
    <w:rsid w:val="00A864AD"/>
    <w:rsid w:val="00A87E36"/>
    <w:rsid w:val="00A9045B"/>
    <w:rsid w:val="00A909E4"/>
    <w:rsid w:val="00A91DED"/>
    <w:rsid w:val="00A92BF1"/>
    <w:rsid w:val="00A93EB4"/>
    <w:rsid w:val="00A94ECC"/>
    <w:rsid w:val="00A950DE"/>
    <w:rsid w:val="00A955C0"/>
    <w:rsid w:val="00A9576A"/>
    <w:rsid w:val="00A95A16"/>
    <w:rsid w:val="00A96713"/>
    <w:rsid w:val="00A976A0"/>
    <w:rsid w:val="00AA26BC"/>
    <w:rsid w:val="00AA7006"/>
    <w:rsid w:val="00AB22F4"/>
    <w:rsid w:val="00AB2357"/>
    <w:rsid w:val="00AB365C"/>
    <w:rsid w:val="00AB3A0D"/>
    <w:rsid w:val="00AB642E"/>
    <w:rsid w:val="00AB6A15"/>
    <w:rsid w:val="00AB6EC5"/>
    <w:rsid w:val="00AB7638"/>
    <w:rsid w:val="00AC0B9C"/>
    <w:rsid w:val="00AC172B"/>
    <w:rsid w:val="00AC1908"/>
    <w:rsid w:val="00AC2882"/>
    <w:rsid w:val="00AC3770"/>
    <w:rsid w:val="00AC717B"/>
    <w:rsid w:val="00AD0208"/>
    <w:rsid w:val="00AD3CA5"/>
    <w:rsid w:val="00AD3F4B"/>
    <w:rsid w:val="00AD488B"/>
    <w:rsid w:val="00AD6687"/>
    <w:rsid w:val="00AD6975"/>
    <w:rsid w:val="00AE16F1"/>
    <w:rsid w:val="00AE186F"/>
    <w:rsid w:val="00AE35B2"/>
    <w:rsid w:val="00AE3A1D"/>
    <w:rsid w:val="00AE434B"/>
    <w:rsid w:val="00AE625E"/>
    <w:rsid w:val="00AE73F5"/>
    <w:rsid w:val="00AE75E8"/>
    <w:rsid w:val="00AF2E26"/>
    <w:rsid w:val="00AF2FDF"/>
    <w:rsid w:val="00AF4964"/>
    <w:rsid w:val="00AF7170"/>
    <w:rsid w:val="00B00163"/>
    <w:rsid w:val="00B02147"/>
    <w:rsid w:val="00B03442"/>
    <w:rsid w:val="00B03652"/>
    <w:rsid w:val="00B06278"/>
    <w:rsid w:val="00B13BEC"/>
    <w:rsid w:val="00B1675C"/>
    <w:rsid w:val="00B173EC"/>
    <w:rsid w:val="00B2039F"/>
    <w:rsid w:val="00B21FEA"/>
    <w:rsid w:val="00B221EE"/>
    <w:rsid w:val="00B221FF"/>
    <w:rsid w:val="00B25A79"/>
    <w:rsid w:val="00B25F0C"/>
    <w:rsid w:val="00B273D4"/>
    <w:rsid w:val="00B27661"/>
    <w:rsid w:val="00B302D9"/>
    <w:rsid w:val="00B3089E"/>
    <w:rsid w:val="00B322D8"/>
    <w:rsid w:val="00B337AB"/>
    <w:rsid w:val="00B33CD2"/>
    <w:rsid w:val="00B35F52"/>
    <w:rsid w:val="00B361C8"/>
    <w:rsid w:val="00B37D5B"/>
    <w:rsid w:val="00B4065E"/>
    <w:rsid w:val="00B40A1D"/>
    <w:rsid w:val="00B41B84"/>
    <w:rsid w:val="00B41D3F"/>
    <w:rsid w:val="00B4230F"/>
    <w:rsid w:val="00B43BCC"/>
    <w:rsid w:val="00B442DF"/>
    <w:rsid w:val="00B4497A"/>
    <w:rsid w:val="00B4520C"/>
    <w:rsid w:val="00B45599"/>
    <w:rsid w:val="00B47FF2"/>
    <w:rsid w:val="00B50922"/>
    <w:rsid w:val="00B52A7F"/>
    <w:rsid w:val="00B52E89"/>
    <w:rsid w:val="00B53AEE"/>
    <w:rsid w:val="00B54080"/>
    <w:rsid w:val="00B547F3"/>
    <w:rsid w:val="00B54F1C"/>
    <w:rsid w:val="00B55E61"/>
    <w:rsid w:val="00B5608C"/>
    <w:rsid w:val="00B6164C"/>
    <w:rsid w:val="00B61B7F"/>
    <w:rsid w:val="00B6326E"/>
    <w:rsid w:val="00B65750"/>
    <w:rsid w:val="00B66C75"/>
    <w:rsid w:val="00B66E4B"/>
    <w:rsid w:val="00B6710A"/>
    <w:rsid w:val="00B67C3C"/>
    <w:rsid w:val="00B71514"/>
    <w:rsid w:val="00B71BB3"/>
    <w:rsid w:val="00B73D75"/>
    <w:rsid w:val="00B74B77"/>
    <w:rsid w:val="00B811C6"/>
    <w:rsid w:val="00B81A84"/>
    <w:rsid w:val="00B82325"/>
    <w:rsid w:val="00B855BE"/>
    <w:rsid w:val="00B87F59"/>
    <w:rsid w:val="00B90329"/>
    <w:rsid w:val="00B91D47"/>
    <w:rsid w:val="00B91E2B"/>
    <w:rsid w:val="00B9254B"/>
    <w:rsid w:val="00B94329"/>
    <w:rsid w:val="00B9453A"/>
    <w:rsid w:val="00B95022"/>
    <w:rsid w:val="00B950F5"/>
    <w:rsid w:val="00B9531A"/>
    <w:rsid w:val="00BA14C9"/>
    <w:rsid w:val="00BA2C4D"/>
    <w:rsid w:val="00BA2FA8"/>
    <w:rsid w:val="00BA37C1"/>
    <w:rsid w:val="00BA5012"/>
    <w:rsid w:val="00BA58EA"/>
    <w:rsid w:val="00BA6E97"/>
    <w:rsid w:val="00BA721D"/>
    <w:rsid w:val="00BA7C77"/>
    <w:rsid w:val="00BB12AC"/>
    <w:rsid w:val="00BB186F"/>
    <w:rsid w:val="00BB2D33"/>
    <w:rsid w:val="00BB2F97"/>
    <w:rsid w:val="00BC0401"/>
    <w:rsid w:val="00BC21BA"/>
    <w:rsid w:val="00BC3334"/>
    <w:rsid w:val="00BC633C"/>
    <w:rsid w:val="00BD0F4D"/>
    <w:rsid w:val="00BD2246"/>
    <w:rsid w:val="00BD480C"/>
    <w:rsid w:val="00BD4D14"/>
    <w:rsid w:val="00BD5A66"/>
    <w:rsid w:val="00BD5F9C"/>
    <w:rsid w:val="00BD7DF9"/>
    <w:rsid w:val="00BE0F64"/>
    <w:rsid w:val="00BE140E"/>
    <w:rsid w:val="00BE5E65"/>
    <w:rsid w:val="00BF04F7"/>
    <w:rsid w:val="00BF07CF"/>
    <w:rsid w:val="00BF1FCB"/>
    <w:rsid w:val="00BF53E8"/>
    <w:rsid w:val="00BF592F"/>
    <w:rsid w:val="00BF5DA4"/>
    <w:rsid w:val="00BF6473"/>
    <w:rsid w:val="00BF757D"/>
    <w:rsid w:val="00C004DD"/>
    <w:rsid w:val="00C00F92"/>
    <w:rsid w:val="00C01CED"/>
    <w:rsid w:val="00C05F1B"/>
    <w:rsid w:val="00C06EC1"/>
    <w:rsid w:val="00C10A11"/>
    <w:rsid w:val="00C10CA7"/>
    <w:rsid w:val="00C10DF0"/>
    <w:rsid w:val="00C1155E"/>
    <w:rsid w:val="00C115D6"/>
    <w:rsid w:val="00C14B6C"/>
    <w:rsid w:val="00C1585F"/>
    <w:rsid w:val="00C15B62"/>
    <w:rsid w:val="00C16579"/>
    <w:rsid w:val="00C16F1B"/>
    <w:rsid w:val="00C175B5"/>
    <w:rsid w:val="00C20FAC"/>
    <w:rsid w:val="00C21893"/>
    <w:rsid w:val="00C2227B"/>
    <w:rsid w:val="00C24370"/>
    <w:rsid w:val="00C26C86"/>
    <w:rsid w:val="00C273C2"/>
    <w:rsid w:val="00C273E6"/>
    <w:rsid w:val="00C27433"/>
    <w:rsid w:val="00C32893"/>
    <w:rsid w:val="00C3334C"/>
    <w:rsid w:val="00C33492"/>
    <w:rsid w:val="00C33712"/>
    <w:rsid w:val="00C34035"/>
    <w:rsid w:val="00C372D2"/>
    <w:rsid w:val="00C37AE7"/>
    <w:rsid w:val="00C404DE"/>
    <w:rsid w:val="00C40A17"/>
    <w:rsid w:val="00C40BBB"/>
    <w:rsid w:val="00C42163"/>
    <w:rsid w:val="00C436B7"/>
    <w:rsid w:val="00C43788"/>
    <w:rsid w:val="00C45C12"/>
    <w:rsid w:val="00C4761E"/>
    <w:rsid w:val="00C47D1E"/>
    <w:rsid w:val="00C51487"/>
    <w:rsid w:val="00C51914"/>
    <w:rsid w:val="00C531A6"/>
    <w:rsid w:val="00C53EFD"/>
    <w:rsid w:val="00C54123"/>
    <w:rsid w:val="00C546D3"/>
    <w:rsid w:val="00C552C1"/>
    <w:rsid w:val="00C639FC"/>
    <w:rsid w:val="00C6600D"/>
    <w:rsid w:val="00C709D0"/>
    <w:rsid w:val="00C70F01"/>
    <w:rsid w:val="00C76B07"/>
    <w:rsid w:val="00C76EED"/>
    <w:rsid w:val="00C7751D"/>
    <w:rsid w:val="00C80542"/>
    <w:rsid w:val="00C82552"/>
    <w:rsid w:val="00C8705C"/>
    <w:rsid w:val="00C876A2"/>
    <w:rsid w:val="00C91DF0"/>
    <w:rsid w:val="00C92A6D"/>
    <w:rsid w:val="00C93576"/>
    <w:rsid w:val="00C97E75"/>
    <w:rsid w:val="00CA17CC"/>
    <w:rsid w:val="00CA3981"/>
    <w:rsid w:val="00CA3D2A"/>
    <w:rsid w:val="00CA7F91"/>
    <w:rsid w:val="00CB0477"/>
    <w:rsid w:val="00CB07C3"/>
    <w:rsid w:val="00CB49FB"/>
    <w:rsid w:val="00CC054A"/>
    <w:rsid w:val="00CC0EAF"/>
    <w:rsid w:val="00CC580C"/>
    <w:rsid w:val="00CC5CC0"/>
    <w:rsid w:val="00CC71CA"/>
    <w:rsid w:val="00CC7AB0"/>
    <w:rsid w:val="00CC7C9B"/>
    <w:rsid w:val="00CD1A97"/>
    <w:rsid w:val="00CD1C81"/>
    <w:rsid w:val="00CD207D"/>
    <w:rsid w:val="00CD2B84"/>
    <w:rsid w:val="00CD4B8E"/>
    <w:rsid w:val="00CD4E79"/>
    <w:rsid w:val="00CD546E"/>
    <w:rsid w:val="00CD6CC5"/>
    <w:rsid w:val="00CD7566"/>
    <w:rsid w:val="00CD7920"/>
    <w:rsid w:val="00CD7C0C"/>
    <w:rsid w:val="00CD7FBB"/>
    <w:rsid w:val="00CE57D4"/>
    <w:rsid w:val="00CE58FE"/>
    <w:rsid w:val="00CF1F37"/>
    <w:rsid w:val="00CF5203"/>
    <w:rsid w:val="00CF5FDD"/>
    <w:rsid w:val="00CF6A64"/>
    <w:rsid w:val="00CF6A9D"/>
    <w:rsid w:val="00D00F06"/>
    <w:rsid w:val="00D02D34"/>
    <w:rsid w:val="00D033D0"/>
    <w:rsid w:val="00D06151"/>
    <w:rsid w:val="00D06B3D"/>
    <w:rsid w:val="00D06C63"/>
    <w:rsid w:val="00D10077"/>
    <w:rsid w:val="00D10604"/>
    <w:rsid w:val="00D13015"/>
    <w:rsid w:val="00D13B5C"/>
    <w:rsid w:val="00D1527F"/>
    <w:rsid w:val="00D16909"/>
    <w:rsid w:val="00D17DCD"/>
    <w:rsid w:val="00D21588"/>
    <w:rsid w:val="00D23E2A"/>
    <w:rsid w:val="00D26AF0"/>
    <w:rsid w:val="00D30434"/>
    <w:rsid w:val="00D3127A"/>
    <w:rsid w:val="00D32899"/>
    <w:rsid w:val="00D34A48"/>
    <w:rsid w:val="00D35AC1"/>
    <w:rsid w:val="00D36900"/>
    <w:rsid w:val="00D374C6"/>
    <w:rsid w:val="00D406F7"/>
    <w:rsid w:val="00D43837"/>
    <w:rsid w:val="00D44EF8"/>
    <w:rsid w:val="00D4656B"/>
    <w:rsid w:val="00D4691A"/>
    <w:rsid w:val="00D47FDF"/>
    <w:rsid w:val="00D502E3"/>
    <w:rsid w:val="00D5145D"/>
    <w:rsid w:val="00D51CDF"/>
    <w:rsid w:val="00D51EEE"/>
    <w:rsid w:val="00D52054"/>
    <w:rsid w:val="00D52DB5"/>
    <w:rsid w:val="00D559CC"/>
    <w:rsid w:val="00D56809"/>
    <w:rsid w:val="00D617DD"/>
    <w:rsid w:val="00D62875"/>
    <w:rsid w:val="00D6306E"/>
    <w:rsid w:val="00D632C8"/>
    <w:rsid w:val="00D673DB"/>
    <w:rsid w:val="00D67919"/>
    <w:rsid w:val="00D74555"/>
    <w:rsid w:val="00D7482A"/>
    <w:rsid w:val="00D74D4E"/>
    <w:rsid w:val="00D77460"/>
    <w:rsid w:val="00D817B1"/>
    <w:rsid w:val="00D81908"/>
    <w:rsid w:val="00D855B8"/>
    <w:rsid w:val="00D9087B"/>
    <w:rsid w:val="00D90FD8"/>
    <w:rsid w:val="00D91909"/>
    <w:rsid w:val="00D97174"/>
    <w:rsid w:val="00D97CDA"/>
    <w:rsid w:val="00DA19EF"/>
    <w:rsid w:val="00DA462D"/>
    <w:rsid w:val="00DA51C1"/>
    <w:rsid w:val="00DA53E4"/>
    <w:rsid w:val="00DA64B7"/>
    <w:rsid w:val="00DA77F2"/>
    <w:rsid w:val="00DB0FE9"/>
    <w:rsid w:val="00DB19E2"/>
    <w:rsid w:val="00DB33A8"/>
    <w:rsid w:val="00DB43CC"/>
    <w:rsid w:val="00DB4839"/>
    <w:rsid w:val="00DB53A6"/>
    <w:rsid w:val="00DB5507"/>
    <w:rsid w:val="00DB7355"/>
    <w:rsid w:val="00DB7CAA"/>
    <w:rsid w:val="00DC2DBC"/>
    <w:rsid w:val="00DC3363"/>
    <w:rsid w:val="00DC3A23"/>
    <w:rsid w:val="00DC4B5A"/>
    <w:rsid w:val="00DC4E7B"/>
    <w:rsid w:val="00DC75CE"/>
    <w:rsid w:val="00DD1454"/>
    <w:rsid w:val="00DD1464"/>
    <w:rsid w:val="00DD3671"/>
    <w:rsid w:val="00DD3819"/>
    <w:rsid w:val="00DD3BFB"/>
    <w:rsid w:val="00DD4EBC"/>
    <w:rsid w:val="00DD5304"/>
    <w:rsid w:val="00DD663D"/>
    <w:rsid w:val="00DD7620"/>
    <w:rsid w:val="00DE0DE5"/>
    <w:rsid w:val="00DE171F"/>
    <w:rsid w:val="00DE1842"/>
    <w:rsid w:val="00DE22F2"/>
    <w:rsid w:val="00DE549A"/>
    <w:rsid w:val="00DF43CB"/>
    <w:rsid w:val="00DF77BF"/>
    <w:rsid w:val="00DF7DAD"/>
    <w:rsid w:val="00E000A1"/>
    <w:rsid w:val="00E003FC"/>
    <w:rsid w:val="00E00C42"/>
    <w:rsid w:val="00E064AD"/>
    <w:rsid w:val="00E1000C"/>
    <w:rsid w:val="00E10D9B"/>
    <w:rsid w:val="00E12E83"/>
    <w:rsid w:val="00E132D8"/>
    <w:rsid w:val="00E201B6"/>
    <w:rsid w:val="00E234B7"/>
    <w:rsid w:val="00E23517"/>
    <w:rsid w:val="00E2352B"/>
    <w:rsid w:val="00E2398A"/>
    <w:rsid w:val="00E2426D"/>
    <w:rsid w:val="00E24744"/>
    <w:rsid w:val="00E24D2E"/>
    <w:rsid w:val="00E25410"/>
    <w:rsid w:val="00E27DFF"/>
    <w:rsid w:val="00E3012F"/>
    <w:rsid w:val="00E329A6"/>
    <w:rsid w:val="00E33142"/>
    <w:rsid w:val="00E33CCA"/>
    <w:rsid w:val="00E352EC"/>
    <w:rsid w:val="00E36D91"/>
    <w:rsid w:val="00E36E99"/>
    <w:rsid w:val="00E3799C"/>
    <w:rsid w:val="00E41754"/>
    <w:rsid w:val="00E433D5"/>
    <w:rsid w:val="00E4345B"/>
    <w:rsid w:val="00E446FB"/>
    <w:rsid w:val="00E45376"/>
    <w:rsid w:val="00E47A87"/>
    <w:rsid w:val="00E50B28"/>
    <w:rsid w:val="00E523DB"/>
    <w:rsid w:val="00E52EC0"/>
    <w:rsid w:val="00E54348"/>
    <w:rsid w:val="00E554C0"/>
    <w:rsid w:val="00E629BB"/>
    <w:rsid w:val="00E62C31"/>
    <w:rsid w:val="00E63FA7"/>
    <w:rsid w:val="00E65DB1"/>
    <w:rsid w:val="00E678FF"/>
    <w:rsid w:val="00E724D8"/>
    <w:rsid w:val="00E725D1"/>
    <w:rsid w:val="00E72828"/>
    <w:rsid w:val="00E72DA4"/>
    <w:rsid w:val="00E73F4C"/>
    <w:rsid w:val="00E77956"/>
    <w:rsid w:val="00E80254"/>
    <w:rsid w:val="00E80539"/>
    <w:rsid w:val="00E86E64"/>
    <w:rsid w:val="00E87A0D"/>
    <w:rsid w:val="00E922B1"/>
    <w:rsid w:val="00E9279E"/>
    <w:rsid w:val="00E94BEA"/>
    <w:rsid w:val="00EA0799"/>
    <w:rsid w:val="00EA0C01"/>
    <w:rsid w:val="00EA215E"/>
    <w:rsid w:val="00EA2AF2"/>
    <w:rsid w:val="00EA3867"/>
    <w:rsid w:val="00EA3A92"/>
    <w:rsid w:val="00EA481B"/>
    <w:rsid w:val="00EA55EE"/>
    <w:rsid w:val="00EA7F10"/>
    <w:rsid w:val="00EB1DAE"/>
    <w:rsid w:val="00EB1EE7"/>
    <w:rsid w:val="00EB28B6"/>
    <w:rsid w:val="00EB3ED5"/>
    <w:rsid w:val="00EB546A"/>
    <w:rsid w:val="00EB55E4"/>
    <w:rsid w:val="00EB610A"/>
    <w:rsid w:val="00EB65A8"/>
    <w:rsid w:val="00EB68B4"/>
    <w:rsid w:val="00EB7BAC"/>
    <w:rsid w:val="00EC1F28"/>
    <w:rsid w:val="00EC20BC"/>
    <w:rsid w:val="00EC2DED"/>
    <w:rsid w:val="00EC3850"/>
    <w:rsid w:val="00EC3CBB"/>
    <w:rsid w:val="00EC6FF3"/>
    <w:rsid w:val="00EC7291"/>
    <w:rsid w:val="00ED235C"/>
    <w:rsid w:val="00ED33FD"/>
    <w:rsid w:val="00ED34E5"/>
    <w:rsid w:val="00ED5932"/>
    <w:rsid w:val="00ED5B0D"/>
    <w:rsid w:val="00ED6A1A"/>
    <w:rsid w:val="00ED7B17"/>
    <w:rsid w:val="00ED7C23"/>
    <w:rsid w:val="00EE033E"/>
    <w:rsid w:val="00EE081C"/>
    <w:rsid w:val="00EE0854"/>
    <w:rsid w:val="00EE1BB2"/>
    <w:rsid w:val="00EE2987"/>
    <w:rsid w:val="00EE3450"/>
    <w:rsid w:val="00EE5915"/>
    <w:rsid w:val="00EE71DA"/>
    <w:rsid w:val="00EE790F"/>
    <w:rsid w:val="00EF0E0F"/>
    <w:rsid w:val="00EF258D"/>
    <w:rsid w:val="00EF26E1"/>
    <w:rsid w:val="00EF4177"/>
    <w:rsid w:val="00EF74DA"/>
    <w:rsid w:val="00F01C2F"/>
    <w:rsid w:val="00F023C3"/>
    <w:rsid w:val="00F02ECA"/>
    <w:rsid w:val="00F0792A"/>
    <w:rsid w:val="00F10A10"/>
    <w:rsid w:val="00F11076"/>
    <w:rsid w:val="00F14099"/>
    <w:rsid w:val="00F140CD"/>
    <w:rsid w:val="00F1522C"/>
    <w:rsid w:val="00F15CB6"/>
    <w:rsid w:val="00F15E1E"/>
    <w:rsid w:val="00F173AD"/>
    <w:rsid w:val="00F21252"/>
    <w:rsid w:val="00F23002"/>
    <w:rsid w:val="00F249C7"/>
    <w:rsid w:val="00F25173"/>
    <w:rsid w:val="00F25258"/>
    <w:rsid w:val="00F26067"/>
    <w:rsid w:val="00F323F5"/>
    <w:rsid w:val="00F32D6B"/>
    <w:rsid w:val="00F33BFC"/>
    <w:rsid w:val="00F35FCC"/>
    <w:rsid w:val="00F41D78"/>
    <w:rsid w:val="00F43534"/>
    <w:rsid w:val="00F44C90"/>
    <w:rsid w:val="00F4559A"/>
    <w:rsid w:val="00F45F5F"/>
    <w:rsid w:val="00F47BCD"/>
    <w:rsid w:val="00F53845"/>
    <w:rsid w:val="00F54133"/>
    <w:rsid w:val="00F55361"/>
    <w:rsid w:val="00F555B7"/>
    <w:rsid w:val="00F56C11"/>
    <w:rsid w:val="00F56C93"/>
    <w:rsid w:val="00F61DAD"/>
    <w:rsid w:val="00F6290A"/>
    <w:rsid w:val="00F63AF6"/>
    <w:rsid w:val="00F63BCE"/>
    <w:rsid w:val="00F63F2E"/>
    <w:rsid w:val="00F64A86"/>
    <w:rsid w:val="00F64B45"/>
    <w:rsid w:val="00F65D36"/>
    <w:rsid w:val="00F6654D"/>
    <w:rsid w:val="00F67BB8"/>
    <w:rsid w:val="00F67F5E"/>
    <w:rsid w:val="00F719A0"/>
    <w:rsid w:val="00F73D7B"/>
    <w:rsid w:val="00F74D92"/>
    <w:rsid w:val="00F755EA"/>
    <w:rsid w:val="00F77824"/>
    <w:rsid w:val="00F77AB8"/>
    <w:rsid w:val="00F82852"/>
    <w:rsid w:val="00F84AF9"/>
    <w:rsid w:val="00F85084"/>
    <w:rsid w:val="00F8617C"/>
    <w:rsid w:val="00F86660"/>
    <w:rsid w:val="00F86673"/>
    <w:rsid w:val="00F96723"/>
    <w:rsid w:val="00F96922"/>
    <w:rsid w:val="00F969E6"/>
    <w:rsid w:val="00F97562"/>
    <w:rsid w:val="00FA078A"/>
    <w:rsid w:val="00FA14DC"/>
    <w:rsid w:val="00FA5728"/>
    <w:rsid w:val="00FA734D"/>
    <w:rsid w:val="00FA78A8"/>
    <w:rsid w:val="00FB0551"/>
    <w:rsid w:val="00FB080C"/>
    <w:rsid w:val="00FB24DB"/>
    <w:rsid w:val="00FB763D"/>
    <w:rsid w:val="00FB77E6"/>
    <w:rsid w:val="00FC003F"/>
    <w:rsid w:val="00FC2821"/>
    <w:rsid w:val="00FC41A0"/>
    <w:rsid w:val="00FC424F"/>
    <w:rsid w:val="00FC5190"/>
    <w:rsid w:val="00FC56F7"/>
    <w:rsid w:val="00FC57BB"/>
    <w:rsid w:val="00FC5CBF"/>
    <w:rsid w:val="00FC6EDB"/>
    <w:rsid w:val="00FC7677"/>
    <w:rsid w:val="00FD0823"/>
    <w:rsid w:val="00FD18E5"/>
    <w:rsid w:val="00FD37E5"/>
    <w:rsid w:val="00FD64CC"/>
    <w:rsid w:val="00FD7BB8"/>
    <w:rsid w:val="00FE1904"/>
    <w:rsid w:val="00FE205F"/>
    <w:rsid w:val="00FE2927"/>
    <w:rsid w:val="00FE36D0"/>
    <w:rsid w:val="00FE52E8"/>
    <w:rsid w:val="00FE5CC3"/>
    <w:rsid w:val="00FE6BE7"/>
    <w:rsid w:val="00FE72FF"/>
    <w:rsid w:val="00FE7A2C"/>
    <w:rsid w:val="00FE7F13"/>
    <w:rsid w:val="00FF0976"/>
    <w:rsid w:val="00FF0FC3"/>
    <w:rsid w:val="00FF26A7"/>
    <w:rsid w:val="00FF29D4"/>
    <w:rsid w:val="00FF3530"/>
    <w:rsid w:val="00FF3FF0"/>
    <w:rsid w:val="00FF41F4"/>
    <w:rsid w:val="00FF4714"/>
    <w:rsid w:val="00FF5716"/>
    <w:rsid w:val="00FF6E1D"/>
    <w:rsid w:val="75EBC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0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numPr>
        <w:numId w:val="18"/>
      </w:numPr>
      <w:spacing w:before="120" w:after="120"/>
      <w:outlineLvl w:val="0"/>
    </w:pPr>
    <w:rPr>
      <w:rFonts w:ascii="Helvetica" w:hAnsi="Helvetica"/>
      <w:b/>
      <w:kern w:val="28"/>
    </w:rPr>
  </w:style>
  <w:style w:type="paragraph" w:styleId="Heading2">
    <w:name w:val="heading 2"/>
    <w:basedOn w:val="Normal"/>
    <w:next w:val="Normal"/>
    <w:qFormat/>
    <w:pPr>
      <w:keepNext/>
      <w:numPr>
        <w:ilvl w:val="1"/>
        <w:numId w:val="18"/>
      </w:numPr>
      <w:spacing w:before="120" w:after="120"/>
      <w:outlineLvl w:val="1"/>
    </w:pPr>
    <w:rPr>
      <w:rFonts w:ascii="Helvetica" w:hAnsi="Helvetica"/>
      <w:b/>
      <w:i/>
    </w:rPr>
  </w:style>
  <w:style w:type="paragraph" w:styleId="Heading3">
    <w:name w:val="heading 3"/>
    <w:basedOn w:val="Normal"/>
    <w:next w:val="Normal"/>
    <w:qFormat/>
    <w:pPr>
      <w:keepNext/>
      <w:numPr>
        <w:ilvl w:val="2"/>
        <w:numId w:val="18"/>
      </w:numPr>
      <w:spacing w:before="120" w:after="120"/>
      <w:outlineLvl w:val="2"/>
    </w:pPr>
    <w:rPr>
      <w:rFonts w:ascii="Helvetica" w:hAnsi="Helvetica"/>
      <w:b/>
    </w:rPr>
  </w:style>
  <w:style w:type="paragraph" w:styleId="Heading4">
    <w:name w:val="heading 4"/>
    <w:basedOn w:val="Normal"/>
    <w:next w:val="Normal"/>
    <w:qFormat/>
    <w:pPr>
      <w:keepNext/>
      <w:numPr>
        <w:ilvl w:val="3"/>
        <w:numId w:val="18"/>
      </w:numPr>
      <w:spacing w:before="120" w:after="120"/>
      <w:outlineLvl w:val="3"/>
    </w:pPr>
    <w:rPr>
      <w:rFonts w:ascii="Helvetica" w:hAnsi="Helvetica"/>
      <w:b/>
      <w:i/>
    </w:rPr>
  </w:style>
  <w:style w:type="paragraph" w:styleId="Heading5">
    <w:name w:val="heading 5"/>
    <w:basedOn w:val="Normal"/>
    <w:next w:val="Normal"/>
    <w:qFormat/>
    <w:pPr>
      <w:numPr>
        <w:ilvl w:val="4"/>
        <w:numId w:val="18"/>
      </w:numPr>
      <w:spacing w:before="120" w:after="120"/>
      <w:outlineLvl w:val="4"/>
    </w:pPr>
    <w:rPr>
      <w:rFonts w:ascii="Helvetica" w:hAnsi="Helvetica"/>
      <w:b/>
    </w:rPr>
  </w:style>
  <w:style w:type="paragraph" w:styleId="Heading6">
    <w:name w:val="heading 6"/>
    <w:basedOn w:val="Normal"/>
    <w:next w:val="Normal"/>
    <w:qFormat/>
    <w:pPr>
      <w:numPr>
        <w:ilvl w:val="5"/>
        <w:numId w:val="1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8"/>
      </w:numPr>
      <w:spacing w:before="240" w:after="60"/>
      <w:outlineLvl w:val="6"/>
    </w:pPr>
    <w:rPr>
      <w:rFonts w:ascii="Arial" w:hAnsi="Arial"/>
      <w:sz w:val="20"/>
    </w:rPr>
  </w:style>
  <w:style w:type="paragraph" w:styleId="Heading8">
    <w:name w:val="heading 8"/>
    <w:basedOn w:val="Normal"/>
    <w:next w:val="Normal"/>
    <w:qFormat/>
    <w:pPr>
      <w:numPr>
        <w:ilvl w:val="7"/>
        <w:numId w:val="18"/>
      </w:numPr>
      <w:spacing w:before="240" w:after="60"/>
      <w:outlineLvl w:val="7"/>
    </w:pPr>
    <w:rPr>
      <w:rFonts w:ascii="Arial" w:hAnsi="Arial"/>
      <w:i/>
      <w:sz w:val="20"/>
    </w:rPr>
  </w:style>
  <w:style w:type="paragraph" w:styleId="Heading9">
    <w:name w:val="heading 9"/>
    <w:basedOn w:val="Normal"/>
    <w:next w:val="Normal"/>
    <w:qFormat/>
    <w:pPr>
      <w:numPr>
        <w:ilvl w:val="8"/>
        <w:numId w:val="1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link w:val="BodyTextChar"/>
    <w:pPr>
      <w:spacing w:before="40" w:after="40"/>
      <w:jc w:val="both"/>
    </w:pPr>
  </w:style>
  <w:style w:type="paragraph" w:styleId="Title">
    <w:name w:val="Title"/>
    <w:basedOn w:val="Normal"/>
    <w:qFormat/>
    <w:pPr>
      <w:jc w:val="center"/>
    </w:pPr>
    <w:rPr>
      <w:b/>
    </w:r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link w:val="FootnoteTextChar1"/>
    <w:uiPriority w:val="99"/>
    <w:semiHidden/>
    <w:rPr>
      <w:sz w:val="22"/>
    </w:rPr>
  </w:style>
  <w:style w:type="character" w:styleId="FootnoteReference">
    <w:name w:val="footnote reference"/>
    <w:aliases w:val="o,fr,Style 3,o1,o2,o3,o4,o5,o6,o11,o21,o7"/>
    <w:uiPriority w:val="99"/>
    <w:semiHidden/>
    <w:rPr>
      <w:rFonts w:ascii="Palatino" w:hAnsi="Palatino" w:cs="Times New Roman"/>
      <w:sz w:val="22"/>
      <w:vertAlign w:val="superscript"/>
    </w:rPr>
  </w:style>
  <w:style w:type="paragraph" w:customStyle="1" w:styleId="standard">
    <w:name w:val="standard"/>
    <w:basedOn w:val="Normal"/>
    <w:link w:val="standardChar"/>
    <w:pPr>
      <w:spacing w:line="360" w:lineRule="auto"/>
      <w:ind w:firstLine="720"/>
    </w:pPr>
  </w:style>
  <w:style w:type="paragraph" w:customStyle="1" w:styleId="substandard">
    <w:name w:val="substandard"/>
    <w:basedOn w:val="standard"/>
    <w:pPr>
      <w:ind w:firstLine="1440"/>
    </w:pPr>
  </w:style>
  <w:style w:type="paragraph" w:customStyle="1" w:styleId="subsubstandard">
    <w:name w:val="subsubstandard"/>
    <w:basedOn w:val="Normal"/>
    <w:pPr>
      <w:spacing w:line="360" w:lineRule="auto"/>
      <w:ind w:firstLine="2160"/>
    </w:pPr>
  </w:style>
  <w:style w:type="paragraph" w:customStyle="1" w:styleId="subsubsubstandard">
    <w:name w:val="subsubsubstandard"/>
    <w:basedOn w:val="subsubstandard"/>
    <w:pPr>
      <w:ind w:firstLine="2880"/>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customStyle="1" w:styleId="num2">
    <w:name w:val="num2"/>
    <w:basedOn w:val="num1"/>
    <w:pPr>
      <w:ind w:firstLine="270"/>
    </w:pPr>
  </w:style>
  <w:style w:type="paragraph" w:customStyle="1" w:styleId="heading">
    <w:name w:val="heading"/>
    <w:basedOn w:val="Normal"/>
    <w:pPr>
      <w:keepNext/>
      <w:suppressAutoHyphens/>
      <w:spacing w:line="360" w:lineRule="auto"/>
    </w:pPr>
    <w:rPr>
      <w:rFonts w:ascii="Helvetica" w:hAnsi="Helvetica"/>
      <w:b/>
    </w:rPr>
  </w:style>
  <w:style w:type="paragraph" w:customStyle="1" w:styleId="titlebar">
    <w:name w:val="title bar"/>
    <w:basedOn w:val="main"/>
    <w:pPr>
      <w:keepNext/>
      <w:suppressAutoHyphens/>
    </w:pPr>
  </w:style>
  <w:style w:type="paragraph" w:customStyle="1" w:styleId="subsubsubsubstandard">
    <w:name w:val="subsubsubsubstandard"/>
    <w:basedOn w:val="subsubsubstandard"/>
    <w:pPr>
      <w:ind w:firstLine="360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8280"/>
      </w:tabs>
      <w:ind w:left="1080" w:right="1260"/>
    </w:pPr>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qFormat/>
    <w:rPr>
      <w:rFonts w:cs="Times New Roman"/>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Pr>
      <w:rFonts w:ascii="Palatino" w:hAnsi="Palatino" w:cs="Times New Roman"/>
      <w:sz w:val="24"/>
      <w:lang w:val="en-US" w:eastAsia="en-US" w:bidi="ar-SA"/>
    </w:rPr>
  </w:style>
  <w:style w:type="character" w:customStyle="1" w:styleId="HTMLPreformattedChar">
    <w:name w:val="HTML Preformatted Char"/>
    <w:link w:val="HTMLPreformatted"/>
    <w:locked/>
    <w:rPr>
      <w:rFonts w:ascii="Courier New" w:hAnsi="Courier New" w:cs="Courier New"/>
      <w:lang w:val="en-US" w:eastAsia="en-US" w:bidi="ar-SA"/>
    </w:rPr>
  </w:style>
  <w:style w:type="character" w:customStyle="1" w:styleId="standardChar">
    <w:name w:val="standard Char"/>
    <w:link w:val="standard"/>
    <w:locked/>
    <w:rPr>
      <w:rFonts w:ascii="Palatino" w:hAnsi="Palatino" w:cs="Times New Roman"/>
      <w:sz w:val="24"/>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CharChar">
    <w:name w:val="Char Char"/>
    <w:rPr>
      <w:rFonts w:ascii="Courier New" w:hAnsi="Courier New" w:cs="Courier New"/>
      <w:lang w:val="en-US" w:eastAsia="en-US" w:bidi="ar-SA"/>
    </w:rPr>
  </w:style>
  <w:style w:type="character" w:styleId="FollowedHyperlink">
    <w:name w:val="FollowedHyperlink"/>
    <w:rPr>
      <w:color w:val="800080"/>
      <w:u w:val="single"/>
    </w:rPr>
  </w:style>
  <w:style w:type="character" w:customStyle="1" w:styleId="FootnoteTextChar1">
    <w:name w:val="Footnote Text Char1"/>
    <w:aliases w:val="Footnote Text Char Char1,Footnote Text Char2 Char Char,Footnote Text Char Char Char Char,Footnote Text Char2 Char Char Char Char,Footnote Text Char Char Char Char Char Char,Footnote Text Char2 Char Char Char Char1 Char Char,fn Char"/>
    <w:link w:val="FootnoteText"/>
    <w:rPr>
      <w:rFonts w:ascii="Palatino" w:hAnsi="Palatino"/>
      <w:sz w:val="22"/>
      <w:lang w:val="en-US" w:eastAsia="en-US" w:bidi="ar-SA"/>
    </w:rPr>
  </w:style>
  <w:style w:type="paragraph" w:styleId="NormalWeb">
    <w:name w:val="Normal (Web)"/>
    <w:basedOn w:val="Normal"/>
    <w:uiPriority w:val="99"/>
    <w:pPr>
      <w:overflowPunct/>
      <w:autoSpaceDE/>
      <w:autoSpaceDN/>
      <w:adjustRightInd/>
      <w:spacing w:before="168" w:after="216"/>
      <w:textAlignment w:val="auto"/>
    </w:pPr>
    <w:rPr>
      <w:rFonts w:ascii="Times New Roman" w:hAnsi="Times New Roman"/>
      <w:szCs w:val="24"/>
    </w:rPr>
  </w:style>
  <w:style w:type="character" w:customStyle="1" w:styleId="num1Char">
    <w:name w:val="num1 Char"/>
    <w:link w:val="num1"/>
    <w:locked/>
    <w:rsid w:val="004A3BDB"/>
    <w:rPr>
      <w:rFonts w:ascii="Palatino" w:hAnsi="Palatino"/>
      <w:sz w:val="24"/>
    </w:rPr>
  </w:style>
  <w:style w:type="paragraph" w:styleId="ListParagraph">
    <w:name w:val="List Paragraph"/>
    <w:basedOn w:val="Normal"/>
    <w:uiPriority w:val="34"/>
    <w:qFormat/>
    <w:rsid w:val="00BD224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FooterChar">
    <w:name w:val="Footer Char"/>
    <w:link w:val="Footer"/>
    <w:uiPriority w:val="99"/>
    <w:rsid w:val="0004215A"/>
    <w:rPr>
      <w:rFonts w:ascii="Palatino" w:hAnsi="Palatino"/>
      <w:sz w:val="24"/>
    </w:rPr>
  </w:style>
  <w:style w:type="paragraph" w:styleId="Revision">
    <w:name w:val="Revision"/>
    <w:hidden/>
    <w:uiPriority w:val="99"/>
    <w:semiHidden/>
    <w:rsid w:val="00E9279E"/>
    <w:rPr>
      <w:rFonts w:ascii="Palatino" w:hAnsi="Palatino"/>
      <w:sz w:val="24"/>
    </w:rPr>
  </w:style>
  <w:style w:type="paragraph" w:customStyle="1" w:styleId="Default">
    <w:name w:val="Default"/>
    <w:rsid w:val="00FD37E5"/>
    <w:pPr>
      <w:autoSpaceDE w:val="0"/>
      <w:autoSpaceDN w:val="0"/>
      <w:adjustRightInd w:val="0"/>
    </w:pPr>
    <w:rPr>
      <w:rFonts w:ascii="Book Antiqua" w:hAnsi="Book Antiqua" w:cs="Book Antiqua"/>
      <w:color w:val="000000"/>
      <w:sz w:val="24"/>
      <w:szCs w:val="24"/>
    </w:rPr>
  </w:style>
  <w:style w:type="character" w:styleId="Hyperlink">
    <w:name w:val="Hyperlink"/>
    <w:basedOn w:val="DefaultParagraphFont"/>
    <w:uiPriority w:val="99"/>
    <w:unhideWhenUsed/>
    <w:rsid w:val="00A35AD4"/>
    <w:rPr>
      <w:strike w:val="0"/>
      <w:dstrike w:val="0"/>
      <w:color w:val="3366CC"/>
      <w:u w:val="none"/>
      <w:effect w:val="none"/>
      <w:shd w:val="clear" w:color="auto" w:fill="auto"/>
    </w:rPr>
  </w:style>
  <w:style w:type="paragraph" w:styleId="EndnoteText">
    <w:name w:val="endnote text"/>
    <w:basedOn w:val="Normal"/>
    <w:link w:val="EndnoteTextChar"/>
    <w:semiHidden/>
    <w:unhideWhenUsed/>
    <w:rsid w:val="00932191"/>
    <w:rPr>
      <w:sz w:val="20"/>
    </w:rPr>
  </w:style>
  <w:style w:type="character" w:customStyle="1" w:styleId="EndnoteTextChar">
    <w:name w:val="Endnote Text Char"/>
    <w:basedOn w:val="DefaultParagraphFont"/>
    <w:link w:val="EndnoteText"/>
    <w:semiHidden/>
    <w:rsid w:val="00932191"/>
    <w:rPr>
      <w:rFonts w:ascii="Palatino" w:hAnsi="Palatino"/>
    </w:rPr>
  </w:style>
  <w:style w:type="character" w:styleId="EndnoteReference">
    <w:name w:val="endnote reference"/>
    <w:basedOn w:val="DefaultParagraphFont"/>
    <w:semiHidden/>
    <w:unhideWhenUsed/>
    <w:rsid w:val="00932191"/>
    <w:rPr>
      <w:vertAlign w:val="superscript"/>
    </w:rPr>
  </w:style>
  <w:style w:type="paragraph" w:customStyle="1" w:styleId="paragraph">
    <w:name w:val="paragraph"/>
    <w:basedOn w:val="Normal"/>
    <w:rsid w:val="004C3DC7"/>
    <w:pPr>
      <w:overflowPunct/>
      <w:autoSpaceDE/>
      <w:autoSpaceDN/>
      <w:adjustRightInd/>
      <w:textAlignment w:val="auto"/>
    </w:pPr>
    <w:rPr>
      <w:rFonts w:ascii="Times New Roman" w:hAnsi="Times New Roman"/>
      <w:szCs w:val="24"/>
    </w:rPr>
  </w:style>
  <w:style w:type="character" w:customStyle="1" w:styleId="eop">
    <w:name w:val="eop"/>
    <w:basedOn w:val="DefaultParagraphFont"/>
    <w:rsid w:val="004C3DC7"/>
  </w:style>
  <w:style w:type="paragraph" w:styleId="NoSpacing">
    <w:name w:val="No Spacing"/>
    <w:uiPriority w:val="1"/>
    <w:qFormat/>
    <w:rsid w:val="001E52C4"/>
    <w:pPr>
      <w:overflowPunct w:val="0"/>
      <w:autoSpaceDE w:val="0"/>
      <w:autoSpaceDN w:val="0"/>
      <w:adjustRightInd w:val="0"/>
      <w:textAlignment w:val="baseline"/>
    </w:pPr>
    <w:rPr>
      <w:rFonts w:ascii="Palatino" w:hAnsi="Palatino"/>
      <w:sz w:val="24"/>
    </w:rPr>
  </w:style>
  <w:style w:type="character" w:styleId="UnresolvedMention">
    <w:name w:val="Unresolved Mention"/>
    <w:basedOn w:val="DefaultParagraphFont"/>
    <w:uiPriority w:val="99"/>
    <w:semiHidden/>
    <w:unhideWhenUsed/>
    <w:rsid w:val="0075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692909">
      <w:bodyDiv w:val="1"/>
      <w:marLeft w:val="0"/>
      <w:marRight w:val="0"/>
      <w:marTop w:val="0"/>
      <w:marBottom w:val="0"/>
      <w:divBdr>
        <w:top w:val="none" w:sz="0" w:space="0" w:color="auto"/>
        <w:left w:val="none" w:sz="0" w:space="0" w:color="auto"/>
        <w:bottom w:val="none" w:sz="0" w:space="0" w:color="auto"/>
        <w:right w:val="none" w:sz="0" w:space="0" w:color="auto"/>
      </w:divBdr>
    </w:div>
    <w:div w:id="22249365">
      <w:bodyDiv w:val="1"/>
      <w:marLeft w:val="0"/>
      <w:marRight w:val="0"/>
      <w:marTop w:val="0"/>
      <w:marBottom w:val="0"/>
      <w:divBdr>
        <w:top w:val="none" w:sz="0" w:space="0" w:color="auto"/>
        <w:left w:val="none" w:sz="0" w:space="0" w:color="auto"/>
        <w:bottom w:val="none" w:sz="0" w:space="0" w:color="auto"/>
        <w:right w:val="none" w:sz="0" w:space="0" w:color="auto"/>
      </w:divBdr>
    </w:div>
    <w:div w:id="68774143">
      <w:bodyDiv w:val="1"/>
      <w:marLeft w:val="0"/>
      <w:marRight w:val="0"/>
      <w:marTop w:val="0"/>
      <w:marBottom w:val="0"/>
      <w:divBdr>
        <w:top w:val="none" w:sz="0" w:space="0" w:color="auto"/>
        <w:left w:val="none" w:sz="0" w:space="0" w:color="auto"/>
        <w:bottom w:val="none" w:sz="0" w:space="0" w:color="auto"/>
        <w:right w:val="none" w:sz="0" w:space="0" w:color="auto"/>
      </w:divBdr>
    </w:div>
    <w:div w:id="94794725">
      <w:bodyDiv w:val="1"/>
      <w:marLeft w:val="0"/>
      <w:marRight w:val="0"/>
      <w:marTop w:val="0"/>
      <w:marBottom w:val="0"/>
      <w:divBdr>
        <w:top w:val="none" w:sz="0" w:space="0" w:color="auto"/>
        <w:left w:val="none" w:sz="0" w:space="0" w:color="auto"/>
        <w:bottom w:val="none" w:sz="0" w:space="0" w:color="auto"/>
        <w:right w:val="none" w:sz="0" w:space="0" w:color="auto"/>
      </w:divBdr>
    </w:div>
    <w:div w:id="154686815">
      <w:bodyDiv w:val="1"/>
      <w:marLeft w:val="0"/>
      <w:marRight w:val="0"/>
      <w:marTop w:val="0"/>
      <w:marBottom w:val="0"/>
      <w:divBdr>
        <w:top w:val="none" w:sz="0" w:space="0" w:color="auto"/>
        <w:left w:val="none" w:sz="0" w:space="0" w:color="auto"/>
        <w:bottom w:val="none" w:sz="0" w:space="0" w:color="auto"/>
        <w:right w:val="none" w:sz="0" w:space="0" w:color="auto"/>
      </w:divBdr>
    </w:div>
    <w:div w:id="235091762">
      <w:bodyDiv w:val="1"/>
      <w:marLeft w:val="0"/>
      <w:marRight w:val="0"/>
      <w:marTop w:val="0"/>
      <w:marBottom w:val="0"/>
      <w:divBdr>
        <w:top w:val="none" w:sz="0" w:space="0" w:color="auto"/>
        <w:left w:val="none" w:sz="0" w:space="0" w:color="auto"/>
        <w:bottom w:val="none" w:sz="0" w:space="0" w:color="auto"/>
        <w:right w:val="none" w:sz="0" w:space="0" w:color="auto"/>
      </w:divBdr>
    </w:div>
    <w:div w:id="239559137">
      <w:bodyDiv w:val="1"/>
      <w:marLeft w:val="0"/>
      <w:marRight w:val="0"/>
      <w:marTop w:val="0"/>
      <w:marBottom w:val="0"/>
      <w:divBdr>
        <w:top w:val="none" w:sz="0" w:space="0" w:color="auto"/>
        <w:left w:val="none" w:sz="0" w:space="0" w:color="auto"/>
        <w:bottom w:val="none" w:sz="0" w:space="0" w:color="auto"/>
        <w:right w:val="none" w:sz="0" w:space="0" w:color="auto"/>
      </w:divBdr>
    </w:div>
    <w:div w:id="323238976">
      <w:bodyDiv w:val="1"/>
      <w:marLeft w:val="0"/>
      <w:marRight w:val="0"/>
      <w:marTop w:val="0"/>
      <w:marBottom w:val="0"/>
      <w:divBdr>
        <w:top w:val="none" w:sz="0" w:space="0" w:color="auto"/>
        <w:left w:val="none" w:sz="0" w:space="0" w:color="auto"/>
        <w:bottom w:val="none" w:sz="0" w:space="0" w:color="auto"/>
        <w:right w:val="none" w:sz="0" w:space="0" w:color="auto"/>
      </w:divBdr>
    </w:div>
    <w:div w:id="414782666">
      <w:bodyDiv w:val="1"/>
      <w:marLeft w:val="0"/>
      <w:marRight w:val="0"/>
      <w:marTop w:val="0"/>
      <w:marBottom w:val="0"/>
      <w:divBdr>
        <w:top w:val="none" w:sz="0" w:space="0" w:color="auto"/>
        <w:left w:val="none" w:sz="0" w:space="0" w:color="auto"/>
        <w:bottom w:val="none" w:sz="0" w:space="0" w:color="auto"/>
        <w:right w:val="none" w:sz="0" w:space="0" w:color="auto"/>
      </w:divBdr>
    </w:div>
    <w:div w:id="432164716">
      <w:bodyDiv w:val="1"/>
      <w:marLeft w:val="0"/>
      <w:marRight w:val="0"/>
      <w:marTop w:val="0"/>
      <w:marBottom w:val="0"/>
      <w:divBdr>
        <w:top w:val="none" w:sz="0" w:space="0" w:color="auto"/>
        <w:left w:val="none" w:sz="0" w:space="0" w:color="auto"/>
        <w:bottom w:val="none" w:sz="0" w:space="0" w:color="auto"/>
        <w:right w:val="none" w:sz="0" w:space="0" w:color="auto"/>
      </w:divBdr>
    </w:div>
    <w:div w:id="540752199">
      <w:bodyDiv w:val="1"/>
      <w:marLeft w:val="0"/>
      <w:marRight w:val="0"/>
      <w:marTop w:val="0"/>
      <w:marBottom w:val="0"/>
      <w:divBdr>
        <w:top w:val="none" w:sz="0" w:space="0" w:color="auto"/>
        <w:left w:val="none" w:sz="0" w:space="0" w:color="auto"/>
        <w:bottom w:val="none" w:sz="0" w:space="0" w:color="auto"/>
        <w:right w:val="none" w:sz="0" w:space="0" w:color="auto"/>
      </w:divBdr>
    </w:div>
    <w:div w:id="628752677">
      <w:bodyDiv w:val="1"/>
      <w:marLeft w:val="0"/>
      <w:marRight w:val="0"/>
      <w:marTop w:val="0"/>
      <w:marBottom w:val="0"/>
      <w:divBdr>
        <w:top w:val="none" w:sz="0" w:space="0" w:color="auto"/>
        <w:left w:val="none" w:sz="0" w:space="0" w:color="auto"/>
        <w:bottom w:val="none" w:sz="0" w:space="0" w:color="auto"/>
        <w:right w:val="none" w:sz="0" w:space="0" w:color="auto"/>
      </w:divBdr>
    </w:div>
    <w:div w:id="710304293">
      <w:bodyDiv w:val="1"/>
      <w:marLeft w:val="0"/>
      <w:marRight w:val="0"/>
      <w:marTop w:val="0"/>
      <w:marBottom w:val="0"/>
      <w:divBdr>
        <w:top w:val="none" w:sz="0" w:space="0" w:color="auto"/>
        <w:left w:val="none" w:sz="0" w:space="0" w:color="auto"/>
        <w:bottom w:val="none" w:sz="0" w:space="0" w:color="auto"/>
        <w:right w:val="none" w:sz="0" w:space="0" w:color="auto"/>
      </w:divBdr>
    </w:div>
    <w:div w:id="736633941">
      <w:bodyDiv w:val="1"/>
      <w:marLeft w:val="0"/>
      <w:marRight w:val="0"/>
      <w:marTop w:val="0"/>
      <w:marBottom w:val="0"/>
      <w:divBdr>
        <w:top w:val="none" w:sz="0" w:space="0" w:color="auto"/>
        <w:left w:val="none" w:sz="0" w:space="0" w:color="auto"/>
        <w:bottom w:val="none" w:sz="0" w:space="0" w:color="auto"/>
        <w:right w:val="none" w:sz="0" w:space="0" w:color="auto"/>
      </w:divBdr>
    </w:div>
    <w:div w:id="761560667">
      <w:bodyDiv w:val="1"/>
      <w:marLeft w:val="0"/>
      <w:marRight w:val="0"/>
      <w:marTop w:val="0"/>
      <w:marBottom w:val="0"/>
      <w:divBdr>
        <w:top w:val="none" w:sz="0" w:space="0" w:color="auto"/>
        <w:left w:val="none" w:sz="0" w:space="0" w:color="auto"/>
        <w:bottom w:val="none" w:sz="0" w:space="0" w:color="auto"/>
        <w:right w:val="none" w:sz="0" w:space="0" w:color="auto"/>
      </w:divBdr>
      <w:divsChild>
        <w:div w:id="402684731">
          <w:marLeft w:val="2985"/>
          <w:marRight w:val="0"/>
          <w:marTop w:val="0"/>
          <w:marBottom w:val="0"/>
          <w:divBdr>
            <w:top w:val="none" w:sz="0" w:space="0" w:color="auto"/>
            <w:left w:val="none" w:sz="0" w:space="0" w:color="auto"/>
            <w:bottom w:val="none" w:sz="0" w:space="0" w:color="auto"/>
            <w:right w:val="none" w:sz="0" w:space="0" w:color="auto"/>
          </w:divBdr>
          <w:divsChild>
            <w:div w:id="1777285295">
              <w:marLeft w:val="0"/>
              <w:marRight w:val="0"/>
              <w:marTop w:val="0"/>
              <w:marBottom w:val="0"/>
              <w:divBdr>
                <w:top w:val="none" w:sz="0" w:space="0" w:color="auto"/>
                <w:left w:val="none" w:sz="0" w:space="0" w:color="auto"/>
                <w:bottom w:val="none" w:sz="0" w:space="0" w:color="auto"/>
                <w:right w:val="none" w:sz="0" w:space="0" w:color="auto"/>
              </w:divBdr>
              <w:divsChild>
                <w:div w:id="14210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2027">
      <w:bodyDiv w:val="1"/>
      <w:marLeft w:val="0"/>
      <w:marRight w:val="0"/>
      <w:marTop w:val="0"/>
      <w:marBottom w:val="0"/>
      <w:divBdr>
        <w:top w:val="none" w:sz="0" w:space="0" w:color="auto"/>
        <w:left w:val="none" w:sz="0" w:space="0" w:color="auto"/>
        <w:bottom w:val="none" w:sz="0" w:space="0" w:color="auto"/>
        <w:right w:val="none" w:sz="0" w:space="0" w:color="auto"/>
      </w:divBdr>
      <w:divsChild>
        <w:div w:id="1117142505">
          <w:marLeft w:val="2985"/>
          <w:marRight w:val="0"/>
          <w:marTop w:val="0"/>
          <w:marBottom w:val="0"/>
          <w:divBdr>
            <w:top w:val="none" w:sz="0" w:space="0" w:color="auto"/>
            <w:left w:val="none" w:sz="0" w:space="0" w:color="auto"/>
            <w:bottom w:val="none" w:sz="0" w:space="0" w:color="auto"/>
            <w:right w:val="none" w:sz="0" w:space="0" w:color="auto"/>
          </w:divBdr>
          <w:divsChild>
            <w:div w:id="1926498690">
              <w:marLeft w:val="0"/>
              <w:marRight w:val="0"/>
              <w:marTop w:val="0"/>
              <w:marBottom w:val="0"/>
              <w:divBdr>
                <w:top w:val="none" w:sz="0" w:space="0" w:color="auto"/>
                <w:left w:val="none" w:sz="0" w:space="0" w:color="auto"/>
                <w:bottom w:val="none" w:sz="0" w:space="0" w:color="auto"/>
                <w:right w:val="none" w:sz="0" w:space="0" w:color="auto"/>
              </w:divBdr>
              <w:divsChild>
                <w:div w:id="2055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8679">
      <w:bodyDiv w:val="1"/>
      <w:marLeft w:val="0"/>
      <w:marRight w:val="0"/>
      <w:marTop w:val="0"/>
      <w:marBottom w:val="0"/>
      <w:divBdr>
        <w:top w:val="none" w:sz="0" w:space="0" w:color="auto"/>
        <w:left w:val="none" w:sz="0" w:space="0" w:color="auto"/>
        <w:bottom w:val="none" w:sz="0" w:space="0" w:color="auto"/>
        <w:right w:val="none" w:sz="0" w:space="0" w:color="auto"/>
      </w:divBdr>
    </w:div>
    <w:div w:id="1000497936">
      <w:bodyDiv w:val="1"/>
      <w:marLeft w:val="0"/>
      <w:marRight w:val="0"/>
      <w:marTop w:val="0"/>
      <w:marBottom w:val="0"/>
      <w:divBdr>
        <w:top w:val="none" w:sz="0" w:space="0" w:color="auto"/>
        <w:left w:val="none" w:sz="0" w:space="0" w:color="auto"/>
        <w:bottom w:val="none" w:sz="0" w:space="0" w:color="auto"/>
        <w:right w:val="none" w:sz="0" w:space="0" w:color="auto"/>
      </w:divBdr>
    </w:div>
    <w:div w:id="1058626462">
      <w:bodyDiv w:val="1"/>
      <w:marLeft w:val="0"/>
      <w:marRight w:val="0"/>
      <w:marTop w:val="0"/>
      <w:marBottom w:val="0"/>
      <w:divBdr>
        <w:top w:val="none" w:sz="0" w:space="0" w:color="auto"/>
        <w:left w:val="none" w:sz="0" w:space="0" w:color="auto"/>
        <w:bottom w:val="none" w:sz="0" w:space="0" w:color="auto"/>
        <w:right w:val="none" w:sz="0" w:space="0" w:color="auto"/>
      </w:divBdr>
    </w:div>
    <w:div w:id="1153258968">
      <w:bodyDiv w:val="1"/>
      <w:marLeft w:val="0"/>
      <w:marRight w:val="0"/>
      <w:marTop w:val="0"/>
      <w:marBottom w:val="0"/>
      <w:divBdr>
        <w:top w:val="none" w:sz="0" w:space="0" w:color="auto"/>
        <w:left w:val="none" w:sz="0" w:space="0" w:color="auto"/>
        <w:bottom w:val="none" w:sz="0" w:space="0" w:color="auto"/>
        <w:right w:val="none" w:sz="0" w:space="0" w:color="auto"/>
      </w:divBdr>
    </w:div>
    <w:div w:id="1258833720">
      <w:bodyDiv w:val="1"/>
      <w:marLeft w:val="0"/>
      <w:marRight w:val="0"/>
      <w:marTop w:val="0"/>
      <w:marBottom w:val="0"/>
      <w:divBdr>
        <w:top w:val="none" w:sz="0" w:space="0" w:color="auto"/>
        <w:left w:val="none" w:sz="0" w:space="0" w:color="auto"/>
        <w:bottom w:val="none" w:sz="0" w:space="0" w:color="auto"/>
        <w:right w:val="none" w:sz="0" w:space="0" w:color="auto"/>
      </w:divBdr>
    </w:div>
    <w:div w:id="1388066285">
      <w:bodyDiv w:val="1"/>
      <w:marLeft w:val="0"/>
      <w:marRight w:val="0"/>
      <w:marTop w:val="0"/>
      <w:marBottom w:val="0"/>
      <w:divBdr>
        <w:top w:val="none" w:sz="0" w:space="0" w:color="auto"/>
        <w:left w:val="none" w:sz="0" w:space="0" w:color="auto"/>
        <w:bottom w:val="none" w:sz="0" w:space="0" w:color="auto"/>
        <w:right w:val="none" w:sz="0" w:space="0" w:color="auto"/>
      </w:divBdr>
    </w:div>
    <w:div w:id="1398741967">
      <w:bodyDiv w:val="1"/>
      <w:marLeft w:val="0"/>
      <w:marRight w:val="0"/>
      <w:marTop w:val="0"/>
      <w:marBottom w:val="0"/>
      <w:divBdr>
        <w:top w:val="none" w:sz="0" w:space="0" w:color="auto"/>
        <w:left w:val="none" w:sz="0" w:space="0" w:color="auto"/>
        <w:bottom w:val="none" w:sz="0" w:space="0" w:color="auto"/>
        <w:right w:val="none" w:sz="0" w:space="0" w:color="auto"/>
      </w:divBdr>
    </w:div>
    <w:div w:id="1406301026">
      <w:bodyDiv w:val="1"/>
      <w:marLeft w:val="0"/>
      <w:marRight w:val="0"/>
      <w:marTop w:val="0"/>
      <w:marBottom w:val="0"/>
      <w:divBdr>
        <w:top w:val="none" w:sz="0" w:space="0" w:color="auto"/>
        <w:left w:val="none" w:sz="0" w:space="0" w:color="auto"/>
        <w:bottom w:val="none" w:sz="0" w:space="0" w:color="auto"/>
        <w:right w:val="none" w:sz="0" w:space="0" w:color="auto"/>
      </w:divBdr>
    </w:div>
    <w:div w:id="1494222973">
      <w:bodyDiv w:val="1"/>
      <w:marLeft w:val="0"/>
      <w:marRight w:val="0"/>
      <w:marTop w:val="0"/>
      <w:marBottom w:val="0"/>
      <w:divBdr>
        <w:top w:val="none" w:sz="0" w:space="0" w:color="auto"/>
        <w:left w:val="none" w:sz="0" w:space="0" w:color="auto"/>
        <w:bottom w:val="none" w:sz="0" w:space="0" w:color="auto"/>
        <w:right w:val="none" w:sz="0" w:space="0" w:color="auto"/>
      </w:divBdr>
    </w:div>
    <w:div w:id="1643267751">
      <w:bodyDiv w:val="1"/>
      <w:marLeft w:val="0"/>
      <w:marRight w:val="0"/>
      <w:marTop w:val="0"/>
      <w:marBottom w:val="0"/>
      <w:divBdr>
        <w:top w:val="none" w:sz="0" w:space="0" w:color="auto"/>
        <w:left w:val="none" w:sz="0" w:space="0" w:color="auto"/>
        <w:bottom w:val="none" w:sz="0" w:space="0" w:color="auto"/>
        <w:right w:val="none" w:sz="0" w:space="0" w:color="auto"/>
      </w:divBdr>
    </w:div>
    <w:div w:id="1658341657">
      <w:bodyDiv w:val="1"/>
      <w:marLeft w:val="0"/>
      <w:marRight w:val="0"/>
      <w:marTop w:val="0"/>
      <w:marBottom w:val="0"/>
      <w:divBdr>
        <w:top w:val="none" w:sz="0" w:space="0" w:color="auto"/>
        <w:left w:val="none" w:sz="0" w:space="0" w:color="auto"/>
        <w:bottom w:val="none" w:sz="0" w:space="0" w:color="auto"/>
        <w:right w:val="none" w:sz="0" w:space="0" w:color="auto"/>
      </w:divBdr>
    </w:div>
    <w:div w:id="1877808871">
      <w:bodyDiv w:val="1"/>
      <w:marLeft w:val="0"/>
      <w:marRight w:val="0"/>
      <w:marTop w:val="0"/>
      <w:marBottom w:val="0"/>
      <w:divBdr>
        <w:top w:val="none" w:sz="0" w:space="0" w:color="auto"/>
        <w:left w:val="none" w:sz="0" w:space="0" w:color="auto"/>
        <w:bottom w:val="none" w:sz="0" w:space="0" w:color="auto"/>
        <w:right w:val="none" w:sz="0" w:space="0" w:color="auto"/>
      </w:divBdr>
    </w:div>
    <w:div w:id="1920865313">
      <w:bodyDiv w:val="1"/>
      <w:marLeft w:val="0"/>
      <w:marRight w:val="0"/>
      <w:marTop w:val="0"/>
      <w:marBottom w:val="0"/>
      <w:divBdr>
        <w:top w:val="none" w:sz="0" w:space="0" w:color="auto"/>
        <w:left w:val="none" w:sz="0" w:space="0" w:color="auto"/>
        <w:bottom w:val="none" w:sz="0" w:space="0" w:color="auto"/>
        <w:right w:val="none" w:sz="0" w:space="0" w:color="auto"/>
      </w:divBdr>
    </w:div>
    <w:div w:id="1962764748">
      <w:bodyDiv w:val="1"/>
      <w:marLeft w:val="0"/>
      <w:marRight w:val="0"/>
      <w:marTop w:val="0"/>
      <w:marBottom w:val="0"/>
      <w:divBdr>
        <w:top w:val="none" w:sz="0" w:space="0" w:color="auto"/>
        <w:left w:val="none" w:sz="0" w:space="0" w:color="auto"/>
        <w:bottom w:val="none" w:sz="0" w:space="0" w:color="auto"/>
        <w:right w:val="none" w:sz="0" w:space="0" w:color="auto"/>
      </w:divBdr>
    </w:div>
    <w:div w:id="2082946252">
      <w:bodyDiv w:val="1"/>
      <w:marLeft w:val="0"/>
      <w:marRight w:val="0"/>
      <w:marTop w:val="0"/>
      <w:marBottom w:val="0"/>
      <w:divBdr>
        <w:top w:val="none" w:sz="0" w:space="0" w:color="auto"/>
        <w:left w:val="none" w:sz="0" w:space="0" w:color="auto"/>
        <w:bottom w:val="none" w:sz="0" w:space="0" w:color="auto"/>
        <w:right w:val="none" w:sz="0" w:space="0" w:color="auto"/>
      </w:divBdr>
    </w:div>
    <w:div w:id="2121487387">
      <w:bodyDiv w:val="1"/>
      <w:marLeft w:val="0"/>
      <w:marRight w:val="0"/>
      <w:marTop w:val="0"/>
      <w:marBottom w:val="0"/>
      <w:divBdr>
        <w:top w:val="none" w:sz="0" w:space="0" w:color="auto"/>
        <w:left w:val="none" w:sz="0" w:space="0" w:color="auto"/>
        <w:bottom w:val="none" w:sz="0" w:space="0" w:color="auto"/>
        <w:right w:val="none" w:sz="0" w:space="0" w:color="auto"/>
      </w:divBdr>
    </w:div>
    <w:div w:id="21408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compliance@cpuc.ca.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compliance@cpuc.c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dcompliance@cpuc.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industries-and-topics/internet-and-phone/carrier-reporting-requirements" TargetMode="External"/><Relationship Id="rId1" Type="http://schemas.openxmlformats.org/officeDocument/2006/relationships/hyperlink" Target="https://www.cpuc.ca.gov/-/media/cpuc-website/divisions/communications-division/documents/licensing-compliance/contact-information-update-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4F79-7097-448F-B572-2EB5CBB13DF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2811</ap:Words>
  <ap:Characters>16024</ap:Characters>
  <ap:Application>Microsoft Office Word</ap:Application>
  <ap:DocSecurity>0</ap:DocSecurity>
  <ap:Lines>133</ap:Lines>
  <ap:Paragraphs>37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18798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2012-04-20T17:54:00Z</cp:lastPrinted>
  <dcterms:created xsi:type="dcterms:W3CDTF">2024-04-19T11:41:23Z</dcterms:created>
  <dcterms:modified xsi:type="dcterms:W3CDTF">2024-04-19T11:41:23Z</dcterms:modified>
</cp:coreProperties>
</file>