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4315" w:rsidR="00DA7B5D" w:rsidP="00122AE5" w:rsidRDefault="005543CC" w14:paraId="160E443B" w14:textId="0AA6CDF0">
      <w:pPr>
        <w:tabs>
          <w:tab w:val="center" w:pos="4320"/>
          <w:tab w:val="right" w:pos="9360"/>
        </w:tabs>
        <w:spacing w:line="240" w:lineRule="auto"/>
        <w:ind w:firstLine="0"/>
        <w:rPr>
          <w:b/>
        </w:rPr>
      </w:pPr>
      <w:r>
        <w:t>ALJ/KK2/jnf</w:t>
      </w:r>
      <w:r w:rsidR="007E0FEE">
        <w:tab/>
      </w:r>
      <w:r w:rsidR="00DA7B5D">
        <w:tab/>
      </w:r>
      <w:r w:rsidR="00122AE5">
        <w:rPr>
          <w:b/>
        </w:rPr>
        <w:t>Date of Issuance 4/22/2024</w:t>
      </w:r>
    </w:p>
    <w:p w:rsidR="00DA7B5D" w:rsidP="00077C0F" w:rsidRDefault="00DA7B5D" w14:paraId="3C5C3A90" w14:textId="26F26E44">
      <w:pPr>
        <w:spacing w:line="240" w:lineRule="auto"/>
        <w:ind w:firstLine="0"/>
        <w:jc w:val="right"/>
        <w:rPr>
          <w:b/>
          <w:bCs/>
        </w:rPr>
      </w:pPr>
    </w:p>
    <w:p w:rsidRPr="00077C0F" w:rsidR="00077C0F" w:rsidP="00077C0F" w:rsidRDefault="00077C0F" w14:paraId="3ABD327C" w14:textId="77777777">
      <w:pPr>
        <w:spacing w:line="240" w:lineRule="auto"/>
        <w:ind w:firstLine="0"/>
        <w:jc w:val="right"/>
        <w:rPr>
          <w:b/>
          <w:bCs/>
        </w:rPr>
      </w:pPr>
    </w:p>
    <w:p w:rsidRPr="00EE3060" w:rsidR="00DA7B5D" w:rsidP="00DE36C5" w:rsidRDefault="00DA7B5D" w14:paraId="393F89D1" w14:textId="712870EC">
      <w:pPr>
        <w:spacing w:line="240" w:lineRule="auto"/>
        <w:ind w:left="1080" w:hanging="1080"/>
      </w:pPr>
      <w:r>
        <w:t>Decision</w:t>
      </w:r>
      <w:r w:rsidR="00122AE5">
        <w:t> </w:t>
      </w:r>
      <w:r w:rsidRPr="00122AE5" w:rsidR="00122AE5">
        <w:t>24</w:t>
      </w:r>
      <w:r w:rsidR="00122AE5">
        <w:noBreakHyphen/>
      </w:r>
      <w:r w:rsidRPr="00122AE5" w:rsidR="00122AE5">
        <w:t>04</w:t>
      </w:r>
      <w:r w:rsidR="00122AE5">
        <w:noBreakHyphen/>
      </w:r>
      <w:r w:rsidRPr="00122AE5" w:rsidR="00122AE5">
        <w:t>011</w:t>
      </w:r>
      <w:r w:rsidR="00122AE5">
        <w:t xml:space="preserve">  April 18, 2024</w:t>
      </w:r>
    </w:p>
    <w:p w:rsidR="00DA7B5D" w:rsidP="008B1880" w:rsidRDefault="00DA7B5D" w14:paraId="5596F928" w14:textId="77777777">
      <w:pPr>
        <w:ind w:firstLine="0"/>
        <w:jc w:val="center"/>
        <w:rPr>
          <w:u w:val="single"/>
        </w:rPr>
      </w:pPr>
    </w:p>
    <w:p w:rsidR="00DA7B5D" w:rsidP="00BB0243" w:rsidRDefault="00DA7B5D" w14:paraId="1BE15265"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2E229E85"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770"/>
        <w:gridCol w:w="4590"/>
      </w:tblGrid>
      <w:tr w:rsidR="00DA7B5D" w:rsidTr="005543CC" w14:paraId="08DE0FFC" w14:textId="77777777">
        <w:trPr>
          <w:jc w:val="center"/>
        </w:trPr>
        <w:tc>
          <w:tcPr>
            <w:tcW w:w="4770" w:type="dxa"/>
            <w:tcBorders>
              <w:top w:val="nil"/>
              <w:left w:val="nil"/>
              <w:bottom w:val="single" w:color="auto" w:sz="4" w:space="0"/>
              <w:right w:val="single" w:color="auto" w:sz="4" w:space="0"/>
            </w:tcBorders>
          </w:tcPr>
          <w:p w:rsidR="005543CC" w:rsidP="00C10B5F" w:rsidRDefault="00D40883" w14:paraId="7E08261A" w14:textId="77777777">
            <w:pPr>
              <w:spacing w:line="240" w:lineRule="auto"/>
              <w:ind w:firstLine="0"/>
              <w:rPr>
                <w:rFonts w:cs="Arial"/>
                <w:szCs w:val="26"/>
              </w:rPr>
            </w:pPr>
            <w:r w:rsidRPr="00D40883">
              <w:rPr>
                <w:rFonts w:cs="Arial"/>
                <w:szCs w:val="26"/>
              </w:rPr>
              <w:t xml:space="preserve">Joint Application of Horizon West Transmission, LLC (U222E) formerly known as </w:t>
            </w:r>
            <w:proofErr w:type="spellStart"/>
            <w:r w:rsidRPr="00D40883">
              <w:rPr>
                <w:rFonts w:cs="Arial"/>
                <w:szCs w:val="26"/>
              </w:rPr>
              <w:t>Nextra</w:t>
            </w:r>
            <w:proofErr w:type="spellEnd"/>
            <w:r w:rsidRPr="00D40883">
              <w:rPr>
                <w:rFonts w:cs="Arial"/>
                <w:szCs w:val="26"/>
              </w:rPr>
              <w:t xml:space="preserve"> Energy Transmission West, LLC, and Pacific Gas and Electric Company (U39E) for Permits to Construct the Estrella Substation and Paso Robles Reinforcement Project.</w:t>
            </w:r>
          </w:p>
          <w:p w:rsidRPr="00DA7B5D" w:rsidR="00D40883" w:rsidP="00C10B5F" w:rsidRDefault="00D40883" w14:paraId="01282624" w14:textId="25F81D9E">
            <w:pPr>
              <w:spacing w:line="240" w:lineRule="auto"/>
              <w:ind w:firstLine="0"/>
              <w:rPr>
                <w:rFonts w:cs="Arial"/>
                <w:szCs w:val="26"/>
              </w:rPr>
            </w:pPr>
          </w:p>
        </w:tc>
        <w:tc>
          <w:tcPr>
            <w:tcW w:w="4590" w:type="dxa"/>
            <w:tcBorders>
              <w:top w:val="nil"/>
              <w:left w:val="single" w:color="auto" w:sz="4" w:space="0"/>
              <w:bottom w:val="nil"/>
              <w:right w:val="nil"/>
            </w:tcBorders>
            <w:vAlign w:val="center"/>
          </w:tcPr>
          <w:p w:rsidRPr="00DA7B5D" w:rsidR="00631215" w:rsidP="005543CC" w:rsidRDefault="00631215" w14:paraId="7C4BF40A" w14:textId="58CBF799">
            <w:pPr>
              <w:spacing w:line="240" w:lineRule="auto"/>
              <w:ind w:firstLine="0"/>
              <w:jc w:val="center"/>
              <w:rPr>
                <w:rFonts w:cs="Arial"/>
                <w:szCs w:val="26"/>
              </w:rPr>
            </w:pPr>
            <w:r>
              <w:rPr>
                <w:rFonts w:cs="Arial"/>
                <w:szCs w:val="26"/>
              </w:rPr>
              <w:t>Application</w:t>
            </w:r>
            <w:r w:rsidR="005543CC">
              <w:rPr>
                <w:rFonts w:cs="Arial"/>
                <w:szCs w:val="26"/>
              </w:rPr>
              <w:t> </w:t>
            </w:r>
            <w:r>
              <w:rPr>
                <w:rFonts w:cs="Arial"/>
                <w:szCs w:val="26"/>
              </w:rPr>
              <w:t>17</w:t>
            </w:r>
            <w:r w:rsidR="005543CC">
              <w:rPr>
                <w:rFonts w:cs="Arial"/>
                <w:szCs w:val="26"/>
              </w:rPr>
              <w:noBreakHyphen/>
            </w:r>
            <w:r>
              <w:rPr>
                <w:rFonts w:cs="Arial"/>
                <w:szCs w:val="26"/>
              </w:rPr>
              <w:t>01</w:t>
            </w:r>
            <w:r w:rsidR="005543CC">
              <w:rPr>
                <w:rFonts w:cs="Arial"/>
                <w:szCs w:val="26"/>
              </w:rPr>
              <w:noBreakHyphen/>
            </w:r>
            <w:r>
              <w:rPr>
                <w:rFonts w:cs="Arial"/>
                <w:szCs w:val="26"/>
              </w:rPr>
              <w:t>023</w:t>
            </w:r>
          </w:p>
        </w:tc>
      </w:tr>
    </w:tbl>
    <w:p w:rsidR="00DA7B5D" w:rsidP="008F0116" w:rsidRDefault="00DA7B5D" w14:paraId="4A17E839" w14:textId="77777777">
      <w:pPr>
        <w:spacing w:line="240" w:lineRule="auto"/>
        <w:ind w:firstLine="0"/>
        <w:rPr>
          <w:rFonts w:ascii="Arial" w:hAnsi="Arial" w:cs="Arial"/>
          <w:sz w:val="24"/>
          <w:szCs w:val="24"/>
        </w:rPr>
      </w:pPr>
    </w:p>
    <w:p w:rsidR="00DA7B5D" w:rsidP="008F0116" w:rsidRDefault="00DA7B5D" w14:paraId="1234BCF5" w14:textId="77777777">
      <w:pPr>
        <w:spacing w:line="240" w:lineRule="auto"/>
        <w:ind w:firstLine="0"/>
        <w:rPr>
          <w:rFonts w:ascii="Arial" w:hAnsi="Arial" w:cs="Arial"/>
          <w:sz w:val="24"/>
          <w:szCs w:val="24"/>
        </w:rPr>
      </w:pPr>
    </w:p>
    <w:p w:rsidRPr="00F92385" w:rsidR="00F92385" w:rsidP="008B1880" w:rsidRDefault="00A617CF" w14:paraId="0C41CC36" w14:textId="765A4703">
      <w:pPr>
        <w:pStyle w:val="Dummy"/>
        <w:jc w:val="center"/>
        <w:sectPr w:rsidRPr="00F92385" w:rsidR="00F92385" w:rsidSect="0005549B">
          <w:footerReference w:type="default" r:id="rId11"/>
          <w:headerReference w:type="first" r:id="rId12"/>
          <w:footerReference w:type="first" r:id="rId13"/>
          <w:pgSz w:w="12240" w:h="15840"/>
          <w:pgMar w:top="1728" w:right="1440" w:bottom="1440" w:left="1440" w:header="720" w:footer="720" w:gutter="0"/>
          <w:pgNumType w:start="1"/>
          <w:cols w:space="720"/>
          <w:titlePg/>
          <w:docGrid w:linePitch="360"/>
        </w:sectPr>
      </w:pPr>
      <w:bookmarkStart w:name="_Toc160491090" w:id="0"/>
      <w:bookmarkStart w:name="_Toc160631295" w:id="1"/>
      <w:bookmarkStart w:name="_Toc160706934" w:id="2"/>
      <w:bookmarkStart w:name="_Toc160803291" w:id="3"/>
      <w:bookmarkStart w:name="_Toc164685391" w:id="4"/>
      <w:r>
        <w:t xml:space="preserve">DECISION GRANTING JOINT APPLICATION </w:t>
      </w:r>
      <w:r w:rsidR="004D1480">
        <w:t>OF HORIZON WEST TRANSMISSION</w:t>
      </w:r>
      <w:r w:rsidR="00A14A86">
        <w:t>,</w:t>
      </w:r>
      <w:r w:rsidR="004D1480">
        <w:t xml:space="preserve"> LLC AND </w:t>
      </w:r>
      <w:r w:rsidR="00F429F1">
        <w:t>PACIFIC GAS AND ELECTRIC</w:t>
      </w:r>
      <w:r w:rsidR="004D1480">
        <w:t xml:space="preserve"> </w:t>
      </w:r>
      <w:r w:rsidR="00C57428">
        <w:t>COMPANY</w:t>
      </w:r>
      <w:r w:rsidR="005543CC">
        <w:br/>
      </w:r>
      <w:r w:rsidR="004D1480">
        <w:t>FOR PERMIT</w:t>
      </w:r>
      <w:r w:rsidR="00ED0DED">
        <w:t>S</w:t>
      </w:r>
      <w:r w:rsidR="004D1480">
        <w:t xml:space="preserve"> </w:t>
      </w:r>
      <w:r>
        <w:t>TO CONSTRUCT THE ESTRELLA SUBSTATION</w:t>
      </w:r>
      <w:r w:rsidR="005543CC">
        <w:t xml:space="preserve"> </w:t>
      </w:r>
      <w:r>
        <w:t xml:space="preserve">AND </w:t>
      </w:r>
      <w:r w:rsidR="00325E91">
        <w:t>PASO </w:t>
      </w:r>
      <w:r>
        <w:t xml:space="preserve">ROBLES </w:t>
      </w:r>
      <w:r w:rsidR="00ED0DED">
        <w:t xml:space="preserve">AREA </w:t>
      </w:r>
      <w:r>
        <w:t>REINFORCEMENT PROJECT</w:t>
      </w:r>
      <w:bookmarkEnd w:id="0"/>
      <w:bookmarkEnd w:id="1"/>
      <w:bookmarkEnd w:id="2"/>
      <w:bookmarkEnd w:id="3"/>
      <w:bookmarkEnd w:id="4"/>
      <w:r>
        <w:t xml:space="preserve"> </w:t>
      </w:r>
    </w:p>
    <w:sdt>
      <w:sdtPr>
        <w:id w:val="-1224440197"/>
        <w:docPartObj>
          <w:docPartGallery w:val="Table of Contents"/>
          <w:docPartUnique/>
        </w:docPartObj>
      </w:sdtPr>
      <w:sdtEndPr>
        <w:rPr>
          <w:b/>
          <w:bCs/>
          <w:noProof/>
        </w:rPr>
      </w:sdtEndPr>
      <w:sdtContent>
        <w:p w:rsidR="00122AE5" w:rsidP="00122AE5" w:rsidRDefault="008C7413" w14:paraId="0EF7BD10" w14:textId="5382B0E2">
          <w:pPr>
            <w:pStyle w:val="TOC1"/>
            <w:tabs>
              <w:tab w:val="right" w:leader="dot" w:pos="9350"/>
            </w:tabs>
            <w:ind w:left="0" w:firstLine="0"/>
            <w:rPr>
              <w:rFonts w:asciiTheme="minorHAnsi" w:hAnsiTheme="minorHAnsi" w:cstheme="minorBidi"/>
              <w:noProof/>
              <w:kern w:val="2"/>
              <w:sz w:val="24"/>
              <w:szCs w:val="24"/>
              <w14:ligatures w14:val="standardContextual"/>
            </w:rPr>
          </w:pPr>
          <w:r w:rsidRPr="00107A7F">
            <w:rPr>
              <w:rFonts w:asciiTheme="minorHAnsi" w:hAnsiTheme="minorHAnsi"/>
              <w:sz w:val="22"/>
            </w:rPr>
            <w:fldChar w:fldCharType="begin"/>
          </w:r>
          <w:r w:rsidRPr="00107A7F">
            <w:rPr>
              <w:rFonts w:asciiTheme="minorHAnsi" w:hAnsiTheme="minorHAnsi"/>
              <w:sz w:val="22"/>
            </w:rPr>
            <w:instrText xml:space="preserve"> TOC \o "1-6" \h \z \u </w:instrText>
          </w:r>
          <w:r w:rsidRPr="00107A7F">
            <w:rPr>
              <w:rFonts w:asciiTheme="minorHAnsi" w:hAnsiTheme="minorHAnsi"/>
              <w:sz w:val="22"/>
            </w:rPr>
            <w:fldChar w:fldCharType="separate"/>
          </w:r>
          <w:hyperlink w:history="1" w:anchor="_Toc164685391">
            <w:r w:rsidRPr="00FF5EDB" w:rsidR="00122AE5">
              <w:rPr>
                <w:rStyle w:val="Hyperlink"/>
                <w:noProof/>
              </w:rPr>
              <w:t>DECISION GRANTING JOINT APPLICATION OF HORIZON WEST TRANSMISSION, LLC AND PACIFIC GAS AND ELECTRIC COMPANY FOR PERMITS TO CONSTRUCT THE ESTRELLA SUBSTATION AND PASO ROBLES AREA REINFORCEMENT PROJECT</w:t>
            </w:r>
            <w:r w:rsidR="00122AE5">
              <w:rPr>
                <w:noProof/>
                <w:webHidden/>
              </w:rPr>
              <w:tab/>
            </w:r>
            <w:r w:rsidR="00122AE5">
              <w:rPr>
                <w:noProof/>
                <w:webHidden/>
              </w:rPr>
              <w:fldChar w:fldCharType="begin"/>
            </w:r>
            <w:r w:rsidR="00122AE5">
              <w:rPr>
                <w:noProof/>
                <w:webHidden/>
              </w:rPr>
              <w:instrText xml:space="preserve"> PAGEREF _Toc164685391 \h </w:instrText>
            </w:r>
            <w:r w:rsidR="00122AE5">
              <w:rPr>
                <w:noProof/>
                <w:webHidden/>
              </w:rPr>
            </w:r>
            <w:r w:rsidR="00122AE5">
              <w:rPr>
                <w:noProof/>
                <w:webHidden/>
              </w:rPr>
              <w:fldChar w:fldCharType="separate"/>
            </w:r>
            <w:r w:rsidR="00122AE5">
              <w:rPr>
                <w:noProof/>
                <w:webHidden/>
              </w:rPr>
              <w:t>1</w:t>
            </w:r>
            <w:r w:rsidR="00122AE5">
              <w:rPr>
                <w:noProof/>
                <w:webHidden/>
              </w:rPr>
              <w:fldChar w:fldCharType="end"/>
            </w:r>
          </w:hyperlink>
        </w:p>
        <w:p w:rsidR="00122AE5" w:rsidRDefault="00000000" w14:paraId="511CD52B" w14:textId="1115F44C">
          <w:pPr>
            <w:pStyle w:val="TOC1"/>
            <w:tabs>
              <w:tab w:val="right" w:leader="dot" w:pos="9350"/>
            </w:tabs>
            <w:rPr>
              <w:rFonts w:asciiTheme="minorHAnsi" w:hAnsiTheme="minorHAnsi" w:cstheme="minorBidi"/>
              <w:noProof/>
              <w:kern w:val="2"/>
              <w:sz w:val="24"/>
              <w:szCs w:val="24"/>
              <w14:ligatures w14:val="standardContextual"/>
            </w:rPr>
          </w:pPr>
          <w:hyperlink w:history="1" w:anchor="_Toc164685392">
            <w:r w:rsidRPr="00FF5EDB" w:rsidR="00122AE5">
              <w:rPr>
                <w:rStyle w:val="Hyperlink"/>
                <w:noProof/>
              </w:rPr>
              <w:t>Summary</w:t>
            </w:r>
            <w:r w:rsidR="00122AE5">
              <w:rPr>
                <w:noProof/>
                <w:webHidden/>
              </w:rPr>
              <w:tab/>
            </w:r>
            <w:r w:rsidR="00122AE5">
              <w:rPr>
                <w:noProof/>
                <w:webHidden/>
              </w:rPr>
              <w:fldChar w:fldCharType="begin"/>
            </w:r>
            <w:r w:rsidR="00122AE5">
              <w:rPr>
                <w:noProof/>
                <w:webHidden/>
              </w:rPr>
              <w:instrText xml:space="preserve"> PAGEREF _Toc164685392 \h </w:instrText>
            </w:r>
            <w:r w:rsidR="00122AE5">
              <w:rPr>
                <w:noProof/>
                <w:webHidden/>
              </w:rPr>
            </w:r>
            <w:r w:rsidR="00122AE5">
              <w:rPr>
                <w:noProof/>
                <w:webHidden/>
              </w:rPr>
              <w:fldChar w:fldCharType="separate"/>
            </w:r>
            <w:r w:rsidR="00122AE5">
              <w:rPr>
                <w:noProof/>
                <w:webHidden/>
              </w:rPr>
              <w:t>2</w:t>
            </w:r>
            <w:r w:rsidR="00122AE5">
              <w:rPr>
                <w:noProof/>
                <w:webHidden/>
              </w:rPr>
              <w:fldChar w:fldCharType="end"/>
            </w:r>
          </w:hyperlink>
        </w:p>
        <w:p w:rsidR="00122AE5" w:rsidRDefault="00000000" w14:paraId="5A2AC1F7" w14:textId="1288190B">
          <w:pPr>
            <w:pStyle w:val="TOC1"/>
            <w:tabs>
              <w:tab w:val="right" w:leader="dot" w:pos="9350"/>
            </w:tabs>
            <w:rPr>
              <w:rFonts w:asciiTheme="minorHAnsi" w:hAnsiTheme="minorHAnsi" w:cstheme="minorBidi"/>
              <w:noProof/>
              <w:kern w:val="2"/>
              <w:sz w:val="24"/>
              <w:szCs w:val="24"/>
              <w14:ligatures w14:val="standardContextual"/>
            </w:rPr>
          </w:pPr>
          <w:hyperlink w:history="1" w:anchor="_Toc164685393">
            <w:r w:rsidRPr="00FF5EDB" w:rsidR="00122AE5">
              <w:rPr>
                <w:rStyle w:val="Hyperlink"/>
                <w:noProof/>
              </w:rPr>
              <w:t>1.</w:t>
            </w:r>
            <w:r w:rsidR="00122AE5">
              <w:rPr>
                <w:rFonts w:asciiTheme="minorHAnsi" w:hAnsiTheme="minorHAnsi" w:cstheme="minorBidi"/>
                <w:noProof/>
                <w:kern w:val="2"/>
                <w:sz w:val="24"/>
                <w:szCs w:val="24"/>
                <w14:ligatures w14:val="standardContextual"/>
              </w:rPr>
              <w:tab/>
            </w:r>
            <w:r w:rsidRPr="00FF5EDB" w:rsidR="00122AE5">
              <w:rPr>
                <w:rStyle w:val="Hyperlink"/>
                <w:noProof/>
              </w:rPr>
              <w:t>Background</w:t>
            </w:r>
            <w:r w:rsidR="00122AE5">
              <w:rPr>
                <w:noProof/>
                <w:webHidden/>
              </w:rPr>
              <w:tab/>
            </w:r>
            <w:r w:rsidR="00122AE5">
              <w:rPr>
                <w:noProof/>
                <w:webHidden/>
              </w:rPr>
              <w:fldChar w:fldCharType="begin"/>
            </w:r>
            <w:r w:rsidR="00122AE5">
              <w:rPr>
                <w:noProof/>
                <w:webHidden/>
              </w:rPr>
              <w:instrText xml:space="preserve"> PAGEREF _Toc164685393 \h </w:instrText>
            </w:r>
            <w:r w:rsidR="00122AE5">
              <w:rPr>
                <w:noProof/>
                <w:webHidden/>
              </w:rPr>
            </w:r>
            <w:r w:rsidR="00122AE5">
              <w:rPr>
                <w:noProof/>
                <w:webHidden/>
              </w:rPr>
              <w:fldChar w:fldCharType="separate"/>
            </w:r>
            <w:r w:rsidR="00122AE5">
              <w:rPr>
                <w:noProof/>
                <w:webHidden/>
              </w:rPr>
              <w:t>2</w:t>
            </w:r>
            <w:r w:rsidR="00122AE5">
              <w:rPr>
                <w:noProof/>
                <w:webHidden/>
              </w:rPr>
              <w:fldChar w:fldCharType="end"/>
            </w:r>
          </w:hyperlink>
        </w:p>
        <w:p w:rsidR="00122AE5" w:rsidRDefault="00000000" w14:paraId="355FF76C" w14:textId="785C9346">
          <w:pPr>
            <w:pStyle w:val="TOC2"/>
            <w:tabs>
              <w:tab w:val="right" w:leader="dot" w:pos="9350"/>
            </w:tabs>
            <w:rPr>
              <w:rFonts w:asciiTheme="minorHAnsi" w:hAnsiTheme="minorHAnsi" w:cstheme="minorBidi"/>
              <w:noProof/>
              <w:kern w:val="2"/>
              <w:sz w:val="24"/>
              <w:szCs w:val="24"/>
              <w14:ligatures w14:val="standardContextual"/>
            </w:rPr>
          </w:pPr>
          <w:hyperlink w:history="1" w:anchor="_Toc164685394">
            <w:r w:rsidRPr="00FF5EDB" w:rsidR="00122AE5">
              <w:rPr>
                <w:rStyle w:val="Hyperlink"/>
                <w:noProof/>
              </w:rPr>
              <w:t>1.1.</w:t>
            </w:r>
            <w:r w:rsidR="00122AE5">
              <w:rPr>
                <w:rFonts w:asciiTheme="minorHAnsi" w:hAnsiTheme="minorHAnsi" w:cstheme="minorBidi"/>
                <w:noProof/>
                <w:kern w:val="2"/>
                <w:sz w:val="24"/>
                <w:szCs w:val="24"/>
                <w14:ligatures w14:val="standardContextual"/>
              </w:rPr>
              <w:tab/>
            </w:r>
            <w:r w:rsidRPr="00FF5EDB" w:rsidR="00122AE5">
              <w:rPr>
                <w:rStyle w:val="Hyperlink"/>
                <w:noProof/>
              </w:rPr>
              <w:t>Procedural Background</w:t>
            </w:r>
            <w:r w:rsidR="00122AE5">
              <w:rPr>
                <w:noProof/>
                <w:webHidden/>
              </w:rPr>
              <w:tab/>
            </w:r>
            <w:r w:rsidR="00122AE5">
              <w:rPr>
                <w:noProof/>
                <w:webHidden/>
              </w:rPr>
              <w:fldChar w:fldCharType="begin"/>
            </w:r>
            <w:r w:rsidR="00122AE5">
              <w:rPr>
                <w:noProof/>
                <w:webHidden/>
              </w:rPr>
              <w:instrText xml:space="preserve"> PAGEREF _Toc164685394 \h </w:instrText>
            </w:r>
            <w:r w:rsidR="00122AE5">
              <w:rPr>
                <w:noProof/>
                <w:webHidden/>
              </w:rPr>
            </w:r>
            <w:r w:rsidR="00122AE5">
              <w:rPr>
                <w:noProof/>
                <w:webHidden/>
              </w:rPr>
              <w:fldChar w:fldCharType="separate"/>
            </w:r>
            <w:r w:rsidR="00122AE5">
              <w:rPr>
                <w:noProof/>
                <w:webHidden/>
              </w:rPr>
              <w:t>2</w:t>
            </w:r>
            <w:r w:rsidR="00122AE5">
              <w:rPr>
                <w:noProof/>
                <w:webHidden/>
              </w:rPr>
              <w:fldChar w:fldCharType="end"/>
            </w:r>
          </w:hyperlink>
        </w:p>
        <w:p w:rsidR="00122AE5" w:rsidRDefault="00000000" w14:paraId="3DA3CA25" w14:textId="714CA2CC">
          <w:pPr>
            <w:pStyle w:val="TOC2"/>
            <w:tabs>
              <w:tab w:val="right" w:leader="dot" w:pos="9350"/>
            </w:tabs>
            <w:rPr>
              <w:rFonts w:asciiTheme="minorHAnsi" w:hAnsiTheme="minorHAnsi" w:cstheme="minorBidi"/>
              <w:noProof/>
              <w:kern w:val="2"/>
              <w:sz w:val="24"/>
              <w:szCs w:val="24"/>
              <w14:ligatures w14:val="standardContextual"/>
            </w:rPr>
          </w:pPr>
          <w:hyperlink w:history="1" w:anchor="_Toc164685395">
            <w:r w:rsidRPr="00FF5EDB" w:rsidR="00122AE5">
              <w:rPr>
                <w:rStyle w:val="Hyperlink"/>
                <w:noProof/>
              </w:rPr>
              <w:t>1.2.</w:t>
            </w:r>
            <w:r w:rsidR="00122AE5">
              <w:rPr>
                <w:rFonts w:asciiTheme="minorHAnsi" w:hAnsiTheme="minorHAnsi" w:cstheme="minorBidi"/>
                <w:noProof/>
                <w:kern w:val="2"/>
                <w:sz w:val="24"/>
                <w:szCs w:val="24"/>
                <w14:ligatures w14:val="standardContextual"/>
              </w:rPr>
              <w:tab/>
            </w:r>
            <w:r w:rsidRPr="00FF5EDB" w:rsidR="00122AE5">
              <w:rPr>
                <w:rStyle w:val="Hyperlink"/>
                <w:noProof/>
              </w:rPr>
              <w:t>Proposed Project (As Proposed)</w:t>
            </w:r>
            <w:r w:rsidR="00122AE5">
              <w:rPr>
                <w:noProof/>
                <w:webHidden/>
              </w:rPr>
              <w:tab/>
            </w:r>
            <w:r w:rsidR="00122AE5">
              <w:rPr>
                <w:noProof/>
                <w:webHidden/>
              </w:rPr>
              <w:fldChar w:fldCharType="begin"/>
            </w:r>
            <w:r w:rsidR="00122AE5">
              <w:rPr>
                <w:noProof/>
                <w:webHidden/>
              </w:rPr>
              <w:instrText xml:space="preserve"> PAGEREF _Toc164685395 \h </w:instrText>
            </w:r>
            <w:r w:rsidR="00122AE5">
              <w:rPr>
                <w:noProof/>
                <w:webHidden/>
              </w:rPr>
            </w:r>
            <w:r w:rsidR="00122AE5">
              <w:rPr>
                <w:noProof/>
                <w:webHidden/>
              </w:rPr>
              <w:fldChar w:fldCharType="separate"/>
            </w:r>
            <w:r w:rsidR="00122AE5">
              <w:rPr>
                <w:noProof/>
                <w:webHidden/>
              </w:rPr>
              <w:t>7</w:t>
            </w:r>
            <w:r w:rsidR="00122AE5">
              <w:rPr>
                <w:noProof/>
                <w:webHidden/>
              </w:rPr>
              <w:fldChar w:fldCharType="end"/>
            </w:r>
          </w:hyperlink>
        </w:p>
        <w:p w:rsidR="00122AE5" w:rsidRDefault="00000000" w14:paraId="4F8EB419" w14:textId="214F133D">
          <w:pPr>
            <w:pStyle w:val="TOC2"/>
            <w:tabs>
              <w:tab w:val="right" w:leader="dot" w:pos="9350"/>
            </w:tabs>
            <w:rPr>
              <w:rFonts w:asciiTheme="minorHAnsi" w:hAnsiTheme="minorHAnsi" w:cstheme="minorBidi"/>
              <w:noProof/>
              <w:kern w:val="2"/>
              <w:sz w:val="24"/>
              <w:szCs w:val="24"/>
              <w14:ligatures w14:val="standardContextual"/>
            </w:rPr>
          </w:pPr>
          <w:hyperlink w:history="1" w:anchor="_Toc164685396">
            <w:r w:rsidRPr="00FF5EDB" w:rsidR="00122AE5">
              <w:rPr>
                <w:rStyle w:val="Hyperlink"/>
                <w:noProof/>
              </w:rPr>
              <w:t>1.3.</w:t>
            </w:r>
            <w:r w:rsidR="00122AE5">
              <w:rPr>
                <w:rFonts w:asciiTheme="minorHAnsi" w:hAnsiTheme="minorHAnsi" w:cstheme="minorBidi"/>
                <w:noProof/>
                <w:kern w:val="2"/>
                <w:sz w:val="24"/>
                <w:szCs w:val="24"/>
                <w14:ligatures w14:val="standardContextual"/>
              </w:rPr>
              <w:tab/>
            </w:r>
            <w:r w:rsidRPr="00FF5EDB" w:rsidR="00122AE5">
              <w:rPr>
                <w:rStyle w:val="Hyperlink"/>
                <w:noProof/>
              </w:rPr>
              <w:t>Submission Date</w:t>
            </w:r>
            <w:r w:rsidR="00122AE5">
              <w:rPr>
                <w:noProof/>
                <w:webHidden/>
              </w:rPr>
              <w:tab/>
            </w:r>
            <w:r w:rsidR="00122AE5">
              <w:rPr>
                <w:noProof/>
                <w:webHidden/>
              </w:rPr>
              <w:fldChar w:fldCharType="begin"/>
            </w:r>
            <w:r w:rsidR="00122AE5">
              <w:rPr>
                <w:noProof/>
                <w:webHidden/>
              </w:rPr>
              <w:instrText xml:space="preserve"> PAGEREF _Toc164685396 \h </w:instrText>
            </w:r>
            <w:r w:rsidR="00122AE5">
              <w:rPr>
                <w:noProof/>
                <w:webHidden/>
              </w:rPr>
            </w:r>
            <w:r w:rsidR="00122AE5">
              <w:rPr>
                <w:noProof/>
                <w:webHidden/>
              </w:rPr>
              <w:fldChar w:fldCharType="separate"/>
            </w:r>
            <w:r w:rsidR="00122AE5">
              <w:rPr>
                <w:noProof/>
                <w:webHidden/>
              </w:rPr>
              <w:t>9</w:t>
            </w:r>
            <w:r w:rsidR="00122AE5">
              <w:rPr>
                <w:noProof/>
                <w:webHidden/>
              </w:rPr>
              <w:fldChar w:fldCharType="end"/>
            </w:r>
          </w:hyperlink>
        </w:p>
        <w:p w:rsidR="00122AE5" w:rsidRDefault="00000000" w14:paraId="30A007F0" w14:textId="635AC746">
          <w:pPr>
            <w:pStyle w:val="TOC1"/>
            <w:tabs>
              <w:tab w:val="right" w:leader="dot" w:pos="9350"/>
            </w:tabs>
            <w:rPr>
              <w:rFonts w:asciiTheme="minorHAnsi" w:hAnsiTheme="minorHAnsi" w:cstheme="minorBidi"/>
              <w:noProof/>
              <w:kern w:val="2"/>
              <w:sz w:val="24"/>
              <w:szCs w:val="24"/>
              <w14:ligatures w14:val="standardContextual"/>
            </w:rPr>
          </w:pPr>
          <w:hyperlink w:history="1" w:anchor="_Toc164685397">
            <w:r w:rsidRPr="00FF5EDB" w:rsidR="00122AE5">
              <w:rPr>
                <w:rStyle w:val="Hyperlink"/>
                <w:noProof/>
              </w:rPr>
              <w:t>2.</w:t>
            </w:r>
            <w:r w:rsidR="00122AE5">
              <w:rPr>
                <w:rFonts w:asciiTheme="minorHAnsi" w:hAnsiTheme="minorHAnsi" w:cstheme="minorBidi"/>
                <w:noProof/>
                <w:kern w:val="2"/>
                <w:sz w:val="24"/>
                <w:szCs w:val="24"/>
                <w14:ligatures w14:val="standardContextual"/>
              </w:rPr>
              <w:tab/>
            </w:r>
            <w:r w:rsidRPr="00FF5EDB" w:rsidR="00122AE5">
              <w:rPr>
                <w:rStyle w:val="Hyperlink"/>
                <w:noProof/>
              </w:rPr>
              <w:t>Legal Framework</w:t>
            </w:r>
            <w:r w:rsidR="00122AE5">
              <w:rPr>
                <w:noProof/>
                <w:webHidden/>
              </w:rPr>
              <w:tab/>
            </w:r>
            <w:r w:rsidR="00122AE5">
              <w:rPr>
                <w:noProof/>
                <w:webHidden/>
              </w:rPr>
              <w:fldChar w:fldCharType="begin"/>
            </w:r>
            <w:r w:rsidR="00122AE5">
              <w:rPr>
                <w:noProof/>
                <w:webHidden/>
              </w:rPr>
              <w:instrText xml:space="preserve"> PAGEREF _Toc164685397 \h </w:instrText>
            </w:r>
            <w:r w:rsidR="00122AE5">
              <w:rPr>
                <w:noProof/>
                <w:webHidden/>
              </w:rPr>
            </w:r>
            <w:r w:rsidR="00122AE5">
              <w:rPr>
                <w:noProof/>
                <w:webHidden/>
              </w:rPr>
              <w:fldChar w:fldCharType="separate"/>
            </w:r>
            <w:r w:rsidR="00122AE5">
              <w:rPr>
                <w:noProof/>
                <w:webHidden/>
              </w:rPr>
              <w:t>9</w:t>
            </w:r>
            <w:r w:rsidR="00122AE5">
              <w:rPr>
                <w:noProof/>
                <w:webHidden/>
              </w:rPr>
              <w:fldChar w:fldCharType="end"/>
            </w:r>
          </w:hyperlink>
        </w:p>
        <w:p w:rsidR="00122AE5" w:rsidRDefault="00000000" w14:paraId="065D4866" w14:textId="480E7C0D">
          <w:pPr>
            <w:pStyle w:val="TOC1"/>
            <w:tabs>
              <w:tab w:val="right" w:leader="dot" w:pos="9350"/>
            </w:tabs>
            <w:rPr>
              <w:rFonts w:asciiTheme="minorHAnsi" w:hAnsiTheme="minorHAnsi" w:cstheme="minorBidi"/>
              <w:noProof/>
              <w:kern w:val="2"/>
              <w:sz w:val="24"/>
              <w:szCs w:val="24"/>
              <w14:ligatures w14:val="standardContextual"/>
            </w:rPr>
          </w:pPr>
          <w:hyperlink w:history="1" w:anchor="_Toc164685398">
            <w:r w:rsidRPr="00FF5EDB" w:rsidR="00122AE5">
              <w:rPr>
                <w:rStyle w:val="Hyperlink"/>
                <w:noProof/>
              </w:rPr>
              <w:t>3.</w:t>
            </w:r>
            <w:r w:rsidR="00122AE5">
              <w:rPr>
                <w:rFonts w:asciiTheme="minorHAnsi" w:hAnsiTheme="minorHAnsi" w:cstheme="minorBidi"/>
                <w:noProof/>
                <w:kern w:val="2"/>
                <w:sz w:val="24"/>
                <w:szCs w:val="24"/>
                <w14:ligatures w14:val="standardContextual"/>
              </w:rPr>
              <w:tab/>
            </w:r>
            <w:r w:rsidRPr="00FF5EDB" w:rsidR="00122AE5">
              <w:rPr>
                <w:rStyle w:val="Hyperlink"/>
                <w:noProof/>
              </w:rPr>
              <w:t>Issues Before the Commission</w:t>
            </w:r>
            <w:r w:rsidR="00122AE5">
              <w:rPr>
                <w:noProof/>
                <w:webHidden/>
              </w:rPr>
              <w:tab/>
            </w:r>
            <w:r w:rsidR="00122AE5">
              <w:rPr>
                <w:noProof/>
                <w:webHidden/>
              </w:rPr>
              <w:fldChar w:fldCharType="begin"/>
            </w:r>
            <w:r w:rsidR="00122AE5">
              <w:rPr>
                <w:noProof/>
                <w:webHidden/>
              </w:rPr>
              <w:instrText xml:space="preserve"> PAGEREF _Toc164685398 \h </w:instrText>
            </w:r>
            <w:r w:rsidR="00122AE5">
              <w:rPr>
                <w:noProof/>
                <w:webHidden/>
              </w:rPr>
            </w:r>
            <w:r w:rsidR="00122AE5">
              <w:rPr>
                <w:noProof/>
                <w:webHidden/>
              </w:rPr>
              <w:fldChar w:fldCharType="separate"/>
            </w:r>
            <w:r w:rsidR="00122AE5">
              <w:rPr>
                <w:noProof/>
                <w:webHidden/>
              </w:rPr>
              <w:t>10</w:t>
            </w:r>
            <w:r w:rsidR="00122AE5">
              <w:rPr>
                <w:noProof/>
                <w:webHidden/>
              </w:rPr>
              <w:fldChar w:fldCharType="end"/>
            </w:r>
          </w:hyperlink>
        </w:p>
        <w:p w:rsidR="00122AE5" w:rsidRDefault="00000000" w14:paraId="43AF2C19" w14:textId="6BDE96F5">
          <w:pPr>
            <w:pStyle w:val="TOC1"/>
            <w:tabs>
              <w:tab w:val="right" w:leader="dot" w:pos="9350"/>
            </w:tabs>
            <w:rPr>
              <w:rFonts w:asciiTheme="minorHAnsi" w:hAnsiTheme="minorHAnsi" w:cstheme="minorBidi"/>
              <w:noProof/>
              <w:kern w:val="2"/>
              <w:sz w:val="24"/>
              <w:szCs w:val="24"/>
              <w14:ligatures w14:val="standardContextual"/>
            </w:rPr>
          </w:pPr>
          <w:hyperlink w:history="1" w:anchor="_Toc164685399">
            <w:r w:rsidRPr="00FF5EDB" w:rsidR="00122AE5">
              <w:rPr>
                <w:rStyle w:val="Hyperlink"/>
                <w:bCs/>
                <w:noProof/>
              </w:rPr>
              <w:t>4.</w:t>
            </w:r>
            <w:r w:rsidR="00122AE5">
              <w:rPr>
                <w:rFonts w:asciiTheme="minorHAnsi" w:hAnsiTheme="minorHAnsi" w:cstheme="minorBidi"/>
                <w:noProof/>
                <w:kern w:val="2"/>
                <w:sz w:val="24"/>
                <w:szCs w:val="24"/>
                <w14:ligatures w14:val="standardContextual"/>
              </w:rPr>
              <w:tab/>
            </w:r>
            <w:r w:rsidRPr="00FF5EDB" w:rsidR="00122AE5">
              <w:rPr>
                <w:rStyle w:val="Hyperlink"/>
                <w:bCs/>
                <w:noProof/>
              </w:rPr>
              <w:t>Project Components</w:t>
            </w:r>
            <w:r w:rsidR="00122AE5">
              <w:rPr>
                <w:noProof/>
                <w:webHidden/>
              </w:rPr>
              <w:tab/>
            </w:r>
            <w:r w:rsidR="00122AE5">
              <w:rPr>
                <w:noProof/>
                <w:webHidden/>
              </w:rPr>
              <w:fldChar w:fldCharType="begin"/>
            </w:r>
            <w:r w:rsidR="00122AE5">
              <w:rPr>
                <w:noProof/>
                <w:webHidden/>
              </w:rPr>
              <w:instrText xml:space="preserve"> PAGEREF _Toc164685399 \h </w:instrText>
            </w:r>
            <w:r w:rsidR="00122AE5">
              <w:rPr>
                <w:noProof/>
                <w:webHidden/>
              </w:rPr>
            </w:r>
            <w:r w:rsidR="00122AE5">
              <w:rPr>
                <w:noProof/>
                <w:webHidden/>
              </w:rPr>
              <w:fldChar w:fldCharType="separate"/>
            </w:r>
            <w:r w:rsidR="00122AE5">
              <w:rPr>
                <w:noProof/>
                <w:webHidden/>
              </w:rPr>
              <w:t>11</w:t>
            </w:r>
            <w:r w:rsidR="00122AE5">
              <w:rPr>
                <w:noProof/>
                <w:webHidden/>
              </w:rPr>
              <w:fldChar w:fldCharType="end"/>
            </w:r>
          </w:hyperlink>
        </w:p>
        <w:p w:rsidR="00122AE5" w:rsidRDefault="00000000" w14:paraId="323B9A04" w14:textId="5FBF7B36">
          <w:pPr>
            <w:pStyle w:val="TOC2"/>
            <w:tabs>
              <w:tab w:val="right" w:leader="dot" w:pos="9350"/>
            </w:tabs>
            <w:rPr>
              <w:rFonts w:asciiTheme="minorHAnsi" w:hAnsiTheme="minorHAnsi" w:cstheme="minorBidi"/>
              <w:noProof/>
              <w:kern w:val="2"/>
              <w:sz w:val="24"/>
              <w:szCs w:val="24"/>
              <w14:ligatures w14:val="standardContextual"/>
            </w:rPr>
          </w:pPr>
          <w:hyperlink w:history="1" w:anchor="_Toc164685400">
            <w:r w:rsidRPr="00FF5EDB" w:rsidR="00122AE5">
              <w:rPr>
                <w:rStyle w:val="Hyperlink"/>
                <w:noProof/>
              </w:rPr>
              <w:t>4.1.</w:t>
            </w:r>
            <w:r w:rsidR="00122AE5">
              <w:rPr>
                <w:rFonts w:asciiTheme="minorHAnsi" w:hAnsiTheme="minorHAnsi" w:cstheme="minorBidi"/>
                <w:noProof/>
                <w:kern w:val="2"/>
                <w:sz w:val="24"/>
                <w:szCs w:val="24"/>
                <w14:ligatures w14:val="standardContextual"/>
              </w:rPr>
              <w:tab/>
            </w:r>
            <w:r w:rsidRPr="00FF5EDB" w:rsidR="00122AE5">
              <w:rPr>
                <w:rStyle w:val="Hyperlink"/>
                <w:noProof/>
              </w:rPr>
              <w:t>Project Component 1 - Estrella Substation</w:t>
            </w:r>
            <w:r w:rsidR="00122AE5">
              <w:rPr>
                <w:noProof/>
                <w:webHidden/>
              </w:rPr>
              <w:tab/>
            </w:r>
            <w:r w:rsidR="00122AE5">
              <w:rPr>
                <w:noProof/>
                <w:webHidden/>
              </w:rPr>
              <w:fldChar w:fldCharType="begin"/>
            </w:r>
            <w:r w:rsidR="00122AE5">
              <w:rPr>
                <w:noProof/>
                <w:webHidden/>
              </w:rPr>
              <w:instrText xml:space="preserve"> PAGEREF _Toc164685400 \h </w:instrText>
            </w:r>
            <w:r w:rsidR="00122AE5">
              <w:rPr>
                <w:noProof/>
                <w:webHidden/>
              </w:rPr>
            </w:r>
            <w:r w:rsidR="00122AE5">
              <w:rPr>
                <w:noProof/>
                <w:webHidden/>
              </w:rPr>
              <w:fldChar w:fldCharType="separate"/>
            </w:r>
            <w:r w:rsidR="00122AE5">
              <w:rPr>
                <w:noProof/>
                <w:webHidden/>
              </w:rPr>
              <w:t>12</w:t>
            </w:r>
            <w:r w:rsidR="00122AE5">
              <w:rPr>
                <w:noProof/>
                <w:webHidden/>
              </w:rPr>
              <w:fldChar w:fldCharType="end"/>
            </w:r>
          </w:hyperlink>
        </w:p>
        <w:p w:rsidR="00122AE5" w:rsidRDefault="00000000" w14:paraId="33906A9D" w14:textId="5A3977A6">
          <w:pPr>
            <w:pStyle w:val="TOC2"/>
            <w:tabs>
              <w:tab w:val="right" w:leader="dot" w:pos="9350"/>
            </w:tabs>
            <w:rPr>
              <w:rFonts w:asciiTheme="minorHAnsi" w:hAnsiTheme="minorHAnsi" w:cstheme="minorBidi"/>
              <w:noProof/>
              <w:kern w:val="2"/>
              <w:sz w:val="24"/>
              <w:szCs w:val="24"/>
              <w14:ligatures w14:val="standardContextual"/>
            </w:rPr>
          </w:pPr>
          <w:hyperlink w:history="1" w:anchor="_Toc164685401">
            <w:r w:rsidRPr="00FF5EDB" w:rsidR="00122AE5">
              <w:rPr>
                <w:rStyle w:val="Hyperlink"/>
                <w:noProof/>
              </w:rPr>
              <w:t>4.2.</w:t>
            </w:r>
            <w:r w:rsidR="00122AE5">
              <w:rPr>
                <w:rFonts w:asciiTheme="minorHAnsi" w:hAnsiTheme="minorHAnsi" w:cstheme="minorBidi"/>
                <w:noProof/>
                <w:kern w:val="2"/>
                <w:sz w:val="24"/>
                <w:szCs w:val="24"/>
                <w14:ligatures w14:val="standardContextual"/>
              </w:rPr>
              <w:tab/>
            </w:r>
            <w:r w:rsidRPr="00FF5EDB" w:rsidR="00122AE5">
              <w:rPr>
                <w:rStyle w:val="Hyperlink"/>
                <w:noProof/>
              </w:rPr>
              <w:t>Project Component 2 - New 70 kV Power Line Segment</w:t>
            </w:r>
            <w:r w:rsidR="00122AE5">
              <w:rPr>
                <w:noProof/>
                <w:webHidden/>
              </w:rPr>
              <w:tab/>
            </w:r>
            <w:r w:rsidR="00122AE5">
              <w:rPr>
                <w:noProof/>
                <w:webHidden/>
              </w:rPr>
              <w:fldChar w:fldCharType="begin"/>
            </w:r>
            <w:r w:rsidR="00122AE5">
              <w:rPr>
                <w:noProof/>
                <w:webHidden/>
              </w:rPr>
              <w:instrText xml:space="preserve"> PAGEREF _Toc164685401 \h </w:instrText>
            </w:r>
            <w:r w:rsidR="00122AE5">
              <w:rPr>
                <w:noProof/>
                <w:webHidden/>
              </w:rPr>
            </w:r>
            <w:r w:rsidR="00122AE5">
              <w:rPr>
                <w:noProof/>
                <w:webHidden/>
              </w:rPr>
              <w:fldChar w:fldCharType="separate"/>
            </w:r>
            <w:r w:rsidR="00122AE5">
              <w:rPr>
                <w:noProof/>
                <w:webHidden/>
              </w:rPr>
              <w:t>13</w:t>
            </w:r>
            <w:r w:rsidR="00122AE5">
              <w:rPr>
                <w:noProof/>
                <w:webHidden/>
              </w:rPr>
              <w:fldChar w:fldCharType="end"/>
            </w:r>
          </w:hyperlink>
        </w:p>
        <w:p w:rsidR="00122AE5" w:rsidRDefault="00000000" w14:paraId="4656D6BC" w14:textId="18EB386D">
          <w:pPr>
            <w:pStyle w:val="TOC2"/>
            <w:tabs>
              <w:tab w:val="right" w:leader="dot" w:pos="9350"/>
            </w:tabs>
            <w:rPr>
              <w:rFonts w:asciiTheme="minorHAnsi" w:hAnsiTheme="minorHAnsi" w:cstheme="minorBidi"/>
              <w:noProof/>
              <w:kern w:val="2"/>
              <w:sz w:val="24"/>
              <w:szCs w:val="24"/>
              <w14:ligatures w14:val="standardContextual"/>
            </w:rPr>
          </w:pPr>
          <w:hyperlink w:history="1" w:anchor="_Toc164685402">
            <w:r w:rsidRPr="00FF5EDB" w:rsidR="00122AE5">
              <w:rPr>
                <w:rStyle w:val="Hyperlink"/>
                <w:noProof/>
              </w:rPr>
              <w:t>4.3.</w:t>
            </w:r>
            <w:r w:rsidR="00122AE5">
              <w:rPr>
                <w:rFonts w:asciiTheme="minorHAnsi" w:hAnsiTheme="minorHAnsi" w:cstheme="minorBidi"/>
                <w:noProof/>
                <w:kern w:val="2"/>
                <w:sz w:val="24"/>
                <w:szCs w:val="24"/>
                <w14:ligatures w14:val="standardContextual"/>
              </w:rPr>
              <w:tab/>
            </w:r>
            <w:r w:rsidRPr="00FF5EDB" w:rsidR="00122AE5">
              <w:rPr>
                <w:rStyle w:val="Hyperlink"/>
                <w:noProof/>
              </w:rPr>
              <w:t>Project Component 3 - 70 kV Line Reconductoring Segment</w:t>
            </w:r>
            <w:r w:rsidR="00122AE5">
              <w:rPr>
                <w:noProof/>
                <w:webHidden/>
              </w:rPr>
              <w:tab/>
            </w:r>
            <w:r w:rsidR="00122AE5">
              <w:rPr>
                <w:noProof/>
                <w:webHidden/>
              </w:rPr>
              <w:fldChar w:fldCharType="begin"/>
            </w:r>
            <w:r w:rsidR="00122AE5">
              <w:rPr>
                <w:noProof/>
                <w:webHidden/>
              </w:rPr>
              <w:instrText xml:space="preserve"> PAGEREF _Toc164685402 \h </w:instrText>
            </w:r>
            <w:r w:rsidR="00122AE5">
              <w:rPr>
                <w:noProof/>
                <w:webHidden/>
              </w:rPr>
            </w:r>
            <w:r w:rsidR="00122AE5">
              <w:rPr>
                <w:noProof/>
                <w:webHidden/>
              </w:rPr>
              <w:fldChar w:fldCharType="separate"/>
            </w:r>
            <w:r w:rsidR="00122AE5">
              <w:rPr>
                <w:noProof/>
                <w:webHidden/>
              </w:rPr>
              <w:t>13</w:t>
            </w:r>
            <w:r w:rsidR="00122AE5">
              <w:rPr>
                <w:noProof/>
                <w:webHidden/>
              </w:rPr>
              <w:fldChar w:fldCharType="end"/>
            </w:r>
          </w:hyperlink>
        </w:p>
        <w:p w:rsidR="00122AE5" w:rsidRDefault="00000000" w14:paraId="0C78D200" w14:textId="7272B92A">
          <w:pPr>
            <w:pStyle w:val="TOC2"/>
            <w:tabs>
              <w:tab w:val="right" w:leader="dot" w:pos="9350"/>
            </w:tabs>
            <w:rPr>
              <w:rFonts w:asciiTheme="minorHAnsi" w:hAnsiTheme="minorHAnsi" w:cstheme="minorBidi"/>
              <w:noProof/>
              <w:kern w:val="2"/>
              <w:sz w:val="24"/>
              <w:szCs w:val="24"/>
              <w14:ligatures w14:val="standardContextual"/>
            </w:rPr>
          </w:pPr>
          <w:hyperlink w:history="1" w:anchor="_Toc164685403">
            <w:r w:rsidRPr="00FF5EDB" w:rsidR="00122AE5">
              <w:rPr>
                <w:rStyle w:val="Hyperlink"/>
                <w:noProof/>
              </w:rPr>
              <w:t>4.4.</w:t>
            </w:r>
            <w:r w:rsidR="00122AE5">
              <w:rPr>
                <w:rFonts w:asciiTheme="minorHAnsi" w:hAnsiTheme="minorHAnsi" w:cstheme="minorBidi"/>
                <w:noProof/>
                <w:kern w:val="2"/>
                <w:sz w:val="24"/>
                <w:szCs w:val="24"/>
                <w14:ligatures w14:val="standardContextual"/>
              </w:rPr>
              <w:tab/>
            </w:r>
            <w:r w:rsidRPr="00FF5EDB" w:rsidR="00122AE5">
              <w:rPr>
                <w:rStyle w:val="Hyperlink"/>
                <w:noProof/>
              </w:rPr>
              <w:t>Project Component 4 - Reasonably Foreseeable Distribution Components</w:t>
            </w:r>
            <w:r w:rsidR="00122AE5">
              <w:rPr>
                <w:noProof/>
                <w:webHidden/>
              </w:rPr>
              <w:tab/>
            </w:r>
            <w:r w:rsidR="00122AE5">
              <w:rPr>
                <w:noProof/>
                <w:webHidden/>
              </w:rPr>
              <w:fldChar w:fldCharType="begin"/>
            </w:r>
            <w:r w:rsidR="00122AE5">
              <w:rPr>
                <w:noProof/>
                <w:webHidden/>
              </w:rPr>
              <w:instrText xml:space="preserve"> PAGEREF _Toc164685403 \h </w:instrText>
            </w:r>
            <w:r w:rsidR="00122AE5">
              <w:rPr>
                <w:noProof/>
                <w:webHidden/>
              </w:rPr>
            </w:r>
            <w:r w:rsidR="00122AE5">
              <w:rPr>
                <w:noProof/>
                <w:webHidden/>
              </w:rPr>
              <w:fldChar w:fldCharType="separate"/>
            </w:r>
            <w:r w:rsidR="00122AE5">
              <w:rPr>
                <w:noProof/>
                <w:webHidden/>
              </w:rPr>
              <w:t>13</w:t>
            </w:r>
            <w:r w:rsidR="00122AE5">
              <w:rPr>
                <w:noProof/>
                <w:webHidden/>
              </w:rPr>
              <w:fldChar w:fldCharType="end"/>
            </w:r>
          </w:hyperlink>
        </w:p>
        <w:p w:rsidR="00122AE5" w:rsidRDefault="00000000" w14:paraId="121D0C77" w14:textId="35E00D5A">
          <w:pPr>
            <w:pStyle w:val="TOC1"/>
            <w:tabs>
              <w:tab w:val="right" w:leader="dot" w:pos="9350"/>
            </w:tabs>
            <w:rPr>
              <w:rFonts w:asciiTheme="minorHAnsi" w:hAnsiTheme="minorHAnsi" w:cstheme="minorBidi"/>
              <w:noProof/>
              <w:kern w:val="2"/>
              <w:sz w:val="24"/>
              <w:szCs w:val="24"/>
              <w14:ligatures w14:val="standardContextual"/>
            </w:rPr>
          </w:pPr>
          <w:hyperlink w:history="1" w:anchor="_Toc164685404">
            <w:r w:rsidRPr="00FF5EDB" w:rsidR="00122AE5">
              <w:rPr>
                <w:rStyle w:val="Hyperlink"/>
                <w:rFonts w:cs="Arial"/>
                <w:noProof/>
              </w:rPr>
              <w:t>5.</w:t>
            </w:r>
            <w:r w:rsidR="00122AE5">
              <w:rPr>
                <w:rFonts w:asciiTheme="minorHAnsi" w:hAnsiTheme="minorHAnsi" w:cstheme="minorBidi"/>
                <w:noProof/>
                <w:kern w:val="2"/>
                <w:sz w:val="24"/>
                <w:szCs w:val="24"/>
                <w14:ligatures w14:val="standardContextual"/>
              </w:rPr>
              <w:tab/>
            </w:r>
            <w:r w:rsidRPr="00FF5EDB" w:rsidR="00122AE5">
              <w:rPr>
                <w:rStyle w:val="Hyperlink"/>
                <w:rFonts w:cs="Arial"/>
                <w:noProof/>
              </w:rPr>
              <w:t>CEQA Compliance</w:t>
            </w:r>
            <w:r w:rsidR="00122AE5">
              <w:rPr>
                <w:noProof/>
                <w:webHidden/>
              </w:rPr>
              <w:tab/>
            </w:r>
            <w:r w:rsidR="00122AE5">
              <w:rPr>
                <w:noProof/>
                <w:webHidden/>
              </w:rPr>
              <w:fldChar w:fldCharType="begin"/>
            </w:r>
            <w:r w:rsidR="00122AE5">
              <w:rPr>
                <w:noProof/>
                <w:webHidden/>
              </w:rPr>
              <w:instrText xml:space="preserve"> PAGEREF _Toc164685404 \h </w:instrText>
            </w:r>
            <w:r w:rsidR="00122AE5">
              <w:rPr>
                <w:noProof/>
                <w:webHidden/>
              </w:rPr>
            </w:r>
            <w:r w:rsidR="00122AE5">
              <w:rPr>
                <w:noProof/>
                <w:webHidden/>
              </w:rPr>
              <w:fldChar w:fldCharType="separate"/>
            </w:r>
            <w:r w:rsidR="00122AE5">
              <w:rPr>
                <w:noProof/>
                <w:webHidden/>
              </w:rPr>
              <w:t>15</w:t>
            </w:r>
            <w:r w:rsidR="00122AE5">
              <w:rPr>
                <w:noProof/>
                <w:webHidden/>
              </w:rPr>
              <w:fldChar w:fldCharType="end"/>
            </w:r>
          </w:hyperlink>
        </w:p>
        <w:p w:rsidR="00122AE5" w:rsidRDefault="00000000" w14:paraId="7F73E920" w14:textId="74606485">
          <w:pPr>
            <w:pStyle w:val="TOC2"/>
            <w:tabs>
              <w:tab w:val="right" w:leader="dot" w:pos="9350"/>
            </w:tabs>
            <w:rPr>
              <w:rFonts w:asciiTheme="minorHAnsi" w:hAnsiTheme="minorHAnsi" w:cstheme="minorBidi"/>
              <w:noProof/>
              <w:kern w:val="2"/>
              <w:sz w:val="24"/>
              <w:szCs w:val="24"/>
              <w14:ligatures w14:val="standardContextual"/>
            </w:rPr>
          </w:pPr>
          <w:hyperlink w:history="1" w:anchor="_Toc164685405">
            <w:r w:rsidRPr="00FF5EDB" w:rsidR="00122AE5">
              <w:rPr>
                <w:rStyle w:val="Hyperlink"/>
                <w:noProof/>
              </w:rPr>
              <w:t>5.1.</w:t>
            </w:r>
            <w:r w:rsidR="00122AE5">
              <w:rPr>
                <w:rFonts w:asciiTheme="minorHAnsi" w:hAnsiTheme="minorHAnsi" w:cstheme="minorBidi"/>
                <w:noProof/>
                <w:kern w:val="2"/>
                <w:sz w:val="24"/>
                <w:szCs w:val="24"/>
                <w14:ligatures w14:val="standardContextual"/>
              </w:rPr>
              <w:tab/>
            </w:r>
            <w:r w:rsidRPr="00FF5EDB" w:rsidR="00122AE5">
              <w:rPr>
                <w:rStyle w:val="Hyperlink"/>
                <w:noProof/>
              </w:rPr>
              <w:t>Procedural Compliance</w:t>
            </w:r>
            <w:r w:rsidR="00122AE5">
              <w:rPr>
                <w:noProof/>
                <w:webHidden/>
              </w:rPr>
              <w:tab/>
            </w:r>
            <w:r w:rsidR="00122AE5">
              <w:rPr>
                <w:noProof/>
                <w:webHidden/>
              </w:rPr>
              <w:fldChar w:fldCharType="begin"/>
            </w:r>
            <w:r w:rsidR="00122AE5">
              <w:rPr>
                <w:noProof/>
                <w:webHidden/>
              </w:rPr>
              <w:instrText xml:space="preserve"> PAGEREF _Toc164685405 \h </w:instrText>
            </w:r>
            <w:r w:rsidR="00122AE5">
              <w:rPr>
                <w:noProof/>
                <w:webHidden/>
              </w:rPr>
            </w:r>
            <w:r w:rsidR="00122AE5">
              <w:rPr>
                <w:noProof/>
                <w:webHidden/>
              </w:rPr>
              <w:fldChar w:fldCharType="separate"/>
            </w:r>
            <w:r w:rsidR="00122AE5">
              <w:rPr>
                <w:noProof/>
                <w:webHidden/>
              </w:rPr>
              <w:t>17</w:t>
            </w:r>
            <w:r w:rsidR="00122AE5">
              <w:rPr>
                <w:noProof/>
                <w:webHidden/>
              </w:rPr>
              <w:fldChar w:fldCharType="end"/>
            </w:r>
          </w:hyperlink>
        </w:p>
        <w:p w:rsidR="00122AE5" w:rsidRDefault="00000000" w14:paraId="1CC35DCC" w14:textId="210D7374">
          <w:pPr>
            <w:pStyle w:val="TOC2"/>
            <w:tabs>
              <w:tab w:val="right" w:leader="dot" w:pos="9350"/>
            </w:tabs>
            <w:rPr>
              <w:rFonts w:asciiTheme="minorHAnsi" w:hAnsiTheme="minorHAnsi" w:cstheme="minorBidi"/>
              <w:noProof/>
              <w:kern w:val="2"/>
              <w:sz w:val="24"/>
              <w:szCs w:val="24"/>
              <w14:ligatures w14:val="standardContextual"/>
            </w:rPr>
          </w:pPr>
          <w:hyperlink w:history="1" w:anchor="_Toc164685406">
            <w:r w:rsidRPr="00FF5EDB" w:rsidR="00122AE5">
              <w:rPr>
                <w:rStyle w:val="Hyperlink"/>
                <w:noProof/>
              </w:rPr>
              <w:t>5.2.</w:t>
            </w:r>
            <w:r w:rsidR="00122AE5">
              <w:rPr>
                <w:rFonts w:asciiTheme="minorHAnsi" w:hAnsiTheme="minorHAnsi" w:cstheme="minorBidi"/>
                <w:noProof/>
                <w:kern w:val="2"/>
                <w:sz w:val="24"/>
                <w:szCs w:val="24"/>
                <w14:ligatures w14:val="standardContextual"/>
              </w:rPr>
              <w:tab/>
            </w:r>
            <w:r w:rsidRPr="00FF5EDB" w:rsidR="00122AE5">
              <w:rPr>
                <w:rStyle w:val="Hyperlink"/>
                <w:noProof/>
              </w:rPr>
              <w:t>Project Alternatives Consideration</w:t>
            </w:r>
            <w:r w:rsidR="00122AE5">
              <w:rPr>
                <w:noProof/>
                <w:webHidden/>
              </w:rPr>
              <w:tab/>
            </w:r>
            <w:r w:rsidR="00122AE5">
              <w:rPr>
                <w:noProof/>
                <w:webHidden/>
              </w:rPr>
              <w:fldChar w:fldCharType="begin"/>
            </w:r>
            <w:r w:rsidR="00122AE5">
              <w:rPr>
                <w:noProof/>
                <w:webHidden/>
              </w:rPr>
              <w:instrText xml:space="preserve"> PAGEREF _Toc164685406 \h </w:instrText>
            </w:r>
            <w:r w:rsidR="00122AE5">
              <w:rPr>
                <w:noProof/>
                <w:webHidden/>
              </w:rPr>
            </w:r>
            <w:r w:rsidR="00122AE5">
              <w:rPr>
                <w:noProof/>
                <w:webHidden/>
              </w:rPr>
              <w:fldChar w:fldCharType="separate"/>
            </w:r>
            <w:r w:rsidR="00122AE5">
              <w:rPr>
                <w:noProof/>
                <w:webHidden/>
              </w:rPr>
              <w:t>19</w:t>
            </w:r>
            <w:r w:rsidR="00122AE5">
              <w:rPr>
                <w:noProof/>
                <w:webHidden/>
              </w:rPr>
              <w:fldChar w:fldCharType="end"/>
            </w:r>
          </w:hyperlink>
        </w:p>
        <w:p w:rsidR="00122AE5" w:rsidRDefault="00000000" w14:paraId="0DF2279D" w14:textId="066C6AD3">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685407">
            <w:r w:rsidRPr="00FF5EDB" w:rsidR="00122AE5">
              <w:rPr>
                <w:rStyle w:val="Hyperlink"/>
                <w:noProof/>
              </w:rPr>
              <w:t>5.2.1.</w:t>
            </w:r>
            <w:r w:rsidR="00122AE5">
              <w:rPr>
                <w:rFonts w:asciiTheme="minorHAnsi" w:hAnsiTheme="minorHAnsi" w:cstheme="minorBidi"/>
                <w:noProof/>
                <w:kern w:val="2"/>
                <w:sz w:val="24"/>
                <w:szCs w:val="24"/>
                <w14:ligatures w14:val="standardContextual"/>
              </w:rPr>
              <w:tab/>
            </w:r>
            <w:r w:rsidRPr="00FF5EDB" w:rsidR="00122AE5">
              <w:rPr>
                <w:rStyle w:val="Hyperlink"/>
                <w:noProof/>
              </w:rPr>
              <w:t>No Project Alternative</w:t>
            </w:r>
            <w:r w:rsidR="00122AE5">
              <w:rPr>
                <w:noProof/>
                <w:webHidden/>
              </w:rPr>
              <w:tab/>
            </w:r>
            <w:r w:rsidR="00122AE5">
              <w:rPr>
                <w:noProof/>
                <w:webHidden/>
              </w:rPr>
              <w:fldChar w:fldCharType="begin"/>
            </w:r>
            <w:r w:rsidR="00122AE5">
              <w:rPr>
                <w:noProof/>
                <w:webHidden/>
              </w:rPr>
              <w:instrText xml:space="preserve"> PAGEREF _Toc164685407 \h </w:instrText>
            </w:r>
            <w:r w:rsidR="00122AE5">
              <w:rPr>
                <w:noProof/>
                <w:webHidden/>
              </w:rPr>
            </w:r>
            <w:r w:rsidR="00122AE5">
              <w:rPr>
                <w:noProof/>
                <w:webHidden/>
              </w:rPr>
              <w:fldChar w:fldCharType="separate"/>
            </w:r>
            <w:r w:rsidR="00122AE5">
              <w:rPr>
                <w:noProof/>
                <w:webHidden/>
              </w:rPr>
              <w:t>20</w:t>
            </w:r>
            <w:r w:rsidR="00122AE5">
              <w:rPr>
                <w:noProof/>
                <w:webHidden/>
              </w:rPr>
              <w:fldChar w:fldCharType="end"/>
            </w:r>
          </w:hyperlink>
        </w:p>
        <w:p w:rsidR="00122AE5" w:rsidRDefault="00000000" w14:paraId="1DE676F9" w14:textId="35FD3A1D">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685408">
            <w:r w:rsidRPr="00FF5EDB" w:rsidR="00122AE5">
              <w:rPr>
                <w:rStyle w:val="Hyperlink"/>
                <w:noProof/>
              </w:rPr>
              <w:t>5.2.2.</w:t>
            </w:r>
            <w:r w:rsidR="00122AE5">
              <w:rPr>
                <w:rFonts w:asciiTheme="minorHAnsi" w:hAnsiTheme="minorHAnsi" w:cstheme="minorBidi"/>
                <w:noProof/>
                <w:kern w:val="2"/>
                <w:sz w:val="24"/>
                <w:szCs w:val="24"/>
                <w14:ligatures w14:val="standardContextual"/>
              </w:rPr>
              <w:tab/>
            </w:r>
            <w:r w:rsidRPr="00FF5EDB" w:rsidR="00122AE5">
              <w:rPr>
                <w:rStyle w:val="Hyperlink"/>
                <w:noProof/>
              </w:rPr>
              <w:t>Alternative Combinations</w:t>
            </w:r>
            <w:r w:rsidR="00122AE5">
              <w:rPr>
                <w:noProof/>
                <w:webHidden/>
              </w:rPr>
              <w:tab/>
            </w:r>
            <w:r w:rsidR="00122AE5">
              <w:rPr>
                <w:noProof/>
                <w:webHidden/>
              </w:rPr>
              <w:fldChar w:fldCharType="begin"/>
            </w:r>
            <w:r w:rsidR="00122AE5">
              <w:rPr>
                <w:noProof/>
                <w:webHidden/>
              </w:rPr>
              <w:instrText xml:space="preserve"> PAGEREF _Toc164685408 \h </w:instrText>
            </w:r>
            <w:r w:rsidR="00122AE5">
              <w:rPr>
                <w:noProof/>
                <w:webHidden/>
              </w:rPr>
            </w:r>
            <w:r w:rsidR="00122AE5">
              <w:rPr>
                <w:noProof/>
                <w:webHidden/>
              </w:rPr>
              <w:fldChar w:fldCharType="separate"/>
            </w:r>
            <w:r w:rsidR="00122AE5">
              <w:rPr>
                <w:noProof/>
                <w:webHidden/>
              </w:rPr>
              <w:t>20</w:t>
            </w:r>
            <w:r w:rsidR="00122AE5">
              <w:rPr>
                <w:noProof/>
                <w:webHidden/>
              </w:rPr>
              <w:fldChar w:fldCharType="end"/>
            </w:r>
          </w:hyperlink>
        </w:p>
        <w:p w:rsidR="00122AE5" w:rsidRDefault="00000000" w14:paraId="2D6EE621" w14:textId="34A5CAD6">
          <w:pPr>
            <w:pStyle w:val="TOC4"/>
            <w:tabs>
              <w:tab w:val="left" w:pos="1728"/>
              <w:tab w:val="right" w:leader="dot" w:pos="9350"/>
            </w:tabs>
            <w:rPr>
              <w:rFonts w:asciiTheme="minorHAnsi" w:hAnsiTheme="minorHAnsi" w:eastAsiaTheme="minorEastAsia"/>
              <w:noProof/>
              <w:kern w:val="2"/>
              <w:sz w:val="24"/>
              <w:szCs w:val="24"/>
              <w14:ligatures w14:val="standardContextual"/>
            </w:rPr>
          </w:pPr>
          <w:hyperlink w:history="1" w:anchor="_Toc164685409">
            <w:r w:rsidRPr="00FF5EDB" w:rsidR="00122AE5">
              <w:rPr>
                <w:rStyle w:val="Hyperlink"/>
                <w:noProof/>
              </w:rPr>
              <w:t>5.2.2.1.</w:t>
            </w:r>
            <w:r w:rsidR="00122AE5">
              <w:rPr>
                <w:rFonts w:asciiTheme="minorHAnsi" w:hAnsiTheme="minorHAnsi" w:eastAsiaTheme="minorEastAsia"/>
                <w:noProof/>
                <w:kern w:val="2"/>
                <w:sz w:val="24"/>
                <w:szCs w:val="24"/>
                <w14:ligatures w14:val="standardContextual"/>
              </w:rPr>
              <w:tab/>
            </w:r>
            <w:r w:rsidRPr="00FF5EDB" w:rsidR="00122AE5">
              <w:rPr>
                <w:rStyle w:val="Hyperlink"/>
                <w:noProof/>
              </w:rPr>
              <w:t>Alternative Combination #1</w:t>
            </w:r>
            <w:r w:rsidR="00122AE5">
              <w:rPr>
                <w:noProof/>
                <w:webHidden/>
              </w:rPr>
              <w:tab/>
            </w:r>
            <w:r w:rsidR="00122AE5">
              <w:rPr>
                <w:noProof/>
                <w:webHidden/>
              </w:rPr>
              <w:fldChar w:fldCharType="begin"/>
            </w:r>
            <w:r w:rsidR="00122AE5">
              <w:rPr>
                <w:noProof/>
                <w:webHidden/>
              </w:rPr>
              <w:instrText xml:space="preserve"> PAGEREF _Toc164685409 \h </w:instrText>
            </w:r>
            <w:r w:rsidR="00122AE5">
              <w:rPr>
                <w:noProof/>
                <w:webHidden/>
              </w:rPr>
            </w:r>
            <w:r w:rsidR="00122AE5">
              <w:rPr>
                <w:noProof/>
                <w:webHidden/>
              </w:rPr>
              <w:fldChar w:fldCharType="separate"/>
            </w:r>
            <w:r w:rsidR="00122AE5">
              <w:rPr>
                <w:noProof/>
                <w:webHidden/>
              </w:rPr>
              <w:t>20</w:t>
            </w:r>
            <w:r w:rsidR="00122AE5">
              <w:rPr>
                <w:noProof/>
                <w:webHidden/>
              </w:rPr>
              <w:fldChar w:fldCharType="end"/>
            </w:r>
          </w:hyperlink>
        </w:p>
        <w:p w:rsidR="00122AE5" w:rsidRDefault="00000000" w14:paraId="127F5842" w14:textId="3D7853C9">
          <w:pPr>
            <w:pStyle w:val="TOC4"/>
            <w:tabs>
              <w:tab w:val="left" w:pos="1728"/>
              <w:tab w:val="right" w:leader="dot" w:pos="9350"/>
            </w:tabs>
            <w:rPr>
              <w:rFonts w:asciiTheme="minorHAnsi" w:hAnsiTheme="minorHAnsi" w:eastAsiaTheme="minorEastAsia"/>
              <w:noProof/>
              <w:kern w:val="2"/>
              <w:sz w:val="24"/>
              <w:szCs w:val="24"/>
              <w14:ligatures w14:val="standardContextual"/>
            </w:rPr>
          </w:pPr>
          <w:hyperlink w:history="1" w:anchor="_Toc164685410">
            <w:r w:rsidRPr="00FF5EDB" w:rsidR="00122AE5">
              <w:rPr>
                <w:rStyle w:val="Hyperlink"/>
                <w:noProof/>
              </w:rPr>
              <w:t>5.2.2.2.</w:t>
            </w:r>
            <w:r w:rsidR="00122AE5">
              <w:rPr>
                <w:rFonts w:asciiTheme="minorHAnsi" w:hAnsiTheme="minorHAnsi" w:eastAsiaTheme="minorEastAsia"/>
                <w:noProof/>
                <w:kern w:val="2"/>
                <w:sz w:val="24"/>
                <w:szCs w:val="24"/>
                <w14:ligatures w14:val="standardContextual"/>
              </w:rPr>
              <w:tab/>
            </w:r>
            <w:r w:rsidRPr="00FF5EDB" w:rsidR="00122AE5">
              <w:rPr>
                <w:rStyle w:val="Hyperlink"/>
                <w:noProof/>
              </w:rPr>
              <w:t>Alternative Combination #2</w:t>
            </w:r>
            <w:r w:rsidR="00122AE5">
              <w:rPr>
                <w:noProof/>
                <w:webHidden/>
              </w:rPr>
              <w:tab/>
            </w:r>
            <w:r w:rsidR="00122AE5">
              <w:rPr>
                <w:noProof/>
                <w:webHidden/>
              </w:rPr>
              <w:fldChar w:fldCharType="begin"/>
            </w:r>
            <w:r w:rsidR="00122AE5">
              <w:rPr>
                <w:noProof/>
                <w:webHidden/>
              </w:rPr>
              <w:instrText xml:space="preserve"> PAGEREF _Toc164685410 \h </w:instrText>
            </w:r>
            <w:r w:rsidR="00122AE5">
              <w:rPr>
                <w:noProof/>
                <w:webHidden/>
              </w:rPr>
            </w:r>
            <w:r w:rsidR="00122AE5">
              <w:rPr>
                <w:noProof/>
                <w:webHidden/>
              </w:rPr>
              <w:fldChar w:fldCharType="separate"/>
            </w:r>
            <w:r w:rsidR="00122AE5">
              <w:rPr>
                <w:noProof/>
                <w:webHidden/>
              </w:rPr>
              <w:t>21</w:t>
            </w:r>
            <w:r w:rsidR="00122AE5">
              <w:rPr>
                <w:noProof/>
                <w:webHidden/>
              </w:rPr>
              <w:fldChar w:fldCharType="end"/>
            </w:r>
          </w:hyperlink>
        </w:p>
        <w:p w:rsidR="00122AE5" w:rsidRDefault="00000000" w14:paraId="3A698E67" w14:textId="21212B2C">
          <w:pPr>
            <w:pStyle w:val="TOC4"/>
            <w:tabs>
              <w:tab w:val="left" w:pos="1728"/>
              <w:tab w:val="right" w:leader="dot" w:pos="9350"/>
            </w:tabs>
            <w:rPr>
              <w:rFonts w:asciiTheme="minorHAnsi" w:hAnsiTheme="minorHAnsi" w:eastAsiaTheme="minorEastAsia"/>
              <w:noProof/>
              <w:kern w:val="2"/>
              <w:sz w:val="24"/>
              <w:szCs w:val="24"/>
              <w14:ligatures w14:val="standardContextual"/>
            </w:rPr>
          </w:pPr>
          <w:hyperlink w:history="1" w:anchor="_Toc164685411">
            <w:r w:rsidRPr="00FF5EDB" w:rsidR="00122AE5">
              <w:rPr>
                <w:rStyle w:val="Hyperlink"/>
                <w:noProof/>
              </w:rPr>
              <w:t>5.2.2.3.</w:t>
            </w:r>
            <w:r w:rsidR="00122AE5">
              <w:rPr>
                <w:rFonts w:asciiTheme="minorHAnsi" w:hAnsiTheme="minorHAnsi" w:eastAsiaTheme="minorEastAsia"/>
                <w:noProof/>
                <w:kern w:val="2"/>
                <w:sz w:val="24"/>
                <w:szCs w:val="24"/>
                <w14:ligatures w14:val="standardContextual"/>
              </w:rPr>
              <w:tab/>
            </w:r>
            <w:r w:rsidRPr="00FF5EDB" w:rsidR="00122AE5">
              <w:rPr>
                <w:rStyle w:val="Hyperlink"/>
                <w:noProof/>
              </w:rPr>
              <w:t>Alternative Combination #3</w:t>
            </w:r>
            <w:r w:rsidR="00122AE5">
              <w:rPr>
                <w:noProof/>
                <w:webHidden/>
              </w:rPr>
              <w:tab/>
            </w:r>
            <w:r w:rsidR="00122AE5">
              <w:rPr>
                <w:noProof/>
                <w:webHidden/>
              </w:rPr>
              <w:fldChar w:fldCharType="begin"/>
            </w:r>
            <w:r w:rsidR="00122AE5">
              <w:rPr>
                <w:noProof/>
                <w:webHidden/>
              </w:rPr>
              <w:instrText xml:space="preserve"> PAGEREF _Toc164685411 \h </w:instrText>
            </w:r>
            <w:r w:rsidR="00122AE5">
              <w:rPr>
                <w:noProof/>
                <w:webHidden/>
              </w:rPr>
            </w:r>
            <w:r w:rsidR="00122AE5">
              <w:rPr>
                <w:noProof/>
                <w:webHidden/>
              </w:rPr>
              <w:fldChar w:fldCharType="separate"/>
            </w:r>
            <w:r w:rsidR="00122AE5">
              <w:rPr>
                <w:noProof/>
                <w:webHidden/>
              </w:rPr>
              <w:t>22</w:t>
            </w:r>
            <w:r w:rsidR="00122AE5">
              <w:rPr>
                <w:noProof/>
                <w:webHidden/>
              </w:rPr>
              <w:fldChar w:fldCharType="end"/>
            </w:r>
          </w:hyperlink>
        </w:p>
        <w:p w:rsidR="00122AE5" w:rsidRDefault="00000000" w14:paraId="7E88E89F" w14:textId="7FA65549">
          <w:pPr>
            <w:pStyle w:val="TOC4"/>
            <w:tabs>
              <w:tab w:val="left" w:pos="1728"/>
              <w:tab w:val="right" w:leader="dot" w:pos="9350"/>
            </w:tabs>
            <w:rPr>
              <w:rFonts w:asciiTheme="minorHAnsi" w:hAnsiTheme="minorHAnsi" w:eastAsiaTheme="minorEastAsia"/>
              <w:noProof/>
              <w:kern w:val="2"/>
              <w:sz w:val="24"/>
              <w:szCs w:val="24"/>
              <w14:ligatures w14:val="standardContextual"/>
            </w:rPr>
          </w:pPr>
          <w:hyperlink w:history="1" w:anchor="_Toc164685412">
            <w:r w:rsidRPr="00FF5EDB" w:rsidR="00122AE5">
              <w:rPr>
                <w:rStyle w:val="Hyperlink"/>
                <w:noProof/>
              </w:rPr>
              <w:t>5.2.2.4.</w:t>
            </w:r>
            <w:r w:rsidR="00122AE5">
              <w:rPr>
                <w:rFonts w:asciiTheme="minorHAnsi" w:hAnsiTheme="minorHAnsi" w:eastAsiaTheme="minorEastAsia"/>
                <w:noProof/>
                <w:kern w:val="2"/>
                <w:sz w:val="24"/>
                <w:szCs w:val="24"/>
                <w14:ligatures w14:val="standardContextual"/>
              </w:rPr>
              <w:tab/>
            </w:r>
            <w:r w:rsidRPr="00FF5EDB" w:rsidR="00122AE5">
              <w:rPr>
                <w:rStyle w:val="Hyperlink"/>
                <w:noProof/>
              </w:rPr>
              <w:t>Alternative Combination #4</w:t>
            </w:r>
            <w:r w:rsidR="00122AE5">
              <w:rPr>
                <w:noProof/>
                <w:webHidden/>
              </w:rPr>
              <w:tab/>
            </w:r>
            <w:r w:rsidR="00122AE5">
              <w:rPr>
                <w:noProof/>
                <w:webHidden/>
              </w:rPr>
              <w:fldChar w:fldCharType="begin"/>
            </w:r>
            <w:r w:rsidR="00122AE5">
              <w:rPr>
                <w:noProof/>
                <w:webHidden/>
              </w:rPr>
              <w:instrText xml:space="preserve"> PAGEREF _Toc164685412 \h </w:instrText>
            </w:r>
            <w:r w:rsidR="00122AE5">
              <w:rPr>
                <w:noProof/>
                <w:webHidden/>
              </w:rPr>
            </w:r>
            <w:r w:rsidR="00122AE5">
              <w:rPr>
                <w:noProof/>
                <w:webHidden/>
              </w:rPr>
              <w:fldChar w:fldCharType="separate"/>
            </w:r>
            <w:r w:rsidR="00122AE5">
              <w:rPr>
                <w:noProof/>
                <w:webHidden/>
              </w:rPr>
              <w:t>23</w:t>
            </w:r>
            <w:r w:rsidR="00122AE5">
              <w:rPr>
                <w:noProof/>
                <w:webHidden/>
              </w:rPr>
              <w:fldChar w:fldCharType="end"/>
            </w:r>
          </w:hyperlink>
        </w:p>
        <w:p w:rsidR="00122AE5" w:rsidRDefault="00000000" w14:paraId="6551087B" w14:textId="7ECC71C8">
          <w:pPr>
            <w:pStyle w:val="TOC4"/>
            <w:tabs>
              <w:tab w:val="left" w:pos="1728"/>
              <w:tab w:val="right" w:leader="dot" w:pos="9350"/>
            </w:tabs>
            <w:rPr>
              <w:rFonts w:asciiTheme="minorHAnsi" w:hAnsiTheme="minorHAnsi" w:eastAsiaTheme="minorEastAsia"/>
              <w:noProof/>
              <w:kern w:val="2"/>
              <w:sz w:val="24"/>
              <w:szCs w:val="24"/>
              <w14:ligatures w14:val="standardContextual"/>
            </w:rPr>
          </w:pPr>
          <w:hyperlink w:history="1" w:anchor="_Toc164685413">
            <w:r w:rsidRPr="00FF5EDB" w:rsidR="00122AE5">
              <w:rPr>
                <w:rStyle w:val="Hyperlink"/>
                <w:noProof/>
              </w:rPr>
              <w:t>5.2.2.5.</w:t>
            </w:r>
            <w:r w:rsidR="00122AE5">
              <w:rPr>
                <w:rFonts w:asciiTheme="minorHAnsi" w:hAnsiTheme="minorHAnsi" w:eastAsiaTheme="minorEastAsia"/>
                <w:noProof/>
                <w:kern w:val="2"/>
                <w:sz w:val="24"/>
                <w:szCs w:val="24"/>
                <w14:ligatures w14:val="standardContextual"/>
              </w:rPr>
              <w:tab/>
            </w:r>
            <w:r w:rsidRPr="00FF5EDB" w:rsidR="00122AE5">
              <w:rPr>
                <w:rStyle w:val="Hyperlink"/>
                <w:noProof/>
              </w:rPr>
              <w:t>Alternative Combination #5</w:t>
            </w:r>
            <w:r w:rsidR="00122AE5">
              <w:rPr>
                <w:noProof/>
                <w:webHidden/>
              </w:rPr>
              <w:tab/>
            </w:r>
            <w:r w:rsidR="00122AE5">
              <w:rPr>
                <w:noProof/>
                <w:webHidden/>
              </w:rPr>
              <w:fldChar w:fldCharType="begin"/>
            </w:r>
            <w:r w:rsidR="00122AE5">
              <w:rPr>
                <w:noProof/>
                <w:webHidden/>
              </w:rPr>
              <w:instrText xml:space="preserve"> PAGEREF _Toc164685413 \h </w:instrText>
            </w:r>
            <w:r w:rsidR="00122AE5">
              <w:rPr>
                <w:noProof/>
                <w:webHidden/>
              </w:rPr>
            </w:r>
            <w:r w:rsidR="00122AE5">
              <w:rPr>
                <w:noProof/>
                <w:webHidden/>
              </w:rPr>
              <w:fldChar w:fldCharType="separate"/>
            </w:r>
            <w:r w:rsidR="00122AE5">
              <w:rPr>
                <w:noProof/>
                <w:webHidden/>
              </w:rPr>
              <w:t>23</w:t>
            </w:r>
            <w:r w:rsidR="00122AE5">
              <w:rPr>
                <w:noProof/>
                <w:webHidden/>
              </w:rPr>
              <w:fldChar w:fldCharType="end"/>
            </w:r>
          </w:hyperlink>
        </w:p>
        <w:p w:rsidR="00122AE5" w:rsidRDefault="00000000" w14:paraId="70BF4619" w14:textId="2DEBAA5A">
          <w:pPr>
            <w:pStyle w:val="TOC2"/>
            <w:tabs>
              <w:tab w:val="right" w:leader="dot" w:pos="9350"/>
            </w:tabs>
            <w:rPr>
              <w:rFonts w:asciiTheme="minorHAnsi" w:hAnsiTheme="minorHAnsi" w:cstheme="minorBidi"/>
              <w:noProof/>
              <w:kern w:val="2"/>
              <w:sz w:val="24"/>
              <w:szCs w:val="24"/>
              <w14:ligatures w14:val="standardContextual"/>
            </w:rPr>
          </w:pPr>
          <w:hyperlink w:history="1" w:anchor="_Toc164685414">
            <w:r w:rsidRPr="00FF5EDB" w:rsidR="00122AE5">
              <w:rPr>
                <w:rStyle w:val="Hyperlink"/>
                <w:noProof/>
              </w:rPr>
              <w:t>5.3.</w:t>
            </w:r>
            <w:r w:rsidR="00122AE5">
              <w:rPr>
                <w:rFonts w:asciiTheme="minorHAnsi" w:hAnsiTheme="minorHAnsi" w:cstheme="minorBidi"/>
                <w:noProof/>
                <w:kern w:val="2"/>
                <w:sz w:val="24"/>
                <w:szCs w:val="24"/>
                <w14:ligatures w14:val="standardContextual"/>
              </w:rPr>
              <w:tab/>
            </w:r>
            <w:r w:rsidRPr="00FF5EDB" w:rsidR="00122AE5">
              <w:rPr>
                <w:rStyle w:val="Hyperlink"/>
                <w:noProof/>
              </w:rPr>
              <w:t>Environmentally Superior Alternative - Alternative Combination #2</w:t>
            </w:r>
            <w:r w:rsidR="00122AE5">
              <w:rPr>
                <w:noProof/>
                <w:webHidden/>
              </w:rPr>
              <w:tab/>
            </w:r>
            <w:r w:rsidR="00122AE5">
              <w:rPr>
                <w:noProof/>
                <w:webHidden/>
              </w:rPr>
              <w:fldChar w:fldCharType="begin"/>
            </w:r>
            <w:r w:rsidR="00122AE5">
              <w:rPr>
                <w:noProof/>
                <w:webHidden/>
              </w:rPr>
              <w:instrText xml:space="preserve"> PAGEREF _Toc164685414 \h </w:instrText>
            </w:r>
            <w:r w:rsidR="00122AE5">
              <w:rPr>
                <w:noProof/>
                <w:webHidden/>
              </w:rPr>
            </w:r>
            <w:r w:rsidR="00122AE5">
              <w:rPr>
                <w:noProof/>
                <w:webHidden/>
              </w:rPr>
              <w:fldChar w:fldCharType="separate"/>
            </w:r>
            <w:r w:rsidR="00122AE5">
              <w:rPr>
                <w:noProof/>
                <w:webHidden/>
              </w:rPr>
              <w:t>24</w:t>
            </w:r>
            <w:r w:rsidR="00122AE5">
              <w:rPr>
                <w:noProof/>
                <w:webHidden/>
              </w:rPr>
              <w:fldChar w:fldCharType="end"/>
            </w:r>
          </w:hyperlink>
        </w:p>
        <w:p w:rsidR="00122AE5" w:rsidRDefault="00000000" w14:paraId="74F1311A" w14:textId="7112F7C7">
          <w:pPr>
            <w:pStyle w:val="TOC2"/>
            <w:tabs>
              <w:tab w:val="right" w:leader="dot" w:pos="9350"/>
            </w:tabs>
            <w:rPr>
              <w:rFonts w:asciiTheme="minorHAnsi" w:hAnsiTheme="minorHAnsi" w:cstheme="minorBidi"/>
              <w:noProof/>
              <w:kern w:val="2"/>
              <w:sz w:val="24"/>
              <w:szCs w:val="24"/>
              <w14:ligatures w14:val="standardContextual"/>
            </w:rPr>
          </w:pPr>
          <w:hyperlink w:history="1" w:anchor="_Toc164685415">
            <w:r w:rsidRPr="00FF5EDB" w:rsidR="00122AE5">
              <w:rPr>
                <w:rStyle w:val="Hyperlink"/>
                <w:noProof/>
              </w:rPr>
              <w:t>5.4.</w:t>
            </w:r>
            <w:r w:rsidR="00122AE5">
              <w:rPr>
                <w:rFonts w:asciiTheme="minorHAnsi" w:hAnsiTheme="minorHAnsi" w:cstheme="minorBidi"/>
                <w:noProof/>
                <w:kern w:val="2"/>
                <w:sz w:val="24"/>
                <w:szCs w:val="24"/>
                <w14:ligatures w14:val="standardContextual"/>
              </w:rPr>
              <w:tab/>
            </w:r>
            <w:r w:rsidRPr="00FF5EDB" w:rsidR="00122AE5">
              <w:rPr>
                <w:rStyle w:val="Hyperlink"/>
                <w:noProof/>
              </w:rPr>
              <w:t>Reasonably Foreseeable Project Components</w:t>
            </w:r>
            <w:r w:rsidR="00122AE5">
              <w:rPr>
                <w:noProof/>
                <w:webHidden/>
              </w:rPr>
              <w:tab/>
            </w:r>
            <w:r w:rsidR="00122AE5">
              <w:rPr>
                <w:noProof/>
                <w:webHidden/>
              </w:rPr>
              <w:fldChar w:fldCharType="begin"/>
            </w:r>
            <w:r w:rsidR="00122AE5">
              <w:rPr>
                <w:noProof/>
                <w:webHidden/>
              </w:rPr>
              <w:instrText xml:space="preserve"> PAGEREF _Toc164685415 \h </w:instrText>
            </w:r>
            <w:r w:rsidR="00122AE5">
              <w:rPr>
                <w:noProof/>
                <w:webHidden/>
              </w:rPr>
            </w:r>
            <w:r w:rsidR="00122AE5">
              <w:rPr>
                <w:noProof/>
                <w:webHidden/>
              </w:rPr>
              <w:fldChar w:fldCharType="separate"/>
            </w:r>
            <w:r w:rsidR="00122AE5">
              <w:rPr>
                <w:noProof/>
                <w:webHidden/>
              </w:rPr>
              <w:t>28</w:t>
            </w:r>
            <w:r w:rsidR="00122AE5">
              <w:rPr>
                <w:noProof/>
                <w:webHidden/>
              </w:rPr>
              <w:fldChar w:fldCharType="end"/>
            </w:r>
          </w:hyperlink>
        </w:p>
        <w:p w:rsidR="00122AE5" w:rsidRDefault="00000000" w14:paraId="63F5B4BE" w14:textId="4766DF14">
          <w:pPr>
            <w:pStyle w:val="TOC2"/>
            <w:tabs>
              <w:tab w:val="right" w:leader="dot" w:pos="9350"/>
            </w:tabs>
            <w:rPr>
              <w:rFonts w:asciiTheme="minorHAnsi" w:hAnsiTheme="minorHAnsi" w:cstheme="minorBidi"/>
              <w:noProof/>
              <w:kern w:val="2"/>
              <w:sz w:val="24"/>
              <w:szCs w:val="24"/>
              <w14:ligatures w14:val="standardContextual"/>
            </w:rPr>
          </w:pPr>
          <w:hyperlink w:history="1" w:anchor="_Toc164685416">
            <w:r w:rsidRPr="00FF5EDB" w:rsidR="00122AE5">
              <w:rPr>
                <w:rStyle w:val="Hyperlink"/>
                <w:noProof/>
              </w:rPr>
              <w:t>5.5.</w:t>
            </w:r>
            <w:r w:rsidR="00122AE5">
              <w:rPr>
                <w:rFonts w:asciiTheme="minorHAnsi" w:hAnsiTheme="minorHAnsi" w:cstheme="minorBidi"/>
                <w:noProof/>
                <w:kern w:val="2"/>
                <w:sz w:val="24"/>
                <w:szCs w:val="24"/>
                <w14:ligatures w14:val="standardContextual"/>
              </w:rPr>
              <w:tab/>
            </w:r>
            <w:r w:rsidRPr="00FF5EDB" w:rsidR="00122AE5">
              <w:rPr>
                <w:rStyle w:val="Hyperlink"/>
                <w:noProof/>
              </w:rPr>
              <w:t>Briefs Filed in the Proceeding</w:t>
            </w:r>
            <w:r w:rsidR="00122AE5">
              <w:rPr>
                <w:noProof/>
                <w:webHidden/>
              </w:rPr>
              <w:tab/>
            </w:r>
            <w:r w:rsidR="00122AE5">
              <w:rPr>
                <w:noProof/>
                <w:webHidden/>
              </w:rPr>
              <w:fldChar w:fldCharType="begin"/>
            </w:r>
            <w:r w:rsidR="00122AE5">
              <w:rPr>
                <w:noProof/>
                <w:webHidden/>
              </w:rPr>
              <w:instrText xml:space="preserve"> PAGEREF _Toc164685416 \h </w:instrText>
            </w:r>
            <w:r w:rsidR="00122AE5">
              <w:rPr>
                <w:noProof/>
                <w:webHidden/>
              </w:rPr>
            </w:r>
            <w:r w:rsidR="00122AE5">
              <w:rPr>
                <w:noProof/>
                <w:webHidden/>
              </w:rPr>
              <w:fldChar w:fldCharType="separate"/>
            </w:r>
            <w:r w:rsidR="00122AE5">
              <w:rPr>
                <w:noProof/>
                <w:webHidden/>
              </w:rPr>
              <w:t>30</w:t>
            </w:r>
            <w:r w:rsidR="00122AE5">
              <w:rPr>
                <w:noProof/>
                <w:webHidden/>
              </w:rPr>
              <w:fldChar w:fldCharType="end"/>
            </w:r>
          </w:hyperlink>
        </w:p>
        <w:p w:rsidR="00122AE5" w:rsidRDefault="00000000" w14:paraId="6423D86E" w14:textId="11C3B941">
          <w:pPr>
            <w:pStyle w:val="TOC2"/>
            <w:tabs>
              <w:tab w:val="right" w:leader="dot" w:pos="9350"/>
            </w:tabs>
            <w:rPr>
              <w:rFonts w:asciiTheme="minorHAnsi" w:hAnsiTheme="minorHAnsi" w:cstheme="minorBidi"/>
              <w:noProof/>
              <w:kern w:val="2"/>
              <w:sz w:val="24"/>
              <w:szCs w:val="24"/>
              <w14:ligatures w14:val="standardContextual"/>
            </w:rPr>
          </w:pPr>
          <w:hyperlink w:history="1" w:anchor="_Toc164685417">
            <w:r w:rsidRPr="00FF5EDB" w:rsidR="00122AE5">
              <w:rPr>
                <w:rStyle w:val="Hyperlink"/>
                <w:noProof/>
              </w:rPr>
              <w:t>5.6.</w:t>
            </w:r>
            <w:r w:rsidR="00122AE5">
              <w:rPr>
                <w:rFonts w:asciiTheme="minorHAnsi" w:hAnsiTheme="minorHAnsi" w:cstheme="minorBidi"/>
                <w:noProof/>
                <w:kern w:val="2"/>
                <w:sz w:val="24"/>
                <w:szCs w:val="24"/>
                <w14:ligatures w14:val="standardContextual"/>
              </w:rPr>
              <w:tab/>
            </w:r>
            <w:r w:rsidRPr="00FF5EDB" w:rsidR="00122AE5">
              <w:rPr>
                <w:rStyle w:val="Hyperlink"/>
                <w:noProof/>
              </w:rPr>
              <w:t>Significant Environmental Impacts</w:t>
            </w:r>
            <w:r w:rsidR="00122AE5">
              <w:rPr>
                <w:noProof/>
                <w:webHidden/>
              </w:rPr>
              <w:tab/>
            </w:r>
            <w:r w:rsidR="00122AE5">
              <w:rPr>
                <w:noProof/>
                <w:webHidden/>
              </w:rPr>
              <w:fldChar w:fldCharType="begin"/>
            </w:r>
            <w:r w:rsidR="00122AE5">
              <w:rPr>
                <w:noProof/>
                <w:webHidden/>
              </w:rPr>
              <w:instrText xml:space="preserve"> PAGEREF _Toc164685417 \h </w:instrText>
            </w:r>
            <w:r w:rsidR="00122AE5">
              <w:rPr>
                <w:noProof/>
                <w:webHidden/>
              </w:rPr>
            </w:r>
            <w:r w:rsidR="00122AE5">
              <w:rPr>
                <w:noProof/>
                <w:webHidden/>
              </w:rPr>
              <w:fldChar w:fldCharType="separate"/>
            </w:r>
            <w:r w:rsidR="00122AE5">
              <w:rPr>
                <w:noProof/>
                <w:webHidden/>
              </w:rPr>
              <w:t>31</w:t>
            </w:r>
            <w:r w:rsidR="00122AE5">
              <w:rPr>
                <w:noProof/>
                <w:webHidden/>
              </w:rPr>
              <w:fldChar w:fldCharType="end"/>
            </w:r>
          </w:hyperlink>
        </w:p>
        <w:p w:rsidR="00122AE5" w:rsidRDefault="00000000" w14:paraId="4E32D405" w14:textId="7C2A27BF">
          <w:pPr>
            <w:pStyle w:val="TOC2"/>
            <w:tabs>
              <w:tab w:val="right" w:leader="dot" w:pos="9350"/>
            </w:tabs>
            <w:rPr>
              <w:rFonts w:asciiTheme="minorHAnsi" w:hAnsiTheme="minorHAnsi" w:cstheme="minorBidi"/>
              <w:noProof/>
              <w:kern w:val="2"/>
              <w:sz w:val="24"/>
              <w:szCs w:val="24"/>
              <w14:ligatures w14:val="standardContextual"/>
            </w:rPr>
          </w:pPr>
          <w:hyperlink w:history="1" w:anchor="_Toc164685418">
            <w:r w:rsidRPr="00FF5EDB" w:rsidR="00122AE5">
              <w:rPr>
                <w:rStyle w:val="Hyperlink"/>
                <w:noProof/>
              </w:rPr>
              <w:t>5.7.</w:t>
            </w:r>
            <w:r w:rsidR="00122AE5">
              <w:rPr>
                <w:rFonts w:asciiTheme="minorHAnsi" w:hAnsiTheme="minorHAnsi" w:cstheme="minorBidi"/>
                <w:noProof/>
                <w:kern w:val="2"/>
                <w:sz w:val="24"/>
                <w:szCs w:val="24"/>
                <w14:ligatures w14:val="standardContextual"/>
              </w:rPr>
              <w:tab/>
            </w:r>
            <w:r w:rsidRPr="00FF5EDB" w:rsidR="00122AE5">
              <w:rPr>
                <w:rStyle w:val="Hyperlink"/>
                <w:noProof/>
              </w:rPr>
              <w:t>Significant Unavoidable Impacts</w:t>
            </w:r>
            <w:r w:rsidR="00122AE5">
              <w:rPr>
                <w:noProof/>
                <w:webHidden/>
              </w:rPr>
              <w:tab/>
            </w:r>
            <w:r w:rsidR="00122AE5">
              <w:rPr>
                <w:noProof/>
                <w:webHidden/>
              </w:rPr>
              <w:fldChar w:fldCharType="begin"/>
            </w:r>
            <w:r w:rsidR="00122AE5">
              <w:rPr>
                <w:noProof/>
                <w:webHidden/>
              </w:rPr>
              <w:instrText xml:space="preserve"> PAGEREF _Toc164685418 \h </w:instrText>
            </w:r>
            <w:r w:rsidR="00122AE5">
              <w:rPr>
                <w:noProof/>
                <w:webHidden/>
              </w:rPr>
            </w:r>
            <w:r w:rsidR="00122AE5">
              <w:rPr>
                <w:noProof/>
                <w:webHidden/>
              </w:rPr>
              <w:fldChar w:fldCharType="separate"/>
            </w:r>
            <w:r w:rsidR="00122AE5">
              <w:rPr>
                <w:noProof/>
                <w:webHidden/>
              </w:rPr>
              <w:t>33</w:t>
            </w:r>
            <w:r w:rsidR="00122AE5">
              <w:rPr>
                <w:noProof/>
                <w:webHidden/>
              </w:rPr>
              <w:fldChar w:fldCharType="end"/>
            </w:r>
          </w:hyperlink>
        </w:p>
        <w:p w:rsidR="00122AE5" w:rsidRDefault="00000000" w14:paraId="0EFC986A" w14:textId="5B5D4A86">
          <w:pPr>
            <w:pStyle w:val="TOC2"/>
            <w:tabs>
              <w:tab w:val="right" w:leader="dot" w:pos="9350"/>
            </w:tabs>
            <w:rPr>
              <w:rFonts w:asciiTheme="minorHAnsi" w:hAnsiTheme="minorHAnsi" w:cstheme="minorBidi"/>
              <w:noProof/>
              <w:kern w:val="2"/>
              <w:sz w:val="24"/>
              <w:szCs w:val="24"/>
              <w14:ligatures w14:val="standardContextual"/>
            </w:rPr>
          </w:pPr>
          <w:hyperlink w:history="1" w:anchor="_Toc164685419">
            <w:r w:rsidRPr="00FF5EDB" w:rsidR="00122AE5">
              <w:rPr>
                <w:rStyle w:val="Hyperlink"/>
                <w:noProof/>
              </w:rPr>
              <w:t>5.8.</w:t>
            </w:r>
            <w:r w:rsidR="00122AE5">
              <w:rPr>
                <w:rFonts w:asciiTheme="minorHAnsi" w:hAnsiTheme="minorHAnsi" w:cstheme="minorBidi"/>
                <w:noProof/>
                <w:kern w:val="2"/>
                <w:sz w:val="24"/>
                <w:szCs w:val="24"/>
                <w14:ligatures w14:val="standardContextual"/>
              </w:rPr>
              <w:tab/>
            </w:r>
            <w:r w:rsidRPr="00FF5EDB" w:rsidR="00122AE5">
              <w:rPr>
                <w:rStyle w:val="Hyperlink"/>
                <w:noProof/>
              </w:rPr>
              <w:t>CURE’s Arguments</w:t>
            </w:r>
            <w:r w:rsidR="00122AE5">
              <w:rPr>
                <w:noProof/>
                <w:webHidden/>
              </w:rPr>
              <w:tab/>
            </w:r>
            <w:r w:rsidR="00122AE5">
              <w:rPr>
                <w:noProof/>
                <w:webHidden/>
              </w:rPr>
              <w:fldChar w:fldCharType="begin"/>
            </w:r>
            <w:r w:rsidR="00122AE5">
              <w:rPr>
                <w:noProof/>
                <w:webHidden/>
              </w:rPr>
              <w:instrText xml:space="preserve"> PAGEREF _Toc164685419 \h </w:instrText>
            </w:r>
            <w:r w:rsidR="00122AE5">
              <w:rPr>
                <w:noProof/>
                <w:webHidden/>
              </w:rPr>
            </w:r>
            <w:r w:rsidR="00122AE5">
              <w:rPr>
                <w:noProof/>
                <w:webHidden/>
              </w:rPr>
              <w:fldChar w:fldCharType="separate"/>
            </w:r>
            <w:r w:rsidR="00122AE5">
              <w:rPr>
                <w:noProof/>
                <w:webHidden/>
              </w:rPr>
              <w:t>49</w:t>
            </w:r>
            <w:r w:rsidR="00122AE5">
              <w:rPr>
                <w:noProof/>
                <w:webHidden/>
              </w:rPr>
              <w:fldChar w:fldCharType="end"/>
            </w:r>
          </w:hyperlink>
        </w:p>
        <w:p w:rsidR="00122AE5" w:rsidRDefault="00000000" w14:paraId="0B6FD0C2" w14:textId="2EFCCB2C">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685420">
            <w:r w:rsidRPr="00FF5EDB" w:rsidR="00122AE5">
              <w:rPr>
                <w:rStyle w:val="Hyperlink"/>
                <w:noProof/>
              </w:rPr>
              <w:t>5.8.1.</w:t>
            </w:r>
            <w:r w:rsidR="00122AE5">
              <w:rPr>
                <w:rFonts w:asciiTheme="minorHAnsi" w:hAnsiTheme="minorHAnsi" w:cstheme="minorBidi"/>
                <w:noProof/>
                <w:kern w:val="2"/>
                <w:sz w:val="24"/>
                <w:szCs w:val="24"/>
                <w14:ligatures w14:val="standardContextual"/>
              </w:rPr>
              <w:tab/>
            </w:r>
            <w:r w:rsidRPr="00FF5EDB" w:rsidR="00122AE5">
              <w:rPr>
                <w:rStyle w:val="Hyperlink"/>
                <w:noProof/>
              </w:rPr>
              <w:t>Reasonable Range of Alternatives Argument</w:t>
            </w:r>
            <w:r w:rsidR="00122AE5">
              <w:rPr>
                <w:noProof/>
                <w:webHidden/>
              </w:rPr>
              <w:tab/>
            </w:r>
            <w:r w:rsidR="00122AE5">
              <w:rPr>
                <w:noProof/>
                <w:webHidden/>
              </w:rPr>
              <w:fldChar w:fldCharType="begin"/>
            </w:r>
            <w:r w:rsidR="00122AE5">
              <w:rPr>
                <w:noProof/>
                <w:webHidden/>
              </w:rPr>
              <w:instrText xml:space="preserve"> PAGEREF _Toc164685420 \h </w:instrText>
            </w:r>
            <w:r w:rsidR="00122AE5">
              <w:rPr>
                <w:noProof/>
                <w:webHidden/>
              </w:rPr>
            </w:r>
            <w:r w:rsidR="00122AE5">
              <w:rPr>
                <w:noProof/>
                <w:webHidden/>
              </w:rPr>
              <w:fldChar w:fldCharType="separate"/>
            </w:r>
            <w:r w:rsidR="00122AE5">
              <w:rPr>
                <w:noProof/>
                <w:webHidden/>
              </w:rPr>
              <w:t>49</w:t>
            </w:r>
            <w:r w:rsidR="00122AE5">
              <w:rPr>
                <w:noProof/>
                <w:webHidden/>
              </w:rPr>
              <w:fldChar w:fldCharType="end"/>
            </w:r>
          </w:hyperlink>
        </w:p>
        <w:p w:rsidR="00122AE5" w:rsidRDefault="00000000" w14:paraId="5BA8696F" w14:textId="68ADDCC8">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685421">
            <w:r w:rsidRPr="00FF5EDB" w:rsidR="00122AE5">
              <w:rPr>
                <w:rStyle w:val="Hyperlink"/>
                <w:noProof/>
              </w:rPr>
              <w:t>5.8.2.</w:t>
            </w:r>
            <w:r w:rsidR="00122AE5">
              <w:rPr>
                <w:rFonts w:asciiTheme="minorHAnsi" w:hAnsiTheme="minorHAnsi" w:cstheme="minorBidi"/>
                <w:noProof/>
                <w:kern w:val="2"/>
                <w:sz w:val="24"/>
                <w:szCs w:val="24"/>
                <w14:ligatures w14:val="standardContextual"/>
              </w:rPr>
              <w:tab/>
            </w:r>
            <w:r w:rsidRPr="00FF5EDB" w:rsidR="00122AE5">
              <w:rPr>
                <w:rStyle w:val="Hyperlink"/>
                <w:noProof/>
              </w:rPr>
              <w:t>Project Impact Reduction Argument</w:t>
            </w:r>
            <w:r w:rsidR="00122AE5">
              <w:rPr>
                <w:noProof/>
                <w:webHidden/>
              </w:rPr>
              <w:tab/>
            </w:r>
            <w:r w:rsidR="00122AE5">
              <w:rPr>
                <w:noProof/>
                <w:webHidden/>
              </w:rPr>
              <w:fldChar w:fldCharType="begin"/>
            </w:r>
            <w:r w:rsidR="00122AE5">
              <w:rPr>
                <w:noProof/>
                <w:webHidden/>
              </w:rPr>
              <w:instrText xml:space="preserve"> PAGEREF _Toc164685421 \h </w:instrText>
            </w:r>
            <w:r w:rsidR="00122AE5">
              <w:rPr>
                <w:noProof/>
                <w:webHidden/>
              </w:rPr>
            </w:r>
            <w:r w:rsidR="00122AE5">
              <w:rPr>
                <w:noProof/>
                <w:webHidden/>
              </w:rPr>
              <w:fldChar w:fldCharType="separate"/>
            </w:r>
            <w:r w:rsidR="00122AE5">
              <w:rPr>
                <w:noProof/>
                <w:webHidden/>
              </w:rPr>
              <w:t>52</w:t>
            </w:r>
            <w:r w:rsidR="00122AE5">
              <w:rPr>
                <w:noProof/>
                <w:webHidden/>
              </w:rPr>
              <w:fldChar w:fldCharType="end"/>
            </w:r>
          </w:hyperlink>
        </w:p>
        <w:p w:rsidR="00122AE5" w:rsidRDefault="00000000" w14:paraId="66E1A1B0" w14:textId="52AF1CE3">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685422">
            <w:r w:rsidRPr="00FF5EDB" w:rsidR="00122AE5">
              <w:rPr>
                <w:rStyle w:val="Hyperlink"/>
                <w:noProof/>
              </w:rPr>
              <w:t>5.8.3.</w:t>
            </w:r>
            <w:r w:rsidR="00122AE5">
              <w:rPr>
                <w:rFonts w:asciiTheme="minorHAnsi" w:hAnsiTheme="minorHAnsi" w:cstheme="minorBidi"/>
                <w:noProof/>
                <w:kern w:val="2"/>
                <w:sz w:val="24"/>
                <w:szCs w:val="24"/>
                <w14:ligatures w14:val="standardContextual"/>
              </w:rPr>
              <w:tab/>
            </w:r>
            <w:r w:rsidRPr="00FF5EDB" w:rsidR="00122AE5">
              <w:rPr>
                <w:rStyle w:val="Hyperlink"/>
                <w:noProof/>
              </w:rPr>
              <w:t>FEIR Inadequacy Argument</w:t>
            </w:r>
            <w:r w:rsidR="00122AE5">
              <w:rPr>
                <w:noProof/>
                <w:webHidden/>
              </w:rPr>
              <w:tab/>
            </w:r>
            <w:r w:rsidR="00122AE5">
              <w:rPr>
                <w:noProof/>
                <w:webHidden/>
              </w:rPr>
              <w:fldChar w:fldCharType="begin"/>
            </w:r>
            <w:r w:rsidR="00122AE5">
              <w:rPr>
                <w:noProof/>
                <w:webHidden/>
              </w:rPr>
              <w:instrText xml:space="preserve"> PAGEREF _Toc164685422 \h </w:instrText>
            </w:r>
            <w:r w:rsidR="00122AE5">
              <w:rPr>
                <w:noProof/>
                <w:webHidden/>
              </w:rPr>
            </w:r>
            <w:r w:rsidR="00122AE5">
              <w:rPr>
                <w:noProof/>
                <w:webHidden/>
              </w:rPr>
              <w:fldChar w:fldCharType="separate"/>
            </w:r>
            <w:r w:rsidR="00122AE5">
              <w:rPr>
                <w:noProof/>
                <w:webHidden/>
              </w:rPr>
              <w:t>55</w:t>
            </w:r>
            <w:r w:rsidR="00122AE5">
              <w:rPr>
                <w:noProof/>
                <w:webHidden/>
              </w:rPr>
              <w:fldChar w:fldCharType="end"/>
            </w:r>
          </w:hyperlink>
        </w:p>
        <w:p w:rsidR="00122AE5" w:rsidRDefault="00000000" w14:paraId="7904B905" w14:textId="430FD4E9">
          <w:pPr>
            <w:pStyle w:val="TOC2"/>
            <w:tabs>
              <w:tab w:val="right" w:leader="dot" w:pos="9350"/>
            </w:tabs>
            <w:rPr>
              <w:rFonts w:asciiTheme="minorHAnsi" w:hAnsiTheme="minorHAnsi" w:cstheme="minorBidi"/>
              <w:noProof/>
              <w:kern w:val="2"/>
              <w:sz w:val="24"/>
              <w:szCs w:val="24"/>
              <w14:ligatures w14:val="standardContextual"/>
            </w:rPr>
          </w:pPr>
          <w:hyperlink w:history="1" w:anchor="_Toc164685423">
            <w:r w:rsidRPr="00FF5EDB" w:rsidR="00122AE5">
              <w:rPr>
                <w:rStyle w:val="Hyperlink"/>
                <w:noProof/>
              </w:rPr>
              <w:t>5.9.</w:t>
            </w:r>
            <w:r w:rsidR="00122AE5">
              <w:rPr>
                <w:rFonts w:asciiTheme="minorHAnsi" w:hAnsiTheme="minorHAnsi" w:cstheme="minorBidi"/>
                <w:noProof/>
                <w:kern w:val="2"/>
                <w:sz w:val="24"/>
                <w:szCs w:val="24"/>
                <w14:ligatures w14:val="standardContextual"/>
              </w:rPr>
              <w:tab/>
            </w:r>
            <w:r w:rsidRPr="00FF5EDB" w:rsidR="00122AE5">
              <w:rPr>
                <w:rStyle w:val="Hyperlink"/>
                <w:noProof/>
              </w:rPr>
              <w:t>Mitigation Monitoring and Reporting Plan</w:t>
            </w:r>
            <w:r w:rsidR="00122AE5">
              <w:rPr>
                <w:noProof/>
                <w:webHidden/>
              </w:rPr>
              <w:tab/>
            </w:r>
            <w:r w:rsidR="00122AE5">
              <w:rPr>
                <w:noProof/>
                <w:webHidden/>
              </w:rPr>
              <w:fldChar w:fldCharType="begin"/>
            </w:r>
            <w:r w:rsidR="00122AE5">
              <w:rPr>
                <w:noProof/>
                <w:webHidden/>
              </w:rPr>
              <w:instrText xml:space="preserve"> PAGEREF _Toc164685423 \h </w:instrText>
            </w:r>
            <w:r w:rsidR="00122AE5">
              <w:rPr>
                <w:noProof/>
                <w:webHidden/>
              </w:rPr>
            </w:r>
            <w:r w:rsidR="00122AE5">
              <w:rPr>
                <w:noProof/>
                <w:webHidden/>
              </w:rPr>
              <w:fldChar w:fldCharType="separate"/>
            </w:r>
            <w:r w:rsidR="00122AE5">
              <w:rPr>
                <w:noProof/>
                <w:webHidden/>
              </w:rPr>
              <w:t>62</w:t>
            </w:r>
            <w:r w:rsidR="00122AE5">
              <w:rPr>
                <w:noProof/>
                <w:webHidden/>
              </w:rPr>
              <w:fldChar w:fldCharType="end"/>
            </w:r>
          </w:hyperlink>
        </w:p>
        <w:p w:rsidR="00122AE5" w:rsidRDefault="00000000" w14:paraId="453AFE16" w14:textId="2922332A">
          <w:pPr>
            <w:pStyle w:val="TOC1"/>
            <w:tabs>
              <w:tab w:val="right" w:leader="dot" w:pos="9350"/>
            </w:tabs>
            <w:rPr>
              <w:rFonts w:asciiTheme="minorHAnsi" w:hAnsiTheme="minorHAnsi" w:cstheme="minorBidi"/>
              <w:noProof/>
              <w:kern w:val="2"/>
              <w:sz w:val="24"/>
              <w:szCs w:val="24"/>
              <w14:ligatures w14:val="standardContextual"/>
            </w:rPr>
          </w:pPr>
          <w:hyperlink w:history="1" w:anchor="_Toc164685424">
            <w:r w:rsidRPr="00FF5EDB" w:rsidR="00122AE5">
              <w:rPr>
                <w:rStyle w:val="Hyperlink"/>
                <w:noProof/>
              </w:rPr>
              <w:t>6.</w:t>
            </w:r>
            <w:r w:rsidR="00122AE5">
              <w:rPr>
                <w:rFonts w:asciiTheme="minorHAnsi" w:hAnsiTheme="minorHAnsi" w:cstheme="minorBidi"/>
                <w:noProof/>
                <w:kern w:val="2"/>
                <w:sz w:val="24"/>
                <w:szCs w:val="24"/>
                <w14:ligatures w14:val="standardContextual"/>
              </w:rPr>
              <w:tab/>
            </w:r>
            <w:r w:rsidRPr="00FF5EDB" w:rsidR="00122AE5">
              <w:rPr>
                <w:rStyle w:val="Hyperlink"/>
                <w:noProof/>
              </w:rPr>
              <w:t>Statement of Overriding Considerations</w:t>
            </w:r>
            <w:r w:rsidR="00122AE5">
              <w:rPr>
                <w:noProof/>
                <w:webHidden/>
              </w:rPr>
              <w:tab/>
            </w:r>
            <w:r w:rsidR="00122AE5">
              <w:rPr>
                <w:noProof/>
                <w:webHidden/>
              </w:rPr>
              <w:fldChar w:fldCharType="begin"/>
            </w:r>
            <w:r w:rsidR="00122AE5">
              <w:rPr>
                <w:noProof/>
                <w:webHidden/>
              </w:rPr>
              <w:instrText xml:space="preserve"> PAGEREF _Toc164685424 \h </w:instrText>
            </w:r>
            <w:r w:rsidR="00122AE5">
              <w:rPr>
                <w:noProof/>
                <w:webHidden/>
              </w:rPr>
            </w:r>
            <w:r w:rsidR="00122AE5">
              <w:rPr>
                <w:noProof/>
                <w:webHidden/>
              </w:rPr>
              <w:fldChar w:fldCharType="separate"/>
            </w:r>
            <w:r w:rsidR="00122AE5">
              <w:rPr>
                <w:noProof/>
                <w:webHidden/>
              </w:rPr>
              <w:t>63</w:t>
            </w:r>
            <w:r w:rsidR="00122AE5">
              <w:rPr>
                <w:noProof/>
                <w:webHidden/>
              </w:rPr>
              <w:fldChar w:fldCharType="end"/>
            </w:r>
          </w:hyperlink>
        </w:p>
        <w:p w:rsidR="00122AE5" w:rsidRDefault="00000000" w14:paraId="033262D8" w14:textId="36E00922">
          <w:pPr>
            <w:pStyle w:val="TOC2"/>
            <w:tabs>
              <w:tab w:val="right" w:leader="dot" w:pos="9350"/>
            </w:tabs>
            <w:rPr>
              <w:rFonts w:asciiTheme="minorHAnsi" w:hAnsiTheme="minorHAnsi" w:cstheme="minorBidi"/>
              <w:noProof/>
              <w:kern w:val="2"/>
              <w:sz w:val="24"/>
              <w:szCs w:val="24"/>
              <w14:ligatures w14:val="standardContextual"/>
            </w:rPr>
          </w:pPr>
          <w:hyperlink w:history="1" w:anchor="_Toc164685425">
            <w:r w:rsidRPr="00FF5EDB" w:rsidR="00122AE5">
              <w:rPr>
                <w:rStyle w:val="Hyperlink"/>
                <w:noProof/>
              </w:rPr>
              <w:t>6.1.</w:t>
            </w:r>
            <w:r w:rsidR="00122AE5">
              <w:rPr>
                <w:rFonts w:asciiTheme="minorHAnsi" w:hAnsiTheme="minorHAnsi" w:cstheme="minorBidi"/>
                <w:noProof/>
                <w:kern w:val="2"/>
                <w:sz w:val="24"/>
                <w:szCs w:val="24"/>
                <w14:ligatures w14:val="standardContextual"/>
              </w:rPr>
              <w:tab/>
            </w:r>
            <w:r w:rsidRPr="00FF5EDB" w:rsidR="00122AE5">
              <w:rPr>
                <w:rStyle w:val="Hyperlink"/>
                <w:noProof/>
              </w:rPr>
              <w:t>Reliability Benefits</w:t>
            </w:r>
            <w:r w:rsidR="00122AE5">
              <w:rPr>
                <w:noProof/>
                <w:webHidden/>
              </w:rPr>
              <w:tab/>
            </w:r>
            <w:r w:rsidR="00122AE5">
              <w:rPr>
                <w:noProof/>
                <w:webHidden/>
              </w:rPr>
              <w:fldChar w:fldCharType="begin"/>
            </w:r>
            <w:r w:rsidR="00122AE5">
              <w:rPr>
                <w:noProof/>
                <w:webHidden/>
              </w:rPr>
              <w:instrText xml:space="preserve"> PAGEREF _Toc164685425 \h </w:instrText>
            </w:r>
            <w:r w:rsidR="00122AE5">
              <w:rPr>
                <w:noProof/>
                <w:webHidden/>
              </w:rPr>
            </w:r>
            <w:r w:rsidR="00122AE5">
              <w:rPr>
                <w:noProof/>
                <w:webHidden/>
              </w:rPr>
              <w:fldChar w:fldCharType="separate"/>
            </w:r>
            <w:r w:rsidR="00122AE5">
              <w:rPr>
                <w:noProof/>
                <w:webHidden/>
              </w:rPr>
              <w:t>64</w:t>
            </w:r>
            <w:r w:rsidR="00122AE5">
              <w:rPr>
                <w:noProof/>
                <w:webHidden/>
              </w:rPr>
              <w:fldChar w:fldCharType="end"/>
            </w:r>
          </w:hyperlink>
        </w:p>
        <w:p w:rsidR="00122AE5" w:rsidRDefault="00000000" w14:paraId="3F06AB92" w14:textId="35D7D081">
          <w:pPr>
            <w:pStyle w:val="TOC2"/>
            <w:tabs>
              <w:tab w:val="right" w:leader="dot" w:pos="9350"/>
            </w:tabs>
            <w:rPr>
              <w:rFonts w:asciiTheme="minorHAnsi" w:hAnsiTheme="minorHAnsi" w:cstheme="minorBidi"/>
              <w:noProof/>
              <w:kern w:val="2"/>
              <w:sz w:val="24"/>
              <w:szCs w:val="24"/>
              <w14:ligatures w14:val="standardContextual"/>
            </w:rPr>
          </w:pPr>
          <w:hyperlink w:history="1" w:anchor="_Toc164685426">
            <w:r w:rsidRPr="00FF5EDB" w:rsidR="00122AE5">
              <w:rPr>
                <w:rStyle w:val="Hyperlink"/>
                <w:noProof/>
              </w:rPr>
              <w:t>6.2.</w:t>
            </w:r>
            <w:r w:rsidR="00122AE5">
              <w:rPr>
                <w:rFonts w:asciiTheme="minorHAnsi" w:hAnsiTheme="minorHAnsi" w:cstheme="minorBidi"/>
                <w:noProof/>
                <w:kern w:val="2"/>
                <w:sz w:val="24"/>
                <w:szCs w:val="24"/>
                <w14:ligatures w14:val="standardContextual"/>
              </w:rPr>
              <w:tab/>
            </w:r>
            <w:r w:rsidRPr="00FF5EDB" w:rsidR="00122AE5">
              <w:rPr>
                <w:rStyle w:val="Hyperlink"/>
                <w:noProof/>
              </w:rPr>
              <w:t>Economic Benefits</w:t>
            </w:r>
            <w:r w:rsidR="00122AE5">
              <w:rPr>
                <w:noProof/>
                <w:webHidden/>
              </w:rPr>
              <w:tab/>
            </w:r>
            <w:r w:rsidR="00122AE5">
              <w:rPr>
                <w:noProof/>
                <w:webHidden/>
              </w:rPr>
              <w:fldChar w:fldCharType="begin"/>
            </w:r>
            <w:r w:rsidR="00122AE5">
              <w:rPr>
                <w:noProof/>
                <w:webHidden/>
              </w:rPr>
              <w:instrText xml:space="preserve"> PAGEREF _Toc164685426 \h </w:instrText>
            </w:r>
            <w:r w:rsidR="00122AE5">
              <w:rPr>
                <w:noProof/>
                <w:webHidden/>
              </w:rPr>
            </w:r>
            <w:r w:rsidR="00122AE5">
              <w:rPr>
                <w:noProof/>
                <w:webHidden/>
              </w:rPr>
              <w:fldChar w:fldCharType="separate"/>
            </w:r>
            <w:r w:rsidR="00122AE5">
              <w:rPr>
                <w:noProof/>
                <w:webHidden/>
              </w:rPr>
              <w:t>67</w:t>
            </w:r>
            <w:r w:rsidR="00122AE5">
              <w:rPr>
                <w:noProof/>
                <w:webHidden/>
              </w:rPr>
              <w:fldChar w:fldCharType="end"/>
            </w:r>
          </w:hyperlink>
        </w:p>
        <w:p w:rsidR="00122AE5" w:rsidRDefault="00000000" w14:paraId="7DF0D53B" w14:textId="13B6D4F0">
          <w:pPr>
            <w:pStyle w:val="TOC2"/>
            <w:tabs>
              <w:tab w:val="right" w:leader="dot" w:pos="9350"/>
            </w:tabs>
            <w:rPr>
              <w:rFonts w:asciiTheme="minorHAnsi" w:hAnsiTheme="minorHAnsi" w:cstheme="minorBidi"/>
              <w:noProof/>
              <w:kern w:val="2"/>
              <w:sz w:val="24"/>
              <w:szCs w:val="24"/>
              <w14:ligatures w14:val="standardContextual"/>
            </w:rPr>
          </w:pPr>
          <w:hyperlink w:history="1" w:anchor="_Toc164685427">
            <w:r w:rsidRPr="00FF5EDB" w:rsidR="00122AE5">
              <w:rPr>
                <w:rStyle w:val="Hyperlink"/>
                <w:noProof/>
              </w:rPr>
              <w:t>6.3.</w:t>
            </w:r>
            <w:r w:rsidR="00122AE5">
              <w:rPr>
                <w:rFonts w:asciiTheme="minorHAnsi" w:hAnsiTheme="minorHAnsi" w:cstheme="minorBidi"/>
                <w:noProof/>
                <w:kern w:val="2"/>
                <w:sz w:val="24"/>
                <w:szCs w:val="24"/>
                <w14:ligatures w14:val="standardContextual"/>
              </w:rPr>
              <w:tab/>
            </w:r>
            <w:r w:rsidRPr="00FF5EDB" w:rsidR="00122AE5">
              <w:rPr>
                <w:rStyle w:val="Hyperlink"/>
                <w:noProof/>
              </w:rPr>
              <w:t>Policy Benefits</w:t>
            </w:r>
            <w:r w:rsidR="00122AE5">
              <w:rPr>
                <w:noProof/>
                <w:webHidden/>
              </w:rPr>
              <w:tab/>
            </w:r>
            <w:r w:rsidR="00122AE5">
              <w:rPr>
                <w:noProof/>
                <w:webHidden/>
              </w:rPr>
              <w:fldChar w:fldCharType="begin"/>
            </w:r>
            <w:r w:rsidR="00122AE5">
              <w:rPr>
                <w:noProof/>
                <w:webHidden/>
              </w:rPr>
              <w:instrText xml:space="preserve"> PAGEREF _Toc164685427 \h </w:instrText>
            </w:r>
            <w:r w:rsidR="00122AE5">
              <w:rPr>
                <w:noProof/>
                <w:webHidden/>
              </w:rPr>
            </w:r>
            <w:r w:rsidR="00122AE5">
              <w:rPr>
                <w:noProof/>
                <w:webHidden/>
              </w:rPr>
              <w:fldChar w:fldCharType="separate"/>
            </w:r>
            <w:r w:rsidR="00122AE5">
              <w:rPr>
                <w:noProof/>
                <w:webHidden/>
              </w:rPr>
              <w:t>67</w:t>
            </w:r>
            <w:r w:rsidR="00122AE5">
              <w:rPr>
                <w:noProof/>
                <w:webHidden/>
              </w:rPr>
              <w:fldChar w:fldCharType="end"/>
            </w:r>
          </w:hyperlink>
        </w:p>
        <w:p w:rsidR="00122AE5" w:rsidRDefault="00000000" w14:paraId="1B313D6F" w14:textId="27E228FC">
          <w:pPr>
            <w:pStyle w:val="TOC1"/>
            <w:tabs>
              <w:tab w:val="right" w:leader="dot" w:pos="9350"/>
            </w:tabs>
            <w:rPr>
              <w:rFonts w:asciiTheme="minorHAnsi" w:hAnsiTheme="minorHAnsi" w:cstheme="minorBidi"/>
              <w:noProof/>
              <w:kern w:val="2"/>
              <w:sz w:val="24"/>
              <w:szCs w:val="24"/>
              <w14:ligatures w14:val="standardContextual"/>
            </w:rPr>
          </w:pPr>
          <w:hyperlink w:history="1" w:anchor="_Toc164685428">
            <w:r w:rsidRPr="00FF5EDB" w:rsidR="00122AE5">
              <w:rPr>
                <w:rStyle w:val="Hyperlink"/>
                <w:noProof/>
              </w:rPr>
              <w:t>7.</w:t>
            </w:r>
            <w:r w:rsidR="00122AE5">
              <w:rPr>
                <w:rFonts w:asciiTheme="minorHAnsi" w:hAnsiTheme="minorHAnsi" w:cstheme="minorBidi"/>
                <w:noProof/>
                <w:kern w:val="2"/>
                <w:sz w:val="24"/>
                <w:szCs w:val="24"/>
                <w14:ligatures w14:val="standardContextual"/>
              </w:rPr>
              <w:tab/>
            </w:r>
            <w:r w:rsidRPr="00FF5EDB" w:rsidR="00122AE5">
              <w:rPr>
                <w:rStyle w:val="Hyperlink"/>
                <w:noProof/>
              </w:rPr>
              <w:t>Certification for EIR</w:t>
            </w:r>
            <w:r w:rsidR="00122AE5">
              <w:rPr>
                <w:noProof/>
                <w:webHidden/>
              </w:rPr>
              <w:tab/>
            </w:r>
            <w:r w:rsidR="00122AE5">
              <w:rPr>
                <w:noProof/>
                <w:webHidden/>
              </w:rPr>
              <w:fldChar w:fldCharType="begin"/>
            </w:r>
            <w:r w:rsidR="00122AE5">
              <w:rPr>
                <w:noProof/>
                <w:webHidden/>
              </w:rPr>
              <w:instrText xml:space="preserve"> PAGEREF _Toc164685428 \h </w:instrText>
            </w:r>
            <w:r w:rsidR="00122AE5">
              <w:rPr>
                <w:noProof/>
                <w:webHidden/>
              </w:rPr>
            </w:r>
            <w:r w:rsidR="00122AE5">
              <w:rPr>
                <w:noProof/>
                <w:webHidden/>
              </w:rPr>
              <w:fldChar w:fldCharType="separate"/>
            </w:r>
            <w:r w:rsidR="00122AE5">
              <w:rPr>
                <w:noProof/>
                <w:webHidden/>
              </w:rPr>
              <w:t>68</w:t>
            </w:r>
            <w:r w:rsidR="00122AE5">
              <w:rPr>
                <w:noProof/>
                <w:webHidden/>
              </w:rPr>
              <w:fldChar w:fldCharType="end"/>
            </w:r>
          </w:hyperlink>
        </w:p>
        <w:p w:rsidR="00122AE5" w:rsidRDefault="00000000" w14:paraId="4B0E8EAF" w14:textId="2A1222AF">
          <w:pPr>
            <w:pStyle w:val="TOC1"/>
            <w:tabs>
              <w:tab w:val="right" w:leader="dot" w:pos="9350"/>
            </w:tabs>
            <w:rPr>
              <w:rFonts w:asciiTheme="minorHAnsi" w:hAnsiTheme="minorHAnsi" w:cstheme="minorBidi"/>
              <w:noProof/>
              <w:kern w:val="2"/>
              <w:sz w:val="24"/>
              <w:szCs w:val="24"/>
              <w14:ligatures w14:val="standardContextual"/>
            </w:rPr>
          </w:pPr>
          <w:hyperlink w:history="1" w:anchor="_Toc164685429">
            <w:r w:rsidRPr="00FF5EDB" w:rsidR="00122AE5">
              <w:rPr>
                <w:rStyle w:val="Hyperlink"/>
                <w:noProof/>
              </w:rPr>
              <w:t>8.</w:t>
            </w:r>
            <w:r w:rsidR="00122AE5">
              <w:rPr>
                <w:rFonts w:asciiTheme="minorHAnsi" w:hAnsiTheme="minorHAnsi" w:cstheme="minorBidi"/>
                <w:noProof/>
                <w:kern w:val="2"/>
                <w:sz w:val="24"/>
                <w:szCs w:val="24"/>
                <w14:ligatures w14:val="standardContextual"/>
              </w:rPr>
              <w:tab/>
            </w:r>
            <w:r w:rsidRPr="00FF5EDB" w:rsidR="00122AE5">
              <w:rPr>
                <w:rStyle w:val="Hyperlink"/>
                <w:noProof/>
              </w:rPr>
              <w:t>Electric and Magnetic Fields</w:t>
            </w:r>
            <w:r w:rsidR="00122AE5">
              <w:rPr>
                <w:noProof/>
                <w:webHidden/>
              </w:rPr>
              <w:tab/>
            </w:r>
            <w:r w:rsidR="00122AE5">
              <w:rPr>
                <w:noProof/>
                <w:webHidden/>
              </w:rPr>
              <w:fldChar w:fldCharType="begin"/>
            </w:r>
            <w:r w:rsidR="00122AE5">
              <w:rPr>
                <w:noProof/>
                <w:webHidden/>
              </w:rPr>
              <w:instrText xml:space="preserve"> PAGEREF _Toc164685429 \h </w:instrText>
            </w:r>
            <w:r w:rsidR="00122AE5">
              <w:rPr>
                <w:noProof/>
                <w:webHidden/>
              </w:rPr>
            </w:r>
            <w:r w:rsidR="00122AE5">
              <w:rPr>
                <w:noProof/>
                <w:webHidden/>
              </w:rPr>
              <w:fldChar w:fldCharType="separate"/>
            </w:r>
            <w:r w:rsidR="00122AE5">
              <w:rPr>
                <w:noProof/>
                <w:webHidden/>
              </w:rPr>
              <w:t>69</w:t>
            </w:r>
            <w:r w:rsidR="00122AE5">
              <w:rPr>
                <w:noProof/>
                <w:webHidden/>
              </w:rPr>
              <w:fldChar w:fldCharType="end"/>
            </w:r>
          </w:hyperlink>
        </w:p>
        <w:p w:rsidR="00122AE5" w:rsidRDefault="00000000" w14:paraId="0884B4BB" w14:textId="61154E6F">
          <w:pPr>
            <w:pStyle w:val="TOC1"/>
            <w:tabs>
              <w:tab w:val="right" w:leader="dot" w:pos="9350"/>
            </w:tabs>
            <w:rPr>
              <w:rFonts w:asciiTheme="minorHAnsi" w:hAnsiTheme="minorHAnsi" w:cstheme="minorBidi"/>
              <w:noProof/>
              <w:kern w:val="2"/>
              <w:sz w:val="24"/>
              <w:szCs w:val="24"/>
              <w14:ligatures w14:val="standardContextual"/>
            </w:rPr>
          </w:pPr>
          <w:hyperlink w:history="1" w:anchor="_Toc164685430">
            <w:r w:rsidRPr="00FF5EDB" w:rsidR="00122AE5">
              <w:rPr>
                <w:rStyle w:val="Hyperlink"/>
                <w:noProof/>
              </w:rPr>
              <w:t>9.</w:t>
            </w:r>
            <w:r w:rsidR="00122AE5">
              <w:rPr>
                <w:rFonts w:asciiTheme="minorHAnsi" w:hAnsiTheme="minorHAnsi" w:cstheme="minorBidi"/>
                <w:noProof/>
                <w:kern w:val="2"/>
                <w:sz w:val="24"/>
                <w:szCs w:val="24"/>
                <w14:ligatures w14:val="standardContextual"/>
              </w:rPr>
              <w:tab/>
            </w:r>
            <w:r w:rsidRPr="00FF5EDB" w:rsidR="00122AE5">
              <w:rPr>
                <w:rStyle w:val="Hyperlink"/>
                <w:noProof/>
              </w:rPr>
              <w:t>Conclusion</w:t>
            </w:r>
            <w:r w:rsidR="00122AE5">
              <w:rPr>
                <w:noProof/>
                <w:webHidden/>
              </w:rPr>
              <w:tab/>
            </w:r>
            <w:r w:rsidR="00122AE5">
              <w:rPr>
                <w:noProof/>
                <w:webHidden/>
              </w:rPr>
              <w:fldChar w:fldCharType="begin"/>
            </w:r>
            <w:r w:rsidR="00122AE5">
              <w:rPr>
                <w:noProof/>
                <w:webHidden/>
              </w:rPr>
              <w:instrText xml:space="preserve"> PAGEREF _Toc164685430 \h </w:instrText>
            </w:r>
            <w:r w:rsidR="00122AE5">
              <w:rPr>
                <w:noProof/>
                <w:webHidden/>
              </w:rPr>
            </w:r>
            <w:r w:rsidR="00122AE5">
              <w:rPr>
                <w:noProof/>
                <w:webHidden/>
              </w:rPr>
              <w:fldChar w:fldCharType="separate"/>
            </w:r>
            <w:r w:rsidR="00122AE5">
              <w:rPr>
                <w:noProof/>
                <w:webHidden/>
              </w:rPr>
              <w:t>75</w:t>
            </w:r>
            <w:r w:rsidR="00122AE5">
              <w:rPr>
                <w:noProof/>
                <w:webHidden/>
              </w:rPr>
              <w:fldChar w:fldCharType="end"/>
            </w:r>
          </w:hyperlink>
        </w:p>
        <w:p w:rsidR="00122AE5" w:rsidRDefault="00000000" w14:paraId="661625A6" w14:textId="1C5EC188">
          <w:pPr>
            <w:pStyle w:val="TOC1"/>
            <w:tabs>
              <w:tab w:val="right" w:leader="dot" w:pos="9350"/>
            </w:tabs>
            <w:rPr>
              <w:rFonts w:asciiTheme="minorHAnsi" w:hAnsiTheme="minorHAnsi" w:cstheme="minorBidi"/>
              <w:noProof/>
              <w:kern w:val="2"/>
              <w:sz w:val="24"/>
              <w:szCs w:val="24"/>
              <w14:ligatures w14:val="standardContextual"/>
            </w:rPr>
          </w:pPr>
          <w:hyperlink w:history="1" w:anchor="_Toc164685431">
            <w:r w:rsidRPr="00FF5EDB" w:rsidR="00122AE5">
              <w:rPr>
                <w:rStyle w:val="Hyperlink"/>
                <w:noProof/>
              </w:rPr>
              <w:t>10.</w:t>
            </w:r>
            <w:r w:rsidR="00122AE5">
              <w:rPr>
                <w:rFonts w:asciiTheme="minorHAnsi" w:hAnsiTheme="minorHAnsi" w:cstheme="minorBidi"/>
                <w:noProof/>
                <w:kern w:val="2"/>
                <w:sz w:val="24"/>
                <w:szCs w:val="24"/>
                <w14:ligatures w14:val="standardContextual"/>
              </w:rPr>
              <w:tab/>
            </w:r>
            <w:r w:rsidRPr="00FF5EDB" w:rsidR="00122AE5">
              <w:rPr>
                <w:rStyle w:val="Hyperlink"/>
                <w:noProof/>
              </w:rPr>
              <w:t>Procedural Matters</w:t>
            </w:r>
            <w:r w:rsidR="00122AE5">
              <w:rPr>
                <w:noProof/>
                <w:webHidden/>
              </w:rPr>
              <w:tab/>
            </w:r>
            <w:r w:rsidR="00122AE5">
              <w:rPr>
                <w:noProof/>
                <w:webHidden/>
              </w:rPr>
              <w:fldChar w:fldCharType="begin"/>
            </w:r>
            <w:r w:rsidR="00122AE5">
              <w:rPr>
                <w:noProof/>
                <w:webHidden/>
              </w:rPr>
              <w:instrText xml:space="preserve"> PAGEREF _Toc164685431 \h </w:instrText>
            </w:r>
            <w:r w:rsidR="00122AE5">
              <w:rPr>
                <w:noProof/>
                <w:webHidden/>
              </w:rPr>
            </w:r>
            <w:r w:rsidR="00122AE5">
              <w:rPr>
                <w:noProof/>
                <w:webHidden/>
              </w:rPr>
              <w:fldChar w:fldCharType="separate"/>
            </w:r>
            <w:r w:rsidR="00122AE5">
              <w:rPr>
                <w:noProof/>
                <w:webHidden/>
              </w:rPr>
              <w:t>76</w:t>
            </w:r>
            <w:r w:rsidR="00122AE5">
              <w:rPr>
                <w:noProof/>
                <w:webHidden/>
              </w:rPr>
              <w:fldChar w:fldCharType="end"/>
            </w:r>
          </w:hyperlink>
        </w:p>
        <w:p w:rsidR="00122AE5" w:rsidRDefault="00000000" w14:paraId="7AAF4896" w14:textId="0A2B9AC9">
          <w:pPr>
            <w:pStyle w:val="TOC1"/>
            <w:tabs>
              <w:tab w:val="right" w:leader="dot" w:pos="9350"/>
            </w:tabs>
            <w:rPr>
              <w:rFonts w:asciiTheme="minorHAnsi" w:hAnsiTheme="minorHAnsi" w:cstheme="minorBidi"/>
              <w:noProof/>
              <w:kern w:val="2"/>
              <w:sz w:val="24"/>
              <w:szCs w:val="24"/>
              <w14:ligatures w14:val="standardContextual"/>
            </w:rPr>
          </w:pPr>
          <w:hyperlink w:history="1" w:anchor="_Toc164685432">
            <w:r w:rsidRPr="00FF5EDB" w:rsidR="00122AE5">
              <w:rPr>
                <w:rStyle w:val="Hyperlink"/>
                <w:noProof/>
              </w:rPr>
              <w:t>11.</w:t>
            </w:r>
            <w:r w:rsidR="00122AE5">
              <w:rPr>
                <w:rFonts w:asciiTheme="minorHAnsi" w:hAnsiTheme="minorHAnsi" w:cstheme="minorBidi"/>
                <w:noProof/>
                <w:kern w:val="2"/>
                <w:sz w:val="24"/>
                <w:szCs w:val="24"/>
                <w14:ligatures w14:val="standardContextual"/>
              </w:rPr>
              <w:tab/>
            </w:r>
            <w:r w:rsidRPr="00FF5EDB" w:rsidR="00122AE5">
              <w:rPr>
                <w:rStyle w:val="Hyperlink"/>
                <w:noProof/>
              </w:rPr>
              <w:t>Summary of Public Comment</w:t>
            </w:r>
            <w:r w:rsidR="00122AE5">
              <w:rPr>
                <w:noProof/>
                <w:webHidden/>
              </w:rPr>
              <w:tab/>
            </w:r>
            <w:r w:rsidR="00122AE5">
              <w:rPr>
                <w:noProof/>
                <w:webHidden/>
              </w:rPr>
              <w:fldChar w:fldCharType="begin"/>
            </w:r>
            <w:r w:rsidR="00122AE5">
              <w:rPr>
                <w:noProof/>
                <w:webHidden/>
              </w:rPr>
              <w:instrText xml:space="preserve"> PAGEREF _Toc164685432 \h </w:instrText>
            </w:r>
            <w:r w:rsidR="00122AE5">
              <w:rPr>
                <w:noProof/>
                <w:webHidden/>
              </w:rPr>
            </w:r>
            <w:r w:rsidR="00122AE5">
              <w:rPr>
                <w:noProof/>
                <w:webHidden/>
              </w:rPr>
              <w:fldChar w:fldCharType="separate"/>
            </w:r>
            <w:r w:rsidR="00122AE5">
              <w:rPr>
                <w:noProof/>
                <w:webHidden/>
              </w:rPr>
              <w:t>76</w:t>
            </w:r>
            <w:r w:rsidR="00122AE5">
              <w:rPr>
                <w:noProof/>
                <w:webHidden/>
              </w:rPr>
              <w:fldChar w:fldCharType="end"/>
            </w:r>
          </w:hyperlink>
        </w:p>
        <w:p w:rsidR="00122AE5" w:rsidRDefault="00000000" w14:paraId="3180A94A" w14:textId="02CC98C3">
          <w:pPr>
            <w:pStyle w:val="TOC1"/>
            <w:tabs>
              <w:tab w:val="right" w:leader="dot" w:pos="9350"/>
            </w:tabs>
            <w:rPr>
              <w:rFonts w:asciiTheme="minorHAnsi" w:hAnsiTheme="minorHAnsi" w:cstheme="minorBidi"/>
              <w:noProof/>
              <w:kern w:val="2"/>
              <w:sz w:val="24"/>
              <w:szCs w:val="24"/>
              <w14:ligatures w14:val="standardContextual"/>
            </w:rPr>
          </w:pPr>
          <w:hyperlink w:history="1" w:anchor="_Toc164685433">
            <w:r w:rsidRPr="00FF5EDB" w:rsidR="00122AE5">
              <w:rPr>
                <w:rStyle w:val="Hyperlink"/>
                <w:noProof/>
              </w:rPr>
              <w:t>12.</w:t>
            </w:r>
            <w:r w:rsidR="00122AE5">
              <w:rPr>
                <w:rFonts w:asciiTheme="minorHAnsi" w:hAnsiTheme="minorHAnsi" w:cstheme="minorBidi"/>
                <w:noProof/>
                <w:kern w:val="2"/>
                <w:sz w:val="24"/>
                <w:szCs w:val="24"/>
                <w14:ligatures w14:val="standardContextual"/>
              </w:rPr>
              <w:tab/>
            </w:r>
            <w:r w:rsidRPr="00FF5EDB" w:rsidR="00122AE5">
              <w:rPr>
                <w:rStyle w:val="Hyperlink"/>
                <w:noProof/>
              </w:rPr>
              <w:t>Comments on Proposed Decision</w:t>
            </w:r>
            <w:r w:rsidR="00122AE5">
              <w:rPr>
                <w:noProof/>
                <w:webHidden/>
              </w:rPr>
              <w:tab/>
            </w:r>
            <w:r w:rsidR="00122AE5">
              <w:rPr>
                <w:noProof/>
                <w:webHidden/>
              </w:rPr>
              <w:fldChar w:fldCharType="begin"/>
            </w:r>
            <w:r w:rsidR="00122AE5">
              <w:rPr>
                <w:noProof/>
                <w:webHidden/>
              </w:rPr>
              <w:instrText xml:space="preserve"> PAGEREF _Toc164685433 \h </w:instrText>
            </w:r>
            <w:r w:rsidR="00122AE5">
              <w:rPr>
                <w:noProof/>
                <w:webHidden/>
              </w:rPr>
            </w:r>
            <w:r w:rsidR="00122AE5">
              <w:rPr>
                <w:noProof/>
                <w:webHidden/>
              </w:rPr>
              <w:fldChar w:fldCharType="separate"/>
            </w:r>
            <w:r w:rsidR="00122AE5">
              <w:rPr>
                <w:noProof/>
                <w:webHidden/>
              </w:rPr>
              <w:t>76</w:t>
            </w:r>
            <w:r w:rsidR="00122AE5">
              <w:rPr>
                <w:noProof/>
                <w:webHidden/>
              </w:rPr>
              <w:fldChar w:fldCharType="end"/>
            </w:r>
          </w:hyperlink>
        </w:p>
        <w:p w:rsidR="00122AE5" w:rsidRDefault="00000000" w14:paraId="2FEB4D08" w14:textId="01B4A560">
          <w:pPr>
            <w:pStyle w:val="TOC1"/>
            <w:tabs>
              <w:tab w:val="right" w:leader="dot" w:pos="9350"/>
            </w:tabs>
            <w:rPr>
              <w:rFonts w:asciiTheme="minorHAnsi" w:hAnsiTheme="minorHAnsi" w:cstheme="minorBidi"/>
              <w:noProof/>
              <w:kern w:val="2"/>
              <w:sz w:val="24"/>
              <w:szCs w:val="24"/>
              <w14:ligatures w14:val="standardContextual"/>
            </w:rPr>
          </w:pPr>
          <w:hyperlink w:history="1" w:anchor="_Toc164685434">
            <w:r w:rsidRPr="00FF5EDB" w:rsidR="00122AE5">
              <w:rPr>
                <w:rStyle w:val="Hyperlink"/>
                <w:noProof/>
              </w:rPr>
              <w:t>13.</w:t>
            </w:r>
            <w:r w:rsidR="00122AE5">
              <w:rPr>
                <w:rFonts w:asciiTheme="minorHAnsi" w:hAnsiTheme="minorHAnsi" w:cstheme="minorBidi"/>
                <w:noProof/>
                <w:kern w:val="2"/>
                <w:sz w:val="24"/>
                <w:szCs w:val="24"/>
                <w14:ligatures w14:val="standardContextual"/>
              </w:rPr>
              <w:tab/>
            </w:r>
            <w:r w:rsidRPr="00FF5EDB" w:rsidR="00122AE5">
              <w:rPr>
                <w:rStyle w:val="Hyperlink"/>
                <w:noProof/>
              </w:rPr>
              <w:t>Assignment of Proceeding</w:t>
            </w:r>
            <w:r w:rsidR="00122AE5">
              <w:rPr>
                <w:noProof/>
                <w:webHidden/>
              </w:rPr>
              <w:tab/>
            </w:r>
            <w:r w:rsidR="00122AE5">
              <w:rPr>
                <w:noProof/>
                <w:webHidden/>
              </w:rPr>
              <w:fldChar w:fldCharType="begin"/>
            </w:r>
            <w:r w:rsidR="00122AE5">
              <w:rPr>
                <w:noProof/>
                <w:webHidden/>
              </w:rPr>
              <w:instrText xml:space="preserve"> PAGEREF _Toc164685434 \h </w:instrText>
            </w:r>
            <w:r w:rsidR="00122AE5">
              <w:rPr>
                <w:noProof/>
                <w:webHidden/>
              </w:rPr>
            </w:r>
            <w:r w:rsidR="00122AE5">
              <w:rPr>
                <w:noProof/>
                <w:webHidden/>
              </w:rPr>
              <w:fldChar w:fldCharType="separate"/>
            </w:r>
            <w:r w:rsidR="00122AE5">
              <w:rPr>
                <w:noProof/>
                <w:webHidden/>
              </w:rPr>
              <w:t>81</w:t>
            </w:r>
            <w:r w:rsidR="00122AE5">
              <w:rPr>
                <w:noProof/>
                <w:webHidden/>
              </w:rPr>
              <w:fldChar w:fldCharType="end"/>
            </w:r>
          </w:hyperlink>
        </w:p>
        <w:p w:rsidR="00122AE5" w:rsidRDefault="00000000" w14:paraId="70F6FAE1" w14:textId="62C00D9A">
          <w:pPr>
            <w:pStyle w:val="TOC1"/>
            <w:tabs>
              <w:tab w:val="right" w:leader="dot" w:pos="9350"/>
            </w:tabs>
            <w:rPr>
              <w:rFonts w:asciiTheme="minorHAnsi" w:hAnsiTheme="minorHAnsi" w:cstheme="minorBidi"/>
              <w:noProof/>
              <w:kern w:val="2"/>
              <w:sz w:val="24"/>
              <w:szCs w:val="24"/>
              <w14:ligatures w14:val="standardContextual"/>
            </w:rPr>
          </w:pPr>
          <w:hyperlink w:history="1" w:anchor="_Toc164685435">
            <w:r w:rsidRPr="00FF5EDB" w:rsidR="00122AE5">
              <w:rPr>
                <w:rStyle w:val="Hyperlink"/>
                <w:noProof/>
              </w:rPr>
              <w:t>Findings of Fact</w:t>
            </w:r>
            <w:r w:rsidR="00122AE5">
              <w:rPr>
                <w:noProof/>
                <w:webHidden/>
              </w:rPr>
              <w:tab/>
            </w:r>
            <w:r w:rsidR="00122AE5">
              <w:rPr>
                <w:noProof/>
                <w:webHidden/>
              </w:rPr>
              <w:fldChar w:fldCharType="begin"/>
            </w:r>
            <w:r w:rsidR="00122AE5">
              <w:rPr>
                <w:noProof/>
                <w:webHidden/>
              </w:rPr>
              <w:instrText xml:space="preserve"> PAGEREF _Toc164685435 \h </w:instrText>
            </w:r>
            <w:r w:rsidR="00122AE5">
              <w:rPr>
                <w:noProof/>
                <w:webHidden/>
              </w:rPr>
            </w:r>
            <w:r w:rsidR="00122AE5">
              <w:rPr>
                <w:noProof/>
                <w:webHidden/>
              </w:rPr>
              <w:fldChar w:fldCharType="separate"/>
            </w:r>
            <w:r w:rsidR="00122AE5">
              <w:rPr>
                <w:noProof/>
                <w:webHidden/>
              </w:rPr>
              <w:t>81</w:t>
            </w:r>
            <w:r w:rsidR="00122AE5">
              <w:rPr>
                <w:noProof/>
                <w:webHidden/>
              </w:rPr>
              <w:fldChar w:fldCharType="end"/>
            </w:r>
          </w:hyperlink>
        </w:p>
        <w:p w:rsidR="00122AE5" w:rsidRDefault="00000000" w14:paraId="4E0374CF" w14:textId="76C1ACAA">
          <w:pPr>
            <w:pStyle w:val="TOC1"/>
            <w:tabs>
              <w:tab w:val="right" w:leader="dot" w:pos="9350"/>
            </w:tabs>
            <w:rPr>
              <w:rFonts w:asciiTheme="minorHAnsi" w:hAnsiTheme="minorHAnsi" w:cstheme="minorBidi"/>
              <w:noProof/>
              <w:kern w:val="2"/>
              <w:sz w:val="24"/>
              <w:szCs w:val="24"/>
              <w14:ligatures w14:val="standardContextual"/>
            </w:rPr>
          </w:pPr>
          <w:hyperlink w:history="1" w:anchor="_Toc164685436">
            <w:r w:rsidRPr="00FF5EDB" w:rsidR="00122AE5">
              <w:rPr>
                <w:rStyle w:val="Hyperlink"/>
                <w:noProof/>
              </w:rPr>
              <w:t>Conclusions of Law</w:t>
            </w:r>
            <w:r w:rsidR="00122AE5">
              <w:rPr>
                <w:noProof/>
                <w:webHidden/>
              </w:rPr>
              <w:tab/>
            </w:r>
            <w:r w:rsidR="00122AE5">
              <w:rPr>
                <w:noProof/>
                <w:webHidden/>
              </w:rPr>
              <w:fldChar w:fldCharType="begin"/>
            </w:r>
            <w:r w:rsidR="00122AE5">
              <w:rPr>
                <w:noProof/>
                <w:webHidden/>
              </w:rPr>
              <w:instrText xml:space="preserve"> PAGEREF _Toc164685436 \h </w:instrText>
            </w:r>
            <w:r w:rsidR="00122AE5">
              <w:rPr>
                <w:noProof/>
                <w:webHidden/>
              </w:rPr>
            </w:r>
            <w:r w:rsidR="00122AE5">
              <w:rPr>
                <w:noProof/>
                <w:webHidden/>
              </w:rPr>
              <w:fldChar w:fldCharType="separate"/>
            </w:r>
            <w:r w:rsidR="00122AE5">
              <w:rPr>
                <w:noProof/>
                <w:webHidden/>
              </w:rPr>
              <w:t>93</w:t>
            </w:r>
            <w:r w:rsidR="00122AE5">
              <w:rPr>
                <w:noProof/>
                <w:webHidden/>
              </w:rPr>
              <w:fldChar w:fldCharType="end"/>
            </w:r>
          </w:hyperlink>
        </w:p>
        <w:p w:rsidR="00122AE5" w:rsidRDefault="00000000" w14:paraId="75A518C4" w14:textId="43B9EE13">
          <w:pPr>
            <w:pStyle w:val="TOC1"/>
            <w:tabs>
              <w:tab w:val="right" w:leader="dot" w:pos="9350"/>
            </w:tabs>
            <w:rPr>
              <w:rFonts w:asciiTheme="minorHAnsi" w:hAnsiTheme="minorHAnsi" w:cstheme="minorBidi"/>
              <w:noProof/>
              <w:kern w:val="2"/>
              <w:sz w:val="24"/>
              <w:szCs w:val="24"/>
              <w14:ligatures w14:val="standardContextual"/>
            </w:rPr>
          </w:pPr>
          <w:hyperlink w:history="1" w:anchor="_Toc164685437">
            <w:r w:rsidRPr="00FF5EDB" w:rsidR="00122AE5">
              <w:rPr>
                <w:rStyle w:val="Hyperlink"/>
                <w:noProof/>
              </w:rPr>
              <w:t>ORDER</w:t>
            </w:r>
            <w:r w:rsidR="00122AE5">
              <w:rPr>
                <w:noProof/>
                <w:webHidden/>
              </w:rPr>
              <w:tab/>
            </w:r>
            <w:r w:rsidR="00122AE5">
              <w:rPr>
                <w:noProof/>
                <w:webHidden/>
              </w:rPr>
              <w:fldChar w:fldCharType="begin"/>
            </w:r>
            <w:r w:rsidR="00122AE5">
              <w:rPr>
                <w:noProof/>
                <w:webHidden/>
              </w:rPr>
              <w:instrText xml:space="preserve"> PAGEREF _Toc164685437 \h </w:instrText>
            </w:r>
            <w:r w:rsidR="00122AE5">
              <w:rPr>
                <w:noProof/>
                <w:webHidden/>
              </w:rPr>
            </w:r>
            <w:r w:rsidR="00122AE5">
              <w:rPr>
                <w:noProof/>
                <w:webHidden/>
              </w:rPr>
              <w:fldChar w:fldCharType="separate"/>
            </w:r>
            <w:r w:rsidR="00122AE5">
              <w:rPr>
                <w:noProof/>
                <w:webHidden/>
              </w:rPr>
              <w:t>95</w:t>
            </w:r>
            <w:r w:rsidR="00122AE5">
              <w:rPr>
                <w:noProof/>
                <w:webHidden/>
              </w:rPr>
              <w:fldChar w:fldCharType="end"/>
            </w:r>
          </w:hyperlink>
        </w:p>
        <w:p w:rsidR="00122AE5" w:rsidRDefault="00000000" w14:paraId="59B402CD" w14:textId="78C32508">
          <w:pPr>
            <w:pStyle w:val="TOC1"/>
            <w:tabs>
              <w:tab w:val="right" w:leader="dot" w:pos="9350"/>
            </w:tabs>
            <w:rPr>
              <w:rFonts w:asciiTheme="minorHAnsi" w:hAnsiTheme="minorHAnsi" w:cstheme="minorBidi"/>
              <w:noProof/>
              <w:kern w:val="2"/>
              <w:sz w:val="24"/>
              <w:szCs w:val="24"/>
              <w14:ligatures w14:val="standardContextual"/>
            </w:rPr>
          </w:pPr>
          <w:hyperlink w:history="1" w:anchor="_Toc164685438">
            <w:r w:rsidRPr="00FF5EDB" w:rsidR="00122AE5">
              <w:rPr>
                <w:rStyle w:val="Hyperlink"/>
                <w:bCs/>
                <w:noProof/>
              </w:rPr>
              <w:t>ATTACHMENT A</w:t>
            </w:r>
            <w:r w:rsidR="00122AE5">
              <w:rPr>
                <w:noProof/>
                <w:webHidden/>
              </w:rPr>
              <w:tab/>
            </w:r>
            <w:r w:rsidR="00122AE5">
              <w:rPr>
                <w:noProof/>
                <w:webHidden/>
              </w:rPr>
              <w:fldChar w:fldCharType="begin"/>
            </w:r>
            <w:r w:rsidR="00122AE5">
              <w:rPr>
                <w:noProof/>
                <w:webHidden/>
              </w:rPr>
              <w:instrText xml:space="preserve"> PAGEREF _Toc164685438 \h </w:instrText>
            </w:r>
            <w:r w:rsidR="00122AE5">
              <w:rPr>
                <w:noProof/>
                <w:webHidden/>
              </w:rPr>
            </w:r>
            <w:r w:rsidR="00122AE5">
              <w:rPr>
                <w:noProof/>
                <w:webHidden/>
              </w:rPr>
              <w:fldChar w:fldCharType="separate"/>
            </w:r>
            <w:r w:rsidR="00122AE5">
              <w:rPr>
                <w:noProof/>
                <w:webHidden/>
              </w:rPr>
              <w:t>1</w:t>
            </w:r>
            <w:r w:rsidR="00122AE5">
              <w:rPr>
                <w:noProof/>
                <w:webHidden/>
              </w:rPr>
              <w:fldChar w:fldCharType="end"/>
            </w:r>
          </w:hyperlink>
        </w:p>
        <w:p w:rsidR="00D82A43" w:rsidP="008C7413" w:rsidRDefault="008C7413" w14:paraId="2AF8F903" w14:textId="69DC4604">
          <w:pPr>
            <w:pStyle w:val="TOC1"/>
            <w:tabs>
              <w:tab w:val="right" w:leader="dot" w:pos="9350"/>
            </w:tabs>
          </w:pPr>
          <w:r w:rsidRPr="00107A7F">
            <w:rPr>
              <w:rFonts w:asciiTheme="minorHAnsi" w:hAnsiTheme="minorHAnsi"/>
              <w:sz w:val="22"/>
            </w:rPr>
            <w:fldChar w:fldCharType="end"/>
          </w:r>
        </w:p>
      </w:sdtContent>
    </w:sdt>
    <w:p w:rsidRPr="0098655A" w:rsidR="0098655A" w:rsidP="00D50119" w:rsidRDefault="0098655A" w14:paraId="2C75C168" w14:textId="7B8409FD">
      <w:pPr>
        <w:spacing w:line="240" w:lineRule="auto"/>
        <w:ind w:firstLine="0"/>
        <w:rPr>
          <w:rFonts w:cs="Arial"/>
          <w:szCs w:val="26"/>
        </w:rPr>
      </w:pPr>
      <w:r w:rsidRPr="0098655A">
        <w:rPr>
          <w:rFonts w:cs="Arial"/>
          <w:b/>
          <w:szCs w:val="26"/>
        </w:rPr>
        <w:t>A</w:t>
      </w:r>
      <w:r w:rsidR="00F64989">
        <w:rPr>
          <w:rFonts w:cs="Arial"/>
          <w:b/>
          <w:szCs w:val="26"/>
        </w:rPr>
        <w:t>ttachment</w:t>
      </w:r>
      <w:r w:rsidRPr="0098655A">
        <w:rPr>
          <w:rFonts w:cs="Arial"/>
          <w:b/>
          <w:szCs w:val="26"/>
        </w:rPr>
        <w:t xml:space="preserve"> A</w:t>
      </w:r>
      <w:r w:rsidRPr="0098655A">
        <w:rPr>
          <w:rFonts w:cs="Arial"/>
          <w:szCs w:val="26"/>
        </w:rPr>
        <w:t xml:space="preserve"> –</w:t>
      </w:r>
      <w:r w:rsidR="00E23CBB">
        <w:rPr>
          <w:rFonts w:cs="Arial"/>
          <w:szCs w:val="26"/>
        </w:rPr>
        <w:t xml:space="preserve"> </w:t>
      </w:r>
      <w:r w:rsidR="00B07D02">
        <w:rPr>
          <w:rFonts w:cs="Arial"/>
          <w:szCs w:val="26"/>
        </w:rPr>
        <w:t xml:space="preserve">Mitigation Monitoring </w:t>
      </w:r>
      <w:r w:rsidR="0002502F">
        <w:rPr>
          <w:rFonts w:cs="Arial"/>
          <w:szCs w:val="26"/>
        </w:rPr>
        <w:t>and Reporting Plan</w:t>
      </w:r>
    </w:p>
    <w:p w:rsidR="00F76650" w:rsidP="003C22B0" w:rsidRDefault="00F76650" w14:paraId="011BA183" w14:textId="5D99EE26">
      <w:pPr>
        <w:tabs>
          <w:tab w:val="left" w:pos="5316"/>
        </w:tabs>
        <w:spacing w:line="240" w:lineRule="auto"/>
        <w:ind w:firstLine="0"/>
        <w:rPr>
          <w:rFonts w:cs="Arial"/>
          <w:szCs w:val="26"/>
        </w:rPr>
      </w:pPr>
    </w:p>
    <w:p w:rsidR="00D44DB6" w:rsidP="00D44DB6" w:rsidRDefault="00D44DB6" w14:paraId="1C0FC3D5" w14:textId="77777777">
      <w:pPr>
        <w:spacing w:line="240" w:lineRule="auto"/>
        <w:ind w:firstLine="0"/>
        <w:rPr>
          <w:rFonts w:cs="Arial"/>
          <w:szCs w:val="26"/>
        </w:rPr>
      </w:pPr>
    </w:p>
    <w:p w:rsidRPr="00D44DB6" w:rsidR="00D44DB6" w:rsidP="00D44DB6" w:rsidRDefault="00D44DB6" w14:paraId="23D8806C" w14:textId="2E4318E7">
      <w:pPr>
        <w:spacing w:line="240" w:lineRule="auto"/>
        <w:ind w:firstLine="0"/>
        <w:rPr>
          <w:rFonts w:cs="Arial"/>
          <w:i/>
          <w:szCs w:val="26"/>
        </w:rPr>
        <w:sectPr w:rsidRPr="00D44DB6" w:rsidR="00D44DB6" w:rsidSect="0005549B">
          <w:headerReference w:type="default" r:id="rId14"/>
          <w:footerReference w:type="default" r:id="rId15"/>
          <w:pgSz w:w="12240" w:h="15840"/>
          <w:pgMar w:top="1728" w:right="1440" w:bottom="1440" w:left="1440" w:header="720" w:footer="720" w:gutter="0"/>
          <w:pgNumType w:fmt="lowerRoman" w:start="1"/>
          <w:cols w:space="720"/>
          <w:docGrid w:linePitch="360"/>
        </w:sectPr>
      </w:pPr>
    </w:p>
    <w:p w:rsidR="0098655A" w:rsidP="005543CC" w:rsidRDefault="00B366F0" w14:paraId="43C37D7F" w14:textId="6A59527C">
      <w:pPr>
        <w:pStyle w:val="Main"/>
      </w:pPr>
      <w:r>
        <w:lastRenderedPageBreak/>
        <w:t xml:space="preserve">DECISION GRANTING </w:t>
      </w:r>
      <w:r w:rsidR="00A50E0F">
        <w:t>JOINT APPLICATION OF HORIZON WEST</w:t>
      </w:r>
      <w:r w:rsidR="004A43F2">
        <w:t xml:space="preserve"> </w:t>
      </w:r>
      <w:r w:rsidR="00A14A86">
        <w:t>TRANSMISSION,</w:t>
      </w:r>
      <w:r w:rsidR="00A50E0F">
        <w:t xml:space="preserve"> LLC AND </w:t>
      </w:r>
      <w:r w:rsidR="00C57428">
        <w:t>PACIFIC GAS AND ELECTRIC</w:t>
      </w:r>
      <w:r w:rsidR="003144E0">
        <w:t xml:space="preserve"> COMPANY</w:t>
      </w:r>
      <w:r w:rsidR="004A43F2">
        <w:br/>
      </w:r>
      <w:r w:rsidR="00A50E0F">
        <w:t xml:space="preserve">FOR PERMITS TO </w:t>
      </w:r>
      <w:r w:rsidR="003144E0">
        <w:t>C</w:t>
      </w:r>
      <w:r w:rsidR="00A50E0F">
        <w:t>ON</w:t>
      </w:r>
      <w:r w:rsidR="003144E0">
        <w:t>S</w:t>
      </w:r>
      <w:r w:rsidR="00A50E0F">
        <w:t>TRUCT THE ESTRELLA SUBSTATION AND</w:t>
      </w:r>
      <w:r w:rsidR="004A43F2">
        <w:br/>
      </w:r>
      <w:r w:rsidR="00325E91">
        <w:t>PASO </w:t>
      </w:r>
      <w:r w:rsidR="00A50E0F">
        <w:t xml:space="preserve">ROBLES </w:t>
      </w:r>
      <w:r w:rsidR="00A14A86">
        <w:t xml:space="preserve">AREA </w:t>
      </w:r>
      <w:r w:rsidR="00A50E0F">
        <w:t>REINFORCEME</w:t>
      </w:r>
      <w:r w:rsidR="00A14A86">
        <w:t>N</w:t>
      </w:r>
      <w:r w:rsidR="00A50E0F">
        <w:t>T PROJECT</w:t>
      </w:r>
    </w:p>
    <w:p w:rsidR="005A148C" w:rsidP="005543CC" w:rsidRDefault="005A148C" w14:paraId="3DB2538E" w14:textId="77777777">
      <w:pPr>
        <w:pStyle w:val="Dummy"/>
        <w:spacing w:before="240"/>
      </w:pPr>
      <w:bookmarkStart w:name="_Toc8123714" w:id="5"/>
      <w:bookmarkStart w:name="_Toc164685392" w:id="6"/>
      <w:r>
        <w:t>Summary</w:t>
      </w:r>
      <w:bookmarkEnd w:id="5"/>
      <w:bookmarkEnd w:id="6"/>
    </w:p>
    <w:p w:rsidR="00B366F0" w:rsidP="00BC448D" w:rsidRDefault="005A148C" w14:paraId="1F87BF7F" w14:textId="47298A68">
      <w:pPr>
        <w:pStyle w:val="Standard"/>
      </w:pPr>
      <w:r>
        <w:t>Th</w:t>
      </w:r>
      <w:r w:rsidR="00B408BE">
        <w:t xml:space="preserve">is decision grants the </w:t>
      </w:r>
      <w:r w:rsidR="00B366F0">
        <w:t>j</w:t>
      </w:r>
      <w:r w:rsidR="00B408BE">
        <w:t xml:space="preserve">oint </w:t>
      </w:r>
      <w:r w:rsidR="00B366F0">
        <w:t>a</w:t>
      </w:r>
      <w:r w:rsidR="00B408BE">
        <w:t xml:space="preserve">pplication </w:t>
      </w:r>
      <w:r w:rsidR="00B366F0">
        <w:t>of Horizon West Transmission</w:t>
      </w:r>
      <w:r w:rsidR="00A14A86">
        <w:t>,</w:t>
      </w:r>
      <w:r w:rsidR="00B366F0">
        <w:t xml:space="preserve"> LLC and </w:t>
      </w:r>
      <w:r w:rsidR="00E559D5">
        <w:t xml:space="preserve">Pacific Gas and Electric </w:t>
      </w:r>
      <w:r w:rsidR="00DE2F96">
        <w:t xml:space="preserve">Company </w:t>
      </w:r>
      <w:r w:rsidR="00D03823">
        <w:t>for</w:t>
      </w:r>
      <w:r w:rsidR="003144E0">
        <w:t xml:space="preserve"> permits to </w:t>
      </w:r>
      <w:r w:rsidR="00B366F0">
        <w:t xml:space="preserve">construct the </w:t>
      </w:r>
      <w:r w:rsidR="00EF530B">
        <w:t xml:space="preserve">proposed </w:t>
      </w:r>
      <w:r w:rsidR="00B366F0">
        <w:t xml:space="preserve">Estrella Substation and </w:t>
      </w:r>
      <w:r w:rsidR="00325E91">
        <w:t>Paso </w:t>
      </w:r>
      <w:r w:rsidR="00B366F0">
        <w:t xml:space="preserve">Robles </w:t>
      </w:r>
      <w:r w:rsidR="00A14A86">
        <w:t xml:space="preserve">Area </w:t>
      </w:r>
      <w:r w:rsidR="00B366F0">
        <w:t xml:space="preserve">Reinforcement </w:t>
      </w:r>
      <w:r w:rsidR="002B7C07">
        <w:t>P</w:t>
      </w:r>
      <w:r w:rsidR="00B366F0">
        <w:t>roject</w:t>
      </w:r>
      <w:r w:rsidR="006502DB">
        <w:t>,</w:t>
      </w:r>
      <w:r w:rsidRPr="006502DB" w:rsidR="006502DB">
        <w:t xml:space="preserve"> configured as the Alternative Combination #2, </w:t>
      </w:r>
      <w:r w:rsidR="00DB7681">
        <w:t xml:space="preserve">with </w:t>
      </w:r>
      <w:r w:rsidR="00AF2B70">
        <w:t xml:space="preserve">the mitigation measures identified in the Mitigation Monitoring and Reporting </w:t>
      </w:r>
      <w:r w:rsidRPr="00107A7F" w:rsidR="00AF2B70">
        <w:t>P</w:t>
      </w:r>
      <w:r w:rsidR="00895B27">
        <w:t>lan</w:t>
      </w:r>
      <w:r w:rsidR="00AF2B70">
        <w:t xml:space="preserve"> attached to this decision. </w:t>
      </w:r>
      <w:r w:rsidDel="00AF2B70" w:rsidR="00C32521">
        <w:t xml:space="preserve">As the lead agency for the environmental review of the </w:t>
      </w:r>
      <w:r w:rsidDel="00AF2B70" w:rsidR="00DB7681">
        <w:t>p</w:t>
      </w:r>
      <w:r w:rsidDel="00AF2B70" w:rsidR="00C32521">
        <w:t xml:space="preserve">roject, we find that the </w:t>
      </w:r>
      <w:r w:rsidDel="00AF2B70" w:rsidR="00D04170">
        <w:t>p</w:t>
      </w:r>
      <w:r w:rsidDel="00AF2B70" w:rsidR="00C32521">
        <w:t xml:space="preserve">roject’s </w:t>
      </w:r>
      <w:r w:rsidR="005A4213">
        <w:t xml:space="preserve">Final </w:t>
      </w:r>
      <w:r w:rsidDel="00AF2B70" w:rsidR="00C32521">
        <w:t xml:space="preserve">Environmental Impact Report meets the requirements of the California Environmental Quality Act. </w:t>
      </w:r>
      <w:r w:rsidR="006502DB">
        <w:t>We also find that while the project will result in some unavoidable significant environmental impacts</w:t>
      </w:r>
      <w:r w:rsidR="00BC448D">
        <w:t xml:space="preserve">, even with the implementation of the prescribed mitigation measures, </w:t>
      </w:r>
      <w:r w:rsidR="006502DB">
        <w:t>we find that the benefits</w:t>
      </w:r>
      <w:r w:rsidR="00BC448D">
        <w:t xml:space="preserve"> of the p</w:t>
      </w:r>
      <w:r w:rsidR="006502DB">
        <w:t>roject outweigh those significant unavoidable impacts.</w:t>
      </w:r>
      <w:r w:rsidR="00BC448D">
        <w:t xml:space="preserve"> </w:t>
      </w:r>
      <w:r w:rsidR="00C32521">
        <w:t xml:space="preserve">This proceeding is closed. </w:t>
      </w:r>
      <w:r w:rsidR="00843654">
        <w:t xml:space="preserve"> </w:t>
      </w:r>
    </w:p>
    <w:p w:rsidR="005A148C" w:rsidP="009F605D" w:rsidRDefault="002C7FE9" w14:paraId="3C9B2652" w14:textId="1CC80D78">
      <w:pPr>
        <w:pStyle w:val="Heading1"/>
        <w:numPr>
          <w:ilvl w:val="0"/>
          <w:numId w:val="3"/>
        </w:numPr>
        <w:ind w:left="-720" w:firstLine="720"/>
      </w:pPr>
      <w:bookmarkStart w:name="_Toc8123715" w:id="7"/>
      <w:bookmarkStart w:name="_Toc164685393" w:id="8"/>
      <w:r w:rsidRPr="00121089">
        <w:t>Background</w:t>
      </w:r>
      <w:bookmarkEnd w:id="7"/>
      <w:bookmarkEnd w:id="8"/>
    </w:p>
    <w:p w:rsidRPr="00F86249" w:rsidR="00F86249" w:rsidP="0030780A" w:rsidRDefault="00F86249" w14:paraId="1B3D4C6A" w14:textId="749E4745">
      <w:pPr>
        <w:pStyle w:val="Heading2"/>
      </w:pPr>
      <w:bookmarkStart w:name="_Toc164685394" w:id="9"/>
      <w:r>
        <w:t>Procedural Background</w:t>
      </w:r>
      <w:bookmarkEnd w:id="9"/>
    </w:p>
    <w:p w:rsidR="00A44D96" w:rsidP="00D04170" w:rsidRDefault="00CC3287" w14:paraId="7CC7C130" w14:textId="2055436E">
      <w:pPr>
        <w:pStyle w:val="Standard"/>
      </w:pPr>
      <w:bookmarkStart w:name="_Toc8123716" w:id="10"/>
      <w:r>
        <w:t xml:space="preserve">On </w:t>
      </w:r>
      <w:r w:rsidR="00325E91">
        <w:t>January </w:t>
      </w:r>
      <w:r w:rsidR="006664AE">
        <w:t xml:space="preserve">25, 2017, </w:t>
      </w:r>
      <w:bookmarkEnd w:id="10"/>
      <w:r w:rsidR="003F3AEA">
        <w:t xml:space="preserve">Pacific Gas and Electric </w:t>
      </w:r>
      <w:r w:rsidR="009226E4">
        <w:t xml:space="preserve">Company </w:t>
      </w:r>
      <w:r w:rsidR="003F3AEA">
        <w:t>(</w:t>
      </w:r>
      <w:r w:rsidR="001F1E79">
        <w:t>PG&amp;E</w:t>
      </w:r>
      <w:r w:rsidR="003F3AEA">
        <w:t>)</w:t>
      </w:r>
      <w:r w:rsidR="001F1E79">
        <w:t xml:space="preserve"> and</w:t>
      </w:r>
      <w:r w:rsidR="00C50262">
        <w:t xml:space="preserve"> </w:t>
      </w:r>
      <w:r w:rsidRPr="00C50262" w:rsidR="00C50262">
        <w:t>NextEra Energy Transmission West, LLC</w:t>
      </w:r>
      <w:r w:rsidR="001F1E79">
        <w:t xml:space="preserve"> (collectively</w:t>
      </w:r>
      <w:r w:rsidR="0045241D">
        <w:t>,</w:t>
      </w:r>
      <w:r w:rsidR="001F1E79">
        <w:t xml:space="preserve"> Applicants) filed Joint </w:t>
      </w:r>
      <w:bookmarkStart w:name="_Hlk159757953" w:id="11"/>
      <w:r w:rsidR="001F1E79">
        <w:t>Application (A.)</w:t>
      </w:r>
      <w:r w:rsidR="00325E91">
        <w:t> </w:t>
      </w:r>
      <w:r w:rsidR="001F1E79">
        <w:t>17-01-023</w:t>
      </w:r>
      <w:r w:rsidR="00B25EEE">
        <w:rPr>
          <w:rStyle w:val="FootnoteReference"/>
        </w:rPr>
        <w:footnoteReference w:id="2"/>
      </w:r>
      <w:r w:rsidR="001F1E79">
        <w:t xml:space="preserve"> (Application)</w:t>
      </w:r>
      <w:r w:rsidR="006664AE">
        <w:t xml:space="preserve"> before the Commission</w:t>
      </w:r>
      <w:r w:rsidR="004063A5">
        <w:t xml:space="preserve"> seeking</w:t>
      </w:r>
      <w:r w:rsidR="001F1E79">
        <w:t xml:space="preserve"> </w:t>
      </w:r>
      <w:bookmarkEnd w:id="11"/>
      <w:r w:rsidR="001F1E79">
        <w:t xml:space="preserve">permits to construct (PTC) the </w:t>
      </w:r>
      <w:r w:rsidR="007E24A9">
        <w:t xml:space="preserve">Estrella Substation and </w:t>
      </w:r>
      <w:r w:rsidR="00325E91">
        <w:t>Paso </w:t>
      </w:r>
      <w:r w:rsidR="007E24A9">
        <w:t>Robles</w:t>
      </w:r>
      <w:r w:rsidR="001440A0">
        <w:t xml:space="preserve"> Area</w:t>
      </w:r>
      <w:r w:rsidR="007E24A9">
        <w:t xml:space="preserve"> Reinforcement </w:t>
      </w:r>
      <w:r w:rsidR="003F3AEA">
        <w:t>P</w:t>
      </w:r>
      <w:r w:rsidR="007E24A9">
        <w:t>roject (</w:t>
      </w:r>
      <w:r w:rsidR="00D04170">
        <w:t xml:space="preserve">Proposed </w:t>
      </w:r>
      <w:r w:rsidR="001F1E79">
        <w:t>Project</w:t>
      </w:r>
      <w:r w:rsidR="007E24A9">
        <w:t>)</w:t>
      </w:r>
      <w:r w:rsidR="00807C57">
        <w:t xml:space="preserve">. </w:t>
      </w:r>
      <w:r w:rsidR="001F1E79">
        <w:t xml:space="preserve">The </w:t>
      </w:r>
      <w:r w:rsidR="003140D2">
        <w:t xml:space="preserve">Proposed </w:t>
      </w:r>
      <w:r w:rsidR="001F1E79">
        <w:t>Project</w:t>
      </w:r>
      <w:r w:rsidR="004F4E26">
        <w:t>’s location is i</w:t>
      </w:r>
      <w:r w:rsidR="00DB2493">
        <w:t>n</w:t>
      </w:r>
      <w:r w:rsidR="003140D2">
        <w:t xml:space="preserve"> </w:t>
      </w:r>
      <w:r w:rsidR="004F4E26">
        <w:t xml:space="preserve">and near </w:t>
      </w:r>
      <w:r w:rsidR="003F3AEA">
        <w:t xml:space="preserve">the </w:t>
      </w:r>
      <w:r w:rsidR="009C0E70">
        <w:t>C</w:t>
      </w:r>
      <w:r w:rsidR="003F3AEA">
        <w:t xml:space="preserve">ity of </w:t>
      </w:r>
      <w:r w:rsidR="00157724">
        <w:t xml:space="preserve">El </w:t>
      </w:r>
      <w:r w:rsidR="00325E91">
        <w:t>Paso </w:t>
      </w:r>
      <w:r w:rsidR="001F1E79">
        <w:t>de Robles</w:t>
      </w:r>
      <w:r w:rsidR="003140D2">
        <w:t xml:space="preserve"> (</w:t>
      </w:r>
      <w:r w:rsidR="00325E91">
        <w:t>Paso </w:t>
      </w:r>
      <w:r w:rsidR="003140D2">
        <w:t>Robles)</w:t>
      </w:r>
      <w:r w:rsidR="004F4E26">
        <w:t>,</w:t>
      </w:r>
      <w:r w:rsidR="003F3AEA">
        <w:t xml:space="preserve"> </w:t>
      </w:r>
      <w:r w:rsidR="004F4E26">
        <w:t>San Luis Obispo County</w:t>
      </w:r>
      <w:r w:rsidR="001F1E79">
        <w:t>.</w:t>
      </w:r>
      <w:r w:rsidR="00807C57">
        <w:t xml:space="preserve"> </w:t>
      </w:r>
    </w:p>
    <w:p w:rsidR="000669A5" w:rsidP="000669A5" w:rsidRDefault="000669A5" w14:paraId="0B068AAF" w14:textId="033EB286">
      <w:pPr>
        <w:pStyle w:val="Standard"/>
      </w:pPr>
      <w:r>
        <w:lastRenderedPageBreak/>
        <w:t xml:space="preserve">On </w:t>
      </w:r>
      <w:r w:rsidR="00325E91">
        <w:t>February </w:t>
      </w:r>
      <w:r>
        <w:t>9, 2017, Resolution ALJ 176-3392 issued and preliminar</w:t>
      </w:r>
      <w:r w:rsidR="001440A0">
        <w:t>il</w:t>
      </w:r>
      <w:r>
        <w:t>y determined evidentiary hearings were necessary a</w:t>
      </w:r>
      <w:r w:rsidR="001440A0">
        <w:t>nd</w:t>
      </w:r>
      <w:r>
        <w:t xml:space="preserve"> categorized the proceeding as </w:t>
      </w:r>
      <w:proofErr w:type="spellStart"/>
      <w:r>
        <w:t>ratesetting</w:t>
      </w:r>
      <w:proofErr w:type="spellEnd"/>
      <w:r>
        <w:t xml:space="preserve">. </w:t>
      </w:r>
    </w:p>
    <w:p w:rsidR="000669A5" w:rsidP="000669A5" w:rsidRDefault="000669A5" w14:paraId="34B25160" w14:textId="22AEBB01">
      <w:pPr>
        <w:pStyle w:val="Standard"/>
      </w:pPr>
      <w:r>
        <w:t xml:space="preserve">On </w:t>
      </w:r>
      <w:r w:rsidR="00325E91">
        <w:t>March </w:t>
      </w:r>
      <w:r>
        <w:t xml:space="preserve">6, 2017, California Unions for Reliable Energy (CURE), the City of El </w:t>
      </w:r>
      <w:r w:rsidR="00325E91">
        <w:t>Paso </w:t>
      </w:r>
      <w:r w:rsidR="00157724">
        <w:t>d</w:t>
      </w:r>
      <w:r>
        <w:t>e Robles (City) and the Office of Rate</w:t>
      </w:r>
      <w:r w:rsidR="00200BE3">
        <w:t>p</w:t>
      </w:r>
      <w:r>
        <w:t>ayer Advocates (ORA) filed timely protests to the Application.</w:t>
      </w:r>
      <w:r w:rsidR="00F97B22">
        <w:t xml:space="preserve"> </w:t>
      </w:r>
      <w:r>
        <w:t xml:space="preserve">On </w:t>
      </w:r>
      <w:r w:rsidR="00325E91">
        <w:t>March </w:t>
      </w:r>
      <w:r>
        <w:t xml:space="preserve">6, 2017, Applicants filed responses to the protests. </w:t>
      </w:r>
    </w:p>
    <w:p w:rsidR="000669A5" w:rsidP="000669A5" w:rsidRDefault="000669A5" w14:paraId="37E892F0" w14:textId="27A442AC">
      <w:pPr>
        <w:pStyle w:val="Standard"/>
      </w:pPr>
      <w:r>
        <w:t xml:space="preserve">On </w:t>
      </w:r>
      <w:r w:rsidR="00325E91">
        <w:t>May </w:t>
      </w:r>
      <w:r>
        <w:t>18, 2017, Applicants filed a Revised Proponent’s Environmental Assessment Report (Revised PEA) to amend the original PEA</w:t>
      </w:r>
      <w:r w:rsidR="00414C5A">
        <w:t xml:space="preserve"> on </w:t>
      </w:r>
      <w:r w:rsidR="00325E91">
        <w:t>January </w:t>
      </w:r>
      <w:r w:rsidR="00596E89">
        <w:t>25, 2017</w:t>
      </w:r>
      <w:r>
        <w:t xml:space="preserve">. </w:t>
      </w:r>
    </w:p>
    <w:p w:rsidR="000669A5" w:rsidP="000669A5" w:rsidRDefault="000669A5" w14:paraId="7059CA77" w14:textId="0EAEE917">
      <w:pPr>
        <w:pStyle w:val="Standard"/>
      </w:pPr>
      <w:r w:rsidRPr="006A7A06">
        <w:t xml:space="preserve">On </w:t>
      </w:r>
      <w:r w:rsidR="00325E91">
        <w:t>May </w:t>
      </w:r>
      <w:r w:rsidRPr="006A7A06">
        <w:t>18, 2017, Applicants filed a Joint Motion for Leave to Submit Confidential Materials Under Seal.</w:t>
      </w:r>
      <w:r>
        <w:t xml:space="preserve"> </w:t>
      </w:r>
    </w:p>
    <w:p w:rsidR="000669A5" w:rsidP="000669A5" w:rsidRDefault="000669A5" w14:paraId="3FB929CC" w14:textId="5B20DDC1">
      <w:pPr>
        <w:pStyle w:val="Standard"/>
      </w:pPr>
      <w:r w:rsidRPr="006A7A06">
        <w:t xml:space="preserve">On </w:t>
      </w:r>
      <w:r w:rsidR="00325E91">
        <w:t>May </w:t>
      </w:r>
      <w:r w:rsidRPr="006A7A06">
        <w:t xml:space="preserve">19, 2017, Riboli </w:t>
      </w:r>
      <w:r w:rsidR="00325E91">
        <w:t>Paso </w:t>
      </w:r>
      <w:r w:rsidRPr="006A7A06">
        <w:t xml:space="preserve">Robles, LLC (Riboli) and San Antonio Winery (San Antonio) file a </w:t>
      </w:r>
      <w:r w:rsidR="006E5672">
        <w:t xml:space="preserve">joint </w:t>
      </w:r>
      <w:r w:rsidRPr="006A7A06">
        <w:t>Motion for Party Status.</w:t>
      </w:r>
      <w:r w:rsidRPr="006A7A06" w:rsidR="00E106C8">
        <w:t xml:space="preserve"> On </w:t>
      </w:r>
      <w:r w:rsidR="00325E91">
        <w:t>June </w:t>
      </w:r>
      <w:r w:rsidRPr="006A7A06" w:rsidR="002127FE">
        <w:t>5, 201</w:t>
      </w:r>
      <w:r w:rsidR="00157724">
        <w:t>7</w:t>
      </w:r>
      <w:r w:rsidRPr="006A7A06" w:rsidR="002127FE">
        <w:t>, Applicant</w:t>
      </w:r>
      <w:r w:rsidRPr="006A7A06" w:rsidR="007243F7">
        <w:t>s</w:t>
      </w:r>
      <w:r w:rsidRPr="006A7A06" w:rsidR="002127FE">
        <w:t xml:space="preserve"> file</w:t>
      </w:r>
      <w:r w:rsidRPr="006A7A06" w:rsidR="007243F7">
        <w:t xml:space="preserve">d their </w:t>
      </w:r>
      <w:r w:rsidRPr="006A7A06" w:rsidR="002317DB">
        <w:t>R</w:t>
      </w:r>
      <w:r w:rsidRPr="006A7A06" w:rsidR="00082109">
        <w:t>e</w:t>
      </w:r>
      <w:r w:rsidRPr="006A7A06" w:rsidR="002317DB">
        <w:t>spon</w:t>
      </w:r>
      <w:r w:rsidRPr="006A7A06" w:rsidR="00082109">
        <w:t>s</w:t>
      </w:r>
      <w:r w:rsidRPr="006A7A06" w:rsidR="002317DB">
        <w:t>e</w:t>
      </w:r>
      <w:r w:rsidRPr="006A7A06" w:rsidR="00082109">
        <w:t xml:space="preserve"> and took no position on </w:t>
      </w:r>
      <w:r w:rsidRPr="006A7A06" w:rsidR="004C21E8">
        <w:t xml:space="preserve">the </w:t>
      </w:r>
      <w:r w:rsidR="006E5672">
        <w:t xml:space="preserve">joint </w:t>
      </w:r>
      <w:r w:rsidRPr="006A7A06" w:rsidR="004C21E8">
        <w:t xml:space="preserve">Motion for Party Status </w:t>
      </w:r>
      <w:r w:rsidRPr="006A7A06" w:rsidR="008205C4">
        <w:t>filed by Riboli</w:t>
      </w:r>
      <w:r w:rsidR="00157724">
        <w:t xml:space="preserve"> and San Antonio</w:t>
      </w:r>
      <w:r w:rsidRPr="006A7A06" w:rsidR="008205C4">
        <w:t xml:space="preserve">, while </w:t>
      </w:r>
      <w:r w:rsidRPr="006A7A06" w:rsidR="00C901F1">
        <w:t xml:space="preserve">making </w:t>
      </w:r>
      <w:r w:rsidRPr="006A7A06" w:rsidR="00D03EF5">
        <w:t xml:space="preserve">certain factual </w:t>
      </w:r>
      <w:r w:rsidRPr="006A7A06" w:rsidR="00162387">
        <w:t>corrections</w:t>
      </w:r>
      <w:r w:rsidRPr="006A7A06" w:rsidR="008205C4">
        <w:t>.</w:t>
      </w:r>
      <w:r w:rsidRPr="006A7A06" w:rsidR="002317DB">
        <w:t xml:space="preserve"> </w:t>
      </w:r>
      <w:r w:rsidRPr="006A7A06" w:rsidR="007243F7">
        <w:t xml:space="preserve"> </w:t>
      </w:r>
    </w:p>
    <w:p w:rsidRPr="006A7A06" w:rsidR="00BA7EB8" w:rsidP="000669A5" w:rsidRDefault="00BA7EB8" w14:paraId="6CE2A959" w14:textId="7135BBFB">
      <w:pPr>
        <w:pStyle w:val="Standard"/>
      </w:pPr>
      <w:r w:rsidRPr="00BA7EB8">
        <w:t xml:space="preserve">On </w:t>
      </w:r>
      <w:r w:rsidR="00325E91">
        <w:t>July </w:t>
      </w:r>
      <w:r w:rsidRPr="00BA7EB8">
        <w:t>14, 2017, the assigned Administrative Law Judge (ALJ) issued the</w:t>
      </w:r>
      <w:r>
        <w:t xml:space="preserve"> </w:t>
      </w:r>
      <w:r w:rsidRPr="00BA7EB8">
        <w:t>Ruling Giving Notice of Anticipated Scope of Issues; Timing of Prehearing Conference; and Addressing Other Procedural and Substantive Matters (</w:t>
      </w:r>
      <w:r w:rsidR="00325E91">
        <w:t>July </w:t>
      </w:r>
      <w:r w:rsidRPr="00BA7EB8">
        <w:t xml:space="preserve">14, 2017 Ruling). The </w:t>
      </w:r>
      <w:r w:rsidR="00325E91">
        <w:t>July </w:t>
      </w:r>
      <w:r w:rsidRPr="00BA7EB8">
        <w:t xml:space="preserve">14, 2017 Ruling confirmed that the Commission’s Energy Division would conduct an environmental review of the </w:t>
      </w:r>
      <w:r w:rsidR="00EC70B3">
        <w:t>Proposed</w:t>
      </w:r>
      <w:r w:rsidRPr="00BA7EB8">
        <w:t xml:space="preserve"> Project and prepare an </w:t>
      </w:r>
      <w:r w:rsidR="00157724">
        <w:t>Environmental Impact Report (</w:t>
      </w:r>
      <w:r w:rsidRPr="00BA7EB8">
        <w:t>EIR</w:t>
      </w:r>
      <w:r w:rsidR="00157724">
        <w:t>)</w:t>
      </w:r>
      <w:r w:rsidRPr="00BA7EB8">
        <w:t xml:space="preserve"> pursuant to </w:t>
      </w:r>
      <w:r w:rsidR="0025238D">
        <w:t xml:space="preserve">the </w:t>
      </w:r>
      <w:r w:rsidRPr="00BA7EB8">
        <w:t>C</w:t>
      </w:r>
      <w:r w:rsidR="00441765">
        <w:t xml:space="preserve">alifornia Environmental </w:t>
      </w:r>
      <w:r w:rsidRPr="00BA7EB8">
        <w:t>Q</w:t>
      </w:r>
      <w:r w:rsidR="00441765">
        <w:t xml:space="preserve">uality </w:t>
      </w:r>
      <w:r w:rsidRPr="00BA7EB8">
        <w:t>A</w:t>
      </w:r>
      <w:r w:rsidR="00441765">
        <w:t>ct</w:t>
      </w:r>
      <w:r w:rsidR="00B5478A">
        <w:t xml:space="preserve"> (CEQA)</w:t>
      </w:r>
      <w:r w:rsidRPr="00BA7EB8">
        <w:t>.</w:t>
      </w:r>
      <w:r w:rsidR="00441765">
        <w:rPr>
          <w:rStyle w:val="FootnoteReference"/>
        </w:rPr>
        <w:footnoteReference w:id="3"/>
      </w:r>
      <w:r w:rsidRPr="00BA7EB8">
        <w:t xml:space="preserve"> </w:t>
      </w:r>
    </w:p>
    <w:p w:rsidRPr="008E095A" w:rsidR="000669A5" w:rsidP="00CB6EA1" w:rsidRDefault="000669A5" w14:paraId="3D85469C" w14:textId="53BBF48B">
      <w:pPr>
        <w:pStyle w:val="Standard"/>
      </w:pPr>
      <w:r w:rsidRPr="008E095A">
        <w:lastRenderedPageBreak/>
        <w:t xml:space="preserve">On </w:t>
      </w:r>
      <w:r w:rsidR="00325E91">
        <w:t>January </w:t>
      </w:r>
      <w:r w:rsidRPr="008E095A">
        <w:t xml:space="preserve">24, 2018, Applicants filed </w:t>
      </w:r>
      <w:r w:rsidRPr="008E095A" w:rsidR="00DD1C22">
        <w:t xml:space="preserve">Updated Appendix G To Exhibit B </w:t>
      </w:r>
      <w:r w:rsidRPr="008E095A" w:rsidR="00CB6EA1">
        <w:t xml:space="preserve">to </w:t>
      </w:r>
      <w:r w:rsidR="0025238D">
        <w:t xml:space="preserve">the </w:t>
      </w:r>
      <w:r w:rsidRPr="008E095A" w:rsidR="00CB6EA1">
        <w:t xml:space="preserve">Revised </w:t>
      </w:r>
      <w:r w:rsidRPr="008E095A" w:rsidR="00DD1C22">
        <w:t xml:space="preserve">PEA </w:t>
      </w:r>
      <w:r w:rsidRPr="008E095A" w:rsidR="00CB6EA1">
        <w:t>filed</w:t>
      </w:r>
      <w:r w:rsidRPr="008E095A" w:rsidR="00DD1C22">
        <w:t xml:space="preserve"> on </w:t>
      </w:r>
      <w:r w:rsidR="00325E91">
        <w:t>May </w:t>
      </w:r>
      <w:r w:rsidRPr="008E095A" w:rsidR="00DD1C22">
        <w:t>18, 2017</w:t>
      </w:r>
      <w:r w:rsidRPr="008E095A">
        <w:t>.</w:t>
      </w:r>
    </w:p>
    <w:p w:rsidR="000669A5" w:rsidP="000669A5" w:rsidRDefault="000669A5" w14:paraId="429C6DC1" w14:textId="6A025E83">
      <w:pPr>
        <w:pStyle w:val="Standard"/>
      </w:pPr>
      <w:r w:rsidRPr="008E095A">
        <w:t xml:space="preserve">On </w:t>
      </w:r>
      <w:r w:rsidR="00325E91">
        <w:t>February </w:t>
      </w:r>
      <w:r w:rsidRPr="008E095A">
        <w:t xml:space="preserve">14, 2018, James Pahler filed a Motion for Party Status. On </w:t>
      </w:r>
      <w:r w:rsidR="00325E91">
        <w:t>February </w:t>
      </w:r>
      <w:r w:rsidRPr="008E095A">
        <w:t>28, 2018, Applicants filed a Joint Response to James Pahler’s Motion for Party Status.</w:t>
      </w:r>
      <w:r>
        <w:t xml:space="preserve"> </w:t>
      </w:r>
    </w:p>
    <w:p w:rsidR="000669A5" w:rsidP="000669A5" w:rsidRDefault="000669A5" w14:paraId="6A4448E1" w14:textId="0DE47482">
      <w:pPr>
        <w:pStyle w:val="Standard"/>
      </w:pPr>
      <w:r>
        <w:t xml:space="preserve">On </w:t>
      </w:r>
      <w:r w:rsidR="00325E91">
        <w:t>March </w:t>
      </w:r>
      <w:r>
        <w:t xml:space="preserve">21, 2018, CURE filed a Motion to Dismiss the Application (Motion to Dismiss). On </w:t>
      </w:r>
      <w:r w:rsidR="00DE36C5">
        <w:t>April </w:t>
      </w:r>
      <w:r>
        <w:t xml:space="preserve">5, 2018, Horizon West filed a Response to the Motion to Dismiss. On </w:t>
      </w:r>
      <w:r w:rsidR="00DE36C5">
        <w:t>April </w:t>
      </w:r>
      <w:r>
        <w:t>23, 2018, CURE filed a Reply in support of its Motion to Dismiss.</w:t>
      </w:r>
    </w:p>
    <w:p w:rsidR="000669A5" w:rsidP="000669A5" w:rsidRDefault="000669A5" w14:paraId="58ACCAA9" w14:textId="60BD6ADC">
      <w:pPr>
        <w:pStyle w:val="Standard"/>
      </w:pPr>
      <w:r>
        <w:t xml:space="preserve">On </w:t>
      </w:r>
      <w:r w:rsidR="00325E91">
        <w:t>May </w:t>
      </w:r>
      <w:r>
        <w:t xml:space="preserve">7 and </w:t>
      </w:r>
      <w:r w:rsidR="00325E91">
        <w:t>June </w:t>
      </w:r>
      <w:r>
        <w:t xml:space="preserve">20, 2018, Applicants filed </w:t>
      </w:r>
      <w:r w:rsidR="00A0426F">
        <w:t xml:space="preserve">further </w:t>
      </w:r>
      <w:r>
        <w:t xml:space="preserve">amendments to the </w:t>
      </w:r>
      <w:r w:rsidR="00A0426F">
        <w:t xml:space="preserve">Revised </w:t>
      </w:r>
      <w:r>
        <w:t xml:space="preserve">PEA </w:t>
      </w:r>
      <w:r w:rsidR="00464014">
        <w:t xml:space="preserve">filed on </w:t>
      </w:r>
      <w:r w:rsidR="00325E91">
        <w:t>May </w:t>
      </w:r>
      <w:r w:rsidR="00464014">
        <w:t>18, 2017</w:t>
      </w:r>
      <w:r>
        <w:t xml:space="preserve">. </w:t>
      </w:r>
    </w:p>
    <w:p w:rsidR="000669A5" w:rsidP="000669A5" w:rsidRDefault="000669A5" w14:paraId="77E796F3" w14:textId="39B3091E">
      <w:pPr>
        <w:pStyle w:val="Standard"/>
      </w:pPr>
      <w:r>
        <w:t xml:space="preserve">On </w:t>
      </w:r>
      <w:r w:rsidR="00325E91">
        <w:t>July </w:t>
      </w:r>
      <w:r>
        <w:t xml:space="preserve">26, 2018, Decision (D.) </w:t>
      </w:r>
      <w:r w:rsidRPr="004D05A2">
        <w:t>18</w:t>
      </w:r>
      <w:r w:rsidR="004D05A2">
        <w:t>-</w:t>
      </w:r>
      <w:r w:rsidRPr="004D05A2">
        <w:t>07</w:t>
      </w:r>
      <w:r w:rsidR="004D05A2">
        <w:t>-</w:t>
      </w:r>
      <w:r w:rsidRPr="004D05A2">
        <w:t>038</w:t>
      </w:r>
      <w:r>
        <w:t xml:space="preserve"> extended the statutory deadline for this proceeding</w:t>
      </w:r>
      <w:r w:rsidR="004D05A2">
        <w:t xml:space="preserve"> to </w:t>
      </w:r>
      <w:r w:rsidR="00325E91">
        <w:t>August </w:t>
      </w:r>
      <w:r w:rsidR="0089109A">
        <w:t>31, 2020</w:t>
      </w:r>
      <w:r w:rsidRPr="004D05A2">
        <w:t>.</w:t>
      </w:r>
      <w:r>
        <w:t xml:space="preserve"> </w:t>
      </w:r>
    </w:p>
    <w:p w:rsidR="000669A5" w:rsidP="000669A5" w:rsidRDefault="000669A5" w14:paraId="0A96D527" w14:textId="7D0300FF">
      <w:pPr>
        <w:pStyle w:val="Standard"/>
      </w:pPr>
      <w:r>
        <w:t xml:space="preserve">On </w:t>
      </w:r>
      <w:r w:rsidR="00325E91">
        <w:t>May </w:t>
      </w:r>
      <w:r>
        <w:t>22, 201</w:t>
      </w:r>
      <w:r w:rsidR="006726B9">
        <w:t>9</w:t>
      </w:r>
      <w:r>
        <w:t xml:space="preserve">, </w:t>
      </w:r>
      <w:r w:rsidR="00AF7A9C">
        <w:t xml:space="preserve">NextEra Energy Transmission West, LLC </w:t>
      </w:r>
      <w:r w:rsidR="00185A07">
        <w:t xml:space="preserve">filed a motion notifying the Commission of its name change </w:t>
      </w:r>
      <w:r w:rsidR="00D64F6C">
        <w:t xml:space="preserve">to </w:t>
      </w:r>
      <w:r w:rsidRPr="00D64F6C" w:rsidR="00D64F6C">
        <w:t>Horizon West Transmission, LLC</w:t>
      </w:r>
      <w:r w:rsidR="00D64F6C">
        <w:t xml:space="preserve">, and sought </w:t>
      </w:r>
      <w:r w:rsidR="00ED7578">
        <w:t xml:space="preserve">a </w:t>
      </w:r>
      <w:r w:rsidR="00194237">
        <w:t xml:space="preserve">proceeding </w:t>
      </w:r>
      <w:r w:rsidR="00D64F6C">
        <w:t xml:space="preserve">caption </w:t>
      </w:r>
      <w:r w:rsidR="00194237">
        <w:t>change</w:t>
      </w:r>
      <w:r w:rsidR="00AF7A9C">
        <w:t xml:space="preserve"> </w:t>
      </w:r>
      <w:r w:rsidR="00C64391">
        <w:t>from</w:t>
      </w:r>
      <w:r>
        <w:t xml:space="preserve"> Next</w:t>
      </w:r>
      <w:r w:rsidR="0019428D">
        <w:t>E</w:t>
      </w:r>
      <w:r>
        <w:t xml:space="preserve">ra Energy Transmission </w:t>
      </w:r>
      <w:r w:rsidR="0059591F">
        <w:t>West</w:t>
      </w:r>
      <w:r w:rsidR="00CA04F8">
        <w:t xml:space="preserve">, </w:t>
      </w:r>
      <w:r>
        <w:t>LLC to Horizon West</w:t>
      </w:r>
      <w:r w:rsidR="00CB1A02">
        <w:t xml:space="preserve"> Transmission, LLC</w:t>
      </w:r>
      <w:r w:rsidR="00C50262">
        <w:t xml:space="preserve"> (Horizon West)</w:t>
      </w:r>
      <w:r>
        <w:t xml:space="preserve">. </w:t>
      </w:r>
    </w:p>
    <w:p w:rsidR="000669A5" w:rsidP="000669A5" w:rsidRDefault="000669A5" w14:paraId="577BE9CC" w14:textId="3469FC98">
      <w:pPr>
        <w:pStyle w:val="Standard"/>
      </w:pPr>
      <w:r>
        <w:t xml:space="preserve">On </w:t>
      </w:r>
      <w:r w:rsidR="00325E91">
        <w:t>July </w:t>
      </w:r>
      <w:r>
        <w:t>31, 2018, a Notice of Preparation</w:t>
      </w:r>
      <w:r w:rsidR="00A4208D">
        <w:rPr>
          <w:rStyle w:val="FootnoteReference"/>
        </w:rPr>
        <w:footnoteReference w:id="4"/>
      </w:r>
      <w:r>
        <w:t xml:space="preserve"> (NOP) was circulated to the public and included direct mailing</w:t>
      </w:r>
      <w:r w:rsidR="00EA2703">
        <w:t>s</w:t>
      </w:r>
      <w:r>
        <w:t xml:space="preserve">. </w:t>
      </w:r>
    </w:p>
    <w:p w:rsidR="000669A5" w:rsidP="000669A5" w:rsidRDefault="000669A5" w14:paraId="6D7E7394" w14:textId="774A3962">
      <w:pPr>
        <w:pStyle w:val="Standard"/>
      </w:pPr>
      <w:r>
        <w:t xml:space="preserve">On </w:t>
      </w:r>
      <w:r w:rsidR="00325E91">
        <w:t>August </w:t>
      </w:r>
      <w:r w:rsidR="00C50262">
        <w:t>7</w:t>
      </w:r>
      <w:r>
        <w:t xml:space="preserve">, 2018, </w:t>
      </w:r>
      <w:r w:rsidR="007345D5">
        <w:t xml:space="preserve">pursuant to CEQA, </w:t>
      </w:r>
      <w:r>
        <w:t xml:space="preserve">a public scoping meeting was held at the Winifred Pfifer Elementary School in </w:t>
      </w:r>
      <w:r w:rsidR="00325E91">
        <w:t>Paso </w:t>
      </w:r>
      <w:r>
        <w:t xml:space="preserve">Robles. Notice of the meeting was provided in the NOP and a local newspaper. </w:t>
      </w:r>
    </w:p>
    <w:p w:rsidR="00D2454F" w:rsidP="000669A5" w:rsidRDefault="000669A5" w14:paraId="34B5CF38" w14:textId="67E90E0D">
      <w:pPr>
        <w:pStyle w:val="Standard"/>
      </w:pPr>
      <w:r>
        <w:t xml:space="preserve">On </w:t>
      </w:r>
      <w:r w:rsidR="00325E91">
        <w:t>February </w:t>
      </w:r>
      <w:r>
        <w:t xml:space="preserve">26, 2020, </w:t>
      </w:r>
      <w:r w:rsidRPr="00F37AA5" w:rsidR="000F32FE">
        <w:t xml:space="preserve">a </w:t>
      </w:r>
      <w:r w:rsidRPr="00107A7F" w:rsidR="000F32FE">
        <w:t xml:space="preserve">ruling was issued </w:t>
      </w:r>
      <w:r w:rsidRPr="00107A7F">
        <w:t>den</w:t>
      </w:r>
      <w:r w:rsidRPr="00107A7F" w:rsidR="000F32FE">
        <w:t xml:space="preserve">ying </w:t>
      </w:r>
      <w:r>
        <w:t>CURE’s Motion to Dismiss.</w:t>
      </w:r>
    </w:p>
    <w:p w:rsidR="000669A5" w:rsidP="000669A5" w:rsidRDefault="00D2454F" w14:paraId="4BF6EC88" w14:textId="0254CFB2">
      <w:pPr>
        <w:pStyle w:val="Standard"/>
      </w:pPr>
      <w:r>
        <w:lastRenderedPageBreak/>
        <w:t xml:space="preserve">On </w:t>
      </w:r>
      <w:r w:rsidR="00325E91">
        <w:t>December </w:t>
      </w:r>
      <w:r>
        <w:t>8, 2020, the Draft Environmental Impact Report (DEIR) was published.</w:t>
      </w:r>
      <w:r w:rsidR="000669A5">
        <w:t xml:space="preserve"> </w:t>
      </w:r>
    </w:p>
    <w:p w:rsidR="000669A5" w:rsidP="000669A5" w:rsidRDefault="000669A5" w14:paraId="66E67744" w14:textId="5D0B39E7">
      <w:pPr>
        <w:pStyle w:val="Standard"/>
      </w:pPr>
      <w:r>
        <w:t xml:space="preserve">On </w:t>
      </w:r>
      <w:r w:rsidR="00DE36C5">
        <w:t>April </w:t>
      </w:r>
      <w:r>
        <w:t xml:space="preserve">8, 2021, Sun Communities Inc. (Sun Communities) and Cava Robles RV Resort (Cava Robles) </w:t>
      </w:r>
      <w:r w:rsidR="00512453">
        <w:t xml:space="preserve">jointly </w:t>
      </w:r>
      <w:r>
        <w:t>filed a Motion for Party Status</w:t>
      </w:r>
      <w:r w:rsidR="00CC2E82">
        <w:t xml:space="preserve">; and </w:t>
      </w:r>
      <w:r w:rsidR="00111467">
        <w:t>o</w:t>
      </w:r>
      <w:r>
        <w:t xml:space="preserve">n </w:t>
      </w:r>
      <w:r w:rsidR="00DE36C5">
        <w:t>April </w:t>
      </w:r>
      <w:r>
        <w:t>23, 2021, Applicants filed Responses to th</w:t>
      </w:r>
      <w:r w:rsidR="001C27BE">
        <w:t>at</w:t>
      </w:r>
      <w:r>
        <w:t xml:space="preserve"> Motion for Party Status. On </w:t>
      </w:r>
      <w:r w:rsidR="00325E91">
        <w:t>July </w:t>
      </w:r>
      <w:r>
        <w:t xml:space="preserve">23, 2021, a ruling granted the Motion for Party Status by Sun Communities and Cava Robles. </w:t>
      </w:r>
    </w:p>
    <w:p w:rsidR="000669A5" w:rsidP="000669A5" w:rsidRDefault="000669A5" w14:paraId="1C2604FE" w14:textId="3A077AAA">
      <w:pPr>
        <w:pStyle w:val="Standard"/>
      </w:pPr>
      <w:r>
        <w:t xml:space="preserve">On </w:t>
      </w:r>
      <w:r w:rsidR="00DE36C5">
        <w:t>November </w:t>
      </w:r>
      <w:r>
        <w:t>10, 2021, a Motion for Party Status was filed by Dina</w:t>
      </w:r>
      <w:r w:rsidR="00325E91">
        <w:t> </w:t>
      </w:r>
      <w:proofErr w:type="spellStart"/>
      <w:r>
        <w:t>Hevert</w:t>
      </w:r>
      <w:proofErr w:type="spellEnd"/>
      <w:r>
        <w:t xml:space="preserve">, Robert Behar and Jeffrey </w:t>
      </w:r>
      <w:proofErr w:type="spellStart"/>
      <w:r>
        <w:t>Hevert</w:t>
      </w:r>
      <w:proofErr w:type="spellEnd"/>
      <w:r>
        <w:t xml:space="preserve"> (collectively, </w:t>
      </w:r>
      <w:proofErr w:type="spellStart"/>
      <w:r>
        <w:t>Heverts</w:t>
      </w:r>
      <w:proofErr w:type="spellEnd"/>
      <w:r>
        <w:t xml:space="preserve">). </w:t>
      </w:r>
      <w:r w:rsidRPr="00014542" w:rsidR="00014542">
        <w:t xml:space="preserve">On </w:t>
      </w:r>
      <w:r w:rsidR="00DE36C5">
        <w:t>November </w:t>
      </w:r>
      <w:r w:rsidRPr="00014542" w:rsidR="00014542">
        <w:t xml:space="preserve">29, 2021, PG&amp;E filed a response to the Motion for Party Status by the </w:t>
      </w:r>
      <w:proofErr w:type="spellStart"/>
      <w:r w:rsidRPr="00014542" w:rsidR="00014542">
        <w:t>Heverts</w:t>
      </w:r>
      <w:proofErr w:type="spellEnd"/>
      <w:r w:rsidRPr="00014542" w:rsidR="00014542">
        <w:t xml:space="preserve">. On </w:t>
      </w:r>
      <w:r w:rsidR="00325E91">
        <w:t>December </w:t>
      </w:r>
      <w:r w:rsidRPr="00014542" w:rsidR="00014542">
        <w:t xml:space="preserve">17, 2021, a ruling granted the </w:t>
      </w:r>
      <w:proofErr w:type="spellStart"/>
      <w:r w:rsidRPr="00014542" w:rsidR="00014542">
        <w:t>Heverts</w:t>
      </w:r>
      <w:proofErr w:type="spellEnd"/>
      <w:r w:rsidR="00041EA2">
        <w:t>’</w:t>
      </w:r>
      <w:r w:rsidRPr="00014542" w:rsidR="00014542">
        <w:t xml:space="preserve"> Motion for Party Status.</w:t>
      </w:r>
    </w:p>
    <w:p w:rsidR="00CB0F0C" w:rsidP="006D634C" w:rsidRDefault="000669A5" w14:paraId="3A28945F" w14:textId="15665C07">
      <w:pPr>
        <w:pStyle w:val="Standard"/>
      </w:pPr>
      <w:r>
        <w:t xml:space="preserve">On </w:t>
      </w:r>
      <w:r w:rsidR="00DE36C5">
        <w:t>November </w:t>
      </w:r>
      <w:r>
        <w:t>18, 2021, D.21</w:t>
      </w:r>
      <w:r w:rsidR="00DD766F">
        <w:t>-</w:t>
      </w:r>
      <w:r>
        <w:t>11</w:t>
      </w:r>
      <w:r w:rsidR="00DD766F">
        <w:t>-</w:t>
      </w:r>
      <w:r>
        <w:t>031</w:t>
      </w:r>
      <w:r w:rsidR="00DD766F">
        <w:t xml:space="preserve"> was </w:t>
      </w:r>
      <w:r>
        <w:t>issued an</w:t>
      </w:r>
      <w:r w:rsidR="00CB0F0C">
        <w:t>d</w:t>
      </w:r>
      <w:r>
        <w:t xml:space="preserve"> extended the </w:t>
      </w:r>
      <w:r w:rsidR="002B1F19">
        <w:t xml:space="preserve">proceeding </w:t>
      </w:r>
      <w:r>
        <w:t xml:space="preserve">deadline to </w:t>
      </w:r>
      <w:r w:rsidR="00325E91">
        <w:t>December </w:t>
      </w:r>
      <w:r>
        <w:t xml:space="preserve">1, 2022. </w:t>
      </w:r>
    </w:p>
    <w:p w:rsidR="000866B7" w:rsidP="006D634C" w:rsidRDefault="000866B7" w14:paraId="59290218" w14:textId="7C695266">
      <w:pPr>
        <w:pStyle w:val="Standard"/>
      </w:pPr>
      <w:r>
        <w:t xml:space="preserve">On </w:t>
      </w:r>
      <w:r w:rsidR="00DE36C5">
        <w:t>November </w:t>
      </w:r>
      <w:r>
        <w:t>18, 2021</w:t>
      </w:r>
      <w:r w:rsidR="006340B5">
        <w:t xml:space="preserve">, the Recirculated DEIR </w:t>
      </w:r>
      <w:r w:rsidRPr="00107A7F" w:rsidR="000F32FE">
        <w:t xml:space="preserve">(RDEIR) </w:t>
      </w:r>
      <w:r w:rsidR="006340B5">
        <w:t>was published.</w:t>
      </w:r>
    </w:p>
    <w:p w:rsidR="000669A5" w:rsidP="000669A5" w:rsidRDefault="000669A5" w14:paraId="62EEFEBF" w14:textId="04902B2B">
      <w:pPr>
        <w:pStyle w:val="Standard"/>
      </w:pPr>
      <w:r>
        <w:t xml:space="preserve">On </w:t>
      </w:r>
      <w:r w:rsidR="00325E91">
        <w:t>June </w:t>
      </w:r>
      <w:r>
        <w:t xml:space="preserve">2, 2022, </w:t>
      </w:r>
      <w:r w:rsidR="00B30C5F">
        <w:t>the California Independent System Operator Corporation (</w:t>
      </w:r>
      <w:r>
        <w:t>CAISO</w:t>
      </w:r>
      <w:r w:rsidR="00B30C5F">
        <w:t>)</w:t>
      </w:r>
      <w:r>
        <w:t xml:space="preserve"> filed a Motion for Party Status. On </w:t>
      </w:r>
      <w:r w:rsidR="00325E91">
        <w:t>June </w:t>
      </w:r>
      <w:r>
        <w:t xml:space="preserve">10, 2022, a ruling granted CAISO’s Motion for Party Status. </w:t>
      </w:r>
    </w:p>
    <w:p w:rsidR="000669A5" w:rsidP="000669A5" w:rsidRDefault="000669A5" w14:paraId="05AFDCFA" w14:textId="45D61811">
      <w:pPr>
        <w:pStyle w:val="Standard"/>
      </w:pPr>
      <w:r>
        <w:t xml:space="preserve">On </w:t>
      </w:r>
      <w:r w:rsidR="00DE36C5">
        <w:t>November </w:t>
      </w:r>
      <w:r>
        <w:t>17, 2022, D.21</w:t>
      </w:r>
      <w:r w:rsidR="005304BD">
        <w:t>-</w:t>
      </w:r>
      <w:r>
        <w:t>11</w:t>
      </w:r>
      <w:r w:rsidR="005304BD">
        <w:t>-</w:t>
      </w:r>
      <w:r>
        <w:t>031</w:t>
      </w:r>
      <w:r w:rsidR="005304BD">
        <w:t xml:space="preserve"> was issued and</w:t>
      </w:r>
      <w:r>
        <w:t xml:space="preserve"> extended the statutory deadline for this proceeding to </w:t>
      </w:r>
      <w:r w:rsidR="00325E91">
        <w:t>December </w:t>
      </w:r>
      <w:r>
        <w:t xml:space="preserve">31, 2023. </w:t>
      </w:r>
    </w:p>
    <w:p w:rsidR="000669A5" w:rsidP="000669A5" w:rsidRDefault="00A44D96" w14:paraId="2DC6EA44" w14:textId="75BD2677">
      <w:pPr>
        <w:pStyle w:val="Standard"/>
      </w:pPr>
      <w:r>
        <w:t xml:space="preserve">On </w:t>
      </w:r>
      <w:r w:rsidR="00DE36C5">
        <w:t>April </w:t>
      </w:r>
      <w:r>
        <w:t>3, 2023</w:t>
      </w:r>
      <w:r w:rsidR="00B75C6F">
        <w:t>,</w:t>
      </w:r>
      <w:r>
        <w:t xml:space="preserve"> the Final Environmental Impact Report (</w:t>
      </w:r>
      <w:r w:rsidR="002A46AA">
        <w:t>F</w:t>
      </w:r>
      <w:r w:rsidR="000669A5">
        <w:t>EIR</w:t>
      </w:r>
      <w:r>
        <w:t xml:space="preserve">) was released. The </w:t>
      </w:r>
      <w:r w:rsidR="002A46AA">
        <w:t>F</w:t>
      </w:r>
      <w:r w:rsidR="000669A5">
        <w:t>EIR</w:t>
      </w:r>
      <w:r>
        <w:t xml:space="preserve"> determined that </w:t>
      </w:r>
      <w:r w:rsidR="00262F48">
        <w:t xml:space="preserve">Alternative Combination 2 is </w:t>
      </w:r>
      <w:r>
        <w:t xml:space="preserve">the environmentally superior alternative </w:t>
      </w:r>
      <w:r w:rsidR="00D04170">
        <w:t>for the Proposed Project</w:t>
      </w:r>
      <w:r w:rsidR="000669A5">
        <w:t>.</w:t>
      </w:r>
      <w:r w:rsidR="00DA4743">
        <w:t xml:space="preserve"> </w:t>
      </w:r>
    </w:p>
    <w:p w:rsidR="000669A5" w:rsidP="000669A5" w:rsidRDefault="000669A5" w14:paraId="46BD1266" w14:textId="754C9B70">
      <w:pPr>
        <w:pStyle w:val="Standard"/>
      </w:pPr>
      <w:r>
        <w:t xml:space="preserve">On </w:t>
      </w:r>
      <w:r w:rsidR="00DE36C5">
        <w:t>April </w:t>
      </w:r>
      <w:r>
        <w:t xml:space="preserve">7, 2023, a ruling </w:t>
      </w:r>
      <w:r w:rsidR="00612C48">
        <w:t xml:space="preserve">was issued and </w:t>
      </w:r>
      <w:r>
        <w:t>set the Prehearing Conference (PHC).</w:t>
      </w:r>
    </w:p>
    <w:p w:rsidR="000669A5" w:rsidP="000669A5" w:rsidRDefault="000669A5" w14:paraId="5E77BA01" w14:textId="2FDBB837">
      <w:pPr>
        <w:pStyle w:val="Standard"/>
      </w:pPr>
      <w:r>
        <w:lastRenderedPageBreak/>
        <w:t xml:space="preserve">On </w:t>
      </w:r>
      <w:r w:rsidR="00325E91">
        <w:t>May </w:t>
      </w:r>
      <w:r>
        <w:t xml:space="preserve">4, 2023, a Joint PHC Statement was filed by Applicants and the other parties in this proceeding. </w:t>
      </w:r>
    </w:p>
    <w:p w:rsidR="000669A5" w:rsidP="000669A5" w:rsidRDefault="000669A5" w14:paraId="3227A83B" w14:textId="24F149DC">
      <w:pPr>
        <w:pStyle w:val="Standard"/>
      </w:pPr>
      <w:r>
        <w:t xml:space="preserve">On </w:t>
      </w:r>
      <w:r w:rsidR="00325E91">
        <w:t>May </w:t>
      </w:r>
      <w:r>
        <w:t xml:space="preserve">11, 2023, the PHC was held. </w:t>
      </w:r>
    </w:p>
    <w:p w:rsidR="000669A5" w:rsidP="000669A5" w:rsidRDefault="000669A5" w14:paraId="366DC08B" w14:textId="214DC9BD">
      <w:pPr>
        <w:pStyle w:val="Standard"/>
      </w:pPr>
      <w:r>
        <w:t xml:space="preserve">On </w:t>
      </w:r>
      <w:r w:rsidR="00C50262">
        <w:t>August 1</w:t>
      </w:r>
      <w:r>
        <w:t xml:space="preserve">, 2023, the </w:t>
      </w:r>
      <w:r w:rsidR="00620692">
        <w:t xml:space="preserve">assigned Commissioner issued </w:t>
      </w:r>
      <w:r w:rsidR="00C50262">
        <w:t>the</w:t>
      </w:r>
      <w:r w:rsidR="00620692">
        <w:t xml:space="preserve"> </w:t>
      </w:r>
      <w:r>
        <w:t>Scoping Memo and Ruling</w:t>
      </w:r>
      <w:r w:rsidR="007345D5">
        <w:t xml:space="preserve">, </w:t>
      </w:r>
      <w:r w:rsidR="00C50262">
        <w:t>which</w:t>
      </w:r>
      <w:r w:rsidR="007345D5">
        <w:t xml:space="preserve"> identified the scoped issues, set the proceeding schedule and extended the statutory deadline to </w:t>
      </w:r>
      <w:r w:rsidR="00DE36C5">
        <w:t>April </w:t>
      </w:r>
      <w:r w:rsidR="007345D5">
        <w:t>1, 2024</w:t>
      </w:r>
      <w:r>
        <w:t xml:space="preserve">. </w:t>
      </w:r>
    </w:p>
    <w:p w:rsidR="000669A5" w:rsidP="000669A5" w:rsidRDefault="000669A5" w14:paraId="2B80578F" w14:textId="728A5C95">
      <w:pPr>
        <w:pStyle w:val="Standard"/>
      </w:pPr>
      <w:r>
        <w:t xml:space="preserve">On </w:t>
      </w:r>
      <w:r w:rsidR="00325E91">
        <w:t>August </w:t>
      </w:r>
      <w:r>
        <w:t xml:space="preserve">24, 2023, CURE filed a Motion for Extension of Time to File Opening and </w:t>
      </w:r>
      <w:r w:rsidR="00105572">
        <w:t>Reply</w:t>
      </w:r>
      <w:r>
        <w:t xml:space="preserve"> Testimony. </w:t>
      </w:r>
    </w:p>
    <w:p w:rsidR="000669A5" w:rsidP="000669A5" w:rsidRDefault="000669A5" w14:paraId="5BACEDA2" w14:textId="05D34E8A">
      <w:pPr>
        <w:pStyle w:val="Standard"/>
      </w:pPr>
      <w:r w:rsidRPr="006A7A06">
        <w:t xml:space="preserve">On </w:t>
      </w:r>
      <w:r w:rsidR="00DE36C5">
        <w:t>September </w:t>
      </w:r>
      <w:r w:rsidRPr="006A7A06">
        <w:t xml:space="preserve">15, 2023, Applicants filed a Motion to Strike Testimony of CURE’s witnesses. On </w:t>
      </w:r>
      <w:r w:rsidR="00DE36C5">
        <w:t>September </w:t>
      </w:r>
      <w:r w:rsidRPr="006A7A06">
        <w:t>28, 2023, CURE filed a Response to the Motion to Strike Testimony.</w:t>
      </w:r>
    </w:p>
    <w:p w:rsidR="000669A5" w:rsidP="000669A5" w:rsidRDefault="000669A5" w14:paraId="142555B7" w14:textId="40411254">
      <w:pPr>
        <w:pStyle w:val="Standard"/>
      </w:pPr>
      <w:r>
        <w:t xml:space="preserve">On </w:t>
      </w:r>
      <w:r w:rsidR="00DE36C5">
        <w:t>October </w:t>
      </w:r>
      <w:r>
        <w:t xml:space="preserve">6, 2023, Applicants filed their Opening Brief. </w:t>
      </w:r>
    </w:p>
    <w:p w:rsidR="000669A5" w:rsidP="000669A5" w:rsidRDefault="000669A5" w14:paraId="77561C9A" w14:textId="16A7A080">
      <w:pPr>
        <w:pStyle w:val="Standard"/>
      </w:pPr>
      <w:r>
        <w:t xml:space="preserve">On </w:t>
      </w:r>
      <w:r w:rsidR="00DE36C5">
        <w:t>October </w:t>
      </w:r>
      <w:r>
        <w:t xml:space="preserve">6, 2023, Sun Communities, Cava Robles, </w:t>
      </w:r>
      <w:proofErr w:type="spellStart"/>
      <w:r>
        <w:t>Heverts</w:t>
      </w:r>
      <w:proofErr w:type="spellEnd"/>
      <w:r>
        <w:t>, Riboli</w:t>
      </w:r>
      <w:r w:rsidR="00943EE4">
        <w:t>,</w:t>
      </w:r>
      <w:r>
        <w:t xml:space="preserve">  San Antonio</w:t>
      </w:r>
      <w:r w:rsidR="00943EE4">
        <w:t>, and City</w:t>
      </w:r>
      <w:r>
        <w:t xml:space="preserve"> filed a Joint Brief. </w:t>
      </w:r>
    </w:p>
    <w:p w:rsidR="000669A5" w:rsidP="000669A5" w:rsidRDefault="000669A5" w14:paraId="3D9438F4" w14:textId="1FDD77F9">
      <w:pPr>
        <w:pStyle w:val="Standard"/>
      </w:pPr>
      <w:r>
        <w:t xml:space="preserve">On </w:t>
      </w:r>
      <w:r w:rsidR="00DE36C5">
        <w:t>October </w:t>
      </w:r>
      <w:r>
        <w:t xml:space="preserve">9, 2023, a ruling </w:t>
      </w:r>
      <w:r w:rsidR="001D2380">
        <w:t xml:space="preserve">was issued and </w:t>
      </w:r>
      <w:r>
        <w:t xml:space="preserve">permitted CURE to late file </w:t>
      </w:r>
      <w:r w:rsidR="001D2380">
        <w:t>its</w:t>
      </w:r>
      <w:r>
        <w:t xml:space="preserve"> Opening Brief. </w:t>
      </w:r>
    </w:p>
    <w:p w:rsidR="008E6A95" w:rsidP="000669A5" w:rsidRDefault="008E6A95" w14:paraId="14E29876" w14:textId="388DDCDC">
      <w:pPr>
        <w:pStyle w:val="Standard"/>
      </w:pPr>
      <w:r w:rsidRPr="008E6A95">
        <w:t xml:space="preserve">On </w:t>
      </w:r>
      <w:r w:rsidR="00DE36C5">
        <w:t>October </w:t>
      </w:r>
      <w:r>
        <w:t>9</w:t>
      </w:r>
      <w:r w:rsidRPr="008E6A95">
        <w:t xml:space="preserve">, 2023, </w:t>
      </w:r>
      <w:r>
        <w:t xml:space="preserve">CURE </w:t>
      </w:r>
      <w:r w:rsidRPr="008E6A95">
        <w:t xml:space="preserve">filed </w:t>
      </w:r>
      <w:r>
        <w:t>its</w:t>
      </w:r>
      <w:r w:rsidRPr="008E6A95">
        <w:t xml:space="preserve"> Opening Brief.</w:t>
      </w:r>
    </w:p>
    <w:p w:rsidR="000669A5" w:rsidP="000669A5" w:rsidRDefault="000669A5" w14:paraId="7A59CFF7" w14:textId="0ABA6085">
      <w:pPr>
        <w:pStyle w:val="Standard"/>
      </w:pPr>
      <w:r>
        <w:t xml:space="preserve">On </w:t>
      </w:r>
      <w:r w:rsidR="00DE36C5">
        <w:t>October </w:t>
      </w:r>
      <w:r>
        <w:t xml:space="preserve">20, 2023, Applicants and CURE filed Reply Briefs. </w:t>
      </w:r>
    </w:p>
    <w:p w:rsidR="000669A5" w:rsidP="000669A5" w:rsidRDefault="000669A5" w14:paraId="628C2313" w14:textId="754341D8">
      <w:pPr>
        <w:pStyle w:val="Standard"/>
      </w:pPr>
      <w:r>
        <w:t xml:space="preserve">On </w:t>
      </w:r>
      <w:r w:rsidR="00DE36C5">
        <w:t>October </w:t>
      </w:r>
      <w:r>
        <w:t xml:space="preserve">26, 2023, a ruling </w:t>
      </w:r>
      <w:r w:rsidR="00754371">
        <w:t xml:space="preserve">was issued </w:t>
      </w:r>
      <w:r w:rsidR="00D35BF9">
        <w:t xml:space="preserve">and </w:t>
      </w:r>
      <w:r>
        <w:t xml:space="preserve">denied James Pahler’s Motion for Party Status. </w:t>
      </w:r>
    </w:p>
    <w:p w:rsidR="00B82BEA" w:rsidP="00754371" w:rsidRDefault="000669A5" w14:paraId="22866407" w14:textId="075ABCF4">
      <w:pPr>
        <w:pStyle w:val="Standard"/>
      </w:pPr>
      <w:r>
        <w:t xml:space="preserve">On </w:t>
      </w:r>
      <w:r w:rsidR="00DE36C5">
        <w:t>November </w:t>
      </w:r>
      <w:r>
        <w:t xml:space="preserve">8, 2023, a ruling </w:t>
      </w:r>
      <w:r w:rsidR="00D35BF9">
        <w:t xml:space="preserve">was issued and </w:t>
      </w:r>
      <w:r>
        <w:t xml:space="preserve">denied the Motion to Stike Testimony of CURE’s witnesses. </w:t>
      </w:r>
    </w:p>
    <w:p w:rsidR="008C260B" w:rsidP="000669A5" w:rsidRDefault="000669A5" w14:paraId="441F1B57" w14:textId="3C70872F">
      <w:pPr>
        <w:pStyle w:val="Standard"/>
      </w:pPr>
      <w:r w:rsidRPr="006A7A06">
        <w:t xml:space="preserve">On </w:t>
      </w:r>
      <w:r w:rsidR="00325E91">
        <w:t>December </w:t>
      </w:r>
      <w:r w:rsidRPr="006A7A06">
        <w:t xml:space="preserve">20, 2023, </w:t>
      </w:r>
      <w:r w:rsidRPr="006A7A06" w:rsidR="0021497C">
        <w:t xml:space="preserve">Applicants filed a Joint </w:t>
      </w:r>
      <w:r w:rsidRPr="006A7A06">
        <w:t>Motion to Admit and Receive Evidence into the Evidentiary Record (Motion to Admit Evidence).</w:t>
      </w:r>
      <w:r>
        <w:t xml:space="preserve"> </w:t>
      </w:r>
    </w:p>
    <w:p w:rsidR="00F86249" w:rsidP="00F86249" w:rsidRDefault="00A22361" w14:paraId="64272A8E" w14:textId="252FE23A">
      <w:pPr>
        <w:pStyle w:val="Standard"/>
      </w:pPr>
      <w:r w:rsidRPr="00450FEB">
        <w:t>O</w:t>
      </w:r>
      <w:r w:rsidRPr="00450FEB" w:rsidR="00450FEB">
        <w:t>n</w:t>
      </w:r>
      <w:r w:rsidRPr="00450FEB">
        <w:t xml:space="preserve"> </w:t>
      </w:r>
      <w:r w:rsidR="00325E91">
        <w:t>February </w:t>
      </w:r>
      <w:r w:rsidRPr="00450FEB">
        <w:t xml:space="preserve">29, 2024, a ruling was issued to resolve </w:t>
      </w:r>
      <w:r w:rsidRPr="00450FEB" w:rsidR="00C3100D">
        <w:t xml:space="preserve">the following pending motions, as follows:  </w:t>
      </w:r>
      <w:r w:rsidRPr="00450FEB" w:rsidR="00B82BE6">
        <w:t>(1)</w:t>
      </w:r>
      <w:r w:rsidRPr="00450FEB">
        <w:t xml:space="preserve"> </w:t>
      </w:r>
      <w:r w:rsidRPr="00450FEB" w:rsidR="00B82BE6">
        <w:t>Riboli’s and San Antonio</w:t>
      </w:r>
      <w:r w:rsidRPr="00450FEB" w:rsidR="00D27B3D">
        <w:t xml:space="preserve">’s </w:t>
      </w:r>
      <w:r w:rsidR="00325E91">
        <w:t>May </w:t>
      </w:r>
      <w:r w:rsidRPr="00450FEB" w:rsidR="00D27B3D">
        <w:t xml:space="preserve">19, 2017 Motion for </w:t>
      </w:r>
      <w:r w:rsidRPr="00450FEB" w:rsidR="00D27B3D">
        <w:lastRenderedPageBreak/>
        <w:t xml:space="preserve">Party Status </w:t>
      </w:r>
      <w:r w:rsidRPr="00450FEB" w:rsidR="00045D84">
        <w:t>was granted;</w:t>
      </w:r>
      <w:r w:rsidRPr="00450FEB">
        <w:t xml:space="preserve"> </w:t>
      </w:r>
      <w:r w:rsidRPr="00450FEB" w:rsidR="00045D84">
        <w:t xml:space="preserve">(2) Applicants’ </w:t>
      </w:r>
      <w:r w:rsidR="00325E91">
        <w:t>May </w:t>
      </w:r>
      <w:r w:rsidRPr="00450FEB" w:rsidR="00C3100D">
        <w:t xml:space="preserve">18, 2017 </w:t>
      </w:r>
      <w:r w:rsidRPr="00450FEB">
        <w:t>Joint Motion for Leave to Submit Confidential Materials Under Seal</w:t>
      </w:r>
      <w:r w:rsidRPr="00450FEB" w:rsidR="00B82BE6">
        <w:t xml:space="preserve"> was granted; </w:t>
      </w:r>
      <w:r w:rsidRPr="00450FEB" w:rsidR="00045D84">
        <w:t xml:space="preserve">and </w:t>
      </w:r>
      <w:r w:rsidRPr="00450FEB" w:rsidR="005F0461">
        <w:t>(3) Applican</w:t>
      </w:r>
      <w:r w:rsidRPr="00450FEB" w:rsidR="006A7A06">
        <w:t xml:space="preserve">ts’ </w:t>
      </w:r>
      <w:r w:rsidR="00325E91">
        <w:t>December </w:t>
      </w:r>
      <w:r w:rsidRPr="00450FEB" w:rsidR="005F0461">
        <w:t>20, 2023 Motion to Admit Evidence</w:t>
      </w:r>
      <w:r w:rsidRPr="00450FEB" w:rsidR="006A7A06">
        <w:t xml:space="preserve"> was granted, in part, and denied, in part.</w:t>
      </w:r>
    </w:p>
    <w:p w:rsidRPr="00B07D02" w:rsidR="00F86249" w:rsidP="00B07D02" w:rsidRDefault="00F86249" w14:paraId="0BAA6AF4" w14:textId="40CE86FB">
      <w:pPr>
        <w:pStyle w:val="Heading2"/>
      </w:pPr>
      <w:bookmarkStart w:name="_Toc164685395" w:id="12"/>
      <w:r w:rsidRPr="00B07D02">
        <w:t>Proposed Project</w:t>
      </w:r>
      <w:r w:rsidR="00C03DA4">
        <w:t xml:space="preserve"> (As Proposed)</w:t>
      </w:r>
      <w:bookmarkEnd w:id="12"/>
    </w:p>
    <w:p w:rsidRPr="00BF759D" w:rsidR="00F86249" w:rsidP="008B1880" w:rsidRDefault="00F86249" w14:paraId="23D5D1F5" w14:textId="1B6902F9">
      <w:pPr>
        <w:pStyle w:val="Standard"/>
        <w:rPr>
          <w:position w:val="8"/>
          <w:sz w:val="14"/>
        </w:rPr>
      </w:pPr>
      <w:r w:rsidRPr="00B07D02">
        <w:t>As proposed, the</w:t>
      </w:r>
      <w:r w:rsidRPr="00BF759D">
        <w:t xml:space="preserve"> Proposed </w:t>
      </w:r>
      <w:r w:rsidRPr="00B07D02">
        <w:t>Project</w:t>
      </w:r>
      <w:r w:rsidRPr="00BF759D">
        <w:t xml:space="preserve"> </w:t>
      </w:r>
      <w:r w:rsidRPr="00B07D02">
        <w:t>is</w:t>
      </w:r>
      <w:r w:rsidRPr="00BF759D">
        <w:t xml:space="preserve"> </w:t>
      </w:r>
      <w:r w:rsidRPr="00B07D02">
        <w:t>a</w:t>
      </w:r>
      <w:r w:rsidRPr="00BF759D">
        <w:t xml:space="preserve"> </w:t>
      </w:r>
      <w:r w:rsidRPr="00B07D02">
        <w:t>reliability-driven</w:t>
      </w:r>
      <w:r w:rsidRPr="00BF759D">
        <w:t xml:space="preserve"> </w:t>
      </w:r>
      <w:r w:rsidRPr="00B07D02">
        <w:t>transmission</w:t>
      </w:r>
      <w:r w:rsidRPr="00BF759D">
        <w:t xml:space="preserve"> </w:t>
      </w:r>
      <w:r w:rsidRPr="00B07D02">
        <w:t>solution</w:t>
      </w:r>
      <w:r w:rsidRPr="00BF759D">
        <w:t xml:space="preserve"> </w:t>
      </w:r>
      <w:r w:rsidRPr="00B07D02">
        <w:t>in</w:t>
      </w:r>
      <w:r w:rsidRPr="00BF759D">
        <w:t xml:space="preserve"> </w:t>
      </w:r>
      <w:r w:rsidRPr="00B07D02">
        <w:t>the</w:t>
      </w:r>
      <w:r w:rsidRPr="00BF759D">
        <w:t xml:space="preserve"> </w:t>
      </w:r>
      <w:r w:rsidRPr="00B07D02">
        <w:t>Los</w:t>
      </w:r>
      <w:r w:rsidRPr="00BF759D">
        <w:t xml:space="preserve"> </w:t>
      </w:r>
      <w:r w:rsidRPr="00B07D02">
        <w:t>Padres</w:t>
      </w:r>
      <w:r w:rsidRPr="00BF759D">
        <w:t xml:space="preserve"> </w:t>
      </w:r>
      <w:r w:rsidRPr="00B07D02">
        <w:t xml:space="preserve">division of PG&amp;E’s service territory that was identified by the CAISO and approved in its 2013-2014 Transmission Plan “to provide </w:t>
      </w:r>
      <w:r w:rsidR="00325E91">
        <w:t>Paso </w:t>
      </w:r>
      <w:r w:rsidRPr="00B07D02">
        <w:t>Robles Substation with more reinforced 70</w:t>
      </w:r>
      <w:r w:rsidR="00DC5A1D">
        <w:t> kV</w:t>
      </w:r>
      <w:r w:rsidRPr="00B07D02">
        <w:t xml:space="preserve"> sources from Templeton and Estrella.”</w:t>
      </w:r>
      <w:r w:rsidRPr="00B07D02">
        <w:rPr>
          <w:rStyle w:val="FootnoteReference"/>
        </w:rPr>
        <w:footnoteReference w:id="5"/>
      </w:r>
      <w:r w:rsidRPr="00F86249">
        <w:t xml:space="preserve"> </w:t>
      </w:r>
      <w:r w:rsidRPr="00B07D02">
        <w:t>It includes 230</w:t>
      </w:r>
      <w:r w:rsidR="00DC5A1D">
        <w:t> kV</w:t>
      </w:r>
      <w:r w:rsidRPr="00B07D02">
        <w:t xml:space="preserve"> and 70</w:t>
      </w:r>
      <w:r w:rsidR="00DC5A1D">
        <w:t> kV</w:t>
      </w:r>
      <w:r w:rsidRPr="00B07D02">
        <w:t xml:space="preserve"> components that together comprise the CAISO-approved reliability-driven upgrade. The</w:t>
      </w:r>
      <w:r w:rsidRPr="00BF759D">
        <w:t xml:space="preserve"> </w:t>
      </w:r>
      <w:r w:rsidRPr="00B07D02">
        <w:t>CAISO identified certain components of the Proposed Project as being eligible for competiti</w:t>
      </w:r>
      <w:r w:rsidR="00C50262">
        <w:t>ve solicitation</w:t>
      </w:r>
      <w:r w:rsidRPr="00B07D02">
        <w:t xml:space="preserve"> pursuant to the CAISO’s tariff and Federal Energy Regulatory Commission (FERC) Order</w:t>
      </w:r>
      <w:r w:rsidRPr="00BF759D">
        <w:t xml:space="preserve"> </w:t>
      </w:r>
      <w:r w:rsidRPr="00B07D02">
        <w:t>No.</w:t>
      </w:r>
      <w:r w:rsidRPr="00BF759D">
        <w:t xml:space="preserve"> </w:t>
      </w:r>
      <w:r w:rsidRPr="00B07D02">
        <w:t>1000,</w:t>
      </w:r>
      <w:r w:rsidRPr="00B07D02">
        <w:rPr>
          <w:rStyle w:val="FootnoteReference"/>
        </w:rPr>
        <w:footnoteReference w:id="6"/>
      </w:r>
      <w:r w:rsidRPr="00B07D02">
        <w:t xml:space="preserve"> which components include the new 230</w:t>
      </w:r>
      <w:r w:rsidR="00DC5A1D">
        <w:t> kV</w:t>
      </w:r>
      <w:r w:rsidRPr="00B07D02">
        <w:t xml:space="preserve"> </w:t>
      </w:r>
      <w:proofErr w:type="spellStart"/>
      <w:r w:rsidRPr="00B07D02">
        <w:t>buswork</w:t>
      </w:r>
      <w:proofErr w:type="spellEnd"/>
      <w:r w:rsidRPr="00B07D02">
        <w:t xml:space="preserve"> and termination equipment and</w:t>
      </w:r>
      <w:r w:rsidRPr="00BF759D">
        <w:t xml:space="preserve"> </w:t>
      </w:r>
      <w:r w:rsidRPr="00B07D02">
        <w:t>a new 230/70</w:t>
      </w:r>
      <w:r w:rsidR="00DC5A1D">
        <w:t> kV</w:t>
      </w:r>
      <w:r w:rsidRPr="00B07D02">
        <w:t xml:space="preserve"> transformer bank.</w:t>
      </w:r>
      <w:r w:rsidRPr="00B07D02">
        <w:rPr>
          <w:rStyle w:val="FootnoteReference"/>
        </w:rPr>
        <w:footnoteReference w:id="7"/>
      </w:r>
      <w:r w:rsidRPr="00B07D02">
        <w:t xml:space="preserve"> Following a </w:t>
      </w:r>
      <w:r w:rsidRPr="00B07D02">
        <w:lastRenderedPageBreak/>
        <w:t>competitive solicitation process, the CAISO awarded those components to Horizon West as the approved project sponsor.</w:t>
      </w:r>
      <w:r w:rsidRPr="00B07D02">
        <w:rPr>
          <w:rStyle w:val="FootnoteReference"/>
        </w:rPr>
        <w:footnoteReference w:id="8"/>
      </w:r>
      <w:r w:rsidRPr="00BF759D">
        <w:rPr>
          <w:position w:val="8"/>
          <w:sz w:val="14"/>
        </w:rPr>
        <w:t xml:space="preserve"> </w:t>
      </w:r>
    </w:p>
    <w:p w:rsidRPr="00F86249" w:rsidR="00F86249" w:rsidP="008B1880" w:rsidRDefault="00F86249" w14:paraId="5CE46A23" w14:textId="7D5F63CF">
      <w:pPr>
        <w:pStyle w:val="Standard"/>
      </w:pPr>
      <w:r w:rsidRPr="00B07D02">
        <w:t xml:space="preserve">The Proposed Project also includes </w:t>
      </w:r>
      <w:r w:rsidR="00CE356F">
        <w:t>several</w:t>
      </w:r>
      <w:r w:rsidRPr="00B07D02">
        <w:t xml:space="preserve"> components that were not eligible for competitive solicitation under the CAISO Tariff and that were awarded to PG&amp;E (as the incumbent utility).</w:t>
      </w:r>
      <w:r w:rsidRPr="00BF759D">
        <w:t xml:space="preserve"> </w:t>
      </w:r>
      <w:r w:rsidRPr="00B07D02">
        <w:t>These PG&amp;E components are the required 70</w:t>
      </w:r>
      <w:r w:rsidR="00DC5A1D">
        <w:t> kV</w:t>
      </w:r>
      <w:r w:rsidRPr="00B07D02">
        <w:t xml:space="preserve"> </w:t>
      </w:r>
      <w:proofErr w:type="spellStart"/>
      <w:r w:rsidRPr="00B07D02">
        <w:t>buswork</w:t>
      </w:r>
      <w:proofErr w:type="spellEnd"/>
      <w:r w:rsidRPr="00B07D02">
        <w:t xml:space="preserve"> and termination equipment, new 230</w:t>
      </w:r>
      <w:r w:rsidR="00DC5A1D">
        <w:t> kV</w:t>
      </w:r>
      <w:r w:rsidRPr="00B07D02">
        <w:t xml:space="preserve"> interconnection facilities needed to interconnect Horizon West’s new 230</w:t>
      </w:r>
      <w:r w:rsidR="00DC5A1D">
        <w:t> kV</w:t>
      </w:r>
      <w:r w:rsidRPr="00BF759D">
        <w:t xml:space="preserve"> </w:t>
      </w:r>
      <w:r w:rsidRPr="00B07D02">
        <w:t>substation</w:t>
      </w:r>
      <w:r w:rsidRPr="00BF759D">
        <w:t xml:space="preserve"> </w:t>
      </w:r>
      <w:r w:rsidRPr="00B07D02">
        <w:t>to</w:t>
      </w:r>
      <w:r w:rsidRPr="00BF759D">
        <w:t xml:space="preserve"> </w:t>
      </w:r>
      <w:r w:rsidRPr="00B07D02">
        <w:t>existing</w:t>
      </w:r>
      <w:r w:rsidRPr="00BF759D">
        <w:t xml:space="preserve"> </w:t>
      </w:r>
      <w:r w:rsidRPr="00B07D02">
        <w:t>PG&amp;E</w:t>
      </w:r>
      <w:r w:rsidRPr="00BF759D">
        <w:t xml:space="preserve"> </w:t>
      </w:r>
      <w:r w:rsidRPr="00B07D02">
        <w:t>230</w:t>
      </w:r>
      <w:r w:rsidR="00DC5A1D">
        <w:t> kV</w:t>
      </w:r>
      <w:r w:rsidRPr="00BF759D">
        <w:t xml:space="preserve"> </w:t>
      </w:r>
      <w:r w:rsidRPr="00B07D02">
        <w:t>facilities,</w:t>
      </w:r>
      <w:r w:rsidRPr="00BF759D">
        <w:t xml:space="preserve"> </w:t>
      </w:r>
      <w:r w:rsidRPr="00B07D02">
        <w:t>a</w:t>
      </w:r>
      <w:r w:rsidRPr="00BF759D">
        <w:t xml:space="preserve"> </w:t>
      </w:r>
      <w:r w:rsidRPr="00B07D02">
        <w:t>new</w:t>
      </w:r>
      <w:r w:rsidRPr="00BF759D">
        <w:t xml:space="preserve"> </w:t>
      </w:r>
      <w:r w:rsidRPr="00B07D02">
        <w:t>overhead</w:t>
      </w:r>
      <w:r w:rsidRPr="00BF759D">
        <w:t xml:space="preserve"> </w:t>
      </w:r>
      <w:r w:rsidRPr="00B07D02">
        <w:t>70</w:t>
      </w:r>
      <w:r w:rsidR="00DC5A1D">
        <w:t> kV</w:t>
      </w:r>
      <w:r w:rsidRPr="00BF759D">
        <w:t xml:space="preserve"> </w:t>
      </w:r>
      <w:r w:rsidRPr="00B07D02">
        <w:t>double-</w:t>
      </w:r>
      <w:r w:rsidRPr="00BF759D">
        <w:t xml:space="preserve">circuit </w:t>
      </w:r>
      <w:r w:rsidRPr="00B07D02">
        <w:t>power line, and reconductoring of a segment of existing PG&amp;E 70</w:t>
      </w:r>
      <w:r w:rsidR="00DC5A1D">
        <w:t> kV</w:t>
      </w:r>
      <w:r w:rsidRPr="00B07D02">
        <w:t xml:space="preserve"> power lines.</w:t>
      </w:r>
      <w:r w:rsidRPr="00B07D02">
        <w:rPr>
          <w:rStyle w:val="FootnoteReference"/>
        </w:rPr>
        <w:footnoteReference w:id="9"/>
      </w:r>
      <w:r w:rsidRPr="00BF759D">
        <w:rPr>
          <w:position w:val="8"/>
          <w:sz w:val="14"/>
        </w:rPr>
        <w:t xml:space="preserve"> </w:t>
      </w:r>
      <w:r w:rsidRPr="00B07D02">
        <w:t xml:space="preserve">Because the Horizon West components and the PG&amp;E components together form a single, integrated transmission project, </w:t>
      </w:r>
      <w:bookmarkStart w:name="_Hlk161225641" w:id="13"/>
      <w:r w:rsidRPr="00D35D95" w:rsidR="00D35D95">
        <w:t xml:space="preserve">NextEra Energy Transmission West, LLC (now, </w:t>
      </w:r>
      <w:r w:rsidRPr="00B07D02">
        <w:t>Horizon West</w:t>
      </w:r>
      <w:r w:rsidR="00D35D95">
        <w:t>)</w:t>
      </w:r>
      <w:r w:rsidRPr="00B07D02">
        <w:t xml:space="preserve"> </w:t>
      </w:r>
      <w:bookmarkEnd w:id="13"/>
      <w:r w:rsidRPr="00B07D02">
        <w:t xml:space="preserve">and PG&amp;E filed the Application jointly to request a separate PTC for each Applicant’s </w:t>
      </w:r>
      <w:r w:rsidR="00D35D95">
        <w:t xml:space="preserve">respective </w:t>
      </w:r>
      <w:r w:rsidRPr="00B07D02">
        <w:t xml:space="preserve">components of the </w:t>
      </w:r>
      <w:r w:rsidRPr="00107A7F" w:rsidR="000F32FE">
        <w:t xml:space="preserve">Proposed Project (sometimes referred to as </w:t>
      </w:r>
      <w:r w:rsidRPr="00107A7F">
        <w:t>Estrella Project</w:t>
      </w:r>
      <w:r w:rsidRPr="00107A7F" w:rsidR="000F32FE">
        <w:t>)</w:t>
      </w:r>
      <w:r w:rsidRPr="00107A7F">
        <w:t>.</w:t>
      </w:r>
      <w:r w:rsidRPr="00107A7F">
        <w:rPr>
          <w:rStyle w:val="FootnoteReference"/>
        </w:rPr>
        <w:footnoteReference w:id="10"/>
      </w:r>
      <w:r w:rsidRPr="00107A7F">
        <w:t xml:space="preserve"> </w:t>
      </w:r>
    </w:p>
    <w:p w:rsidRPr="00B07D02" w:rsidR="00F86249" w:rsidP="008B1880" w:rsidRDefault="00F86249" w14:paraId="41C89B27" w14:textId="7BA09E48">
      <w:pPr>
        <w:pStyle w:val="Standard"/>
        <w:rPr>
          <w:sz w:val="14"/>
        </w:rPr>
      </w:pPr>
      <w:r w:rsidRPr="00B07D02">
        <w:t xml:space="preserve">In the Application, </w:t>
      </w:r>
      <w:r w:rsidRPr="008011D4" w:rsidR="008011D4">
        <w:t xml:space="preserve">NextEra Energy Transmission West, LLC (now,  </w:t>
      </w:r>
      <w:r w:rsidRPr="00B07D02">
        <w:t>Horizon West) requested a PTC for the new Estrella Substation, and specifically for the 230</w:t>
      </w:r>
      <w:r w:rsidR="00DC5A1D">
        <w:t> kV</w:t>
      </w:r>
      <w:r w:rsidRPr="00BF759D">
        <w:t xml:space="preserve"> </w:t>
      </w:r>
      <w:proofErr w:type="spellStart"/>
      <w:r w:rsidRPr="00B07D02">
        <w:t>buswork</w:t>
      </w:r>
      <w:proofErr w:type="spellEnd"/>
      <w:r w:rsidRPr="00B07D02">
        <w:t xml:space="preserve"> and termination equipment and a new</w:t>
      </w:r>
      <w:r w:rsidRPr="00BF759D">
        <w:t xml:space="preserve"> </w:t>
      </w:r>
      <w:r w:rsidRPr="00B07D02">
        <w:t>230/70</w:t>
      </w:r>
      <w:r w:rsidR="00DC5A1D">
        <w:t> kV</w:t>
      </w:r>
      <w:r w:rsidRPr="00BF759D">
        <w:t xml:space="preserve"> </w:t>
      </w:r>
      <w:r w:rsidRPr="00B07D02">
        <w:t>transformer</w:t>
      </w:r>
      <w:r w:rsidRPr="00BF759D">
        <w:t xml:space="preserve"> </w:t>
      </w:r>
      <w:r w:rsidRPr="00B07D02">
        <w:t>bank</w:t>
      </w:r>
      <w:r w:rsidRPr="00BF759D">
        <w:t xml:space="preserve"> </w:t>
      </w:r>
      <w:r w:rsidRPr="00B07D02">
        <w:t>at</w:t>
      </w:r>
      <w:r w:rsidRPr="00BF759D">
        <w:t xml:space="preserve"> </w:t>
      </w:r>
      <w:r w:rsidRPr="00B07D02">
        <w:t>the</w:t>
      </w:r>
      <w:r w:rsidRPr="00BF759D">
        <w:t xml:space="preserve"> </w:t>
      </w:r>
      <w:r w:rsidRPr="00B07D02">
        <w:t>Estrella</w:t>
      </w:r>
      <w:r w:rsidRPr="00BF759D">
        <w:t xml:space="preserve"> </w:t>
      </w:r>
      <w:r w:rsidRPr="00B07D02">
        <w:t>Substation.</w:t>
      </w:r>
      <w:r w:rsidRPr="00BF759D">
        <w:t xml:space="preserve">  </w:t>
      </w:r>
      <w:r w:rsidRPr="00B07D02">
        <w:t>PG&amp;E</w:t>
      </w:r>
      <w:r w:rsidRPr="00BF759D">
        <w:t xml:space="preserve"> </w:t>
      </w:r>
      <w:r w:rsidRPr="00B07D02">
        <w:t>requested</w:t>
      </w:r>
      <w:r w:rsidRPr="00BF759D">
        <w:t xml:space="preserve"> </w:t>
      </w:r>
      <w:r w:rsidRPr="00B07D02">
        <w:t>a</w:t>
      </w:r>
      <w:r w:rsidRPr="00BF759D">
        <w:t xml:space="preserve"> </w:t>
      </w:r>
      <w:r w:rsidRPr="00B07D02">
        <w:t>PTC</w:t>
      </w:r>
      <w:r w:rsidRPr="00BF759D">
        <w:t xml:space="preserve"> to: </w:t>
      </w:r>
      <w:r w:rsidRPr="00B07D02">
        <w:t>(</w:t>
      </w:r>
      <w:proofErr w:type="spellStart"/>
      <w:r w:rsidRPr="00B07D02">
        <w:t>i</w:t>
      </w:r>
      <w:proofErr w:type="spellEnd"/>
      <w:r w:rsidRPr="00B07D02">
        <w:t>)</w:t>
      </w:r>
      <w:r w:rsidRPr="00BF759D">
        <w:t xml:space="preserve"> </w:t>
      </w:r>
      <w:r w:rsidRPr="00B07D02">
        <w:t>construct its 70</w:t>
      </w:r>
      <w:r w:rsidR="00DC5A1D">
        <w:t> kV</w:t>
      </w:r>
      <w:r w:rsidRPr="00B07D02">
        <w:t xml:space="preserve"> portion of the proposed substation (which PG&amp;E has named the “Union Substation”); (ii)</w:t>
      </w:r>
      <w:r w:rsidRPr="00BF759D">
        <w:t xml:space="preserve"> </w:t>
      </w:r>
      <w:r w:rsidRPr="00B07D02">
        <w:t>interconnect the Morro Bay-California Flats 230</w:t>
      </w:r>
      <w:r w:rsidR="00DC5A1D">
        <w:t> kV</w:t>
      </w:r>
      <w:r w:rsidRPr="00B07D02">
        <w:t xml:space="preserve"> </w:t>
      </w:r>
      <w:r w:rsidRPr="00B07D02">
        <w:lastRenderedPageBreak/>
        <w:t>line to the Estrella Substation; (iii)</w:t>
      </w:r>
      <w:r w:rsidRPr="00BF759D">
        <w:t xml:space="preserve"> </w:t>
      </w:r>
      <w:r w:rsidRPr="00B07D02">
        <w:t>construct a new double circuit 70</w:t>
      </w:r>
      <w:r w:rsidR="00DC5A1D">
        <w:t> kV</w:t>
      </w:r>
      <w:r w:rsidRPr="00B07D02">
        <w:t xml:space="preserve"> line from the Union Substation through the City</w:t>
      </w:r>
      <w:r w:rsidRPr="00BF759D">
        <w:t xml:space="preserve"> </w:t>
      </w:r>
      <w:r w:rsidRPr="00B07D02">
        <w:t>of</w:t>
      </w:r>
      <w:r w:rsidRPr="00BF759D">
        <w:t xml:space="preserve"> </w:t>
      </w:r>
      <w:r w:rsidR="00325E91">
        <w:t>Paso </w:t>
      </w:r>
      <w:r w:rsidRPr="00B07D02">
        <w:t>Robles</w:t>
      </w:r>
      <w:r w:rsidRPr="00BF759D">
        <w:t xml:space="preserve"> </w:t>
      </w:r>
      <w:r w:rsidRPr="00B07D02">
        <w:t>and</w:t>
      </w:r>
      <w:r w:rsidRPr="00BF759D">
        <w:t xml:space="preserve"> </w:t>
      </w:r>
      <w:r w:rsidRPr="00B07D02">
        <w:t>connect</w:t>
      </w:r>
      <w:r w:rsidRPr="00BF759D">
        <w:t xml:space="preserve"> </w:t>
      </w:r>
      <w:r w:rsidRPr="00B07D02">
        <w:t>it</w:t>
      </w:r>
      <w:r w:rsidRPr="00BF759D">
        <w:t xml:space="preserve"> </w:t>
      </w:r>
      <w:r w:rsidRPr="00B07D02">
        <w:t>to</w:t>
      </w:r>
      <w:r w:rsidRPr="00BF759D">
        <w:t xml:space="preserve"> </w:t>
      </w:r>
      <w:r w:rsidRPr="00B07D02">
        <w:t>the</w:t>
      </w:r>
      <w:r w:rsidRPr="00BF759D">
        <w:t xml:space="preserve"> </w:t>
      </w:r>
      <w:r w:rsidRPr="00B07D02">
        <w:t>existing</w:t>
      </w:r>
      <w:r w:rsidRPr="00BF759D">
        <w:t xml:space="preserve"> </w:t>
      </w:r>
      <w:r w:rsidRPr="00B07D02">
        <w:t>San</w:t>
      </w:r>
      <w:r w:rsidRPr="00BF759D">
        <w:t xml:space="preserve"> </w:t>
      </w:r>
      <w:r w:rsidRPr="00B07D02">
        <w:t>Miguel-</w:t>
      </w:r>
      <w:r w:rsidR="00325E91">
        <w:t>Paso </w:t>
      </w:r>
      <w:r w:rsidRPr="00B07D02">
        <w:t>Robles</w:t>
      </w:r>
      <w:r w:rsidRPr="00BF759D">
        <w:t xml:space="preserve"> </w:t>
      </w:r>
      <w:r w:rsidRPr="00B07D02">
        <w:t>70</w:t>
      </w:r>
      <w:r w:rsidR="00DC5A1D">
        <w:t> kV</w:t>
      </w:r>
      <w:r w:rsidRPr="00BF759D">
        <w:t xml:space="preserve"> </w:t>
      </w:r>
      <w:r w:rsidRPr="00B07D02">
        <w:t>line;</w:t>
      </w:r>
      <w:r w:rsidRPr="00BF759D">
        <w:t xml:space="preserve"> and </w:t>
      </w:r>
      <w:r w:rsidRPr="00B07D02">
        <w:t>(iv)</w:t>
      </w:r>
      <w:r w:rsidRPr="00BF759D">
        <w:t xml:space="preserve"> </w:t>
      </w:r>
      <w:r w:rsidRPr="00B07D02">
        <w:t>reconductor a portion of the existing San Miguel-</w:t>
      </w:r>
      <w:r w:rsidR="00325E91">
        <w:t>Paso </w:t>
      </w:r>
      <w:r w:rsidRPr="00B07D02">
        <w:t>Robles 70</w:t>
      </w:r>
      <w:r w:rsidR="00DC5A1D">
        <w:t> kV</w:t>
      </w:r>
      <w:r w:rsidRPr="00B07D02">
        <w:t xml:space="preserve"> line from the point at which the new 70</w:t>
      </w:r>
      <w:r w:rsidR="00DC5A1D">
        <w:t> kV</w:t>
      </w:r>
      <w:r w:rsidRPr="00B07D02">
        <w:t xml:space="preserve"> line would connect southward to the existing </w:t>
      </w:r>
      <w:r w:rsidR="00325E91">
        <w:t>Paso </w:t>
      </w:r>
      <w:r w:rsidRPr="00B07D02">
        <w:t>Robles Substation.</w:t>
      </w:r>
      <w:r w:rsidRPr="00B07D02">
        <w:rPr>
          <w:rStyle w:val="FootnoteReference"/>
        </w:rPr>
        <w:footnoteReference w:id="11"/>
      </w:r>
      <w:r w:rsidRPr="00B07D02">
        <w:rPr>
          <w:sz w:val="14"/>
        </w:rPr>
        <w:t xml:space="preserve"> </w:t>
      </w:r>
    </w:p>
    <w:p w:rsidR="00F86249" w:rsidP="00B07D02" w:rsidRDefault="00F86249" w14:paraId="41CCD1A6" w14:textId="5C267683">
      <w:pPr>
        <w:pStyle w:val="Heading2"/>
      </w:pPr>
      <w:bookmarkStart w:name="_Toc164685396" w:id="14"/>
      <w:r>
        <w:t>Submission</w:t>
      </w:r>
      <w:r w:rsidR="001A0F19">
        <w:t xml:space="preserve"> Date</w:t>
      </w:r>
      <w:bookmarkEnd w:id="14"/>
    </w:p>
    <w:p w:rsidRPr="006A7A06" w:rsidR="00683B2C" w:rsidP="00683B2C" w:rsidRDefault="004C65F9" w14:paraId="0CD14F9C" w14:textId="480C021C">
      <w:pPr>
        <w:pStyle w:val="Standard"/>
      </w:pPr>
      <w:r w:rsidRPr="006A7A06">
        <w:t xml:space="preserve">On </w:t>
      </w:r>
      <w:r w:rsidR="00325E91">
        <w:t>February </w:t>
      </w:r>
      <w:r w:rsidR="006A7A06">
        <w:t>29,</w:t>
      </w:r>
      <w:r w:rsidRPr="006A7A06">
        <w:t xml:space="preserve"> 202</w:t>
      </w:r>
      <w:r w:rsidR="006A7A06">
        <w:t>4</w:t>
      </w:r>
      <w:r w:rsidRPr="006A7A06">
        <w:t>, t</w:t>
      </w:r>
      <w:r w:rsidR="00F86249">
        <w:t>his</w:t>
      </w:r>
      <w:r w:rsidRPr="006A7A06">
        <w:t xml:space="preserve"> </w:t>
      </w:r>
      <w:r w:rsidR="00BA7EB8">
        <w:t xml:space="preserve">proceeding </w:t>
      </w:r>
      <w:r w:rsidRPr="006A7A06">
        <w:t>was submitted</w:t>
      </w:r>
      <w:r w:rsidRPr="006A7A06" w:rsidR="00E40ECB">
        <w:t>.</w:t>
      </w:r>
    </w:p>
    <w:p w:rsidR="005A148C" w:rsidP="00F86249" w:rsidRDefault="00CF76E1" w14:paraId="5C8BEA7F" w14:textId="307617CF">
      <w:pPr>
        <w:pStyle w:val="Heading1"/>
      </w:pPr>
      <w:bookmarkStart w:name="_Toc164685397" w:id="15"/>
      <w:bookmarkStart w:name="_Toc8123718" w:id="16"/>
      <w:r>
        <w:t>Legal Framework</w:t>
      </w:r>
      <w:bookmarkEnd w:id="15"/>
      <w:r>
        <w:t xml:space="preserve"> </w:t>
      </w:r>
      <w:bookmarkEnd w:id="16"/>
    </w:p>
    <w:p w:rsidR="00632213" w:rsidP="008B1880" w:rsidRDefault="00A477AC" w14:paraId="3CECBFC3" w14:textId="5BE52A70">
      <w:pPr>
        <w:pStyle w:val="Standard"/>
        <w:rPr>
          <w:color w:val="231F20"/>
        </w:rPr>
      </w:pPr>
      <w:r>
        <w:t xml:space="preserve">The </w:t>
      </w:r>
      <w:r w:rsidR="007734B3">
        <w:t xml:space="preserve">Application was filed under </w:t>
      </w:r>
      <w:r w:rsidR="00A30BD2">
        <w:t xml:space="preserve">General Order </w:t>
      </w:r>
      <w:r w:rsidR="005B7C48">
        <w:t>(GO)</w:t>
      </w:r>
      <w:r w:rsidR="00DC5A1D">
        <w:t> </w:t>
      </w:r>
      <w:r w:rsidR="00A30BD2">
        <w:t>131-D</w:t>
      </w:r>
      <w:r w:rsidR="008E39A6">
        <w:t>.</w:t>
      </w:r>
      <w:r w:rsidR="001A341D">
        <w:rPr>
          <w:rStyle w:val="FootnoteReference"/>
        </w:rPr>
        <w:footnoteReference w:id="12"/>
      </w:r>
      <w:r w:rsidR="008E39A6">
        <w:t xml:space="preserve"> </w:t>
      </w:r>
      <w:r>
        <w:rPr>
          <w:color w:val="231F20"/>
        </w:rPr>
        <w:t>To</w:t>
      </w:r>
      <w:r w:rsidRPr="00BF759D">
        <w:rPr>
          <w:color w:val="231F20"/>
        </w:rPr>
        <w:t xml:space="preserve"> </w:t>
      </w:r>
      <w:r>
        <w:rPr>
          <w:color w:val="231F20"/>
        </w:rPr>
        <w:t>issue</w:t>
      </w:r>
      <w:r w:rsidRPr="00BF759D">
        <w:rPr>
          <w:color w:val="231F20"/>
        </w:rPr>
        <w:t xml:space="preserve"> </w:t>
      </w:r>
      <w:r>
        <w:rPr>
          <w:color w:val="231F20"/>
        </w:rPr>
        <w:t>a</w:t>
      </w:r>
      <w:r w:rsidRPr="00BF759D">
        <w:rPr>
          <w:color w:val="231F20"/>
        </w:rPr>
        <w:t xml:space="preserve"> </w:t>
      </w:r>
      <w:r>
        <w:rPr>
          <w:color w:val="231F20"/>
        </w:rPr>
        <w:t>PTC</w:t>
      </w:r>
      <w:r w:rsidRPr="00BF759D">
        <w:rPr>
          <w:color w:val="231F20"/>
        </w:rPr>
        <w:t xml:space="preserve"> </w:t>
      </w:r>
      <w:r>
        <w:rPr>
          <w:color w:val="231F20"/>
        </w:rPr>
        <w:t>pursuant</w:t>
      </w:r>
      <w:r w:rsidRPr="00BF759D">
        <w:rPr>
          <w:color w:val="231F20"/>
        </w:rPr>
        <w:t xml:space="preserve"> </w:t>
      </w:r>
      <w:r>
        <w:rPr>
          <w:color w:val="231F20"/>
        </w:rPr>
        <w:t>to</w:t>
      </w:r>
      <w:r w:rsidRPr="00BF759D">
        <w:rPr>
          <w:color w:val="231F20"/>
        </w:rPr>
        <w:t xml:space="preserve"> </w:t>
      </w:r>
      <w:r>
        <w:rPr>
          <w:color w:val="231F20"/>
        </w:rPr>
        <w:t>GO</w:t>
      </w:r>
      <w:r w:rsidRPr="00BF759D">
        <w:rPr>
          <w:color w:val="231F20"/>
        </w:rPr>
        <w:t xml:space="preserve"> </w:t>
      </w:r>
      <w:r>
        <w:rPr>
          <w:color w:val="231F20"/>
        </w:rPr>
        <w:t>131-D,</w:t>
      </w:r>
      <w:r w:rsidRPr="00BF759D">
        <w:rPr>
          <w:color w:val="231F20"/>
        </w:rPr>
        <w:t xml:space="preserve"> </w:t>
      </w:r>
      <w:r>
        <w:rPr>
          <w:color w:val="231F20"/>
        </w:rPr>
        <w:t>the</w:t>
      </w:r>
      <w:r w:rsidRPr="00BF759D">
        <w:rPr>
          <w:color w:val="231F20"/>
        </w:rPr>
        <w:t xml:space="preserve"> </w:t>
      </w:r>
      <w:r>
        <w:rPr>
          <w:color w:val="231F20"/>
        </w:rPr>
        <w:t>Commission must</w:t>
      </w:r>
      <w:r w:rsidRPr="00BF759D">
        <w:rPr>
          <w:color w:val="231F20"/>
        </w:rPr>
        <w:t xml:space="preserve"> </w:t>
      </w:r>
      <w:r>
        <w:rPr>
          <w:color w:val="231F20"/>
        </w:rPr>
        <w:t>find</w:t>
      </w:r>
      <w:r w:rsidRPr="00BF759D">
        <w:rPr>
          <w:color w:val="231F20"/>
        </w:rPr>
        <w:t xml:space="preserve"> </w:t>
      </w:r>
      <w:r>
        <w:rPr>
          <w:color w:val="231F20"/>
        </w:rPr>
        <w:t>that</w:t>
      </w:r>
      <w:r w:rsidRPr="00BF759D">
        <w:rPr>
          <w:color w:val="231F20"/>
        </w:rPr>
        <w:t xml:space="preserve"> </w:t>
      </w:r>
      <w:r>
        <w:rPr>
          <w:color w:val="231F20"/>
        </w:rPr>
        <w:t>the</w:t>
      </w:r>
      <w:r w:rsidRPr="00BF759D">
        <w:rPr>
          <w:color w:val="231F20"/>
        </w:rPr>
        <w:t xml:space="preserve"> </w:t>
      </w:r>
      <w:r>
        <w:rPr>
          <w:color w:val="231F20"/>
        </w:rPr>
        <w:t>project</w:t>
      </w:r>
      <w:r w:rsidRPr="00BF759D">
        <w:rPr>
          <w:color w:val="231F20"/>
        </w:rPr>
        <w:t xml:space="preserve"> </w:t>
      </w:r>
      <w:r w:rsidRPr="00BF759D" w:rsidR="00EA3FB1">
        <w:rPr>
          <w:color w:val="231F20"/>
        </w:rPr>
        <w:t xml:space="preserve">complies with CEQA. </w:t>
      </w:r>
      <w:r>
        <w:rPr>
          <w:color w:val="231F20"/>
        </w:rPr>
        <w:t>In evaluating whether to approve the project or a project alternative, CEQA requires the lead agency</w:t>
      </w:r>
      <w:r w:rsidR="00EA3FB1">
        <w:rPr>
          <w:rStyle w:val="FootnoteReference"/>
          <w:color w:val="231F20"/>
        </w:rPr>
        <w:footnoteReference w:id="13"/>
      </w:r>
      <w:r w:rsidR="00A24374">
        <w:rPr>
          <w:color w:val="231F20"/>
          <w:position w:val="6"/>
          <w:sz w:val="16"/>
        </w:rPr>
        <w:t xml:space="preserve"> </w:t>
      </w:r>
      <w:r>
        <w:rPr>
          <w:color w:val="231F20"/>
        </w:rPr>
        <w:t>to</w:t>
      </w:r>
      <w:r w:rsidRPr="002E4A4D" w:rsidR="002E4A4D">
        <w:t xml:space="preserve"> </w:t>
      </w:r>
      <w:r w:rsidRPr="002E4A4D" w:rsidR="002E4A4D">
        <w:rPr>
          <w:color w:val="231F20"/>
        </w:rPr>
        <w:t xml:space="preserve">conduct a review to identify environmental impacts of the project and ways to avoid or reduce environmental damage. </w:t>
      </w:r>
    </w:p>
    <w:p w:rsidR="007345D5" w:rsidP="008B1880" w:rsidRDefault="00820C59" w14:paraId="714779DD" w14:textId="0B088B78">
      <w:pPr>
        <w:pStyle w:val="Standard"/>
      </w:pPr>
      <w:r w:rsidRPr="00107A7F">
        <w:t>Here</w:t>
      </w:r>
      <w:r w:rsidRPr="00107A7F" w:rsidR="008B4C04">
        <w:t>, t</w:t>
      </w:r>
      <w:r w:rsidR="00CF76E1">
        <w:t>he Commission</w:t>
      </w:r>
      <w:r w:rsidR="0076557F">
        <w:t>, as the lead agency</w:t>
      </w:r>
      <w:r w:rsidR="00423E81">
        <w:t xml:space="preserve"> for the Proposed Project</w:t>
      </w:r>
      <w:r w:rsidR="0076557F">
        <w:t>,</w:t>
      </w:r>
      <w:r w:rsidR="00B06613">
        <w:t xml:space="preserve"> </w:t>
      </w:r>
      <w:r w:rsidR="00CF76E1">
        <w:t xml:space="preserve">determined that an EIR </w:t>
      </w:r>
      <w:r w:rsidR="00423E81">
        <w:t>must be prepared</w:t>
      </w:r>
      <w:r w:rsidR="00CF76E1">
        <w:t>.</w:t>
      </w:r>
      <w:r w:rsidR="001274A1">
        <w:t xml:space="preserve"> </w:t>
      </w:r>
      <w:r w:rsidRPr="00107A7F" w:rsidR="006B1B73">
        <w:t>T</w:t>
      </w:r>
      <w:r w:rsidR="00CF76E1">
        <w:t>he Commission</w:t>
      </w:r>
      <w:r w:rsidR="00CE356F">
        <w:t xml:space="preserve"> m</w:t>
      </w:r>
      <w:r w:rsidR="00325E91">
        <w:t>ay </w:t>
      </w:r>
      <w:r w:rsidR="00CF76E1">
        <w:t>not approve the Proposed Project unless it reviews and considers the EIR, identifies the environmentally superior alternative, and all of the identified mitigation measures, unless they are found to be infeasible, and determines that there are overriding considerations that merit approving the Proposed Project despite any unavoidable impacts.</w:t>
      </w:r>
      <w:r w:rsidR="00CF76E1">
        <w:rPr>
          <w:rStyle w:val="FootnoteReference"/>
        </w:rPr>
        <w:footnoteReference w:id="14"/>
      </w:r>
      <w:r w:rsidR="00CF76E1">
        <w:t xml:space="preserve"> </w:t>
      </w:r>
    </w:p>
    <w:p w:rsidR="00CF76E1" w:rsidP="008B1880" w:rsidRDefault="00CF76E1" w14:paraId="7C373725" w14:textId="24BFE0AE">
      <w:pPr>
        <w:pStyle w:val="Standard"/>
      </w:pPr>
      <w:r>
        <w:lastRenderedPageBreak/>
        <w:t xml:space="preserve">To approve the Proposed Project, the Commission </w:t>
      </w:r>
      <w:r w:rsidR="00423E81">
        <w:t>must</w:t>
      </w:r>
      <w:r>
        <w:t xml:space="preserve"> certify that the FEIR was completed in compliance with CEQA, that it conducted and considered the FEIR and that the FEIR reflects the Commission’s independent judgment and analysis.</w:t>
      </w:r>
      <w:r>
        <w:rPr>
          <w:rStyle w:val="FootnoteReference"/>
        </w:rPr>
        <w:footnoteReference w:id="15"/>
      </w:r>
      <w:r>
        <w:t xml:space="preserve"> CEQA requires the Commission to identify mitigation measures for the significant environmental impacts of the Proposed Project and require their adoption</w:t>
      </w:r>
      <w:r w:rsidR="007345D5">
        <w:t>,</w:t>
      </w:r>
      <w:r>
        <w:t xml:space="preserve"> unless they are found to be infeasible.</w:t>
      </w:r>
      <w:r>
        <w:rPr>
          <w:rStyle w:val="FootnoteReference"/>
        </w:rPr>
        <w:footnoteReference w:id="16"/>
      </w:r>
    </w:p>
    <w:p w:rsidR="00A477AC" w:rsidP="008B1880" w:rsidRDefault="002E4A4D" w14:paraId="0610D7D2" w14:textId="1DAD41CD">
      <w:pPr>
        <w:pStyle w:val="Standard"/>
        <w:rPr>
          <w:color w:val="231F20"/>
        </w:rPr>
      </w:pPr>
      <w:r w:rsidRPr="002E4A4D">
        <w:rPr>
          <w:color w:val="231F20"/>
        </w:rPr>
        <w:t>In addition, pursuant to GO 131-D and Decision (D.)</w:t>
      </w:r>
      <w:r w:rsidR="00DE36C5">
        <w:rPr>
          <w:color w:val="231F20"/>
        </w:rPr>
        <w:t> </w:t>
      </w:r>
      <w:r w:rsidRPr="002E4A4D">
        <w:rPr>
          <w:color w:val="231F20"/>
        </w:rPr>
        <w:t>06</w:t>
      </w:r>
      <w:r w:rsidR="00DE36C5">
        <w:rPr>
          <w:color w:val="231F20"/>
        </w:rPr>
        <w:noBreakHyphen/>
      </w:r>
      <w:r w:rsidRPr="002E4A4D">
        <w:rPr>
          <w:color w:val="231F20"/>
        </w:rPr>
        <w:t>01</w:t>
      </w:r>
      <w:r w:rsidR="00DE36C5">
        <w:rPr>
          <w:color w:val="231F20"/>
        </w:rPr>
        <w:noBreakHyphen/>
      </w:r>
      <w:r w:rsidRPr="002E4A4D">
        <w:rPr>
          <w:color w:val="231F20"/>
        </w:rPr>
        <w:t>042, the Commission will not certify a project unless it</w:t>
      </w:r>
      <w:r w:rsidR="007345D5">
        <w:rPr>
          <w:color w:val="231F20"/>
        </w:rPr>
        <w:t xml:space="preserve"> i</w:t>
      </w:r>
      <w:r w:rsidRPr="002E4A4D">
        <w:rPr>
          <w:color w:val="231F20"/>
        </w:rPr>
        <w:t>s design</w:t>
      </w:r>
      <w:r w:rsidR="007345D5">
        <w:rPr>
          <w:color w:val="231F20"/>
        </w:rPr>
        <w:t>ed</w:t>
      </w:r>
      <w:r w:rsidRPr="002E4A4D">
        <w:rPr>
          <w:color w:val="231F20"/>
        </w:rPr>
        <w:t xml:space="preserve"> in compliance with the Commission’s policies governing the mitigation of electromagnetic field (EMF) effects using low-cost and no-cost measures.</w:t>
      </w:r>
    </w:p>
    <w:p w:rsidR="005A148C" w:rsidP="00F86249" w:rsidRDefault="005939A5" w14:paraId="3C2BA69B" w14:textId="6C0D7DBC">
      <w:pPr>
        <w:pStyle w:val="Heading1"/>
      </w:pPr>
      <w:bookmarkStart w:name="_Toc160479750" w:id="17"/>
      <w:bookmarkStart w:name="_Toc160490828" w:id="18"/>
      <w:bookmarkStart w:name="_Toc160479751" w:id="19"/>
      <w:bookmarkStart w:name="_Toc160490829" w:id="20"/>
      <w:bookmarkStart w:name="_Toc160479752" w:id="21"/>
      <w:bookmarkStart w:name="_Toc160490830" w:id="22"/>
      <w:bookmarkStart w:name="_Toc8123719" w:id="23"/>
      <w:bookmarkStart w:name="_Toc164685398" w:id="24"/>
      <w:bookmarkEnd w:id="17"/>
      <w:bookmarkEnd w:id="18"/>
      <w:bookmarkEnd w:id="19"/>
      <w:bookmarkEnd w:id="20"/>
      <w:bookmarkEnd w:id="21"/>
      <w:bookmarkEnd w:id="22"/>
      <w:r>
        <w:t xml:space="preserve">Issues Before the </w:t>
      </w:r>
      <w:bookmarkEnd w:id="23"/>
      <w:r w:rsidR="008A08BF">
        <w:t>Commission</w:t>
      </w:r>
      <w:bookmarkEnd w:id="24"/>
    </w:p>
    <w:p w:rsidR="00472207" w:rsidP="008B1880" w:rsidRDefault="00FA1DED" w14:paraId="3663D1E9" w14:textId="4117DF4B">
      <w:pPr>
        <w:pStyle w:val="Standard"/>
      </w:pPr>
      <w:r>
        <w:t>The</w:t>
      </w:r>
      <w:r w:rsidR="00423E81">
        <w:t xml:space="preserve"> August </w:t>
      </w:r>
      <w:r w:rsidRPr="007345D5" w:rsidR="007345D5">
        <w:t>1, 2023</w:t>
      </w:r>
      <w:r w:rsidR="007345D5">
        <w:t xml:space="preserve"> </w:t>
      </w:r>
      <w:r>
        <w:t>Scoping Memo</w:t>
      </w:r>
      <w:r w:rsidR="0059296C">
        <w:t xml:space="preserve"> and Ruling </w:t>
      </w:r>
      <w:r>
        <w:t xml:space="preserve">identified seven </w:t>
      </w:r>
      <w:r w:rsidR="00472207">
        <w:t>scoped issues</w:t>
      </w:r>
      <w:r w:rsidR="0059296C">
        <w:t xml:space="preserve"> </w:t>
      </w:r>
      <w:r w:rsidR="00472207">
        <w:t xml:space="preserve">in this </w:t>
      </w:r>
      <w:r>
        <w:t>proceeding</w:t>
      </w:r>
      <w:r w:rsidR="00472207">
        <w:t>:</w:t>
      </w:r>
    </w:p>
    <w:p w:rsidRPr="00DC6674" w:rsidR="00912B06" w:rsidP="00B95F7F" w:rsidRDefault="00912B06" w14:paraId="347742C9" w14:textId="149B69BF">
      <w:pPr>
        <w:pStyle w:val="ListNum"/>
      </w:pPr>
      <w:r w:rsidRPr="00DC6674">
        <w:t>What is the environmentally superior alternative?</w:t>
      </w:r>
    </w:p>
    <w:p w:rsidRPr="00DC6674" w:rsidR="00912B06" w:rsidP="00B95F7F" w:rsidRDefault="00912B06" w14:paraId="5E49E61F" w14:textId="078B6C77">
      <w:pPr>
        <w:pStyle w:val="ListNum"/>
      </w:pPr>
      <w:r w:rsidRPr="00DC6674">
        <w:t xml:space="preserve">What are the significant environmental impacts of the </w:t>
      </w:r>
      <w:r w:rsidR="00DC6674">
        <w:t>P</w:t>
      </w:r>
      <w:r w:rsidRPr="00DC6674">
        <w:t xml:space="preserve">roposed </w:t>
      </w:r>
      <w:r w:rsidR="00DC6674">
        <w:t>P</w:t>
      </w:r>
      <w:r w:rsidRPr="00DC6674">
        <w:t>roject, if any?</w:t>
      </w:r>
    </w:p>
    <w:p w:rsidRPr="00DC6674" w:rsidR="00912B06" w:rsidP="00B95F7F" w:rsidRDefault="00912B06" w14:paraId="540E1514" w14:textId="24091B47">
      <w:pPr>
        <w:pStyle w:val="ListNum"/>
      </w:pPr>
      <w:r w:rsidRPr="00DC6674">
        <w:t>What are the feasible mitigation measures that will eliminate or lessen the identified significant environmental impacts?</w:t>
      </w:r>
    </w:p>
    <w:p w:rsidR="00912B06" w:rsidP="00B95F7F" w:rsidRDefault="00912B06" w14:paraId="3B4B924F" w14:textId="3DF67751">
      <w:pPr>
        <w:pStyle w:val="ListNum"/>
      </w:pPr>
      <w:r w:rsidRPr="00DC6674">
        <w:t>Are the mitigation measures and/or alternatives infeasible for economic, social, legal, technological or other considerations?</w:t>
      </w:r>
    </w:p>
    <w:p w:rsidR="00423E81" w:rsidP="00423E81" w:rsidRDefault="00423E81" w14:paraId="4112C360" w14:textId="77777777">
      <w:pPr>
        <w:pStyle w:val="ListNum"/>
      </w:pPr>
      <w:r>
        <w:t>To the extent the Proposed Project and/or alternatives result in significant and unavoidable impacts, are there overriding considerations that nevertheless merit Commission approval of the Proposed Project or project alternative?</w:t>
      </w:r>
    </w:p>
    <w:p w:rsidR="00423E81" w:rsidP="00423E81" w:rsidRDefault="00423E81" w14:paraId="07DE1298" w14:textId="77777777">
      <w:pPr>
        <w:pStyle w:val="ListNum"/>
      </w:pPr>
      <w:r>
        <w:lastRenderedPageBreak/>
        <w:t>Did the Commission review and consider the EIR, was the environmental document completed in compliance with CEQA, and does it reflect the Commission’s independent judgment?</w:t>
      </w:r>
    </w:p>
    <w:p w:rsidR="00423E81" w:rsidP="00423E81" w:rsidRDefault="00423E81" w14:paraId="6D7C0717" w14:textId="77777777">
      <w:pPr>
        <w:pStyle w:val="ListNum"/>
      </w:pPr>
      <w:r>
        <w:t>Is the Proposed Project an environmentally superior project alterative designed in compliance with the Commission’s policies governing the mitigation of EMF effects using low-cost and no-cost measures?</w:t>
      </w:r>
    </w:p>
    <w:p w:rsidR="003A516A" w:rsidP="008D3F12" w:rsidRDefault="007345D5" w14:paraId="0FC7BAC9" w14:textId="3E71940B">
      <w:pPr>
        <w:pStyle w:val="Standard"/>
        <w:keepNext/>
        <w:spacing w:before="240"/>
      </w:pPr>
      <w:r>
        <w:t xml:space="preserve">As noted in the </w:t>
      </w:r>
      <w:r w:rsidR="00423E81">
        <w:t xml:space="preserve">August </w:t>
      </w:r>
      <w:r w:rsidRPr="007345D5">
        <w:t>1, 2023</w:t>
      </w:r>
      <w:r>
        <w:t xml:space="preserve"> Scoping Memo</w:t>
      </w:r>
      <w:r w:rsidR="003A516A">
        <w:t>:</w:t>
      </w:r>
    </w:p>
    <w:p w:rsidR="003A516A" w:rsidP="00B95F7F" w:rsidRDefault="003A516A" w14:paraId="72904F16" w14:textId="18F711ED">
      <w:pPr>
        <w:pStyle w:val="BlockQuote"/>
        <w:rPr>
          <w:u w:val="single"/>
        </w:rPr>
      </w:pPr>
      <w:r w:rsidRPr="003A516A">
        <w:t>Issue numbers 1 through 4 were already addressed during the CEQA review and public comment process. All related comments on Issue numbers 1, 2, 3 and 4 were considered as part of the public review and comments on the draft EIR, and addressed and included in the FEIR. We will not take further evidence regarding these CEQA issues outside of the FEIR to avoid duplicating efforts and unnecessary delay.</w:t>
      </w:r>
      <w:r>
        <w:rPr>
          <w:rStyle w:val="FootnoteReference"/>
        </w:rPr>
        <w:footnoteReference w:id="17"/>
      </w:r>
    </w:p>
    <w:p w:rsidRPr="00B07D02" w:rsidR="003A516A" w:rsidP="00DE36C5" w:rsidRDefault="003A516A" w14:paraId="2FE67022" w14:textId="26177397">
      <w:pPr>
        <w:pStyle w:val="Standard"/>
        <w:spacing w:before="240"/>
      </w:pPr>
      <w:r w:rsidRPr="00B07D02">
        <w:t xml:space="preserve">Here, the CEQA process </w:t>
      </w:r>
      <w:r>
        <w:t xml:space="preserve">for the Proposed </w:t>
      </w:r>
      <w:r w:rsidR="00BA7EB8">
        <w:t>P</w:t>
      </w:r>
      <w:r>
        <w:t xml:space="preserve">roject </w:t>
      </w:r>
      <w:r w:rsidR="00423E81">
        <w:t xml:space="preserve">provided </w:t>
      </w:r>
      <w:r w:rsidRPr="00107A7F" w:rsidR="000F049E">
        <w:t>comment</w:t>
      </w:r>
      <w:r w:rsidR="00423E81">
        <w:t xml:space="preserve"> period</w:t>
      </w:r>
      <w:r w:rsidRPr="00107A7F" w:rsidR="000F049E">
        <w:t xml:space="preserve">s on the </w:t>
      </w:r>
      <w:r w:rsidRPr="00107A7F" w:rsidR="00141E81">
        <w:t>DEIR</w:t>
      </w:r>
      <w:r w:rsidRPr="00107A7F" w:rsidR="000F049E">
        <w:t>,</w:t>
      </w:r>
      <w:r w:rsidRPr="00B07D02">
        <w:t xml:space="preserve"> </w:t>
      </w:r>
      <w:r w:rsidR="007F0C82">
        <w:t xml:space="preserve">and </w:t>
      </w:r>
      <w:r w:rsidRPr="00B07D02">
        <w:t xml:space="preserve">the </w:t>
      </w:r>
      <w:r w:rsidRPr="00107A7F" w:rsidR="000F32FE">
        <w:t>RDEIR</w:t>
      </w:r>
      <w:r w:rsidR="00423E81">
        <w:t>, after which</w:t>
      </w:r>
      <w:r w:rsidRPr="00107A7F" w:rsidR="00DC268C">
        <w:t>, t</w:t>
      </w:r>
      <w:r w:rsidRPr="00107A7F">
        <w:t>he</w:t>
      </w:r>
      <w:r w:rsidRPr="00B07D02">
        <w:t xml:space="preserve"> FEIR was released</w:t>
      </w:r>
      <w:r w:rsidR="00BA7EB8">
        <w:t>,</w:t>
      </w:r>
      <w:r w:rsidRPr="00B07D02">
        <w:t xml:space="preserve"> addressing all comments on the DEIR and </w:t>
      </w:r>
      <w:r w:rsidR="00423E81">
        <w:t xml:space="preserve">the </w:t>
      </w:r>
      <w:r w:rsidRPr="00107A7F" w:rsidR="000F32FE">
        <w:t>RDEIR</w:t>
      </w:r>
      <w:r w:rsidRPr="00107A7F">
        <w:t>.</w:t>
      </w:r>
      <w:r w:rsidRPr="003A516A">
        <w:t xml:space="preserve"> Thus, we do </w:t>
      </w:r>
      <w:r w:rsidRPr="00B07D02">
        <w:t xml:space="preserve">not take further evidence regarding these CEQA issues </w:t>
      </w:r>
      <w:r w:rsidR="00423E81">
        <w:t xml:space="preserve">(Issue numbers 1 through 4, above) </w:t>
      </w:r>
      <w:r w:rsidR="00BA7EB8">
        <w:t>here</w:t>
      </w:r>
      <w:r w:rsidRPr="00B07D02">
        <w:t>.</w:t>
      </w:r>
      <w:r w:rsidR="00423E81">
        <w:t xml:space="preserve"> </w:t>
      </w:r>
      <w:r w:rsidRPr="00423E81" w:rsidR="00423E81">
        <w:t xml:space="preserve">We </w:t>
      </w:r>
      <w:r w:rsidR="00D35D95">
        <w:t xml:space="preserve">have taken evidence on </w:t>
      </w:r>
      <w:r w:rsidRPr="00423E81" w:rsidR="00423E81">
        <w:t xml:space="preserve">the </w:t>
      </w:r>
      <w:r w:rsidR="00423E81">
        <w:t>outstanding issues (Issue numbers 5 through 7) a</w:t>
      </w:r>
      <w:r w:rsidRPr="00423E81" w:rsidR="00423E81">
        <w:t>s identified in the August 1</w:t>
      </w:r>
      <w:r w:rsidR="00D35D95">
        <w:t>,</w:t>
      </w:r>
      <w:r w:rsidRPr="00423E81" w:rsidR="00423E81">
        <w:t xml:space="preserve"> 2023 Scoping Memo and Ruling</w:t>
      </w:r>
      <w:r w:rsidR="00423E81">
        <w:t>.</w:t>
      </w:r>
    </w:p>
    <w:p w:rsidRPr="00F86249" w:rsidR="003A516A" w:rsidP="00DC3A51" w:rsidRDefault="00BA7EB8" w14:paraId="6C1F58F9" w14:textId="604C0618">
      <w:pPr>
        <w:pStyle w:val="Heading1"/>
        <w:spacing w:before="120"/>
        <w:rPr>
          <w:bCs/>
        </w:rPr>
      </w:pPr>
      <w:bookmarkStart w:name="_Toc161229308" w:id="25"/>
      <w:bookmarkStart w:name="_bookmark3" w:id="26"/>
      <w:bookmarkStart w:name="_Toc164685399" w:id="27"/>
      <w:bookmarkEnd w:id="25"/>
      <w:bookmarkEnd w:id="26"/>
      <w:r w:rsidRPr="00F86249">
        <w:rPr>
          <w:bCs/>
        </w:rPr>
        <w:t xml:space="preserve">Project </w:t>
      </w:r>
      <w:r w:rsidRPr="00F86249" w:rsidR="006B5E1E">
        <w:rPr>
          <w:bCs/>
        </w:rPr>
        <w:t>Components</w:t>
      </w:r>
      <w:bookmarkEnd w:id="27"/>
    </w:p>
    <w:p w:rsidR="00173C77" w:rsidP="008B1880" w:rsidRDefault="00B15783" w14:paraId="27CDCAB8" w14:textId="1F027473">
      <w:pPr>
        <w:pStyle w:val="Standard"/>
      </w:pPr>
      <w:r w:rsidRPr="00C320DA">
        <w:t>T</w:t>
      </w:r>
      <w:r w:rsidR="00173C77">
        <w:t xml:space="preserve">he </w:t>
      </w:r>
      <w:r w:rsidRPr="00C320DA">
        <w:t>Proposed Project</w:t>
      </w:r>
      <w:r w:rsidR="00D35D95">
        <w:t xml:space="preserve"> evaluated by the Commission is comprised of four components</w:t>
      </w:r>
      <w:r w:rsidR="00173C77">
        <w:t xml:space="preserve">: </w:t>
      </w:r>
      <w:r w:rsidR="00D35D95">
        <w:t xml:space="preserve">(1) </w:t>
      </w:r>
      <w:r w:rsidR="0034473D">
        <w:t xml:space="preserve">Estrella </w:t>
      </w:r>
      <w:r w:rsidR="003D2972">
        <w:t xml:space="preserve">Substation, </w:t>
      </w:r>
      <w:r w:rsidR="00D35D95">
        <w:t xml:space="preserve">(2) </w:t>
      </w:r>
      <w:r w:rsidRPr="003D2972" w:rsidR="003D2972">
        <w:t>70 k</w:t>
      </w:r>
      <w:r w:rsidR="009302D0">
        <w:t>ilo</w:t>
      </w:r>
      <w:r w:rsidR="004843B4">
        <w:t>v</w:t>
      </w:r>
      <w:r w:rsidR="009302D0">
        <w:t>olt (kV)</w:t>
      </w:r>
      <w:r w:rsidRPr="003D2972" w:rsidR="003D2972">
        <w:t xml:space="preserve"> Power Line Segment</w:t>
      </w:r>
      <w:r w:rsidR="003D2972">
        <w:t xml:space="preserve">, </w:t>
      </w:r>
      <w:r w:rsidR="00D35D95">
        <w:t>(3)</w:t>
      </w:r>
      <w:r w:rsidR="008D3F12">
        <w:t> </w:t>
      </w:r>
      <w:r w:rsidRPr="003D2972" w:rsidR="003D2972">
        <w:t>70</w:t>
      </w:r>
      <w:r w:rsidR="00DC5A1D">
        <w:t> kV</w:t>
      </w:r>
      <w:r w:rsidRPr="003D2972" w:rsidR="003D2972">
        <w:t xml:space="preserve"> Line Reconductoring Segment</w:t>
      </w:r>
      <w:r w:rsidR="00D35D95">
        <w:t xml:space="preserve">, and (4) </w:t>
      </w:r>
      <w:r w:rsidR="00035893">
        <w:t xml:space="preserve">the </w:t>
      </w:r>
      <w:r>
        <w:t xml:space="preserve">reasonably foreseeable </w:t>
      </w:r>
      <w:r>
        <w:lastRenderedPageBreak/>
        <w:t>distribution components</w:t>
      </w:r>
      <w:r w:rsidR="00FA2649">
        <w:t>.</w:t>
      </w:r>
      <w:r>
        <w:rPr>
          <w:rStyle w:val="FootnoteReference"/>
        </w:rPr>
        <w:footnoteReference w:id="18"/>
      </w:r>
      <w:r w:rsidR="00FA2649">
        <w:t xml:space="preserve"> </w:t>
      </w:r>
      <w:r w:rsidR="00287376">
        <w:t xml:space="preserve">The fourth component was identified in the </w:t>
      </w:r>
      <w:r w:rsidRPr="00287376" w:rsidR="00287376">
        <w:t>FEI</w:t>
      </w:r>
      <w:r w:rsidR="00287376">
        <w:t xml:space="preserve">R. </w:t>
      </w:r>
      <w:r w:rsidR="00173C77">
        <w:t xml:space="preserve">The Applicants contend and </w:t>
      </w:r>
      <w:r w:rsidR="00AE4811">
        <w:t xml:space="preserve">the </w:t>
      </w:r>
      <w:r w:rsidR="00173C77">
        <w:t xml:space="preserve">FEIR finds </w:t>
      </w:r>
      <w:r w:rsidRPr="00FA2649" w:rsidR="00FA2649">
        <w:t xml:space="preserve">that the </w:t>
      </w:r>
      <w:bookmarkStart w:name="_Hlk160481210" w:id="28"/>
      <w:r w:rsidRPr="00FA2649" w:rsidR="00FA2649">
        <w:t xml:space="preserve">Proposed Project </w:t>
      </w:r>
      <w:r w:rsidR="00173C77">
        <w:t>is:</w:t>
      </w:r>
    </w:p>
    <w:p w:rsidR="00173C77" w:rsidP="00DC3A51" w:rsidRDefault="00173C77" w14:paraId="63223F95" w14:textId="723C8F92">
      <w:pPr>
        <w:pStyle w:val="BlockQuote"/>
      </w:pPr>
      <w:r>
        <w:t xml:space="preserve">… </w:t>
      </w:r>
      <w:r w:rsidRPr="00173C77">
        <w:t xml:space="preserve">needed to provide transmission system redundancy and power support in the event of outages (i.e., contingencies), as well as increased distribution capacity to accommodate forecasted electrical load growth in the </w:t>
      </w:r>
      <w:r w:rsidR="00325E91">
        <w:t>Paso </w:t>
      </w:r>
      <w:r w:rsidRPr="00173C77">
        <w:t>Robles area.</w:t>
      </w:r>
      <w:bookmarkEnd w:id="28"/>
      <w:r w:rsidRPr="00B07D02" w:rsidR="00FA2649">
        <w:rPr>
          <w:rStyle w:val="FootnoteReference"/>
        </w:rPr>
        <w:footnoteReference w:id="19"/>
      </w:r>
      <w:r w:rsidRPr="00B07D02" w:rsidR="00FA2649">
        <w:t xml:space="preserve"> </w:t>
      </w:r>
    </w:p>
    <w:p w:rsidR="00FA2649" w:rsidP="00DC3A51" w:rsidRDefault="00FA2649" w14:paraId="49CA717A" w14:textId="2D8D17B5">
      <w:pPr>
        <w:pStyle w:val="Standard"/>
        <w:spacing w:before="240"/>
      </w:pPr>
      <w:r w:rsidRPr="00B07D02">
        <w:t>The Proposed Project was identified in the CAISO</w:t>
      </w:r>
      <w:r w:rsidR="00AE4811">
        <w:t>’s</w:t>
      </w:r>
      <w:r w:rsidRPr="00B07D02">
        <w:t xml:space="preserve"> 2013</w:t>
      </w:r>
      <w:r w:rsidRPr="00B07D02">
        <w:noBreakHyphen/>
        <w:t>2014 Transmission Plan as a project needed to mitigate thermal overloads and voltage concerns in the Los Padres 70</w:t>
      </w:r>
      <w:r w:rsidR="00DC5A1D">
        <w:t> kV</w:t>
      </w:r>
      <w:r w:rsidRPr="00B07D02">
        <w:t xml:space="preserve"> system (specifically in the San Miguel, </w:t>
      </w:r>
      <w:r w:rsidR="00325E91">
        <w:t>Paso </w:t>
      </w:r>
      <w:r w:rsidRPr="00B07D02">
        <w:t>Robles, Templeton, Atascadero, Cayucos, and San Luis Obispo areas).</w:t>
      </w:r>
      <w:r w:rsidRPr="00B07D02">
        <w:rPr>
          <w:rStyle w:val="FootnoteReference"/>
        </w:rPr>
        <w:footnoteReference w:id="20"/>
      </w:r>
      <w:r w:rsidRPr="00B07D02">
        <w:t xml:space="preserve"> CAISO modeling determined that thermal overloads and very low voltage conditions could occur in this system following either one of two Category B contingencies: loss of the Templeton 230</w:t>
      </w:r>
      <w:r w:rsidR="00DC5A1D">
        <w:t> kV</w:t>
      </w:r>
      <w:r w:rsidRPr="00B07D02">
        <w:t>/70</w:t>
      </w:r>
      <w:r w:rsidR="00DC5A1D">
        <w:t> kV</w:t>
      </w:r>
      <w:r w:rsidRPr="00B07D02">
        <w:t xml:space="preserve"> #1 Transformer Bank or loss of the </w:t>
      </w:r>
      <w:r w:rsidR="00325E91">
        <w:t>Paso </w:t>
      </w:r>
      <w:r w:rsidRPr="00B07D02">
        <w:t>Robles</w:t>
      </w:r>
      <w:r w:rsidRPr="00B07D02">
        <w:noBreakHyphen/>
        <w:t>Templeton 70</w:t>
      </w:r>
      <w:r w:rsidR="00DC5A1D">
        <w:t> kV</w:t>
      </w:r>
      <w:r w:rsidRPr="00B07D02">
        <w:t xml:space="preserve"> power line.</w:t>
      </w:r>
      <w:r w:rsidRPr="00FA2649">
        <w:t xml:space="preserve"> </w:t>
      </w:r>
    </w:p>
    <w:p w:rsidR="00B15783" w:rsidP="00B07D02" w:rsidRDefault="00E26B30" w14:paraId="5241CF42" w14:textId="4F7F41AE">
      <w:pPr>
        <w:pStyle w:val="Heading2"/>
      </w:pPr>
      <w:bookmarkStart w:name="_Toc164685400" w:id="29"/>
      <w:r>
        <w:t xml:space="preserve">Project Component 1 - </w:t>
      </w:r>
      <w:r w:rsidR="00B15783">
        <w:t>Estrella Substation</w:t>
      </w:r>
      <w:bookmarkEnd w:id="29"/>
    </w:p>
    <w:p w:rsidR="00B15783" w:rsidP="00B07D02" w:rsidRDefault="00B15783" w14:paraId="41B8F41D" w14:textId="61522F0D">
      <w:pPr>
        <w:pStyle w:val="Standard"/>
      </w:pPr>
      <w:r>
        <w:t>The Estrella Substation would be comprised of two separate and distinct substations on an approximately 15</w:t>
      </w:r>
      <w:r w:rsidR="00173C77">
        <w:t>-</w:t>
      </w:r>
      <w:r>
        <w:t xml:space="preserve">acre area </w:t>
      </w:r>
      <w:r w:rsidR="00E70F39">
        <w:t>within a</w:t>
      </w:r>
      <w:r>
        <w:t xml:space="preserve"> 20-acre site. One 230</w:t>
      </w:r>
      <w:r w:rsidR="00DC5A1D">
        <w:t> kV</w:t>
      </w:r>
      <w:r>
        <w:t xml:space="preserve"> substation would be constructed and operated by H</w:t>
      </w:r>
      <w:r w:rsidR="00E70F39">
        <w:t>orizon West,</w:t>
      </w:r>
      <w:r>
        <w:t xml:space="preserve"> and one 70</w:t>
      </w:r>
      <w:r w:rsidR="00DC5A1D">
        <w:t> kV</w:t>
      </w:r>
      <w:r>
        <w:t xml:space="preserve"> substation would be constructed and operated by PG&amp;E. The 230</w:t>
      </w:r>
      <w:r w:rsidR="00DC5A1D">
        <w:t> kV</w:t>
      </w:r>
      <w:r>
        <w:t xml:space="preserve"> substation also would be connected to the existing 230</w:t>
      </w:r>
      <w:r w:rsidR="00DC5A1D">
        <w:t> kV</w:t>
      </w:r>
      <w:r>
        <w:t xml:space="preserve"> transmission line adjacent to the proposed Estrella Substation site via a new interconnection line. The 70</w:t>
      </w:r>
      <w:r w:rsidR="00DC5A1D">
        <w:t> kV</w:t>
      </w:r>
      <w:r>
        <w:t xml:space="preserve"> substation would be located immediately adjacent to the 230</w:t>
      </w:r>
      <w:r w:rsidR="00DC5A1D">
        <w:t> kV</w:t>
      </w:r>
      <w:r>
        <w:t xml:space="preserve"> substation within the same 15</w:t>
      </w:r>
      <w:r w:rsidR="00E26B30">
        <w:t>-</w:t>
      </w:r>
      <w:r>
        <w:t xml:space="preserve">acre area. Ultimate buildout of the Estrella Substation to </w:t>
      </w:r>
      <w:r>
        <w:lastRenderedPageBreak/>
        <w:t>accommodate potential future transmission, capacity, and distribution needs could include an additional 230</w:t>
      </w:r>
      <w:r w:rsidR="00DC5A1D">
        <w:t> kV</w:t>
      </w:r>
      <w:r>
        <w:t xml:space="preserve"> interconnection, a second 230/70</w:t>
      </w:r>
      <w:r w:rsidR="00DC5A1D">
        <w:t> kV</w:t>
      </w:r>
      <w:r>
        <w:t xml:space="preserve"> transformer, three additional 70/21</w:t>
      </w:r>
      <w:r w:rsidR="00DC5A1D">
        <w:t> kV</w:t>
      </w:r>
      <w:r>
        <w:t xml:space="preserve"> transformers, and associated equipment (e.g., breakers, switches) amongst other improvements within its </w:t>
      </w:r>
      <w:proofErr w:type="spellStart"/>
      <w:r>
        <w:t>fenceline</w:t>
      </w:r>
      <w:proofErr w:type="spellEnd"/>
      <w:r>
        <w:t>.</w:t>
      </w:r>
    </w:p>
    <w:p w:rsidR="00B15783" w:rsidP="00B07D02" w:rsidRDefault="00E26B30" w14:paraId="6F79CDE8" w14:textId="4AB39596">
      <w:pPr>
        <w:pStyle w:val="Heading2"/>
      </w:pPr>
      <w:bookmarkStart w:name="_Toc164685401" w:id="30"/>
      <w:r>
        <w:t xml:space="preserve">Project Component 2 - </w:t>
      </w:r>
      <w:r w:rsidR="00B15783">
        <w:t>New 70</w:t>
      </w:r>
      <w:r w:rsidR="00DC5A1D">
        <w:t> kV</w:t>
      </w:r>
      <w:r w:rsidR="00B15783">
        <w:t xml:space="preserve"> Power Line Segment</w:t>
      </w:r>
      <w:bookmarkEnd w:id="30"/>
    </w:p>
    <w:p w:rsidRPr="00321B23" w:rsidR="00B15783" w:rsidP="00B07D02" w:rsidRDefault="00B15783" w14:paraId="2EDD2129" w14:textId="7CB4A875">
      <w:pPr>
        <w:pStyle w:val="Standard"/>
      </w:pPr>
      <w:r>
        <w:t>The new 70</w:t>
      </w:r>
      <w:r w:rsidR="00DC5A1D">
        <w:t> kV</w:t>
      </w:r>
      <w:r>
        <w:t xml:space="preserve"> power line segment would consist of approximately 7</w:t>
      </w:r>
      <w:r w:rsidR="00DC5A1D">
        <w:t xml:space="preserve"> miles </w:t>
      </w:r>
      <w:r>
        <w:t>of double</w:t>
      </w:r>
      <w:r w:rsidR="00E26B30">
        <w:t xml:space="preserve"> </w:t>
      </w:r>
      <w:r>
        <w:t>circuit 70</w:t>
      </w:r>
      <w:r w:rsidR="00DC5A1D">
        <w:t> kV</w:t>
      </w:r>
      <w:r>
        <w:t xml:space="preserve"> power line on a combination of two types of structures: tubular steel poles (TSPs) and light</w:t>
      </w:r>
      <w:r w:rsidR="00E26B30">
        <w:t xml:space="preserve"> </w:t>
      </w:r>
      <w:r>
        <w:t xml:space="preserve">duty steel poles (LDSPs) from the Estrella Substation to the </w:t>
      </w:r>
      <w:r w:rsidR="00325E91">
        <w:t>Paso </w:t>
      </w:r>
      <w:r>
        <w:t>Robles Substation via Golden Hill Road. Power line structures would vary in height, but typically would range between 80 to 90</w:t>
      </w:r>
      <w:r w:rsidR="00DC5A1D">
        <w:t> </w:t>
      </w:r>
      <w:r>
        <w:t xml:space="preserve">feet. </w:t>
      </w:r>
    </w:p>
    <w:p w:rsidR="00B15783" w:rsidP="00B07D02" w:rsidRDefault="00E26B30" w14:paraId="744E00AD" w14:textId="59CE46AF">
      <w:pPr>
        <w:pStyle w:val="Heading2"/>
      </w:pPr>
      <w:bookmarkStart w:name="_Toc164685402" w:id="31"/>
      <w:r>
        <w:t xml:space="preserve">Project Component 3 - </w:t>
      </w:r>
      <w:r w:rsidR="00B15783">
        <w:t>70</w:t>
      </w:r>
      <w:r w:rsidR="00DC5A1D">
        <w:t> kV</w:t>
      </w:r>
      <w:r w:rsidR="00B15783">
        <w:t xml:space="preserve"> Line Reconductoring Segment</w:t>
      </w:r>
      <w:bookmarkEnd w:id="31"/>
    </w:p>
    <w:p w:rsidR="00B15783" w:rsidP="00B07D02" w:rsidRDefault="00B15783" w14:paraId="6F7CE46E" w14:textId="1FF31A0E">
      <w:pPr>
        <w:pStyle w:val="Standard"/>
      </w:pPr>
      <w:r>
        <w:t>Reconductoring and pole replacement would occur on approximately 3</w:t>
      </w:r>
      <w:r w:rsidR="00DC5A1D">
        <w:t xml:space="preserve"> miles </w:t>
      </w:r>
      <w:r>
        <w:t>of single</w:t>
      </w:r>
      <w:r w:rsidR="00E26B30">
        <w:t xml:space="preserve"> </w:t>
      </w:r>
      <w:r>
        <w:t>circuit 70</w:t>
      </w:r>
      <w:r w:rsidR="00DC5A1D">
        <w:t> kV</w:t>
      </w:r>
      <w:r>
        <w:t xml:space="preserve"> power line using a combination of TSPs and LDSPs roughly parallel to North River Rd. Power line structures would vary in height, but typically would range between 80 to 90 feet. Anchors and guy wires would be attached to LDSPs and/or wood poles in locations where additional stability is required to support the conductor tension. The new replacement poles would typically be installed within 10 feet of the existing poles.</w:t>
      </w:r>
    </w:p>
    <w:p w:rsidR="00B15783" w:rsidP="0030780A" w:rsidRDefault="006502DB" w14:paraId="25544C45" w14:textId="1D60CADA">
      <w:pPr>
        <w:pStyle w:val="Heading2"/>
      </w:pPr>
      <w:bookmarkStart w:name="_Toc164685403" w:id="32"/>
      <w:r>
        <w:t xml:space="preserve">Project </w:t>
      </w:r>
      <w:r w:rsidR="00E26B30">
        <w:t xml:space="preserve">Component 4 - </w:t>
      </w:r>
      <w:r w:rsidR="00B15783">
        <w:t>Reasonably Foreseeable Distribution Components</w:t>
      </w:r>
      <w:bookmarkEnd w:id="32"/>
    </w:p>
    <w:p w:rsidRPr="00107A7F" w:rsidR="003D7DBE" w:rsidRDefault="008729A3" w14:paraId="4805765D" w14:textId="6DCCDD72">
      <w:pPr>
        <w:pStyle w:val="Standard"/>
      </w:pPr>
      <w:r>
        <w:t xml:space="preserve">The FEIR </w:t>
      </w:r>
      <w:r w:rsidR="003C029B">
        <w:t xml:space="preserve">also </w:t>
      </w:r>
      <w:r>
        <w:t xml:space="preserve">identified </w:t>
      </w:r>
      <w:r w:rsidR="005234D2">
        <w:t xml:space="preserve">some </w:t>
      </w:r>
      <w:r>
        <w:t>reasonably foreseeable distribution components</w:t>
      </w:r>
      <w:r w:rsidR="00EC6CD4">
        <w:t xml:space="preserve">. </w:t>
      </w:r>
      <w:r w:rsidR="00E26B30">
        <w:t>While PG&amp;E contends that it “</w:t>
      </w:r>
      <w:r w:rsidRPr="00E26B30" w:rsidR="00E26B30">
        <w:t xml:space="preserve">is not seeking authority from the Commission in its PTC to construct </w:t>
      </w:r>
      <w:r w:rsidR="00F86E37">
        <w:t xml:space="preserve">[these] </w:t>
      </w:r>
      <w:r w:rsidRPr="00E26B30" w:rsidR="00E26B30">
        <w:t>distribution components</w:t>
      </w:r>
      <w:r w:rsidR="00AB0BE1">
        <w:t>,</w:t>
      </w:r>
      <w:r w:rsidR="00E26B30">
        <w:t>”</w:t>
      </w:r>
      <w:r w:rsidR="00030134">
        <w:rPr>
          <w:rStyle w:val="FootnoteReference"/>
        </w:rPr>
        <w:footnoteReference w:id="21"/>
      </w:r>
      <w:r w:rsidR="00E26B30">
        <w:t xml:space="preserve"> </w:t>
      </w:r>
      <w:r w:rsidR="00F86E37">
        <w:t>the Proposed Project</w:t>
      </w:r>
      <w:r w:rsidR="005437ED">
        <w:t>, as proposed,</w:t>
      </w:r>
      <w:r w:rsidR="00F86E37">
        <w:t xml:space="preserve"> is a reliability project</w:t>
      </w:r>
      <w:r w:rsidR="005437ED">
        <w:t xml:space="preserve"> </w:t>
      </w:r>
      <w:r w:rsidR="00F86E37">
        <w:t>“</w:t>
      </w:r>
      <w:r w:rsidRPr="00F86E37" w:rsidR="00F86E37">
        <w:t xml:space="preserve">to accommodate forecasted </w:t>
      </w:r>
      <w:r w:rsidRPr="00F86E37" w:rsidR="00F86E37">
        <w:lastRenderedPageBreak/>
        <w:t>electrical load growth</w:t>
      </w:r>
      <w:r w:rsidR="00F86E37">
        <w:t>” in the area</w:t>
      </w:r>
      <w:r w:rsidR="00E15BA9">
        <w:t>. I</w:t>
      </w:r>
      <w:r w:rsidR="00FD23CF">
        <w:t xml:space="preserve">n looking at the </w:t>
      </w:r>
      <w:r w:rsidR="00C57697">
        <w:t>Proposed Project as a whole</w:t>
      </w:r>
      <w:r w:rsidR="00C64B35">
        <w:t xml:space="preserve">, </w:t>
      </w:r>
      <w:r w:rsidR="001155F1">
        <w:t>the</w:t>
      </w:r>
      <w:r w:rsidR="00AF68E6">
        <w:t xml:space="preserve"> FEIR</w:t>
      </w:r>
      <w:r w:rsidR="00C65709">
        <w:t xml:space="preserve"> examined </w:t>
      </w:r>
      <w:r w:rsidR="006C5351">
        <w:t xml:space="preserve">the </w:t>
      </w:r>
      <w:r w:rsidR="00B72DA9">
        <w:t>reasonably foreseeable distribution components</w:t>
      </w:r>
      <w:r w:rsidR="003D7DBE">
        <w:t>.</w:t>
      </w:r>
    </w:p>
    <w:p w:rsidR="00D11112" w:rsidP="00D11112" w:rsidRDefault="00287376" w14:paraId="74F3DF4B" w14:textId="02704F6D">
      <w:pPr>
        <w:pStyle w:val="Standard"/>
      </w:pPr>
      <w:r>
        <w:t>T</w:t>
      </w:r>
      <w:r w:rsidR="00D11112">
        <w:t xml:space="preserve">he CEQA Guidelines define a project under CEQA as “the whole of the action” that </w:t>
      </w:r>
      <w:r w:rsidR="002273BE">
        <w:t>m</w:t>
      </w:r>
      <w:r w:rsidR="00325E91">
        <w:t>ay</w:t>
      </w:r>
      <w:r w:rsidR="002273BE">
        <w:t xml:space="preserve"> </w:t>
      </w:r>
      <w:r w:rsidR="00D11112">
        <w:t>result either directly or indirectly in physical changes to the environment.</w:t>
      </w:r>
      <w:r w:rsidR="00D11112">
        <w:rPr>
          <w:rStyle w:val="FootnoteReference"/>
        </w:rPr>
        <w:footnoteReference w:id="22"/>
      </w:r>
      <w:r w:rsidR="00D11112">
        <w:t xml:space="preserve"> This broad definition is intended to provide the maximum protection of the environment. </w:t>
      </w:r>
      <w:r w:rsidRPr="00D11112" w:rsidR="00D11112">
        <w:t>Thus, even if more than one government agency must grant an approval</w:t>
      </w:r>
      <w:r w:rsidR="00D11112">
        <w:t xml:space="preserve"> for various components of a project</w:t>
      </w:r>
      <w:r w:rsidRPr="00D11112" w:rsidR="00D11112">
        <w:t xml:space="preserve">, </w:t>
      </w:r>
      <w:r>
        <w:t xml:space="preserve">as a general rule, </w:t>
      </w:r>
      <w:r w:rsidRPr="00D11112" w:rsidR="00D11112">
        <w:t>only one CEQA document should be prepared.</w:t>
      </w:r>
      <w:r>
        <w:rPr>
          <w:rStyle w:val="FootnoteReference"/>
        </w:rPr>
        <w:footnoteReference w:id="23"/>
      </w:r>
      <w:r w:rsidRPr="00D11112" w:rsidR="00D11112">
        <w:t xml:space="preserve"> This approach ensures that responsible agencies granting later approvals can rely on the lead agency’s CEQA document.</w:t>
      </w:r>
      <w:r w:rsidR="00D11112">
        <w:t xml:space="preserve"> Thus, to avoid piecemealing or segmenting (to put off evaluating the reasonably foreseeable distribution component element)</w:t>
      </w:r>
      <w:r w:rsidR="007E2782">
        <w:t>,</w:t>
      </w:r>
      <w:r w:rsidR="00D11112">
        <w:t xml:space="preserve"> the FEIR properly evaluated the </w:t>
      </w:r>
      <w:r w:rsidRPr="00D11112" w:rsidR="00D11112">
        <w:t>reasonably foreseeable distribution component element</w:t>
      </w:r>
      <w:r w:rsidR="00D11112">
        <w:t xml:space="preserve"> as part of our analysis. </w:t>
      </w:r>
    </w:p>
    <w:p w:rsidR="00D11112" w:rsidP="00D11112" w:rsidRDefault="00D11112" w14:paraId="011B2508" w14:textId="47CF6E57">
      <w:pPr>
        <w:pStyle w:val="Standard"/>
      </w:pPr>
      <w:r>
        <w:t xml:space="preserve">Segmenting and piecemealing projects are explicitly prohibited by CEQA, because dividing a project into a number of pieces would allow a </w:t>
      </w:r>
      <w:r w:rsidR="0044762A">
        <w:t xml:space="preserve">project proponent and the </w:t>
      </w:r>
      <w:r>
        <w:t xml:space="preserve">lead agency to minimize the apparent environmental impacts of the whole of a project by evaluating individual pieces separately, each of which </w:t>
      </w:r>
      <w:r w:rsidR="002273BE">
        <w:t>m</w:t>
      </w:r>
      <w:r w:rsidR="00325E91">
        <w:t>ay</w:t>
      </w:r>
      <w:r w:rsidR="002273BE">
        <w:t xml:space="preserve"> </w:t>
      </w:r>
      <w:r>
        <w:t xml:space="preserve">have a less-than-significant impact on the environment, but which together </w:t>
      </w:r>
      <w:r w:rsidR="002273BE">
        <w:t>m</w:t>
      </w:r>
      <w:r w:rsidR="00325E91">
        <w:t>ay</w:t>
      </w:r>
      <w:r w:rsidR="002273BE">
        <w:t xml:space="preserve"> </w:t>
      </w:r>
      <w:r>
        <w:t xml:space="preserve">result in a significant impact. Segmenting a project </w:t>
      </w:r>
      <w:r w:rsidR="002273BE">
        <w:t>m</w:t>
      </w:r>
      <w:r w:rsidR="00325E91">
        <w:t>ay</w:t>
      </w:r>
      <w:r w:rsidR="002273BE">
        <w:t xml:space="preserve"> </w:t>
      </w:r>
      <w:r>
        <w:t>also hinder developing comprehensive mitigation strategies.</w:t>
      </w:r>
    </w:p>
    <w:p w:rsidR="00E26B30" w:rsidP="00D11112" w:rsidRDefault="00D11112" w14:paraId="2E508AFC" w14:textId="09685344">
      <w:pPr>
        <w:pStyle w:val="Standard"/>
      </w:pPr>
      <w:r>
        <w:t xml:space="preserve">In general, if an activity or facility is necessary for the operation of a project, or necessary to achieve the project objectives, or a reasonably foreseeable </w:t>
      </w:r>
      <w:r>
        <w:lastRenderedPageBreak/>
        <w:t>consequence of approving the project, then it should be considered an integral project component that should be analyzed within the environmental analysis.</w:t>
      </w:r>
    </w:p>
    <w:p w:rsidR="00B15783" w:rsidP="00B07D02" w:rsidRDefault="0036163C" w14:paraId="2DFEB3BB" w14:textId="21F4BE3E">
      <w:pPr>
        <w:pStyle w:val="Standard"/>
      </w:pPr>
      <w:r>
        <w:t>Here, t</w:t>
      </w:r>
      <w:r w:rsidR="00B15783">
        <w:t>h</w:t>
      </w:r>
      <w:r>
        <w:t>os</w:t>
      </w:r>
      <w:r w:rsidR="00B15783">
        <w:t>e reasonably foreseeable distribution components include two new distribution line segments (totaling approximately 1.7</w:t>
      </w:r>
      <w:r w:rsidR="00DC5A1D">
        <w:t xml:space="preserve"> miles </w:t>
      </w:r>
      <w:r w:rsidR="00B15783">
        <w:t>in length) and three new pad</w:t>
      </w:r>
      <w:r w:rsidR="000522E7">
        <w:t>-</w:t>
      </w:r>
      <w:r w:rsidR="00B15783">
        <w:t>mounted 21/12</w:t>
      </w:r>
      <w:r w:rsidR="00DC5A1D">
        <w:t> kV</w:t>
      </w:r>
      <w:r w:rsidR="00B15783">
        <w:t xml:space="preserve"> transformers, a new distribution (70/21</w:t>
      </w:r>
      <w:r w:rsidR="00DC5A1D">
        <w:t> kV</w:t>
      </w:r>
      <w:r w:rsidR="00B15783">
        <w:t>) transformer within Estrella Substation and reconductoring of approximately 8</w:t>
      </w:r>
      <w:r w:rsidR="00DC5A1D">
        <w:t xml:space="preserve"> miles </w:t>
      </w:r>
      <w:r w:rsidR="00B15783">
        <w:t>of existing distribution lines. The location of these distribution lines is not known at this time and would be determined to serve customer needs as load growth occurs in the vicinity.</w:t>
      </w:r>
    </w:p>
    <w:p w:rsidRPr="00107A7F" w:rsidR="00287376" w:rsidP="00FC5639" w:rsidRDefault="00287376" w14:paraId="7E762E4E" w14:textId="29A3AC6A">
      <w:pPr>
        <w:pStyle w:val="Standard"/>
        <w:ind w:firstLine="0"/>
      </w:pPr>
      <w:r>
        <w:t xml:space="preserve"> </w:t>
      </w:r>
      <w:r>
        <w:tab/>
        <w:t>PG&amp;E supports t</w:t>
      </w:r>
      <w:r w:rsidRPr="00107A7F">
        <w:t>he</w:t>
      </w:r>
      <w:r>
        <w:t xml:space="preserve"> environmentally superior</w:t>
      </w:r>
      <w:r w:rsidRPr="006B5E1E">
        <w:t xml:space="preserve"> </w:t>
      </w:r>
      <w:r>
        <w:t xml:space="preserve">alternative, </w:t>
      </w:r>
      <w:r w:rsidRPr="006B5E1E">
        <w:t>Alternative Combination #2</w:t>
      </w:r>
      <w:r>
        <w:t>,</w:t>
      </w:r>
      <w:r w:rsidRPr="00107A7F">
        <w:t xml:space="preserve"> </w:t>
      </w:r>
      <w:r>
        <w:t xml:space="preserve">which </w:t>
      </w:r>
      <w:r w:rsidRPr="006B5E1E">
        <w:t>includes BS-2</w:t>
      </w:r>
      <w:r w:rsidRPr="00107A7F">
        <w:rPr>
          <w:rStyle w:val="FootnoteReference"/>
        </w:rPr>
        <w:footnoteReference w:id="24"/>
      </w:r>
      <w:r w:rsidRPr="006B5E1E">
        <w:t xml:space="preserve"> and BS-3</w:t>
      </w:r>
      <w:r>
        <w:t>,</w:t>
      </w:r>
      <w:r w:rsidRPr="00107A7F">
        <w:rPr>
          <w:rStyle w:val="FootnoteReference"/>
        </w:rPr>
        <w:footnoteReference w:id="25"/>
      </w:r>
      <w:r>
        <w:t xml:space="preserve"> discussed further in a subsequent section of this decision, in the place of the</w:t>
      </w:r>
      <w:r w:rsidRPr="006B5E1E">
        <w:t xml:space="preserve"> reasonably foreseeable distribution components</w:t>
      </w:r>
      <w:r>
        <w:t xml:space="preserve"> as </w:t>
      </w:r>
      <w:r w:rsidRPr="006B5E1E">
        <w:t>identified in the F</w:t>
      </w:r>
      <w:r>
        <w:t>E</w:t>
      </w:r>
      <w:r w:rsidRPr="006B5E1E">
        <w:t>IR</w:t>
      </w:r>
      <w:r>
        <w:t xml:space="preserve">.   </w:t>
      </w:r>
    </w:p>
    <w:p w:rsidR="00584854" w:rsidP="00584854" w:rsidRDefault="00584854" w14:paraId="3ADCD8F5" w14:textId="4A490E9E">
      <w:pPr>
        <w:pStyle w:val="Heading1"/>
        <w:spacing w:after="0" w:line="360" w:lineRule="auto"/>
        <w:rPr>
          <w:rFonts w:cs="Arial"/>
        </w:rPr>
      </w:pPr>
      <w:bookmarkStart w:name="_Toc161229317" w:id="33"/>
      <w:bookmarkStart w:name="_Toc160479760" w:id="34"/>
      <w:bookmarkStart w:name="_Toc160490838" w:id="35"/>
      <w:bookmarkStart w:name="_Toc160479761" w:id="36"/>
      <w:bookmarkStart w:name="_Toc160490839" w:id="37"/>
      <w:bookmarkStart w:name="_Toc160479762" w:id="38"/>
      <w:bookmarkStart w:name="_Toc160490840" w:id="39"/>
      <w:bookmarkStart w:name="_Toc160479763" w:id="40"/>
      <w:bookmarkStart w:name="_Toc160490841" w:id="41"/>
      <w:bookmarkStart w:name="_Toc160479764" w:id="42"/>
      <w:bookmarkStart w:name="_Toc160490842" w:id="43"/>
      <w:bookmarkStart w:name="_Toc160479765" w:id="44"/>
      <w:bookmarkStart w:name="_Toc160490843" w:id="45"/>
      <w:bookmarkStart w:name="_Toc160479766" w:id="46"/>
      <w:bookmarkStart w:name="_Toc160490844" w:id="47"/>
      <w:bookmarkStart w:name="_Toc160479767" w:id="48"/>
      <w:bookmarkStart w:name="_Toc160490845" w:id="49"/>
      <w:bookmarkStart w:name="_Toc160479768" w:id="50"/>
      <w:bookmarkStart w:name="_Toc160490846" w:id="51"/>
      <w:bookmarkStart w:name="_Toc160479769" w:id="52"/>
      <w:bookmarkStart w:name="_Toc160490847" w:id="53"/>
      <w:bookmarkStart w:name="_Toc160479770" w:id="54"/>
      <w:bookmarkStart w:name="_Toc160490848" w:id="55"/>
      <w:bookmarkStart w:name="_Toc160479771" w:id="56"/>
      <w:bookmarkStart w:name="_Toc160490849" w:id="57"/>
      <w:bookmarkStart w:name="_Toc160479772" w:id="58"/>
      <w:bookmarkStart w:name="_Toc160490850" w:id="59"/>
      <w:bookmarkStart w:name="_Toc160479773" w:id="60"/>
      <w:bookmarkStart w:name="_Toc160490851" w:id="61"/>
      <w:bookmarkStart w:name="_Toc160479774" w:id="62"/>
      <w:bookmarkStart w:name="_Toc160490852" w:id="63"/>
      <w:bookmarkStart w:name="_Toc160479775" w:id="64"/>
      <w:bookmarkStart w:name="_Toc160490853" w:id="65"/>
      <w:bookmarkStart w:name="_Toc160479776" w:id="66"/>
      <w:bookmarkStart w:name="_Toc160490854" w:id="67"/>
      <w:bookmarkStart w:name="_Toc160479777" w:id="68"/>
      <w:bookmarkStart w:name="_Toc160490855" w:id="69"/>
      <w:bookmarkStart w:name="_Toc160479778" w:id="70"/>
      <w:bookmarkStart w:name="_Toc160490856" w:id="71"/>
      <w:bookmarkStart w:name="_Toc160479779" w:id="72"/>
      <w:bookmarkStart w:name="_Toc160490857" w:id="73"/>
      <w:bookmarkStart w:name="_Toc160479780" w:id="74"/>
      <w:bookmarkStart w:name="_Toc160490858" w:id="75"/>
      <w:bookmarkStart w:name="_Toc160479781" w:id="76"/>
      <w:bookmarkStart w:name="_Toc160490859" w:id="77"/>
      <w:bookmarkStart w:name="_Toc160479782" w:id="78"/>
      <w:bookmarkStart w:name="_Toc160490860" w:id="79"/>
      <w:bookmarkStart w:name="_Toc160479783" w:id="80"/>
      <w:bookmarkStart w:name="_Toc160490861" w:id="81"/>
      <w:bookmarkStart w:name="_Toc160479784" w:id="82"/>
      <w:bookmarkStart w:name="_Toc160490862" w:id="83"/>
      <w:bookmarkStart w:name="_Toc160479785" w:id="84"/>
      <w:bookmarkStart w:name="_Toc160490863" w:id="85"/>
      <w:bookmarkStart w:name="_Toc160479786" w:id="86"/>
      <w:bookmarkStart w:name="_Toc160490864" w:id="87"/>
      <w:bookmarkStart w:name="_Toc160479787" w:id="88"/>
      <w:bookmarkStart w:name="_Toc160490865" w:id="89"/>
      <w:bookmarkStart w:name="_Toc160479788" w:id="90"/>
      <w:bookmarkStart w:name="_Toc160490866" w:id="91"/>
      <w:bookmarkStart w:name="_Toc160479789" w:id="92"/>
      <w:bookmarkStart w:name="_Toc160490867" w:id="93"/>
      <w:bookmarkStart w:name="_Toc160479790" w:id="94"/>
      <w:bookmarkStart w:name="_Toc160490868" w:id="95"/>
      <w:bookmarkStart w:name="_Toc160479791" w:id="96"/>
      <w:bookmarkStart w:name="_Toc160490869" w:id="97"/>
      <w:bookmarkStart w:name="_Toc160479792" w:id="98"/>
      <w:bookmarkStart w:name="_Toc160490870" w:id="99"/>
      <w:bookmarkStart w:name="_Toc160479793" w:id="100"/>
      <w:bookmarkStart w:name="_Toc160490871" w:id="101"/>
      <w:bookmarkStart w:name="_Toc160479794" w:id="102"/>
      <w:bookmarkStart w:name="_Toc160490872" w:id="103"/>
      <w:bookmarkStart w:name="_Toc164685404" w:id="10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584854">
        <w:rPr>
          <w:rFonts w:cs="Arial"/>
        </w:rPr>
        <w:t>CEQA Compliance</w:t>
      </w:r>
      <w:bookmarkEnd w:id="104"/>
    </w:p>
    <w:p w:rsidRPr="00DB5D5C" w:rsidR="00D37BE9" w:rsidP="008B1880" w:rsidRDefault="00D37BE9" w14:paraId="2D7F9A3B" w14:textId="1758BA14">
      <w:pPr>
        <w:pStyle w:val="Standard"/>
      </w:pPr>
      <w:r>
        <w:t xml:space="preserve">As discussed below, the FEIR was prepared in compliance with CEQA. </w:t>
      </w:r>
      <w:r w:rsidR="004B645B">
        <w:t>Section </w:t>
      </w:r>
      <w:r w:rsidRPr="00DB5D5C">
        <w:t xml:space="preserve">21061 </w:t>
      </w:r>
      <w:r w:rsidR="00D75673">
        <w:t>o</w:t>
      </w:r>
      <w:r w:rsidR="006856D9">
        <w:t xml:space="preserve">f the California Public Resources Code </w:t>
      </w:r>
      <w:r w:rsidRPr="00DB5D5C">
        <w:t>provides:</w:t>
      </w:r>
    </w:p>
    <w:p w:rsidRPr="00BF759D" w:rsidR="00D37BE9" w:rsidP="00DC3A51" w:rsidRDefault="001223F7" w14:paraId="134C871A" w14:textId="30BB5834">
      <w:pPr>
        <w:pStyle w:val="BlockQuote"/>
        <w:rPr>
          <w:position w:val="8"/>
          <w:sz w:val="14"/>
        </w:rPr>
      </w:pPr>
      <w:r>
        <w:t>T</w:t>
      </w:r>
      <w:r w:rsidRPr="00C70268" w:rsidR="00C70268">
        <w:t>he purpose of an environmental impact report is to provide public agencies and the public in general with detailed information about the effect which a proposed project is likely to have on the environment; to list ways in which the significant effects of such a project might be minimized; and to indicate alternatives to such a project</w:t>
      </w:r>
      <w:r>
        <w:t>.</w:t>
      </w:r>
    </w:p>
    <w:p w:rsidRPr="00BF759D" w:rsidR="00D37BE9" w:rsidP="00DC3A51" w:rsidRDefault="00D37BE9" w14:paraId="79E7B6BA" w14:textId="5959930D">
      <w:pPr>
        <w:pStyle w:val="Standard"/>
        <w:spacing w:before="240"/>
        <w:rPr>
          <w:position w:val="8"/>
          <w:sz w:val="14"/>
        </w:rPr>
      </w:pPr>
      <w:r w:rsidRPr="00DB5D5C">
        <w:lastRenderedPageBreak/>
        <w:t>CEQA Guidelines §</w:t>
      </w:r>
      <w:r w:rsidR="00DC5A1D">
        <w:t>§ </w:t>
      </w:r>
      <w:r w:rsidRPr="00DB5D5C">
        <w:t>15003(</w:t>
      </w:r>
      <w:proofErr w:type="spellStart"/>
      <w:r w:rsidRPr="00DB5D5C">
        <w:t>i</w:t>
      </w:r>
      <w:proofErr w:type="spellEnd"/>
      <w:r w:rsidRPr="00DB5D5C">
        <w:t>) and 15151 articulate that CEQA does not require technical perfection, but rather adequacy, completeness and a good-faith effort at full disclosure.</w:t>
      </w:r>
      <w:r w:rsidRPr="00BF759D">
        <w:t xml:space="preserve"> </w:t>
      </w:r>
      <w:r w:rsidRPr="00DB5D5C">
        <w:t>Courts reviewing an EIR do not pass upon the correctness of the EIR’s environmental conclusions, but only determine if the EIR is sufficient as an informational document.</w:t>
      </w:r>
      <w:r w:rsidRPr="00DB5D5C">
        <w:rPr>
          <w:rStyle w:val="FootnoteReference"/>
        </w:rPr>
        <w:footnoteReference w:id="26"/>
      </w:r>
      <w:r w:rsidRPr="00BF759D">
        <w:rPr>
          <w:position w:val="8"/>
          <w:sz w:val="14"/>
        </w:rPr>
        <w:t xml:space="preserve"> </w:t>
      </w:r>
    </w:p>
    <w:p w:rsidRPr="00DB5D5C" w:rsidR="00D37BE9" w:rsidP="008B1880" w:rsidRDefault="00D37BE9" w14:paraId="4959E5F2" w14:textId="697A84C0">
      <w:pPr>
        <w:pStyle w:val="Standard"/>
      </w:pPr>
      <w:r w:rsidRPr="00DB5D5C">
        <w:t xml:space="preserve">Here, in accordance with </w:t>
      </w:r>
      <w:r w:rsidR="00DC5A1D">
        <w:t>§ </w:t>
      </w:r>
      <w:r w:rsidRPr="00DB5D5C">
        <w:t>15142 of the CEQA Guidelines, the FEIR embodies an interdisciplinary approach that ensures the integrated use of the natural and social sciences and the consideration of qualitative as well as quantitative factors.</w:t>
      </w:r>
      <w:r w:rsidRPr="00BF759D">
        <w:t xml:space="preserve"> </w:t>
      </w:r>
      <w:r w:rsidR="00D2454F">
        <w:t xml:space="preserve">The </w:t>
      </w:r>
      <w:r w:rsidRPr="00DB5D5C">
        <w:t xml:space="preserve">FEIR is comprehensive and detailed, and clearly </w:t>
      </w:r>
      <w:r w:rsidR="00591CD2">
        <w:t>analyzes</w:t>
      </w:r>
      <w:r w:rsidRPr="00DB5D5C" w:rsidR="00591CD2">
        <w:t xml:space="preserve"> </w:t>
      </w:r>
      <w:r w:rsidRPr="00DB5D5C">
        <w:t>the advantages and disadvantages of the Proposed Project, the environmentally superior alternative, and other alternatives</w:t>
      </w:r>
      <w:r w:rsidRPr="00BF759D">
        <w:t>.</w:t>
      </w:r>
    </w:p>
    <w:p w:rsidRPr="00D37BE9" w:rsidR="00D37BE9" w:rsidP="008B1880" w:rsidRDefault="00D37BE9" w14:paraId="568F6B5A" w14:textId="78923A34">
      <w:pPr>
        <w:pStyle w:val="Standard"/>
      </w:pPr>
      <w:r w:rsidRPr="00DB5D5C">
        <w:t>The</w:t>
      </w:r>
      <w:r w:rsidRPr="00BF759D">
        <w:t xml:space="preserve"> </w:t>
      </w:r>
      <w:r w:rsidRPr="00DB5D5C">
        <w:t>FEIR</w:t>
      </w:r>
      <w:r w:rsidRPr="00BF759D">
        <w:t xml:space="preserve"> </w:t>
      </w:r>
      <w:r w:rsidRPr="00DB5D5C">
        <w:t>also</w:t>
      </w:r>
      <w:r w:rsidRPr="00BF759D">
        <w:t xml:space="preserve"> </w:t>
      </w:r>
      <w:r w:rsidRPr="00DB5D5C">
        <w:t>contains</w:t>
      </w:r>
      <w:r w:rsidRPr="00BF759D">
        <w:t xml:space="preserve"> </w:t>
      </w:r>
      <w:r w:rsidRPr="00DB5D5C">
        <w:t>the</w:t>
      </w:r>
      <w:r w:rsidRPr="00BF759D">
        <w:t xml:space="preserve"> </w:t>
      </w:r>
      <w:r w:rsidRPr="00DB5D5C">
        <w:t>specific</w:t>
      </w:r>
      <w:r w:rsidRPr="00BF759D">
        <w:t xml:space="preserve"> </w:t>
      </w:r>
      <w:r w:rsidRPr="00DB5D5C">
        <w:t>information</w:t>
      </w:r>
      <w:r w:rsidRPr="00BF759D">
        <w:t xml:space="preserve"> </w:t>
      </w:r>
      <w:r w:rsidRPr="00DB5D5C">
        <w:t>required</w:t>
      </w:r>
      <w:r w:rsidRPr="00BF759D">
        <w:t xml:space="preserve"> </w:t>
      </w:r>
      <w:r w:rsidRPr="00DB5D5C">
        <w:t>by</w:t>
      </w:r>
      <w:r w:rsidRPr="00BF759D">
        <w:t xml:space="preserve"> </w:t>
      </w:r>
      <w:r w:rsidRPr="00DB5D5C">
        <w:t>CEQA</w:t>
      </w:r>
      <w:r w:rsidRPr="00BF759D">
        <w:t xml:space="preserve"> Guidelines </w:t>
      </w:r>
      <w:r w:rsidRPr="00DB5D5C">
        <w:t>§</w:t>
      </w:r>
      <w:r w:rsidR="00DC5A1D">
        <w:t>§ </w:t>
      </w:r>
      <w:r w:rsidRPr="00DB5D5C">
        <w:t>15120 through 15132.</w:t>
      </w:r>
      <w:r w:rsidRPr="00BF759D">
        <w:t xml:space="preserve"> </w:t>
      </w:r>
      <w:r w:rsidRPr="00DB5D5C">
        <w:t xml:space="preserve">The FEIR consists of </w:t>
      </w:r>
      <w:r w:rsidRPr="00107A7F" w:rsidR="0040659D">
        <w:t>all of the</w:t>
      </w:r>
      <w:r w:rsidRPr="00DB5D5C">
        <w:t xml:space="preserve"> revisions in response to comments and other information received on the DEIR and on the </w:t>
      </w:r>
      <w:r w:rsidRPr="00107A7F" w:rsidR="000F32FE">
        <w:t>RDEIR</w:t>
      </w:r>
      <w:r w:rsidRPr="00107A7F">
        <w:t>.</w:t>
      </w:r>
      <w:r w:rsidRPr="00DB5D5C">
        <w:t xml:space="preserve"> The FEIR includes summary, project description, environmental setting, adequate consideration and discussion of environmental impacts, consideration and discussion of significant environmental impacts, consideration and discussion of mitigation measures to minimize significant impacts, and consideration and discussion of a reasonable range of potentially feasible alternatives to the originally proposed project that would meet the basic project objectives.</w:t>
      </w:r>
    </w:p>
    <w:p w:rsidRPr="00B07D02" w:rsidR="00584854" w:rsidP="0030780A" w:rsidRDefault="00584854" w14:paraId="2EACA6A6" w14:textId="4024CA51">
      <w:pPr>
        <w:pStyle w:val="Heading2"/>
      </w:pPr>
      <w:bookmarkStart w:name="_bookmark29" w:id="105"/>
      <w:bookmarkStart w:name="_Toc164685405" w:id="106"/>
      <w:bookmarkEnd w:id="105"/>
      <w:r w:rsidRPr="00B07D02">
        <w:lastRenderedPageBreak/>
        <w:t>Procedural Compliance</w:t>
      </w:r>
      <w:bookmarkEnd w:id="106"/>
    </w:p>
    <w:p w:rsidR="00287376" w:rsidP="008B1880" w:rsidRDefault="00D37BE9" w14:paraId="4E44CA57" w14:textId="77777777">
      <w:pPr>
        <w:pStyle w:val="Standard"/>
      </w:pPr>
      <w:r>
        <w:t>T</w:t>
      </w:r>
      <w:r w:rsidRPr="00B07D02" w:rsidR="00584854">
        <w:t xml:space="preserve">he Commission’s </w:t>
      </w:r>
      <w:r w:rsidR="00236016">
        <w:t>Energy</w:t>
      </w:r>
      <w:r w:rsidRPr="00B07D02" w:rsidR="00236016">
        <w:t xml:space="preserve"> </w:t>
      </w:r>
      <w:r w:rsidR="001223F7">
        <w:t>D</w:t>
      </w:r>
      <w:r w:rsidRPr="00B07D02" w:rsidR="00584854">
        <w:t xml:space="preserve">ivision </w:t>
      </w:r>
      <w:r>
        <w:t xml:space="preserve">prepared the FEIR in </w:t>
      </w:r>
      <w:r w:rsidRPr="00B07D02" w:rsidR="00584854">
        <w:t>compli</w:t>
      </w:r>
      <w:r>
        <w:t xml:space="preserve">ance with </w:t>
      </w:r>
      <w:r w:rsidRPr="00B07D02" w:rsidR="00584854">
        <w:t xml:space="preserve">the </w:t>
      </w:r>
      <w:r>
        <w:t xml:space="preserve">applicable procedural </w:t>
      </w:r>
      <w:r w:rsidRPr="00B07D02" w:rsidR="00584854">
        <w:t xml:space="preserve">requirements of CEQA and the CEQA Guidelines in the scoping process and in preparation of the FEIR. </w:t>
      </w:r>
    </w:p>
    <w:p w:rsidRPr="00B07D02" w:rsidR="00584854" w:rsidP="008B1880" w:rsidRDefault="00584854" w14:paraId="77031860" w14:textId="18B1D041">
      <w:pPr>
        <w:pStyle w:val="Standard"/>
      </w:pPr>
      <w:r w:rsidRPr="00B07D02">
        <w:t xml:space="preserve">The NOP for the Proposed Project was prepared pursuant to </w:t>
      </w:r>
      <w:r w:rsidR="00DC5A1D">
        <w:t>§ </w:t>
      </w:r>
      <w:r w:rsidRPr="00B07D02">
        <w:t xml:space="preserve">15082 of the CEQA Guidelines and </w:t>
      </w:r>
      <w:r w:rsidR="00287376">
        <w:t>submit</w:t>
      </w:r>
      <w:r w:rsidRPr="00B07D02" w:rsidR="00287376">
        <w:t xml:space="preserve">ted </w:t>
      </w:r>
      <w:r w:rsidRPr="00B07D02">
        <w:t xml:space="preserve">to </w:t>
      </w:r>
      <w:r w:rsidR="00287376">
        <w:t>T</w:t>
      </w:r>
      <w:r w:rsidRPr="00B07D02">
        <w:t xml:space="preserve">he </w:t>
      </w:r>
      <w:r w:rsidR="00287376">
        <w:t xml:space="preserve">Governor’s </w:t>
      </w:r>
      <w:r w:rsidRPr="00B07D02">
        <w:t xml:space="preserve">Office of Planning and Research’s State Clearinghouse on </w:t>
      </w:r>
      <w:r w:rsidR="00325E91">
        <w:t>July </w:t>
      </w:r>
      <w:r w:rsidRPr="00B07D02">
        <w:t>30, 2018.</w:t>
      </w:r>
      <w:r w:rsidRPr="00B07D02">
        <w:rPr>
          <w:position w:val="8"/>
          <w:sz w:val="14"/>
        </w:rPr>
        <w:t xml:space="preserve"> </w:t>
      </w:r>
      <w:r w:rsidR="00287376">
        <w:rPr>
          <w:position w:val="8"/>
          <w:sz w:val="14"/>
        </w:rPr>
        <w:t xml:space="preserve"> </w:t>
      </w:r>
      <w:r w:rsidRPr="00B07D02">
        <w:t xml:space="preserve">A revised NOP was </w:t>
      </w:r>
      <w:r w:rsidR="00EB4FCF">
        <w:t>submit</w:t>
      </w:r>
      <w:r w:rsidRPr="00B07D02">
        <w:t xml:space="preserve">ted on </w:t>
      </w:r>
      <w:r w:rsidR="00325E91">
        <w:t>August </w:t>
      </w:r>
      <w:r w:rsidRPr="00B07D02">
        <w:t>1, 2018. The scoping period continued for thirty</w:t>
      </w:r>
      <w:r w:rsidR="00DC5A1D">
        <w:t> days</w:t>
      </w:r>
      <w:r w:rsidRPr="00B07D02">
        <w:t xml:space="preserve"> and concluded on </w:t>
      </w:r>
      <w:r w:rsidR="00325E91">
        <w:t>August </w:t>
      </w:r>
      <w:r w:rsidRPr="00B07D02">
        <w:t>31, 2018.</w:t>
      </w:r>
      <w:bookmarkStart w:name="_bookmark30" w:id="107"/>
      <w:bookmarkEnd w:id="107"/>
      <w:r w:rsidRPr="00B07D02">
        <w:t xml:space="preserve"> </w:t>
      </w:r>
    </w:p>
    <w:p w:rsidRPr="00B07D02" w:rsidR="00584854" w:rsidP="008B1880" w:rsidRDefault="00584854" w14:paraId="3081E980" w14:textId="516B2382">
      <w:pPr>
        <w:pStyle w:val="Standard"/>
        <w:rPr>
          <w:sz w:val="14"/>
        </w:rPr>
      </w:pPr>
      <w:r w:rsidRPr="00B07D02">
        <w:t>The NOP presented general background information on the Proposed Project, the scoping process, the environmental issues to be addressed in the EIR, and the anticipated uses of the EIR. The NOP was posted online, and more than 200 hard copies of the NOP were distributed by mail to a broad range of stakeholders including state, federal, and local regulatory agencies and jurisdictions, non-profit organizations, and property owners in the vicinity of the Proposed Project.</w:t>
      </w:r>
      <w:r w:rsidRPr="00B07D02">
        <w:rPr>
          <w:position w:val="8"/>
          <w:sz w:val="14"/>
        </w:rPr>
        <w:t xml:space="preserve"> </w:t>
      </w:r>
      <w:r w:rsidRPr="00B07D02">
        <w:t xml:space="preserve">On </w:t>
      </w:r>
      <w:r w:rsidR="00325E91">
        <w:t>August </w:t>
      </w:r>
      <w:r w:rsidRPr="00B07D02">
        <w:t>2 and 5, 2018, an announcement of the release of the NOP, including the dates, times, and locations of scoping meetings, was published in the local newspaper.</w:t>
      </w:r>
      <w:r w:rsidRPr="00B07D02">
        <w:rPr>
          <w:position w:val="8"/>
          <w:sz w:val="14"/>
        </w:rPr>
        <w:t xml:space="preserve"> </w:t>
      </w:r>
      <w:r w:rsidRPr="00B07D02">
        <w:t xml:space="preserve">A public scoping meeting was held on </w:t>
      </w:r>
      <w:r w:rsidR="00325E91">
        <w:t>August </w:t>
      </w:r>
      <w:r w:rsidRPr="00B07D02">
        <w:t xml:space="preserve">7, 2018 in </w:t>
      </w:r>
      <w:r w:rsidR="00325E91">
        <w:t>Paso </w:t>
      </w:r>
      <w:r w:rsidRPr="00B07D02">
        <w:t>Robles.</w:t>
      </w:r>
      <w:r w:rsidRPr="00B07D02">
        <w:rPr>
          <w:position w:val="8"/>
          <w:sz w:val="14"/>
        </w:rPr>
        <w:t xml:space="preserve"> </w:t>
      </w:r>
      <w:r w:rsidRPr="00B07D02">
        <w:t xml:space="preserve">During the scoping period, the Commission received letters from the public, from </w:t>
      </w:r>
      <w:r w:rsidR="0033660C">
        <w:t>several</w:t>
      </w:r>
      <w:r w:rsidRPr="00B07D02">
        <w:t xml:space="preserve"> public agencies</w:t>
      </w:r>
      <w:r w:rsidR="0033660C">
        <w:t xml:space="preserve"> (</w:t>
      </w:r>
      <w:r w:rsidRPr="0033660C" w:rsidR="0033660C">
        <w:t xml:space="preserve">Paso Robles, County of San Luis Obispo, California Department of Conservation, </w:t>
      </w:r>
      <w:r w:rsidR="0033660C">
        <w:t xml:space="preserve">and </w:t>
      </w:r>
      <w:r w:rsidRPr="0033660C" w:rsidR="0033660C">
        <w:t>California Native American Heritage Commission</w:t>
      </w:r>
      <w:r w:rsidR="0033660C">
        <w:t xml:space="preserve">), </w:t>
      </w:r>
      <w:r w:rsidRPr="00B07D02">
        <w:t xml:space="preserve">and from the </w:t>
      </w:r>
      <w:proofErr w:type="spellStart"/>
      <w:r w:rsidRPr="00B07D02">
        <w:t>Xolon</w:t>
      </w:r>
      <w:proofErr w:type="spellEnd"/>
      <w:r w:rsidRPr="00B07D02">
        <w:t xml:space="preserve"> Salinan tribe.</w:t>
      </w:r>
      <w:r w:rsidRPr="00B07D02">
        <w:rPr>
          <w:sz w:val="14"/>
        </w:rPr>
        <w:t xml:space="preserve"> </w:t>
      </w:r>
    </w:p>
    <w:p w:rsidRPr="00B07D02" w:rsidR="00584854" w:rsidP="008B1880" w:rsidRDefault="00584854" w14:paraId="02E79A03" w14:textId="1C43B815">
      <w:pPr>
        <w:pStyle w:val="Standard"/>
      </w:pPr>
      <w:r w:rsidRPr="00B07D02">
        <w:t xml:space="preserve">To identify a reasonable range of potentially feasible alternatives for consideration in the </w:t>
      </w:r>
      <w:r w:rsidRPr="00107A7F" w:rsidR="000F32FE">
        <w:t>DEIR</w:t>
      </w:r>
      <w:r w:rsidRPr="00B07D02">
        <w:t xml:space="preserve">, </w:t>
      </w:r>
      <w:r w:rsidR="00EB4FCF">
        <w:t xml:space="preserve">the Commission prepared </w:t>
      </w:r>
      <w:r w:rsidRPr="00B07D02">
        <w:t>a</w:t>
      </w:r>
      <w:r w:rsidR="00EB4FCF">
        <w:t xml:space="preserve"> Draft</w:t>
      </w:r>
      <w:r w:rsidRPr="00B07D02">
        <w:t xml:space="preserve"> Alternatives Screening Report (ASR) and circulated </w:t>
      </w:r>
      <w:r w:rsidR="00EB4FCF">
        <w:t>it for</w:t>
      </w:r>
      <w:r w:rsidRPr="00B07D02">
        <w:t xml:space="preserve"> public review from </w:t>
      </w:r>
      <w:r w:rsidR="00325E91">
        <w:t>March </w:t>
      </w:r>
      <w:r w:rsidRPr="00B07D02">
        <w:t>28, 2019</w:t>
      </w:r>
      <w:r w:rsidR="00EB4FCF">
        <w:t>,</w:t>
      </w:r>
      <w:r w:rsidRPr="00B07D02">
        <w:t xml:space="preserve"> </w:t>
      </w:r>
      <w:r w:rsidRPr="00B07D02">
        <w:lastRenderedPageBreak/>
        <w:t xml:space="preserve">to </w:t>
      </w:r>
      <w:r w:rsidR="00325E91">
        <w:t>May </w:t>
      </w:r>
      <w:r w:rsidRPr="00B07D02">
        <w:t>10, 2019.</w:t>
      </w:r>
      <w:r w:rsidRPr="00B07D02">
        <w:rPr>
          <w:position w:val="8"/>
          <w:sz w:val="14"/>
        </w:rPr>
        <w:t xml:space="preserve"> </w:t>
      </w:r>
      <w:r w:rsidRPr="00B07D02">
        <w:t>The Energy Division considered the comments received on the Draft ASR and prepared a Final ASR. Preparation and circulation of the ASR was not required by CEQA</w:t>
      </w:r>
      <w:r w:rsidR="00343007">
        <w:t xml:space="preserve"> but was done to engage the affected communities to ensure that </w:t>
      </w:r>
      <w:r w:rsidR="007655F5">
        <w:t xml:space="preserve">their </w:t>
      </w:r>
      <w:r w:rsidR="00343007">
        <w:t xml:space="preserve">ample public input on the range of alternatives </w:t>
      </w:r>
      <w:r w:rsidR="007655F5">
        <w:t xml:space="preserve">was </w:t>
      </w:r>
      <w:r w:rsidR="00343007">
        <w:t>considered for the Proposed Project</w:t>
      </w:r>
      <w:r w:rsidRPr="00B07D02">
        <w:t>.</w:t>
      </w:r>
    </w:p>
    <w:p w:rsidRPr="00B07D02" w:rsidR="00584854" w:rsidP="008B1880" w:rsidRDefault="00584854" w14:paraId="0A0C15A6" w14:textId="5132B091">
      <w:pPr>
        <w:pStyle w:val="Standard"/>
        <w:rPr>
          <w:sz w:val="14"/>
        </w:rPr>
      </w:pPr>
      <w:r w:rsidRPr="00B07D02">
        <w:t xml:space="preserve">The DEIR (State Clearinghouse No. 2018072071) was issued on </w:t>
      </w:r>
      <w:r w:rsidR="00325E91">
        <w:t>December </w:t>
      </w:r>
      <w:r w:rsidRPr="00B07D02">
        <w:t>8, 2020.</w:t>
      </w:r>
      <w:r w:rsidRPr="00B07D02">
        <w:rPr>
          <w:position w:val="8"/>
          <w:sz w:val="14"/>
        </w:rPr>
        <w:t xml:space="preserve"> </w:t>
      </w:r>
      <w:r w:rsidR="00807F3E">
        <w:rPr>
          <w:position w:val="8"/>
          <w:sz w:val="14"/>
        </w:rPr>
        <w:t xml:space="preserve"> </w:t>
      </w:r>
      <w:r w:rsidR="00807F3E">
        <w:t>I</w:t>
      </w:r>
      <w:r w:rsidRPr="00807F3E" w:rsidR="00807F3E">
        <w:t>n accordance with §</w:t>
      </w:r>
      <w:r w:rsidR="00DC5A1D">
        <w:t>§ </w:t>
      </w:r>
      <w:r w:rsidRPr="00807F3E" w:rsidR="00807F3E">
        <w:t>15085 and 15087 of the CEQA Guidelines</w:t>
      </w:r>
      <w:r w:rsidR="00807F3E">
        <w:t>, the</w:t>
      </w:r>
      <w:r w:rsidRPr="00B07D02">
        <w:t xml:space="preserve"> Notice of Completion (NOC) was filed with the State Clearinghouse</w:t>
      </w:r>
      <w:r w:rsidR="00807F3E">
        <w:t>,</w:t>
      </w:r>
      <w:r w:rsidRPr="00B07D02">
        <w:t xml:space="preserve"> and </w:t>
      </w:r>
      <w:r w:rsidRPr="00807F3E" w:rsidR="00807F3E">
        <w:t xml:space="preserve">the Notice of Availability (NOA) </w:t>
      </w:r>
      <w:r w:rsidR="00807F3E">
        <w:t xml:space="preserve">was </w:t>
      </w:r>
      <w:r w:rsidRPr="00B07D02">
        <w:t>distributed and posted</w:t>
      </w:r>
      <w:r w:rsidRPr="00107A7F" w:rsidR="00332290">
        <w:t>.</w:t>
      </w:r>
      <w:r w:rsidRPr="00B07D02">
        <w:t xml:space="preserve"> The DEIR was circulated for public review for 76</w:t>
      </w:r>
      <w:r w:rsidR="00DC5A1D">
        <w:t> days</w:t>
      </w:r>
      <w:r w:rsidRPr="00B07D02">
        <w:t xml:space="preserve">, which exceeds the </w:t>
      </w:r>
      <w:bookmarkStart w:name="_bookmark32" w:id="108"/>
      <w:bookmarkStart w:name="_bookmark34" w:id="109"/>
      <w:bookmarkEnd w:id="108"/>
      <w:bookmarkEnd w:id="109"/>
      <w:r w:rsidRPr="00B07D02">
        <w:t>minimum and maximum time periods in §</w:t>
      </w:r>
      <w:r w:rsidR="00DC5A1D">
        <w:t>§ </w:t>
      </w:r>
      <w:r w:rsidRPr="00B07D02">
        <w:t xml:space="preserve">15087 and 15105 of the CEQA </w:t>
      </w:r>
      <w:r w:rsidRPr="00EB4FCF">
        <w:t>Guidelines</w:t>
      </w:r>
      <w:r w:rsidRPr="00EB4FCF" w:rsidR="00EB4FCF">
        <w:t xml:space="preserve"> (</w:t>
      </w:r>
      <w:r w:rsidRPr="00FC5639" w:rsidR="00EB4FCF">
        <w:t xml:space="preserve">30 days </w:t>
      </w:r>
      <w:r w:rsidRPr="00EB4FCF" w:rsidR="00EB4FCF">
        <w:t xml:space="preserve">and </w:t>
      </w:r>
      <w:r w:rsidRPr="00FC5639" w:rsidR="00EB4FCF">
        <w:t>60 days</w:t>
      </w:r>
      <w:r w:rsidRPr="00EB4FCF" w:rsidR="00EB4FCF">
        <w:t>, respectively)</w:t>
      </w:r>
      <w:r w:rsidRPr="00EB4FCF">
        <w:t>.</w:t>
      </w:r>
      <w:r w:rsidRPr="00B07D02">
        <w:t xml:space="preserve"> This reflected a three-week extension of the original 55-day review period to give parties additional time as an accommodation in light of the COVID-19 pandemic, which was an unusual occurrence that justified the longer comment period.</w:t>
      </w:r>
      <w:r w:rsidRPr="00B07D02">
        <w:rPr>
          <w:position w:val="8"/>
          <w:sz w:val="14"/>
        </w:rPr>
        <w:t xml:space="preserve"> </w:t>
      </w:r>
      <w:r w:rsidRPr="00B07D02">
        <w:t xml:space="preserve">The Commission held two public meetings during the comment period, both on </w:t>
      </w:r>
      <w:r w:rsidR="00325E91">
        <w:t>December </w:t>
      </w:r>
      <w:r w:rsidRPr="00B07D02">
        <w:t xml:space="preserve">15, 2020. The due date for comments on the DEIR (as extended) was </w:t>
      </w:r>
      <w:r w:rsidR="00325E91">
        <w:t>February </w:t>
      </w:r>
      <w:r w:rsidRPr="00B07D02">
        <w:t xml:space="preserve">21, 2021. The Commission received 131 letters </w:t>
      </w:r>
      <w:r w:rsidR="00EB4FCF">
        <w:t>on</w:t>
      </w:r>
      <w:r w:rsidRPr="00B07D02" w:rsidR="00EB4FCF">
        <w:t xml:space="preserve"> </w:t>
      </w:r>
      <w:r w:rsidRPr="00B07D02">
        <w:t xml:space="preserve">the DEIR </w:t>
      </w:r>
      <w:r w:rsidR="00EB4FCF">
        <w:t xml:space="preserve">during the </w:t>
      </w:r>
      <w:r w:rsidRPr="00B07D02">
        <w:t>public review period.</w:t>
      </w:r>
      <w:r w:rsidRPr="00B07D02">
        <w:rPr>
          <w:sz w:val="14"/>
        </w:rPr>
        <w:t xml:space="preserve"> </w:t>
      </w:r>
    </w:p>
    <w:p w:rsidRPr="00B07D02" w:rsidR="00584854" w:rsidP="008B1880" w:rsidRDefault="00584854" w14:paraId="0CA72966" w14:textId="482DFBE9">
      <w:pPr>
        <w:pStyle w:val="Standard"/>
        <w:rPr>
          <w:sz w:val="24"/>
        </w:rPr>
      </w:pPr>
      <w:r w:rsidRPr="00B07D02">
        <w:t xml:space="preserve">On </w:t>
      </w:r>
      <w:r w:rsidR="00DE36C5">
        <w:t>November </w:t>
      </w:r>
      <w:r w:rsidRPr="00B07D02">
        <w:t xml:space="preserve">18, 2021, the Energy Division published the </w:t>
      </w:r>
      <w:r w:rsidRPr="00107A7F" w:rsidR="000F32FE">
        <w:t>RDEIR</w:t>
      </w:r>
      <w:r w:rsidRPr="00B07D02">
        <w:t xml:space="preserve"> based on Horizon West’s purchase of an additional five acres of the land at the site of the Estrella Substation and based on CURE’s comments regarding the DEIR’s air quality analysis. </w:t>
      </w:r>
      <w:r w:rsidR="000C1FEE">
        <w:t xml:space="preserve">The </w:t>
      </w:r>
      <w:r w:rsidRPr="00107A7F" w:rsidR="000F32FE">
        <w:t>RDEIR</w:t>
      </w:r>
      <w:r w:rsidRPr="00B07D02">
        <w:t xml:space="preserve"> consists of certain sections of the DEIR that were recirculated for comment, namely Chapter 2 (Project Description), </w:t>
      </w:r>
      <w:r w:rsidR="004B645B">
        <w:t>Section </w:t>
      </w:r>
      <w:r w:rsidRPr="00B07D02">
        <w:t xml:space="preserve">4.2 (Agricultural Resources and Forestry Resources), and </w:t>
      </w:r>
      <w:r w:rsidR="004B645B">
        <w:t>Section </w:t>
      </w:r>
      <w:r w:rsidRPr="00B07D02">
        <w:t xml:space="preserve">4.3 (Air Quality) (such recirculated sections are the RDEIR). The Commission’s </w:t>
      </w:r>
      <w:r w:rsidR="002623C8">
        <w:t>Energy Division</w:t>
      </w:r>
      <w:r w:rsidR="003F5076">
        <w:t xml:space="preserve"> </w:t>
      </w:r>
      <w:r w:rsidRPr="00B07D02">
        <w:t xml:space="preserve">followed the same noticing procedures as for original DEIR, and filed a NOC, </w:t>
      </w:r>
      <w:r w:rsidRPr="00B07D02">
        <w:lastRenderedPageBreak/>
        <w:t xml:space="preserve">along with the </w:t>
      </w:r>
      <w:r w:rsidRPr="00107A7F" w:rsidR="000F32FE">
        <w:t>RDEIR</w:t>
      </w:r>
      <w:r w:rsidRPr="00B07D02">
        <w:t xml:space="preserve">, with the State Clearinghouse. The Commission’s </w:t>
      </w:r>
      <w:r w:rsidR="002623C8">
        <w:t>Energy Division</w:t>
      </w:r>
      <w:r w:rsidRPr="00B07D02" w:rsidR="003F5076">
        <w:t xml:space="preserve"> </w:t>
      </w:r>
      <w:r w:rsidRPr="00B07D02">
        <w:t xml:space="preserve">also sent a NOA for the </w:t>
      </w:r>
      <w:r w:rsidRPr="00107A7F" w:rsidR="000F32FE">
        <w:t>RDEIR</w:t>
      </w:r>
      <w:r w:rsidRPr="00B07D02">
        <w:t xml:space="preserve"> to all property owners within 1,000 feet of the </w:t>
      </w:r>
      <w:r w:rsidR="000C1FEE">
        <w:t xml:space="preserve">Proposed </w:t>
      </w:r>
      <w:r w:rsidRPr="00B07D02">
        <w:t xml:space="preserve">Project or alternatives components, all trustee agencies, individuals who submitted comments during previous public review periods for the </w:t>
      </w:r>
      <w:r w:rsidR="000C1FEE">
        <w:t xml:space="preserve">Proposed </w:t>
      </w:r>
      <w:r w:rsidRPr="00B07D02">
        <w:t xml:space="preserve">Project, and any person or organization requesting a copy. The </w:t>
      </w:r>
      <w:r w:rsidRPr="00107A7F" w:rsidR="000F32FE">
        <w:t>RDEIR</w:t>
      </w:r>
      <w:r w:rsidRPr="00B07D02">
        <w:t xml:space="preserve"> was available for public review for 55</w:t>
      </w:r>
      <w:r w:rsidR="00DC5A1D">
        <w:t> days</w:t>
      </w:r>
      <w:r w:rsidRPr="00B07D02">
        <w:t xml:space="preserve">, with comments due on </w:t>
      </w:r>
      <w:r w:rsidR="00325E91">
        <w:t>January </w:t>
      </w:r>
      <w:r w:rsidRPr="00B07D02">
        <w:t xml:space="preserve">12, 2022. </w:t>
      </w:r>
    </w:p>
    <w:p w:rsidRPr="00B07D02" w:rsidR="00584854" w:rsidP="008B1880" w:rsidRDefault="00584854" w14:paraId="03EBD8FC" w14:textId="2D3D66DF">
      <w:pPr>
        <w:pStyle w:val="Standard"/>
      </w:pPr>
      <w:r w:rsidRPr="00B07D02">
        <w:t xml:space="preserve">On </w:t>
      </w:r>
      <w:r w:rsidR="00DE36C5">
        <w:t>April </w:t>
      </w:r>
      <w:r w:rsidRPr="00B07D02">
        <w:t xml:space="preserve">3, 2023, the Energy Division published the FEIR. The FEIR considered and included responses to all of the voluminous comments received during the public review period for both the DEIR and the </w:t>
      </w:r>
      <w:r w:rsidRPr="00107A7F" w:rsidR="000F32FE">
        <w:t>RDEIR</w:t>
      </w:r>
      <w:r w:rsidRPr="00B07D02">
        <w:t xml:space="preserve"> as well as the revisions in response to comments in accordance with </w:t>
      </w:r>
      <w:r w:rsidR="00DC5A1D">
        <w:t>§ </w:t>
      </w:r>
      <w:r w:rsidRPr="00B07D02">
        <w:t>15088 of the CEQA Guidelines.</w:t>
      </w:r>
      <w:r w:rsidRPr="00B07D02">
        <w:rPr>
          <w:rStyle w:val="FootnoteReference"/>
        </w:rPr>
        <w:footnoteReference w:id="27"/>
      </w:r>
      <w:r w:rsidRPr="00B07D02">
        <w:t xml:space="preserve"> The FEIR includes a new Volume 3 containing all comments submitted on the DEIR and on the </w:t>
      </w:r>
      <w:r w:rsidRPr="00107A7F" w:rsidR="000F32FE">
        <w:t>RDEIR</w:t>
      </w:r>
      <w:r w:rsidRPr="00B07D02">
        <w:t xml:space="preserve">, and responses to all comments. </w:t>
      </w:r>
    </w:p>
    <w:p w:rsidRPr="00B07D02" w:rsidR="00584854" w:rsidP="0030780A" w:rsidRDefault="00D37BE9" w14:paraId="09EFE2D7" w14:textId="5FB47BEB">
      <w:pPr>
        <w:pStyle w:val="Heading2"/>
      </w:pPr>
      <w:bookmarkStart w:name="_bookmark41" w:id="110"/>
      <w:bookmarkStart w:name="_Toc164685406" w:id="111"/>
      <w:bookmarkEnd w:id="110"/>
      <w:r>
        <w:t>Project Alternatives Consider</w:t>
      </w:r>
      <w:r w:rsidR="00307A3C">
        <w:t>ation</w:t>
      </w:r>
      <w:bookmarkEnd w:id="111"/>
    </w:p>
    <w:p w:rsidR="00D37BE9" w:rsidP="00D37BE9" w:rsidRDefault="00D37BE9" w14:paraId="42B120DB" w14:textId="725D3F53">
      <w:pPr>
        <w:pStyle w:val="Standard"/>
      </w:pPr>
      <w:bookmarkStart w:name="_bookmark44" w:id="112"/>
      <w:bookmarkEnd w:id="112"/>
      <w:r w:rsidRPr="009C7572">
        <w:t xml:space="preserve">The </w:t>
      </w:r>
      <w:r>
        <w:t>F</w:t>
      </w:r>
      <w:r w:rsidRPr="009C7572">
        <w:t xml:space="preserve">EIR analyzed several potentially feasible alternatives </w:t>
      </w:r>
      <w:r>
        <w:t xml:space="preserve">in varied combinations of </w:t>
      </w:r>
      <w:r w:rsidRPr="009C7572">
        <w:t xml:space="preserve">the elements of the </w:t>
      </w:r>
      <w:r>
        <w:t>P</w:t>
      </w:r>
      <w:r w:rsidRPr="009C7572">
        <w:t xml:space="preserve">roposed </w:t>
      </w:r>
      <w:r>
        <w:t>P</w:t>
      </w:r>
      <w:r w:rsidRPr="009C7572">
        <w:t>roject</w:t>
      </w:r>
      <w:r>
        <w:t xml:space="preserve"> to achieve project objectives</w:t>
      </w:r>
      <w:r w:rsidRPr="009C7572">
        <w:t xml:space="preserve">. The </w:t>
      </w:r>
      <w:r>
        <w:t>F</w:t>
      </w:r>
      <w:r w:rsidRPr="009C7572">
        <w:t>EIR also considered a No Project Alternative that assessed the reasonably foreseeable environmental impacts if the project or a</w:t>
      </w:r>
      <w:r w:rsidR="00343007">
        <w:t>nother project</w:t>
      </w:r>
      <w:r w:rsidRPr="009C7572">
        <w:t xml:space="preserve"> alternative w</w:t>
      </w:r>
      <w:r w:rsidR="002623C8">
        <w:t>as</w:t>
      </w:r>
      <w:r w:rsidRPr="009C7572">
        <w:t xml:space="preserve"> not approved.</w:t>
      </w:r>
      <w:r>
        <w:t xml:space="preserve"> </w:t>
      </w:r>
      <w:r w:rsidRPr="009C7572">
        <w:t>Several other alternatives were also considered, but ultimately dismissed from further detailed analysis in the FEIR for one or more of the following reasons: (1) the alternative was infeasible;</w:t>
      </w:r>
      <w:r w:rsidR="00151053">
        <w:rPr>
          <w:rStyle w:val="FootnoteReference"/>
        </w:rPr>
        <w:footnoteReference w:id="28"/>
      </w:r>
      <w:r w:rsidRPr="009C7572">
        <w:t xml:space="preserve"> (2) the alternative failed to meet the basic project objectives; or (3) the alternative would not avoid or substantially reduce one or more significant impacts of the Proposed </w:t>
      </w:r>
      <w:r w:rsidRPr="009C7572">
        <w:lastRenderedPageBreak/>
        <w:t>Project.</w:t>
      </w:r>
      <w:r>
        <w:rPr>
          <w:rStyle w:val="FootnoteReference"/>
        </w:rPr>
        <w:footnoteReference w:id="29"/>
      </w:r>
      <w:r>
        <w:t xml:space="preserve"> Those </w:t>
      </w:r>
      <w:r w:rsidRPr="009C7899">
        <w:t xml:space="preserve">potentially feasible alternatives </w:t>
      </w:r>
      <w:r>
        <w:t>analyzed in the FEIR are summarized below.</w:t>
      </w:r>
    </w:p>
    <w:p w:rsidR="00D37BE9" w:rsidP="0030780A" w:rsidRDefault="00D37BE9" w14:paraId="204649E7" w14:textId="77777777">
      <w:pPr>
        <w:pStyle w:val="Heading3"/>
      </w:pPr>
      <w:bookmarkStart w:name="_Toc164685407" w:id="113"/>
      <w:r w:rsidRPr="00676260">
        <w:t>No Project Alternative</w:t>
      </w:r>
      <w:bookmarkEnd w:id="113"/>
    </w:p>
    <w:p w:rsidRPr="00DB5D5C" w:rsidR="00D37BE9" w:rsidP="00D37BE9" w:rsidRDefault="00D37BE9" w14:paraId="438DDC50" w14:textId="45847608">
      <w:pPr>
        <w:pStyle w:val="Standard"/>
      </w:pPr>
      <w:r>
        <w:t>Under the No Project Alternative, Horizon West and PG&amp;E would not construct or operate the substation or new and reconductored 70</w:t>
      </w:r>
      <w:r w:rsidR="00DC5A1D">
        <w:t> kV</w:t>
      </w:r>
      <w:r>
        <w:t xml:space="preserve"> power line segments. The No Project Alternative would not provide transmission system redundancy, increased distribution capacity or improved electrical service reliability.</w:t>
      </w:r>
    </w:p>
    <w:p w:rsidR="00D37BE9" w:rsidP="0030780A" w:rsidRDefault="00D37BE9" w14:paraId="3449C826" w14:textId="16E962BB">
      <w:pPr>
        <w:pStyle w:val="Heading3"/>
      </w:pPr>
      <w:bookmarkStart w:name="_Toc164685408" w:id="114"/>
      <w:r>
        <w:t>Alternative Combinations</w:t>
      </w:r>
      <w:bookmarkEnd w:id="114"/>
    </w:p>
    <w:p w:rsidR="00D37BE9" w:rsidP="0030780A" w:rsidRDefault="00D37BE9" w14:paraId="0D90208A" w14:textId="0D720825">
      <w:pPr>
        <w:pStyle w:val="Heading4"/>
      </w:pPr>
      <w:bookmarkStart w:name="_Toc164685409" w:id="115"/>
      <w:r>
        <w:t>Alternative Combination</w:t>
      </w:r>
      <w:r w:rsidR="0030780A">
        <w:t> </w:t>
      </w:r>
      <w:r w:rsidR="00BF6C07">
        <w:t>#</w:t>
      </w:r>
      <w:r>
        <w:t>1</w:t>
      </w:r>
      <w:bookmarkEnd w:id="115"/>
    </w:p>
    <w:p w:rsidR="00D37BE9" w:rsidP="00D37BE9" w:rsidRDefault="00D37BE9" w14:paraId="6D3D1397" w14:textId="053D723E">
      <w:pPr>
        <w:pStyle w:val="Standard"/>
      </w:pPr>
      <w:r>
        <w:t xml:space="preserve">Alternative Combination </w:t>
      </w:r>
      <w:r w:rsidR="00BF6C07">
        <w:t>#</w:t>
      </w:r>
      <w:r>
        <w:t xml:space="preserve">1 consists of the Estrella Substation Site (a component of the Proposed Project described above), the same power line route as the Proposed Project with strategic undergrounding in the vicinity of Golden Hill </w:t>
      </w:r>
      <w:r w:rsidR="000C1FEE">
        <w:t>R</w:t>
      </w:r>
      <w:r>
        <w:t>oad (PLR-3), and battery storage procurement in lieu of the reasonably foreseeable distribution components (BS-2 and BS-3).</w:t>
      </w:r>
    </w:p>
    <w:p w:rsidR="00D37BE9" w:rsidP="00D37BE9" w:rsidRDefault="00D37BE9" w14:paraId="5B25704E" w14:textId="4D9ACB7E">
      <w:pPr>
        <w:pStyle w:val="Standard"/>
      </w:pPr>
      <w:r>
        <w:t>Strategic Undergrounding would involve undergrounding the portion of the Proposed Project’s new 70</w:t>
      </w:r>
      <w:r w:rsidR="00DC5A1D">
        <w:t> kV</w:t>
      </w:r>
      <w:r>
        <w:t xml:space="preserve"> power line that passes through the Golden Hill Road area north of SR</w:t>
      </w:r>
      <w:r w:rsidR="002273BE">
        <w:t> </w:t>
      </w:r>
      <w:r>
        <w:t xml:space="preserve">46. Two underground route options were considered: </w:t>
      </w:r>
    </w:p>
    <w:p w:rsidR="00D37BE9" w:rsidP="00DC3A51" w:rsidRDefault="00D37BE9" w14:paraId="46524244" w14:textId="1D8BCA2F">
      <w:pPr>
        <w:pStyle w:val="BlockQuote"/>
      </w:pPr>
      <w:r>
        <w:t>Option 1 would begin where the proposed power line alignment turns west to parallel Wisteria Lane, would turn north along Germaine Way, and then turn west to follow Wisteria Lane. Where Wisteria Lane meets Golden Hill Road, Option 1 turns north following Golden Hill Road and continues north past Lake Place until the point at which the proposed 70</w:t>
      </w:r>
      <w:r w:rsidR="00DC5A1D">
        <w:t> kV</w:t>
      </w:r>
      <w:r>
        <w:t xml:space="preserve"> alignment turns to the west. </w:t>
      </w:r>
    </w:p>
    <w:p w:rsidR="00D37BE9" w:rsidP="00DC3A51" w:rsidRDefault="00D37BE9" w14:paraId="0F9F1F67" w14:textId="7C2095FF">
      <w:pPr>
        <w:pStyle w:val="BlockQuote"/>
        <w:spacing w:before="240"/>
      </w:pPr>
      <w:r>
        <w:t>Option 2 would be</w:t>
      </w:r>
      <w:r>
        <w:rPr>
          <w:b/>
        </w:rPr>
        <w:t xml:space="preserve"> </w:t>
      </w:r>
      <w:r w:rsidRPr="00547FF1">
        <w:rPr>
          <w:bCs/>
        </w:rPr>
        <w:t>s</w:t>
      </w:r>
      <w:r>
        <w:t xml:space="preserve">imilar to Option 1 except that instead of turning west and following Wisteria Lane, it would follow the proposed </w:t>
      </w:r>
      <w:r>
        <w:lastRenderedPageBreak/>
        <w:t>70</w:t>
      </w:r>
      <w:r w:rsidR="00DC5A1D">
        <w:t> kV</w:t>
      </w:r>
      <w:r>
        <w:t xml:space="preserve"> power line alignment behind San Antonio Winery. After reaching Golden Hill Road, Option 2 would be identical to Option 1.</w:t>
      </w:r>
    </w:p>
    <w:p w:rsidR="00D37BE9" w:rsidP="00DC3A51" w:rsidRDefault="00D37BE9" w14:paraId="7ED8C449" w14:textId="6C7BC9C2">
      <w:pPr>
        <w:pStyle w:val="Standard"/>
        <w:spacing w:before="240"/>
      </w:pPr>
      <w:bookmarkStart w:name="_Hlk160630246" w:id="116"/>
      <w:r>
        <w:t>In lieu of the reasonably foreseeable distribution components of the Proposed Project (described above),</w:t>
      </w:r>
      <w:r w:rsidRPr="00C320DA">
        <w:t xml:space="preserve"> front</w:t>
      </w:r>
      <w:r w:rsidRPr="00C320DA">
        <w:noBreakHyphen/>
        <w:t>of</w:t>
      </w:r>
      <w:r w:rsidRPr="00C320DA">
        <w:noBreakHyphen/>
        <w:t>the</w:t>
      </w:r>
      <w:r w:rsidRPr="00C320DA">
        <w:noBreakHyphen/>
        <w:t xml:space="preserve">meter battery energy storage systems </w:t>
      </w:r>
      <w:r>
        <w:t>would be installed and</w:t>
      </w:r>
      <w:r w:rsidRPr="00C320DA">
        <w:t xml:space="preserve"> connected to the distribution system</w:t>
      </w:r>
      <w:r>
        <w:t xml:space="preserve"> (BS-2) and behind</w:t>
      </w:r>
      <w:r>
        <w:noBreakHyphen/>
        <w:t>the</w:t>
      </w:r>
      <w:r>
        <w:noBreakHyphen/>
        <w:t>meter solar and battery storage (i.e., “BTM resources”) would be metered at the building</w:t>
      </w:r>
      <w:r>
        <w:noBreakHyphen/>
        <w:t xml:space="preserve">level and could be owned and/or operated by either the building owner or a third-party provider (BS-3). </w:t>
      </w:r>
    </w:p>
    <w:bookmarkEnd w:id="116"/>
    <w:p w:rsidRPr="00DC3E9F" w:rsidR="00D37BE9" w:rsidP="00D37BE9" w:rsidRDefault="00D37BE9" w14:paraId="5CEF168F" w14:textId="77777777">
      <w:pPr>
        <w:pStyle w:val="Standard"/>
      </w:pPr>
      <w:r w:rsidRPr="00C320DA">
        <w:t>BESS facilities</w:t>
      </w:r>
      <w:r>
        <w:t xml:space="preserve"> (BS-2)</w:t>
      </w:r>
      <w:r w:rsidRPr="00C320DA">
        <w:t xml:space="preserve"> would function to “shave” peak loads during periods when energy use along these feeders is high (i.e., reduce peak loads during the summer) to relieve pressure on the area substations and feeders. BESSs would likely operate on a daily cycle where they would discharge during hours of peak demand and charge during hours of lower demand (e.g., nighttime).</w:t>
      </w:r>
    </w:p>
    <w:p w:rsidR="00D37BE9" w:rsidP="00D37BE9" w:rsidRDefault="00D37BE9" w14:paraId="5B415778" w14:textId="421018BB">
      <w:pPr>
        <w:pStyle w:val="Standard"/>
      </w:pPr>
      <w:r>
        <w:t xml:space="preserve">Adoption of BTM resources (BS-3) also could reduce loading on circuits within the </w:t>
      </w:r>
      <w:r w:rsidR="00325E91">
        <w:t>Paso </w:t>
      </w:r>
      <w:r>
        <w:t xml:space="preserve">Robles </w:t>
      </w:r>
      <w:r w:rsidR="00AC08F5">
        <w:t>Distribution Planning Area</w:t>
      </w:r>
      <w:r>
        <w:t xml:space="preserve"> and thereby avoid potential future forecasted substation overloads. Because it is unknown which specific customers will opt into the BTM resources program and install BTM resources on their property, the specific locations of activities under Alternative BS</w:t>
      </w:r>
      <w:r>
        <w:noBreakHyphen/>
        <w:t>3 are unknown. In general, BESSs would be anticipated to be installed within existing commercial and industrial buildings, and within existing residential homes or apartment complexes.</w:t>
      </w:r>
    </w:p>
    <w:p w:rsidR="00D37BE9" w:rsidP="0030780A" w:rsidRDefault="00D37BE9" w14:paraId="74C58988" w14:textId="5F493674">
      <w:pPr>
        <w:pStyle w:val="Heading4"/>
      </w:pPr>
      <w:bookmarkStart w:name="_Toc164685410" w:id="117"/>
      <w:r>
        <w:t>Alternative Combination</w:t>
      </w:r>
      <w:r w:rsidR="0030780A">
        <w:t> </w:t>
      </w:r>
      <w:r w:rsidR="00BF6C07">
        <w:t>#</w:t>
      </w:r>
      <w:r>
        <w:t>2</w:t>
      </w:r>
      <w:bookmarkEnd w:id="117"/>
    </w:p>
    <w:p w:rsidR="00D37BE9" w:rsidP="00D37BE9" w:rsidRDefault="00D37BE9" w14:paraId="593A18AC" w14:textId="42E38190">
      <w:pPr>
        <w:pStyle w:val="Standard"/>
      </w:pPr>
      <w:r>
        <w:t xml:space="preserve">Alternative Combination </w:t>
      </w:r>
      <w:r w:rsidR="00BF6C07">
        <w:t>#</w:t>
      </w:r>
      <w:r>
        <w:t>2 consists of the Estrella Substation Site (part of the Proposed Project, described above), a 70</w:t>
      </w:r>
      <w:r w:rsidR="00DC5A1D">
        <w:t> kV</w:t>
      </w:r>
      <w:r>
        <w:t xml:space="preserve"> power line route that goes to the north and west of the Proposed Project’s route (Route PLR-1A), and battery </w:t>
      </w:r>
      <w:r>
        <w:lastRenderedPageBreak/>
        <w:t xml:space="preserve">storage procurement in lieu of the reasonably foreseeable distribution components (BS-2 and BS-3 as described for Alternative Combination </w:t>
      </w:r>
      <w:r w:rsidR="00BF6C07">
        <w:t>#</w:t>
      </w:r>
      <w:r>
        <w:t>1, above).</w:t>
      </w:r>
    </w:p>
    <w:p w:rsidRPr="00DB5D5C" w:rsidR="00D37BE9" w:rsidP="00D37BE9" w:rsidRDefault="00D37BE9" w14:paraId="24D1587A" w14:textId="7C428644">
      <w:pPr>
        <w:pStyle w:val="Standard"/>
      </w:pPr>
      <w:r>
        <w:t>Route PLR-1A is an alternative route for the 70</w:t>
      </w:r>
      <w:r w:rsidR="00DC5A1D">
        <w:t> kV</w:t>
      </w:r>
      <w:r>
        <w:t xml:space="preserve"> power line that would connect the proposed Estrella Substation to the </w:t>
      </w:r>
      <w:r w:rsidR="00325E91">
        <w:t>Paso </w:t>
      </w:r>
      <w:r>
        <w:t xml:space="preserve">Robles Substation and pass north of the </w:t>
      </w:r>
      <w:r w:rsidR="00325E91">
        <w:t>Paso </w:t>
      </w:r>
      <w:r>
        <w:t>Robles Municipal Airport. Starting at the Estrella Substation, Alternative PLR</w:t>
      </w:r>
      <w:r w:rsidR="00FA6DF8">
        <w:t>-</w:t>
      </w:r>
      <w:r>
        <w:t>1A would follow the existing 230/500</w:t>
      </w:r>
      <w:r w:rsidR="00DC5A1D">
        <w:t> kV</w:t>
      </w:r>
      <w:r>
        <w:t xml:space="preserve"> transmission corridor northeast until veering north at roughly the intersection of the transmission corridor with SR 46. The route would then zig zag in a northwest direction through agricultural lands until meeting </w:t>
      </w:r>
      <w:proofErr w:type="spellStart"/>
      <w:r>
        <w:t>Wellsona</w:t>
      </w:r>
      <w:proofErr w:type="spellEnd"/>
      <w:r>
        <w:t xml:space="preserve"> Road. At this point, the route would follow </w:t>
      </w:r>
      <w:proofErr w:type="spellStart"/>
      <w:r>
        <w:t>Wellsona</w:t>
      </w:r>
      <w:proofErr w:type="spellEnd"/>
      <w:r>
        <w:t xml:space="preserve"> Road due west until meeting the existing San Miguel</w:t>
      </w:r>
      <w:r w:rsidR="007326AE">
        <w:t>-</w:t>
      </w:r>
      <w:r>
        <w:t xml:space="preserve"> </w:t>
      </w:r>
      <w:r w:rsidR="00325E91">
        <w:t>Paso </w:t>
      </w:r>
      <w:r>
        <w:t>Robles 70</w:t>
      </w:r>
      <w:r w:rsidR="00DC5A1D">
        <w:t> kV</w:t>
      </w:r>
      <w:r>
        <w:t xml:space="preserve"> Transmission Line. This existing line would then be reconductored south to the existing </w:t>
      </w:r>
      <w:r w:rsidR="00325E91">
        <w:t>Paso </w:t>
      </w:r>
      <w:r>
        <w:t xml:space="preserve">Robles Substation. </w:t>
      </w:r>
    </w:p>
    <w:p w:rsidR="00D37BE9" w:rsidP="0030780A" w:rsidRDefault="00D37BE9" w14:paraId="0E3BF992" w14:textId="18D0894A">
      <w:pPr>
        <w:pStyle w:val="Heading4"/>
      </w:pPr>
      <w:bookmarkStart w:name="_Toc164685411" w:id="118"/>
      <w:r>
        <w:t>Alternative Combination</w:t>
      </w:r>
      <w:r w:rsidR="0030780A">
        <w:t> </w:t>
      </w:r>
      <w:r w:rsidR="00946DE4">
        <w:t>#</w:t>
      </w:r>
      <w:r>
        <w:t>3</w:t>
      </w:r>
      <w:bookmarkEnd w:id="118"/>
    </w:p>
    <w:p w:rsidR="00D37BE9" w:rsidP="00D37BE9" w:rsidRDefault="00D37BE9" w14:paraId="2DE200D3" w14:textId="08BA7511">
      <w:pPr>
        <w:pStyle w:val="Standard"/>
      </w:pPr>
      <w:r>
        <w:t xml:space="preserve">Alternative Combination </w:t>
      </w:r>
      <w:r w:rsidR="00946DE4">
        <w:t>#</w:t>
      </w:r>
      <w:r>
        <w:t>3 consists of the Bonel Ranch Substation Site (SS-1), a 70</w:t>
      </w:r>
      <w:r w:rsidR="00DC5A1D">
        <w:t> kV</w:t>
      </w:r>
      <w:r>
        <w:t xml:space="preserve"> power line route from the Bonel Ranch Substation Site to </w:t>
      </w:r>
      <w:r w:rsidR="00325E91">
        <w:t>Paso </w:t>
      </w:r>
      <w:r>
        <w:t xml:space="preserve">Robles Substation via the Estrella Route (PLR-1C: Estrella Route to Bonel Ranch Option 1), and battery storage procurement in lieu of the reasonably foreseeable distribution components (BS-2 and BS-3 as described for Alternative Combination </w:t>
      </w:r>
      <w:r w:rsidR="00666532">
        <w:t>#</w:t>
      </w:r>
      <w:r>
        <w:t>1, above).</w:t>
      </w:r>
    </w:p>
    <w:p w:rsidR="00D37BE9" w:rsidP="00D37BE9" w:rsidRDefault="00D37BE9" w14:paraId="52466DA0" w14:textId="014C32C8">
      <w:pPr>
        <w:pStyle w:val="Standard"/>
      </w:pPr>
      <w:r>
        <w:t>The Bonel Ranch Substation Site is situated on an approximately 72</w:t>
      </w:r>
      <w:r>
        <w:noBreakHyphen/>
        <w:t xml:space="preserve">acre parcel, of which the substation would occupy approximately 15 acres. This site is bordered by the Estrella River to the north and Estrella Road to the south and is generally surrounded by rural development. The Bonel Ranch site is located within the County of San Luis Obispo North County Planning Area and is currently used to grow alfalfa. If the substation were constructed at the Bonel Ranch Substation Site, it would be connected to the existing </w:t>
      </w:r>
      <w:r w:rsidR="00325E91">
        <w:t>Paso </w:t>
      </w:r>
      <w:r>
        <w:t xml:space="preserve">Robles </w:t>
      </w:r>
      <w:r>
        <w:lastRenderedPageBreak/>
        <w:t>Substation via a 70</w:t>
      </w:r>
      <w:r w:rsidR="00DC5A1D">
        <w:t> kV</w:t>
      </w:r>
      <w:r>
        <w:t xml:space="preserve"> power line following Alternative PLR</w:t>
      </w:r>
      <w:r>
        <w:noBreakHyphen/>
        <w:t>1C: Estrella Route to Bonel Ranch Option 1. Electrical components, equipment, and site infrastructure included in a substation located at this alternative site would be essentially the same as for the proposed Estrella Substation.</w:t>
      </w:r>
    </w:p>
    <w:p w:rsidRPr="00DB5D5C" w:rsidR="00D37BE9" w:rsidP="00D37BE9" w:rsidRDefault="00D37BE9" w14:paraId="72E87E32" w14:textId="18314D01">
      <w:pPr>
        <w:pStyle w:val="Standard"/>
      </w:pPr>
      <w:r w:rsidRPr="00DC3E9F">
        <w:t xml:space="preserve">This route would be largely similar to </w:t>
      </w:r>
      <w:r>
        <w:t>Route</w:t>
      </w:r>
      <w:r w:rsidRPr="00DC3E9F">
        <w:t xml:space="preserve"> PLR</w:t>
      </w:r>
      <w:r w:rsidRPr="00DC3E9F">
        <w:noBreakHyphen/>
        <w:t>1A</w:t>
      </w:r>
      <w:r>
        <w:t xml:space="preserve"> (described in Alternative Combination </w:t>
      </w:r>
      <w:r w:rsidR="007323BA">
        <w:t>#</w:t>
      </w:r>
      <w:r>
        <w:t>2, above)</w:t>
      </w:r>
      <w:r w:rsidRPr="00DC3E9F">
        <w:t xml:space="preserve"> but would have a different starting point at the Bonel Ranch site rather than the proposed Estrella Substation. Starting at the Bonel Ranch Substation Site, the PLR</w:t>
      </w:r>
      <w:r w:rsidRPr="00DC3E9F">
        <w:noBreakHyphen/>
        <w:t>1C route would follow Estrella Road west before meeting the existing 230/500</w:t>
      </w:r>
      <w:r w:rsidR="00DC5A1D">
        <w:t> kV</w:t>
      </w:r>
      <w:r w:rsidRPr="00DC3E9F">
        <w:t xml:space="preserve"> transmission corridor. The route would then turn and follow the existing 230/500</w:t>
      </w:r>
      <w:r w:rsidR="00DC5A1D">
        <w:t> kV</w:t>
      </w:r>
      <w:r w:rsidRPr="00DC3E9F">
        <w:t xml:space="preserve"> transmission corridor southwest for approximately 0.75</w:t>
      </w:r>
      <w:r w:rsidRPr="00DC3E9F">
        <w:noBreakHyphen/>
        <w:t>mile before veering west, crossing a riparian/drainage area, and then joining the PLR</w:t>
      </w:r>
      <w:r w:rsidRPr="00DC3E9F">
        <w:noBreakHyphen/>
        <w:t xml:space="preserve">1A route that zig zags northwest through agricultural lands until meeting </w:t>
      </w:r>
      <w:proofErr w:type="spellStart"/>
      <w:r w:rsidRPr="00DC3E9F">
        <w:t>Wellsona</w:t>
      </w:r>
      <w:proofErr w:type="spellEnd"/>
      <w:r w:rsidRPr="00DC3E9F">
        <w:t xml:space="preserve"> Road. The remainder of the route is identical to </w:t>
      </w:r>
      <w:r>
        <w:t xml:space="preserve">the </w:t>
      </w:r>
      <w:r w:rsidRPr="00DC3E9F">
        <w:t>PLR</w:t>
      </w:r>
      <w:r w:rsidRPr="00DC3E9F">
        <w:noBreakHyphen/>
        <w:t>1A</w:t>
      </w:r>
      <w:r>
        <w:t xml:space="preserve"> route</w:t>
      </w:r>
      <w:r w:rsidRPr="00DC3E9F">
        <w:t>.</w:t>
      </w:r>
    </w:p>
    <w:p w:rsidR="00D37BE9" w:rsidP="0030780A" w:rsidRDefault="00D37BE9" w14:paraId="5C3E33A8" w14:textId="257B6CFD">
      <w:pPr>
        <w:pStyle w:val="Heading4"/>
      </w:pPr>
      <w:bookmarkStart w:name="_Toc164685412" w:id="119"/>
      <w:r>
        <w:t>Alternative Combination</w:t>
      </w:r>
      <w:r w:rsidR="0030780A">
        <w:t> </w:t>
      </w:r>
      <w:r w:rsidR="007323BA">
        <w:t>#</w:t>
      </w:r>
      <w:r>
        <w:t>4</w:t>
      </w:r>
      <w:bookmarkEnd w:id="119"/>
    </w:p>
    <w:p w:rsidRPr="00AD2D40" w:rsidR="00D37BE9" w:rsidP="00831FAB" w:rsidRDefault="00D37BE9" w14:paraId="595098A9" w14:textId="32F4C1BB">
      <w:pPr>
        <w:pStyle w:val="Standard"/>
      </w:pPr>
      <w:r>
        <w:t xml:space="preserve">Alternative Combination </w:t>
      </w:r>
      <w:r w:rsidR="007323BA">
        <w:t>#</w:t>
      </w:r>
      <w:r>
        <w:t>4 consists of expansion of the existing Templeton Substation (SE-1A), a 70</w:t>
      </w:r>
      <w:r w:rsidR="00DC5A1D">
        <w:t> kV</w:t>
      </w:r>
      <w:r>
        <w:t xml:space="preserve"> power line route that extends from the Templeton Substation along </w:t>
      </w:r>
      <w:r w:rsidR="00325E91">
        <w:t>Paso </w:t>
      </w:r>
      <w:r>
        <w:t xml:space="preserve">South River Road to </w:t>
      </w:r>
      <w:r w:rsidR="00325E91">
        <w:t>Paso </w:t>
      </w:r>
      <w:r>
        <w:t xml:space="preserve">Robles Substation, and battery storage procurement in lieu of the reasonably foreseeable distribution components (BS-2 and BS-3 as described for Alternative Combination </w:t>
      </w:r>
      <w:r w:rsidR="007323BA">
        <w:t>#</w:t>
      </w:r>
      <w:r>
        <w:t>1, above).</w:t>
      </w:r>
    </w:p>
    <w:p w:rsidR="00D37BE9" w:rsidP="0030780A" w:rsidRDefault="00D37BE9" w14:paraId="03FD6311" w14:textId="233F1C4F">
      <w:pPr>
        <w:pStyle w:val="Heading4"/>
      </w:pPr>
      <w:bookmarkStart w:name="_Toc164685413" w:id="120"/>
      <w:r>
        <w:t>Alternative Combination</w:t>
      </w:r>
      <w:r w:rsidR="0030780A">
        <w:t> </w:t>
      </w:r>
      <w:r w:rsidR="007323BA">
        <w:t>#</w:t>
      </w:r>
      <w:r>
        <w:t>5</w:t>
      </w:r>
      <w:bookmarkEnd w:id="120"/>
    </w:p>
    <w:p w:rsidR="00D37BE9" w:rsidP="00D37BE9" w:rsidRDefault="00D37BE9" w14:paraId="2ACE2439" w14:textId="3A6A9045">
      <w:pPr>
        <w:pStyle w:val="Standard"/>
      </w:pPr>
      <w:r>
        <w:t xml:space="preserve">Alternative Combination </w:t>
      </w:r>
      <w:r w:rsidR="007323BA">
        <w:t>#</w:t>
      </w:r>
      <w:r>
        <w:t>5 consists of the Estrella Substation Site (part of the Proposed Project, described above), the same 70</w:t>
      </w:r>
      <w:r w:rsidR="00DC5A1D">
        <w:t> kV</w:t>
      </w:r>
      <w:r>
        <w:t xml:space="preserve"> power line route as the Proposed Project (described above), and battery storage procurement in lieu of </w:t>
      </w:r>
      <w:r>
        <w:lastRenderedPageBreak/>
        <w:t xml:space="preserve">the reasonably foreseeable distribution components (BS-2 and BS-3 as described for Alternative Combination </w:t>
      </w:r>
      <w:r w:rsidR="007323BA">
        <w:t>#</w:t>
      </w:r>
      <w:r>
        <w:t>1, above).</w:t>
      </w:r>
    </w:p>
    <w:p w:rsidRPr="00413AE0" w:rsidR="00584854" w:rsidP="0030780A" w:rsidRDefault="00584854" w14:paraId="4628FB2F" w14:textId="4076253A">
      <w:pPr>
        <w:pStyle w:val="Heading2"/>
      </w:pPr>
      <w:bookmarkStart w:name="_Toc164685414" w:id="121"/>
      <w:r w:rsidRPr="00413AE0">
        <w:t>Environmentally Superior Alternative - Alternative Combination</w:t>
      </w:r>
      <w:r w:rsidR="0030780A">
        <w:t> </w:t>
      </w:r>
      <w:r w:rsidRPr="00413AE0">
        <w:t>#2</w:t>
      </w:r>
      <w:bookmarkEnd w:id="121"/>
    </w:p>
    <w:p w:rsidRPr="00413AE0" w:rsidR="00307A3C" w:rsidP="00831FAB" w:rsidRDefault="00584854" w14:paraId="2396617D" w14:textId="3A73CB92">
      <w:pPr>
        <w:pStyle w:val="Standard"/>
      </w:pPr>
      <w:r w:rsidRPr="00413AE0">
        <w:t>In evaluating the</w:t>
      </w:r>
      <w:r w:rsidRPr="00413AE0" w:rsidR="00307A3C">
        <w:t xml:space="preserve"> above </w:t>
      </w:r>
      <w:r w:rsidRPr="00413AE0">
        <w:t>alternatives, the FEIR identified each alternative’s potential significant environmental impacts and the mitigation measures that would avoid or lessen them below the level of significance,</w:t>
      </w:r>
      <w:r w:rsidRPr="00413AE0">
        <w:rPr>
          <w:rStyle w:val="FootnoteReference"/>
        </w:rPr>
        <w:footnoteReference w:id="30"/>
      </w:r>
      <w:r w:rsidRPr="00413AE0">
        <w:t xml:space="preserve"> and it </w:t>
      </w:r>
      <w:r w:rsidRPr="00413AE0" w:rsidR="00BD7376">
        <w:t xml:space="preserve">finds that: “Overall, Alternative Combination #2 is considered the most advantageous option and is identified as the Environmental Superior Alternative.”  </w:t>
      </w:r>
    </w:p>
    <w:p w:rsidRPr="00413AE0" w:rsidR="00584854" w:rsidP="00831FAB" w:rsidRDefault="00584854" w14:paraId="7F7EE38B" w14:textId="5E580EB6">
      <w:pPr>
        <w:pStyle w:val="Standard"/>
      </w:pPr>
      <w:r w:rsidRPr="00413AE0">
        <w:t>Alternative Combination #2 includes the Estrella Substation at the site proposed by Horizon West and Alternative PLR-1A for the 70</w:t>
      </w:r>
      <w:r w:rsidR="00DC5A1D">
        <w:t> kV</w:t>
      </w:r>
      <w:r w:rsidRPr="00413AE0">
        <w:t xml:space="preserve"> transmission line—as the environmentally superior alternative, and states:</w:t>
      </w:r>
    </w:p>
    <w:p w:rsidRPr="00413AE0" w:rsidR="00584854" w:rsidP="00DC3A51" w:rsidRDefault="00584854" w14:paraId="41EC3778" w14:textId="12791A42">
      <w:pPr>
        <w:pStyle w:val="BlockQuote"/>
      </w:pPr>
      <w:r w:rsidRPr="00413AE0">
        <w:t>Specifically, this combination would route the new 70</w:t>
      </w:r>
      <w:r w:rsidR="00DC5A1D">
        <w:t> kV</w:t>
      </w:r>
      <w:r w:rsidRPr="00413AE0">
        <w:t xml:space="preserve"> power line north of the City of </w:t>
      </w:r>
      <w:r w:rsidR="00325E91">
        <w:t>Paso </w:t>
      </w:r>
      <w:r w:rsidRPr="00413AE0">
        <w:t>Robles through a more rural, agricultural area of San Luis Obispo County. Thus, it would reduce the significant aesthetic impacts of the Proposed Project’s 70</w:t>
      </w:r>
      <w:r w:rsidR="00DC5A1D">
        <w:t> kV</w:t>
      </w:r>
      <w:r w:rsidRPr="00413AE0">
        <w:t xml:space="preserve"> power line. In particular, the Alternative PLR-1A route would avoid the impacts on the Golden Hill Road area, including the Cava Robles RV Resort, San Antonio Winery, and residents at the Circle B Homeowners’ Association. Although the northern Alternative PLR-1A route is longer (6.5</w:t>
      </w:r>
      <w:r w:rsidR="00DC5A1D">
        <w:t xml:space="preserve"> miles </w:t>
      </w:r>
      <w:r w:rsidRPr="00413AE0">
        <w:t>longer) than the Proposed Project’s 70</w:t>
      </w:r>
      <w:r w:rsidR="00DC5A1D">
        <w:t> kV</w:t>
      </w:r>
      <w:r w:rsidRPr="00413AE0">
        <w:t xml:space="preserve"> power line route, resulting in an increase in some construction-related effects, it would avoid the sensitive habitat (</w:t>
      </w:r>
      <w:r w:rsidRPr="00413AE0">
        <w:rPr>
          <w:i/>
        </w:rPr>
        <w:t>i.e.</w:t>
      </w:r>
      <w:r w:rsidRPr="00413AE0">
        <w:t>, blue oak woodland) located along and north of Golden Hill Road, including the area where there is a known golden eagle nest nearby.</w:t>
      </w:r>
      <w:hyperlink w:history="1" w:anchor="_bookmark47">
        <w:r w:rsidRPr="00413AE0">
          <w:rPr>
            <w:vertAlign w:val="superscript"/>
          </w:rPr>
          <w:t>40</w:t>
        </w:r>
      </w:hyperlink>
    </w:p>
    <w:p w:rsidRPr="00B16F03" w:rsidR="00584854" w:rsidP="00DC3A51" w:rsidRDefault="00DF4069" w14:paraId="7741613D" w14:textId="188D97F4">
      <w:pPr>
        <w:pStyle w:val="Standard"/>
        <w:spacing w:before="240"/>
      </w:pPr>
      <w:r w:rsidRPr="00B16F03">
        <w:t>Here, t</w:t>
      </w:r>
      <w:r w:rsidRPr="00413AE0" w:rsidR="00584854">
        <w:t xml:space="preserve">he </w:t>
      </w:r>
      <w:r w:rsidRPr="00413AE0" w:rsidR="00FE39BE">
        <w:t>FEIR</w:t>
      </w:r>
      <w:r w:rsidRPr="00413AE0" w:rsidR="00584854">
        <w:t xml:space="preserve"> evaluate</w:t>
      </w:r>
      <w:r w:rsidRPr="00B16F03" w:rsidR="000B5B44">
        <w:t>d</w:t>
      </w:r>
      <w:r w:rsidRPr="00413AE0" w:rsidR="00584854">
        <w:t xml:space="preserve"> the No-Project Alternative but </w:t>
      </w:r>
      <w:r w:rsidRPr="00B16F03" w:rsidR="00297DB2">
        <w:t>determined</w:t>
      </w:r>
      <w:r w:rsidRPr="00413AE0" w:rsidR="00297DB2">
        <w:t xml:space="preserve"> </w:t>
      </w:r>
      <w:r w:rsidRPr="00413AE0" w:rsidR="00584854">
        <w:t xml:space="preserve">that this alternative would not meet the transmission project objective, and therefore </w:t>
      </w:r>
      <w:r w:rsidRPr="00413AE0" w:rsidR="00584854">
        <w:lastRenderedPageBreak/>
        <w:t xml:space="preserve">would leave the </w:t>
      </w:r>
      <w:r w:rsidR="00325E91">
        <w:t>Paso </w:t>
      </w:r>
      <w:r w:rsidRPr="00413AE0" w:rsidR="00584854">
        <w:t>Robles 70</w:t>
      </w:r>
      <w:r w:rsidR="00DC5A1D">
        <w:t> kV</w:t>
      </w:r>
      <w:r w:rsidRPr="00413AE0" w:rsidR="00584854">
        <w:t xml:space="preserve"> system vulnerable to load shedding and/or blackouts for customers in the service area. If this were to occur at the same time as a wildfire, for example, this could hamper emergency</w:t>
      </w:r>
      <w:bookmarkStart w:name="_bookmark46" w:id="122"/>
      <w:bookmarkStart w:name="_bookmark48" w:id="123"/>
      <w:bookmarkEnd w:id="122"/>
      <w:bookmarkEnd w:id="123"/>
      <w:r w:rsidRPr="00413AE0" w:rsidR="00584854">
        <w:t xml:space="preserve"> response and evacuation efforts (</w:t>
      </w:r>
      <w:r w:rsidRPr="00413AE0" w:rsidR="00584854">
        <w:rPr>
          <w:i/>
        </w:rPr>
        <w:t>e.g</w:t>
      </w:r>
      <w:r w:rsidRPr="00413AE0" w:rsidR="00584854">
        <w:t>., residents in the affected areas not being able to receive communications via their televisions or being able to charge their phones to receive communications). The No Project Alternative was therefore not selected as the environmentally superior project alternative.</w:t>
      </w:r>
      <w:r w:rsidRPr="00413AE0" w:rsidR="00584854">
        <w:rPr>
          <w:rStyle w:val="FootnoteReference"/>
        </w:rPr>
        <w:footnoteReference w:id="31"/>
      </w:r>
      <w:r w:rsidRPr="00413AE0" w:rsidR="00584854">
        <w:t xml:space="preserve"> </w:t>
      </w:r>
    </w:p>
    <w:p w:rsidRPr="00413AE0" w:rsidR="00B75DE6" w:rsidP="00831FAB" w:rsidRDefault="00B75DE6" w14:paraId="4BA66FDA" w14:textId="121BDF58">
      <w:pPr>
        <w:pStyle w:val="Standard"/>
      </w:pPr>
      <w:r w:rsidRPr="00413AE0">
        <w:t>From an electrical function standpoint, the aboveground double-circuit 70</w:t>
      </w:r>
      <w:r w:rsidR="00DC5A1D">
        <w:t> kV</w:t>
      </w:r>
      <w:r w:rsidRPr="00413AE0">
        <w:t xml:space="preserve"> alignment described in Alternative PLR-1A is the same as the original 70</w:t>
      </w:r>
      <w:r w:rsidR="00DC5A1D">
        <w:t> kV</w:t>
      </w:r>
      <w:r w:rsidRPr="00413AE0">
        <w:t xml:space="preserve"> route proposed in the Application. Alternative PLR-1A (which is a component of the environmentally superior alternative, Alternative Combination #2) starts at the same point as the originally proposed route, </w:t>
      </w:r>
      <w:r w:rsidRPr="00413AE0">
        <w:rPr>
          <w:i/>
        </w:rPr>
        <w:t>i.e</w:t>
      </w:r>
      <w:r w:rsidRPr="00413AE0">
        <w:t>., the proposed Union Substation, and connects to the same San Miguel-</w:t>
      </w:r>
      <w:r w:rsidR="00325E91">
        <w:t>Paso </w:t>
      </w:r>
      <w:r w:rsidRPr="00413AE0">
        <w:t>Robles 70</w:t>
      </w:r>
      <w:r w:rsidR="00DC5A1D">
        <w:t> kV</w:t>
      </w:r>
      <w:r w:rsidRPr="00413AE0">
        <w:t xml:space="preserve"> line as the originally proposed route.</w:t>
      </w:r>
      <w:r w:rsidRPr="00413AE0">
        <w:rPr>
          <w:rStyle w:val="FootnoteReference"/>
        </w:rPr>
        <w:footnoteReference w:id="32"/>
      </w:r>
      <w:r w:rsidRPr="00413AE0">
        <w:t xml:space="preserve"> The difference</w:t>
      </w:r>
      <w:r w:rsidR="007326AE">
        <w:t>s</w:t>
      </w:r>
      <w:r w:rsidRPr="00413AE0">
        <w:t xml:space="preserve"> are that new Alternative PLR</w:t>
      </w:r>
      <w:r w:rsidR="002273BE">
        <w:noBreakHyphen/>
      </w:r>
      <w:r w:rsidRPr="00413AE0">
        <w:t>1A: (</w:t>
      </w:r>
      <w:proofErr w:type="spellStart"/>
      <w:r w:rsidRPr="00413AE0">
        <w:t>i</w:t>
      </w:r>
      <w:proofErr w:type="spellEnd"/>
      <w:r w:rsidRPr="00413AE0">
        <w:t xml:space="preserve">) does not run through the City of </w:t>
      </w:r>
      <w:r w:rsidR="00325E91">
        <w:t>Paso </w:t>
      </w:r>
      <w:r w:rsidRPr="00413AE0">
        <w:t>Robles, travelling east and north around the city; (ii) requires approximately 3.5</w:t>
      </w:r>
      <w:r w:rsidR="00DC5A1D">
        <w:t xml:space="preserve"> miles </w:t>
      </w:r>
      <w:r w:rsidRPr="00413AE0">
        <w:t>more construction of new double-circuit 70</w:t>
      </w:r>
      <w:r w:rsidR="00DC5A1D">
        <w:t> kV</w:t>
      </w:r>
      <w:r w:rsidRPr="00413AE0">
        <w:t xml:space="preserve"> line than the originally proposed route; (iii) would connect to the existing San Miguel-</w:t>
      </w:r>
      <w:r w:rsidR="00325E91">
        <w:t>Paso </w:t>
      </w:r>
      <w:r w:rsidRPr="00413AE0">
        <w:t>Robles 70</w:t>
      </w:r>
      <w:r w:rsidR="00DC5A1D">
        <w:t> kV</w:t>
      </w:r>
      <w:r w:rsidRPr="00413AE0">
        <w:t xml:space="preserve"> line approximately three</w:t>
      </w:r>
      <w:r w:rsidR="00DC5A1D">
        <w:t xml:space="preserve"> miles </w:t>
      </w:r>
      <w:r w:rsidRPr="00413AE0">
        <w:t>north of where the originally proposed route would connect; and (iv)</w:t>
      </w:r>
      <w:r w:rsidR="002273BE">
        <w:t> </w:t>
      </w:r>
      <w:r w:rsidRPr="00413AE0">
        <w:t>requires reconductoring of approximately three more</w:t>
      </w:r>
      <w:r w:rsidR="00DC5A1D">
        <w:t xml:space="preserve"> miles </w:t>
      </w:r>
      <w:r w:rsidRPr="00413AE0">
        <w:t>of the existing San Miguel-</w:t>
      </w:r>
      <w:r w:rsidR="00325E91">
        <w:t>Paso </w:t>
      </w:r>
      <w:r w:rsidRPr="00413AE0">
        <w:t>Robles 70</w:t>
      </w:r>
      <w:r w:rsidR="00DC5A1D">
        <w:t> kV</w:t>
      </w:r>
      <w:r w:rsidRPr="00413AE0">
        <w:t xml:space="preserve"> line as the originally proposed route.</w:t>
      </w:r>
      <w:r w:rsidRPr="00413AE0">
        <w:rPr>
          <w:rStyle w:val="FootnoteReference"/>
        </w:rPr>
        <w:footnoteReference w:id="33"/>
      </w:r>
      <w:r w:rsidRPr="00413AE0">
        <w:t xml:space="preserve"> </w:t>
      </w:r>
    </w:p>
    <w:p w:rsidRPr="00413AE0" w:rsidR="00B75DE6" w:rsidP="00831FAB" w:rsidRDefault="00B75DE6" w14:paraId="4B1DDA5B" w14:textId="2E42D55E">
      <w:pPr>
        <w:pStyle w:val="Standard"/>
        <w:rPr>
          <w:sz w:val="14"/>
        </w:rPr>
      </w:pPr>
      <w:r w:rsidRPr="00413AE0">
        <w:t>The Proposed Project would create two new 70</w:t>
      </w:r>
      <w:r w:rsidR="00DC5A1D">
        <w:t> kV</w:t>
      </w:r>
      <w:r w:rsidRPr="00413AE0">
        <w:t xml:space="preserve"> circuits—the Union</w:t>
      </w:r>
      <w:r w:rsidR="002273BE">
        <w:noBreakHyphen/>
      </w:r>
      <w:r w:rsidRPr="00413AE0">
        <w:t>San</w:t>
      </w:r>
      <w:r w:rsidR="002273BE">
        <w:t> </w:t>
      </w:r>
      <w:r w:rsidRPr="00413AE0">
        <w:t>Miguel 70</w:t>
      </w:r>
      <w:r w:rsidR="00DC5A1D">
        <w:t> kV</w:t>
      </w:r>
      <w:r w:rsidRPr="00413AE0">
        <w:t xml:space="preserve"> line running from the new Union Substation to the </w:t>
      </w:r>
      <w:r w:rsidRPr="00413AE0">
        <w:lastRenderedPageBreak/>
        <w:t>existing San</w:t>
      </w:r>
      <w:r w:rsidR="002273BE">
        <w:t> </w:t>
      </w:r>
      <w:r w:rsidRPr="00413AE0">
        <w:t>Miguel Substation, and the Union-</w:t>
      </w:r>
      <w:r w:rsidR="00325E91">
        <w:t>Paso </w:t>
      </w:r>
      <w:r w:rsidRPr="00413AE0">
        <w:t>Robles 70</w:t>
      </w:r>
      <w:r w:rsidR="00DC5A1D">
        <w:t> kV</w:t>
      </w:r>
      <w:r w:rsidRPr="00413AE0">
        <w:t xml:space="preserve"> line running from the new Union Substation to the existing </w:t>
      </w:r>
      <w:r w:rsidR="00325E91">
        <w:t>Paso </w:t>
      </w:r>
      <w:r w:rsidRPr="00413AE0">
        <w:t>Robles Substation. These two</w:t>
      </w:r>
      <w:r w:rsidR="002273BE">
        <w:t> </w:t>
      </w:r>
      <w:r w:rsidRPr="00413AE0">
        <w:t>70</w:t>
      </w:r>
      <w:r w:rsidR="00DC5A1D">
        <w:t> kV</w:t>
      </w:r>
      <w:r w:rsidRPr="00413AE0">
        <w:t xml:space="preserve"> circuits are configured as double-circuit line from Union Substation to the point of connection with the existing San Miguel-</w:t>
      </w:r>
      <w:r w:rsidR="00325E91">
        <w:t>Paso </w:t>
      </w:r>
      <w:r w:rsidRPr="00413AE0">
        <w:t>Robles 70</w:t>
      </w:r>
      <w:r w:rsidR="00DC5A1D">
        <w:t> kV</w:t>
      </w:r>
      <w:r w:rsidRPr="00413AE0">
        <w:t xml:space="preserve"> line. At that point, one of the new 70</w:t>
      </w:r>
      <w:r w:rsidR="00DC5A1D">
        <w:t> kV</w:t>
      </w:r>
      <w:r w:rsidRPr="00413AE0">
        <w:t xml:space="preserve"> circuits would be looped into the existing line and run north to the San Miguel Substation, becoming the new Union-San Miguel 70</w:t>
      </w:r>
      <w:r w:rsidR="00DC5A1D">
        <w:t> kV</w:t>
      </w:r>
      <w:r w:rsidRPr="00413AE0">
        <w:t xml:space="preserve"> line. The other new 70</w:t>
      </w:r>
      <w:r w:rsidR="00DC5A1D">
        <w:t> kV</w:t>
      </w:r>
      <w:r w:rsidRPr="00413AE0">
        <w:t xml:space="preserve"> circuit will be looped into the existing line and run south to San Miguel Substation, becoming the new Union-</w:t>
      </w:r>
      <w:r w:rsidR="00325E91">
        <w:t>Paso </w:t>
      </w:r>
      <w:r w:rsidRPr="00413AE0">
        <w:t>Robles 70</w:t>
      </w:r>
      <w:r w:rsidR="00DC5A1D">
        <w:t> kV</w:t>
      </w:r>
      <w:r w:rsidRPr="00413AE0">
        <w:t xml:space="preserve"> line.</w:t>
      </w:r>
      <w:r w:rsidRPr="00413AE0">
        <w:rPr>
          <w:rStyle w:val="FootnoteReference"/>
        </w:rPr>
        <w:footnoteReference w:id="34"/>
      </w:r>
    </w:p>
    <w:p w:rsidRPr="00413AE0" w:rsidR="00B75DE6" w:rsidP="00831FAB" w:rsidRDefault="00B75DE6" w14:paraId="534EBEEE" w14:textId="30BB3AE4">
      <w:pPr>
        <w:pStyle w:val="Standard"/>
        <w:rPr>
          <w:sz w:val="10"/>
        </w:rPr>
      </w:pPr>
      <w:r w:rsidRPr="00413AE0">
        <w:t>Because</w:t>
      </w:r>
      <w:r w:rsidRPr="00413AE0">
        <w:rPr>
          <w:w w:val="150"/>
        </w:rPr>
        <w:t xml:space="preserve"> </w:t>
      </w:r>
      <w:r w:rsidRPr="00413AE0">
        <w:t>the</w:t>
      </w:r>
      <w:r w:rsidRPr="00413AE0">
        <w:rPr>
          <w:w w:val="150"/>
        </w:rPr>
        <w:t xml:space="preserve"> </w:t>
      </w:r>
      <w:r w:rsidRPr="00413AE0">
        <w:t>aboveground</w:t>
      </w:r>
      <w:r w:rsidRPr="00413AE0">
        <w:rPr>
          <w:w w:val="150"/>
        </w:rPr>
        <w:t xml:space="preserve"> </w:t>
      </w:r>
      <w:r w:rsidRPr="00413AE0">
        <w:t>double-circuit</w:t>
      </w:r>
      <w:r w:rsidRPr="00413AE0">
        <w:rPr>
          <w:w w:val="150"/>
        </w:rPr>
        <w:t xml:space="preserve"> </w:t>
      </w:r>
      <w:r w:rsidRPr="00413AE0">
        <w:t>70</w:t>
      </w:r>
      <w:r w:rsidR="00DC5A1D">
        <w:t> kV</w:t>
      </w:r>
      <w:r w:rsidRPr="00413AE0">
        <w:rPr>
          <w:w w:val="150"/>
        </w:rPr>
        <w:t xml:space="preserve"> </w:t>
      </w:r>
      <w:r w:rsidRPr="00413AE0">
        <w:t>alignment</w:t>
      </w:r>
      <w:r w:rsidRPr="00413AE0">
        <w:rPr>
          <w:w w:val="150"/>
        </w:rPr>
        <w:t xml:space="preserve"> </w:t>
      </w:r>
      <w:r w:rsidRPr="00413AE0">
        <w:t>described</w:t>
      </w:r>
      <w:r w:rsidRPr="00413AE0">
        <w:rPr>
          <w:w w:val="150"/>
        </w:rPr>
        <w:t xml:space="preserve"> </w:t>
      </w:r>
      <w:r w:rsidRPr="00413AE0">
        <w:t>in Alternative PLR-1A provides the same electrical function as the original double-circuit 70</w:t>
      </w:r>
      <w:r w:rsidR="00DC5A1D">
        <w:t> kV</w:t>
      </w:r>
      <w:r w:rsidRPr="00413AE0">
        <w:t xml:space="preserve"> route proposed in the Application, Alternative PLR-1A will provide the same reliability-driven transmission solution that was identified by the CAISO, as described in the Application and the FEIR.</w:t>
      </w:r>
      <w:r w:rsidRPr="00413AE0">
        <w:rPr>
          <w:rStyle w:val="FootnoteReference"/>
        </w:rPr>
        <w:footnoteReference w:id="35"/>
      </w:r>
      <w:r w:rsidRPr="00413AE0">
        <w:t xml:space="preserve"> </w:t>
      </w:r>
    </w:p>
    <w:p w:rsidRPr="00413AE0" w:rsidR="00B75DE6" w:rsidP="00831FAB" w:rsidRDefault="00B75DE6" w14:paraId="0EFFA38E" w14:textId="59552752">
      <w:pPr>
        <w:pStyle w:val="Standard"/>
      </w:pPr>
      <w:r w:rsidRPr="00413AE0">
        <w:t>Testimony by the CAISO’s witness, Jeff Billington, confirms that Alternative PLR-1A is electrically similar to and provides the same reliability benefits as the transmission line route originally proposed in the Application:</w:t>
      </w:r>
    </w:p>
    <w:p w:rsidRPr="00413AE0" w:rsidR="00B75DE6" w:rsidP="00DC3A51" w:rsidRDefault="00B75DE6" w14:paraId="00323211" w14:textId="34DF9B3F">
      <w:pPr>
        <w:pStyle w:val="BlockQuote"/>
      </w:pPr>
      <w:r w:rsidRPr="00413AE0">
        <w:t>The CAISO understands the environmentally superior alternative identified in the [FEIR] involves an alternative route for the 70</w:t>
      </w:r>
      <w:r w:rsidR="00DC5A1D">
        <w:t> kV</w:t>
      </w:r>
      <w:r w:rsidRPr="00413AE0">
        <w:t xml:space="preserve"> line that traverses a more rural area in the </w:t>
      </w:r>
      <w:r w:rsidR="00325E91">
        <w:t>Paso </w:t>
      </w:r>
      <w:r w:rsidRPr="00413AE0">
        <w:t xml:space="preserve">Robles area. This alternative, described in the [FEIR], is electrically similar and meets the same reliability needs as the transmission line the CAISO approved. The longer line will have slightly higher impedance and line loss. However, these changes are not significant enough to make </w:t>
      </w:r>
      <w:r w:rsidRPr="00413AE0">
        <w:lastRenderedPageBreak/>
        <w:t>any material difference in the power flow and the system performance.</w:t>
      </w:r>
      <w:r w:rsidRPr="00413AE0">
        <w:rPr>
          <w:rStyle w:val="FootnoteReference"/>
        </w:rPr>
        <w:footnoteReference w:id="36"/>
      </w:r>
    </w:p>
    <w:p w:rsidRPr="00B16F03" w:rsidR="00B75DE6" w:rsidP="00DC3A51" w:rsidRDefault="00B75DE6" w14:paraId="4123A468" w14:textId="587AF552">
      <w:pPr>
        <w:pStyle w:val="Standard"/>
        <w:spacing w:before="240"/>
      </w:pPr>
      <w:r w:rsidRPr="00413AE0">
        <w:t>Because the FEIR concludes that Alternative Combination #2, which includes PLR-1A, is environmentally superior to the original double-circuit 70</w:t>
      </w:r>
      <w:r w:rsidR="00DC5A1D">
        <w:t> kV</w:t>
      </w:r>
      <w:r w:rsidRPr="00413AE0">
        <w:t xml:space="preserve"> route proposed in the Application, and because Alternative PLR-1A will provide the same reliability-driven solution identified by the CAISO as the double-circuit 70</w:t>
      </w:r>
      <w:r w:rsidR="00DC5A1D">
        <w:t> kV</w:t>
      </w:r>
      <w:r w:rsidRPr="00413AE0">
        <w:t xml:space="preserve"> route originally proposed in the Application, PG&amp;E supports Alternative Combination #2, which includes PLR-1A, as the appropriate alignment for the new double-circuit 70</w:t>
      </w:r>
      <w:r w:rsidR="00DC5A1D">
        <w:t> kV</w:t>
      </w:r>
      <w:r w:rsidRPr="00413AE0">
        <w:t xml:space="preserve"> line associated with the Proposed Project.</w:t>
      </w:r>
    </w:p>
    <w:p w:rsidRPr="00413AE0" w:rsidR="00277500" w:rsidP="00831FAB" w:rsidRDefault="00584854" w14:paraId="76FEE4D0" w14:textId="24CF408D">
      <w:pPr>
        <w:pStyle w:val="Standard"/>
      </w:pPr>
      <w:r w:rsidRPr="00413AE0">
        <w:t xml:space="preserve">Although Alternative Combination #2 is </w:t>
      </w:r>
      <w:r w:rsidR="006660F2">
        <w:t>not</w:t>
      </w:r>
      <w:r w:rsidRPr="00413AE0">
        <w:t xml:space="preserve"> identical to the Proposed Project, as proposed by the Applicant, Applicants “accept and propose to build the Estrella Substation and Alternative PLR-1A that are selected as the environmentally superior alternative in the Final EIR.”</w:t>
      </w:r>
      <w:r w:rsidRPr="00413AE0">
        <w:rPr>
          <w:rStyle w:val="FootnoteReference"/>
        </w:rPr>
        <w:footnoteReference w:id="37"/>
      </w:r>
      <w:r w:rsidRPr="00413AE0">
        <w:t xml:space="preserve"> Alternative Combination #2 would provide the reliability solution identified and approved by the CAISO in its 2013-2014 Transmission Plan. </w:t>
      </w:r>
    </w:p>
    <w:p w:rsidRPr="00413AE0" w:rsidR="00072460" w:rsidP="00831FAB" w:rsidRDefault="00584854" w14:paraId="30E8232F" w14:textId="7E73744A">
      <w:pPr>
        <w:pStyle w:val="Standard"/>
      </w:pPr>
      <w:r w:rsidRPr="00413AE0">
        <w:t xml:space="preserve">The City and all parties </w:t>
      </w:r>
      <w:r w:rsidR="006660F2">
        <w:t xml:space="preserve">in this proceeding </w:t>
      </w:r>
      <w:r w:rsidRPr="00413AE0">
        <w:t>representing landowners and businesses in the areas near the Proposed Project also agree with and support approval of this alternative combination.</w:t>
      </w:r>
      <w:r w:rsidRPr="00413AE0">
        <w:rPr>
          <w:rStyle w:val="FootnoteReference"/>
        </w:rPr>
        <w:footnoteReference w:id="38"/>
      </w:r>
      <w:r w:rsidRPr="00413AE0">
        <w:t xml:space="preserve"> </w:t>
      </w:r>
    </w:p>
    <w:p w:rsidR="00584854" w:rsidP="00831FAB" w:rsidRDefault="00584854" w14:paraId="223C4B69" w14:textId="2AF4816B">
      <w:pPr>
        <w:pStyle w:val="Standard"/>
      </w:pPr>
      <w:r w:rsidRPr="00413AE0">
        <w:t>The environmentally superior alternative is feasible.</w:t>
      </w:r>
    </w:p>
    <w:p w:rsidRPr="00B07D02" w:rsidR="00781F92" w:rsidP="00781F92" w:rsidRDefault="00781F92" w14:paraId="4D8B7AD2" w14:textId="77777777">
      <w:pPr>
        <w:pStyle w:val="Heading2"/>
      </w:pPr>
      <w:bookmarkStart w:name="_Toc164685415" w:id="124"/>
      <w:r w:rsidRPr="00B07D02">
        <w:lastRenderedPageBreak/>
        <w:t>Reasonably Foreseeable Project Components</w:t>
      </w:r>
      <w:bookmarkEnd w:id="124"/>
    </w:p>
    <w:p w:rsidR="00781F92" w:rsidP="00831FAB" w:rsidRDefault="00781F92" w14:paraId="7AF39F8E" w14:textId="77777777">
      <w:pPr>
        <w:pStyle w:val="Standard"/>
      </w:pPr>
      <w:r w:rsidRPr="00B07D02">
        <w:t>The</w:t>
      </w:r>
      <w:r w:rsidRPr="00BF759D">
        <w:t xml:space="preserve"> </w:t>
      </w:r>
      <w:r w:rsidRPr="00B07D02">
        <w:t>FEIR</w:t>
      </w:r>
      <w:r w:rsidRPr="00BF759D">
        <w:t xml:space="preserve"> </w:t>
      </w:r>
      <w:r w:rsidRPr="00B07D02">
        <w:t>also</w:t>
      </w:r>
      <w:r w:rsidRPr="00BF759D">
        <w:t xml:space="preserve"> </w:t>
      </w:r>
      <w:r w:rsidRPr="00B07D02">
        <w:t>evaluated</w:t>
      </w:r>
      <w:r w:rsidRPr="00BF759D">
        <w:t xml:space="preserve"> </w:t>
      </w:r>
      <w:r w:rsidRPr="00B07D02">
        <w:t>potential</w:t>
      </w:r>
      <w:r w:rsidRPr="00BF759D">
        <w:t xml:space="preserve"> </w:t>
      </w:r>
      <w:r w:rsidRPr="00B07D02">
        <w:t>impacts</w:t>
      </w:r>
      <w:r w:rsidRPr="00BF759D">
        <w:t xml:space="preserve"> </w:t>
      </w:r>
      <w:r w:rsidRPr="00B07D02">
        <w:t>from</w:t>
      </w:r>
      <w:r w:rsidRPr="00BF759D">
        <w:t xml:space="preserve"> </w:t>
      </w:r>
      <w:r w:rsidRPr="00B07D02">
        <w:t>certain</w:t>
      </w:r>
      <w:r w:rsidRPr="00BF759D">
        <w:t xml:space="preserve"> </w:t>
      </w:r>
      <w:r w:rsidRPr="00B07D02">
        <w:t>reasonably</w:t>
      </w:r>
      <w:r w:rsidRPr="00BF759D">
        <w:t xml:space="preserve"> </w:t>
      </w:r>
      <w:r w:rsidRPr="00B07D02">
        <w:t>foreseeable</w:t>
      </w:r>
      <w:r w:rsidRPr="00BF759D">
        <w:t xml:space="preserve"> </w:t>
      </w:r>
      <w:r w:rsidRPr="00B07D02">
        <w:t>future upgrades to the PG&amp;E distribution system that are not part of the Proposed Project, as proposed by the Applicants.</w:t>
      </w:r>
      <w:r w:rsidRPr="00BF759D">
        <w:t xml:space="preserve"> </w:t>
      </w:r>
      <w:r w:rsidRPr="00B07D02">
        <w:t>As described in the FEIR, Alternative Combination</w:t>
      </w:r>
      <w:r w:rsidRPr="00BF759D">
        <w:t xml:space="preserve"> </w:t>
      </w:r>
      <w:r w:rsidRPr="00B07D02">
        <w:t>#2</w:t>
      </w:r>
      <w:r w:rsidRPr="00BF759D">
        <w:t xml:space="preserve"> </w:t>
      </w:r>
      <w:r w:rsidRPr="00B07D02">
        <w:t>includes</w:t>
      </w:r>
      <w:r w:rsidRPr="00BF759D">
        <w:t xml:space="preserve"> </w:t>
      </w:r>
      <w:r>
        <w:t>a</w:t>
      </w:r>
      <w:r w:rsidRPr="00B07D02">
        <w:t>lternatives</w:t>
      </w:r>
      <w:r w:rsidRPr="00BF759D">
        <w:t xml:space="preserve"> </w:t>
      </w:r>
      <w:r w:rsidRPr="00B07D02">
        <w:t>BS-2</w:t>
      </w:r>
      <w:r w:rsidRPr="00BF759D">
        <w:t xml:space="preserve"> </w:t>
      </w:r>
      <w:r w:rsidRPr="00B07D02">
        <w:t>(front</w:t>
      </w:r>
      <w:r w:rsidRPr="00BF759D">
        <w:t xml:space="preserve"> </w:t>
      </w:r>
      <w:r w:rsidRPr="00B07D02">
        <w:t>of</w:t>
      </w:r>
      <w:r w:rsidRPr="00BF759D">
        <w:t xml:space="preserve"> </w:t>
      </w:r>
      <w:r w:rsidRPr="00B07D02">
        <w:t>the</w:t>
      </w:r>
      <w:r w:rsidRPr="00BF759D">
        <w:t xml:space="preserve"> </w:t>
      </w:r>
      <w:r w:rsidRPr="00B07D02">
        <w:t>meter</w:t>
      </w:r>
      <w:r w:rsidRPr="00BF759D">
        <w:t xml:space="preserve"> </w:t>
      </w:r>
      <w:r w:rsidRPr="00B07D02">
        <w:t>battery</w:t>
      </w:r>
      <w:r w:rsidRPr="00BF759D">
        <w:t xml:space="preserve"> </w:t>
      </w:r>
      <w:r w:rsidRPr="00B07D02">
        <w:t>storage)</w:t>
      </w:r>
      <w:r w:rsidRPr="00BF759D">
        <w:t xml:space="preserve"> </w:t>
      </w:r>
      <w:r w:rsidRPr="00B07D02">
        <w:t>and</w:t>
      </w:r>
      <w:r w:rsidRPr="00BF759D">
        <w:t xml:space="preserve"> </w:t>
      </w:r>
      <w:r w:rsidRPr="00B07D02">
        <w:t>BS-</w:t>
      </w:r>
      <w:r w:rsidRPr="00BF759D">
        <w:t xml:space="preserve">3  </w:t>
      </w:r>
      <w:r w:rsidRPr="00B07D02">
        <w:t>(behind the meter battery storage and solar), which are alternatives to distribution-voltage level components that PG&amp;E identified as “reasonably foreseeable” in the Application in order to comply with the requirements of CEQA.</w:t>
      </w:r>
      <w:r w:rsidRPr="00B07D02">
        <w:rPr>
          <w:rStyle w:val="FootnoteReference"/>
        </w:rPr>
        <w:footnoteReference w:id="39"/>
      </w:r>
      <w:r w:rsidRPr="004B2A91">
        <w:t xml:space="preserve"> </w:t>
      </w:r>
      <w:r w:rsidRPr="00B07D02">
        <w:t>These distribution level components were not originally proposed as part of the Proposed Project, and PG&amp;E contends that it is not planning to construct these distribution components at this time and is not seeking authority from the Commission to construct them</w:t>
      </w:r>
      <w:r w:rsidRPr="004B2A91">
        <w:t>.</w:t>
      </w:r>
      <w:r w:rsidRPr="004B2A91">
        <w:rPr>
          <w:rStyle w:val="FootnoteReference"/>
        </w:rPr>
        <w:footnoteReference w:id="40"/>
      </w:r>
      <w:r w:rsidRPr="004B2A91">
        <w:t xml:space="preserve"> </w:t>
      </w:r>
    </w:p>
    <w:p w:rsidR="00781F92" w:rsidP="00831FAB" w:rsidRDefault="00781F92" w14:paraId="6F3CFF8C" w14:textId="0277A382">
      <w:pPr>
        <w:pStyle w:val="Standard"/>
      </w:pPr>
      <w:r w:rsidRPr="00B07D02">
        <w:t>Therefore, PG&amp;E contends that a PTC granting PG&amp;E authority to construct its portions of the Proposed Project should be limited to the construction of the 70</w:t>
      </w:r>
      <w:r w:rsidR="00DC5A1D">
        <w:t> kV</w:t>
      </w:r>
      <w:r w:rsidRPr="00B07D02">
        <w:t xml:space="preserve"> Union Substation at the same site as Horizon West’s 230</w:t>
      </w:r>
      <w:r w:rsidR="00DC5A1D">
        <w:t> kV</w:t>
      </w:r>
      <w:r w:rsidRPr="00B07D02">
        <w:t xml:space="preserve"> Estrella Substation, interconnection of the Morro Bay-California Flats 230</w:t>
      </w:r>
      <w:r w:rsidR="00DC5A1D">
        <w:t> kV</w:t>
      </w:r>
      <w:r w:rsidRPr="00B07D02">
        <w:t xml:space="preserve"> line to Estrella Substation, construction</w:t>
      </w:r>
      <w:r w:rsidRPr="00BF759D">
        <w:t xml:space="preserve"> </w:t>
      </w:r>
      <w:r w:rsidRPr="00B07D02">
        <w:t>of</w:t>
      </w:r>
      <w:r w:rsidRPr="00BF759D">
        <w:t xml:space="preserve"> </w:t>
      </w:r>
      <w:r w:rsidRPr="00B07D02">
        <w:t>a</w:t>
      </w:r>
      <w:r w:rsidRPr="00BF759D">
        <w:t xml:space="preserve"> </w:t>
      </w:r>
      <w:r w:rsidRPr="00B07D02">
        <w:t>new</w:t>
      </w:r>
      <w:r w:rsidRPr="00BF759D">
        <w:t xml:space="preserve"> </w:t>
      </w:r>
      <w:r w:rsidRPr="00B07D02">
        <w:t>double</w:t>
      </w:r>
      <w:r w:rsidRPr="00BF759D">
        <w:t xml:space="preserve"> </w:t>
      </w:r>
      <w:r w:rsidRPr="00B07D02">
        <w:t>circuit</w:t>
      </w:r>
      <w:r w:rsidRPr="00BF759D">
        <w:t xml:space="preserve"> </w:t>
      </w:r>
      <w:r w:rsidRPr="00B07D02">
        <w:t>70</w:t>
      </w:r>
      <w:r w:rsidR="00DC5A1D">
        <w:t> kV</w:t>
      </w:r>
      <w:r w:rsidRPr="00BF759D">
        <w:t xml:space="preserve"> </w:t>
      </w:r>
      <w:r w:rsidRPr="00B07D02">
        <w:t>line</w:t>
      </w:r>
      <w:r w:rsidRPr="00BF759D">
        <w:t xml:space="preserve"> </w:t>
      </w:r>
      <w:r w:rsidRPr="00B07D02">
        <w:t>from</w:t>
      </w:r>
      <w:r w:rsidRPr="00BF759D">
        <w:t xml:space="preserve"> </w:t>
      </w:r>
      <w:r w:rsidRPr="00B07D02">
        <w:t>the</w:t>
      </w:r>
      <w:r w:rsidRPr="00BF759D">
        <w:t xml:space="preserve"> </w:t>
      </w:r>
      <w:r w:rsidRPr="00B07D02">
        <w:t>Union</w:t>
      </w:r>
      <w:r w:rsidRPr="00BF759D">
        <w:t xml:space="preserve"> </w:t>
      </w:r>
      <w:r w:rsidRPr="00B07D02">
        <w:t>Substation</w:t>
      </w:r>
      <w:r w:rsidRPr="00BF759D">
        <w:t xml:space="preserve"> </w:t>
      </w:r>
      <w:r w:rsidRPr="00B07D02">
        <w:t>via</w:t>
      </w:r>
      <w:r w:rsidRPr="00BF759D">
        <w:t xml:space="preserve"> </w:t>
      </w:r>
      <w:r w:rsidRPr="00B07D02">
        <w:t>the Alternative</w:t>
      </w:r>
      <w:r w:rsidRPr="00BF759D">
        <w:t xml:space="preserve"> </w:t>
      </w:r>
      <w:r w:rsidRPr="00B07D02">
        <w:t>PLR-1A route, and reconducting a portion of the existing San Miguel-</w:t>
      </w:r>
      <w:r w:rsidR="00325E91">
        <w:t>Paso </w:t>
      </w:r>
      <w:r w:rsidRPr="00B07D02">
        <w:t>Robles</w:t>
      </w:r>
      <w:r w:rsidRPr="00BF759D">
        <w:t xml:space="preserve"> </w:t>
      </w:r>
      <w:r w:rsidRPr="00B07D02">
        <w:t>70</w:t>
      </w:r>
      <w:r w:rsidR="00DC5A1D">
        <w:t> kV</w:t>
      </w:r>
      <w:r w:rsidRPr="00B07D02">
        <w:t xml:space="preserve"> line. </w:t>
      </w:r>
    </w:p>
    <w:p w:rsidRPr="00B07D02" w:rsidR="00781F92" w:rsidP="00831FAB" w:rsidRDefault="00781F92" w14:paraId="12248C88" w14:textId="77777777">
      <w:pPr>
        <w:pStyle w:val="Standard"/>
      </w:pPr>
      <w:r w:rsidRPr="00B07D02">
        <w:t xml:space="preserve">PG&amp;E contends that the Commission in its decision here should not address the distribution-voltage level components it identified in the Application as “reasonably foreseeable” or related alternatives described in the </w:t>
      </w:r>
      <w:r>
        <w:t>FEIR</w:t>
      </w:r>
      <w:r w:rsidRPr="00B07D02">
        <w:t>, such</w:t>
      </w:r>
      <w:r w:rsidRPr="00BF759D">
        <w:t xml:space="preserve"> </w:t>
      </w:r>
      <w:r w:rsidRPr="00B07D02">
        <w:t xml:space="preserve">as </w:t>
      </w:r>
      <w:r>
        <w:t>a</w:t>
      </w:r>
      <w:r w:rsidRPr="00B07D02">
        <w:t>lternatives BS-2 and BS-3</w:t>
      </w:r>
      <w:r w:rsidRPr="004B2A91">
        <w:t>.</w:t>
      </w:r>
      <w:r w:rsidRPr="00BF759D">
        <w:rPr>
          <w:position w:val="8"/>
        </w:rPr>
        <w:t xml:space="preserve"> </w:t>
      </w:r>
    </w:p>
    <w:p w:rsidRPr="004B2A91" w:rsidR="00781F92" w:rsidP="00831FAB" w:rsidRDefault="00781F92" w14:paraId="1F2FFBD3" w14:textId="77777777">
      <w:pPr>
        <w:pStyle w:val="Standard"/>
      </w:pPr>
      <w:r>
        <w:lastRenderedPageBreak/>
        <w:t>T</w:t>
      </w:r>
      <w:r w:rsidRPr="004B2A91">
        <w:t>he Commission has authority over electric utility infrastructure, including distribution.</w:t>
      </w:r>
      <w:r w:rsidRPr="004B2A91">
        <w:rPr>
          <w:vertAlign w:val="superscript"/>
        </w:rPr>
        <w:footnoteReference w:id="41"/>
      </w:r>
      <w:r w:rsidRPr="004B2A91">
        <w:t xml:space="preserve"> </w:t>
      </w:r>
      <w:r>
        <w:t>A</w:t>
      </w:r>
      <w:r w:rsidRPr="00B07D02">
        <w:t xml:space="preserve">s the </w:t>
      </w:r>
      <w:r w:rsidRPr="004B2A91">
        <w:t xml:space="preserve">CEQA lead agency </w:t>
      </w:r>
      <w:r w:rsidRPr="00B07D02">
        <w:t>preparing the EIR for the Proposed Project</w:t>
      </w:r>
      <w:r>
        <w:t>, the Commission also</w:t>
      </w:r>
      <w:r w:rsidRPr="00B07D02">
        <w:t xml:space="preserve"> </w:t>
      </w:r>
      <w:r w:rsidRPr="004B2A91">
        <w:t>has a duty to review and consider “</w:t>
      </w:r>
      <w:r w:rsidRPr="00B07D02">
        <w:t>the whole of the action</w:t>
      </w:r>
      <w:r>
        <w:t>.</w:t>
      </w:r>
      <w:r w:rsidRPr="00B07D02">
        <w:t>”</w:t>
      </w:r>
      <w:r w:rsidRPr="004B2A91">
        <w:rPr>
          <w:rStyle w:val="FootnoteReference"/>
        </w:rPr>
        <w:footnoteReference w:id="42"/>
      </w:r>
      <w:r w:rsidRPr="004B2A91">
        <w:t xml:space="preserve"> </w:t>
      </w:r>
      <w:r>
        <w:t>Accordingly, we</w:t>
      </w:r>
      <w:r w:rsidRPr="004B2A91">
        <w:t xml:space="preserve"> will consider the whole of the project</w:t>
      </w:r>
      <w:r>
        <w:t xml:space="preserve"> here</w:t>
      </w:r>
      <w:r w:rsidRPr="004B2A91">
        <w:t>, including the reasonably foreseeable component</w:t>
      </w:r>
      <w:r>
        <w:t>s</w:t>
      </w:r>
      <w:r w:rsidRPr="004B2A91">
        <w:t xml:space="preserve">, in our review of the Proposed Project. </w:t>
      </w:r>
    </w:p>
    <w:p w:rsidRPr="00B07D02" w:rsidR="00781F92" w:rsidP="00831FAB" w:rsidRDefault="00781F92" w14:paraId="0EDC8CE5" w14:textId="1AD054A4">
      <w:pPr>
        <w:pStyle w:val="Standard"/>
        <w:rPr>
          <w:rFonts w:eastAsia="Aptos" w:cs="Aptos"/>
          <w:szCs w:val="26"/>
          <w14:ligatures w14:val="standardContextual"/>
        </w:rPr>
      </w:pPr>
      <w:r w:rsidRPr="00B07D02">
        <w:rPr>
          <w:rFonts w:eastAsia="Aptos" w:cs="Aptos"/>
          <w:szCs w:val="26"/>
          <w14:ligatures w14:val="standardContextual"/>
        </w:rPr>
        <w:t>Here, the Proposed Project, as proposed by PG&amp;E, in the Application for PG&amp;E’s 70</w:t>
      </w:r>
      <w:r w:rsidR="00DC5A1D">
        <w:rPr>
          <w:rFonts w:eastAsia="Aptos" w:cs="Aptos"/>
          <w:szCs w:val="26"/>
          <w14:ligatures w14:val="standardContextual"/>
        </w:rPr>
        <w:t> kV</w:t>
      </w:r>
      <w:r w:rsidRPr="00B07D02">
        <w:rPr>
          <w:rFonts w:eastAsia="Aptos" w:cs="Aptos"/>
          <w:szCs w:val="26"/>
          <w14:ligatures w14:val="standardContextual"/>
        </w:rPr>
        <w:t xml:space="preserve"> Substation, as demonstrated by the description of the ultimate substation buildout, above, is reasonably expected to result in additional distribution infrastructure originating from the substation.</w:t>
      </w:r>
    </w:p>
    <w:p w:rsidRPr="00B07D02" w:rsidR="00781F92" w:rsidP="00831FAB" w:rsidRDefault="00781F92" w14:paraId="3E15EC5B" w14:textId="77777777">
      <w:pPr>
        <w:pStyle w:val="Standard"/>
        <w:rPr>
          <w:rFonts w:eastAsia="Aptos" w:cs="Aptos"/>
          <w:szCs w:val="26"/>
          <w14:ligatures w14:val="standardContextual"/>
        </w:rPr>
      </w:pPr>
      <w:r w:rsidRPr="00B07D02">
        <w:rPr>
          <w:rFonts w:eastAsia="Aptos" w:cs="Aptos"/>
          <w:szCs w:val="26"/>
          <w14:ligatures w14:val="standardContextual"/>
        </w:rPr>
        <w:t>CEQA requires that feasible alternatives that meet the basic objectives of the project and substantially lessen significant impacts on the environment be selected by the lead agency unless specific economic, social or other conditions are identified that warrant selecting a more environmentally impactful alternative.</w:t>
      </w:r>
    </w:p>
    <w:p w:rsidRPr="00B07D02" w:rsidR="00781F92" w:rsidP="00831FAB" w:rsidRDefault="00781F92" w14:paraId="6A193D9E" w14:textId="77777777">
      <w:pPr>
        <w:pStyle w:val="Standard"/>
        <w:rPr>
          <w:rFonts w:eastAsia="Aptos" w:cs="Aptos"/>
          <w:szCs w:val="26"/>
          <w14:ligatures w14:val="standardContextual"/>
        </w:rPr>
      </w:pPr>
      <w:r w:rsidRPr="00B07D02">
        <w:rPr>
          <w:rFonts w:eastAsia="Aptos" w:cs="Aptos"/>
          <w:szCs w:val="26"/>
          <w14:ligatures w14:val="standardContextual"/>
        </w:rPr>
        <w:t xml:space="preserve">Because CEQA requires consideration of the whole of the project, including reasonably foreseeable developments resulting from the project that have a potential to affect the environment, and those developments (i.e., the reasonably foreseeable distribution elements) are within the scope of the Commission’s authority, we find that consideration of alternatives BS-2 and BS-3 in lieu of the Proposed Project’s reasonably foreseeable components </w:t>
      </w:r>
      <w:r>
        <w:rPr>
          <w:rFonts w:eastAsia="Aptos" w:cs="Aptos"/>
          <w:szCs w:val="26"/>
          <w14:ligatures w14:val="standardContextual"/>
        </w:rPr>
        <w:t xml:space="preserve">here </w:t>
      </w:r>
      <w:r w:rsidRPr="00B07D02">
        <w:rPr>
          <w:rFonts w:eastAsia="Aptos" w:cs="Aptos"/>
          <w:szCs w:val="26"/>
          <w14:ligatures w14:val="standardContextual"/>
        </w:rPr>
        <w:t>is within the Commission’s authority and is, therefore, required.</w:t>
      </w:r>
    </w:p>
    <w:p w:rsidRPr="00BF759D" w:rsidR="00781F92" w:rsidP="00831FAB" w:rsidRDefault="00781F92" w14:paraId="655DB914" w14:textId="7E2DEB9B">
      <w:pPr>
        <w:pStyle w:val="Standard"/>
        <w:rPr>
          <w:rFonts w:eastAsia="Aptos" w:cs="Aptos"/>
          <w:szCs w:val="26"/>
          <w14:ligatures w14:val="standardContextual"/>
        </w:rPr>
      </w:pPr>
      <w:r w:rsidRPr="00BF759D">
        <w:rPr>
          <w:rFonts w:eastAsia="Aptos" w:cs="Aptos"/>
          <w:szCs w:val="26"/>
          <w14:ligatures w14:val="standardContextual"/>
        </w:rPr>
        <w:lastRenderedPageBreak/>
        <w:t xml:space="preserve">Here, no party has identified any specific economic, social, </w:t>
      </w:r>
      <w:r w:rsidR="002623C8">
        <w:rPr>
          <w:rFonts w:eastAsia="Aptos" w:cs="Aptos"/>
          <w:szCs w:val="26"/>
          <w14:ligatures w14:val="standardContextual"/>
        </w:rPr>
        <w:t xml:space="preserve">environmental </w:t>
      </w:r>
      <w:r w:rsidRPr="00BF759D">
        <w:rPr>
          <w:rFonts w:eastAsia="Aptos" w:cs="Aptos"/>
          <w:szCs w:val="26"/>
          <w14:ligatures w14:val="standardContextual"/>
        </w:rPr>
        <w:t xml:space="preserve">or other condition that warrants the Commission’s approval of the Proposed Project’s reasonably foreseeable distribution elements nor an alternative other than alternatives BS-2/BS-3 in lieu of applicant PG&amp;E’s proposed reasonably foreseeable distribution infrastructure. </w:t>
      </w:r>
    </w:p>
    <w:p w:rsidRPr="002376B7" w:rsidR="002376B7" w:rsidP="002376B7" w:rsidRDefault="00781F92" w14:paraId="0F299D40" w14:textId="7B70EC4A">
      <w:pPr>
        <w:pStyle w:val="Standard"/>
        <w:rPr>
          <w:rFonts w:eastAsia="Aptos" w:cs="Aptos"/>
          <w:szCs w:val="26"/>
          <w14:ligatures w14:val="standardContextual"/>
        </w:rPr>
      </w:pPr>
      <w:r w:rsidRPr="00BF759D">
        <w:rPr>
          <w:rFonts w:eastAsia="Aptos" w:cs="Aptos"/>
          <w:szCs w:val="26"/>
          <w14:ligatures w14:val="standardContextual"/>
        </w:rPr>
        <w:t xml:space="preserve">Therefore, lacking any evidence of economic, social, or other conditions for selecting the reasonably foreseeable distribution components, the Commission approves and orders alternative BS-2/BS-3 as part of the </w:t>
      </w:r>
      <w:r w:rsidR="00807F3E">
        <w:rPr>
          <w:rFonts w:eastAsia="Aptos" w:cs="Aptos"/>
          <w:szCs w:val="26"/>
          <w14:ligatures w14:val="standardContextual"/>
        </w:rPr>
        <w:t>e</w:t>
      </w:r>
      <w:r w:rsidRPr="00BF759D">
        <w:rPr>
          <w:rFonts w:eastAsia="Aptos" w:cs="Aptos"/>
          <w:szCs w:val="26"/>
          <w14:ligatures w14:val="standardContextual"/>
        </w:rPr>
        <w:t xml:space="preserve">nvironmentally </w:t>
      </w:r>
      <w:r w:rsidR="00807F3E">
        <w:rPr>
          <w:rFonts w:eastAsia="Aptos" w:cs="Aptos"/>
          <w:szCs w:val="26"/>
          <w14:ligatures w14:val="standardContextual"/>
        </w:rPr>
        <w:t>s</w:t>
      </w:r>
      <w:r w:rsidRPr="00BF759D">
        <w:rPr>
          <w:rFonts w:eastAsia="Aptos" w:cs="Aptos"/>
          <w:szCs w:val="26"/>
          <w14:ligatures w14:val="standardContextual"/>
        </w:rPr>
        <w:t xml:space="preserve">uperior </w:t>
      </w:r>
      <w:r w:rsidR="00807F3E">
        <w:rPr>
          <w:rFonts w:eastAsia="Aptos" w:cs="Aptos"/>
          <w:szCs w:val="26"/>
          <w14:ligatures w14:val="standardContextual"/>
        </w:rPr>
        <w:t>a</w:t>
      </w:r>
      <w:r w:rsidRPr="00BF759D">
        <w:rPr>
          <w:rFonts w:eastAsia="Aptos" w:cs="Aptos"/>
          <w:szCs w:val="26"/>
          <w14:ligatures w14:val="standardContextual"/>
        </w:rPr>
        <w:t>lternative.</w:t>
      </w:r>
      <w:r w:rsidR="002376B7">
        <w:rPr>
          <w:rFonts w:eastAsia="Aptos" w:cs="Aptos"/>
          <w:szCs w:val="26"/>
          <w14:ligatures w14:val="standardContextual"/>
        </w:rPr>
        <w:t xml:space="preserve"> In so doing</w:t>
      </w:r>
      <w:r w:rsidRPr="002376B7" w:rsidR="002376B7">
        <w:rPr>
          <w:rFonts w:eastAsia="Aptos" w:cs="Aptos"/>
          <w:szCs w:val="26"/>
          <w14:ligatures w14:val="standardContextual"/>
        </w:rPr>
        <w:t xml:space="preserve">, we adopt the below process for PG&amp;E for the reasonably foreseeable future distribution components of the Estrella Project - while acknowledging the timing, location and feasibility of the work </w:t>
      </w:r>
      <w:r w:rsidR="0031606D">
        <w:rPr>
          <w:rFonts w:eastAsia="Aptos" w:cs="Aptos"/>
          <w:szCs w:val="26"/>
          <w14:ligatures w14:val="standardContextual"/>
        </w:rPr>
        <w:t>are</w:t>
      </w:r>
      <w:r w:rsidRPr="002376B7" w:rsidR="002376B7">
        <w:rPr>
          <w:rFonts w:eastAsia="Aptos" w:cs="Aptos"/>
          <w:szCs w:val="26"/>
          <w14:ligatures w14:val="standardContextual"/>
        </w:rPr>
        <w:t xml:space="preserve"> unclear at this time:  </w:t>
      </w:r>
    </w:p>
    <w:p w:rsidR="002376B7" w:rsidP="00522A51" w:rsidRDefault="002376B7" w14:paraId="4A8256DF" w14:textId="24E1EC1F">
      <w:pPr>
        <w:pStyle w:val="Standard"/>
        <w:spacing w:line="240" w:lineRule="auto"/>
        <w:ind w:left="720" w:right="1080" w:firstLine="0"/>
        <w:rPr>
          <w:rFonts w:eastAsia="Aptos" w:cs="Aptos"/>
          <w:szCs w:val="26"/>
          <w14:ligatures w14:val="standardContextual"/>
        </w:rPr>
      </w:pPr>
      <w:r w:rsidRPr="002376B7">
        <w:rPr>
          <w:rFonts w:eastAsia="Aptos" w:cs="Aptos"/>
          <w:szCs w:val="26"/>
          <w14:ligatures w14:val="standardContextual"/>
        </w:rPr>
        <w:t>PG&amp;E must file in the current Distribution Investment Deferral Framework (DIDF) proceeding or a successor proceeding when those distribution elements associated with the Estrella Project become necessary (expected approximately 5-15 years). If DIDF procurement is successful, a Tier 1 advice letter to Energy Division referencing the instant proceeding would be filed to document the completion. If DIDF procurement is not successful, PG&amp;E shall file a petition for modification in this instant proceeding to address the distribution elements for the Commission to review the feasibility of the battery storage components and/or distribution elements in light of the record developed as part of the DIDF process and any further record as necessary to examine the issue at that time.</w:t>
      </w:r>
    </w:p>
    <w:p w:rsidRPr="002376B7" w:rsidR="002376B7" w:rsidP="00522A51" w:rsidRDefault="002376B7" w14:paraId="7269B13C" w14:textId="77777777">
      <w:pPr>
        <w:pStyle w:val="Standard"/>
        <w:spacing w:line="240" w:lineRule="auto"/>
        <w:rPr>
          <w:rFonts w:eastAsia="Aptos" w:cs="Aptos"/>
          <w:szCs w:val="26"/>
          <w14:ligatures w14:val="standardContextual"/>
        </w:rPr>
      </w:pPr>
    </w:p>
    <w:p w:rsidR="00781F92" w:rsidP="00781F92" w:rsidRDefault="00781F92" w14:paraId="1A78C4DF" w14:textId="77777777">
      <w:pPr>
        <w:pStyle w:val="Heading2"/>
      </w:pPr>
      <w:bookmarkStart w:name="_Toc164685416" w:id="125"/>
      <w:r>
        <w:t>Briefs Filed in the Proceeding</w:t>
      </w:r>
      <w:bookmarkEnd w:id="125"/>
    </w:p>
    <w:p w:rsidR="00781F92" w:rsidP="00831FAB" w:rsidRDefault="00781F92" w14:paraId="26254CB8" w14:textId="3865F1F0">
      <w:pPr>
        <w:pStyle w:val="Standard"/>
        <w:rPr>
          <w:rFonts w:eastAsia="Times New Roman" w:cs="Times New Roman"/>
          <w:position w:val="8"/>
          <w:szCs w:val="26"/>
        </w:rPr>
      </w:pPr>
      <w:r>
        <w:rPr>
          <w:rFonts w:eastAsia="Times New Roman" w:cs="Times New Roman"/>
          <w:szCs w:val="26"/>
        </w:rPr>
        <w:t>T</w:t>
      </w:r>
      <w:r w:rsidRPr="00B07D02">
        <w:rPr>
          <w:rFonts w:eastAsia="Times New Roman" w:cs="Times New Roman"/>
          <w:szCs w:val="26"/>
        </w:rPr>
        <w:t xml:space="preserve">hree opening briefs were filed in this proceeding by: (1) the Applicants; (2) Sun Communities, Inc. and Cava Robles RV Resort, </w:t>
      </w:r>
      <w:proofErr w:type="spellStart"/>
      <w:r w:rsidRPr="00B07D02">
        <w:rPr>
          <w:rFonts w:eastAsia="Times New Roman" w:cs="Times New Roman"/>
          <w:szCs w:val="26"/>
        </w:rPr>
        <w:t>Heverts</w:t>
      </w:r>
      <w:proofErr w:type="spellEnd"/>
      <w:r w:rsidRPr="00B07D02">
        <w:rPr>
          <w:rFonts w:eastAsia="Times New Roman" w:cs="Times New Roman"/>
          <w:szCs w:val="26"/>
        </w:rPr>
        <w:t>, Riboli, San</w:t>
      </w:r>
      <w:r w:rsidR="00DC3A51">
        <w:rPr>
          <w:rFonts w:eastAsia="Times New Roman" w:cs="Times New Roman"/>
          <w:szCs w:val="26"/>
        </w:rPr>
        <w:t> </w:t>
      </w:r>
      <w:r w:rsidRPr="00B07D02">
        <w:rPr>
          <w:rFonts w:eastAsia="Times New Roman" w:cs="Times New Roman"/>
          <w:szCs w:val="26"/>
        </w:rPr>
        <w:t>Antonio, and the City (collectively, the Local Parties); and (3) CURE.</w:t>
      </w:r>
      <w:r w:rsidRPr="00B07D02">
        <w:rPr>
          <w:rFonts w:eastAsia="Times New Roman" w:cs="Times New Roman"/>
          <w:position w:val="8"/>
          <w:szCs w:val="26"/>
        </w:rPr>
        <w:t xml:space="preserve"> </w:t>
      </w:r>
    </w:p>
    <w:p w:rsidRPr="00B07D02" w:rsidR="00781F92" w:rsidP="00831FAB" w:rsidRDefault="00781F92" w14:paraId="7FFD0109" w14:textId="3D6A8864">
      <w:pPr>
        <w:pStyle w:val="Standard"/>
        <w:rPr>
          <w:rFonts w:eastAsia="Times New Roman" w:cs="Times New Roman"/>
          <w:szCs w:val="26"/>
        </w:rPr>
      </w:pPr>
      <w:r w:rsidRPr="00B07D02">
        <w:rPr>
          <w:rFonts w:eastAsia="Times New Roman" w:cs="Times New Roman"/>
          <w:szCs w:val="26"/>
        </w:rPr>
        <w:lastRenderedPageBreak/>
        <w:t xml:space="preserve">The Applicants’ opening brief explains that the FEIR was prepared in compliance with CEQA and satisfies CEQA’s requirements and seeks the Commission to approve the Application and grant the requested PTCs for Alternative Combination #2, based on consideration of the FEIR and the </w:t>
      </w:r>
      <w:r w:rsidR="008B5DF7">
        <w:rPr>
          <w:rFonts w:eastAsia="Times New Roman" w:cs="Times New Roman"/>
          <w:szCs w:val="26"/>
        </w:rPr>
        <w:t xml:space="preserve">Proposed </w:t>
      </w:r>
      <w:r w:rsidRPr="00B07D02">
        <w:rPr>
          <w:rFonts w:eastAsia="Times New Roman" w:cs="Times New Roman"/>
          <w:szCs w:val="26"/>
        </w:rPr>
        <w:t xml:space="preserve">Project’s reliability benefits, economic benefits, and policy benefits. </w:t>
      </w:r>
    </w:p>
    <w:p w:rsidRPr="00B07D02" w:rsidR="00781F92" w:rsidP="00831FAB" w:rsidRDefault="00781F92" w14:paraId="281DC070" w14:textId="77777777">
      <w:pPr>
        <w:pStyle w:val="Standard"/>
        <w:rPr>
          <w:rFonts w:eastAsia="Times New Roman" w:cs="Times New Roman"/>
          <w:szCs w:val="26"/>
        </w:rPr>
      </w:pPr>
      <w:r w:rsidRPr="00B07D02">
        <w:rPr>
          <w:rFonts w:eastAsia="Times New Roman" w:cs="Times New Roman"/>
          <w:szCs w:val="26"/>
        </w:rPr>
        <w:t>The Local Parties’ opening brief similarly supports and asks the Commission to approve Alternative Combination #2 (the environmentally superior alternative).</w:t>
      </w:r>
      <w:r w:rsidRPr="00B07D02">
        <w:rPr>
          <w:rFonts w:eastAsia="Times New Roman" w:cs="Times New Roman"/>
          <w:szCs w:val="26"/>
          <w:vertAlign w:val="superscript"/>
        </w:rPr>
        <w:footnoteReference w:id="43"/>
      </w:r>
      <w:r w:rsidRPr="00B07D02">
        <w:rPr>
          <w:rFonts w:eastAsia="Times New Roman" w:cs="Times New Roman"/>
          <w:szCs w:val="26"/>
        </w:rPr>
        <w:t xml:space="preserve"> </w:t>
      </w:r>
    </w:p>
    <w:p w:rsidRPr="00B07D02" w:rsidR="00781F92" w:rsidP="00831FAB" w:rsidRDefault="00781F92" w14:paraId="13EC0340" w14:textId="1AE5F3EE">
      <w:pPr>
        <w:pStyle w:val="Standard"/>
      </w:pPr>
      <w:r w:rsidRPr="00B07D02">
        <w:rPr>
          <w:rFonts w:eastAsia="Times New Roman" w:cs="Times New Roman"/>
          <w:szCs w:val="26"/>
        </w:rPr>
        <w:t>All parties other than CURE also support approval of Alternative PLR-1A. Alternative PLR-1A and the rest of Alternative Combination</w:t>
      </w:r>
      <w:r w:rsidRPr="00BF759D">
        <w:rPr>
          <w:rFonts w:eastAsia="Times New Roman" w:cs="Times New Roman"/>
          <w:szCs w:val="26"/>
        </w:rPr>
        <w:t xml:space="preserve"> </w:t>
      </w:r>
      <w:r w:rsidRPr="00B07D02">
        <w:rPr>
          <w:rFonts w:eastAsia="Times New Roman" w:cs="Times New Roman"/>
          <w:szCs w:val="26"/>
        </w:rPr>
        <w:t>#2 are feasible and meet the project objectives and w</w:t>
      </w:r>
      <w:r w:rsidR="008B5DF7">
        <w:rPr>
          <w:rFonts w:eastAsia="Times New Roman" w:cs="Times New Roman"/>
          <w:szCs w:val="26"/>
        </w:rPr>
        <w:t>ere</w:t>
      </w:r>
      <w:r w:rsidRPr="00B07D02">
        <w:rPr>
          <w:rFonts w:eastAsia="Times New Roman" w:cs="Times New Roman"/>
          <w:szCs w:val="26"/>
        </w:rPr>
        <w:t xml:space="preserve"> </w:t>
      </w:r>
      <w:r>
        <w:rPr>
          <w:rFonts w:eastAsia="Times New Roman" w:cs="Times New Roman"/>
          <w:szCs w:val="26"/>
        </w:rPr>
        <w:t>identified as the</w:t>
      </w:r>
      <w:r w:rsidRPr="00B07D02">
        <w:rPr>
          <w:rFonts w:eastAsia="Times New Roman" w:cs="Times New Roman"/>
          <w:szCs w:val="26"/>
        </w:rPr>
        <w:t xml:space="preserve"> environmentally superior alternative.</w:t>
      </w:r>
      <w:r w:rsidRPr="00B07D02">
        <w:rPr>
          <w:rFonts w:eastAsia="Times New Roman" w:cs="Times New Roman"/>
          <w:position w:val="8"/>
          <w:szCs w:val="26"/>
        </w:rPr>
        <w:t xml:space="preserve"> </w:t>
      </w:r>
    </w:p>
    <w:p w:rsidRPr="00B07D02" w:rsidR="00584854" w:rsidP="00B07D02" w:rsidRDefault="00584854" w14:paraId="7E25C47F" w14:textId="17B096FD">
      <w:pPr>
        <w:pStyle w:val="Heading2"/>
      </w:pPr>
      <w:bookmarkStart w:name="_Toc164685417" w:id="126"/>
      <w:r w:rsidRPr="00B07D02">
        <w:t>Significant Environmental Impacts</w:t>
      </w:r>
      <w:bookmarkEnd w:id="126"/>
      <w:r w:rsidRPr="00B07D02">
        <w:t xml:space="preserve"> </w:t>
      </w:r>
      <w:bookmarkStart w:name="_bookmark49" w:id="127"/>
      <w:bookmarkEnd w:id="127"/>
    </w:p>
    <w:p w:rsidRPr="00B07D02" w:rsidR="00584854" w:rsidP="00831FAB" w:rsidRDefault="00584854" w14:paraId="5F47D2F0" w14:textId="4C78CC10">
      <w:pPr>
        <w:pStyle w:val="Standard"/>
      </w:pPr>
      <w:r w:rsidRPr="00B07D02">
        <w:t>The FEIR evaluated the potential for the Proposed Project and alternatives to affect 20</w:t>
      </w:r>
      <w:r w:rsidRPr="00BF759D">
        <w:t xml:space="preserve"> </w:t>
      </w:r>
      <w:r w:rsidRPr="00B07D02">
        <w:t>resource areas, which are discussed in detail in the FEIR.</w:t>
      </w:r>
      <w:r w:rsidRPr="00BF759D">
        <w:t xml:space="preserve"> </w:t>
      </w:r>
      <w:r w:rsidRPr="00B07D02">
        <w:t>Table</w:t>
      </w:r>
      <w:r w:rsidRPr="00BF759D">
        <w:t xml:space="preserve"> </w:t>
      </w:r>
      <w:r w:rsidRPr="00B07D02">
        <w:t>ES-1 at the end of the FEIR’s Executive Summary summarizes the potential environmental impacts associated</w:t>
      </w:r>
      <w:r w:rsidRPr="00BF759D">
        <w:t xml:space="preserve"> </w:t>
      </w:r>
      <w:r w:rsidRPr="00B07D02">
        <w:t>with the Proposed Project, as proposed in the Application, the mitigation measures proposed by the Applicants</w:t>
      </w:r>
      <w:r w:rsidRPr="00BF759D">
        <w:t xml:space="preserve"> </w:t>
      </w:r>
      <w:r w:rsidRPr="00B07D02">
        <w:t>(</w:t>
      </w:r>
      <w:r w:rsidR="00786973">
        <w:t xml:space="preserve">also referred </w:t>
      </w:r>
      <w:r w:rsidR="00786973">
        <w:lastRenderedPageBreak/>
        <w:t xml:space="preserve">to as applicant proposed mitigation measures or </w:t>
      </w:r>
      <w:r w:rsidRPr="00B07D02">
        <w:t>APMs),</w:t>
      </w:r>
      <w:r w:rsidRPr="00BF759D">
        <w:t xml:space="preserve"> </w:t>
      </w:r>
      <w:r w:rsidRPr="00B07D02">
        <w:t>the</w:t>
      </w:r>
      <w:r w:rsidRPr="00BF759D">
        <w:t xml:space="preserve"> </w:t>
      </w:r>
      <w:r w:rsidRPr="00B07D02">
        <w:t>additional</w:t>
      </w:r>
      <w:r w:rsidRPr="00BF759D">
        <w:t xml:space="preserve"> </w:t>
      </w:r>
      <w:r w:rsidRPr="00B07D02">
        <w:t>mitigation</w:t>
      </w:r>
      <w:r w:rsidRPr="00BF759D">
        <w:t xml:space="preserve"> </w:t>
      </w:r>
      <w:r w:rsidRPr="00B07D02">
        <w:t>measures</w:t>
      </w:r>
      <w:r w:rsidRPr="00BF759D">
        <w:t xml:space="preserve"> </w:t>
      </w:r>
      <w:r w:rsidRPr="00B07D02">
        <w:t>that</w:t>
      </w:r>
      <w:r w:rsidRPr="00BF759D">
        <w:t xml:space="preserve"> </w:t>
      </w:r>
      <w:r w:rsidRPr="00B07D02">
        <w:t>would</w:t>
      </w:r>
      <w:r w:rsidRPr="00BF759D">
        <w:t xml:space="preserve"> </w:t>
      </w:r>
      <w:r w:rsidRPr="00B07D02">
        <w:t>further</w:t>
      </w:r>
      <w:r w:rsidRPr="00BF759D">
        <w:t xml:space="preserve"> </w:t>
      </w:r>
      <w:r w:rsidRPr="00B07D02">
        <w:t>reduce</w:t>
      </w:r>
      <w:r w:rsidRPr="00BF759D">
        <w:t xml:space="preserve"> impacts </w:t>
      </w:r>
      <w:bookmarkStart w:name="_bookmark50" w:id="128"/>
      <w:bookmarkEnd w:id="128"/>
      <w:r w:rsidRPr="00B07D02">
        <w:t>(MMs), and the resulting significance determinations for the Proposed Project after application of the APMs and MMs.</w:t>
      </w:r>
      <w:r w:rsidRPr="00BF759D">
        <w:t xml:space="preserve"> </w:t>
      </w:r>
      <w:r w:rsidRPr="00B07D02">
        <w:t>Table</w:t>
      </w:r>
      <w:r w:rsidRPr="00BF759D">
        <w:t xml:space="preserve"> </w:t>
      </w:r>
      <w:r w:rsidRPr="00B07D02">
        <w:t>ES-2 summarizes the impacts and significance determinations for each component of the alternatives carried through for full analysis in the FEIR.</w:t>
      </w:r>
    </w:p>
    <w:p w:rsidRPr="00BF759D" w:rsidR="006660F2" w:rsidP="006660F2" w:rsidRDefault="00584854" w14:paraId="08CB8FB6" w14:textId="7ECAE372">
      <w:pPr>
        <w:pStyle w:val="Standard"/>
      </w:pPr>
      <w:r w:rsidRPr="00B07D02">
        <w:t>The FEIR finds that the Proposed Project as originally proposed would have a total of six significant and unavoidable impacts in the areas of Aesthetics (Impact</w:t>
      </w:r>
      <w:r w:rsidRPr="00BF759D">
        <w:t xml:space="preserve"> </w:t>
      </w:r>
      <w:r w:rsidRPr="00B07D02">
        <w:t>AES-3), Agricultural and</w:t>
      </w:r>
      <w:r w:rsidRPr="00BF759D">
        <w:t xml:space="preserve"> </w:t>
      </w:r>
      <w:r w:rsidRPr="00B07D02">
        <w:t>Forestry</w:t>
      </w:r>
      <w:r w:rsidRPr="00BF759D">
        <w:t xml:space="preserve"> </w:t>
      </w:r>
      <w:r w:rsidRPr="00B07D02">
        <w:t>Resources</w:t>
      </w:r>
      <w:r w:rsidRPr="00BF759D">
        <w:t xml:space="preserve"> </w:t>
      </w:r>
      <w:r w:rsidRPr="00B07D02">
        <w:t>(Impact</w:t>
      </w:r>
      <w:r w:rsidRPr="00BF759D">
        <w:t xml:space="preserve"> </w:t>
      </w:r>
      <w:r w:rsidRPr="00B07D02">
        <w:t>AG-1</w:t>
      </w:r>
      <w:r w:rsidRPr="00BF759D">
        <w:t xml:space="preserve"> </w:t>
      </w:r>
      <w:r w:rsidRPr="00B07D02">
        <w:t>and</w:t>
      </w:r>
      <w:r w:rsidRPr="00BF759D">
        <w:t xml:space="preserve"> </w:t>
      </w:r>
      <w:r w:rsidRPr="00B07D02">
        <w:t>Impact</w:t>
      </w:r>
      <w:r w:rsidRPr="00BF759D">
        <w:t xml:space="preserve"> </w:t>
      </w:r>
      <w:r w:rsidRPr="00B07D02">
        <w:t>AG-2),</w:t>
      </w:r>
      <w:r w:rsidRPr="00BF759D">
        <w:t xml:space="preserve"> </w:t>
      </w:r>
      <w:r w:rsidRPr="00B07D02">
        <w:t>Air</w:t>
      </w:r>
      <w:r w:rsidRPr="00BF759D">
        <w:t xml:space="preserve"> </w:t>
      </w:r>
      <w:r w:rsidRPr="00B07D02">
        <w:t>Quality</w:t>
      </w:r>
      <w:r w:rsidRPr="00BF759D">
        <w:t xml:space="preserve"> </w:t>
      </w:r>
      <w:r w:rsidRPr="00B07D02">
        <w:t>(Impact</w:t>
      </w:r>
      <w:r w:rsidRPr="00BF759D">
        <w:t xml:space="preserve"> </w:t>
      </w:r>
      <w:r w:rsidRPr="00B07D02">
        <w:t>AQ-2</w:t>
      </w:r>
      <w:r w:rsidRPr="00BF759D">
        <w:t xml:space="preserve"> </w:t>
      </w:r>
      <w:r w:rsidRPr="00B07D02">
        <w:t>and Impact</w:t>
      </w:r>
      <w:r w:rsidRPr="00BF759D">
        <w:t xml:space="preserve"> </w:t>
      </w:r>
      <w:r w:rsidRPr="00B07D02">
        <w:t>AQ-3), and Noise and Vibration (Impact</w:t>
      </w:r>
      <w:r w:rsidRPr="00BF759D">
        <w:t xml:space="preserve"> </w:t>
      </w:r>
      <w:r w:rsidRPr="00B07D02">
        <w:t>NOISE-1).</w:t>
      </w:r>
      <w:r w:rsidRPr="00BF759D">
        <w:t xml:space="preserve"> </w:t>
      </w:r>
      <w:r w:rsidRPr="00B07D02">
        <w:t>The FEIR finds that these can be lessened but not eliminated with the APMs and MMs identified in the FEIR.</w:t>
      </w:r>
      <w:r w:rsidRPr="00BF759D">
        <w:t xml:space="preserve"> </w:t>
      </w:r>
      <w:r w:rsidRPr="006660F2" w:rsidR="006660F2">
        <w:t>The FEIR finds that all other impacts would be reduced to a less-than-significant level through mitigation measures identified in the FEIR.</w:t>
      </w:r>
    </w:p>
    <w:p w:rsidRPr="00B07D02" w:rsidR="00584854" w:rsidP="00831FAB" w:rsidRDefault="00584854" w14:paraId="3DBC5309" w14:textId="07D98F77">
      <w:pPr>
        <w:pStyle w:val="Standard"/>
        <w:rPr>
          <w:sz w:val="14"/>
        </w:rPr>
      </w:pPr>
      <w:r w:rsidRPr="00B07D02">
        <w:t xml:space="preserve">The FEIR also concludes that </w:t>
      </w:r>
      <w:r w:rsidR="004226E4">
        <w:t>the environmentally superior alternative</w:t>
      </w:r>
      <w:r w:rsidR="00822947">
        <w:t xml:space="preserve"> (</w:t>
      </w:r>
      <w:r w:rsidRPr="00B07D02">
        <w:t>Alternative Combination #2</w:t>
      </w:r>
      <w:r w:rsidR="00822947">
        <w:t>,</w:t>
      </w:r>
      <w:r w:rsidRPr="00B07D02">
        <w:t xml:space="preserve"> </w:t>
      </w:r>
      <w:r w:rsidR="00822947">
        <w:t xml:space="preserve">including </w:t>
      </w:r>
      <w:r w:rsidRPr="00B07D02">
        <w:t xml:space="preserve">Alternative PLR-1A) would </w:t>
      </w:r>
      <w:r w:rsidR="00822947">
        <w:t xml:space="preserve">further </w:t>
      </w:r>
      <w:r w:rsidRPr="00B07D02">
        <w:t>reduce these impacts when compared against the Proposed Project, as originally proposed.</w:t>
      </w:r>
      <w:r w:rsidRPr="00BF759D">
        <w:t xml:space="preserve"> </w:t>
      </w:r>
      <w:r w:rsidRPr="00B07D02">
        <w:t>Specifically, Alternative</w:t>
      </w:r>
      <w:r w:rsidRPr="00BF759D">
        <w:t xml:space="preserve"> </w:t>
      </w:r>
      <w:r w:rsidRPr="00B07D02">
        <w:t>PLR-1A</w:t>
      </w:r>
      <w:r w:rsidRPr="00BF759D">
        <w:t xml:space="preserve"> </w:t>
      </w:r>
      <w:r w:rsidRPr="00B07D02">
        <w:t>would</w:t>
      </w:r>
      <w:r w:rsidRPr="00BF759D">
        <w:t xml:space="preserve"> </w:t>
      </w:r>
      <w:r w:rsidRPr="00B07D02">
        <w:t>reduce</w:t>
      </w:r>
      <w:r w:rsidRPr="00BF759D">
        <w:t xml:space="preserve"> </w:t>
      </w:r>
      <w:r w:rsidRPr="00B07D02">
        <w:t>the</w:t>
      </w:r>
      <w:r w:rsidRPr="00BF759D">
        <w:t xml:space="preserve"> </w:t>
      </w:r>
      <w:r w:rsidRPr="00B07D02">
        <w:t>significant</w:t>
      </w:r>
      <w:r w:rsidRPr="00BF759D">
        <w:t xml:space="preserve"> </w:t>
      </w:r>
      <w:r w:rsidRPr="00B07D02">
        <w:t>aesthetic</w:t>
      </w:r>
      <w:r w:rsidRPr="00BF759D">
        <w:t xml:space="preserve"> </w:t>
      </w:r>
      <w:r w:rsidRPr="00B07D02">
        <w:t>impacts</w:t>
      </w:r>
      <w:r w:rsidRPr="00BF759D">
        <w:t xml:space="preserve"> </w:t>
      </w:r>
      <w:r w:rsidRPr="00B07D02">
        <w:t>of</w:t>
      </w:r>
      <w:r w:rsidRPr="00BF759D">
        <w:t xml:space="preserve"> </w:t>
      </w:r>
      <w:r w:rsidRPr="00B07D02">
        <w:t>the</w:t>
      </w:r>
      <w:r w:rsidRPr="00BF759D">
        <w:t xml:space="preserve"> </w:t>
      </w:r>
      <w:r w:rsidRPr="00B07D02">
        <w:t>originally</w:t>
      </w:r>
      <w:r w:rsidRPr="00BF759D">
        <w:t xml:space="preserve"> </w:t>
      </w:r>
      <w:r w:rsidRPr="00B07D02">
        <w:t>proposed 70</w:t>
      </w:r>
      <w:r w:rsidR="00DC5A1D">
        <w:t> kV</w:t>
      </w:r>
      <w:r w:rsidRPr="00B07D02">
        <w:t xml:space="preserve"> power line, and eliminate impacts on the Golden Hill Road area, including the Cava Robles</w:t>
      </w:r>
      <w:r w:rsidRPr="00BF759D">
        <w:t xml:space="preserve"> </w:t>
      </w:r>
      <w:r w:rsidRPr="00B07D02">
        <w:t>RV</w:t>
      </w:r>
      <w:r w:rsidRPr="00BF759D">
        <w:t xml:space="preserve"> </w:t>
      </w:r>
      <w:r w:rsidRPr="00B07D02">
        <w:t>Resort,</w:t>
      </w:r>
      <w:r w:rsidRPr="00BF759D">
        <w:t xml:space="preserve"> </w:t>
      </w:r>
      <w:r w:rsidRPr="00B07D02">
        <w:t>San</w:t>
      </w:r>
      <w:r w:rsidR="002273BE">
        <w:t> </w:t>
      </w:r>
      <w:r w:rsidRPr="00B07D02">
        <w:t>Antonio</w:t>
      </w:r>
      <w:r w:rsidRPr="00BF759D">
        <w:t xml:space="preserve"> </w:t>
      </w:r>
      <w:r w:rsidRPr="00B07D02">
        <w:t>Winery,</w:t>
      </w:r>
      <w:r w:rsidRPr="00BF759D">
        <w:t xml:space="preserve"> </w:t>
      </w:r>
      <w:r w:rsidRPr="00B07D02">
        <w:t>and</w:t>
      </w:r>
      <w:r w:rsidRPr="00BF759D">
        <w:t xml:space="preserve"> </w:t>
      </w:r>
      <w:r w:rsidRPr="00B07D02">
        <w:t>residents</w:t>
      </w:r>
      <w:r w:rsidRPr="00BF759D">
        <w:t xml:space="preserve"> </w:t>
      </w:r>
      <w:r w:rsidRPr="00B07D02">
        <w:t>at</w:t>
      </w:r>
      <w:r w:rsidRPr="00BF759D">
        <w:t xml:space="preserve"> </w:t>
      </w:r>
      <w:r w:rsidRPr="00B07D02">
        <w:t>the</w:t>
      </w:r>
      <w:r w:rsidRPr="00BF759D">
        <w:t xml:space="preserve"> </w:t>
      </w:r>
      <w:r w:rsidRPr="00B07D02">
        <w:t>Circle</w:t>
      </w:r>
      <w:r w:rsidRPr="00BF759D">
        <w:t xml:space="preserve"> </w:t>
      </w:r>
      <w:r w:rsidRPr="00B07D02">
        <w:t>B</w:t>
      </w:r>
      <w:r w:rsidRPr="00BF759D">
        <w:t xml:space="preserve"> </w:t>
      </w:r>
      <w:r w:rsidRPr="00B07D02">
        <w:t>Homeowners’</w:t>
      </w:r>
      <w:r w:rsidRPr="00BF759D">
        <w:t xml:space="preserve"> </w:t>
      </w:r>
      <w:r w:rsidRPr="00B07D02">
        <w:t>Association.</w:t>
      </w:r>
      <w:r w:rsidRPr="00BF759D">
        <w:t xml:space="preserve"> </w:t>
      </w:r>
      <w:r w:rsidRPr="00B07D02">
        <w:t>The FEIR finds that all other impacts from the Proposed Project (as modified to include Alternative PLR-1A) are designated as no impact, less than significant, or less than significant with mitigation.</w:t>
      </w:r>
      <w:r w:rsidRPr="00B07D02">
        <w:rPr>
          <w:rStyle w:val="FootnoteReference"/>
        </w:rPr>
        <w:footnoteReference w:id="44"/>
      </w:r>
      <w:r w:rsidRPr="00B07D02">
        <w:t xml:space="preserve"> </w:t>
      </w:r>
      <w:r w:rsidRPr="00B07D02">
        <w:rPr>
          <w:sz w:val="14"/>
        </w:rPr>
        <w:t xml:space="preserve"> </w:t>
      </w:r>
    </w:p>
    <w:p w:rsidRPr="00B07D02" w:rsidR="00584854" w:rsidP="00831FAB" w:rsidRDefault="00584854" w14:paraId="7CCA5349" w14:textId="4924EC47">
      <w:pPr>
        <w:pStyle w:val="Standard"/>
      </w:pPr>
      <w:r w:rsidRPr="00B07D02">
        <w:lastRenderedPageBreak/>
        <w:t>The</w:t>
      </w:r>
      <w:r w:rsidRPr="00BF759D">
        <w:t xml:space="preserve"> </w:t>
      </w:r>
      <w:r w:rsidRPr="00B07D02">
        <w:t>FEIR</w:t>
      </w:r>
      <w:r w:rsidRPr="00BF759D">
        <w:t xml:space="preserve"> </w:t>
      </w:r>
      <w:r w:rsidRPr="00B07D02">
        <w:t>includes</w:t>
      </w:r>
      <w:r w:rsidRPr="00BF759D">
        <w:t xml:space="preserve"> </w:t>
      </w:r>
      <w:r w:rsidRPr="00B07D02">
        <w:t>the</w:t>
      </w:r>
      <w:r w:rsidRPr="00BF759D">
        <w:t xml:space="preserve"> </w:t>
      </w:r>
      <w:r w:rsidRPr="00B07D02">
        <w:t>APMs</w:t>
      </w:r>
      <w:r w:rsidRPr="00BF759D">
        <w:t xml:space="preserve"> </w:t>
      </w:r>
      <w:r w:rsidRPr="00B07D02">
        <w:t>and</w:t>
      </w:r>
      <w:r w:rsidRPr="00BF759D">
        <w:t xml:space="preserve"> </w:t>
      </w:r>
      <w:r w:rsidRPr="00B07D02">
        <w:t>MMs</w:t>
      </w:r>
      <w:r w:rsidRPr="00BF759D">
        <w:t xml:space="preserve"> </w:t>
      </w:r>
      <w:r w:rsidRPr="00B07D02">
        <w:t>in</w:t>
      </w:r>
      <w:r w:rsidRPr="00BF759D">
        <w:t xml:space="preserve"> </w:t>
      </w:r>
      <w:r w:rsidRPr="00B07D02">
        <w:t>a</w:t>
      </w:r>
      <w:r w:rsidRPr="00BF759D">
        <w:t xml:space="preserve"> </w:t>
      </w:r>
      <w:r w:rsidRPr="00B07D02">
        <w:t>Mitigation</w:t>
      </w:r>
      <w:r w:rsidRPr="00BF759D">
        <w:t xml:space="preserve"> </w:t>
      </w:r>
      <w:r w:rsidRPr="00B07D02">
        <w:t>Monitoring</w:t>
      </w:r>
      <w:r>
        <w:t xml:space="preserve"> </w:t>
      </w:r>
      <w:r w:rsidRPr="00B07D02">
        <w:t>and Reporting</w:t>
      </w:r>
      <w:r w:rsidRPr="00BF759D">
        <w:t xml:space="preserve"> </w:t>
      </w:r>
      <w:r w:rsidRPr="00107A7F">
        <w:t>P</w:t>
      </w:r>
      <w:r w:rsidR="005D70DC">
        <w:t>lan</w:t>
      </w:r>
      <w:r w:rsidRPr="00BF759D">
        <w:t xml:space="preserve"> </w:t>
      </w:r>
      <w:r w:rsidRPr="00B07D02">
        <w:t>(MMRP).</w:t>
      </w:r>
      <w:r w:rsidRPr="00B07D02">
        <w:rPr>
          <w:rStyle w:val="FootnoteReference"/>
        </w:rPr>
        <w:footnoteReference w:id="45"/>
      </w:r>
      <w:r w:rsidRPr="00B07D02">
        <w:t xml:space="preserve"> The APMs</w:t>
      </w:r>
      <w:r w:rsidRPr="00BF759D">
        <w:t xml:space="preserve"> </w:t>
      </w:r>
      <w:r w:rsidRPr="00B07D02">
        <w:t>and</w:t>
      </w:r>
      <w:r w:rsidRPr="00BF759D">
        <w:t xml:space="preserve"> </w:t>
      </w:r>
      <w:r w:rsidRPr="00B07D02">
        <w:t>MMs</w:t>
      </w:r>
      <w:r w:rsidRPr="00BF759D">
        <w:t xml:space="preserve"> </w:t>
      </w:r>
      <w:r w:rsidRPr="00B07D02">
        <w:t>required</w:t>
      </w:r>
      <w:r w:rsidRPr="00BF759D">
        <w:t xml:space="preserve"> </w:t>
      </w:r>
      <w:r w:rsidRPr="00B07D02">
        <w:t>in</w:t>
      </w:r>
      <w:r w:rsidRPr="00BF759D">
        <w:t xml:space="preserve"> </w:t>
      </w:r>
      <w:r w:rsidRPr="00B07D02">
        <w:t>the</w:t>
      </w:r>
      <w:r w:rsidRPr="00BF759D">
        <w:t xml:space="preserve"> </w:t>
      </w:r>
      <w:r w:rsidRPr="00B07D02">
        <w:t>MMRP</w:t>
      </w:r>
      <w:r w:rsidRPr="00BF759D">
        <w:t xml:space="preserve"> </w:t>
      </w:r>
      <w:r w:rsidRPr="00B07D02">
        <w:t>are</w:t>
      </w:r>
      <w:r w:rsidRPr="00BF759D">
        <w:t xml:space="preserve"> </w:t>
      </w:r>
      <w:r w:rsidRPr="00B07D02">
        <w:t>feasible</w:t>
      </w:r>
      <w:r w:rsidR="00563AA7">
        <w:t>,</w:t>
      </w:r>
      <w:r w:rsidRPr="00B07D02">
        <w:t xml:space="preserve"> and Applicants accept them.</w:t>
      </w:r>
    </w:p>
    <w:p w:rsidRPr="00B07D02" w:rsidR="00584854" w:rsidP="00B07D02" w:rsidRDefault="00AC002D" w14:paraId="78EA219C" w14:textId="7AD50CF2">
      <w:pPr>
        <w:pStyle w:val="Heading2"/>
        <w:spacing w:after="0" w:line="360" w:lineRule="auto"/>
        <w:ind w:right="-90"/>
      </w:pPr>
      <w:bookmarkStart w:name="_Toc164685418" w:id="129"/>
      <w:r>
        <w:t xml:space="preserve">Significant </w:t>
      </w:r>
      <w:r w:rsidRPr="00B07D02" w:rsidR="00584854">
        <w:t>Unavoidable Impacts</w:t>
      </w:r>
      <w:bookmarkEnd w:id="129"/>
      <w:r w:rsidRPr="00B07D02" w:rsidR="00584854">
        <w:t xml:space="preserve"> </w:t>
      </w:r>
    </w:p>
    <w:p w:rsidRPr="00B07D02" w:rsidR="00584854" w:rsidP="00831FAB" w:rsidRDefault="00E12CCA" w14:paraId="491854E2" w14:textId="63B4B088">
      <w:pPr>
        <w:pStyle w:val="Standard"/>
      </w:pPr>
      <w:r>
        <w:t>A</w:t>
      </w:r>
      <w:r w:rsidR="009F009F">
        <w:t>s noted above, a</w:t>
      </w:r>
      <w:r>
        <w:t xml:space="preserve">lthough the FEIR </w:t>
      </w:r>
      <w:r w:rsidRPr="00B07D02" w:rsidR="00584854">
        <w:t>finds that the environmentally superior alternative, Alternative Combination #2 (Alternative PLR-1A)</w:t>
      </w:r>
      <w:r w:rsidR="00DC0874">
        <w:t>,</w:t>
      </w:r>
      <w:r w:rsidRPr="00B07D02" w:rsidR="00584854">
        <w:t xml:space="preserve"> </w:t>
      </w:r>
      <w:r w:rsidR="007C784F">
        <w:t xml:space="preserve">lessens </w:t>
      </w:r>
      <w:r w:rsidR="0034532C">
        <w:t xml:space="preserve">the </w:t>
      </w:r>
      <w:r w:rsidRPr="00B07D02" w:rsidR="00584854">
        <w:t>impacts when compared with the Proposed Project, as originally proposed</w:t>
      </w:r>
      <w:r w:rsidR="004922AE">
        <w:t xml:space="preserve">, there </w:t>
      </w:r>
      <w:r w:rsidR="00722226">
        <w:t xml:space="preserve">will </w:t>
      </w:r>
      <w:r w:rsidR="0034532C">
        <w:t xml:space="preserve">still remain </w:t>
      </w:r>
      <w:r w:rsidR="003D51CD">
        <w:t>some</w:t>
      </w:r>
      <w:r w:rsidRPr="009F009F" w:rsidR="009F009F">
        <w:t xml:space="preserve"> significant and unavoidable impacts</w:t>
      </w:r>
      <w:r w:rsidRPr="00B07D02" w:rsidR="00584854">
        <w:t>. The FEIR also identifies the APMs and MMs that substantially lessen the identified impacts but concludes that the impacts after mitigation would be significant and unavoidable.</w:t>
      </w:r>
    </w:p>
    <w:p w:rsidRPr="00B07D02" w:rsidR="00584854" w:rsidP="00831FAB" w:rsidRDefault="00584854" w14:paraId="457D3BA4" w14:textId="46503A6C">
      <w:pPr>
        <w:pStyle w:val="Standard"/>
      </w:pPr>
      <w:r w:rsidRPr="00B07D02">
        <w:t xml:space="preserve">When an EIR identifies significant environmental impacts that </w:t>
      </w:r>
      <w:r w:rsidR="002273BE">
        <w:t>m</w:t>
      </w:r>
      <w:r w:rsidR="00325E91">
        <w:t>ay</w:t>
      </w:r>
      <w:r w:rsidR="002273BE">
        <w:t xml:space="preserve"> </w:t>
      </w:r>
      <w:r w:rsidRPr="00B07D02">
        <w:t>result from a project, CEQA and the CEQA Guidelines require the lead agency to make one or more of the following findings for those impacts:</w:t>
      </w:r>
      <w:r w:rsidRPr="00B07D02">
        <w:rPr>
          <w:rStyle w:val="FootnoteReference"/>
        </w:rPr>
        <w:footnoteReference w:id="46"/>
      </w:r>
      <w:r w:rsidRPr="00B07D02">
        <w:t xml:space="preserve">   </w:t>
      </w:r>
    </w:p>
    <w:p w:rsidRPr="00B07D02" w:rsidR="00584854" w:rsidP="009F605D" w:rsidRDefault="00584854" w14:paraId="7065DEBD" w14:textId="77777777">
      <w:pPr>
        <w:pStyle w:val="ListParagraph"/>
        <w:numPr>
          <w:ilvl w:val="0"/>
          <w:numId w:val="4"/>
        </w:numPr>
        <w:tabs>
          <w:tab w:val="left" w:pos="1440"/>
        </w:tabs>
        <w:ind w:left="1080" w:hanging="360"/>
        <w:rPr>
          <w:rFonts w:ascii="Book Antiqua" w:hAnsi="Book Antiqua"/>
          <w:sz w:val="26"/>
          <w:szCs w:val="26"/>
        </w:rPr>
      </w:pPr>
      <w:r w:rsidRPr="00B07D02">
        <w:rPr>
          <w:rFonts w:ascii="Book Antiqua" w:hAnsi="Book Antiqua"/>
          <w:sz w:val="26"/>
          <w:szCs w:val="26"/>
        </w:rPr>
        <w:t xml:space="preserve">Changes or alterations have been required in, or incorporated into, the project that avoid or substantially lessen the significant environmental effects identified in the </w:t>
      </w:r>
      <w:r w:rsidRPr="00BF759D">
        <w:rPr>
          <w:rFonts w:ascii="Book Antiqua" w:hAnsi="Book Antiqua"/>
          <w:sz w:val="26"/>
          <w:szCs w:val="26"/>
        </w:rPr>
        <w:t>EIR.</w:t>
      </w:r>
    </w:p>
    <w:p w:rsidRPr="00B07D02" w:rsidR="00584854" w:rsidP="009F605D" w:rsidRDefault="00584854" w14:paraId="2EE56E93" w14:textId="77777777">
      <w:pPr>
        <w:pStyle w:val="ListParagraph"/>
        <w:numPr>
          <w:ilvl w:val="0"/>
          <w:numId w:val="4"/>
        </w:numPr>
        <w:tabs>
          <w:tab w:val="left" w:pos="1440"/>
        </w:tabs>
        <w:ind w:left="1080" w:hanging="360"/>
        <w:rPr>
          <w:rFonts w:ascii="Book Antiqua" w:hAnsi="Book Antiqua"/>
          <w:sz w:val="26"/>
          <w:szCs w:val="26"/>
        </w:rPr>
      </w:pPr>
      <w:r w:rsidRPr="00B07D02">
        <w:rPr>
          <w:rFonts w:ascii="Book Antiqua" w:hAnsi="Book Antiqua"/>
          <w:sz w:val="26"/>
          <w:szCs w:val="26"/>
        </w:rPr>
        <w:t>Such</w:t>
      </w:r>
      <w:r w:rsidRPr="00BF759D">
        <w:rPr>
          <w:rFonts w:ascii="Book Antiqua" w:hAnsi="Book Antiqua"/>
          <w:sz w:val="26"/>
          <w:szCs w:val="26"/>
        </w:rPr>
        <w:t xml:space="preserve"> </w:t>
      </w:r>
      <w:r w:rsidRPr="00B07D02">
        <w:rPr>
          <w:rFonts w:ascii="Book Antiqua" w:hAnsi="Book Antiqua"/>
          <w:sz w:val="26"/>
          <w:szCs w:val="26"/>
        </w:rPr>
        <w:t>changes</w:t>
      </w:r>
      <w:r w:rsidRPr="00BF759D">
        <w:rPr>
          <w:rFonts w:ascii="Book Antiqua" w:hAnsi="Book Antiqua"/>
          <w:sz w:val="26"/>
          <w:szCs w:val="26"/>
        </w:rPr>
        <w:t xml:space="preserve"> </w:t>
      </w:r>
      <w:r w:rsidRPr="00B07D02">
        <w:rPr>
          <w:rFonts w:ascii="Book Antiqua" w:hAnsi="Book Antiqua"/>
          <w:sz w:val="26"/>
          <w:szCs w:val="26"/>
        </w:rPr>
        <w:t>or</w:t>
      </w:r>
      <w:r w:rsidRPr="00BF759D">
        <w:rPr>
          <w:rFonts w:ascii="Book Antiqua" w:hAnsi="Book Antiqua"/>
          <w:sz w:val="26"/>
          <w:szCs w:val="26"/>
        </w:rPr>
        <w:t xml:space="preserve"> </w:t>
      </w:r>
      <w:r w:rsidRPr="00B07D02">
        <w:rPr>
          <w:rFonts w:ascii="Book Antiqua" w:hAnsi="Book Antiqua"/>
          <w:sz w:val="26"/>
          <w:szCs w:val="26"/>
        </w:rPr>
        <w:t>alterations</w:t>
      </w:r>
      <w:r w:rsidRPr="00BF759D">
        <w:rPr>
          <w:rFonts w:ascii="Book Antiqua" w:hAnsi="Book Antiqua"/>
          <w:sz w:val="26"/>
          <w:szCs w:val="26"/>
        </w:rPr>
        <w:t xml:space="preserve"> </w:t>
      </w:r>
      <w:r w:rsidRPr="00B07D02">
        <w:rPr>
          <w:rFonts w:ascii="Book Antiqua" w:hAnsi="Book Antiqua"/>
          <w:sz w:val="26"/>
          <w:szCs w:val="26"/>
        </w:rPr>
        <w:t>are</w:t>
      </w:r>
      <w:r w:rsidRPr="00BF759D">
        <w:rPr>
          <w:rFonts w:ascii="Book Antiqua" w:hAnsi="Book Antiqua"/>
          <w:sz w:val="26"/>
          <w:szCs w:val="26"/>
        </w:rPr>
        <w:t xml:space="preserve"> </w:t>
      </w:r>
      <w:r w:rsidRPr="00B07D02">
        <w:rPr>
          <w:rFonts w:ascii="Book Antiqua" w:hAnsi="Book Antiqua"/>
          <w:sz w:val="26"/>
          <w:szCs w:val="26"/>
        </w:rPr>
        <w:t>within</w:t>
      </w:r>
      <w:r w:rsidRPr="00BF759D">
        <w:rPr>
          <w:rFonts w:ascii="Book Antiqua" w:hAnsi="Book Antiqua"/>
          <w:sz w:val="26"/>
          <w:szCs w:val="26"/>
        </w:rPr>
        <w:t xml:space="preserve"> </w:t>
      </w:r>
      <w:r w:rsidRPr="00B07D02">
        <w:rPr>
          <w:rFonts w:ascii="Book Antiqua" w:hAnsi="Book Antiqua"/>
          <w:sz w:val="26"/>
          <w:szCs w:val="26"/>
        </w:rPr>
        <w:t>the</w:t>
      </w:r>
      <w:r w:rsidRPr="00BF759D">
        <w:rPr>
          <w:rFonts w:ascii="Book Antiqua" w:hAnsi="Book Antiqua"/>
          <w:sz w:val="26"/>
          <w:szCs w:val="26"/>
        </w:rPr>
        <w:t xml:space="preserve"> </w:t>
      </w:r>
      <w:r w:rsidRPr="00B07D02">
        <w:rPr>
          <w:rFonts w:ascii="Book Antiqua" w:hAnsi="Book Antiqua"/>
          <w:sz w:val="26"/>
          <w:szCs w:val="26"/>
        </w:rPr>
        <w:t>responsibility</w:t>
      </w:r>
      <w:r w:rsidRPr="00BF759D">
        <w:rPr>
          <w:rFonts w:ascii="Book Antiqua" w:hAnsi="Book Antiqua"/>
          <w:sz w:val="26"/>
          <w:szCs w:val="26"/>
        </w:rPr>
        <w:t xml:space="preserve"> </w:t>
      </w:r>
      <w:r w:rsidRPr="00B07D02">
        <w:rPr>
          <w:rFonts w:ascii="Book Antiqua" w:hAnsi="Book Antiqua"/>
          <w:sz w:val="26"/>
          <w:szCs w:val="26"/>
        </w:rPr>
        <w:t>and</w:t>
      </w:r>
      <w:r w:rsidRPr="00BF759D">
        <w:rPr>
          <w:rFonts w:ascii="Book Antiqua" w:hAnsi="Book Antiqua"/>
          <w:sz w:val="26"/>
          <w:szCs w:val="26"/>
        </w:rPr>
        <w:t xml:space="preserve"> </w:t>
      </w:r>
      <w:r w:rsidRPr="00B07D02">
        <w:rPr>
          <w:rFonts w:ascii="Book Antiqua" w:hAnsi="Book Antiqua"/>
          <w:sz w:val="26"/>
          <w:szCs w:val="26"/>
        </w:rPr>
        <w:t>jurisdiction</w:t>
      </w:r>
      <w:r w:rsidRPr="00BF759D">
        <w:rPr>
          <w:rFonts w:ascii="Book Antiqua" w:hAnsi="Book Antiqua"/>
          <w:sz w:val="26"/>
          <w:szCs w:val="26"/>
        </w:rPr>
        <w:t xml:space="preserve"> </w:t>
      </w:r>
      <w:r w:rsidRPr="00B07D02">
        <w:rPr>
          <w:rFonts w:ascii="Book Antiqua" w:hAnsi="Book Antiqua"/>
          <w:sz w:val="26"/>
          <w:szCs w:val="26"/>
        </w:rPr>
        <w:t>of</w:t>
      </w:r>
      <w:r w:rsidRPr="00BF759D">
        <w:rPr>
          <w:rFonts w:ascii="Book Antiqua" w:hAnsi="Book Antiqua"/>
          <w:w w:val="150"/>
          <w:sz w:val="26"/>
          <w:szCs w:val="26"/>
        </w:rPr>
        <w:t xml:space="preserve"> </w:t>
      </w:r>
      <w:r w:rsidRPr="00B07D02">
        <w:rPr>
          <w:rFonts w:ascii="Book Antiqua" w:hAnsi="Book Antiqua"/>
          <w:sz w:val="26"/>
          <w:szCs w:val="26"/>
        </w:rPr>
        <w:t>another public agency that has adopted, or can and should adopt, such changes.</w:t>
      </w:r>
    </w:p>
    <w:p w:rsidRPr="00B07D02" w:rsidR="00584854" w:rsidP="009F605D" w:rsidRDefault="00584854" w14:paraId="65CCCD61" w14:textId="77777777">
      <w:pPr>
        <w:pStyle w:val="ListParagraph"/>
        <w:numPr>
          <w:ilvl w:val="0"/>
          <w:numId w:val="4"/>
        </w:numPr>
        <w:tabs>
          <w:tab w:val="left" w:pos="1440"/>
        </w:tabs>
        <w:ind w:left="1080" w:hanging="360"/>
        <w:rPr>
          <w:rFonts w:ascii="Book Antiqua" w:hAnsi="Book Antiqua"/>
          <w:sz w:val="26"/>
          <w:szCs w:val="26"/>
        </w:rPr>
      </w:pPr>
      <w:r w:rsidRPr="00B07D02">
        <w:rPr>
          <w:rFonts w:ascii="Book Antiqua" w:hAnsi="Book Antiqua"/>
          <w:sz w:val="26"/>
          <w:szCs w:val="26"/>
        </w:rPr>
        <w:t>Specific</w:t>
      </w:r>
      <w:r w:rsidRPr="00BF759D">
        <w:rPr>
          <w:rFonts w:ascii="Book Antiqua" w:hAnsi="Book Antiqua"/>
          <w:sz w:val="26"/>
          <w:szCs w:val="26"/>
        </w:rPr>
        <w:t xml:space="preserve"> </w:t>
      </w:r>
      <w:r w:rsidRPr="00B07D02">
        <w:rPr>
          <w:rFonts w:ascii="Book Antiqua" w:hAnsi="Book Antiqua"/>
          <w:sz w:val="26"/>
          <w:szCs w:val="26"/>
        </w:rPr>
        <w:t>economic,</w:t>
      </w:r>
      <w:r w:rsidRPr="00BF759D">
        <w:rPr>
          <w:rFonts w:ascii="Book Antiqua" w:hAnsi="Book Antiqua"/>
          <w:sz w:val="26"/>
          <w:szCs w:val="26"/>
        </w:rPr>
        <w:t xml:space="preserve"> </w:t>
      </w:r>
      <w:r w:rsidRPr="00B07D02">
        <w:rPr>
          <w:rFonts w:ascii="Book Antiqua" w:hAnsi="Book Antiqua"/>
          <w:sz w:val="26"/>
          <w:szCs w:val="26"/>
        </w:rPr>
        <w:t>social,</w:t>
      </w:r>
      <w:r w:rsidRPr="00BF759D">
        <w:rPr>
          <w:rFonts w:ascii="Book Antiqua" w:hAnsi="Book Antiqua"/>
          <w:sz w:val="26"/>
          <w:szCs w:val="26"/>
        </w:rPr>
        <w:t xml:space="preserve"> </w:t>
      </w:r>
      <w:r w:rsidRPr="00B07D02">
        <w:rPr>
          <w:rFonts w:ascii="Book Antiqua" w:hAnsi="Book Antiqua"/>
          <w:sz w:val="26"/>
          <w:szCs w:val="26"/>
        </w:rPr>
        <w:t>legal,</w:t>
      </w:r>
      <w:r w:rsidRPr="00BF759D">
        <w:rPr>
          <w:rFonts w:ascii="Book Antiqua" w:hAnsi="Book Antiqua"/>
          <w:sz w:val="26"/>
          <w:szCs w:val="26"/>
        </w:rPr>
        <w:t xml:space="preserve"> </w:t>
      </w:r>
      <w:r w:rsidRPr="00B07D02">
        <w:rPr>
          <w:rFonts w:ascii="Book Antiqua" w:hAnsi="Book Antiqua"/>
          <w:sz w:val="26"/>
          <w:szCs w:val="26"/>
        </w:rPr>
        <w:t>technological,</w:t>
      </w:r>
      <w:r w:rsidRPr="00BF759D">
        <w:rPr>
          <w:rFonts w:ascii="Book Antiqua" w:hAnsi="Book Antiqua"/>
          <w:sz w:val="26"/>
          <w:szCs w:val="26"/>
        </w:rPr>
        <w:t xml:space="preserve"> </w:t>
      </w:r>
      <w:r w:rsidRPr="00B07D02">
        <w:rPr>
          <w:rFonts w:ascii="Book Antiqua" w:hAnsi="Book Antiqua"/>
          <w:sz w:val="26"/>
          <w:szCs w:val="26"/>
        </w:rPr>
        <w:t>or</w:t>
      </w:r>
      <w:r w:rsidRPr="00BF759D">
        <w:rPr>
          <w:rFonts w:ascii="Book Antiqua" w:hAnsi="Book Antiqua"/>
          <w:sz w:val="26"/>
          <w:szCs w:val="26"/>
        </w:rPr>
        <w:t xml:space="preserve"> </w:t>
      </w:r>
      <w:r w:rsidRPr="00B07D02">
        <w:rPr>
          <w:rFonts w:ascii="Book Antiqua" w:hAnsi="Book Antiqua"/>
          <w:sz w:val="26"/>
          <w:szCs w:val="26"/>
        </w:rPr>
        <w:t>other</w:t>
      </w:r>
      <w:r w:rsidRPr="00BF759D">
        <w:rPr>
          <w:rFonts w:ascii="Book Antiqua" w:hAnsi="Book Antiqua"/>
          <w:sz w:val="26"/>
          <w:szCs w:val="26"/>
        </w:rPr>
        <w:t xml:space="preserve"> </w:t>
      </w:r>
      <w:r w:rsidRPr="00B07D02">
        <w:rPr>
          <w:rFonts w:ascii="Book Antiqua" w:hAnsi="Book Antiqua"/>
          <w:sz w:val="26"/>
          <w:szCs w:val="26"/>
        </w:rPr>
        <w:t>considerations</w:t>
      </w:r>
      <w:r w:rsidRPr="00BF759D">
        <w:rPr>
          <w:rFonts w:ascii="Book Antiqua" w:hAnsi="Book Antiqua"/>
          <w:sz w:val="26"/>
          <w:szCs w:val="26"/>
        </w:rPr>
        <w:t xml:space="preserve"> </w:t>
      </w:r>
      <w:r w:rsidRPr="00B07D02">
        <w:rPr>
          <w:rFonts w:ascii="Book Antiqua" w:hAnsi="Book Antiqua"/>
          <w:sz w:val="26"/>
          <w:szCs w:val="26"/>
        </w:rPr>
        <w:t>make infeasible the mitigation measures or project alternatives identified in the EIR.</w:t>
      </w:r>
    </w:p>
    <w:p w:rsidRPr="00B07D02" w:rsidR="00584854" w:rsidP="00831FAB" w:rsidRDefault="00584854" w14:paraId="1E979ADB" w14:textId="736A5BF9">
      <w:pPr>
        <w:pStyle w:val="Standard"/>
      </w:pPr>
      <w:bookmarkStart w:name="_Hlk160460193" w:id="130"/>
      <w:r w:rsidRPr="00B07D02">
        <w:t>We summarize and discuss those potential unavoidable significant impacts and how the FEIR addressed them</w:t>
      </w:r>
      <w:r w:rsidR="001C14B1">
        <w:t xml:space="preserve"> to minimize </w:t>
      </w:r>
      <w:r w:rsidR="00B305DD">
        <w:t xml:space="preserve">those </w:t>
      </w:r>
      <w:r w:rsidR="001C14B1">
        <w:t>impacts</w:t>
      </w:r>
      <w:r w:rsidRPr="00B07D02">
        <w:t>, below.</w:t>
      </w:r>
    </w:p>
    <w:p w:rsidRPr="00B07D02" w:rsidR="00584854" w:rsidP="0092159B" w:rsidRDefault="00584854" w14:paraId="391C7AC8" w14:textId="77777777">
      <w:pPr>
        <w:pStyle w:val="ListNum"/>
        <w:rPr>
          <w:b/>
        </w:rPr>
      </w:pPr>
      <w:bookmarkStart w:name="_bookmark57" w:id="131"/>
      <w:bookmarkEnd w:id="131"/>
      <w:r w:rsidRPr="002273BE">
        <w:rPr>
          <w:bCs/>
          <w:u w:val="single"/>
        </w:rPr>
        <w:lastRenderedPageBreak/>
        <w:t>Aesthetics—Impact AES-3</w:t>
      </w:r>
      <w:r w:rsidRPr="002273BE">
        <w:rPr>
          <w:bCs/>
        </w:rPr>
        <w:t>:</w:t>
      </w:r>
      <w:r w:rsidRPr="0092159B">
        <w:rPr>
          <w:bCs/>
        </w:rPr>
        <w:t xml:space="preserve"> In</w:t>
      </w:r>
      <w:r w:rsidRPr="00B07D02">
        <w:t xml:space="preserve"> non-urbanized areas, substantially degrade the existing visual character or quality of public views of the site</w:t>
      </w:r>
      <w:r w:rsidRPr="00BF759D">
        <w:t xml:space="preserve"> </w:t>
      </w:r>
      <w:r w:rsidRPr="00B07D02">
        <w:t>and its</w:t>
      </w:r>
      <w:r w:rsidRPr="00BF759D">
        <w:t xml:space="preserve"> </w:t>
      </w:r>
      <w:r w:rsidRPr="00B07D02">
        <w:t>surroundings (public views are those that are experienced from publicly accessible vantage point).</w:t>
      </w:r>
      <w:r w:rsidRPr="00BF759D">
        <w:t xml:space="preserve"> </w:t>
      </w:r>
      <w:r w:rsidRPr="00B07D02">
        <w:t>If the project is in an urbanized area, would the project conflict with applicable</w:t>
      </w:r>
      <w:r w:rsidRPr="00BF759D">
        <w:t xml:space="preserve"> </w:t>
      </w:r>
      <w:r w:rsidRPr="00B07D02">
        <w:t>zoning</w:t>
      </w:r>
      <w:r w:rsidRPr="00BF759D">
        <w:t xml:space="preserve"> </w:t>
      </w:r>
      <w:r w:rsidRPr="00B07D02">
        <w:t>and</w:t>
      </w:r>
      <w:r w:rsidRPr="00BF759D">
        <w:t xml:space="preserve"> </w:t>
      </w:r>
      <w:r w:rsidRPr="00B07D02">
        <w:t>other</w:t>
      </w:r>
      <w:r w:rsidRPr="00BF759D">
        <w:t xml:space="preserve"> </w:t>
      </w:r>
      <w:r w:rsidRPr="00B07D02">
        <w:t>regulations</w:t>
      </w:r>
      <w:r w:rsidRPr="00BF759D">
        <w:t xml:space="preserve"> </w:t>
      </w:r>
      <w:r w:rsidRPr="00B07D02">
        <w:t>governing</w:t>
      </w:r>
      <w:r w:rsidRPr="00BF759D">
        <w:t xml:space="preserve"> </w:t>
      </w:r>
      <w:r w:rsidRPr="00B07D02">
        <w:t>scenic</w:t>
      </w:r>
      <w:r w:rsidRPr="00BF759D">
        <w:t xml:space="preserve"> </w:t>
      </w:r>
      <w:r w:rsidRPr="00B07D02">
        <w:t>quality</w:t>
      </w:r>
      <w:r w:rsidRPr="00BF759D">
        <w:t xml:space="preserve"> </w:t>
      </w:r>
      <w:r w:rsidRPr="00B07D02">
        <w:rPr>
          <w:i/>
        </w:rPr>
        <w:t>–</w:t>
      </w:r>
      <w:r w:rsidRPr="00BF759D">
        <w:rPr>
          <w:i/>
        </w:rPr>
        <w:t xml:space="preserve"> </w:t>
      </w:r>
      <w:r w:rsidRPr="00B07D02">
        <w:rPr>
          <w:i/>
        </w:rPr>
        <w:t>Significant</w:t>
      </w:r>
      <w:r w:rsidRPr="00BF759D">
        <w:rPr>
          <w:i/>
        </w:rPr>
        <w:t xml:space="preserve"> </w:t>
      </w:r>
      <w:r w:rsidRPr="00B07D02">
        <w:rPr>
          <w:i/>
        </w:rPr>
        <w:t xml:space="preserve">and </w:t>
      </w:r>
      <w:r w:rsidRPr="00BF759D">
        <w:rPr>
          <w:i/>
        </w:rPr>
        <w:t>Unavoidable</w:t>
      </w:r>
      <w:r w:rsidRPr="00BF759D">
        <w:rPr>
          <w:b/>
        </w:rPr>
        <w:t>.</w:t>
      </w:r>
    </w:p>
    <w:bookmarkEnd w:id="130"/>
    <w:p w:rsidR="00A95556" w:rsidP="00DC3A51" w:rsidRDefault="00584854" w14:paraId="66B10F18" w14:textId="66C17AA1">
      <w:pPr>
        <w:pStyle w:val="Standard"/>
        <w:spacing w:before="240"/>
      </w:pPr>
      <w:r w:rsidRPr="00B07D02">
        <w:t>The FEIR finds that the Proposed Project, once operational, would have a significant and unavoidable impact on the aesthetics of the surrounding area by resulting in a permanent change to the landscape.</w:t>
      </w:r>
      <w:r w:rsidRPr="00BF759D">
        <w:t xml:space="preserve"> </w:t>
      </w:r>
      <w:r w:rsidRPr="00B07D02">
        <w:t>Prominent views from Union Road would include substation facilities, towers, fencing, a new access road, the 230</w:t>
      </w:r>
      <w:r w:rsidR="00DC5A1D">
        <w:t> kV</w:t>
      </w:r>
      <w:r w:rsidRPr="00B07D02">
        <w:t xml:space="preserve"> interconnection, and a new 230</w:t>
      </w:r>
      <w:r w:rsidR="00DC5A1D">
        <w:t> kV</w:t>
      </w:r>
      <w:r w:rsidRPr="00B07D02">
        <w:t xml:space="preserve"> power line.</w:t>
      </w:r>
      <w:r w:rsidRPr="00BF759D">
        <w:t xml:space="preserve"> </w:t>
      </w:r>
      <w:r w:rsidRPr="00B07D02">
        <w:t>Overall, due to the scale and prominence of the new substation, it would be visually inconsistent with the surrounding landscape, which is characterized by vineyards and agricultural operations.</w:t>
      </w:r>
      <w:r w:rsidRPr="00BF759D">
        <w:t xml:space="preserve"> </w:t>
      </w:r>
      <w:r w:rsidRPr="00B07D02">
        <w:t>This would represent a substantial adverse effect on the visual character and quality of the proposed substation site and surrounding landscape in the absence of APMs or MMs.</w:t>
      </w:r>
      <w:r w:rsidRPr="00BF759D">
        <w:t xml:space="preserve"> </w:t>
      </w:r>
      <w:r w:rsidRPr="00B07D02">
        <w:t>The new 70</w:t>
      </w:r>
      <w:r w:rsidR="00DC5A1D">
        <w:t> kV</w:t>
      </w:r>
      <w:r w:rsidRPr="00B07D02">
        <w:t xml:space="preserve"> power line segment as originally proposed would have similar adverse effects on existing visual conditions, although the degree of impact would vary by location.</w:t>
      </w:r>
      <w:r w:rsidRPr="00B07D02">
        <w:rPr>
          <w:rStyle w:val="FootnoteReference"/>
        </w:rPr>
        <w:footnoteReference w:id="47"/>
      </w:r>
      <w:r w:rsidRPr="00B07D02">
        <w:t xml:space="preserve"> </w:t>
      </w:r>
    </w:p>
    <w:p w:rsidRPr="00B07D02" w:rsidR="00584854" w:rsidP="00831FAB" w:rsidRDefault="00584854" w14:paraId="37875679" w14:textId="02CBB4FA">
      <w:pPr>
        <w:pStyle w:val="Standard"/>
        <w:rPr>
          <w:sz w:val="14"/>
        </w:rPr>
      </w:pPr>
      <w:r w:rsidRPr="00B07D02">
        <w:t>However, adopting Alternative Combination #2 (Alternative PLR-1A) as the new transmission line route would reduce this impact for the power line component to less than significant with mitigation.</w:t>
      </w:r>
      <w:r w:rsidRPr="00B07D02">
        <w:rPr>
          <w:rStyle w:val="FootnoteReference"/>
        </w:rPr>
        <w:footnoteReference w:id="48"/>
      </w:r>
      <w:r w:rsidRPr="00BF759D">
        <w:rPr>
          <w:position w:val="8"/>
          <w:sz w:val="14"/>
        </w:rPr>
        <w:t xml:space="preserve"> </w:t>
      </w:r>
      <w:r w:rsidRPr="00B07D02">
        <w:t>The FEIR also finds that the Proposed Project would add to on-going aesthetic impacts</w:t>
      </w:r>
      <w:r w:rsidRPr="00BF759D">
        <w:t xml:space="preserve"> </w:t>
      </w:r>
      <w:r w:rsidRPr="00B07D02">
        <w:t>to</w:t>
      </w:r>
      <w:r w:rsidRPr="00BF759D">
        <w:t xml:space="preserve"> </w:t>
      </w:r>
      <w:r w:rsidRPr="00B07D02">
        <w:t>the</w:t>
      </w:r>
      <w:r w:rsidRPr="00BF759D">
        <w:t xml:space="preserve"> </w:t>
      </w:r>
      <w:r w:rsidRPr="00B07D02">
        <w:t xml:space="preserve">area from </w:t>
      </w:r>
      <w:r w:rsidRPr="00B07D02">
        <w:lastRenderedPageBreak/>
        <w:t>development,</w:t>
      </w:r>
      <w:r w:rsidRPr="00BF759D">
        <w:t xml:space="preserve"> </w:t>
      </w:r>
      <w:r w:rsidRPr="00B07D02">
        <w:t>and would make</w:t>
      </w:r>
      <w:r w:rsidRPr="00BF759D">
        <w:t xml:space="preserve"> </w:t>
      </w:r>
      <w:r w:rsidRPr="00B07D02">
        <w:t>a cumulatively</w:t>
      </w:r>
      <w:r w:rsidRPr="00BF759D">
        <w:t xml:space="preserve"> </w:t>
      </w:r>
      <w:r w:rsidRPr="00B07D02">
        <w:t>considerable contribution to this significant cumulative impact.</w:t>
      </w:r>
      <w:r w:rsidRPr="00B07D02">
        <w:rPr>
          <w:rStyle w:val="FootnoteReference"/>
        </w:rPr>
        <w:footnoteReference w:id="49"/>
      </w:r>
      <w:r w:rsidRPr="00B07D02">
        <w:t xml:space="preserve"> </w:t>
      </w:r>
    </w:p>
    <w:p w:rsidR="0013387E" w:rsidP="00831FAB" w:rsidRDefault="00584854" w14:paraId="27ABB714" w14:textId="2A451EC9">
      <w:pPr>
        <w:pStyle w:val="Standard"/>
      </w:pPr>
      <w:r w:rsidRPr="00B07D02">
        <w:t>To lessen the</w:t>
      </w:r>
      <w:r w:rsidR="00401D64">
        <w:t>se</w:t>
      </w:r>
      <w:r w:rsidRPr="00B07D02">
        <w:t xml:space="preserve"> impacts, the Applicants would implement APM AES-1, which would require installing decorative</w:t>
      </w:r>
      <w:r w:rsidRPr="00BF759D">
        <w:t xml:space="preserve"> </w:t>
      </w:r>
      <w:r w:rsidRPr="00B07D02">
        <w:t>rock</w:t>
      </w:r>
      <w:r w:rsidRPr="00BF759D">
        <w:t xml:space="preserve"> </w:t>
      </w:r>
      <w:r w:rsidRPr="00B07D02">
        <w:t>and/or</w:t>
      </w:r>
      <w:r w:rsidRPr="00BF759D">
        <w:t xml:space="preserve"> </w:t>
      </w:r>
      <w:r w:rsidRPr="00B07D02">
        <w:t>other</w:t>
      </w:r>
      <w:r w:rsidRPr="00BF759D">
        <w:t xml:space="preserve"> </w:t>
      </w:r>
      <w:r w:rsidRPr="00B07D02">
        <w:t>hardscape</w:t>
      </w:r>
      <w:r w:rsidRPr="00BF759D">
        <w:t xml:space="preserve"> </w:t>
      </w:r>
      <w:r w:rsidRPr="00B07D02">
        <w:t>landscaping</w:t>
      </w:r>
      <w:r w:rsidRPr="00BF759D">
        <w:t xml:space="preserve"> </w:t>
      </w:r>
      <w:r w:rsidRPr="00B07D02">
        <w:t>between</w:t>
      </w:r>
      <w:r w:rsidRPr="00BF759D">
        <w:t xml:space="preserve"> </w:t>
      </w:r>
      <w:r w:rsidRPr="00B07D02">
        <w:t>Estrella</w:t>
      </w:r>
      <w:r w:rsidRPr="00BF759D">
        <w:t xml:space="preserve"> </w:t>
      </w:r>
      <w:r w:rsidRPr="00B07D02">
        <w:t>Substation</w:t>
      </w:r>
      <w:r w:rsidRPr="00BF759D">
        <w:t xml:space="preserve"> </w:t>
      </w:r>
      <w:r w:rsidRPr="00B07D02">
        <w:t>and</w:t>
      </w:r>
      <w:r w:rsidRPr="00BF759D">
        <w:t xml:space="preserve"> </w:t>
      </w:r>
      <w:r w:rsidRPr="00B07D02">
        <w:t>Union</w:t>
      </w:r>
      <w:r w:rsidRPr="00BF759D">
        <w:t xml:space="preserve"> </w:t>
      </w:r>
      <w:r w:rsidRPr="00B07D02">
        <w:t>Road which would substantially lessen the effects of the Estrella Substation on the</w:t>
      </w:r>
      <w:r w:rsidRPr="00BF759D">
        <w:t xml:space="preserve"> </w:t>
      </w:r>
      <w:r w:rsidRPr="00B07D02">
        <w:t>existing</w:t>
      </w:r>
      <w:r w:rsidRPr="00BF759D">
        <w:t xml:space="preserve"> </w:t>
      </w:r>
      <w:r w:rsidRPr="00B07D02">
        <w:t>visual</w:t>
      </w:r>
      <w:r w:rsidRPr="00BF759D">
        <w:t xml:space="preserve"> </w:t>
      </w:r>
      <w:r w:rsidRPr="00B07D02">
        <w:t>character</w:t>
      </w:r>
      <w:r w:rsidRPr="00BF759D">
        <w:t xml:space="preserve"> </w:t>
      </w:r>
      <w:r w:rsidRPr="00B07D02">
        <w:t>and</w:t>
      </w:r>
      <w:r w:rsidRPr="00BF759D">
        <w:t xml:space="preserve"> </w:t>
      </w:r>
      <w:r w:rsidRPr="00B07D02">
        <w:t>quality,</w:t>
      </w:r>
      <w:r w:rsidRPr="00BF759D">
        <w:t xml:space="preserve"> </w:t>
      </w:r>
      <w:r w:rsidRPr="00B07D02">
        <w:t>although</w:t>
      </w:r>
      <w:r w:rsidRPr="00BF759D">
        <w:t xml:space="preserve"> </w:t>
      </w:r>
      <w:r w:rsidRPr="00B07D02">
        <w:t>the</w:t>
      </w:r>
      <w:r w:rsidRPr="00BF759D">
        <w:t xml:space="preserve"> </w:t>
      </w:r>
      <w:r w:rsidRPr="00B07D02">
        <w:t>Estrella</w:t>
      </w:r>
      <w:r w:rsidRPr="00BF759D">
        <w:t xml:space="preserve"> </w:t>
      </w:r>
      <w:r w:rsidRPr="00B07D02">
        <w:t>Substation</w:t>
      </w:r>
      <w:r w:rsidRPr="00BF759D">
        <w:t xml:space="preserve"> </w:t>
      </w:r>
      <w:r w:rsidRPr="00B07D02">
        <w:t>still</w:t>
      </w:r>
      <w:r w:rsidRPr="00BF759D">
        <w:t xml:space="preserve"> </w:t>
      </w:r>
      <w:r w:rsidRPr="00B07D02">
        <w:t>would</w:t>
      </w:r>
      <w:r w:rsidRPr="00BF759D">
        <w:t xml:space="preserve"> </w:t>
      </w:r>
      <w:r w:rsidRPr="00B07D02">
        <w:t>appear</w:t>
      </w:r>
      <w:r w:rsidRPr="00BF759D">
        <w:t xml:space="preserve"> </w:t>
      </w:r>
      <w:r w:rsidRPr="00B07D02">
        <w:t>as</w:t>
      </w:r>
      <w:r w:rsidRPr="00BF759D">
        <w:t xml:space="preserve"> a</w:t>
      </w:r>
      <w:bookmarkStart w:name="_bookmark58" w:id="132"/>
      <w:bookmarkEnd w:id="132"/>
      <w:r w:rsidRPr="00B07D02">
        <w:t xml:space="preserve"> dominant contrasting feature.</w:t>
      </w:r>
      <w:r w:rsidRPr="00B07D02">
        <w:rPr>
          <w:rStyle w:val="FootnoteReference"/>
        </w:rPr>
        <w:footnoteReference w:id="50"/>
      </w:r>
      <w:r w:rsidRPr="00B07D02">
        <w:t xml:space="preserve"> </w:t>
      </w:r>
    </w:p>
    <w:p w:rsidRPr="00B07D02" w:rsidR="00584854" w:rsidP="00831FAB" w:rsidRDefault="00584854" w14:paraId="3D802C7F" w14:textId="0C0B46E7">
      <w:pPr>
        <w:pStyle w:val="Standard"/>
        <w:rPr>
          <w:sz w:val="14"/>
        </w:rPr>
      </w:pPr>
      <w:r w:rsidRPr="00B07D02">
        <w:t>MM AES-1 requires (</w:t>
      </w:r>
      <w:proofErr w:type="spellStart"/>
      <w:r w:rsidRPr="00B07D02">
        <w:t>i</w:t>
      </w:r>
      <w:proofErr w:type="spellEnd"/>
      <w:r w:rsidRPr="00B07D02">
        <w:t>)</w:t>
      </w:r>
      <w:r w:rsidRPr="00BF759D">
        <w:t xml:space="preserve"> </w:t>
      </w:r>
      <w:r w:rsidRPr="00B07D02">
        <w:t>landscaping along Union Road in front of the site, (ii)</w:t>
      </w:r>
      <w:r w:rsidRPr="00BF759D">
        <w:t xml:space="preserve"> </w:t>
      </w:r>
      <w:r w:rsidRPr="00B07D02">
        <w:t>selection of materials and paint colors that reduce visual contrast and complement</w:t>
      </w:r>
      <w:r w:rsidRPr="00BF759D">
        <w:t xml:space="preserve"> </w:t>
      </w:r>
      <w:r w:rsidRPr="00B07D02">
        <w:t>the</w:t>
      </w:r>
      <w:r w:rsidRPr="00BF759D">
        <w:t xml:space="preserve"> </w:t>
      </w:r>
      <w:r w:rsidRPr="00B07D02">
        <w:t>surrounding</w:t>
      </w:r>
      <w:r w:rsidRPr="00BF759D">
        <w:t xml:space="preserve"> </w:t>
      </w:r>
      <w:r w:rsidRPr="00B07D02">
        <w:t>landscape,</w:t>
      </w:r>
      <w:r w:rsidRPr="00BF759D">
        <w:t xml:space="preserve"> </w:t>
      </w:r>
      <w:r w:rsidRPr="00B07D02">
        <w:t>including</w:t>
      </w:r>
      <w:r w:rsidRPr="00BF759D">
        <w:t xml:space="preserve"> </w:t>
      </w:r>
      <w:r w:rsidRPr="00B07D02">
        <w:t>by</w:t>
      </w:r>
      <w:r w:rsidRPr="00BF759D">
        <w:t xml:space="preserve"> </w:t>
      </w:r>
      <w:r w:rsidRPr="00B07D02">
        <w:t>using</w:t>
      </w:r>
      <w:r w:rsidRPr="00BF759D">
        <w:t xml:space="preserve"> </w:t>
      </w:r>
      <w:r w:rsidRPr="00B07D02">
        <w:t>a</w:t>
      </w:r>
      <w:r w:rsidRPr="00BF759D">
        <w:t xml:space="preserve"> </w:t>
      </w:r>
      <w:r w:rsidRPr="00B07D02">
        <w:t>dulled</w:t>
      </w:r>
      <w:r w:rsidRPr="00BF759D">
        <w:t xml:space="preserve"> </w:t>
      </w:r>
      <w:r w:rsidRPr="00B07D02">
        <w:t>finish</w:t>
      </w:r>
      <w:r w:rsidRPr="00BF759D">
        <w:t xml:space="preserve"> </w:t>
      </w:r>
      <w:r w:rsidRPr="00B07D02">
        <w:t>on</w:t>
      </w:r>
      <w:r w:rsidRPr="00BF759D">
        <w:t xml:space="preserve"> </w:t>
      </w:r>
      <w:r w:rsidRPr="00B07D02">
        <w:t>power</w:t>
      </w:r>
      <w:r w:rsidRPr="00BF759D">
        <w:t xml:space="preserve"> </w:t>
      </w:r>
      <w:r w:rsidRPr="00B07D02">
        <w:t>poles,</w:t>
      </w:r>
      <w:r w:rsidRPr="00BF759D">
        <w:t xml:space="preserve"> and</w:t>
      </w:r>
      <w:r w:rsidRPr="00BF759D" w:rsidR="00AC002D">
        <w:t xml:space="preserve"> </w:t>
      </w:r>
      <w:r w:rsidRPr="00B07D02">
        <w:t>(iii)</w:t>
      </w:r>
      <w:r w:rsidRPr="00BF759D">
        <w:t xml:space="preserve"> </w:t>
      </w:r>
      <w:r w:rsidRPr="00B07D02">
        <w:t>replacement of landscaping removed during construction.</w:t>
      </w:r>
      <w:r w:rsidRPr="00BF759D">
        <w:t xml:space="preserve"> </w:t>
      </w:r>
      <w:r w:rsidRPr="00B07D02">
        <w:t>These measures would substantially lessen aesthetic impacts, although not below the level of significance because the substation facilities would still dominate views from Union Road.</w:t>
      </w:r>
      <w:r w:rsidRPr="00BF759D">
        <w:t xml:space="preserve"> </w:t>
      </w:r>
      <w:r w:rsidRPr="00B07D02">
        <w:t>No other feasible mitigation</w:t>
      </w:r>
      <w:r w:rsidRPr="00BF759D">
        <w:t xml:space="preserve"> </w:t>
      </w:r>
      <w:r w:rsidRPr="00B07D02">
        <w:t>is available to reduce these adverse effects.</w:t>
      </w:r>
      <w:r w:rsidRPr="00B07D02">
        <w:rPr>
          <w:sz w:val="14"/>
        </w:rPr>
        <w:t xml:space="preserve"> </w:t>
      </w:r>
    </w:p>
    <w:p w:rsidRPr="00B07D02" w:rsidR="00584854" w:rsidP="00831FAB" w:rsidRDefault="00584854" w14:paraId="7937D5A8" w14:textId="4DAEC50F">
      <w:pPr>
        <w:pStyle w:val="Standard"/>
      </w:pPr>
      <w:r w:rsidRPr="00B07D02">
        <w:t xml:space="preserve">The environmentally superior alternative -- </w:t>
      </w:r>
      <w:proofErr w:type="spellStart"/>
      <w:r w:rsidRPr="00B07D02">
        <w:t>Alternative</w:t>
      </w:r>
      <w:proofErr w:type="spellEnd"/>
      <w:r w:rsidRPr="00B07D02">
        <w:t xml:space="preserve"> Combination #2 (Alternative PLR-1A) -- reduces the aesthetic impacts of the new 70</w:t>
      </w:r>
      <w:r w:rsidR="00DC5A1D">
        <w:t> kV</w:t>
      </w:r>
      <w:r w:rsidRPr="00B07D02">
        <w:t xml:space="preserve"> power line to </w:t>
      </w:r>
      <w:r w:rsidRPr="00B07D02">
        <w:rPr>
          <w:b/>
          <w:bCs/>
          <w:i/>
          <w:iCs/>
        </w:rPr>
        <w:t>less than significant levels</w:t>
      </w:r>
      <w:r w:rsidRPr="00B07D02">
        <w:t xml:space="preserve"> because it would not substantially impact scenic vistas or affect scenic resources.</w:t>
      </w:r>
      <w:r w:rsidRPr="00BF759D">
        <w:rPr>
          <w:position w:val="8"/>
          <w:sz w:val="14"/>
        </w:rPr>
        <w:t xml:space="preserve"> </w:t>
      </w:r>
      <w:r w:rsidRPr="00B07D02">
        <w:t>It would reduce the significant aesthetic impacts of the originally proposed 70</w:t>
      </w:r>
      <w:r w:rsidR="00DC5A1D">
        <w:t> kV</w:t>
      </w:r>
      <w:r w:rsidRPr="00B07D02">
        <w:t xml:space="preserve"> power line, and eliminate impacts on the Golden Hill Road area, including the Cava Robles RV Resort, San Antonio Winery, and residents at the Circle B Homeowners’ Association.</w:t>
      </w:r>
      <w:r w:rsidRPr="00BF759D">
        <w:t xml:space="preserve"> </w:t>
      </w:r>
    </w:p>
    <w:p w:rsidRPr="00BF759D" w:rsidR="00584854" w:rsidP="00831FAB" w:rsidRDefault="00584854" w14:paraId="6E0C7FD8" w14:textId="1CB0539D">
      <w:pPr>
        <w:pStyle w:val="Standard"/>
        <w:rPr>
          <w:position w:val="8"/>
          <w:sz w:val="14"/>
        </w:rPr>
      </w:pPr>
      <w:r w:rsidRPr="00B07D02">
        <w:lastRenderedPageBreak/>
        <w:t>CURE argues that undergrounding the entire 70</w:t>
      </w:r>
      <w:r w:rsidR="00DC5A1D">
        <w:t> kV</w:t>
      </w:r>
      <w:r w:rsidRPr="00B07D02">
        <w:t xml:space="preserve"> transmission line would mitigate this impact for the transmission line portion of the Proposed Project, but CURE also admits that undergrounding</w:t>
      </w:r>
      <w:r w:rsidRPr="00BF759D">
        <w:t xml:space="preserve"> </w:t>
      </w:r>
      <w:r w:rsidRPr="00B07D02">
        <w:t>would</w:t>
      </w:r>
      <w:r w:rsidRPr="00BF759D">
        <w:t xml:space="preserve"> </w:t>
      </w:r>
      <w:r w:rsidRPr="00B07D02">
        <w:t>have</w:t>
      </w:r>
      <w:r w:rsidRPr="00BF759D">
        <w:t xml:space="preserve"> </w:t>
      </w:r>
      <w:r w:rsidRPr="00B07D02">
        <w:t>significant</w:t>
      </w:r>
      <w:r w:rsidRPr="00BF759D">
        <w:t xml:space="preserve"> </w:t>
      </w:r>
      <w:r w:rsidRPr="00B07D02">
        <w:t>and</w:t>
      </w:r>
      <w:r w:rsidRPr="00BF759D">
        <w:t xml:space="preserve"> </w:t>
      </w:r>
      <w:r w:rsidRPr="00B07D02">
        <w:t>unavoidable</w:t>
      </w:r>
      <w:r w:rsidRPr="00BF759D">
        <w:t xml:space="preserve"> </w:t>
      </w:r>
      <w:r w:rsidRPr="00B07D02">
        <w:t>air</w:t>
      </w:r>
      <w:r w:rsidRPr="00BF759D">
        <w:t xml:space="preserve"> </w:t>
      </w:r>
      <w:r w:rsidRPr="00B07D02">
        <w:t>quality</w:t>
      </w:r>
      <w:r w:rsidRPr="00BF759D">
        <w:t xml:space="preserve"> </w:t>
      </w:r>
      <w:r w:rsidRPr="00B07D02">
        <w:t>and</w:t>
      </w:r>
      <w:r w:rsidRPr="00BF759D">
        <w:t xml:space="preserve"> </w:t>
      </w:r>
      <w:r w:rsidRPr="00B07D02">
        <w:t>noise</w:t>
      </w:r>
      <w:r w:rsidRPr="00BF759D">
        <w:t xml:space="preserve"> </w:t>
      </w:r>
      <w:r w:rsidRPr="00B07D02">
        <w:t>impacts.</w:t>
      </w:r>
      <w:r w:rsidRPr="00B07D02">
        <w:rPr>
          <w:rStyle w:val="FootnoteReference"/>
        </w:rPr>
        <w:footnoteReference w:id="51"/>
      </w:r>
      <w:r w:rsidRPr="00BF759D">
        <w:rPr>
          <w:position w:val="8"/>
          <w:sz w:val="14"/>
        </w:rPr>
        <w:t xml:space="preserve"> </w:t>
      </w:r>
      <w:r w:rsidRPr="00BF759D">
        <w:t>The F</w:t>
      </w:r>
      <w:bookmarkStart w:name="_bookmark61" w:id="133"/>
      <w:bookmarkEnd w:id="133"/>
      <w:r w:rsidRPr="00B07D02">
        <w:t>EIR also considered and found that the strategic undergrounding alternative, Alternative PLR-3, which would underground 1.1</w:t>
      </w:r>
      <w:r w:rsidR="00DC5A1D">
        <w:t xml:space="preserve"> miles </w:t>
      </w:r>
      <w:r w:rsidRPr="00B07D02">
        <w:t>of the portion of the originally proposed 70</w:t>
      </w:r>
      <w:r w:rsidR="00DC5A1D">
        <w:t> kV</w:t>
      </w:r>
      <w:r w:rsidRPr="00B07D02">
        <w:t xml:space="preserve"> line that runs through the Golden Hill Road area, would have increased impacts on the transportation system</w:t>
      </w:r>
      <w:r w:rsidRPr="00BF759D">
        <w:t xml:space="preserve"> </w:t>
      </w:r>
      <w:r w:rsidRPr="00B07D02">
        <w:t>by requiring extended lane closures to install the underground power line, as well as biological impacts due to the increased disturbance area required for undergrounding.</w:t>
      </w:r>
      <w:hyperlink w:history="1" w:anchor="_bookmark66">
        <w:r w:rsidRPr="00B07D02">
          <w:rPr>
            <w:position w:val="8"/>
            <w:sz w:val="14"/>
          </w:rPr>
          <w:t>57</w:t>
        </w:r>
      </w:hyperlink>
      <w:r w:rsidRPr="00BF759D">
        <w:rPr>
          <w:position w:val="8"/>
          <w:sz w:val="14"/>
        </w:rPr>
        <w:t xml:space="preserve"> </w:t>
      </w:r>
    </w:p>
    <w:p w:rsidRPr="00B07D02" w:rsidR="00584854" w:rsidP="00831FAB" w:rsidRDefault="00584854" w14:paraId="70917E5F" w14:textId="415CC1E7">
      <w:pPr>
        <w:pStyle w:val="Standard"/>
      </w:pPr>
      <w:r w:rsidRPr="00B07D02">
        <w:t>Here, the FEIR selected Alternative Combination #2 (Alternative</w:t>
      </w:r>
      <w:r w:rsidRPr="00BF759D">
        <w:t xml:space="preserve"> </w:t>
      </w:r>
      <w:r w:rsidRPr="00B07D02">
        <w:t>PLR-1A) as the environmentally superior 70</w:t>
      </w:r>
      <w:r w:rsidR="00DC5A1D">
        <w:t> kV</w:t>
      </w:r>
      <w:r w:rsidRPr="00B07D02">
        <w:t xml:space="preserve"> power line component, finding it to be environmentally superior to the alternative that included undergrounding, and explains that undergrounding “would increase a number of environmental impacts,” including</w:t>
      </w:r>
      <w:r w:rsidRPr="00BF759D">
        <w:t xml:space="preserve"> </w:t>
      </w:r>
      <w:r w:rsidRPr="00B07D02">
        <w:t xml:space="preserve">the increased transportation and biological impacts referenced above, “and </w:t>
      </w:r>
      <w:r w:rsidR="002273BE">
        <w:t>m</w:t>
      </w:r>
      <w:r w:rsidR="00325E91">
        <w:t>ay</w:t>
      </w:r>
      <w:r w:rsidR="002273BE">
        <w:t xml:space="preserve"> </w:t>
      </w:r>
      <w:r w:rsidRPr="00B07D02">
        <w:t>limit the utility</w:t>
      </w:r>
      <w:r w:rsidRPr="00BF759D">
        <w:t xml:space="preserve"> </w:t>
      </w:r>
      <w:r w:rsidRPr="00B07D02">
        <w:t>of the power line.”</w:t>
      </w:r>
      <w:r w:rsidRPr="00B07D02">
        <w:rPr>
          <w:rStyle w:val="FootnoteReference"/>
        </w:rPr>
        <w:footnoteReference w:id="52"/>
      </w:r>
      <w:r w:rsidRPr="00B07D02">
        <w:t xml:space="preserve"> The FEIR’s responses to comments further confirm that undergrounding the 70</w:t>
      </w:r>
      <w:r w:rsidR="00DC5A1D">
        <w:t> kV</w:t>
      </w:r>
      <w:r w:rsidRPr="00B07D02">
        <w:t xml:space="preserve"> line “creates impacts of its own and is substantially more expensive than overhead lines,” and </w:t>
      </w:r>
      <w:r w:rsidRPr="00BF759D">
        <w:t>explains:</w:t>
      </w:r>
    </w:p>
    <w:p w:rsidR="00474606" w:rsidP="0092159B" w:rsidRDefault="00584854" w14:paraId="0AB57E34" w14:textId="408D24CB">
      <w:pPr>
        <w:pStyle w:val="BlockQuote"/>
      </w:pPr>
      <w:r w:rsidRPr="00B07D02">
        <w:t>For example, as</w:t>
      </w:r>
      <w:r w:rsidRPr="00BF759D">
        <w:t xml:space="preserve"> </w:t>
      </w:r>
      <w:r w:rsidRPr="00B07D02">
        <w:t>described</w:t>
      </w:r>
      <w:r w:rsidRPr="00BF759D">
        <w:t xml:space="preserve"> </w:t>
      </w:r>
      <w:r w:rsidRPr="00B07D02">
        <w:t>in</w:t>
      </w:r>
      <w:r w:rsidRPr="00BF759D">
        <w:t xml:space="preserve"> </w:t>
      </w:r>
      <w:r w:rsidRPr="00B07D02">
        <w:t>the</w:t>
      </w:r>
      <w:r w:rsidRPr="00BF759D">
        <w:t xml:space="preserve"> </w:t>
      </w:r>
      <w:r w:rsidRPr="00B07D02">
        <w:t>EIR,</w:t>
      </w:r>
      <w:r w:rsidRPr="00BF759D">
        <w:t xml:space="preserve"> </w:t>
      </w:r>
      <w:r w:rsidRPr="00B07D02">
        <w:t>trenching along</w:t>
      </w:r>
      <w:r w:rsidRPr="00BF759D">
        <w:t xml:space="preserve"> </w:t>
      </w:r>
      <w:r w:rsidRPr="00B07D02">
        <w:t>the</w:t>
      </w:r>
      <w:r w:rsidRPr="00BF759D">
        <w:t xml:space="preserve"> </w:t>
      </w:r>
      <w:r w:rsidRPr="00B07D02">
        <w:t>length</w:t>
      </w:r>
      <w:r w:rsidRPr="00BF759D">
        <w:t xml:space="preserve"> </w:t>
      </w:r>
      <w:r w:rsidRPr="00B07D02">
        <w:t>of an undergrounding alignment can loosen soils and would involve use of hazardous materials (</w:t>
      </w:r>
      <w:r w:rsidRPr="00B07D02">
        <w:rPr>
          <w:i/>
        </w:rPr>
        <w:t>e.g</w:t>
      </w:r>
      <w:r w:rsidRPr="00B07D02">
        <w:t xml:space="preserve">., fuel and oil in construction </w:t>
      </w:r>
      <w:r w:rsidRPr="00B07D02">
        <w:lastRenderedPageBreak/>
        <w:t>equipment), which would create potential for off-site movement of pollutants to waterbodies or discharges into soil and groundwater.</w:t>
      </w:r>
      <w:r w:rsidR="00474606">
        <w:rPr>
          <w:rStyle w:val="FootnoteReference"/>
        </w:rPr>
        <w:footnoteReference w:id="53"/>
      </w:r>
      <w:r w:rsidRPr="00B07D02">
        <w:t xml:space="preserve"> </w:t>
      </w:r>
    </w:p>
    <w:p w:rsidR="00474606" w:rsidP="0092159B" w:rsidRDefault="00584854" w14:paraId="18BE3DDF" w14:textId="2547D81D">
      <w:pPr>
        <w:pStyle w:val="BlockQuote"/>
        <w:spacing w:before="240"/>
      </w:pPr>
      <w:r w:rsidRPr="00B07D02">
        <w:t>Likewise, undergrounding a power line would require additional excavation compared to overhead</w:t>
      </w:r>
      <w:r w:rsidRPr="00BF759D">
        <w:t xml:space="preserve"> </w:t>
      </w:r>
      <w:r w:rsidRPr="00B07D02">
        <w:t>line construction and (if installed within the roadway) would use some</w:t>
      </w:r>
      <w:r w:rsidRPr="00BF759D">
        <w:t xml:space="preserve"> </w:t>
      </w:r>
      <w:r w:rsidRPr="00B07D02">
        <w:t>pieces of equipment</w:t>
      </w:r>
      <w:r w:rsidRPr="00BF759D">
        <w:t xml:space="preserve"> </w:t>
      </w:r>
      <w:r w:rsidRPr="00B07D02">
        <w:t>(e.g., asphalt</w:t>
      </w:r>
      <w:r w:rsidRPr="00BF759D">
        <w:t xml:space="preserve"> </w:t>
      </w:r>
      <w:r w:rsidRPr="00B07D02">
        <w:t>saw)</w:t>
      </w:r>
      <w:r w:rsidRPr="00BF759D">
        <w:t xml:space="preserve"> </w:t>
      </w:r>
      <w:r w:rsidRPr="00B07D02">
        <w:t>that generate</w:t>
      </w:r>
      <w:r w:rsidRPr="00BF759D">
        <w:t xml:space="preserve"> </w:t>
      </w:r>
      <w:r w:rsidRPr="00B07D02">
        <w:t>elevated noise compared to the construction equipment necessary for overhead power line construction.</w:t>
      </w:r>
      <w:r w:rsidR="00474606">
        <w:rPr>
          <w:rStyle w:val="FootnoteReference"/>
        </w:rPr>
        <w:footnoteReference w:id="54"/>
      </w:r>
      <w:r w:rsidRPr="00B07D02">
        <w:t xml:space="preserve"> </w:t>
      </w:r>
    </w:p>
    <w:p w:rsidRPr="00B07D02" w:rsidR="00584854" w:rsidP="0092159B" w:rsidRDefault="00584854" w14:paraId="18A9FAED" w14:textId="781F01A6">
      <w:pPr>
        <w:pStyle w:val="BlockQuote"/>
        <w:spacing w:before="240"/>
        <w:rPr>
          <w:sz w:val="14"/>
        </w:rPr>
      </w:pPr>
      <w:r w:rsidRPr="00B07D02">
        <w:t>Undergrounding</w:t>
      </w:r>
      <w:r w:rsidRPr="00BF759D">
        <w:t xml:space="preserve"> </w:t>
      </w:r>
      <w:r w:rsidRPr="00B07D02">
        <w:t>also</w:t>
      </w:r>
      <w:r w:rsidRPr="00BF759D">
        <w:t xml:space="preserve"> </w:t>
      </w:r>
      <w:r w:rsidRPr="00B07D02">
        <w:t>generally</w:t>
      </w:r>
      <w:r w:rsidRPr="00BF759D">
        <w:t xml:space="preserve"> </w:t>
      </w:r>
      <w:r w:rsidRPr="00B07D02">
        <w:t>involves</w:t>
      </w:r>
      <w:r w:rsidRPr="00BF759D">
        <w:t xml:space="preserve"> </w:t>
      </w:r>
      <w:r w:rsidRPr="00B07D02">
        <w:t>greater</w:t>
      </w:r>
      <w:r w:rsidRPr="00BF759D">
        <w:t xml:space="preserve"> </w:t>
      </w:r>
      <w:r w:rsidRPr="00B07D02">
        <w:t>amounts</w:t>
      </w:r>
      <w:r w:rsidRPr="00BF759D">
        <w:t xml:space="preserve"> </w:t>
      </w:r>
      <w:r w:rsidRPr="00B07D02">
        <w:t>of</w:t>
      </w:r>
      <w:r w:rsidRPr="00BF759D">
        <w:t xml:space="preserve"> </w:t>
      </w:r>
      <w:r w:rsidRPr="00B07D02">
        <w:t>ground disturbance during construction, as compared to overhead line construction, which could potentially impact biological and</w:t>
      </w:r>
      <w:r w:rsidRPr="00BF759D">
        <w:t xml:space="preserve"> </w:t>
      </w:r>
      <w:r w:rsidRPr="00B07D02">
        <w:t xml:space="preserve">cultural resources. As shown in Table 5-3 in Chapter 5, </w:t>
      </w:r>
      <w:r w:rsidRPr="00B07D02">
        <w:rPr>
          <w:i/>
        </w:rPr>
        <w:t xml:space="preserve">Alternatives Analysis Summary and Comparison of Alternatives, </w:t>
      </w:r>
      <w:r w:rsidRPr="00B07D02">
        <w:t>page 5-17,</w:t>
      </w:r>
      <w:r w:rsidRPr="00BF759D">
        <w:t xml:space="preserve"> </w:t>
      </w:r>
      <w:r w:rsidRPr="00B07D02">
        <w:t>in</w:t>
      </w:r>
      <w:r w:rsidRPr="00BF759D">
        <w:t xml:space="preserve"> </w:t>
      </w:r>
      <w:r w:rsidRPr="00B07D02">
        <w:t>Volume</w:t>
      </w:r>
      <w:r w:rsidRPr="00BF759D">
        <w:t xml:space="preserve"> </w:t>
      </w:r>
      <w:r w:rsidRPr="00B07D02">
        <w:t>1</w:t>
      </w:r>
      <w:r w:rsidRPr="00BF759D">
        <w:t xml:space="preserve"> </w:t>
      </w:r>
      <w:r w:rsidRPr="00B07D02">
        <w:t>of</w:t>
      </w:r>
      <w:r w:rsidRPr="00BF759D">
        <w:t xml:space="preserve"> </w:t>
      </w:r>
      <w:r w:rsidRPr="00B07D02">
        <w:t>the</w:t>
      </w:r>
      <w:r w:rsidRPr="00BF759D">
        <w:t xml:space="preserve"> </w:t>
      </w:r>
      <w:r w:rsidRPr="00B07D02">
        <w:t>FEIR,</w:t>
      </w:r>
      <w:r w:rsidRPr="00BF759D">
        <w:t xml:space="preserve"> </w:t>
      </w:r>
      <w:r w:rsidRPr="00B07D02">
        <w:t>the</w:t>
      </w:r>
      <w:r w:rsidRPr="00BF759D">
        <w:t xml:space="preserve"> </w:t>
      </w:r>
      <w:r w:rsidRPr="00B07D02">
        <w:t>estimated</w:t>
      </w:r>
      <w:r w:rsidRPr="00BF759D">
        <w:t xml:space="preserve"> </w:t>
      </w:r>
      <w:r w:rsidRPr="00B07D02">
        <w:t>per</w:t>
      </w:r>
      <w:r w:rsidRPr="00BF759D">
        <w:t xml:space="preserve"> </w:t>
      </w:r>
      <w:r w:rsidRPr="00B07D02">
        <w:t>mile</w:t>
      </w:r>
      <w:r w:rsidRPr="00BF759D">
        <w:t xml:space="preserve"> </w:t>
      </w:r>
      <w:r w:rsidRPr="00B07D02">
        <w:t>cost</w:t>
      </w:r>
      <w:r w:rsidRPr="00BF759D">
        <w:t xml:space="preserve"> of </w:t>
      </w:r>
      <w:bookmarkStart w:name="_bookmark66" w:id="134"/>
      <w:bookmarkEnd w:id="134"/>
      <w:r w:rsidRPr="00B07D02">
        <w:t>undergrounding</w:t>
      </w:r>
      <w:r w:rsidRPr="00BF759D">
        <w:t xml:space="preserve"> </w:t>
      </w:r>
      <w:r w:rsidRPr="00B07D02">
        <w:t>the</w:t>
      </w:r>
      <w:r w:rsidRPr="00BF759D">
        <w:t xml:space="preserve"> </w:t>
      </w:r>
      <w:r w:rsidRPr="00B07D02">
        <w:t>70</w:t>
      </w:r>
      <w:r w:rsidR="00DC5A1D">
        <w:t> kV</w:t>
      </w:r>
      <w:r w:rsidRPr="00BF759D">
        <w:t xml:space="preserve"> </w:t>
      </w:r>
      <w:r w:rsidRPr="00B07D02">
        <w:t>power</w:t>
      </w:r>
      <w:r w:rsidRPr="00BF759D">
        <w:t xml:space="preserve"> </w:t>
      </w:r>
      <w:r w:rsidRPr="00B07D02">
        <w:t>line</w:t>
      </w:r>
      <w:r w:rsidRPr="00BF759D">
        <w:t xml:space="preserve"> </w:t>
      </w:r>
      <w:r w:rsidRPr="00B07D02">
        <w:t>is</w:t>
      </w:r>
      <w:r w:rsidRPr="00BF759D">
        <w:t xml:space="preserve"> </w:t>
      </w:r>
      <w:r w:rsidRPr="00B07D02">
        <w:t>$17,705,000,</w:t>
      </w:r>
      <w:r w:rsidRPr="00BF759D">
        <w:t xml:space="preserve"> </w:t>
      </w:r>
      <w:r w:rsidRPr="00B07D02">
        <w:t>compared</w:t>
      </w:r>
      <w:r w:rsidRPr="00BF759D">
        <w:t xml:space="preserve"> to </w:t>
      </w:r>
      <w:r w:rsidRPr="00B07D02">
        <w:t>$3,008,000</w:t>
      </w:r>
      <w:r w:rsidRPr="00BF759D">
        <w:t xml:space="preserve"> </w:t>
      </w:r>
      <w:r w:rsidRPr="00B07D02">
        <w:t>for</w:t>
      </w:r>
      <w:r w:rsidRPr="00BF759D">
        <w:t xml:space="preserve"> </w:t>
      </w:r>
      <w:r w:rsidRPr="00B07D02">
        <w:t>new</w:t>
      </w:r>
      <w:r w:rsidRPr="00BF759D">
        <w:t xml:space="preserve"> </w:t>
      </w:r>
      <w:r w:rsidRPr="00B07D02">
        <w:t xml:space="preserve">overhead </w:t>
      </w:r>
      <w:r w:rsidRPr="00BF759D">
        <w:t>construction.</w:t>
      </w:r>
      <w:r w:rsidRPr="00BF759D">
        <w:rPr>
          <w:rStyle w:val="FootnoteReference"/>
        </w:rPr>
        <w:footnoteReference w:id="55"/>
      </w:r>
      <w:r w:rsidRPr="00B07D02">
        <w:rPr>
          <w:sz w:val="14"/>
        </w:rPr>
        <w:t xml:space="preserve"> </w:t>
      </w:r>
    </w:p>
    <w:p w:rsidR="006E6C3D" w:rsidP="0092159B" w:rsidRDefault="00584854" w14:paraId="0A2CE8A0" w14:textId="09A7BC71">
      <w:pPr>
        <w:pStyle w:val="Standard"/>
        <w:spacing w:before="240"/>
      </w:pPr>
      <w:r w:rsidRPr="00B07D02">
        <w:t>In addition, testimony in this proceeding confirms this estimate and shows that the added costs to underground the double-circuit 70</w:t>
      </w:r>
      <w:r w:rsidR="00DC5A1D">
        <w:t> kV</w:t>
      </w:r>
      <w:r w:rsidRPr="00B07D02">
        <w:t xml:space="preserve"> transmission line would increase costs by $14,697,000 per mile, or $17,705,000 per mile for new underground lines minus the avoided cost for the installation of new overhead lines of $3,008,000 per mile</w:t>
      </w:r>
      <w:r w:rsidRPr="00B07D02">
        <w:rPr>
          <w:rStyle w:val="FootnoteReference"/>
        </w:rPr>
        <w:footnoteReference w:id="56"/>
      </w:r>
      <w:r w:rsidRPr="00B07D02">
        <w:t xml:space="preserve"> and that undergrounding the new transmission lines proposed as Alternative</w:t>
      </w:r>
      <w:r w:rsidRPr="00BF759D">
        <w:t xml:space="preserve"> </w:t>
      </w:r>
      <w:r w:rsidRPr="00B07D02">
        <w:t>PLR-1A (part of the environmentally superior alternative – Alternative Combination #2) would result in an estimated</w:t>
      </w:r>
      <w:r w:rsidRPr="00BF759D">
        <w:t xml:space="preserve"> </w:t>
      </w:r>
      <w:r w:rsidRPr="00B07D02">
        <w:t>cost</w:t>
      </w:r>
      <w:r w:rsidRPr="00BF759D">
        <w:t xml:space="preserve"> </w:t>
      </w:r>
      <w:r w:rsidRPr="00B07D02">
        <w:lastRenderedPageBreak/>
        <w:t>increase</w:t>
      </w:r>
      <w:r w:rsidRPr="00BF759D">
        <w:t xml:space="preserve"> </w:t>
      </w:r>
      <w:r w:rsidRPr="00B07D02">
        <w:t>of</w:t>
      </w:r>
      <w:r w:rsidRPr="00BF759D">
        <w:t xml:space="preserve"> </w:t>
      </w:r>
      <w:r w:rsidRPr="00B07D02">
        <w:t>$154,318,500,</w:t>
      </w:r>
      <w:r w:rsidRPr="00B07D02">
        <w:rPr>
          <w:rStyle w:val="FootnoteReference"/>
        </w:rPr>
        <w:footnoteReference w:id="57"/>
      </w:r>
      <w:r w:rsidRPr="00B07D02">
        <w:t xml:space="preserve"> bringing</w:t>
      </w:r>
      <w:r w:rsidRPr="00BF759D">
        <w:t xml:space="preserve"> </w:t>
      </w:r>
      <w:r w:rsidRPr="00B07D02">
        <w:t>the</w:t>
      </w:r>
      <w:r w:rsidRPr="00BF759D">
        <w:t xml:space="preserve"> </w:t>
      </w:r>
      <w:r w:rsidRPr="00B07D02">
        <w:t>total</w:t>
      </w:r>
      <w:r w:rsidRPr="00BF759D">
        <w:t xml:space="preserve"> </w:t>
      </w:r>
      <w:r w:rsidRPr="00B07D02">
        <w:t>estimated</w:t>
      </w:r>
      <w:r w:rsidRPr="00BF759D">
        <w:t xml:space="preserve"> </w:t>
      </w:r>
      <w:r w:rsidRPr="00B07D02">
        <w:t>project</w:t>
      </w:r>
      <w:r w:rsidRPr="00BF759D">
        <w:t xml:space="preserve"> </w:t>
      </w:r>
      <w:r w:rsidRPr="00B07D02">
        <w:t>cost</w:t>
      </w:r>
      <w:r w:rsidRPr="00BF759D">
        <w:t xml:space="preserve"> </w:t>
      </w:r>
      <w:r w:rsidRPr="00B07D02">
        <w:t>to</w:t>
      </w:r>
      <w:r w:rsidRPr="00BF759D">
        <w:t xml:space="preserve"> nearly</w:t>
      </w:r>
      <w:r w:rsidRPr="00B07D02">
        <w:t xml:space="preserve"> $260</w:t>
      </w:r>
      <w:r w:rsidRPr="00BF759D">
        <w:t xml:space="preserve"> </w:t>
      </w:r>
      <w:r w:rsidRPr="00B07D02">
        <w:t>million.</w:t>
      </w:r>
      <w:r w:rsidRPr="00BF759D">
        <w:t xml:space="preserve"> </w:t>
      </w:r>
    </w:p>
    <w:p w:rsidR="006E6C3D" w:rsidP="00831FAB" w:rsidRDefault="00584854" w14:paraId="2193BA33" w14:textId="7D327B7E">
      <w:pPr>
        <w:pStyle w:val="Standard"/>
      </w:pPr>
      <w:r w:rsidRPr="00B07D02">
        <w:t>If the additional six</w:t>
      </w:r>
      <w:r w:rsidR="00DC5A1D">
        <w:t xml:space="preserve"> miles </w:t>
      </w:r>
      <w:r w:rsidRPr="00B07D02">
        <w:t>of existing overhead transmission lines proposed for reconductoring</w:t>
      </w:r>
      <w:r w:rsidRPr="00BF759D">
        <w:t xml:space="preserve"> </w:t>
      </w:r>
      <w:r w:rsidRPr="00B07D02">
        <w:t>are</w:t>
      </w:r>
      <w:r w:rsidRPr="00BF759D">
        <w:t xml:space="preserve"> </w:t>
      </w:r>
      <w:r w:rsidRPr="00B07D02">
        <w:t>also</w:t>
      </w:r>
      <w:r w:rsidRPr="00BF759D">
        <w:t xml:space="preserve"> </w:t>
      </w:r>
      <w:r w:rsidRPr="00B07D02">
        <w:t>included</w:t>
      </w:r>
      <w:r w:rsidRPr="00BF759D">
        <w:t xml:space="preserve"> </w:t>
      </w:r>
      <w:r w:rsidRPr="00B07D02">
        <w:t>in</w:t>
      </w:r>
      <w:r w:rsidRPr="00BF759D">
        <w:t xml:space="preserve"> </w:t>
      </w:r>
      <w:r w:rsidRPr="00B07D02">
        <w:t>the</w:t>
      </w:r>
      <w:r w:rsidRPr="00BF759D">
        <w:t xml:space="preserve"> </w:t>
      </w:r>
      <w:r w:rsidRPr="00B07D02">
        <w:t>undergrounding</w:t>
      </w:r>
      <w:r w:rsidRPr="00BF759D">
        <w:t xml:space="preserve"> </w:t>
      </w:r>
      <w:r w:rsidRPr="00B07D02">
        <w:t>estimate,</w:t>
      </w:r>
      <w:r w:rsidRPr="00BF759D">
        <w:t xml:space="preserve"> </w:t>
      </w:r>
      <w:r w:rsidRPr="00B07D02">
        <w:t>the</w:t>
      </w:r>
      <w:r w:rsidRPr="00BF759D">
        <w:t xml:space="preserve"> </w:t>
      </w:r>
      <w:r w:rsidRPr="00B07D02">
        <w:t>total</w:t>
      </w:r>
      <w:r w:rsidRPr="00BF759D">
        <w:t xml:space="preserve"> </w:t>
      </w:r>
      <w:r w:rsidRPr="00B07D02">
        <w:t>cost</w:t>
      </w:r>
      <w:r w:rsidRPr="00BF759D">
        <w:t xml:space="preserve"> </w:t>
      </w:r>
      <w:r w:rsidRPr="00B07D02">
        <w:t>increase</w:t>
      </w:r>
      <w:r w:rsidRPr="00BF759D">
        <w:t xml:space="preserve"> </w:t>
      </w:r>
      <w:r w:rsidRPr="00B07D02">
        <w:t>rises</w:t>
      </w:r>
      <w:r w:rsidRPr="00BF759D">
        <w:t xml:space="preserve"> to </w:t>
      </w:r>
      <w:r w:rsidRPr="00B07D02">
        <w:t>$250,120,500,</w:t>
      </w:r>
      <w:r w:rsidRPr="00B07D02">
        <w:rPr>
          <w:rStyle w:val="FootnoteReference"/>
        </w:rPr>
        <w:footnoteReference w:id="58"/>
      </w:r>
      <w:r w:rsidRPr="00B07D02">
        <w:rPr>
          <w:vertAlign w:val="superscript"/>
        </w:rPr>
        <w:t xml:space="preserve"> </w:t>
      </w:r>
      <w:r w:rsidRPr="00B07D02">
        <w:t>bringing the total estimated project cost to over $355</w:t>
      </w:r>
      <w:r w:rsidRPr="00BF759D">
        <w:t xml:space="preserve"> </w:t>
      </w:r>
      <w:r w:rsidRPr="00B07D02">
        <w:t>million.</w:t>
      </w:r>
      <w:r w:rsidRPr="00BF759D">
        <w:t xml:space="preserve"> </w:t>
      </w:r>
    </w:p>
    <w:p w:rsidRPr="00B07D02" w:rsidR="00584854" w:rsidP="00831FAB" w:rsidRDefault="00584854" w14:paraId="0442A4CE" w14:textId="0C8BBEE5">
      <w:pPr>
        <w:pStyle w:val="Standard"/>
      </w:pPr>
      <w:r w:rsidRPr="00B07D02">
        <w:t>The Applicants</w:t>
      </w:r>
      <w:r w:rsidRPr="00107A7F">
        <w:t xml:space="preserve"> </w:t>
      </w:r>
      <w:r w:rsidR="00343BDF">
        <w:t>therefore</w:t>
      </w:r>
      <w:r w:rsidRPr="00B07D02">
        <w:t xml:space="preserve"> contend that these cost increases</w:t>
      </w:r>
      <w:r w:rsidRPr="00BF759D">
        <w:t xml:space="preserve"> </w:t>
      </w:r>
      <w:r w:rsidRPr="00B07D02">
        <w:t>for the 70</w:t>
      </w:r>
      <w:r w:rsidR="00DC5A1D">
        <w:t> kV</w:t>
      </w:r>
      <w:r w:rsidRPr="00B07D02">
        <w:t xml:space="preserve"> components of the Proposed Project are a severe economic effect and the potential for limited utility of the underground transmission line make undergrounding infeasible.</w:t>
      </w:r>
    </w:p>
    <w:p w:rsidRPr="0092159B" w:rsidR="00584854" w:rsidP="0092159B" w:rsidRDefault="00584854" w14:paraId="0BB915FB" w14:textId="77777777">
      <w:pPr>
        <w:pStyle w:val="ListNum"/>
        <w:rPr>
          <w:bCs/>
          <w:i/>
          <w:szCs w:val="26"/>
        </w:rPr>
      </w:pPr>
      <w:r w:rsidRPr="002273BE">
        <w:rPr>
          <w:bCs/>
          <w:szCs w:val="26"/>
          <w:u w:val="single"/>
        </w:rPr>
        <w:t>Agriculture and Forestry Resources: Impact AG-1</w:t>
      </w:r>
      <w:r w:rsidRPr="002273BE">
        <w:rPr>
          <w:bCs/>
          <w:szCs w:val="26"/>
        </w:rPr>
        <w:t>:</w:t>
      </w:r>
      <w:r w:rsidRPr="0092159B">
        <w:rPr>
          <w:bCs/>
          <w:szCs w:val="26"/>
        </w:rPr>
        <w:t xml:space="preserve"> Conversion of Prime Farmland, Unique Farmland, or Farmland of Statewide Importance to nonagricultural use – </w:t>
      </w:r>
      <w:r w:rsidRPr="0092159B">
        <w:rPr>
          <w:bCs/>
          <w:i/>
          <w:szCs w:val="26"/>
        </w:rPr>
        <w:t>Significant and Unavoidable</w:t>
      </w:r>
    </w:p>
    <w:p w:rsidR="00C20B95" w:rsidP="0092159B" w:rsidRDefault="00584854" w14:paraId="62E2C74F" w14:textId="3E273B66">
      <w:pPr>
        <w:pStyle w:val="Standard"/>
        <w:spacing w:before="240"/>
      </w:pPr>
      <w:r w:rsidRPr="00B07D02">
        <w:t>The FEIR finds that permanent conversion of agricultural land would</w:t>
      </w:r>
      <w:r w:rsidRPr="00BF759D">
        <w:t xml:space="preserve"> </w:t>
      </w:r>
      <w:r w:rsidRPr="00B07D02">
        <w:t>occur</w:t>
      </w:r>
      <w:r w:rsidRPr="00BF759D">
        <w:t xml:space="preserve"> </w:t>
      </w:r>
      <w:r w:rsidRPr="00B07D02">
        <w:t>from</w:t>
      </w:r>
      <w:r w:rsidRPr="00BF759D">
        <w:t xml:space="preserve"> </w:t>
      </w:r>
      <w:r w:rsidRPr="00B07D02">
        <w:t>the</w:t>
      </w:r>
      <w:r w:rsidRPr="00BF759D">
        <w:t xml:space="preserve"> </w:t>
      </w:r>
      <w:r w:rsidRPr="00B07D02">
        <w:t>removal</w:t>
      </w:r>
      <w:r w:rsidRPr="00BF759D">
        <w:t xml:space="preserve"> </w:t>
      </w:r>
      <w:r w:rsidRPr="00B07D02">
        <w:t>of</w:t>
      </w:r>
      <w:r w:rsidRPr="00BF759D">
        <w:t xml:space="preserve"> </w:t>
      </w:r>
      <w:r w:rsidRPr="00B07D02">
        <w:t>existing</w:t>
      </w:r>
      <w:r w:rsidRPr="00BF759D">
        <w:t xml:space="preserve"> </w:t>
      </w:r>
      <w:r w:rsidRPr="00B07D02">
        <w:t>vineyards</w:t>
      </w:r>
      <w:r w:rsidRPr="00BF759D">
        <w:t xml:space="preserve"> </w:t>
      </w:r>
      <w:r w:rsidRPr="00B07D02">
        <w:t>at</w:t>
      </w:r>
      <w:r w:rsidRPr="00BF759D">
        <w:t xml:space="preserve"> </w:t>
      </w:r>
      <w:r w:rsidRPr="00B07D02">
        <w:t>the</w:t>
      </w:r>
      <w:r w:rsidRPr="00BF759D">
        <w:t xml:space="preserve"> </w:t>
      </w:r>
      <w:r w:rsidRPr="00B07D02">
        <w:t>substation</w:t>
      </w:r>
      <w:r w:rsidRPr="00BF759D">
        <w:t xml:space="preserve"> </w:t>
      </w:r>
      <w:r w:rsidRPr="00B07D02">
        <w:t>site</w:t>
      </w:r>
      <w:r w:rsidRPr="00BF759D">
        <w:t xml:space="preserve"> </w:t>
      </w:r>
      <w:r w:rsidRPr="00B07D02">
        <w:t>and</w:t>
      </w:r>
      <w:r w:rsidRPr="00BF759D">
        <w:t xml:space="preserve"> </w:t>
      </w:r>
      <w:r w:rsidRPr="00B07D02">
        <w:t>removal</w:t>
      </w:r>
      <w:r w:rsidRPr="00BF759D">
        <w:t xml:space="preserve"> </w:t>
      </w:r>
      <w:r w:rsidRPr="00B07D02">
        <w:t>of</w:t>
      </w:r>
      <w:r w:rsidRPr="00BF759D">
        <w:t xml:space="preserve"> </w:t>
      </w:r>
      <w:r w:rsidRPr="00B07D02">
        <w:t>existing vineyards and row crops for the placement of towers and poles for the 70</w:t>
      </w:r>
      <w:r w:rsidR="00DC5A1D">
        <w:t> kV</w:t>
      </w:r>
      <w:r w:rsidRPr="00B07D02">
        <w:t xml:space="preserve"> power line.</w:t>
      </w:r>
      <w:r w:rsidRPr="00BF759D">
        <w:t xml:space="preserve"> </w:t>
      </w:r>
      <w:r w:rsidRPr="00B07D02">
        <w:t>The FEIR concludes that the Proposed Project would permanently convert 2.65 acres of Farmland of Statewide</w:t>
      </w:r>
      <w:r w:rsidRPr="00BF759D">
        <w:t xml:space="preserve"> </w:t>
      </w:r>
      <w:r w:rsidRPr="00B07D02">
        <w:t>Importance</w:t>
      </w:r>
      <w:r w:rsidRPr="00BF759D">
        <w:t xml:space="preserve"> </w:t>
      </w:r>
      <w:r w:rsidRPr="00B07D02">
        <w:t>and</w:t>
      </w:r>
      <w:r w:rsidRPr="00BF759D">
        <w:t xml:space="preserve"> </w:t>
      </w:r>
      <w:r w:rsidRPr="00B07D02">
        <w:t>11.78</w:t>
      </w:r>
      <w:r w:rsidRPr="00BF759D">
        <w:t xml:space="preserve"> </w:t>
      </w:r>
      <w:r w:rsidRPr="00B07D02">
        <w:t>acres</w:t>
      </w:r>
      <w:r w:rsidRPr="00BF759D">
        <w:t xml:space="preserve"> </w:t>
      </w:r>
      <w:r w:rsidRPr="00B07D02">
        <w:t>of</w:t>
      </w:r>
      <w:r w:rsidRPr="00BF759D">
        <w:t xml:space="preserve"> </w:t>
      </w:r>
      <w:r w:rsidRPr="00B07D02">
        <w:t>Unique</w:t>
      </w:r>
      <w:r w:rsidRPr="00BF759D">
        <w:t xml:space="preserve"> </w:t>
      </w:r>
      <w:r w:rsidRPr="00B07D02">
        <w:t>Farmland</w:t>
      </w:r>
      <w:r w:rsidRPr="00BF759D">
        <w:t xml:space="preserve"> </w:t>
      </w:r>
      <w:r w:rsidRPr="00B07D02">
        <w:t>to</w:t>
      </w:r>
      <w:r w:rsidRPr="00BF759D">
        <w:t xml:space="preserve"> </w:t>
      </w:r>
      <w:r w:rsidRPr="00B07D02">
        <w:t>nonagricultural</w:t>
      </w:r>
      <w:r w:rsidRPr="00BF759D">
        <w:t xml:space="preserve"> </w:t>
      </w:r>
      <w:r w:rsidRPr="00B07D02">
        <w:t>uses,</w:t>
      </w:r>
      <w:r w:rsidRPr="00BF759D">
        <w:t xml:space="preserve"> </w:t>
      </w:r>
      <w:r w:rsidRPr="00B07D02">
        <w:t>and</w:t>
      </w:r>
      <w:r w:rsidRPr="00BF759D">
        <w:t xml:space="preserve"> that </w:t>
      </w:r>
      <w:r w:rsidRPr="00B07D02">
        <w:t>0.69</w:t>
      </w:r>
      <w:r w:rsidRPr="00BF759D">
        <w:t xml:space="preserve"> </w:t>
      </w:r>
      <w:r w:rsidRPr="00B07D02">
        <w:t>acres</w:t>
      </w:r>
      <w:r w:rsidRPr="00BF759D">
        <w:t xml:space="preserve"> </w:t>
      </w:r>
      <w:r w:rsidRPr="00B07D02">
        <w:t>of</w:t>
      </w:r>
      <w:r w:rsidRPr="00BF759D">
        <w:t xml:space="preserve"> </w:t>
      </w:r>
      <w:r w:rsidRPr="00B07D02">
        <w:t>Prime</w:t>
      </w:r>
      <w:r w:rsidRPr="00BF759D">
        <w:t xml:space="preserve"> </w:t>
      </w:r>
      <w:r w:rsidRPr="00B07D02">
        <w:t>Farmland,</w:t>
      </w:r>
      <w:r w:rsidRPr="00BF759D">
        <w:t xml:space="preserve"> </w:t>
      </w:r>
      <w:r w:rsidRPr="00B07D02">
        <w:t>4.58</w:t>
      </w:r>
      <w:r w:rsidRPr="00BF759D">
        <w:t xml:space="preserve"> </w:t>
      </w:r>
      <w:r w:rsidRPr="00B07D02">
        <w:t>acres</w:t>
      </w:r>
      <w:r w:rsidRPr="00BF759D">
        <w:t xml:space="preserve"> </w:t>
      </w:r>
      <w:r w:rsidRPr="00B07D02">
        <w:t>of</w:t>
      </w:r>
      <w:r w:rsidRPr="00BF759D">
        <w:t xml:space="preserve"> </w:t>
      </w:r>
      <w:r w:rsidRPr="00B07D02">
        <w:t>Farmland</w:t>
      </w:r>
      <w:r w:rsidRPr="00BF759D">
        <w:t xml:space="preserve"> </w:t>
      </w:r>
      <w:r w:rsidRPr="00B07D02">
        <w:t>of</w:t>
      </w:r>
      <w:r w:rsidRPr="00BF759D">
        <w:t xml:space="preserve"> </w:t>
      </w:r>
      <w:r w:rsidRPr="00B07D02">
        <w:t>Statewide</w:t>
      </w:r>
      <w:r w:rsidRPr="00BF759D">
        <w:t xml:space="preserve"> </w:t>
      </w:r>
      <w:r w:rsidRPr="00B07D02">
        <w:t>Importance,</w:t>
      </w:r>
      <w:r w:rsidRPr="00BF759D">
        <w:t xml:space="preserve"> </w:t>
      </w:r>
      <w:r w:rsidRPr="00B07D02">
        <w:t>and</w:t>
      </w:r>
      <w:r w:rsidRPr="00BF759D">
        <w:t xml:space="preserve"> </w:t>
      </w:r>
      <w:r w:rsidRPr="00B07D02">
        <w:t>19.68</w:t>
      </w:r>
      <w:r w:rsidRPr="00BF759D">
        <w:t xml:space="preserve"> acres </w:t>
      </w:r>
      <w:r w:rsidRPr="00B07D02">
        <w:t>of Unique Farmland would be temporarily affected by construction activities.</w:t>
      </w:r>
      <w:r w:rsidRPr="00BF759D">
        <w:t xml:space="preserve"> </w:t>
      </w:r>
    </w:p>
    <w:p w:rsidRPr="00B07D02" w:rsidR="00584854" w:rsidP="00831FAB" w:rsidRDefault="00584854" w14:paraId="79368585" w14:textId="008AAB85">
      <w:pPr>
        <w:pStyle w:val="Standard"/>
      </w:pPr>
      <w:r w:rsidRPr="00B07D02">
        <w:t>There also is the potential for an additional five</w:t>
      </w:r>
      <w:r w:rsidRPr="00BF759D">
        <w:t xml:space="preserve"> </w:t>
      </w:r>
      <w:r w:rsidRPr="00B07D02">
        <w:t xml:space="preserve">acres of Unique Farmland at the 20-acre substation site to be impacted and converted to non-agricultural </w:t>
      </w:r>
      <w:r w:rsidRPr="00B07D02">
        <w:lastRenderedPageBreak/>
        <w:t>uses.</w:t>
      </w:r>
      <w:r w:rsidRPr="00B07D02">
        <w:rPr>
          <w:rStyle w:val="FootnoteReference"/>
        </w:rPr>
        <w:footnoteReference w:id="59"/>
      </w:r>
      <w:r w:rsidRPr="00B07D02">
        <w:t xml:space="preserve"> The FEIR also</w:t>
      </w:r>
      <w:r w:rsidRPr="00BF759D">
        <w:t xml:space="preserve"> </w:t>
      </w:r>
      <w:r w:rsidRPr="00B07D02">
        <w:t>finds</w:t>
      </w:r>
      <w:r w:rsidRPr="00BF759D">
        <w:t xml:space="preserve"> </w:t>
      </w:r>
      <w:r w:rsidRPr="00B07D02">
        <w:t>that</w:t>
      </w:r>
      <w:r w:rsidRPr="00BF759D">
        <w:t xml:space="preserve"> </w:t>
      </w:r>
      <w:r w:rsidRPr="00B07D02">
        <w:t>the</w:t>
      </w:r>
      <w:r w:rsidRPr="00BF759D">
        <w:t xml:space="preserve"> </w:t>
      </w:r>
      <w:r w:rsidRPr="00B07D02">
        <w:t>Proposed Project’s</w:t>
      </w:r>
      <w:r w:rsidRPr="00BF759D">
        <w:t xml:space="preserve"> </w:t>
      </w:r>
      <w:r w:rsidRPr="00B07D02">
        <w:t>permanent</w:t>
      </w:r>
      <w:r w:rsidRPr="00BF759D">
        <w:t xml:space="preserve"> </w:t>
      </w:r>
      <w:r w:rsidRPr="00B07D02">
        <w:t>conversion</w:t>
      </w:r>
      <w:r w:rsidRPr="00BF759D">
        <w:t xml:space="preserve"> </w:t>
      </w:r>
      <w:r w:rsidRPr="00B07D02">
        <w:t>of</w:t>
      </w:r>
      <w:r w:rsidRPr="00BF759D">
        <w:t xml:space="preserve"> </w:t>
      </w:r>
      <w:r w:rsidRPr="00B07D02">
        <w:t>farmland,</w:t>
      </w:r>
      <w:r w:rsidRPr="00BF759D">
        <w:t xml:space="preserve"> </w:t>
      </w:r>
      <w:r w:rsidRPr="00B07D02">
        <w:t>in</w:t>
      </w:r>
      <w:r w:rsidRPr="00BF759D">
        <w:t xml:space="preserve"> </w:t>
      </w:r>
      <w:r w:rsidRPr="00B07D02">
        <w:t>combination</w:t>
      </w:r>
      <w:r w:rsidRPr="00BF759D">
        <w:t xml:space="preserve"> </w:t>
      </w:r>
      <w:r w:rsidRPr="00B07D02">
        <w:t xml:space="preserve">with on-going conversion of farmland from other past, present, and reasonably foreseeable future projects in the area, would make a cumulatively considerable contribution to this significant </w:t>
      </w:r>
      <w:r w:rsidRPr="00BF759D">
        <w:t>impact.</w:t>
      </w:r>
      <w:r w:rsidRPr="00BF759D">
        <w:rPr>
          <w:rStyle w:val="FootnoteReference"/>
        </w:rPr>
        <w:footnoteReference w:id="60"/>
      </w:r>
      <w:r w:rsidRPr="00B07D02">
        <w:t xml:space="preserve"> </w:t>
      </w:r>
    </w:p>
    <w:p w:rsidRPr="00B07D02" w:rsidR="00584854" w:rsidP="00831FAB" w:rsidRDefault="00584854" w14:paraId="3BAD2EF6" w14:textId="77777777">
      <w:pPr>
        <w:pStyle w:val="Standard"/>
        <w:rPr>
          <w:sz w:val="14"/>
        </w:rPr>
      </w:pPr>
      <w:r w:rsidRPr="00B07D02">
        <w:t>MM AG-1 would be implemented to require contribution of funds to the California Farmland Conservancy Fund or a similar agency or organization to support conservation of agricultural land in San Luis Obispo County, or execution of a conservation easement with landowners by the Applicants for preservation of agricultural lands, in a 1</w:t>
      </w:r>
      <w:r w:rsidRPr="00BF759D">
        <w:t xml:space="preserve"> </w:t>
      </w:r>
      <w:r w:rsidRPr="00B07D02">
        <w:t>to</w:t>
      </w:r>
      <w:r w:rsidRPr="00BF759D">
        <w:t xml:space="preserve"> </w:t>
      </w:r>
      <w:r w:rsidRPr="00B07D02">
        <w:t>1 ratio by acreage</w:t>
      </w:r>
      <w:r w:rsidRPr="00BF759D">
        <w:t xml:space="preserve"> </w:t>
      </w:r>
      <w:r w:rsidRPr="00B07D02">
        <w:t>for</w:t>
      </w:r>
      <w:r w:rsidRPr="00BF759D">
        <w:t xml:space="preserve"> </w:t>
      </w:r>
      <w:r w:rsidRPr="00B07D02">
        <w:t>the</w:t>
      </w:r>
      <w:r w:rsidRPr="00BF759D">
        <w:t xml:space="preserve"> </w:t>
      </w:r>
      <w:r w:rsidRPr="00B07D02">
        <w:t>impacted Farmland of</w:t>
      </w:r>
      <w:r w:rsidRPr="00BF759D">
        <w:t xml:space="preserve"> </w:t>
      </w:r>
      <w:r w:rsidRPr="00B07D02">
        <w:t>Statewide Importance and Unique</w:t>
      </w:r>
      <w:r w:rsidRPr="00BF759D">
        <w:t xml:space="preserve"> </w:t>
      </w:r>
      <w:r w:rsidRPr="00B07D02">
        <w:t>Farmland.</w:t>
      </w:r>
      <w:r w:rsidRPr="00BF759D">
        <w:t xml:space="preserve"> </w:t>
      </w:r>
      <w:r w:rsidRPr="00B07D02">
        <w:t>This would help ensure protection and preservation of high-quality agricultural lands elsewhere in the county, but the mitigation would not fully offset the</w:t>
      </w:r>
      <w:r w:rsidRPr="00BF759D">
        <w:t xml:space="preserve"> </w:t>
      </w:r>
      <w:r w:rsidRPr="00B07D02">
        <w:t>significant impact because</w:t>
      </w:r>
      <w:r w:rsidRPr="00BF759D">
        <w:t xml:space="preserve"> </w:t>
      </w:r>
      <w:r w:rsidRPr="00B07D02">
        <w:t>it would preserve existing agricultural land without creating any new Important Farmland.</w:t>
      </w:r>
      <w:r w:rsidRPr="00BF759D">
        <w:t xml:space="preserve"> </w:t>
      </w:r>
      <w:r w:rsidRPr="00B07D02">
        <w:t>The acreage lost due to the Proposed Project would still be lost permanently.</w:t>
      </w:r>
      <w:r w:rsidRPr="00BF759D">
        <w:t xml:space="preserve"> </w:t>
      </w:r>
      <w:r w:rsidRPr="00B07D02">
        <w:t>The impact to agricultural resources thus would remain significant.</w:t>
      </w:r>
      <w:r w:rsidRPr="00B07D02">
        <w:rPr>
          <w:rStyle w:val="FootnoteReference"/>
        </w:rPr>
        <w:footnoteReference w:id="61"/>
      </w:r>
      <w:r w:rsidRPr="00B07D02">
        <w:rPr>
          <w:sz w:val="14"/>
        </w:rPr>
        <w:t xml:space="preserve"> </w:t>
      </w:r>
    </w:p>
    <w:p w:rsidRPr="00B07D02" w:rsidR="00584854" w:rsidP="00831FAB" w:rsidRDefault="00584854" w14:paraId="7DEF5FB7" w14:textId="77777777">
      <w:pPr>
        <w:pStyle w:val="Standard"/>
        <w:rPr>
          <w:sz w:val="14"/>
        </w:rPr>
      </w:pPr>
      <w:r w:rsidRPr="00B07D02">
        <w:t>APM AG-1 would require Applicants to coordinate with farmers, ranchers, and landowners to schedule Proposed Project construction activities in a manner that avoids conflicts with harvest and planting periods, to the extent feasible, and that minimizes disruptions to agricultural operations.</w:t>
      </w:r>
      <w:r w:rsidRPr="00BF759D">
        <w:t xml:space="preserve"> </w:t>
      </w:r>
      <w:r w:rsidRPr="00B07D02">
        <w:t>Additionally, following construction, all areas temporarily disturbed by the Proposed Project would be restored by the Applicants to the extent practicable, including returning areas</w:t>
      </w:r>
      <w:r w:rsidRPr="00BF759D">
        <w:t xml:space="preserve"> </w:t>
      </w:r>
      <w:r w:rsidRPr="00B07D02">
        <w:t>to</w:t>
      </w:r>
      <w:r w:rsidRPr="00BF759D">
        <w:t xml:space="preserve"> </w:t>
      </w:r>
      <w:r w:rsidRPr="00B07D02">
        <w:t>their</w:t>
      </w:r>
      <w:r w:rsidRPr="00BF759D">
        <w:t xml:space="preserve"> </w:t>
      </w:r>
      <w:r w:rsidRPr="00B07D02">
        <w:t>original</w:t>
      </w:r>
      <w:r w:rsidRPr="00BF759D">
        <w:t xml:space="preserve"> </w:t>
      </w:r>
      <w:r w:rsidRPr="00B07D02">
        <w:t>contours</w:t>
      </w:r>
      <w:r w:rsidRPr="00BF759D">
        <w:t xml:space="preserve"> </w:t>
      </w:r>
      <w:r w:rsidRPr="00B07D02">
        <w:t>and</w:t>
      </w:r>
      <w:r w:rsidRPr="00BF759D">
        <w:t xml:space="preserve"> </w:t>
      </w:r>
      <w:r w:rsidRPr="00B07D02">
        <w:t>drainage</w:t>
      </w:r>
      <w:r w:rsidRPr="00BF759D">
        <w:t xml:space="preserve"> </w:t>
      </w:r>
      <w:r w:rsidRPr="00B07D02">
        <w:t>patterns.</w:t>
      </w:r>
      <w:r w:rsidRPr="00BF759D">
        <w:t xml:space="preserve"> </w:t>
      </w:r>
      <w:r w:rsidRPr="00B07D02">
        <w:t>MM</w:t>
      </w:r>
      <w:r w:rsidRPr="00BF759D">
        <w:t xml:space="preserve"> </w:t>
      </w:r>
      <w:r w:rsidRPr="00B07D02">
        <w:t>AG-2</w:t>
      </w:r>
      <w:r w:rsidRPr="00BF759D">
        <w:t xml:space="preserve"> </w:t>
      </w:r>
      <w:r w:rsidRPr="00B07D02">
        <w:t>also</w:t>
      </w:r>
      <w:r w:rsidRPr="00BF759D">
        <w:t xml:space="preserve"> </w:t>
      </w:r>
      <w:bookmarkStart w:name="_bookmark72" w:id="135"/>
      <w:bookmarkEnd w:id="135"/>
      <w:r w:rsidRPr="00B07D02">
        <w:t xml:space="preserve">requires Applicants </w:t>
      </w:r>
      <w:r w:rsidRPr="00B07D02">
        <w:lastRenderedPageBreak/>
        <w:t>to restore agricultural lands following construction activities to conditions existing prior to construction, including replacement of topsoil and crops and de-compaction of soils, if necessary, and replacement of equivalent value agricultural crops.</w:t>
      </w:r>
      <w:r w:rsidRPr="00BF759D">
        <w:t xml:space="preserve"> </w:t>
      </w:r>
      <w:r w:rsidRPr="00B07D02">
        <w:t>This mitigation measure would avoid any long-lasting or residual impacts on agricultural land from Proposed Project construction activities, so temporary construction impacts on agricultural lands would be less than significant.</w:t>
      </w:r>
      <w:r w:rsidRPr="00B07D02">
        <w:rPr>
          <w:rStyle w:val="FootnoteReference"/>
        </w:rPr>
        <w:footnoteReference w:id="62"/>
      </w:r>
    </w:p>
    <w:p w:rsidRPr="00B07D02" w:rsidR="00584854" w:rsidP="00831FAB" w:rsidRDefault="00584854" w14:paraId="6337F334" w14:textId="77777777">
      <w:pPr>
        <w:pStyle w:val="Standard"/>
        <w:rPr>
          <w:sz w:val="14"/>
        </w:rPr>
      </w:pPr>
      <w:r w:rsidRPr="00B07D02">
        <w:t>Through these measures, changes or alterations have been required in, or incorporated into, the Proposed Project that substantially lessen the significant environmental effects identified in the FEIR.</w:t>
      </w:r>
      <w:r w:rsidRPr="00BF759D">
        <w:t xml:space="preserve"> </w:t>
      </w:r>
      <w:r w:rsidRPr="00B07D02">
        <w:t>Despite these measures, the permanent loss of agricultural land that would occur from the Proposed Project would remain a significant impact.</w:t>
      </w:r>
      <w:r w:rsidRPr="00BF759D">
        <w:t xml:space="preserve"> </w:t>
      </w:r>
      <w:r w:rsidRPr="00B07D02">
        <w:t>No other feasible mitigation measures were identified to reduce this impact to a level that is less than significant.</w:t>
      </w:r>
      <w:r w:rsidRPr="00B07D02">
        <w:rPr>
          <w:rStyle w:val="FootnoteReference"/>
        </w:rPr>
        <w:footnoteReference w:id="63"/>
      </w:r>
    </w:p>
    <w:p w:rsidRPr="00B07D02" w:rsidR="00584854" w:rsidP="0092159B" w:rsidRDefault="00584854" w14:paraId="7479F851" w14:textId="77777777">
      <w:pPr>
        <w:pStyle w:val="ListNum"/>
        <w:rPr>
          <w:i/>
          <w:szCs w:val="26"/>
        </w:rPr>
      </w:pPr>
      <w:r w:rsidRPr="002273BE">
        <w:rPr>
          <w:bCs/>
          <w:u w:val="single"/>
        </w:rPr>
        <w:t>Agriculture</w:t>
      </w:r>
      <w:r w:rsidRPr="002273BE">
        <w:rPr>
          <w:bCs/>
          <w:szCs w:val="26"/>
          <w:u w:val="single"/>
        </w:rPr>
        <w:t xml:space="preserve"> and Forestry Resources: Impact AG-2</w:t>
      </w:r>
      <w:r w:rsidRPr="002273BE">
        <w:rPr>
          <w:bCs/>
          <w:szCs w:val="26"/>
        </w:rPr>
        <w:t>:</w:t>
      </w:r>
      <w:r w:rsidRPr="00BF759D">
        <w:rPr>
          <w:szCs w:val="26"/>
        </w:rPr>
        <w:t xml:space="preserve"> </w:t>
      </w:r>
      <w:r w:rsidRPr="00B07D02">
        <w:rPr>
          <w:szCs w:val="26"/>
        </w:rPr>
        <w:t xml:space="preserve">Conflict with existing zoning for agricultural use or a Williamson Act contract </w:t>
      </w:r>
      <w:r w:rsidRPr="00B07D02">
        <w:rPr>
          <w:i/>
          <w:szCs w:val="26"/>
        </w:rPr>
        <w:t xml:space="preserve">– Significant and </w:t>
      </w:r>
      <w:r w:rsidRPr="00BF759D">
        <w:rPr>
          <w:i/>
          <w:szCs w:val="26"/>
        </w:rPr>
        <w:t>Unavoidable</w:t>
      </w:r>
    </w:p>
    <w:p w:rsidRPr="00B07D02" w:rsidR="00584854" w:rsidP="0092159B" w:rsidRDefault="00584854" w14:paraId="32522F7B" w14:textId="67576C50">
      <w:pPr>
        <w:pStyle w:val="Standard"/>
        <w:spacing w:before="240"/>
      </w:pPr>
      <w:r w:rsidRPr="00B07D02">
        <w:t>The FEIR finds that the substation site and portions of the 70</w:t>
      </w:r>
      <w:r w:rsidR="00DC5A1D">
        <w:t> kV</w:t>
      </w:r>
      <w:r w:rsidRPr="00B07D02">
        <w:t xml:space="preserve"> power line route would be located on land under Williamson Act contracts.</w:t>
      </w:r>
      <w:r w:rsidRPr="00BF759D">
        <w:t xml:space="preserve"> </w:t>
      </w:r>
      <w:r w:rsidRPr="00B07D02">
        <w:t>The approximately 20-acre substation parcel, including the approximately 15-acre substation site, would be created as a separate legal parcel and removed from the existing 98-acre Williamson Act contract.</w:t>
      </w:r>
      <w:r w:rsidRPr="00BF759D">
        <w:t xml:space="preserve"> </w:t>
      </w:r>
      <w:r w:rsidRPr="00B07D02">
        <w:t>The existing Williamson Act contract would be modified to reflect the remaining 78-acre area.</w:t>
      </w:r>
      <w:r w:rsidRPr="00BF759D">
        <w:t xml:space="preserve"> </w:t>
      </w:r>
      <w:r w:rsidRPr="00B07D02">
        <w:t xml:space="preserve">The reduction of the current 98-acre Williamson Act parcel down to 78 acres would not disqualify the remaining parcel as an agricultural preserve according to the County of San Luis </w:t>
      </w:r>
      <w:r w:rsidRPr="00B07D02">
        <w:lastRenderedPageBreak/>
        <w:t>Obispo. However,</w:t>
      </w:r>
      <w:r w:rsidRPr="00BF759D">
        <w:t xml:space="preserve"> </w:t>
      </w:r>
      <w:r w:rsidRPr="00B07D02">
        <w:t>placing</w:t>
      </w:r>
      <w:r w:rsidRPr="00BF759D">
        <w:t xml:space="preserve"> </w:t>
      </w:r>
      <w:r w:rsidRPr="00B07D02">
        <w:t>the</w:t>
      </w:r>
      <w:r w:rsidRPr="00BF759D">
        <w:t xml:space="preserve"> </w:t>
      </w:r>
      <w:r w:rsidRPr="00B07D02">
        <w:t>substation</w:t>
      </w:r>
      <w:r w:rsidRPr="00BF759D">
        <w:t xml:space="preserve"> </w:t>
      </w:r>
      <w:r w:rsidRPr="00B07D02">
        <w:t>within</w:t>
      </w:r>
      <w:r w:rsidRPr="00BF759D">
        <w:t xml:space="preserve"> </w:t>
      </w:r>
      <w:r w:rsidRPr="00B07D02">
        <w:t>the</w:t>
      </w:r>
      <w:r w:rsidRPr="00BF759D">
        <w:t xml:space="preserve"> </w:t>
      </w:r>
      <w:r w:rsidRPr="00B07D02">
        <w:t>existing</w:t>
      </w:r>
      <w:r w:rsidRPr="00BF759D">
        <w:t xml:space="preserve"> </w:t>
      </w:r>
      <w:r w:rsidRPr="00B07D02">
        <w:t>parcel</w:t>
      </w:r>
      <w:r w:rsidRPr="00BF759D">
        <w:t xml:space="preserve"> </w:t>
      </w:r>
      <w:r w:rsidRPr="00B07D02">
        <w:t>under</w:t>
      </w:r>
      <w:r w:rsidRPr="00BF759D">
        <w:t xml:space="preserve"> </w:t>
      </w:r>
      <w:r w:rsidRPr="00B07D02">
        <w:t>Williamson</w:t>
      </w:r>
      <w:r w:rsidRPr="00BF759D">
        <w:t xml:space="preserve"> </w:t>
      </w:r>
      <w:r w:rsidRPr="00B07D02">
        <w:t>Act</w:t>
      </w:r>
      <w:r w:rsidRPr="00BF759D">
        <w:t xml:space="preserve"> </w:t>
      </w:r>
      <w:r w:rsidRPr="00B07D02">
        <w:t>contract</w:t>
      </w:r>
      <w:r w:rsidRPr="00BF759D">
        <w:t xml:space="preserve"> would </w:t>
      </w:r>
      <w:bookmarkStart w:name="_bookmark75" w:id="136"/>
      <w:bookmarkEnd w:id="136"/>
      <w:r w:rsidRPr="00B07D02">
        <w:t>conflict with that contract, including its underlying intent, which is to preserve agricultural land in agricultural use.</w:t>
      </w:r>
      <w:r w:rsidRPr="00BF759D">
        <w:t xml:space="preserve"> </w:t>
      </w:r>
      <w:r w:rsidRPr="00B07D02">
        <w:t>The FEIR concludes that this is a significant and unavoidable impact.</w:t>
      </w:r>
      <w:r w:rsidRPr="002A39ED" w:rsidR="002A39ED">
        <w:t xml:space="preserve"> </w:t>
      </w:r>
    </w:p>
    <w:p w:rsidRPr="00B07D02" w:rsidR="00584854" w:rsidP="00831FAB" w:rsidRDefault="00584854" w14:paraId="15F45010" w14:textId="4470D262">
      <w:pPr>
        <w:pStyle w:val="Standard"/>
      </w:pPr>
      <w:r w:rsidRPr="00B07D02">
        <w:t>Implementation of MM AG-1 would lessen impacts to agricultural resources by helping to ensure protection and preservation of high-quality agricultural lands elsewhere in the county.</w:t>
      </w:r>
      <w:r w:rsidRPr="00BF759D">
        <w:t xml:space="preserve"> </w:t>
      </w:r>
      <w:r w:rsidRPr="00B07D02">
        <w:t>Implementation of MM AG-2 would lessen impacts to agricultural resources during construction by minimizing conflicts with harvest and planting periods, to the extent feasible,</w:t>
      </w:r>
      <w:r w:rsidRPr="00BF759D">
        <w:t xml:space="preserve"> </w:t>
      </w:r>
      <w:r w:rsidRPr="00B07D02">
        <w:t>and by minimizing disruptions to agricultural operations.</w:t>
      </w:r>
      <w:r w:rsidRPr="00BF759D">
        <w:t xml:space="preserve"> </w:t>
      </w:r>
      <w:r w:rsidRPr="00B07D02">
        <w:t>Because no feasible mitigation is available that could create new and equivalent farmland to replace the Williamson Act contract land, the conversion of that land would be significant and unavoidable.</w:t>
      </w:r>
    </w:p>
    <w:p w:rsidRPr="00B07D02" w:rsidR="00584854" w:rsidP="00831FAB" w:rsidRDefault="00584854" w14:paraId="58B02923" w14:textId="68EB2777">
      <w:pPr>
        <w:pStyle w:val="Standard"/>
      </w:pPr>
      <w:r w:rsidRPr="00B07D02">
        <w:t xml:space="preserve">The other new substation alternative carried forward for full analysis in the </w:t>
      </w:r>
      <w:r w:rsidR="00FE39BE">
        <w:t>FEIR</w:t>
      </w:r>
      <w:r w:rsidR="00921AD4">
        <w:t>, Alternative SS-1,</w:t>
      </w:r>
      <w:r w:rsidRPr="00BF759D">
        <w:t xml:space="preserve"> </w:t>
      </w:r>
      <w:r w:rsidRPr="00B07D02">
        <w:t>also</w:t>
      </w:r>
      <w:r w:rsidRPr="00BF759D">
        <w:t xml:space="preserve"> </w:t>
      </w:r>
      <w:r w:rsidRPr="00B07D02">
        <w:t>would</w:t>
      </w:r>
      <w:r w:rsidRPr="00BF759D">
        <w:t xml:space="preserve"> </w:t>
      </w:r>
      <w:r w:rsidRPr="00B07D02">
        <w:t>have</w:t>
      </w:r>
      <w:r w:rsidRPr="00BF759D">
        <w:t xml:space="preserve"> </w:t>
      </w:r>
      <w:r w:rsidRPr="00B07D02">
        <w:t>a</w:t>
      </w:r>
      <w:r w:rsidRPr="00BF759D">
        <w:t xml:space="preserve"> </w:t>
      </w:r>
      <w:r w:rsidRPr="00B07D02">
        <w:t>significant,</w:t>
      </w:r>
      <w:r w:rsidRPr="00BF759D">
        <w:t xml:space="preserve"> </w:t>
      </w:r>
      <w:r w:rsidRPr="00B07D02">
        <w:t>unavoidable</w:t>
      </w:r>
      <w:r w:rsidRPr="00BF759D">
        <w:t xml:space="preserve"> </w:t>
      </w:r>
      <w:r w:rsidRPr="00B07D02">
        <w:t>impact</w:t>
      </w:r>
      <w:r w:rsidRPr="00BF759D">
        <w:t xml:space="preserve"> </w:t>
      </w:r>
      <w:r w:rsidRPr="00B07D02">
        <w:t>on</w:t>
      </w:r>
      <w:r w:rsidRPr="00BF759D">
        <w:t xml:space="preserve"> </w:t>
      </w:r>
      <w:r w:rsidRPr="00B07D02">
        <w:t>land covered by</w:t>
      </w:r>
      <w:r w:rsidRPr="00BF759D">
        <w:t xml:space="preserve"> </w:t>
      </w:r>
      <w:r w:rsidRPr="00B07D02">
        <w:t>a</w:t>
      </w:r>
      <w:r w:rsidRPr="00BF759D">
        <w:t xml:space="preserve"> </w:t>
      </w:r>
      <w:r w:rsidRPr="00B07D02">
        <w:t>Williamson</w:t>
      </w:r>
      <w:r w:rsidRPr="00BF759D">
        <w:t xml:space="preserve"> </w:t>
      </w:r>
      <w:r w:rsidRPr="00B07D02">
        <w:t>Act</w:t>
      </w:r>
      <w:r w:rsidRPr="00BF759D">
        <w:t xml:space="preserve"> </w:t>
      </w:r>
      <w:r w:rsidRPr="00B07D02">
        <w:t>contract. Alternative SS-1, the Bonel Ranch Substation Site, also would be located on land under a Williamson Act contract, and thus would have the same significant, unavoidable Impact</w:t>
      </w:r>
      <w:r w:rsidRPr="00BF759D">
        <w:t xml:space="preserve"> </w:t>
      </w:r>
      <w:r w:rsidRPr="00B07D02">
        <w:t>AG-2.</w:t>
      </w:r>
      <w:r w:rsidRPr="00BF759D">
        <w:rPr>
          <w:position w:val="8"/>
        </w:rPr>
        <w:t xml:space="preserve"> </w:t>
      </w:r>
      <w:r w:rsidRPr="00B07D02">
        <w:t>Alternative</w:t>
      </w:r>
      <w:r w:rsidRPr="00BF759D">
        <w:t xml:space="preserve"> </w:t>
      </w:r>
      <w:r w:rsidRPr="00B07D02">
        <w:t>SE-1A, Templeton Substation Expansion 230/70</w:t>
      </w:r>
      <w:r w:rsidR="00DC5A1D">
        <w:t> kV</w:t>
      </w:r>
      <w:r w:rsidRPr="00BF759D">
        <w:t xml:space="preserve"> </w:t>
      </w:r>
      <w:r w:rsidRPr="00B07D02">
        <w:t>Substation, would not locate</w:t>
      </w:r>
      <w:r w:rsidRPr="00BF759D">
        <w:t xml:space="preserve"> </w:t>
      </w:r>
      <w:r w:rsidRPr="00B07D02">
        <w:t>the substation on land under a Williamson Act contract, but this alternative was found not to be environmentally superior on balance as compared with the Estrella Substation site.</w:t>
      </w:r>
      <w:r w:rsidRPr="00BF759D">
        <w:t xml:space="preserve"> </w:t>
      </w:r>
      <w:r w:rsidRPr="00B07D02">
        <w:t>The impact to Williamson Act contract land is unavoidable.</w:t>
      </w:r>
    </w:p>
    <w:p w:rsidRPr="00B07D02" w:rsidR="00584854" w:rsidP="0092159B" w:rsidRDefault="00584854" w14:paraId="79270DCF" w14:textId="77777777">
      <w:pPr>
        <w:pStyle w:val="ListNum"/>
        <w:rPr>
          <w:i/>
          <w:szCs w:val="26"/>
        </w:rPr>
      </w:pPr>
      <w:r w:rsidRPr="002273BE">
        <w:rPr>
          <w:bCs/>
          <w:szCs w:val="26"/>
          <w:u w:val="single"/>
        </w:rPr>
        <w:t xml:space="preserve">Air Quality: </w:t>
      </w:r>
      <w:r w:rsidRPr="002273BE">
        <w:rPr>
          <w:bCs/>
          <w:u w:val="single"/>
        </w:rPr>
        <w:t>Impact</w:t>
      </w:r>
      <w:r w:rsidRPr="002273BE">
        <w:rPr>
          <w:bCs/>
          <w:szCs w:val="26"/>
          <w:u w:val="single"/>
        </w:rPr>
        <w:t xml:space="preserve"> AQ-2</w:t>
      </w:r>
      <w:r w:rsidRPr="002273BE">
        <w:rPr>
          <w:bCs/>
          <w:szCs w:val="26"/>
        </w:rPr>
        <w:t>: Result</w:t>
      </w:r>
      <w:r w:rsidRPr="00B07D02">
        <w:rPr>
          <w:szCs w:val="26"/>
        </w:rPr>
        <w:t xml:space="preserve"> in a cumulatively considerable net increase of any criteria pollutant for which the project region is non-attainment under an applicable </w:t>
      </w:r>
      <w:r w:rsidRPr="00B07D02">
        <w:rPr>
          <w:szCs w:val="26"/>
        </w:rPr>
        <w:lastRenderedPageBreak/>
        <w:t xml:space="preserve">federal or state ambient air quality standard – </w:t>
      </w:r>
      <w:r w:rsidRPr="00B07D02">
        <w:rPr>
          <w:i/>
          <w:szCs w:val="26"/>
        </w:rPr>
        <w:t xml:space="preserve">Significant and </w:t>
      </w:r>
      <w:r w:rsidRPr="00BF759D">
        <w:rPr>
          <w:i/>
          <w:szCs w:val="26"/>
        </w:rPr>
        <w:t>Unavoidable</w:t>
      </w:r>
    </w:p>
    <w:p w:rsidR="00993873" w:rsidP="0092159B" w:rsidRDefault="00584854" w14:paraId="2026078D" w14:textId="1C02AF07">
      <w:pPr>
        <w:pStyle w:val="Standard"/>
        <w:spacing w:before="240"/>
      </w:pPr>
      <w:r w:rsidRPr="00B07D02">
        <w:t xml:space="preserve">The FEIR finds that construction of the Proposed Project would generate </w:t>
      </w:r>
      <w:r w:rsidRPr="00B07D02">
        <w:rPr>
          <w:position w:val="2"/>
        </w:rPr>
        <w:t>temporary emissions of air pollutants.</w:t>
      </w:r>
      <w:r w:rsidRPr="00BF759D">
        <w:rPr>
          <w:position w:val="2"/>
        </w:rPr>
        <w:t xml:space="preserve"> </w:t>
      </w:r>
      <w:r w:rsidRPr="00B07D02">
        <w:rPr>
          <w:position w:val="2"/>
        </w:rPr>
        <w:t>Ozone precursors (nitrogen oxides (NO</w:t>
      </w:r>
      <w:r w:rsidRPr="00B07D02">
        <w:rPr>
          <w:sz w:val="16"/>
        </w:rPr>
        <w:t>X</w:t>
      </w:r>
      <w:r w:rsidRPr="00B07D02">
        <w:rPr>
          <w:position w:val="2"/>
        </w:rPr>
        <w:t xml:space="preserve">) and reactive </w:t>
      </w:r>
      <w:r w:rsidRPr="00B07D02">
        <w:t>organic</w:t>
      </w:r>
      <w:r w:rsidRPr="00BF759D">
        <w:t xml:space="preserve"> </w:t>
      </w:r>
      <w:r w:rsidRPr="00B07D02">
        <w:t>gases</w:t>
      </w:r>
      <w:r w:rsidRPr="00BF759D">
        <w:t xml:space="preserve"> </w:t>
      </w:r>
      <w:r w:rsidRPr="00B07D02">
        <w:t>(ROG)),</w:t>
      </w:r>
      <w:r w:rsidRPr="00BF759D">
        <w:t xml:space="preserve"> </w:t>
      </w:r>
      <w:r w:rsidRPr="00B07D02">
        <w:t>as</w:t>
      </w:r>
      <w:r w:rsidRPr="00BF759D">
        <w:t xml:space="preserve"> </w:t>
      </w:r>
      <w:r w:rsidRPr="00B07D02">
        <w:t>well</w:t>
      </w:r>
      <w:r w:rsidRPr="00BF759D">
        <w:t xml:space="preserve"> </w:t>
      </w:r>
      <w:r w:rsidRPr="00B07D02">
        <w:t>as</w:t>
      </w:r>
      <w:r w:rsidRPr="00BF759D">
        <w:t xml:space="preserve"> </w:t>
      </w:r>
      <w:r w:rsidRPr="00B07D02">
        <w:t>particulate</w:t>
      </w:r>
      <w:r w:rsidRPr="00BF759D">
        <w:t xml:space="preserve"> </w:t>
      </w:r>
      <w:r w:rsidRPr="00B07D02">
        <w:t>matter</w:t>
      </w:r>
      <w:r w:rsidRPr="00BF759D">
        <w:t xml:space="preserve"> </w:t>
      </w:r>
      <w:r w:rsidRPr="00B07D02">
        <w:t>with</w:t>
      </w:r>
      <w:r w:rsidRPr="00BF759D">
        <w:t xml:space="preserve"> </w:t>
      </w:r>
      <w:r w:rsidRPr="00B07D02">
        <w:t>an</w:t>
      </w:r>
      <w:r w:rsidRPr="00BF759D">
        <w:t xml:space="preserve"> </w:t>
      </w:r>
      <w:r w:rsidRPr="00B07D02">
        <w:t>aerodynamic</w:t>
      </w:r>
      <w:r w:rsidRPr="00BF759D">
        <w:t xml:space="preserve"> </w:t>
      </w:r>
      <w:r w:rsidRPr="00B07D02">
        <w:t>radius</w:t>
      </w:r>
      <w:r w:rsidRPr="00BF759D">
        <w:t xml:space="preserve"> </w:t>
      </w:r>
      <w:r w:rsidRPr="00B07D02">
        <w:t>of</w:t>
      </w:r>
      <w:r w:rsidRPr="00BF759D">
        <w:t xml:space="preserve"> </w:t>
      </w:r>
      <w:r w:rsidRPr="00B07D02">
        <w:rPr>
          <w:position w:val="2"/>
        </w:rPr>
        <w:t>10</w:t>
      </w:r>
      <w:r w:rsidRPr="00BF759D">
        <w:rPr>
          <w:position w:val="2"/>
        </w:rPr>
        <w:t xml:space="preserve"> </w:t>
      </w:r>
      <w:r w:rsidRPr="00B07D02">
        <w:rPr>
          <w:position w:val="2"/>
        </w:rPr>
        <w:t>micrometers</w:t>
      </w:r>
      <w:r w:rsidRPr="00BF759D">
        <w:rPr>
          <w:w w:val="150"/>
          <w:position w:val="2"/>
        </w:rPr>
        <w:t xml:space="preserve"> </w:t>
      </w:r>
      <w:r w:rsidRPr="00B07D02">
        <w:rPr>
          <w:position w:val="2"/>
        </w:rPr>
        <w:t>or</w:t>
      </w:r>
      <w:r w:rsidRPr="00BF759D">
        <w:rPr>
          <w:w w:val="150"/>
          <w:position w:val="2"/>
        </w:rPr>
        <w:t xml:space="preserve"> </w:t>
      </w:r>
      <w:r w:rsidRPr="00B07D02">
        <w:rPr>
          <w:position w:val="2"/>
        </w:rPr>
        <w:t>less</w:t>
      </w:r>
      <w:r w:rsidRPr="00BF759D">
        <w:rPr>
          <w:w w:val="150"/>
          <w:position w:val="2"/>
        </w:rPr>
        <w:t xml:space="preserve"> </w:t>
      </w:r>
      <w:r w:rsidRPr="00B07D02">
        <w:rPr>
          <w:position w:val="2"/>
        </w:rPr>
        <w:t>(PM</w:t>
      </w:r>
      <w:r w:rsidRPr="00B07D02">
        <w:rPr>
          <w:sz w:val="16"/>
        </w:rPr>
        <w:t>10</w:t>
      </w:r>
      <w:r w:rsidRPr="00B07D02">
        <w:rPr>
          <w:position w:val="2"/>
        </w:rPr>
        <w:t>),</w:t>
      </w:r>
      <w:r w:rsidRPr="00BF759D">
        <w:rPr>
          <w:w w:val="150"/>
          <w:position w:val="2"/>
        </w:rPr>
        <w:t xml:space="preserve"> </w:t>
      </w:r>
      <w:r w:rsidRPr="00B07D02">
        <w:rPr>
          <w:position w:val="2"/>
        </w:rPr>
        <w:t>and</w:t>
      </w:r>
      <w:r w:rsidRPr="00BF759D">
        <w:rPr>
          <w:w w:val="150"/>
          <w:position w:val="2"/>
        </w:rPr>
        <w:t xml:space="preserve"> </w:t>
      </w:r>
      <w:r w:rsidRPr="00B07D02">
        <w:rPr>
          <w:position w:val="2"/>
        </w:rPr>
        <w:t>particulate</w:t>
      </w:r>
      <w:r w:rsidRPr="00BF759D">
        <w:rPr>
          <w:w w:val="150"/>
          <w:position w:val="2"/>
        </w:rPr>
        <w:t xml:space="preserve"> </w:t>
      </w:r>
      <w:r w:rsidRPr="00B07D02">
        <w:rPr>
          <w:position w:val="2"/>
        </w:rPr>
        <w:t>matter</w:t>
      </w:r>
      <w:r w:rsidRPr="00BF759D">
        <w:rPr>
          <w:w w:val="150"/>
          <w:position w:val="2"/>
        </w:rPr>
        <w:t xml:space="preserve"> </w:t>
      </w:r>
      <w:r w:rsidRPr="00B07D02">
        <w:rPr>
          <w:position w:val="2"/>
        </w:rPr>
        <w:t>with</w:t>
      </w:r>
      <w:r w:rsidRPr="00BF759D">
        <w:rPr>
          <w:w w:val="150"/>
          <w:position w:val="2"/>
        </w:rPr>
        <w:t xml:space="preserve"> </w:t>
      </w:r>
      <w:r w:rsidRPr="00B07D02">
        <w:rPr>
          <w:position w:val="2"/>
        </w:rPr>
        <w:t>an</w:t>
      </w:r>
      <w:r w:rsidRPr="00BF759D">
        <w:rPr>
          <w:w w:val="150"/>
          <w:position w:val="2"/>
        </w:rPr>
        <w:t xml:space="preserve"> </w:t>
      </w:r>
      <w:r w:rsidRPr="00B07D02">
        <w:rPr>
          <w:position w:val="2"/>
        </w:rPr>
        <w:t>aerodynamic</w:t>
      </w:r>
      <w:r w:rsidRPr="00BF759D">
        <w:rPr>
          <w:w w:val="150"/>
          <w:position w:val="2"/>
        </w:rPr>
        <w:t xml:space="preserve"> </w:t>
      </w:r>
      <w:r w:rsidRPr="00B07D02">
        <w:rPr>
          <w:position w:val="2"/>
        </w:rPr>
        <w:t>radius</w:t>
      </w:r>
      <w:r w:rsidRPr="00BF759D">
        <w:rPr>
          <w:w w:val="150"/>
          <w:position w:val="2"/>
        </w:rPr>
        <w:t xml:space="preserve"> </w:t>
      </w:r>
      <w:r w:rsidRPr="00BF759D">
        <w:rPr>
          <w:position w:val="2"/>
        </w:rPr>
        <w:t xml:space="preserve">of </w:t>
      </w:r>
      <w:bookmarkStart w:name="_bookmark77" w:id="137"/>
      <w:bookmarkEnd w:id="137"/>
      <w:r w:rsidRPr="00B07D02">
        <w:rPr>
          <w:position w:val="2"/>
        </w:rPr>
        <w:t>2.5</w:t>
      </w:r>
      <w:r w:rsidRPr="00BF759D">
        <w:rPr>
          <w:position w:val="2"/>
        </w:rPr>
        <w:t xml:space="preserve"> </w:t>
      </w:r>
      <w:r w:rsidRPr="00B07D02">
        <w:rPr>
          <w:position w:val="2"/>
        </w:rPr>
        <w:t>micrometers or less (PM</w:t>
      </w:r>
      <w:r w:rsidRPr="00B07D02">
        <w:rPr>
          <w:sz w:val="16"/>
        </w:rPr>
        <w:t>2.5</w:t>
      </w:r>
      <w:r w:rsidRPr="00B07D02">
        <w:rPr>
          <w:position w:val="2"/>
        </w:rPr>
        <w:t xml:space="preserve">), would be emitted by construction equipment used for all parts </w:t>
      </w:r>
      <w:r w:rsidRPr="00B07D02">
        <w:t>of the Project, and by helicopters used in constructing the 70</w:t>
      </w:r>
      <w:r w:rsidR="00DC5A1D">
        <w:t> kV</w:t>
      </w:r>
      <w:r w:rsidRPr="00B07D02">
        <w:t xml:space="preserve"> power line elements.</w:t>
      </w:r>
      <w:r w:rsidRPr="00BF759D">
        <w:t xml:space="preserve"> </w:t>
      </w:r>
      <w:r w:rsidRPr="00B07D02">
        <w:t>The construction equipment also would emit diesel particulate matter (DPM), which is a subcomponent of particulate matter from diesel fueled equipment.</w:t>
      </w:r>
      <w:r w:rsidRPr="00BF759D">
        <w:t xml:space="preserve"> </w:t>
      </w:r>
    </w:p>
    <w:p w:rsidRPr="00B07D02" w:rsidR="00584854" w:rsidP="00831FAB" w:rsidRDefault="00584854" w14:paraId="2B4539B7" w14:textId="78E6CCEA">
      <w:pPr>
        <w:pStyle w:val="Standard"/>
        <w:rPr>
          <w:sz w:val="14"/>
        </w:rPr>
      </w:pPr>
      <w:r w:rsidRPr="00B07D02">
        <w:t xml:space="preserve">The FEIR finds that construction would generate temporary emissions of air pollutants (ozone precursors ROG and </w:t>
      </w:r>
      <w:r w:rsidRPr="00B07D02">
        <w:rPr>
          <w:position w:val="2"/>
        </w:rPr>
        <w:t>NO</w:t>
      </w:r>
      <w:r w:rsidRPr="00B07D02">
        <w:rPr>
          <w:sz w:val="16"/>
        </w:rPr>
        <w:t>x</w:t>
      </w:r>
      <w:r w:rsidRPr="00B07D02">
        <w:rPr>
          <w:position w:val="2"/>
        </w:rPr>
        <w:t xml:space="preserve">) that exceed San Luis Obispo County Air Pollution Control District (SLOCAPCD) daily </w:t>
      </w:r>
      <w:r w:rsidRPr="00B07D02">
        <w:t>thresholds and quarterly Tier</w:t>
      </w:r>
      <w:r w:rsidRPr="00BF759D">
        <w:t xml:space="preserve"> </w:t>
      </w:r>
      <w:r w:rsidRPr="00B07D02">
        <w:t>1 and Tier</w:t>
      </w:r>
      <w:r w:rsidRPr="00BF759D">
        <w:t xml:space="preserve"> </w:t>
      </w:r>
      <w:r w:rsidRPr="00B07D02">
        <w:t>2 thresholds and thus would result in a cumulatively considerable increase.</w:t>
      </w:r>
      <w:r w:rsidRPr="00BF759D">
        <w:t xml:space="preserve"> </w:t>
      </w:r>
      <w:r w:rsidRPr="00B07D02">
        <w:t xml:space="preserve">The fugitive dust emissions resulting from construction would exceed the quarterly threshold mainly related to the fugitive dust emissions from helicopters, which will </w:t>
      </w:r>
      <w:r w:rsidRPr="00B07D02">
        <w:rPr>
          <w:position w:val="2"/>
        </w:rPr>
        <w:t xml:space="preserve">primarily occur at the </w:t>
      </w:r>
      <w:r w:rsidR="00325E91">
        <w:rPr>
          <w:position w:val="2"/>
        </w:rPr>
        <w:t>Paso </w:t>
      </w:r>
      <w:r w:rsidRPr="00B07D02">
        <w:rPr>
          <w:position w:val="2"/>
        </w:rPr>
        <w:t>Robles airport.</w:t>
      </w:r>
      <w:r w:rsidRPr="00BF759D">
        <w:rPr>
          <w:position w:val="2"/>
        </w:rPr>
        <w:t xml:space="preserve"> </w:t>
      </w:r>
      <w:r w:rsidRPr="00B07D02">
        <w:rPr>
          <w:position w:val="2"/>
        </w:rPr>
        <w:t>NO</w:t>
      </w:r>
      <w:r w:rsidRPr="00B07D02">
        <w:rPr>
          <w:sz w:val="16"/>
        </w:rPr>
        <w:t>x</w:t>
      </w:r>
      <w:r w:rsidRPr="00BF759D">
        <w:rPr>
          <w:sz w:val="16"/>
        </w:rPr>
        <w:t xml:space="preserve"> </w:t>
      </w:r>
      <w:r w:rsidRPr="00B07D02">
        <w:rPr>
          <w:position w:val="2"/>
        </w:rPr>
        <w:t>and ROG are precursors to ozone, and NO</w:t>
      </w:r>
      <w:r w:rsidRPr="00B07D02">
        <w:rPr>
          <w:sz w:val="16"/>
        </w:rPr>
        <w:t>x</w:t>
      </w:r>
      <w:r w:rsidRPr="00B07D02">
        <w:rPr>
          <w:position w:val="2"/>
        </w:rPr>
        <w:t>, ROG, and SO</w:t>
      </w:r>
      <w:r w:rsidRPr="00B07D02">
        <w:rPr>
          <w:sz w:val="16"/>
        </w:rPr>
        <w:t>x</w:t>
      </w:r>
      <w:r w:rsidRPr="00BF759D">
        <w:rPr>
          <w:sz w:val="16"/>
        </w:rPr>
        <w:t xml:space="preserve"> </w:t>
      </w:r>
      <w:r w:rsidRPr="00B07D02">
        <w:rPr>
          <w:position w:val="2"/>
        </w:rPr>
        <w:t>are precursors to secondarily formed PM</w:t>
      </w:r>
      <w:r w:rsidRPr="00B07D02">
        <w:rPr>
          <w:sz w:val="16"/>
        </w:rPr>
        <w:t>2.5</w:t>
      </w:r>
      <w:r w:rsidRPr="00B07D02">
        <w:rPr>
          <w:position w:val="2"/>
        </w:rPr>
        <w:t>.</w:t>
      </w:r>
      <w:r w:rsidRPr="00BF759D">
        <w:rPr>
          <w:position w:val="2"/>
        </w:rPr>
        <w:t xml:space="preserve"> </w:t>
      </w:r>
      <w:r w:rsidRPr="00B07D02">
        <w:rPr>
          <w:position w:val="2"/>
        </w:rPr>
        <w:t xml:space="preserve">Chemical and physical processes </w:t>
      </w:r>
      <w:r w:rsidRPr="00B07D02">
        <w:t>transform some of these precursors to the criteria pollutant concentrations in the atmosphere.</w:t>
      </w:r>
      <w:r w:rsidRPr="00B07D02">
        <w:rPr>
          <w:rStyle w:val="FootnoteReference"/>
        </w:rPr>
        <w:footnoteReference w:id="64"/>
      </w:r>
      <w:r w:rsidRPr="00B07D02">
        <w:rPr>
          <w:sz w:val="14"/>
        </w:rPr>
        <w:t xml:space="preserve"> </w:t>
      </w:r>
    </w:p>
    <w:p w:rsidRPr="00B07D02" w:rsidR="00584854" w:rsidP="00831FAB" w:rsidRDefault="00584854" w14:paraId="19C3FB3F" w14:textId="06617B65">
      <w:pPr>
        <w:pStyle w:val="Standard"/>
        <w:rPr>
          <w:sz w:val="14"/>
        </w:rPr>
      </w:pPr>
      <w:r w:rsidRPr="00B07D02">
        <w:rPr>
          <w:position w:val="2"/>
        </w:rPr>
        <w:t>The FEIR identifies potential health effects from ozone, PM</w:t>
      </w:r>
      <w:r w:rsidRPr="00B07D02">
        <w:rPr>
          <w:sz w:val="16"/>
        </w:rPr>
        <w:t>2.5</w:t>
      </w:r>
      <w:r w:rsidRPr="00B07D02">
        <w:rPr>
          <w:position w:val="2"/>
        </w:rPr>
        <w:t>, and PM</w:t>
      </w:r>
      <w:r w:rsidRPr="00B07D02">
        <w:rPr>
          <w:sz w:val="16"/>
        </w:rPr>
        <w:t>10</w:t>
      </w:r>
      <w:r w:rsidRPr="00BF759D">
        <w:rPr>
          <w:sz w:val="16"/>
        </w:rPr>
        <w:t xml:space="preserve"> </w:t>
      </w:r>
      <w:r w:rsidRPr="00B07D02">
        <w:rPr>
          <w:position w:val="2"/>
        </w:rPr>
        <w:t xml:space="preserve">and finds </w:t>
      </w:r>
      <w:r w:rsidRPr="00B07D02">
        <w:t xml:space="preserve">that mass emissions from </w:t>
      </w:r>
      <w:r w:rsidR="00111E48">
        <w:t xml:space="preserve">Proposed </w:t>
      </w:r>
      <w:r w:rsidRPr="00B07D02">
        <w:t>Project construction could exceed significance thresholds even assuming the use of all Tier</w:t>
      </w:r>
      <w:r w:rsidRPr="00BF759D">
        <w:t xml:space="preserve"> </w:t>
      </w:r>
      <w:r w:rsidRPr="00B07D02">
        <w:t xml:space="preserve">4 final construction </w:t>
      </w:r>
      <w:r w:rsidRPr="00B07D02">
        <w:lastRenderedPageBreak/>
        <w:t>equipment as shown in the mitigated emissions table in the FEIR.</w:t>
      </w:r>
      <w:r w:rsidRPr="00BF759D">
        <w:rPr>
          <w:position w:val="8"/>
          <w:sz w:val="14"/>
        </w:rPr>
        <w:t xml:space="preserve"> </w:t>
      </w:r>
      <w:r w:rsidRPr="00B07D02">
        <w:t>The FEIR also finds that although the Proposed Project’s emissions are significant for these criteria air pollutants, it is anticipated that the health effects from the Proposed Project would generally be low compared to background incidences of such health effects due to the relatively low level of emissions from the Proposed Project compared to the total emissions in the South Central Coast Air Basin.</w:t>
      </w:r>
      <w:r w:rsidRPr="00BF759D">
        <w:rPr>
          <w:w w:val="150"/>
          <w:position w:val="8"/>
          <w:sz w:val="14"/>
        </w:rPr>
        <w:t xml:space="preserve"> </w:t>
      </w:r>
      <w:r w:rsidRPr="00B07D02">
        <w:t>Building the 70</w:t>
      </w:r>
      <w:r w:rsidR="00DC5A1D">
        <w:t> kV</w:t>
      </w:r>
      <w:r w:rsidRPr="00B07D02">
        <w:t xml:space="preserve"> power line in the Alternative</w:t>
      </w:r>
      <w:r w:rsidRPr="00BF759D">
        <w:t xml:space="preserve"> </w:t>
      </w:r>
      <w:r w:rsidRPr="00B07D02">
        <w:t>PLR-1A route (Alternative Combination #2, the environmentally superior alternative) has a longer construction period and a greater</w:t>
      </w:r>
      <w:r w:rsidRPr="00BF759D">
        <w:t xml:space="preserve"> </w:t>
      </w:r>
      <w:r w:rsidRPr="00B07D02">
        <w:t>potential</w:t>
      </w:r>
      <w:r w:rsidRPr="00BF759D">
        <w:t xml:space="preserve"> </w:t>
      </w:r>
      <w:r w:rsidRPr="00B07D02">
        <w:t>for</w:t>
      </w:r>
      <w:r w:rsidRPr="00BF759D">
        <w:t xml:space="preserve"> </w:t>
      </w:r>
      <w:r w:rsidRPr="00B07D02">
        <w:t>construction-related</w:t>
      </w:r>
      <w:r w:rsidRPr="00BF759D">
        <w:t xml:space="preserve"> </w:t>
      </w:r>
      <w:r w:rsidRPr="00B07D02">
        <w:t>impacts</w:t>
      </w:r>
      <w:r w:rsidRPr="00BF759D">
        <w:t xml:space="preserve"> </w:t>
      </w:r>
      <w:r w:rsidRPr="00B07D02">
        <w:t>to</w:t>
      </w:r>
      <w:r w:rsidRPr="00BF759D">
        <w:t xml:space="preserve"> </w:t>
      </w:r>
      <w:r w:rsidRPr="00B07D02">
        <w:t>criteria</w:t>
      </w:r>
      <w:r w:rsidRPr="00BF759D">
        <w:t xml:space="preserve"> </w:t>
      </w:r>
      <w:r w:rsidRPr="00B07D02">
        <w:t>air</w:t>
      </w:r>
      <w:r w:rsidRPr="00BF759D">
        <w:t xml:space="preserve"> </w:t>
      </w:r>
      <w:r w:rsidRPr="00B07D02">
        <w:t>pollutant</w:t>
      </w:r>
      <w:r w:rsidRPr="00BF759D">
        <w:t xml:space="preserve"> </w:t>
      </w:r>
      <w:r w:rsidRPr="00B07D02">
        <w:t>emissions</w:t>
      </w:r>
      <w:r w:rsidRPr="00BF759D">
        <w:t xml:space="preserve"> </w:t>
      </w:r>
      <w:r w:rsidRPr="00B07D02">
        <w:t>than</w:t>
      </w:r>
      <w:r w:rsidRPr="00BF759D">
        <w:t xml:space="preserve"> </w:t>
      </w:r>
      <w:r w:rsidRPr="00B07D02">
        <w:t>the</w:t>
      </w:r>
      <w:r w:rsidRPr="00BF759D">
        <w:t xml:space="preserve"> originally</w:t>
      </w:r>
      <w:bookmarkStart w:name="_bookmark79" w:id="138"/>
      <w:bookmarkEnd w:id="138"/>
      <w:r w:rsidRPr="00BF759D">
        <w:t xml:space="preserve"> </w:t>
      </w:r>
      <w:r w:rsidRPr="00B07D02">
        <w:t>proposed route.</w:t>
      </w:r>
      <w:r w:rsidRPr="00BF759D">
        <w:rPr>
          <w:position w:val="8"/>
          <w:sz w:val="14"/>
        </w:rPr>
        <w:t xml:space="preserve"> </w:t>
      </w:r>
      <w:r w:rsidRPr="00B07D02">
        <w:t>The Proposed Project’s operational emissions would be negligible and would be substantially lower than the SLOCAPCD’s operational significance thresholds and the impact of operations thus would be less than significant.</w:t>
      </w:r>
      <w:r w:rsidRPr="00B07D02">
        <w:rPr>
          <w:sz w:val="14"/>
        </w:rPr>
        <w:t xml:space="preserve"> </w:t>
      </w:r>
    </w:p>
    <w:p w:rsidRPr="00B07D02" w:rsidR="00584854" w:rsidP="00831FAB" w:rsidRDefault="00584854" w14:paraId="0E8A6A98" w14:textId="24D35857">
      <w:pPr>
        <w:pStyle w:val="Standard"/>
        <w:rPr>
          <w:sz w:val="14"/>
        </w:rPr>
      </w:pPr>
      <w:r w:rsidRPr="00B07D02">
        <w:t>Several</w:t>
      </w:r>
      <w:r w:rsidRPr="00BF759D">
        <w:t xml:space="preserve"> </w:t>
      </w:r>
      <w:r w:rsidRPr="00B07D02">
        <w:t>APMs</w:t>
      </w:r>
      <w:r w:rsidRPr="00BF759D">
        <w:t xml:space="preserve"> </w:t>
      </w:r>
      <w:r w:rsidRPr="00B07D02">
        <w:t>would</w:t>
      </w:r>
      <w:r w:rsidRPr="00BF759D">
        <w:t xml:space="preserve"> </w:t>
      </w:r>
      <w:r w:rsidRPr="00B07D02">
        <w:t>be</w:t>
      </w:r>
      <w:r w:rsidRPr="00BF759D">
        <w:t xml:space="preserve"> </w:t>
      </w:r>
      <w:r w:rsidRPr="00B07D02">
        <w:t>implemented</w:t>
      </w:r>
      <w:r w:rsidRPr="00BF759D">
        <w:t xml:space="preserve"> </w:t>
      </w:r>
      <w:r w:rsidRPr="00B07D02">
        <w:t>to</w:t>
      </w:r>
      <w:r w:rsidRPr="00BF759D">
        <w:t xml:space="preserve"> </w:t>
      </w:r>
      <w:r w:rsidRPr="00B07D02">
        <w:t>substantially</w:t>
      </w:r>
      <w:r w:rsidRPr="00BF759D">
        <w:t xml:space="preserve"> </w:t>
      </w:r>
      <w:r w:rsidRPr="00B07D02">
        <w:t>lessen</w:t>
      </w:r>
      <w:r w:rsidRPr="00BF759D">
        <w:t xml:space="preserve"> </w:t>
      </w:r>
      <w:r w:rsidRPr="00B07D02">
        <w:t>the</w:t>
      </w:r>
      <w:r w:rsidRPr="00BF759D">
        <w:t xml:space="preserve"> </w:t>
      </w:r>
      <w:r w:rsidRPr="00B07D02">
        <w:t>impacts</w:t>
      </w:r>
      <w:r w:rsidRPr="00BF759D">
        <w:t xml:space="preserve"> </w:t>
      </w:r>
      <w:r w:rsidRPr="00B07D02">
        <w:t>of</w:t>
      </w:r>
      <w:r w:rsidRPr="00BF759D">
        <w:t xml:space="preserve"> </w:t>
      </w:r>
      <w:r w:rsidRPr="00B07D02">
        <w:t xml:space="preserve">the Proposed Project’s construction emissions, including the increased emissions associated with Alternative </w:t>
      </w:r>
      <w:r w:rsidRPr="00B07D02">
        <w:rPr>
          <w:position w:val="2"/>
        </w:rPr>
        <w:t xml:space="preserve">PLR-1A route </w:t>
      </w:r>
      <w:r w:rsidR="00FD5C2C">
        <w:rPr>
          <w:position w:val="2"/>
        </w:rPr>
        <w:t xml:space="preserve">(part of </w:t>
      </w:r>
      <w:r w:rsidRPr="00B07D02">
        <w:rPr>
          <w:position w:val="2"/>
        </w:rPr>
        <w:t>Alternative Combination #2, the environmentally superior alternative</w:t>
      </w:r>
      <w:r w:rsidR="00FD5C2C">
        <w:rPr>
          <w:position w:val="2"/>
        </w:rPr>
        <w:t>)</w:t>
      </w:r>
      <w:r w:rsidRPr="00B07D02">
        <w:rPr>
          <w:position w:val="2"/>
        </w:rPr>
        <w:t>.</w:t>
      </w:r>
      <w:r w:rsidRPr="00BF759D">
        <w:rPr>
          <w:position w:val="2"/>
        </w:rPr>
        <w:t xml:space="preserve"> </w:t>
      </w:r>
      <w:r w:rsidRPr="00B07D02">
        <w:rPr>
          <w:position w:val="2"/>
        </w:rPr>
        <w:t>APM AIR-1 would be implemented to minimize ROG, NO</w:t>
      </w:r>
      <w:r w:rsidRPr="00B07D02">
        <w:rPr>
          <w:sz w:val="16"/>
        </w:rPr>
        <w:t>x</w:t>
      </w:r>
      <w:r w:rsidRPr="00B07D02">
        <w:rPr>
          <w:position w:val="2"/>
        </w:rPr>
        <w:t xml:space="preserve">, and PM emissions by </w:t>
      </w:r>
      <w:r w:rsidRPr="00B07D02">
        <w:t>maintaining equipment in proper tune, using California Air Resources Board-certified motor vehicle diesel fuel in diesel powered equipment, using trucks that meet CARB’s certification standards, limiting idling of diesel equipment, electrifying equipment when feasible, substituting gasoline-powered equipment in place of diesel-powered equipment where feasible, and using alternatively fueled equipment on site where feasible. APM AIR-2 would be implemented to use best available control technology measures to reduce emissions.</w:t>
      </w:r>
      <w:r w:rsidRPr="00BF759D">
        <w:rPr>
          <w:position w:val="8"/>
          <w:sz w:val="14"/>
        </w:rPr>
        <w:t xml:space="preserve"> </w:t>
      </w:r>
      <w:r w:rsidRPr="00B07D02">
        <w:t>APM AIR-3 would be implemented to minimize fugitive dust through numerous control measures.</w:t>
      </w:r>
      <w:r w:rsidRPr="00B07D02">
        <w:rPr>
          <w:sz w:val="14"/>
        </w:rPr>
        <w:t xml:space="preserve"> </w:t>
      </w:r>
    </w:p>
    <w:p w:rsidRPr="00B07D02" w:rsidR="00584854" w:rsidP="00831FAB" w:rsidRDefault="00584854" w14:paraId="6F28005D" w14:textId="0AB3693F">
      <w:pPr>
        <w:pStyle w:val="Standard"/>
        <w:rPr>
          <w:sz w:val="14"/>
        </w:rPr>
      </w:pPr>
      <w:r w:rsidRPr="00B07D02">
        <w:lastRenderedPageBreak/>
        <w:t>The FEIR expanded these measures in MM AQ-1, which requires Applicants to prepare a comprehensive construction activity management plan (CAMP) for review by SLOCAPCD and final approval by the Commission.</w:t>
      </w:r>
      <w:r w:rsidRPr="00BF759D">
        <w:t xml:space="preserve"> </w:t>
      </w:r>
      <w:r w:rsidRPr="00B07D02">
        <w:t>MM</w:t>
      </w:r>
      <w:r w:rsidR="002273BE">
        <w:t> </w:t>
      </w:r>
      <w:r w:rsidRPr="00B07D02">
        <w:t>AQ-1 requires expanded fugitive dust mitigation measures and additional construction equipment mitigation measures and best available control technology, as well as a dust control management plan that must include numerous additional control measures.</w:t>
      </w:r>
      <w:r w:rsidRPr="00BF759D">
        <w:rPr>
          <w:position w:val="8"/>
          <w:sz w:val="14"/>
        </w:rPr>
        <w:t xml:space="preserve"> </w:t>
      </w:r>
      <w:r w:rsidRPr="00B07D02">
        <w:t>The FEIR clarified in response to comments that MM AQ-1 incorporates the APMs or establishes more stringent requirements and therefore replaces</w:t>
      </w:r>
      <w:r w:rsidRPr="00BF759D">
        <w:t xml:space="preserve"> </w:t>
      </w:r>
      <w:r w:rsidRPr="00B07D02">
        <w:t>all</w:t>
      </w:r>
      <w:r w:rsidRPr="00BF759D">
        <w:t xml:space="preserve"> </w:t>
      </w:r>
      <w:r w:rsidRPr="00B07D02">
        <w:t>APMs</w:t>
      </w:r>
      <w:r w:rsidRPr="00BF759D">
        <w:t xml:space="preserve"> </w:t>
      </w:r>
      <w:r w:rsidRPr="00B07D02">
        <w:t>related</w:t>
      </w:r>
      <w:r w:rsidRPr="00BF759D">
        <w:t xml:space="preserve"> </w:t>
      </w:r>
      <w:r w:rsidRPr="00B07D02">
        <w:t>to</w:t>
      </w:r>
      <w:r w:rsidRPr="00BF759D">
        <w:t xml:space="preserve"> </w:t>
      </w:r>
      <w:r w:rsidRPr="00B07D02">
        <w:t>air</w:t>
      </w:r>
      <w:r w:rsidRPr="00BF759D">
        <w:t xml:space="preserve"> </w:t>
      </w:r>
      <w:r w:rsidRPr="00B07D02">
        <w:t>quality,</w:t>
      </w:r>
      <w:r w:rsidRPr="00BF759D">
        <w:t xml:space="preserve"> </w:t>
      </w:r>
      <w:r w:rsidRPr="00B07D02">
        <w:t>and</w:t>
      </w:r>
      <w:r w:rsidRPr="00BF759D">
        <w:t xml:space="preserve"> </w:t>
      </w:r>
      <w:r w:rsidRPr="00B07D02">
        <w:t>confirms</w:t>
      </w:r>
      <w:r w:rsidRPr="00BF759D">
        <w:t xml:space="preserve"> </w:t>
      </w:r>
      <w:r w:rsidRPr="00B07D02">
        <w:t>that</w:t>
      </w:r>
      <w:r w:rsidRPr="00BF759D">
        <w:t xml:space="preserve"> </w:t>
      </w:r>
      <w:r w:rsidRPr="00B07D02">
        <w:t>MM</w:t>
      </w:r>
      <w:r w:rsidRPr="00BF759D">
        <w:t xml:space="preserve"> </w:t>
      </w:r>
      <w:r w:rsidRPr="00B07D02">
        <w:t>AQ-1</w:t>
      </w:r>
      <w:r w:rsidRPr="00BF759D">
        <w:t xml:space="preserve"> </w:t>
      </w:r>
      <w:r w:rsidRPr="00B07D02">
        <w:t>is</w:t>
      </w:r>
      <w:r w:rsidRPr="00BF759D">
        <w:t xml:space="preserve"> </w:t>
      </w:r>
      <w:r w:rsidRPr="00B07D02">
        <w:t>enforceable</w:t>
      </w:r>
      <w:r w:rsidRPr="00BF759D">
        <w:t xml:space="preserve"> </w:t>
      </w:r>
      <w:r w:rsidRPr="00B07D02">
        <w:t>by</w:t>
      </w:r>
      <w:r w:rsidRPr="00BF759D">
        <w:t xml:space="preserve"> the </w:t>
      </w:r>
      <w:r w:rsidRPr="00B07D02">
        <w:t>Commission and incorporated into the MMRP. Through the required preparation and implementation of a CAMP, MM</w:t>
      </w:r>
      <w:r w:rsidR="002273BE">
        <w:t> </w:t>
      </w:r>
      <w:r w:rsidRPr="00B07D02">
        <w:t>AQ-1 will include all of the SLOCAPCD’s suggested standard mitigation measures and best available control technology for construction equipment.</w:t>
      </w:r>
      <w:r w:rsidRPr="00BF759D">
        <w:t xml:space="preserve"> </w:t>
      </w:r>
      <w:r w:rsidRPr="00B07D02">
        <w:t>MM</w:t>
      </w:r>
      <w:r w:rsidR="002273BE">
        <w:t> </w:t>
      </w:r>
      <w:r w:rsidRPr="00B07D02">
        <w:t xml:space="preserve">AQ-1 will also require implementation of all feasible measures and clear documentation of any infeasible </w:t>
      </w:r>
      <w:r w:rsidRPr="00BF759D">
        <w:t>measures.</w:t>
      </w:r>
      <w:r w:rsidRPr="00B07D02">
        <w:rPr>
          <w:sz w:val="14"/>
        </w:rPr>
        <w:t xml:space="preserve"> </w:t>
      </w:r>
    </w:p>
    <w:p w:rsidRPr="00B07D02" w:rsidR="00584854" w:rsidP="00831FAB" w:rsidRDefault="00584854" w14:paraId="6CA2E3FF" w14:textId="77777777">
      <w:pPr>
        <w:pStyle w:val="Standard"/>
      </w:pPr>
      <w:r w:rsidRPr="00B07D02">
        <w:t>Through MM AQ-1, which incorporates and enhances the APMs, changes or alterations have been required in, or incorporated into, the Proposed Project that substantially lessen impacts of construction emissions, although not below the level of significance.</w:t>
      </w:r>
      <w:r w:rsidRPr="00BF759D">
        <w:t xml:space="preserve"> </w:t>
      </w:r>
      <w:r w:rsidRPr="00B07D02">
        <w:t xml:space="preserve">Construction-related </w:t>
      </w:r>
      <w:r w:rsidRPr="00B07D02">
        <w:rPr>
          <w:position w:val="2"/>
        </w:rPr>
        <w:t>ROG and NO</w:t>
      </w:r>
      <w:r w:rsidRPr="00B07D02">
        <w:rPr>
          <w:sz w:val="16"/>
        </w:rPr>
        <w:t>X</w:t>
      </w:r>
      <w:r w:rsidRPr="00BF759D">
        <w:rPr>
          <w:sz w:val="16"/>
        </w:rPr>
        <w:t xml:space="preserve"> </w:t>
      </w:r>
      <w:r w:rsidRPr="00B07D02">
        <w:rPr>
          <w:position w:val="2"/>
        </w:rPr>
        <w:t>emissions threshold exceedances remain significant.</w:t>
      </w:r>
    </w:p>
    <w:p w:rsidRPr="00B07D02" w:rsidR="00584854" w:rsidP="0092159B" w:rsidRDefault="00584854" w14:paraId="4011A359" w14:textId="77777777">
      <w:pPr>
        <w:pStyle w:val="ListNum"/>
        <w:rPr>
          <w:i/>
          <w:szCs w:val="26"/>
        </w:rPr>
      </w:pPr>
      <w:r w:rsidRPr="002273BE">
        <w:rPr>
          <w:bCs/>
          <w:szCs w:val="26"/>
          <w:u w:val="single"/>
        </w:rPr>
        <w:t xml:space="preserve">Air </w:t>
      </w:r>
      <w:r w:rsidRPr="002273BE">
        <w:rPr>
          <w:bCs/>
          <w:u w:val="single"/>
        </w:rPr>
        <w:t>Quality</w:t>
      </w:r>
      <w:r w:rsidRPr="002273BE">
        <w:rPr>
          <w:bCs/>
          <w:szCs w:val="26"/>
          <w:u w:val="single"/>
        </w:rPr>
        <w:t>: Impact AQ-3</w:t>
      </w:r>
      <w:r w:rsidRPr="00B07D02">
        <w:rPr>
          <w:szCs w:val="26"/>
        </w:rPr>
        <w:t>:</w:t>
      </w:r>
      <w:r w:rsidRPr="00BF759D">
        <w:rPr>
          <w:szCs w:val="26"/>
        </w:rPr>
        <w:t xml:space="preserve"> </w:t>
      </w:r>
      <w:r w:rsidRPr="00B07D02">
        <w:rPr>
          <w:szCs w:val="26"/>
        </w:rPr>
        <w:t>Potential</w:t>
      </w:r>
      <w:r w:rsidRPr="00BF759D">
        <w:rPr>
          <w:szCs w:val="26"/>
        </w:rPr>
        <w:t xml:space="preserve"> </w:t>
      </w:r>
      <w:r w:rsidRPr="00B07D02">
        <w:rPr>
          <w:szCs w:val="26"/>
        </w:rPr>
        <w:t>to</w:t>
      </w:r>
      <w:r w:rsidRPr="00BF759D">
        <w:rPr>
          <w:szCs w:val="26"/>
        </w:rPr>
        <w:t xml:space="preserve"> </w:t>
      </w:r>
      <w:r w:rsidRPr="00B07D02">
        <w:rPr>
          <w:szCs w:val="26"/>
        </w:rPr>
        <w:t>expose</w:t>
      </w:r>
      <w:r w:rsidRPr="00BF759D">
        <w:rPr>
          <w:szCs w:val="26"/>
        </w:rPr>
        <w:t xml:space="preserve"> </w:t>
      </w:r>
      <w:r w:rsidRPr="00B07D02">
        <w:rPr>
          <w:szCs w:val="26"/>
        </w:rPr>
        <w:t>sensitive</w:t>
      </w:r>
      <w:r w:rsidRPr="00BF759D">
        <w:rPr>
          <w:szCs w:val="26"/>
        </w:rPr>
        <w:t xml:space="preserve"> </w:t>
      </w:r>
      <w:r w:rsidRPr="00B07D02">
        <w:rPr>
          <w:szCs w:val="26"/>
        </w:rPr>
        <w:t>receptors</w:t>
      </w:r>
      <w:r w:rsidRPr="00BF759D">
        <w:rPr>
          <w:szCs w:val="26"/>
        </w:rPr>
        <w:t xml:space="preserve"> </w:t>
      </w:r>
      <w:r w:rsidRPr="00B07D02">
        <w:rPr>
          <w:szCs w:val="26"/>
        </w:rPr>
        <w:t>to</w:t>
      </w:r>
      <w:r w:rsidRPr="00BF759D">
        <w:rPr>
          <w:szCs w:val="26"/>
        </w:rPr>
        <w:t xml:space="preserve"> </w:t>
      </w:r>
      <w:r w:rsidRPr="00B07D02">
        <w:rPr>
          <w:szCs w:val="26"/>
        </w:rPr>
        <w:t xml:space="preserve">substantial pollutant concentrations – </w:t>
      </w:r>
      <w:r w:rsidRPr="00B07D02">
        <w:rPr>
          <w:i/>
          <w:szCs w:val="26"/>
        </w:rPr>
        <w:t>Significant and Unavoidable</w:t>
      </w:r>
    </w:p>
    <w:p w:rsidR="00BE484A" w:rsidP="009652C8" w:rsidRDefault="00584854" w14:paraId="7203DDA1" w14:textId="2E10C263">
      <w:pPr>
        <w:pStyle w:val="Standard"/>
        <w:spacing w:before="240"/>
        <w:rPr>
          <w:position w:val="8"/>
          <w:sz w:val="14"/>
        </w:rPr>
      </w:pPr>
      <w:r w:rsidRPr="00B07D02">
        <w:t>The FEIR evaluates the potential for Proposed Project emissions to expose sensitive receptors to substantial pollutant concentrations.</w:t>
      </w:r>
      <w:r w:rsidRPr="00BF759D">
        <w:t xml:space="preserve"> </w:t>
      </w:r>
      <w:r w:rsidRPr="00B07D02">
        <w:t xml:space="preserve">The SLOCAPCD has defined the excess cancer risk significance threshold as a cancer risk of 10 in a </w:t>
      </w:r>
      <w:r w:rsidRPr="00B07D02">
        <w:lastRenderedPageBreak/>
        <w:t>million or less, and an acute hazard</w:t>
      </w:r>
      <w:r w:rsidRPr="00BF759D">
        <w:t xml:space="preserve"> </w:t>
      </w:r>
      <w:r w:rsidRPr="00B07D02">
        <w:t>index</w:t>
      </w:r>
      <w:r w:rsidRPr="00BF759D">
        <w:t xml:space="preserve"> </w:t>
      </w:r>
      <w:r w:rsidRPr="00B07D02">
        <w:t>of</w:t>
      </w:r>
      <w:r w:rsidRPr="00BF759D">
        <w:t xml:space="preserve"> </w:t>
      </w:r>
      <w:r w:rsidRPr="00B07D02">
        <w:t>1</w:t>
      </w:r>
      <w:r w:rsidRPr="00BF759D">
        <w:t xml:space="preserve"> </w:t>
      </w:r>
      <w:r w:rsidR="00AA1FF7">
        <w:t xml:space="preserve">in a million </w:t>
      </w:r>
      <w:r w:rsidRPr="00B07D02">
        <w:t>or</w:t>
      </w:r>
      <w:r w:rsidRPr="00BF759D">
        <w:t xml:space="preserve"> </w:t>
      </w:r>
      <w:r w:rsidRPr="00B07D02">
        <w:t>less.</w:t>
      </w:r>
      <w:r w:rsidRPr="00BF759D">
        <w:t xml:space="preserve"> </w:t>
      </w:r>
      <w:r w:rsidRPr="00B07D02">
        <w:t>The</w:t>
      </w:r>
      <w:r w:rsidRPr="00BF759D">
        <w:t xml:space="preserve"> </w:t>
      </w:r>
      <w:r w:rsidRPr="00B07D02">
        <w:t>FEIR</w:t>
      </w:r>
      <w:r w:rsidRPr="00BF759D">
        <w:t xml:space="preserve"> </w:t>
      </w:r>
      <w:r w:rsidRPr="00B07D02">
        <w:t>finds</w:t>
      </w:r>
      <w:r w:rsidRPr="00BF759D">
        <w:t xml:space="preserve"> </w:t>
      </w:r>
      <w:r w:rsidRPr="00B07D02">
        <w:t>that</w:t>
      </w:r>
      <w:r w:rsidRPr="00BF759D">
        <w:t xml:space="preserve"> </w:t>
      </w:r>
      <w:r w:rsidRPr="00B07D02">
        <w:t>human</w:t>
      </w:r>
      <w:r w:rsidRPr="00BF759D">
        <w:t xml:space="preserve"> </w:t>
      </w:r>
      <w:r w:rsidRPr="00B07D02">
        <w:t>health</w:t>
      </w:r>
      <w:r w:rsidRPr="00BF759D">
        <w:t xml:space="preserve"> </w:t>
      </w:r>
      <w:r w:rsidRPr="00B07D02">
        <w:t>impacts</w:t>
      </w:r>
      <w:r w:rsidRPr="00BF759D">
        <w:t xml:space="preserve"> </w:t>
      </w:r>
      <w:r w:rsidRPr="00B07D02">
        <w:t>from construction-related DPM and other toxic air contaminant (TAC) emissions would be</w:t>
      </w:r>
      <w:r w:rsidRPr="00BF759D">
        <w:t xml:space="preserve"> </w:t>
      </w:r>
      <w:r w:rsidRPr="00B07D02">
        <w:t>relatively limited due to the short construction duration and the sparsely populated area surrounding the Proposed Project site.</w:t>
      </w:r>
      <w:r w:rsidRPr="00BF759D">
        <w:rPr>
          <w:position w:val="8"/>
          <w:sz w:val="14"/>
        </w:rPr>
        <w:t xml:space="preserve"> </w:t>
      </w:r>
    </w:p>
    <w:p w:rsidRPr="00B07D02" w:rsidR="00584854" w:rsidP="00831FAB" w:rsidRDefault="00584854" w14:paraId="48F7BCDC" w14:textId="4226788E">
      <w:pPr>
        <w:pStyle w:val="Standard"/>
        <w:rPr>
          <w:sz w:val="14"/>
        </w:rPr>
      </w:pPr>
      <w:r w:rsidRPr="00B07D02">
        <w:t>The FEIR also documents detailed consideration of two</w:t>
      </w:r>
      <w:r w:rsidRPr="00BF759D">
        <w:t xml:space="preserve"> </w:t>
      </w:r>
      <w:r w:rsidRPr="00B07D02">
        <w:t>health risk assessments—one submitted by CURE and one submitted by Applicants.</w:t>
      </w:r>
      <w:r w:rsidRPr="00B07D02">
        <w:rPr>
          <w:rStyle w:val="FootnoteReference"/>
        </w:rPr>
        <w:footnoteReference w:id="65"/>
      </w:r>
      <w:r w:rsidRPr="00BF759D">
        <w:rPr>
          <w:position w:val="8"/>
          <w:sz w:val="14"/>
        </w:rPr>
        <w:t xml:space="preserve"> </w:t>
      </w:r>
      <w:r w:rsidRPr="00B07D02">
        <w:t>The FEIR conservatively concludes that a few</w:t>
      </w:r>
      <w:r w:rsidRPr="00BF759D">
        <w:t xml:space="preserve"> </w:t>
      </w:r>
      <w:r w:rsidRPr="00B07D02">
        <w:t>receptors located close</w:t>
      </w:r>
      <w:r w:rsidRPr="00BF759D">
        <w:t xml:space="preserve"> </w:t>
      </w:r>
      <w:r w:rsidRPr="00B07D02">
        <w:t>to the</w:t>
      </w:r>
      <w:r w:rsidRPr="00BF759D">
        <w:t xml:space="preserve"> Proposed </w:t>
      </w:r>
      <w:r w:rsidRPr="00B07D02">
        <w:t xml:space="preserve">Project construction areas, in particular the Estrella Substation area, </w:t>
      </w:r>
      <w:r w:rsidR="002273BE">
        <w:t>m</w:t>
      </w:r>
      <w:r w:rsidR="00325E91">
        <w:t>ay</w:t>
      </w:r>
      <w:r w:rsidR="002273BE">
        <w:t xml:space="preserve"> </w:t>
      </w:r>
      <w:r w:rsidRPr="00B07D02">
        <w:t xml:space="preserve">experience increased TACs which </w:t>
      </w:r>
      <w:r w:rsidR="002273BE">
        <w:t>m</w:t>
      </w:r>
      <w:r w:rsidR="00325E91">
        <w:t>ay</w:t>
      </w:r>
      <w:r w:rsidR="002273BE">
        <w:t xml:space="preserve"> </w:t>
      </w:r>
      <w:r w:rsidRPr="00B07D02">
        <w:t>lead to adverse health impacts, and finds that this impact would be significant.</w:t>
      </w:r>
      <w:r w:rsidRPr="00B07D02">
        <w:rPr>
          <w:sz w:val="14"/>
        </w:rPr>
        <w:t xml:space="preserve"> </w:t>
      </w:r>
    </w:p>
    <w:p w:rsidRPr="00B07D02" w:rsidR="00584854" w:rsidP="00831FAB" w:rsidRDefault="00584854" w14:paraId="63152673" w14:textId="5E1FEE6F">
      <w:pPr>
        <w:pStyle w:val="Standard"/>
        <w:rPr>
          <w:sz w:val="14"/>
        </w:rPr>
      </w:pPr>
      <w:r w:rsidRPr="00B07D02">
        <w:t>The FEIR also finds that the potential for Coccidioidomycosis cases, a fungal infection</w:t>
      </w:r>
      <w:r w:rsidRPr="00BF759D">
        <w:t xml:space="preserve"> </w:t>
      </w:r>
      <w:r w:rsidRPr="00B07D02">
        <w:t>often</w:t>
      </w:r>
      <w:r w:rsidRPr="00BF759D">
        <w:t xml:space="preserve"> </w:t>
      </w:r>
      <w:r w:rsidRPr="00B07D02">
        <w:t>referred</w:t>
      </w:r>
      <w:r w:rsidRPr="00BF759D">
        <w:t xml:space="preserve"> </w:t>
      </w:r>
      <w:r w:rsidRPr="00B07D02">
        <w:t>to</w:t>
      </w:r>
      <w:r w:rsidRPr="00BF759D">
        <w:t xml:space="preserve"> </w:t>
      </w:r>
      <w:r w:rsidRPr="00B07D02">
        <w:t>as</w:t>
      </w:r>
      <w:r w:rsidRPr="00BF759D">
        <w:t xml:space="preserve"> </w:t>
      </w:r>
      <w:r w:rsidRPr="00B07D02">
        <w:t>Valley</w:t>
      </w:r>
      <w:r w:rsidRPr="00BF759D">
        <w:t xml:space="preserve"> </w:t>
      </w:r>
      <w:r w:rsidRPr="00B07D02">
        <w:t>Fever,</w:t>
      </w:r>
      <w:r w:rsidRPr="00BF759D">
        <w:t xml:space="preserve"> </w:t>
      </w:r>
      <w:r w:rsidRPr="00B07D02">
        <w:t>associated</w:t>
      </w:r>
      <w:r w:rsidRPr="00BF759D">
        <w:t xml:space="preserve"> </w:t>
      </w:r>
      <w:r w:rsidRPr="00B07D02">
        <w:t>with</w:t>
      </w:r>
      <w:r w:rsidRPr="00BF759D">
        <w:t xml:space="preserve"> </w:t>
      </w:r>
      <w:r w:rsidR="00D808D7">
        <w:t xml:space="preserve">Proposed </w:t>
      </w:r>
      <w:r w:rsidRPr="00B07D02">
        <w:t>Project</w:t>
      </w:r>
      <w:r w:rsidRPr="00BF759D">
        <w:t xml:space="preserve"> </w:t>
      </w:r>
      <w:r w:rsidRPr="00B07D02">
        <w:t>construction</w:t>
      </w:r>
      <w:r w:rsidRPr="00BF759D">
        <w:t xml:space="preserve"> </w:t>
      </w:r>
      <w:r w:rsidRPr="00B07D02">
        <w:t>is</w:t>
      </w:r>
      <w:r w:rsidRPr="00BF759D">
        <w:t xml:space="preserve"> </w:t>
      </w:r>
      <w:r w:rsidRPr="00B07D02">
        <w:t>high</w:t>
      </w:r>
      <w:r w:rsidRPr="00BF759D">
        <w:t xml:space="preserve"> </w:t>
      </w:r>
      <w:r w:rsidRPr="00B07D02">
        <w:t>given</w:t>
      </w:r>
      <w:r w:rsidRPr="00BF759D">
        <w:t xml:space="preserve"> </w:t>
      </w:r>
      <w:r w:rsidRPr="00B07D02">
        <w:t>that San Luis Obispo County has some of the highest incidence rates in the state.</w:t>
      </w:r>
      <w:r w:rsidRPr="00B07D02">
        <w:rPr>
          <w:rStyle w:val="FootnoteReference"/>
        </w:rPr>
        <w:footnoteReference w:id="66"/>
      </w:r>
      <w:r w:rsidRPr="00BF759D">
        <w:rPr>
          <w:position w:val="8"/>
          <w:sz w:val="14"/>
        </w:rPr>
        <w:t xml:space="preserve"> </w:t>
      </w:r>
      <w:r w:rsidRPr="00B07D02">
        <w:t>Valley Fever varies with the season and most commonly affects people who live in hot dry areas with alkaline soil.</w:t>
      </w:r>
      <w:r w:rsidRPr="00BF759D">
        <w:t xml:space="preserve"> </w:t>
      </w:r>
      <w:r w:rsidRPr="00B07D02">
        <w:t>Valley Fever affects both humans and animals and is caused by inhalation of arthroconidia (spores)</w:t>
      </w:r>
      <w:r w:rsidRPr="00BF759D">
        <w:t xml:space="preserve"> </w:t>
      </w:r>
      <w:r w:rsidRPr="00B07D02">
        <w:t>of</w:t>
      </w:r>
      <w:r w:rsidRPr="00BF759D">
        <w:t xml:space="preserve"> </w:t>
      </w:r>
      <w:r w:rsidRPr="00B07D02">
        <w:t>the</w:t>
      </w:r>
      <w:r w:rsidRPr="00BF759D">
        <w:t xml:space="preserve"> </w:t>
      </w:r>
      <w:r w:rsidRPr="00B07D02">
        <w:t>fungus</w:t>
      </w:r>
      <w:r w:rsidRPr="00BF759D">
        <w:t xml:space="preserve"> </w:t>
      </w:r>
      <w:r w:rsidRPr="00B07D02">
        <w:rPr>
          <w:i/>
        </w:rPr>
        <w:t>Coccidioides</w:t>
      </w:r>
      <w:r w:rsidRPr="00BF759D">
        <w:rPr>
          <w:i/>
        </w:rPr>
        <w:t xml:space="preserve"> </w:t>
      </w:r>
      <w:proofErr w:type="spellStart"/>
      <w:r w:rsidRPr="00B07D02">
        <w:rPr>
          <w:i/>
        </w:rPr>
        <w:t>immitis</w:t>
      </w:r>
      <w:proofErr w:type="spellEnd"/>
      <w:r w:rsidRPr="00B07D02">
        <w:t>,</w:t>
      </w:r>
      <w:r w:rsidRPr="00BF759D">
        <w:t xml:space="preserve"> </w:t>
      </w:r>
      <w:r w:rsidRPr="00B07D02">
        <w:t>which are</w:t>
      </w:r>
      <w:r w:rsidRPr="00BF759D">
        <w:t xml:space="preserve"> </w:t>
      </w:r>
      <w:r w:rsidRPr="00B07D02">
        <w:t>found in</w:t>
      </w:r>
      <w:r w:rsidRPr="00BF759D">
        <w:t xml:space="preserve"> </w:t>
      </w:r>
      <w:r w:rsidRPr="00B07D02">
        <w:t>the</w:t>
      </w:r>
      <w:r w:rsidRPr="00BF759D">
        <w:t xml:space="preserve"> </w:t>
      </w:r>
      <w:r w:rsidRPr="00B07D02">
        <w:t>top few inches</w:t>
      </w:r>
      <w:r w:rsidRPr="00BF759D">
        <w:t xml:space="preserve"> </w:t>
      </w:r>
      <w:r w:rsidRPr="00B07D02">
        <w:t>of</w:t>
      </w:r>
      <w:r w:rsidRPr="00BF759D">
        <w:t xml:space="preserve"> </w:t>
      </w:r>
      <w:r w:rsidRPr="00B07D02">
        <w:t>soil</w:t>
      </w:r>
      <w:r w:rsidR="00D808D7">
        <w:t>,</w:t>
      </w:r>
      <w:r w:rsidRPr="00BF759D">
        <w:t xml:space="preserve"> </w:t>
      </w:r>
      <w:r w:rsidRPr="00B07D02">
        <w:t>and</w:t>
      </w:r>
      <w:r w:rsidRPr="00BF759D">
        <w:t xml:space="preserve"> </w:t>
      </w:r>
      <w:r w:rsidRPr="00B07D02">
        <w:t>the existence of the fungus in most soil areas is temporary.</w:t>
      </w:r>
      <w:r w:rsidRPr="00BF759D">
        <w:t xml:space="preserve"> </w:t>
      </w:r>
      <w:r w:rsidRPr="00B07D02">
        <w:t>When weather and moisture conditions are favorable, the fungus “blooms” and forms many tiny spores that lie dormant in the soil until they are stirred up by wind, vehicles, excavation, or other ground-disturbing activities and become airborne.</w:t>
      </w:r>
      <w:r w:rsidRPr="00BF759D">
        <w:t xml:space="preserve"> </w:t>
      </w:r>
      <w:r w:rsidRPr="00B07D02">
        <w:t xml:space="preserve">Agricultural workers, construction workers, and other </w:t>
      </w:r>
      <w:r w:rsidRPr="00B07D02">
        <w:lastRenderedPageBreak/>
        <w:t>people who are</w:t>
      </w:r>
      <w:r w:rsidRPr="00BF759D">
        <w:t xml:space="preserve"> </w:t>
      </w:r>
      <w:r w:rsidRPr="00B07D02">
        <w:t>outdoors and are exposed to wind, dust, and disturbed topsoil are at an elevated risk of contracting Valley Fever. Regulations of the California Occupational Safety and Health Administration address worker health and safety issues related to Valley Fever.</w:t>
      </w:r>
      <w:r w:rsidRPr="00BF759D">
        <w:t xml:space="preserve"> </w:t>
      </w:r>
      <w:r w:rsidRPr="00B07D02">
        <w:t>There is the potential even after implementation of the fugitive dust mitigation measures for spores to reach nearby sensitive receptors.</w:t>
      </w:r>
      <w:r w:rsidRPr="00BF759D">
        <w:t xml:space="preserve"> </w:t>
      </w:r>
      <w:r w:rsidRPr="00B07D02">
        <w:t xml:space="preserve">Because Valley Fever is endemic to the area, nearby sensitive receptors </w:t>
      </w:r>
      <w:r w:rsidR="002273BE">
        <w:t>m</w:t>
      </w:r>
      <w:r w:rsidR="00325E91">
        <w:t>ay</w:t>
      </w:r>
      <w:r w:rsidR="002273BE">
        <w:t xml:space="preserve"> </w:t>
      </w:r>
      <w:r w:rsidRPr="00B07D02">
        <w:t>already have developed immunity.</w:t>
      </w:r>
      <w:r w:rsidRPr="00B07D02">
        <w:rPr>
          <w:rStyle w:val="FootnoteReference"/>
        </w:rPr>
        <w:footnoteReference w:id="67"/>
      </w:r>
      <w:r w:rsidRPr="00B07D02">
        <w:rPr>
          <w:sz w:val="14"/>
        </w:rPr>
        <w:t xml:space="preserve"> </w:t>
      </w:r>
    </w:p>
    <w:p w:rsidR="0052563D" w:rsidP="00831FAB" w:rsidRDefault="00584854" w14:paraId="434C1D66" w14:textId="77777777">
      <w:pPr>
        <w:pStyle w:val="Standard"/>
      </w:pPr>
      <w:r w:rsidRPr="00B07D02">
        <w:t>MM AQ-1, which incorporates the APMs and establishes more stringent requirements related to air quality, would substantially lessen the DPM emissions that occur on the Proposed Project site during construction due to the use of diesel particulate filters and Tier</w:t>
      </w:r>
      <w:r w:rsidRPr="00BF759D">
        <w:t xml:space="preserve"> </w:t>
      </w:r>
      <w:r w:rsidRPr="00B07D02">
        <w:t>4 final engines to the extent feasible.</w:t>
      </w:r>
      <w:r w:rsidRPr="00BF759D">
        <w:t xml:space="preserve"> </w:t>
      </w:r>
      <w:r w:rsidRPr="00B07D02">
        <w:t>Even with this mitigation, however, the impact would remain significant.</w:t>
      </w:r>
      <w:r w:rsidRPr="00BF759D">
        <w:t xml:space="preserve"> </w:t>
      </w:r>
      <w:r w:rsidRPr="00B07D02">
        <w:t xml:space="preserve">To mitigate impacts from Valley Fever, the </w:t>
      </w:r>
      <w:r w:rsidR="00FE39BE">
        <w:t>FEIR</w:t>
      </w:r>
      <w:r w:rsidRPr="00B07D02">
        <w:t xml:space="preserve"> adds MM AQ-2, which requires the Applicants, prior to the start of construction, to draft a Valley Fever Management</w:t>
      </w:r>
      <w:r w:rsidRPr="00BF759D">
        <w:t xml:space="preserve"> </w:t>
      </w:r>
      <w:r w:rsidRPr="00B07D02">
        <w:t>Plan,</w:t>
      </w:r>
      <w:r w:rsidRPr="00BF759D">
        <w:t xml:space="preserve"> </w:t>
      </w:r>
      <w:r w:rsidRPr="00B07D02">
        <w:t>consult</w:t>
      </w:r>
      <w:r w:rsidRPr="00BF759D">
        <w:t xml:space="preserve"> </w:t>
      </w:r>
      <w:r w:rsidRPr="00B07D02">
        <w:t>with</w:t>
      </w:r>
      <w:r w:rsidRPr="00BF759D">
        <w:t xml:space="preserve"> </w:t>
      </w:r>
      <w:r w:rsidRPr="00B07D02">
        <w:t>the</w:t>
      </w:r>
      <w:r w:rsidRPr="00BF759D">
        <w:t xml:space="preserve"> </w:t>
      </w:r>
      <w:r w:rsidRPr="00B07D02">
        <w:t>California</w:t>
      </w:r>
      <w:r w:rsidRPr="00BF759D">
        <w:t xml:space="preserve"> </w:t>
      </w:r>
      <w:r w:rsidRPr="00B07D02">
        <w:t>Department</w:t>
      </w:r>
      <w:r w:rsidRPr="00BF759D">
        <w:t xml:space="preserve"> </w:t>
      </w:r>
      <w:r w:rsidRPr="00B07D02">
        <w:t>of</w:t>
      </w:r>
      <w:r w:rsidRPr="00BF759D">
        <w:t xml:space="preserve"> </w:t>
      </w:r>
      <w:r w:rsidRPr="00B07D02">
        <w:t>Public</w:t>
      </w:r>
      <w:r w:rsidRPr="00BF759D">
        <w:t xml:space="preserve"> </w:t>
      </w:r>
      <w:r w:rsidRPr="00B07D02">
        <w:t>Health</w:t>
      </w:r>
      <w:r w:rsidRPr="00BF759D">
        <w:t xml:space="preserve"> </w:t>
      </w:r>
      <w:r w:rsidRPr="00B07D02">
        <w:t>and</w:t>
      </w:r>
      <w:r w:rsidRPr="00BF759D">
        <w:t xml:space="preserve"> the </w:t>
      </w:r>
      <w:bookmarkStart w:name="_bookmark92" w:id="139"/>
      <w:bookmarkStart w:name="_bookmark97" w:id="140"/>
      <w:bookmarkEnd w:id="139"/>
      <w:bookmarkEnd w:id="140"/>
      <w:r w:rsidRPr="00B07D02">
        <w:t>San Luis Obispo Department of Public Health regarding Valley Fever best mitigation practices and implement all such feasible measures recommended by these agencies.</w:t>
      </w:r>
      <w:r w:rsidRPr="00BF759D">
        <w:t xml:space="preserve"> </w:t>
      </w:r>
    </w:p>
    <w:p w:rsidRPr="00B07D02" w:rsidR="00584854" w:rsidP="00831FAB" w:rsidRDefault="00584854" w14:paraId="3D710483" w14:textId="190A82E4">
      <w:pPr>
        <w:pStyle w:val="Standard"/>
        <w:rPr>
          <w:sz w:val="14"/>
        </w:rPr>
      </w:pPr>
      <w:r w:rsidRPr="00B07D02">
        <w:t>These measures will require site plans and work practices that reduce workers’ exposure to minimize primary exposure and secondary dispersal to the community from contaminated workers or equipment.</w:t>
      </w:r>
      <w:r w:rsidRPr="00BF759D">
        <w:t xml:space="preserve"> </w:t>
      </w:r>
      <w:r w:rsidRPr="00B07D02">
        <w:t>Measures also will be required to reduce transportation of spores offsite.</w:t>
      </w:r>
      <w:r w:rsidRPr="00BF759D">
        <w:rPr>
          <w:position w:val="8"/>
          <w:sz w:val="14"/>
        </w:rPr>
        <w:t xml:space="preserve"> </w:t>
      </w:r>
      <w:r w:rsidRPr="00B07D02">
        <w:t xml:space="preserve">Since spores often become airborne or are contained in fugitive dust, mitigation measures aimed at </w:t>
      </w:r>
      <w:r w:rsidRPr="00B07D02">
        <w:lastRenderedPageBreak/>
        <w:t>controlling fugitive dust will decrease the number of spores that can become airborne.</w:t>
      </w:r>
      <w:r w:rsidRPr="00B07D02">
        <w:rPr>
          <w:sz w:val="14"/>
        </w:rPr>
        <w:t xml:space="preserve"> </w:t>
      </w:r>
    </w:p>
    <w:p w:rsidRPr="00B07D02" w:rsidR="00584854" w:rsidP="00831FAB" w:rsidRDefault="00584854" w14:paraId="33C6DD4C" w14:textId="77777777">
      <w:pPr>
        <w:pStyle w:val="Standard"/>
      </w:pPr>
      <w:r w:rsidRPr="00B07D02">
        <w:t>Through MM AQ-1 and MM AQ-2, changes are required in, or incorporated into, the Proposed Project that substantially lessen impacts of the Proposed Project’s pollutant emissions on sensitive receptors.</w:t>
      </w:r>
      <w:r w:rsidRPr="00BF759D">
        <w:t xml:space="preserve"> </w:t>
      </w:r>
      <w:r w:rsidRPr="00B07D02">
        <w:t>The Proposed Project’s pollutant emissions could, however, still potentially expose sensitive receptors to substantial pollutant concentrations and could result in a significant impact during the construction period even after implementation of mitigation measures. The</w:t>
      </w:r>
      <w:r w:rsidRPr="00BF759D">
        <w:t xml:space="preserve"> </w:t>
      </w:r>
      <w:r w:rsidRPr="00B07D02">
        <w:t>potential for these effects exists only during</w:t>
      </w:r>
      <w:r w:rsidRPr="00BF759D">
        <w:t xml:space="preserve"> </w:t>
      </w:r>
      <w:r w:rsidRPr="00B07D02">
        <w:t xml:space="preserve">the construction period, however, and thus would be </w:t>
      </w:r>
      <w:r w:rsidRPr="00BF759D">
        <w:t>temporary.</w:t>
      </w:r>
    </w:p>
    <w:p w:rsidRPr="00B07D02" w:rsidR="00584854" w:rsidP="0092159B" w:rsidRDefault="00584854" w14:paraId="6F247FED" w14:textId="77777777">
      <w:pPr>
        <w:pStyle w:val="ListNum"/>
        <w:rPr>
          <w:i/>
          <w:szCs w:val="26"/>
        </w:rPr>
      </w:pPr>
      <w:r w:rsidRPr="002273BE">
        <w:rPr>
          <w:bCs/>
          <w:szCs w:val="26"/>
          <w:u w:val="single"/>
        </w:rPr>
        <w:t xml:space="preserve">Noise and </w:t>
      </w:r>
      <w:r w:rsidRPr="002273BE">
        <w:rPr>
          <w:bCs/>
          <w:u w:val="single"/>
        </w:rPr>
        <w:t>Vibration</w:t>
      </w:r>
      <w:r w:rsidRPr="002273BE">
        <w:rPr>
          <w:bCs/>
          <w:szCs w:val="26"/>
          <w:u w:val="single"/>
        </w:rPr>
        <w:t>: Impact NOISE-1</w:t>
      </w:r>
      <w:r w:rsidRPr="002273BE">
        <w:rPr>
          <w:bCs/>
          <w:szCs w:val="26"/>
        </w:rPr>
        <w:t>: Generation</w:t>
      </w:r>
      <w:r w:rsidRPr="00B07D02">
        <w:rPr>
          <w:szCs w:val="26"/>
        </w:rPr>
        <w:t xml:space="preserve"> of a substantial temporary or permanent increase in ambient noise levels in the vicinity of the project in excess of standards established in a local general plan or noise ordinance or in the applicable standards of other agencies – </w:t>
      </w:r>
      <w:r w:rsidRPr="00B07D02">
        <w:rPr>
          <w:i/>
          <w:szCs w:val="26"/>
        </w:rPr>
        <w:t>Significant and Unavoidable</w:t>
      </w:r>
    </w:p>
    <w:p w:rsidRPr="00B07D02" w:rsidR="00584854" w:rsidP="009652C8" w:rsidRDefault="00584854" w14:paraId="25A407C2" w14:textId="70C02559">
      <w:pPr>
        <w:pStyle w:val="Standard"/>
        <w:spacing w:before="240"/>
      </w:pPr>
      <w:r w:rsidRPr="00B07D02">
        <w:t xml:space="preserve">The FEIR finds that the helicopters that </w:t>
      </w:r>
      <w:r w:rsidR="002273BE">
        <w:t>m</w:t>
      </w:r>
      <w:r w:rsidR="00325E91">
        <w:t>ay</w:t>
      </w:r>
      <w:r w:rsidR="002273BE">
        <w:t xml:space="preserve"> </w:t>
      </w:r>
      <w:r w:rsidRPr="00B07D02">
        <w:t>be used to install power line poles and replace transmission towers when the use of cranes is not feasible would create noise at levels that could result in significant impacts for nearby sensitive receptors.</w:t>
      </w:r>
      <w:r w:rsidRPr="00BF759D">
        <w:t xml:space="preserve"> </w:t>
      </w:r>
      <w:r w:rsidRPr="00B07D02">
        <w:t>The noise would be greatest within 1,427 feet of the helicopter landing zones and installation sites, where it would exceed the noise threshold of 90</w:t>
      </w:r>
      <w:r w:rsidRPr="00BF759D">
        <w:t xml:space="preserve"> </w:t>
      </w:r>
      <w:r w:rsidRPr="00B07D02">
        <w:t>A-weighted decibels (dBA).</w:t>
      </w:r>
      <w:r w:rsidRPr="00BF759D">
        <w:t xml:space="preserve"> </w:t>
      </w:r>
      <w:r w:rsidRPr="00B07D02">
        <w:t>Thus, all sensitive</w:t>
      </w:r>
      <w:r w:rsidRPr="00BF759D">
        <w:t xml:space="preserve"> </w:t>
      </w:r>
      <w:r w:rsidRPr="00B07D02">
        <w:t>receptors</w:t>
      </w:r>
      <w:r w:rsidRPr="00BF759D">
        <w:t xml:space="preserve"> </w:t>
      </w:r>
      <w:r w:rsidRPr="00B07D02">
        <w:t>within</w:t>
      </w:r>
      <w:r w:rsidRPr="00BF759D">
        <w:t xml:space="preserve"> </w:t>
      </w:r>
      <w:r w:rsidRPr="00B07D02">
        <w:t>1,427</w:t>
      </w:r>
      <w:r w:rsidR="002273BE">
        <w:t> </w:t>
      </w:r>
      <w:r w:rsidRPr="00B07D02">
        <w:t>feet</w:t>
      </w:r>
      <w:r w:rsidRPr="00BF759D">
        <w:t xml:space="preserve"> </w:t>
      </w:r>
      <w:r w:rsidRPr="00B07D02">
        <w:t>of</w:t>
      </w:r>
      <w:r w:rsidRPr="00BF759D">
        <w:t xml:space="preserve"> </w:t>
      </w:r>
      <w:r w:rsidRPr="00B07D02">
        <w:t>helicopter</w:t>
      </w:r>
      <w:r w:rsidRPr="00BF759D">
        <w:t xml:space="preserve"> </w:t>
      </w:r>
      <w:r w:rsidRPr="00B07D02">
        <w:t>landing</w:t>
      </w:r>
      <w:r w:rsidRPr="00BF759D">
        <w:t xml:space="preserve"> </w:t>
      </w:r>
      <w:r w:rsidRPr="00B07D02">
        <w:t>zones</w:t>
      </w:r>
      <w:r w:rsidRPr="00BF759D">
        <w:t xml:space="preserve"> </w:t>
      </w:r>
      <w:r w:rsidRPr="00B07D02">
        <w:t>or</w:t>
      </w:r>
      <w:r w:rsidRPr="00BF759D">
        <w:t xml:space="preserve"> </w:t>
      </w:r>
      <w:r w:rsidRPr="00B07D02">
        <w:t>pole</w:t>
      </w:r>
      <w:r w:rsidRPr="00BF759D">
        <w:t xml:space="preserve"> </w:t>
      </w:r>
      <w:r w:rsidRPr="00B07D02">
        <w:t>installation</w:t>
      </w:r>
      <w:r w:rsidRPr="00BF759D">
        <w:t xml:space="preserve"> </w:t>
      </w:r>
      <w:r w:rsidRPr="00B07D02">
        <w:t>sites</w:t>
      </w:r>
      <w:r w:rsidRPr="00BF759D">
        <w:t xml:space="preserve"> would </w:t>
      </w:r>
      <w:bookmarkStart w:name="_bookmark95" w:id="141"/>
      <w:bookmarkEnd w:id="141"/>
      <w:r w:rsidRPr="00B07D02">
        <w:t>be subjected to noise levels exceeding the recommended significance threshold.</w:t>
      </w:r>
      <w:r w:rsidRPr="00BF759D">
        <w:t xml:space="preserve"> </w:t>
      </w:r>
      <w:r w:rsidRPr="00B07D02">
        <w:t>Likewise, all sensitive</w:t>
      </w:r>
      <w:r w:rsidRPr="00BF759D">
        <w:t xml:space="preserve"> </w:t>
      </w:r>
      <w:r w:rsidRPr="00B07D02">
        <w:t>receptors along or</w:t>
      </w:r>
      <w:r w:rsidRPr="00BF759D">
        <w:t xml:space="preserve"> </w:t>
      </w:r>
      <w:r w:rsidRPr="00B07D02">
        <w:t>within 1,304 feet of</w:t>
      </w:r>
      <w:r w:rsidRPr="00BF759D">
        <w:t xml:space="preserve"> </w:t>
      </w:r>
      <w:r w:rsidRPr="00B07D02">
        <w:t>the</w:t>
      </w:r>
      <w:r w:rsidRPr="00BF759D">
        <w:t xml:space="preserve"> </w:t>
      </w:r>
      <w:r w:rsidRPr="00B07D02">
        <w:t>flight path would be</w:t>
      </w:r>
      <w:r w:rsidRPr="00BF759D">
        <w:t xml:space="preserve"> </w:t>
      </w:r>
      <w:r w:rsidRPr="00B07D02">
        <w:t>subject to flight noise</w:t>
      </w:r>
      <w:r w:rsidRPr="00BF759D">
        <w:t xml:space="preserve"> </w:t>
      </w:r>
      <w:r w:rsidRPr="00B07D02">
        <w:t>in excess of the standard.</w:t>
      </w:r>
      <w:r w:rsidRPr="00BF759D">
        <w:t xml:space="preserve"> </w:t>
      </w:r>
      <w:r w:rsidRPr="00B07D02">
        <w:t>Noise impacts associated with ground-level idling and hovering above ground would be reduced, comparatively.</w:t>
      </w:r>
      <w:r w:rsidRPr="00BF759D">
        <w:t xml:space="preserve"> </w:t>
      </w:r>
      <w:r w:rsidRPr="00B07D02">
        <w:t xml:space="preserve">The most severe impacts associated with helicopter activities would be those along </w:t>
      </w:r>
      <w:r w:rsidRPr="00B07D02">
        <w:lastRenderedPageBreak/>
        <w:t>the reconductoring segment, where there are numerous residences in close proximity to the existing 70</w:t>
      </w:r>
      <w:r w:rsidR="00DC5A1D">
        <w:t> kV</w:t>
      </w:r>
      <w:r w:rsidRPr="00B07D02">
        <w:t xml:space="preserve"> power line and construction work areas.</w:t>
      </w:r>
      <w:r w:rsidRPr="00BF759D">
        <w:t xml:space="preserve"> </w:t>
      </w:r>
      <w:r w:rsidRPr="00B07D02">
        <w:t>The FEIR finds that the helicopters’ exceedance of applicable noise standards constitutes a significant and unavoidable impact.</w:t>
      </w:r>
    </w:p>
    <w:p w:rsidRPr="00B07D02" w:rsidR="00584854" w:rsidP="00831FAB" w:rsidRDefault="00584854" w14:paraId="20CA5214" w14:textId="77777777">
      <w:pPr>
        <w:pStyle w:val="Standard"/>
        <w:rPr>
          <w:sz w:val="14"/>
        </w:rPr>
      </w:pPr>
      <w:r w:rsidRPr="00B07D02">
        <w:t>APM AG-1 requires the Applicants to provide advance notice of construction</w:t>
      </w:r>
      <w:r w:rsidRPr="00BF759D">
        <w:t xml:space="preserve"> </w:t>
      </w:r>
      <w:r w:rsidRPr="00B07D02">
        <w:t>activities</w:t>
      </w:r>
      <w:r w:rsidRPr="00BF759D">
        <w:t xml:space="preserve"> </w:t>
      </w:r>
      <w:r w:rsidRPr="00B07D02">
        <w:t>to</w:t>
      </w:r>
      <w:r w:rsidRPr="00BF759D">
        <w:t xml:space="preserve"> </w:t>
      </w:r>
      <w:r w:rsidRPr="00B07D02">
        <w:t>all</w:t>
      </w:r>
      <w:r w:rsidRPr="00BF759D">
        <w:t xml:space="preserve"> </w:t>
      </w:r>
      <w:r w:rsidRPr="00B07D02">
        <w:t>properties</w:t>
      </w:r>
      <w:r w:rsidRPr="00BF759D">
        <w:t xml:space="preserve"> </w:t>
      </w:r>
      <w:r w:rsidRPr="00B07D02">
        <w:t>within</w:t>
      </w:r>
      <w:r w:rsidRPr="00BF759D">
        <w:t xml:space="preserve"> </w:t>
      </w:r>
      <w:r w:rsidRPr="00B07D02">
        <w:t>300</w:t>
      </w:r>
      <w:r w:rsidRPr="00BF759D">
        <w:t xml:space="preserve"> </w:t>
      </w:r>
      <w:r w:rsidRPr="00B07D02">
        <w:t>feet</w:t>
      </w:r>
      <w:r w:rsidRPr="00BF759D">
        <w:t xml:space="preserve"> </w:t>
      </w:r>
      <w:r w:rsidRPr="00B07D02">
        <w:t>of</w:t>
      </w:r>
      <w:r w:rsidRPr="00BF759D">
        <w:t xml:space="preserve"> </w:t>
      </w:r>
      <w:r w:rsidRPr="00B07D02">
        <w:t>the</w:t>
      </w:r>
      <w:r w:rsidRPr="00BF759D">
        <w:t xml:space="preserve"> </w:t>
      </w:r>
      <w:r w:rsidRPr="00B07D02">
        <w:t>substation</w:t>
      </w:r>
      <w:r w:rsidRPr="00BF759D">
        <w:t xml:space="preserve"> </w:t>
      </w:r>
      <w:r w:rsidRPr="00B07D02">
        <w:t>or</w:t>
      </w:r>
      <w:r w:rsidRPr="00BF759D">
        <w:t xml:space="preserve"> </w:t>
      </w:r>
      <w:r w:rsidRPr="00B07D02">
        <w:t>power</w:t>
      </w:r>
      <w:r w:rsidRPr="00BF759D">
        <w:t xml:space="preserve"> </w:t>
      </w:r>
      <w:r w:rsidRPr="00B07D02">
        <w:t>line</w:t>
      </w:r>
      <w:r w:rsidRPr="00BF759D">
        <w:t xml:space="preserve"> </w:t>
      </w:r>
      <w:r w:rsidRPr="00B07D02">
        <w:t>route.</w:t>
      </w:r>
      <w:r w:rsidRPr="00BF759D">
        <w:t xml:space="preserve"> </w:t>
      </w:r>
      <w:r w:rsidRPr="00B07D02">
        <w:t>This measure would minimize impacts by potentially allowing affected property owners to schedule their activities around the noise-generating construction activities and ensuring that property owners are not caught off-guard by the activities.</w:t>
      </w:r>
      <w:r w:rsidRPr="00BF759D">
        <w:t xml:space="preserve"> </w:t>
      </w:r>
      <w:r w:rsidRPr="00B07D02">
        <w:t>Additionally, APM NOI-2 requires, when feasible, that: (1)</w:t>
      </w:r>
      <w:r w:rsidRPr="00BF759D">
        <w:t xml:space="preserve"> </w:t>
      </w:r>
      <w:r w:rsidRPr="00B07D02">
        <w:t>construction equipment use noise reduction devices that are no less effective than those originally installed by the manufacturer; (2) stationary equipment used during construction be located as far as practical from sensitive receptors; and (3) “quiet” equipment (</w:t>
      </w:r>
      <w:r w:rsidRPr="00B07D02">
        <w:rPr>
          <w:i/>
        </w:rPr>
        <w:t>i.e.</w:t>
      </w:r>
      <w:r w:rsidRPr="00B07D02">
        <w:t>, equipment that incorporates noise control elements into the design) be used during construction when reasonably available.</w:t>
      </w:r>
      <w:r w:rsidRPr="00B07D02">
        <w:rPr>
          <w:sz w:val="14"/>
        </w:rPr>
        <w:t xml:space="preserve"> </w:t>
      </w:r>
    </w:p>
    <w:p w:rsidRPr="00B07D02" w:rsidR="00584854" w:rsidP="00831FAB" w:rsidRDefault="00584854" w14:paraId="0CBB9060" w14:textId="77777777">
      <w:pPr>
        <w:pStyle w:val="Standard"/>
        <w:rPr>
          <w:sz w:val="14"/>
        </w:rPr>
      </w:pPr>
      <w:r w:rsidRPr="00B07D02">
        <w:t>To minimize noise impacts from helicopters, MM</w:t>
      </w:r>
      <w:r w:rsidRPr="00BF759D">
        <w:t xml:space="preserve"> </w:t>
      </w:r>
      <w:r w:rsidRPr="00B07D02">
        <w:t>NOI-1 and NOI-2 requires:</w:t>
      </w:r>
      <w:r w:rsidRPr="00BF759D">
        <w:t xml:space="preserve"> </w:t>
      </w:r>
      <w:r w:rsidRPr="00B07D02">
        <w:t>advanced notification of sensitive receptors in areas potentially affected by helicopter noise; identification and use of helicopter flight paths that minimize impacts to sensitive receptors; and siting final helicopter landing zones as far from sensitive receptors</w:t>
      </w:r>
      <w:r w:rsidRPr="00BF759D">
        <w:t xml:space="preserve"> </w:t>
      </w:r>
      <w:r w:rsidRPr="00B07D02">
        <w:t>as</w:t>
      </w:r>
      <w:r w:rsidRPr="00BF759D">
        <w:t xml:space="preserve"> </w:t>
      </w:r>
      <w:r w:rsidRPr="00B07D02">
        <w:t>possible.</w:t>
      </w:r>
      <w:r w:rsidRPr="00BF759D">
        <w:t xml:space="preserve"> </w:t>
      </w:r>
      <w:r w:rsidRPr="00B07D02">
        <w:t>MM</w:t>
      </w:r>
      <w:r w:rsidRPr="00BF759D">
        <w:t xml:space="preserve"> </w:t>
      </w:r>
      <w:r w:rsidRPr="00B07D02">
        <w:t>NOI-1</w:t>
      </w:r>
      <w:r w:rsidRPr="00BF759D">
        <w:t xml:space="preserve"> </w:t>
      </w:r>
      <w:r w:rsidRPr="00B07D02">
        <w:t>also</w:t>
      </w:r>
      <w:r w:rsidRPr="00BF759D">
        <w:t xml:space="preserve"> </w:t>
      </w:r>
      <w:r w:rsidRPr="00B07D02">
        <w:t>limits</w:t>
      </w:r>
      <w:r w:rsidRPr="00BF759D">
        <w:t xml:space="preserve"> </w:t>
      </w:r>
      <w:r w:rsidRPr="00B07D02">
        <w:t>helicopter</w:t>
      </w:r>
      <w:r w:rsidRPr="00BF759D">
        <w:t xml:space="preserve"> </w:t>
      </w:r>
      <w:r w:rsidRPr="00B07D02">
        <w:t>use</w:t>
      </w:r>
      <w:r w:rsidRPr="00BF759D">
        <w:t xml:space="preserve"> </w:t>
      </w:r>
      <w:r w:rsidRPr="00B07D02">
        <w:t>to</w:t>
      </w:r>
      <w:r w:rsidRPr="00BF759D">
        <w:t xml:space="preserve"> </w:t>
      </w:r>
      <w:r w:rsidRPr="00B07D02">
        <w:t>avoid</w:t>
      </w:r>
      <w:r w:rsidRPr="00BF759D">
        <w:t xml:space="preserve"> </w:t>
      </w:r>
      <w:r w:rsidRPr="00B07D02">
        <w:t>sensitive</w:t>
      </w:r>
      <w:r w:rsidRPr="00BF759D">
        <w:t xml:space="preserve"> </w:t>
      </w:r>
      <w:r w:rsidRPr="00B07D02">
        <w:t>morning</w:t>
      </w:r>
      <w:r w:rsidRPr="00BF759D">
        <w:t xml:space="preserve"> and </w:t>
      </w:r>
      <w:bookmarkStart w:name="_bookmark98" w:id="142"/>
      <w:bookmarkEnd w:id="142"/>
      <w:r w:rsidRPr="00B07D02">
        <w:t>evening</w:t>
      </w:r>
      <w:r w:rsidRPr="00BF759D">
        <w:t xml:space="preserve"> </w:t>
      </w:r>
      <w:r w:rsidRPr="00B07D02">
        <w:t>periods</w:t>
      </w:r>
      <w:r w:rsidRPr="00BF759D">
        <w:t xml:space="preserve"> </w:t>
      </w:r>
      <w:r w:rsidRPr="00B07D02">
        <w:t>and</w:t>
      </w:r>
      <w:r w:rsidRPr="00BF759D">
        <w:t xml:space="preserve"> </w:t>
      </w:r>
      <w:r w:rsidRPr="00B07D02">
        <w:t>prohibits</w:t>
      </w:r>
      <w:r w:rsidRPr="00BF759D">
        <w:t xml:space="preserve"> </w:t>
      </w:r>
      <w:r w:rsidRPr="00B07D02">
        <w:t>helicopter</w:t>
      </w:r>
      <w:r w:rsidRPr="00BF759D">
        <w:t xml:space="preserve"> </w:t>
      </w:r>
      <w:r w:rsidRPr="00B07D02">
        <w:t>use</w:t>
      </w:r>
      <w:r w:rsidRPr="00BF759D">
        <w:t xml:space="preserve"> </w:t>
      </w:r>
      <w:r w:rsidRPr="00B07D02">
        <w:t>at</w:t>
      </w:r>
      <w:r w:rsidRPr="00BF759D">
        <w:t xml:space="preserve"> </w:t>
      </w:r>
      <w:r w:rsidRPr="00B07D02">
        <w:t>night</w:t>
      </w:r>
      <w:r w:rsidRPr="00BF759D">
        <w:t xml:space="preserve"> </w:t>
      </w:r>
      <w:r w:rsidRPr="00B07D02">
        <w:t>unless</w:t>
      </w:r>
      <w:r w:rsidRPr="00BF759D">
        <w:t xml:space="preserve"> </w:t>
      </w:r>
      <w:r w:rsidRPr="00B07D02">
        <w:t>electrical</w:t>
      </w:r>
      <w:r w:rsidRPr="00BF759D">
        <w:t xml:space="preserve"> </w:t>
      </w:r>
      <w:r w:rsidRPr="00B07D02">
        <w:t>clearances</w:t>
      </w:r>
      <w:r w:rsidRPr="00BF759D">
        <w:t xml:space="preserve"> </w:t>
      </w:r>
      <w:r w:rsidRPr="00B07D02">
        <w:t>are</w:t>
      </w:r>
      <w:r w:rsidRPr="00BF759D">
        <w:t xml:space="preserve"> </w:t>
      </w:r>
      <w:r w:rsidRPr="00B07D02">
        <w:t>not</w:t>
      </w:r>
      <w:r w:rsidRPr="00BF759D">
        <w:t xml:space="preserve"> </w:t>
      </w:r>
      <w:r w:rsidRPr="00B07D02">
        <w:t>available during the day or when safe completion of a construction procedure is needed.</w:t>
      </w:r>
      <w:r w:rsidRPr="00B07D02">
        <w:rPr>
          <w:sz w:val="14"/>
        </w:rPr>
        <w:t xml:space="preserve"> </w:t>
      </w:r>
    </w:p>
    <w:p w:rsidRPr="00B07D02" w:rsidR="00584854" w:rsidP="00831FAB" w:rsidRDefault="00584854" w14:paraId="129E74D1" w14:textId="77777777">
      <w:pPr>
        <w:pStyle w:val="Standard"/>
      </w:pPr>
      <w:r w:rsidRPr="00B07D02">
        <w:t>Through APM</w:t>
      </w:r>
      <w:r w:rsidRPr="00BF759D">
        <w:t xml:space="preserve"> </w:t>
      </w:r>
      <w:r w:rsidRPr="00B07D02">
        <w:t xml:space="preserve">NOI-2 and MM NOI-1 and NOI-2, changes are required in, or incorporated into, the Proposed Project that substantially lessen impacts of the </w:t>
      </w:r>
      <w:r w:rsidRPr="00B07D02">
        <w:lastRenderedPageBreak/>
        <w:t>Proposed Project’s helicopter noise.</w:t>
      </w:r>
      <w:r w:rsidRPr="00BF759D">
        <w:t xml:space="preserve"> </w:t>
      </w:r>
      <w:r w:rsidRPr="00B07D02">
        <w:t>Even with implementation of these mitigation measures, however, the impacts from helicopter construction noise would still be significant.</w:t>
      </w:r>
      <w:r w:rsidRPr="00BF759D">
        <w:t xml:space="preserve"> </w:t>
      </w:r>
      <w:r w:rsidRPr="00B07D02">
        <w:t>No other feasible mitigation is available given that it is necessary to operate helicopters in close proximity to noise-sensitive receptors to construct the Proposed Project.</w:t>
      </w:r>
      <w:r w:rsidRPr="00BF759D">
        <w:t xml:space="preserve"> </w:t>
      </w:r>
      <w:r w:rsidRPr="00B07D02">
        <w:t>The potential for these effects exists only during the construction period, however, and thus would be temporary.</w:t>
      </w:r>
    </w:p>
    <w:p w:rsidR="00300641" w:rsidP="00300641" w:rsidRDefault="00300641" w14:paraId="09D1DDD6" w14:textId="1CC90180">
      <w:pPr>
        <w:pStyle w:val="Heading2"/>
      </w:pPr>
      <w:bookmarkStart w:name="_Toc160803320" w:id="143"/>
      <w:bookmarkStart w:name="_Toc160803321" w:id="144"/>
      <w:bookmarkStart w:name="_bookmark8" w:id="145"/>
      <w:bookmarkStart w:name="_Toc160803322" w:id="146"/>
      <w:bookmarkStart w:name="_Toc160803323" w:id="147"/>
      <w:bookmarkStart w:name="_Toc160803324" w:id="148"/>
      <w:bookmarkStart w:name="_Toc160803325" w:id="149"/>
      <w:bookmarkStart w:name="_Toc160803326" w:id="150"/>
      <w:bookmarkStart w:name="_Toc160803327" w:id="151"/>
      <w:bookmarkStart w:name="_Toc160803328" w:id="152"/>
      <w:bookmarkStart w:name="_Toc160803329" w:id="153"/>
      <w:bookmarkStart w:name="_Toc160803330" w:id="154"/>
      <w:bookmarkStart w:name="_bookmark21" w:id="155"/>
      <w:bookmarkStart w:name="_Toc160803331" w:id="156"/>
      <w:bookmarkStart w:name="_Toc160803332" w:id="157"/>
      <w:bookmarkStart w:name="_Toc160803333" w:id="158"/>
      <w:bookmarkStart w:name="_Toc160803334" w:id="159"/>
      <w:bookmarkStart w:name="_Toc160803335" w:id="160"/>
      <w:bookmarkStart w:name="_Toc160803336" w:id="161"/>
      <w:bookmarkStart w:name="_Toc160803337" w:id="162"/>
      <w:bookmarkStart w:name="_Toc160803338" w:id="163"/>
      <w:bookmarkStart w:name="_Toc160803339" w:id="164"/>
      <w:bookmarkStart w:name="_Toc160803340" w:id="165"/>
      <w:bookmarkStart w:name="_Toc160803341" w:id="166"/>
      <w:bookmarkStart w:name="_Toc160803342" w:id="167"/>
      <w:bookmarkStart w:name="_Toc160803343" w:id="168"/>
      <w:bookmarkStart w:name="_Toc160803344" w:id="169"/>
      <w:bookmarkStart w:name="_Toc164685419" w:id="17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CURE’s Arguments</w:t>
      </w:r>
      <w:bookmarkEnd w:id="170"/>
    </w:p>
    <w:p w:rsidR="00300641" w:rsidP="00831FAB" w:rsidRDefault="00300641" w14:paraId="5860360A" w14:textId="50F18383">
      <w:pPr>
        <w:pStyle w:val="Standard"/>
        <w:rPr>
          <w:rFonts w:eastAsia="Times New Roman" w:cs="Times New Roman"/>
          <w:szCs w:val="26"/>
        </w:rPr>
      </w:pPr>
      <w:r w:rsidRPr="00B07D02">
        <w:rPr>
          <w:rFonts w:eastAsia="Times New Roman" w:cs="Times New Roman"/>
          <w:szCs w:val="26"/>
        </w:rPr>
        <w:t xml:space="preserve">CURE is the only party that opposes the environmentally superior alternative. </w:t>
      </w:r>
      <w:bookmarkStart w:name="_Hlk160486377" w:id="171"/>
      <w:r w:rsidRPr="00B07D02">
        <w:rPr>
          <w:rFonts w:eastAsia="Times New Roman" w:cs="Times New Roman"/>
          <w:szCs w:val="26"/>
        </w:rPr>
        <w:t>CURE argues that PG&amp;E should underground both the entire new 70</w:t>
      </w:r>
      <w:r w:rsidR="00DC5A1D">
        <w:rPr>
          <w:rFonts w:eastAsia="Times New Roman" w:cs="Times New Roman"/>
          <w:szCs w:val="26"/>
        </w:rPr>
        <w:t> kV</w:t>
      </w:r>
      <w:r w:rsidRPr="00B07D02">
        <w:rPr>
          <w:rFonts w:eastAsia="Times New Roman" w:cs="Times New Roman"/>
          <w:szCs w:val="26"/>
        </w:rPr>
        <w:t xml:space="preserve"> transmission line (in an unspecified route), and the existing 70</w:t>
      </w:r>
      <w:r w:rsidR="00DC5A1D">
        <w:rPr>
          <w:rFonts w:eastAsia="Times New Roman" w:cs="Times New Roman"/>
          <w:szCs w:val="26"/>
        </w:rPr>
        <w:t> kV</w:t>
      </w:r>
      <w:r w:rsidRPr="00B07D02">
        <w:rPr>
          <w:rFonts w:eastAsia="Times New Roman" w:cs="Times New Roman"/>
          <w:szCs w:val="26"/>
        </w:rPr>
        <w:t xml:space="preserve"> transmission line that would be reconductored as part of the environmentally superior alternative. In turn, CURE asserts that the FEIR “should be </w:t>
      </w:r>
      <w:r w:rsidR="00894785">
        <w:rPr>
          <w:rFonts w:eastAsia="Times New Roman" w:cs="Times New Roman"/>
          <w:szCs w:val="26"/>
        </w:rPr>
        <w:t xml:space="preserve">[further] </w:t>
      </w:r>
      <w:r w:rsidRPr="00B07D02">
        <w:rPr>
          <w:rFonts w:eastAsia="Times New Roman" w:cs="Times New Roman"/>
          <w:szCs w:val="26"/>
        </w:rPr>
        <w:t xml:space="preserve">revised and recirculated </w:t>
      </w:r>
      <w:r w:rsidR="00894785">
        <w:rPr>
          <w:rFonts w:eastAsia="Times New Roman" w:cs="Times New Roman"/>
          <w:szCs w:val="26"/>
        </w:rPr>
        <w:t xml:space="preserve">[again] </w:t>
      </w:r>
      <w:r w:rsidRPr="00B07D02">
        <w:rPr>
          <w:rFonts w:eastAsia="Times New Roman" w:cs="Times New Roman"/>
          <w:szCs w:val="26"/>
        </w:rPr>
        <w:t>to include undergrounding the entire transmission line as a component of the Environmentally Superior Alternative.”</w:t>
      </w:r>
      <w:r w:rsidRPr="00B07D02">
        <w:rPr>
          <w:rFonts w:eastAsia="Times New Roman" w:cs="Times New Roman"/>
          <w:szCs w:val="26"/>
          <w:vertAlign w:val="superscript"/>
        </w:rPr>
        <w:footnoteReference w:id="68"/>
      </w:r>
    </w:p>
    <w:p w:rsidR="00E8310A" w:rsidP="00831FAB" w:rsidRDefault="00AA5E97" w14:paraId="39E12106" w14:textId="650119D8">
      <w:pPr>
        <w:pStyle w:val="Standard"/>
        <w:rPr>
          <w:rFonts w:eastAsia="Times New Roman" w:cs="Times New Roman"/>
          <w:szCs w:val="26"/>
        </w:rPr>
      </w:pPr>
      <w:r w:rsidRPr="009E7C0A">
        <w:rPr>
          <w:rFonts w:eastAsia="Times New Roman" w:cs="Times New Roman"/>
          <w:szCs w:val="26"/>
        </w:rPr>
        <w:t>As discussed below</w:t>
      </w:r>
      <w:r w:rsidRPr="009E7C0A" w:rsidR="00E8310A">
        <w:rPr>
          <w:rFonts w:eastAsia="Times New Roman" w:cs="Times New Roman"/>
          <w:szCs w:val="26"/>
        </w:rPr>
        <w:t xml:space="preserve">, we reject </w:t>
      </w:r>
      <w:r w:rsidR="00D95400">
        <w:rPr>
          <w:rFonts w:eastAsia="Times New Roman" w:cs="Times New Roman"/>
          <w:szCs w:val="26"/>
        </w:rPr>
        <w:t xml:space="preserve">each of </w:t>
      </w:r>
      <w:r w:rsidRPr="009E7C0A" w:rsidR="00E8310A">
        <w:rPr>
          <w:rFonts w:eastAsia="Times New Roman" w:cs="Times New Roman"/>
          <w:szCs w:val="26"/>
        </w:rPr>
        <w:t xml:space="preserve">CURE’s </w:t>
      </w:r>
      <w:r w:rsidR="00D95400">
        <w:rPr>
          <w:rFonts w:eastAsia="Times New Roman" w:cs="Times New Roman"/>
          <w:szCs w:val="26"/>
        </w:rPr>
        <w:t xml:space="preserve">underlying </w:t>
      </w:r>
      <w:r w:rsidRPr="009E7C0A" w:rsidR="00E8310A">
        <w:rPr>
          <w:rFonts w:eastAsia="Times New Roman" w:cs="Times New Roman"/>
          <w:szCs w:val="26"/>
        </w:rPr>
        <w:t>argument</w:t>
      </w:r>
      <w:r w:rsidRPr="009E7C0A" w:rsidR="00BA0649">
        <w:rPr>
          <w:rFonts w:eastAsia="Times New Roman" w:cs="Times New Roman"/>
          <w:szCs w:val="26"/>
        </w:rPr>
        <w:t>s</w:t>
      </w:r>
      <w:r w:rsidRPr="00D95400" w:rsidR="00D95400">
        <w:rPr>
          <w:rFonts w:eastAsia="Times New Roman" w:cs="Times New Roman"/>
          <w:szCs w:val="26"/>
        </w:rPr>
        <w:t>.</w:t>
      </w:r>
    </w:p>
    <w:p w:rsidRPr="00B07D02" w:rsidR="00300641" w:rsidP="0030780A" w:rsidRDefault="00300641" w14:paraId="66179F90" w14:textId="497F3196">
      <w:pPr>
        <w:pStyle w:val="Heading3"/>
      </w:pPr>
      <w:bookmarkStart w:name="_Toc164685420" w:id="172"/>
      <w:r>
        <w:t>Reasonable Range of Alternatives Argument</w:t>
      </w:r>
      <w:bookmarkEnd w:id="172"/>
      <w:r>
        <w:t xml:space="preserve"> </w:t>
      </w:r>
    </w:p>
    <w:bookmarkEnd w:id="171"/>
    <w:p w:rsidR="009D3E5D" w:rsidP="00831FAB" w:rsidRDefault="006D08FD" w14:paraId="6128C5C4" w14:textId="2263DCFD">
      <w:pPr>
        <w:pStyle w:val="Standard"/>
        <w:rPr>
          <w:rFonts w:eastAsia="Times New Roman" w:cs="Times New Roman"/>
          <w:szCs w:val="26"/>
        </w:rPr>
      </w:pPr>
      <w:r w:rsidRPr="00831FAB">
        <w:t>At</w:t>
      </w:r>
      <w:r>
        <w:rPr>
          <w:rFonts w:eastAsia="Times New Roman" w:cs="Times New Roman"/>
          <w:szCs w:val="26"/>
        </w:rPr>
        <w:t xml:space="preserve"> the heart of CURE’s argument is </w:t>
      </w:r>
      <w:r w:rsidR="00D35CFB">
        <w:rPr>
          <w:rFonts w:eastAsia="Times New Roman" w:cs="Times New Roman"/>
          <w:szCs w:val="26"/>
        </w:rPr>
        <w:t>a</w:t>
      </w:r>
      <w:r>
        <w:rPr>
          <w:rFonts w:eastAsia="Times New Roman" w:cs="Times New Roman"/>
          <w:szCs w:val="26"/>
        </w:rPr>
        <w:t xml:space="preserve"> </w:t>
      </w:r>
      <w:r w:rsidR="009B59DA">
        <w:rPr>
          <w:rFonts w:eastAsia="Times New Roman" w:cs="Times New Roman"/>
          <w:szCs w:val="26"/>
        </w:rPr>
        <w:t>challeng</w:t>
      </w:r>
      <w:r w:rsidR="00D35CFB">
        <w:rPr>
          <w:rFonts w:eastAsia="Times New Roman" w:cs="Times New Roman"/>
          <w:szCs w:val="26"/>
        </w:rPr>
        <w:t xml:space="preserve">e to </w:t>
      </w:r>
      <w:r w:rsidR="009B59DA">
        <w:rPr>
          <w:rFonts w:eastAsia="Times New Roman" w:cs="Times New Roman"/>
          <w:szCs w:val="26"/>
        </w:rPr>
        <w:t>the sufficiency of the range of alternative</w:t>
      </w:r>
      <w:r w:rsidR="00C36DF7">
        <w:rPr>
          <w:rFonts w:eastAsia="Times New Roman" w:cs="Times New Roman"/>
          <w:szCs w:val="26"/>
        </w:rPr>
        <w:t>s</w:t>
      </w:r>
      <w:r w:rsidR="009B59DA">
        <w:rPr>
          <w:rFonts w:eastAsia="Times New Roman" w:cs="Times New Roman"/>
          <w:szCs w:val="26"/>
        </w:rPr>
        <w:t xml:space="preserve"> considered her</w:t>
      </w:r>
      <w:r w:rsidR="00D35CFB">
        <w:rPr>
          <w:rFonts w:eastAsia="Times New Roman" w:cs="Times New Roman"/>
          <w:szCs w:val="26"/>
        </w:rPr>
        <w:t>e and th</w:t>
      </w:r>
      <w:r w:rsidR="00C36DF7">
        <w:rPr>
          <w:rFonts w:eastAsia="Times New Roman" w:cs="Times New Roman"/>
          <w:szCs w:val="26"/>
        </w:rPr>
        <w:t>at</w:t>
      </w:r>
      <w:r w:rsidR="00D35CFB">
        <w:rPr>
          <w:rFonts w:eastAsia="Times New Roman" w:cs="Times New Roman"/>
          <w:szCs w:val="26"/>
        </w:rPr>
        <w:t xml:space="preserve"> CURE’s proposed underground</w:t>
      </w:r>
      <w:r w:rsidR="004201A5">
        <w:rPr>
          <w:rFonts w:eastAsia="Times New Roman" w:cs="Times New Roman"/>
          <w:szCs w:val="26"/>
        </w:rPr>
        <w:t>ing</w:t>
      </w:r>
      <w:r w:rsidR="00D35CFB">
        <w:rPr>
          <w:rFonts w:eastAsia="Times New Roman" w:cs="Times New Roman"/>
          <w:szCs w:val="26"/>
        </w:rPr>
        <w:t xml:space="preserve"> </w:t>
      </w:r>
      <w:r w:rsidR="00A0228A">
        <w:rPr>
          <w:rFonts w:eastAsia="Times New Roman" w:cs="Times New Roman"/>
          <w:szCs w:val="26"/>
        </w:rPr>
        <w:t>s</w:t>
      </w:r>
      <w:r w:rsidR="00CE0E74">
        <w:rPr>
          <w:rFonts w:eastAsia="Times New Roman" w:cs="Times New Roman"/>
          <w:szCs w:val="26"/>
        </w:rPr>
        <w:t>h</w:t>
      </w:r>
      <w:r w:rsidR="00A0228A">
        <w:rPr>
          <w:rFonts w:eastAsia="Times New Roman" w:cs="Times New Roman"/>
          <w:szCs w:val="26"/>
        </w:rPr>
        <w:t xml:space="preserve">ould have been </w:t>
      </w:r>
      <w:r w:rsidR="006772C6">
        <w:rPr>
          <w:rFonts w:eastAsia="Times New Roman" w:cs="Times New Roman"/>
          <w:szCs w:val="26"/>
        </w:rPr>
        <w:t xml:space="preserve">included in that </w:t>
      </w:r>
      <w:r w:rsidR="00CE0E74">
        <w:rPr>
          <w:rFonts w:eastAsia="Times New Roman" w:cs="Times New Roman"/>
          <w:szCs w:val="26"/>
        </w:rPr>
        <w:t>consideration</w:t>
      </w:r>
      <w:r w:rsidR="009B59DA">
        <w:rPr>
          <w:rFonts w:eastAsia="Times New Roman" w:cs="Times New Roman"/>
          <w:szCs w:val="26"/>
        </w:rPr>
        <w:t xml:space="preserve">. </w:t>
      </w:r>
      <w:r w:rsidR="00CE0E74">
        <w:rPr>
          <w:rFonts w:eastAsia="Times New Roman" w:cs="Times New Roman"/>
          <w:szCs w:val="26"/>
        </w:rPr>
        <w:t xml:space="preserve">We do not agree.  </w:t>
      </w:r>
      <w:r w:rsidRPr="00B07D02" w:rsidR="00300641">
        <w:rPr>
          <w:rFonts w:eastAsia="Times New Roman" w:cs="Times New Roman"/>
          <w:szCs w:val="26"/>
        </w:rPr>
        <w:t xml:space="preserve">CEQA requires that the lead agency evaluate a reasonable range of alternatives and does not require the Commission to evaluate more than </w:t>
      </w:r>
      <w:r w:rsidRPr="00B07D02" w:rsidR="00E1433C">
        <w:rPr>
          <w:rFonts w:eastAsia="Times New Roman" w:cs="Times New Roman"/>
          <w:szCs w:val="26"/>
        </w:rPr>
        <w:t>th</w:t>
      </w:r>
      <w:r w:rsidR="00E1433C">
        <w:rPr>
          <w:rFonts w:eastAsia="Times New Roman" w:cs="Times New Roman"/>
          <w:szCs w:val="26"/>
        </w:rPr>
        <w:t>e “reasonable range of alternative</w:t>
      </w:r>
      <w:r w:rsidR="00C36DF7">
        <w:rPr>
          <w:rFonts w:eastAsia="Times New Roman" w:cs="Times New Roman"/>
          <w:szCs w:val="26"/>
        </w:rPr>
        <w:t>s</w:t>
      </w:r>
      <w:r w:rsidR="00E1433C">
        <w:rPr>
          <w:rFonts w:eastAsia="Times New Roman" w:cs="Times New Roman"/>
          <w:szCs w:val="26"/>
        </w:rPr>
        <w:t xml:space="preserve">” </w:t>
      </w:r>
      <w:r w:rsidR="00847938">
        <w:rPr>
          <w:rFonts w:eastAsia="Times New Roman" w:cs="Times New Roman"/>
          <w:szCs w:val="26"/>
        </w:rPr>
        <w:t>as done in the FEIR</w:t>
      </w:r>
      <w:r w:rsidRPr="00B07D02" w:rsidR="00E1433C">
        <w:rPr>
          <w:rFonts w:eastAsia="Times New Roman" w:cs="Times New Roman"/>
          <w:szCs w:val="26"/>
        </w:rPr>
        <w:t xml:space="preserve"> </w:t>
      </w:r>
      <w:r w:rsidRPr="00B07D02" w:rsidR="00300641">
        <w:rPr>
          <w:rFonts w:eastAsia="Times New Roman" w:cs="Times New Roman"/>
          <w:szCs w:val="26"/>
        </w:rPr>
        <w:t>nor to adopt CURE’s proposed underground</w:t>
      </w:r>
      <w:r w:rsidR="00AD3C82">
        <w:rPr>
          <w:rFonts w:eastAsia="Times New Roman" w:cs="Times New Roman"/>
          <w:szCs w:val="26"/>
        </w:rPr>
        <w:t>ing of</w:t>
      </w:r>
      <w:r w:rsidRPr="00B07D02" w:rsidR="00300641">
        <w:rPr>
          <w:rFonts w:eastAsia="Times New Roman" w:cs="Times New Roman"/>
          <w:szCs w:val="26"/>
        </w:rPr>
        <w:t xml:space="preserve"> all 70</w:t>
      </w:r>
      <w:r w:rsidR="00DC5A1D">
        <w:rPr>
          <w:rFonts w:eastAsia="Times New Roman" w:cs="Times New Roman"/>
          <w:szCs w:val="26"/>
        </w:rPr>
        <w:t> kV</w:t>
      </w:r>
      <w:r w:rsidRPr="00B07D02" w:rsidR="00300641">
        <w:rPr>
          <w:rFonts w:eastAsia="Times New Roman" w:cs="Times New Roman"/>
          <w:szCs w:val="26"/>
        </w:rPr>
        <w:t xml:space="preserve"> transmission line elements. </w:t>
      </w:r>
    </w:p>
    <w:p w:rsidRPr="00B07D02" w:rsidR="00300641" w:rsidP="00831FAB" w:rsidRDefault="00300641" w14:paraId="47411FA1" w14:textId="7BD907E5">
      <w:pPr>
        <w:pStyle w:val="Standard"/>
        <w:rPr>
          <w:rFonts w:eastAsia="Times New Roman" w:cs="Times New Roman"/>
          <w:szCs w:val="26"/>
        </w:rPr>
      </w:pPr>
      <w:r w:rsidRPr="00B07D02">
        <w:rPr>
          <w:rFonts w:eastAsia="Times New Roman" w:cs="Times New Roman"/>
          <w:szCs w:val="26"/>
        </w:rPr>
        <w:lastRenderedPageBreak/>
        <w:t>Here, the FEIR was released examining the required reasonable range of alternative</w:t>
      </w:r>
      <w:r w:rsidR="00C36DF7">
        <w:rPr>
          <w:rFonts w:eastAsia="Times New Roman" w:cs="Times New Roman"/>
          <w:szCs w:val="26"/>
        </w:rPr>
        <w:t>s</w:t>
      </w:r>
      <w:r w:rsidRPr="00B07D02">
        <w:rPr>
          <w:rFonts w:eastAsia="Times New Roman" w:cs="Times New Roman"/>
          <w:szCs w:val="26"/>
        </w:rPr>
        <w:t xml:space="preserve"> to arrive at the environmentally superior alternative, following a thorough CEQA public comments process, the DEIR, comments to the DEIR, the </w:t>
      </w:r>
      <w:r w:rsidRPr="00107A7F" w:rsidR="000F32FE">
        <w:rPr>
          <w:rFonts w:eastAsia="Times New Roman" w:cs="Times New Roman"/>
          <w:szCs w:val="26"/>
        </w:rPr>
        <w:t>RDEIR</w:t>
      </w:r>
      <w:r w:rsidRPr="00B07D02">
        <w:rPr>
          <w:rFonts w:eastAsia="Times New Roman" w:cs="Times New Roman"/>
          <w:szCs w:val="26"/>
        </w:rPr>
        <w:t xml:space="preserve">, and comments to the </w:t>
      </w:r>
      <w:r w:rsidRPr="00107A7F" w:rsidR="000F32FE">
        <w:rPr>
          <w:rFonts w:eastAsia="Times New Roman" w:cs="Times New Roman"/>
          <w:szCs w:val="26"/>
        </w:rPr>
        <w:t>RDEIR</w:t>
      </w:r>
      <w:r w:rsidRPr="00107A7F">
        <w:rPr>
          <w:rFonts w:eastAsia="Times New Roman" w:cs="Times New Roman"/>
          <w:szCs w:val="26"/>
        </w:rPr>
        <w:t>.</w:t>
      </w:r>
      <w:r w:rsidRPr="00B07D02">
        <w:rPr>
          <w:rFonts w:eastAsia="Times New Roman" w:cs="Times New Roman"/>
          <w:szCs w:val="26"/>
        </w:rPr>
        <w:t xml:space="preserve"> The range of alternatives evaluated in that FEIR </w:t>
      </w:r>
      <w:r w:rsidR="00676267">
        <w:rPr>
          <w:rFonts w:eastAsia="Times New Roman" w:cs="Times New Roman"/>
          <w:szCs w:val="26"/>
        </w:rPr>
        <w:t>spanned</w:t>
      </w:r>
      <w:r w:rsidRPr="00B07D02">
        <w:rPr>
          <w:rFonts w:eastAsia="Times New Roman" w:cs="Times New Roman"/>
          <w:szCs w:val="26"/>
        </w:rPr>
        <w:t xml:space="preserve"> those that could feasibly meet the project objectives and </w:t>
      </w:r>
      <w:r w:rsidR="00C36DF7">
        <w:rPr>
          <w:rFonts w:eastAsia="Times New Roman" w:cs="Times New Roman"/>
          <w:szCs w:val="26"/>
        </w:rPr>
        <w:t>that resulted in the select</w:t>
      </w:r>
      <w:r w:rsidR="00676267">
        <w:rPr>
          <w:rFonts w:eastAsia="Times New Roman" w:cs="Times New Roman"/>
          <w:szCs w:val="26"/>
        </w:rPr>
        <w:t>i</w:t>
      </w:r>
      <w:r w:rsidR="00C36DF7">
        <w:rPr>
          <w:rFonts w:eastAsia="Times New Roman" w:cs="Times New Roman"/>
          <w:szCs w:val="26"/>
        </w:rPr>
        <w:t>on of</w:t>
      </w:r>
      <w:r w:rsidRPr="00B07D02">
        <w:rPr>
          <w:rFonts w:eastAsia="Times New Roman" w:cs="Times New Roman"/>
          <w:szCs w:val="26"/>
        </w:rPr>
        <w:t xml:space="preserve"> Alternative Combination #2 as the environmentally superior alternative. Alternative Combination #2 is feasible and supported by all parties other than CURE.</w:t>
      </w:r>
    </w:p>
    <w:p w:rsidR="009D3E5D" w:rsidP="00831FAB" w:rsidRDefault="00300641" w14:paraId="088F333E" w14:textId="77777777">
      <w:pPr>
        <w:pStyle w:val="Standard"/>
        <w:rPr>
          <w:rFonts w:eastAsia="Times New Roman" w:cs="Times New Roman"/>
          <w:szCs w:val="26"/>
        </w:rPr>
      </w:pPr>
      <w:r w:rsidRPr="00B07D02">
        <w:rPr>
          <w:rFonts w:eastAsia="Times New Roman" w:cs="Times New Roman"/>
          <w:szCs w:val="26"/>
        </w:rPr>
        <w:t>An EIR should present a</w:t>
      </w:r>
      <w:r w:rsidRPr="00BF759D">
        <w:rPr>
          <w:rFonts w:eastAsia="Times New Roman" w:cs="Times New Roman"/>
          <w:szCs w:val="26"/>
        </w:rPr>
        <w:t xml:space="preserve"> </w:t>
      </w:r>
      <w:r w:rsidRPr="00B07D02">
        <w:rPr>
          <w:rFonts w:eastAsia="Times New Roman" w:cs="Times New Roman"/>
          <w:szCs w:val="26"/>
        </w:rPr>
        <w:t>reasonable range of</w:t>
      </w:r>
      <w:r w:rsidRPr="00BF759D">
        <w:rPr>
          <w:rFonts w:eastAsia="Times New Roman" w:cs="Times New Roman"/>
          <w:szCs w:val="26"/>
        </w:rPr>
        <w:t xml:space="preserve"> </w:t>
      </w:r>
      <w:r w:rsidRPr="00B07D02">
        <w:rPr>
          <w:rFonts w:eastAsia="Times New Roman" w:cs="Times New Roman"/>
          <w:szCs w:val="26"/>
        </w:rPr>
        <w:t>potentially feasible alternatives that would attain most of the basic project objectives and reduce significant impacts, but need not consider every alternative to the project.</w:t>
      </w:r>
      <w:r w:rsidRPr="00B07D02">
        <w:rPr>
          <w:rFonts w:eastAsia="Times New Roman" w:cs="Times New Roman"/>
          <w:szCs w:val="26"/>
          <w:vertAlign w:val="superscript"/>
        </w:rPr>
        <w:footnoteReference w:id="69"/>
      </w:r>
      <w:r w:rsidRPr="00B07D02">
        <w:rPr>
          <w:rFonts w:eastAsia="Times New Roman" w:cs="Times New Roman"/>
          <w:szCs w:val="26"/>
        </w:rPr>
        <w:t xml:space="preserve"> The nature and scope of the alternatives to be studied in an EIR are governed by the rule of reason.</w:t>
      </w:r>
      <w:r w:rsidRPr="00B07D02">
        <w:rPr>
          <w:rFonts w:eastAsia="Times New Roman" w:cs="Times New Roman"/>
          <w:position w:val="8"/>
          <w:szCs w:val="26"/>
          <w:vertAlign w:val="superscript"/>
        </w:rPr>
        <w:footnoteReference w:id="70"/>
      </w:r>
      <w:r w:rsidR="009D3E5D">
        <w:rPr>
          <w:rFonts w:eastAsia="Times New Roman" w:cs="Times New Roman"/>
          <w:position w:val="8"/>
          <w:szCs w:val="26"/>
        </w:rPr>
        <w:t xml:space="preserve"> </w:t>
      </w:r>
      <w:r w:rsidRPr="00B07D02">
        <w:rPr>
          <w:rFonts w:eastAsia="Times New Roman" w:cs="Times New Roman"/>
          <w:szCs w:val="26"/>
        </w:rPr>
        <w:t>Under the rule of reason, an EIR need discuss only those alternatives necessary to permit a reasoned choice.</w:t>
      </w:r>
      <w:r w:rsidRPr="00B07D02">
        <w:rPr>
          <w:rFonts w:eastAsia="Times New Roman" w:cs="Times New Roman"/>
          <w:szCs w:val="26"/>
          <w:vertAlign w:val="superscript"/>
        </w:rPr>
        <w:footnoteReference w:id="71"/>
      </w:r>
      <w:r w:rsidRPr="00B07D02">
        <w:rPr>
          <w:rFonts w:eastAsia="Times New Roman" w:cs="Times New Roman"/>
          <w:szCs w:val="26"/>
        </w:rPr>
        <w:t xml:space="preserve"> </w:t>
      </w:r>
    </w:p>
    <w:p w:rsidRPr="00BF759D" w:rsidR="00300641" w:rsidP="00831FAB" w:rsidRDefault="00300641" w14:paraId="7857D718" w14:textId="56B38666">
      <w:pPr>
        <w:pStyle w:val="Standard"/>
        <w:rPr>
          <w:rFonts w:eastAsia="Times New Roman" w:cs="Times New Roman"/>
          <w:position w:val="8"/>
          <w:szCs w:val="26"/>
        </w:rPr>
      </w:pPr>
      <w:r w:rsidRPr="00B07D02">
        <w:rPr>
          <w:rFonts w:eastAsia="Times New Roman" w:cs="Times New Roman"/>
          <w:szCs w:val="26"/>
        </w:rPr>
        <w:t>The FEIR’s alternatives screening analysis considered nine alternatives to the transmission line route proposed by Applicants, consisting of (</w:t>
      </w:r>
      <w:proofErr w:type="spellStart"/>
      <w:r w:rsidRPr="00B07D02">
        <w:rPr>
          <w:rFonts w:eastAsia="Times New Roman" w:cs="Times New Roman"/>
          <w:szCs w:val="26"/>
        </w:rPr>
        <w:t>i</w:t>
      </w:r>
      <w:proofErr w:type="spellEnd"/>
      <w:r w:rsidRPr="00B07D02">
        <w:rPr>
          <w:rFonts w:eastAsia="Times New Roman" w:cs="Times New Roman"/>
          <w:szCs w:val="26"/>
        </w:rPr>
        <w:t>)</w:t>
      </w:r>
      <w:r w:rsidRPr="00BF759D">
        <w:rPr>
          <w:rFonts w:eastAsia="Times New Roman" w:cs="Times New Roman"/>
          <w:szCs w:val="26"/>
        </w:rPr>
        <w:t xml:space="preserve"> </w:t>
      </w:r>
      <w:r w:rsidRPr="00B07D02">
        <w:rPr>
          <w:rFonts w:eastAsia="Times New Roman" w:cs="Times New Roman"/>
          <w:szCs w:val="26"/>
        </w:rPr>
        <w:t>four variations of the Estrella Route (including Alternative PLR-1A), which were coupled with reconductoring of the existing 70</w:t>
      </w:r>
      <w:r w:rsidR="00DC5A1D">
        <w:rPr>
          <w:rFonts w:eastAsia="Times New Roman" w:cs="Times New Roman"/>
          <w:szCs w:val="26"/>
        </w:rPr>
        <w:t> kV</w:t>
      </w:r>
      <w:r w:rsidRPr="00B07D02">
        <w:rPr>
          <w:rFonts w:eastAsia="Times New Roman" w:cs="Times New Roman"/>
          <w:szCs w:val="26"/>
        </w:rPr>
        <w:t xml:space="preserve"> San Miguel-</w:t>
      </w:r>
      <w:r w:rsidR="00325E91">
        <w:rPr>
          <w:rFonts w:eastAsia="Times New Roman" w:cs="Times New Roman"/>
          <w:szCs w:val="26"/>
        </w:rPr>
        <w:t>Paso </w:t>
      </w:r>
      <w:r w:rsidRPr="00B07D02">
        <w:rPr>
          <w:rFonts w:eastAsia="Times New Roman" w:cs="Times New Roman"/>
          <w:szCs w:val="26"/>
        </w:rPr>
        <w:t>Robles transmission line, (ii)</w:t>
      </w:r>
      <w:r w:rsidRPr="00BF759D">
        <w:rPr>
          <w:rFonts w:eastAsia="Times New Roman" w:cs="Times New Roman"/>
          <w:szCs w:val="26"/>
        </w:rPr>
        <w:t xml:space="preserve"> </w:t>
      </w:r>
      <w:r w:rsidRPr="00B07D02">
        <w:rPr>
          <w:rFonts w:eastAsia="Times New Roman" w:cs="Times New Roman"/>
          <w:szCs w:val="26"/>
        </w:rPr>
        <w:t>three variations of an alternative route known as the Creston Route, and (iii)</w:t>
      </w:r>
      <w:r w:rsidRPr="00BF759D">
        <w:rPr>
          <w:rFonts w:eastAsia="Times New Roman" w:cs="Times New Roman"/>
          <w:szCs w:val="26"/>
        </w:rPr>
        <w:t xml:space="preserve"> </w:t>
      </w:r>
      <w:r w:rsidRPr="00B07D02">
        <w:rPr>
          <w:rFonts w:eastAsia="Times New Roman" w:cs="Times New Roman"/>
          <w:szCs w:val="26"/>
        </w:rPr>
        <w:t>a strategic undergrounding alternative (Alternative PLR</w:t>
      </w:r>
      <w:r w:rsidR="002273BE">
        <w:rPr>
          <w:rFonts w:eastAsia="Times New Roman" w:cs="Times New Roman"/>
          <w:szCs w:val="26"/>
        </w:rPr>
        <w:noBreakHyphen/>
      </w:r>
      <w:r w:rsidRPr="00B07D02">
        <w:rPr>
          <w:rFonts w:eastAsia="Times New Roman" w:cs="Times New Roman"/>
          <w:szCs w:val="26"/>
        </w:rPr>
        <w:t xml:space="preserve">3) with two route variations that generally follows the originally proposed </w:t>
      </w:r>
      <w:r w:rsidRPr="00B07D02">
        <w:rPr>
          <w:rFonts w:eastAsia="Times New Roman" w:cs="Times New Roman"/>
          <w:szCs w:val="26"/>
        </w:rPr>
        <w:lastRenderedPageBreak/>
        <w:t>route while undergrounding the portion</w:t>
      </w:r>
      <w:r w:rsidRPr="00BF759D">
        <w:rPr>
          <w:rFonts w:eastAsia="Times New Roman" w:cs="Times New Roman"/>
          <w:szCs w:val="26"/>
        </w:rPr>
        <w:t xml:space="preserve"> </w:t>
      </w:r>
      <w:r w:rsidRPr="00B07D02">
        <w:rPr>
          <w:rFonts w:eastAsia="Times New Roman" w:cs="Times New Roman"/>
          <w:szCs w:val="26"/>
        </w:rPr>
        <w:t>of</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new</w:t>
      </w:r>
      <w:r w:rsidRPr="00BF759D">
        <w:rPr>
          <w:rFonts w:eastAsia="Times New Roman" w:cs="Times New Roman"/>
          <w:szCs w:val="26"/>
        </w:rPr>
        <w:t xml:space="preserve"> </w:t>
      </w:r>
      <w:r w:rsidRPr="00B07D02">
        <w:rPr>
          <w:rFonts w:eastAsia="Times New Roman" w:cs="Times New Roman"/>
          <w:szCs w:val="26"/>
        </w:rPr>
        <w:t>70</w:t>
      </w:r>
      <w:r w:rsidR="00DC5A1D">
        <w:rPr>
          <w:rFonts w:eastAsia="Times New Roman" w:cs="Times New Roman"/>
          <w:szCs w:val="26"/>
        </w:rPr>
        <w:t> kV</w:t>
      </w:r>
      <w:r w:rsidRPr="00BF759D">
        <w:rPr>
          <w:rFonts w:eastAsia="Times New Roman" w:cs="Times New Roman"/>
          <w:szCs w:val="26"/>
        </w:rPr>
        <w:t xml:space="preserve"> </w:t>
      </w:r>
      <w:r w:rsidRPr="00B07D02">
        <w:rPr>
          <w:rFonts w:eastAsia="Times New Roman" w:cs="Times New Roman"/>
          <w:szCs w:val="26"/>
        </w:rPr>
        <w:t>line</w:t>
      </w:r>
      <w:r w:rsidRPr="00BF759D">
        <w:rPr>
          <w:rFonts w:eastAsia="Times New Roman" w:cs="Times New Roman"/>
          <w:szCs w:val="26"/>
        </w:rPr>
        <w:t xml:space="preserve"> </w:t>
      </w:r>
      <w:r w:rsidRPr="00B07D02">
        <w:rPr>
          <w:rFonts w:eastAsia="Times New Roman" w:cs="Times New Roman"/>
          <w:szCs w:val="26"/>
        </w:rPr>
        <w:t>that</w:t>
      </w:r>
      <w:r w:rsidRPr="00BF759D">
        <w:rPr>
          <w:rFonts w:eastAsia="Times New Roman" w:cs="Times New Roman"/>
          <w:szCs w:val="26"/>
        </w:rPr>
        <w:t xml:space="preserve"> </w:t>
      </w:r>
      <w:r w:rsidRPr="00B07D02">
        <w:rPr>
          <w:rFonts w:eastAsia="Times New Roman" w:cs="Times New Roman"/>
          <w:szCs w:val="26"/>
        </w:rPr>
        <w:t>has</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greatest potential</w:t>
      </w:r>
      <w:r w:rsidRPr="00BF759D">
        <w:rPr>
          <w:rFonts w:eastAsia="Times New Roman" w:cs="Times New Roman"/>
          <w:szCs w:val="26"/>
        </w:rPr>
        <w:t xml:space="preserve"> </w:t>
      </w:r>
      <w:r w:rsidRPr="00B07D02">
        <w:rPr>
          <w:rFonts w:eastAsia="Times New Roman" w:cs="Times New Roman"/>
          <w:szCs w:val="26"/>
        </w:rPr>
        <w:t>for</w:t>
      </w:r>
      <w:r w:rsidRPr="00BF759D">
        <w:rPr>
          <w:rFonts w:eastAsia="Times New Roman" w:cs="Times New Roman"/>
          <w:szCs w:val="26"/>
        </w:rPr>
        <w:t xml:space="preserve"> </w:t>
      </w:r>
      <w:r w:rsidRPr="00B07D02">
        <w:rPr>
          <w:rFonts w:eastAsia="Times New Roman" w:cs="Times New Roman"/>
          <w:szCs w:val="26"/>
        </w:rPr>
        <w:t>aesthetic</w:t>
      </w:r>
      <w:r w:rsidRPr="00BF759D">
        <w:rPr>
          <w:rFonts w:eastAsia="Times New Roman" w:cs="Times New Roman"/>
          <w:szCs w:val="26"/>
        </w:rPr>
        <w:t xml:space="preserve"> </w:t>
      </w:r>
      <w:r w:rsidRPr="00B07D02">
        <w:rPr>
          <w:rFonts w:eastAsia="Times New Roman" w:cs="Times New Roman"/>
          <w:szCs w:val="26"/>
        </w:rPr>
        <w:t>and</w:t>
      </w:r>
      <w:r w:rsidRPr="00BF759D">
        <w:rPr>
          <w:rFonts w:eastAsia="Times New Roman" w:cs="Times New Roman"/>
          <w:szCs w:val="26"/>
        </w:rPr>
        <w:t xml:space="preserve"> </w:t>
      </w:r>
      <w:r w:rsidRPr="00B07D02">
        <w:rPr>
          <w:rFonts w:eastAsia="Times New Roman" w:cs="Times New Roman"/>
          <w:szCs w:val="26"/>
        </w:rPr>
        <w:t>other</w:t>
      </w:r>
      <w:r w:rsidRPr="00BF759D">
        <w:rPr>
          <w:rFonts w:eastAsia="Times New Roman" w:cs="Times New Roman"/>
          <w:szCs w:val="26"/>
        </w:rPr>
        <w:t xml:space="preserve"> </w:t>
      </w:r>
      <w:r w:rsidRPr="00B07D02">
        <w:rPr>
          <w:rFonts w:eastAsia="Times New Roman" w:cs="Times New Roman"/>
          <w:szCs w:val="26"/>
        </w:rPr>
        <w:t>environmental impacts.</w:t>
      </w:r>
      <w:r w:rsidRPr="00B07D02">
        <w:rPr>
          <w:rFonts w:eastAsia="Times New Roman" w:cs="Times New Roman"/>
          <w:szCs w:val="26"/>
          <w:vertAlign w:val="superscript"/>
        </w:rPr>
        <w:footnoteReference w:id="72"/>
      </w:r>
      <w:r w:rsidRPr="00BF759D">
        <w:rPr>
          <w:rFonts w:eastAsia="Times New Roman" w:cs="Times New Roman"/>
          <w:position w:val="8"/>
          <w:szCs w:val="26"/>
        </w:rPr>
        <w:t xml:space="preserve"> </w:t>
      </w:r>
    </w:p>
    <w:p w:rsidR="00835997" w:rsidP="00831FAB" w:rsidRDefault="00300641" w14:paraId="59BBFB16" w14:textId="3A247E0B">
      <w:pPr>
        <w:pStyle w:val="Standard"/>
        <w:rPr>
          <w:rFonts w:eastAsia="Times New Roman" w:cs="Times New Roman"/>
          <w:szCs w:val="26"/>
        </w:rPr>
      </w:pPr>
      <w:r w:rsidRPr="00B07D02">
        <w:rPr>
          <w:rFonts w:eastAsia="Times New Roman" w:cs="Times New Roman"/>
          <w:szCs w:val="26"/>
        </w:rPr>
        <w:t>Based</w:t>
      </w:r>
      <w:r w:rsidRPr="00BF759D">
        <w:rPr>
          <w:rFonts w:eastAsia="Times New Roman" w:cs="Times New Roman"/>
          <w:w w:val="150"/>
          <w:szCs w:val="26"/>
        </w:rPr>
        <w:t xml:space="preserve"> </w:t>
      </w:r>
      <w:r w:rsidRPr="00B07D02">
        <w:rPr>
          <w:rFonts w:eastAsia="Times New Roman" w:cs="Times New Roman"/>
          <w:szCs w:val="26"/>
        </w:rPr>
        <w:t>on</w:t>
      </w:r>
      <w:r w:rsidRPr="00BF759D">
        <w:rPr>
          <w:rFonts w:eastAsia="Times New Roman" w:cs="Times New Roman"/>
          <w:w w:val="150"/>
          <w:szCs w:val="26"/>
        </w:rPr>
        <w:t xml:space="preserve"> </w:t>
      </w:r>
      <w:r w:rsidRPr="00B07D02">
        <w:rPr>
          <w:rFonts w:eastAsia="Times New Roman" w:cs="Times New Roman"/>
          <w:szCs w:val="26"/>
        </w:rPr>
        <w:t>the</w:t>
      </w:r>
      <w:r w:rsidRPr="00BF759D">
        <w:rPr>
          <w:rFonts w:eastAsia="Times New Roman" w:cs="Times New Roman"/>
          <w:w w:val="150"/>
          <w:szCs w:val="26"/>
        </w:rPr>
        <w:t xml:space="preserve"> </w:t>
      </w:r>
      <w:r w:rsidRPr="00B07D02">
        <w:rPr>
          <w:rFonts w:eastAsia="Times New Roman" w:cs="Times New Roman"/>
          <w:szCs w:val="26"/>
        </w:rPr>
        <w:t>analysis</w:t>
      </w:r>
      <w:r w:rsidRPr="00BF759D">
        <w:rPr>
          <w:rFonts w:eastAsia="Times New Roman" w:cs="Times New Roman"/>
          <w:w w:val="150"/>
          <w:szCs w:val="26"/>
        </w:rPr>
        <w:t xml:space="preserve"> </w:t>
      </w:r>
      <w:r w:rsidRPr="00B07D02">
        <w:rPr>
          <w:rFonts w:eastAsia="Times New Roman" w:cs="Times New Roman"/>
          <w:szCs w:val="26"/>
        </w:rPr>
        <w:t>set</w:t>
      </w:r>
      <w:r w:rsidRPr="00BF759D">
        <w:rPr>
          <w:rFonts w:eastAsia="Times New Roman" w:cs="Times New Roman"/>
          <w:w w:val="150"/>
          <w:szCs w:val="26"/>
        </w:rPr>
        <w:t xml:space="preserve"> </w:t>
      </w:r>
      <w:r w:rsidRPr="00B07D02">
        <w:rPr>
          <w:rFonts w:eastAsia="Times New Roman" w:cs="Times New Roman"/>
          <w:szCs w:val="26"/>
        </w:rPr>
        <w:t>forth</w:t>
      </w:r>
      <w:r w:rsidRPr="00BF759D">
        <w:rPr>
          <w:rFonts w:eastAsia="Times New Roman" w:cs="Times New Roman"/>
          <w:w w:val="150"/>
          <w:szCs w:val="26"/>
        </w:rPr>
        <w:t xml:space="preserve"> </w:t>
      </w:r>
      <w:r w:rsidRPr="00B07D02">
        <w:rPr>
          <w:rFonts w:eastAsia="Times New Roman" w:cs="Times New Roman"/>
          <w:szCs w:val="26"/>
        </w:rPr>
        <w:t>in</w:t>
      </w:r>
      <w:r w:rsidRPr="00BF759D">
        <w:rPr>
          <w:rFonts w:eastAsia="Times New Roman" w:cs="Times New Roman"/>
          <w:w w:val="150"/>
          <w:szCs w:val="26"/>
        </w:rPr>
        <w:t xml:space="preserve"> </w:t>
      </w:r>
      <w:r w:rsidRPr="00B07D02">
        <w:rPr>
          <w:rFonts w:eastAsia="Times New Roman" w:cs="Times New Roman"/>
          <w:szCs w:val="26"/>
        </w:rPr>
        <w:t>the</w:t>
      </w:r>
      <w:r w:rsidRPr="00BF759D">
        <w:rPr>
          <w:rFonts w:eastAsia="Times New Roman" w:cs="Times New Roman"/>
          <w:w w:val="150"/>
          <w:szCs w:val="26"/>
        </w:rPr>
        <w:t xml:space="preserve"> </w:t>
      </w:r>
      <w:r w:rsidR="00FE3554">
        <w:rPr>
          <w:rFonts w:eastAsia="Times New Roman" w:cs="Times New Roman"/>
          <w:szCs w:val="26"/>
        </w:rPr>
        <w:t>ASR</w:t>
      </w:r>
      <w:r w:rsidRPr="00B07D02">
        <w:rPr>
          <w:rFonts w:eastAsia="Times New Roman" w:cs="Times New Roman"/>
          <w:szCs w:val="26"/>
        </w:rPr>
        <w:t>,</w:t>
      </w:r>
      <w:r w:rsidRPr="00BF759D">
        <w:rPr>
          <w:rFonts w:eastAsia="Times New Roman" w:cs="Times New Roman"/>
          <w:w w:val="150"/>
          <w:szCs w:val="26"/>
        </w:rPr>
        <w:t xml:space="preserve"> </w:t>
      </w:r>
      <w:r w:rsidRPr="00BF759D">
        <w:rPr>
          <w:rFonts w:eastAsia="Times New Roman" w:cs="Times New Roman"/>
          <w:szCs w:val="26"/>
        </w:rPr>
        <w:t xml:space="preserve">seven </w:t>
      </w:r>
      <w:r w:rsidRPr="00B07D02">
        <w:rPr>
          <w:rFonts w:eastAsia="Times New Roman" w:cs="Times New Roman"/>
          <w:szCs w:val="26"/>
        </w:rPr>
        <w:t>transmission line alternatives were carried forward for full analysis in the FEIR, including two</w:t>
      </w:r>
      <w:r w:rsidR="002273BE">
        <w:rPr>
          <w:rFonts w:eastAsia="Times New Roman" w:cs="Times New Roman"/>
          <w:szCs w:val="26"/>
        </w:rPr>
        <w:t> </w:t>
      </w:r>
      <w:r w:rsidRPr="00B07D02">
        <w:rPr>
          <w:rFonts w:eastAsia="Times New Roman" w:cs="Times New Roman"/>
          <w:szCs w:val="26"/>
        </w:rPr>
        <w:t>strategic undergrounding alternatives.</w:t>
      </w:r>
      <w:r w:rsidRPr="00B07D02">
        <w:rPr>
          <w:rFonts w:eastAsia="Times New Roman" w:cs="Times New Roman"/>
          <w:szCs w:val="26"/>
          <w:vertAlign w:val="superscript"/>
        </w:rPr>
        <w:footnoteReference w:id="73"/>
      </w:r>
      <w:r w:rsidRPr="00B07D02">
        <w:rPr>
          <w:rFonts w:eastAsia="Times New Roman" w:cs="Times New Roman"/>
          <w:szCs w:val="26"/>
        </w:rPr>
        <w:t xml:space="preserve"> This is a reasonable range of alternatives that was sufficient to permit a reasoned choice.</w:t>
      </w:r>
      <w:r w:rsidRPr="00BF759D">
        <w:rPr>
          <w:rFonts w:eastAsia="Times New Roman" w:cs="Times New Roman"/>
          <w:szCs w:val="26"/>
        </w:rPr>
        <w:t xml:space="preserve"> </w:t>
      </w:r>
      <w:r w:rsidR="00037784">
        <w:rPr>
          <w:rFonts w:eastAsia="Times New Roman" w:cs="Times New Roman"/>
          <w:szCs w:val="26"/>
        </w:rPr>
        <w:t xml:space="preserve">Note, </w:t>
      </w:r>
      <w:r w:rsidRPr="00B07D02">
        <w:rPr>
          <w:rFonts w:eastAsia="Times New Roman" w:cs="Times New Roman"/>
          <w:szCs w:val="26"/>
        </w:rPr>
        <w:t xml:space="preserve">CEQA does not require an agency to consider specific alternatives to a proposed project that are proposed by members of the public or outside </w:t>
      </w:r>
      <w:r w:rsidRPr="00BF759D">
        <w:rPr>
          <w:rFonts w:eastAsia="Times New Roman" w:cs="Times New Roman"/>
          <w:szCs w:val="26"/>
        </w:rPr>
        <w:t>agencies.</w:t>
      </w:r>
      <w:r w:rsidRPr="00BF759D">
        <w:rPr>
          <w:rFonts w:eastAsia="Times New Roman" w:cs="Times New Roman"/>
          <w:szCs w:val="26"/>
          <w:vertAlign w:val="superscript"/>
        </w:rPr>
        <w:footnoteReference w:id="74"/>
      </w:r>
      <w:r w:rsidRPr="00B07D02">
        <w:rPr>
          <w:rFonts w:eastAsia="Times New Roman" w:cs="Times New Roman"/>
          <w:szCs w:val="26"/>
        </w:rPr>
        <w:t xml:space="preserve"> An</w:t>
      </w:r>
      <w:r w:rsidRPr="00BF759D">
        <w:rPr>
          <w:rFonts w:eastAsia="Times New Roman" w:cs="Times New Roman"/>
          <w:szCs w:val="26"/>
        </w:rPr>
        <w:t xml:space="preserve"> </w:t>
      </w:r>
      <w:r w:rsidRPr="00B07D02">
        <w:rPr>
          <w:rFonts w:eastAsia="Times New Roman" w:cs="Times New Roman"/>
          <w:szCs w:val="26"/>
        </w:rPr>
        <w:t>agency’s</w:t>
      </w:r>
      <w:r w:rsidRPr="00BF759D">
        <w:rPr>
          <w:rFonts w:eastAsia="Times New Roman" w:cs="Times New Roman"/>
          <w:szCs w:val="26"/>
        </w:rPr>
        <w:t xml:space="preserve"> </w:t>
      </w:r>
      <w:r w:rsidRPr="00B07D02">
        <w:rPr>
          <w:rFonts w:eastAsia="Times New Roman" w:cs="Times New Roman"/>
          <w:szCs w:val="26"/>
        </w:rPr>
        <w:t>discretion</w:t>
      </w:r>
      <w:r w:rsidRPr="00BF759D">
        <w:rPr>
          <w:rFonts w:eastAsia="Times New Roman" w:cs="Times New Roman"/>
          <w:szCs w:val="26"/>
        </w:rPr>
        <w:t xml:space="preserve"> </w:t>
      </w:r>
      <w:r w:rsidRPr="00B07D02">
        <w:rPr>
          <w:rFonts w:eastAsia="Times New Roman" w:cs="Times New Roman"/>
          <w:szCs w:val="26"/>
        </w:rPr>
        <w:t>to</w:t>
      </w:r>
      <w:r w:rsidRPr="00BF759D">
        <w:rPr>
          <w:rFonts w:eastAsia="Times New Roman" w:cs="Times New Roman"/>
          <w:szCs w:val="26"/>
        </w:rPr>
        <w:t xml:space="preserve"> </w:t>
      </w:r>
      <w:r w:rsidRPr="00B07D02">
        <w:rPr>
          <w:rFonts w:eastAsia="Times New Roman" w:cs="Times New Roman"/>
          <w:szCs w:val="26"/>
        </w:rPr>
        <w:t>choose</w:t>
      </w:r>
      <w:r w:rsidRPr="00BF759D">
        <w:rPr>
          <w:rFonts w:eastAsia="Times New Roman" w:cs="Times New Roman"/>
          <w:szCs w:val="26"/>
        </w:rPr>
        <w:t xml:space="preserve"> </w:t>
      </w:r>
      <w:r w:rsidRPr="00B07D02">
        <w:rPr>
          <w:rFonts w:eastAsia="Times New Roman" w:cs="Times New Roman"/>
          <w:szCs w:val="26"/>
        </w:rPr>
        <w:t>alternatives</w:t>
      </w:r>
      <w:r w:rsidRPr="00BF759D">
        <w:rPr>
          <w:rFonts w:eastAsia="Times New Roman" w:cs="Times New Roman"/>
          <w:szCs w:val="26"/>
        </w:rPr>
        <w:t xml:space="preserve"> </w:t>
      </w:r>
      <w:r w:rsidRPr="00B07D02">
        <w:rPr>
          <w:rFonts w:eastAsia="Times New Roman" w:cs="Times New Roman"/>
          <w:szCs w:val="26"/>
        </w:rPr>
        <w:t>for</w:t>
      </w:r>
      <w:r w:rsidRPr="00BF759D">
        <w:rPr>
          <w:rFonts w:eastAsia="Times New Roman" w:cs="Times New Roman"/>
          <w:szCs w:val="26"/>
        </w:rPr>
        <w:t xml:space="preserve"> </w:t>
      </w:r>
      <w:r w:rsidRPr="00B07D02">
        <w:rPr>
          <w:rFonts w:eastAsia="Times New Roman" w:cs="Times New Roman"/>
          <w:szCs w:val="26"/>
        </w:rPr>
        <w:t>study</w:t>
      </w:r>
      <w:r w:rsidRPr="00BF759D">
        <w:rPr>
          <w:rFonts w:eastAsia="Times New Roman" w:cs="Times New Roman"/>
          <w:szCs w:val="26"/>
        </w:rPr>
        <w:t xml:space="preserve"> </w:t>
      </w:r>
      <w:r w:rsidRPr="00B07D02">
        <w:rPr>
          <w:rFonts w:eastAsia="Times New Roman" w:cs="Times New Roman"/>
          <w:szCs w:val="26"/>
        </w:rPr>
        <w:t>will</w:t>
      </w:r>
      <w:r w:rsidRPr="00BF759D">
        <w:rPr>
          <w:rFonts w:eastAsia="Times New Roman" w:cs="Times New Roman"/>
          <w:szCs w:val="26"/>
        </w:rPr>
        <w:t xml:space="preserve"> </w:t>
      </w:r>
      <w:r w:rsidRPr="00B07D02">
        <w:rPr>
          <w:rFonts w:eastAsia="Times New Roman" w:cs="Times New Roman"/>
          <w:szCs w:val="26"/>
        </w:rPr>
        <w:t>be</w:t>
      </w:r>
      <w:r w:rsidRPr="00BF759D">
        <w:rPr>
          <w:rFonts w:eastAsia="Times New Roman" w:cs="Times New Roman"/>
          <w:szCs w:val="26"/>
        </w:rPr>
        <w:t xml:space="preserve"> </w:t>
      </w:r>
      <w:r w:rsidRPr="00B07D02">
        <w:rPr>
          <w:rFonts w:eastAsia="Times New Roman" w:cs="Times New Roman"/>
          <w:szCs w:val="26"/>
        </w:rPr>
        <w:t>upheld</w:t>
      </w:r>
      <w:r w:rsidRPr="00BF759D">
        <w:rPr>
          <w:rFonts w:eastAsia="Times New Roman" w:cs="Times New Roman"/>
          <w:szCs w:val="26"/>
        </w:rPr>
        <w:t xml:space="preserve"> </w:t>
      </w:r>
      <w:r w:rsidRPr="00B07D02">
        <w:rPr>
          <w:rFonts w:eastAsia="Times New Roman" w:cs="Times New Roman"/>
          <w:szCs w:val="26"/>
        </w:rPr>
        <w:t>as</w:t>
      </w:r>
      <w:r w:rsidRPr="00BF759D">
        <w:rPr>
          <w:rFonts w:eastAsia="Times New Roman" w:cs="Times New Roman"/>
          <w:szCs w:val="26"/>
        </w:rPr>
        <w:t xml:space="preserve"> </w:t>
      </w:r>
      <w:r w:rsidRPr="00B07D02">
        <w:rPr>
          <w:rFonts w:eastAsia="Times New Roman" w:cs="Times New Roman"/>
          <w:szCs w:val="26"/>
        </w:rPr>
        <w:t>long</w:t>
      </w:r>
      <w:r w:rsidRPr="00BF759D">
        <w:rPr>
          <w:rFonts w:eastAsia="Times New Roman" w:cs="Times New Roman"/>
          <w:szCs w:val="26"/>
        </w:rPr>
        <w:t xml:space="preserve"> </w:t>
      </w:r>
      <w:r w:rsidRPr="00B07D02">
        <w:rPr>
          <w:rFonts w:eastAsia="Times New Roman" w:cs="Times New Roman"/>
          <w:szCs w:val="26"/>
        </w:rPr>
        <w:t>as</w:t>
      </w:r>
      <w:r w:rsidRPr="00BF759D">
        <w:rPr>
          <w:rFonts w:eastAsia="Times New Roman" w:cs="Times New Roman"/>
          <w:szCs w:val="26"/>
        </w:rPr>
        <w:t xml:space="preserve"> </w:t>
      </w:r>
      <w:r w:rsidRPr="00B07D02">
        <w:rPr>
          <w:rFonts w:eastAsia="Times New Roman" w:cs="Times New Roman"/>
          <w:szCs w:val="26"/>
        </w:rPr>
        <w:t>there</w:t>
      </w:r>
      <w:r w:rsidRPr="00BF759D">
        <w:rPr>
          <w:rFonts w:eastAsia="Times New Roman" w:cs="Times New Roman"/>
          <w:szCs w:val="26"/>
        </w:rPr>
        <w:t xml:space="preserve"> </w:t>
      </w:r>
      <w:r w:rsidRPr="00B07D02">
        <w:rPr>
          <w:rFonts w:eastAsia="Times New Roman" w:cs="Times New Roman"/>
          <w:szCs w:val="26"/>
        </w:rPr>
        <w:t>is a reasonable basis for the choices it has made.</w:t>
      </w:r>
      <w:r w:rsidRPr="00B07D02">
        <w:rPr>
          <w:rFonts w:eastAsia="Times New Roman" w:cs="Times New Roman"/>
          <w:szCs w:val="26"/>
          <w:vertAlign w:val="superscript"/>
        </w:rPr>
        <w:footnoteReference w:id="75"/>
      </w:r>
      <w:r w:rsidRPr="00BF759D">
        <w:rPr>
          <w:rFonts w:eastAsia="Times New Roman" w:cs="Times New Roman"/>
          <w:position w:val="8"/>
          <w:szCs w:val="26"/>
        </w:rPr>
        <w:t xml:space="preserve"> </w:t>
      </w:r>
    </w:p>
    <w:p w:rsidR="00FF5DE9" w:rsidP="00831FAB" w:rsidRDefault="00835997" w14:paraId="560B71FF" w14:textId="1F41DE22">
      <w:pPr>
        <w:pStyle w:val="Standard"/>
        <w:rPr>
          <w:rFonts w:eastAsia="Times New Roman" w:cs="Times New Roman"/>
          <w:szCs w:val="26"/>
        </w:rPr>
      </w:pPr>
      <w:r>
        <w:rPr>
          <w:rFonts w:eastAsia="Times New Roman" w:cs="Times New Roman"/>
          <w:szCs w:val="26"/>
        </w:rPr>
        <w:t>Here, t</w:t>
      </w:r>
      <w:r w:rsidRPr="00B07D02" w:rsidR="00300641">
        <w:rPr>
          <w:rFonts w:eastAsia="Times New Roman" w:cs="Times New Roman"/>
          <w:szCs w:val="26"/>
        </w:rPr>
        <w:t>he FEIR provides a reasonable basis for selecting two strategic undergrounding alternatives rather than an alternative that undergrounds all of the new and existing 70</w:t>
      </w:r>
      <w:r w:rsidR="00DC5A1D">
        <w:rPr>
          <w:rFonts w:eastAsia="Times New Roman" w:cs="Times New Roman"/>
          <w:szCs w:val="26"/>
        </w:rPr>
        <w:t> kV</w:t>
      </w:r>
      <w:r w:rsidRPr="00B07D02" w:rsidR="00300641">
        <w:rPr>
          <w:rFonts w:eastAsia="Times New Roman" w:cs="Times New Roman"/>
          <w:szCs w:val="26"/>
        </w:rPr>
        <w:t xml:space="preserve"> lines as CURE seeks to require.</w:t>
      </w:r>
      <w:r w:rsidRPr="00BF759D" w:rsidR="00300641">
        <w:rPr>
          <w:rFonts w:eastAsia="Times New Roman" w:cs="Times New Roman"/>
          <w:szCs w:val="26"/>
        </w:rPr>
        <w:t xml:space="preserve"> </w:t>
      </w:r>
      <w:r w:rsidRPr="00B07D02" w:rsidR="00300641">
        <w:rPr>
          <w:rFonts w:eastAsia="Times New Roman" w:cs="Times New Roman"/>
          <w:szCs w:val="26"/>
        </w:rPr>
        <w:t>The FEIR explains that strategic undergrounding was considered to avoid or reduce one or more of the originally Proposed Project’s significant environmental effects, which is why the undergrounded portion was considered for the areas with the greatest aesthetic and other environmental impacts.</w:t>
      </w:r>
      <w:r w:rsidRPr="00B07D02" w:rsidR="00300641">
        <w:rPr>
          <w:rFonts w:eastAsia="Times New Roman" w:cs="Times New Roman"/>
          <w:szCs w:val="26"/>
          <w:vertAlign w:val="superscript"/>
        </w:rPr>
        <w:footnoteReference w:id="76"/>
      </w:r>
      <w:r w:rsidRPr="00B07D02" w:rsidR="00300641">
        <w:rPr>
          <w:rFonts w:eastAsia="Times New Roman" w:cs="Times New Roman"/>
          <w:szCs w:val="26"/>
        </w:rPr>
        <w:t xml:space="preserve"> </w:t>
      </w:r>
    </w:p>
    <w:p w:rsidR="00FF5DE9" w:rsidP="00831FAB" w:rsidRDefault="00300641" w14:paraId="6AE2B71D" w14:textId="378D025C">
      <w:pPr>
        <w:pStyle w:val="Standard"/>
        <w:rPr>
          <w:rFonts w:eastAsia="Times New Roman" w:cs="Times New Roman"/>
          <w:szCs w:val="26"/>
        </w:rPr>
      </w:pPr>
      <w:r w:rsidRPr="00B07D02">
        <w:rPr>
          <w:rFonts w:eastAsia="Times New Roman" w:cs="Times New Roman"/>
          <w:szCs w:val="26"/>
        </w:rPr>
        <w:t>Undergrounding was not considered for the reconductoring segment of the 70</w:t>
      </w:r>
      <w:r w:rsidR="00DC5A1D">
        <w:rPr>
          <w:rFonts w:eastAsia="Times New Roman" w:cs="Times New Roman"/>
          <w:szCs w:val="26"/>
        </w:rPr>
        <w:t> kV</w:t>
      </w:r>
      <w:r w:rsidRPr="00B07D02">
        <w:rPr>
          <w:rFonts w:eastAsia="Times New Roman" w:cs="Times New Roman"/>
          <w:szCs w:val="26"/>
        </w:rPr>
        <w:t xml:space="preserve"> power line because impacts of the existing line are part of existing conditions and an alternatives analysis need not, and should not, consider the </w:t>
      </w:r>
      <w:r w:rsidRPr="00B07D02">
        <w:rPr>
          <w:rFonts w:eastAsia="Times New Roman" w:cs="Times New Roman"/>
          <w:szCs w:val="26"/>
        </w:rPr>
        <w:lastRenderedPageBreak/>
        <w:t>avoidance or</w:t>
      </w:r>
      <w:r w:rsidRPr="00BF759D">
        <w:rPr>
          <w:rFonts w:eastAsia="Times New Roman" w:cs="Times New Roman"/>
          <w:szCs w:val="26"/>
        </w:rPr>
        <w:t xml:space="preserve"> </w:t>
      </w:r>
      <w:r w:rsidRPr="00B07D02">
        <w:rPr>
          <w:rFonts w:eastAsia="Times New Roman" w:cs="Times New Roman"/>
          <w:szCs w:val="26"/>
        </w:rPr>
        <w:t xml:space="preserve">reduction of significant, </w:t>
      </w:r>
      <w:r w:rsidR="00407440">
        <w:rPr>
          <w:rFonts w:eastAsia="Times New Roman" w:cs="Times New Roman"/>
          <w:szCs w:val="26"/>
        </w:rPr>
        <w:t>pre-</w:t>
      </w:r>
      <w:r w:rsidRPr="00B07D02">
        <w:rPr>
          <w:rFonts w:eastAsia="Times New Roman" w:cs="Times New Roman"/>
          <w:szCs w:val="26"/>
        </w:rPr>
        <w:t>existing impacts to the environment since those are part of the baseline conditions.</w:t>
      </w:r>
      <w:r w:rsidRPr="00BF759D">
        <w:rPr>
          <w:rFonts w:eastAsia="Times New Roman" w:cs="Times New Roman"/>
          <w:szCs w:val="26"/>
        </w:rPr>
        <w:t xml:space="preserve"> </w:t>
      </w:r>
    </w:p>
    <w:p w:rsidR="00300641" w:rsidP="00831FAB" w:rsidRDefault="00300641" w14:paraId="18F6B03A" w14:textId="74F23476">
      <w:pPr>
        <w:pStyle w:val="Standard"/>
        <w:rPr>
          <w:rFonts w:eastAsia="Times New Roman" w:cs="Times New Roman"/>
          <w:szCs w:val="26"/>
        </w:rPr>
      </w:pPr>
      <w:r w:rsidRPr="00831FAB">
        <w:t>The</w:t>
      </w:r>
      <w:r w:rsidRPr="00B07D02">
        <w:rPr>
          <w:rFonts w:eastAsia="Times New Roman" w:cs="Times New Roman"/>
          <w:szCs w:val="26"/>
        </w:rPr>
        <w:t xml:space="preserve"> FEIR </w:t>
      </w:r>
      <w:r w:rsidR="00C622A4">
        <w:rPr>
          <w:rFonts w:eastAsia="Times New Roman" w:cs="Times New Roman"/>
          <w:szCs w:val="26"/>
        </w:rPr>
        <w:t xml:space="preserve">reasonably </w:t>
      </w:r>
      <w:r w:rsidRPr="00B07D02">
        <w:rPr>
          <w:rFonts w:eastAsia="Times New Roman" w:cs="Times New Roman"/>
          <w:szCs w:val="26"/>
        </w:rPr>
        <w:t>concludes: “Therefore it would be improper to consider undergrounding or relocating poles for the reconductoring segment to address such existing concerns.”</w:t>
      </w:r>
      <w:r w:rsidRPr="00B07D02">
        <w:rPr>
          <w:rFonts w:eastAsia="Times New Roman" w:cs="Times New Roman"/>
          <w:szCs w:val="26"/>
          <w:vertAlign w:val="superscript"/>
        </w:rPr>
        <w:footnoteReference w:id="77"/>
      </w:r>
      <w:r w:rsidRPr="00B07D02">
        <w:rPr>
          <w:rFonts w:eastAsia="Times New Roman" w:cs="Times New Roman"/>
          <w:szCs w:val="26"/>
        </w:rPr>
        <w:t xml:space="preserve"> </w:t>
      </w:r>
    </w:p>
    <w:p w:rsidRPr="00B07D02" w:rsidR="009D3E5D" w:rsidP="0030780A" w:rsidRDefault="009D3E5D" w14:paraId="2A7C68C0" w14:textId="077D2697">
      <w:pPr>
        <w:pStyle w:val="Heading3"/>
      </w:pPr>
      <w:bookmarkStart w:name="_Toc164685421" w:id="173"/>
      <w:r>
        <w:t>Project Impact Reduction Argument</w:t>
      </w:r>
      <w:bookmarkEnd w:id="173"/>
    </w:p>
    <w:p w:rsidR="0097728F" w:rsidP="00831FAB" w:rsidRDefault="00495387" w14:paraId="71B8292A" w14:textId="2CEBC21B">
      <w:pPr>
        <w:pStyle w:val="Standard"/>
        <w:rPr>
          <w:rFonts w:eastAsia="Times New Roman" w:cs="Times New Roman"/>
          <w:szCs w:val="26"/>
        </w:rPr>
      </w:pPr>
      <w:r>
        <w:rPr>
          <w:rFonts w:eastAsia="Times New Roman" w:cs="Times New Roman"/>
          <w:szCs w:val="26"/>
        </w:rPr>
        <w:t>CURE’s argument that</w:t>
      </w:r>
      <w:r w:rsidR="005D211E">
        <w:rPr>
          <w:rFonts w:eastAsia="Times New Roman" w:cs="Times New Roman"/>
          <w:szCs w:val="26"/>
        </w:rPr>
        <w:t xml:space="preserve"> environmental impact would have been </w:t>
      </w:r>
      <w:r w:rsidR="00060D3F">
        <w:rPr>
          <w:rFonts w:eastAsia="Times New Roman" w:cs="Times New Roman"/>
          <w:szCs w:val="26"/>
        </w:rPr>
        <w:t xml:space="preserve">reduced with its </w:t>
      </w:r>
      <w:r w:rsidR="0036789D">
        <w:rPr>
          <w:rFonts w:eastAsia="Times New Roman" w:cs="Times New Roman"/>
          <w:szCs w:val="26"/>
        </w:rPr>
        <w:t>undergrounding</w:t>
      </w:r>
      <w:r w:rsidR="00060D3F">
        <w:rPr>
          <w:rFonts w:eastAsia="Times New Roman" w:cs="Times New Roman"/>
          <w:szCs w:val="26"/>
        </w:rPr>
        <w:t xml:space="preserve"> </w:t>
      </w:r>
      <w:r w:rsidR="00E261F0">
        <w:rPr>
          <w:rFonts w:eastAsia="Times New Roman" w:cs="Times New Roman"/>
          <w:szCs w:val="26"/>
        </w:rPr>
        <w:t>prop</w:t>
      </w:r>
      <w:r w:rsidR="00C06DE0">
        <w:rPr>
          <w:rFonts w:eastAsia="Times New Roman" w:cs="Times New Roman"/>
          <w:szCs w:val="26"/>
        </w:rPr>
        <w:t xml:space="preserve">osal </w:t>
      </w:r>
      <w:r w:rsidR="0036789D">
        <w:rPr>
          <w:rFonts w:eastAsia="Times New Roman" w:cs="Times New Roman"/>
          <w:szCs w:val="26"/>
        </w:rPr>
        <w:t xml:space="preserve">is unpersuasive. </w:t>
      </w:r>
      <w:r w:rsidR="009D3E5D">
        <w:rPr>
          <w:rFonts w:eastAsia="Times New Roman" w:cs="Times New Roman"/>
          <w:szCs w:val="26"/>
        </w:rPr>
        <w:t>A</w:t>
      </w:r>
      <w:r w:rsidRPr="00B07D02" w:rsidR="00300641">
        <w:rPr>
          <w:rFonts w:eastAsia="Times New Roman" w:cs="Times New Roman"/>
          <w:szCs w:val="26"/>
        </w:rPr>
        <w:t xml:space="preserve">s discussed in earlier sections of this decision, such undergrounding would not eliminate significant project impacts. In fact, the FEIR evaluated strategic undergrounding as part of Alternative PLR-3 (Options 1 and 2) and determined that the undergrounding alternatives would not reduce all of the significant environmental effects of the Proposed Project, especially when compared with the environmentally superior alternative. </w:t>
      </w:r>
    </w:p>
    <w:p w:rsidR="00300641" w:rsidP="00831FAB" w:rsidRDefault="00300641" w14:paraId="750640DC" w14:textId="2479DA4B">
      <w:pPr>
        <w:pStyle w:val="Standard"/>
        <w:rPr>
          <w:rFonts w:eastAsia="Times New Roman" w:cs="Times New Roman"/>
          <w:szCs w:val="26"/>
        </w:rPr>
      </w:pPr>
      <w:r w:rsidRPr="00B07D02">
        <w:rPr>
          <w:rFonts w:eastAsia="Times New Roman" w:cs="Times New Roman"/>
          <w:szCs w:val="26"/>
        </w:rPr>
        <w:t xml:space="preserve">Strategic undergrounding would have significant and unavoidable impacts in the areas of air quality and noise, just like the originally proposed project and the environmentally superior alternative. Alternative PLR-1A, a component of the environmentally superior alterative (Alternative Combination #2) reduces aesthetic impacts of the transmission line to a less than significant level, making it unnecessary to adopt another alternative or reduce aesthetic impacts for the transmission line portion of the Proposed Project. </w:t>
      </w:r>
    </w:p>
    <w:p w:rsidRPr="00B07D02" w:rsidR="00300641" w:rsidP="00831FAB" w:rsidRDefault="00300641" w14:paraId="4AD37211" w14:textId="7F5B0B70">
      <w:pPr>
        <w:pStyle w:val="Standard"/>
        <w:rPr>
          <w:rFonts w:eastAsia="Times New Roman" w:cs="Times New Roman"/>
          <w:szCs w:val="26"/>
        </w:rPr>
      </w:pPr>
      <w:r w:rsidRPr="00B07D02">
        <w:rPr>
          <w:rFonts w:eastAsia="Times New Roman" w:cs="Times New Roman"/>
          <w:szCs w:val="26"/>
        </w:rPr>
        <w:t xml:space="preserve">While strategic undergrounding lessens agricultural impacts of the transmission line component (one area of potential environmental improvement), this would not be true if the entire transmission line were </w:t>
      </w:r>
      <w:r w:rsidRPr="00B07D02">
        <w:rPr>
          <w:rFonts w:eastAsia="Times New Roman" w:cs="Times New Roman"/>
          <w:szCs w:val="26"/>
        </w:rPr>
        <w:lastRenderedPageBreak/>
        <w:t>undergrounded in the same route as Alternative PLR-1A as CURE suggests because that route has farmland impacts. Substantial evidence</w:t>
      </w:r>
      <w:r w:rsidR="00151053">
        <w:rPr>
          <w:rStyle w:val="FootnoteReference"/>
          <w:rFonts w:eastAsia="Times New Roman" w:cs="Times New Roman"/>
          <w:szCs w:val="26"/>
        </w:rPr>
        <w:footnoteReference w:id="78"/>
      </w:r>
      <w:r w:rsidRPr="00B07D02">
        <w:rPr>
          <w:rFonts w:eastAsia="Times New Roman" w:cs="Times New Roman"/>
          <w:szCs w:val="26"/>
        </w:rPr>
        <w:t xml:space="preserve"> also shows that undergrounding has other impacts</w:t>
      </w:r>
      <w:r w:rsidR="002067F1">
        <w:rPr>
          <w:rFonts w:eastAsia="Times New Roman" w:cs="Times New Roman"/>
          <w:szCs w:val="26"/>
        </w:rPr>
        <w:t xml:space="preserve"> </w:t>
      </w:r>
      <w:r w:rsidRPr="00B07D02">
        <w:rPr>
          <w:rFonts w:eastAsia="Times New Roman" w:cs="Times New Roman"/>
          <w:szCs w:val="26"/>
        </w:rPr>
        <w:t>due to the use of hazardous materials, greater ground disturbance, elevated noise levels, and potential biological and cultural</w:t>
      </w:r>
      <w:r w:rsidR="00C72ECA">
        <w:rPr>
          <w:rFonts w:eastAsia="Times New Roman" w:cs="Times New Roman"/>
          <w:szCs w:val="26"/>
        </w:rPr>
        <w:t xml:space="preserve"> resource</w:t>
      </w:r>
      <w:r w:rsidRPr="00B07D02">
        <w:rPr>
          <w:rFonts w:eastAsia="Times New Roman" w:cs="Times New Roman"/>
          <w:szCs w:val="26"/>
        </w:rPr>
        <w:t xml:space="preserve"> impacts. The FEIR therefore concluded that Alternative PLR-1A plus reconductoring, on balance, comprise the environmentally superior transmission line alternative.</w:t>
      </w:r>
      <w:r w:rsidR="004201A5">
        <w:rPr>
          <w:rStyle w:val="FootnoteReference"/>
          <w:rFonts w:eastAsia="Times New Roman" w:cs="Times New Roman"/>
          <w:szCs w:val="26"/>
        </w:rPr>
        <w:footnoteReference w:id="79"/>
      </w:r>
    </w:p>
    <w:p w:rsidR="00C27DDE" w:rsidP="00831FAB" w:rsidRDefault="00300641" w14:paraId="7C0A7A6C" w14:textId="2B85AE0B">
      <w:pPr>
        <w:pStyle w:val="Standard"/>
        <w:rPr>
          <w:rFonts w:eastAsia="Times New Roman" w:cs="Times New Roman"/>
          <w:szCs w:val="26"/>
        </w:rPr>
      </w:pPr>
      <w:r w:rsidRPr="00B07D02">
        <w:rPr>
          <w:rFonts w:eastAsia="Times New Roman" w:cs="Times New Roman"/>
          <w:szCs w:val="26"/>
        </w:rPr>
        <w:t xml:space="preserve">CURE </w:t>
      </w:r>
      <w:r>
        <w:rPr>
          <w:rFonts w:eastAsia="Times New Roman" w:cs="Times New Roman"/>
          <w:szCs w:val="26"/>
        </w:rPr>
        <w:t xml:space="preserve">also </w:t>
      </w:r>
      <w:r w:rsidRPr="00B07D02">
        <w:rPr>
          <w:rFonts w:eastAsia="Times New Roman" w:cs="Times New Roman"/>
          <w:szCs w:val="26"/>
        </w:rPr>
        <w:t>contends that its “full” undergrounding proposal is feasible as an alternative to Alternative PLR-1A, or as additional mitigation to lessen significant impacts.</w:t>
      </w:r>
      <w:r w:rsidRPr="00B07D02">
        <w:rPr>
          <w:rFonts w:eastAsia="Times New Roman" w:cs="Times New Roman"/>
          <w:szCs w:val="26"/>
          <w:vertAlign w:val="superscript"/>
        </w:rPr>
        <w:footnoteReference w:id="80"/>
      </w:r>
      <w:r w:rsidRPr="00B07D02">
        <w:rPr>
          <w:rFonts w:eastAsia="Times New Roman" w:cs="Times New Roman"/>
          <w:position w:val="8"/>
          <w:szCs w:val="26"/>
        </w:rPr>
        <w:t xml:space="preserve"> </w:t>
      </w:r>
      <w:r w:rsidRPr="00B07D02">
        <w:rPr>
          <w:rFonts w:eastAsia="Times New Roman" w:cs="Times New Roman"/>
          <w:szCs w:val="26"/>
        </w:rPr>
        <w:t>Th</w:t>
      </w:r>
      <w:r w:rsidR="008B4670">
        <w:rPr>
          <w:rFonts w:eastAsia="Times New Roman" w:cs="Times New Roman"/>
          <w:szCs w:val="26"/>
        </w:rPr>
        <w:t xml:space="preserve">at </w:t>
      </w:r>
      <w:r w:rsidR="002273BE">
        <w:rPr>
          <w:rFonts w:eastAsia="Times New Roman" w:cs="Times New Roman"/>
          <w:szCs w:val="26"/>
        </w:rPr>
        <w:t>m</w:t>
      </w:r>
      <w:r w:rsidR="00325E91">
        <w:rPr>
          <w:rFonts w:eastAsia="Times New Roman" w:cs="Times New Roman"/>
          <w:szCs w:val="26"/>
        </w:rPr>
        <w:t>ay</w:t>
      </w:r>
      <w:r w:rsidR="002273BE">
        <w:rPr>
          <w:rFonts w:eastAsia="Times New Roman" w:cs="Times New Roman"/>
          <w:szCs w:val="26"/>
        </w:rPr>
        <w:t xml:space="preserve"> </w:t>
      </w:r>
      <w:r w:rsidR="008B4670">
        <w:rPr>
          <w:rFonts w:eastAsia="Times New Roman" w:cs="Times New Roman"/>
          <w:szCs w:val="26"/>
        </w:rPr>
        <w:t xml:space="preserve">or </w:t>
      </w:r>
      <w:r w:rsidR="002273BE">
        <w:rPr>
          <w:rFonts w:eastAsia="Times New Roman" w:cs="Times New Roman"/>
          <w:szCs w:val="26"/>
        </w:rPr>
        <w:t>m</w:t>
      </w:r>
      <w:r w:rsidR="00325E91">
        <w:rPr>
          <w:rFonts w:eastAsia="Times New Roman" w:cs="Times New Roman"/>
          <w:szCs w:val="26"/>
        </w:rPr>
        <w:t>ay</w:t>
      </w:r>
      <w:r w:rsidR="002273BE">
        <w:rPr>
          <w:rFonts w:eastAsia="Times New Roman" w:cs="Times New Roman"/>
          <w:szCs w:val="26"/>
        </w:rPr>
        <w:t> </w:t>
      </w:r>
      <w:r w:rsidR="008B4670">
        <w:rPr>
          <w:rFonts w:eastAsia="Times New Roman" w:cs="Times New Roman"/>
          <w:szCs w:val="26"/>
        </w:rPr>
        <w:t xml:space="preserve">not be the case, </w:t>
      </w:r>
      <w:r w:rsidR="00356933">
        <w:rPr>
          <w:rFonts w:eastAsia="Times New Roman" w:cs="Times New Roman"/>
          <w:szCs w:val="26"/>
        </w:rPr>
        <w:t xml:space="preserve">but </w:t>
      </w:r>
      <w:r w:rsidR="00D44AAB">
        <w:rPr>
          <w:rFonts w:eastAsia="Times New Roman" w:cs="Times New Roman"/>
          <w:szCs w:val="26"/>
        </w:rPr>
        <w:t>does not change the fact that th</w:t>
      </w:r>
      <w:r w:rsidRPr="00B07D02">
        <w:rPr>
          <w:rFonts w:eastAsia="Times New Roman" w:cs="Times New Roman"/>
          <w:szCs w:val="26"/>
        </w:rPr>
        <w:t>e Commission</w:t>
      </w:r>
      <w:r>
        <w:rPr>
          <w:rFonts w:eastAsia="Times New Roman" w:cs="Times New Roman"/>
          <w:szCs w:val="26"/>
        </w:rPr>
        <w:t xml:space="preserve"> </w:t>
      </w:r>
      <w:r w:rsidRPr="00B07D02">
        <w:rPr>
          <w:rFonts w:eastAsia="Times New Roman" w:cs="Times New Roman"/>
          <w:szCs w:val="26"/>
        </w:rPr>
        <w:t xml:space="preserve">is not required to consider undergrounding as an alternative or as mitigation for the reasons </w:t>
      </w:r>
      <w:r w:rsidR="00D44AAB">
        <w:rPr>
          <w:rFonts w:eastAsia="Times New Roman" w:cs="Times New Roman"/>
          <w:szCs w:val="26"/>
        </w:rPr>
        <w:t xml:space="preserve">thoroughly </w:t>
      </w:r>
      <w:r w:rsidRPr="00B07D02">
        <w:rPr>
          <w:rFonts w:eastAsia="Times New Roman" w:cs="Times New Roman"/>
          <w:szCs w:val="26"/>
        </w:rPr>
        <w:t xml:space="preserve">explained </w:t>
      </w:r>
      <w:r w:rsidR="00D44AAB">
        <w:rPr>
          <w:rFonts w:eastAsia="Times New Roman" w:cs="Times New Roman"/>
          <w:szCs w:val="26"/>
        </w:rPr>
        <w:t>in the FEIR and this decision</w:t>
      </w:r>
      <w:r w:rsidR="00C27DDE">
        <w:rPr>
          <w:rFonts w:eastAsia="Times New Roman" w:cs="Times New Roman"/>
          <w:szCs w:val="26"/>
        </w:rPr>
        <w:t xml:space="preserve">. </w:t>
      </w:r>
    </w:p>
    <w:p w:rsidR="00DE42AC" w:rsidP="00831FAB" w:rsidRDefault="004C0605" w14:paraId="150F07C8" w14:textId="20F9984E">
      <w:pPr>
        <w:pStyle w:val="Standard"/>
        <w:rPr>
          <w:rFonts w:eastAsia="Times New Roman" w:cs="Times New Roman"/>
          <w:position w:val="8"/>
          <w:szCs w:val="26"/>
        </w:rPr>
      </w:pPr>
      <w:r>
        <w:rPr>
          <w:rFonts w:eastAsia="Times New Roman" w:cs="Times New Roman"/>
          <w:szCs w:val="26"/>
        </w:rPr>
        <w:t>In reviewing the</w:t>
      </w:r>
      <w:r w:rsidRPr="00DB5D5C" w:rsidR="00C27DDE">
        <w:rPr>
          <w:rFonts w:eastAsia="Times New Roman" w:cs="Times New Roman"/>
          <w:szCs w:val="26"/>
        </w:rPr>
        <w:t xml:space="preserve"> FEIR</w:t>
      </w:r>
      <w:r>
        <w:rPr>
          <w:rFonts w:eastAsia="Times New Roman" w:cs="Times New Roman"/>
          <w:szCs w:val="26"/>
        </w:rPr>
        <w:t xml:space="preserve">, we note </w:t>
      </w:r>
      <w:r w:rsidRPr="00DB5D5C" w:rsidR="00C27DDE">
        <w:rPr>
          <w:rFonts w:eastAsia="Times New Roman" w:cs="Times New Roman"/>
          <w:szCs w:val="26"/>
        </w:rPr>
        <w:t>that undergrounding does not necessarily reduce project</w:t>
      </w:r>
      <w:r w:rsidRPr="00BF759D" w:rsidR="00C27DDE">
        <w:rPr>
          <w:rFonts w:eastAsia="Times New Roman" w:cs="Times New Roman"/>
          <w:szCs w:val="26"/>
        </w:rPr>
        <w:t xml:space="preserve"> </w:t>
      </w:r>
      <w:r w:rsidRPr="00DB5D5C" w:rsidR="00C27DDE">
        <w:rPr>
          <w:rFonts w:eastAsia="Times New Roman" w:cs="Times New Roman"/>
          <w:szCs w:val="26"/>
        </w:rPr>
        <w:t>impacts.</w:t>
      </w:r>
      <w:r w:rsidRPr="00BF759D" w:rsidR="00C27DDE">
        <w:rPr>
          <w:rFonts w:eastAsia="Times New Roman" w:cs="Times New Roman"/>
          <w:szCs w:val="26"/>
        </w:rPr>
        <w:t xml:space="preserve"> </w:t>
      </w:r>
      <w:r w:rsidRPr="00DB5D5C" w:rsidR="00C27DDE">
        <w:rPr>
          <w:rFonts w:eastAsia="Times New Roman" w:cs="Times New Roman"/>
          <w:szCs w:val="26"/>
        </w:rPr>
        <w:t>Undergrounding</w:t>
      </w:r>
      <w:r w:rsidRPr="00BF759D" w:rsidR="00C27DDE">
        <w:rPr>
          <w:rFonts w:eastAsia="Times New Roman" w:cs="Times New Roman"/>
          <w:szCs w:val="26"/>
        </w:rPr>
        <w:t xml:space="preserve"> </w:t>
      </w:r>
      <w:r w:rsidRPr="00DB5D5C" w:rsidR="00C27DDE">
        <w:rPr>
          <w:rFonts w:eastAsia="Times New Roman" w:cs="Times New Roman"/>
          <w:szCs w:val="26"/>
        </w:rPr>
        <w:t>“creates</w:t>
      </w:r>
      <w:r w:rsidRPr="00BF759D" w:rsidR="00C27DDE">
        <w:rPr>
          <w:rFonts w:eastAsia="Times New Roman" w:cs="Times New Roman"/>
          <w:szCs w:val="26"/>
        </w:rPr>
        <w:t xml:space="preserve"> </w:t>
      </w:r>
      <w:r w:rsidRPr="00DB5D5C" w:rsidR="00C27DDE">
        <w:rPr>
          <w:rFonts w:eastAsia="Times New Roman" w:cs="Times New Roman"/>
          <w:szCs w:val="26"/>
        </w:rPr>
        <w:t>impacts</w:t>
      </w:r>
      <w:r w:rsidRPr="00BF759D" w:rsidR="00C27DDE">
        <w:rPr>
          <w:rFonts w:eastAsia="Times New Roman" w:cs="Times New Roman"/>
          <w:szCs w:val="26"/>
        </w:rPr>
        <w:t xml:space="preserve"> </w:t>
      </w:r>
      <w:r w:rsidRPr="00DB5D5C" w:rsidR="00C27DDE">
        <w:rPr>
          <w:rFonts w:eastAsia="Times New Roman" w:cs="Times New Roman"/>
          <w:szCs w:val="26"/>
        </w:rPr>
        <w:t>of</w:t>
      </w:r>
      <w:r w:rsidRPr="00BF759D" w:rsidR="00C27DDE">
        <w:rPr>
          <w:rFonts w:eastAsia="Times New Roman" w:cs="Times New Roman"/>
          <w:szCs w:val="26"/>
        </w:rPr>
        <w:t xml:space="preserve"> </w:t>
      </w:r>
      <w:r w:rsidRPr="00DB5D5C" w:rsidR="00C27DDE">
        <w:rPr>
          <w:rFonts w:eastAsia="Times New Roman" w:cs="Times New Roman"/>
          <w:szCs w:val="26"/>
        </w:rPr>
        <w:t>its</w:t>
      </w:r>
      <w:r w:rsidRPr="00BF759D" w:rsidR="00C27DDE">
        <w:rPr>
          <w:rFonts w:eastAsia="Times New Roman" w:cs="Times New Roman"/>
          <w:szCs w:val="26"/>
        </w:rPr>
        <w:t xml:space="preserve"> </w:t>
      </w:r>
      <w:r w:rsidRPr="00DB5D5C" w:rsidR="00C27DDE">
        <w:rPr>
          <w:rFonts w:eastAsia="Times New Roman" w:cs="Times New Roman"/>
          <w:szCs w:val="26"/>
        </w:rPr>
        <w:t>own,”</w:t>
      </w:r>
      <w:r w:rsidRPr="00BF759D" w:rsidR="00C27DDE">
        <w:rPr>
          <w:rFonts w:eastAsia="Times New Roman" w:cs="Times New Roman"/>
          <w:szCs w:val="26"/>
        </w:rPr>
        <w:t xml:space="preserve"> </w:t>
      </w:r>
      <w:r w:rsidRPr="00DB5D5C" w:rsidR="00C27DDE">
        <w:rPr>
          <w:rFonts w:eastAsia="Times New Roman" w:cs="Times New Roman"/>
          <w:szCs w:val="26"/>
        </w:rPr>
        <w:t>because</w:t>
      </w:r>
      <w:r w:rsidRPr="00BF759D" w:rsidR="00C27DDE">
        <w:rPr>
          <w:rFonts w:eastAsia="Times New Roman" w:cs="Times New Roman"/>
          <w:szCs w:val="26"/>
        </w:rPr>
        <w:t xml:space="preserve"> </w:t>
      </w:r>
      <w:r w:rsidRPr="00DB5D5C" w:rsidR="00C27DDE">
        <w:rPr>
          <w:rFonts w:eastAsia="Times New Roman" w:cs="Times New Roman"/>
          <w:szCs w:val="26"/>
        </w:rPr>
        <w:t>trenching</w:t>
      </w:r>
      <w:r w:rsidRPr="00BF759D" w:rsidR="00C27DDE">
        <w:rPr>
          <w:rFonts w:eastAsia="Times New Roman" w:cs="Times New Roman"/>
          <w:szCs w:val="26"/>
        </w:rPr>
        <w:t xml:space="preserve"> </w:t>
      </w:r>
      <w:r w:rsidRPr="00DB5D5C" w:rsidR="00C27DDE">
        <w:rPr>
          <w:rFonts w:eastAsia="Times New Roman" w:cs="Times New Roman"/>
          <w:szCs w:val="26"/>
        </w:rPr>
        <w:t>along</w:t>
      </w:r>
      <w:r w:rsidRPr="00BF759D" w:rsidR="00C27DDE">
        <w:rPr>
          <w:rFonts w:eastAsia="Times New Roman" w:cs="Times New Roman"/>
          <w:szCs w:val="26"/>
        </w:rPr>
        <w:t xml:space="preserve"> the </w:t>
      </w:r>
      <w:bookmarkStart w:name="_bookmark19" w:id="174"/>
      <w:bookmarkEnd w:id="174"/>
      <w:r w:rsidRPr="00BF759D" w:rsidR="00C27DDE">
        <w:rPr>
          <w:rFonts w:eastAsia="Times New Roman" w:cs="Times New Roman"/>
          <w:szCs w:val="26"/>
        </w:rPr>
        <w:t>l</w:t>
      </w:r>
      <w:r w:rsidRPr="00DB5D5C" w:rsidR="00C27DDE">
        <w:rPr>
          <w:rFonts w:eastAsia="Times New Roman" w:cs="Times New Roman"/>
          <w:szCs w:val="26"/>
        </w:rPr>
        <w:t>ength of an undergrounding alignment can loosen soils and would involve use of hazardous materials (</w:t>
      </w:r>
      <w:r w:rsidRPr="00DB5D5C" w:rsidR="00C27DDE">
        <w:rPr>
          <w:rFonts w:eastAsia="Times New Roman" w:cs="Times New Roman"/>
          <w:i/>
          <w:szCs w:val="26"/>
        </w:rPr>
        <w:t>e.g.</w:t>
      </w:r>
      <w:r w:rsidRPr="00DB5D5C" w:rsidR="00C27DDE">
        <w:rPr>
          <w:rFonts w:eastAsia="Times New Roman" w:cs="Times New Roman"/>
          <w:szCs w:val="26"/>
        </w:rPr>
        <w:t>, fuel and oil in construction equipment), which would create potential for off-site movement of pollutants to waterbodies or discharges into soil and groundwater.</w:t>
      </w:r>
      <w:r w:rsidRPr="00DB5D5C" w:rsidR="00C27DDE">
        <w:rPr>
          <w:rFonts w:eastAsia="Times New Roman" w:cs="Times New Roman"/>
          <w:szCs w:val="26"/>
          <w:vertAlign w:val="superscript"/>
        </w:rPr>
        <w:footnoteReference w:id="81"/>
      </w:r>
      <w:r w:rsidRPr="00BF759D" w:rsidR="00C27DDE">
        <w:rPr>
          <w:rFonts w:eastAsia="Times New Roman" w:cs="Times New Roman"/>
          <w:position w:val="8"/>
          <w:szCs w:val="26"/>
        </w:rPr>
        <w:t xml:space="preserve"> </w:t>
      </w:r>
    </w:p>
    <w:p w:rsidR="00DE42AC" w:rsidP="00831FAB" w:rsidRDefault="00C27DDE" w14:paraId="6CBF019E" w14:textId="77777777">
      <w:pPr>
        <w:pStyle w:val="Standard"/>
        <w:rPr>
          <w:rFonts w:eastAsia="Times New Roman" w:cs="Times New Roman"/>
          <w:szCs w:val="26"/>
        </w:rPr>
      </w:pPr>
      <w:r w:rsidRPr="00DB5D5C">
        <w:rPr>
          <w:rFonts w:eastAsia="Times New Roman" w:cs="Times New Roman"/>
          <w:szCs w:val="26"/>
        </w:rPr>
        <w:t xml:space="preserve">Undergrounding a power line would require additional excavation compared to overhead line construction and (if installed within the roadway) would use some pieces of equipment </w:t>
      </w:r>
      <w:r w:rsidRPr="00DB5D5C">
        <w:rPr>
          <w:rFonts w:eastAsia="Times New Roman" w:cs="Times New Roman"/>
          <w:i/>
          <w:szCs w:val="26"/>
        </w:rPr>
        <w:t>(e.g</w:t>
      </w:r>
      <w:r w:rsidRPr="00DB5D5C">
        <w:rPr>
          <w:rFonts w:eastAsia="Times New Roman" w:cs="Times New Roman"/>
          <w:szCs w:val="26"/>
        </w:rPr>
        <w:t xml:space="preserve">., asphalt saw) that generate elevated </w:t>
      </w:r>
      <w:r w:rsidRPr="00DB5D5C">
        <w:rPr>
          <w:rFonts w:eastAsia="Times New Roman" w:cs="Times New Roman"/>
          <w:szCs w:val="26"/>
        </w:rPr>
        <w:lastRenderedPageBreak/>
        <w:t>noise compared to the construction equipment necessary for overhead power line construction.</w:t>
      </w:r>
      <w:r w:rsidRPr="00DB5D5C">
        <w:rPr>
          <w:rFonts w:eastAsia="Times New Roman" w:cs="Times New Roman"/>
          <w:szCs w:val="26"/>
          <w:vertAlign w:val="superscript"/>
        </w:rPr>
        <w:footnoteReference w:id="82"/>
      </w:r>
      <w:r w:rsidRPr="00DB5D5C">
        <w:rPr>
          <w:rFonts w:eastAsia="Times New Roman" w:cs="Times New Roman"/>
          <w:szCs w:val="26"/>
        </w:rPr>
        <w:t xml:space="preserve"> </w:t>
      </w:r>
    </w:p>
    <w:p w:rsidRPr="00DB5D5C" w:rsidR="00C27DDE" w:rsidP="00831FAB" w:rsidRDefault="00C27DDE" w14:paraId="0D34BC8E" w14:textId="385D4223">
      <w:pPr>
        <w:pStyle w:val="Standard"/>
        <w:rPr>
          <w:rFonts w:eastAsia="Times New Roman" w:cs="Times New Roman"/>
          <w:szCs w:val="26"/>
        </w:rPr>
      </w:pPr>
      <w:r w:rsidRPr="00DB5D5C">
        <w:rPr>
          <w:rFonts w:eastAsia="Times New Roman" w:cs="Times New Roman"/>
          <w:szCs w:val="26"/>
        </w:rPr>
        <w:t>Undergrounding also generally involves greater amounts of ground disturbance during construction, as compared to overhead line construction, which could potentially impact biological and cultural resources.</w:t>
      </w:r>
      <w:r w:rsidRPr="00DB5D5C">
        <w:rPr>
          <w:rFonts w:eastAsia="Times New Roman" w:cs="Times New Roman"/>
          <w:szCs w:val="26"/>
          <w:vertAlign w:val="superscript"/>
        </w:rPr>
        <w:footnoteReference w:id="83"/>
      </w:r>
      <w:r w:rsidRPr="00DB5D5C">
        <w:rPr>
          <w:rFonts w:eastAsia="Times New Roman" w:cs="Times New Roman"/>
          <w:szCs w:val="26"/>
        </w:rPr>
        <w:t xml:space="preserve"> </w:t>
      </w:r>
    </w:p>
    <w:p w:rsidRPr="00BF759D" w:rsidR="00C27DDE" w:rsidP="00831FAB" w:rsidRDefault="00C27DDE" w14:paraId="3B324FE7" w14:textId="6E9F181A">
      <w:pPr>
        <w:pStyle w:val="Standard"/>
        <w:rPr>
          <w:rFonts w:eastAsia="Times New Roman" w:cs="Times New Roman"/>
          <w:szCs w:val="26"/>
        </w:rPr>
      </w:pPr>
      <w:r w:rsidRPr="00DB5D5C">
        <w:rPr>
          <w:rFonts w:eastAsia="Times New Roman" w:cs="Times New Roman"/>
          <w:szCs w:val="26"/>
        </w:rPr>
        <w:t>Finally, substantial evidence in this proceeding demonstrates that undergrounding the entire transmission line, including the existing portions that would be reconductored under the environmentally</w:t>
      </w:r>
      <w:r w:rsidRPr="00BF759D">
        <w:rPr>
          <w:rFonts w:eastAsia="Times New Roman" w:cs="Times New Roman"/>
          <w:szCs w:val="26"/>
        </w:rPr>
        <w:t xml:space="preserve"> </w:t>
      </w:r>
      <w:r w:rsidRPr="00DB5D5C">
        <w:rPr>
          <w:rFonts w:eastAsia="Times New Roman" w:cs="Times New Roman"/>
          <w:szCs w:val="26"/>
        </w:rPr>
        <w:t>superior alternative,</w:t>
      </w:r>
      <w:r w:rsidRPr="00BF759D">
        <w:rPr>
          <w:rFonts w:eastAsia="Times New Roman" w:cs="Times New Roman"/>
          <w:szCs w:val="26"/>
        </w:rPr>
        <w:t xml:space="preserve"> </w:t>
      </w:r>
      <w:r w:rsidRPr="00DB5D5C">
        <w:rPr>
          <w:rFonts w:eastAsia="Times New Roman" w:cs="Times New Roman"/>
          <w:szCs w:val="26"/>
        </w:rPr>
        <w:t>would</w:t>
      </w:r>
      <w:r w:rsidRPr="00BF759D">
        <w:rPr>
          <w:rFonts w:eastAsia="Times New Roman" w:cs="Times New Roman"/>
          <w:szCs w:val="26"/>
        </w:rPr>
        <w:t xml:space="preserve"> </w:t>
      </w:r>
      <w:r w:rsidRPr="00DB5D5C">
        <w:rPr>
          <w:rFonts w:eastAsia="Times New Roman" w:cs="Times New Roman"/>
          <w:szCs w:val="26"/>
        </w:rPr>
        <w:t>have</w:t>
      </w:r>
      <w:r w:rsidRPr="00BF759D">
        <w:rPr>
          <w:rFonts w:eastAsia="Times New Roman" w:cs="Times New Roman"/>
          <w:szCs w:val="26"/>
        </w:rPr>
        <w:t xml:space="preserve"> </w:t>
      </w:r>
      <w:r w:rsidRPr="00DB5D5C">
        <w:rPr>
          <w:rFonts w:eastAsia="Times New Roman" w:cs="Times New Roman"/>
          <w:szCs w:val="26"/>
        </w:rPr>
        <w:t>severe</w:t>
      </w:r>
      <w:r w:rsidRPr="00BF759D">
        <w:rPr>
          <w:rFonts w:eastAsia="Times New Roman" w:cs="Times New Roman"/>
          <w:szCs w:val="26"/>
        </w:rPr>
        <w:t xml:space="preserve"> </w:t>
      </w:r>
      <w:r w:rsidRPr="00DB5D5C">
        <w:rPr>
          <w:rFonts w:eastAsia="Times New Roman" w:cs="Times New Roman"/>
          <w:szCs w:val="26"/>
        </w:rPr>
        <w:t>economic</w:t>
      </w:r>
      <w:r w:rsidRPr="00BF759D">
        <w:rPr>
          <w:rFonts w:eastAsia="Times New Roman" w:cs="Times New Roman"/>
          <w:szCs w:val="26"/>
        </w:rPr>
        <w:t xml:space="preserve"> </w:t>
      </w:r>
      <w:r w:rsidRPr="00DB5D5C">
        <w:rPr>
          <w:rFonts w:eastAsia="Times New Roman" w:cs="Times New Roman"/>
          <w:szCs w:val="26"/>
        </w:rPr>
        <w:t>effects</w:t>
      </w:r>
      <w:r w:rsidRPr="00BF759D">
        <w:rPr>
          <w:rFonts w:eastAsia="Times New Roman" w:cs="Times New Roman"/>
          <w:szCs w:val="26"/>
        </w:rPr>
        <w:t xml:space="preserve"> </w:t>
      </w:r>
      <w:r w:rsidRPr="00DB5D5C">
        <w:rPr>
          <w:rFonts w:eastAsia="Times New Roman" w:cs="Times New Roman"/>
          <w:szCs w:val="26"/>
        </w:rPr>
        <w:t>that</w:t>
      </w:r>
      <w:r w:rsidRPr="00BF759D">
        <w:rPr>
          <w:rFonts w:eastAsia="Times New Roman" w:cs="Times New Roman"/>
          <w:szCs w:val="26"/>
        </w:rPr>
        <w:t xml:space="preserve"> </w:t>
      </w:r>
      <w:r w:rsidRPr="00DB5D5C">
        <w:rPr>
          <w:rFonts w:eastAsia="Times New Roman" w:cs="Times New Roman"/>
          <w:szCs w:val="26"/>
        </w:rPr>
        <w:t>make</w:t>
      </w:r>
      <w:r w:rsidRPr="00BF759D">
        <w:rPr>
          <w:rFonts w:eastAsia="Times New Roman" w:cs="Times New Roman"/>
          <w:szCs w:val="26"/>
        </w:rPr>
        <w:t xml:space="preserve"> </w:t>
      </w:r>
      <w:r w:rsidRPr="00DB5D5C">
        <w:rPr>
          <w:rFonts w:eastAsia="Times New Roman" w:cs="Times New Roman"/>
          <w:szCs w:val="26"/>
        </w:rPr>
        <w:t>it</w:t>
      </w:r>
      <w:r w:rsidRPr="00BF759D">
        <w:rPr>
          <w:rFonts w:eastAsia="Times New Roman" w:cs="Times New Roman"/>
          <w:szCs w:val="26"/>
        </w:rPr>
        <w:t xml:space="preserve"> </w:t>
      </w:r>
      <w:r w:rsidRPr="00DB5D5C">
        <w:rPr>
          <w:rFonts w:eastAsia="Times New Roman" w:cs="Times New Roman"/>
          <w:szCs w:val="26"/>
        </w:rPr>
        <w:t>infeasible. This was explained in the Applicants’ opening brief.</w:t>
      </w:r>
      <w:r w:rsidRPr="00DB5D5C">
        <w:rPr>
          <w:rFonts w:eastAsia="Times New Roman" w:cs="Times New Roman"/>
          <w:szCs w:val="26"/>
          <w:vertAlign w:val="superscript"/>
        </w:rPr>
        <w:footnoteReference w:id="84"/>
      </w:r>
      <w:r w:rsidRPr="00DB5D5C">
        <w:rPr>
          <w:rFonts w:eastAsia="Times New Roman" w:cs="Times New Roman"/>
          <w:szCs w:val="26"/>
        </w:rPr>
        <w:t xml:space="preserve"> There is substantial testimony in this proceeding on the significant costs to install underground transmission lines, as discussed in this decision. The range of project costs for other PG&amp;E single-circuit underground transmission projects is approximately $15,000,000 to $35,000,000 per mile.</w:t>
      </w:r>
      <w:r w:rsidR="004201A5">
        <w:rPr>
          <w:rStyle w:val="FootnoteReference"/>
          <w:rFonts w:eastAsia="Times New Roman" w:cs="Times New Roman"/>
          <w:szCs w:val="26"/>
        </w:rPr>
        <w:footnoteReference w:id="85"/>
      </w:r>
      <w:r w:rsidRPr="00BF759D">
        <w:rPr>
          <w:rFonts w:eastAsia="Times New Roman" w:cs="Times New Roman"/>
          <w:szCs w:val="26"/>
        </w:rPr>
        <w:t xml:space="preserve"> </w:t>
      </w:r>
      <w:r w:rsidRPr="00DB5D5C">
        <w:rPr>
          <w:rFonts w:eastAsia="Times New Roman" w:cs="Times New Roman"/>
          <w:szCs w:val="26"/>
        </w:rPr>
        <w:t>More recent projects have fallen in the upper end of this range due to escalating labor and material costs.</w:t>
      </w:r>
      <w:r w:rsidRPr="00BF759D">
        <w:rPr>
          <w:rFonts w:eastAsia="Times New Roman" w:cs="Times New Roman"/>
          <w:szCs w:val="26"/>
        </w:rPr>
        <w:t xml:space="preserve"> </w:t>
      </w:r>
    </w:p>
    <w:p w:rsidRPr="00DB5D5C" w:rsidR="00C27DDE" w:rsidP="00831FAB" w:rsidRDefault="00C27DDE" w14:paraId="1430333A" w14:textId="0A1D79A3">
      <w:pPr>
        <w:pStyle w:val="Standard"/>
        <w:rPr>
          <w:rFonts w:eastAsia="Times New Roman" w:cs="Times New Roman"/>
          <w:szCs w:val="26"/>
        </w:rPr>
      </w:pPr>
      <w:r w:rsidRPr="00DB5D5C">
        <w:rPr>
          <w:rFonts w:eastAsia="Times New Roman" w:cs="Times New Roman"/>
          <w:szCs w:val="26"/>
        </w:rPr>
        <w:t>As is noted in Footnote</w:t>
      </w:r>
      <w:r w:rsidRPr="00BF759D">
        <w:rPr>
          <w:rFonts w:eastAsia="Times New Roman" w:cs="Times New Roman"/>
          <w:szCs w:val="26"/>
        </w:rPr>
        <w:t xml:space="preserve"> </w:t>
      </w:r>
      <w:r w:rsidRPr="00DB5D5C">
        <w:rPr>
          <w:rFonts w:eastAsia="Times New Roman" w:cs="Times New Roman"/>
          <w:szCs w:val="26"/>
        </w:rPr>
        <w:t>2 of the FEIR’s Table</w:t>
      </w:r>
      <w:r w:rsidRPr="00BF759D">
        <w:rPr>
          <w:rFonts w:eastAsia="Times New Roman" w:cs="Times New Roman"/>
          <w:szCs w:val="26"/>
        </w:rPr>
        <w:t xml:space="preserve"> </w:t>
      </w:r>
      <w:r w:rsidRPr="00DB5D5C">
        <w:rPr>
          <w:rFonts w:eastAsia="Times New Roman" w:cs="Times New Roman"/>
          <w:szCs w:val="26"/>
        </w:rPr>
        <w:t>5-3, a double-circuit underground transmission line, which is proposed for the</w:t>
      </w:r>
      <w:r w:rsidRPr="00BF759D">
        <w:rPr>
          <w:rFonts w:eastAsia="Times New Roman" w:cs="Times New Roman"/>
          <w:szCs w:val="26"/>
        </w:rPr>
        <w:t xml:space="preserve"> </w:t>
      </w:r>
      <w:r w:rsidRPr="00DB5D5C">
        <w:rPr>
          <w:rFonts w:eastAsia="Times New Roman" w:cs="Times New Roman"/>
          <w:szCs w:val="26"/>
        </w:rPr>
        <w:t>environmentally</w:t>
      </w:r>
      <w:r w:rsidRPr="00BF759D">
        <w:rPr>
          <w:rFonts w:eastAsia="Times New Roman" w:cs="Times New Roman"/>
          <w:szCs w:val="26"/>
        </w:rPr>
        <w:t xml:space="preserve"> </w:t>
      </w:r>
      <w:r w:rsidRPr="00DB5D5C">
        <w:rPr>
          <w:rFonts w:eastAsia="Times New Roman" w:cs="Times New Roman"/>
          <w:szCs w:val="26"/>
        </w:rPr>
        <w:t>superior</w:t>
      </w:r>
      <w:r w:rsidRPr="00BF759D">
        <w:rPr>
          <w:rFonts w:eastAsia="Times New Roman" w:cs="Times New Roman"/>
          <w:szCs w:val="26"/>
        </w:rPr>
        <w:t xml:space="preserve"> </w:t>
      </w:r>
      <w:r w:rsidRPr="00DB5D5C">
        <w:rPr>
          <w:rFonts w:eastAsia="Times New Roman" w:cs="Times New Roman"/>
          <w:szCs w:val="26"/>
        </w:rPr>
        <w:t>alternative,</w:t>
      </w:r>
      <w:r w:rsidRPr="00BF759D">
        <w:rPr>
          <w:rFonts w:eastAsia="Times New Roman" w:cs="Times New Roman"/>
          <w:szCs w:val="26"/>
        </w:rPr>
        <w:t xml:space="preserve"> </w:t>
      </w:r>
      <w:r w:rsidRPr="00DB5D5C">
        <w:rPr>
          <w:rFonts w:eastAsia="Times New Roman" w:cs="Times New Roman"/>
          <w:szCs w:val="26"/>
        </w:rPr>
        <w:t>will</w:t>
      </w:r>
      <w:r w:rsidRPr="00BF759D">
        <w:rPr>
          <w:rFonts w:eastAsia="Times New Roman" w:cs="Times New Roman"/>
          <w:szCs w:val="26"/>
        </w:rPr>
        <w:t xml:space="preserve"> </w:t>
      </w:r>
      <w:r w:rsidRPr="00DB5D5C">
        <w:rPr>
          <w:rFonts w:eastAsia="Times New Roman" w:cs="Times New Roman"/>
          <w:szCs w:val="26"/>
        </w:rPr>
        <w:t>likely</w:t>
      </w:r>
      <w:r w:rsidRPr="00BF759D">
        <w:rPr>
          <w:rFonts w:eastAsia="Times New Roman" w:cs="Times New Roman"/>
          <w:szCs w:val="26"/>
        </w:rPr>
        <w:t xml:space="preserve"> </w:t>
      </w:r>
      <w:r w:rsidRPr="00DB5D5C">
        <w:rPr>
          <w:rFonts w:eastAsia="Times New Roman" w:cs="Times New Roman"/>
          <w:szCs w:val="26"/>
        </w:rPr>
        <w:t>result</w:t>
      </w:r>
      <w:r w:rsidRPr="00BF759D">
        <w:rPr>
          <w:rFonts w:eastAsia="Times New Roman" w:cs="Times New Roman"/>
          <w:szCs w:val="26"/>
        </w:rPr>
        <w:t xml:space="preserve"> </w:t>
      </w:r>
      <w:r w:rsidRPr="00DB5D5C">
        <w:rPr>
          <w:rFonts w:eastAsia="Times New Roman" w:cs="Times New Roman"/>
          <w:szCs w:val="26"/>
        </w:rPr>
        <w:t>in</w:t>
      </w:r>
      <w:r w:rsidRPr="00BF759D">
        <w:rPr>
          <w:rFonts w:eastAsia="Times New Roman" w:cs="Times New Roman"/>
          <w:szCs w:val="26"/>
        </w:rPr>
        <w:t xml:space="preserve"> </w:t>
      </w:r>
      <w:r w:rsidRPr="00DB5D5C">
        <w:rPr>
          <w:rFonts w:eastAsia="Times New Roman" w:cs="Times New Roman"/>
          <w:szCs w:val="26"/>
        </w:rPr>
        <w:t>significantly</w:t>
      </w:r>
      <w:r w:rsidRPr="00BF759D">
        <w:rPr>
          <w:rFonts w:eastAsia="Times New Roman" w:cs="Times New Roman"/>
          <w:szCs w:val="26"/>
        </w:rPr>
        <w:t xml:space="preserve"> </w:t>
      </w:r>
      <w:r w:rsidRPr="00DB5D5C">
        <w:rPr>
          <w:rFonts w:eastAsia="Times New Roman" w:cs="Times New Roman"/>
          <w:szCs w:val="26"/>
        </w:rPr>
        <w:t>higher</w:t>
      </w:r>
      <w:r w:rsidRPr="00BF759D">
        <w:rPr>
          <w:rFonts w:eastAsia="Times New Roman" w:cs="Times New Roman"/>
          <w:szCs w:val="26"/>
        </w:rPr>
        <w:t xml:space="preserve"> </w:t>
      </w:r>
      <w:r w:rsidRPr="00DB5D5C">
        <w:rPr>
          <w:rFonts w:eastAsia="Times New Roman" w:cs="Times New Roman"/>
          <w:szCs w:val="26"/>
        </w:rPr>
        <w:t>costs,</w:t>
      </w:r>
      <w:r w:rsidRPr="00BF759D">
        <w:rPr>
          <w:rFonts w:eastAsia="Times New Roman" w:cs="Times New Roman"/>
          <w:szCs w:val="26"/>
        </w:rPr>
        <w:t xml:space="preserve"> well </w:t>
      </w:r>
      <w:r w:rsidRPr="00DB5D5C">
        <w:rPr>
          <w:rFonts w:eastAsia="Times New Roman" w:cs="Times New Roman"/>
          <w:szCs w:val="26"/>
        </w:rPr>
        <w:t>above the $17,705,000 estimated in the FEIR.</w:t>
      </w:r>
      <w:r w:rsidRPr="00BF759D">
        <w:rPr>
          <w:rFonts w:eastAsia="Times New Roman" w:cs="Times New Roman"/>
          <w:szCs w:val="26"/>
        </w:rPr>
        <w:t xml:space="preserve"> </w:t>
      </w:r>
      <w:r w:rsidRPr="00DB5D5C">
        <w:rPr>
          <w:rFonts w:eastAsia="Times New Roman" w:cs="Times New Roman"/>
          <w:szCs w:val="26"/>
        </w:rPr>
        <w:t>PG&amp;E’s underground transmission design standard requires lines to be placed in concrete-encased duct banks in all environments (urban, suburban, rural) to improve public and coworker safety as well as improve asset longevity and cable access.</w:t>
      </w:r>
      <w:r w:rsidRPr="00BF759D">
        <w:rPr>
          <w:rFonts w:eastAsia="Times New Roman" w:cs="Times New Roman"/>
          <w:szCs w:val="26"/>
        </w:rPr>
        <w:t xml:space="preserve"> </w:t>
      </w:r>
      <w:r w:rsidRPr="00DB5D5C">
        <w:rPr>
          <w:rFonts w:eastAsia="Times New Roman" w:cs="Times New Roman"/>
          <w:szCs w:val="26"/>
        </w:rPr>
        <w:t xml:space="preserve">Because of this standard, </w:t>
      </w:r>
      <w:r w:rsidRPr="00DB5D5C">
        <w:rPr>
          <w:rFonts w:eastAsia="Times New Roman" w:cs="Times New Roman"/>
          <w:szCs w:val="26"/>
        </w:rPr>
        <w:lastRenderedPageBreak/>
        <w:t xml:space="preserve">PG&amp;E’s testimony claims that typical PG&amp;E costs for new underground transmission lines </w:t>
      </w:r>
      <w:r w:rsidR="002273BE">
        <w:rPr>
          <w:rFonts w:eastAsia="Times New Roman" w:cs="Times New Roman"/>
          <w:szCs w:val="26"/>
        </w:rPr>
        <w:t>m</w:t>
      </w:r>
      <w:r w:rsidR="00325E91">
        <w:rPr>
          <w:rFonts w:eastAsia="Times New Roman" w:cs="Times New Roman"/>
          <w:szCs w:val="26"/>
        </w:rPr>
        <w:t>ay</w:t>
      </w:r>
      <w:r w:rsidR="002273BE">
        <w:rPr>
          <w:rFonts w:eastAsia="Times New Roman" w:cs="Times New Roman"/>
          <w:szCs w:val="26"/>
        </w:rPr>
        <w:t xml:space="preserve"> </w:t>
      </w:r>
      <w:r w:rsidRPr="00DB5D5C">
        <w:rPr>
          <w:rFonts w:eastAsia="Times New Roman" w:cs="Times New Roman"/>
          <w:szCs w:val="26"/>
        </w:rPr>
        <w:t xml:space="preserve">exceed the costs of other utilities and developers who </w:t>
      </w:r>
      <w:r w:rsidR="002273BE">
        <w:rPr>
          <w:rFonts w:eastAsia="Times New Roman" w:cs="Times New Roman"/>
          <w:szCs w:val="26"/>
        </w:rPr>
        <w:t>m</w:t>
      </w:r>
      <w:r w:rsidR="00325E91">
        <w:rPr>
          <w:rFonts w:eastAsia="Times New Roman" w:cs="Times New Roman"/>
          <w:szCs w:val="26"/>
        </w:rPr>
        <w:t>ay</w:t>
      </w:r>
      <w:r w:rsidR="002273BE">
        <w:rPr>
          <w:rFonts w:eastAsia="Times New Roman" w:cs="Times New Roman"/>
          <w:szCs w:val="26"/>
        </w:rPr>
        <w:t xml:space="preserve"> </w:t>
      </w:r>
      <w:r w:rsidRPr="00DB5D5C">
        <w:rPr>
          <w:rFonts w:eastAsia="Times New Roman" w:cs="Times New Roman"/>
          <w:szCs w:val="26"/>
        </w:rPr>
        <w:t xml:space="preserve">direct-bury transmission </w:t>
      </w:r>
      <w:r w:rsidRPr="00BF759D">
        <w:rPr>
          <w:rFonts w:eastAsia="Times New Roman" w:cs="Times New Roman"/>
          <w:szCs w:val="26"/>
        </w:rPr>
        <w:t>cables.</w:t>
      </w:r>
      <w:r w:rsidRPr="00BF759D">
        <w:rPr>
          <w:rFonts w:eastAsia="Times New Roman" w:cs="Times New Roman"/>
          <w:szCs w:val="26"/>
          <w:vertAlign w:val="superscript"/>
        </w:rPr>
        <w:footnoteReference w:id="86"/>
      </w:r>
      <w:r w:rsidRPr="00DB5D5C">
        <w:rPr>
          <w:rFonts w:eastAsia="Times New Roman" w:cs="Times New Roman"/>
          <w:szCs w:val="26"/>
        </w:rPr>
        <w:t xml:space="preserve"> </w:t>
      </w:r>
    </w:p>
    <w:p w:rsidR="009D3E5D" w:rsidP="00831FAB" w:rsidRDefault="00C27DDE" w14:paraId="63F9501A" w14:textId="44FEACB1">
      <w:pPr>
        <w:pStyle w:val="Standard"/>
        <w:rPr>
          <w:rFonts w:eastAsia="Times New Roman" w:cs="Times New Roman"/>
          <w:szCs w:val="26"/>
        </w:rPr>
      </w:pPr>
      <w:r w:rsidRPr="00DB5D5C">
        <w:rPr>
          <w:rFonts w:eastAsia="Times New Roman" w:cs="Times New Roman"/>
          <w:szCs w:val="26"/>
        </w:rPr>
        <w:t xml:space="preserve">These findings and others in the FEIR demonstrate a reasonable basis for the FEIR’s selection of </w:t>
      </w:r>
      <w:r w:rsidR="008B6C83">
        <w:rPr>
          <w:rFonts w:eastAsia="Times New Roman" w:cs="Times New Roman"/>
          <w:szCs w:val="26"/>
        </w:rPr>
        <w:t xml:space="preserve">the </w:t>
      </w:r>
      <w:r w:rsidRPr="00DB5D5C">
        <w:rPr>
          <w:rFonts w:eastAsia="Times New Roman" w:cs="Times New Roman"/>
          <w:szCs w:val="26"/>
        </w:rPr>
        <w:t xml:space="preserve">alternatives it did. We find that the Commission is not required to evaluate or adopt CURE’s undergrounding proposal as another alternative to the Project. </w:t>
      </w:r>
    </w:p>
    <w:p w:rsidRPr="00B07D02" w:rsidR="009D3E5D" w:rsidP="0030780A" w:rsidRDefault="009D3E5D" w14:paraId="50908F7D" w14:textId="575525A4">
      <w:pPr>
        <w:pStyle w:val="Heading3"/>
      </w:pPr>
      <w:bookmarkStart w:name="_Toc164685422" w:id="175"/>
      <w:r>
        <w:t>FEIR Inadequacy Argument</w:t>
      </w:r>
      <w:bookmarkEnd w:id="175"/>
      <w:r>
        <w:t xml:space="preserve"> </w:t>
      </w:r>
    </w:p>
    <w:p w:rsidR="00531912" w:rsidP="00831FAB" w:rsidRDefault="00300641" w14:paraId="14B3E13A" w14:textId="08D50F44">
      <w:pPr>
        <w:pStyle w:val="Standard"/>
        <w:rPr>
          <w:rFonts w:eastAsia="Times New Roman" w:cs="Times New Roman"/>
          <w:szCs w:val="26"/>
        </w:rPr>
      </w:pPr>
      <w:r w:rsidRPr="00B07D02">
        <w:rPr>
          <w:rFonts w:eastAsia="Times New Roman" w:cs="Times New Roman"/>
          <w:szCs w:val="26"/>
        </w:rPr>
        <w:t>CURE also repeats several of its prior comments on the DEIR and on the RDEIR, alleging that the FEIR fails to adequately analyze potential agricultural impacts, biological impacts, and air quality/public health impacts relating to Valley Fever.</w:t>
      </w:r>
      <w:r w:rsidRPr="00B07D02">
        <w:rPr>
          <w:rFonts w:eastAsia="Times New Roman" w:cs="Times New Roman"/>
          <w:szCs w:val="26"/>
          <w:vertAlign w:val="superscript"/>
        </w:rPr>
        <w:footnoteReference w:id="87"/>
      </w:r>
      <w:r w:rsidRPr="00B07D02">
        <w:rPr>
          <w:rFonts w:eastAsia="Times New Roman" w:cs="Times New Roman"/>
          <w:szCs w:val="26"/>
        </w:rPr>
        <w:t xml:space="preserve"> We are not persuaded by th</w:t>
      </w:r>
      <w:r w:rsidRPr="00C27DDE" w:rsidR="009D3E5D">
        <w:rPr>
          <w:rFonts w:eastAsia="Times New Roman" w:cs="Times New Roman"/>
          <w:szCs w:val="26"/>
        </w:rPr>
        <w:t>e</w:t>
      </w:r>
      <w:r w:rsidRPr="00B07D02">
        <w:rPr>
          <w:rFonts w:eastAsia="Times New Roman" w:cs="Times New Roman"/>
          <w:szCs w:val="26"/>
        </w:rPr>
        <w:t>s</w:t>
      </w:r>
      <w:r w:rsidRPr="00C27DDE" w:rsidR="009D3E5D">
        <w:rPr>
          <w:rFonts w:eastAsia="Times New Roman" w:cs="Times New Roman"/>
          <w:szCs w:val="26"/>
        </w:rPr>
        <w:t>e</w:t>
      </w:r>
      <w:r w:rsidRPr="00B07D02">
        <w:rPr>
          <w:rFonts w:eastAsia="Times New Roman" w:cs="Times New Roman"/>
          <w:szCs w:val="26"/>
        </w:rPr>
        <w:t xml:space="preserve"> argument</w:t>
      </w:r>
      <w:r w:rsidRPr="00C27DDE" w:rsidR="009D3E5D">
        <w:rPr>
          <w:rFonts w:eastAsia="Times New Roman" w:cs="Times New Roman"/>
          <w:szCs w:val="26"/>
        </w:rPr>
        <w:t>s</w:t>
      </w:r>
      <w:r w:rsidRPr="00B07D02">
        <w:rPr>
          <w:rFonts w:eastAsia="Times New Roman" w:cs="Times New Roman"/>
          <w:szCs w:val="26"/>
        </w:rPr>
        <w:t xml:space="preserve">, as we have reviewed the FEIR to conclude that </w:t>
      </w:r>
      <w:r w:rsidR="008B6C83">
        <w:rPr>
          <w:rFonts w:eastAsia="Times New Roman" w:cs="Times New Roman"/>
          <w:szCs w:val="26"/>
        </w:rPr>
        <w:t xml:space="preserve">the </w:t>
      </w:r>
      <w:r w:rsidRPr="00B07D02">
        <w:rPr>
          <w:rFonts w:eastAsia="Times New Roman" w:cs="Times New Roman"/>
          <w:szCs w:val="26"/>
        </w:rPr>
        <w:t xml:space="preserve">FEIR has adequately analyzed the Proposed Project impacts in each area raised by CURE. </w:t>
      </w:r>
    </w:p>
    <w:p w:rsidRPr="00B07D02" w:rsidR="00300641" w:rsidP="00831FAB" w:rsidRDefault="00300641" w14:paraId="23EEBCD1" w14:textId="1683328A">
      <w:pPr>
        <w:pStyle w:val="Standard"/>
        <w:rPr>
          <w:rFonts w:eastAsia="Times New Roman" w:cs="Times New Roman"/>
          <w:szCs w:val="26"/>
          <w:vertAlign w:val="superscript"/>
        </w:rPr>
      </w:pPr>
      <w:r w:rsidRPr="00B07D02">
        <w:rPr>
          <w:rFonts w:eastAsia="Times New Roman" w:cs="Times New Roman"/>
          <w:szCs w:val="26"/>
        </w:rPr>
        <w:t>As we noted earlier in this decision, CEQA does not require an EIR to exhibit technical perfection, scientific certainty, or exhaustive analysis; rather, the touchstone is adequacy, completeness, and a good faith effort at full disclosure.</w:t>
      </w:r>
      <w:r w:rsidRPr="00B07D02">
        <w:rPr>
          <w:rFonts w:eastAsia="Times New Roman" w:cs="Times New Roman"/>
          <w:szCs w:val="26"/>
          <w:vertAlign w:val="superscript"/>
        </w:rPr>
        <w:footnoteReference w:id="88"/>
      </w:r>
      <w:r w:rsidRPr="00B07D02">
        <w:rPr>
          <w:rFonts w:eastAsia="Times New Roman" w:cs="Times New Roman"/>
          <w:szCs w:val="26"/>
        </w:rPr>
        <w:t xml:space="preserve"> </w:t>
      </w:r>
      <w:bookmarkStart w:name="_bookmark24" w:id="176"/>
      <w:bookmarkEnd w:id="176"/>
      <w:r w:rsidR="006660C4">
        <w:rPr>
          <w:rFonts w:eastAsia="Times New Roman" w:cs="Times New Roman"/>
          <w:szCs w:val="26"/>
        </w:rPr>
        <w:t>T</w:t>
      </w:r>
      <w:r w:rsidRPr="00B07D02">
        <w:rPr>
          <w:rFonts w:eastAsia="Times New Roman" w:cs="Times New Roman"/>
          <w:szCs w:val="26"/>
        </w:rPr>
        <w:t xml:space="preserve">he FEIR’s analysis adequately </w:t>
      </w:r>
      <w:bookmarkStart w:name="_bookmark47" w:id="177"/>
      <w:bookmarkEnd w:id="177"/>
      <w:r w:rsidRPr="00B07D02">
        <w:rPr>
          <w:rFonts w:eastAsia="Times New Roman" w:cs="Times New Roman"/>
          <w:szCs w:val="26"/>
        </w:rPr>
        <w:t xml:space="preserve">analyzes the Proposed Project’s impacts in each area raised by CURE, and that analysis is supported by substantial evidence. </w:t>
      </w:r>
    </w:p>
    <w:p w:rsidRPr="00B07D02" w:rsidR="00300641" w:rsidP="00831FAB" w:rsidRDefault="00C27DDE" w14:paraId="18CE706D" w14:textId="11C9D04F">
      <w:pPr>
        <w:pStyle w:val="Standard"/>
        <w:rPr>
          <w:rFonts w:eastAsia="Times New Roman" w:cs="Times New Roman"/>
          <w:szCs w:val="26"/>
        </w:rPr>
      </w:pPr>
      <w:r w:rsidRPr="00B07D02">
        <w:rPr>
          <w:rFonts w:eastAsia="Times New Roman" w:cs="Times New Roman"/>
          <w:szCs w:val="26"/>
        </w:rPr>
        <w:t>W</w:t>
      </w:r>
      <w:bookmarkStart w:name="_Hlk160486992" w:id="178"/>
      <w:r w:rsidRPr="00B07D02" w:rsidR="00300641">
        <w:rPr>
          <w:rFonts w:eastAsia="Times New Roman" w:cs="Times New Roman"/>
          <w:szCs w:val="26"/>
        </w:rPr>
        <w:t xml:space="preserve">e </w:t>
      </w:r>
      <w:r>
        <w:rPr>
          <w:rFonts w:eastAsia="Times New Roman" w:cs="Times New Roman"/>
          <w:szCs w:val="26"/>
        </w:rPr>
        <w:t>r</w:t>
      </w:r>
      <w:r w:rsidRPr="00B07D02" w:rsidR="00300641">
        <w:rPr>
          <w:rFonts w:eastAsia="Times New Roman" w:cs="Times New Roman"/>
          <w:szCs w:val="26"/>
        </w:rPr>
        <w:t xml:space="preserve">eviewed CURE’s claims of </w:t>
      </w:r>
      <w:r w:rsidR="00615C75">
        <w:rPr>
          <w:rFonts w:eastAsia="Times New Roman" w:cs="Times New Roman"/>
          <w:szCs w:val="26"/>
        </w:rPr>
        <w:t xml:space="preserve">the </w:t>
      </w:r>
      <w:r w:rsidRPr="00B07D02" w:rsidR="00300641">
        <w:rPr>
          <w:rFonts w:eastAsia="Times New Roman" w:cs="Times New Roman"/>
          <w:szCs w:val="26"/>
        </w:rPr>
        <w:t xml:space="preserve">FEIR’s alleged failure to adequately analyze agricultural impacts, including CURE’s comments regarding alleged “permanent” construction impacts, and find this claim without merit.  The FEIR </w:t>
      </w:r>
      <w:r w:rsidRPr="00B07D02" w:rsidR="00300641">
        <w:rPr>
          <w:rFonts w:eastAsia="Times New Roman" w:cs="Times New Roman"/>
          <w:szCs w:val="26"/>
        </w:rPr>
        <w:lastRenderedPageBreak/>
        <w:t xml:space="preserve">adequately analyzes </w:t>
      </w:r>
      <w:bookmarkEnd w:id="178"/>
      <w:r w:rsidRPr="00B07D02" w:rsidR="00300641">
        <w:rPr>
          <w:rFonts w:eastAsia="Times New Roman" w:cs="Times New Roman"/>
          <w:szCs w:val="26"/>
        </w:rPr>
        <w:t>agricultural impacts, including those alleged by CURE and Mr. House. The FEIR addresses CURE’s comments on agricultural impacts in Responses to Comments D-54, D-55, D-63, D-65, D-68, D-69, D-370, D-372, D-374 through D.376, R.A-21, R.A-22, R.A-23, R.A-69, and R.A-75. The FEIR explains, for example, that:</w:t>
      </w:r>
    </w:p>
    <w:p w:rsidRPr="00B07D02" w:rsidR="00300641" w:rsidP="009F605D" w:rsidRDefault="00300641" w14:paraId="36A3C07B" w14:textId="48593382">
      <w:pPr>
        <w:widowControl w:val="0"/>
        <w:numPr>
          <w:ilvl w:val="0"/>
          <w:numId w:val="5"/>
        </w:numPr>
        <w:tabs>
          <w:tab w:val="left" w:pos="1298"/>
        </w:tabs>
        <w:autoSpaceDE w:val="0"/>
        <w:autoSpaceDN w:val="0"/>
        <w:spacing w:after="120" w:line="240" w:lineRule="auto"/>
        <w:ind w:left="1080" w:right="1440"/>
        <w:rPr>
          <w:rFonts w:eastAsia="Times New Roman" w:cs="Times New Roman"/>
          <w:szCs w:val="26"/>
        </w:rPr>
      </w:pPr>
      <w:r w:rsidRPr="00B07D02">
        <w:rPr>
          <w:rFonts w:eastAsia="Times New Roman" w:cs="Times New Roman"/>
          <w:szCs w:val="26"/>
        </w:rPr>
        <w:t>Mr.</w:t>
      </w:r>
      <w:r w:rsidRPr="00BF759D">
        <w:rPr>
          <w:rFonts w:eastAsia="Times New Roman" w:cs="Times New Roman"/>
          <w:szCs w:val="26"/>
        </w:rPr>
        <w:t xml:space="preserve"> </w:t>
      </w:r>
      <w:r w:rsidRPr="00B07D02">
        <w:rPr>
          <w:rFonts w:eastAsia="Times New Roman" w:cs="Times New Roman"/>
          <w:szCs w:val="26"/>
        </w:rPr>
        <w:t>House</w:t>
      </w:r>
      <w:r w:rsidRPr="00BF759D">
        <w:rPr>
          <w:rFonts w:eastAsia="Times New Roman" w:cs="Times New Roman"/>
          <w:szCs w:val="26"/>
        </w:rPr>
        <w:t xml:space="preserve"> </w:t>
      </w:r>
      <w:r w:rsidRPr="00B07D02">
        <w:rPr>
          <w:rFonts w:eastAsia="Times New Roman" w:cs="Times New Roman"/>
          <w:szCs w:val="26"/>
        </w:rPr>
        <w:t>nowhere</w:t>
      </w:r>
      <w:r w:rsidRPr="00BF759D">
        <w:rPr>
          <w:rFonts w:eastAsia="Times New Roman" w:cs="Times New Roman"/>
          <w:szCs w:val="26"/>
        </w:rPr>
        <w:t xml:space="preserve"> </w:t>
      </w:r>
      <w:r w:rsidRPr="00B07D02">
        <w:rPr>
          <w:rFonts w:eastAsia="Times New Roman" w:cs="Times New Roman"/>
          <w:szCs w:val="26"/>
        </w:rPr>
        <w:t>states</w:t>
      </w:r>
      <w:r w:rsidRPr="00BF759D">
        <w:rPr>
          <w:rFonts w:eastAsia="Times New Roman" w:cs="Times New Roman"/>
          <w:szCs w:val="26"/>
        </w:rPr>
        <w:t xml:space="preserve"> </w:t>
      </w:r>
      <w:r w:rsidRPr="00B07D02">
        <w:rPr>
          <w:rFonts w:eastAsia="Times New Roman" w:cs="Times New Roman"/>
          <w:szCs w:val="26"/>
        </w:rPr>
        <w:t>that</w:t>
      </w:r>
      <w:r w:rsidRPr="00BF759D">
        <w:rPr>
          <w:rFonts w:eastAsia="Times New Roman" w:cs="Times New Roman"/>
          <w:szCs w:val="26"/>
        </w:rPr>
        <w:t xml:space="preserve"> </w:t>
      </w:r>
      <w:r w:rsidRPr="00B07D02">
        <w:rPr>
          <w:rFonts w:eastAsia="Times New Roman" w:cs="Times New Roman"/>
          <w:szCs w:val="26"/>
        </w:rPr>
        <w:t>temporary</w:t>
      </w:r>
      <w:r w:rsidRPr="00BF759D">
        <w:rPr>
          <w:rFonts w:eastAsia="Times New Roman" w:cs="Times New Roman"/>
          <w:szCs w:val="26"/>
        </w:rPr>
        <w:t xml:space="preserve"> </w:t>
      </w:r>
      <w:r w:rsidRPr="00B07D02">
        <w:rPr>
          <w:rFonts w:eastAsia="Times New Roman" w:cs="Times New Roman"/>
          <w:szCs w:val="26"/>
        </w:rPr>
        <w:t>impacts</w:t>
      </w:r>
      <w:r w:rsidRPr="00BF759D">
        <w:rPr>
          <w:rFonts w:eastAsia="Times New Roman" w:cs="Times New Roman"/>
          <w:szCs w:val="26"/>
        </w:rPr>
        <w:t xml:space="preserve"> </w:t>
      </w:r>
      <w:r w:rsidRPr="00B07D02">
        <w:rPr>
          <w:rFonts w:eastAsia="Times New Roman" w:cs="Times New Roman"/>
          <w:szCs w:val="26"/>
        </w:rPr>
        <w:t>to</w:t>
      </w:r>
      <w:r w:rsidRPr="00BF759D">
        <w:rPr>
          <w:rFonts w:eastAsia="Times New Roman" w:cs="Times New Roman"/>
          <w:szCs w:val="26"/>
        </w:rPr>
        <w:t xml:space="preserve"> </w:t>
      </w:r>
      <w:r w:rsidRPr="00B07D02">
        <w:rPr>
          <w:rFonts w:eastAsia="Times New Roman" w:cs="Times New Roman"/>
          <w:szCs w:val="26"/>
        </w:rPr>
        <w:t>Farmland</w:t>
      </w:r>
      <w:r w:rsidRPr="00BF759D">
        <w:rPr>
          <w:rFonts w:eastAsia="Times New Roman" w:cs="Times New Roman"/>
          <w:szCs w:val="26"/>
        </w:rPr>
        <w:t xml:space="preserve"> </w:t>
      </w:r>
      <w:r w:rsidRPr="00B07D02">
        <w:rPr>
          <w:rFonts w:eastAsia="Times New Roman" w:cs="Times New Roman"/>
          <w:szCs w:val="26"/>
        </w:rPr>
        <w:t>will</w:t>
      </w:r>
      <w:r w:rsidRPr="00BF759D">
        <w:rPr>
          <w:rFonts w:eastAsia="Times New Roman" w:cs="Times New Roman"/>
          <w:szCs w:val="26"/>
        </w:rPr>
        <w:t xml:space="preserve"> </w:t>
      </w:r>
      <w:r w:rsidRPr="00B07D02">
        <w:rPr>
          <w:rFonts w:eastAsia="Times New Roman" w:cs="Times New Roman"/>
          <w:szCs w:val="26"/>
        </w:rPr>
        <w:t>necessarily</w:t>
      </w:r>
      <w:r w:rsidRPr="00BF759D">
        <w:rPr>
          <w:rFonts w:eastAsia="Times New Roman" w:cs="Times New Roman"/>
          <w:szCs w:val="26"/>
        </w:rPr>
        <w:t xml:space="preserve"> be</w:t>
      </w:r>
      <w:r w:rsidRPr="00BF759D" w:rsidR="00C27DDE">
        <w:rPr>
          <w:rFonts w:eastAsia="Times New Roman" w:cs="Times New Roman"/>
          <w:szCs w:val="26"/>
        </w:rPr>
        <w:t xml:space="preserve"> </w:t>
      </w:r>
      <w:r w:rsidRPr="00B07D02">
        <w:rPr>
          <w:rFonts w:eastAsia="Times New Roman" w:cs="Times New Roman"/>
          <w:szCs w:val="26"/>
        </w:rPr>
        <w:t>permanent</w:t>
      </w:r>
      <w:r w:rsidRPr="00BF759D">
        <w:rPr>
          <w:rFonts w:eastAsia="Times New Roman" w:cs="Times New Roman"/>
          <w:szCs w:val="26"/>
        </w:rPr>
        <w:t xml:space="preserve"> </w:t>
      </w:r>
      <w:r w:rsidRPr="00B07D02">
        <w:rPr>
          <w:rFonts w:eastAsia="Times New Roman" w:cs="Times New Roman"/>
          <w:szCs w:val="26"/>
        </w:rPr>
        <w:t>or</w:t>
      </w:r>
      <w:r w:rsidRPr="00BF759D">
        <w:rPr>
          <w:rFonts w:eastAsia="Times New Roman" w:cs="Times New Roman"/>
          <w:szCs w:val="26"/>
        </w:rPr>
        <w:t xml:space="preserve"> </w:t>
      </w:r>
      <w:r w:rsidRPr="00B07D02">
        <w:rPr>
          <w:rFonts w:eastAsia="Times New Roman" w:cs="Times New Roman"/>
          <w:szCs w:val="26"/>
        </w:rPr>
        <w:t>otherwise</w:t>
      </w:r>
      <w:r w:rsidRPr="00BF759D">
        <w:rPr>
          <w:rFonts w:eastAsia="Times New Roman" w:cs="Times New Roman"/>
          <w:szCs w:val="26"/>
        </w:rPr>
        <w:t xml:space="preserve"> </w:t>
      </w:r>
      <w:r w:rsidRPr="00B07D02">
        <w:rPr>
          <w:rFonts w:eastAsia="Times New Roman" w:cs="Times New Roman"/>
          <w:szCs w:val="26"/>
        </w:rPr>
        <w:t>argues</w:t>
      </w:r>
      <w:r w:rsidRPr="00BF759D">
        <w:rPr>
          <w:rFonts w:eastAsia="Times New Roman" w:cs="Times New Roman"/>
          <w:szCs w:val="26"/>
        </w:rPr>
        <w:t xml:space="preserve"> </w:t>
      </w:r>
      <w:r w:rsidRPr="00B07D02">
        <w:rPr>
          <w:rFonts w:eastAsia="Times New Roman" w:cs="Times New Roman"/>
          <w:szCs w:val="26"/>
        </w:rPr>
        <w:t>that</w:t>
      </w:r>
      <w:r w:rsidRPr="00BF759D">
        <w:rPr>
          <w:rFonts w:eastAsia="Times New Roman" w:cs="Times New Roman"/>
          <w:szCs w:val="26"/>
        </w:rPr>
        <w:t xml:space="preserve"> </w:t>
      </w:r>
      <w:r w:rsidRPr="00B07D02">
        <w:rPr>
          <w:rFonts w:eastAsia="Times New Roman" w:cs="Times New Roman"/>
          <w:szCs w:val="26"/>
        </w:rPr>
        <w:t>mitigation</w:t>
      </w:r>
      <w:r w:rsidRPr="00BF759D">
        <w:rPr>
          <w:rFonts w:eastAsia="Times New Roman" w:cs="Times New Roman"/>
          <w:szCs w:val="26"/>
        </w:rPr>
        <w:t xml:space="preserve"> </w:t>
      </w:r>
      <w:r w:rsidRPr="00B07D02">
        <w:rPr>
          <w:rFonts w:eastAsia="Times New Roman" w:cs="Times New Roman"/>
          <w:szCs w:val="26"/>
        </w:rPr>
        <w:t>of</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temporary</w:t>
      </w:r>
      <w:r w:rsidRPr="00BF759D">
        <w:rPr>
          <w:rFonts w:eastAsia="Times New Roman" w:cs="Times New Roman"/>
          <w:szCs w:val="26"/>
        </w:rPr>
        <w:t xml:space="preserve"> </w:t>
      </w:r>
      <w:r w:rsidRPr="00B07D02">
        <w:rPr>
          <w:rFonts w:eastAsia="Times New Roman" w:cs="Times New Roman"/>
          <w:szCs w:val="26"/>
        </w:rPr>
        <w:t>impacts</w:t>
      </w:r>
      <w:r w:rsidRPr="00BF759D">
        <w:rPr>
          <w:rFonts w:eastAsia="Times New Roman" w:cs="Times New Roman"/>
          <w:szCs w:val="26"/>
        </w:rPr>
        <w:t xml:space="preserve"> </w:t>
      </w:r>
      <w:r w:rsidRPr="00B07D02">
        <w:rPr>
          <w:rFonts w:eastAsia="Times New Roman" w:cs="Times New Roman"/>
          <w:szCs w:val="26"/>
        </w:rPr>
        <w:t>is</w:t>
      </w:r>
      <w:r w:rsidRPr="00BF759D">
        <w:rPr>
          <w:rFonts w:eastAsia="Times New Roman" w:cs="Times New Roman"/>
          <w:szCs w:val="26"/>
        </w:rPr>
        <w:t xml:space="preserve"> </w:t>
      </w:r>
      <w:r w:rsidRPr="00B07D02">
        <w:rPr>
          <w:rFonts w:eastAsia="Times New Roman" w:cs="Times New Roman"/>
          <w:szCs w:val="26"/>
        </w:rPr>
        <w:t xml:space="preserve">impossible. The </w:t>
      </w:r>
      <w:r w:rsidR="00FE39BE">
        <w:rPr>
          <w:rFonts w:eastAsia="Times New Roman" w:cs="Times New Roman"/>
          <w:szCs w:val="26"/>
        </w:rPr>
        <w:t>FEIR</w:t>
      </w:r>
      <w:r w:rsidRPr="00B07D02">
        <w:rPr>
          <w:rFonts w:eastAsia="Times New Roman" w:cs="Times New Roman"/>
          <w:szCs w:val="26"/>
        </w:rPr>
        <w:t xml:space="preserve"> correctly discloses the potential significant and long-term impacts to agricultural land affected by construction activities if the lands are not properly restored.</w:t>
      </w:r>
      <w:r w:rsidRPr="00BF759D">
        <w:rPr>
          <w:rFonts w:eastAsia="Times New Roman" w:cs="Times New Roman"/>
          <w:szCs w:val="26"/>
        </w:rPr>
        <w:t xml:space="preserve"> </w:t>
      </w:r>
      <w:r w:rsidRPr="00B07D02">
        <w:rPr>
          <w:rFonts w:eastAsia="Times New Roman" w:cs="Times New Roman"/>
          <w:szCs w:val="26"/>
        </w:rPr>
        <w:t xml:space="preserve">However, the </w:t>
      </w:r>
      <w:r w:rsidR="00FE39BE">
        <w:rPr>
          <w:rFonts w:eastAsia="Times New Roman" w:cs="Times New Roman"/>
          <w:szCs w:val="26"/>
        </w:rPr>
        <w:t>FEIR</w:t>
      </w:r>
      <w:r w:rsidRPr="00B07D02">
        <w:rPr>
          <w:rFonts w:eastAsia="Times New Roman" w:cs="Times New Roman"/>
          <w:szCs w:val="26"/>
        </w:rPr>
        <w:t xml:space="preserve"> prescribes Mitigation Measure (MM) AG-2, which lays out specific steps and performance standards to be implemented to ensure that restoration of the agricultural lands takes place.</w:t>
      </w:r>
      <w:r w:rsidRPr="00BF759D">
        <w:rPr>
          <w:rFonts w:eastAsia="Times New Roman" w:cs="Times New Roman"/>
          <w:szCs w:val="26"/>
        </w:rPr>
        <w:t xml:space="preserve"> </w:t>
      </w:r>
      <w:r w:rsidRPr="00B07D02">
        <w:rPr>
          <w:rFonts w:eastAsia="Times New Roman" w:cs="Times New Roman"/>
          <w:szCs w:val="26"/>
        </w:rPr>
        <w:t xml:space="preserve">The </w:t>
      </w:r>
      <w:r w:rsidR="0085793A">
        <w:rPr>
          <w:rFonts w:eastAsia="Times New Roman" w:cs="Times New Roman"/>
          <w:szCs w:val="26"/>
        </w:rPr>
        <w:t>FEIR</w:t>
      </w:r>
      <w:r w:rsidRPr="00B07D02">
        <w:rPr>
          <w:rFonts w:eastAsia="Times New Roman" w:cs="Times New Roman"/>
          <w:szCs w:val="26"/>
        </w:rPr>
        <w:t xml:space="preserve"> reasonably concludes after adequate analysis that this measure would reduce the impacts to a level that is less than significant.</w:t>
      </w:r>
      <w:r w:rsidRPr="00B07D02">
        <w:rPr>
          <w:rFonts w:eastAsia="Times New Roman" w:cs="Times New Roman"/>
          <w:szCs w:val="26"/>
          <w:vertAlign w:val="superscript"/>
        </w:rPr>
        <w:footnoteReference w:id="89"/>
      </w:r>
      <w:r w:rsidRPr="00B07D02">
        <w:rPr>
          <w:rFonts w:eastAsia="Times New Roman" w:cs="Times New Roman"/>
          <w:szCs w:val="26"/>
        </w:rPr>
        <w:t xml:space="preserve"> </w:t>
      </w:r>
    </w:p>
    <w:p w:rsidRPr="00B07D02" w:rsidR="00300641" w:rsidP="009F605D" w:rsidRDefault="00300641" w14:paraId="24017F8E" w14:textId="24B3189E">
      <w:pPr>
        <w:widowControl w:val="0"/>
        <w:numPr>
          <w:ilvl w:val="0"/>
          <w:numId w:val="5"/>
        </w:numPr>
        <w:tabs>
          <w:tab w:val="left" w:pos="1300"/>
        </w:tabs>
        <w:autoSpaceDE w:val="0"/>
        <w:autoSpaceDN w:val="0"/>
        <w:spacing w:after="120" w:line="240" w:lineRule="auto"/>
        <w:ind w:left="1080" w:right="1440"/>
        <w:rPr>
          <w:rFonts w:eastAsia="Times New Roman" w:cs="Times New Roman"/>
          <w:szCs w:val="26"/>
        </w:rPr>
      </w:pPr>
      <w:r w:rsidRPr="00B07D02">
        <w:rPr>
          <w:rFonts w:eastAsia="Times New Roman" w:cs="Times New Roman"/>
          <w:szCs w:val="26"/>
        </w:rPr>
        <w:t xml:space="preserve">The dimensions for pole structures and foundations are provided in the </w:t>
      </w:r>
      <w:r w:rsidR="0085793A">
        <w:rPr>
          <w:rFonts w:eastAsia="Times New Roman" w:cs="Times New Roman"/>
          <w:szCs w:val="26"/>
        </w:rPr>
        <w:t>FEIR</w:t>
      </w:r>
      <w:r w:rsidRPr="00B07D02">
        <w:rPr>
          <w:rFonts w:eastAsia="Times New Roman" w:cs="Times New Roman"/>
          <w:szCs w:val="26"/>
        </w:rPr>
        <w:t>’s Table 2-8.</w:t>
      </w:r>
      <w:r w:rsidRPr="00BF759D">
        <w:rPr>
          <w:rFonts w:eastAsia="Times New Roman" w:cs="Times New Roman"/>
          <w:szCs w:val="26"/>
        </w:rPr>
        <w:t xml:space="preserve"> </w:t>
      </w:r>
      <w:r w:rsidRPr="00B07D02">
        <w:rPr>
          <w:rFonts w:eastAsia="Times New Roman" w:cs="Times New Roman"/>
          <w:szCs w:val="26"/>
        </w:rPr>
        <w:t xml:space="preserve">The dimensions for the interconnection structure are provided in the </w:t>
      </w:r>
      <w:r w:rsidR="0085793A">
        <w:rPr>
          <w:rFonts w:eastAsia="Times New Roman" w:cs="Times New Roman"/>
          <w:szCs w:val="26"/>
        </w:rPr>
        <w:t>FEIR</w:t>
      </w:r>
      <w:r w:rsidRPr="00B07D02">
        <w:rPr>
          <w:rFonts w:eastAsia="Times New Roman" w:cs="Times New Roman"/>
          <w:szCs w:val="26"/>
        </w:rPr>
        <w:t>’s Table 2-7.</w:t>
      </w:r>
      <w:r w:rsidRPr="00BF759D">
        <w:rPr>
          <w:rFonts w:eastAsia="Times New Roman" w:cs="Times New Roman"/>
          <w:szCs w:val="26"/>
        </w:rPr>
        <w:t xml:space="preserve"> </w:t>
      </w:r>
      <w:r w:rsidRPr="00B07D02">
        <w:rPr>
          <w:rFonts w:eastAsia="Times New Roman" w:cs="Times New Roman"/>
          <w:szCs w:val="26"/>
        </w:rPr>
        <w:t>Excavation</w:t>
      </w:r>
      <w:r w:rsidRPr="00BF759D">
        <w:rPr>
          <w:rFonts w:eastAsia="Times New Roman" w:cs="Times New Roman"/>
          <w:szCs w:val="26"/>
        </w:rPr>
        <w:t xml:space="preserve"> </w:t>
      </w:r>
      <w:r w:rsidRPr="00B07D02">
        <w:rPr>
          <w:rFonts w:eastAsia="Times New Roman" w:cs="Times New Roman"/>
          <w:szCs w:val="26"/>
        </w:rPr>
        <w:t>depths</w:t>
      </w:r>
      <w:r w:rsidRPr="00BF759D">
        <w:rPr>
          <w:rFonts w:eastAsia="Times New Roman" w:cs="Times New Roman"/>
          <w:szCs w:val="26"/>
        </w:rPr>
        <w:t xml:space="preserve"> </w:t>
      </w:r>
      <w:r w:rsidRPr="00B07D02">
        <w:rPr>
          <w:rFonts w:eastAsia="Times New Roman" w:cs="Times New Roman"/>
          <w:szCs w:val="26"/>
        </w:rPr>
        <w:t>are referenced</w:t>
      </w:r>
      <w:r w:rsidRPr="00BF759D">
        <w:rPr>
          <w:rFonts w:eastAsia="Times New Roman" w:cs="Times New Roman"/>
          <w:szCs w:val="26"/>
        </w:rPr>
        <w:t xml:space="preserve"> </w:t>
      </w:r>
      <w:r w:rsidRPr="00B07D02">
        <w:rPr>
          <w:rFonts w:eastAsia="Times New Roman" w:cs="Times New Roman"/>
          <w:szCs w:val="26"/>
        </w:rPr>
        <w:t>in</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descriptions</w:t>
      </w:r>
      <w:r w:rsidRPr="00BF759D">
        <w:rPr>
          <w:rFonts w:eastAsia="Times New Roman" w:cs="Times New Roman"/>
          <w:szCs w:val="26"/>
        </w:rPr>
        <w:t xml:space="preserve"> </w:t>
      </w:r>
      <w:r w:rsidRPr="00B07D02">
        <w:rPr>
          <w:rFonts w:eastAsia="Times New Roman" w:cs="Times New Roman"/>
          <w:szCs w:val="26"/>
        </w:rPr>
        <w:t>of</w:t>
      </w:r>
      <w:r w:rsidRPr="00BF759D">
        <w:rPr>
          <w:rFonts w:eastAsia="Times New Roman" w:cs="Times New Roman"/>
          <w:szCs w:val="26"/>
        </w:rPr>
        <w:t xml:space="preserve"> </w:t>
      </w:r>
      <w:r w:rsidRPr="00B07D02">
        <w:rPr>
          <w:rFonts w:eastAsia="Times New Roman" w:cs="Times New Roman"/>
          <w:szCs w:val="26"/>
        </w:rPr>
        <w:t>construction methods to be used, such as for open-trench methods (</w:t>
      </w:r>
      <w:r w:rsidR="00DE36C5">
        <w:rPr>
          <w:rFonts w:eastAsia="Times New Roman" w:cs="Times New Roman"/>
          <w:szCs w:val="26"/>
        </w:rPr>
        <w:t>s</w:t>
      </w:r>
      <w:r w:rsidRPr="00DE36C5" w:rsidR="00DE36C5">
        <w:rPr>
          <w:rFonts w:eastAsia="Times New Roman" w:cs="Times New Roman"/>
          <w:i/>
          <w:iCs/>
          <w:szCs w:val="26"/>
        </w:rPr>
        <w:t>ee </w:t>
      </w:r>
      <w:r w:rsidRPr="00B07D02">
        <w:rPr>
          <w:rFonts w:eastAsia="Times New Roman" w:cs="Times New Roman"/>
          <w:szCs w:val="26"/>
        </w:rPr>
        <w:t>page 2-74) and methods required to establish access driveways and roads (</w:t>
      </w:r>
      <w:r w:rsidR="00DE36C5">
        <w:rPr>
          <w:rFonts w:eastAsia="Times New Roman" w:cs="Times New Roman"/>
          <w:szCs w:val="26"/>
        </w:rPr>
        <w:t>s</w:t>
      </w:r>
      <w:r w:rsidRPr="00DE36C5" w:rsidR="00DE36C5">
        <w:rPr>
          <w:rFonts w:eastAsia="Times New Roman" w:cs="Times New Roman"/>
          <w:i/>
          <w:iCs/>
          <w:szCs w:val="26"/>
        </w:rPr>
        <w:t>ee </w:t>
      </w:r>
      <w:r w:rsidRPr="00B07D02">
        <w:rPr>
          <w:rFonts w:eastAsia="Times New Roman" w:cs="Times New Roman"/>
          <w:szCs w:val="26"/>
        </w:rPr>
        <w:t>page 2-71).</w:t>
      </w:r>
      <w:r w:rsidR="00AF7C61">
        <w:rPr>
          <w:rStyle w:val="FootnoteReference"/>
          <w:rFonts w:eastAsia="Times New Roman" w:cs="Times New Roman"/>
          <w:szCs w:val="26"/>
        </w:rPr>
        <w:footnoteReference w:id="90"/>
      </w:r>
      <w:r w:rsidDel="00AF7C61" w:rsidR="00AF7C61">
        <w:t xml:space="preserve"> </w:t>
      </w:r>
    </w:p>
    <w:p w:rsidRPr="00B07D02" w:rsidR="00300641" w:rsidP="009F605D" w:rsidRDefault="00300641" w14:paraId="242E6B40" w14:textId="6374946A">
      <w:pPr>
        <w:widowControl w:val="0"/>
        <w:numPr>
          <w:ilvl w:val="0"/>
          <w:numId w:val="5"/>
        </w:numPr>
        <w:tabs>
          <w:tab w:val="left" w:pos="1300"/>
        </w:tabs>
        <w:autoSpaceDE w:val="0"/>
        <w:autoSpaceDN w:val="0"/>
        <w:spacing w:after="120" w:line="240" w:lineRule="auto"/>
        <w:ind w:left="1080" w:right="1440"/>
        <w:rPr>
          <w:rFonts w:eastAsia="Times New Roman" w:cs="Times New Roman"/>
          <w:szCs w:val="26"/>
        </w:rPr>
      </w:pPr>
      <w:r w:rsidRPr="00B07D02">
        <w:rPr>
          <w:rFonts w:eastAsia="Times New Roman" w:cs="Times New Roman"/>
          <w:szCs w:val="26"/>
        </w:rPr>
        <w:t>Soil compaction alone is</w:t>
      </w:r>
      <w:r w:rsidRPr="00BF759D">
        <w:rPr>
          <w:rFonts w:eastAsia="Times New Roman" w:cs="Times New Roman"/>
          <w:szCs w:val="26"/>
        </w:rPr>
        <w:t xml:space="preserve"> </w:t>
      </w:r>
      <w:r w:rsidRPr="00B07D02">
        <w:rPr>
          <w:rFonts w:eastAsia="Times New Roman" w:cs="Times New Roman"/>
          <w:szCs w:val="26"/>
        </w:rPr>
        <w:t>not recognized as a significant impact to soils; however, soil compaction can make revegetation more challenging.</w:t>
      </w:r>
      <w:r w:rsidRPr="00BF759D">
        <w:rPr>
          <w:rFonts w:eastAsia="Times New Roman" w:cs="Times New Roman"/>
          <w:szCs w:val="26"/>
        </w:rPr>
        <w:t xml:space="preserve"> </w:t>
      </w:r>
      <w:r w:rsidRPr="00B07D02">
        <w:rPr>
          <w:rFonts w:eastAsia="Times New Roman" w:cs="Times New Roman"/>
          <w:szCs w:val="26"/>
        </w:rPr>
        <w:t>As discussed in Volume</w:t>
      </w:r>
      <w:r w:rsidRPr="00BF759D">
        <w:rPr>
          <w:rFonts w:eastAsia="Times New Roman" w:cs="Times New Roman"/>
          <w:szCs w:val="26"/>
        </w:rPr>
        <w:t xml:space="preserve"> </w:t>
      </w:r>
      <w:r w:rsidRPr="00B07D02">
        <w:rPr>
          <w:rFonts w:eastAsia="Times New Roman" w:cs="Times New Roman"/>
          <w:szCs w:val="26"/>
        </w:rPr>
        <w:t xml:space="preserve">1, </w:t>
      </w:r>
      <w:r w:rsidR="004B645B">
        <w:rPr>
          <w:rFonts w:eastAsia="Times New Roman" w:cs="Times New Roman"/>
          <w:szCs w:val="26"/>
        </w:rPr>
        <w:t>Section </w:t>
      </w:r>
      <w:r w:rsidRPr="00B07D02">
        <w:rPr>
          <w:rFonts w:eastAsia="Times New Roman" w:cs="Times New Roman"/>
          <w:szCs w:val="26"/>
        </w:rPr>
        <w:t xml:space="preserve">4.7 of the </w:t>
      </w:r>
      <w:r w:rsidR="0085793A">
        <w:rPr>
          <w:rFonts w:eastAsia="Times New Roman" w:cs="Times New Roman"/>
          <w:szCs w:val="26"/>
        </w:rPr>
        <w:t>FEIR</w:t>
      </w:r>
      <w:r w:rsidRPr="00B07D02">
        <w:rPr>
          <w:rFonts w:eastAsia="Times New Roman" w:cs="Times New Roman"/>
          <w:szCs w:val="26"/>
        </w:rPr>
        <w:t xml:space="preserve">, “Geology, Soils, Seismicity and Paleontological Resources,” after construction, disturbed areas would be restored to pre-project conditions through implementation of measures outlined within the </w:t>
      </w:r>
      <w:r w:rsidRPr="00B07D02">
        <w:rPr>
          <w:rFonts w:eastAsia="Times New Roman" w:cs="Times New Roman"/>
          <w:szCs w:val="26"/>
        </w:rPr>
        <w:lastRenderedPageBreak/>
        <w:t>Stormwater Pollution Prevention Plan (“SWPPP”).</w:t>
      </w:r>
      <w:r w:rsidRPr="00BF759D">
        <w:rPr>
          <w:rFonts w:eastAsia="Times New Roman" w:cs="Times New Roman"/>
          <w:szCs w:val="26"/>
        </w:rPr>
        <w:t xml:space="preserve"> </w:t>
      </w:r>
      <w:r w:rsidRPr="00B07D02">
        <w:rPr>
          <w:rFonts w:eastAsia="Times New Roman" w:cs="Times New Roman"/>
          <w:szCs w:val="26"/>
        </w:rPr>
        <w:t>Among other things, SWPPP best management practices would ensure top soil protection, including actions to protect soil stockpiles from storm events, locate piles away from and/or downgradient from waterways, provide for avoidance of excessive disturbance of steep slopes, control vehicle traffic, and implement a dust-control program.</w:t>
      </w:r>
      <w:r w:rsidRPr="00B07D02">
        <w:rPr>
          <w:rFonts w:eastAsia="Times New Roman" w:cs="Times New Roman"/>
          <w:szCs w:val="26"/>
          <w:vertAlign w:val="superscript"/>
        </w:rPr>
        <w:footnoteReference w:id="91"/>
      </w:r>
      <w:r w:rsidRPr="00B07D02">
        <w:rPr>
          <w:rFonts w:eastAsia="Times New Roman" w:cs="Times New Roman"/>
          <w:szCs w:val="26"/>
        </w:rPr>
        <w:t xml:space="preserve"> </w:t>
      </w:r>
    </w:p>
    <w:p w:rsidRPr="00B07D02" w:rsidR="00300641" w:rsidP="009F605D" w:rsidRDefault="00300641" w14:paraId="48857E81" w14:textId="1F151480">
      <w:pPr>
        <w:widowControl w:val="0"/>
        <w:numPr>
          <w:ilvl w:val="0"/>
          <w:numId w:val="5"/>
        </w:numPr>
        <w:tabs>
          <w:tab w:val="left" w:pos="1299"/>
        </w:tabs>
        <w:autoSpaceDE w:val="0"/>
        <w:autoSpaceDN w:val="0"/>
        <w:spacing w:after="120" w:line="240" w:lineRule="auto"/>
        <w:ind w:left="1080" w:right="1440"/>
        <w:rPr>
          <w:rFonts w:eastAsia="Times New Roman" w:cs="Times New Roman"/>
          <w:szCs w:val="26"/>
        </w:rPr>
      </w:pPr>
      <w:r w:rsidRPr="00B07D02">
        <w:rPr>
          <w:rFonts w:eastAsia="Times New Roman" w:cs="Times New Roman"/>
          <w:szCs w:val="26"/>
        </w:rPr>
        <w:t xml:space="preserve">The notions that the temporary impacts to Farmland from construction of the Proposed Project </w:t>
      </w:r>
      <w:r w:rsidR="002273BE">
        <w:rPr>
          <w:rFonts w:eastAsia="Times New Roman" w:cs="Times New Roman"/>
          <w:szCs w:val="26"/>
        </w:rPr>
        <w:t>m</w:t>
      </w:r>
      <w:r w:rsidR="00325E91">
        <w:rPr>
          <w:rFonts w:eastAsia="Times New Roman" w:cs="Times New Roman"/>
          <w:szCs w:val="26"/>
        </w:rPr>
        <w:t>ay</w:t>
      </w:r>
      <w:r w:rsidR="002273BE">
        <w:rPr>
          <w:rFonts w:eastAsia="Times New Roman" w:cs="Times New Roman"/>
          <w:szCs w:val="26"/>
        </w:rPr>
        <w:t xml:space="preserve"> </w:t>
      </w:r>
      <w:r w:rsidRPr="00B07D02">
        <w:rPr>
          <w:rFonts w:eastAsia="Times New Roman" w:cs="Times New Roman"/>
          <w:szCs w:val="26"/>
        </w:rPr>
        <w:t>become permanent and that MM AG-2 is insufficient are incorrect.</w:t>
      </w:r>
      <w:r w:rsidRPr="00BF759D">
        <w:rPr>
          <w:rFonts w:eastAsia="Times New Roman" w:cs="Times New Roman"/>
          <w:szCs w:val="26"/>
        </w:rPr>
        <w:t xml:space="preserve"> </w:t>
      </w:r>
      <w:r w:rsidRPr="00B07D02">
        <w:rPr>
          <w:rFonts w:eastAsia="Times New Roman" w:cs="Times New Roman"/>
          <w:szCs w:val="26"/>
        </w:rPr>
        <w:t>MM AG-2 requires the Applicants to restore agricultural lands following construction activities to a reasonable equivalent in agricultural viability/suitability in comparison to pre-construction conditions, including replacement of topsoil/crops</w:t>
      </w:r>
      <w:r w:rsidRPr="00BF759D">
        <w:rPr>
          <w:rFonts w:eastAsia="Times New Roman" w:cs="Times New Roman"/>
          <w:szCs w:val="26"/>
        </w:rPr>
        <w:t xml:space="preserve"> </w:t>
      </w:r>
      <w:r w:rsidRPr="00B07D02">
        <w:rPr>
          <w:rFonts w:eastAsia="Times New Roman" w:cs="Times New Roman"/>
          <w:szCs w:val="26"/>
        </w:rPr>
        <w:t>and de-compaction of soils, if necessary.</w:t>
      </w:r>
      <w:r w:rsidRPr="00B07D02">
        <w:rPr>
          <w:rFonts w:eastAsia="Times New Roman" w:cs="Times New Roman"/>
          <w:szCs w:val="26"/>
          <w:vertAlign w:val="superscript"/>
        </w:rPr>
        <w:footnoteReference w:id="92"/>
      </w:r>
      <w:r w:rsidRPr="00B07D02">
        <w:rPr>
          <w:rFonts w:eastAsia="Times New Roman" w:cs="Times New Roman"/>
          <w:szCs w:val="26"/>
        </w:rPr>
        <w:t xml:space="preserve"> </w:t>
      </w:r>
    </w:p>
    <w:p w:rsidRPr="00B07D02" w:rsidR="00300641" w:rsidP="009652C8" w:rsidRDefault="00300641" w14:paraId="3BB963A0" w14:textId="747F7AA1">
      <w:pPr>
        <w:pStyle w:val="Standard"/>
        <w:spacing w:before="240"/>
        <w:rPr>
          <w:rFonts w:eastAsia="Times New Roman" w:cs="Times New Roman"/>
          <w:szCs w:val="26"/>
        </w:rPr>
      </w:pPr>
      <w:bookmarkStart w:name="_bookmark54" w:id="179"/>
      <w:bookmarkEnd w:id="179"/>
      <w:r w:rsidRPr="00B07D02">
        <w:rPr>
          <w:rFonts w:eastAsia="Times New Roman" w:cs="Times New Roman"/>
          <w:szCs w:val="26"/>
        </w:rPr>
        <w:t xml:space="preserve">We reviewed CURE’s claim of </w:t>
      </w:r>
      <w:r w:rsidR="001F03EB">
        <w:rPr>
          <w:rFonts w:eastAsia="Times New Roman" w:cs="Times New Roman"/>
          <w:szCs w:val="26"/>
        </w:rPr>
        <w:t xml:space="preserve">the </w:t>
      </w:r>
      <w:r w:rsidRPr="00B07D02">
        <w:rPr>
          <w:rFonts w:eastAsia="Times New Roman" w:cs="Times New Roman"/>
          <w:szCs w:val="26"/>
        </w:rPr>
        <w:t>FEIR’s alleged failure to adequately</w:t>
      </w:r>
      <w:r w:rsidRPr="00BF759D">
        <w:rPr>
          <w:rFonts w:eastAsia="Times New Roman" w:cs="Times New Roman"/>
          <w:szCs w:val="26"/>
        </w:rPr>
        <w:t xml:space="preserve"> </w:t>
      </w:r>
      <w:r w:rsidRPr="00B07D02">
        <w:rPr>
          <w:rFonts w:eastAsia="Times New Roman" w:cs="Times New Roman"/>
          <w:szCs w:val="26"/>
        </w:rPr>
        <w:t>analyze</w:t>
      </w:r>
      <w:r w:rsidRPr="00BF759D">
        <w:rPr>
          <w:rFonts w:eastAsia="Times New Roman" w:cs="Times New Roman"/>
          <w:szCs w:val="26"/>
        </w:rPr>
        <w:t xml:space="preserve"> </w:t>
      </w:r>
      <w:r w:rsidRPr="00B07D02">
        <w:rPr>
          <w:rFonts w:eastAsia="Times New Roman" w:cs="Times New Roman"/>
          <w:szCs w:val="26"/>
        </w:rPr>
        <w:t>biological impacts, including CURE’s comments regarding project revisions, and find this claim without merit.  CURE</w:t>
      </w:r>
      <w:r w:rsidRPr="00BF759D">
        <w:rPr>
          <w:rFonts w:eastAsia="Times New Roman" w:cs="Times New Roman"/>
          <w:szCs w:val="26"/>
        </w:rPr>
        <w:t xml:space="preserve"> </w:t>
      </w:r>
      <w:r w:rsidRPr="00B07D02">
        <w:rPr>
          <w:rFonts w:eastAsia="Times New Roman" w:cs="Times New Roman"/>
          <w:szCs w:val="26"/>
        </w:rPr>
        <w:t>alleges</w:t>
      </w:r>
      <w:r w:rsidRPr="00BF759D">
        <w:rPr>
          <w:rFonts w:eastAsia="Times New Roman" w:cs="Times New Roman"/>
          <w:szCs w:val="26"/>
        </w:rPr>
        <w:t xml:space="preserve"> </w:t>
      </w:r>
      <w:r w:rsidRPr="00B07D02">
        <w:rPr>
          <w:rFonts w:eastAsia="Times New Roman" w:cs="Times New Roman"/>
          <w:szCs w:val="26"/>
        </w:rPr>
        <w:t>that</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FEIR</w:t>
      </w:r>
      <w:r w:rsidRPr="00BF759D">
        <w:rPr>
          <w:rFonts w:eastAsia="Times New Roman" w:cs="Times New Roman"/>
          <w:szCs w:val="26"/>
        </w:rPr>
        <w:t xml:space="preserve"> </w:t>
      </w:r>
      <w:r w:rsidRPr="00B07D02">
        <w:rPr>
          <w:rFonts w:eastAsia="Times New Roman" w:cs="Times New Roman"/>
          <w:szCs w:val="26"/>
        </w:rPr>
        <w:t>does</w:t>
      </w:r>
      <w:r w:rsidRPr="00BF759D">
        <w:rPr>
          <w:rFonts w:eastAsia="Times New Roman" w:cs="Times New Roman"/>
          <w:szCs w:val="26"/>
        </w:rPr>
        <w:t xml:space="preserve"> </w:t>
      </w:r>
      <w:r w:rsidRPr="00B07D02">
        <w:rPr>
          <w:rFonts w:eastAsia="Times New Roman" w:cs="Times New Roman"/>
          <w:szCs w:val="26"/>
        </w:rPr>
        <w:t>not</w:t>
      </w:r>
      <w:r w:rsidRPr="00BF759D">
        <w:rPr>
          <w:rFonts w:eastAsia="Times New Roman" w:cs="Times New Roman"/>
          <w:szCs w:val="26"/>
        </w:rPr>
        <w:t xml:space="preserve"> </w:t>
      </w:r>
      <w:r w:rsidRPr="00B07D02">
        <w:rPr>
          <w:rFonts w:eastAsia="Times New Roman" w:cs="Times New Roman"/>
          <w:szCs w:val="26"/>
        </w:rPr>
        <w:t>adequately</w:t>
      </w:r>
      <w:r w:rsidRPr="00BF759D">
        <w:rPr>
          <w:rFonts w:eastAsia="Times New Roman" w:cs="Times New Roman"/>
          <w:szCs w:val="26"/>
        </w:rPr>
        <w:t xml:space="preserve"> </w:t>
      </w:r>
      <w:r w:rsidRPr="00B07D02">
        <w:rPr>
          <w:rFonts w:eastAsia="Times New Roman" w:cs="Times New Roman"/>
          <w:szCs w:val="26"/>
        </w:rPr>
        <w:t>analyze</w:t>
      </w:r>
      <w:r w:rsidRPr="00BF759D">
        <w:rPr>
          <w:rFonts w:eastAsia="Times New Roman" w:cs="Times New Roman"/>
          <w:szCs w:val="26"/>
        </w:rPr>
        <w:t xml:space="preserve"> </w:t>
      </w:r>
      <w:r w:rsidRPr="00B07D02">
        <w:rPr>
          <w:rFonts w:eastAsia="Times New Roman" w:cs="Times New Roman"/>
          <w:szCs w:val="26"/>
        </w:rPr>
        <w:t>potential</w:t>
      </w:r>
      <w:r w:rsidRPr="00BF759D">
        <w:rPr>
          <w:rFonts w:eastAsia="Times New Roman" w:cs="Times New Roman"/>
          <w:szCs w:val="26"/>
        </w:rPr>
        <w:t xml:space="preserve"> </w:t>
      </w:r>
      <w:r w:rsidRPr="00B07D02">
        <w:rPr>
          <w:rFonts w:eastAsia="Times New Roman" w:cs="Times New Roman"/>
          <w:szCs w:val="26"/>
        </w:rPr>
        <w:t>biological</w:t>
      </w:r>
      <w:r w:rsidRPr="00BF759D">
        <w:rPr>
          <w:rFonts w:eastAsia="Times New Roman" w:cs="Times New Roman"/>
          <w:szCs w:val="26"/>
        </w:rPr>
        <w:t xml:space="preserve"> </w:t>
      </w:r>
      <w:r w:rsidRPr="00B07D02">
        <w:rPr>
          <w:rFonts w:eastAsia="Times New Roman" w:cs="Times New Roman"/>
          <w:szCs w:val="26"/>
        </w:rPr>
        <w:t>impacts to California red-legged frog</w:t>
      </w:r>
      <w:r w:rsidR="001F03EB">
        <w:rPr>
          <w:rFonts w:eastAsia="Times New Roman" w:cs="Times New Roman"/>
          <w:szCs w:val="26"/>
        </w:rPr>
        <w:t>s</w:t>
      </w:r>
      <w:r w:rsidRPr="00B07D02">
        <w:rPr>
          <w:rFonts w:eastAsia="Times New Roman" w:cs="Times New Roman"/>
          <w:szCs w:val="26"/>
        </w:rPr>
        <w:t xml:space="preserve"> and Western spadefoot toads from the following five changes described in the RDEIR:</w:t>
      </w:r>
    </w:p>
    <w:p w:rsidRPr="00B07D02" w:rsidR="00300641" w:rsidP="009F605D" w:rsidRDefault="00300641" w14:paraId="522FCD96" w14:textId="1DADEA72">
      <w:pPr>
        <w:widowControl w:val="0"/>
        <w:numPr>
          <w:ilvl w:val="2"/>
          <w:numId w:val="6"/>
        </w:numPr>
        <w:tabs>
          <w:tab w:val="left" w:pos="1658"/>
          <w:tab w:val="left" w:pos="1660"/>
        </w:tabs>
        <w:autoSpaceDE w:val="0"/>
        <w:autoSpaceDN w:val="0"/>
        <w:spacing w:after="120" w:line="240" w:lineRule="auto"/>
        <w:ind w:left="1170" w:right="1440" w:hanging="450"/>
        <w:rPr>
          <w:rFonts w:eastAsia="Times New Roman" w:cs="Times New Roman"/>
          <w:szCs w:val="26"/>
        </w:rPr>
      </w:pPr>
      <w:r w:rsidRPr="00B07D02">
        <w:rPr>
          <w:rFonts w:eastAsia="Times New Roman" w:cs="Times New Roman"/>
          <w:szCs w:val="26"/>
        </w:rPr>
        <w:t>Increasing the length of the paved access road at the substation up to the second entrance to the 70</w:t>
      </w:r>
      <w:r w:rsidR="00DC5A1D">
        <w:rPr>
          <w:rFonts w:eastAsia="Times New Roman" w:cs="Times New Roman"/>
          <w:szCs w:val="26"/>
        </w:rPr>
        <w:t> kV</w:t>
      </w:r>
      <w:r w:rsidRPr="00B07D02">
        <w:rPr>
          <w:rFonts w:eastAsia="Times New Roman" w:cs="Times New Roman"/>
          <w:szCs w:val="26"/>
        </w:rPr>
        <w:t xml:space="preserve"> substation from 15 feet to 700 feet;</w:t>
      </w:r>
    </w:p>
    <w:p w:rsidRPr="00B07D02" w:rsidR="00300641" w:rsidP="009F605D" w:rsidRDefault="00300641" w14:paraId="7B1CBDFA" w14:textId="16E53A7F">
      <w:pPr>
        <w:widowControl w:val="0"/>
        <w:numPr>
          <w:ilvl w:val="2"/>
          <w:numId w:val="6"/>
        </w:numPr>
        <w:tabs>
          <w:tab w:val="left" w:pos="1658"/>
          <w:tab w:val="left" w:pos="1660"/>
        </w:tabs>
        <w:autoSpaceDE w:val="0"/>
        <w:autoSpaceDN w:val="0"/>
        <w:spacing w:after="120" w:line="240" w:lineRule="auto"/>
        <w:ind w:left="1170" w:right="1440" w:hanging="450"/>
        <w:rPr>
          <w:rFonts w:eastAsia="Times New Roman" w:cs="Times New Roman"/>
          <w:szCs w:val="26"/>
        </w:rPr>
      </w:pPr>
      <w:r w:rsidRPr="00B07D02">
        <w:rPr>
          <w:rFonts w:eastAsia="Times New Roman" w:cs="Times New Roman"/>
          <w:szCs w:val="26"/>
        </w:rPr>
        <w:t>Changing</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height</w:t>
      </w:r>
      <w:r w:rsidRPr="00BF759D">
        <w:rPr>
          <w:rFonts w:eastAsia="Times New Roman" w:cs="Times New Roman"/>
          <w:szCs w:val="26"/>
        </w:rPr>
        <w:t xml:space="preserve"> </w:t>
      </w:r>
      <w:r w:rsidRPr="00B07D02">
        <w:rPr>
          <w:rFonts w:eastAsia="Times New Roman" w:cs="Times New Roman"/>
          <w:szCs w:val="26"/>
        </w:rPr>
        <w:t>of</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substation’s</w:t>
      </w:r>
      <w:r w:rsidRPr="00BF759D">
        <w:rPr>
          <w:rFonts w:eastAsia="Times New Roman" w:cs="Times New Roman"/>
          <w:szCs w:val="26"/>
        </w:rPr>
        <w:t xml:space="preserve"> </w:t>
      </w:r>
      <w:r w:rsidRPr="00B07D02">
        <w:rPr>
          <w:rFonts w:eastAsia="Times New Roman" w:cs="Times New Roman"/>
          <w:szCs w:val="26"/>
        </w:rPr>
        <w:t>chain-link</w:t>
      </w:r>
      <w:r w:rsidRPr="00BF759D">
        <w:rPr>
          <w:rFonts w:eastAsia="Times New Roman" w:cs="Times New Roman"/>
          <w:szCs w:val="26"/>
        </w:rPr>
        <w:t xml:space="preserve"> </w:t>
      </w:r>
      <w:r w:rsidRPr="00B07D02">
        <w:rPr>
          <w:rFonts w:eastAsia="Times New Roman" w:cs="Times New Roman"/>
          <w:szCs w:val="26"/>
        </w:rPr>
        <w:t>fence</w:t>
      </w:r>
      <w:r w:rsidRPr="00BF759D">
        <w:rPr>
          <w:rFonts w:eastAsia="Times New Roman" w:cs="Times New Roman"/>
          <w:szCs w:val="26"/>
        </w:rPr>
        <w:t xml:space="preserve"> </w:t>
      </w:r>
      <w:r w:rsidRPr="00B07D02">
        <w:rPr>
          <w:rFonts w:eastAsia="Times New Roman" w:cs="Times New Roman"/>
          <w:szCs w:val="26"/>
        </w:rPr>
        <w:t>from</w:t>
      </w:r>
      <w:r w:rsidRPr="00BF759D">
        <w:rPr>
          <w:rFonts w:eastAsia="Times New Roman" w:cs="Times New Roman"/>
          <w:szCs w:val="26"/>
        </w:rPr>
        <w:t xml:space="preserve"> </w:t>
      </w:r>
      <w:r w:rsidRPr="00B07D02">
        <w:rPr>
          <w:rFonts w:eastAsia="Times New Roman" w:cs="Times New Roman"/>
          <w:szCs w:val="26"/>
        </w:rPr>
        <w:t>‘approximately 7-foot tall’ to ‘a minimum of 7 feet tall</w:t>
      </w:r>
      <w:r w:rsidR="009652C8">
        <w:rPr>
          <w:rFonts w:eastAsia="Times New Roman" w:cs="Times New Roman"/>
          <w:szCs w:val="26"/>
        </w:rPr>
        <w:t>’</w:t>
      </w:r>
      <w:r w:rsidRPr="00B07D02">
        <w:rPr>
          <w:rFonts w:eastAsia="Times New Roman" w:cs="Times New Roman"/>
          <w:szCs w:val="26"/>
        </w:rPr>
        <w:t>;</w:t>
      </w:r>
    </w:p>
    <w:p w:rsidRPr="00B07D02" w:rsidR="00300641" w:rsidP="009F605D" w:rsidRDefault="00300641" w14:paraId="5E5FD557" w14:textId="77777777">
      <w:pPr>
        <w:widowControl w:val="0"/>
        <w:numPr>
          <w:ilvl w:val="2"/>
          <w:numId w:val="6"/>
        </w:numPr>
        <w:tabs>
          <w:tab w:val="left" w:pos="1658"/>
          <w:tab w:val="left" w:pos="1660"/>
        </w:tabs>
        <w:autoSpaceDE w:val="0"/>
        <w:autoSpaceDN w:val="0"/>
        <w:spacing w:after="120" w:line="240" w:lineRule="auto"/>
        <w:ind w:left="1170" w:right="1440" w:hanging="450"/>
        <w:rPr>
          <w:rFonts w:eastAsia="Times New Roman" w:cs="Times New Roman"/>
          <w:szCs w:val="26"/>
        </w:rPr>
      </w:pPr>
      <w:r w:rsidRPr="00B07D02">
        <w:rPr>
          <w:rFonts w:eastAsia="Times New Roman" w:cs="Times New Roman"/>
          <w:szCs w:val="26"/>
        </w:rPr>
        <w:t>Increasing the estimate for the amount of cut and fill required for substation construction</w:t>
      </w:r>
      <w:r w:rsidRPr="00BF759D">
        <w:rPr>
          <w:rFonts w:eastAsia="Times New Roman" w:cs="Times New Roman"/>
          <w:szCs w:val="26"/>
        </w:rPr>
        <w:t xml:space="preserve"> </w:t>
      </w:r>
      <w:r w:rsidRPr="00B07D02">
        <w:rPr>
          <w:rFonts w:eastAsia="Times New Roman" w:cs="Times New Roman"/>
          <w:szCs w:val="26"/>
        </w:rPr>
        <w:t>from</w:t>
      </w:r>
      <w:r w:rsidRPr="00BF759D">
        <w:rPr>
          <w:rFonts w:eastAsia="Times New Roman" w:cs="Times New Roman"/>
          <w:szCs w:val="26"/>
        </w:rPr>
        <w:t xml:space="preserve"> </w:t>
      </w:r>
      <w:r w:rsidRPr="00B07D02">
        <w:rPr>
          <w:rFonts w:eastAsia="Times New Roman" w:cs="Times New Roman"/>
          <w:szCs w:val="26"/>
        </w:rPr>
        <w:t>50,000</w:t>
      </w:r>
      <w:r w:rsidRPr="00BF759D">
        <w:rPr>
          <w:rFonts w:eastAsia="Times New Roman" w:cs="Times New Roman"/>
          <w:szCs w:val="26"/>
        </w:rPr>
        <w:t xml:space="preserve"> </w:t>
      </w:r>
      <w:r w:rsidRPr="00B07D02">
        <w:rPr>
          <w:rFonts w:eastAsia="Times New Roman" w:cs="Times New Roman"/>
          <w:szCs w:val="26"/>
        </w:rPr>
        <w:t>cubic</w:t>
      </w:r>
      <w:r w:rsidRPr="00BF759D">
        <w:rPr>
          <w:rFonts w:eastAsia="Times New Roman" w:cs="Times New Roman"/>
          <w:szCs w:val="26"/>
        </w:rPr>
        <w:t xml:space="preserve"> </w:t>
      </w:r>
      <w:r w:rsidRPr="00B07D02">
        <w:rPr>
          <w:rFonts w:eastAsia="Times New Roman" w:cs="Times New Roman"/>
          <w:szCs w:val="26"/>
        </w:rPr>
        <w:lastRenderedPageBreak/>
        <w:t>yards</w:t>
      </w:r>
      <w:r w:rsidRPr="00BF759D">
        <w:rPr>
          <w:rFonts w:eastAsia="Times New Roman" w:cs="Times New Roman"/>
          <w:szCs w:val="26"/>
        </w:rPr>
        <w:t xml:space="preserve"> </w:t>
      </w:r>
      <w:r w:rsidRPr="00B07D02">
        <w:rPr>
          <w:rFonts w:eastAsia="Times New Roman" w:cs="Times New Roman"/>
          <w:szCs w:val="26"/>
        </w:rPr>
        <w:t>to</w:t>
      </w:r>
      <w:r w:rsidRPr="00BF759D">
        <w:rPr>
          <w:rFonts w:eastAsia="Times New Roman" w:cs="Times New Roman"/>
          <w:szCs w:val="26"/>
        </w:rPr>
        <w:t xml:space="preserve"> </w:t>
      </w:r>
      <w:r w:rsidRPr="00B07D02">
        <w:rPr>
          <w:rFonts w:eastAsia="Times New Roman" w:cs="Times New Roman"/>
          <w:szCs w:val="26"/>
        </w:rPr>
        <w:t>68,000</w:t>
      </w:r>
      <w:r w:rsidRPr="00BF759D">
        <w:rPr>
          <w:rFonts w:eastAsia="Times New Roman" w:cs="Times New Roman"/>
          <w:szCs w:val="26"/>
        </w:rPr>
        <w:t xml:space="preserve"> </w:t>
      </w:r>
      <w:r w:rsidRPr="00B07D02">
        <w:rPr>
          <w:rFonts w:eastAsia="Times New Roman" w:cs="Times New Roman"/>
          <w:szCs w:val="26"/>
        </w:rPr>
        <w:t>cubic</w:t>
      </w:r>
      <w:r w:rsidRPr="00BF759D">
        <w:rPr>
          <w:rFonts w:eastAsia="Times New Roman" w:cs="Times New Roman"/>
          <w:szCs w:val="26"/>
        </w:rPr>
        <w:t xml:space="preserve"> </w:t>
      </w:r>
      <w:r w:rsidRPr="00B07D02">
        <w:rPr>
          <w:rFonts w:eastAsia="Times New Roman" w:cs="Times New Roman"/>
          <w:szCs w:val="26"/>
        </w:rPr>
        <w:t>yards,</w:t>
      </w:r>
      <w:r w:rsidRPr="00BF759D">
        <w:rPr>
          <w:rFonts w:eastAsia="Times New Roman" w:cs="Times New Roman"/>
          <w:szCs w:val="26"/>
        </w:rPr>
        <w:t xml:space="preserve"> </w:t>
      </w:r>
      <w:r w:rsidRPr="00B07D02">
        <w:rPr>
          <w:rFonts w:eastAsia="Times New Roman" w:cs="Times New Roman"/>
          <w:szCs w:val="26"/>
        </w:rPr>
        <w:t>not</w:t>
      </w:r>
      <w:r w:rsidRPr="00BF759D">
        <w:rPr>
          <w:rFonts w:eastAsia="Times New Roman" w:cs="Times New Roman"/>
          <w:szCs w:val="26"/>
        </w:rPr>
        <w:t xml:space="preserve"> </w:t>
      </w:r>
      <w:r w:rsidRPr="00B07D02">
        <w:rPr>
          <w:rFonts w:eastAsia="Times New Roman" w:cs="Times New Roman"/>
          <w:szCs w:val="26"/>
        </w:rPr>
        <w:t>including</w:t>
      </w:r>
      <w:r w:rsidRPr="00BF759D">
        <w:rPr>
          <w:rFonts w:eastAsia="Times New Roman" w:cs="Times New Roman"/>
          <w:szCs w:val="26"/>
        </w:rPr>
        <w:t xml:space="preserve"> </w:t>
      </w:r>
      <w:r w:rsidRPr="00B07D02">
        <w:rPr>
          <w:rFonts w:eastAsia="Times New Roman" w:cs="Times New Roman"/>
          <w:szCs w:val="26"/>
        </w:rPr>
        <w:t xml:space="preserve">an </w:t>
      </w:r>
      <w:bookmarkStart w:name="_bookmark55" w:id="180"/>
      <w:bookmarkEnd w:id="180"/>
      <w:r w:rsidRPr="00B07D02">
        <w:rPr>
          <w:rFonts w:eastAsia="Times New Roman" w:cs="Times New Roman"/>
          <w:szCs w:val="26"/>
        </w:rPr>
        <w:t>additional</w:t>
      </w:r>
      <w:r w:rsidRPr="00BF759D">
        <w:rPr>
          <w:rFonts w:eastAsia="Times New Roman" w:cs="Times New Roman"/>
          <w:szCs w:val="26"/>
        </w:rPr>
        <w:t xml:space="preserve"> </w:t>
      </w:r>
      <w:r w:rsidRPr="00B07D02">
        <w:rPr>
          <w:rFonts w:eastAsia="Times New Roman" w:cs="Times New Roman"/>
          <w:szCs w:val="26"/>
        </w:rPr>
        <w:t>16,500</w:t>
      </w:r>
      <w:r w:rsidRPr="00BF759D">
        <w:rPr>
          <w:rFonts w:eastAsia="Times New Roman" w:cs="Times New Roman"/>
          <w:szCs w:val="26"/>
        </w:rPr>
        <w:t xml:space="preserve"> </w:t>
      </w:r>
      <w:r w:rsidRPr="00B07D02">
        <w:rPr>
          <w:rFonts w:eastAsia="Times New Roman" w:cs="Times New Roman"/>
          <w:szCs w:val="26"/>
        </w:rPr>
        <w:t>cubic</w:t>
      </w:r>
      <w:r w:rsidRPr="00BF759D">
        <w:rPr>
          <w:rFonts w:eastAsia="Times New Roman" w:cs="Times New Roman"/>
          <w:szCs w:val="26"/>
        </w:rPr>
        <w:t xml:space="preserve"> </w:t>
      </w:r>
      <w:r w:rsidRPr="00B07D02">
        <w:rPr>
          <w:rFonts w:eastAsia="Times New Roman" w:cs="Times New Roman"/>
          <w:szCs w:val="26"/>
        </w:rPr>
        <w:t>yards</w:t>
      </w:r>
      <w:r w:rsidRPr="00BF759D">
        <w:rPr>
          <w:rFonts w:eastAsia="Times New Roman" w:cs="Times New Roman"/>
          <w:szCs w:val="26"/>
        </w:rPr>
        <w:t xml:space="preserve"> </w:t>
      </w:r>
      <w:r w:rsidRPr="00B07D02">
        <w:rPr>
          <w:rFonts w:eastAsia="Times New Roman" w:cs="Times New Roman"/>
          <w:szCs w:val="26"/>
        </w:rPr>
        <w:t>of</w:t>
      </w:r>
      <w:r w:rsidRPr="00BF759D">
        <w:rPr>
          <w:rFonts w:eastAsia="Times New Roman" w:cs="Times New Roman"/>
          <w:szCs w:val="26"/>
        </w:rPr>
        <w:t xml:space="preserve"> </w:t>
      </w:r>
      <w:r w:rsidRPr="00B07D02">
        <w:rPr>
          <w:rFonts w:eastAsia="Times New Roman" w:cs="Times New Roman"/>
          <w:szCs w:val="26"/>
        </w:rPr>
        <w:t>topsoil</w:t>
      </w:r>
      <w:r w:rsidRPr="00BF759D">
        <w:rPr>
          <w:rFonts w:eastAsia="Times New Roman" w:cs="Times New Roman"/>
          <w:szCs w:val="26"/>
        </w:rPr>
        <w:t xml:space="preserve"> </w:t>
      </w:r>
      <w:r w:rsidRPr="00B07D02">
        <w:rPr>
          <w:rFonts w:eastAsia="Times New Roman" w:cs="Times New Roman"/>
          <w:szCs w:val="26"/>
        </w:rPr>
        <w:t>that</w:t>
      </w:r>
      <w:r w:rsidRPr="00BF759D">
        <w:rPr>
          <w:rFonts w:eastAsia="Times New Roman" w:cs="Times New Roman"/>
          <w:szCs w:val="26"/>
        </w:rPr>
        <w:t xml:space="preserve"> </w:t>
      </w:r>
      <w:r w:rsidRPr="00B07D02">
        <w:rPr>
          <w:rFonts w:eastAsia="Times New Roman" w:cs="Times New Roman"/>
          <w:szCs w:val="26"/>
        </w:rPr>
        <w:t>would</w:t>
      </w:r>
      <w:r w:rsidRPr="00BF759D">
        <w:rPr>
          <w:rFonts w:eastAsia="Times New Roman" w:cs="Times New Roman"/>
          <w:szCs w:val="26"/>
        </w:rPr>
        <w:t xml:space="preserve"> </w:t>
      </w:r>
      <w:r w:rsidRPr="00B07D02">
        <w:rPr>
          <w:rFonts w:eastAsia="Times New Roman" w:cs="Times New Roman"/>
          <w:szCs w:val="26"/>
        </w:rPr>
        <w:t>be</w:t>
      </w:r>
      <w:r w:rsidRPr="00BF759D">
        <w:rPr>
          <w:rFonts w:eastAsia="Times New Roman" w:cs="Times New Roman"/>
          <w:szCs w:val="26"/>
        </w:rPr>
        <w:t xml:space="preserve"> </w:t>
      </w:r>
      <w:r w:rsidRPr="00B07D02">
        <w:rPr>
          <w:rFonts w:eastAsia="Times New Roman" w:cs="Times New Roman"/>
          <w:szCs w:val="26"/>
        </w:rPr>
        <w:t>stripped</w:t>
      </w:r>
      <w:r w:rsidRPr="00BF759D">
        <w:rPr>
          <w:rFonts w:eastAsia="Times New Roman" w:cs="Times New Roman"/>
          <w:szCs w:val="26"/>
        </w:rPr>
        <w:t xml:space="preserve"> </w:t>
      </w:r>
      <w:r w:rsidRPr="00B07D02">
        <w:rPr>
          <w:rFonts w:eastAsia="Times New Roman" w:cs="Times New Roman"/>
          <w:szCs w:val="26"/>
        </w:rPr>
        <w:t>and</w:t>
      </w:r>
      <w:r w:rsidRPr="00BF759D">
        <w:rPr>
          <w:rFonts w:eastAsia="Times New Roman" w:cs="Times New Roman"/>
          <w:szCs w:val="26"/>
        </w:rPr>
        <w:t xml:space="preserve"> </w:t>
      </w:r>
      <w:r w:rsidRPr="00B07D02">
        <w:rPr>
          <w:rFonts w:eastAsia="Times New Roman" w:cs="Times New Roman"/>
          <w:szCs w:val="26"/>
        </w:rPr>
        <w:t>stockpiled (with 4,000 cubic yards of this amount to be reused during restoration activities);</w:t>
      </w:r>
    </w:p>
    <w:p w:rsidRPr="00B07D02" w:rsidR="00300641" w:rsidP="009F605D" w:rsidRDefault="00300641" w14:paraId="0FD639AB" w14:textId="2B58C23F">
      <w:pPr>
        <w:widowControl w:val="0"/>
        <w:numPr>
          <w:ilvl w:val="2"/>
          <w:numId w:val="6"/>
        </w:numPr>
        <w:tabs>
          <w:tab w:val="left" w:pos="1660"/>
        </w:tabs>
        <w:autoSpaceDE w:val="0"/>
        <w:autoSpaceDN w:val="0"/>
        <w:spacing w:after="120" w:line="240" w:lineRule="auto"/>
        <w:ind w:left="1170" w:right="1440" w:hanging="450"/>
        <w:rPr>
          <w:rFonts w:eastAsia="Times New Roman" w:cs="Times New Roman"/>
          <w:szCs w:val="26"/>
        </w:rPr>
      </w:pPr>
      <w:r w:rsidRPr="00B07D02">
        <w:rPr>
          <w:rFonts w:eastAsia="Times New Roman" w:cs="Times New Roman"/>
          <w:szCs w:val="26"/>
        </w:rPr>
        <w:t>Changing</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estimated</w:t>
      </w:r>
      <w:r w:rsidRPr="00BF759D">
        <w:rPr>
          <w:rFonts w:eastAsia="Times New Roman" w:cs="Times New Roman"/>
          <w:szCs w:val="26"/>
        </w:rPr>
        <w:t xml:space="preserve"> </w:t>
      </w:r>
      <w:r w:rsidRPr="00B07D02">
        <w:rPr>
          <w:rFonts w:eastAsia="Times New Roman" w:cs="Times New Roman"/>
          <w:szCs w:val="26"/>
        </w:rPr>
        <w:t>temporary</w:t>
      </w:r>
      <w:r w:rsidRPr="00BF759D">
        <w:rPr>
          <w:rFonts w:eastAsia="Times New Roman" w:cs="Times New Roman"/>
          <w:szCs w:val="26"/>
        </w:rPr>
        <w:t xml:space="preserve"> </w:t>
      </w:r>
      <w:r w:rsidRPr="00B07D02">
        <w:rPr>
          <w:rFonts w:eastAsia="Times New Roman" w:cs="Times New Roman"/>
          <w:szCs w:val="26"/>
        </w:rPr>
        <w:t>disturbance</w:t>
      </w:r>
      <w:r w:rsidRPr="00BF759D">
        <w:rPr>
          <w:rFonts w:eastAsia="Times New Roman" w:cs="Times New Roman"/>
          <w:szCs w:val="26"/>
        </w:rPr>
        <w:t xml:space="preserve"> </w:t>
      </w:r>
      <w:r w:rsidRPr="00B07D02">
        <w:rPr>
          <w:rFonts w:eastAsia="Times New Roman" w:cs="Times New Roman"/>
          <w:szCs w:val="26"/>
        </w:rPr>
        <w:t>area</w:t>
      </w:r>
      <w:r w:rsidRPr="00BF759D">
        <w:rPr>
          <w:rFonts w:eastAsia="Times New Roman" w:cs="Times New Roman"/>
          <w:szCs w:val="26"/>
        </w:rPr>
        <w:t xml:space="preserve"> </w:t>
      </w:r>
      <w:r w:rsidRPr="00B07D02">
        <w:rPr>
          <w:rFonts w:eastAsia="Times New Roman" w:cs="Times New Roman"/>
          <w:szCs w:val="26"/>
        </w:rPr>
        <w:t>during</w:t>
      </w:r>
      <w:r w:rsidRPr="00BF759D">
        <w:rPr>
          <w:rFonts w:eastAsia="Times New Roman" w:cs="Times New Roman"/>
          <w:szCs w:val="26"/>
        </w:rPr>
        <w:t xml:space="preserve"> </w:t>
      </w:r>
      <w:r w:rsidRPr="00B07D02">
        <w:rPr>
          <w:rFonts w:eastAsia="Times New Roman" w:cs="Times New Roman"/>
          <w:szCs w:val="26"/>
        </w:rPr>
        <w:t>construction</w:t>
      </w:r>
      <w:r w:rsidRPr="00BF759D">
        <w:rPr>
          <w:rFonts w:eastAsia="Times New Roman" w:cs="Times New Roman"/>
          <w:szCs w:val="26"/>
        </w:rPr>
        <w:t xml:space="preserve"> </w:t>
      </w:r>
      <w:r w:rsidRPr="00B07D02">
        <w:rPr>
          <w:rFonts w:eastAsia="Times New Roman" w:cs="Times New Roman"/>
          <w:szCs w:val="26"/>
        </w:rPr>
        <w:t>of</w:t>
      </w:r>
      <w:r w:rsidRPr="00BF759D">
        <w:rPr>
          <w:rFonts w:eastAsia="Times New Roman" w:cs="Times New Roman"/>
          <w:szCs w:val="26"/>
        </w:rPr>
        <w:t xml:space="preserve"> </w:t>
      </w:r>
      <w:r w:rsidRPr="00B07D02">
        <w:rPr>
          <w:rFonts w:eastAsia="Times New Roman" w:cs="Times New Roman"/>
          <w:szCs w:val="26"/>
        </w:rPr>
        <w:t>the Estrella Substation from 6.20</w:t>
      </w:r>
      <w:r w:rsidR="009652C8">
        <w:rPr>
          <w:rFonts w:eastAsia="Times New Roman" w:cs="Times New Roman"/>
          <w:szCs w:val="26"/>
        </w:rPr>
        <w:t> </w:t>
      </w:r>
      <w:r w:rsidRPr="00B07D02">
        <w:rPr>
          <w:rFonts w:eastAsia="Times New Roman" w:cs="Times New Roman"/>
          <w:szCs w:val="26"/>
        </w:rPr>
        <w:t>acres to 0.09 acres; and</w:t>
      </w:r>
    </w:p>
    <w:p w:rsidRPr="00B07D02" w:rsidR="00300641" w:rsidP="009F605D" w:rsidRDefault="00300641" w14:paraId="458D140F" w14:textId="2CDF3D65">
      <w:pPr>
        <w:widowControl w:val="0"/>
        <w:numPr>
          <w:ilvl w:val="2"/>
          <w:numId w:val="6"/>
        </w:numPr>
        <w:tabs>
          <w:tab w:val="left" w:pos="1660"/>
        </w:tabs>
        <w:autoSpaceDE w:val="0"/>
        <w:autoSpaceDN w:val="0"/>
        <w:spacing w:after="120" w:line="240" w:lineRule="auto"/>
        <w:ind w:left="1170" w:right="1440" w:hanging="450"/>
        <w:rPr>
          <w:rFonts w:eastAsia="Times New Roman" w:cs="Times New Roman"/>
          <w:szCs w:val="26"/>
        </w:rPr>
      </w:pPr>
      <w:r w:rsidRPr="00B07D02">
        <w:rPr>
          <w:rFonts w:eastAsia="Times New Roman" w:cs="Times New Roman"/>
          <w:szCs w:val="26"/>
        </w:rPr>
        <w:t>Increasing</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length</w:t>
      </w:r>
      <w:r w:rsidRPr="00BF759D">
        <w:rPr>
          <w:rFonts w:eastAsia="Times New Roman" w:cs="Times New Roman"/>
          <w:szCs w:val="26"/>
        </w:rPr>
        <w:t xml:space="preserve"> </w:t>
      </w:r>
      <w:r w:rsidRPr="00B07D02">
        <w:rPr>
          <w:rFonts w:eastAsia="Times New Roman" w:cs="Times New Roman"/>
          <w:szCs w:val="26"/>
        </w:rPr>
        <w:t>of</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paved</w:t>
      </w:r>
      <w:r w:rsidRPr="00BF759D">
        <w:rPr>
          <w:rFonts w:eastAsia="Times New Roman" w:cs="Times New Roman"/>
          <w:szCs w:val="26"/>
        </w:rPr>
        <w:t xml:space="preserve"> </w:t>
      </w:r>
      <w:r w:rsidRPr="00B07D02">
        <w:rPr>
          <w:rFonts w:eastAsia="Times New Roman" w:cs="Times New Roman"/>
          <w:szCs w:val="26"/>
        </w:rPr>
        <w:t>access</w:t>
      </w:r>
      <w:r w:rsidRPr="00BF759D">
        <w:rPr>
          <w:rFonts w:eastAsia="Times New Roman" w:cs="Times New Roman"/>
          <w:szCs w:val="26"/>
        </w:rPr>
        <w:t xml:space="preserve"> </w:t>
      </w:r>
      <w:r w:rsidRPr="00B07D02">
        <w:rPr>
          <w:rFonts w:eastAsia="Times New Roman" w:cs="Times New Roman"/>
          <w:szCs w:val="26"/>
        </w:rPr>
        <w:t>road</w:t>
      </w:r>
      <w:r w:rsidRPr="00BF759D">
        <w:rPr>
          <w:rFonts w:eastAsia="Times New Roman" w:cs="Times New Roman"/>
          <w:szCs w:val="26"/>
        </w:rPr>
        <w:t xml:space="preserve"> </w:t>
      </w:r>
      <w:r w:rsidRPr="00B07D02">
        <w:rPr>
          <w:rFonts w:eastAsia="Times New Roman" w:cs="Times New Roman"/>
          <w:szCs w:val="26"/>
        </w:rPr>
        <w:t>to</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70</w:t>
      </w:r>
      <w:r w:rsidR="00DC5A1D">
        <w:rPr>
          <w:rFonts w:eastAsia="Times New Roman" w:cs="Times New Roman"/>
          <w:szCs w:val="26"/>
        </w:rPr>
        <w:t> kV</w:t>
      </w:r>
      <w:r w:rsidRPr="00BF759D">
        <w:rPr>
          <w:rFonts w:eastAsia="Times New Roman" w:cs="Times New Roman"/>
          <w:szCs w:val="26"/>
        </w:rPr>
        <w:t xml:space="preserve"> </w:t>
      </w:r>
      <w:r w:rsidRPr="00B07D02">
        <w:rPr>
          <w:rFonts w:eastAsia="Times New Roman" w:cs="Times New Roman"/>
          <w:szCs w:val="26"/>
        </w:rPr>
        <w:t>substation</w:t>
      </w:r>
      <w:r w:rsidRPr="00BF759D">
        <w:rPr>
          <w:rFonts w:eastAsia="Times New Roman" w:cs="Times New Roman"/>
          <w:szCs w:val="26"/>
        </w:rPr>
        <w:t xml:space="preserve"> </w:t>
      </w:r>
      <w:r w:rsidRPr="00B07D02">
        <w:rPr>
          <w:rFonts w:eastAsia="Times New Roman" w:cs="Times New Roman"/>
          <w:szCs w:val="26"/>
        </w:rPr>
        <w:t>from 15-feet to 700 feet.</w:t>
      </w:r>
      <w:r w:rsidRPr="00B07D02">
        <w:rPr>
          <w:rFonts w:eastAsia="Times New Roman" w:cs="Times New Roman"/>
          <w:szCs w:val="26"/>
          <w:vertAlign w:val="superscript"/>
        </w:rPr>
        <w:footnoteReference w:id="93"/>
      </w:r>
      <w:r w:rsidRPr="00B07D02">
        <w:rPr>
          <w:rFonts w:eastAsia="Times New Roman" w:cs="Times New Roman"/>
          <w:szCs w:val="26"/>
        </w:rPr>
        <w:t xml:space="preserve"> </w:t>
      </w:r>
    </w:p>
    <w:p w:rsidRPr="00B07D02" w:rsidR="00300641" w:rsidP="009652C8" w:rsidRDefault="00300641" w14:paraId="76DC9913" w14:textId="5E2DDDF1">
      <w:pPr>
        <w:pStyle w:val="Standard"/>
        <w:spacing w:before="240"/>
        <w:rPr>
          <w:rFonts w:eastAsia="Times New Roman" w:cs="Times New Roman"/>
          <w:szCs w:val="26"/>
        </w:rPr>
      </w:pPr>
      <w:r w:rsidRPr="00B07D02">
        <w:rPr>
          <w:rFonts w:eastAsia="Times New Roman" w:cs="Times New Roman"/>
          <w:szCs w:val="26"/>
        </w:rPr>
        <w:t>CURE also alleges without explanation that “[c]</w:t>
      </w:r>
      <w:proofErr w:type="spellStart"/>
      <w:r w:rsidRPr="00B07D02">
        <w:rPr>
          <w:rFonts w:eastAsia="Times New Roman" w:cs="Times New Roman"/>
          <w:szCs w:val="26"/>
        </w:rPr>
        <w:t>hanges</w:t>
      </w:r>
      <w:proofErr w:type="spellEnd"/>
      <w:r w:rsidRPr="00B07D02">
        <w:rPr>
          <w:rFonts w:eastAsia="Times New Roman" w:cs="Times New Roman"/>
          <w:szCs w:val="26"/>
        </w:rPr>
        <w:t xml:space="preserve"> to the Project will require additional removal of vegetation but the Final EIR does not clarify how much additional vegetation will be required to be removed,” and the FEIR “fails to disclose and analyze the environmental impacts of the fuel reduction efforts.”</w:t>
      </w:r>
      <w:r w:rsidRPr="00B07D02">
        <w:rPr>
          <w:rFonts w:eastAsia="Times New Roman" w:cs="Times New Roman"/>
          <w:szCs w:val="26"/>
          <w:vertAlign w:val="superscript"/>
        </w:rPr>
        <w:footnoteReference w:id="94"/>
      </w:r>
      <w:r w:rsidR="00265759">
        <w:rPr>
          <w:rFonts w:eastAsia="Times New Roman" w:cs="Times New Roman"/>
          <w:szCs w:val="26"/>
        </w:rPr>
        <w:t xml:space="preserve"> </w:t>
      </w:r>
      <w:r w:rsidRPr="00B07D02">
        <w:rPr>
          <w:rFonts w:eastAsia="Times New Roman" w:cs="Times New Roman"/>
          <w:szCs w:val="26"/>
        </w:rPr>
        <w:t xml:space="preserve">CURE’s only citation for its arguments regarding biological impacts is to its own comments on the </w:t>
      </w:r>
      <w:r w:rsidR="00265759">
        <w:rPr>
          <w:rFonts w:eastAsia="Times New Roman" w:cs="Times New Roman"/>
          <w:szCs w:val="26"/>
        </w:rPr>
        <w:t>D</w:t>
      </w:r>
      <w:r w:rsidRPr="00B07D02">
        <w:rPr>
          <w:rFonts w:eastAsia="Times New Roman" w:cs="Times New Roman"/>
          <w:szCs w:val="26"/>
        </w:rPr>
        <w:t xml:space="preserve">EIR, where Mr. Cashen argued that the </w:t>
      </w:r>
      <w:r w:rsidR="00265759">
        <w:rPr>
          <w:rFonts w:eastAsia="Times New Roman" w:cs="Times New Roman"/>
          <w:szCs w:val="26"/>
        </w:rPr>
        <w:t>D</w:t>
      </w:r>
      <w:r w:rsidRPr="00B07D02">
        <w:rPr>
          <w:rFonts w:eastAsia="Times New Roman" w:cs="Times New Roman"/>
          <w:szCs w:val="26"/>
        </w:rPr>
        <w:t>EIR did not adequately analyze impacts to the Western spadefoot toad and California red-legged frog.</w:t>
      </w:r>
      <w:r w:rsidRPr="00BF759D">
        <w:rPr>
          <w:rFonts w:eastAsia="Times New Roman" w:cs="Times New Roman"/>
          <w:szCs w:val="26"/>
        </w:rPr>
        <w:t xml:space="preserve"> </w:t>
      </w:r>
      <w:r w:rsidRPr="00B07D02">
        <w:rPr>
          <w:rFonts w:eastAsia="Times New Roman" w:cs="Times New Roman"/>
          <w:szCs w:val="26"/>
        </w:rPr>
        <w:t>The FEIR adequately analyzes potential biological impacts, including those raised by CURE and Mr. Cashen, and addresses Mr. Cashen’s comments in Responses to Comments</w:t>
      </w:r>
      <w:r w:rsidRPr="00BF759D">
        <w:rPr>
          <w:rFonts w:eastAsia="Times New Roman" w:cs="Times New Roman"/>
          <w:szCs w:val="26"/>
        </w:rPr>
        <w:t xml:space="preserve"> </w:t>
      </w:r>
      <w:r w:rsidRPr="00B07D02">
        <w:rPr>
          <w:rFonts w:eastAsia="Times New Roman" w:cs="Times New Roman"/>
          <w:szCs w:val="26"/>
        </w:rPr>
        <w:t>D-83, D-84, D-85, R.A-40, and R.A-41.</w:t>
      </w:r>
      <w:r w:rsidRPr="00BF759D">
        <w:rPr>
          <w:rFonts w:eastAsia="Times New Roman" w:cs="Times New Roman"/>
          <w:szCs w:val="26"/>
        </w:rPr>
        <w:t xml:space="preserve"> </w:t>
      </w:r>
      <w:r w:rsidRPr="00B07D02">
        <w:rPr>
          <w:rFonts w:eastAsia="Times New Roman" w:cs="Times New Roman"/>
          <w:szCs w:val="26"/>
        </w:rPr>
        <w:t>The FEIR explains, for example, that:</w:t>
      </w:r>
    </w:p>
    <w:p w:rsidRPr="00B07D02" w:rsidR="00300641" w:rsidP="009F605D" w:rsidRDefault="00300641" w14:paraId="201DDFF9" w14:textId="36733A13">
      <w:pPr>
        <w:widowControl w:val="0"/>
        <w:numPr>
          <w:ilvl w:val="3"/>
          <w:numId w:val="6"/>
        </w:numPr>
        <w:tabs>
          <w:tab w:val="left" w:pos="1299"/>
        </w:tabs>
        <w:autoSpaceDE w:val="0"/>
        <w:autoSpaceDN w:val="0"/>
        <w:spacing w:after="120" w:line="240" w:lineRule="auto"/>
        <w:ind w:left="1083" w:right="1440" w:hanging="363"/>
        <w:rPr>
          <w:rFonts w:eastAsia="Times New Roman" w:cs="Times New Roman"/>
          <w:szCs w:val="26"/>
        </w:rPr>
      </w:pP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comment</w:t>
      </w:r>
      <w:r w:rsidRPr="00BF759D">
        <w:rPr>
          <w:rFonts w:eastAsia="Times New Roman" w:cs="Times New Roman"/>
          <w:szCs w:val="26"/>
        </w:rPr>
        <w:t xml:space="preserve"> </w:t>
      </w:r>
      <w:r w:rsidRPr="00B07D02">
        <w:rPr>
          <w:rFonts w:eastAsia="Times New Roman" w:cs="Times New Roman"/>
          <w:szCs w:val="26"/>
        </w:rPr>
        <w:t>argues</w:t>
      </w:r>
      <w:r w:rsidRPr="00BF759D">
        <w:rPr>
          <w:rFonts w:eastAsia="Times New Roman" w:cs="Times New Roman"/>
          <w:szCs w:val="26"/>
        </w:rPr>
        <w:t xml:space="preserve"> </w:t>
      </w:r>
      <w:r w:rsidRPr="00B07D02">
        <w:rPr>
          <w:rFonts w:eastAsia="Times New Roman" w:cs="Times New Roman"/>
          <w:szCs w:val="26"/>
        </w:rPr>
        <w:t>that</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EIR</w:t>
      </w:r>
      <w:r w:rsidRPr="00BF759D">
        <w:rPr>
          <w:rFonts w:eastAsia="Times New Roman" w:cs="Times New Roman"/>
          <w:szCs w:val="26"/>
        </w:rPr>
        <w:t xml:space="preserve"> </w:t>
      </w:r>
      <w:r w:rsidRPr="00B07D02">
        <w:rPr>
          <w:rFonts w:eastAsia="Times New Roman" w:cs="Times New Roman"/>
          <w:szCs w:val="26"/>
        </w:rPr>
        <w:t>fails</w:t>
      </w:r>
      <w:r w:rsidRPr="00BF759D">
        <w:rPr>
          <w:rFonts w:eastAsia="Times New Roman" w:cs="Times New Roman"/>
          <w:szCs w:val="26"/>
        </w:rPr>
        <w:t xml:space="preserve"> </w:t>
      </w:r>
      <w:r w:rsidRPr="00B07D02">
        <w:rPr>
          <w:rFonts w:eastAsia="Times New Roman" w:cs="Times New Roman"/>
          <w:szCs w:val="26"/>
        </w:rPr>
        <w:t>to</w:t>
      </w:r>
      <w:r w:rsidRPr="00BF759D">
        <w:rPr>
          <w:rFonts w:eastAsia="Times New Roman" w:cs="Times New Roman"/>
          <w:szCs w:val="26"/>
        </w:rPr>
        <w:t xml:space="preserve"> </w:t>
      </w:r>
      <w:r w:rsidRPr="00B07D02">
        <w:rPr>
          <w:rFonts w:eastAsia="Times New Roman" w:cs="Times New Roman"/>
          <w:szCs w:val="26"/>
        </w:rPr>
        <w:t>adequately</w:t>
      </w:r>
      <w:r w:rsidRPr="00BF759D">
        <w:rPr>
          <w:rFonts w:eastAsia="Times New Roman" w:cs="Times New Roman"/>
          <w:szCs w:val="26"/>
        </w:rPr>
        <w:t xml:space="preserve"> </w:t>
      </w:r>
      <w:r w:rsidRPr="00B07D02">
        <w:rPr>
          <w:rFonts w:eastAsia="Times New Roman" w:cs="Times New Roman"/>
          <w:szCs w:val="26"/>
        </w:rPr>
        <w:t>analyze</w:t>
      </w:r>
      <w:r w:rsidRPr="00BF759D">
        <w:rPr>
          <w:rFonts w:eastAsia="Times New Roman" w:cs="Times New Roman"/>
          <w:szCs w:val="26"/>
        </w:rPr>
        <w:t xml:space="preserve"> </w:t>
      </w:r>
      <w:r w:rsidRPr="00B07D02">
        <w:rPr>
          <w:rFonts w:eastAsia="Times New Roman" w:cs="Times New Roman"/>
          <w:szCs w:val="26"/>
        </w:rPr>
        <w:t>impacts</w:t>
      </w:r>
      <w:r w:rsidRPr="00BF759D">
        <w:rPr>
          <w:rFonts w:eastAsia="Times New Roman" w:cs="Times New Roman"/>
          <w:szCs w:val="26"/>
        </w:rPr>
        <w:t xml:space="preserve"> </w:t>
      </w:r>
      <w:r w:rsidRPr="00B07D02">
        <w:rPr>
          <w:rFonts w:eastAsia="Times New Roman" w:cs="Times New Roman"/>
          <w:szCs w:val="26"/>
        </w:rPr>
        <w:t>to</w:t>
      </w:r>
      <w:r w:rsidRPr="00BF759D">
        <w:rPr>
          <w:rFonts w:eastAsia="Times New Roman" w:cs="Times New Roman"/>
          <w:szCs w:val="26"/>
        </w:rPr>
        <w:t xml:space="preserve"> California</w:t>
      </w:r>
      <w:r w:rsidRPr="00BF759D" w:rsidR="00C27DDE">
        <w:rPr>
          <w:rFonts w:eastAsia="Times New Roman" w:cs="Times New Roman"/>
          <w:szCs w:val="26"/>
        </w:rPr>
        <w:t xml:space="preserve"> </w:t>
      </w:r>
      <w:r w:rsidRPr="00B07D02">
        <w:rPr>
          <w:rFonts w:eastAsia="Times New Roman" w:cs="Times New Roman"/>
          <w:szCs w:val="26"/>
        </w:rPr>
        <w:t>red-legged frog (“CRLF”) and western spadefoot toad because the EIR does not require special survey techniques to survey CRLF.</w:t>
      </w:r>
      <w:r w:rsidRPr="00BF759D">
        <w:rPr>
          <w:rFonts w:eastAsia="Times New Roman" w:cs="Times New Roman"/>
          <w:szCs w:val="26"/>
        </w:rPr>
        <w:t xml:space="preserve"> </w:t>
      </w:r>
      <w:r w:rsidRPr="00B07D02">
        <w:rPr>
          <w:rFonts w:eastAsia="Times New Roman" w:cs="Times New Roman"/>
          <w:szCs w:val="26"/>
        </w:rPr>
        <w:t>The commenter points out that these species are only detectable a few weeks or months of the year and terrestrial movement of these species generally occurs at night.</w:t>
      </w:r>
      <w:r w:rsidRPr="00BF759D">
        <w:rPr>
          <w:rFonts w:eastAsia="Times New Roman" w:cs="Times New Roman"/>
          <w:szCs w:val="26"/>
        </w:rPr>
        <w:t xml:space="preserve"> </w:t>
      </w:r>
      <w:r w:rsidRPr="00B07D02">
        <w:rPr>
          <w:rFonts w:eastAsia="Times New Roman" w:cs="Times New Roman"/>
          <w:szCs w:val="26"/>
        </w:rPr>
        <w:t xml:space="preserve">The U.S. Fish and Wildlife Service’s </w:t>
      </w:r>
      <w:r w:rsidRPr="00B07D02">
        <w:rPr>
          <w:rFonts w:eastAsia="Times New Roman" w:cs="Times New Roman"/>
          <w:i/>
          <w:szCs w:val="26"/>
        </w:rPr>
        <w:t xml:space="preserve">Revised Guidance on Site </w:t>
      </w:r>
      <w:r w:rsidRPr="00B07D02">
        <w:rPr>
          <w:rFonts w:eastAsia="Times New Roman" w:cs="Times New Roman"/>
          <w:i/>
          <w:szCs w:val="26"/>
        </w:rPr>
        <w:lastRenderedPageBreak/>
        <w:t xml:space="preserve">Assessments and Field Surveys for the California </w:t>
      </w:r>
      <w:proofErr w:type="spellStart"/>
      <w:r w:rsidRPr="00B07D02">
        <w:rPr>
          <w:rFonts w:eastAsia="Times New Roman" w:cs="Times New Roman"/>
          <w:i/>
          <w:szCs w:val="26"/>
        </w:rPr>
        <w:t>Redlegged</w:t>
      </w:r>
      <w:proofErr w:type="spellEnd"/>
      <w:r w:rsidRPr="00B07D02">
        <w:rPr>
          <w:rFonts w:eastAsia="Times New Roman" w:cs="Times New Roman"/>
          <w:i/>
          <w:szCs w:val="26"/>
        </w:rPr>
        <w:t xml:space="preserve"> Frog </w:t>
      </w:r>
      <w:r w:rsidRPr="00B07D02">
        <w:rPr>
          <w:rFonts w:eastAsia="Times New Roman" w:cs="Times New Roman"/>
          <w:szCs w:val="26"/>
        </w:rPr>
        <w:t>(</w:t>
      </w:r>
      <w:r w:rsidR="00325E91">
        <w:rPr>
          <w:rFonts w:eastAsia="Times New Roman" w:cs="Times New Roman"/>
          <w:szCs w:val="26"/>
        </w:rPr>
        <w:t>August </w:t>
      </w:r>
      <w:r w:rsidRPr="00B07D02">
        <w:rPr>
          <w:rFonts w:eastAsia="Times New Roman" w:cs="Times New Roman"/>
          <w:szCs w:val="26"/>
        </w:rPr>
        <w:t>2005) does not provide guidance for upland surveys for CRLF; rather, it focuses on site assessments and surveys conducted in and around aquatic and riparian habitat.</w:t>
      </w:r>
      <w:r w:rsidRPr="00B07D02">
        <w:rPr>
          <w:rFonts w:eastAsia="Times New Roman" w:cs="Times New Roman"/>
          <w:szCs w:val="26"/>
          <w:vertAlign w:val="superscript"/>
        </w:rPr>
        <w:footnoteReference w:id="95"/>
      </w:r>
      <w:r w:rsidRPr="00B07D02">
        <w:rPr>
          <w:rFonts w:eastAsia="Times New Roman" w:cs="Times New Roman"/>
          <w:szCs w:val="26"/>
        </w:rPr>
        <w:t xml:space="preserve"> </w:t>
      </w:r>
    </w:p>
    <w:p w:rsidRPr="00B07D02" w:rsidR="00300641" w:rsidP="009F605D" w:rsidRDefault="00300641" w14:paraId="11AAD08E" w14:textId="719F7F92">
      <w:pPr>
        <w:widowControl w:val="0"/>
        <w:numPr>
          <w:ilvl w:val="3"/>
          <w:numId w:val="6"/>
        </w:numPr>
        <w:tabs>
          <w:tab w:val="left" w:pos="1300"/>
        </w:tabs>
        <w:autoSpaceDE w:val="0"/>
        <w:autoSpaceDN w:val="0"/>
        <w:spacing w:after="120" w:line="240" w:lineRule="auto"/>
        <w:ind w:left="1083" w:right="1440" w:hanging="363"/>
        <w:rPr>
          <w:rFonts w:eastAsia="Times New Roman" w:cs="Times New Roman"/>
          <w:szCs w:val="26"/>
        </w:rPr>
      </w:pPr>
      <w:r w:rsidRPr="00B07D02">
        <w:rPr>
          <w:rFonts w:eastAsia="Times New Roman" w:cs="Times New Roman"/>
          <w:szCs w:val="26"/>
        </w:rPr>
        <w:t>Based on the conclusions of the site assessments that have been performed to date, there is low probability for CRLF to be present in construction areas such that special survey techniques are not required, given the Project’s APM and MMs.</w:t>
      </w:r>
      <w:r w:rsidRPr="00BF759D">
        <w:rPr>
          <w:rFonts w:eastAsia="Times New Roman" w:cs="Times New Roman"/>
          <w:szCs w:val="26"/>
        </w:rPr>
        <w:t xml:space="preserve"> </w:t>
      </w:r>
      <w:r w:rsidRPr="00B07D02">
        <w:rPr>
          <w:rFonts w:eastAsia="Times New Roman" w:cs="Times New Roman"/>
          <w:szCs w:val="26"/>
        </w:rPr>
        <w:t>The APMs and MMs in the FEIR that apply to these species (e.g., APMs BIO-1 and BIO-3, and MM BIO-1) constitute a reasonable and acceptable approach to identifying whether western spadefoot toad and/or CRLF are present both before and during construction activities.</w:t>
      </w:r>
      <w:r w:rsidRPr="00BF759D">
        <w:rPr>
          <w:rFonts w:eastAsia="Times New Roman" w:cs="Times New Roman"/>
          <w:szCs w:val="26"/>
        </w:rPr>
        <w:t xml:space="preserve"> </w:t>
      </w:r>
      <w:r w:rsidRPr="00B07D02">
        <w:rPr>
          <w:rFonts w:eastAsia="Times New Roman" w:cs="Times New Roman"/>
          <w:szCs w:val="26"/>
        </w:rPr>
        <w:t xml:space="preserve">Overall, given these factors, combined with the reasonable measures that would be employed for protection of wildlife during construction, the effects on these species would be less than </w:t>
      </w:r>
      <w:r w:rsidRPr="00BF759D">
        <w:rPr>
          <w:rFonts w:eastAsia="Times New Roman" w:cs="Times New Roman"/>
          <w:szCs w:val="26"/>
        </w:rPr>
        <w:t>significant.</w:t>
      </w:r>
      <w:r w:rsidRPr="00BF759D">
        <w:rPr>
          <w:rFonts w:eastAsia="Times New Roman" w:cs="Times New Roman"/>
          <w:szCs w:val="26"/>
          <w:vertAlign w:val="superscript"/>
        </w:rPr>
        <w:footnoteReference w:id="96"/>
      </w:r>
      <w:r w:rsidRPr="00B07D02">
        <w:rPr>
          <w:rFonts w:eastAsia="Times New Roman" w:cs="Times New Roman"/>
          <w:szCs w:val="26"/>
        </w:rPr>
        <w:t xml:space="preserve"> </w:t>
      </w:r>
    </w:p>
    <w:p w:rsidRPr="00B07D02" w:rsidR="00300641" w:rsidP="009F605D" w:rsidRDefault="00300641" w14:paraId="2EF4785A" w14:textId="4FB6134F">
      <w:pPr>
        <w:widowControl w:val="0"/>
        <w:numPr>
          <w:ilvl w:val="3"/>
          <w:numId w:val="6"/>
        </w:numPr>
        <w:tabs>
          <w:tab w:val="left" w:pos="1300"/>
        </w:tabs>
        <w:autoSpaceDE w:val="0"/>
        <w:autoSpaceDN w:val="0"/>
        <w:spacing w:after="120" w:line="240" w:lineRule="auto"/>
        <w:ind w:left="1083" w:right="1440" w:hanging="363"/>
        <w:rPr>
          <w:rFonts w:eastAsia="Times New Roman" w:cs="Times New Roman"/>
          <w:szCs w:val="26"/>
        </w:rPr>
      </w:pPr>
      <w:r w:rsidRPr="00B07D02">
        <w:rPr>
          <w:rFonts w:eastAsia="Times New Roman" w:cs="Times New Roman"/>
          <w:szCs w:val="26"/>
        </w:rPr>
        <w:t xml:space="preserve">The comment states that mortality to CRLF and western spadefoot toad </w:t>
      </w:r>
      <w:r w:rsidR="002273BE">
        <w:rPr>
          <w:rFonts w:eastAsia="Times New Roman" w:cs="Times New Roman"/>
          <w:szCs w:val="26"/>
        </w:rPr>
        <w:t>m</w:t>
      </w:r>
      <w:r w:rsidR="00325E91">
        <w:rPr>
          <w:rFonts w:eastAsia="Times New Roman" w:cs="Times New Roman"/>
          <w:szCs w:val="26"/>
        </w:rPr>
        <w:t>ay</w:t>
      </w:r>
      <w:r w:rsidR="002273BE">
        <w:rPr>
          <w:rFonts w:eastAsia="Times New Roman" w:cs="Times New Roman"/>
          <w:szCs w:val="26"/>
        </w:rPr>
        <w:t xml:space="preserve"> </w:t>
      </w:r>
      <w:r w:rsidRPr="00B07D02">
        <w:rPr>
          <w:rFonts w:eastAsia="Times New Roman" w:cs="Times New Roman"/>
          <w:szCs w:val="26"/>
        </w:rPr>
        <w:t>occur if mitigation is limited to escape ramps and if trenches are not covered.</w:t>
      </w:r>
      <w:r w:rsidRPr="00BF759D">
        <w:rPr>
          <w:rFonts w:eastAsia="Times New Roman" w:cs="Times New Roman"/>
          <w:szCs w:val="26"/>
        </w:rPr>
        <w:t xml:space="preserve"> </w:t>
      </w:r>
      <w:r w:rsidRPr="00B07D02">
        <w:rPr>
          <w:rFonts w:eastAsia="Times New Roman" w:cs="Times New Roman"/>
          <w:szCs w:val="26"/>
        </w:rPr>
        <w:t>Additional mitigation measures such as escape ramps, twice daily inspections by a biologist, nightly covered trenches, and nightly capped pipes to protect species like CRLF and western</w:t>
      </w:r>
      <w:r w:rsidRPr="00BF759D">
        <w:rPr>
          <w:rFonts w:eastAsia="Times New Roman" w:cs="Times New Roman"/>
          <w:szCs w:val="26"/>
        </w:rPr>
        <w:t xml:space="preserve"> </w:t>
      </w:r>
      <w:r w:rsidRPr="00B07D02">
        <w:rPr>
          <w:rFonts w:eastAsia="Times New Roman" w:cs="Times New Roman"/>
          <w:szCs w:val="26"/>
        </w:rPr>
        <w:t>spadefoot</w:t>
      </w:r>
      <w:r w:rsidRPr="00BF759D">
        <w:rPr>
          <w:rFonts w:eastAsia="Times New Roman" w:cs="Times New Roman"/>
          <w:szCs w:val="26"/>
        </w:rPr>
        <w:t xml:space="preserve"> </w:t>
      </w:r>
      <w:r w:rsidRPr="00B07D02">
        <w:rPr>
          <w:rFonts w:eastAsia="Times New Roman" w:cs="Times New Roman"/>
          <w:szCs w:val="26"/>
        </w:rPr>
        <w:t>toad,</w:t>
      </w:r>
      <w:r w:rsidRPr="00BF759D">
        <w:rPr>
          <w:rFonts w:eastAsia="Times New Roman" w:cs="Times New Roman"/>
          <w:szCs w:val="26"/>
        </w:rPr>
        <w:t xml:space="preserve"> </w:t>
      </w:r>
      <w:r w:rsidRPr="00B07D02">
        <w:rPr>
          <w:rFonts w:eastAsia="Times New Roman" w:cs="Times New Roman"/>
          <w:szCs w:val="26"/>
        </w:rPr>
        <w:t>have</w:t>
      </w:r>
      <w:r w:rsidRPr="00BF759D">
        <w:rPr>
          <w:rFonts w:eastAsia="Times New Roman" w:cs="Times New Roman"/>
          <w:szCs w:val="26"/>
        </w:rPr>
        <w:t xml:space="preserve"> </w:t>
      </w:r>
      <w:r w:rsidRPr="00B07D02">
        <w:rPr>
          <w:rFonts w:eastAsia="Times New Roman" w:cs="Times New Roman"/>
          <w:szCs w:val="26"/>
        </w:rPr>
        <w:t>been</w:t>
      </w:r>
      <w:r w:rsidRPr="00BF759D">
        <w:rPr>
          <w:rFonts w:eastAsia="Times New Roman" w:cs="Times New Roman"/>
          <w:szCs w:val="26"/>
        </w:rPr>
        <w:t xml:space="preserve"> </w:t>
      </w:r>
      <w:r w:rsidRPr="00B07D02">
        <w:rPr>
          <w:rFonts w:eastAsia="Times New Roman" w:cs="Times New Roman"/>
          <w:szCs w:val="26"/>
        </w:rPr>
        <w:t>presented</w:t>
      </w:r>
      <w:r w:rsidRPr="00BF759D">
        <w:rPr>
          <w:rFonts w:eastAsia="Times New Roman" w:cs="Times New Roman"/>
          <w:szCs w:val="26"/>
        </w:rPr>
        <w:t xml:space="preserve"> </w:t>
      </w:r>
      <w:r w:rsidRPr="00B07D02">
        <w:rPr>
          <w:rFonts w:eastAsia="Times New Roman" w:cs="Times New Roman"/>
          <w:szCs w:val="26"/>
        </w:rPr>
        <w:t>in</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0085793A">
        <w:rPr>
          <w:rFonts w:eastAsia="Times New Roman" w:cs="Times New Roman"/>
          <w:szCs w:val="26"/>
        </w:rPr>
        <w:t>FEIR</w:t>
      </w:r>
      <w:r w:rsidRPr="00BF759D">
        <w:rPr>
          <w:rFonts w:eastAsia="Times New Roman" w:cs="Times New Roman"/>
          <w:szCs w:val="26"/>
        </w:rPr>
        <w:t xml:space="preserve"> </w:t>
      </w:r>
      <w:r w:rsidRPr="00B07D02">
        <w:rPr>
          <w:rFonts w:eastAsia="Times New Roman" w:cs="Times New Roman"/>
          <w:szCs w:val="26"/>
        </w:rPr>
        <w:t>in</w:t>
      </w:r>
      <w:r w:rsidRPr="00BF759D">
        <w:rPr>
          <w:rFonts w:eastAsia="Times New Roman" w:cs="Times New Roman"/>
          <w:szCs w:val="26"/>
        </w:rPr>
        <w:t xml:space="preserve"> </w:t>
      </w:r>
      <w:r w:rsidRPr="00B07D02">
        <w:rPr>
          <w:rFonts w:eastAsia="Times New Roman" w:cs="Times New Roman"/>
          <w:szCs w:val="26"/>
        </w:rPr>
        <w:t>APMs</w:t>
      </w:r>
      <w:r w:rsidRPr="00BF759D">
        <w:rPr>
          <w:rFonts w:eastAsia="Times New Roman" w:cs="Times New Roman"/>
          <w:szCs w:val="26"/>
        </w:rPr>
        <w:t xml:space="preserve"> </w:t>
      </w:r>
      <w:r w:rsidRPr="00B07D02">
        <w:rPr>
          <w:rFonts w:eastAsia="Times New Roman" w:cs="Times New Roman"/>
          <w:szCs w:val="26"/>
        </w:rPr>
        <w:t>BIO-1,</w:t>
      </w:r>
      <w:r w:rsidRPr="00BF759D">
        <w:rPr>
          <w:rFonts w:eastAsia="Times New Roman" w:cs="Times New Roman"/>
          <w:szCs w:val="26"/>
        </w:rPr>
        <w:t xml:space="preserve"> </w:t>
      </w:r>
      <w:r w:rsidRPr="00B07D02">
        <w:rPr>
          <w:rFonts w:eastAsia="Times New Roman" w:cs="Times New Roman"/>
          <w:szCs w:val="26"/>
        </w:rPr>
        <w:t>BIO-3, BIO-4, and HAZ-1, and MM BIO-1.</w:t>
      </w:r>
      <w:r w:rsidRPr="00BF759D">
        <w:rPr>
          <w:rFonts w:eastAsia="Times New Roman" w:cs="Times New Roman"/>
          <w:szCs w:val="26"/>
        </w:rPr>
        <w:t xml:space="preserve"> </w:t>
      </w:r>
      <w:r w:rsidRPr="00B07D02">
        <w:rPr>
          <w:rFonts w:eastAsia="Times New Roman" w:cs="Times New Roman"/>
          <w:szCs w:val="26"/>
        </w:rPr>
        <w:t>The combination of APMs and MMs would reduce impacts to a less than significant level.</w:t>
      </w:r>
      <w:r w:rsidRPr="00B07D02">
        <w:rPr>
          <w:rFonts w:eastAsia="Times New Roman" w:cs="Times New Roman"/>
          <w:szCs w:val="26"/>
          <w:vertAlign w:val="superscript"/>
        </w:rPr>
        <w:footnoteReference w:id="97"/>
      </w:r>
      <w:r w:rsidRPr="00B07D02">
        <w:rPr>
          <w:rFonts w:eastAsia="Times New Roman" w:cs="Times New Roman"/>
          <w:szCs w:val="26"/>
        </w:rPr>
        <w:t xml:space="preserve"> </w:t>
      </w:r>
    </w:p>
    <w:p w:rsidRPr="00B07D02" w:rsidR="00300641" w:rsidP="009F605D" w:rsidRDefault="00300641" w14:paraId="3EC47228" w14:textId="680DD6C8">
      <w:pPr>
        <w:widowControl w:val="0"/>
        <w:numPr>
          <w:ilvl w:val="3"/>
          <w:numId w:val="6"/>
        </w:numPr>
        <w:tabs>
          <w:tab w:val="left" w:pos="1300"/>
        </w:tabs>
        <w:autoSpaceDE w:val="0"/>
        <w:autoSpaceDN w:val="0"/>
        <w:spacing w:after="120" w:line="240" w:lineRule="auto"/>
        <w:ind w:left="1083" w:right="1440" w:hanging="363"/>
        <w:rPr>
          <w:rFonts w:eastAsia="Times New Roman" w:cs="Times New Roman"/>
          <w:szCs w:val="26"/>
        </w:rPr>
      </w:pPr>
      <w:r w:rsidRPr="00B07D02">
        <w:rPr>
          <w:rFonts w:eastAsia="Times New Roman" w:cs="Times New Roman"/>
          <w:szCs w:val="26"/>
        </w:rPr>
        <w:t xml:space="preserve">As described in the </w:t>
      </w:r>
      <w:r w:rsidR="00265759">
        <w:rPr>
          <w:rFonts w:eastAsia="Times New Roman" w:cs="Times New Roman"/>
          <w:szCs w:val="26"/>
        </w:rPr>
        <w:t>RD</w:t>
      </w:r>
      <w:r w:rsidRPr="00B07D02">
        <w:rPr>
          <w:rFonts w:eastAsia="Times New Roman" w:cs="Times New Roman"/>
          <w:szCs w:val="26"/>
        </w:rPr>
        <w:t>EIR, some aspects of the Project changes would expand the area of disturbance for certain components (</w:t>
      </w:r>
      <w:r w:rsidRPr="00B07D02">
        <w:rPr>
          <w:rFonts w:eastAsia="Times New Roman" w:cs="Times New Roman"/>
          <w:i/>
          <w:szCs w:val="26"/>
        </w:rPr>
        <w:t>e.g.</w:t>
      </w:r>
      <w:r w:rsidRPr="00B07D02">
        <w:rPr>
          <w:rFonts w:eastAsia="Times New Roman" w:cs="Times New Roman"/>
          <w:szCs w:val="26"/>
        </w:rPr>
        <w:t>,</w:t>
      </w:r>
      <w:r w:rsidRPr="00BF759D">
        <w:rPr>
          <w:rFonts w:eastAsia="Times New Roman" w:cs="Times New Roman"/>
          <w:szCs w:val="26"/>
        </w:rPr>
        <w:t xml:space="preserve"> </w:t>
      </w:r>
      <w:r w:rsidRPr="00B07D02">
        <w:rPr>
          <w:rFonts w:eastAsia="Times New Roman" w:cs="Times New Roman"/>
          <w:szCs w:val="26"/>
        </w:rPr>
        <w:t xml:space="preserve">increasing the length of paved substation access roads); however, the Project changes would also result in a reduction in the temporary disturbance area </w:t>
      </w:r>
      <w:r w:rsidRPr="00B07D02">
        <w:rPr>
          <w:rFonts w:eastAsia="Times New Roman" w:cs="Times New Roman"/>
          <w:szCs w:val="26"/>
        </w:rPr>
        <w:lastRenderedPageBreak/>
        <w:t>associated with the substation from 6.2 acres to 0.2 acres.</w:t>
      </w:r>
      <w:r w:rsidRPr="00B07D02">
        <w:rPr>
          <w:rFonts w:eastAsia="Times New Roman" w:cs="Times New Roman"/>
          <w:szCs w:val="26"/>
          <w:vertAlign w:val="superscript"/>
        </w:rPr>
        <w:footnoteReference w:id="98"/>
      </w:r>
      <w:r w:rsidRPr="00B07D02">
        <w:rPr>
          <w:rFonts w:eastAsia="Times New Roman" w:cs="Times New Roman"/>
          <w:szCs w:val="26"/>
        </w:rPr>
        <w:t xml:space="preserve"> </w:t>
      </w:r>
    </w:p>
    <w:p w:rsidRPr="00B07D02" w:rsidR="00300641" w:rsidP="009F605D" w:rsidRDefault="00300641" w14:paraId="1CD537E4" w14:textId="025948B4">
      <w:pPr>
        <w:widowControl w:val="0"/>
        <w:numPr>
          <w:ilvl w:val="3"/>
          <w:numId w:val="6"/>
        </w:numPr>
        <w:tabs>
          <w:tab w:val="left" w:pos="1300"/>
        </w:tabs>
        <w:autoSpaceDE w:val="0"/>
        <w:autoSpaceDN w:val="0"/>
        <w:spacing w:after="120" w:line="240" w:lineRule="auto"/>
        <w:ind w:left="1083" w:right="1440" w:hanging="363"/>
        <w:rPr>
          <w:rFonts w:eastAsia="Times New Roman" w:cs="Times New Roman"/>
          <w:szCs w:val="26"/>
        </w:rPr>
      </w:pPr>
      <w:r w:rsidRPr="00B07D02">
        <w:rPr>
          <w:rFonts w:eastAsia="Times New Roman" w:cs="Times New Roman"/>
          <w:szCs w:val="26"/>
        </w:rPr>
        <w:t xml:space="preserve">The comment cites a portion of the recirculated portion of the </w:t>
      </w:r>
      <w:r w:rsidR="00265759">
        <w:rPr>
          <w:rFonts w:eastAsia="Times New Roman" w:cs="Times New Roman"/>
          <w:szCs w:val="26"/>
        </w:rPr>
        <w:t>D</w:t>
      </w:r>
      <w:r w:rsidRPr="00B07D02">
        <w:rPr>
          <w:rFonts w:eastAsia="Times New Roman" w:cs="Times New Roman"/>
          <w:szCs w:val="26"/>
        </w:rPr>
        <w:t>EIR related to mowing vegetation.</w:t>
      </w:r>
      <w:r w:rsidRPr="00BF759D">
        <w:rPr>
          <w:rFonts w:eastAsia="Times New Roman" w:cs="Times New Roman"/>
          <w:szCs w:val="26"/>
        </w:rPr>
        <w:t xml:space="preserve"> </w:t>
      </w:r>
      <w:r w:rsidRPr="00B07D02">
        <w:rPr>
          <w:rFonts w:eastAsia="Times New Roman" w:cs="Times New Roman"/>
          <w:szCs w:val="26"/>
        </w:rPr>
        <w:t>The quoted text is from the revised Project Description in relation to preparation of temporary work areas for installation of crossing structures. However, this text was not revised as part of the recirculation and was present in the original draft EIR.</w:t>
      </w:r>
      <w:r w:rsidRPr="00BF759D">
        <w:rPr>
          <w:rFonts w:eastAsia="Times New Roman" w:cs="Times New Roman"/>
          <w:szCs w:val="26"/>
        </w:rPr>
        <w:t xml:space="preserve"> </w:t>
      </w:r>
      <w:r w:rsidRPr="00B07D02">
        <w:rPr>
          <w:rFonts w:eastAsia="Times New Roman" w:cs="Times New Roman"/>
          <w:szCs w:val="26"/>
        </w:rPr>
        <w:t>Therefore, this passage was not “clarified” in response to the commenter’s request, as indicated in the comment.</w:t>
      </w:r>
      <w:r w:rsidRPr="00BF759D">
        <w:rPr>
          <w:rFonts w:eastAsia="Times New Roman" w:cs="Times New Roman"/>
          <w:szCs w:val="26"/>
        </w:rPr>
        <w:t xml:space="preserve"> </w:t>
      </w:r>
      <w:r w:rsidRPr="00B07D02">
        <w:rPr>
          <w:rFonts w:eastAsia="Times New Roman" w:cs="Times New Roman"/>
          <w:szCs w:val="26"/>
        </w:rPr>
        <w:t>The commenter does not provide a definition of “fuel reduction program,” but mowing of temporary work areas is not considered part of a fuel reduction effort for this project.</w:t>
      </w:r>
      <w:r w:rsidRPr="00BF759D">
        <w:rPr>
          <w:rFonts w:eastAsia="Times New Roman" w:cs="Times New Roman"/>
          <w:szCs w:val="26"/>
        </w:rPr>
        <w:t xml:space="preserve"> </w:t>
      </w:r>
      <w:r w:rsidRPr="00B07D02">
        <w:rPr>
          <w:rFonts w:eastAsia="Times New Roman" w:cs="Times New Roman"/>
          <w:szCs w:val="26"/>
        </w:rPr>
        <w:t>The comment does not provide substantial evidence that the recirculated portions of the draft EIR provided insufficient or incorrect information regarding analysis of fuel reduction efforts.</w:t>
      </w:r>
      <w:r w:rsidRPr="00B07D02">
        <w:rPr>
          <w:rFonts w:eastAsia="Times New Roman" w:cs="Times New Roman"/>
          <w:szCs w:val="26"/>
          <w:vertAlign w:val="superscript"/>
        </w:rPr>
        <w:footnoteReference w:id="99"/>
      </w:r>
      <w:r w:rsidRPr="00B07D02">
        <w:rPr>
          <w:rFonts w:eastAsia="Times New Roman" w:cs="Times New Roman"/>
          <w:szCs w:val="26"/>
        </w:rPr>
        <w:t xml:space="preserve"> </w:t>
      </w:r>
    </w:p>
    <w:p w:rsidRPr="00BF759D" w:rsidR="00300641" w:rsidP="009652C8" w:rsidRDefault="00300641" w14:paraId="08B13902" w14:textId="56C385E1">
      <w:pPr>
        <w:pStyle w:val="Standard"/>
        <w:spacing w:before="240"/>
      </w:pPr>
      <w:r w:rsidRPr="00B07D02">
        <w:t xml:space="preserve">Lastly, we </w:t>
      </w:r>
      <w:r w:rsidR="00265759">
        <w:t>r</w:t>
      </w:r>
      <w:r w:rsidRPr="00B07D02">
        <w:t xml:space="preserve">eviewed CURE’s claims of </w:t>
      </w:r>
      <w:r w:rsidR="007F5290">
        <w:t xml:space="preserve">the </w:t>
      </w:r>
      <w:r w:rsidRPr="00B07D02">
        <w:t>FEIR’s alleged failure to adequately</w:t>
      </w:r>
      <w:r w:rsidRPr="00BF759D">
        <w:t xml:space="preserve"> </w:t>
      </w:r>
      <w:r w:rsidRPr="00B07D02">
        <w:t>analyze potential</w:t>
      </w:r>
      <w:r w:rsidRPr="00BF759D">
        <w:t xml:space="preserve"> </w:t>
      </w:r>
      <w:r w:rsidRPr="00B07D02">
        <w:t>public</w:t>
      </w:r>
      <w:r w:rsidRPr="00BF759D">
        <w:t xml:space="preserve"> </w:t>
      </w:r>
      <w:r w:rsidRPr="00B07D02">
        <w:t>health</w:t>
      </w:r>
      <w:r w:rsidRPr="00BF759D">
        <w:t xml:space="preserve"> </w:t>
      </w:r>
      <w:r w:rsidRPr="00B07D02">
        <w:t>impacts</w:t>
      </w:r>
      <w:r w:rsidRPr="00BF759D">
        <w:t xml:space="preserve"> </w:t>
      </w:r>
      <w:r w:rsidRPr="00B07D02">
        <w:t>associated with</w:t>
      </w:r>
      <w:r w:rsidRPr="00BF759D">
        <w:t xml:space="preserve"> </w:t>
      </w:r>
      <w:r w:rsidRPr="00B07D02">
        <w:t>Valley</w:t>
      </w:r>
      <w:r w:rsidRPr="00BF759D">
        <w:t xml:space="preserve"> </w:t>
      </w:r>
      <w:r w:rsidRPr="00B07D02">
        <w:t>Fever,</w:t>
      </w:r>
      <w:r w:rsidRPr="00BF759D">
        <w:t xml:space="preserve"> </w:t>
      </w:r>
      <w:r w:rsidRPr="00B07D02">
        <w:t>including</w:t>
      </w:r>
      <w:r w:rsidRPr="00BF759D">
        <w:t xml:space="preserve"> </w:t>
      </w:r>
      <w:r w:rsidRPr="00B07D02">
        <w:t>CURE’s</w:t>
      </w:r>
      <w:r w:rsidRPr="00BF759D">
        <w:t xml:space="preserve"> </w:t>
      </w:r>
      <w:r w:rsidRPr="00B07D02">
        <w:t>comments</w:t>
      </w:r>
      <w:r w:rsidRPr="00BF759D">
        <w:t xml:space="preserve"> </w:t>
      </w:r>
      <w:r w:rsidRPr="00B07D02">
        <w:t>regarding</w:t>
      </w:r>
      <w:r w:rsidRPr="00BF759D">
        <w:t xml:space="preserve"> </w:t>
      </w:r>
      <w:r w:rsidRPr="00B07D02">
        <w:t>use</w:t>
      </w:r>
      <w:r w:rsidRPr="00BF759D">
        <w:t xml:space="preserve"> </w:t>
      </w:r>
      <w:r w:rsidRPr="00B07D02">
        <w:t>of</w:t>
      </w:r>
      <w:r w:rsidRPr="00BF759D">
        <w:t xml:space="preserve"> respirators, and find this claim without merit. </w:t>
      </w:r>
      <w:r w:rsidRPr="00B07D02">
        <w:t>CURE alleges that the FEIR “fails to adequately analyze the extent of construction</w:t>
      </w:r>
      <w:r w:rsidRPr="00BF759D">
        <w:t xml:space="preserve"> </w:t>
      </w:r>
      <w:r w:rsidRPr="00B07D02">
        <w:t>impacts</w:t>
      </w:r>
      <w:r w:rsidRPr="00BF759D">
        <w:t xml:space="preserve"> </w:t>
      </w:r>
      <w:r w:rsidRPr="00B07D02">
        <w:t>from</w:t>
      </w:r>
      <w:r w:rsidRPr="00BF759D">
        <w:t xml:space="preserve"> </w:t>
      </w:r>
      <w:r w:rsidRPr="00B07D02">
        <w:t>potential</w:t>
      </w:r>
      <w:r w:rsidRPr="00BF759D">
        <w:t xml:space="preserve"> </w:t>
      </w:r>
      <w:r w:rsidRPr="00B07D02">
        <w:t>Valley</w:t>
      </w:r>
      <w:r w:rsidRPr="00BF759D">
        <w:t xml:space="preserve"> </w:t>
      </w:r>
      <w:r w:rsidRPr="00B07D02">
        <w:t>Fever</w:t>
      </w:r>
      <w:r w:rsidRPr="00BF759D">
        <w:t xml:space="preserve"> </w:t>
      </w:r>
      <w:r w:rsidRPr="00B07D02">
        <w:t>exposure”</w:t>
      </w:r>
      <w:r w:rsidRPr="00BF759D">
        <w:t xml:space="preserve"> </w:t>
      </w:r>
      <w:r w:rsidRPr="00B07D02">
        <w:t>and</w:t>
      </w:r>
      <w:r w:rsidRPr="00BF759D">
        <w:t xml:space="preserve"> </w:t>
      </w:r>
      <w:r w:rsidRPr="00B07D02">
        <w:t>cites</w:t>
      </w:r>
      <w:r w:rsidRPr="00BF759D">
        <w:t xml:space="preserve"> </w:t>
      </w:r>
      <w:r w:rsidRPr="00B07D02">
        <w:t>the</w:t>
      </w:r>
      <w:r w:rsidRPr="00BF759D">
        <w:t xml:space="preserve"> </w:t>
      </w:r>
      <w:r w:rsidR="0085793A">
        <w:t>FEIR</w:t>
      </w:r>
      <w:r w:rsidRPr="00B07D02">
        <w:t>’s</w:t>
      </w:r>
      <w:r w:rsidRPr="00BF759D">
        <w:t xml:space="preserve"> </w:t>
      </w:r>
      <w:r w:rsidRPr="00B07D02">
        <w:t>finding</w:t>
      </w:r>
      <w:r w:rsidRPr="00BF759D">
        <w:t xml:space="preserve"> </w:t>
      </w:r>
      <w:r w:rsidRPr="00B07D02">
        <w:t>that</w:t>
      </w:r>
      <w:r w:rsidRPr="00BF759D">
        <w:t xml:space="preserve"> </w:t>
      </w:r>
      <w:r w:rsidRPr="00B07D02">
        <w:t>use</w:t>
      </w:r>
      <w:r w:rsidRPr="00BF759D">
        <w:t xml:space="preserve"> of </w:t>
      </w:r>
      <w:bookmarkStart w:name="_bookmark62" w:id="181"/>
      <w:bookmarkEnd w:id="181"/>
      <w:r w:rsidRPr="00B07D02">
        <w:t>respirators with HEPA filters, and a mandatory respirator program, are not required because impacts to workers are not considered under CEQA and is an Occupational Safety and Health Administration (OSHA) and/or California Division of Occupational Safety and Health (Cal/OSHA) issue.</w:t>
      </w:r>
      <w:r w:rsidRPr="00BF759D">
        <w:rPr>
          <w:position w:val="8"/>
        </w:rPr>
        <w:t xml:space="preserve"> </w:t>
      </w:r>
      <w:r w:rsidRPr="00B07D02">
        <w:t>While criticizing this finding, CURE fails to cite any authority to support its position.</w:t>
      </w:r>
      <w:r w:rsidRPr="00BF759D">
        <w:t xml:space="preserve"> </w:t>
      </w:r>
      <w:r w:rsidRPr="00B07D02">
        <w:t xml:space="preserve">CEQA does not regulate environmental changes </w:t>
      </w:r>
      <w:r w:rsidRPr="00B07D02">
        <w:lastRenderedPageBreak/>
        <w:t>that do not affect the public at large.</w:t>
      </w:r>
      <w:r w:rsidRPr="00B07D02">
        <w:rPr>
          <w:vertAlign w:val="superscript"/>
        </w:rPr>
        <w:footnoteReference w:id="100"/>
      </w:r>
      <w:r w:rsidRPr="00B07D02">
        <w:t xml:space="preserve"> Further, there is no legal authority that requires CEQA review of the safety risks posed by the existing environment to the workers who are building the </w:t>
      </w:r>
      <w:r w:rsidR="007F5290">
        <w:t xml:space="preserve">Proposed </w:t>
      </w:r>
      <w:r w:rsidRPr="00B07D02">
        <w:t>Project.</w:t>
      </w:r>
      <w:r w:rsidRPr="00B07D02">
        <w:rPr>
          <w:vertAlign w:val="superscript"/>
        </w:rPr>
        <w:footnoteReference w:id="101"/>
      </w:r>
      <w:r w:rsidRPr="00BF759D">
        <w:t xml:space="preserve"> </w:t>
      </w:r>
    </w:p>
    <w:p w:rsidRPr="00B07D02" w:rsidR="00300641" w:rsidP="00831FAB" w:rsidRDefault="00300641" w14:paraId="11E4B7C1" w14:textId="4236A2B0">
      <w:pPr>
        <w:pStyle w:val="Standard"/>
        <w:rPr>
          <w:rFonts w:eastAsia="Times New Roman" w:cs="Times New Roman"/>
          <w:szCs w:val="26"/>
        </w:rPr>
      </w:pPr>
      <w:r w:rsidRPr="00B07D02">
        <w:rPr>
          <w:rFonts w:eastAsia="Times New Roman" w:cs="Times New Roman"/>
          <w:szCs w:val="26"/>
        </w:rPr>
        <w:t xml:space="preserve">CURE also challenges the FEIR’s statement that “since Valley Fever is endemic to the area, nearby sensitive receptors </w:t>
      </w:r>
      <w:r w:rsidR="002273BE">
        <w:rPr>
          <w:rFonts w:eastAsia="Times New Roman" w:cs="Times New Roman"/>
          <w:szCs w:val="26"/>
        </w:rPr>
        <w:t>m</w:t>
      </w:r>
      <w:r w:rsidR="00325E91">
        <w:rPr>
          <w:rFonts w:eastAsia="Times New Roman" w:cs="Times New Roman"/>
          <w:szCs w:val="26"/>
        </w:rPr>
        <w:t>ay</w:t>
      </w:r>
      <w:r w:rsidR="002273BE">
        <w:rPr>
          <w:rFonts w:eastAsia="Times New Roman" w:cs="Times New Roman"/>
          <w:szCs w:val="26"/>
        </w:rPr>
        <w:t xml:space="preserve"> </w:t>
      </w:r>
      <w:r w:rsidRPr="00B07D02">
        <w:rPr>
          <w:rFonts w:eastAsia="Times New Roman" w:cs="Times New Roman"/>
          <w:szCs w:val="26"/>
        </w:rPr>
        <w:t xml:space="preserve">already have developed immunity” as unsupported, but the FEIR does not </w:t>
      </w:r>
      <w:r w:rsidR="004201A5">
        <w:rPr>
          <w:rFonts w:eastAsia="Times New Roman" w:cs="Times New Roman"/>
          <w:szCs w:val="26"/>
        </w:rPr>
        <w:t xml:space="preserve">solely </w:t>
      </w:r>
      <w:r w:rsidRPr="00B07D02">
        <w:rPr>
          <w:rFonts w:eastAsia="Times New Roman" w:cs="Times New Roman"/>
          <w:szCs w:val="26"/>
        </w:rPr>
        <w:t>rely on that statement. To the contrary, the FEIR adequately evaluates potential public health impacts associated with Valley Fever.</w:t>
      </w:r>
      <w:r w:rsidRPr="00BF759D">
        <w:rPr>
          <w:rFonts w:eastAsia="Times New Roman" w:cs="Times New Roman"/>
          <w:szCs w:val="26"/>
        </w:rPr>
        <w:t xml:space="preserve"> </w:t>
      </w:r>
      <w:r w:rsidRPr="00B07D02">
        <w:rPr>
          <w:rFonts w:eastAsia="Times New Roman" w:cs="Times New Roman"/>
          <w:szCs w:val="26"/>
        </w:rPr>
        <w:t>The FEIR finds that, because fugitive dust-causing activities associated with the Project will occur in an area with a high incidence rate for Valley Fever, the potential for Proposed Project construction activities to encounter and disperse the spores that cause infection “is high.”</w:t>
      </w:r>
      <w:r w:rsidRPr="00B07D02">
        <w:rPr>
          <w:rFonts w:eastAsia="Times New Roman" w:cs="Times New Roman"/>
          <w:szCs w:val="26"/>
          <w:vertAlign w:val="superscript"/>
        </w:rPr>
        <w:footnoteReference w:id="102"/>
      </w:r>
      <w:r w:rsidRPr="00BF759D">
        <w:rPr>
          <w:rFonts w:eastAsia="Times New Roman" w:cs="Times New Roman"/>
          <w:position w:val="8"/>
          <w:szCs w:val="26"/>
        </w:rPr>
        <w:t xml:space="preserve"> </w:t>
      </w:r>
      <w:r w:rsidRPr="00B07D02">
        <w:rPr>
          <w:rFonts w:eastAsia="Times New Roman" w:cs="Times New Roman"/>
          <w:szCs w:val="26"/>
        </w:rPr>
        <w:t xml:space="preserve">The FEIR’s impact analysis concludes that the potential for Valley Fever cases associated with </w:t>
      </w:r>
      <w:r w:rsidR="007F5290">
        <w:rPr>
          <w:rFonts w:eastAsia="Times New Roman" w:cs="Times New Roman"/>
          <w:szCs w:val="26"/>
        </w:rPr>
        <w:t xml:space="preserve">Proposed </w:t>
      </w:r>
      <w:r w:rsidRPr="00B07D02">
        <w:rPr>
          <w:rFonts w:eastAsia="Times New Roman" w:cs="Times New Roman"/>
          <w:szCs w:val="26"/>
        </w:rPr>
        <w:t>Project construction is high and requires preparation of a Valley Fever</w:t>
      </w:r>
      <w:r w:rsidRPr="00BF759D">
        <w:rPr>
          <w:rFonts w:eastAsia="Times New Roman" w:cs="Times New Roman"/>
          <w:szCs w:val="26"/>
        </w:rPr>
        <w:t xml:space="preserve"> </w:t>
      </w:r>
      <w:r w:rsidRPr="00B07D02">
        <w:rPr>
          <w:rFonts w:eastAsia="Times New Roman" w:cs="Times New Roman"/>
          <w:szCs w:val="26"/>
        </w:rPr>
        <w:t>Management Plan</w:t>
      </w:r>
      <w:r w:rsidRPr="00BF759D">
        <w:rPr>
          <w:rFonts w:eastAsia="Times New Roman" w:cs="Times New Roman"/>
          <w:szCs w:val="26"/>
        </w:rPr>
        <w:t xml:space="preserve"> </w:t>
      </w:r>
      <w:r w:rsidRPr="00B07D02">
        <w:rPr>
          <w:rFonts w:eastAsia="Times New Roman" w:cs="Times New Roman"/>
          <w:szCs w:val="26"/>
        </w:rPr>
        <w:t>in accordance</w:t>
      </w:r>
      <w:r w:rsidRPr="00BF759D">
        <w:rPr>
          <w:rFonts w:eastAsia="Times New Roman" w:cs="Times New Roman"/>
          <w:szCs w:val="26"/>
        </w:rPr>
        <w:t xml:space="preserve"> </w:t>
      </w:r>
      <w:r w:rsidRPr="00B07D02">
        <w:rPr>
          <w:rFonts w:eastAsia="Times New Roman" w:cs="Times New Roman"/>
          <w:szCs w:val="26"/>
        </w:rPr>
        <w:t>with MM</w:t>
      </w:r>
      <w:r w:rsidRPr="00BF759D">
        <w:rPr>
          <w:rFonts w:eastAsia="Times New Roman" w:cs="Times New Roman"/>
          <w:szCs w:val="26"/>
        </w:rPr>
        <w:t xml:space="preserve"> </w:t>
      </w:r>
      <w:r w:rsidRPr="00B07D02">
        <w:rPr>
          <w:rFonts w:eastAsia="Times New Roman" w:cs="Times New Roman"/>
          <w:szCs w:val="26"/>
        </w:rPr>
        <w:t>AQ-2.</w:t>
      </w:r>
      <w:r w:rsidRPr="00B07D02">
        <w:rPr>
          <w:rFonts w:eastAsia="Times New Roman" w:cs="Times New Roman"/>
          <w:szCs w:val="26"/>
          <w:vertAlign w:val="superscript"/>
        </w:rPr>
        <w:footnoteReference w:id="103"/>
      </w:r>
      <w:r w:rsidRPr="00BF759D">
        <w:rPr>
          <w:rFonts w:eastAsia="Times New Roman" w:cs="Times New Roman"/>
          <w:szCs w:val="26"/>
        </w:rPr>
        <w:t xml:space="preserve"> The </w:t>
      </w:r>
      <w:r w:rsidRPr="00B07D02">
        <w:rPr>
          <w:rFonts w:eastAsia="Times New Roman" w:cs="Times New Roman"/>
          <w:szCs w:val="26"/>
        </w:rPr>
        <w:t>FEIR explains that mitigation measures aimed at controlling fugitive dust will decrease the number of spores that can become airborne.</w:t>
      </w:r>
      <w:r w:rsidRPr="00B07D02">
        <w:rPr>
          <w:rFonts w:eastAsia="Times New Roman" w:cs="Times New Roman"/>
          <w:szCs w:val="26"/>
          <w:vertAlign w:val="superscript"/>
        </w:rPr>
        <w:footnoteReference w:id="104"/>
      </w:r>
      <w:r w:rsidRPr="00BF759D">
        <w:rPr>
          <w:rFonts w:eastAsia="Times New Roman" w:cs="Times New Roman"/>
          <w:position w:val="8"/>
          <w:szCs w:val="26"/>
        </w:rPr>
        <w:t xml:space="preserve"> </w:t>
      </w:r>
      <w:r w:rsidRPr="00B07D02">
        <w:rPr>
          <w:rFonts w:eastAsia="Times New Roman" w:cs="Times New Roman"/>
          <w:szCs w:val="26"/>
        </w:rPr>
        <w:t>Other measures include air-conditioned enclosed cabs for vehicles that generate</w:t>
      </w:r>
      <w:r w:rsidRPr="00BF759D">
        <w:rPr>
          <w:rFonts w:eastAsia="Times New Roman" w:cs="Times New Roman"/>
          <w:szCs w:val="26"/>
        </w:rPr>
        <w:t xml:space="preserve"> </w:t>
      </w:r>
      <w:r w:rsidRPr="00B07D02">
        <w:rPr>
          <w:rFonts w:eastAsia="Times New Roman" w:cs="Times New Roman"/>
          <w:szCs w:val="26"/>
        </w:rPr>
        <w:t>heavy</w:t>
      </w:r>
      <w:r w:rsidRPr="00BF759D">
        <w:rPr>
          <w:rFonts w:eastAsia="Times New Roman" w:cs="Times New Roman"/>
          <w:szCs w:val="26"/>
        </w:rPr>
        <w:t xml:space="preserve"> </w:t>
      </w:r>
      <w:r w:rsidRPr="00B07D02">
        <w:rPr>
          <w:rFonts w:eastAsia="Times New Roman" w:cs="Times New Roman"/>
          <w:szCs w:val="26"/>
        </w:rPr>
        <w:t>dust,</w:t>
      </w:r>
      <w:r w:rsidRPr="00BF759D">
        <w:rPr>
          <w:rFonts w:eastAsia="Times New Roman" w:cs="Times New Roman"/>
          <w:szCs w:val="26"/>
        </w:rPr>
        <w:t xml:space="preserve"> </w:t>
      </w:r>
      <w:r w:rsidRPr="00B07D02">
        <w:rPr>
          <w:rFonts w:eastAsia="Times New Roman" w:cs="Times New Roman"/>
          <w:szCs w:val="26"/>
        </w:rPr>
        <w:t>required</w:t>
      </w:r>
      <w:r w:rsidRPr="00BF759D">
        <w:rPr>
          <w:rFonts w:eastAsia="Times New Roman" w:cs="Times New Roman"/>
          <w:szCs w:val="26"/>
        </w:rPr>
        <w:t xml:space="preserve"> </w:t>
      </w:r>
      <w:r w:rsidRPr="00B07D02">
        <w:rPr>
          <w:rFonts w:eastAsia="Times New Roman" w:cs="Times New Roman"/>
          <w:szCs w:val="26"/>
        </w:rPr>
        <w:t>cleaning</w:t>
      </w:r>
      <w:r w:rsidRPr="00BF759D">
        <w:rPr>
          <w:rFonts w:eastAsia="Times New Roman" w:cs="Times New Roman"/>
          <w:szCs w:val="26"/>
        </w:rPr>
        <w:t xml:space="preserve"> </w:t>
      </w:r>
      <w:r w:rsidRPr="00B07D02">
        <w:rPr>
          <w:rFonts w:eastAsia="Times New Roman" w:cs="Times New Roman"/>
          <w:szCs w:val="26"/>
        </w:rPr>
        <w:t>of</w:t>
      </w:r>
      <w:r w:rsidRPr="00BF759D">
        <w:rPr>
          <w:rFonts w:eastAsia="Times New Roman" w:cs="Times New Roman"/>
          <w:szCs w:val="26"/>
        </w:rPr>
        <w:t xml:space="preserve"> </w:t>
      </w:r>
      <w:r w:rsidRPr="00B07D02">
        <w:rPr>
          <w:rFonts w:eastAsia="Times New Roman" w:cs="Times New Roman"/>
          <w:szCs w:val="26"/>
        </w:rPr>
        <w:t>tools</w:t>
      </w:r>
      <w:r w:rsidRPr="00BF759D">
        <w:rPr>
          <w:rFonts w:eastAsia="Times New Roman" w:cs="Times New Roman"/>
          <w:szCs w:val="26"/>
        </w:rPr>
        <w:t xml:space="preserve"> </w:t>
      </w:r>
      <w:r w:rsidRPr="00B07D02">
        <w:rPr>
          <w:rFonts w:eastAsia="Times New Roman" w:cs="Times New Roman"/>
          <w:szCs w:val="26"/>
        </w:rPr>
        <w:t>and</w:t>
      </w:r>
      <w:r w:rsidRPr="00BF759D">
        <w:rPr>
          <w:rFonts w:eastAsia="Times New Roman" w:cs="Times New Roman"/>
          <w:szCs w:val="26"/>
        </w:rPr>
        <w:t xml:space="preserve"> </w:t>
      </w:r>
      <w:r w:rsidRPr="00B07D02">
        <w:rPr>
          <w:rFonts w:eastAsia="Times New Roman" w:cs="Times New Roman"/>
          <w:szCs w:val="26"/>
        </w:rPr>
        <w:t>equipment</w:t>
      </w:r>
      <w:r w:rsidRPr="00BF759D">
        <w:rPr>
          <w:rFonts w:eastAsia="Times New Roman" w:cs="Times New Roman"/>
          <w:szCs w:val="26"/>
        </w:rPr>
        <w:t xml:space="preserve"> </w:t>
      </w:r>
      <w:r w:rsidRPr="00B07D02">
        <w:rPr>
          <w:rFonts w:eastAsia="Times New Roman" w:cs="Times New Roman"/>
          <w:szCs w:val="26"/>
        </w:rPr>
        <w:t>to</w:t>
      </w:r>
      <w:r w:rsidRPr="00BF759D">
        <w:rPr>
          <w:rFonts w:eastAsia="Times New Roman" w:cs="Times New Roman"/>
          <w:szCs w:val="26"/>
        </w:rPr>
        <w:t xml:space="preserve"> </w:t>
      </w:r>
      <w:r w:rsidRPr="00B07D02">
        <w:rPr>
          <w:rFonts w:eastAsia="Times New Roman" w:cs="Times New Roman"/>
          <w:szCs w:val="26"/>
        </w:rPr>
        <w:t>prevent</w:t>
      </w:r>
      <w:r w:rsidRPr="00BF759D">
        <w:rPr>
          <w:rFonts w:eastAsia="Times New Roman" w:cs="Times New Roman"/>
          <w:szCs w:val="26"/>
        </w:rPr>
        <w:t xml:space="preserve"> </w:t>
      </w:r>
      <w:r w:rsidRPr="00B07D02">
        <w:rPr>
          <w:rFonts w:eastAsia="Times New Roman" w:cs="Times New Roman"/>
          <w:szCs w:val="26"/>
        </w:rPr>
        <w:t>transporting</w:t>
      </w:r>
      <w:r w:rsidRPr="00BF759D">
        <w:rPr>
          <w:rFonts w:eastAsia="Times New Roman" w:cs="Times New Roman"/>
          <w:szCs w:val="26"/>
        </w:rPr>
        <w:t xml:space="preserve"> </w:t>
      </w:r>
      <w:r w:rsidRPr="00B07D02">
        <w:rPr>
          <w:rFonts w:eastAsia="Times New Roman" w:cs="Times New Roman"/>
          <w:szCs w:val="26"/>
        </w:rPr>
        <w:t>spores</w:t>
      </w:r>
      <w:r w:rsidRPr="00BF759D">
        <w:rPr>
          <w:rFonts w:eastAsia="Times New Roman" w:cs="Times New Roman"/>
          <w:szCs w:val="26"/>
        </w:rPr>
        <w:t xml:space="preserve"> offsite, </w:t>
      </w:r>
      <w:r w:rsidRPr="00B07D02">
        <w:rPr>
          <w:rFonts w:eastAsia="Times New Roman" w:cs="Times New Roman"/>
          <w:szCs w:val="26"/>
        </w:rPr>
        <w:t>worker training about Valley Fever, identifying a health care provider for occupational illnesses with</w:t>
      </w:r>
      <w:r w:rsidRPr="00BF759D">
        <w:rPr>
          <w:rFonts w:eastAsia="Times New Roman" w:cs="Times New Roman"/>
          <w:szCs w:val="26"/>
        </w:rPr>
        <w:t xml:space="preserve"> </w:t>
      </w:r>
      <w:r w:rsidRPr="00B07D02">
        <w:rPr>
          <w:rFonts w:eastAsia="Times New Roman" w:cs="Times New Roman"/>
          <w:szCs w:val="26"/>
        </w:rPr>
        <w:t>knowledge</w:t>
      </w:r>
      <w:r w:rsidRPr="00BF759D">
        <w:rPr>
          <w:rFonts w:eastAsia="Times New Roman" w:cs="Times New Roman"/>
          <w:szCs w:val="26"/>
        </w:rPr>
        <w:t xml:space="preserve"> </w:t>
      </w:r>
      <w:r w:rsidRPr="00B07D02">
        <w:rPr>
          <w:rFonts w:eastAsia="Times New Roman" w:cs="Times New Roman"/>
          <w:szCs w:val="26"/>
        </w:rPr>
        <w:t>regarding</w:t>
      </w:r>
      <w:r w:rsidRPr="00BF759D">
        <w:rPr>
          <w:rFonts w:eastAsia="Times New Roman" w:cs="Times New Roman"/>
          <w:szCs w:val="26"/>
        </w:rPr>
        <w:t xml:space="preserve"> </w:t>
      </w:r>
      <w:r w:rsidRPr="00B07D02">
        <w:rPr>
          <w:rFonts w:eastAsia="Times New Roman" w:cs="Times New Roman"/>
          <w:szCs w:val="26"/>
        </w:rPr>
        <w:t>the</w:t>
      </w:r>
      <w:r w:rsidRPr="00BF759D">
        <w:rPr>
          <w:rFonts w:eastAsia="Times New Roman" w:cs="Times New Roman"/>
          <w:szCs w:val="26"/>
        </w:rPr>
        <w:t xml:space="preserve"> </w:t>
      </w:r>
      <w:r w:rsidRPr="00B07D02">
        <w:rPr>
          <w:rFonts w:eastAsia="Times New Roman" w:cs="Times New Roman"/>
          <w:szCs w:val="26"/>
        </w:rPr>
        <w:t>diagnosis</w:t>
      </w:r>
      <w:r w:rsidRPr="00BF759D">
        <w:rPr>
          <w:rFonts w:eastAsia="Times New Roman" w:cs="Times New Roman"/>
          <w:szCs w:val="26"/>
        </w:rPr>
        <w:t xml:space="preserve"> </w:t>
      </w:r>
      <w:r w:rsidRPr="00B07D02">
        <w:rPr>
          <w:rFonts w:eastAsia="Times New Roman" w:cs="Times New Roman"/>
          <w:szCs w:val="26"/>
        </w:rPr>
        <w:t>and</w:t>
      </w:r>
      <w:r w:rsidRPr="00BF759D">
        <w:rPr>
          <w:rFonts w:eastAsia="Times New Roman" w:cs="Times New Roman"/>
          <w:szCs w:val="26"/>
        </w:rPr>
        <w:t xml:space="preserve"> </w:t>
      </w:r>
      <w:r w:rsidRPr="00B07D02">
        <w:rPr>
          <w:rFonts w:eastAsia="Times New Roman" w:cs="Times New Roman"/>
          <w:szCs w:val="26"/>
        </w:rPr>
        <w:t>treatment</w:t>
      </w:r>
      <w:r w:rsidRPr="00BF759D">
        <w:rPr>
          <w:rFonts w:eastAsia="Times New Roman" w:cs="Times New Roman"/>
          <w:szCs w:val="26"/>
        </w:rPr>
        <w:t xml:space="preserve"> </w:t>
      </w:r>
      <w:r w:rsidRPr="00B07D02">
        <w:rPr>
          <w:rFonts w:eastAsia="Times New Roman" w:cs="Times New Roman"/>
          <w:szCs w:val="26"/>
        </w:rPr>
        <w:t>of</w:t>
      </w:r>
      <w:r w:rsidRPr="00BF759D">
        <w:rPr>
          <w:rFonts w:eastAsia="Times New Roman" w:cs="Times New Roman"/>
          <w:szCs w:val="26"/>
        </w:rPr>
        <w:t xml:space="preserve"> </w:t>
      </w:r>
      <w:r w:rsidRPr="00B07D02">
        <w:rPr>
          <w:rFonts w:eastAsia="Times New Roman" w:cs="Times New Roman"/>
          <w:szCs w:val="26"/>
        </w:rPr>
        <w:t>Valley Fever, and</w:t>
      </w:r>
      <w:r w:rsidRPr="00BF759D">
        <w:rPr>
          <w:rFonts w:eastAsia="Times New Roman" w:cs="Times New Roman"/>
          <w:szCs w:val="26"/>
        </w:rPr>
        <w:t xml:space="preserve"> </w:t>
      </w:r>
      <w:r w:rsidRPr="00B07D02">
        <w:rPr>
          <w:rFonts w:eastAsia="Times New Roman" w:cs="Times New Roman"/>
          <w:szCs w:val="26"/>
        </w:rPr>
        <w:lastRenderedPageBreak/>
        <w:t>encouraging</w:t>
      </w:r>
      <w:r w:rsidRPr="00BF759D">
        <w:rPr>
          <w:rFonts w:eastAsia="Times New Roman" w:cs="Times New Roman"/>
          <w:szCs w:val="26"/>
        </w:rPr>
        <w:t xml:space="preserve"> </w:t>
      </w:r>
      <w:r w:rsidRPr="00B07D02">
        <w:rPr>
          <w:rFonts w:eastAsia="Times New Roman" w:cs="Times New Roman"/>
          <w:szCs w:val="26"/>
        </w:rPr>
        <w:t>workers to report Valley Fever symptoms promptly to supervisors.</w:t>
      </w:r>
      <w:r w:rsidRPr="00B07D02">
        <w:rPr>
          <w:rFonts w:eastAsia="Times New Roman" w:cs="Times New Roman"/>
          <w:szCs w:val="26"/>
          <w:vertAlign w:val="superscript"/>
        </w:rPr>
        <w:footnoteReference w:id="105"/>
      </w:r>
      <w:r w:rsidRPr="00B07D02">
        <w:rPr>
          <w:rFonts w:eastAsia="Times New Roman" w:cs="Times New Roman"/>
          <w:szCs w:val="26"/>
        </w:rPr>
        <w:t xml:space="preserve"> The FEIR also recognizes that Cal/OSHA’s regulations address worker health and safety issues related to Valley Fever that the Applicants must comply with in their construction activities.</w:t>
      </w:r>
      <w:r w:rsidRPr="00B07D02">
        <w:rPr>
          <w:rFonts w:eastAsia="Times New Roman" w:cs="Times New Roman"/>
          <w:szCs w:val="26"/>
          <w:vertAlign w:val="superscript"/>
        </w:rPr>
        <w:footnoteReference w:id="106"/>
      </w:r>
      <w:r w:rsidRPr="00B07D02">
        <w:rPr>
          <w:rFonts w:eastAsia="Times New Roman" w:cs="Times New Roman"/>
          <w:szCs w:val="26"/>
        </w:rPr>
        <w:t xml:space="preserve"> </w:t>
      </w:r>
    </w:p>
    <w:p w:rsidRPr="00B07D02" w:rsidR="00300641" w:rsidP="00831FAB" w:rsidRDefault="00300641" w14:paraId="0E6A192B" w14:textId="2DEF362F">
      <w:pPr>
        <w:pStyle w:val="Standard"/>
        <w:rPr>
          <w:rFonts w:eastAsia="Times New Roman" w:cs="Times New Roman"/>
          <w:szCs w:val="26"/>
        </w:rPr>
      </w:pPr>
      <w:r w:rsidRPr="00B07D02">
        <w:rPr>
          <w:rFonts w:eastAsia="Times New Roman" w:cs="Times New Roman"/>
          <w:szCs w:val="26"/>
        </w:rPr>
        <w:t>The FEIR’s analysis of potential construction impacts relating to disturbance of the spores that cause Valley Fever is adequate.</w:t>
      </w:r>
      <w:r w:rsidRPr="00BF759D">
        <w:rPr>
          <w:rFonts w:eastAsia="Times New Roman" w:cs="Times New Roman"/>
          <w:szCs w:val="26"/>
        </w:rPr>
        <w:t xml:space="preserve"> </w:t>
      </w:r>
      <w:r w:rsidRPr="00B07D02">
        <w:rPr>
          <w:rFonts w:eastAsia="Times New Roman" w:cs="Times New Roman"/>
          <w:szCs w:val="26"/>
        </w:rPr>
        <w:t>CEQA does not require the Commission to adopt every mitigation scheme proposed by CURE.</w:t>
      </w:r>
      <w:r w:rsidRPr="00B07D02">
        <w:rPr>
          <w:rFonts w:eastAsia="Times New Roman" w:cs="Times New Roman"/>
          <w:szCs w:val="26"/>
          <w:vertAlign w:val="superscript"/>
        </w:rPr>
        <w:footnoteReference w:id="107"/>
      </w:r>
      <w:r w:rsidRPr="00BF759D">
        <w:rPr>
          <w:rFonts w:eastAsia="Times New Roman" w:cs="Times New Roman"/>
          <w:position w:val="8"/>
          <w:szCs w:val="26"/>
        </w:rPr>
        <w:t xml:space="preserve"> </w:t>
      </w:r>
      <w:r w:rsidRPr="00B07D02">
        <w:rPr>
          <w:rFonts w:eastAsia="Times New Roman" w:cs="Times New Roman"/>
          <w:szCs w:val="26"/>
        </w:rPr>
        <w:t>This is particularly true in this context given that the</w:t>
      </w:r>
      <w:r w:rsidRPr="00BF759D">
        <w:rPr>
          <w:rFonts w:eastAsia="Times New Roman" w:cs="Times New Roman"/>
          <w:szCs w:val="26"/>
        </w:rPr>
        <w:t xml:space="preserve"> </w:t>
      </w:r>
      <w:r w:rsidRPr="00B07D02">
        <w:rPr>
          <w:rFonts w:eastAsia="Times New Roman" w:cs="Times New Roman"/>
          <w:szCs w:val="26"/>
        </w:rPr>
        <w:t>Cal/OSHA</w:t>
      </w:r>
      <w:r w:rsidRPr="00BF759D">
        <w:rPr>
          <w:rFonts w:eastAsia="Times New Roman" w:cs="Times New Roman"/>
          <w:szCs w:val="26"/>
        </w:rPr>
        <w:t xml:space="preserve"> </w:t>
      </w:r>
      <w:r w:rsidRPr="00B07D02">
        <w:rPr>
          <w:rFonts w:eastAsia="Times New Roman" w:cs="Times New Roman"/>
          <w:szCs w:val="26"/>
        </w:rPr>
        <w:t>regulations dictate applicable</w:t>
      </w:r>
      <w:r w:rsidRPr="00BF759D">
        <w:rPr>
          <w:rFonts w:eastAsia="Times New Roman" w:cs="Times New Roman"/>
          <w:szCs w:val="26"/>
        </w:rPr>
        <w:t xml:space="preserve"> </w:t>
      </w:r>
      <w:r w:rsidRPr="00B07D02">
        <w:rPr>
          <w:rFonts w:eastAsia="Times New Roman" w:cs="Times New Roman"/>
          <w:szCs w:val="26"/>
        </w:rPr>
        <w:t>protections for</w:t>
      </w:r>
      <w:r w:rsidRPr="00BF759D">
        <w:rPr>
          <w:rFonts w:eastAsia="Times New Roman" w:cs="Times New Roman"/>
          <w:szCs w:val="26"/>
        </w:rPr>
        <w:t xml:space="preserve"> </w:t>
      </w:r>
      <w:r w:rsidRPr="00B07D02">
        <w:rPr>
          <w:rFonts w:eastAsia="Times New Roman" w:cs="Times New Roman"/>
          <w:szCs w:val="26"/>
        </w:rPr>
        <w:t xml:space="preserve">workers involved in constructing the </w:t>
      </w:r>
      <w:r w:rsidRPr="00BF759D" w:rsidR="00C27DDE">
        <w:rPr>
          <w:rFonts w:eastAsia="Times New Roman" w:cs="Times New Roman"/>
          <w:szCs w:val="26"/>
        </w:rPr>
        <w:t>Proposed P</w:t>
      </w:r>
      <w:r w:rsidRPr="00BF759D">
        <w:rPr>
          <w:rFonts w:eastAsia="Times New Roman" w:cs="Times New Roman"/>
          <w:szCs w:val="26"/>
        </w:rPr>
        <w:t>roject.</w:t>
      </w:r>
    </w:p>
    <w:p w:rsidRPr="00442A8E" w:rsidR="00D50032" w:rsidP="0030780A" w:rsidRDefault="00D50032" w14:paraId="1B484745" w14:textId="1A8152F8">
      <w:pPr>
        <w:pStyle w:val="Heading2"/>
      </w:pPr>
      <w:bookmarkStart w:name="_Toc160479810" w:id="182"/>
      <w:bookmarkStart w:name="_Toc160490893" w:id="183"/>
      <w:bookmarkStart w:name="_Toc160479811" w:id="184"/>
      <w:bookmarkStart w:name="_Toc160490894" w:id="185"/>
      <w:bookmarkStart w:name="_Toc160479812" w:id="186"/>
      <w:bookmarkStart w:name="_Toc160490895" w:id="187"/>
      <w:bookmarkStart w:name="_Toc160479813" w:id="188"/>
      <w:bookmarkStart w:name="_Toc160490896" w:id="189"/>
      <w:bookmarkStart w:name="_Toc160479814" w:id="190"/>
      <w:bookmarkStart w:name="_Toc160490897" w:id="191"/>
      <w:bookmarkStart w:name="_Toc160479815" w:id="192"/>
      <w:bookmarkStart w:name="_Toc160490898" w:id="193"/>
      <w:bookmarkStart w:name="_Toc160479816" w:id="194"/>
      <w:bookmarkStart w:name="_Toc160490899" w:id="195"/>
      <w:bookmarkStart w:name="_Toc160479817" w:id="196"/>
      <w:bookmarkStart w:name="_Toc160490900" w:id="197"/>
      <w:bookmarkStart w:name="_Toc160479818" w:id="198"/>
      <w:bookmarkStart w:name="_Toc160490901" w:id="199"/>
      <w:bookmarkStart w:name="_Toc160479819" w:id="200"/>
      <w:bookmarkStart w:name="_Toc160490902" w:id="201"/>
      <w:bookmarkStart w:name="_Toc160479820" w:id="202"/>
      <w:bookmarkStart w:name="_Toc160490903" w:id="203"/>
      <w:bookmarkStart w:name="_Toc160479821" w:id="204"/>
      <w:bookmarkStart w:name="_Toc160490904" w:id="205"/>
      <w:bookmarkStart w:name="_Toc160479822" w:id="206"/>
      <w:bookmarkStart w:name="_Toc160490905" w:id="207"/>
      <w:bookmarkStart w:name="_Toc160479823" w:id="208"/>
      <w:bookmarkStart w:name="_Toc160490906" w:id="209"/>
      <w:bookmarkStart w:name="_Toc160479824" w:id="210"/>
      <w:bookmarkStart w:name="_Toc160490907" w:id="211"/>
      <w:bookmarkStart w:name="_Toc160479825" w:id="212"/>
      <w:bookmarkStart w:name="_Toc160490908" w:id="213"/>
      <w:bookmarkStart w:name="_Toc160479826" w:id="214"/>
      <w:bookmarkStart w:name="_Toc160490909" w:id="215"/>
      <w:bookmarkStart w:name="_Toc160479827" w:id="216"/>
      <w:bookmarkStart w:name="_Toc160490910" w:id="217"/>
      <w:bookmarkStart w:name="_Toc160479828" w:id="218"/>
      <w:bookmarkStart w:name="_Toc160490911" w:id="219"/>
      <w:bookmarkStart w:name="_Toc160479829" w:id="220"/>
      <w:bookmarkStart w:name="_Toc160490912" w:id="221"/>
      <w:bookmarkStart w:name="_Toc160479830" w:id="222"/>
      <w:bookmarkStart w:name="_Toc160490913" w:id="223"/>
      <w:bookmarkStart w:name="_Toc160479831" w:id="224"/>
      <w:bookmarkStart w:name="_Toc160490914" w:id="225"/>
      <w:bookmarkStart w:name="_Toc160479832" w:id="226"/>
      <w:bookmarkStart w:name="_Toc160490915" w:id="227"/>
      <w:bookmarkStart w:name="_Toc160479833" w:id="228"/>
      <w:bookmarkStart w:name="_Toc160490916" w:id="229"/>
      <w:bookmarkStart w:name="_Toc160479834" w:id="230"/>
      <w:bookmarkStart w:name="_Toc160490917" w:id="231"/>
      <w:bookmarkStart w:name="_Toc160479835" w:id="232"/>
      <w:bookmarkStart w:name="_Toc160490918" w:id="233"/>
      <w:bookmarkStart w:name="_Toc160479836" w:id="234"/>
      <w:bookmarkStart w:name="_Toc160490919" w:id="235"/>
      <w:bookmarkStart w:name="_Toc160479837" w:id="236"/>
      <w:bookmarkStart w:name="_Toc160490920" w:id="237"/>
      <w:bookmarkStart w:name="_Toc160479838" w:id="238"/>
      <w:bookmarkStart w:name="_Toc160490921" w:id="239"/>
      <w:bookmarkStart w:name="_Toc160479839" w:id="240"/>
      <w:bookmarkStart w:name="_Toc160490922" w:id="241"/>
      <w:bookmarkStart w:name="_Toc160479840" w:id="242"/>
      <w:bookmarkStart w:name="_Toc160490923" w:id="243"/>
      <w:bookmarkStart w:name="_Toc160479841" w:id="244"/>
      <w:bookmarkStart w:name="_Toc160490924" w:id="245"/>
      <w:bookmarkStart w:name="_Toc160479842" w:id="246"/>
      <w:bookmarkStart w:name="_Toc160490925" w:id="247"/>
      <w:bookmarkStart w:name="_Toc164685423" w:id="248"/>
      <w:bookmarkStart w:name="_Toc8123721" w:id="249"/>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Mitigation Monitoring and Reporting Plan</w:t>
      </w:r>
      <w:bookmarkEnd w:id="248"/>
    </w:p>
    <w:p w:rsidRPr="005B2446" w:rsidR="00A871E4" w:rsidP="00831FAB" w:rsidRDefault="00AB0BE1" w14:paraId="00B953C9" w14:textId="04B42ED5">
      <w:pPr>
        <w:pStyle w:val="Standard"/>
      </w:pPr>
      <w:r>
        <w:t>We find t</w:t>
      </w:r>
      <w:r w:rsidRPr="00F117B5" w:rsidR="00F117B5">
        <w:t xml:space="preserve">he Mitigation Monitoring Reporting Plan </w:t>
      </w:r>
      <w:r w:rsidR="002329F5">
        <w:t xml:space="preserve">(MMRP) </w:t>
      </w:r>
      <w:r w:rsidRPr="00F117B5" w:rsidR="00F117B5">
        <w:t xml:space="preserve">section of the FEIR (Attachment </w:t>
      </w:r>
      <w:r w:rsidR="002329F5">
        <w:t>A</w:t>
      </w:r>
      <w:r w:rsidRPr="00F117B5" w:rsidR="00F117B5">
        <w:t xml:space="preserve"> of this decision) describes all feasible measures that could minimize significant adverse environmental impacts of the Proposed Project. For each resource area, feasible mitigation measures are identified where environmental effects could be substantially minimized.</w:t>
      </w:r>
    </w:p>
    <w:p w:rsidRPr="00F002F7" w:rsidR="008C0750" w:rsidP="00831FAB" w:rsidRDefault="00F002F7" w14:paraId="3D59E3D1" w14:textId="4AE25A86">
      <w:pPr>
        <w:pStyle w:val="Standard"/>
      </w:pPr>
      <w:r>
        <w:t>CEQA</w:t>
      </w:r>
      <w:r w:rsidRPr="00BF759D">
        <w:t xml:space="preserve"> </w:t>
      </w:r>
      <w:r>
        <w:t xml:space="preserve">Guidelines </w:t>
      </w:r>
      <w:r w:rsidR="00DC5A1D">
        <w:t>§ </w:t>
      </w:r>
      <w:r>
        <w:t>15091(a)</w:t>
      </w:r>
      <w:r w:rsidRPr="00BF759D">
        <w:t xml:space="preserve"> </w:t>
      </w:r>
      <w:r>
        <w:t>prohibits</w:t>
      </w:r>
      <w:r w:rsidRPr="00BF759D">
        <w:t xml:space="preserve"> </w:t>
      </w:r>
      <w:r>
        <w:t>an agency</w:t>
      </w:r>
      <w:r w:rsidRPr="00BF759D">
        <w:t xml:space="preserve"> </w:t>
      </w:r>
      <w:r>
        <w:t>from</w:t>
      </w:r>
      <w:r w:rsidRPr="00BF759D">
        <w:t xml:space="preserve"> </w:t>
      </w:r>
      <w:r>
        <w:t>approving</w:t>
      </w:r>
      <w:r w:rsidRPr="00BF759D">
        <w:t xml:space="preserve"> </w:t>
      </w:r>
      <w:r>
        <w:t>a</w:t>
      </w:r>
      <w:r w:rsidRPr="00BF759D">
        <w:t xml:space="preserve"> </w:t>
      </w:r>
      <w:r>
        <w:t>project for which an EIR has been certified and which identifies one or more significant environmental effects of the project unless (1) the project incorporates changes that</w:t>
      </w:r>
      <w:r w:rsidRPr="00BF759D">
        <w:t xml:space="preserve"> </w:t>
      </w:r>
      <w:r>
        <w:t>avoid</w:t>
      </w:r>
      <w:r w:rsidRPr="00BF759D">
        <w:t xml:space="preserve"> </w:t>
      </w:r>
      <w:r>
        <w:t>or</w:t>
      </w:r>
      <w:r w:rsidRPr="00BF759D">
        <w:t xml:space="preserve"> </w:t>
      </w:r>
      <w:r>
        <w:t>substantially</w:t>
      </w:r>
      <w:r w:rsidRPr="00BF759D">
        <w:t xml:space="preserve"> </w:t>
      </w:r>
      <w:r>
        <w:t>lessen</w:t>
      </w:r>
      <w:r w:rsidRPr="00BF759D">
        <w:t xml:space="preserve"> </w:t>
      </w:r>
      <w:r>
        <w:t>the</w:t>
      </w:r>
      <w:r w:rsidRPr="00BF759D">
        <w:t xml:space="preserve"> </w:t>
      </w:r>
      <w:r>
        <w:t>project’s</w:t>
      </w:r>
      <w:r w:rsidRPr="00BF759D">
        <w:t xml:space="preserve"> </w:t>
      </w:r>
      <w:r>
        <w:t>significant</w:t>
      </w:r>
      <w:r w:rsidRPr="00BF759D">
        <w:t xml:space="preserve"> </w:t>
      </w:r>
      <w:r>
        <w:t>environmental</w:t>
      </w:r>
      <w:r w:rsidRPr="00BF759D">
        <w:t xml:space="preserve"> </w:t>
      </w:r>
      <w:r>
        <w:t>impacts, (2)</w:t>
      </w:r>
      <w:r w:rsidRPr="00BF759D">
        <w:t xml:space="preserve"> </w:t>
      </w:r>
      <w:r>
        <w:t>such</w:t>
      </w:r>
      <w:r w:rsidRPr="00BF759D">
        <w:t xml:space="preserve"> </w:t>
      </w:r>
      <w:r>
        <w:t>changes</w:t>
      </w:r>
      <w:r w:rsidRPr="00BF759D">
        <w:t xml:space="preserve"> </w:t>
      </w:r>
      <w:r>
        <w:t>are</w:t>
      </w:r>
      <w:r w:rsidRPr="00BF759D">
        <w:t xml:space="preserve"> </w:t>
      </w:r>
      <w:r>
        <w:t>within</w:t>
      </w:r>
      <w:r w:rsidRPr="00BF759D">
        <w:t xml:space="preserve"> </w:t>
      </w:r>
      <w:r>
        <w:t>the</w:t>
      </w:r>
      <w:r w:rsidRPr="00BF759D">
        <w:t xml:space="preserve"> </w:t>
      </w:r>
      <w:r>
        <w:t>responsibility</w:t>
      </w:r>
      <w:r w:rsidRPr="00BF759D">
        <w:t xml:space="preserve"> </w:t>
      </w:r>
      <w:r>
        <w:t>and jurisdiction of</w:t>
      </w:r>
      <w:r w:rsidRPr="00BF759D">
        <w:t xml:space="preserve"> </w:t>
      </w:r>
      <w:r>
        <w:t>another</w:t>
      </w:r>
      <w:r w:rsidRPr="00BF759D">
        <w:t xml:space="preserve"> </w:t>
      </w:r>
      <w:r>
        <w:t>agency who</w:t>
      </w:r>
      <w:r w:rsidRPr="00BF759D">
        <w:t xml:space="preserve"> </w:t>
      </w:r>
      <w:r>
        <w:t>can</w:t>
      </w:r>
      <w:r w:rsidRPr="00BF759D">
        <w:t xml:space="preserve"> </w:t>
      </w:r>
      <w:r>
        <w:t>or</w:t>
      </w:r>
      <w:r w:rsidRPr="00BF759D">
        <w:t xml:space="preserve"> </w:t>
      </w:r>
      <w:r>
        <w:t>will</w:t>
      </w:r>
      <w:r w:rsidRPr="00BF759D">
        <w:t xml:space="preserve"> </w:t>
      </w:r>
      <w:r>
        <w:t>adopt</w:t>
      </w:r>
      <w:r w:rsidRPr="00BF759D">
        <w:t xml:space="preserve"> </w:t>
      </w:r>
      <w:r>
        <w:t>them,</w:t>
      </w:r>
      <w:r w:rsidRPr="00BF759D">
        <w:t xml:space="preserve"> </w:t>
      </w:r>
      <w:r>
        <w:t>or</w:t>
      </w:r>
      <w:r w:rsidRPr="00BF759D">
        <w:t xml:space="preserve"> </w:t>
      </w:r>
      <w:r>
        <w:t>(3)</w:t>
      </w:r>
      <w:r w:rsidRPr="00BF759D">
        <w:t xml:space="preserve"> </w:t>
      </w:r>
      <w:r>
        <w:t>such</w:t>
      </w:r>
      <w:r w:rsidRPr="00BF759D">
        <w:t xml:space="preserve"> </w:t>
      </w:r>
      <w:r>
        <w:t>changes</w:t>
      </w:r>
      <w:r w:rsidRPr="00BF759D">
        <w:t xml:space="preserve"> </w:t>
      </w:r>
      <w:r>
        <w:t>are</w:t>
      </w:r>
      <w:r w:rsidRPr="00BF759D">
        <w:t xml:space="preserve"> </w:t>
      </w:r>
      <w:r w:rsidRPr="009C7572">
        <w:t>infeasible</w:t>
      </w:r>
      <w:r w:rsidRPr="00B07D02">
        <w:t>.</w:t>
      </w:r>
      <w:r w:rsidRPr="00BF759D">
        <w:t xml:space="preserve"> </w:t>
      </w:r>
      <w:r w:rsidRPr="00B07D02">
        <w:t>In</w:t>
      </w:r>
      <w:r w:rsidRPr="00BF759D">
        <w:t xml:space="preserve"> </w:t>
      </w:r>
      <w:r w:rsidRPr="00B07D02">
        <w:t>this</w:t>
      </w:r>
      <w:r w:rsidRPr="00BF759D">
        <w:t xml:space="preserve"> </w:t>
      </w:r>
      <w:r w:rsidRPr="00B07D02">
        <w:t>case,</w:t>
      </w:r>
      <w:r w:rsidRPr="00BF759D">
        <w:t xml:space="preserve"> </w:t>
      </w:r>
      <w:r w:rsidRPr="00B07D02">
        <w:t>with the mitigation</w:t>
      </w:r>
      <w:r w:rsidR="00A300B6">
        <w:t xml:space="preserve"> measures</w:t>
      </w:r>
      <w:r w:rsidRPr="00B07D02">
        <w:t xml:space="preserve"> identified in the MMRP, the </w:t>
      </w:r>
      <w:r w:rsidRPr="00B07D02" w:rsidR="00724185">
        <w:t xml:space="preserve">Alternative Combination </w:t>
      </w:r>
      <w:r w:rsidR="0000570F">
        <w:t>#</w:t>
      </w:r>
      <w:r w:rsidRPr="00B07D02" w:rsidR="00724185">
        <w:t xml:space="preserve">2 </w:t>
      </w:r>
      <w:r w:rsidRPr="00B07D02" w:rsidR="00724185">
        <w:lastRenderedPageBreak/>
        <w:t xml:space="preserve">to the </w:t>
      </w:r>
      <w:r w:rsidRPr="00B07D02">
        <w:t xml:space="preserve">Proposed Project will avoid </w:t>
      </w:r>
      <w:r w:rsidRPr="00B07D02" w:rsidR="00724185">
        <w:t xml:space="preserve">or substantially lessen </w:t>
      </w:r>
      <w:r w:rsidR="009C7572">
        <w:t>the</w:t>
      </w:r>
      <w:r w:rsidRPr="00B07D02" w:rsidR="00724185">
        <w:t xml:space="preserve"> </w:t>
      </w:r>
      <w:r w:rsidRPr="00B07D02">
        <w:t>significant environmental impacts</w:t>
      </w:r>
      <w:r w:rsidR="009C7572">
        <w:t xml:space="preserve"> of the Proposed Project</w:t>
      </w:r>
      <w:r w:rsidR="00724185">
        <w:t>, however some of the significant environmental impacts are unavoidable after application of all feasible mitigation measures</w:t>
      </w:r>
      <w:r>
        <w:t>.</w:t>
      </w:r>
    </w:p>
    <w:p w:rsidR="001D1C35" w:rsidP="001D1C35" w:rsidRDefault="00F11DD2" w14:paraId="0A7B76E0" w14:textId="7AB6EF6B">
      <w:pPr>
        <w:pStyle w:val="Heading1"/>
      </w:pPr>
      <w:bookmarkStart w:name="_Toc164685424" w:id="250"/>
      <w:r>
        <w:t xml:space="preserve">Statement of </w:t>
      </w:r>
      <w:r w:rsidR="001D1C35">
        <w:t>Overriding Considerations</w:t>
      </w:r>
      <w:bookmarkEnd w:id="250"/>
    </w:p>
    <w:p w:rsidRPr="00AF7B51" w:rsidR="008C0750" w:rsidP="00831FAB" w:rsidRDefault="008C0750" w14:paraId="4F7B4645" w14:textId="70F395E7">
      <w:pPr>
        <w:pStyle w:val="Standard"/>
      </w:pPr>
      <w:bookmarkStart w:name="_Hlk159598177" w:id="251"/>
      <w:r w:rsidRPr="00AF7B51">
        <w:t>CEQA requires the decision-making agency to balance, as applicable, the economic, legal, social, technological, or other benefits, including region-wide or statewide environmental benefits, of a proposed project against its unavoidable environmental impacts when determining whether to approve the project.</w:t>
      </w:r>
      <w:r w:rsidRPr="00AF7B51">
        <w:rPr>
          <w:rStyle w:val="FootnoteReference"/>
        </w:rPr>
        <w:footnoteReference w:id="108"/>
      </w:r>
      <w:r w:rsidRPr="00AF7B51">
        <w:rPr>
          <w:position w:val="8"/>
        </w:rPr>
        <w:t xml:space="preserve"> </w:t>
      </w:r>
      <w:r w:rsidRPr="00AF7B51">
        <w:t xml:space="preserve">A project that will result in significant and unavoidable impacts </w:t>
      </w:r>
      <w:r w:rsidR="002273BE">
        <w:t>m</w:t>
      </w:r>
      <w:r w:rsidR="00325E91">
        <w:t>ay</w:t>
      </w:r>
      <w:r w:rsidR="002273BE">
        <w:t xml:space="preserve"> </w:t>
      </w:r>
      <w:r w:rsidRPr="00AF7B51">
        <w:t>be approved based on a finding that specific economic, legal, social, technological, or other benefits, including region-wide or statewide environmental benefits, outweigh the unavoidable adverse environmental effects.</w:t>
      </w:r>
      <w:r w:rsidRPr="00AF7B51">
        <w:rPr>
          <w:rStyle w:val="FootnoteReference"/>
        </w:rPr>
        <w:footnoteReference w:id="109"/>
      </w:r>
      <w:r w:rsidRPr="00AF7B51">
        <w:t xml:space="preserve"> </w:t>
      </w:r>
    </w:p>
    <w:p w:rsidRPr="00AF7B51" w:rsidR="008C0750" w:rsidP="00831FAB" w:rsidRDefault="008C0750" w14:paraId="4743B04A" w14:textId="5C8A2BD1">
      <w:pPr>
        <w:pStyle w:val="Standard"/>
      </w:pPr>
      <w:r w:rsidRPr="00AF7B51">
        <w:t xml:space="preserve">As discussed, the FEIR finds that </w:t>
      </w:r>
      <w:r w:rsidR="009E2240">
        <w:t xml:space="preserve">the </w:t>
      </w:r>
      <w:r w:rsidRPr="00AF7B51">
        <w:t xml:space="preserve">environmentally superior alternative, Alternative Combination #2 with Alternative PLR-1A, will result in less significant impacts than the Proposed Project, as proposed or other alternatives. The FEIR also finds that the environmentally superior alternative, Alternative Combination #2 with Alternative PLR-1A, would still result in six significant and unavoidable impacts in the areas of Aesthetics (Impact AES-3), Agricultural and Forestry Resources (Impact AG-1 and Impact AG-2), Air Quality (Impact AQ-2 and Impact AQ-3), and Noise and Vibration (Impact NOISE-1). </w:t>
      </w:r>
    </w:p>
    <w:p w:rsidRPr="00AF7B51" w:rsidR="008C0750" w:rsidP="00831FAB" w:rsidRDefault="008C0750" w14:paraId="0ACEDDF4" w14:textId="06879DD4">
      <w:pPr>
        <w:pStyle w:val="Standard"/>
      </w:pPr>
      <w:r w:rsidRPr="00AF7B51">
        <w:t xml:space="preserve">We have considered all significant, unavoidable impacts in the FEIR, as discussed above, and conclude that the APMs and MMs identified in the FEIR </w:t>
      </w:r>
      <w:r w:rsidRPr="00AF7B51">
        <w:lastRenderedPageBreak/>
        <w:t>would substantially lessen, although potentially not eliminate, the effects that the FEIR identifies as significant. Requiring implementation of the MMRP and enforcing compliance would result in the adoption of all feasible mitigation measures.</w:t>
      </w:r>
    </w:p>
    <w:p w:rsidR="008C0750" w:rsidP="00831FAB" w:rsidRDefault="008C0750" w14:paraId="3D258FAA" w14:textId="2B1F0245">
      <w:pPr>
        <w:pStyle w:val="Standard"/>
      </w:pPr>
      <w:r w:rsidRPr="00AF7B51">
        <w:t xml:space="preserve">As discussed below, we find that the benefits we note below of the Proposed Project outweigh those </w:t>
      </w:r>
      <w:r w:rsidR="00AE52DB">
        <w:t>significant unavoidable</w:t>
      </w:r>
      <w:r w:rsidR="001E5AA1">
        <w:t xml:space="preserve"> </w:t>
      </w:r>
      <w:r w:rsidRPr="00AF7B51">
        <w:t>impacts.</w:t>
      </w:r>
      <w:bookmarkStart w:name="_bookmark104" w:id="252"/>
      <w:bookmarkEnd w:id="252"/>
    </w:p>
    <w:p w:rsidRPr="00AF7B51" w:rsidR="008C0750" w:rsidP="009652C8" w:rsidRDefault="008C0750" w14:paraId="6DFBA244" w14:textId="36B0436F">
      <w:pPr>
        <w:pStyle w:val="Heading2"/>
      </w:pPr>
      <w:bookmarkStart w:name="_Toc164685425" w:id="253"/>
      <w:r w:rsidRPr="00AF7B51">
        <w:t>Reliability Benefits</w:t>
      </w:r>
      <w:bookmarkEnd w:id="253"/>
    </w:p>
    <w:p w:rsidRPr="00AF7B51" w:rsidR="008C0750" w:rsidP="00831FAB" w:rsidRDefault="008C0750" w14:paraId="6505452C" w14:textId="271285F7">
      <w:pPr>
        <w:pStyle w:val="Standard"/>
      </w:pPr>
      <w:r w:rsidRPr="00AF7B51">
        <w:t xml:space="preserve">First and foremost, the Proposed Project provides electric reliability benefits by alleviating potential thermal overloads and providing robust system reinforcement to prevent voltage collapse. It is a reliability-driven transmission solution in the Los Padres division of PG&amp;E’s service territory that was identified by the CAISO and approved in its 2013-2014 TPP “to provide </w:t>
      </w:r>
      <w:r w:rsidR="00325E91">
        <w:t>Paso </w:t>
      </w:r>
      <w:r w:rsidRPr="00AF7B51">
        <w:t>Robles Substation with more reinforced 70</w:t>
      </w:r>
      <w:r w:rsidR="00DC5A1D">
        <w:t> kV</w:t>
      </w:r>
      <w:r w:rsidRPr="00AF7B51">
        <w:t xml:space="preserve"> sources from Templeton and Estrella.”</w:t>
      </w:r>
      <w:r w:rsidRPr="00AF7B51">
        <w:rPr>
          <w:rStyle w:val="FootnoteReference"/>
        </w:rPr>
        <w:footnoteReference w:id="110"/>
      </w:r>
      <w:r w:rsidRPr="00AF7B51">
        <w:t xml:space="preserve"> </w:t>
      </w:r>
    </w:p>
    <w:p w:rsidRPr="00AF7B51" w:rsidR="008C0750" w:rsidP="00831FAB" w:rsidRDefault="008C0750" w14:paraId="163B8FB7" w14:textId="2E34A8B8">
      <w:pPr>
        <w:pStyle w:val="Standard"/>
      </w:pPr>
      <w:r w:rsidRPr="00AF7B51">
        <w:t>In this proceeding, the CAISO witness confirmed that the Proposed Project will provide a reliability benefit by mitigating the thermal overload and low voltage concerns identified in the Los Padres 70</w:t>
      </w:r>
      <w:r w:rsidR="00DC5A1D">
        <w:t> kV</w:t>
      </w:r>
      <w:r w:rsidRPr="00AF7B51">
        <w:t xml:space="preserve"> system—specifically in the San Miguel, </w:t>
      </w:r>
      <w:r w:rsidR="00325E91">
        <w:t>Paso </w:t>
      </w:r>
      <w:r w:rsidRPr="00AF7B51">
        <w:t>Robles, Templeton, Atascadero, Cayucos, and San Luis Obispo areas following Category P1 contingencies due to loss of either the Templeton 230/70</w:t>
      </w:r>
      <w:r w:rsidR="00DC5A1D">
        <w:t> kV</w:t>
      </w:r>
      <w:r w:rsidRPr="00AF7B51">
        <w:t xml:space="preserve"> #1 Bank or the </w:t>
      </w:r>
      <w:r w:rsidR="00325E91">
        <w:t>Paso </w:t>
      </w:r>
      <w:r w:rsidRPr="00AF7B51">
        <w:t>Robles-Templeton 70</w:t>
      </w:r>
      <w:r w:rsidR="00DC5A1D">
        <w:t> kV</w:t>
      </w:r>
      <w:r w:rsidRPr="00AF7B51">
        <w:t xml:space="preserve"> Line. Category P1 (formerly named Category B) contingencies refer to those contingencies described by </w:t>
      </w:r>
      <w:r w:rsidR="00BD67D9">
        <w:t>North American Electric Reliability Corporation (</w:t>
      </w:r>
      <w:r w:rsidRPr="00AF7B51">
        <w:t>NERC</w:t>
      </w:r>
      <w:r w:rsidR="00BD67D9">
        <w:t>)</w:t>
      </w:r>
      <w:r w:rsidRPr="00AF7B51">
        <w:t xml:space="preserve"> as the system performance that is expected immediately following the loss of a single transmission element, such as a transmission circuit, a generator, or a transformer. These two Category P1 contingencies put approximately 60-70</w:t>
      </w:r>
      <w:r w:rsidR="002273BE">
        <w:t> </w:t>
      </w:r>
      <w:r w:rsidRPr="00AF7B51">
        <w:t xml:space="preserve">MW </w:t>
      </w:r>
      <w:r w:rsidRPr="00AF7B51">
        <w:lastRenderedPageBreak/>
        <w:t xml:space="preserve">of load at </w:t>
      </w:r>
      <w:r w:rsidR="00325E91">
        <w:t>Paso </w:t>
      </w:r>
      <w:r w:rsidRPr="00AF7B51">
        <w:t>Robles at risk by activating the</w:t>
      </w:r>
      <w:bookmarkStart w:name="_bookmark107" w:id="254"/>
      <w:bookmarkEnd w:id="254"/>
      <w:r w:rsidRPr="00AF7B51">
        <w:t xml:space="preserve"> existing </w:t>
      </w:r>
      <w:r w:rsidR="00325E91">
        <w:t>Paso </w:t>
      </w:r>
      <w:r w:rsidRPr="00AF7B51">
        <w:t>Robles “Under Voltage Load Shedding” protocol during summer peak conditions to alleviate the thermal and low voltage concerns.</w:t>
      </w:r>
      <w:r w:rsidRPr="00AF7B51">
        <w:rPr>
          <w:rStyle w:val="FootnoteReference"/>
        </w:rPr>
        <w:footnoteReference w:id="111"/>
      </w:r>
      <w:r w:rsidRPr="00AF7B51">
        <w:t xml:space="preserve"> </w:t>
      </w:r>
    </w:p>
    <w:p w:rsidR="009652C8" w:rsidP="009652C8" w:rsidRDefault="008C0750" w14:paraId="19621D39" w14:textId="2281DF0A">
      <w:pPr>
        <w:pStyle w:val="Standard"/>
      </w:pPr>
      <w:r w:rsidRPr="00AF7B51">
        <w:t xml:space="preserve">The CAISO witness testimony also provided a table which shows the voltage risk under the loss of the </w:t>
      </w:r>
      <w:r w:rsidR="00325E91">
        <w:t>Paso </w:t>
      </w:r>
      <w:r w:rsidRPr="00AF7B51">
        <w:t>Robles-Templeton 70</w:t>
      </w:r>
      <w:r w:rsidR="00DC5A1D">
        <w:t> kV</w:t>
      </w:r>
      <w:r w:rsidRPr="00AF7B51">
        <w:t xml:space="preserve"> line, both without and with the Proposed Project. Without the Proposed Project, this contingency would result in voltage collapse. The Proposed Project solves that risk to reliability and “will provide robust system reinforcement to the </w:t>
      </w:r>
      <w:r w:rsidR="00325E91">
        <w:t>Paso </w:t>
      </w:r>
      <w:r w:rsidRPr="00AF7B51">
        <w:t>Robles and Templeton 70</w:t>
      </w:r>
      <w:r w:rsidR="00DC5A1D">
        <w:t> kV</w:t>
      </w:r>
      <w:r w:rsidRPr="00AF7B51">
        <w:t xml:space="preserve"> system operations.”</w:t>
      </w:r>
      <w:r w:rsidRPr="00AF7B51">
        <w:rPr>
          <w:rStyle w:val="FootnoteReference"/>
        </w:rPr>
        <w:footnoteReference w:id="112"/>
      </w:r>
      <w:r w:rsidRPr="00AF7B51">
        <w:t xml:space="preserve"> The same testimony also confirmed that the Proposed Project has been and continues to be needed to address an existing reliability issue. </w:t>
      </w:r>
    </w:p>
    <w:p w:rsidRPr="00AF7B51" w:rsidR="008C0750" w:rsidP="009652C8" w:rsidRDefault="008C0750" w14:paraId="06051416" w14:textId="28211CFF">
      <w:pPr>
        <w:pStyle w:val="Standard"/>
      </w:pPr>
      <w:r w:rsidRPr="00AF7B51">
        <w:t>Currently, the CAISO relies on load tripping through “Under Voltage Load Shedding” during summer peak conditions to alleviate the thermal and low voltage concerns in the area, which does not meet applicable reliability and planning standards,</w:t>
      </w:r>
      <w:r w:rsidRPr="00AF7B51">
        <w:rPr>
          <w:rStyle w:val="FootnoteReference"/>
        </w:rPr>
        <w:footnoteReference w:id="113"/>
      </w:r>
      <w:r w:rsidRPr="00AF7B51">
        <w:t xml:space="preserve"> and that the CAISO’s updated analyses show that the </w:t>
      </w:r>
      <w:r w:rsidR="00CA5D2D">
        <w:t>Proposed</w:t>
      </w:r>
      <w:r w:rsidRPr="00AF7B51" w:rsidR="00CA5D2D">
        <w:t xml:space="preserve"> </w:t>
      </w:r>
      <w:r w:rsidRPr="00AF7B51">
        <w:t>Project is still necessary, notwithstanding delays in this proceeding, to solve the identified reliability problem, and explains that:</w:t>
      </w:r>
    </w:p>
    <w:p w:rsidRPr="00AF7B51" w:rsidR="008C0750" w:rsidP="009652C8" w:rsidRDefault="008C0750" w14:paraId="0BE030BD" w14:textId="2D404FC6">
      <w:pPr>
        <w:pStyle w:val="BlockQuote"/>
      </w:pPr>
      <w:r w:rsidRPr="00AF7B51">
        <w:t>The CAISO performs need assessments on a case-by-case basis if</w:t>
      </w:r>
      <w:r w:rsidR="009652C8">
        <w:br/>
      </w:r>
      <w:r w:rsidRPr="00AF7B51">
        <w:t>any major assumptions change significantly. In the 2023-2024 Transmission Planning Process the CAISO did not model the Proposed Project as in-service in the near-term (2025) study</w:t>
      </w:r>
      <w:r w:rsidR="009652C8">
        <w:br/>
      </w:r>
      <w:r w:rsidRPr="00AF7B51">
        <w:t>scenario based on the expected in-service date of the Proposed Project, and the results showed the continued need for the Proposed Project.</w:t>
      </w:r>
      <w:r w:rsidRPr="00AF7B51">
        <w:rPr>
          <w:rStyle w:val="FootnoteReference"/>
        </w:rPr>
        <w:footnoteReference w:id="114"/>
      </w:r>
      <w:r w:rsidRPr="00AF7B51">
        <w:t xml:space="preserve"> </w:t>
      </w:r>
    </w:p>
    <w:p w:rsidRPr="00AF7B51" w:rsidR="008C0750" w:rsidP="00831FAB" w:rsidRDefault="008C0750" w14:paraId="32BA8499" w14:textId="4082102F">
      <w:pPr>
        <w:pStyle w:val="Standard"/>
      </w:pPr>
      <w:r w:rsidRPr="00AF7B51">
        <w:lastRenderedPageBreak/>
        <w:t>The reliability benefits of the Proposed Project constitute overriding considerations to approve the Proposed Project’s environmentally superior alternative, Alternative Combin</w:t>
      </w:r>
      <w:r w:rsidR="00221234">
        <w:t>ation</w:t>
      </w:r>
      <w:r w:rsidRPr="00AF7B51">
        <w:t xml:space="preserve"> #2, notwithstanding the six significant </w:t>
      </w:r>
      <w:r w:rsidR="00F62083">
        <w:t xml:space="preserve">and unavoidable </w:t>
      </w:r>
      <w:r w:rsidRPr="00AF7B51">
        <w:t>impacts identified in the FEIR</w:t>
      </w:r>
      <w:r w:rsidR="004201A5">
        <w:t xml:space="preserve">, </w:t>
      </w:r>
      <w:r w:rsidR="00F62083">
        <w:t xml:space="preserve">even </w:t>
      </w:r>
      <w:r w:rsidRPr="00F62083" w:rsidR="00F62083">
        <w:t xml:space="preserve">after </w:t>
      </w:r>
      <w:r w:rsidR="00F62083">
        <w:t xml:space="preserve">the </w:t>
      </w:r>
      <w:r w:rsidRPr="00F62083" w:rsidR="00F62083">
        <w:t xml:space="preserve">implementation of the prescribed </w:t>
      </w:r>
      <w:r w:rsidR="00F62083">
        <w:t>APMs and MMs to reduce the impacts</w:t>
      </w:r>
      <w:r w:rsidRPr="00F62083">
        <w:t>.</w:t>
      </w:r>
      <w:r w:rsidRPr="00AF7B51">
        <w:t xml:space="preserve"> Three of the significant impacts identified in the FEIR – both air quality impacts and the noise impact – would occur only during construction and therefore would be temporary. The impacts in the areas of aesthetics and agriculture would be substantially lessened through mitigation as described above. The conversion of land under a Williamson Act contract removes only 20 acres from the existing 98-acre parcel, leaving 78 acres under Williamson Act coverage. These impacts are outweighed by the </w:t>
      </w:r>
      <w:r w:rsidR="00CA5D2D">
        <w:t xml:space="preserve">Proposed </w:t>
      </w:r>
      <w:r w:rsidRPr="00AF7B51">
        <w:t xml:space="preserve"> Project’s benefits in avoiding voltage collapse that could lead to blackouts in the area, which could have harmful impacts on the safety and economics of the region.</w:t>
      </w:r>
    </w:p>
    <w:p w:rsidR="008C0750" w:rsidP="00831FAB" w:rsidRDefault="008C0750" w14:paraId="49A5FA41" w14:textId="4B398BB0">
      <w:pPr>
        <w:pStyle w:val="Standard"/>
      </w:pPr>
      <w:r w:rsidRPr="00AF7B51">
        <w:t>The Commission has found that transmission projects’ reliability benefits outweigh their significant environmental impacts in other decisions granting PTCs and certificates of public convenience and necessity (CPCN).</w:t>
      </w:r>
      <w:r w:rsidRPr="00AF7B51">
        <w:rPr>
          <w:rStyle w:val="FootnoteReference"/>
        </w:rPr>
        <w:footnoteReference w:id="115"/>
      </w:r>
      <w:r w:rsidRPr="00AF7B51">
        <w:rPr>
          <w:position w:val="8"/>
        </w:rPr>
        <w:t xml:space="preserve"> </w:t>
      </w:r>
      <w:r w:rsidRPr="00AF7B51">
        <w:t xml:space="preserve">For the </w:t>
      </w:r>
      <w:r w:rsidRPr="00AF7B51">
        <w:lastRenderedPageBreak/>
        <w:t>reasons explained above, the record supports a</w:t>
      </w:r>
      <w:r w:rsidR="00030134">
        <w:t xml:space="preserve"> </w:t>
      </w:r>
      <w:r w:rsidRPr="00AF7B51">
        <w:t>finding that the Proposed Project’s reliability benefits are overriding considerations that support granting PTCs to the Applicants.</w:t>
      </w:r>
      <w:bookmarkStart w:name="_bookmark115" w:id="255"/>
      <w:bookmarkEnd w:id="255"/>
    </w:p>
    <w:p w:rsidRPr="00AF7B51" w:rsidR="000D4D5B" w:rsidP="009652C8" w:rsidRDefault="000D4D5B" w14:paraId="7DDD294F" w14:textId="3F3616DA">
      <w:pPr>
        <w:pStyle w:val="Heading2"/>
      </w:pPr>
      <w:bookmarkStart w:name="_Toc164685426" w:id="256"/>
      <w:r w:rsidRPr="00AF7B51">
        <w:t>Economic Benefits</w:t>
      </w:r>
      <w:bookmarkEnd w:id="256"/>
    </w:p>
    <w:p w:rsidRPr="00AF7B51" w:rsidR="000D4D5B" w:rsidP="00831FAB" w:rsidRDefault="000D4D5B" w14:paraId="2886AC3E" w14:textId="6B0731D2">
      <w:pPr>
        <w:pStyle w:val="Standard"/>
      </w:pPr>
      <w:r w:rsidRPr="00AF7B51">
        <w:t xml:space="preserve"> </w:t>
      </w:r>
      <w:r w:rsidRPr="00AF7B51">
        <w:tab/>
      </w:r>
      <w:r w:rsidRPr="000D4D5B">
        <w:t>In addition to the reliability benefits</w:t>
      </w:r>
      <w:r w:rsidRPr="00AF7B51">
        <w:t xml:space="preserve">, the Proposed Project </w:t>
      </w:r>
      <w:r w:rsidR="002623C8">
        <w:t xml:space="preserve">is expected to </w:t>
      </w:r>
      <w:r w:rsidRPr="00AF7B51">
        <w:t>result in creation of numerous jobs and provides economic development benefits. If the PTCs are granted, Horizon West expects to bid out the construction of the Estrella Substation (component of the Proposed Project) to construction contractors that will utilize the relevant trade unions. PG&amp;E also will bid out the work to construct the 70</w:t>
      </w:r>
      <w:r w:rsidR="00DC5A1D">
        <w:t> kV</w:t>
      </w:r>
      <w:r w:rsidRPr="00AF7B51">
        <w:t xml:space="preserve"> switching station (component of the Proposed Project). Horizon West also anticipates that it will staff two permanent operations and maintenance jobs once the </w:t>
      </w:r>
      <w:r w:rsidR="00DC3490">
        <w:t>Proposed Project</w:t>
      </w:r>
      <w:r w:rsidRPr="00AF7B51">
        <w:t xml:space="preserve"> is placed in service.</w:t>
      </w:r>
      <w:r w:rsidRPr="00AF7B51">
        <w:rPr>
          <w:rStyle w:val="FootnoteReference"/>
        </w:rPr>
        <w:footnoteReference w:id="116"/>
      </w:r>
      <w:r w:rsidRPr="00AF7B51">
        <w:t xml:space="preserve"> </w:t>
      </w:r>
    </w:p>
    <w:p w:rsidRPr="00AF7B51" w:rsidR="000D4D5B" w:rsidP="009652C8" w:rsidRDefault="000D4D5B" w14:paraId="40E215BA" w14:textId="77777777">
      <w:pPr>
        <w:pStyle w:val="Heading2"/>
      </w:pPr>
      <w:bookmarkStart w:name="_Toc164685427" w:id="257"/>
      <w:r w:rsidRPr="00AF7B51">
        <w:t>Policy Benefits</w:t>
      </w:r>
      <w:bookmarkEnd w:id="257"/>
    </w:p>
    <w:p w:rsidRPr="00AF7B51" w:rsidR="008C0750" w:rsidP="00831FAB" w:rsidRDefault="000D4D5B" w14:paraId="7F7E596A" w14:textId="736E9543">
      <w:pPr>
        <w:pStyle w:val="Standard"/>
      </w:pPr>
      <w:r>
        <w:t xml:space="preserve">Finally, </w:t>
      </w:r>
      <w:r w:rsidRPr="00AF7B51" w:rsidR="008C0750">
        <w:t xml:space="preserve">approving the Proposed Project is also consistent with and supports the results of the CAISO’s long-term transmission planning process and the CAISO’s competitive solicitation conducted pursuant to FERC Order No. 1000. The Commission and the CAISO have recognized that the CAISO “conducts transmission planning that initiates all expansion planning for reliability, policy, and economic reasons in the footprint of its member </w:t>
      </w:r>
      <w:r w:rsidRPr="00AF7B51" w:rsidR="008C0750">
        <w:lastRenderedPageBreak/>
        <w:t>participating transmissions owners.”</w:t>
      </w:r>
      <w:r w:rsidRPr="00AF7B51" w:rsidR="008C0750">
        <w:rPr>
          <w:rStyle w:val="FootnoteReference"/>
        </w:rPr>
        <w:footnoteReference w:id="117"/>
      </w:r>
      <w:r w:rsidRPr="00AF7B51" w:rsidR="008C0750">
        <w:rPr>
          <w:position w:val="8"/>
        </w:rPr>
        <w:t xml:space="preserve"> </w:t>
      </w:r>
      <w:r w:rsidRPr="00AF7B51" w:rsidR="008C0750">
        <w:t xml:space="preserve">Granting approval for a project that the CAISO identified and approved in its </w:t>
      </w:r>
      <w:r w:rsidR="008063BC">
        <w:t>Transmission Plan</w:t>
      </w:r>
      <w:r w:rsidRPr="00AF7B51" w:rsidR="008C0750">
        <w:t xml:space="preserve">, and that the CAISO’s witness has confirmed is still needed for reliability and to avoid load shedding and voltage collapse, is a policy benefit that supports approval of the </w:t>
      </w:r>
      <w:r w:rsidR="00DC3490">
        <w:t xml:space="preserve">Proposed </w:t>
      </w:r>
      <w:r w:rsidRPr="00AF7B51" w:rsidR="008C0750">
        <w:t xml:space="preserve">Project despite the identified impacts. </w:t>
      </w:r>
    </w:p>
    <w:p w:rsidR="008C0750" w:rsidP="00831FAB" w:rsidRDefault="008C0750" w14:paraId="2D39347D" w14:textId="77777777">
      <w:pPr>
        <w:pStyle w:val="Standard"/>
      </w:pPr>
      <w:r w:rsidRPr="00AF7B51">
        <w:t xml:space="preserve">Moreover, approving a project selected in the CAISO’s competitive solicitation process would support that competitive process, which provides benefits to customers in California that pay transmission rates through the CAISO Transmission Access Charge. The CAISO selected Horizon West’s bid based on selection factors that included experience in acquiring right of way, demonstrated cost containment capability and binding cost control measures, and expertise in developing a sufficiently sized team with the resources, knowledge, and skill to execute the project. </w:t>
      </w:r>
    </w:p>
    <w:p w:rsidRPr="00030134" w:rsidR="00D3746D" w:rsidP="00831FAB" w:rsidRDefault="008C0750" w14:paraId="17AD4405" w14:textId="18604569">
      <w:pPr>
        <w:pStyle w:val="Standard"/>
      </w:pPr>
      <w:r w:rsidRPr="00AF7B51">
        <w:t>For</w:t>
      </w:r>
      <w:r w:rsidRPr="00030134" w:rsidR="00030134">
        <w:t xml:space="preserve"> </w:t>
      </w:r>
      <w:r w:rsidRPr="00AF7B51">
        <w:t>the foregoing reasons, we find that the Proposed Project’s benefits are overriding considerations that support granting PTCs to the Applicants.</w:t>
      </w:r>
      <w:r w:rsidRPr="00030134" w:rsidR="00030134">
        <w:t xml:space="preserve"> T</w:t>
      </w:r>
      <w:r w:rsidRPr="00030134" w:rsidR="002C6DD9">
        <w:t>he</w:t>
      </w:r>
      <w:r w:rsidRPr="00030134" w:rsidR="00030134">
        <w:t>se</w:t>
      </w:r>
      <w:r w:rsidRPr="00030134" w:rsidR="002C6DD9">
        <w:t xml:space="preserve"> benefits from the Proposed Project outweigh the unavoidable adverse environmental impacts on air quality, aesthetics, agricultural resources, and noise.</w:t>
      </w:r>
      <w:r w:rsidRPr="00030134" w:rsidR="00A871E4">
        <w:t xml:space="preserve"> </w:t>
      </w:r>
      <w:r w:rsidRPr="00030134">
        <w:t>Accordingly, with the foregoing statement of overriding considerations, Commission approval of the Proposed Project, configured as Alternative Combination #2, is warranted.</w:t>
      </w:r>
      <w:r w:rsidRPr="00030134" w:rsidR="00A871E4">
        <w:t xml:space="preserve">  </w:t>
      </w:r>
    </w:p>
    <w:p w:rsidR="00A871E4" w:rsidP="00A871E4" w:rsidRDefault="00A871E4" w14:paraId="057B3E0C" w14:textId="77777777">
      <w:pPr>
        <w:pStyle w:val="Heading1"/>
      </w:pPr>
      <w:bookmarkStart w:name="_Toc164685428" w:id="258"/>
      <w:bookmarkEnd w:id="251"/>
      <w:r>
        <w:t>Certification for EIR</w:t>
      </w:r>
      <w:bookmarkEnd w:id="258"/>
      <w:r>
        <w:t xml:space="preserve"> </w:t>
      </w:r>
    </w:p>
    <w:p w:rsidR="001E5AA1" w:rsidP="00831FAB" w:rsidRDefault="002506CC" w14:paraId="704D502D" w14:textId="5F37DCE5">
      <w:pPr>
        <w:pStyle w:val="Standard"/>
      </w:pPr>
      <w:r>
        <w:t xml:space="preserve">CEQA requires the lead agency to certify that the EIR was completed in compliance with CEQA, that the agency has reviewed and considered it prior to </w:t>
      </w:r>
      <w:r>
        <w:lastRenderedPageBreak/>
        <w:t xml:space="preserve">approving the project, and that the EIR reflects the agency’s independent judgment. </w:t>
      </w:r>
    </w:p>
    <w:p w:rsidR="001E5AA1" w:rsidP="00831FAB" w:rsidRDefault="002506CC" w14:paraId="55AED77B" w14:textId="0C9E00C8">
      <w:pPr>
        <w:pStyle w:val="Standard"/>
      </w:pPr>
      <w:r>
        <w:t xml:space="preserve">As </w:t>
      </w:r>
      <w:r w:rsidR="00584854">
        <w:t xml:space="preserve">discussed </w:t>
      </w:r>
      <w:r>
        <w:t xml:space="preserve">above, the FEIR was completed after notice and opportunity for public comment on the scope of the environmental review and the </w:t>
      </w:r>
      <w:r w:rsidRPr="00107A7F" w:rsidR="000F32FE">
        <w:t>DEIR</w:t>
      </w:r>
      <w:r>
        <w:t xml:space="preserve">, as required by CEQA. The FEIR documents all comments on the DEIR and RDEIR and responds to them, as required by CEQA. The FEIR also identifies the Proposed Project’s significant and unavoidable environmental impacts, mitigation measures that will avoid or substantially lessen them, and the environmentally superior alternative. </w:t>
      </w:r>
    </w:p>
    <w:p w:rsidR="002506CC" w:rsidP="00831FAB" w:rsidRDefault="002506CC" w14:paraId="1E89B642" w14:textId="5FCEC780">
      <w:pPr>
        <w:pStyle w:val="Standard"/>
      </w:pPr>
      <w:r>
        <w:t>We have reviewed and considered the information contained in the FEIR, and it reflects our independent judgment. We certify that the FEIR was completed in compliance with CEQA.</w:t>
      </w:r>
    </w:p>
    <w:p w:rsidR="001D1C35" w:rsidP="001D1C35" w:rsidRDefault="00B42E18" w14:paraId="39AC78FA" w14:textId="5C760FA2">
      <w:pPr>
        <w:pStyle w:val="Heading1"/>
      </w:pPr>
      <w:bookmarkStart w:name="_Toc164685429" w:id="259"/>
      <w:r>
        <w:t>E</w:t>
      </w:r>
      <w:r w:rsidRPr="00B42E18">
        <w:t xml:space="preserve">lectric and </w:t>
      </w:r>
      <w:r>
        <w:t>M</w:t>
      </w:r>
      <w:r w:rsidRPr="00B42E18">
        <w:t xml:space="preserve">agnetic </w:t>
      </w:r>
      <w:r>
        <w:t>F</w:t>
      </w:r>
      <w:r w:rsidRPr="00B42E18">
        <w:t>ield</w:t>
      </w:r>
      <w:r>
        <w:t>s</w:t>
      </w:r>
      <w:bookmarkEnd w:id="259"/>
    </w:p>
    <w:p w:rsidRPr="00B6393F" w:rsidR="00C1502B" w:rsidP="00831FAB" w:rsidRDefault="00506302" w14:paraId="381C7C8F" w14:textId="5E32A9C6">
      <w:pPr>
        <w:pStyle w:val="Standard"/>
      </w:pPr>
      <w:r w:rsidRPr="00B6393F">
        <w:rPr>
          <w:rFonts w:eastAsia="Century Gothic" w:cs="Century Gothic"/>
        </w:rPr>
        <w:t xml:space="preserve">The Commission has examined </w:t>
      </w:r>
      <w:r w:rsidRPr="00B6393F" w:rsidR="00B42E18">
        <w:rPr>
          <w:rFonts w:eastAsia="Century Gothic" w:cs="Century Gothic"/>
        </w:rPr>
        <w:t>electric and magnetic fields (EMF</w:t>
      </w:r>
      <w:r w:rsidRPr="00B6393F" w:rsidR="006D724C">
        <w:rPr>
          <w:rFonts w:eastAsia="Century Gothic" w:cs="Century Gothic"/>
        </w:rPr>
        <w:t>s</w:t>
      </w:r>
      <w:r w:rsidRPr="00B6393F" w:rsidR="00B42E18">
        <w:rPr>
          <w:rFonts w:eastAsia="Century Gothic" w:cs="Century Gothic"/>
        </w:rPr>
        <w:t xml:space="preserve">) </w:t>
      </w:r>
      <w:r w:rsidRPr="00B6393F">
        <w:rPr>
          <w:rFonts w:eastAsia="Century Gothic" w:cs="Century Gothic"/>
        </w:rPr>
        <w:t xml:space="preserve">impacts in </w:t>
      </w:r>
      <w:r w:rsidRPr="00B6393F" w:rsidR="003519AC">
        <w:rPr>
          <w:rFonts w:eastAsia="Century Gothic" w:cs="Century Gothic"/>
        </w:rPr>
        <w:t>numerous</w:t>
      </w:r>
      <w:r w:rsidRPr="00B6393F">
        <w:rPr>
          <w:rFonts w:eastAsia="Century Gothic" w:cs="Century Gothic"/>
        </w:rPr>
        <w:t xml:space="preserve"> proceedings.</w:t>
      </w:r>
      <w:r w:rsidRPr="00B6393F">
        <w:rPr>
          <w:rFonts w:eastAsia="Century Gothic" w:cs="Century Gothic"/>
          <w:position w:val="6"/>
          <w:sz w:val="16"/>
        </w:rPr>
        <w:t xml:space="preserve"> </w:t>
      </w:r>
      <w:r w:rsidRPr="00B6393F">
        <w:rPr>
          <w:rFonts w:eastAsia="Century Gothic" w:cs="Century Gothic"/>
        </w:rPr>
        <w:t xml:space="preserve">We </w:t>
      </w:r>
      <w:r w:rsidRPr="00B6393F" w:rsidR="00C90249">
        <w:rPr>
          <w:rFonts w:eastAsia="Century Gothic" w:cs="Century Gothic"/>
        </w:rPr>
        <w:t>consistent</w:t>
      </w:r>
      <w:r w:rsidRPr="00B6393F" w:rsidR="00C655D3">
        <w:rPr>
          <w:rFonts w:eastAsia="Century Gothic" w:cs="Century Gothic"/>
        </w:rPr>
        <w:t xml:space="preserve">ly </w:t>
      </w:r>
      <w:r w:rsidRPr="00B6393F">
        <w:rPr>
          <w:rFonts w:eastAsia="Century Gothic" w:cs="Century Gothic"/>
        </w:rPr>
        <w:t xml:space="preserve">found the scientific evidence presented in those proceedings was uncertain as to the possible health effects of EMFs, and we did not find it appropriate to adopt any related numerical standards. </w:t>
      </w:r>
      <w:r w:rsidRPr="00B6393F" w:rsidR="00847469">
        <w:t xml:space="preserve">The competing expert testimony </w:t>
      </w:r>
      <w:r w:rsidRPr="00B6393F" w:rsidR="00596D13">
        <w:t xml:space="preserve">presented by Horizon West and CURE </w:t>
      </w:r>
      <w:r w:rsidRPr="00B6393F" w:rsidR="00847469">
        <w:t xml:space="preserve">in this proceeding </w:t>
      </w:r>
      <w:r w:rsidRPr="00B6393F" w:rsidR="00197F00">
        <w:t>merely confirm</w:t>
      </w:r>
      <w:r w:rsidR="00871045">
        <w:t>s</w:t>
      </w:r>
      <w:r w:rsidRPr="00B6393F" w:rsidR="00197F00">
        <w:t xml:space="preserve"> th</w:t>
      </w:r>
      <w:r w:rsidRPr="00B6393F" w:rsidR="00C71519">
        <w:t>os</w:t>
      </w:r>
      <w:r w:rsidRPr="00B6393F" w:rsidR="00197F00">
        <w:t>e</w:t>
      </w:r>
      <w:r w:rsidRPr="00B6393F" w:rsidR="00BD5ABD">
        <w:t xml:space="preserve"> </w:t>
      </w:r>
      <w:r w:rsidRPr="00B6393F" w:rsidR="00646819">
        <w:t>un</w:t>
      </w:r>
      <w:r w:rsidRPr="00B6393F" w:rsidR="00935594">
        <w:t xml:space="preserve">certainties </w:t>
      </w:r>
      <w:r w:rsidRPr="00B6393F" w:rsidR="00646819">
        <w:t xml:space="preserve">within the </w:t>
      </w:r>
      <w:r w:rsidRPr="00B6393F" w:rsidR="00197F00">
        <w:t>scientific community</w:t>
      </w:r>
      <w:r w:rsidRPr="00B6393F" w:rsidR="00AF35D0">
        <w:t xml:space="preserve"> </w:t>
      </w:r>
      <w:r w:rsidRPr="00B6393F" w:rsidR="00310466">
        <w:t xml:space="preserve">on </w:t>
      </w:r>
      <w:r w:rsidRPr="00B6393F" w:rsidR="006D724C">
        <w:t>the possible health effects of EMFs</w:t>
      </w:r>
      <w:r w:rsidRPr="00B6393F" w:rsidR="00847469">
        <w:t>.</w:t>
      </w:r>
      <w:r w:rsidRPr="00B6393F" w:rsidR="002A33F1">
        <w:t xml:space="preserve"> </w:t>
      </w:r>
      <w:r w:rsidRPr="00B6393F">
        <w:rPr>
          <w:rFonts w:eastAsia="Century Gothic" w:cs="Century Gothic"/>
        </w:rPr>
        <w:t>Because there is no agreement among scientists that exposure to EMF</w:t>
      </w:r>
      <w:r w:rsidR="00871045">
        <w:rPr>
          <w:rFonts w:eastAsia="Century Gothic" w:cs="Century Gothic"/>
        </w:rPr>
        <w:t>s</w:t>
      </w:r>
      <w:r w:rsidRPr="00B6393F">
        <w:rPr>
          <w:rFonts w:eastAsia="Century Gothic" w:cs="Century Gothic"/>
        </w:rPr>
        <w:t xml:space="preserve"> creates any potential health risk, and because CEQA does not define or adopt any standards to address the potential health risk impacts of possible exposure to EMFs, the Commission does not consider </w:t>
      </w:r>
      <w:r w:rsidRPr="00B6393F" w:rsidR="009D383C">
        <w:rPr>
          <w:rFonts w:eastAsia="Century Gothic" w:cs="Century Gothic"/>
        </w:rPr>
        <w:t>EMF</w:t>
      </w:r>
      <w:r w:rsidR="00871045">
        <w:rPr>
          <w:rFonts w:eastAsia="Century Gothic" w:cs="Century Gothic"/>
        </w:rPr>
        <w:t>s</w:t>
      </w:r>
      <w:r w:rsidRPr="00B6393F">
        <w:rPr>
          <w:rFonts w:eastAsia="Century Gothic" w:cs="Century Gothic"/>
        </w:rPr>
        <w:t xml:space="preserve"> in the context of CEQA </w:t>
      </w:r>
      <w:r w:rsidRPr="00B6393F" w:rsidR="009D1695">
        <w:rPr>
          <w:rFonts w:eastAsia="Century Gothic" w:cs="Century Gothic"/>
        </w:rPr>
        <w:t>review</w:t>
      </w:r>
      <w:r w:rsidRPr="00B6393F">
        <w:rPr>
          <w:rFonts w:eastAsia="Century Gothic" w:cs="Century Gothic"/>
        </w:rPr>
        <w:t>.</w:t>
      </w:r>
      <w:r w:rsidRPr="00B6393F" w:rsidR="001351B8">
        <w:rPr>
          <w:rStyle w:val="FootnoteReference"/>
          <w:rFonts w:eastAsia="Century Gothic" w:cs="Century Gothic"/>
        </w:rPr>
        <w:footnoteReference w:id="118"/>
      </w:r>
      <w:r w:rsidRPr="00B6393F" w:rsidR="00C1502B">
        <w:rPr>
          <w:rFonts w:eastAsia="Century Gothic" w:cs="Century Gothic"/>
        </w:rPr>
        <w:t xml:space="preserve"> </w:t>
      </w:r>
    </w:p>
    <w:p w:rsidRPr="00B6393F" w:rsidR="00F958DE" w:rsidP="00831FAB" w:rsidRDefault="00EE2309" w14:paraId="3FED9EA2" w14:textId="79B0C9A2">
      <w:pPr>
        <w:pStyle w:val="Standard"/>
        <w:rPr>
          <w:position w:val="8"/>
          <w:sz w:val="14"/>
        </w:rPr>
      </w:pPr>
      <w:r w:rsidRPr="00B6393F">
        <w:lastRenderedPageBreak/>
        <w:t>N</w:t>
      </w:r>
      <w:r w:rsidRPr="00B6393F" w:rsidR="00C17BAB">
        <w:t xml:space="preserve">ote, </w:t>
      </w:r>
      <w:r w:rsidRPr="00B6393F" w:rsidR="00C1502B">
        <w:t>CURE</w:t>
      </w:r>
      <w:r w:rsidRPr="00B6393F" w:rsidR="00044C5B">
        <w:t xml:space="preserve"> </w:t>
      </w:r>
      <w:r w:rsidRPr="00B6393F" w:rsidR="00C17BAB">
        <w:t>also</w:t>
      </w:r>
      <w:r w:rsidRPr="00B6393F" w:rsidR="00C1502B">
        <w:t xml:space="preserve"> </w:t>
      </w:r>
      <w:r w:rsidRPr="00B6393F" w:rsidR="009014F7">
        <w:t xml:space="preserve">provided comments regarding </w:t>
      </w:r>
      <w:r w:rsidRPr="00B6393F" w:rsidR="00087B90">
        <w:t>it</w:t>
      </w:r>
      <w:r w:rsidRPr="00B6393F" w:rsidR="004D43B3">
        <w:t xml:space="preserve">s </w:t>
      </w:r>
      <w:r w:rsidRPr="00B6393F" w:rsidR="00245B36">
        <w:t xml:space="preserve">EMF objections </w:t>
      </w:r>
      <w:r w:rsidRPr="00B6393F" w:rsidR="00A502BA">
        <w:t>during</w:t>
      </w:r>
      <w:r w:rsidRPr="00B6393F" w:rsidR="00C1502B">
        <w:t xml:space="preserve"> the </w:t>
      </w:r>
      <w:r w:rsidRPr="00B6393F" w:rsidR="00A502BA">
        <w:t xml:space="preserve">CEQA </w:t>
      </w:r>
      <w:r w:rsidRPr="00B6393F" w:rsidR="00213251">
        <w:t>public comment process</w:t>
      </w:r>
      <w:r w:rsidRPr="00B6393F" w:rsidR="0020030D">
        <w:t xml:space="preserve"> for the Proposed Project</w:t>
      </w:r>
      <w:r w:rsidRPr="00B6393F" w:rsidR="0017533E">
        <w:t>,</w:t>
      </w:r>
      <w:hyperlink w:history="1" w:anchor="_bookmark124">
        <w:r w:rsidRPr="00B6393F" w:rsidR="00C1502B">
          <w:rPr>
            <w:position w:val="8"/>
            <w:sz w:val="14"/>
          </w:rPr>
          <w:t>109</w:t>
        </w:r>
      </w:hyperlink>
      <w:r w:rsidRPr="00B6393F" w:rsidR="00C1502B">
        <w:t xml:space="preserve"> </w:t>
      </w:r>
      <w:r w:rsidRPr="00B6393F" w:rsidR="00C920B4">
        <w:t>which</w:t>
      </w:r>
      <w:r w:rsidRPr="00B6393F" w:rsidR="00C1502B">
        <w:t xml:space="preserve"> the </w:t>
      </w:r>
      <w:r w:rsidR="0085793A">
        <w:t>FEIR</w:t>
      </w:r>
      <w:r w:rsidRPr="00B6393F" w:rsidR="00603327">
        <w:t xml:space="preserve"> </w:t>
      </w:r>
      <w:r w:rsidRPr="00B6393F" w:rsidR="008B358F">
        <w:t xml:space="preserve">addressed </w:t>
      </w:r>
      <w:r w:rsidRPr="00B6393F" w:rsidR="00603327">
        <w:t>corr</w:t>
      </w:r>
      <w:r w:rsidRPr="00B6393F" w:rsidR="008E644E">
        <w:t>ect</w:t>
      </w:r>
      <w:r w:rsidRPr="00B6393F" w:rsidR="00603327">
        <w:t xml:space="preserve">ly </w:t>
      </w:r>
      <w:r w:rsidRPr="00B6393F" w:rsidR="003A7B30">
        <w:t xml:space="preserve">by reiterating </w:t>
      </w:r>
      <w:r w:rsidRPr="00B6393F" w:rsidR="00C1502B">
        <w:t>that EMF</w:t>
      </w:r>
      <w:r w:rsidR="00871045">
        <w:t>s</w:t>
      </w:r>
      <w:r w:rsidRPr="00B6393F" w:rsidR="00C1502B">
        <w:t xml:space="preserve"> </w:t>
      </w:r>
      <w:r w:rsidR="00871045">
        <w:t>are</w:t>
      </w:r>
      <w:r w:rsidRPr="00B6393F" w:rsidR="00C1502B">
        <w:t xml:space="preserve"> not an environmental issue in the context of CEQA and that no further response is required.</w:t>
      </w:r>
      <w:hyperlink w:history="1" w:anchor="_bookmark125">
        <w:r w:rsidRPr="00B6393F" w:rsidR="00C1502B">
          <w:rPr>
            <w:position w:val="8"/>
            <w:sz w:val="14"/>
          </w:rPr>
          <w:t>110</w:t>
        </w:r>
      </w:hyperlink>
    </w:p>
    <w:p w:rsidRPr="00B6393F" w:rsidR="00C41922" w:rsidP="00831FAB" w:rsidRDefault="00075BE4" w14:paraId="73CF2039" w14:textId="73E03FB1">
      <w:pPr>
        <w:pStyle w:val="Standard"/>
        <w:rPr>
          <w:sz w:val="14"/>
        </w:rPr>
      </w:pPr>
      <w:r w:rsidRPr="00B6393F">
        <w:rPr>
          <w:rFonts w:eastAsia="Century Gothic" w:cs="Century Gothic"/>
        </w:rPr>
        <w:t xml:space="preserve">Separate from the CEQA </w:t>
      </w:r>
      <w:r w:rsidRPr="00B6393F" w:rsidR="00BD40D3">
        <w:rPr>
          <w:rFonts w:eastAsia="Century Gothic" w:cs="Century Gothic"/>
        </w:rPr>
        <w:t>public comment process</w:t>
      </w:r>
      <w:r w:rsidRPr="00B6393F" w:rsidR="008A2E75">
        <w:rPr>
          <w:rFonts w:eastAsia="Century Gothic" w:cs="Century Gothic"/>
        </w:rPr>
        <w:t xml:space="preserve"> and</w:t>
      </w:r>
      <w:r w:rsidRPr="00B6393F" w:rsidR="00506302">
        <w:rPr>
          <w:rFonts w:eastAsia="Century Gothic" w:cs="Century Gothic"/>
        </w:rPr>
        <w:t xml:space="preserve"> recognizing that public concern remains, </w:t>
      </w:r>
      <w:r w:rsidRPr="00B6393F" w:rsidR="00CA22B6">
        <w:rPr>
          <w:rFonts w:eastAsia="Century Gothic" w:cs="Century Gothic"/>
        </w:rPr>
        <w:t>i</w:t>
      </w:r>
      <w:r w:rsidRPr="00B6393F" w:rsidR="00727FE4">
        <w:t>n D</w:t>
      </w:r>
      <w:r w:rsidRPr="00B6393F" w:rsidR="00CA22B6">
        <w:t>.06-01-042</w:t>
      </w:r>
      <w:r w:rsidRPr="00B6393F" w:rsidR="006C2F92">
        <w:t xml:space="preserve">, </w:t>
      </w:r>
      <w:r w:rsidRPr="00B6393F" w:rsidR="00341347">
        <w:t>t</w:t>
      </w:r>
      <w:r w:rsidRPr="00B6393F" w:rsidR="00C41922">
        <w:t>he Commission adopted EMF policies (“EMF Policies”) that require utilities to consider “no-cost” and “low-cost” measures, where feasible, to reduce magnetic field exposure from new or upgraded utility facilities. The EMF Policies establish a benchmark of four</w:t>
      </w:r>
      <w:r w:rsidR="007C2969">
        <w:t> </w:t>
      </w:r>
      <w:r w:rsidRPr="00B6393F" w:rsidR="00C41922">
        <w:t>percent of total project costs to implement mitigation measures that achieve incremental magnetic field reductions of at least 15</w:t>
      </w:r>
      <w:r w:rsidR="007C2969">
        <w:t> </w:t>
      </w:r>
      <w:r w:rsidRPr="00B6393F" w:rsidR="00C41922">
        <w:t>percent at the edge of right-of-way</w:t>
      </w:r>
      <w:r w:rsidRPr="00B6393F" w:rsidR="005C2C62">
        <w:t>,</w:t>
      </w:r>
      <w:hyperlink w:history="1" w:anchor="_bookmark135">
        <w:r w:rsidRPr="00B6393F" w:rsidR="00C41922">
          <w:rPr>
            <w:position w:val="8"/>
            <w:sz w:val="14"/>
          </w:rPr>
          <w:t>119</w:t>
        </w:r>
      </w:hyperlink>
      <w:r w:rsidRPr="00B6393F" w:rsidR="00C41922">
        <w:t xml:space="preserve"> </w:t>
      </w:r>
      <w:r w:rsidRPr="00B6393F" w:rsidR="0096540C">
        <w:t xml:space="preserve">while </w:t>
      </w:r>
      <w:r w:rsidRPr="00B6393F" w:rsidR="004205BE">
        <w:t>allowing</w:t>
      </w:r>
      <w:r w:rsidRPr="00B6393F" w:rsidR="00C41922">
        <w:t xml:space="preserve"> “minor increases above the [four</w:t>
      </w:r>
      <w:r w:rsidR="007C2969">
        <w:t> </w:t>
      </w:r>
      <w:r w:rsidRPr="00B6393F" w:rsidR="00C41922">
        <w:t xml:space="preserve">percent] benchmark if justified under unique circumstances,” </w:t>
      </w:r>
      <w:r w:rsidRPr="00B6393F" w:rsidR="000F5463">
        <w:t xml:space="preserve">and </w:t>
      </w:r>
      <w:r w:rsidRPr="00B6393F" w:rsidR="00030461">
        <w:t xml:space="preserve">where </w:t>
      </w:r>
      <w:r w:rsidRPr="00B6393F" w:rsidR="00C41922">
        <w:t xml:space="preserve">total costs </w:t>
      </w:r>
      <w:r w:rsidRPr="00B6393F" w:rsidR="000B4CDD">
        <w:t>are</w:t>
      </w:r>
      <w:r w:rsidRPr="00B6393F" w:rsidR="00C41922">
        <w:t xml:space="preserve"> </w:t>
      </w:r>
      <w:r w:rsidRPr="00B6393F" w:rsidR="000B4CDD">
        <w:t>“</w:t>
      </w:r>
      <w:r w:rsidRPr="00B6393F" w:rsidR="00C41922">
        <w:t>relatively low.”</w:t>
      </w:r>
      <w:r w:rsidRPr="00B6393F" w:rsidR="00890130">
        <w:rPr>
          <w:rStyle w:val="FootnoteReference"/>
        </w:rPr>
        <w:footnoteReference w:id="119"/>
      </w:r>
      <w:r w:rsidRPr="00B6393F" w:rsidR="00890130">
        <w:rPr>
          <w:sz w:val="14"/>
        </w:rPr>
        <w:t xml:space="preserve"> </w:t>
      </w:r>
    </w:p>
    <w:p w:rsidR="00C41922" w:rsidP="00831FAB" w:rsidRDefault="00240693" w14:paraId="6C142B48" w14:textId="503B1A18">
      <w:pPr>
        <w:pStyle w:val="Standard"/>
      </w:pPr>
      <w:r w:rsidRPr="00B6393F">
        <w:t>Here, t</w:t>
      </w:r>
      <w:r w:rsidRPr="00B6393F" w:rsidR="00C41922">
        <w:t xml:space="preserve">he Applicants evaluated no-cost and low-cost EMF mitigation measures and designed the </w:t>
      </w:r>
      <w:r w:rsidR="00DC3490">
        <w:t>Proposed</w:t>
      </w:r>
      <w:r w:rsidRPr="00B6393F" w:rsidR="00DC3490">
        <w:t xml:space="preserve"> </w:t>
      </w:r>
      <w:r w:rsidRPr="00B6393F" w:rsidR="00C41922">
        <w:t xml:space="preserve">Project in compliance with the Commission’s EMF Policies. For the substation portion of the </w:t>
      </w:r>
      <w:r w:rsidRPr="00B6393F" w:rsidR="00650A0F">
        <w:t xml:space="preserve">Proposed </w:t>
      </w:r>
      <w:r w:rsidRPr="00B6393F" w:rsidR="00C41922">
        <w:t xml:space="preserve">Project, the applicable EMF mitigation measures are listed in the table in </w:t>
      </w:r>
      <w:r w:rsidR="004B645B">
        <w:t>Section </w:t>
      </w:r>
      <w:r w:rsidR="00C41922">
        <w:t xml:space="preserve">IV of the </w:t>
      </w:r>
      <w:bookmarkStart w:name="_Hlk160708267" w:id="260"/>
      <w:r w:rsidR="00C41922">
        <w:t>EMF Field Management Plan</w:t>
      </w:r>
      <w:bookmarkEnd w:id="260"/>
      <w:r w:rsidR="006811B4">
        <w:t>,</w:t>
      </w:r>
      <w:r w:rsidR="00660D74">
        <w:rPr>
          <w:rStyle w:val="FootnoteReference"/>
        </w:rPr>
        <w:footnoteReference w:id="120"/>
      </w:r>
      <w:r w:rsidRPr="00973F30" w:rsidR="00C41922">
        <w:t xml:space="preserve"> </w:t>
      </w:r>
      <w:r w:rsidR="00C41922">
        <w:t xml:space="preserve">of </w:t>
      </w:r>
      <w:r w:rsidR="0084211A">
        <w:t>which t</w:t>
      </w:r>
      <w:r w:rsidRPr="00CC5E9E" w:rsidR="00C41922">
        <w:t>he</w:t>
      </w:r>
      <w:r w:rsidR="00C41922">
        <w:t xml:space="preserve"> potential no-cost and low-cost magnetic field reduction measures available for the substation are:</w:t>
      </w:r>
    </w:p>
    <w:p w:rsidRPr="00973F30" w:rsidR="00C41922" w:rsidP="009652C8" w:rsidRDefault="00C41922" w14:paraId="5CCD5DAB" w14:textId="77777777">
      <w:pPr>
        <w:pStyle w:val="ListBullet"/>
        <w:ind w:left="1080"/>
      </w:pPr>
      <w:r w:rsidRPr="00973F30">
        <w:t>Keep high current devices, transformers, capacitors, and reactors away from the substation property lines;</w:t>
      </w:r>
    </w:p>
    <w:p w:rsidRPr="00973F30" w:rsidR="00C41922" w:rsidP="009652C8" w:rsidRDefault="00C41922" w14:paraId="4D8F5458" w14:textId="77777777">
      <w:pPr>
        <w:pStyle w:val="ListBullet"/>
        <w:ind w:left="1080"/>
      </w:pPr>
      <w:r w:rsidRPr="00973F30">
        <w:lastRenderedPageBreak/>
        <w:t>For underground duct banks, the minimum distance should be 12 feet from the adjacent property lines or as close to 12 feet as practical;</w:t>
      </w:r>
    </w:p>
    <w:p w:rsidRPr="00973F30" w:rsidR="00C41922" w:rsidP="009652C8" w:rsidRDefault="00C41922" w14:paraId="0EA38B0A" w14:textId="77777777">
      <w:pPr>
        <w:pStyle w:val="ListBullet"/>
        <w:ind w:left="1080"/>
      </w:pPr>
      <w:r w:rsidRPr="00973F30">
        <w:t xml:space="preserve">Locate new substations close to existing power lines to the extent </w:t>
      </w:r>
      <w:r w:rsidRPr="009652C8">
        <w:t>practical</w:t>
      </w:r>
      <w:r w:rsidRPr="00973F30">
        <w:t>; and</w:t>
      </w:r>
    </w:p>
    <w:p w:rsidRPr="00973F30" w:rsidR="00C41922" w:rsidP="009652C8" w:rsidRDefault="00C41922" w14:paraId="421B5A9B" w14:textId="77777777">
      <w:pPr>
        <w:pStyle w:val="ListBullet"/>
        <w:ind w:left="1080"/>
      </w:pPr>
      <w:bookmarkStart w:name="_bookmark134" w:id="261"/>
      <w:bookmarkStart w:name="_bookmark135" w:id="262"/>
      <w:bookmarkStart w:name="_bookmark136" w:id="263"/>
      <w:bookmarkEnd w:id="261"/>
      <w:bookmarkEnd w:id="262"/>
      <w:bookmarkEnd w:id="263"/>
      <w:r w:rsidRPr="00973F30">
        <w:t>Increase the substation property boundary to the extent practical.</w:t>
      </w:r>
    </w:p>
    <w:p w:rsidRPr="00973F30" w:rsidR="00C41922" w:rsidP="009652C8" w:rsidRDefault="00C41922" w14:paraId="0F3726D2" w14:textId="1DCB8A7E">
      <w:pPr>
        <w:pStyle w:val="Standard"/>
        <w:spacing w:before="240"/>
        <w:rPr>
          <w:szCs w:val="26"/>
        </w:rPr>
      </w:pPr>
      <w:r w:rsidRPr="00831FAB">
        <w:t>All</w:t>
      </w:r>
      <w:r w:rsidRPr="00973F30">
        <w:rPr>
          <w:szCs w:val="26"/>
        </w:rPr>
        <w:t xml:space="preserve"> of these </w:t>
      </w:r>
      <w:r w:rsidR="003406F1">
        <w:rPr>
          <w:szCs w:val="26"/>
        </w:rPr>
        <w:t>no-cost and low-cost</w:t>
      </w:r>
      <w:r>
        <w:rPr>
          <w:szCs w:val="26"/>
        </w:rPr>
        <w:t xml:space="preserve"> </w:t>
      </w:r>
      <w:r w:rsidRPr="00973F30">
        <w:rPr>
          <w:szCs w:val="26"/>
        </w:rPr>
        <w:t xml:space="preserve">measures were adopted into the design of the substation portion of the </w:t>
      </w:r>
      <w:r w:rsidRPr="00973F30" w:rsidR="00706704">
        <w:rPr>
          <w:szCs w:val="26"/>
        </w:rPr>
        <w:t xml:space="preserve">Proposed </w:t>
      </w:r>
      <w:r w:rsidRPr="00973F30">
        <w:rPr>
          <w:szCs w:val="26"/>
        </w:rPr>
        <w:t>Project.</w:t>
      </w:r>
      <w:r w:rsidR="00447803">
        <w:rPr>
          <w:rStyle w:val="FootnoteReference"/>
          <w:szCs w:val="26"/>
        </w:rPr>
        <w:footnoteReference w:id="121"/>
      </w:r>
      <w:r w:rsidR="00447803">
        <w:rPr>
          <w:szCs w:val="26"/>
        </w:rPr>
        <w:t xml:space="preserve"> </w:t>
      </w:r>
      <w:r w:rsidRPr="00973F30">
        <w:rPr>
          <w:szCs w:val="26"/>
        </w:rPr>
        <w:t>These measures incorporate all substation measures identified in the Commission’s EMF Design Guidelines for Electrical Facilities.</w:t>
      </w:r>
      <w:r w:rsidRPr="006502B6" w:rsidR="006502B6">
        <w:rPr>
          <w:szCs w:val="26"/>
        </w:rPr>
        <w:t xml:space="preserve"> </w:t>
      </w:r>
    </w:p>
    <w:p w:rsidR="00C41922" w:rsidP="00831FAB" w:rsidRDefault="00C41922" w14:paraId="51D8EEC0" w14:textId="77777777">
      <w:pPr>
        <w:pStyle w:val="Standard"/>
      </w:pPr>
      <w:r>
        <w:t>Horizon West also designed the Estrella Substation to be consistent with industry standards and clearance requirements.</w:t>
      </w:r>
      <w:r w:rsidRPr="00973F30">
        <w:t xml:space="preserve"> </w:t>
      </w:r>
      <w:r>
        <w:t>The design provides for controlled access to the substation facilities to keep the public at safe distances.</w:t>
      </w:r>
      <w:r w:rsidRPr="00973F30">
        <w:t xml:space="preserve"> </w:t>
      </w:r>
      <w:r>
        <w:t>The Estrella Substation is designed to:</w:t>
      </w:r>
    </w:p>
    <w:p w:rsidRPr="00973F30" w:rsidR="00C41922" w:rsidP="009652C8" w:rsidRDefault="00C41922" w14:paraId="0A4C18E4" w14:textId="77777777">
      <w:pPr>
        <w:pStyle w:val="ListBullet"/>
        <w:ind w:left="1080"/>
      </w:pPr>
      <w:r w:rsidRPr="00973F30">
        <w:t>Minimize bus phase spacing while maintaining electrical clearances;</w:t>
      </w:r>
    </w:p>
    <w:p w:rsidRPr="00973F30" w:rsidR="00C41922" w:rsidP="009652C8" w:rsidRDefault="00C41922" w14:paraId="24638DD7" w14:textId="77777777">
      <w:pPr>
        <w:pStyle w:val="ListBullet"/>
        <w:ind w:left="1080"/>
        <w:rPr>
          <w:szCs w:val="26"/>
        </w:rPr>
      </w:pPr>
      <w:r w:rsidRPr="00973F30">
        <w:rPr>
          <w:szCs w:val="26"/>
        </w:rPr>
        <w:t>Increase bus heights while maintaining design aesthetics; and</w:t>
      </w:r>
    </w:p>
    <w:p w:rsidRPr="00973F30" w:rsidR="00C41922" w:rsidP="009652C8" w:rsidRDefault="00C41922" w14:paraId="1A452EA0" w14:textId="550A36A8">
      <w:pPr>
        <w:pStyle w:val="ListBullet"/>
        <w:ind w:left="1080"/>
        <w:rPr>
          <w:szCs w:val="26"/>
        </w:rPr>
      </w:pPr>
      <w:r w:rsidRPr="00973F30">
        <w:rPr>
          <w:szCs w:val="26"/>
        </w:rPr>
        <w:t xml:space="preserve">Use large circular diameter conductors for rigid bus and </w:t>
      </w:r>
      <w:r w:rsidRPr="009652C8">
        <w:t>jumpers</w:t>
      </w:r>
      <w:r w:rsidRPr="00973F30">
        <w:rPr>
          <w:szCs w:val="26"/>
        </w:rPr>
        <w:t>.</w:t>
      </w:r>
      <w:r w:rsidRPr="00973F30" w:rsidR="006502B6">
        <w:rPr>
          <w:rStyle w:val="FootnoteReference"/>
          <w:szCs w:val="26"/>
        </w:rPr>
        <w:footnoteReference w:id="122"/>
      </w:r>
      <w:r w:rsidRPr="006502B6" w:rsidR="006502B6">
        <w:rPr>
          <w:szCs w:val="26"/>
        </w:rPr>
        <w:t xml:space="preserve"> </w:t>
      </w:r>
    </w:p>
    <w:p w:rsidR="00C41922" w:rsidP="009652C8" w:rsidRDefault="00C41922" w14:paraId="0FD6A934" w14:textId="60124734">
      <w:pPr>
        <w:pStyle w:val="Standard"/>
        <w:spacing w:before="240"/>
      </w:pPr>
      <w:r>
        <w:t xml:space="preserve">PG&amp;E also designed its portion of the </w:t>
      </w:r>
      <w:r w:rsidR="00951BC3">
        <w:t>Proposed</w:t>
      </w:r>
      <w:r>
        <w:t xml:space="preserve"> Project in compliance with the Commission’s</w:t>
      </w:r>
      <w:r w:rsidRPr="00973F30">
        <w:t xml:space="preserve"> </w:t>
      </w:r>
      <w:r>
        <w:t>EMF Policies.</w:t>
      </w:r>
      <w:r w:rsidRPr="00973F30">
        <w:t xml:space="preserve"> </w:t>
      </w:r>
      <w:r>
        <w:t>PG&amp;E prepared a Revised EMF Field Management Plan for Alternative</w:t>
      </w:r>
      <w:r w:rsidRPr="00973F30">
        <w:t xml:space="preserve"> </w:t>
      </w:r>
      <w:r>
        <w:t xml:space="preserve">PLR-1A (the environmentally superior </w:t>
      </w:r>
      <w:r>
        <w:lastRenderedPageBreak/>
        <w:t>alternative) (“Revised PLR-1A Field Management Plan”).</w:t>
      </w:r>
      <w:r w:rsidR="006502B6">
        <w:rPr>
          <w:rStyle w:val="FootnoteReference"/>
        </w:rPr>
        <w:footnoteReference w:id="123"/>
      </w:r>
      <w:r w:rsidRPr="00973F30">
        <w:rPr>
          <w:position w:val="8"/>
          <w:sz w:val="14"/>
        </w:rPr>
        <w:t xml:space="preserve"> </w:t>
      </w:r>
      <w:r>
        <w:t xml:space="preserve">The Revised PLR-1A Field Management Plan identifies the no-cost and low-cost measures that are incorporated into PG&amp;E’s portion of the </w:t>
      </w:r>
      <w:r w:rsidR="001720A4">
        <w:t xml:space="preserve">Proposed </w:t>
      </w:r>
      <w:r>
        <w:t>Project.</w:t>
      </w:r>
      <w:r w:rsidRPr="00973F30">
        <w:t xml:space="preserve"> </w:t>
      </w:r>
      <w:r w:rsidR="006502B6">
        <w:t>Th</w:t>
      </w:r>
      <w:r>
        <w:t>ese measures comply with the Commission’s EMF Policies</w:t>
      </w:r>
      <w:r w:rsidR="00E76DB6">
        <w:t>.</w:t>
      </w:r>
      <w:bookmarkStart w:name="_bookmark137" w:id="264"/>
      <w:bookmarkStart w:name="_bookmark138" w:id="265"/>
      <w:bookmarkStart w:name="_bookmark139" w:id="266"/>
      <w:bookmarkStart w:name="_bookmark140" w:id="267"/>
      <w:bookmarkStart w:name="_bookmark141" w:id="268"/>
      <w:bookmarkStart w:name="_bookmark142" w:id="269"/>
      <w:bookmarkEnd w:id="264"/>
      <w:bookmarkEnd w:id="265"/>
      <w:bookmarkEnd w:id="266"/>
      <w:bookmarkEnd w:id="267"/>
      <w:bookmarkEnd w:id="268"/>
      <w:bookmarkEnd w:id="269"/>
    </w:p>
    <w:p w:rsidR="00C41922" w:rsidP="00831FAB" w:rsidRDefault="00C41922" w14:paraId="3925DECC" w14:textId="5B63D35A">
      <w:pPr>
        <w:pStyle w:val="Standard"/>
      </w:pPr>
      <w:r>
        <w:t>Th</w:t>
      </w:r>
      <w:r w:rsidR="00E76DB6">
        <w:t>e</w:t>
      </w:r>
      <w:r>
        <w:t xml:space="preserve"> evidence </w:t>
      </w:r>
      <w:r w:rsidR="000E1FB9">
        <w:t>here</w:t>
      </w:r>
      <w:r>
        <w:t xml:space="preserve"> shows that “the total reduction in modeled magnetic field strength at the </w:t>
      </w:r>
      <w:r w:rsidR="00F2661E">
        <w:t>right-of-way</w:t>
      </w:r>
      <w:r>
        <w:t xml:space="preserve"> edge achieved along the new 10.5 mile double-circuit 70</w:t>
      </w:r>
      <w:r w:rsidR="00DC5A1D">
        <w:t> kV</w:t>
      </w:r>
      <w:r>
        <w:t xml:space="preserve"> line by implementing “no- cost” and “low cost” measures is 73.8</w:t>
      </w:r>
      <w:r w:rsidR="00127C05">
        <w:t> </w:t>
      </w:r>
      <w:r w:rsidR="00DA6FAE">
        <w:t>[</w:t>
      </w:r>
      <w:proofErr w:type="spellStart"/>
      <w:r w:rsidR="0050537F">
        <w:t>m</w:t>
      </w:r>
      <w:r w:rsidRPr="0050537F" w:rsidR="0050537F">
        <w:t>illi</w:t>
      </w:r>
      <w:r w:rsidR="00785183">
        <w:t>G</w:t>
      </w:r>
      <w:r w:rsidRPr="0050537F" w:rsidR="0050537F">
        <w:t>auss</w:t>
      </w:r>
      <w:proofErr w:type="spellEnd"/>
      <w:r w:rsidR="00785183">
        <w:t xml:space="preserve"> (</w:t>
      </w:r>
      <w:proofErr w:type="spellStart"/>
      <w:r w:rsidR="00785183">
        <w:t>mG</w:t>
      </w:r>
      <w:proofErr w:type="spellEnd"/>
      <w:r w:rsidR="00785183">
        <w:t>)</w:t>
      </w:r>
      <w:r w:rsidR="00567492">
        <w:t>]</w:t>
      </w:r>
      <w:r w:rsidRPr="00D07E95">
        <w:t>,”</w:t>
      </w:r>
      <w:r>
        <w:t xml:space="preserve"> and “[c]</w:t>
      </w:r>
      <w:proofErr w:type="spellStart"/>
      <w:r>
        <w:t>ompared</w:t>
      </w:r>
      <w:proofErr w:type="spellEnd"/>
      <w:r>
        <w:t xml:space="preserve"> to the modeled base case field strength of 94.1</w:t>
      </w:r>
      <w:r w:rsidRPr="00973F30">
        <w:t xml:space="preserve"> </w:t>
      </w:r>
      <w:proofErr w:type="spellStart"/>
      <w:r w:rsidRPr="00785183">
        <w:t>mG</w:t>
      </w:r>
      <w:proofErr w:type="spellEnd"/>
      <w:r>
        <w:t xml:space="preserve"> without optimal phasing and conductors at the minimum clearance height, implementing both measures results in a reduction of magnetic field strength at the </w:t>
      </w:r>
      <w:r w:rsidR="005D038D">
        <w:t>right-of-way</w:t>
      </w:r>
      <w:r w:rsidR="00BD67D9">
        <w:t xml:space="preserve"> </w:t>
      </w:r>
      <w:r>
        <w:t>boundary of 78.4</w:t>
      </w:r>
      <w:r w:rsidR="007C2969">
        <w:t> percent</w:t>
      </w:r>
      <w:r>
        <w:t>, which is well above the 15</w:t>
      </w:r>
      <w:r w:rsidR="002273BE">
        <w:t xml:space="preserve"> percent </w:t>
      </w:r>
      <w:r>
        <w:t>reduction standard in the CPUC’s EMF Policy.”</w:t>
      </w:r>
      <w:r w:rsidR="006614D3">
        <w:rPr>
          <w:rStyle w:val="FootnoteReference"/>
        </w:rPr>
        <w:footnoteReference w:id="124"/>
      </w:r>
      <w:r w:rsidRPr="00973F30">
        <w:t xml:space="preserve"> </w:t>
      </w:r>
      <w:r>
        <w:t>Similar</w:t>
      </w:r>
      <w:r w:rsidRPr="00973F30">
        <w:t xml:space="preserve"> </w:t>
      </w:r>
      <w:r>
        <w:t>analysis and modeling is provided which shows that the</w:t>
      </w:r>
      <w:r w:rsidRPr="00973F30">
        <w:t xml:space="preserve"> </w:t>
      </w:r>
      <w:r>
        <w:t xml:space="preserve">no-cost and low-cost measures implemented for reconductoring of the existing power line segment would reduce magnetic field strength at the western and eastern edges of the </w:t>
      </w:r>
      <w:r w:rsidR="00AF54CD">
        <w:t>right-of-way</w:t>
      </w:r>
      <w:r>
        <w:t xml:space="preserve"> by 28.6</w:t>
      </w:r>
      <w:r w:rsidR="007C2969">
        <w:t xml:space="preserve"> percent </w:t>
      </w:r>
      <w:r>
        <w:t>and 28.5</w:t>
      </w:r>
      <w:r w:rsidR="007C2969">
        <w:t xml:space="preserve"> percent </w:t>
      </w:r>
      <w:r>
        <w:t>respectively.</w:t>
      </w:r>
      <w:r w:rsidR="00A97DEC">
        <w:rPr>
          <w:rStyle w:val="FootnoteReference"/>
        </w:rPr>
        <w:footnoteReference w:id="125"/>
      </w:r>
      <w:r w:rsidR="00CA09B7">
        <w:t xml:space="preserve"> </w:t>
      </w:r>
    </w:p>
    <w:p w:rsidR="00C41922" w:rsidP="00831FAB" w:rsidRDefault="00C41922" w14:paraId="28E9BD58" w14:textId="3FE1B9AB">
      <w:pPr>
        <w:pStyle w:val="Standard"/>
      </w:pPr>
      <w:r>
        <w:t xml:space="preserve">This evidence shows that the measures incorporated into the </w:t>
      </w:r>
      <w:r w:rsidR="002B1D17">
        <w:t xml:space="preserve">Proposed </w:t>
      </w:r>
      <w:r>
        <w:t>Project design for the new</w:t>
      </w:r>
      <w:r w:rsidRPr="00973F30">
        <w:t xml:space="preserve"> </w:t>
      </w:r>
      <w:r>
        <w:t>70</w:t>
      </w:r>
      <w:r w:rsidR="00DC5A1D">
        <w:t> kV</w:t>
      </w:r>
      <w:r>
        <w:t xml:space="preserve"> power line and for the reconductoring of the existing 70</w:t>
      </w:r>
      <w:r w:rsidR="00DC5A1D">
        <w:t> kV</w:t>
      </w:r>
      <w:r>
        <w:t xml:space="preserve"> power line will reduce magnetic field strength by 78.4</w:t>
      </w:r>
      <w:r w:rsidR="007C2969">
        <w:t> </w:t>
      </w:r>
      <w:r>
        <w:t>percent, and by between 28.6 and 28.5</w:t>
      </w:r>
      <w:r w:rsidR="007C2969">
        <w:t> </w:t>
      </w:r>
      <w:r>
        <w:t>percent, respectively. These incremental reductions are well above the 15</w:t>
      </w:r>
      <w:r w:rsidR="007C2969">
        <w:t> </w:t>
      </w:r>
      <w:r>
        <w:t xml:space="preserve">percent reduction standard in the EMF </w:t>
      </w:r>
      <w:r w:rsidRPr="00973F30">
        <w:t>Policies.</w:t>
      </w:r>
      <w:r w:rsidR="002B1D17">
        <w:t xml:space="preserve"> </w:t>
      </w:r>
    </w:p>
    <w:p w:rsidR="00B847B9" w:rsidP="00831FAB" w:rsidRDefault="00E04355" w14:paraId="1C67D659" w14:textId="7FE4F530">
      <w:pPr>
        <w:pStyle w:val="Standard"/>
      </w:pPr>
      <w:r>
        <w:lastRenderedPageBreak/>
        <w:t>While CURE argued and provided testimony</w:t>
      </w:r>
      <w:r w:rsidR="00C41922">
        <w:t xml:space="preserve"> that undergrounding the 70</w:t>
      </w:r>
      <w:r w:rsidR="00DC5A1D">
        <w:t> kV</w:t>
      </w:r>
      <w:r w:rsidR="00C41922">
        <w:t xml:space="preserve"> power line will reduce EMF impacts in order for the </w:t>
      </w:r>
      <w:r w:rsidR="00337E26">
        <w:t xml:space="preserve">Proposed </w:t>
      </w:r>
      <w:r w:rsidR="00C41922">
        <w:t>Project to comply with D.06-01-042’s threshold recommendation of 15</w:t>
      </w:r>
      <w:r w:rsidR="007C2969">
        <w:t> </w:t>
      </w:r>
      <w:r w:rsidR="00C41922">
        <w:t xml:space="preserve">percent EMF reduction at the utility </w:t>
      </w:r>
      <w:r w:rsidR="00337E26">
        <w:t>right-of-way,</w:t>
      </w:r>
      <w:hyperlink w:history="1" w:anchor="_bookmark149">
        <w:r w:rsidR="00C41922">
          <w:rPr>
            <w:position w:val="8"/>
            <w:sz w:val="14"/>
          </w:rPr>
          <w:t>132</w:t>
        </w:r>
      </w:hyperlink>
      <w:r w:rsidRPr="00973F30" w:rsidR="00AE07C7">
        <w:rPr>
          <w:position w:val="8"/>
          <w:sz w:val="14"/>
        </w:rPr>
        <w:t xml:space="preserve"> </w:t>
      </w:r>
      <w:r w:rsidR="00AE07C7">
        <w:t xml:space="preserve">we are not persuaded </w:t>
      </w:r>
      <w:r w:rsidR="005A40A5">
        <w:t xml:space="preserve">that </w:t>
      </w:r>
      <w:r w:rsidR="00B847B9">
        <w:t>undergrounding</w:t>
      </w:r>
      <w:r w:rsidR="00C41922">
        <w:t xml:space="preserve"> the 70</w:t>
      </w:r>
      <w:r w:rsidR="00DC5A1D">
        <w:t> kV</w:t>
      </w:r>
      <w:r w:rsidR="00C41922">
        <w:t xml:space="preserve"> line is necessary to comply with D.06-01-042 because the no-cost and low-cost measures that PG&amp;E has incorporated into the </w:t>
      </w:r>
      <w:r w:rsidR="00D829FD">
        <w:t xml:space="preserve">Proposed </w:t>
      </w:r>
      <w:r w:rsidR="00C41922">
        <w:t>Project design will reduce EMF</w:t>
      </w:r>
      <w:r w:rsidR="00D829FD">
        <w:t>s</w:t>
      </w:r>
      <w:r w:rsidR="00C41922">
        <w:t xml:space="preserve"> by more than the 15</w:t>
      </w:r>
      <w:r w:rsidR="007C2969">
        <w:t> </w:t>
      </w:r>
      <w:r w:rsidR="00C41922">
        <w:t>percent threshold identified in D.06-01-042</w:t>
      </w:r>
      <w:r w:rsidR="00B847B9">
        <w:t>, as discussed above</w:t>
      </w:r>
      <w:r w:rsidR="00C41922">
        <w:t>.</w:t>
      </w:r>
      <w:r w:rsidRPr="00973F30" w:rsidR="00C41922">
        <w:t xml:space="preserve"> </w:t>
      </w:r>
    </w:p>
    <w:p w:rsidR="00C41922" w:rsidP="00831FAB" w:rsidRDefault="00B847B9" w14:paraId="607BA129" w14:textId="7DFBD5ED">
      <w:pPr>
        <w:pStyle w:val="Standard"/>
        <w:rPr>
          <w:sz w:val="14"/>
        </w:rPr>
      </w:pPr>
      <w:r>
        <w:t>Furthermore,</w:t>
      </w:r>
      <w:r w:rsidR="00FC667D">
        <w:t xml:space="preserve"> CURE</w:t>
      </w:r>
      <w:r w:rsidR="00D829FD">
        <w:t>’s</w:t>
      </w:r>
      <w:r w:rsidR="008B353A">
        <w:t xml:space="preserve"> claims that</w:t>
      </w:r>
      <w:r w:rsidR="00C41922">
        <w:t xml:space="preserve"> undergrounding the 70</w:t>
      </w:r>
      <w:r w:rsidR="00DC5A1D">
        <w:t> kV</w:t>
      </w:r>
      <w:r w:rsidR="00C41922">
        <w:t xml:space="preserve"> power line, and adding shielding to the underground design, could qualify as a potential “low-cost” measure, defined as four</w:t>
      </w:r>
      <w:r w:rsidR="007C2969">
        <w:t> </w:t>
      </w:r>
      <w:r w:rsidR="00C41922">
        <w:t>percent of total project cost,</w:t>
      </w:r>
      <w:hyperlink w:history="1" w:anchor="_bookmark150">
        <w:r w:rsidR="00C41922">
          <w:rPr>
            <w:position w:val="8"/>
            <w:sz w:val="14"/>
          </w:rPr>
          <w:t>133</w:t>
        </w:r>
      </w:hyperlink>
      <w:r w:rsidRPr="00973F30" w:rsidR="00C41922">
        <w:rPr>
          <w:position w:val="8"/>
          <w:sz w:val="14"/>
        </w:rPr>
        <w:t xml:space="preserve"> </w:t>
      </w:r>
      <w:r w:rsidR="00D829FD">
        <w:t>are</w:t>
      </w:r>
      <w:r w:rsidR="005E36D6">
        <w:t xml:space="preserve"> </w:t>
      </w:r>
      <w:r w:rsidR="00305559">
        <w:t>not persuasive.</w:t>
      </w:r>
      <w:r w:rsidRPr="00973F30" w:rsidR="00C41922">
        <w:t xml:space="preserve"> </w:t>
      </w:r>
      <w:r w:rsidR="00C41922">
        <w:t xml:space="preserve">The testimony </w:t>
      </w:r>
      <w:r w:rsidR="007D112B">
        <w:t>by</w:t>
      </w:r>
      <w:r w:rsidR="00550046">
        <w:t xml:space="preserve"> a</w:t>
      </w:r>
      <w:r w:rsidR="00C41922">
        <w:t xml:space="preserve"> PG&amp;E </w:t>
      </w:r>
      <w:r w:rsidR="00550046">
        <w:t>witness</w:t>
      </w:r>
      <w:r w:rsidR="00C41922">
        <w:t xml:space="preserve"> shows that the costs to underground the double-circuit 70</w:t>
      </w:r>
      <w:r w:rsidR="00DC5A1D">
        <w:t> kV</w:t>
      </w:r>
      <w:r w:rsidR="00C41922">
        <w:t xml:space="preserve"> transmission line in Alternative</w:t>
      </w:r>
      <w:r w:rsidRPr="00973F30" w:rsidR="00C41922">
        <w:t xml:space="preserve"> </w:t>
      </w:r>
      <w:r w:rsidR="00C41922">
        <w:t xml:space="preserve">PLR-1A “far exceed the Commission’s EMF Design Policy threshold guideline of </w:t>
      </w:r>
      <w:r w:rsidR="007C2969">
        <w:t>four </w:t>
      </w:r>
      <w:r w:rsidR="002273BE">
        <w:t xml:space="preserve">percent </w:t>
      </w:r>
      <w:r w:rsidR="00C41922">
        <w:t>of total project cost,” and confirms that he is “not aware of any projects in the PG&amp;E system where complete undergrounding of transmission lines has been found to be a viable no-cost or low-cost EMF mitigation.”</w:t>
      </w:r>
      <w:r w:rsidR="00E56763">
        <w:rPr>
          <w:rStyle w:val="FootnoteReference"/>
        </w:rPr>
        <w:footnoteReference w:id="126"/>
      </w:r>
      <w:bookmarkStart w:name="_bookmark149" w:id="270"/>
      <w:bookmarkStart w:name="_bookmark150" w:id="271"/>
      <w:bookmarkStart w:name="_bookmark151" w:id="272"/>
      <w:bookmarkEnd w:id="270"/>
      <w:bookmarkEnd w:id="271"/>
      <w:bookmarkEnd w:id="272"/>
      <w:r w:rsidRPr="00973F30" w:rsidR="00C41922">
        <w:rPr>
          <w:position w:val="8"/>
          <w:sz w:val="14"/>
        </w:rPr>
        <w:t xml:space="preserve"> </w:t>
      </w:r>
      <w:r w:rsidR="00C41922">
        <w:t>As is noted in Footnote</w:t>
      </w:r>
      <w:r w:rsidRPr="00973F30" w:rsidR="00C41922">
        <w:t xml:space="preserve"> </w:t>
      </w:r>
      <w:r w:rsidR="00C41922">
        <w:t xml:space="preserve">2 of the </w:t>
      </w:r>
      <w:r w:rsidR="0085793A">
        <w:t>FEIR</w:t>
      </w:r>
      <w:r w:rsidR="00C41922">
        <w:t xml:space="preserve">’s Table 5-3, a double-circuit underground transmission line, which is proposed for the environmentally superior alternative, will likely result in significantly higher costs, well above the $17,705,000 estimated in the </w:t>
      </w:r>
      <w:r w:rsidR="0085793A">
        <w:t>FEIR</w:t>
      </w:r>
      <w:r w:rsidR="00C41922">
        <w:t>.</w:t>
      </w:r>
      <w:r w:rsidRPr="00973F30" w:rsidR="00C41922">
        <w:t xml:space="preserve"> </w:t>
      </w:r>
      <w:r w:rsidR="00C41922">
        <w:t>PG&amp;E’s</w:t>
      </w:r>
      <w:r w:rsidRPr="00973F30" w:rsidR="00C41922">
        <w:t xml:space="preserve"> </w:t>
      </w:r>
      <w:r w:rsidR="00C41922">
        <w:t>underground</w:t>
      </w:r>
      <w:r w:rsidRPr="00973F30" w:rsidR="00C41922">
        <w:t xml:space="preserve"> </w:t>
      </w:r>
      <w:r w:rsidR="00C41922">
        <w:t>transmission</w:t>
      </w:r>
      <w:r w:rsidRPr="00973F30" w:rsidR="00C41922">
        <w:t xml:space="preserve"> </w:t>
      </w:r>
      <w:r w:rsidR="00C41922">
        <w:t>design</w:t>
      </w:r>
      <w:r w:rsidRPr="00973F30" w:rsidR="00C41922">
        <w:t xml:space="preserve"> </w:t>
      </w:r>
      <w:r w:rsidR="00C41922">
        <w:t>standard</w:t>
      </w:r>
      <w:r w:rsidRPr="00973F30" w:rsidR="00C41922">
        <w:t xml:space="preserve"> </w:t>
      </w:r>
      <w:r w:rsidR="00C41922">
        <w:t>requires</w:t>
      </w:r>
      <w:r w:rsidRPr="00973F30" w:rsidR="00C41922">
        <w:t xml:space="preserve"> </w:t>
      </w:r>
      <w:r w:rsidR="00C41922">
        <w:t>lines</w:t>
      </w:r>
      <w:r w:rsidRPr="00973F30" w:rsidR="00C41922">
        <w:t xml:space="preserve"> </w:t>
      </w:r>
      <w:r w:rsidR="00C41922">
        <w:t>to</w:t>
      </w:r>
      <w:r w:rsidRPr="00973F30" w:rsidR="00C41922">
        <w:t xml:space="preserve"> </w:t>
      </w:r>
      <w:r w:rsidR="00C41922">
        <w:t>be</w:t>
      </w:r>
      <w:r w:rsidRPr="00973F30" w:rsidR="00C41922">
        <w:t xml:space="preserve"> </w:t>
      </w:r>
      <w:r w:rsidR="00C41922">
        <w:t>placed</w:t>
      </w:r>
      <w:r w:rsidRPr="00973F30" w:rsidR="00C41922">
        <w:t xml:space="preserve"> </w:t>
      </w:r>
      <w:r w:rsidR="00C41922">
        <w:t>in concrete-encased duct banks in all environments (urban, suburban, rural) to improve public and coworker safety as well as improve asset longevity and cable access.</w:t>
      </w:r>
      <w:r w:rsidRPr="00973F30" w:rsidR="00C41922">
        <w:t xml:space="preserve"> </w:t>
      </w:r>
      <w:r w:rsidR="00C41922">
        <w:t xml:space="preserve">Because of this standard, </w:t>
      </w:r>
      <w:r w:rsidR="00C41922">
        <w:lastRenderedPageBreak/>
        <w:t xml:space="preserve">typical PG&amp;E costs for new underground transmission lines </w:t>
      </w:r>
      <w:r w:rsidR="002273BE">
        <w:t>m</w:t>
      </w:r>
      <w:r w:rsidR="00325E91">
        <w:t>ay</w:t>
      </w:r>
      <w:r w:rsidR="002273BE">
        <w:t xml:space="preserve"> </w:t>
      </w:r>
      <w:r w:rsidR="00C41922">
        <w:t xml:space="preserve">exceed the costs of other utilities and developers who </w:t>
      </w:r>
      <w:r w:rsidR="002273BE">
        <w:t>m</w:t>
      </w:r>
      <w:r w:rsidR="00325E91">
        <w:t>ay</w:t>
      </w:r>
      <w:r w:rsidR="002273BE">
        <w:t xml:space="preserve"> </w:t>
      </w:r>
      <w:r w:rsidR="00C41922">
        <w:t>direct-bury transmission cables.</w:t>
      </w:r>
      <w:r w:rsidR="00717C9A">
        <w:rPr>
          <w:rStyle w:val="FootnoteReference"/>
        </w:rPr>
        <w:footnoteReference w:id="127"/>
      </w:r>
    </w:p>
    <w:p w:rsidR="00C41922" w:rsidP="00831FAB" w:rsidRDefault="006814EF" w14:paraId="01E28BD9" w14:textId="4E959F62">
      <w:pPr>
        <w:pStyle w:val="Standard"/>
      </w:pPr>
      <w:r>
        <w:t>T</w:t>
      </w:r>
      <w:r w:rsidR="00C63FA6">
        <w:t xml:space="preserve">he estimated cost increase </w:t>
      </w:r>
      <w:r w:rsidR="00717C9A">
        <w:t>t</w:t>
      </w:r>
      <w:r>
        <w:t xml:space="preserve">o underground </w:t>
      </w:r>
      <w:r w:rsidR="00C41922">
        <w:t>the new transmission lines proposed as Alternative</w:t>
      </w:r>
      <w:r w:rsidRPr="00973F30" w:rsidR="00C41922">
        <w:t xml:space="preserve"> </w:t>
      </w:r>
      <w:r w:rsidR="00C41922">
        <w:t>PLR-1A</w:t>
      </w:r>
      <w:r w:rsidR="00717C9A">
        <w:t xml:space="preserve"> is</w:t>
      </w:r>
      <w:r w:rsidRPr="00973F30" w:rsidR="00C41922">
        <w:t xml:space="preserve"> </w:t>
      </w:r>
      <w:r w:rsidR="00C41922">
        <w:t>$154,318,500</w:t>
      </w:r>
      <w:r w:rsidR="00717C9A">
        <w:t>,</w:t>
      </w:r>
      <w:r w:rsidRPr="00973F30" w:rsidR="00C41922">
        <w:t xml:space="preserve"> </w:t>
      </w:r>
      <w:r w:rsidR="00C41922">
        <w:t>which</w:t>
      </w:r>
      <w:r w:rsidRPr="00973F30" w:rsidR="00C41922">
        <w:t xml:space="preserve"> </w:t>
      </w:r>
      <w:r w:rsidR="00C41922">
        <w:t>is</w:t>
      </w:r>
      <w:r w:rsidRPr="00973F30" w:rsidR="00C41922">
        <w:t xml:space="preserve"> </w:t>
      </w:r>
      <w:r w:rsidR="00C41922">
        <w:t>147</w:t>
      </w:r>
      <w:r w:rsidR="007C2969">
        <w:t> </w:t>
      </w:r>
      <w:r w:rsidR="00C41922">
        <w:t>percent of the estimated project cost of $105,000,000, which far exceeds the four</w:t>
      </w:r>
      <w:r w:rsidR="007C2969">
        <w:t> </w:t>
      </w:r>
      <w:r w:rsidR="00C41922">
        <w:t>percent benchmark in the</w:t>
      </w:r>
      <w:r w:rsidRPr="00973F30" w:rsidR="00C41922">
        <w:t xml:space="preserve"> </w:t>
      </w:r>
      <w:r w:rsidR="00C41922">
        <w:t>EMF</w:t>
      </w:r>
      <w:r w:rsidRPr="00973F30" w:rsidR="00C41922">
        <w:t xml:space="preserve"> </w:t>
      </w:r>
      <w:r w:rsidR="00C41922">
        <w:t>Policies.</w:t>
      </w:r>
      <w:r w:rsidRPr="00973F30" w:rsidR="00C41922">
        <w:t xml:space="preserve"> </w:t>
      </w:r>
      <w:r w:rsidR="00C41922">
        <w:t>The</w:t>
      </w:r>
      <w:r w:rsidRPr="00973F30" w:rsidR="00C41922">
        <w:t xml:space="preserve"> </w:t>
      </w:r>
      <w:r w:rsidR="00C41922">
        <w:t>increase</w:t>
      </w:r>
      <w:r w:rsidRPr="00973F30" w:rsidR="00C41922">
        <w:t xml:space="preserve"> </w:t>
      </w:r>
      <w:r w:rsidR="00C41922">
        <w:t>in costs to underground the</w:t>
      </w:r>
      <w:r w:rsidRPr="00973F30" w:rsidR="00C41922">
        <w:t xml:space="preserve"> </w:t>
      </w:r>
      <w:r w:rsidR="00C41922">
        <w:t>proposed transmission lines is $14,697,000 per mile, or $17,705,000 per mile for new underground lines minus the avoided cost for the installation of new overhead lines of $3,008,000 per mile.</w:t>
      </w:r>
      <w:r w:rsidRPr="00973F30" w:rsidR="00C41922">
        <w:t xml:space="preserve"> </w:t>
      </w:r>
      <w:r w:rsidR="00C41922">
        <w:t>The distance of the proposed new transmission lines for Alternative</w:t>
      </w:r>
      <w:r w:rsidRPr="00973F30" w:rsidR="00C41922">
        <w:t xml:space="preserve"> </w:t>
      </w:r>
      <w:r w:rsidR="00C41922">
        <w:t>PLR-1A is 10.5 miles, resulting in a total cost increase for undergrounding of $154,318,500.</w:t>
      </w:r>
      <w:r w:rsidRPr="00973F30" w:rsidR="00C41922">
        <w:t xml:space="preserve"> </w:t>
      </w:r>
      <w:r w:rsidR="00C41922">
        <w:t>If the additional six</w:t>
      </w:r>
      <w:r w:rsidR="00DC5A1D">
        <w:t xml:space="preserve"> miles </w:t>
      </w:r>
      <w:r w:rsidR="00C41922">
        <w:t>of existing overhead</w:t>
      </w:r>
      <w:r w:rsidRPr="00973F30" w:rsidR="00C41922">
        <w:t xml:space="preserve"> </w:t>
      </w:r>
      <w:r w:rsidR="00C41922">
        <w:t>transmission</w:t>
      </w:r>
      <w:r w:rsidRPr="00973F30" w:rsidR="00C41922">
        <w:t xml:space="preserve"> </w:t>
      </w:r>
      <w:r w:rsidR="00C41922">
        <w:t>lines</w:t>
      </w:r>
      <w:r w:rsidRPr="00973F30" w:rsidR="00C41922">
        <w:t xml:space="preserve"> </w:t>
      </w:r>
      <w:r w:rsidR="00C41922">
        <w:t>proposed</w:t>
      </w:r>
      <w:r w:rsidRPr="00973F30" w:rsidR="00C41922">
        <w:t xml:space="preserve"> </w:t>
      </w:r>
      <w:r w:rsidR="00C41922">
        <w:t>for</w:t>
      </w:r>
      <w:r w:rsidRPr="00973F30" w:rsidR="00C41922">
        <w:t xml:space="preserve"> </w:t>
      </w:r>
      <w:r w:rsidR="00C41922">
        <w:t>reconductoring</w:t>
      </w:r>
      <w:r w:rsidRPr="00973F30" w:rsidR="00C41922">
        <w:t xml:space="preserve"> </w:t>
      </w:r>
      <w:r w:rsidR="00C41922">
        <w:t>are</w:t>
      </w:r>
      <w:r w:rsidRPr="00973F30" w:rsidR="00C41922">
        <w:t xml:space="preserve"> </w:t>
      </w:r>
      <w:r w:rsidR="00C41922">
        <w:t>also</w:t>
      </w:r>
      <w:r w:rsidRPr="00973F30" w:rsidR="00C41922">
        <w:t xml:space="preserve"> </w:t>
      </w:r>
      <w:r w:rsidR="00C41922">
        <w:t>included in</w:t>
      </w:r>
      <w:r w:rsidRPr="00973F30" w:rsidR="00C41922">
        <w:t xml:space="preserve"> </w:t>
      </w:r>
      <w:r w:rsidR="00C41922">
        <w:t>the</w:t>
      </w:r>
      <w:r w:rsidRPr="00973F30" w:rsidR="00C41922">
        <w:t xml:space="preserve"> </w:t>
      </w:r>
      <w:r w:rsidR="00C41922">
        <w:t>undergrounding estimate, the total cost increase rises to $250,120,500 which is 238</w:t>
      </w:r>
      <w:r w:rsidR="007C2969">
        <w:t> </w:t>
      </w:r>
      <w:r w:rsidR="00C41922">
        <w:t>percent of the project cost.</w:t>
      </w:r>
      <w:r w:rsidR="00717C9A">
        <w:rPr>
          <w:rStyle w:val="FootnoteReference"/>
        </w:rPr>
        <w:footnoteReference w:id="128"/>
      </w:r>
      <w:r w:rsidRPr="00973F30" w:rsidR="00C41922">
        <w:rPr>
          <w:position w:val="8"/>
          <w:sz w:val="14"/>
        </w:rPr>
        <w:t xml:space="preserve"> </w:t>
      </w:r>
      <w:r w:rsidR="00C41922">
        <w:t>This is far in excess of the Commission’s four</w:t>
      </w:r>
      <w:r w:rsidR="007C2969">
        <w:t> </w:t>
      </w:r>
      <w:r w:rsidR="00C41922">
        <w:t>percent cost threshold.</w:t>
      </w:r>
    </w:p>
    <w:p w:rsidR="00C41922" w:rsidP="00831FAB" w:rsidRDefault="00C41922" w14:paraId="6B1BB129" w14:textId="107D3BA6">
      <w:pPr>
        <w:pStyle w:val="Standard"/>
      </w:pPr>
      <w:r>
        <w:t>Mr. Wallis also explains that the cost-per-mile estimate cited by Dr. Clark does not accurately</w:t>
      </w:r>
      <w:r w:rsidRPr="00973F30">
        <w:t xml:space="preserve"> </w:t>
      </w:r>
      <w:r>
        <w:t>represent</w:t>
      </w:r>
      <w:r w:rsidRPr="00973F30">
        <w:t xml:space="preserve"> </w:t>
      </w:r>
      <w:r>
        <w:t>the</w:t>
      </w:r>
      <w:r w:rsidRPr="00973F30">
        <w:t xml:space="preserve"> </w:t>
      </w:r>
      <w:r>
        <w:t>estimated</w:t>
      </w:r>
      <w:r w:rsidRPr="00973F30">
        <w:t xml:space="preserve"> </w:t>
      </w:r>
      <w:r>
        <w:t>costs</w:t>
      </w:r>
      <w:r w:rsidRPr="00973F30">
        <w:t xml:space="preserve"> </w:t>
      </w:r>
      <w:r>
        <w:t>for</w:t>
      </w:r>
      <w:r w:rsidRPr="00973F30">
        <w:t xml:space="preserve"> </w:t>
      </w:r>
      <w:r>
        <w:t>undergrounding</w:t>
      </w:r>
      <w:r w:rsidRPr="00973F30">
        <w:t xml:space="preserve"> </w:t>
      </w:r>
      <w:r>
        <w:t>the</w:t>
      </w:r>
      <w:r w:rsidRPr="00973F30">
        <w:t xml:space="preserve"> </w:t>
      </w:r>
      <w:r>
        <w:t>Project’s</w:t>
      </w:r>
      <w:r w:rsidRPr="00973F30">
        <w:t xml:space="preserve"> </w:t>
      </w:r>
      <w:r>
        <w:t>70</w:t>
      </w:r>
      <w:r w:rsidR="00DC5A1D">
        <w:t> kV</w:t>
      </w:r>
      <w:r w:rsidRPr="00973F30">
        <w:t xml:space="preserve"> </w:t>
      </w:r>
      <w:r>
        <w:t>power</w:t>
      </w:r>
      <w:r w:rsidRPr="00973F30">
        <w:t xml:space="preserve"> </w:t>
      </w:r>
      <w:r>
        <w:t>lines.</w:t>
      </w:r>
      <w:r w:rsidRPr="00973F30">
        <w:t xml:space="preserve"> </w:t>
      </w:r>
      <w:r>
        <w:t>Mr. Wallis</w:t>
      </w:r>
      <w:r w:rsidRPr="00973F30">
        <w:t xml:space="preserve"> </w:t>
      </w:r>
      <w:r>
        <w:t>explains</w:t>
      </w:r>
      <w:r w:rsidRPr="00973F30">
        <w:t xml:space="preserve"> </w:t>
      </w:r>
      <w:r>
        <w:t>that</w:t>
      </w:r>
      <w:r w:rsidRPr="00973F30">
        <w:t xml:space="preserve"> </w:t>
      </w:r>
      <w:r>
        <w:t>Dr.</w:t>
      </w:r>
      <w:r w:rsidRPr="00973F30">
        <w:t xml:space="preserve"> </w:t>
      </w:r>
      <w:r>
        <w:t>Clark</w:t>
      </w:r>
      <w:r w:rsidRPr="00973F30">
        <w:t xml:space="preserve"> </w:t>
      </w:r>
      <w:r>
        <w:t>erroneously</w:t>
      </w:r>
      <w:r w:rsidRPr="00973F30">
        <w:t xml:space="preserve"> </w:t>
      </w:r>
      <w:r>
        <w:t>cites</w:t>
      </w:r>
      <w:r w:rsidRPr="00973F30">
        <w:t xml:space="preserve"> </w:t>
      </w:r>
      <w:r>
        <w:t>a</w:t>
      </w:r>
      <w:r w:rsidRPr="00973F30">
        <w:t xml:space="preserve"> </w:t>
      </w:r>
      <w:r>
        <w:t>cost-per</w:t>
      </w:r>
      <w:r w:rsidRPr="00973F30">
        <w:t xml:space="preserve"> </w:t>
      </w:r>
      <w:r>
        <w:t>mile</w:t>
      </w:r>
      <w:r w:rsidRPr="00973F30">
        <w:t xml:space="preserve"> </w:t>
      </w:r>
      <w:r>
        <w:t>for</w:t>
      </w:r>
      <w:r w:rsidRPr="00973F30">
        <w:t xml:space="preserve"> </w:t>
      </w:r>
      <w:r>
        <w:t>undergrounding</w:t>
      </w:r>
      <w:r w:rsidRPr="00973F30">
        <w:t xml:space="preserve"> </w:t>
      </w:r>
      <w:r>
        <w:t>published</w:t>
      </w:r>
      <w:r w:rsidRPr="00973F30">
        <w:t xml:space="preserve"> by</w:t>
      </w:r>
    </w:p>
    <w:p w:rsidR="00C41922" w:rsidP="00831FAB" w:rsidRDefault="00C41922" w14:paraId="0F4AB361" w14:textId="7FB2669E">
      <w:pPr>
        <w:pStyle w:val="Standard"/>
      </w:pPr>
      <w:bookmarkStart w:name="_bookmark152" w:id="273"/>
      <w:bookmarkStart w:name="_bookmark153" w:id="274"/>
      <w:bookmarkEnd w:id="273"/>
      <w:bookmarkEnd w:id="274"/>
      <w:r>
        <w:t>Horizon West, but that project only undergrounded a 0.5-mile section, resulting in a per-mile</w:t>
      </w:r>
      <w:r w:rsidRPr="00973F30">
        <w:t xml:space="preserve"> </w:t>
      </w:r>
      <w:r>
        <w:t>cost of $8,855,010.</w:t>
      </w:r>
      <w:r w:rsidRPr="00973F30">
        <w:t xml:space="preserve"> </w:t>
      </w:r>
      <w:r>
        <w:t>Even using this lower estimate results in a total undergrounding cost</w:t>
      </w:r>
      <w:r w:rsidRPr="00973F30">
        <w:t xml:space="preserve"> </w:t>
      </w:r>
      <w:r>
        <w:t>increase of $61,393,605, which is 58</w:t>
      </w:r>
      <w:r w:rsidR="007C2969">
        <w:t> </w:t>
      </w:r>
      <w:r>
        <w:t xml:space="preserve">percent of </w:t>
      </w:r>
      <w:r>
        <w:lastRenderedPageBreak/>
        <w:t>total project costs and well above the Commission’s four</w:t>
      </w:r>
      <w:r w:rsidR="007C2969">
        <w:t> </w:t>
      </w:r>
      <w:r>
        <w:t>percent guideline</w:t>
      </w:r>
      <w:r w:rsidRPr="00D07E95">
        <w:t>.</w:t>
      </w:r>
      <w:r w:rsidRPr="00D07E95" w:rsidR="00D07E95">
        <w:rPr>
          <w:rStyle w:val="FootnoteReference"/>
        </w:rPr>
        <w:footnoteReference w:id="129"/>
      </w:r>
      <w:r w:rsidRPr="00973F30">
        <w:rPr>
          <w:position w:val="8"/>
          <w:sz w:val="14"/>
        </w:rPr>
        <w:t xml:space="preserve"> </w:t>
      </w:r>
      <w:r>
        <w:t>Horizon West’s witness Mr.</w:t>
      </w:r>
      <w:r w:rsidR="002273BE">
        <w:t> </w:t>
      </w:r>
      <w:r>
        <w:t>Mayers confirmed that the Horizon</w:t>
      </w:r>
      <w:r w:rsidRPr="00973F30">
        <w:t xml:space="preserve"> </w:t>
      </w:r>
      <w:r>
        <w:t>West</w:t>
      </w:r>
      <w:r w:rsidRPr="00973F30">
        <w:t xml:space="preserve"> </w:t>
      </w:r>
      <w:r>
        <w:t>undergrounding</w:t>
      </w:r>
      <w:r w:rsidRPr="00973F30">
        <w:t xml:space="preserve"> </w:t>
      </w:r>
      <w:r>
        <w:t>project</w:t>
      </w:r>
      <w:r w:rsidRPr="00973F30">
        <w:t xml:space="preserve"> </w:t>
      </w:r>
      <w:r>
        <w:t>referenced</w:t>
      </w:r>
      <w:r w:rsidRPr="00973F30">
        <w:t xml:space="preserve"> </w:t>
      </w:r>
      <w:r>
        <w:t>by</w:t>
      </w:r>
      <w:r w:rsidRPr="00973F30">
        <w:t xml:space="preserve"> </w:t>
      </w:r>
      <w:r>
        <w:t>Dr.</w:t>
      </w:r>
      <w:r w:rsidRPr="00973F30">
        <w:t xml:space="preserve"> </w:t>
      </w:r>
      <w:r>
        <w:t>Clark</w:t>
      </w:r>
      <w:r w:rsidRPr="00973F30">
        <w:t xml:space="preserve"> </w:t>
      </w:r>
      <w:r>
        <w:t>had</w:t>
      </w:r>
      <w:r w:rsidRPr="00973F30">
        <w:t xml:space="preserve"> </w:t>
      </w:r>
      <w:r>
        <w:t>a</w:t>
      </w:r>
      <w:r w:rsidRPr="00973F30">
        <w:t xml:space="preserve"> </w:t>
      </w:r>
      <w:r>
        <w:t>cost</w:t>
      </w:r>
      <w:r w:rsidRPr="00973F30">
        <w:t xml:space="preserve"> </w:t>
      </w:r>
      <w:r>
        <w:t>of</w:t>
      </w:r>
      <w:r w:rsidRPr="00973F30">
        <w:t xml:space="preserve"> </w:t>
      </w:r>
      <w:r>
        <w:t>$4,427,550</w:t>
      </w:r>
      <w:r w:rsidRPr="00973F30">
        <w:t xml:space="preserve"> for</w:t>
      </w:r>
      <w:r w:rsidRPr="00973F30" w:rsidR="00377B93">
        <w:t xml:space="preserve"> </w:t>
      </w:r>
      <w:r>
        <w:t>0.5</w:t>
      </w:r>
      <w:r w:rsidR="007C2969">
        <w:t> </w:t>
      </w:r>
      <w:r>
        <w:t xml:space="preserve">mile (resulting in an $8,855,010 per mile cost, as pointed out by Mr. Wallis), but explained that this is a poor proxy for costs to underground PG&amp;E’s facilities as part of the </w:t>
      </w:r>
      <w:r w:rsidR="009459CF">
        <w:t xml:space="preserve">Proposed </w:t>
      </w:r>
      <w:r>
        <w:t>Project:</w:t>
      </w:r>
    </w:p>
    <w:p w:rsidR="00C41922" w:rsidP="009652C8" w:rsidRDefault="00C41922" w14:paraId="3FD04942" w14:textId="5B69B971">
      <w:pPr>
        <w:pStyle w:val="BlockQuote"/>
        <w:rPr>
          <w:sz w:val="14"/>
        </w:rPr>
      </w:pPr>
      <w:r>
        <w:t>The costs of the 0.5-mile section of 230</w:t>
      </w:r>
      <w:r w:rsidR="00DC5A1D">
        <w:t> kV</w:t>
      </w:r>
      <w:r>
        <w:t xml:space="preserve"> line that Horizon West undergrounded in 2021 were established several years ago at this point and, in general, material, equipment, and labor costs have increased</w:t>
      </w:r>
      <w:r w:rsidRPr="00973F30">
        <w:t xml:space="preserve"> </w:t>
      </w:r>
      <w:r>
        <w:t>significantly</w:t>
      </w:r>
      <w:r w:rsidRPr="00973F30">
        <w:t xml:space="preserve"> </w:t>
      </w:r>
      <w:r>
        <w:t>since</w:t>
      </w:r>
      <w:r w:rsidRPr="00973F30">
        <w:t xml:space="preserve"> </w:t>
      </w:r>
      <w:r>
        <w:t>that</w:t>
      </w:r>
      <w:r w:rsidRPr="00973F30">
        <w:t xml:space="preserve"> </w:t>
      </w:r>
      <w:r>
        <w:t>time.</w:t>
      </w:r>
      <w:r w:rsidRPr="00973F30">
        <w:t xml:space="preserve"> </w:t>
      </w:r>
      <w:r>
        <w:t>Further,</w:t>
      </w:r>
      <w:r w:rsidRPr="00973F30">
        <w:t xml:space="preserve"> </w:t>
      </w:r>
      <w:r>
        <w:t>the</w:t>
      </w:r>
      <w:r w:rsidRPr="00973F30">
        <w:t xml:space="preserve"> </w:t>
      </w:r>
      <w:r>
        <w:t>section</w:t>
      </w:r>
      <w:r w:rsidRPr="00973F30">
        <w:t xml:space="preserve"> </w:t>
      </w:r>
      <w:r>
        <w:t>of 230</w:t>
      </w:r>
      <w:r w:rsidR="00DC5A1D">
        <w:t> kV</w:t>
      </w:r>
      <w:r>
        <w:t xml:space="preserve"> line that Horizon West undergrounded was a straight single-circuit transmission line in a two foot by three foot concrete duct bank that ran under a private, gated road owned by one landowner (San Diego Gas &amp; Electric Company) with no daily traffic concerns, limited in-ground encumbrances to work around like pipelines, telecommunications, water, sewer or other electric facilities and sufficient property to safely work, store</w:t>
      </w:r>
      <w:r w:rsidRPr="00973F30">
        <w:t xml:space="preserve"> </w:t>
      </w:r>
      <w:r>
        <w:t>materials and set up for all construction activities.</w:t>
      </w:r>
      <w:r w:rsidRPr="00973F30">
        <w:t xml:space="preserve"> </w:t>
      </w:r>
      <w:r>
        <w:t>This is unlikely to be the case for the double-circuit 70</w:t>
      </w:r>
      <w:r w:rsidR="00DC5A1D">
        <w:t> kV</w:t>
      </w:r>
      <w:r>
        <w:t xml:space="preserve"> transmission lines that PG&amp;E</w:t>
      </w:r>
      <w:r w:rsidRPr="00973F30">
        <w:t xml:space="preserve"> </w:t>
      </w:r>
      <w:r>
        <w:t xml:space="preserve">proposes to construct as part of the </w:t>
      </w:r>
      <w:r w:rsidR="00EC70B3">
        <w:t>[Proposed]</w:t>
      </w:r>
      <w:r>
        <w:t xml:space="preserve"> Project</w:t>
      </w:r>
      <w:r w:rsidRPr="00D07E95">
        <w:t>.</w:t>
      </w:r>
      <w:r w:rsidRPr="00D07E95" w:rsidR="00D07E95">
        <w:rPr>
          <w:rStyle w:val="FootnoteReference"/>
        </w:rPr>
        <w:footnoteReference w:id="130"/>
      </w:r>
      <w:r w:rsidRPr="00D07E95" w:rsidR="00D07E95">
        <w:rPr>
          <w:sz w:val="14"/>
        </w:rPr>
        <w:t xml:space="preserve"> </w:t>
      </w:r>
    </w:p>
    <w:p w:rsidRPr="00C41922" w:rsidR="00C41922" w:rsidP="009652C8" w:rsidRDefault="00377B93" w14:paraId="56FF660C" w14:textId="3EEE1B78">
      <w:pPr>
        <w:pStyle w:val="Standard"/>
        <w:spacing w:before="240"/>
      </w:pPr>
      <w:r w:rsidRPr="00377B93">
        <w:t>As discussed above</w:t>
      </w:r>
      <w:r w:rsidRPr="00377B93" w:rsidR="00C41922">
        <w:t>,</w:t>
      </w:r>
      <w:r w:rsidR="00C41922">
        <w:t xml:space="preserve"> </w:t>
      </w:r>
      <w:r w:rsidR="00D07E95">
        <w:t xml:space="preserve">CURE’s </w:t>
      </w:r>
      <w:r w:rsidR="00C77DFF">
        <w:t>proposal to</w:t>
      </w:r>
      <w:r w:rsidRPr="00973F30">
        <w:t xml:space="preserve"> </w:t>
      </w:r>
      <w:r w:rsidRPr="00D07E95" w:rsidR="00C41922">
        <w:t>underground</w:t>
      </w:r>
      <w:r w:rsidRPr="00973F30" w:rsidR="00C41922">
        <w:t xml:space="preserve"> </w:t>
      </w:r>
      <w:r w:rsidR="00C41922">
        <w:t>the</w:t>
      </w:r>
      <w:r w:rsidRPr="00973F30" w:rsidR="00C41922">
        <w:t xml:space="preserve"> </w:t>
      </w:r>
      <w:r w:rsidR="00C41922">
        <w:t>70</w:t>
      </w:r>
      <w:r w:rsidR="00DC5A1D">
        <w:t> kV</w:t>
      </w:r>
      <w:r w:rsidRPr="00973F30" w:rsidR="00C41922">
        <w:t xml:space="preserve"> </w:t>
      </w:r>
      <w:r w:rsidR="00C41922">
        <w:t>transmission</w:t>
      </w:r>
      <w:r w:rsidRPr="00973F30" w:rsidR="00C41922">
        <w:t xml:space="preserve"> </w:t>
      </w:r>
      <w:r w:rsidR="00C41922">
        <w:t>line</w:t>
      </w:r>
      <w:r w:rsidRPr="00973F30" w:rsidR="00C41922">
        <w:t xml:space="preserve"> </w:t>
      </w:r>
      <w:r w:rsidR="00C41922">
        <w:t>is</w:t>
      </w:r>
      <w:r w:rsidRPr="00973F30" w:rsidR="00C41922">
        <w:t xml:space="preserve"> </w:t>
      </w:r>
      <w:r w:rsidR="00C41922">
        <w:t>not</w:t>
      </w:r>
      <w:r w:rsidRPr="00973F30" w:rsidR="00C41922">
        <w:t xml:space="preserve"> </w:t>
      </w:r>
      <w:r w:rsidR="00C41922">
        <w:t>a</w:t>
      </w:r>
      <w:r w:rsidRPr="00973F30" w:rsidR="00C41922">
        <w:t xml:space="preserve"> </w:t>
      </w:r>
      <w:r w:rsidR="00C41922">
        <w:t>low-cost mitigation measure for EMFs.</w:t>
      </w:r>
    </w:p>
    <w:p w:rsidR="00FA1B4F" w:rsidP="00FA1B4F" w:rsidRDefault="005939A5" w14:paraId="49F387CF" w14:textId="1EA622C4">
      <w:pPr>
        <w:pStyle w:val="Heading1"/>
      </w:pPr>
      <w:bookmarkStart w:name="_Toc160479847" w:id="275"/>
      <w:bookmarkStart w:name="_Toc160490930" w:id="276"/>
      <w:bookmarkStart w:name="_Toc160479848" w:id="277"/>
      <w:bookmarkStart w:name="_Toc160490931" w:id="278"/>
      <w:bookmarkStart w:name="_Toc160479849" w:id="279"/>
      <w:bookmarkStart w:name="_Toc160490932" w:id="280"/>
      <w:bookmarkStart w:name="_Toc160479850" w:id="281"/>
      <w:bookmarkStart w:name="_Toc160490933" w:id="282"/>
      <w:bookmarkStart w:name="_Toc164685430" w:id="283"/>
      <w:bookmarkEnd w:id="275"/>
      <w:bookmarkEnd w:id="276"/>
      <w:bookmarkEnd w:id="277"/>
      <w:bookmarkEnd w:id="278"/>
      <w:bookmarkEnd w:id="279"/>
      <w:bookmarkEnd w:id="280"/>
      <w:bookmarkEnd w:id="281"/>
      <w:bookmarkEnd w:id="282"/>
      <w:r>
        <w:t>Conclusion</w:t>
      </w:r>
      <w:bookmarkEnd w:id="249"/>
      <w:bookmarkEnd w:id="283"/>
    </w:p>
    <w:p w:rsidR="008E11C4" w:rsidP="00343E5C" w:rsidRDefault="00F25FC9" w14:paraId="3232F303" w14:textId="59E7CCC7">
      <w:pPr>
        <w:pStyle w:val="Standard"/>
      </w:pPr>
      <w:r>
        <w:t>Applicants</w:t>
      </w:r>
      <w:r w:rsidR="003F2928">
        <w:t xml:space="preserve"> are granted PTCs to construct the</w:t>
      </w:r>
      <w:r w:rsidR="002329F5">
        <w:t xml:space="preserve">ir respective components of the </w:t>
      </w:r>
      <w:r w:rsidR="009C7418">
        <w:t xml:space="preserve">Proposed </w:t>
      </w:r>
      <w:r w:rsidR="003F2928">
        <w:t xml:space="preserve">Project, </w:t>
      </w:r>
      <w:r w:rsidR="002329F5">
        <w:t xml:space="preserve">as configured as the environmentally superior alternative, Alternative Combination #2, </w:t>
      </w:r>
      <w:r w:rsidR="003F2928">
        <w:t>with the mitigation</w:t>
      </w:r>
      <w:r w:rsidR="002329F5">
        <w:t xml:space="preserve"> measures</w:t>
      </w:r>
      <w:r w:rsidR="003F2928">
        <w:t xml:space="preserve"> identified in the Mitigation Monitoring </w:t>
      </w:r>
      <w:r w:rsidR="002329F5">
        <w:t xml:space="preserve">and </w:t>
      </w:r>
      <w:r w:rsidR="003F2928">
        <w:t>Reporting Plan</w:t>
      </w:r>
      <w:r w:rsidR="009C7418">
        <w:t xml:space="preserve"> (MMRP)</w:t>
      </w:r>
      <w:r w:rsidR="002329F5">
        <w:t>,</w:t>
      </w:r>
      <w:r w:rsidR="009C7418">
        <w:t xml:space="preserve"> </w:t>
      </w:r>
      <w:r w:rsidR="003F2928">
        <w:t xml:space="preserve">attached as </w:t>
      </w:r>
      <w:r w:rsidR="00E4136C">
        <w:t xml:space="preserve">Attachment </w:t>
      </w:r>
      <w:r w:rsidR="003F2928">
        <w:t>A</w:t>
      </w:r>
      <w:r w:rsidR="009C7418">
        <w:t xml:space="preserve"> to this decision. </w:t>
      </w:r>
    </w:p>
    <w:p w:rsidR="00E8227A" w:rsidP="00343E5C" w:rsidRDefault="0029355F" w14:paraId="1AA1D653" w14:textId="32314829">
      <w:pPr>
        <w:pStyle w:val="Standard"/>
      </w:pPr>
      <w:r>
        <w:lastRenderedPageBreak/>
        <w:t>In doing so, we</w:t>
      </w:r>
      <w:r w:rsidRPr="00A515CA" w:rsidR="00A515CA">
        <w:t xml:space="preserve"> </w:t>
      </w:r>
      <w:r w:rsidR="0019174B">
        <w:t xml:space="preserve">carefully reviewed </w:t>
      </w:r>
      <w:r w:rsidR="00F749ED">
        <w:t xml:space="preserve">and considered </w:t>
      </w:r>
      <w:r w:rsidR="0019174B">
        <w:t xml:space="preserve">the FEIR and </w:t>
      </w:r>
      <w:r w:rsidRPr="00A515CA" w:rsidR="00A515CA">
        <w:t>conclude that the environmentally superior alternative identified in the FEIR is Alternat</w:t>
      </w:r>
      <w:r w:rsidR="00D25E1C">
        <w:t>iv</w:t>
      </w:r>
      <w:r w:rsidRPr="00A515CA" w:rsidR="00A515CA">
        <w:t>e Combination #2</w:t>
      </w:r>
      <w:r w:rsidR="0043479E">
        <w:t xml:space="preserve"> and </w:t>
      </w:r>
      <w:r w:rsidR="00721539">
        <w:t xml:space="preserve">find that </w:t>
      </w:r>
      <w:r w:rsidR="003F2928">
        <w:t>the FEIR for th</w:t>
      </w:r>
      <w:r w:rsidR="002329F5">
        <w:t xml:space="preserve">e Proposed </w:t>
      </w:r>
      <w:r w:rsidR="003F2928">
        <w:t xml:space="preserve">Project meets the requirements of CEQA. We </w:t>
      </w:r>
      <w:r w:rsidR="00A74E2A">
        <w:t>also find that</w:t>
      </w:r>
      <w:r w:rsidR="00F25FC9">
        <w:t xml:space="preserve"> Applicants</w:t>
      </w:r>
      <w:r w:rsidR="00A74E2A">
        <w:t>’</w:t>
      </w:r>
      <w:r w:rsidR="00F25FC9">
        <w:t xml:space="preserve"> </w:t>
      </w:r>
      <w:r w:rsidR="006F6026">
        <w:t xml:space="preserve">EMF </w:t>
      </w:r>
      <w:r w:rsidRPr="006F6026" w:rsidR="006F6026">
        <w:t>Field Management Plan</w:t>
      </w:r>
      <w:r w:rsidR="00F25FC9">
        <w:t xml:space="preserve"> complies with the Commission’s EMF low-cost/no-cost measures. </w:t>
      </w:r>
    </w:p>
    <w:p w:rsidRPr="00343E5C" w:rsidR="00343E5C" w:rsidP="00343E5C" w:rsidRDefault="00715DA7" w14:paraId="1EADDF53" w14:textId="27AA094A">
      <w:pPr>
        <w:pStyle w:val="Standard"/>
      </w:pPr>
      <w:r>
        <w:t xml:space="preserve">As discussed, there are </w:t>
      </w:r>
      <w:r w:rsidR="008E11C4">
        <w:t>unavoidable</w:t>
      </w:r>
      <w:r w:rsidR="000D6C39">
        <w:t xml:space="preserve"> </w:t>
      </w:r>
      <w:r w:rsidR="008E11C4">
        <w:t>significant</w:t>
      </w:r>
      <w:r w:rsidR="000D6C39">
        <w:t xml:space="preserve"> impacts associated with </w:t>
      </w:r>
      <w:r w:rsidR="008E11C4">
        <w:t>even</w:t>
      </w:r>
      <w:r w:rsidR="000D6C39">
        <w:t xml:space="preserve"> the environmentally superior </w:t>
      </w:r>
      <w:r w:rsidR="008E11C4">
        <w:t>alternative</w:t>
      </w:r>
      <w:r w:rsidR="006C1693">
        <w:t>, but</w:t>
      </w:r>
      <w:r w:rsidR="00C44C35">
        <w:t xml:space="preserve"> the benefits of </w:t>
      </w:r>
      <w:r w:rsidRPr="002329F5" w:rsidR="00C44C35">
        <w:t xml:space="preserve">the </w:t>
      </w:r>
      <w:r w:rsidRPr="00B07D02" w:rsidR="009C7418">
        <w:t xml:space="preserve">Proposed </w:t>
      </w:r>
      <w:r w:rsidRPr="00B07D02" w:rsidR="00C44C35">
        <w:t>Project outwei</w:t>
      </w:r>
      <w:r w:rsidRPr="002329F5" w:rsidR="00C44C35">
        <w:t>gh the unavoidable and adverse environmental effects</w:t>
      </w:r>
      <w:r w:rsidRPr="002329F5" w:rsidR="002329F5">
        <w:t>,</w:t>
      </w:r>
      <w:r w:rsidRPr="002329F5" w:rsidR="00C44C35">
        <w:t xml:space="preserve"> and based on these overriding considerations</w:t>
      </w:r>
      <w:r w:rsidR="00C1740D">
        <w:t>,</w:t>
      </w:r>
      <w:r w:rsidRPr="002329F5" w:rsidR="00C44C35">
        <w:t xml:space="preserve"> we approve Applicants</w:t>
      </w:r>
      <w:r w:rsidR="00C1740D">
        <w:t>’</w:t>
      </w:r>
      <w:r w:rsidRPr="002329F5" w:rsidR="00C44C35">
        <w:t xml:space="preserve"> requests for PTCs as </w:t>
      </w:r>
      <w:r w:rsidR="00C1740D">
        <w:t>propos</w:t>
      </w:r>
      <w:r w:rsidRPr="00B07D02" w:rsidR="00C1740D">
        <w:t xml:space="preserve">ed </w:t>
      </w:r>
      <w:r w:rsidRPr="00B07D02" w:rsidR="00C44C35">
        <w:t>in their Application</w:t>
      </w:r>
      <w:r w:rsidRPr="00B07D02" w:rsidR="002329F5">
        <w:t xml:space="preserve">, as modified by </w:t>
      </w:r>
      <w:r w:rsidR="006C1693">
        <w:t xml:space="preserve">this </w:t>
      </w:r>
      <w:r w:rsidRPr="00B07D02" w:rsidR="002329F5">
        <w:t>decision</w:t>
      </w:r>
      <w:r w:rsidRPr="00B07D02" w:rsidR="00C44C35">
        <w:t>.</w:t>
      </w:r>
      <w:r w:rsidR="00C44C35">
        <w:t xml:space="preserve"> </w:t>
      </w:r>
    </w:p>
    <w:p w:rsidRPr="001A0F19" w:rsidR="001A0F19" w:rsidP="001A0F19" w:rsidRDefault="001A0F19" w14:paraId="002D1084" w14:textId="77777777">
      <w:pPr>
        <w:pStyle w:val="Heading1"/>
      </w:pPr>
      <w:bookmarkStart w:name="_Toc164685431" w:id="284"/>
      <w:bookmarkStart w:name="_Toc133843854" w:id="285"/>
      <w:r w:rsidRPr="001A0F19">
        <w:t>Procedural Matters</w:t>
      </w:r>
      <w:bookmarkEnd w:id="284"/>
    </w:p>
    <w:p w:rsidRPr="001A0F19" w:rsidR="001A0F19" w:rsidP="00831FAB" w:rsidRDefault="001A0F19" w14:paraId="5BDF3EC4" w14:textId="1E4D5832">
      <w:pPr>
        <w:pStyle w:val="Standard"/>
      </w:pPr>
      <w:r w:rsidRPr="001A0F19">
        <w:t xml:space="preserve">This decision affirms all rulings made by the </w:t>
      </w:r>
      <w:r>
        <w:t xml:space="preserve">assigned </w:t>
      </w:r>
      <w:r w:rsidR="006C1693">
        <w:t>Ad</w:t>
      </w:r>
      <w:r w:rsidRPr="001A0F19">
        <w:t>ministrative Law Judge</w:t>
      </w:r>
      <w:r>
        <w:t>s</w:t>
      </w:r>
      <w:r w:rsidRPr="001A0F19">
        <w:t xml:space="preserve"> and assigned Commissioner in this proceeding. All motions not ruled on are deemed denied.</w:t>
      </w:r>
    </w:p>
    <w:p w:rsidRPr="001D1C35" w:rsidR="00442A8E" w:rsidP="00442A8E" w:rsidRDefault="00442A8E" w14:paraId="458888DB" w14:textId="624D858A">
      <w:pPr>
        <w:pStyle w:val="Heading1"/>
      </w:pPr>
      <w:bookmarkStart w:name="_Toc160490936" w:id="286"/>
      <w:bookmarkStart w:name="_Toc160479852" w:id="287"/>
      <w:bookmarkStart w:name="_Toc160490937" w:id="288"/>
      <w:bookmarkStart w:name="_Toc164685432" w:id="289"/>
      <w:bookmarkStart w:name="_Toc8123723" w:id="290"/>
      <w:bookmarkEnd w:id="285"/>
      <w:bookmarkEnd w:id="286"/>
      <w:bookmarkEnd w:id="287"/>
      <w:bookmarkEnd w:id="288"/>
      <w:r>
        <w:t>Summary of Public Comment</w:t>
      </w:r>
      <w:bookmarkEnd w:id="289"/>
    </w:p>
    <w:p w:rsidRPr="00603238" w:rsidR="00442A8E" w:rsidP="00831FAB" w:rsidRDefault="00442A8E" w14:paraId="21F706E3" w14:textId="77777777">
      <w:pPr>
        <w:pStyle w:val="Standard"/>
      </w:pPr>
      <w:r w:rsidRPr="005311B4">
        <w:t xml:space="preserve">Rule 1.18 allows any member of the public to submit written comment in any Commission proceeding using the “Public Comment” tab of the online Docket Card for that proceeding on the Commission’s website.  </w:t>
      </w:r>
      <w:r>
        <w:t>No comments have been received through the “Public Comment” tab.</w:t>
      </w:r>
    </w:p>
    <w:p w:rsidR="005939A5" w:rsidP="005939A5" w:rsidRDefault="005939A5" w14:paraId="5507D0CD" w14:textId="77777777">
      <w:pPr>
        <w:pStyle w:val="Heading1"/>
      </w:pPr>
      <w:bookmarkStart w:name="_Toc160479854" w:id="291"/>
      <w:bookmarkStart w:name="_Toc160490939" w:id="292"/>
      <w:bookmarkStart w:name="_Toc164685433" w:id="293"/>
      <w:bookmarkEnd w:id="291"/>
      <w:bookmarkEnd w:id="292"/>
      <w:r>
        <w:t>Comments on Proposed Decision</w:t>
      </w:r>
      <w:bookmarkEnd w:id="290"/>
      <w:bookmarkEnd w:id="293"/>
    </w:p>
    <w:p w:rsidR="005939A5" w:rsidP="00DC59FE" w:rsidRDefault="00DC59FE" w14:paraId="27E998A5" w14:textId="555C5C6E">
      <w:pPr>
        <w:pStyle w:val="Standard"/>
      </w:pPr>
      <w:r>
        <w:t xml:space="preserve">The proposed decision of </w:t>
      </w:r>
      <w:r w:rsidR="001A0F19">
        <w:t xml:space="preserve">Assistant Chief </w:t>
      </w:r>
      <w:r>
        <w:t xml:space="preserve">ALJ </w:t>
      </w:r>
      <w:r w:rsidR="001A0F19">
        <w:t>Kimberly Kim</w:t>
      </w:r>
      <w:r>
        <w:t xml:space="preserve"> </w:t>
      </w:r>
      <w:r w:rsidR="005C58FA">
        <w:t xml:space="preserve">in this matter was mailed to the parties in accordance with </w:t>
      </w:r>
      <w:r w:rsidR="004B645B">
        <w:t>Section </w:t>
      </w:r>
      <w:r w:rsidR="005C58FA">
        <w:t xml:space="preserve">311 of the Public Utilities Code and comments were allowed under Rule 14.3 of the Commission’s Rules of Practice and Procedure. </w:t>
      </w:r>
      <w:r w:rsidR="002376B7">
        <w:t>Timely c</w:t>
      </w:r>
      <w:r w:rsidR="005C58FA">
        <w:t xml:space="preserve">omments were filed </w:t>
      </w:r>
      <w:r w:rsidR="002376B7">
        <w:t xml:space="preserve">by </w:t>
      </w:r>
      <w:r w:rsidRPr="002376B7" w:rsidR="002376B7">
        <w:t>Local Parties</w:t>
      </w:r>
      <w:r w:rsidR="002376B7">
        <w:t>, Horizon</w:t>
      </w:r>
      <w:r w:rsidR="00BA76FF">
        <w:t xml:space="preserve"> West</w:t>
      </w:r>
      <w:r w:rsidR="002376B7">
        <w:t>, and CURE.  PG&amp;E filed it comments on April 5, 2024.</w:t>
      </w:r>
      <w:r w:rsidR="002376B7">
        <w:rPr>
          <w:rStyle w:val="FootnoteReference"/>
        </w:rPr>
        <w:footnoteReference w:id="131"/>
      </w:r>
      <w:r w:rsidR="002376B7">
        <w:t xml:space="preserve"> Timely</w:t>
      </w:r>
      <w:r w:rsidR="005C58FA">
        <w:t xml:space="preserve"> reply </w:t>
      </w:r>
      <w:r w:rsidR="005C58FA">
        <w:lastRenderedPageBreak/>
        <w:t xml:space="preserve">comments were filed </w:t>
      </w:r>
      <w:r w:rsidR="002376B7">
        <w:t>by PG&amp;E and Horizon</w:t>
      </w:r>
      <w:r w:rsidR="00BA76FF">
        <w:t xml:space="preserve"> West</w:t>
      </w:r>
      <w:r w:rsidR="002376B7">
        <w:t>, jointly, and the City, separately</w:t>
      </w:r>
      <w:r w:rsidR="005C58FA">
        <w:t>.</w:t>
      </w:r>
      <w:r w:rsidRPr="00C878D5" w:rsidR="00C878D5">
        <w:t xml:space="preserve"> </w:t>
      </w:r>
    </w:p>
    <w:p w:rsidRPr="00522A51" w:rsidR="002376B7" w:rsidP="00522A51" w:rsidRDefault="002376B7" w14:paraId="1A0BDFA4" w14:textId="3247DB72">
      <w:pPr>
        <w:contextualSpacing/>
        <w:rPr>
          <w:rFonts w:eastAsia="Aptos" w:cs="Arial"/>
          <w:kern w:val="2"/>
          <w:szCs w:val="26"/>
          <w14:ligatures w14:val="standardContextual"/>
        </w:rPr>
      </w:pPr>
      <w:r w:rsidRPr="00522A51">
        <w:rPr>
          <w:rFonts w:eastAsia="Aptos" w:cs="Arial"/>
          <w:kern w:val="2"/>
          <w:szCs w:val="26"/>
          <w14:ligatures w14:val="standardContextual"/>
        </w:rPr>
        <w:t>There were two main areas of comments to the proposed decision:  (1) PG&amp;E object</w:t>
      </w:r>
      <w:r>
        <w:rPr>
          <w:rFonts w:eastAsia="Aptos" w:cs="Arial"/>
          <w:kern w:val="2"/>
          <w:szCs w:val="26"/>
          <w14:ligatures w14:val="standardContextual"/>
        </w:rPr>
        <w:t>s to the inclusion</w:t>
      </w:r>
      <w:r w:rsidRPr="00522A51">
        <w:rPr>
          <w:rFonts w:eastAsia="Aptos" w:cs="Arial"/>
          <w:kern w:val="2"/>
          <w:szCs w:val="26"/>
          <w14:ligatures w14:val="standardContextual"/>
        </w:rPr>
        <w:t xml:space="preserve"> </w:t>
      </w:r>
      <w:r>
        <w:rPr>
          <w:rFonts w:eastAsia="Aptos" w:cs="Arial"/>
          <w:kern w:val="2"/>
          <w:szCs w:val="26"/>
          <w14:ligatures w14:val="standardContextual"/>
        </w:rPr>
        <w:t xml:space="preserve">of </w:t>
      </w:r>
      <w:r w:rsidRPr="00522A51">
        <w:rPr>
          <w:rFonts w:eastAsia="Aptos" w:cs="Arial"/>
          <w:kern w:val="2"/>
          <w:szCs w:val="26"/>
          <w14:ligatures w14:val="standardContextual"/>
        </w:rPr>
        <w:t>distributi</w:t>
      </w:r>
      <w:r w:rsidR="00C362F2">
        <w:rPr>
          <w:rFonts w:eastAsia="Aptos" w:cs="Arial"/>
          <w:kern w:val="2"/>
          <w:szCs w:val="26"/>
          <w14:ligatures w14:val="standardContextual"/>
        </w:rPr>
        <w:t>on</w:t>
      </w:r>
      <w:r w:rsidRPr="00522A51">
        <w:rPr>
          <w:rFonts w:eastAsia="Aptos" w:cs="Arial"/>
          <w:kern w:val="2"/>
          <w:szCs w:val="26"/>
          <w14:ligatures w14:val="standardContextual"/>
        </w:rPr>
        <w:t xml:space="preserve"> components, Alternatives BS-2 and BS-3, </w:t>
      </w:r>
      <w:r>
        <w:rPr>
          <w:rFonts w:eastAsia="Aptos" w:cs="Arial"/>
          <w:kern w:val="2"/>
          <w:szCs w:val="26"/>
          <w14:ligatures w14:val="standardContextual"/>
        </w:rPr>
        <w:t xml:space="preserve">as part </w:t>
      </w:r>
      <w:r w:rsidRPr="00522A51">
        <w:rPr>
          <w:rFonts w:eastAsia="Aptos" w:cs="Arial"/>
          <w:kern w:val="2"/>
          <w:szCs w:val="26"/>
          <w14:ligatures w14:val="standardContextual"/>
        </w:rPr>
        <w:t>of the environmentally superior alternative; and (2) CURE</w:t>
      </w:r>
      <w:r>
        <w:rPr>
          <w:rFonts w:eastAsia="Aptos" w:cs="Arial"/>
          <w:kern w:val="2"/>
          <w:szCs w:val="26"/>
          <w14:ligatures w14:val="standardContextual"/>
        </w:rPr>
        <w:t xml:space="preserve"> </w:t>
      </w:r>
      <w:r w:rsidRPr="00522A51">
        <w:rPr>
          <w:rFonts w:eastAsia="Aptos" w:cs="Arial"/>
          <w:kern w:val="2"/>
          <w:szCs w:val="26"/>
          <w14:ligatures w14:val="standardContextual"/>
        </w:rPr>
        <w:t>continu</w:t>
      </w:r>
      <w:r>
        <w:rPr>
          <w:rFonts w:eastAsia="Aptos" w:cs="Arial"/>
          <w:kern w:val="2"/>
          <w:szCs w:val="26"/>
          <w14:ligatures w14:val="standardContextual"/>
        </w:rPr>
        <w:t>es</w:t>
      </w:r>
      <w:r w:rsidR="0031606D">
        <w:rPr>
          <w:rFonts w:eastAsia="Aptos" w:cs="Arial"/>
          <w:kern w:val="2"/>
          <w:szCs w:val="26"/>
          <w14:ligatures w14:val="standardContextual"/>
        </w:rPr>
        <w:t xml:space="preserve"> to</w:t>
      </w:r>
      <w:r>
        <w:rPr>
          <w:rFonts w:eastAsia="Aptos" w:cs="Arial"/>
          <w:kern w:val="2"/>
          <w:szCs w:val="26"/>
          <w14:ligatures w14:val="standardContextual"/>
        </w:rPr>
        <w:t xml:space="preserve"> raise its prior </w:t>
      </w:r>
      <w:r w:rsidRPr="00522A51">
        <w:rPr>
          <w:rFonts w:eastAsia="Aptos" w:cs="Arial"/>
          <w:kern w:val="2"/>
          <w:szCs w:val="26"/>
          <w14:ligatures w14:val="standardContextual"/>
        </w:rPr>
        <w:t xml:space="preserve">arguments. They are addressed below. </w:t>
      </w:r>
    </w:p>
    <w:p w:rsidRPr="00522A51" w:rsidR="002376B7" w:rsidP="00522A51" w:rsidRDefault="002376B7" w14:paraId="548F44CF" w14:textId="0C4D839D">
      <w:pPr>
        <w:tabs>
          <w:tab w:val="left" w:pos="360"/>
        </w:tabs>
        <w:ind w:firstLine="0"/>
        <w:contextualSpacing/>
        <w:jc w:val="center"/>
        <w:rPr>
          <w:rFonts w:eastAsia="Aptos" w:cs="Arial"/>
          <w:b/>
          <w:bCs/>
          <w:kern w:val="2"/>
          <w:szCs w:val="26"/>
          <w:u w:val="single"/>
          <w14:ligatures w14:val="standardContextual"/>
        </w:rPr>
      </w:pPr>
      <w:r w:rsidRPr="00522A51">
        <w:rPr>
          <w:rFonts w:eastAsia="Aptos" w:cs="Arial"/>
          <w:b/>
          <w:bCs/>
          <w:kern w:val="2"/>
          <w:szCs w:val="26"/>
          <w:u w:val="single"/>
          <w14:ligatures w14:val="standardContextual"/>
        </w:rPr>
        <w:t>PG&amp;E’s Objection to Distributi</w:t>
      </w:r>
      <w:r w:rsidR="00C362F2">
        <w:rPr>
          <w:rFonts w:eastAsia="Aptos" w:cs="Arial"/>
          <w:b/>
          <w:bCs/>
          <w:kern w:val="2"/>
          <w:szCs w:val="26"/>
          <w:u w:val="single"/>
          <w14:ligatures w14:val="standardContextual"/>
        </w:rPr>
        <w:t>on</w:t>
      </w:r>
      <w:r w:rsidRPr="00522A51">
        <w:rPr>
          <w:rFonts w:eastAsia="Aptos" w:cs="Arial"/>
          <w:b/>
          <w:bCs/>
          <w:kern w:val="2"/>
          <w:szCs w:val="26"/>
          <w:u w:val="single"/>
          <w14:ligatures w14:val="standardContextual"/>
        </w:rPr>
        <w:t xml:space="preserve"> Components:</w:t>
      </w:r>
    </w:p>
    <w:p w:rsidR="002376B7" w:rsidP="002376B7" w:rsidRDefault="002376B7" w14:paraId="1455356D" w14:textId="7BED7EE9">
      <w:pPr>
        <w:tabs>
          <w:tab w:val="left" w:pos="360"/>
        </w:tabs>
        <w:contextualSpacing/>
        <w:rPr>
          <w:rFonts w:eastAsia="Aptos" w:cs="Arial"/>
          <w:kern w:val="2"/>
          <w:szCs w:val="26"/>
          <w14:ligatures w14:val="standardContextual"/>
        </w:rPr>
      </w:pPr>
      <w:bookmarkStart w:name="_Hlk163992266" w:id="294"/>
      <w:r w:rsidRPr="00522A51">
        <w:rPr>
          <w:rFonts w:eastAsia="Aptos" w:cs="Arial"/>
          <w:kern w:val="2"/>
          <w:szCs w:val="26"/>
          <w14:ligatures w14:val="standardContextual"/>
        </w:rPr>
        <w:t>PG&amp;E requests revisions to the proposed decision</w:t>
      </w:r>
      <w:r>
        <w:rPr>
          <w:rFonts w:eastAsia="Aptos" w:cs="Arial"/>
          <w:kern w:val="2"/>
          <w:szCs w:val="26"/>
          <w14:ligatures w14:val="standardContextual"/>
        </w:rPr>
        <w:t xml:space="preserve"> </w:t>
      </w:r>
      <w:r w:rsidRPr="00522A51">
        <w:rPr>
          <w:rFonts w:eastAsia="Aptos" w:cs="Arial"/>
          <w:kern w:val="2"/>
          <w:szCs w:val="26"/>
          <w14:ligatures w14:val="standardContextual"/>
        </w:rPr>
        <w:t>to remove the directives regarding the distributi</w:t>
      </w:r>
      <w:r w:rsidR="00C362F2">
        <w:rPr>
          <w:rFonts w:eastAsia="Aptos" w:cs="Arial"/>
          <w:kern w:val="2"/>
          <w:szCs w:val="26"/>
          <w14:ligatures w14:val="standardContextual"/>
        </w:rPr>
        <w:t>on</w:t>
      </w:r>
      <w:r w:rsidRPr="00522A51">
        <w:rPr>
          <w:rFonts w:eastAsia="Aptos" w:cs="Arial"/>
          <w:kern w:val="2"/>
          <w:szCs w:val="26"/>
          <w14:ligatures w14:val="standardContextual"/>
        </w:rPr>
        <w:t xml:space="preserve"> components, Alternatives BS-2 and BS-3, which are parts of the environmentally superior alternative.</w:t>
      </w:r>
    </w:p>
    <w:p w:rsidRPr="00522A51" w:rsidR="002376B7" w:rsidP="00522A51" w:rsidRDefault="002376B7" w14:paraId="18E0824D" w14:textId="38CAB836">
      <w:pPr>
        <w:tabs>
          <w:tab w:val="left" w:pos="360"/>
        </w:tabs>
        <w:contextualSpacing/>
        <w:rPr>
          <w:rFonts w:eastAsia="Aptos" w:cs="Arial"/>
          <w:kern w:val="2"/>
          <w:szCs w:val="26"/>
          <w14:ligatures w14:val="standardContextual"/>
        </w:rPr>
      </w:pPr>
      <w:r w:rsidRPr="00522A51">
        <w:rPr>
          <w:rFonts w:eastAsia="Aptos" w:cs="Arial"/>
          <w:kern w:val="2"/>
          <w:szCs w:val="26"/>
          <w14:ligatures w14:val="standardContextual"/>
        </w:rPr>
        <w:t>Generally, Local Parties, in their comments</w:t>
      </w:r>
      <w:r>
        <w:rPr>
          <w:rFonts w:eastAsia="Aptos" w:cs="Arial"/>
          <w:kern w:val="2"/>
          <w:szCs w:val="26"/>
          <w14:ligatures w14:val="standardContextual"/>
        </w:rPr>
        <w:t xml:space="preserve"> to the proposed decision</w:t>
      </w:r>
      <w:r w:rsidRPr="00522A51">
        <w:rPr>
          <w:rFonts w:eastAsia="Aptos" w:cs="Arial"/>
          <w:kern w:val="2"/>
          <w:szCs w:val="26"/>
          <w14:ligatures w14:val="standardContextual"/>
        </w:rPr>
        <w:t xml:space="preserve">, support the proposed decision without taking any position </w:t>
      </w:r>
      <w:bookmarkStart w:name="_Hlk163811944" w:id="295"/>
      <w:r w:rsidRPr="00522A51">
        <w:rPr>
          <w:rFonts w:eastAsia="Aptos" w:cs="Arial"/>
          <w:kern w:val="2"/>
          <w:szCs w:val="26"/>
          <w14:ligatures w14:val="standardContextual"/>
        </w:rPr>
        <w:t>regarding the distributi</w:t>
      </w:r>
      <w:r w:rsidR="00C362F2">
        <w:rPr>
          <w:rFonts w:eastAsia="Aptos" w:cs="Arial"/>
          <w:kern w:val="2"/>
          <w:szCs w:val="26"/>
          <w14:ligatures w14:val="standardContextual"/>
        </w:rPr>
        <w:t>on</w:t>
      </w:r>
      <w:r w:rsidRPr="00522A51">
        <w:rPr>
          <w:rFonts w:eastAsia="Aptos" w:cs="Arial"/>
          <w:kern w:val="2"/>
          <w:szCs w:val="26"/>
          <w14:ligatures w14:val="standardContextual"/>
        </w:rPr>
        <w:t xml:space="preserve"> components, Alternatives BS-2 and BS-3.</w:t>
      </w:r>
    </w:p>
    <w:bookmarkEnd w:id="295"/>
    <w:p w:rsidRPr="00522A51" w:rsidR="002376B7" w:rsidP="00522A51" w:rsidRDefault="002376B7" w14:paraId="539618CD" w14:textId="5208D5D8">
      <w:pPr>
        <w:contextualSpacing/>
        <w:rPr>
          <w:rFonts w:eastAsia="Aptos" w:cs="Arial"/>
          <w:kern w:val="2"/>
          <w:szCs w:val="26"/>
          <w:u w:val="single"/>
          <w14:ligatures w14:val="standardContextual"/>
        </w:rPr>
      </w:pPr>
      <w:r w:rsidRPr="00522A51">
        <w:rPr>
          <w:rFonts w:eastAsia="Aptos" w:cs="Arial"/>
          <w:kern w:val="2"/>
          <w:szCs w:val="26"/>
          <w14:ligatures w14:val="standardContextual"/>
        </w:rPr>
        <w:t>Horizon</w:t>
      </w:r>
      <w:r w:rsidR="00BA76FF">
        <w:rPr>
          <w:rFonts w:eastAsia="Aptos" w:cs="Arial"/>
          <w:kern w:val="2"/>
          <w:szCs w:val="26"/>
          <w14:ligatures w14:val="standardContextual"/>
        </w:rPr>
        <w:t xml:space="preserve"> West</w:t>
      </w:r>
      <w:r w:rsidRPr="00522A51">
        <w:rPr>
          <w:rFonts w:eastAsia="Aptos" w:cs="Arial"/>
          <w:kern w:val="2"/>
          <w:szCs w:val="26"/>
          <w14:ligatures w14:val="standardContextual"/>
        </w:rPr>
        <w:t xml:space="preserve">, in its comments, support the proposed decision while also supporting PG&amp;E’s </w:t>
      </w:r>
      <w:r>
        <w:rPr>
          <w:rFonts w:eastAsia="Aptos" w:cs="Arial"/>
          <w:kern w:val="2"/>
          <w:szCs w:val="26"/>
          <w14:ligatures w14:val="standardContextual"/>
        </w:rPr>
        <w:t>objection</w:t>
      </w:r>
      <w:r w:rsidRPr="00522A51">
        <w:rPr>
          <w:rFonts w:eastAsia="Aptos" w:cs="Arial"/>
          <w:kern w:val="2"/>
          <w:szCs w:val="26"/>
          <w14:ligatures w14:val="standardContextual"/>
        </w:rPr>
        <w:t xml:space="preserve"> regarding </w:t>
      </w:r>
      <w:bookmarkStart w:name="_Hlk163817705" w:id="296"/>
      <w:r w:rsidRPr="00522A51">
        <w:rPr>
          <w:rFonts w:eastAsia="Aptos" w:cs="Arial"/>
          <w:kern w:val="2"/>
          <w:szCs w:val="26"/>
          <w14:ligatures w14:val="standardContextual"/>
        </w:rPr>
        <w:t>distributi</w:t>
      </w:r>
      <w:r w:rsidR="00C362F2">
        <w:rPr>
          <w:rFonts w:eastAsia="Aptos" w:cs="Arial"/>
          <w:kern w:val="2"/>
          <w:szCs w:val="26"/>
          <w14:ligatures w14:val="standardContextual"/>
        </w:rPr>
        <w:t>on</w:t>
      </w:r>
      <w:r w:rsidRPr="00522A51">
        <w:rPr>
          <w:rFonts w:eastAsia="Aptos" w:cs="Arial"/>
          <w:kern w:val="2"/>
          <w:szCs w:val="26"/>
          <w14:ligatures w14:val="standardContextual"/>
        </w:rPr>
        <w:t xml:space="preserve"> components, Alternatives BS-2 and BS-3</w:t>
      </w:r>
      <w:r>
        <w:rPr>
          <w:rFonts w:eastAsia="Aptos" w:cs="Arial"/>
          <w:kern w:val="2"/>
          <w:szCs w:val="26"/>
          <w14:ligatures w14:val="standardContextual"/>
        </w:rPr>
        <w:t>.</w:t>
      </w:r>
    </w:p>
    <w:bookmarkEnd w:id="296"/>
    <w:p w:rsidRPr="00522A51" w:rsidR="002376B7" w:rsidP="00522A51" w:rsidRDefault="002376B7" w14:paraId="4A1E3140" w14:textId="62A5E440">
      <w:pPr>
        <w:contextualSpacing/>
        <w:rPr>
          <w:rFonts w:eastAsia="Aptos" w:cs="Arial"/>
          <w:b/>
          <w:bCs/>
          <w:kern w:val="2"/>
          <w:szCs w:val="26"/>
          <w14:ligatures w14:val="standardContextual"/>
        </w:rPr>
      </w:pPr>
      <w:r>
        <w:rPr>
          <w:rFonts w:eastAsia="Aptos" w:cs="Arial"/>
          <w:kern w:val="2"/>
          <w:szCs w:val="26"/>
          <w14:ligatures w14:val="standardContextual"/>
        </w:rPr>
        <w:t xml:space="preserve">The </w:t>
      </w:r>
      <w:r w:rsidRPr="00522A51">
        <w:rPr>
          <w:rFonts w:eastAsia="Aptos" w:cs="Arial"/>
          <w:kern w:val="2"/>
          <w:szCs w:val="26"/>
          <w14:ligatures w14:val="standardContextual"/>
        </w:rPr>
        <w:t xml:space="preserve">City, in its </w:t>
      </w:r>
      <w:r>
        <w:rPr>
          <w:rFonts w:eastAsia="Aptos" w:cs="Arial"/>
          <w:kern w:val="2"/>
          <w:szCs w:val="26"/>
          <w14:ligatures w14:val="standardContextual"/>
        </w:rPr>
        <w:t>sepa</w:t>
      </w:r>
      <w:r w:rsidR="00C362F2">
        <w:rPr>
          <w:rFonts w:eastAsia="Aptos" w:cs="Arial"/>
          <w:kern w:val="2"/>
          <w:szCs w:val="26"/>
          <w14:ligatures w14:val="standardContextual"/>
        </w:rPr>
        <w:t>r</w:t>
      </w:r>
      <w:r>
        <w:rPr>
          <w:rFonts w:eastAsia="Aptos" w:cs="Arial"/>
          <w:kern w:val="2"/>
          <w:szCs w:val="26"/>
          <w14:ligatures w14:val="standardContextual"/>
        </w:rPr>
        <w:t>ate r</w:t>
      </w:r>
      <w:r w:rsidRPr="00522A51">
        <w:rPr>
          <w:rFonts w:eastAsia="Aptos" w:cs="Arial"/>
          <w:kern w:val="2"/>
          <w:szCs w:val="26"/>
          <w14:ligatures w14:val="standardContextual"/>
        </w:rPr>
        <w:t xml:space="preserve">eply </w:t>
      </w:r>
      <w:r>
        <w:rPr>
          <w:rFonts w:eastAsia="Aptos" w:cs="Arial"/>
          <w:kern w:val="2"/>
          <w:szCs w:val="26"/>
          <w14:ligatures w14:val="standardContextual"/>
        </w:rPr>
        <w:t>c</w:t>
      </w:r>
      <w:r w:rsidRPr="00522A51">
        <w:rPr>
          <w:rFonts w:eastAsia="Aptos" w:cs="Arial"/>
          <w:kern w:val="2"/>
          <w:szCs w:val="26"/>
          <w14:ligatures w14:val="standardContextual"/>
        </w:rPr>
        <w:t>omment, objects to implementation of BS-2 (Front of the meter battery storage) and request deferral of BS-2 ordering until specific locations are assessed, noting potential environmental impact concerns with individualized siting locations, including illustrative examples shown in the FEIR.</w:t>
      </w:r>
    </w:p>
    <w:p w:rsidRPr="00522A51" w:rsidR="002376B7" w:rsidP="00522A51" w:rsidRDefault="002376B7" w14:paraId="5445EE5A" w14:textId="310A0DBD">
      <w:pPr>
        <w:tabs>
          <w:tab w:val="left" w:pos="360"/>
        </w:tabs>
        <w:contextualSpacing/>
        <w:rPr>
          <w:rFonts w:eastAsia="Aptos" w:cs="Arial"/>
          <w:kern w:val="2"/>
          <w:szCs w:val="26"/>
          <w14:ligatures w14:val="standardContextual"/>
        </w:rPr>
      </w:pPr>
      <w:r w:rsidRPr="00522A51">
        <w:rPr>
          <w:rFonts w:eastAsia="Aptos" w:cs="Arial"/>
          <w:kern w:val="2"/>
          <w:szCs w:val="26"/>
          <w14:ligatures w14:val="standardContextual"/>
        </w:rPr>
        <w:t xml:space="preserve">PG&amp;E argues that Alternatives BS-2 and BS-3 are outside the scope of the requested approval in the instant application and were improperly included in the FEIR. PG&amp;E also argues that decision regarding Alternatives BS-2 and BS-3 are within scope of other Commission proceedings (i.e., DIDF); therefore, Alternatives BS-2 and BS-3 should be examined in those proceedings. In its </w:t>
      </w:r>
      <w:r w:rsidRPr="00522A51">
        <w:rPr>
          <w:rFonts w:eastAsia="Aptos" w:cs="Arial"/>
          <w:kern w:val="2"/>
          <w:szCs w:val="26"/>
          <w14:ligatures w14:val="standardContextual"/>
        </w:rPr>
        <w:lastRenderedPageBreak/>
        <w:t xml:space="preserve">comments, PG&amp;E also presents new facts which were not previously presented in this proceeding record regarding cost and feasibility of Alternative BS-2 and BS-3 implementation.  </w:t>
      </w:r>
    </w:p>
    <w:p w:rsidRPr="00522A51" w:rsidR="002376B7" w:rsidP="00522A51" w:rsidRDefault="002376B7" w14:paraId="3A148C72" w14:textId="602AE9A7">
      <w:pPr>
        <w:contextualSpacing/>
        <w:rPr>
          <w:rFonts w:eastAsia="Aptos" w:cs="Arial"/>
          <w:kern w:val="2"/>
          <w:szCs w:val="26"/>
          <w14:ligatures w14:val="standardContextual"/>
        </w:rPr>
      </w:pPr>
      <w:r w:rsidRPr="00522A51">
        <w:rPr>
          <w:rFonts w:eastAsia="Aptos" w:cs="Arial"/>
          <w:kern w:val="2"/>
          <w:szCs w:val="26"/>
          <w14:ligatures w14:val="standardContextual"/>
        </w:rPr>
        <w:t>The Commission, as the lead agency</w:t>
      </w:r>
      <w:r w:rsidR="00A1192D">
        <w:rPr>
          <w:rFonts w:eastAsia="Aptos" w:cs="Arial"/>
          <w:kern w:val="2"/>
          <w:szCs w:val="26"/>
          <w14:ligatures w14:val="standardContextual"/>
        </w:rPr>
        <w:t>,</w:t>
      </w:r>
      <w:r w:rsidRPr="00522A51">
        <w:rPr>
          <w:rFonts w:eastAsia="Aptos" w:cs="Arial"/>
          <w:kern w:val="2"/>
          <w:szCs w:val="26"/>
          <w14:ligatures w14:val="standardContextual"/>
        </w:rPr>
        <w:t xml:space="preserve"> has broad discretion to identify a meaningful range of alternatives in performing its analysis under CEQA. The cases cited by the commenter generally point out that the lead agency is not required to consider an alternative to every individual aspect of a project (in the case cited, the amount of grading, cut, and fill to construct the project), however, the decisions continue to elaborate that such a lack of explicit requirement to address every aspect does not restrict the lead agency from exploring meaningful alternatives. </w:t>
      </w:r>
    </w:p>
    <w:p w:rsidRPr="00522A51" w:rsidR="002376B7" w:rsidP="00522A51" w:rsidRDefault="002376B7" w14:paraId="1E813EB6" w14:textId="77777777">
      <w:pPr>
        <w:contextualSpacing/>
        <w:rPr>
          <w:rFonts w:eastAsia="Aptos" w:cs="Arial"/>
          <w:kern w:val="2"/>
          <w:szCs w:val="26"/>
          <w14:ligatures w14:val="standardContextual"/>
        </w:rPr>
      </w:pPr>
      <w:r w:rsidRPr="00522A51">
        <w:rPr>
          <w:rFonts w:eastAsia="Aptos" w:cs="Arial"/>
          <w:kern w:val="2"/>
          <w:szCs w:val="26"/>
          <w14:ligatures w14:val="standardContextual"/>
        </w:rPr>
        <w:t xml:space="preserve">As identified in the FEIR, Chapter 5, aesthetic and biological impacts would be reduced through the avoidance of building additional distribution wires. These impacts are less clearly defined than those of the other elements of the project, however the Commission cannot avoid its obligation to meaningfully analyze the potential for environmental impacts at a level of detail commensurate with the level of plan detail for those elements. This is clearly disclosed and discussed in the FEIR, particularly Master Response 5  </w:t>
      </w:r>
    </w:p>
    <w:p w:rsidRPr="00522A51" w:rsidR="002376B7" w:rsidP="00522A51" w:rsidRDefault="002376B7" w14:paraId="0B7F321F" w14:textId="77777777">
      <w:pPr>
        <w:contextualSpacing/>
        <w:rPr>
          <w:rFonts w:eastAsia="Aptos" w:cs="Arial"/>
          <w:kern w:val="2"/>
          <w:szCs w:val="26"/>
          <w14:ligatures w14:val="standardContextual"/>
        </w:rPr>
      </w:pPr>
      <w:r w:rsidRPr="00522A51">
        <w:rPr>
          <w:rFonts w:eastAsia="Aptos" w:cs="Arial"/>
          <w:kern w:val="2"/>
          <w:szCs w:val="26"/>
          <w14:ligatures w14:val="standardContextual"/>
        </w:rPr>
        <w:t xml:space="preserve">The FEIR in selecting the environmentally superior alternative (with Alternatives BS-2 and BS-3) complied with CEQA requirements.  The Commission has the authority to consider and order the whole of the action, particularly where all components, including those not normally required to seek a permit to construct, are under the jurisdiction of the Commission. While Commission authorization for the distribution work alone is not needed, as noted by PG&amp;E, we find that the distribution work (foreseeable future action) </w:t>
      </w:r>
      <w:r w:rsidRPr="00522A51">
        <w:rPr>
          <w:rFonts w:eastAsia="Aptos" w:cs="Arial"/>
          <w:kern w:val="2"/>
          <w:szCs w:val="26"/>
          <w14:ligatures w14:val="standardContextual"/>
        </w:rPr>
        <w:lastRenderedPageBreak/>
        <w:t xml:space="preserve">was properly reviewed in the FEIR and are components of the environmentally superior alternative we selected.  </w:t>
      </w:r>
    </w:p>
    <w:p w:rsidRPr="00522A51" w:rsidR="002376B7" w:rsidP="00522A51" w:rsidRDefault="002376B7" w14:paraId="41FAAB10" w14:textId="2971A19D">
      <w:pPr>
        <w:contextualSpacing/>
        <w:rPr>
          <w:rFonts w:eastAsia="Aptos" w:cs="Arial"/>
          <w:kern w:val="2"/>
          <w:szCs w:val="26"/>
          <w14:ligatures w14:val="standardContextual"/>
        </w:rPr>
      </w:pPr>
      <w:r w:rsidRPr="00522A51">
        <w:rPr>
          <w:rFonts w:eastAsia="Aptos" w:cs="Arial"/>
          <w:kern w:val="2"/>
          <w:szCs w:val="26"/>
          <w14:ligatures w14:val="standardContextual"/>
        </w:rPr>
        <w:t xml:space="preserve">The record does not support selection of an action that is not the environmentally superior alternative (i.e., overriding considerations), and we recognize that the proceeding record lacks adequate evidence regarding the cost of battery storage as noted by PG&amp;E in its comment. We also acknowledge that distribution elements related to the Estrella Project will not become necessary for 5-15 years, </w:t>
      </w:r>
      <w:r w:rsidR="00BA76FF">
        <w:rPr>
          <w:rFonts w:eastAsia="Aptos" w:cs="Arial"/>
          <w:kern w:val="2"/>
          <w:szCs w:val="26"/>
          <w14:ligatures w14:val="standardContextual"/>
        </w:rPr>
        <w:t xml:space="preserve">at which time, </w:t>
      </w:r>
      <w:r w:rsidRPr="00522A51">
        <w:rPr>
          <w:rFonts w:eastAsia="Aptos" w:cs="Arial"/>
          <w:kern w:val="2"/>
          <w:szCs w:val="26"/>
          <w14:ligatures w14:val="standardContextual"/>
        </w:rPr>
        <w:t>mo</w:t>
      </w:r>
      <w:r w:rsidR="00BA76FF">
        <w:rPr>
          <w:rFonts w:eastAsia="Aptos" w:cs="Arial"/>
          <w:kern w:val="2"/>
          <w:szCs w:val="26"/>
          <w14:ligatures w14:val="standardContextual"/>
        </w:rPr>
        <w:t>re</w:t>
      </w:r>
      <w:r w:rsidRPr="00522A51">
        <w:rPr>
          <w:rFonts w:eastAsia="Aptos" w:cs="Arial"/>
          <w:kern w:val="2"/>
          <w:szCs w:val="26"/>
          <w14:ligatures w14:val="standardContextual"/>
        </w:rPr>
        <w:t xml:space="preserve"> precise need, feasibility</w:t>
      </w:r>
      <w:r w:rsidR="00C362F2">
        <w:rPr>
          <w:rFonts w:eastAsia="Aptos" w:cs="Arial"/>
          <w:kern w:val="2"/>
          <w:szCs w:val="26"/>
          <w14:ligatures w14:val="standardContextual"/>
        </w:rPr>
        <w:t>,</w:t>
      </w:r>
      <w:r w:rsidRPr="00522A51">
        <w:rPr>
          <w:rFonts w:eastAsia="Aptos" w:cs="Arial"/>
          <w:kern w:val="2"/>
          <w:szCs w:val="26"/>
          <w14:ligatures w14:val="standardContextual"/>
        </w:rPr>
        <w:t xml:space="preserve"> and cost information will be available.  </w:t>
      </w:r>
    </w:p>
    <w:p w:rsidRPr="00522A51" w:rsidR="002376B7" w:rsidP="00522A51" w:rsidRDefault="002376B7" w14:paraId="25FF1F81" w14:textId="0D858740">
      <w:pPr>
        <w:contextualSpacing/>
        <w:rPr>
          <w:rFonts w:eastAsia="Aptos" w:cs="Arial"/>
          <w:kern w:val="2"/>
          <w:szCs w:val="26"/>
          <w14:ligatures w14:val="standardContextual"/>
        </w:rPr>
      </w:pPr>
      <w:bookmarkStart w:name="_Hlk163991484" w:id="297"/>
      <w:r w:rsidRPr="00522A51">
        <w:rPr>
          <w:rFonts w:eastAsia="Aptos" w:cs="Arial"/>
          <w:kern w:val="2"/>
          <w:szCs w:val="26"/>
          <w14:ligatures w14:val="standardContextual"/>
        </w:rPr>
        <w:t xml:space="preserve">In approving the FEIR and the environmentally superior alternative and based on the issues raised in the comments to the </w:t>
      </w:r>
      <w:r>
        <w:rPr>
          <w:rFonts w:eastAsia="Aptos" w:cs="Arial"/>
          <w:kern w:val="2"/>
          <w:szCs w:val="26"/>
          <w14:ligatures w14:val="standardContextual"/>
        </w:rPr>
        <w:t>proposed decision</w:t>
      </w:r>
      <w:r w:rsidRPr="00522A51">
        <w:rPr>
          <w:rFonts w:eastAsia="Aptos" w:cs="Arial"/>
          <w:kern w:val="2"/>
          <w:szCs w:val="26"/>
          <w14:ligatures w14:val="standardContextual"/>
        </w:rPr>
        <w:t>, we therefore adopt the below process for PG&amp;E for the reasonably foreseeable future distribution components of the Estrella Project - while acknowledging the timing, location and feasibility of the work is unclear at this time</w:t>
      </w:r>
      <w:r>
        <w:rPr>
          <w:rFonts w:eastAsia="Aptos" w:cs="Arial"/>
          <w:kern w:val="2"/>
          <w:szCs w:val="26"/>
          <w14:ligatures w14:val="standardContextual"/>
        </w:rPr>
        <w:t>:</w:t>
      </w:r>
      <w:r w:rsidRPr="00522A51">
        <w:rPr>
          <w:rFonts w:eastAsia="Aptos" w:cs="Arial"/>
          <w:kern w:val="2"/>
          <w:szCs w:val="26"/>
          <w14:ligatures w14:val="standardContextual"/>
        </w:rPr>
        <w:t xml:space="preserve">  </w:t>
      </w:r>
    </w:p>
    <w:p w:rsidR="002376B7" w:rsidP="002376B7" w:rsidRDefault="002376B7" w14:paraId="0C9CBB0A" w14:textId="430D2716">
      <w:pPr>
        <w:spacing w:line="240" w:lineRule="auto"/>
        <w:ind w:left="720" w:right="1080" w:firstLine="0"/>
        <w:contextualSpacing/>
        <w:rPr>
          <w:rFonts w:eastAsia="Times New Roman" w:cs="Arial"/>
          <w:kern w:val="2"/>
          <w:szCs w:val="26"/>
          <w14:ligatures w14:val="standardContextual"/>
        </w:rPr>
      </w:pPr>
      <w:r w:rsidRPr="00522A51">
        <w:rPr>
          <w:rFonts w:eastAsia="Times New Roman" w:cs="Arial"/>
          <w:kern w:val="2"/>
          <w:szCs w:val="26"/>
          <w14:ligatures w14:val="standardContextual"/>
        </w:rPr>
        <w:t xml:space="preserve">PG&amp;E must file in the current </w:t>
      </w:r>
      <w:r w:rsidRPr="002376B7">
        <w:rPr>
          <w:rFonts w:eastAsia="Times New Roman" w:cs="Arial"/>
          <w:kern w:val="2"/>
          <w:szCs w:val="26"/>
          <w14:ligatures w14:val="standardContextual"/>
        </w:rPr>
        <w:t>Distribution Investment Deferral Framework (DIDF)</w:t>
      </w:r>
      <w:r w:rsidRPr="00522A51">
        <w:rPr>
          <w:rFonts w:eastAsia="Times New Roman" w:cs="Arial"/>
          <w:kern w:val="2"/>
          <w:szCs w:val="26"/>
          <w14:ligatures w14:val="standardContextual"/>
        </w:rPr>
        <w:t xml:space="preserve"> proceeding or a successor proceeding when those distribution elements associated with the Estrella Project become necessary (expected approximately 5-15 years). If DIDF procurement is successful, a Tier 1 advice letter to Energy Division referencing the instant proceeding would be filed to document the completion. If DIDF procurement is not successful, PG&amp;E shall file a petition for modification in this instant proceeding to address the distribution elements for the Commission to review the feasibility of the battery storage components and/or distribution elements in light of the record developed as part of the DIDF process and any further record as necessary to examine the issue at that time.</w:t>
      </w:r>
    </w:p>
    <w:bookmarkEnd w:id="297"/>
    <w:p w:rsidRPr="00522A51" w:rsidR="002376B7" w:rsidP="002376B7" w:rsidRDefault="002376B7" w14:paraId="6820C7CD" w14:textId="77777777">
      <w:pPr>
        <w:spacing w:line="240" w:lineRule="auto"/>
        <w:ind w:left="720" w:right="1080" w:firstLine="0"/>
        <w:contextualSpacing/>
        <w:rPr>
          <w:rFonts w:eastAsia="Times New Roman" w:cs="Arial"/>
          <w:kern w:val="2"/>
          <w:szCs w:val="26"/>
          <w14:ligatures w14:val="standardContextual"/>
        </w:rPr>
      </w:pPr>
    </w:p>
    <w:p w:rsidR="002376B7" w:rsidP="002376B7" w:rsidRDefault="002376B7" w14:paraId="7BE7485A" w14:textId="77777777">
      <w:pPr>
        <w:contextualSpacing/>
        <w:rPr>
          <w:rFonts w:eastAsia="Aptos" w:cs="Arial"/>
          <w:kern w:val="2"/>
          <w:szCs w:val="26"/>
          <w14:ligatures w14:val="standardContextual"/>
        </w:rPr>
      </w:pPr>
      <w:r w:rsidRPr="00522A51">
        <w:rPr>
          <w:rFonts w:eastAsia="Aptos" w:cs="Arial"/>
          <w:kern w:val="2"/>
          <w:szCs w:val="26"/>
          <w14:ligatures w14:val="standardContextual"/>
        </w:rPr>
        <w:t xml:space="preserve">This approach aligns with the underlying intent of DIDF, to seek more non-wire solutions where appropriate.  Moreover, if procurement of distributed energy resources (DERs) in DIDF is not successful, the record developed by that </w:t>
      </w:r>
      <w:r w:rsidRPr="00522A51">
        <w:rPr>
          <w:rFonts w:eastAsia="Aptos" w:cs="Arial"/>
          <w:kern w:val="2"/>
          <w:szCs w:val="26"/>
          <w14:ligatures w14:val="standardContextual"/>
        </w:rPr>
        <w:lastRenderedPageBreak/>
        <w:t>DIDF proce</w:t>
      </w:r>
      <w:r>
        <w:rPr>
          <w:rFonts w:eastAsia="Aptos" w:cs="Arial"/>
          <w:kern w:val="2"/>
          <w:szCs w:val="26"/>
          <w14:ligatures w14:val="standardContextual"/>
        </w:rPr>
        <w:t>eding</w:t>
      </w:r>
      <w:r w:rsidRPr="00522A51">
        <w:rPr>
          <w:rFonts w:eastAsia="Aptos" w:cs="Arial"/>
          <w:kern w:val="2"/>
          <w:szCs w:val="26"/>
          <w14:ligatures w14:val="standardContextual"/>
        </w:rPr>
        <w:t xml:space="preserve"> will further inform the Commission in future related decision-making and </w:t>
      </w:r>
      <w:r>
        <w:rPr>
          <w:rFonts w:eastAsia="Aptos" w:cs="Arial"/>
          <w:kern w:val="2"/>
          <w:szCs w:val="26"/>
          <w14:ligatures w14:val="standardContextual"/>
        </w:rPr>
        <w:t xml:space="preserve">review of </w:t>
      </w:r>
      <w:r w:rsidRPr="00522A51">
        <w:rPr>
          <w:rFonts w:eastAsia="Aptos" w:cs="Arial"/>
          <w:kern w:val="2"/>
          <w:szCs w:val="26"/>
          <w14:ligatures w14:val="standardContextual"/>
        </w:rPr>
        <w:t>overriding considerations, including examination of more precise need, feasibility and cost information to be balanced in view of any the additional environmental impacts that would be caused by wires, in which case procurement may still be ordered.</w:t>
      </w:r>
      <w:r w:rsidRPr="00522A51">
        <w:rPr>
          <w:rFonts w:eastAsia="Aptos" w:cs="Arial"/>
          <w:kern w:val="2"/>
          <w:szCs w:val="26"/>
          <w:vertAlign w:val="superscript"/>
          <w14:ligatures w14:val="standardContextual"/>
        </w:rPr>
        <w:footnoteReference w:id="132"/>
      </w:r>
    </w:p>
    <w:p w:rsidRPr="00522A51" w:rsidR="002376B7" w:rsidP="00522A51" w:rsidRDefault="002376B7" w14:paraId="27B845AB" w14:textId="746C8001">
      <w:pPr>
        <w:contextualSpacing/>
        <w:rPr>
          <w:rFonts w:eastAsia="Aptos" w:cs="Arial"/>
          <w:kern w:val="2"/>
          <w:szCs w:val="26"/>
          <w14:ligatures w14:val="standardContextual"/>
        </w:rPr>
      </w:pPr>
      <w:r>
        <w:rPr>
          <w:rFonts w:eastAsia="Aptos" w:cs="Arial"/>
          <w:kern w:val="2"/>
          <w:szCs w:val="26"/>
          <w14:ligatures w14:val="standardContextual"/>
        </w:rPr>
        <w:t>W</w:t>
      </w:r>
      <w:r w:rsidRPr="00522A51">
        <w:rPr>
          <w:rFonts w:eastAsia="Aptos" w:cs="Arial"/>
          <w:kern w:val="2"/>
          <w:szCs w:val="26"/>
          <w14:ligatures w14:val="standardContextual"/>
        </w:rPr>
        <w:t xml:space="preserve">e note that the Commission has issued several decisions to encourage and explicitly order the development of additional battery storage solutions. While some of those other proceedings may have overlapped with the instant proceeding, utilities have made converse arguments in the DIDF proceeding to exclude elements related to GO 131-D proceedings.  </w:t>
      </w:r>
    </w:p>
    <w:p w:rsidRPr="00522A51" w:rsidR="002376B7" w:rsidP="00522A51" w:rsidRDefault="002376B7" w14:paraId="637BD424" w14:textId="574534F5">
      <w:pPr>
        <w:contextualSpacing/>
        <w:rPr>
          <w:rFonts w:eastAsia="Aptos" w:cs="Arial"/>
          <w:kern w:val="2"/>
          <w:szCs w:val="26"/>
          <w14:ligatures w14:val="standardContextual"/>
        </w:rPr>
      </w:pPr>
      <w:r w:rsidRPr="00522A51">
        <w:rPr>
          <w:rFonts w:eastAsia="Aptos" w:cs="Arial"/>
          <w:kern w:val="2"/>
          <w:szCs w:val="26"/>
          <w14:ligatures w14:val="standardContextual"/>
        </w:rPr>
        <w:t xml:space="preserve">We also note that DIDF does not consider the site-specific environmental impacts of </w:t>
      </w:r>
      <w:r>
        <w:rPr>
          <w:rFonts w:eastAsia="Aptos" w:cs="Arial"/>
          <w:kern w:val="2"/>
          <w:szCs w:val="26"/>
          <w14:ligatures w14:val="standardContextual"/>
        </w:rPr>
        <w:t>DER</w:t>
      </w:r>
      <w:r w:rsidRPr="00522A51">
        <w:rPr>
          <w:rFonts w:eastAsia="Aptos" w:cs="Arial"/>
          <w:kern w:val="2"/>
          <w:szCs w:val="26"/>
          <w14:ligatures w14:val="standardContextual"/>
        </w:rPr>
        <w:t xml:space="preserve"> procurement and instead focuses on economic, policy, and engineering feasibility. As such, DIDF does not give the same weight to reducing environmental impacts when reaching a decision, contrary to the requirements of CEQA placed upon the Commission in this decision. In turn, simply deferring decision on implementing BS-2 and BS-3 to DIDF will not meaningfully address concerns of environmental impacts and siting of batteries which are not addressed in DIDF procurement processes.</w:t>
      </w:r>
    </w:p>
    <w:p w:rsidRPr="00522A51" w:rsidR="002376B7" w:rsidP="00522A51" w:rsidRDefault="002376B7" w14:paraId="5D039D89" w14:textId="283E677D">
      <w:pPr>
        <w:contextualSpacing/>
        <w:rPr>
          <w:rFonts w:eastAsia="Aptos" w:cs="Arial"/>
          <w:kern w:val="2"/>
          <w:szCs w:val="26"/>
          <w14:ligatures w14:val="standardContextual"/>
        </w:rPr>
      </w:pPr>
      <w:r w:rsidRPr="00522A51">
        <w:rPr>
          <w:rFonts w:eastAsia="Aptos" w:cs="Arial"/>
          <w:kern w:val="2"/>
          <w:szCs w:val="26"/>
          <w14:ligatures w14:val="standardContextual"/>
        </w:rPr>
        <w:t xml:space="preserve">Taking all of the foregoing considerations into account, we adopt the </w:t>
      </w:r>
      <w:r>
        <w:rPr>
          <w:rFonts w:eastAsia="Aptos" w:cs="Arial"/>
          <w:kern w:val="2"/>
          <w:szCs w:val="26"/>
          <w14:ligatures w14:val="standardContextual"/>
        </w:rPr>
        <w:t xml:space="preserve">above described </w:t>
      </w:r>
      <w:r w:rsidRPr="00522A51">
        <w:rPr>
          <w:rFonts w:eastAsia="Aptos" w:cs="Arial"/>
          <w:kern w:val="2"/>
          <w:szCs w:val="26"/>
          <w14:ligatures w14:val="standardContextual"/>
        </w:rPr>
        <w:t>process for PG&amp;E’s reasonably foreseeable future distribution components of the Estrella Project</w:t>
      </w:r>
      <w:r>
        <w:rPr>
          <w:rFonts w:eastAsia="Aptos" w:cs="Arial"/>
          <w:kern w:val="2"/>
          <w:szCs w:val="26"/>
          <w14:ligatures w14:val="standardContextual"/>
        </w:rPr>
        <w:t>, and related revisions have been incorporated in section 5.4 of this decision</w:t>
      </w:r>
      <w:r w:rsidRPr="00522A51">
        <w:rPr>
          <w:rFonts w:eastAsia="Aptos" w:cs="Arial"/>
          <w:kern w:val="2"/>
          <w:szCs w:val="26"/>
          <w14:ligatures w14:val="standardContextual"/>
        </w:rPr>
        <w:t>.</w:t>
      </w:r>
    </w:p>
    <w:bookmarkEnd w:id="294"/>
    <w:p w:rsidRPr="00522A51" w:rsidR="002376B7" w:rsidP="00522A51" w:rsidRDefault="002376B7" w14:paraId="4537FCFE" w14:textId="77777777">
      <w:pPr>
        <w:keepNext/>
        <w:tabs>
          <w:tab w:val="left" w:pos="360"/>
        </w:tabs>
        <w:ind w:firstLine="0"/>
        <w:contextualSpacing/>
        <w:jc w:val="center"/>
        <w:rPr>
          <w:rFonts w:eastAsia="Aptos" w:cs="Arial"/>
          <w:b/>
          <w:bCs/>
          <w:i/>
          <w:iCs/>
          <w:kern w:val="2"/>
          <w:szCs w:val="26"/>
          <w:u w:val="single"/>
          <w14:ligatures w14:val="standardContextual"/>
        </w:rPr>
      </w:pPr>
      <w:r w:rsidRPr="00522A51">
        <w:rPr>
          <w:rFonts w:eastAsia="Aptos" w:cs="Arial"/>
          <w:b/>
          <w:bCs/>
          <w:i/>
          <w:iCs/>
          <w:kern w:val="2"/>
          <w:szCs w:val="26"/>
          <w:u w:val="single"/>
          <w14:ligatures w14:val="standardContextual"/>
        </w:rPr>
        <w:lastRenderedPageBreak/>
        <w:t>CURE’s Comments on Proposed Decision:</w:t>
      </w:r>
    </w:p>
    <w:p w:rsidRPr="00522A51" w:rsidR="002376B7" w:rsidP="00522A51" w:rsidRDefault="002376B7" w14:paraId="3D64072C" w14:textId="6F182613">
      <w:pPr>
        <w:contextualSpacing/>
        <w:rPr>
          <w:rFonts w:eastAsia="Aptos" w:cs="Arial"/>
          <w:kern w:val="2"/>
          <w:szCs w:val="26"/>
          <w14:ligatures w14:val="standardContextual"/>
        </w:rPr>
      </w:pPr>
      <w:r w:rsidRPr="00522A51">
        <w:rPr>
          <w:rFonts w:eastAsia="Aptos" w:cs="Arial"/>
          <w:kern w:val="2"/>
          <w:szCs w:val="26"/>
          <w14:ligatures w14:val="standardContextual"/>
        </w:rPr>
        <w:t>CURE, in its comments, oppose</w:t>
      </w:r>
      <w:r>
        <w:rPr>
          <w:rFonts w:eastAsia="Aptos" w:cs="Arial"/>
          <w:kern w:val="2"/>
          <w:szCs w:val="26"/>
          <w14:ligatures w14:val="standardContextual"/>
        </w:rPr>
        <w:t>s</w:t>
      </w:r>
      <w:r w:rsidRPr="00522A51">
        <w:rPr>
          <w:rFonts w:eastAsia="Aptos" w:cs="Arial"/>
          <w:kern w:val="2"/>
          <w:szCs w:val="26"/>
          <w14:ligatures w14:val="standardContextual"/>
        </w:rPr>
        <w:t xml:space="preserve"> the proposed decision, requests rejection of FEIR, and seeks determination that FEIR is inadequate or </w:t>
      </w:r>
      <w:r>
        <w:rPr>
          <w:rFonts w:eastAsia="Aptos" w:cs="Arial"/>
          <w:kern w:val="2"/>
          <w:szCs w:val="26"/>
          <w14:ligatures w14:val="standardContextual"/>
        </w:rPr>
        <w:t xml:space="preserve">otherwise </w:t>
      </w:r>
      <w:r w:rsidRPr="00522A51">
        <w:rPr>
          <w:rFonts w:eastAsia="Aptos" w:cs="Arial"/>
          <w:kern w:val="2"/>
          <w:szCs w:val="26"/>
          <w14:ligatures w14:val="standardContextual"/>
        </w:rPr>
        <w:t>request</w:t>
      </w:r>
      <w:r>
        <w:rPr>
          <w:rFonts w:eastAsia="Aptos" w:cs="Arial"/>
          <w:kern w:val="2"/>
          <w:szCs w:val="26"/>
          <w14:ligatures w14:val="standardContextual"/>
        </w:rPr>
        <w:t>s</w:t>
      </w:r>
      <w:r w:rsidRPr="00522A51">
        <w:rPr>
          <w:rFonts w:eastAsia="Aptos" w:cs="Arial"/>
          <w:kern w:val="2"/>
          <w:szCs w:val="26"/>
          <w14:ligatures w14:val="standardContextual"/>
        </w:rPr>
        <w:t xml:space="preserve"> that undergrounding be incorporated as a mitigation measure. In support, CURE reiterates its continuing objections regarding the FEIR alleging that it does not include undergrounding as a mitigation measure (thereby not including all feasible mitigation) and does not include all feasible mitigation measures for air quality, agricultural resources, and noise.</w:t>
      </w:r>
    </w:p>
    <w:p w:rsidRPr="00522A51" w:rsidR="002376B7" w:rsidP="00522A51" w:rsidRDefault="002376B7" w14:paraId="3C162250" w14:textId="7D072E8F">
      <w:pPr>
        <w:contextualSpacing/>
        <w:rPr>
          <w:rFonts w:eastAsia="Aptos" w:cs="Arial"/>
          <w:kern w:val="2"/>
          <w:szCs w:val="26"/>
          <w14:ligatures w14:val="standardContextual"/>
        </w:rPr>
      </w:pPr>
      <w:r w:rsidRPr="00522A51">
        <w:rPr>
          <w:rFonts w:eastAsia="Aptos" w:cs="Arial"/>
          <w:kern w:val="2"/>
          <w:szCs w:val="26"/>
          <w14:ligatures w14:val="standardContextual"/>
        </w:rPr>
        <w:t xml:space="preserve">Horizon West and PG&amp;E </w:t>
      </w:r>
      <w:r>
        <w:rPr>
          <w:rFonts w:eastAsia="Aptos" w:cs="Arial"/>
          <w:kern w:val="2"/>
          <w:szCs w:val="26"/>
          <w14:ligatures w14:val="standardContextual"/>
        </w:rPr>
        <w:t>j</w:t>
      </w:r>
      <w:r w:rsidRPr="00522A51">
        <w:rPr>
          <w:rFonts w:eastAsia="Aptos" w:cs="Arial"/>
          <w:kern w:val="2"/>
          <w:szCs w:val="26"/>
          <w14:ligatures w14:val="standardContextual"/>
        </w:rPr>
        <w:t xml:space="preserve">oint </w:t>
      </w:r>
      <w:r>
        <w:rPr>
          <w:rFonts w:eastAsia="Aptos" w:cs="Arial"/>
          <w:kern w:val="2"/>
          <w:szCs w:val="26"/>
          <w14:ligatures w14:val="standardContextual"/>
        </w:rPr>
        <w:t>r</w:t>
      </w:r>
      <w:r w:rsidRPr="00522A51">
        <w:rPr>
          <w:rFonts w:eastAsia="Aptos" w:cs="Arial"/>
          <w:kern w:val="2"/>
          <w:szCs w:val="26"/>
          <w14:ligatures w14:val="standardContextual"/>
        </w:rPr>
        <w:t xml:space="preserve">eply </w:t>
      </w:r>
      <w:r>
        <w:rPr>
          <w:rFonts w:eastAsia="Aptos" w:cs="Arial"/>
          <w:kern w:val="2"/>
          <w:szCs w:val="26"/>
          <w14:ligatures w14:val="standardContextual"/>
        </w:rPr>
        <w:t>c</w:t>
      </w:r>
      <w:r w:rsidRPr="00522A51">
        <w:rPr>
          <w:rFonts w:eastAsia="Aptos" w:cs="Arial"/>
          <w:kern w:val="2"/>
          <w:szCs w:val="26"/>
          <w14:ligatures w14:val="standardContextual"/>
        </w:rPr>
        <w:t>omments correctly note and address errors in CURE’s comments.</w:t>
      </w:r>
      <w:r>
        <w:rPr>
          <w:rFonts w:eastAsia="Aptos" w:cs="Arial"/>
          <w:kern w:val="2"/>
          <w:szCs w:val="26"/>
          <w14:ligatures w14:val="standardContextual"/>
        </w:rPr>
        <w:t xml:space="preserve"> As well, </w:t>
      </w:r>
      <w:r w:rsidRPr="00522A51">
        <w:rPr>
          <w:rFonts w:eastAsia="Aptos" w:cs="Arial"/>
          <w:kern w:val="2"/>
          <w:szCs w:val="26"/>
          <w14:ligatures w14:val="standardContextual"/>
        </w:rPr>
        <w:t>CURE’s comments on the proposed decision do not raise any issues that have not already been raised and adequately addressed in the CEQA admini</w:t>
      </w:r>
      <w:r w:rsidR="00C362F2">
        <w:rPr>
          <w:rFonts w:eastAsia="Aptos" w:cs="Arial"/>
          <w:kern w:val="2"/>
          <w:szCs w:val="26"/>
          <w14:ligatures w14:val="standardContextual"/>
        </w:rPr>
        <w:t>s</w:t>
      </w:r>
      <w:r w:rsidRPr="00522A51">
        <w:rPr>
          <w:rFonts w:eastAsia="Aptos" w:cs="Arial"/>
          <w:kern w:val="2"/>
          <w:szCs w:val="26"/>
          <w14:ligatures w14:val="standardContextual"/>
        </w:rPr>
        <w:t xml:space="preserve">trative process and record and </w:t>
      </w:r>
      <w:r>
        <w:rPr>
          <w:rFonts w:eastAsia="Aptos" w:cs="Arial"/>
          <w:kern w:val="2"/>
          <w:szCs w:val="26"/>
          <w14:ligatures w14:val="standardContextual"/>
        </w:rPr>
        <w:t xml:space="preserve">thoroughly discussed and </w:t>
      </w:r>
      <w:r w:rsidRPr="00522A51">
        <w:rPr>
          <w:rFonts w:eastAsia="Aptos" w:cs="Arial"/>
          <w:kern w:val="2"/>
          <w:szCs w:val="26"/>
          <w14:ligatures w14:val="standardContextual"/>
        </w:rPr>
        <w:t>addressed in section</w:t>
      </w:r>
      <w:r>
        <w:rPr>
          <w:rFonts w:eastAsia="Aptos" w:cs="Arial"/>
          <w:kern w:val="2"/>
          <w:szCs w:val="26"/>
          <w14:ligatures w14:val="standardContextual"/>
        </w:rPr>
        <w:t>s</w:t>
      </w:r>
      <w:r w:rsidRPr="00522A51">
        <w:rPr>
          <w:rFonts w:eastAsia="Aptos" w:cs="Arial"/>
          <w:kern w:val="2"/>
          <w:szCs w:val="26"/>
          <w14:ligatures w14:val="standardContextual"/>
        </w:rPr>
        <w:t xml:space="preserve"> </w:t>
      </w:r>
      <w:r>
        <w:rPr>
          <w:rFonts w:eastAsia="Aptos" w:cs="Arial"/>
          <w:kern w:val="2"/>
          <w:szCs w:val="26"/>
          <w14:ligatures w14:val="standardContextual"/>
        </w:rPr>
        <w:t xml:space="preserve">5.7, 5.8, and 8 </w:t>
      </w:r>
      <w:r w:rsidRPr="00522A51">
        <w:rPr>
          <w:rFonts w:eastAsia="Aptos" w:cs="Arial"/>
          <w:kern w:val="2"/>
          <w:szCs w:val="26"/>
          <w14:ligatures w14:val="standardContextual"/>
        </w:rPr>
        <w:t>of this decision. As such, we find revisions to the proposed decision are not merited</w:t>
      </w:r>
      <w:r>
        <w:rPr>
          <w:rFonts w:eastAsia="Aptos" w:cs="Arial"/>
          <w:kern w:val="2"/>
          <w:szCs w:val="26"/>
          <w14:ligatures w14:val="standardContextual"/>
        </w:rPr>
        <w:t xml:space="preserve"> here and none are made</w:t>
      </w:r>
      <w:r w:rsidRPr="00522A51">
        <w:rPr>
          <w:rFonts w:eastAsia="Aptos" w:cs="Arial"/>
          <w:kern w:val="2"/>
          <w:szCs w:val="26"/>
          <w14:ligatures w14:val="standardContextual"/>
        </w:rPr>
        <w:t xml:space="preserve">.    </w:t>
      </w:r>
    </w:p>
    <w:p w:rsidR="005939A5" w:rsidP="005939A5" w:rsidRDefault="005939A5" w14:paraId="4791AD22" w14:textId="77777777">
      <w:pPr>
        <w:pStyle w:val="Heading1"/>
      </w:pPr>
      <w:bookmarkStart w:name="_Toc160490941" w:id="298"/>
      <w:bookmarkStart w:name="_Toc8123724" w:id="299"/>
      <w:bookmarkStart w:name="_Toc164685434" w:id="300"/>
      <w:bookmarkEnd w:id="298"/>
      <w:r>
        <w:t>Assignment of Proceeding</w:t>
      </w:r>
      <w:bookmarkEnd w:id="299"/>
      <w:bookmarkEnd w:id="300"/>
    </w:p>
    <w:p w:rsidR="005939A5" w:rsidP="006E6574" w:rsidRDefault="00F9329E" w14:paraId="3AABDE39" w14:textId="44A502A8">
      <w:pPr>
        <w:pStyle w:val="Standard"/>
      </w:pPr>
      <w:r>
        <w:t xml:space="preserve">Karen Douglas </w:t>
      </w:r>
      <w:r w:rsidR="005939A5">
        <w:t xml:space="preserve">is the assigned Commissioner and </w:t>
      </w:r>
      <w:r w:rsidR="00442A8E">
        <w:t xml:space="preserve">Kimberly Kim </w:t>
      </w:r>
      <w:r w:rsidR="005939A5">
        <w:t>is the assigned Administrative Law Judge in this proceeding.</w:t>
      </w:r>
    </w:p>
    <w:p w:rsidR="005939A5" w:rsidP="005939A5" w:rsidRDefault="005939A5" w14:paraId="6E79079F" w14:textId="77777777">
      <w:pPr>
        <w:pStyle w:val="Dummy"/>
      </w:pPr>
      <w:bookmarkStart w:name="_Toc8123725" w:id="301"/>
      <w:bookmarkStart w:name="_Toc164685435" w:id="302"/>
      <w:r>
        <w:t>Findings of Fact</w:t>
      </w:r>
      <w:bookmarkEnd w:id="301"/>
      <w:bookmarkEnd w:id="302"/>
    </w:p>
    <w:p w:rsidRPr="00A83E9D" w:rsidR="00976F80" w:rsidP="004904B8" w:rsidRDefault="00976F80" w14:paraId="1A78E3BF" w14:textId="5319A06E">
      <w:pPr>
        <w:pStyle w:val="FoF"/>
      </w:pPr>
      <w:r w:rsidRPr="00A83E9D">
        <w:t xml:space="preserve">On </w:t>
      </w:r>
      <w:r w:rsidR="00325E91">
        <w:t>January </w:t>
      </w:r>
      <w:r w:rsidRPr="00A83E9D">
        <w:t xml:space="preserve">25, 2017, </w:t>
      </w:r>
      <w:r w:rsidR="00177A7A">
        <w:t xml:space="preserve">Applicants </w:t>
      </w:r>
      <w:r w:rsidRPr="00A83E9D">
        <w:t xml:space="preserve">PG&amp;E and </w:t>
      </w:r>
      <w:r w:rsidRPr="00F62083" w:rsidR="00F62083">
        <w:t>NextEra Energy Transmission West, LLC (now, Horizon West</w:t>
      </w:r>
      <w:r w:rsidRPr="00A83E9D">
        <w:t xml:space="preserve">) filed A.17-01-023 seeking </w:t>
      </w:r>
      <w:r w:rsidR="00F62083">
        <w:t>PTC</w:t>
      </w:r>
      <w:r w:rsidRPr="00A83E9D">
        <w:t xml:space="preserve">s to construct the Proposed Project in and near the City of </w:t>
      </w:r>
      <w:r w:rsidR="00177A7A">
        <w:t xml:space="preserve">El </w:t>
      </w:r>
      <w:r w:rsidR="00325E91">
        <w:t>Paso </w:t>
      </w:r>
      <w:r w:rsidRPr="00A83E9D">
        <w:t xml:space="preserve">de Robles, San Luis Obispo County. </w:t>
      </w:r>
    </w:p>
    <w:p w:rsidRPr="00A83E9D" w:rsidR="00976F80" w:rsidP="00831FAB" w:rsidRDefault="00976F80" w14:paraId="2AC5E750" w14:textId="192C6C83">
      <w:pPr>
        <w:pStyle w:val="FoF"/>
      </w:pPr>
      <w:r w:rsidRPr="00A83E9D">
        <w:t xml:space="preserve">In the Application, </w:t>
      </w:r>
      <w:r w:rsidRPr="00F62083" w:rsidR="00F62083">
        <w:t xml:space="preserve">NextEra Energy Transmission West, LLC (now, Horizon West) </w:t>
      </w:r>
      <w:r w:rsidRPr="00A83E9D">
        <w:t>requested a PTC for the new Estrella Substation, and specifically for the 230</w:t>
      </w:r>
      <w:r w:rsidR="00DC5A1D">
        <w:t> kV</w:t>
      </w:r>
      <w:r w:rsidRPr="00A83E9D">
        <w:t xml:space="preserve"> </w:t>
      </w:r>
      <w:proofErr w:type="spellStart"/>
      <w:r w:rsidRPr="00A83E9D">
        <w:t>buswork</w:t>
      </w:r>
      <w:proofErr w:type="spellEnd"/>
      <w:r w:rsidRPr="00A83E9D">
        <w:t xml:space="preserve"> and termination equipment and a new 230/70</w:t>
      </w:r>
      <w:r w:rsidR="00DC5A1D">
        <w:t> kV</w:t>
      </w:r>
      <w:r w:rsidRPr="00A83E9D">
        <w:t xml:space="preserve"> transformer bank at the Estrella Substation.  PG&amp;E requested a PTC to: (</w:t>
      </w:r>
      <w:proofErr w:type="spellStart"/>
      <w:r w:rsidRPr="00A83E9D">
        <w:t>i</w:t>
      </w:r>
      <w:proofErr w:type="spellEnd"/>
      <w:r w:rsidRPr="00A83E9D">
        <w:t xml:space="preserve">) </w:t>
      </w:r>
      <w:r w:rsidRPr="00A83E9D">
        <w:lastRenderedPageBreak/>
        <w:t>construct its 70</w:t>
      </w:r>
      <w:r w:rsidR="00DC5A1D">
        <w:t> kV</w:t>
      </w:r>
      <w:r w:rsidRPr="00A83E9D">
        <w:t xml:space="preserve"> portion of the proposed substation (which PG&amp;E has named the “Union Substation”); (ii) interconnect the Morro Bay-California Flats 230</w:t>
      </w:r>
      <w:r w:rsidR="00DC5A1D">
        <w:t> kV</w:t>
      </w:r>
      <w:r w:rsidRPr="00A83E9D">
        <w:t xml:space="preserve"> line to the Estrella Substation; (iii) construct a new double circuit 70</w:t>
      </w:r>
      <w:r w:rsidR="00DC5A1D">
        <w:t> kV</w:t>
      </w:r>
      <w:r w:rsidRPr="00A83E9D">
        <w:t xml:space="preserve"> line from the Union Substation through the City of </w:t>
      </w:r>
      <w:r w:rsidR="00325E91">
        <w:t>Paso </w:t>
      </w:r>
      <w:r w:rsidRPr="00A83E9D">
        <w:t>Robles and connect it to the existing San Miguel-</w:t>
      </w:r>
      <w:r w:rsidR="00325E91">
        <w:t>Paso </w:t>
      </w:r>
      <w:r w:rsidRPr="00A83E9D">
        <w:t>Robles 70</w:t>
      </w:r>
      <w:r w:rsidR="00DC5A1D">
        <w:t> kV</w:t>
      </w:r>
      <w:r w:rsidRPr="00A83E9D">
        <w:t xml:space="preserve"> line; and (iv) reconductor a portion of the existing San Miguel-</w:t>
      </w:r>
      <w:r w:rsidR="00325E91">
        <w:t>Paso </w:t>
      </w:r>
      <w:r w:rsidRPr="00A83E9D">
        <w:t>Robles 70</w:t>
      </w:r>
      <w:r w:rsidR="00DC5A1D">
        <w:t> kV</w:t>
      </w:r>
      <w:r w:rsidRPr="00A83E9D">
        <w:t xml:space="preserve"> line from the point at which the new 70</w:t>
      </w:r>
      <w:r w:rsidR="00DC5A1D">
        <w:t> kV</w:t>
      </w:r>
      <w:r w:rsidRPr="00A83E9D">
        <w:t xml:space="preserve"> line would connect southward to the existing </w:t>
      </w:r>
      <w:r w:rsidR="00325E91">
        <w:t>Paso </w:t>
      </w:r>
      <w:r w:rsidRPr="00A83E9D">
        <w:t>Robles Substation.</w:t>
      </w:r>
    </w:p>
    <w:p w:rsidRPr="00A83E9D" w:rsidR="00976F80" w:rsidP="00831FAB" w:rsidRDefault="00976F80" w14:paraId="0547A223" w14:textId="42C759EE">
      <w:pPr>
        <w:pStyle w:val="FoF"/>
      </w:pPr>
      <w:r w:rsidRPr="00A83E9D">
        <w:t xml:space="preserve">The Proposed Project is a reliability-driven transmission solution in the Los Padres division of PG&amp;E’s service territory that was identified by the CAISO and approved in its 2013-2014 Transmission Plan “to provide </w:t>
      </w:r>
      <w:r w:rsidR="00325E91">
        <w:t>Paso </w:t>
      </w:r>
      <w:r w:rsidRPr="00A83E9D">
        <w:t>Robles Substation with more reinforced 70</w:t>
      </w:r>
      <w:r w:rsidR="00DC5A1D">
        <w:t> kV</w:t>
      </w:r>
      <w:r w:rsidRPr="00A83E9D">
        <w:t xml:space="preserve"> sources from Templeton and Estrella” and includes 230</w:t>
      </w:r>
      <w:r w:rsidR="00DC5A1D">
        <w:t> kV</w:t>
      </w:r>
      <w:r w:rsidRPr="00A83E9D">
        <w:t xml:space="preserve"> and 70</w:t>
      </w:r>
      <w:r w:rsidR="00DC5A1D">
        <w:t> kV</w:t>
      </w:r>
      <w:r w:rsidRPr="00A83E9D">
        <w:t xml:space="preserve"> components that together comprise the CAISO-approved reliability-driven upgrade. </w:t>
      </w:r>
    </w:p>
    <w:p w:rsidRPr="00A83E9D" w:rsidR="00976F80" w:rsidP="00831FAB" w:rsidRDefault="00976F80" w14:paraId="2823C36D" w14:textId="678D1963">
      <w:pPr>
        <w:pStyle w:val="FoF"/>
      </w:pPr>
      <w:r w:rsidRPr="00A83E9D">
        <w:t xml:space="preserve">Because the </w:t>
      </w:r>
      <w:r w:rsidRPr="000A12CC" w:rsidR="000A12CC">
        <w:t xml:space="preserve">NextEra Energy Transmission West, LLC (now, Horizon West) </w:t>
      </w:r>
      <w:r w:rsidRPr="00A83E9D">
        <w:t xml:space="preserve">components and the PG&amp;E components together form a single, integrated transmission project, </w:t>
      </w:r>
      <w:r w:rsidRPr="000A08E1" w:rsidR="000A08E1">
        <w:t xml:space="preserve">NextEra Energy Transmission West, LLC (now, Horizon West) </w:t>
      </w:r>
      <w:r w:rsidRPr="00A83E9D">
        <w:t xml:space="preserve">and PG&amp;E filed the Application jointly to request a separate PTC for each Applicant’s components of the Proposed Project (sometimes referred to as </w:t>
      </w:r>
      <w:r w:rsidR="00177A7A">
        <w:t xml:space="preserve">the </w:t>
      </w:r>
      <w:r w:rsidRPr="00A83E9D">
        <w:t>Estrella Project).</w:t>
      </w:r>
    </w:p>
    <w:p w:rsidRPr="00A83E9D" w:rsidR="007D5CEA" w:rsidP="00831FAB" w:rsidRDefault="00976F80" w14:paraId="56923990" w14:textId="6FF9741C">
      <w:pPr>
        <w:pStyle w:val="FoF"/>
      </w:pPr>
      <w:r w:rsidRPr="00A83E9D">
        <w:t xml:space="preserve">Pursuant to CEQA, the DEIR was prepared and released on </w:t>
      </w:r>
      <w:r w:rsidR="00325E91">
        <w:t>December </w:t>
      </w:r>
      <w:r w:rsidRPr="00A83E9D">
        <w:t xml:space="preserve">8, 2020; </w:t>
      </w:r>
      <w:r w:rsidR="00177A7A">
        <w:t xml:space="preserve">the </w:t>
      </w:r>
      <w:r w:rsidRPr="00A83E9D">
        <w:t xml:space="preserve">RDEIR was prepared and released on </w:t>
      </w:r>
      <w:r w:rsidR="00DE36C5">
        <w:t>November </w:t>
      </w:r>
      <w:r w:rsidRPr="00A83E9D">
        <w:t xml:space="preserve">18, 2021; and the FEIR was prepared and released on </w:t>
      </w:r>
      <w:r w:rsidR="00DE36C5">
        <w:t>April </w:t>
      </w:r>
      <w:r w:rsidRPr="00A83E9D">
        <w:t xml:space="preserve">3, 2023. </w:t>
      </w:r>
    </w:p>
    <w:p w:rsidRPr="00A83E9D" w:rsidR="00976F80" w:rsidP="00831FAB" w:rsidRDefault="007D5CEA" w14:paraId="2F10A724" w14:textId="28FC6617">
      <w:pPr>
        <w:pStyle w:val="FoF"/>
      </w:pPr>
      <w:r w:rsidRPr="00A83E9D">
        <w:t xml:space="preserve">The FEIR concludes that: “Overall, Alternative Combination #2 is considered the most advantageous option and is identified as the Environmental Superior Alternative.” </w:t>
      </w:r>
    </w:p>
    <w:p w:rsidRPr="00A83E9D" w:rsidR="00976F80" w:rsidP="00831FAB" w:rsidRDefault="00976F80" w14:paraId="2CE8D8D6" w14:textId="4F6A2305">
      <w:pPr>
        <w:pStyle w:val="FoF"/>
      </w:pPr>
      <w:r w:rsidRPr="00A83E9D">
        <w:lastRenderedPageBreak/>
        <w:t>While PG&amp;E contends that it “is not seeking authority from the Commission in its PTC to construct [the] distribution components,” the Proposed Project is a reliability project, as proposed “to accommodate forecasted electrical load growth” in the area, and in looking at the Proposed Project as a whole, the FEIR examined and selected Alternative Combination #2 as the environmentally superior alternative, including alternatives BS-2 and BS-3 in the place of the reasonably foreseeable distribution components of that Proposed Project.</w:t>
      </w:r>
    </w:p>
    <w:p w:rsidRPr="002623C8" w:rsidR="002623C8" w:rsidP="002623C8" w:rsidRDefault="002623C8" w14:paraId="73E65BE8" w14:textId="77777777">
      <w:pPr>
        <w:pStyle w:val="FoF"/>
      </w:pPr>
      <w:r w:rsidRPr="002623C8">
        <w:t>Alternative Combination #2 includes the Estrella Substation at the site proposed by Horizon West and Alternative PLR-1A for the 70 kV transmission line—as the environmentally superior alternative.</w:t>
      </w:r>
    </w:p>
    <w:p w:rsidRPr="00A83E9D" w:rsidR="00976F80" w:rsidP="00831FAB" w:rsidRDefault="00976F80" w14:paraId="7BD34B87" w14:textId="615D1D45">
      <w:pPr>
        <w:pStyle w:val="FoF"/>
      </w:pPr>
      <w:r w:rsidRPr="00A83E9D">
        <w:t xml:space="preserve">PG&amp;E supports the environmentally superior alternative, Alternative Combination #2, </w:t>
      </w:r>
      <w:r w:rsidR="00BA76FF">
        <w:t xml:space="preserve">but objects to </w:t>
      </w:r>
      <w:r w:rsidRPr="00A83E9D">
        <w:t>BS-2 and BS-3.</w:t>
      </w:r>
    </w:p>
    <w:p w:rsidR="00976F80" w:rsidP="00831FAB" w:rsidRDefault="00976F80" w14:paraId="74056650" w14:textId="35CE5B39">
      <w:pPr>
        <w:pStyle w:val="FoF"/>
      </w:pPr>
      <w:r w:rsidRPr="00A83E9D">
        <w:t xml:space="preserve">To avoid piecemealing or segmenting (to put off evaluating the reasonably foreseeable distribution component element), the FEIR properly evaluated the reasonably foreseeable distribution component element as part of our analysis. </w:t>
      </w:r>
    </w:p>
    <w:p w:rsidRPr="00A83E9D" w:rsidR="00BA76FF" w:rsidP="00831FAB" w:rsidRDefault="00BA76FF" w14:paraId="0F58F76E" w14:textId="47142E69">
      <w:pPr>
        <w:pStyle w:val="FoF"/>
      </w:pPr>
      <w:r w:rsidRPr="00BA76FF">
        <w:t>The Commission has the authority to consider and order the whole of the action, particularly where all components, including those not normally required to seek a permit to construct, are under the jurisdiction of the Commission.</w:t>
      </w:r>
    </w:p>
    <w:p w:rsidRPr="00A83E9D" w:rsidR="00976F80" w:rsidP="00831FAB" w:rsidRDefault="00976F80" w14:paraId="0E32F70A" w14:textId="09CA1E44">
      <w:pPr>
        <w:pStyle w:val="FoF"/>
      </w:pPr>
      <w:r w:rsidRPr="00A83E9D">
        <w:t xml:space="preserve">Segmenting and piecemealing projects are explicitly prohibited by CEQA, because dividing a project into a number of pieces would allow the project proponent and the lead agency to minimize the apparent environmental impacts of the whole of a project by evaluating individual pieces separately, each of which </w:t>
      </w:r>
      <w:r w:rsidR="002273BE">
        <w:t>m</w:t>
      </w:r>
      <w:r w:rsidR="00325E91">
        <w:t>ay</w:t>
      </w:r>
      <w:r w:rsidR="002273BE">
        <w:t xml:space="preserve"> </w:t>
      </w:r>
      <w:r w:rsidRPr="00A83E9D">
        <w:t xml:space="preserve">have a less-than-significant impact on the environment, but which together </w:t>
      </w:r>
      <w:r w:rsidR="002273BE">
        <w:t>m</w:t>
      </w:r>
      <w:r w:rsidR="00325E91">
        <w:t>ay</w:t>
      </w:r>
      <w:r w:rsidR="002273BE">
        <w:t xml:space="preserve"> </w:t>
      </w:r>
      <w:r w:rsidRPr="00A83E9D">
        <w:t xml:space="preserve">result in a significant impact. </w:t>
      </w:r>
    </w:p>
    <w:p w:rsidRPr="00A83E9D" w:rsidR="00976F80" w:rsidP="00831FAB" w:rsidRDefault="00976F80" w14:paraId="543BE45E" w14:textId="7FFD2DE3">
      <w:pPr>
        <w:pStyle w:val="FoF"/>
      </w:pPr>
      <w:r w:rsidRPr="00A83E9D">
        <w:t xml:space="preserve">Segmenting a project </w:t>
      </w:r>
      <w:r w:rsidR="002273BE">
        <w:t>m</w:t>
      </w:r>
      <w:r w:rsidR="00325E91">
        <w:t>ay</w:t>
      </w:r>
      <w:r w:rsidR="002273BE">
        <w:t xml:space="preserve"> </w:t>
      </w:r>
      <w:r w:rsidRPr="00A83E9D">
        <w:t>also hinder developing comprehensive mitigation strategies.</w:t>
      </w:r>
    </w:p>
    <w:p w:rsidRPr="00A83E9D" w:rsidR="00976F80" w:rsidP="00831FAB" w:rsidRDefault="00976F80" w14:paraId="18B4CAA9" w14:textId="77777777">
      <w:pPr>
        <w:pStyle w:val="FoF"/>
      </w:pPr>
      <w:r w:rsidRPr="00A83E9D">
        <w:lastRenderedPageBreak/>
        <w:t>If an activity or facility is necessary for the operation of a project, or necessary to achieve the project objectives, or a reasonably foreseeable consequence of approving the project, then it should be considered an integral project component that should be analyzed within the environmental analysis.</w:t>
      </w:r>
    </w:p>
    <w:p w:rsidRPr="00A83E9D" w:rsidR="00976F80" w:rsidP="00831FAB" w:rsidRDefault="00976F80" w14:paraId="6ACF6712" w14:textId="67BC8939">
      <w:pPr>
        <w:pStyle w:val="FoF"/>
      </w:pPr>
      <w:r w:rsidRPr="00A83E9D">
        <w:t>For the Proposed Project, those reasonably foreseeable distribution components include two new distribution line segments (totaling approximately 1.7</w:t>
      </w:r>
      <w:r w:rsidR="00DC5A1D">
        <w:t xml:space="preserve"> miles </w:t>
      </w:r>
      <w:r w:rsidRPr="00A83E9D">
        <w:t>in length) and three new pad</w:t>
      </w:r>
      <w:r w:rsidR="00D97810">
        <w:t>-</w:t>
      </w:r>
      <w:r w:rsidRPr="00A83E9D">
        <w:t>mounted 21/12</w:t>
      </w:r>
      <w:r w:rsidR="00DC5A1D">
        <w:t> kV</w:t>
      </w:r>
      <w:r w:rsidRPr="00A83E9D">
        <w:t xml:space="preserve"> transformers, a new distribution (70/21</w:t>
      </w:r>
      <w:r w:rsidR="00DC5A1D">
        <w:t> kV</w:t>
      </w:r>
      <w:r w:rsidRPr="00A83E9D">
        <w:t xml:space="preserve">) transformer within Estrella Substation and reconductoring of approximately </w:t>
      </w:r>
      <w:r w:rsidR="000522E7">
        <w:t>eight</w:t>
      </w:r>
      <w:r w:rsidR="00DC5A1D">
        <w:t xml:space="preserve"> miles </w:t>
      </w:r>
      <w:r w:rsidRPr="00A83E9D">
        <w:t>of existing distribution lines. The location of these distribution lines is not known at this time and would be determined to serve customer needs as load growth occurs in the vicinity.</w:t>
      </w:r>
    </w:p>
    <w:p w:rsidRPr="00A83E9D" w:rsidR="00976F80" w:rsidP="00831FAB" w:rsidRDefault="00976F80" w14:paraId="31B207CA" w14:textId="69678B09">
      <w:pPr>
        <w:pStyle w:val="FoF"/>
      </w:pPr>
      <w:r w:rsidRPr="00A83E9D">
        <w:t>CEQA Guidelines §</w:t>
      </w:r>
      <w:r w:rsidR="00DC5A1D">
        <w:t>§ </w:t>
      </w:r>
      <w:r w:rsidRPr="00A83E9D">
        <w:t>15003(</w:t>
      </w:r>
      <w:proofErr w:type="spellStart"/>
      <w:r w:rsidRPr="00A83E9D">
        <w:t>i</w:t>
      </w:r>
      <w:proofErr w:type="spellEnd"/>
      <w:r w:rsidRPr="00A83E9D">
        <w:t xml:space="preserve">) and 15151 articulate that CEQA does not require technical perfection, but rather adequacy, completeness and a good-faith effort at full disclosure. </w:t>
      </w:r>
    </w:p>
    <w:p w:rsidRPr="00A83E9D" w:rsidR="00976F80" w:rsidP="00831FAB" w:rsidRDefault="00976F80" w14:paraId="15E199BE" w14:textId="77777777">
      <w:pPr>
        <w:pStyle w:val="FoF"/>
      </w:pPr>
      <w:r w:rsidRPr="00A83E9D">
        <w:t xml:space="preserve">The Commission’s Energy Division prepared the FEIR in compliance with the applicable procedural requirements of CEQA and the CEQA Guidelines in the scoping process and in preparation of the FEIR. </w:t>
      </w:r>
    </w:p>
    <w:p w:rsidRPr="00A83E9D" w:rsidR="00976F80" w:rsidP="00831FAB" w:rsidRDefault="00976F80" w14:paraId="0AD3BAD6" w14:textId="0AA5ED9E">
      <w:pPr>
        <w:pStyle w:val="FoF"/>
      </w:pPr>
      <w:r w:rsidRPr="00A83E9D">
        <w:t xml:space="preserve">To identify a reasonable range of potentially feasible alternatives for consideration in the DEIR, an ASR was prepared, and a draft was circulated for public review from </w:t>
      </w:r>
      <w:r w:rsidR="00325E91">
        <w:t>March </w:t>
      </w:r>
      <w:r w:rsidRPr="00A83E9D">
        <w:t xml:space="preserve">28, 2019, to </w:t>
      </w:r>
      <w:r w:rsidR="00325E91">
        <w:t>May </w:t>
      </w:r>
      <w:r w:rsidRPr="00A83E9D">
        <w:t>10, 2019; and the Energy Division considered the comments received on the Draft ASR and prepared a Final ASR.</w:t>
      </w:r>
    </w:p>
    <w:p w:rsidRPr="00A83E9D" w:rsidR="00976F80" w:rsidP="00831FAB" w:rsidRDefault="00976F80" w14:paraId="77B348AE" w14:textId="77777777">
      <w:pPr>
        <w:pStyle w:val="FoF"/>
      </w:pPr>
      <w:r w:rsidRPr="00A83E9D">
        <w:t>In its diligence and to ensure the FEIR examined a reasonable range of alternatives, the Commission’s Energy Division prepared and circulated the ASR, which was not required by CEQA.</w:t>
      </w:r>
    </w:p>
    <w:p w:rsidRPr="00A83E9D" w:rsidR="00976F80" w:rsidP="00831FAB" w:rsidRDefault="00976F80" w14:paraId="33F82A1B" w14:textId="77777777">
      <w:pPr>
        <w:pStyle w:val="FoF"/>
      </w:pPr>
      <w:r w:rsidRPr="00A83E9D">
        <w:lastRenderedPageBreak/>
        <w:t xml:space="preserve">The Commission held two public meetings during the comment period for the DEIR and received 131 letters during the extended DEIR public review period. </w:t>
      </w:r>
    </w:p>
    <w:p w:rsidRPr="00A83E9D" w:rsidR="00976F80" w:rsidP="00831FAB" w:rsidRDefault="00976F80" w14:paraId="5274210E" w14:textId="2B13D776">
      <w:pPr>
        <w:pStyle w:val="FoF"/>
      </w:pPr>
      <w:r w:rsidRPr="00A83E9D">
        <w:t xml:space="preserve">On </w:t>
      </w:r>
      <w:r w:rsidR="00DE36C5">
        <w:t>November </w:t>
      </w:r>
      <w:r w:rsidRPr="00A83E9D">
        <w:t xml:space="preserve">18, 2021, the Energy Division published the RDEIR based on Horizon West’s purchase of an additional five acres of land at the site of the Estrella Substation and based on CURE’s comments regarding the DEIR’s air quality analysis. </w:t>
      </w:r>
    </w:p>
    <w:p w:rsidRPr="00A83E9D" w:rsidR="00976F80" w:rsidP="00831FAB" w:rsidRDefault="000522E7" w14:paraId="4C24E85B" w14:textId="52D8F768">
      <w:pPr>
        <w:pStyle w:val="FoF"/>
      </w:pPr>
      <w:r>
        <w:t xml:space="preserve">The </w:t>
      </w:r>
      <w:r w:rsidRPr="00A83E9D" w:rsidR="00976F80">
        <w:t xml:space="preserve">RDEIR consists of certain sections of the DEIR that were recirculated for comment, namely Chapter 2 (Project Description), </w:t>
      </w:r>
      <w:r w:rsidR="004B645B">
        <w:t>Section </w:t>
      </w:r>
      <w:r w:rsidRPr="00A83E9D" w:rsidR="00976F80">
        <w:t xml:space="preserve">4.2 (Agricultural Resources and Forestry Resources), and </w:t>
      </w:r>
      <w:r w:rsidR="004B645B">
        <w:t>Section </w:t>
      </w:r>
      <w:r w:rsidRPr="00A83E9D" w:rsidR="00976F80">
        <w:t xml:space="preserve">4.3 (Air Quality) (such recirculated sections are the RDEIR). </w:t>
      </w:r>
    </w:p>
    <w:p w:rsidRPr="00A83E9D" w:rsidR="00976F80" w:rsidP="00831FAB" w:rsidRDefault="00976F80" w14:paraId="3EF2D5D5" w14:textId="7715070B">
      <w:pPr>
        <w:pStyle w:val="FoF"/>
      </w:pPr>
      <w:r w:rsidRPr="00A83E9D">
        <w:t xml:space="preserve">The FEIR considered and included responses to all of the voluminous comments received during the public review period for both the DEIR and the RDEIR as well as the revisions in response to comments in accordance with </w:t>
      </w:r>
      <w:r w:rsidR="00DC5A1D">
        <w:t>§ </w:t>
      </w:r>
      <w:r w:rsidRPr="00A83E9D">
        <w:t xml:space="preserve">15088 of the CEQA Guidelines. </w:t>
      </w:r>
    </w:p>
    <w:p w:rsidRPr="00A83E9D" w:rsidR="00976F80" w:rsidP="00831FAB" w:rsidRDefault="00976F80" w14:paraId="05022001" w14:textId="77777777">
      <w:pPr>
        <w:pStyle w:val="FoF"/>
      </w:pPr>
      <w:r w:rsidRPr="00A83E9D">
        <w:t>The FEIR analyzed several potentially feasible alternatives in varied combinations of the elements of the Proposed Project to achieve project objectives and also considered the No Project Alternative, and screened out for one or more of the following reasons: (1) the alternative was infeasible; (2) the alternative failed to meet the basic project objectives; or (3) the alternative would not avoid or substantially reduce one or more significant impacts of the Proposed Project.</w:t>
      </w:r>
    </w:p>
    <w:p w:rsidRPr="00A83E9D" w:rsidR="00976F80" w:rsidP="00831FAB" w:rsidRDefault="00976F80" w14:paraId="3D926EC0" w14:textId="77777777">
      <w:pPr>
        <w:pStyle w:val="FoF"/>
      </w:pPr>
      <w:r w:rsidRPr="00A83E9D">
        <w:t>The FEIR identified each alternative’s potential significant environmental impacts and the mitigation measures that would avoid or lessen them below the level of significance, and it identified Alternative Combination #2 as the environmentally superior alternative pursuant to CEQA.</w:t>
      </w:r>
    </w:p>
    <w:p w:rsidRPr="00A83E9D" w:rsidR="00976F80" w:rsidP="00831FAB" w:rsidRDefault="00976F80" w14:paraId="115036CB" w14:textId="02D857C3">
      <w:pPr>
        <w:pStyle w:val="FoF"/>
      </w:pPr>
      <w:r w:rsidRPr="00A83E9D">
        <w:lastRenderedPageBreak/>
        <w:t xml:space="preserve">Although </w:t>
      </w:r>
      <w:r w:rsidR="00A15F87">
        <w:t>the environmentally superior alternative</w:t>
      </w:r>
      <w:r w:rsidR="007D5CEA">
        <w:t>,</w:t>
      </w:r>
      <w:r w:rsidR="00A15F87">
        <w:t xml:space="preserve"> </w:t>
      </w:r>
      <w:r w:rsidRPr="00A83E9D">
        <w:t>Alternative Combination #2</w:t>
      </w:r>
      <w:r w:rsidR="007D5CEA">
        <w:t>,</w:t>
      </w:r>
      <w:r w:rsidRPr="00A83E9D">
        <w:t xml:space="preserve"> is </w:t>
      </w:r>
      <w:r w:rsidR="000A08E1">
        <w:t>not</w:t>
      </w:r>
      <w:r w:rsidRPr="00A83E9D">
        <w:t xml:space="preserve"> identical to the Proposed Project, as proposed by the Applicant</w:t>
      </w:r>
      <w:r w:rsidR="000522E7">
        <w:t>s</w:t>
      </w:r>
      <w:r w:rsidRPr="00A83E9D">
        <w:t xml:space="preserve">, Applicants “accept and propose to build the Estrella Substation and Alternative PLR-1A that are selected as the environmentally superior alternative in the Final EIR.” </w:t>
      </w:r>
    </w:p>
    <w:p w:rsidRPr="00A83E9D" w:rsidR="00976F80" w:rsidP="00831FAB" w:rsidRDefault="00976F80" w14:paraId="4D52C59D" w14:textId="1BF6B815">
      <w:pPr>
        <w:pStyle w:val="FoF"/>
      </w:pPr>
      <w:r w:rsidRPr="00A83E9D">
        <w:t xml:space="preserve">Alternative Combination #2 would provide the reliability solution identified and approved by the CAISO in its 2013-2014 Transmission Plan. </w:t>
      </w:r>
    </w:p>
    <w:p w:rsidR="00976F80" w:rsidP="00831FAB" w:rsidRDefault="00976F80" w14:paraId="7B73F6E4" w14:textId="77777777">
      <w:pPr>
        <w:pStyle w:val="FoF"/>
      </w:pPr>
      <w:r w:rsidRPr="00A83E9D">
        <w:t>The environmentally superior alternative identified in the FEIR is feasible.</w:t>
      </w:r>
    </w:p>
    <w:p w:rsidRPr="00BA76FF" w:rsidR="00BA76FF" w:rsidP="00BA76FF" w:rsidRDefault="00BA76FF" w14:paraId="5C91985A" w14:textId="77777777">
      <w:pPr>
        <w:pStyle w:val="FoF"/>
      </w:pPr>
      <w:r w:rsidRPr="00BA76FF">
        <w:t xml:space="preserve">The FEIR in selecting the environmentally superior alternative (with Alternatives BS-2 and BS-3) complied with CEQA requirements.  </w:t>
      </w:r>
    </w:p>
    <w:p w:rsidRPr="00A83E9D" w:rsidR="00976F80" w:rsidP="00831FAB" w:rsidRDefault="00976F80" w14:paraId="2AD38762" w14:textId="40322F3E">
      <w:pPr>
        <w:pStyle w:val="FoF"/>
      </w:pPr>
      <w:r w:rsidRPr="00A83E9D">
        <w:t>The FEIR finds that the Proposed Project</w:t>
      </w:r>
      <w:r w:rsidR="002623C8">
        <w:t>, as proposed,</w:t>
      </w:r>
      <w:r w:rsidRPr="00A83E9D">
        <w:t xml:space="preserve"> would result in six significant and unavoidable impacts in the areas of Aesthetics (Impact AES-3), Agricultural and Forestry Resources (Impact AG-1 and Impact AG-2), Air Quality (Impact AQ-2 and Impact AQ-3), and Noise and Vibration (Impact NOISE-1). </w:t>
      </w:r>
    </w:p>
    <w:p w:rsidRPr="00A83E9D" w:rsidR="00976F80" w:rsidP="00831FAB" w:rsidRDefault="00976F80" w14:paraId="0FFD8C80" w14:textId="522D432E">
      <w:pPr>
        <w:pStyle w:val="FoF"/>
      </w:pPr>
      <w:r w:rsidRPr="00A83E9D">
        <w:t xml:space="preserve">The FEIR finds that the environmentally superior alternative, Alternative Combination #2 (including Alternative PLR-1A) would reduce certain of those impacts when compared with the Proposed Project, as proposed. </w:t>
      </w:r>
    </w:p>
    <w:p w:rsidRPr="00A83E9D" w:rsidR="00976F80" w:rsidP="00831FAB" w:rsidRDefault="00976F80" w14:paraId="0D03D26F" w14:textId="059AB3F8">
      <w:pPr>
        <w:pStyle w:val="FoF"/>
      </w:pPr>
      <w:r w:rsidRPr="00A83E9D">
        <w:t xml:space="preserve">The FEIR also identifies the APMs and MMs that substantially lessen the identified impacts but concludes that the impacts after </w:t>
      </w:r>
      <w:r w:rsidR="00BA267C">
        <w:t xml:space="preserve">implementation of the prescribed </w:t>
      </w:r>
      <w:r w:rsidRPr="00A83E9D">
        <w:t xml:space="preserve">mitigation </w:t>
      </w:r>
      <w:r w:rsidR="00BA267C">
        <w:t xml:space="preserve">measures </w:t>
      </w:r>
      <w:r w:rsidRPr="00A83E9D">
        <w:t>would be significant and unavoidable.</w:t>
      </w:r>
    </w:p>
    <w:p w:rsidRPr="00A83E9D" w:rsidR="00976F80" w:rsidP="00831FAB" w:rsidRDefault="00976F80" w14:paraId="66ACAE2F" w14:textId="225C166D">
      <w:pPr>
        <w:pStyle w:val="FoF"/>
      </w:pPr>
      <w:r w:rsidRPr="00A83E9D">
        <w:t xml:space="preserve">The FEIR examined the environmental impacts of the Proposed Project (as proposed) and a reasonable range of alternatives, including the No Project Alternative, as summarized above; and only after that, the FEIR selected Alternative Combination #2—comprised of the Estrella Substation and </w:t>
      </w:r>
      <w:r w:rsidRPr="00A83E9D">
        <w:lastRenderedPageBreak/>
        <w:t>Alternative PLR-1A for the 70</w:t>
      </w:r>
      <w:r w:rsidR="00DC5A1D">
        <w:t> kV</w:t>
      </w:r>
      <w:r w:rsidRPr="00A83E9D">
        <w:t xml:space="preserve"> transmission line—as the environmentally superior alternative.</w:t>
      </w:r>
    </w:p>
    <w:p w:rsidRPr="00A83E9D" w:rsidR="00976F80" w:rsidP="00831FAB" w:rsidRDefault="00976F80" w14:paraId="09A33451" w14:textId="2F103D76">
      <w:pPr>
        <w:pStyle w:val="FoF"/>
      </w:pPr>
      <w:r w:rsidRPr="00A83E9D">
        <w:t>Because the aboveground double-circuit 70</w:t>
      </w:r>
      <w:r w:rsidR="00DC5A1D">
        <w:t> kV</w:t>
      </w:r>
      <w:r w:rsidRPr="00A83E9D">
        <w:t xml:space="preserve"> alignment described in Alternative PLR-1A provides the same electrical function as the original double-circuit 70</w:t>
      </w:r>
      <w:r w:rsidR="00DC5A1D">
        <w:t> kV</w:t>
      </w:r>
      <w:r w:rsidRPr="00A83E9D">
        <w:t xml:space="preserve"> route proposed in the Application, Alternative PLR-1A will provide the same reliability-driven transmission solution that was identified by the CAISO, as described in the Application and the FEIR. </w:t>
      </w:r>
    </w:p>
    <w:p w:rsidRPr="00A83E9D" w:rsidR="00976F80" w:rsidP="00831FAB" w:rsidRDefault="00976F80" w14:paraId="551AC8D6" w14:textId="6F77D299">
      <w:pPr>
        <w:pStyle w:val="FoF"/>
      </w:pPr>
      <w:r w:rsidRPr="00A83E9D">
        <w:t>The City and all parties representing landowners and businesses in the areas near the Proposed Project as well as PG&amp;E support Alternative Combination #2, which includes PLR-1A, as the appropriate alignment for the new double-circuit 70</w:t>
      </w:r>
      <w:r w:rsidR="00DC5A1D">
        <w:t> kV</w:t>
      </w:r>
      <w:r w:rsidRPr="00A83E9D">
        <w:t xml:space="preserve"> line associated with the Proposed Project. </w:t>
      </w:r>
    </w:p>
    <w:p w:rsidRPr="00A83E9D" w:rsidR="00976F80" w:rsidP="00831FAB" w:rsidRDefault="00976F80" w14:paraId="7F97A988" w14:textId="03003A71">
      <w:pPr>
        <w:pStyle w:val="FoF"/>
      </w:pPr>
      <w:r w:rsidRPr="00A83E9D">
        <w:t>Alternative Combination #2 includes alternatives BS-2 (front of the meter battery storage) and BS-3 (behind the meter battery storage and solar), which are alternatives to distribution-voltage level components that PG&amp;E identified as “reasonably foreseeable” in the Application in order to comply with the requirements of CEQA.</w:t>
      </w:r>
    </w:p>
    <w:p w:rsidRPr="00A83E9D" w:rsidR="00976F80" w:rsidP="00831FAB" w:rsidRDefault="00976F80" w14:paraId="784FC6E8" w14:textId="0409CB68">
      <w:pPr>
        <w:pStyle w:val="FoF"/>
      </w:pPr>
      <w:r w:rsidRPr="00A83E9D">
        <w:t xml:space="preserve">The distribution level components were not originally proposed as part of the Proposed Project, but as the CEQA lead agency preparing the EIR for the Proposed Project, the Commission also has a duty to review and consider “the whole of the action.”  </w:t>
      </w:r>
    </w:p>
    <w:p w:rsidRPr="00A83E9D" w:rsidR="00976F80" w:rsidP="00831FAB" w:rsidRDefault="00976F80" w14:paraId="278E9FE7" w14:textId="076AC491">
      <w:pPr>
        <w:pStyle w:val="FoF"/>
      </w:pPr>
      <w:r w:rsidRPr="00A83E9D">
        <w:t xml:space="preserve">The whole of the Proposed Project includes the reasonably foreseeable components of that project. </w:t>
      </w:r>
    </w:p>
    <w:p w:rsidRPr="00A83E9D" w:rsidR="00976F80" w:rsidP="00831FAB" w:rsidRDefault="00976F80" w14:paraId="259930DE" w14:textId="740E3C93">
      <w:pPr>
        <w:pStyle w:val="FoF"/>
      </w:pPr>
      <w:r w:rsidRPr="00A83E9D">
        <w:t>The Proposed Project, as proposed by PG&amp;E, in the Application for PG&amp;E’s 70</w:t>
      </w:r>
      <w:r w:rsidR="00DC5A1D">
        <w:t> kV</w:t>
      </w:r>
      <w:r w:rsidRPr="00A83E9D">
        <w:t xml:space="preserve"> Substation, as demonstrated by the description of the ultimate substation buildout, above, is reasonably expected to result in additional distribution infrastructure originating from the substation.</w:t>
      </w:r>
    </w:p>
    <w:p w:rsidR="00976F80" w:rsidP="00831FAB" w:rsidRDefault="00976F80" w14:paraId="00F48739" w14:textId="5451D856">
      <w:pPr>
        <w:pStyle w:val="FoF"/>
      </w:pPr>
      <w:r w:rsidRPr="00A83E9D">
        <w:lastRenderedPageBreak/>
        <w:t xml:space="preserve">The Commission’s consideration of alternatives BS-2 and BS-3 in lieu of the Proposed Project’s reasonably foreseeable components here is within the Commission’s authority and is, therefore, required.  </w:t>
      </w:r>
    </w:p>
    <w:p w:rsidRPr="00A83E9D" w:rsidR="00BA76FF" w:rsidP="00831FAB" w:rsidRDefault="00BA76FF" w14:paraId="7BC94D26" w14:textId="629A617D">
      <w:pPr>
        <w:pStyle w:val="FoF"/>
      </w:pPr>
      <w:r w:rsidRPr="00BA76FF">
        <w:t>The Commission, as the lead agency, has broad discretion to identify a meaningful range of alternatives in performing its analysis under CEQA and is not restricted from exploring meaningful alternatives.</w:t>
      </w:r>
    </w:p>
    <w:p w:rsidR="00976F80" w:rsidP="00831FAB" w:rsidRDefault="00976F80" w14:paraId="3FF44FA0" w14:textId="72E7F3D7">
      <w:pPr>
        <w:pStyle w:val="FoF"/>
      </w:pPr>
      <w:r w:rsidRPr="00A83E9D">
        <w:t xml:space="preserve">No party has identified any specific economic, social, or other condition that warrants the Commission’s approval of the Proposed Project’s reasonably foreseeable distribution elements nor an alternative other than alternatives BS-2/BS-3 in lieu of applicant PG&amp;E’s proposed reasonably foreseeable distribution infrastructure. </w:t>
      </w:r>
    </w:p>
    <w:p w:rsidR="00BA76FF" w:rsidP="00BA76FF" w:rsidRDefault="00BA76FF" w14:paraId="2F6A200F" w14:textId="77777777">
      <w:pPr>
        <w:pStyle w:val="FoF"/>
      </w:pPr>
      <w:r>
        <w:t xml:space="preserve">The distribution elements related to the Estrella Project will not become necessary for 5-15 years, at which time, more precise need, feasibility and cost information will be available.  </w:t>
      </w:r>
    </w:p>
    <w:p w:rsidR="00BA76FF" w:rsidP="00BA76FF" w:rsidRDefault="00BA76FF" w14:paraId="155C9C12" w14:textId="77777777">
      <w:pPr>
        <w:pStyle w:val="FoF"/>
      </w:pPr>
      <w:r>
        <w:t xml:space="preserve">For PG&amp;E’s reasonably foreseeable future distribution components of the Estrella Project, the process and approach taken in this decision aligns with the underlying intent of DIDF, to seek more non-wire solutions where appropriate.  </w:t>
      </w:r>
    </w:p>
    <w:p w:rsidR="00BA76FF" w:rsidP="00BA76FF" w:rsidRDefault="00BA76FF" w14:paraId="1CDC0FFF" w14:textId="77777777">
      <w:pPr>
        <w:pStyle w:val="FoF"/>
      </w:pPr>
      <w:r>
        <w:t xml:space="preserve">The Commission has issued several decisions to encourage and explicitly order the development of additional battery storage solutions. </w:t>
      </w:r>
    </w:p>
    <w:p w:rsidR="00BA76FF" w:rsidP="00BA76FF" w:rsidRDefault="00BA76FF" w14:paraId="415E589E" w14:textId="77777777">
      <w:pPr>
        <w:pStyle w:val="FoF"/>
      </w:pPr>
      <w:r>
        <w:t xml:space="preserve">DIDF does not consider the site-specific environmental impacts of DER procurement and instead focuses on economic, policy, and engineering feasibility. </w:t>
      </w:r>
    </w:p>
    <w:p w:rsidR="00BA76FF" w:rsidP="00BA76FF" w:rsidRDefault="00BA76FF" w14:paraId="5B7A7AF7" w14:textId="77777777">
      <w:pPr>
        <w:pStyle w:val="FoF"/>
      </w:pPr>
      <w:r>
        <w:t xml:space="preserve">DIDF does not give the same weight to reducing environmental impacts when reaching a decision, contrary to the requirements of CEQA placed upon the Commission in this decision. </w:t>
      </w:r>
    </w:p>
    <w:p w:rsidRPr="00A83E9D" w:rsidR="00BA76FF" w:rsidP="00BA76FF" w:rsidRDefault="00BA76FF" w14:paraId="1D48F72F" w14:textId="04CC4035">
      <w:pPr>
        <w:pStyle w:val="FoF"/>
      </w:pPr>
      <w:r>
        <w:lastRenderedPageBreak/>
        <w:t>Simply deferring decision on implementing BS-2 and BS-3 to DIDF will not meaningfully address concerns of environmental impacts and siting of batteries which are not addressed in DIDF procurement processes.</w:t>
      </w:r>
    </w:p>
    <w:p w:rsidRPr="00A83E9D" w:rsidR="00976F80" w:rsidP="00831FAB" w:rsidRDefault="00976F80" w14:paraId="1A9F96A1" w14:textId="77777777">
      <w:pPr>
        <w:pStyle w:val="FoF"/>
      </w:pPr>
      <w:r w:rsidRPr="00A83E9D">
        <w:t xml:space="preserve">All parties, other than CURE, support approval of Alternative Combination #2, which includes Alternative PLR-1A, which is feasible and meets the project objectives and is identified as the environmentally superior alternative. </w:t>
      </w:r>
    </w:p>
    <w:p w:rsidRPr="00A83E9D" w:rsidR="00976F80" w:rsidP="00831FAB" w:rsidRDefault="00976F80" w14:paraId="776253D6" w14:textId="21E3139F">
      <w:pPr>
        <w:pStyle w:val="FoF"/>
      </w:pPr>
      <w:r w:rsidRPr="00A83E9D">
        <w:t>CURE is the only party that opposes the environmentally superior alternative and argues that PG&amp;E should underground both the entire new 70</w:t>
      </w:r>
      <w:r w:rsidR="00DC5A1D">
        <w:t> kV</w:t>
      </w:r>
      <w:r w:rsidRPr="00A83E9D">
        <w:t xml:space="preserve"> transmission line (in an unspecified route), and the existing 70</w:t>
      </w:r>
      <w:r w:rsidR="00DC5A1D">
        <w:t> kV</w:t>
      </w:r>
      <w:r w:rsidRPr="00A83E9D">
        <w:t xml:space="preserve"> transmission line that would be reconductored as part of the environmentally superior alternative. </w:t>
      </w:r>
    </w:p>
    <w:p w:rsidRPr="00A83E9D" w:rsidR="00976F80" w:rsidP="00831FAB" w:rsidRDefault="00976F80" w14:paraId="12371F2C" w14:textId="3F6180F9">
      <w:pPr>
        <w:pStyle w:val="FoF"/>
      </w:pPr>
      <w:r w:rsidRPr="00A83E9D">
        <w:t>CEQA does not require the Commission to evaluate more than th</w:t>
      </w:r>
      <w:r w:rsidR="002C7906">
        <w:t>e reasonable</w:t>
      </w:r>
      <w:r w:rsidR="00DF1CEA">
        <w:t xml:space="preserve"> range of alternatives </w:t>
      </w:r>
      <w:r w:rsidR="0076569A">
        <w:t xml:space="preserve">the FEIR </w:t>
      </w:r>
      <w:r w:rsidR="00F67259">
        <w:t>reviewed</w:t>
      </w:r>
      <w:r w:rsidRPr="00A83E9D">
        <w:t xml:space="preserve"> nor to adopt CURE’s proposed undergrounding of all 70</w:t>
      </w:r>
      <w:r w:rsidR="00DC5A1D">
        <w:t> kV</w:t>
      </w:r>
      <w:r w:rsidRPr="00A83E9D">
        <w:t xml:space="preserve"> transmission line elements. </w:t>
      </w:r>
    </w:p>
    <w:p w:rsidRPr="00A83E9D" w:rsidR="00976F80" w:rsidP="00831FAB" w:rsidRDefault="00976F80" w14:paraId="67B39A26" w14:textId="354C767D">
      <w:pPr>
        <w:pStyle w:val="FoF"/>
      </w:pPr>
      <w:r w:rsidRPr="00A83E9D">
        <w:t>The FEIR was released examining the required reasonable range of alternative</w:t>
      </w:r>
      <w:r w:rsidR="008846C2">
        <w:t>s</w:t>
      </w:r>
      <w:r w:rsidRPr="00A83E9D">
        <w:t xml:space="preserve"> to arrive at the environmentally superior alternative, following a thorough CEQA public comments process, the DEIR, comments to the DEIR, the RDEIR, and comments to the RDEIR. </w:t>
      </w:r>
    </w:p>
    <w:p w:rsidRPr="00A83E9D" w:rsidR="00976F80" w:rsidP="00831FAB" w:rsidRDefault="00976F80" w14:paraId="702D825D" w14:textId="77777777">
      <w:pPr>
        <w:pStyle w:val="FoF"/>
      </w:pPr>
      <w:r w:rsidRPr="00A83E9D">
        <w:t>The FEIR explains that strategic undergrounding was considered to avoid or reduce one or more of the originally Proposed Project’s significant environmental effects, which is why the undergrounded portion was considered for the areas with the greatest aesthetic and other environmental impacts.</w:t>
      </w:r>
    </w:p>
    <w:p w:rsidRPr="00A83E9D" w:rsidR="00976F80" w:rsidP="00831FAB" w:rsidRDefault="00976F80" w14:paraId="1CEF0C78" w14:textId="7B4F831A">
      <w:pPr>
        <w:pStyle w:val="FoF"/>
      </w:pPr>
      <w:r w:rsidRPr="00A83E9D">
        <w:t xml:space="preserve">The FEIR concludes: “Therefore it would be improper to consider undergrounding or relocating poles for the reconductoring segment to address such existing concerns.” </w:t>
      </w:r>
    </w:p>
    <w:p w:rsidRPr="00A83E9D" w:rsidR="00976F80" w:rsidP="00831FAB" w:rsidRDefault="00976F80" w14:paraId="19BE139D" w14:textId="77777777">
      <w:pPr>
        <w:pStyle w:val="FoF"/>
      </w:pPr>
      <w:r w:rsidRPr="00A83E9D">
        <w:lastRenderedPageBreak/>
        <w:t>The FEIR evaluated strategic undergrounding as part of Alternative PLR-3 (Options 1 and 2) and determined that the undergrounding alternatives would not reduce all of the significant environmental effects of the Proposed Project, especially when compared with the environmentally superior alternative.</w:t>
      </w:r>
    </w:p>
    <w:p w:rsidRPr="00A83E9D" w:rsidR="00976F80" w:rsidP="00831FAB" w:rsidRDefault="00976F80" w14:paraId="2C033478" w14:textId="1A9DA235">
      <w:pPr>
        <w:pStyle w:val="FoF"/>
      </w:pPr>
      <w:r w:rsidRPr="00A83E9D">
        <w:t xml:space="preserve">Strategic undergrounding would have significant and unavoidable impacts in the areas of air quality and noise, just like the originally proposed project and the environmentally superior alternative. </w:t>
      </w:r>
    </w:p>
    <w:p w:rsidRPr="00A83E9D" w:rsidR="00976F80" w:rsidP="00831FAB" w:rsidRDefault="00976F80" w14:paraId="1200AF8C" w14:textId="2C648540">
      <w:pPr>
        <w:pStyle w:val="FoF"/>
      </w:pPr>
      <w:r w:rsidRPr="00A83E9D">
        <w:t xml:space="preserve">While strategic undergrounding lessens agricultural impacts of the transmission line component (one area of potential environmental improvement), this would not be true if the entire transmission line were undergrounded in the same route as Alternative PLR-1A as CURE suggests because that route has farmland impacts. </w:t>
      </w:r>
    </w:p>
    <w:p w:rsidRPr="00A83E9D" w:rsidR="00976F80" w:rsidP="00831FAB" w:rsidRDefault="00976F80" w14:paraId="3F5B3A11" w14:textId="2758B25B">
      <w:pPr>
        <w:pStyle w:val="FoF"/>
      </w:pPr>
      <w:r w:rsidRPr="00A83E9D">
        <w:t xml:space="preserve">Undergrounding has other impacts due to the use of hazardous materials, greater ground disturbance, elevated noise levels, and potential biological and cultural resource impacts. </w:t>
      </w:r>
    </w:p>
    <w:p w:rsidRPr="00A83E9D" w:rsidR="00976F80" w:rsidP="00831FAB" w:rsidRDefault="00976F80" w14:paraId="29CF7E76" w14:textId="77777777">
      <w:pPr>
        <w:pStyle w:val="FoF"/>
      </w:pPr>
      <w:r w:rsidRPr="00A83E9D">
        <w:t xml:space="preserve">The Commission is not required to consider undergrounding as an alternative or as mitigation. </w:t>
      </w:r>
    </w:p>
    <w:p w:rsidRPr="00A83E9D" w:rsidR="00976F80" w:rsidP="00831FAB" w:rsidRDefault="00976F80" w14:paraId="18333801" w14:textId="77777777">
      <w:pPr>
        <w:pStyle w:val="FoF"/>
      </w:pPr>
      <w:r w:rsidRPr="00A83E9D">
        <w:t xml:space="preserve">Undergrounding “creates impacts of its own,” because trenching along the length of an undergrounding alignment can loosen soils and would involve use of hazardous materials (e.g., fuel and oil in construction equipment), which would create potential for off-site movement of pollutants to waterbodies or discharges into soil and groundwater. </w:t>
      </w:r>
    </w:p>
    <w:p w:rsidRPr="00A83E9D" w:rsidR="00976F80" w:rsidP="00831FAB" w:rsidRDefault="00976F80" w14:paraId="7FF84E9C" w14:textId="77777777">
      <w:pPr>
        <w:pStyle w:val="FoF"/>
      </w:pPr>
      <w:r w:rsidRPr="00A83E9D">
        <w:t xml:space="preserve">Undergrounding a power line would require additional excavation compared to overhead line construction and (if installed within the roadway) would use some pieces of equipment (e.g., asphalt saw) that generate elevated </w:t>
      </w:r>
      <w:r w:rsidRPr="00A83E9D">
        <w:lastRenderedPageBreak/>
        <w:t xml:space="preserve">noise compared to the construction equipment necessary for overhead power line construction. </w:t>
      </w:r>
    </w:p>
    <w:p w:rsidRPr="00A83E9D" w:rsidR="00976F80" w:rsidP="00831FAB" w:rsidRDefault="00976F80" w14:paraId="73ECA51D" w14:textId="77777777">
      <w:pPr>
        <w:pStyle w:val="FoF"/>
      </w:pPr>
      <w:r w:rsidRPr="00A83E9D">
        <w:t xml:space="preserve">Undergrounding also generally involves greater amounts of ground disturbance during construction, as compared to overhead line construction, which could potentially impact biological and cultural resources. </w:t>
      </w:r>
    </w:p>
    <w:p w:rsidRPr="00A83E9D" w:rsidR="00976F80" w:rsidP="00831FAB" w:rsidRDefault="00976F80" w14:paraId="58873FD9" w14:textId="77777777">
      <w:pPr>
        <w:pStyle w:val="FoF"/>
      </w:pPr>
      <w:r w:rsidRPr="00A83E9D">
        <w:t xml:space="preserve">Undergrounding the entire transmission line, including the existing portions that would be reconductored under the environmentally superior alternative, would have severe economic effects that make it infeasible. </w:t>
      </w:r>
    </w:p>
    <w:p w:rsidRPr="00A83E9D" w:rsidR="00976F80" w:rsidP="00831FAB" w:rsidRDefault="00976F80" w14:paraId="57A93A7A" w14:textId="77777777">
      <w:pPr>
        <w:pStyle w:val="FoF"/>
      </w:pPr>
      <w:r w:rsidRPr="00A83E9D">
        <w:t xml:space="preserve">The MMRP section of the FEIR (Attachment A of this decision) describes all feasible measures that could minimize significant adverse environmental impacts of the Proposed Project. </w:t>
      </w:r>
    </w:p>
    <w:p w:rsidRPr="00A83E9D" w:rsidR="00976F80" w:rsidP="00831FAB" w:rsidRDefault="00976F80" w14:paraId="12354193" w14:textId="02908112">
      <w:pPr>
        <w:pStyle w:val="FoF"/>
      </w:pPr>
      <w:r w:rsidRPr="00A83E9D">
        <w:t xml:space="preserve">With the mitigation measures identified in the MMRP, the Alternative Combination #2 to the Proposed Project will avoid or substantially lessen the significant environmental impacts of the Proposed Project, however some of the significant environmental impacts are unavoidable after application of all feasible mitigation measures. </w:t>
      </w:r>
    </w:p>
    <w:p w:rsidR="00976F80" w:rsidP="00831FAB" w:rsidRDefault="00976F80" w14:paraId="2021636B" w14:textId="7CB42EB5">
      <w:pPr>
        <w:pStyle w:val="FoF"/>
      </w:pPr>
      <w:r w:rsidRPr="00A83E9D">
        <w:t>The electric reliability, policy and economic benefits of approving the Alternative Combination #2 to the Proposed Project outweigh the unavoidable significant impacts.</w:t>
      </w:r>
    </w:p>
    <w:p w:rsidRPr="00A83E9D" w:rsidR="00BA76FF" w:rsidP="00BA76FF" w:rsidRDefault="00BA76FF" w14:paraId="6896E072" w14:textId="5C769DDF">
      <w:pPr>
        <w:pStyle w:val="FoF"/>
      </w:pPr>
      <w:r>
        <w:t>The record does not support selection of an action that is not the environmentally superior alternative and record lacks adequate evidence regarding the cost of battery storage.</w:t>
      </w:r>
    </w:p>
    <w:p w:rsidRPr="00A83E9D" w:rsidR="00976F80" w:rsidP="00831FAB" w:rsidRDefault="00976F80" w14:paraId="3BEFD07F" w14:textId="77777777">
      <w:pPr>
        <w:pStyle w:val="FoF"/>
      </w:pPr>
      <w:r w:rsidRPr="00A83E9D">
        <w:t xml:space="preserve">We have reviewed and considered the information contained in the FEIR, and it reflects our independent judgment. </w:t>
      </w:r>
    </w:p>
    <w:p w:rsidRPr="00A83E9D" w:rsidR="00976F80" w:rsidP="00831FAB" w:rsidRDefault="00976F80" w14:paraId="79D6FA38" w14:textId="0B1ADA59">
      <w:pPr>
        <w:pStyle w:val="FoF"/>
      </w:pPr>
      <w:r w:rsidRPr="00A83E9D">
        <w:lastRenderedPageBreak/>
        <w:t>The Commission has examined EMF impacts in numerous proceedings and consistently found the scientific evidence presented in those proceedings was uncertain as to the possible health effects of EMFs.</w:t>
      </w:r>
    </w:p>
    <w:p w:rsidRPr="00A83E9D" w:rsidR="00976F80" w:rsidP="00831FAB" w:rsidRDefault="00976F80" w14:paraId="474A235D" w14:textId="773FB85F">
      <w:pPr>
        <w:pStyle w:val="FoF"/>
      </w:pPr>
      <w:r w:rsidRPr="00A83E9D">
        <w:t>The Commission does not consider EMF</w:t>
      </w:r>
      <w:r w:rsidR="008E1647">
        <w:t>s</w:t>
      </w:r>
      <w:r w:rsidRPr="00A83E9D">
        <w:t xml:space="preserve"> in the context of CEQA review. </w:t>
      </w:r>
    </w:p>
    <w:p w:rsidRPr="00A83E9D" w:rsidR="00976F80" w:rsidP="00831FAB" w:rsidRDefault="00976F80" w14:paraId="023B8BB8" w14:textId="10BF1930">
      <w:pPr>
        <w:pStyle w:val="FoF"/>
      </w:pPr>
      <w:r w:rsidRPr="00A83E9D">
        <w:t>CURE provided comments regarding its EMF objections during the CEQA public comment process for the Proposed Project, which the FEIR addressed correctly by reiterating that EMF</w:t>
      </w:r>
      <w:r w:rsidR="008E1647">
        <w:t>s are</w:t>
      </w:r>
      <w:r w:rsidRPr="00A83E9D">
        <w:t xml:space="preserve"> not an environmental issue in the context of CEQA and that no further response is required. </w:t>
      </w:r>
    </w:p>
    <w:p w:rsidRPr="00A83E9D" w:rsidR="00976F80" w:rsidP="00831FAB" w:rsidRDefault="00976F80" w14:paraId="416BB8A8" w14:textId="2770C52D">
      <w:pPr>
        <w:pStyle w:val="FoF"/>
      </w:pPr>
      <w:r w:rsidRPr="00A83E9D">
        <w:t xml:space="preserve">Separate from the CEQA public comment process and recognizing that public concern remains, in D.06-01-042, the Commission adopted EMF policies that require utilities to consider “no-cost” and “low-cost” measures, where feasible, to reduce magnetic field exposure from new or upgraded utility facilities. </w:t>
      </w:r>
    </w:p>
    <w:p w:rsidRPr="00A83E9D" w:rsidR="00976F80" w:rsidP="00831FAB" w:rsidRDefault="00976F80" w14:paraId="5C97E251" w14:textId="3FCBA548">
      <w:pPr>
        <w:pStyle w:val="FoF"/>
      </w:pPr>
      <w:r w:rsidRPr="00A83E9D">
        <w:t xml:space="preserve">The Applicants evaluated no-cost and low-cost EMF mitigation measures and designed the Proposed Project in compliance with the Commission’s EMF Policies. </w:t>
      </w:r>
    </w:p>
    <w:p w:rsidRPr="00A83E9D" w:rsidR="00976F80" w:rsidP="00831FAB" w:rsidRDefault="00976F80" w14:paraId="49D233BD" w14:textId="0262E159">
      <w:pPr>
        <w:pStyle w:val="FoF"/>
      </w:pPr>
      <w:r w:rsidRPr="00A83E9D">
        <w:t xml:space="preserve">PG&amp;E prepared a Revised </w:t>
      </w:r>
      <w:r w:rsidRPr="006F6026" w:rsidR="006F6026">
        <w:t>EMF Field Management Plan</w:t>
      </w:r>
      <w:r w:rsidR="006F6026">
        <w:t xml:space="preserve"> </w:t>
      </w:r>
      <w:r w:rsidRPr="00A83E9D">
        <w:t>for Alternative PLR-1A (the environmentally superior alternative) and identifie</w:t>
      </w:r>
      <w:r w:rsidR="008E1647">
        <w:t>d</w:t>
      </w:r>
      <w:r w:rsidRPr="00A83E9D">
        <w:t xml:space="preserve"> the no-cost and low-cost measures that are incorporated into PG&amp;E’s portion of the Proposed Project. </w:t>
      </w:r>
    </w:p>
    <w:p w:rsidRPr="00A83E9D" w:rsidR="00976F80" w:rsidP="00831FAB" w:rsidRDefault="00976F80" w14:paraId="2017AC3C" w14:textId="0877A50F">
      <w:pPr>
        <w:pStyle w:val="FoF"/>
      </w:pPr>
      <w:r w:rsidRPr="00A83E9D">
        <w:t xml:space="preserve">The </w:t>
      </w:r>
      <w:r w:rsidRPr="006F6026" w:rsidR="006F6026">
        <w:t>EMF Field Management Plan</w:t>
      </w:r>
      <w:r w:rsidR="006F6026">
        <w:t xml:space="preserve"> </w:t>
      </w:r>
      <w:r w:rsidRPr="00A83E9D">
        <w:t xml:space="preserve">includes the required potential no-cost and low-cost magnetic field reduction measures available for the substation; all of these no-cost and low-cost measures were adopted into the design of the substation portion of the Proposed Project; and all of these measures incorporate all substation measures identified in the Commission’s EMF Design Guidelines for Electrical Facilities. </w:t>
      </w:r>
    </w:p>
    <w:p w:rsidRPr="00A83E9D" w:rsidR="00976F80" w:rsidP="00831FAB" w:rsidRDefault="00976F80" w14:paraId="473733B7" w14:textId="110715BF">
      <w:pPr>
        <w:pStyle w:val="FoF"/>
      </w:pPr>
      <w:r w:rsidRPr="00A83E9D">
        <w:lastRenderedPageBreak/>
        <w:t xml:space="preserve">Horizon West </w:t>
      </w:r>
      <w:r w:rsidR="003E7F55">
        <w:t>and PG&amp;E</w:t>
      </w:r>
      <w:r w:rsidRPr="00A83E9D">
        <w:t xml:space="preserve"> designed</w:t>
      </w:r>
      <w:r w:rsidR="00236378">
        <w:t xml:space="preserve"> their respective </w:t>
      </w:r>
      <w:r w:rsidR="00F6331A">
        <w:t xml:space="preserve">components of </w:t>
      </w:r>
      <w:r w:rsidRPr="00A83E9D">
        <w:t xml:space="preserve">the Estrella Substation to be consistent with industry standards and clearance requirements. </w:t>
      </w:r>
    </w:p>
    <w:p w:rsidRPr="00A83E9D" w:rsidR="00976F80" w:rsidP="00831FAB" w:rsidRDefault="00976F80" w14:paraId="2BC7DCFB" w14:textId="1A75F9D1">
      <w:pPr>
        <w:pStyle w:val="FoF"/>
      </w:pPr>
      <w:r w:rsidRPr="00A83E9D">
        <w:t>CURE’s proposal to underground the 70</w:t>
      </w:r>
      <w:r w:rsidR="00DC5A1D">
        <w:t> kV</w:t>
      </w:r>
      <w:r w:rsidRPr="00A83E9D">
        <w:t xml:space="preserve"> transmission line is not a low-cost mitigation measure for EMFs.</w:t>
      </w:r>
    </w:p>
    <w:p w:rsidRPr="00995AE9" w:rsidR="001244B8" w:rsidP="001244B8" w:rsidRDefault="001244B8" w14:paraId="6A40C2D5" w14:textId="77777777">
      <w:pPr>
        <w:pStyle w:val="Dummy"/>
      </w:pPr>
      <w:bookmarkStart w:name="_Toc164685436" w:id="303"/>
      <w:r w:rsidRPr="00995AE9">
        <w:t>Conclusions of Law</w:t>
      </w:r>
      <w:bookmarkEnd w:id="303"/>
    </w:p>
    <w:p w:rsidRPr="00995AE9" w:rsidR="001244B8" w:rsidP="00831FAB" w:rsidRDefault="001244B8" w14:paraId="517F50AD" w14:textId="6B87BF26">
      <w:pPr>
        <w:pStyle w:val="CoL"/>
      </w:pPr>
      <w:r w:rsidRPr="00995AE9">
        <w:t xml:space="preserve">Applicants should be granted PTCs to construct their respective components of the Proposed Project, as configured as the environmentally superior alternative, Alternative Combination #2, with the mitigation measures identified in the MMRP, attached as </w:t>
      </w:r>
      <w:r w:rsidRPr="00A5791B">
        <w:t xml:space="preserve">Attachment </w:t>
      </w:r>
      <w:r w:rsidRPr="00995AE9">
        <w:t xml:space="preserve">A to this decision. </w:t>
      </w:r>
    </w:p>
    <w:p w:rsidRPr="00995AE9" w:rsidR="001244B8" w:rsidP="00831FAB" w:rsidRDefault="001244B8" w14:paraId="1C46DAE3" w14:textId="0EDD86D4">
      <w:pPr>
        <w:pStyle w:val="CoL"/>
      </w:pPr>
      <w:r w:rsidRPr="00995AE9">
        <w:t xml:space="preserve">The </w:t>
      </w:r>
      <w:r w:rsidR="000A08E1">
        <w:t xml:space="preserve">Commission was presented with the </w:t>
      </w:r>
      <w:r w:rsidR="00C840DB">
        <w:t>F</w:t>
      </w:r>
      <w:r w:rsidRPr="00995AE9">
        <w:t xml:space="preserve">EIR </w:t>
      </w:r>
      <w:r w:rsidR="000A08E1">
        <w:t xml:space="preserve">and </w:t>
      </w:r>
      <w:r w:rsidRPr="00995AE9">
        <w:t xml:space="preserve">reviewed and considered the information in the FEIR before approving the Proposed Project, as modified. </w:t>
      </w:r>
    </w:p>
    <w:p w:rsidRPr="00995AE9" w:rsidR="001244B8" w:rsidP="00831FAB" w:rsidRDefault="001244B8" w14:paraId="6547E85D" w14:textId="77777777">
      <w:pPr>
        <w:pStyle w:val="CoL"/>
      </w:pPr>
      <w:r w:rsidRPr="00995AE9">
        <w:t xml:space="preserve">The FEIR was prepared and completed in compliance with CEQA. </w:t>
      </w:r>
    </w:p>
    <w:p w:rsidRPr="00995AE9" w:rsidR="001244B8" w:rsidP="00831FAB" w:rsidRDefault="001244B8" w14:paraId="12AA36F1" w14:textId="77777777">
      <w:pPr>
        <w:pStyle w:val="CoL"/>
      </w:pPr>
      <w:r w:rsidRPr="00995AE9">
        <w:t xml:space="preserve">The FEIR reflects the Commission’s independent judgment and analysis on all material matters. </w:t>
      </w:r>
    </w:p>
    <w:p w:rsidRPr="00995AE9" w:rsidR="001244B8" w:rsidP="00831FAB" w:rsidRDefault="001244B8" w14:paraId="270A7865" w14:textId="77777777">
      <w:pPr>
        <w:pStyle w:val="CoL"/>
      </w:pPr>
      <w:r w:rsidRPr="00995AE9">
        <w:t>The FEIR should be certified as having been prepared in compliance with CEQA.</w:t>
      </w:r>
    </w:p>
    <w:p w:rsidRPr="00995AE9" w:rsidR="001244B8" w:rsidP="00831FAB" w:rsidRDefault="001244B8" w14:paraId="57B9810C" w14:textId="0C033C07">
      <w:pPr>
        <w:pStyle w:val="CoL"/>
      </w:pPr>
      <w:r w:rsidRPr="00995AE9">
        <w:t xml:space="preserve">The environmentally superior project alternative (Alternative </w:t>
      </w:r>
      <w:r w:rsidR="00E750F5">
        <w:t>Combination</w:t>
      </w:r>
      <w:r w:rsidR="00127C05">
        <w:t> </w:t>
      </w:r>
      <w:r w:rsidR="00E750F5">
        <w:t>#</w:t>
      </w:r>
      <w:r w:rsidRPr="00995AE9">
        <w:t xml:space="preserve">2) </w:t>
      </w:r>
      <w:r w:rsidRPr="00A5791B">
        <w:t xml:space="preserve">identified in the FEIR </w:t>
      </w:r>
      <w:r w:rsidRPr="00995AE9">
        <w:t>should be approved.</w:t>
      </w:r>
    </w:p>
    <w:p w:rsidRPr="00995AE9" w:rsidR="001244B8" w:rsidP="00831FAB" w:rsidRDefault="001244B8" w14:paraId="029898B5" w14:textId="77777777">
      <w:pPr>
        <w:pStyle w:val="CoL"/>
      </w:pPr>
      <w:r w:rsidRPr="00995AE9">
        <w:t xml:space="preserve">The </w:t>
      </w:r>
      <w:r w:rsidRPr="00A5791B">
        <w:t>MMRP</w:t>
      </w:r>
      <w:r w:rsidRPr="00995AE9">
        <w:t xml:space="preserve"> section of the FEIR (Attachment </w:t>
      </w:r>
      <w:r w:rsidRPr="00A5791B">
        <w:t>A</w:t>
      </w:r>
      <w:r w:rsidRPr="00995AE9">
        <w:t xml:space="preserve"> of this decision) and the mitigation measures identified in it should be adopted.</w:t>
      </w:r>
    </w:p>
    <w:p w:rsidRPr="00A5791B" w:rsidR="001244B8" w:rsidP="00831FAB" w:rsidRDefault="001244B8" w14:paraId="33270815" w14:textId="47224725">
      <w:pPr>
        <w:pStyle w:val="CoL"/>
      </w:pPr>
      <w:r w:rsidRPr="00A5791B">
        <w:t>T</w:t>
      </w:r>
      <w:r w:rsidRPr="00995AE9">
        <w:t>he benefits of the Proposed Project, as configured as the environmentally superior alternative, Alternative Combination #2, with the mitigation measures identified in the MMRP, attached as Exhibit A to this decision, outweigh the unavoidable and adverse environmental effects</w:t>
      </w:r>
      <w:r w:rsidRPr="00A5791B">
        <w:t xml:space="preserve"> of the Proposed Project.</w:t>
      </w:r>
    </w:p>
    <w:p w:rsidRPr="00A5791B" w:rsidR="001244B8" w:rsidP="00831FAB" w:rsidRDefault="001244B8" w14:paraId="7B6DED89" w14:textId="4E4F7DDC">
      <w:pPr>
        <w:pStyle w:val="CoL"/>
      </w:pPr>
      <w:r w:rsidRPr="00A5791B">
        <w:lastRenderedPageBreak/>
        <w:t>T</w:t>
      </w:r>
      <w:r w:rsidRPr="00995AE9">
        <w:t xml:space="preserve">he overriding considerations </w:t>
      </w:r>
      <w:r w:rsidRPr="00A5791B">
        <w:t>merit granting the PTCs for the Proposed Project</w:t>
      </w:r>
      <w:r w:rsidRPr="00995AE9">
        <w:t>, as configured as the environmentally superior alternative, Alternative Combination #2, with the mitigation measures identified in the MMRP, attached as Attachment A to this decision.</w:t>
      </w:r>
    </w:p>
    <w:p w:rsidRPr="00A5791B" w:rsidR="001244B8" w:rsidP="00831FAB" w:rsidRDefault="001244B8" w14:paraId="433EA4CB" w14:textId="40D17D95">
      <w:pPr>
        <w:pStyle w:val="CoL"/>
      </w:pPr>
      <w:r w:rsidRPr="00995AE9">
        <w:t xml:space="preserve">Applicants’ </w:t>
      </w:r>
      <w:r w:rsidRPr="006F6026" w:rsidR="006F6026">
        <w:t>EMF Field Management Plan</w:t>
      </w:r>
      <w:r w:rsidRPr="00995AE9">
        <w:t xml:space="preserve"> complies with the Commission’s EMF low-cost/no-cost measures. </w:t>
      </w:r>
    </w:p>
    <w:p w:rsidR="00BA76FF" w:rsidP="00BA76FF" w:rsidRDefault="001244B8" w14:paraId="54405521" w14:textId="0E5A379D">
      <w:pPr>
        <w:pStyle w:val="CoL"/>
      </w:pPr>
      <w:r w:rsidRPr="00995AE9">
        <w:t xml:space="preserve">PG&amp;E should be ordered to implement BS-2 and/or BS-3 and seek Commission approval of the procurement </w:t>
      </w:r>
      <w:bookmarkStart w:name="_Hlk163994757" w:id="304"/>
      <w:r w:rsidR="00BA76FF">
        <w:t>in compliance with the below process:</w:t>
      </w:r>
    </w:p>
    <w:p w:rsidRPr="00995AE9" w:rsidR="00BA76FF" w:rsidP="00522A51" w:rsidRDefault="00BA76FF" w14:paraId="48B83E97" w14:textId="3B0888C2">
      <w:pPr>
        <w:pStyle w:val="CoL"/>
        <w:numPr>
          <w:ilvl w:val="0"/>
          <w:numId w:val="0"/>
        </w:numPr>
        <w:spacing w:line="240" w:lineRule="auto"/>
        <w:ind w:left="720" w:right="1080"/>
      </w:pPr>
      <w:r>
        <w:t>PG&amp;E must file in the current Distribution Investment Deferral Framework (DIDF) proceeding or a successor proceeding when those distribution elements associated with the Estrella Project become necessary (expected approximately 5-15 years). If DIDF procurement is successful, a Tier 1 advice letter to Energy Division referencing the instant proceeding would be filed to document the completion. If DIDF procurement is not successful, PG&amp;E shall file a petition for modification in this instant proceeding to address the distribution elements for the Commission to review the feasibility of the battery storage components and/or distribution elements in light of the record developed as part of the DIDF process and any further record as necessary to examine the issue at that time.</w:t>
      </w:r>
      <w:bookmarkEnd w:id="304"/>
    </w:p>
    <w:p w:rsidRPr="00A5791B" w:rsidR="001244B8" w:rsidP="008D3F12" w:rsidRDefault="001244B8" w14:paraId="4DAC9D8B" w14:textId="51735F2E">
      <w:pPr>
        <w:pStyle w:val="CoL"/>
        <w:spacing w:before="240"/>
        <w:ind w:firstLine="547"/>
      </w:pPr>
      <w:r w:rsidRPr="00A5791B">
        <w:t>CURE’s argument that PG&amp;E should underground both the entire new 70</w:t>
      </w:r>
      <w:r w:rsidR="00DC5A1D">
        <w:t> kV</w:t>
      </w:r>
      <w:r w:rsidRPr="00A5791B">
        <w:t xml:space="preserve"> transmission line (in an unspecified route), and the existing 70</w:t>
      </w:r>
      <w:r w:rsidR="00DC5A1D">
        <w:t> kV</w:t>
      </w:r>
      <w:r w:rsidRPr="00A5791B">
        <w:t xml:space="preserve"> transmission line that would be reconductored as part of the environmentally superior alternative lacks merit. </w:t>
      </w:r>
    </w:p>
    <w:p w:rsidRPr="00A5791B" w:rsidR="001244B8" w:rsidP="00831FAB" w:rsidRDefault="001244B8" w14:paraId="7224B695" w14:textId="77777777">
      <w:pPr>
        <w:pStyle w:val="CoL"/>
      </w:pPr>
      <w:r w:rsidRPr="00A5791B">
        <w:t>CURE’s request that the FEIR “should be revised and recirculated to include undergrounding the entire transmission line as a component of the Environmentally Superior Alternative” is unwarranted.</w:t>
      </w:r>
    </w:p>
    <w:p w:rsidRPr="00A5791B" w:rsidR="001244B8" w:rsidP="00831FAB" w:rsidRDefault="001244B8" w14:paraId="057D7136" w14:textId="77777777">
      <w:pPr>
        <w:pStyle w:val="CoL"/>
      </w:pPr>
      <w:r w:rsidRPr="00A5791B">
        <w:t>The FEIR adequately analyzed the Proposed Project’s impacts in each area of continued objections raised by CURE.</w:t>
      </w:r>
    </w:p>
    <w:p w:rsidRPr="00995AE9" w:rsidR="001244B8" w:rsidP="00831FAB" w:rsidRDefault="001244B8" w14:paraId="386CDA7E" w14:textId="77777777">
      <w:pPr>
        <w:pStyle w:val="CoL"/>
      </w:pPr>
      <w:r w:rsidRPr="00995AE9">
        <w:lastRenderedPageBreak/>
        <w:t xml:space="preserve">This decision </w:t>
      </w:r>
      <w:r w:rsidRPr="00A5791B">
        <w:t xml:space="preserve">should </w:t>
      </w:r>
      <w:r w:rsidRPr="00995AE9">
        <w:t xml:space="preserve">affirm all rulings made </w:t>
      </w:r>
      <w:r w:rsidRPr="00A5791B">
        <w:t xml:space="preserve">to date in this proceeding and deny all pending motions </w:t>
      </w:r>
      <w:r w:rsidRPr="00995AE9">
        <w:t xml:space="preserve">not </w:t>
      </w:r>
      <w:r w:rsidRPr="00A5791B">
        <w:t xml:space="preserve">expressly </w:t>
      </w:r>
      <w:r w:rsidRPr="00995AE9">
        <w:t>ruled on</w:t>
      </w:r>
      <w:r w:rsidRPr="00A5791B">
        <w:t xml:space="preserve"> to date</w:t>
      </w:r>
      <w:r w:rsidRPr="00995AE9">
        <w:t>.</w:t>
      </w:r>
    </w:p>
    <w:p w:rsidRPr="00995AE9" w:rsidR="001244B8" w:rsidP="00831FAB" w:rsidRDefault="001244B8" w14:paraId="4306DE41" w14:textId="77777777">
      <w:pPr>
        <w:pStyle w:val="CoL"/>
      </w:pPr>
      <w:r w:rsidRPr="00995AE9">
        <w:t xml:space="preserve">Application 17-01-023 should be closed. </w:t>
      </w:r>
    </w:p>
    <w:p w:rsidRPr="00A5791B" w:rsidR="001244B8" w:rsidP="00DC5A1D" w:rsidRDefault="001244B8" w14:paraId="79892C37" w14:textId="77777777">
      <w:pPr>
        <w:pStyle w:val="Mainex"/>
        <w:spacing w:before="180"/>
      </w:pPr>
      <w:bookmarkStart w:name="_Toc164685437" w:id="305"/>
      <w:r w:rsidRPr="00A5791B">
        <w:t>ORDER</w:t>
      </w:r>
      <w:bookmarkEnd w:id="305"/>
    </w:p>
    <w:p w:rsidRPr="00995AE9" w:rsidR="001244B8" w:rsidP="001244B8" w:rsidRDefault="001244B8" w14:paraId="1E723A8F" w14:textId="77777777">
      <w:pPr>
        <w:keepNext/>
      </w:pPr>
      <w:r w:rsidRPr="00995AE9">
        <w:rPr>
          <w:b/>
        </w:rPr>
        <w:t>IT IS ORDERED</w:t>
      </w:r>
      <w:r w:rsidRPr="00995AE9">
        <w:t xml:space="preserve"> that:</w:t>
      </w:r>
    </w:p>
    <w:p w:rsidRPr="00995AE9" w:rsidR="001244B8" w:rsidP="00831FAB" w:rsidRDefault="001244B8" w14:paraId="1F3D4E1A" w14:textId="645E728F">
      <w:pPr>
        <w:pStyle w:val="OP"/>
      </w:pPr>
      <w:r w:rsidRPr="00995AE9">
        <w:t xml:space="preserve">Pacific Gas and </w:t>
      </w:r>
      <w:r w:rsidRPr="00831FAB">
        <w:t>Electric</w:t>
      </w:r>
      <w:r w:rsidRPr="00995AE9">
        <w:t xml:space="preserve"> Company and Horizon West </w:t>
      </w:r>
      <w:r w:rsidR="002D5988">
        <w:t xml:space="preserve">Transmission, </w:t>
      </w:r>
      <w:r w:rsidRPr="00995AE9">
        <w:t xml:space="preserve">LLC are each granted a permit to construct </w:t>
      </w:r>
      <w:r w:rsidR="00C339E6">
        <w:t>for their</w:t>
      </w:r>
      <w:r w:rsidRPr="00995AE9">
        <w:t xml:space="preserve"> respective component of the Estrella Substation and </w:t>
      </w:r>
      <w:r w:rsidR="00325E91">
        <w:t>Paso </w:t>
      </w:r>
      <w:r w:rsidRPr="00995AE9">
        <w:t xml:space="preserve">Robles </w:t>
      </w:r>
      <w:r w:rsidR="002D5988">
        <w:t xml:space="preserve">Area </w:t>
      </w:r>
      <w:r w:rsidRPr="00995AE9">
        <w:t xml:space="preserve">Reinforcement Project, </w:t>
      </w:r>
      <w:bookmarkStart w:name="_Hlk161227274" w:id="306"/>
      <w:r w:rsidRPr="00995AE9">
        <w:t xml:space="preserve">configured as the Alternative Combination #2, </w:t>
      </w:r>
      <w:bookmarkEnd w:id="306"/>
      <w:r w:rsidRPr="00995AE9">
        <w:t>with the mitigation measures identified in the Mitigation Monitoring and Reporting Plan, attached as Attachment</w:t>
      </w:r>
      <w:r w:rsidR="00DC5A1D">
        <w:t> </w:t>
      </w:r>
      <w:r w:rsidRPr="00995AE9">
        <w:t>A to this decision.</w:t>
      </w:r>
    </w:p>
    <w:p w:rsidRPr="00995AE9" w:rsidR="001244B8" w:rsidP="00831FAB" w:rsidRDefault="001244B8" w14:paraId="0DEA003C" w14:textId="165DCFB0">
      <w:pPr>
        <w:pStyle w:val="OP"/>
      </w:pPr>
      <w:r w:rsidRPr="00995AE9">
        <w:t xml:space="preserve">The Final Environmental Impact Report for the Estrella Substation and </w:t>
      </w:r>
      <w:r w:rsidR="00325E91">
        <w:t>Paso </w:t>
      </w:r>
      <w:r w:rsidRPr="00995AE9">
        <w:t xml:space="preserve">Robles </w:t>
      </w:r>
      <w:r w:rsidR="002D5988">
        <w:t xml:space="preserve">Area </w:t>
      </w:r>
      <w:r w:rsidRPr="00995AE9">
        <w:t xml:space="preserve">Reinforcement Project published on </w:t>
      </w:r>
      <w:r w:rsidR="00DE36C5">
        <w:t>April </w:t>
      </w:r>
      <w:r w:rsidRPr="00995AE9">
        <w:t>3, 2023</w:t>
      </w:r>
      <w:r w:rsidR="00E048AA">
        <w:t>,</w:t>
      </w:r>
      <w:r w:rsidRPr="00995AE9">
        <w:t xml:space="preserve"> </w:t>
      </w:r>
      <w:r w:rsidRPr="00A5791B">
        <w:t>is</w:t>
      </w:r>
      <w:r w:rsidRPr="00995AE9">
        <w:t xml:space="preserve"> certified as having been prepared in compliance with the California Environmental Quality Act.</w:t>
      </w:r>
    </w:p>
    <w:p w:rsidRPr="00995AE9" w:rsidR="001244B8" w:rsidP="00831FAB" w:rsidRDefault="001244B8" w14:paraId="6517A788" w14:textId="1E568574">
      <w:pPr>
        <w:pStyle w:val="OP"/>
      </w:pPr>
      <w:r w:rsidRPr="00995AE9">
        <w:t>The Mitigation Monitoring and Reporting Plan</w:t>
      </w:r>
      <w:r w:rsidR="00EA5BFC">
        <w:t xml:space="preserve"> (MMRP)</w:t>
      </w:r>
      <w:r w:rsidRPr="00995AE9">
        <w:t xml:space="preserve"> </w:t>
      </w:r>
      <w:r w:rsidR="00EA5BFC">
        <w:t>attached as Attachment</w:t>
      </w:r>
      <w:r w:rsidR="00DC5A1D">
        <w:t> </w:t>
      </w:r>
      <w:r w:rsidR="00EA5BFC">
        <w:t xml:space="preserve">A to this decision that is a </w:t>
      </w:r>
      <w:r w:rsidRPr="00995AE9">
        <w:t>section of the Final Environmental Impact Report</w:t>
      </w:r>
      <w:r w:rsidRPr="00A5791B">
        <w:t xml:space="preserve"> </w:t>
      </w:r>
      <w:r w:rsidRPr="00995AE9">
        <w:t xml:space="preserve">and the mitigation measures identified in </w:t>
      </w:r>
      <w:r w:rsidR="00EA5BFC">
        <w:t>the MMRP</w:t>
      </w:r>
      <w:r w:rsidRPr="00995AE9">
        <w:t xml:space="preserve"> are adopted.</w:t>
      </w:r>
    </w:p>
    <w:p w:rsidRPr="00995AE9" w:rsidR="001244B8" w:rsidP="00831FAB" w:rsidRDefault="001244B8" w14:paraId="5782ECEA" w14:textId="5B4D523F">
      <w:pPr>
        <w:pStyle w:val="OP"/>
      </w:pPr>
      <w:r w:rsidRPr="00995AE9">
        <w:t xml:space="preserve">Energy Division </w:t>
      </w:r>
      <w:r w:rsidR="00DC5A1D">
        <w:t>m</w:t>
      </w:r>
      <w:r w:rsidR="00325E91">
        <w:t>ay</w:t>
      </w:r>
      <w:r w:rsidR="00DC5A1D">
        <w:t xml:space="preserve"> </w:t>
      </w:r>
      <w:r w:rsidRPr="00995AE9">
        <w:t xml:space="preserve">approve requests by Pacific Gas and Electric Company and Horizon West </w:t>
      </w:r>
      <w:r w:rsidR="00FB3504">
        <w:t xml:space="preserve">Transmission, </w:t>
      </w:r>
      <w:r w:rsidRPr="00995AE9">
        <w:t xml:space="preserve">LLC for minor project refinements that </w:t>
      </w:r>
      <w:r w:rsidR="00DC5A1D">
        <w:t>m</w:t>
      </w:r>
      <w:r w:rsidR="00325E91">
        <w:t>ay</w:t>
      </w:r>
      <w:r w:rsidR="00DC5A1D">
        <w:t xml:space="preserve"> </w:t>
      </w:r>
      <w:r w:rsidRPr="00995AE9">
        <w:t xml:space="preserve">be necessary due to final engineering of their respective components of the Estrella Substation and </w:t>
      </w:r>
      <w:r w:rsidR="00325E91">
        <w:t>Paso </w:t>
      </w:r>
      <w:r w:rsidRPr="00995AE9">
        <w:t xml:space="preserve">Robles </w:t>
      </w:r>
      <w:r w:rsidR="00FB3504">
        <w:t xml:space="preserve">Area </w:t>
      </w:r>
      <w:r w:rsidRPr="00995AE9">
        <w:t xml:space="preserve">Reinforcement Project, configured as the Alternative Combination #2 and as approved in this decision, so long as such minor project refinements are located within the geographic boundary of the study area of the Final Environmental Impact Report (FEIR) and do not, without mitigation, result in a new significant impact based on the criteria used </w:t>
      </w:r>
      <w:r w:rsidRPr="00995AE9">
        <w:lastRenderedPageBreak/>
        <w:t xml:space="preserve">in the FEIR; substantively conflict with any mitigation measure or applicable law or policy; or trigger an additional discretionary permit requirement. A minor project refinement should be strictly limited to a minor project change that will not trigger other discretionary permit requirements, that does not increase the severity of an impact or create a new impact, and that clearly and strictly complies with the intent of the mitigation measure. The applicants shall seek any project changes that do not fit within these criteria by a petition to modify this decision. </w:t>
      </w:r>
    </w:p>
    <w:p w:rsidRPr="00995AE9" w:rsidR="001244B8" w:rsidP="00831FAB" w:rsidRDefault="00940251" w14:paraId="54C7A50C" w14:textId="132F22D8">
      <w:pPr>
        <w:pStyle w:val="OP"/>
      </w:pPr>
      <w:r w:rsidRPr="00940251">
        <w:t>Pacific Gas and Electric Company and Horizon West</w:t>
      </w:r>
      <w:r w:rsidR="00FB3504">
        <w:t xml:space="preserve"> Transmission,</w:t>
      </w:r>
      <w:r w:rsidRPr="00940251">
        <w:t xml:space="preserve"> LLC </w:t>
      </w:r>
      <w:r>
        <w:t xml:space="preserve">shall report </w:t>
      </w:r>
      <w:r w:rsidR="000E262D">
        <w:t>a</w:t>
      </w:r>
      <w:r w:rsidRPr="000E262D" w:rsidR="000E262D">
        <w:t xml:space="preserve">ny proposed deviation from the approved project and adopted </w:t>
      </w:r>
      <w:r w:rsidR="00EB617D">
        <w:t>applicants’ proposed mitigation measures</w:t>
      </w:r>
      <w:r w:rsidRPr="000E262D" w:rsidR="000E262D">
        <w:t xml:space="preserve"> or mitigation measures</w:t>
      </w:r>
      <w:r w:rsidR="00106D4A">
        <w:t xml:space="preserve"> we adopt in this decision</w:t>
      </w:r>
      <w:r w:rsidRPr="000E262D" w:rsidR="000E262D">
        <w:t>, including the correction of such deviation, immediately to the C</w:t>
      </w:r>
      <w:r w:rsidR="007071EA">
        <w:t xml:space="preserve">ommission’s </w:t>
      </w:r>
      <w:r w:rsidR="00F22D17">
        <w:t xml:space="preserve">Energy Division </w:t>
      </w:r>
      <w:r w:rsidR="4596A501">
        <w:t>for its</w:t>
      </w:r>
      <w:r w:rsidRPr="00B16F03" w:rsidR="000E262D">
        <w:rPr>
          <w:i/>
          <w:iCs/>
        </w:rPr>
        <w:t xml:space="preserve"> </w:t>
      </w:r>
      <w:r w:rsidRPr="646807BC" w:rsidR="000E262D">
        <w:t>review</w:t>
      </w:r>
      <w:r w:rsidRPr="000E262D" w:rsidR="000E262D">
        <w:t xml:space="preserve"> and approval.</w:t>
      </w:r>
    </w:p>
    <w:p w:rsidR="001244B8" w:rsidP="00831FAB" w:rsidRDefault="001244B8" w14:paraId="0A13A79C" w14:textId="2238692A">
      <w:pPr>
        <w:pStyle w:val="OP"/>
      </w:pPr>
      <w:r w:rsidRPr="00995AE9">
        <w:t xml:space="preserve">Pacific Gas and Electric Company </w:t>
      </w:r>
      <w:r w:rsidR="00BA76FF">
        <w:t xml:space="preserve">(PG&amp;E) </w:t>
      </w:r>
      <w:r w:rsidRPr="00995AE9">
        <w:t xml:space="preserve">shall </w:t>
      </w:r>
      <w:r w:rsidR="00BA76FF">
        <w:t>comply with the below process</w:t>
      </w:r>
      <w:r w:rsidRPr="00995AE9">
        <w:t xml:space="preserve"> to accommodate expected future increased electric distribution demand in the </w:t>
      </w:r>
      <w:r w:rsidR="00325E91">
        <w:t>Paso </w:t>
      </w:r>
      <w:r w:rsidRPr="00995AE9">
        <w:t xml:space="preserve">Robles </w:t>
      </w:r>
      <w:r w:rsidR="00BD0458">
        <w:t>Distribution Planning Area</w:t>
      </w:r>
      <w:r w:rsidR="0055510D">
        <w:t>,</w:t>
      </w:r>
      <w:r w:rsidRPr="0055510D" w:rsidR="0055510D">
        <w:t xml:space="preserve"> </w:t>
      </w:r>
      <w:r w:rsidR="000034E8">
        <w:t>c</w:t>
      </w:r>
      <w:r w:rsidRPr="0055510D" w:rsidR="0055510D">
        <w:t>onsistent with the requirements of Alternative Combination</w:t>
      </w:r>
      <w:r w:rsidR="00127C05">
        <w:t> </w:t>
      </w:r>
      <w:r w:rsidRPr="0055510D" w:rsidR="0055510D">
        <w:t>#2</w:t>
      </w:r>
      <w:r w:rsidR="00BA76FF">
        <w:t>:</w:t>
      </w:r>
    </w:p>
    <w:p w:rsidRPr="00995AE9" w:rsidR="00BA76FF" w:rsidP="00522A51" w:rsidRDefault="00BA76FF" w14:paraId="73826060" w14:textId="69272CF3">
      <w:pPr>
        <w:pStyle w:val="BlockQuote"/>
      </w:pPr>
      <w:r>
        <w:t>PG&amp;E must file in the current Distribution Investment Deferral Framework (DIDF) proceeding or a successor proceeding when those distribution elements associated with the Estrella Project become necessary (expected approximately 5-15 years). If DIDF procurement is successful, a Tier 1 advice letter to Energy Division referencing the instant proceeding would be filed to document the completion. If DIDF procurement is not successful, PG&amp;E shall file a petition for modification in this instant proceeding to address the distribution elements for the Commission to review the feasibility of the battery storage components and/or distribution elements in light of the record developed as part of the DIDF process and any further record as necessary to examine the issue at that time.</w:t>
      </w:r>
    </w:p>
    <w:p w:rsidRPr="00995AE9" w:rsidR="001244B8" w:rsidP="00831FAB" w:rsidRDefault="001244B8" w14:paraId="2F11D4E1" w14:textId="1C88161F">
      <w:pPr>
        <w:pStyle w:val="OP"/>
      </w:pPr>
      <w:r w:rsidRPr="00995AE9">
        <w:lastRenderedPageBreak/>
        <w:t xml:space="preserve">Pacific Gas and Electric Company shall file a Tier 1 advice letter with the Commission’s Energy Division annually on the anniversary of this decision to report its progress on construction of the </w:t>
      </w:r>
      <w:r w:rsidR="00BD67D9">
        <w:t>Alternative Combination</w:t>
      </w:r>
      <w:r w:rsidR="00127C05">
        <w:t> </w:t>
      </w:r>
      <w:r w:rsidR="00BD67D9">
        <w:t xml:space="preserve">#2 </w:t>
      </w:r>
      <w:r w:rsidRPr="00995AE9">
        <w:t>until the reasonably foreseeable future distribution components are completed.</w:t>
      </w:r>
    </w:p>
    <w:p w:rsidR="001244B8" w:rsidP="00831FAB" w:rsidRDefault="001244B8" w14:paraId="5A2080F9" w14:textId="77777777">
      <w:pPr>
        <w:pStyle w:val="OP"/>
      </w:pPr>
      <w:r w:rsidRPr="00995AE9">
        <w:t>This decision affirms all rulings made to date in this proceeding and denies all pending motions not expressly ruled on to date.</w:t>
      </w:r>
    </w:p>
    <w:p w:rsidRPr="00995AE9" w:rsidR="00BF759D" w:rsidP="00831FAB" w:rsidRDefault="00BF759D" w14:paraId="519B015E" w14:textId="7E401F92">
      <w:pPr>
        <w:pStyle w:val="OP"/>
        <w:keepNext/>
      </w:pPr>
      <w:r w:rsidRPr="00BF759D">
        <w:t>Application</w:t>
      </w:r>
      <w:r w:rsidR="005543CC">
        <w:t> </w:t>
      </w:r>
      <w:r w:rsidRPr="00BF759D">
        <w:t>17-01-023 is closed.</w:t>
      </w:r>
    </w:p>
    <w:p w:rsidR="008F0116" w:rsidP="00831FAB" w:rsidRDefault="008F0116" w14:paraId="718682D4" w14:textId="37DD51C7">
      <w:pPr>
        <w:keepNext/>
      </w:pPr>
      <w:r>
        <w:t>This order is effective today.</w:t>
      </w:r>
    </w:p>
    <w:p w:rsidR="00714CF2" w:rsidP="00831FAB" w:rsidRDefault="008F0116" w14:paraId="5055F793" w14:textId="083B07FA">
      <w:pPr>
        <w:keepNext/>
      </w:pPr>
      <w:r>
        <w:t xml:space="preserve">Dated </w:t>
      </w:r>
      <w:r w:rsidR="00122AE5">
        <w:t>April 18, 2024</w:t>
      </w:r>
      <w:r>
        <w:t>, at Sa</w:t>
      </w:r>
      <w:r w:rsidR="00831FAB">
        <w:t>cramento</w:t>
      </w:r>
      <w:r>
        <w:t>, California</w:t>
      </w:r>
      <w:r w:rsidR="00122AE5">
        <w:t>.</w:t>
      </w:r>
    </w:p>
    <w:p w:rsidR="00122AE5" w:rsidP="00831FAB" w:rsidRDefault="00122AE5" w14:paraId="327591C2" w14:textId="77777777">
      <w:pPr>
        <w:keepNext/>
      </w:pPr>
    </w:p>
    <w:p w:rsidRPr="00151CBD" w:rsidR="00122AE5" w:rsidP="00FD4A4B" w:rsidRDefault="00122AE5" w14:paraId="67C18BD0" w14:textId="77777777">
      <w:pPr>
        <w:pStyle w:val="SigBlockBA-Cmr"/>
        <w:rPr>
          <w:sz w:val="28"/>
          <w:szCs w:val="28"/>
        </w:rPr>
      </w:pPr>
      <w:r w:rsidRPr="00151CBD">
        <w:rPr>
          <w:sz w:val="28"/>
          <w:szCs w:val="28"/>
        </w:rPr>
        <w:t>ALICE REYNOLDS</w:t>
      </w:r>
    </w:p>
    <w:p w:rsidRPr="00151CBD" w:rsidR="00122AE5" w:rsidP="00FD4A4B" w:rsidRDefault="00122AE5" w14:paraId="071D91D1" w14:textId="77777777">
      <w:pPr>
        <w:pStyle w:val="SigBlockBA-Title"/>
        <w:rPr>
          <w:sz w:val="28"/>
          <w:szCs w:val="28"/>
        </w:rPr>
      </w:pPr>
      <w:r w:rsidRPr="00151CBD">
        <w:rPr>
          <w:sz w:val="28"/>
          <w:szCs w:val="28"/>
        </w:rPr>
        <w:t>President</w:t>
      </w:r>
    </w:p>
    <w:p w:rsidRPr="00151CBD" w:rsidR="00122AE5" w:rsidP="00FD4A4B" w:rsidRDefault="00122AE5" w14:paraId="146FBDF2" w14:textId="77777777">
      <w:pPr>
        <w:pStyle w:val="SigBlockBA-Cmr"/>
        <w:rPr>
          <w:sz w:val="28"/>
          <w:szCs w:val="28"/>
        </w:rPr>
      </w:pPr>
      <w:r w:rsidRPr="00151CBD">
        <w:rPr>
          <w:sz w:val="28"/>
          <w:szCs w:val="28"/>
        </w:rPr>
        <w:t>DARCIE L. HOUCK</w:t>
      </w:r>
    </w:p>
    <w:p w:rsidRPr="00151CBD" w:rsidR="00122AE5" w:rsidP="00FD4A4B" w:rsidRDefault="00122AE5" w14:paraId="1DD6972D" w14:textId="77777777">
      <w:pPr>
        <w:pStyle w:val="SigBlockBA-Cmr"/>
        <w:rPr>
          <w:sz w:val="28"/>
          <w:szCs w:val="28"/>
        </w:rPr>
      </w:pPr>
      <w:r w:rsidRPr="00151CBD">
        <w:rPr>
          <w:sz w:val="28"/>
          <w:szCs w:val="28"/>
        </w:rPr>
        <w:t>JOHN REYNOLDS</w:t>
      </w:r>
    </w:p>
    <w:p w:rsidRPr="00151CBD" w:rsidR="00122AE5" w:rsidP="00FD4A4B" w:rsidRDefault="00122AE5" w14:paraId="4C725DE8" w14:textId="77777777">
      <w:pPr>
        <w:pStyle w:val="SigBlockBA-Cmr"/>
        <w:rPr>
          <w:sz w:val="28"/>
          <w:szCs w:val="28"/>
        </w:rPr>
      </w:pPr>
      <w:r w:rsidRPr="00151CBD">
        <w:rPr>
          <w:sz w:val="28"/>
          <w:szCs w:val="28"/>
        </w:rPr>
        <w:t>KAREN DOUGLAS</w:t>
      </w:r>
    </w:p>
    <w:p w:rsidRPr="00151CBD" w:rsidR="00122AE5" w:rsidP="00FD4A4B" w:rsidRDefault="00122AE5" w14:paraId="5A896ED6" w14:textId="77777777">
      <w:pPr>
        <w:pStyle w:val="SigBlockBA-Title"/>
        <w:rPr>
          <w:sz w:val="28"/>
          <w:szCs w:val="28"/>
        </w:rPr>
      </w:pPr>
      <w:r w:rsidRPr="00151CBD">
        <w:rPr>
          <w:sz w:val="28"/>
          <w:szCs w:val="28"/>
        </w:rPr>
        <w:t>Commissioners</w:t>
      </w:r>
    </w:p>
    <w:p w:rsidRPr="008F5B2D" w:rsidR="00122AE5" w:rsidP="00122AE5" w:rsidRDefault="00122AE5" w14:paraId="656DF49C" w14:textId="77777777">
      <w:pPr>
        <w:pStyle w:val="SigBlockBA-Cmr"/>
        <w:spacing w:line="360" w:lineRule="auto"/>
      </w:pPr>
    </w:p>
    <w:p w:rsidRPr="00F431C3" w:rsidR="00122AE5" w:rsidP="00FD4A4B" w:rsidRDefault="00122AE5" w14:paraId="464E01F4" w14:textId="795E634D">
      <w:pPr>
        <w:pStyle w:val="SigBlockBA-Cmr"/>
        <w:tabs>
          <w:tab w:val="left" w:pos="4320"/>
        </w:tabs>
        <w:rPr>
          <w:szCs w:val="26"/>
        </w:rPr>
      </w:pPr>
      <w:r w:rsidRPr="00F431C3">
        <w:rPr>
          <w:szCs w:val="26"/>
        </w:rPr>
        <w:t>Commissioner Matthew Baker</w:t>
      </w:r>
      <w:r w:rsidR="00FD4A4B">
        <w:rPr>
          <w:szCs w:val="26"/>
        </w:rPr>
        <w:t xml:space="preserve"> </w:t>
      </w:r>
      <w:r w:rsidRPr="00F431C3">
        <w:rPr>
          <w:szCs w:val="26"/>
        </w:rPr>
        <w:t>recused</w:t>
      </w:r>
      <w:r>
        <w:rPr>
          <w:szCs w:val="26"/>
        </w:rPr>
        <w:t xml:space="preserve"> </w:t>
      </w:r>
      <w:r w:rsidRPr="00F431C3">
        <w:rPr>
          <w:szCs w:val="26"/>
        </w:rPr>
        <w:t>himself from this agenda</w:t>
      </w:r>
      <w:r w:rsidR="00FD4A4B">
        <w:rPr>
          <w:szCs w:val="26"/>
        </w:rPr>
        <w:t xml:space="preserve"> </w:t>
      </w:r>
      <w:r w:rsidRPr="00F431C3">
        <w:rPr>
          <w:szCs w:val="26"/>
        </w:rPr>
        <w:t>item and</w:t>
      </w:r>
      <w:r>
        <w:rPr>
          <w:szCs w:val="26"/>
        </w:rPr>
        <w:t xml:space="preserve"> </w:t>
      </w:r>
      <w:r w:rsidRPr="00F431C3">
        <w:rPr>
          <w:szCs w:val="26"/>
        </w:rPr>
        <w:t>was</w:t>
      </w:r>
      <w:r w:rsidR="00FD4A4B">
        <w:rPr>
          <w:szCs w:val="26"/>
        </w:rPr>
        <w:br/>
      </w:r>
      <w:r w:rsidRPr="00F431C3">
        <w:rPr>
          <w:szCs w:val="26"/>
        </w:rPr>
        <w:t>not part of the</w:t>
      </w:r>
      <w:r w:rsidR="00FD4A4B">
        <w:rPr>
          <w:szCs w:val="26"/>
        </w:rPr>
        <w:t xml:space="preserve"> </w:t>
      </w:r>
      <w:r w:rsidRPr="00F431C3">
        <w:rPr>
          <w:szCs w:val="26"/>
        </w:rPr>
        <w:t>quorum in its consideration.</w:t>
      </w:r>
    </w:p>
    <w:p w:rsidR="00122AE5" w:rsidP="00831FAB" w:rsidRDefault="00122AE5" w14:paraId="1C9A5527" w14:textId="77777777">
      <w:pPr>
        <w:keepNext/>
      </w:pPr>
    </w:p>
    <w:p w:rsidR="005543CC" w:rsidP="00831FAB" w:rsidRDefault="005543CC" w14:paraId="035C5F11" w14:textId="77777777">
      <w:pPr>
        <w:keepNext/>
      </w:pPr>
    </w:p>
    <w:p w:rsidR="00831FAB" w:rsidP="00831FAB" w:rsidRDefault="00831FAB" w14:paraId="65E3CEE3" w14:textId="77777777">
      <w:pPr>
        <w:keepNext/>
      </w:pPr>
    </w:p>
    <w:p w:rsidR="00831FAB" w:rsidP="00831FAB" w:rsidRDefault="00831FAB" w14:paraId="561C0B6C" w14:textId="77777777">
      <w:pPr>
        <w:keepNext/>
      </w:pPr>
    </w:p>
    <w:p w:rsidR="005543CC" w:rsidP="005543CC" w:rsidRDefault="005543CC" w14:paraId="67660CD9" w14:textId="77777777">
      <w:pPr>
        <w:keepNext/>
      </w:pPr>
    </w:p>
    <w:p w:rsidR="005543CC" w:rsidP="005543CC" w:rsidRDefault="005543CC" w14:paraId="1211DAE5" w14:textId="77777777">
      <w:pPr>
        <w:keepNext/>
        <w:sectPr w:rsidR="005543CC" w:rsidSect="0005549B">
          <w:headerReference w:type="default" r:id="rId16"/>
          <w:footerReference w:type="default" r:id="rId17"/>
          <w:pgSz w:w="12240" w:h="15840"/>
          <w:pgMar w:top="1728" w:right="1440" w:bottom="1440" w:left="1440" w:header="720" w:footer="720" w:gutter="0"/>
          <w:pgNumType w:start="2"/>
          <w:cols w:space="720"/>
          <w:docGrid w:linePitch="360"/>
        </w:sectPr>
      </w:pPr>
    </w:p>
    <w:p w:rsidRPr="00DC5A1D" w:rsidR="005543CC" w:rsidP="004904B8" w:rsidRDefault="005543CC" w14:paraId="12BF6890" w14:textId="77777777">
      <w:pPr>
        <w:spacing w:line="240" w:lineRule="auto"/>
        <w:ind w:firstLine="0"/>
        <w:jc w:val="center"/>
        <w:rPr>
          <w:sz w:val="48"/>
          <w:szCs w:val="48"/>
        </w:rPr>
      </w:pPr>
    </w:p>
    <w:p w:rsidRPr="00DC5A1D" w:rsidR="005543CC" w:rsidP="004904B8" w:rsidRDefault="005543CC" w14:paraId="2FAC2DDD" w14:textId="77777777">
      <w:pPr>
        <w:spacing w:line="240" w:lineRule="auto"/>
        <w:ind w:firstLine="0"/>
        <w:jc w:val="center"/>
        <w:rPr>
          <w:sz w:val="48"/>
          <w:szCs w:val="48"/>
        </w:rPr>
      </w:pPr>
    </w:p>
    <w:p w:rsidR="00E51D0E" w:rsidP="004904B8" w:rsidRDefault="00E51D0E" w14:paraId="3BFE3191" w14:textId="77777777">
      <w:pPr>
        <w:spacing w:line="240" w:lineRule="auto"/>
        <w:ind w:firstLine="0"/>
        <w:jc w:val="center"/>
        <w:rPr>
          <w:b/>
          <w:bCs/>
          <w:sz w:val="48"/>
          <w:szCs w:val="48"/>
        </w:rPr>
      </w:pPr>
    </w:p>
    <w:p w:rsidRPr="00DC5A1D" w:rsidR="00DC5A1D" w:rsidP="004904B8" w:rsidRDefault="00DC5A1D" w14:paraId="07D2CB42" w14:textId="77777777">
      <w:pPr>
        <w:spacing w:line="240" w:lineRule="auto"/>
        <w:ind w:firstLine="0"/>
        <w:jc w:val="center"/>
        <w:rPr>
          <w:b/>
          <w:bCs/>
          <w:sz w:val="48"/>
          <w:szCs w:val="48"/>
        </w:rPr>
      </w:pPr>
    </w:p>
    <w:p w:rsidR="00E51D0E" w:rsidP="004904B8" w:rsidRDefault="00E51D0E" w14:paraId="6B10E624" w14:textId="77777777">
      <w:pPr>
        <w:spacing w:line="240" w:lineRule="auto"/>
        <w:ind w:firstLine="0"/>
        <w:jc w:val="center"/>
        <w:rPr>
          <w:b/>
          <w:bCs/>
          <w:sz w:val="48"/>
          <w:szCs w:val="48"/>
        </w:rPr>
      </w:pPr>
    </w:p>
    <w:p w:rsidR="004904B8" w:rsidP="004904B8" w:rsidRDefault="004904B8" w14:paraId="287A5D68" w14:textId="77777777">
      <w:pPr>
        <w:spacing w:line="240" w:lineRule="auto"/>
        <w:ind w:firstLine="0"/>
        <w:jc w:val="center"/>
        <w:rPr>
          <w:b/>
          <w:bCs/>
          <w:sz w:val="48"/>
          <w:szCs w:val="48"/>
        </w:rPr>
      </w:pPr>
    </w:p>
    <w:p w:rsidR="004904B8" w:rsidP="004904B8" w:rsidRDefault="004904B8" w14:paraId="7C37D4F1" w14:textId="77777777">
      <w:pPr>
        <w:spacing w:line="240" w:lineRule="auto"/>
        <w:ind w:firstLine="0"/>
        <w:jc w:val="center"/>
        <w:rPr>
          <w:b/>
          <w:bCs/>
          <w:sz w:val="48"/>
          <w:szCs w:val="48"/>
        </w:rPr>
      </w:pPr>
    </w:p>
    <w:p w:rsidRPr="00DC5A1D" w:rsidR="00122AE5" w:rsidP="004904B8" w:rsidRDefault="00122AE5" w14:paraId="242046FB" w14:textId="77777777">
      <w:pPr>
        <w:spacing w:line="240" w:lineRule="auto"/>
        <w:ind w:firstLine="0"/>
        <w:jc w:val="center"/>
        <w:rPr>
          <w:b/>
          <w:bCs/>
          <w:sz w:val="48"/>
          <w:szCs w:val="48"/>
        </w:rPr>
      </w:pPr>
    </w:p>
    <w:p w:rsidR="005543CC" w:rsidP="00522A51" w:rsidRDefault="005543CC" w14:paraId="365F474C" w14:textId="6B64F682">
      <w:pPr>
        <w:pStyle w:val="Dummy"/>
        <w:spacing w:after="0"/>
        <w:jc w:val="center"/>
        <w:rPr>
          <w:rFonts w:ascii="Book Antiqua" w:hAnsi="Book Antiqua"/>
          <w:b w:val="0"/>
          <w:bCs/>
          <w:sz w:val="36"/>
          <w:szCs w:val="36"/>
        </w:rPr>
      </w:pPr>
      <w:bookmarkStart w:name="_Hlk161143712" w:id="307"/>
      <w:bookmarkStart w:name="_Toc164685438" w:id="308"/>
      <w:r w:rsidRPr="00522A51">
        <w:rPr>
          <w:rFonts w:ascii="Book Antiqua" w:hAnsi="Book Antiqua"/>
          <w:bCs/>
          <w:sz w:val="48"/>
          <w:szCs w:val="48"/>
        </w:rPr>
        <w:t xml:space="preserve">ATTACHMENT </w:t>
      </w:r>
      <w:r w:rsidRPr="00522A51" w:rsidR="00E51D0E">
        <w:rPr>
          <w:rFonts w:ascii="Book Antiqua" w:hAnsi="Book Antiqua"/>
          <w:bCs/>
          <w:sz w:val="48"/>
          <w:szCs w:val="48"/>
        </w:rPr>
        <w:t>A</w:t>
      </w:r>
      <w:bookmarkEnd w:id="307"/>
      <w:bookmarkEnd w:id="308"/>
    </w:p>
    <w:p w:rsidRPr="00522A51" w:rsidR="00522A51" w:rsidP="00522A51" w:rsidRDefault="00522A51" w14:paraId="2A2C8F75" w14:textId="0A883BF2">
      <w:pPr>
        <w:ind w:firstLine="0"/>
        <w:jc w:val="center"/>
      </w:pPr>
      <w:r w:rsidRPr="00522A51">
        <w:rPr>
          <w:sz w:val="36"/>
          <w:szCs w:val="36"/>
        </w:rPr>
        <w:t>Mitigation Monitoring and Reporting Plan</w:t>
      </w:r>
    </w:p>
    <w:sectPr w:rsidRPr="00522A51" w:rsidR="00522A51" w:rsidSect="0005549B">
      <w:footerReference w:type="default" r:id="rId18"/>
      <w:pgSz w:w="12240" w:h="15840"/>
      <w:pgMar w:top="1728" w:right="1440" w:bottom="1440" w:left="1440" w:header="720" w:footer="720" w:gutter="0"/>
      <w:pgNumType w:start="1"/>
      <w:cols w:space="720"/>
      <w:docGrid w:linePitch="360"/>
    </w:sectPr>
    <w:p>
      <w:r>
        <w:t xml:space="preserve"/>
      </w:r>
    </w:p>
    <w:p>
      <w:r>
        <w:t xml:space="preserve">Attachment 1: </w:t>
      </w:r>
    </w:p>
    <w:p>
      <w:hyperlink w:history="true" r:id="R37186ee45f9840f3">
        <w:r w:rsidRPr="00CB1292">
          <w:rPr>
            <w:rStyle w:val="Hyperlink"/>
            <w:color w:val="2E74B5" w:themeColor="accent1" w:themeShade="BF"/>
            <w:u w:val="single"/>
          </w:rPr>
          <w:t>D2404011 Attachment A (MMRP)</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9DF0" w14:textId="77777777" w:rsidR="0005549B" w:rsidRDefault="0005549B" w:rsidP="0098138E">
      <w:pPr>
        <w:spacing w:line="240" w:lineRule="auto"/>
      </w:pPr>
      <w:r>
        <w:separator/>
      </w:r>
    </w:p>
  </w:endnote>
  <w:endnote w:type="continuationSeparator" w:id="0">
    <w:p w14:paraId="373FD61C" w14:textId="77777777" w:rsidR="0005549B" w:rsidRDefault="0005549B" w:rsidP="0098138E">
      <w:pPr>
        <w:spacing w:line="240" w:lineRule="auto"/>
      </w:pPr>
      <w:r>
        <w:continuationSeparator/>
      </w:r>
    </w:p>
  </w:endnote>
  <w:endnote w:type="continuationNotice" w:id="1">
    <w:p w14:paraId="210D2A54" w14:textId="77777777" w:rsidR="0005549B" w:rsidRDefault="000554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BC13" w14:textId="77777777" w:rsidR="00D70524" w:rsidRDefault="00D70524" w:rsidP="00D70524">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C409" w14:textId="1634E481" w:rsidR="00177078" w:rsidRDefault="00122AE5" w:rsidP="00177078">
    <w:pPr>
      <w:tabs>
        <w:tab w:val="center" w:pos="4680"/>
      </w:tabs>
      <w:spacing w:line="240" w:lineRule="auto"/>
      <w:ind w:firstLine="0"/>
      <w:rPr>
        <w:noProof/>
      </w:rPr>
    </w:pPr>
    <w:r w:rsidRPr="00122AE5">
      <w:rPr>
        <w:sz w:val="16"/>
        <w:szCs w:val="16"/>
      </w:rPr>
      <w:t>529995170</w:t>
    </w:r>
    <w:sdt>
      <w:sdtPr>
        <w:id w:val="87661017"/>
        <w:docPartObj>
          <w:docPartGallery w:val="Page Numbers (Bottom of Page)"/>
          <w:docPartUnique/>
        </w:docPartObj>
      </w:sdtPr>
      <w:sdtEndPr>
        <w:rPr>
          <w:noProof/>
        </w:rPr>
      </w:sdtEndPr>
      <w:sdtContent>
        <w:r w:rsidR="00177078">
          <w:rPr>
            <w:rFonts w:ascii="Arial" w:hAnsi="Arial" w:cs="Arial"/>
            <w:sz w:val="16"/>
            <w:szCs w:val="16"/>
          </w:rPr>
          <w:tab/>
        </w:r>
        <w:r w:rsidR="00177078">
          <w:t xml:space="preserve">- </w:t>
        </w:r>
        <w:r w:rsidR="00177078">
          <w:fldChar w:fldCharType="begin"/>
        </w:r>
        <w:r w:rsidR="00177078">
          <w:instrText xml:space="preserve"> PAGE   \* MERGEFORMAT </w:instrText>
        </w:r>
        <w:r w:rsidR="00177078">
          <w:fldChar w:fldCharType="separate"/>
        </w:r>
        <w:r w:rsidR="00177078">
          <w:rPr>
            <w:noProof/>
          </w:rPr>
          <w:t>2</w:t>
        </w:r>
        <w:r w:rsidR="00177078">
          <w:rPr>
            <w:noProof/>
          </w:rPr>
          <w:fldChar w:fldCharType="end"/>
        </w:r>
      </w:sdtContent>
    </w:sdt>
    <w:r w:rsidR="00177078">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306" w14:textId="3F160553" w:rsidR="00D70524" w:rsidRDefault="00000000" w:rsidP="00D70524">
    <w:pPr>
      <w:tabs>
        <w:tab w:val="center" w:pos="4680"/>
      </w:tabs>
      <w:spacing w:line="240" w:lineRule="auto"/>
      <w:ind w:firstLine="0"/>
      <w:rPr>
        <w:noProof/>
      </w:rPr>
    </w:pPr>
    <w:sdt>
      <w:sdtPr>
        <w:id w:val="-1451851844"/>
        <w:docPartObj>
          <w:docPartGallery w:val="Page Numbers (Bottom of Page)"/>
          <w:docPartUnique/>
        </w:docPartObj>
      </w:sdtPr>
      <w:sdtEndPr>
        <w:rPr>
          <w:noProof/>
        </w:rPr>
      </w:sdtEndPr>
      <w:sdtContent>
        <w:r w:rsidR="00D70524">
          <w:rPr>
            <w:rFonts w:ascii="Arial" w:hAnsi="Arial" w:cs="Arial"/>
            <w:sz w:val="16"/>
            <w:szCs w:val="16"/>
          </w:rPr>
          <w:tab/>
        </w:r>
        <w:r w:rsidR="00D70524">
          <w:t xml:space="preserve">- </w:t>
        </w:r>
        <w:r w:rsidR="00D70524">
          <w:fldChar w:fldCharType="begin"/>
        </w:r>
        <w:r w:rsidR="00D70524">
          <w:instrText xml:space="preserve"> PAGE   \* MERGEFORMAT </w:instrText>
        </w:r>
        <w:r w:rsidR="00D70524">
          <w:fldChar w:fldCharType="separate"/>
        </w:r>
        <w:r w:rsidR="00D70524">
          <w:t>1</w:t>
        </w:r>
        <w:r w:rsidR="00D70524">
          <w:rPr>
            <w:noProof/>
          </w:rPr>
          <w:fldChar w:fldCharType="end"/>
        </w:r>
      </w:sdtContent>
    </w:sdt>
    <w:r w:rsidR="00D70524">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2E95" w14:textId="063A7270" w:rsidR="00E23CBB" w:rsidRDefault="00E23CBB" w:rsidP="0030780A">
    <w:pPr>
      <w:spacing w:line="240" w:lineRule="auto"/>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DB56" w14:textId="47293CB9" w:rsidR="0030780A" w:rsidRDefault="0030780A" w:rsidP="0030780A">
    <w:pPr>
      <w:spacing w:line="240" w:lineRule="auto"/>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D793" w14:textId="77777777" w:rsidR="0005549B" w:rsidRDefault="0005549B" w:rsidP="00DF58E7">
      <w:pPr>
        <w:spacing w:line="240" w:lineRule="auto"/>
        <w:ind w:firstLine="0"/>
      </w:pPr>
      <w:r>
        <w:separator/>
      </w:r>
    </w:p>
  </w:footnote>
  <w:footnote w:type="continuationSeparator" w:id="0">
    <w:p w14:paraId="7B7782C7" w14:textId="77777777" w:rsidR="0005549B" w:rsidRDefault="0005549B" w:rsidP="00DF58E7">
      <w:pPr>
        <w:spacing w:line="240" w:lineRule="auto"/>
        <w:ind w:firstLine="0"/>
      </w:pPr>
      <w:r>
        <w:continuationSeparator/>
      </w:r>
    </w:p>
  </w:footnote>
  <w:footnote w:type="continuationNotice" w:id="1">
    <w:p w14:paraId="7CA6ACF4" w14:textId="77777777" w:rsidR="0005549B" w:rsidRPr="00DF58E7" w:rsidRDefault="0005549B" w:rsidP="00DF58E7">
      <w:pPr>
        <w:spacing w:line="240" w:lineRule="auto"/>
        <w:ind w:firstLine="0"/>
        <w:jc w:val="right"/>
        <w:rPr>
          <w:i/>
          <w:sz w:val="22"/>
        </w:rPr>
      </w:pPr>
      <w:r w:rsidRPr="00DF58E7">
        <w:rPr>
          <w:i/>
          <w:sz w:val="22"/>
        </w:rPr>
        <w:t>Footnote continued on next page.</w:t>
      </w:r>
    </w:p>
  </w:footnote>
  <w:footnote w:id="2">
    <w:p w14:paraId="1C49A5FF" w14:textId="5EE943BF" w:rsidR="00B25EEE" w:rsidRPr="00E06CA7" w:rsidRDefault="00B25EEE"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Application </w:t>
      </w:r>
      <w:r w:rsidR="000669A5" w:rsidRPr="00E06CA7">
        <w:rPr>
          <w:szCs w:val="22"/>
        </w:rPr>
        <w:t xml:space="preserve">was filed </w:t>
      </w:r>
      <w:r w:rsidRPr="00E06CA7">
        <w:rPr>
          <w:szCs w:val="22"/>
        </w:rPr>
        <w:t xml:space="preserve">with the </w:t>
      </w:r>
      <w:r w:rsidR="000669A5" w:rsidRPr="00E06CA7">
        <w:rPr>
          <w:szCs w:val="22"/>
        </w:rPr>
        <w:t xml:space="preserve">Joint </w:t>
      </w:r>
      <w:r w:rsidRPr="00E06CA7">
        <w:rPr>
          <w:szCs w:val="22"/>
        </w:rPr>
        <w:t>Proponents’ Environmental Assessment Report (PEA).</w:t>
      </w:r>
    </w:p>
  </w:footnote>
  <w:footnote w:id="3">
    <w:p w14:paraId="31039406" w14:textId="35D8E37C" w:rsidR="00441765" w:rsidRPr="00E06CA7" w:rsidRDefault="00441765"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California Public Resources Code §§</w:t>
      </w:r>
      <w:r w:rsidR="00C96BA4" w:rsidRPr="00E06CA7">
        <w:rPr>
          <w:szCs w:val="22"/>
        </w:rPr>
        <w:t xml:space="preserve"> 21000 </w:t>
      </w:r>
      <w:r w:rsidR="00C96BA4" w:rsidRPr="00E06CA7">
        <w:rPr>
          <w:i/>
          <w:iCs/>
          <w:szCs w:val="22"/>
        </w:rPr>
        <w:t>et seq.</w:t>
      </w:r>
      <w:r w:rsidR="004E727D" w:rsidRPr="00E06CA7">
        <w:rPr>
          <w:i/>
          <w:iCs/>
          <w:szCs w:val="22"/>
        </w:rPr>
        <w:t xml:space="preserve"> </w:t>
      </w:r>
      <w:r w:rsidR="004E727D" w:rsidRPr="00E06CA7">
        <w:rPr>
          <w:szCs w:val="22"/>
        </w:rPr>
        <w:t>Unless otherwise specifi</w:t>
      </w:r>
      <w:r w:rsidR="00BB6C04" w:rsidRPr="00E06CA7">
        <w:rPr>
          <w:szCs w:val="22"/>
        </w:rPr>
        <w:t xml:space="preserve">ed, all </w:t>
      </w:r>
      <w:r w:rsidR="009E4711" w:rsidRPr="00E06CA7">
        <w:rPr>
          <w:szCs w:val="22"/>
        </w:rPr>
        <w:t>statu</w:t>
      </w:r>
      <w:r w:rsidR="00266B31" w:rsidRPr="00E06CA7">
        <w:rPr>
          <w:szCs w:val="22"/>
        </w:rPr>
        <w:t xml:space="preserve">tory </w:t>
      </w:r>
      <w:r w:rsidR="009E4711" w:rsidRPr="00E06CA7">
        <w:rPr>
          <w:szCs w:val="22"/>
        </w:rPr>
        <w:t xml:space="preserve">sections cited in this decision </w:t>
      </w:r>
      <w:r w:rsidR="00266B31" w:rsidRPr="00E06CA7">
        <w:rPr>
          <w:szCs w:val="22"/>
        </w:rPr>
        <w:t xml:space="preserve">are to the California Public Resources Code. </w:t>
      </w:r>
    </w:p>
  </w:footnote>
  <w:footnote w:id="4">
    <w:p w14:paraId="35624648" w14:textId="5C9BD181" w:rsidR="00A4208D" w:rsidRPr="00E06CA7" w:rsidRDefault="00A4208D"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On </w:t>
      </w:r>
      <w:r w:rsidR="00325E91" w:rsidRPr="00E06CA7">
        <w:rPr>
          <w:szCs w:val="22"/>
        </w:rPr>
        <w:t>August </w:t>
      </w:r>
      <w:r w:rsidRPr="00E06CA7">
        <w:rPr>
          <w:szCs w:val="22"/>
        </w:rPr>
        <w:t>1, 2018, a revised NOP was issued to correct a figure error and circulated to the same recipients as the NOP.</w:t>
      </w:r>
    </w:p>
  </w:footnote>
  <w:footnote w:id="5">
    <w:p w14:paraId="47F50A39" w14:textId="60C12A50" w:rsidR="00F86249" w:rsidRPr="00E06CA7" w:rsidRDefault="00F8624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Opening Testimony of Eric Hayes for Horizon West (</w:t>
      </w:r>
      <w:r w:rsidR="00DE36C5" w:rsidRPr="00E06CA7">
        <w:rPr>
          <w:szCs w:val="22"/>
        </w:rPr>
        <w:t>September </w:t>
      </w:r>
      <w:r w:rsidRPr="00E06CA7">
        <w:rPr>
          <w:szCs w:val="22"/>
        </w:rPr>
        <w:t xml:space="preserve">1, 2023), Attachment A (CAISO 2013-2014 TPP), p 89; </w:t>
      </w:r>
      <w:r w:rsidRPr="00E06CA7">
        <w:rPr>
          <w:i/>
          <w:iCs/>
          <w:szCs w:val="22"/>
        </w:rPr>
        <w:t>see</w:t>
      </w:r>
      <w:r w:rsidRPr="00E06CA7">
        <w:rPr>
          <w:szCs w:val="22"/>
        </w:rPr>
        <w:t xml:space="preserve"> also Opening Testimony of Jeff Billington for the CAISO (</w:t>
      </w:r>
      <w:r w:rsidR="00DE36C5" w:rsidRPr="00E06CA7">
        <w:rPr>
          <w:szCs w:val="22"/>
        </w:rPr>
        <w:t>September </w:t>
      </w:r>
      <w:r w:rsidRPr="00E06CA7">
        <w:rPr>
          <w:szCs w:val="22"/>
        </w:rPr>
        <w:t>1, 2023), p. 2, lines 24-25.</w:t>
      </w:r>
    </w:p>
  </w:footnote>
  <w:footnote w:id="6">
    <w:p w14:paraId="1E960B7E" w14:textId="006047CE" w:rsidR="00F86249" w:rsidRPr="00E06CA7" w:rsidRDefault="00F8624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Transmission Planning and Cost Allocation by Transmission Owning and Operating Public Utilities, Order No. 1000, FERC Stats. &amp; Regs. ¶ 31,323 (2011), order on reh’g, Order No.</w:t>
      </w:r>
      <w:r w:rsidR="004B645B" w:rsidRPr="00E06CA7">
        <w:rPr>
          <w:szCs w:val="22"/>
        </w:rPr>
        <w:t> </w:t>
      </w:r>
      <w:r w:rsidRPr="00E06CA7">
        <w:rPr>
          <w:szCs w:val="22"/>
        </w:rPr>
        <w:t>1000-A, 139 FERC ¶ 61,132 (2012), order on reh’g and clarification, Order No. 1000-B, 141 FERC ¶ 61,044 (2012).</w:t>
      </w:r>
    </w:p>
  </w:footnote>
  <w:footnote w:id="7">
    <w:p w14:paraId="7D43B1FE" w14:textId="532048B6" w:rsidR="00F86249" w:rsidRPr="00E06CA7" w:rsidRDefault="00F8624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Hayes Opening Testimony (Horizon West), p. 3, lines 14-17; Billington Testimony (CAISO), p. 4, lines 2-5 (“The CAISO determined that the facilities in the Proposed Project eligible for competitive solicitation under the CAISO’s tariff are the 230</w:t>
      </w:r>
      <w:r w:rsidR="00DC5A1D" w:rsidRPr="00E06CA7">
        <w:rPr>
          <w:szCs w:val="22"/>
        </w:rPr>
        <w:t> kV</w:t>
      </w:r>
      <w:r w:rsidRPr="00E06CA7">
        <w:rPr>
          <w:szCs w:val="22"/>
        </w:rPr>
        <w:t xml:space="preserve"> </w:t>
      </w:r>
      <w:r w:rsidRPr="00E06CA7">
        <w:rPr>
          <w:szCs w:val="22"/>
        </w:rPr>
        <w:t>buswork and termination equipment, and the 230/70</w:t>
      </w:r>
      <w:r w:rsidR="00DC5A1D" w:rsidRPr="00E06CA7">
        <w:rPr>
          <w:szCs w:val="22"/>
        </w:rPr>
        <w:t> kV</w:t>
      </w:r>
      <w:r w:rsidRPr="00E06CA7">
        <w:rPr>
          <w:szCs w:val="22"/>
        </w:rPr>
        <w:t xml:space="preserve"> transformers. The 70</w:t>
      </w:r>
      <w:r w:rsidR="00DC5A1D" w:rsidRPr="00E06CA7">
        <w:rPr>
          <w:szCs w:val="22"/>
        </w:rPr>
        <w:t> kV</w:t>
      </w:r>
      <w:r w:rsidRPr="00E06CA7">
        <w:rPr>
          <w:szCs w:val="22"/>
        </w:rPr>
        <w:t xml:space="preserve"> buswork and termination equipment and modifications to existing facilities are not eligible for competitive solicitation.”).</w:t>
      </w:r>
    </w:p>
  </w:footnote>
  <w:footnote w:id="8">
    <w:p w14:paraId="29105995" w14:textId="4C9860D8" w:rsidR="00F86249" w:rsidRPr="00E06CA7" w:rsidRDefault="00F8624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Hayes Opening Testimony (Horizon West), p. 3, lines 17-19, Attachment B (CAISO Estrella Substation Project – Project Sponsor Selection Report (</w:t>
      </w:r>
      <w:r w:rsidR="00325E91" w:rsidRPr="00E06CA7">
        <w:rPr>
          <w:szCs w:val="22"/>
        </w:rPr>
        <w:t>March </w:t>
      </w:r>
      <w:r w:rsidRPr="00E06CA7">
        <w:rPr>
          <w:szCs w:val="22"/>
        </w:rPr>
        <w:t>11, 2015), and Attachment</w:t>
      </w:r>
      <w:r w:rsidR="004B645B" w:rsidRPr="00E06CA7">
        <w:rPr>
          <w:szCs w:val="22"/>
        </w:rPr>
        <w:t> </w:t>
      </w:r>
      <w:r w:rsidRPr="00E06CA7">
        <w:rPr>
          <w:szCs w:val="22"/>
        </w:rPr>
        <w:t>C (Estrella Substation Approved Project Sponsor Agreement).</w:t>
      </w:r>
    </w:p>
  </w:footnote>
  <w:footnote w:id="9">
    <w:p w14:paraId="734969CA" w14:textId="0D25659C" w:rsidR="00F86249" w:rsidRPr="00E06CA7" w:rsidRDefault="00F8624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Hayes Opening Testimony (Horizon West), p. 3, line 20 through p. 4, line 3.</w:t>
      </w:r>
    </w:p>
  </w:footnote>
  <w:footnote w:id="10">
    <w:p w14:paraId="626C6138" w14:textId="43FF7F0E" w:rsidR="00F86249" w:rsidRPr="00E06CA7" w:rsidRDefault="00F8624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Application, p. 3 (“[Horizon] West could not successfully interconnect and energize its 230</w:t>
      </w:r>
      <w:r w:rsidR="00DC5A1D" w:rsidRPr="00E06CA7">
        <w:rPr>
          <w:szCs w:val="22"/>
        </w:rPr>
        <w:t> kV</w:t>
      </w:r>
      <w:r w:rsidRPr="00E06CA7">
        <w:rPr>
          <w:szCs w:val="22"/>
        </w:rPr>
        <w:t xml:space="preserve"> project components without the project components that only PG&amp;E can build and own. Conversely, PG&amp;E would have no reason to seek a PTC for its 70</w:t>
      </w:r>
      <w:r w:rsidR="00DC5A1D" w:rsidRPr="00E06CA7">
        <w:rPr>
          <w:szCs w:val="22"/>
        </w:rPr>
        <w:t> kV</w:t>
      </w:r>
      <w:r w:rsidRPr="00E06CA7">
        <w:rPr>
          <w:szCs w:val="22"/>
        </w:rPr>
        <w:t xml:space="preserve"> project components or its 230</w:t>
      </w:r>
      <w:r w:rsidR="00DC5A1D" w:rsidRPr="00E06CA7">
        <w:rPr>
          <w:szCs w:val="22"/>
        </w:rPr>
        <w:t> kV</w:t>
      </w:r>
      <w:r w:rsidRPr="00E06CA7">
        <w:rPr>
          <w:szCs w:val="22"/>
        </w:rPr>
        <w:t xml:space="preserve"> interconnection facilities.</w:t>
      </w:r>
      <w:r w:rsidR="00EE28EB" w:rsidRPr="00E06CA7">
        <w:rPr>
          <w:szCs w:val="22"/>
        </w:rPr>
        <w:t>”)</w:t>
      </w:r>
    </w:p>
  </w:footnote>
  <w:footnote w:id="11">
    <w:p w14:paraId="72DA7E7A" w14:textId="1A835AF2" w:rsidR="00F86249" w:rsidRPr="00E06CA7" w:rsidRDefault="00F8624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Opening Testimony of Lee Ellis for PG&amp;E (</w:t>
      </w:r>
      <w:r w:rsidR="00DE36C5" w:rsidRPr="00E06CA7">
        <w:rPr>
          <w:szCs w:val="22"/>
        </w:rPr>
        <w:t>September </w:t>
      </w:r>
      <w:r w:rsidRPr="00E06CA7">
        <w:rPr>
          <w:szCs w:val="22"/>
        </w:rPr>
        <w:t>1, 2023), p. 2, lines 39-45.</w:t>
      </w:r>
    </w:p>
  </w:footnote>
  <w:footnote w:id="12">
    <w:p w14:paraId="7C9B2D20" w14:textId="39143370" w:rsidR="001A341D" w:rsidRPr="00E06CA7" w:rsidRDefault="001A341D"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007F0BF4" w:rsidRPr="00E06CA7">
        <w:rPr>
          <w:szCs w:val="22"/>
        </w:rPr>
        <w:t xml:space="preserve">This </w:t>
      </w:r>
      <w:r w:rsidR="00450FEB" w:rsidRPr="00E06CA7">
        <w:rPr>
          <w:szCs w:val="22"/>
        </w:rPr>
        <w:t>Application</w:t>
      </w:r>
      <w:r w:rsidR="007F0BF4" w:rsidRPr="00E06CA7">
        <w:rPr>
          <w:szCs w:val="22"/>
        </w:rPr>
        <w:t xml:space="preserve"> was filed under GO 131-D</w:t>
      </w:r>
      <w:r w:rsidR="004A6037" w:rsidRPr="00E06CA7">
        <w:rPr>
          <w:szCs w:val="22"/>
        </w:rPr>
        <w:t xml:space="preserve"> in effect</w:t>
      </w:r>
      <w:r w:rsidR="00A777D7" w:rsidRPr="00E06CA7">
        <w:rPr>
          <w:szCs w:val="22"/>
        </w:rPr>
        <w:t>,</w:t>
      </w:r>
      <w:r w:rsidR="004A6037" w:rsidRPr="00E06CA7">
        <w:rPr>
          <w:szCs w:val="22"/>
        </w:rPr>
        <w:t xml:space="preserve"> </w:t>
      </w:r>
      <w:r w:rsidR="00A777D7" w:rsidRPr="00E06CA7">
        <w:rPr>
          <w:szCs w:val="22"/>
        </w:rPr>
        <w:t xml:space="preserve">in </w:t>
      </w:r>
      <w:r w:rsidR="004A6037" w:rsidRPr="00E06CA7">
        <w:rPr>
          <w:szCs w:val="22"/>
        </w:rPr>
        <w:t>2017. Any subsequent changes to GO</w:t>
      </w:r>
      <w:r w:rsidR="002A616B" w:rsidRPr="00E06CA7">
        <w:rPr>
          <w:szCs w:val="22"/>
        </w:rPr>
        <w:t> </w:t>
      </w:r>
      <w:r w:rsidR="004A6037" w:rsidRPr="00E06CA7">
        <w:rPr>
          <w:szCs w:val="22"/>
        </w:rPr>
        <w:t>131-D will not apply to the Proposed Project a</w:t>
      </w:r>
      <w:r w:rsidR="00EE28EB" w:rsidRPr="00E06CA7">
        <w:rPr>
          <w:szCs w:val="22"/>
        </w:rPr>
        <w:t>t</w:t>
      </w:r>
      <w:r w:rsidR="004A6037" w:rsidRPr="00E06CA7">
        <w:rPr>
          <w:szCs w:val="22"/>
        </w:rPr>
        <w:t xml:space="preserve"> issue in this proceeding.</w:t>
      </w:r>
    </w:p>
  </w:footnote>
  <w:footnote w:id="13">
    <w:p w14:paraId="78C91502" w14:textId="2D32CE1A" w:rsidR="00EA3FB1" w:rsidRPr="00E06CA7" w:rsidRDefault="00EA3FB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00664DBE" w:rsidRPr="00E06CA7">
        <w:rPr>
          <w:szCs w:val="22"/>
        </w:rPr>
        <w:t xml:space="preserve">The lead agency is the public agency which has the principal responsibility for carrying out or approving a project. </w:t>
      </w:r>
      <w:r w:rsidR="00AB22D9" w:rsidRPr="00E06CA7">
        <w:rPr>
          <w:szCs w:val="22"/>
        </w:rPr>
        <w:t xml:space="preserve">CEQA Guidelines (Cal. Code Regs. Tit. 14, Div. 6, Ch.3) Section 15367.  </w:t>
      </w:r>
      <w:r w:rsidR="00664DBE" w:rsidRPr="00E06CA7">
        <w:rPr>
          <w:szCs w:val="22"/>
        </w:rPr>
        <w:t>The lead agency also must decide wh</w:t>
      </w:r>
      <w:r w:rsidR="00AB22D9" w:rsidRPr="00E06CA7">
        <w:rPr>
          <w:szCs w:val="22"/>
        </w:rPr>
        <w:t>at e</w:t>
      </w:r>
      <w:r w:rsidR="00664DBE" w:rsidRPr="00E06CA7">
        <w:rPr>
          <w:szCs w:val="22"/>
        </w:rPr>
        <w:t xml:space="preserve">nvironmental </w:t>
      </w:r>
      <w:r w:rsidR="00AB22D9" w:rsidRPr="00E06CA7">
        <w:rPr>
          <w:szCs w:val="22"/>
        </w:rPr>
        <w:t>document</w:t>
      </w:r>
      <w:r w:rsidR="00664DBE" w:rsidRPr="00E06CA7">
        <w:rPr>
          <w:szCs w:val="22"/>
        </w:rPr>
        <w:t xml:space="preserve"> will be required for the project and prepare the appropriate environmental document. </w:t>
      </w:r>
      <w:r w:rsidR="00AB22D9" w:rsidRPr="00E06CA7">
        <w:rPr>
          <w:i/>
          <w:iCs/>
          <w:szCs w:val="22"/>
        </w:rPr>
        <w:t>Ibid.</w:t>
      </w:r>
    </w:p>
  </w:footnote>
  <w:footnote w:id="14">
    <w:p w14:paraId="06C6AAB1" w14:textId="71047C45" w:rsidR="00CF76E1" w:rsidRPr="00E06CA7" w:rsidRDefault="00CF76E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Id</w:t>
      </w:r>
      <w:r w:rsidRPr="00E06CA7">
        <w:rPr>
          <w:szCs w:val="22"/>
        </w:rPr>
        <w:t xml:space="preserve">., Sections 15090, 15091, 15126.2, 15126.4 and 15126.6. </w:t>
      </w:r>
    </w:p>
  </w:footnote>
  <w:footnote w:id="15">
    <w:p w14:paraId="0E8EF0B1" w14:textId="0D1E296C" w:rsidR="00CF76E1" w:rsidRPr="00E06CA7" w:rsidRDefault="00CF76E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Cal. Code of Regs., Section</w:t>
      </w:r>
      <w:r w:rsidR="004B645B" w:rsidRPr="00E06CA7">
        <w:rPr>
          <w:szCs w:val="22"/>
        </w:rPr>
        <w:t> </w:t>
      </w:r>
      <w:r w:rsidRPr="00E06CA7">
        <w:rPr>
          <w:szCs w:val="22"/>
        </w:rPr>
        <w:t>15090.</w:t>
      </w:r>
    </w:p>
  </w:footnote>
  <w:footnote w:id="16">
    <w:p w14:paraId="1CB4661C" w14:textId="65566C19" w:rsidR="00CF76E1" w:rsidRPr="00E06CA7" w:rsidRDefault="00CF76E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 xml:space="preserve">Id. </w:t>
      </w:r>
      <w:r w:rsidRPr="00E06CA7">
        <w:rPr>
          <w:szCs w:val="22"/>
        </w:rPr>
        <w:t>at Section</w:t>
      </w:r>
      <w:r w:rsidR="004B645B" w:rsidRPr="00E06CA7">
        <w:rPr>
          <w:szCs w:val="22"/>
        </w:rPr>
        <w:t> </w:t>
      </w:r>
      <w:r w:rsidRPr="00E06CA7">
        <w:rPr>
          <w:szCs w:val="22"/>
        </w:rPr>
        <w:t xml:space="preserve">15091. </w:t>
      </w:r>
    </w:p>
  </w:footnote>
  <w:footnote w:id="17">
    <w:p w14:paraId="18050846" w14:textId="24CA4D5F" w:rsidR="003A516A" w:rsidRPr="00E06CA7" w:rsidRDefault="003A516A"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Id.</w:t>
      </w:r>
      <w:r w:rsidRPr="00E06CA7">
        <w:rPr>
          <w:szCs w:val="22"/>
        </w:rPr>
        <w:t xml:space="preserve"> at 6.</w:t>
      </w:r>
    </w:p>
  </w:footnote>
  <w:footnote w:id="18">
    <w:p w14:paraId="1F41DD69" w14:textId="0006EF96" w:rsidR="00B15783" w:rsidRPr="00E06CA7" w:rsidRDefault="00B15783"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See</w:t>
      </w:r>
      <w:r w:rsidRPr="00E06CA7">
        <w:rPr>
          <w:szCs w:val="22"/>
        </w:rPr>
        <w:t xml:space="preserve"> </w:t>
      </w:r>
      <w:r w:rsidR="000B74EB" w:rsidRPr="00E06CA7">
        <w:rPr>
          <w:szCs w:val="22"/>
        </w:rPr>
        <w:t>F</w:t>
      </w:r>
      <w:r w:rsidRPr="00E06CA7">
        <w:rPr>
          <w:szCs w:val="22"/>
        </w:rPr>
        <w:t xml:space="preserve">EIR for the </w:t>
      </w:r>
      <w:r w:rsidR="00173C77" w:rsidRPr="00E06CA7">
        <w:rPr>
          <w:szCs w:val="22"/>
        </w:rPr>
        <w:t>P</w:t>
      </w:r>
      <w:r w:rsidRPr="00E06CA7">
        <w:rPr>
          <w:szCs w:val="22"/>
        </w:rPr>
        <w:t xml:space="preserve">roposed </w:t>
      </w:r>
      <w:r w:rsidR="00173C77" w:rsidRPr="00E06CA7">
        <w:rPr>
          <w:szCs w:val="22"/>
        </w:rPr>
        <w:t>P</w:t>
      </w:r>
      <w:r w:rsidRPr="00E06CA7">
        <w:rPr>
          <w:szCs w:val="22"/>
        </w:rPr>
        <w:t>roject at ES-4</w:t>
      </w:r>
      <w:r w:rsidR="00AE4811" w:rsidRPr="00E06CA7">
        <w:rPr>
          <w:szCs w:val="22"/>
        </w:rPr>
        <w:t>.</w:t>
      </w:r>
    </w:p>
  </w:footnote>
  <w:footnote w:id="19">
    <w:p w14:paraId="0DE99817" w14:textId="43181006" w:rsidR="00FA2649" w:rsidRPr="00E06CA7" w:rsidRDefault="00FA264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Application p. 4 and revised P</w:t>
      </w:r>
      <w:r w:rsidR="000B74EB" w:rsidRPr="00E06CA7">
        <w:rPr>
          <w:szCs w:val="22"/>
        </w:rPr>
        <w:t>EA</w:t>
      </w:r>
      <w:r w:rsidRPr="00E06CA7">
        <w:rPr>
          <w:szCs w:val="22"/>
        </w:rPr>
        <w:t xml:space="preserve"> (dated </w:t>
      </w:r>
      <w:r w:rsidR="00325E91" w:rsidRPr="00E06CA7">
        <w:rPr>
          <w:szCs w:val="22"/>
        </w:rPr>
        <w:t>May </w:t>
      </w:r>
      <w:r w:rsidRPr="00E06CA7">
        <w:rPr>
          <w:szCs w:val="22"/>
        </w:rPr>
        <w:t>2017) at p</w:t>
      </w:r>
      <w:r w:rsidR="00AE4811" w:rsidRPr="00E06CA7">
        <w:rPr>
          <w:szCs w:val="22"/>
        </w:rPr>
        <w:t>p</w:t>
      </w:r>
      <w:r w:rsidRPr="00E06CA7">
        <w:rPr>
          <w:szCs w:val="22"/>
        </w:rPr>
        <w:t xml:space="preserve">. 1-2; </w:t>
      </w:r>
      <w:r w:rsidRPr="00E06CA7">
        <w:rPr>
          <w:i/>
          <w:iCs/>
          <w:szCs w:val="22"/>
        </w:rPr>
        <w:t>see also</w:t>
      </w:r>
      <w:r w:rsidRPr="00E06CA7">
        <w:rPr>
          <w:szCs w:val="22"/>
        </w:rPr>
        <w:t xml:space="preserve"> </w:t>
      </w:r>
      <w:r w:rsidR="006E1312" w:rsidRPr="00E06CA7">
        <w:rPr>
          <w:szCs w:val="22"/>
        </w:rPr>
        <w:t>F</w:t>
      </w:r>
      <w:r w:rsidRPr="00E06CA7">
        <w:rPr>
          <w:szCs w:val="22"/>
        </w:rPr>
        <w:t>EIR at ES-1 and 2</w:t>
      </w:r>
      <w:r w:rsidR="00717FF3" w:rsidRPr="00E06CA7">
        <w:rPr>
          <w:szCs w:val="22"/>
        </w:rPr>
        <w:noBreakHyphen/>
      </w:r>
      <w:r w:rsidRPr="00E06CA7">
        <w:rPr>
          <w:szCs w:val="22"/>
        </w:rPr>
        <w:t xml:space="preserve">1 for an analysis of the applicant identified </w:t>
      </w:r>
      <w:r w:rsidR="00ED6D86" w:rsidRPr="00E06CA7">
        <w:rPr>
          <w:szCs w:val="22"/>
        </w:rPr>
        <w:t xml:space="preserve">project </w:t>
      </w:r>
      <w:r w:rsidRPr="00E06CA7">
        <w:rPr>
          <w:szCs w:val="22"/>
        </w:rPr>
        <w:t>need</w:t>
      </w:r>
      <w:r w:rsidR="000C3676" w:rsidRPr="00E06CA7">
        <w:rPr>
          <w:szCs w:val="22"/>
        </w:rPr>
        <w:t>.</w:t>
      </w:r>
    </w:p>
  </w:footnote>
  <w:footnote w:id="20">
    <w:p w14:paraId="557C5391" w14:textId="0D2B8130" w:rsidR="00FA2649" w:rsidRPr="00E06CA7" w:rsidRDefault="00FA264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California Independent System Operator 2013-2014 Transmission Plan</w:t>
      </w:r>
      <w:r w:rsidR="00AE4811" w:rsidRPr="00E06CA7">
        <w:rPr>
          <w:szCs w:val="22"/>
        </w:rPr>
        <w:t>.</w:t>
      </w:r>
    </w:p>
  </w:footnote>
  <w:footnote w:id="21">
    <w:p w14:paraId="7D52D5BE" w14:textId="5907BB18" w:rsidR="00030134" w:rsidRPr="00E06CA7" w:rsidRDefault="0003013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Applicants’ Opening Brief at v and 6. </w:t>
      </w:r>
    </w:p>
  </w:footnote>
  <w:footnote w:id="22">
    <w:p w14:paraId="20F3E94C" w14:textId="33A764E8" w:rsidR="00D11112" w:rsidRPr="00E06CA7" w:rsidRDefault="00D11112"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004B645B" w:rsidRPr="00E06CA7">
        <w:rPr>
          <w:szCs w:val="22"/>
        </w:rPr>
        <w:t>Section </w:t>
      </w:r>
      <w:r w:rsidRPr="00E06CA7">
        <w:rPr>
          <w:szCs w:val="22"/>
        </w:rPr>
        <w:t>15378 of the CEQA Guidelines.</w:t>
      </w:r>
    </w:p>
  </w:footnote>
  <w:footnote w:id="23">
    <w:p w14:paraId="2E7D890B" w14:textId="7EB54817" w:rsidR="00287376" w:rsidRPr="00E06CA7" w:rsidRDefault="00287376">
      <w:pPr>
        <w:pStyle w:val="FootnoteText"/>
        <w:rPr>
          <w:szCs w:val="22"/>
        </w:rPr>
      </w:pPr>
      <w:r w:rsidRPr="00E06CA7">
        <w:rPr>
          <w:rStyle w:val="FootnoteReference"/>
          <w:szCs w:val="22"/>
        </w:rPr>
        <w:footnoteRef/>
      </w:r>
      <w:r w:rsidRPr="00E06CA7">
        <w:rPr>
          <w:szCs w:val="22"/>
        </w:rPr>
        <w:t xml:space="preserve">  </w:t>
      </w:r>
      <w:r w:rsidRPr="00E06CA7">
        <w:rPr>
          <w:i/>
          <w:iCs/>
          <w:szCs w:val="22"/>
        </w:rPr>
        <w:t>Id.</w:t>
      </w:r>
    </w:p>
  </w:footnote>
  <w:footnote w:id="24">
    <w:p w14:paraId="7744CD1E" w14:textId="77777777" w:rsidR="00287376" w:rsidRPr="00E06CA7" w:rsidRDefault="00287376" w:rsidP="00287376">
      <w:pPr>
        <w:pStyle w:val="FootnoteText"/>
        <w:rPr>
          <w:szCs w:val="22"/>
        </w:rPr>
      </w:pPr>
      <w:r w:rsidRPr="00E06CA7">
        <w:rPr>
          <w:rStyle w:val="FootnoteReference"/>
          <w:szCs w:val="22"/>
        </w:rPr>
        <w:footnoteRef/>
      </w:r>
      <w:r w:rsidRPr="00E06CA7">
        <w:rPr>
          <w:szCs w:val="22"/>
        </w:rPr>
        <w:t xml:space="preserve">  BS-2 - Front of the meter (FTM) battery energy storage systems (BESSs) would be installed and connected to the distribution system.  </w:t>
      </w:r>
    </w:p>
  </w:footnote>
  <w:footnote w:id="25">
    <w:p w14:paraId="257E0152" w14:textId="77777777" w:rsidR="00287376" w:rsidRPr="00E06CA7" w:rsidRDefault="00287376" w:rsidP="00287376">
      <w:pPr>
        <w:pStyle w:val="FootnoteText"/>
        <w:rPr>
          <w:szCs w:val="22"/>
        </w:rPr>
      </w:pPr>
      <w:r w:rsidRPr="00E06CA7">
        <w:rPr>
          <w:rStyle w:val="FootnoteReference"/>
          <w:szCs w:val="22"/>
        </w:rPr>
        <w:footnoteRef/>
      </w:r>
      <w:r w:rsidRPr="00E06CA7">
        <w:rPr>
          <w:szCs w:val="22"/>
        </w:rPr>
        <w:t xml:space="preserve">  BS-3 - Behind the meter (BTM) solar and battery storage (i.e., “BTM resources”) would be metered at the building level and could be owned and/or operated by either the building owner or a third-party provider.</w:t>
      </w:r>
    </w:p>
  </w:footnote>
  <w:footnote w:id="26">
    <w:p w14:paraId="171D51FA" w14:textId="35C23629" w:rsidR="00D37BE9" w:rsidRPr="00E06CA7" w:rsidRDefault="00D37BE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CEQA Guidelines, Cal. Code Regs. Title 14 §15003(</w:t>
      </w:r>
      <w:r w:rsidRPr="00E06CA7">
        <w:rPr>
          <w:szCs w:val="22"/>
        </w:rPr>
        <w:t xml:space="preserve">i), </w:t>
      </w:r>
      <w:r w:rsidRPr="00E06CA7">
        <w:rPr>
          <w:i/>
          <w:iCs/>
          <w:szCs w:val="22"/>
        </w:rPr>
        <w:t>citing Kings County Farm Bureau v. City of Hanford</w:t>
      </w:r>
      <w:r w:rsidRPr="00E06CA7">
        <w:rPr>
          <w:szCs w:val="22"/>
        </w:rPr>
        <w:t xml:space="preserve"> (1990) 221 Cal.App.3d 692, 711; </w:t>
      </w:r>
      <w:r w:rsidRPr="00E06CA7">
        <w:rPr>
          <w:i/>
          <w:iCs/>
          <w:szCs w:val="22"/>
        </w:rPr>
        <w:t>see also Association of Irritated Residents v. County of Madera</w:t>
      </w:r>
      <w:r w:rsidRPr="00E06CA7">
        <w:rPr>
          <w:szCs w:val="22"/>
        </w:rPr>
        <w:t xml:space="preserve"> (2003), 107 Cal.App. 4th 1383, 1390.</w:t>
      </w:r>
    </w:p>
  </w:footnote>
  <w:footnote w:id="27">
    <w:p w14:paraId="63F42368" w14:textId="76A48A26"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Comments were responded to either through master responses (for common recurring themes) or through individual responses to comments, or a combination of the two.</w:t>
      </w:r>
    </w:p>
  </w:footnote>
  <w:footnote w:id="28">
    <w:p w14:paraId="7E534F28" w14:textId="0DACB3EC" w:rsidR="00151053" w:rsidRPr="00E06CA7" w:rsidRDefault="00151053">
      <w:pPr>
        <w:pStyle w:val="FootnoteText"/>
        <w:rPr>
          <w:szCs w:val="22"/>
        </w:rPr>
      </w:pPr>
      <w:r w:rsidRPr="00E06CA7">
        <w:rPr>
          <w:rStyle w:val="FootnoteReference"/>
          <w:szCs w:val="22"/>
        </w:rPr>
        <w:footnoteRef/>
      </w:r>
      <w:r w:rsidRPr="00E06CA7">
        <w:rPr>
          <w:szCs w:val="22"/>
        </w:rPr>
        <w:t xml:space="preserve"> CEQA Guidelines, Cal. Code Regs. Title 14 §15364.</w:t>
      </w:r>
    </w:p>
  </w:footnote>
  <w:footnote w:id="29">
    <w:p w14:paraId="41505627" w14:textId="2154CA0B" w:rsidR="00D37BE9" w:rsidRPr="00E06CA7" w:rsidRDefault="00D37BE9"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See</w:t>
      </w:r>
      <w:r w:rsidRPr="00E06CA7">
        <w:rPr>
          <w:szCs w:val="22"/>
        </w:rPr>
        <w:t xml:space="preserve"> </w:t>
      </w:r>
      <w:r w:rsidR="00E73071" w:rsidRPr="00E06CA7">
        <w:rPr>
          <w:szCs w:val="22"/>
        </w:rPr>
        <w:t>F</w:t>
      </w:r>
      <w:r w:rsidRPr="00E06CA7">
        <w:rPr>
          <w:szCs w:val="22"/>
        </w:rPr>
        <w:t>EIR at ES-7 and 5-1</w:t>
      </w:r>
      <w:r w:rsidR="000C1FEE" w:rsidRPr="00E06CA7">
        <w:rPr>
          <w:szCs w:val="22"/>
        </w:rPr>
        <w:t>.</w:t>
      </w:r>
    </w:p>
  </w:footnote>
  <w:footnote w:id="30">
    <w:p w14:paraId="03F2027F" w14:textId="5D85C38E"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The FEIR evaluated the potential impacts of each alternative separately in the </w:t>
      </w:r>
      <w:r w:rsidR="0085793A" w:rsidRPr="00E06CA7">
        <w:rPr>
          <w:szCs w:val="22"/>
        </w:rPr>
        <w:t>FEIR</w:t>
      </w:r>
      <w:r w:rsidRPr="00E06CA7">
        <w:rPr>
          <w:szCs w:val="22"/>
        </w:rPr>
        <w:t xml:space="preserve"> (§§</w:t>
      </w:r>
      <w:r w:rsidR="004B645B" w:rsidRPr="00E06CA7">
        <w:rPr>
          <w:szCs w:val="22"/>
        </w:rPr>
        <w:t> </w:t>
      </w:r>
      <w:r w:rsidRPr="00E06CA7">
        <w:rPr>
          <w:szCs w:val="22"/>
        </w:rPr>
        <w:t>4.1—4.20).</w:t>
      </w:r>
    </w:p>
  </w:footnote>
  <w:footnote w:id="31">
    <w:p w14:paraId="6D6F3F44" w14:textId="0EE338BB"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§5.3 (Environmentally Superior Alternative), p. 5-9.</w:t>
      </w:r>
    </w:p>
  </w:footnote>
  <w:footnote w:id="32">
    <w:p w14:paraId="1174C44D" w14:textId="3E041874" w:rsidR="00B75DE6" w:rsidRPr="00E06CA7" w:rsidRDefault="00B75DE6"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Ellis Opening Testimony (PG&amp;E), p. 3, lines 63-67.</w:t>
      </w:r>
    </w:p>
  </w:footnote>
  <w:footnote w:id="33">
    <w:p w14:paraId="479B84EE" w14:textId="3E2AEEA9" w:rsidR="00B75DE6" w:rsidRPr="00E06CA7" w:rsidRDefault="00B75DE6"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Ellis Opening Testimony (PG&amp;E), p. 3, line 67 through p. 4, line 73.</w:t>
      </w:r>
    </w:p>
  </w:footnote>
  <w:footnote w:id="34">
    <w:p w14:paraId="344778D3" w14:textId="10129F0A" w:rsidR="00B75DE6" w:rsidRPr="00E06CA7" w:rsidRDefault="00B75DE6"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Reply Testimony of </w:t>
      </w:r>
      <w:r w:rsidRPr="00E06CA7">
        <w:rPr>
          <w:szCs w:val="22"/>
        </w:rPr>
        <w:t>Qualen Chavis for PG&amp;E (</w:t>
      </w:r>
      <w:r w:rsidR="00DE36C5" w:rsidRPr="00E06CA7">
        <w:rPr>
          <w:szCs w:val="22"/>
        </w:rPr>
        <w:t>September </w:t>
      </w:r>
      <w:r w:rsidRPr="00E06CA7">
        <w:rPr>
          <w:szCs w:val="22"/>
        </w:rPr>
        <w:t>15, 2023), p. 3, line</w:t>
      </w:r>
      <w:r w:rsidR="007326AE" w:rsidRPr="00E06CA7">
        <w:rPr>
          <w:szCs w:val="22"/>
        </w:rPr>
        <w:t>s</w:t>
      </w:r>
      <w:r w:rsidRPr="00E06CA7">
        <w:rPr>
          <w:szCs w:val="22"/>
        </w:rPr>
        <w:t xml:space="preserve"> 56-65.</w:t>
      </w:r>
    </w:p>
  </w:footnote>
  <w:footnote w:id="35">
    <w:p w14:paraId="34F312BD" w14:textId="356C0DB6" w:rsidR="00B75DE6" w:rsidRPr="00E06CA7" w:rsidRDefault="00B75DE6"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Ellis Opening Testimony (PG&amp;E), p. 4, lines 74-79.</w:t>
      </w:r>
    </w:p>
  </w:footnote>
  <w:footnote w:id="36">
    <w:p w14:paraId="6C22BF90" w14:textId="0D56D91C" w:rsidR="00B75DE6" w:rsidRPr="00E06CA7" w:rsidRDefault="00B75DE6"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Billington Testimony (CAISO), p. 7, lines 6-13.</w:t>
      </w:r>
    </w:p>
  </w:footnote>
  <w:footnote w:id="37">
    <w:p w14:paraId="5FDB04EB" w14:textId="57D3C06A"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Applicants’ Opening Brief at 17.</w:t>
      </w:r>
    </w:p>
  </w:footnote>
  <w:footnote w:id="38">
    <w:p w14:paraId="705896E4" w14:textId="71899A04"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Joint P</w:t>
      </w:r>
      <w:r w:rsidR="008228E6" w:rsidRPr="00E06CA7">
        <w:rPr>
          <w:szCs w:val="22"/>
        </w:rPr>
        <w:t>HC</w:t>
      </w:r>
      <w:r w:rsidRPr="00E06CA7">
        <w:rPr>
          <w:szCs w:val="22"/>
        </w:rPr>
        <w:t xml:space="preserve"> Statement (</w:t>
      </w:r>
      <w:r w:rsidR="00325E91" w:rsidRPr="00E06CA7">
        <w:rPr>
          <w:szCs w:val="22"/>
        </w:rPr>
        <w:t>May </w:t>
      </w:r>
      <w:r w:rsidRPr="00E06CA7">
        <w:rPr>
          <w:szCs w:val="22"/>
        </w:rPr>
        <w:t xml:space="preserve">4, 2023), p. 3 (“The following Parties agree with and support approval of the combination of the Estrella Substation site and Alternative PLR-1A: the City; Sun Communities, Inc.; Cava Robles RV Resort; </w:t>
      </w:r>
      <w:r w:rsidRPr="00E06CA7">
        <w:rPr>
          <w:szCs w:val="22"/>
        </w:rPr>
        <w:t xml:space="preserve">Heverts; San Antonio Winery, Inc.; and Riboli </w:t>
      </w:r>
      <w:r w:rsidR="00325E91" w:rsidRPr="00E06CA7">
        <w:rPr>
          <w:szCs w:val="22"/>
        </w:rPr>
        <w:t>Paso </w:t>
      </w:r>
      <w:r w:rsidRPr="00E06CA7">
        <w:rPr>
          <w:szCs w:val="22"/>
        </w:rPr>
        <w:t>Robles, LLC.</w:t>
      </w:r>
      <w:r w:rsidR="00767479" w:rsidRPr="00E06CA7">
        <w:rPr>
          <w:szCs w:val="22"/>
        </w:rPr>
        <w:t>”</w:t>
      </w:r>
      <w:r w:rsidRPr="00E06CA7">
        <w:rPr>
          <w:szCs w:val="22"/>
        </w:rPr>
        <w:t>)</w:t>
      </w:r>
    </w:p>
  </w:footnote>
  <w:footnote w:id="39">
    <w:p w14:paraId="7A0501A1" w14:textId="46E680CA" w:rsidR="00781F92" w:rsidRPr="00E06CA7" w:rsidRDefault="00781F92"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Ellis Opening Testimony (PG&amp;E), p. 3, lines 53-57.</w:t>
      </w:r>
    </w:p>
  </w:footnote>
  <w:footnote w:id="40">
    <w:p w14:paraId="2D1C80FD" w14:textId="13E7B09C" w:rsidR="00781F92" w:rsidRPr="00E06CA7" w:rsidRDefault="00781F92"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Ellis Opening Testimony (PG&amp;E), p. 3, lines 57-59.</w:t>
      </w:r>
    </w:p>
  </w:footnote>
  <w:footnote w:id="41">
    <w:p w14:paraId="398D3B5C" w14:textId="3A6F0160" w:rsidR="00781F92" w:rsidRPr="00E06CA7" w:rsidRDefault="00781F92"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Public Utilities Code Sections 762 and 1001.</w:t>
      </w:r>
    </w:p>
  </w:footnote>
  <w:footnote w:id="42">
    <w:p w14:paraId="7A2AFCE7" w14:textId="4B41F639" w:rsidR="00781F92" w:rsidRPr="00E06CA7" w:rsidRDefault="00781F92"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Title 14, California Code of Regulations </w:t>
      </w:r>
      <w:r w:rsidR="004B645B" w:rsidRPr="00E06CA7">
        <w:rPr>
          <w:szCs w:val="22"/>
        </w:rPr>
        <w:t>Section </w:t>
      </w:r>
      <w:r w:rsidRPr="00E06CA7">
        <w:rPr>
          <w:szCs w:val="22"/>
        </w:rPr>
        <w:t xml:space="preserve">15378 and Public Resources Code </w:t>
      </w:r>
      <w:r w:rsidR="004B645B" w:rsidRPr="00E06CA7">
        <w:rPr>
          <w:szCs w:val="22"/>
        </w:rPr>
        <w:t>Section </w:t>
      </w:r>
      <w:r w:rsidRPr="00E06CA7">
        <w:rPr>
          <w:szCs w:val="22"/>
        </w:rPr>
        <w:t>21065.</w:t>
      </w:r>
    </w:p>
  </w:footnote>
  <w:footnote w:id="43">
    <w:p w14:paraId="5E352ADE" w14:textId="34CAAF3C" w:rsidR="00781F92" w:rsidRPr="00E06CA7" w:rsidRDefault="00781F92"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Local Parties’ Opening Brief, p. 4. The Local Parties argue that: “Here, to comply with CEQA, the Commission must approve PLR-1A in place of the transmission line route originally proposed in the Project’s [EIR], given that PLR-1A is a feasible project alternative that meets each of the EIR’s identified Project Objectives while reducing and avoiding significant environmental impacts.” This suggests that CEQA always requires the Commission to approve the environmentally superior alternative selected in an EIR, but that argument overlooks the Commission’s authority as the decision maker to determine the environmentally superior alternative and to approve a proposed project or alternatives other than the environmentally superior alternative selected in an EIR. Public Resources Code §§</w:t>
      </w:r>
      <w:r w:rsidR="004B645B" w:rsidRPr="00E06CA7">
        <w:rPr>
          <w:szCs w:val="22"/>
        </w:rPr>
        <w:t> </w:t>
      </w:r>
      <w:r w:rsidRPr="00E06CA7">
        <w:rPr>
          <w:szCs w:val="22"/>
        </w:rPr>
        <w:t>21002, 21081(c); CEQA Guidelines, Cal. Code Regs., §§ 15091, 15092, 15093. In this proceeding, however, the Applicants fully support approval of the environmentally superior alternative selected in the FEIR and agree with the outcome proposed by the Local Parties.</w:t>
      </w:r>
    </w:p>
  </w:footnote>
  <w:footnote w:id="44">
    <w:p w14:paraId="11A19BC5" w14:textId="780A1275"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0085793A" w:rsidRPr="00E06CA7">
        <w:rPr>
          <w:szCs w:val="22"/>
        </w:rPr>
        <w:t>FEIR</w:t>
      </w:r>
      <w:r w:rsidRPr="00E06CA7">
        <w:rPr>
          <w:szCs w:val="22"/>
        </w:rPr>
        <w:t>, Volume 1, Table ES-1, pp. ES-21 through ES-37, and Table ES-2, pp. ES-38 through ES</w:t>
      </w:r>
      <w:r w:rsidR="002273BE" w:rsidRPr="00E06CA7">
        <w:rPr>
          <w:szCs w:val="22"/>
        </w:rPr>
        <w:noBreakHyphen/>
      </w:r>
      <w:r w:rsidRPr="00E06CA7">
        <w:rPr>
          <w:szCs w:val="22"/>
        </w:rPr>
        <w:t>50.</w:t>
      </w:r>
    </w:p>
  </w:footnote>
  <w:footnote w:id="45">
    <w:p w14:paraId="7FE1A09D" w14:textId="39CD49FC"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0085793A" w:rsidRPr="00E06CA7">
        <w:rPr>
          <w:szCs w:val="22"/>
        </w:rPr>
        <w:t>FEIR</w:t>
      </w:r>
      <w:r w:rsidRPr="00E06CA7">
        <w:rPr>
          <w:szCs w:val="22"/>
        </w:rPr>
        <w:t>, Volume 2, Appendix F (MMRP)</w:t>
      </w:r>
      <w:r w:rsidR="001368ED" w:rsidRPr="00E06CA7">
        <w:rPr>
          <w:szCs w:val="22"/>
        </w:rPr>
        <w:t>, attached as A</w:t>
      </w:r>
      <w:r w:rsidR="006801B0" w:rsidRPr="00E06CA7">
        <w:rPr>
          <w:szCs w:val="22"/>
        </w:rPr>
        <w:t>ttachment</w:t>
      </w:r>
      <w:r w:rsidR="001368ED" w:rsidRPr="00E06CA7">
        <w:rPr>
          <w:szCs w:val="22"/>
        </w:rPr>
        <w:t xml:space="preserve"> A to this Decision</w:t>
      </w:r>
      <w:r w:rsidRPr="00E06CA7">
        <w:rPr>
          <w:szCs w:val="22"/>
        </w:rPr>
        <w:t>.</w:t>
      </w:r>
    </w:p>
  </w:footnote>
  <w:footnote w:id="46">
    <w:p w14:paraId="0DDBB541" w14:textId="171AE41D"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Public Resources Code §21081(a); CEQA Guidelines, Cal. Code Regs. Title 14 §</w:t>
      </w:r>
      <w:r w:rsidR="002273BE" w:rsidRPr="00E06CA7">
        <w:rPr>
          <w:szCs w:val="22"/>
        </w:rPr>
        <w:t> </w:t>
      </w:r>
      <w:r w:rsidRPr="00E06CA7">
        <w:rPr>
          <w:szCs w:val="22"/>
        </w:rPr>
        <w:t>15091.</w:t>
      </w:r>
    </w:p>
  </w:footnote>
  <w:footnote w:id="47">
    <w:p w14:paraId="40C528CC" w14:textId="65C399F3"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§4.1.5 (Aesthetics Impact Analysis), pp. 4.1-40 through 4.1-42.</w:t>
      </w:r>
    </w:p>
  </w:footnote>
  <w:footnote w:id="48">
    <w:p w14:paraId="66BAFE10" w14:textId="1BF5E02A"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Table ES-2, p. ES-38.</w:t>
      </w:r>
    </w:p>
  </w:footnote>
  <w:footnote w:id="49">
    <w:p w14:paraId="2EB1917E" w14:textId="42A5596A"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§6.5.3 (Cumulative Impacts), p. 6-19.</w:t>
      </w:r>
    </w:p>
  </w:footnote>
  <w:footnote w:id="50">
    <w:p w14:paraId="6D2754E7" w14:textId="5C640D26"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§4.1.5 (Aesthetics Impact Analysis), pp. 4.1-42 through 4.1-43.</w:t>
      </w:r>
    </w:p>
  </w:footnote>
  <w:footnote w:id="51">
    <w:p w14:paraId="18F122B9" w14:textId="11588EFD"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Opening Testimony of James Clark, </w:t>
      </w:r>
      <w:r w:rsidRPr="00E06CA7">
        <w:rPr>
          <w:szCs w:val="22"/>
        </w:rPr>
        <w:t xml:space="preserve">Ph.D for CURE, p. 7, lines 4-7, </w:t>
      </w:r>
      <w:r w:rsidRPr="00E06CA7">
        <w:rPr>
          <w:i/>
          <w:iCs/>
          <w:szCs w:val="22"/>
        </w:rPr>
        <w:t>citing</w:t>
      </w:r>
      <w:r w:rsidRPr="00E06CA7">
        <w:rPr>
          <w:szCs w:val="22"/>
        </w:rPr>
        <w:t xml:space="preserve"> the </w:t>
      </w:r>
      <w:r w:rsidR="0085793A" w:rsidRPr="00E06CA7">
        <w:rPr>
          <w:szCs w:val="22"/>
        </w:rPr>
        <w:t>FEIR</w:t>
      </w:r>
      <w:r w:rsidRPr="00E06CA7">
        <w:rPr>
          <w:szCs w:val="22"/>
        </w:rPr>
        <w:t>, Volume</w:t>
      </w:r>
      <w:r w:rsidR="00717FF3" w:rsidRPr="00E06CA7">
        <w:rPr>
          <w:szCs w:val="22"/>
        </w:rPr>
        <w:t> </w:t>
      </w:r>
      <w:r w:rsidRPr="00E06CA7">
        <w:rPr>
          <w:szCs w:val="22"/>
        </w:rPr>
        <w:t>1, Table ES-2.</w:t>
      </w:r>
    </w:p>
  </w:footnote>
  <w:footnote w:id="52">
    <w:p w14:paraId="75CDCFF9" w14:textId="0D722AB3"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§5.3.2 (Conclusion and Environmentally Superior Alternative), p. 5-13.</w:t>
      </w:r>
    </w:p>
  </w:footnote>
  <w:footnote w:id="53">
    <w:p w14:paraId="57EA8FCE" w14:textId="6FDCBDA3" w:rsidR="00474606" w:rsidRPr="00E06CA7" w:rsidRDefault="00474606"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p. 4.10-33.</w:t>
      </w:r>
    </w:p>
  </w:footnote>
  <w:footnote w:id="54">
    <w:p w14:paraId="303AAF8C" w14:textId="0264014B" w:rsidR="00474606" w:rsidRPr="00E06CA7" w:rsidRDefault="00474606"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p. 4.13-30.</w:t>
      </w:r>
    </w:p>
  </w:footnote>
  <w:footnote w:id="55">
    <w:p w14:paraId="51C109DE" w14:textId="5E0C6B67"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 2.8 (Master Response 8: Project Need and Consideration of Alternatives),</w:t>
      </w:r>
      <w:r w:rsidR="00717FF3" w:rsidRPr="00E06CA7">
        <w:rPr>
          <w:szCs w:val="22"/>
        </w:rPr>
        <w:t xml:space="preserve"> </w:t>
      </w:r>
      <w:r w:rsidRPr="00E06CA7">
        <w:rPr>
          <w:szCs w:val="22"/>
        </w:rPr>
        <w:t>pp. 2-29 through 2-30.</w:t>
      </w:r>
    </w:p>
  </w:footnote>
  <w:footnote w:id="56">
    <w:p w14:paraId="75A46DF9" w14:textId="1D8133A6"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Reply Testimony of Jean-Paul Wallis for PG&amp;E (</w:t>
      </w:r>
      <w:r w:rsidR="00DE36C5" w:rsidRPr="00E06CA7">
        <w:rPr>
          <w:szCs w:val="22"/>
        </w:rPr>
        <w:t>September </w:t>
      </w:r>
      <w:r w:rsidRPr="00E06CA7">
        <w:rPr>
          <w:szCs w:val="22"/>
        </w:rPr>
        <w:t>15, 2023), p. 5, lines 103-107.</w:t>
      </w:r>
    </w:p>
  </w:footnote>
  <w:footnote w:id="57">
    <w:p w14:paraId="401BF1FA" w14:textId="00A729FF"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Wallis Reply Testimony (PG&amp;E), p. 5, lines 107-109.</w:t>
      </w:r>
    </w:p>
  </w:footnote>
  <w:footnote w:id="58">
    <w:p w14:paraId="0B1EDBDD" w14:textId="2802C214"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Wallis Reply Testimony (PG&amp;E), p. 5, lines 109-112.</w:t>
      </w:r>
    </w:p>
  </w:footnote>
  <w:footnote w:id="59">
    <w:p w14:paraId="39E5712C" w14:textId="0CDC33B7"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§4.2.4 (Agricultural Impact Analysis), pp. 4.2-12 through 4.2-13.</w:t>
      </w:r>
    </w:p>
  </w:footnote>
  <w:footnote w:id="60">
    <w:p w14:paraId="32336E31" w14:textId="76B8A62B"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§6.5.3 (Cumulative Impacts), p. 6-21.</w:t>
      </w:r>
    </w:p>
  </w:footnote>
  <w:footnote w:id="61">
    <w:p w14:paraId="7A171308" w14:textId="24CBA809" w:rsidR="00584854" w:rsidRPr="00E06CA7" w:rsidRDefault="00584854" w:rsidP="00717FF3">
      <w:pPr>
        <w:pStyle w:val="FootnoteText"/>
        <w:ind w:left="360" w:hanging="360"/>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§4.2.4 (Agricultural Impact Analysis), pp. 4.2-13 through 4.2-14.</w:t>
      </w:r>
    </w:p>
  </w:footnote>
  <w:footnote w:id="62">
    <w:p w14:paraId="624213D0" w14:textId="6E415157"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E06CA7">
        <w:rPr>
          <w:szCs w:val="22"/>
        </w:rPr>
        <w:t xml:space="preserve"> </w:t>
      </w:r>
      <w:r w:rsidRPr="00E06CA7">
        <w:rPr>
          <w:szCs w:val="22"/>
        </w:rPr>
        <w:t>FEIR, Volume 1, §4.2.4 (Agricultural Impact Analysis), pp. 4.2-14 through 4.2-15.</w:t>
      </w:r>
    </w:p>
  </w:footnote>
  <w:footnote w:id="63">
    <w:p w14:paraId="1BFF00C9" w14:textId="33FA2C6C"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§4.2.4 (Agricultural Impact Analysis), p. 4.2-14.</w:t>
      </w:r>
    </w:p>
  </w:footnote>
  <w:footnote w:id="64">
    <w:p w14:paraId="20CDD9EA" w14:textId="1F870C32"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§4.3.4 (Air Quality Impact Analysis), pp. 4.3-13 through 4.3-20.</w:t>
      </w:r>
    </w:p>
  </w:footnote>
  <w:footnote w:id="65">
    <w:p w14:paraId="142DB702" w14:textId="3BC1F03C"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§2.15 (Master Response 15: Health Risk Assessment), pp. 2-43 through 2</w:t>
      </w:r>
      <w:r w:rsidR="00717FF3" w:rsidRPr="00E06CA7">
        <w:rPr>
          <w:szCs w:val="22"/>
        </w:rPr>
        <w:noBreakHyphen/>
      </w:r>
      <w:r w:rsidRPr="00E06CA7">
        <w:rPr>
          <w:szCs w:val="22"/>
        </w:rPr>
        <w:t>50.</w:t>
      </w:r>
    </w:p>
  </w:footnote>
  <w:footnote w:id="66">
    <w:p w14:paraId="38D288C4" w14:textId="1A2A0444"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§4.3.4 (Air Quality Impact Analysis), p. 4.3-28.</w:t>
      </w:r>
    </w:p>
  </w:footnote>
  <w:footnote w:id="67">
    <w:p w14:paraId="7FD59427" w14:textId="58F26FB5" w:rsidR="00584854" w:rsidRPr="00E06CA7" w:rsidRDefault="0058485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§4.3.4 (Air Quality Impact Analysis), p. 4.3-28.</w:t>
      </w:r>
    </w:p>
  </w:footnote>
  <w:footnote w:id="68">
    <w:p w14:paraId="17340C83" w14:textId="67B445C6"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CURE Opening Brief, p. 2.</w:t>
      </w:r>
    </w:p>
  </w:footnote>
  <w:footnote w:id="69">
    <w:p w14:paraId="42D0C4B2" w14:textId="09E5A0AA"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CEQA Guidelines, 14 Cal Code Regs §15126.6(a)-(c).</w:t>
      </w:r>
    </w:p>
  </w:footnote>
  <w:footnote w:id="70">
    <w:p w14:paraId="5E16C8F6" w14:textId="4951442B"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CEQA Guidelines, 14 Cal Code Regs §15126.6(f).</w:t>
      </w:r>
    </w:p>
  </w:footnote>
  <w:footnote w:id="71">
    <w:p w14:paraId="2B287F94" w14:textId="4DB0F81E"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CEQA Guidelines, 14 Cal Code Regs §15126.6(f).</w:t>
      </w:r>
    </w:p>
  </w:footnote>
  <w:footnote w:id="72">
    <w:p w14:paraId="4BB30E0E" w14:textId="192B7037"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2, Appendix B (Final A</w:t>
      </w:r>
      <w:r w:rsidR="00E11327" w:rsidRPr="00E06CA7">
        <w:rPr>
          <w:szCs w:val="22"/>
        </w:rPr>
        <w:t>SR</w:t>
      </w:r>
      <w:r w:rsidRPr="00E06CA7">
        <w:rPr>
          <w:szCs w:val="22"/>
        </w:rPr>
        <w:t>), pp. 3.16 through 3.29.</w:t>
      </w:r>
    </w:p>
  </w:footnote>
  <w:footnote w:id="73">
    <w:p w14:paraId="2F2F1F41" w14:textId="327CB53D"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2, Appendix B (Final A</w:t>
      </w:r>
      <w:r w:rsidR="00215F8C" w:rsidRPr="00E06CA7">
        <w:rPr>
          <w:szCs w:val="22"/>
        </w:rPr>
        <w:t>SR</w:t>
      </w:r>
      <w:r w:rsidRPr="00E06CA7">
        <w:rPr>
          <w:szCs w:val="22"/>
        </w:rPr>
        <w:t>), pp. 3-1 through 3-5.</w:t>
      </w:r>
    </w:p>
  </w:footnote>
  <w:footnote w:id="74">
    <w:p w14:paraId="3DCED73B" w14:textId="7541B508"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City of Maywood v. Los Angeles Unified School Dist.</w:t>
      </w:r>
      <w:r w:rsidRPr="00E06CA7">
        <w:rPr>
          <w:szCs w:val="22"/>
        </w:rPr>
        <w:t xml:space="preserve"> (2012) 208 Cal.App.4th 362, 420-421.</w:t>
      </w:r>
    </w:p>
  </w:footnote>
  <w:footnote w:id="75">
    <w:p w14:paraId="4323CB60" w14:textId="74CAE5DF"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Id.</w:t>
      </w:r>
      <w:r w:rsidRPr="00E06CA7">
        <w:rPr>
          <w:szCs w:val="22"/>
        </w:rPr>
        <w:t xml:space="preserve"> at 421 (The selection of alternatives will be upheld, unless the challenger demonstrates ‘that the alternatives are manifestly unreasonable and that they do not contribute to a reasonable range of alternatives.’ [citations omitted]).</w:t>
      </w:r>
    </w:p>
  </w:footnote>
  <w:footnote w:id="76">
    <w:p w14:paraId="4F3DECA7" w14:textId="26E1807E"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§2.8 (Master Response 8), p. 2-29.</w:t>
      </w:r>
    </w:p>
  </w:footnote>
  <w:footnote w:id="77">
    <w:p w14:paraId="15ACA726" w14:textId="340B2B94"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§2.8 (Master Response 8), p. 2-29.</w:t>
      </w:r>
    </w:p>
  </w:footnote>
  <w:footnote w:id="78">
    <w:p w14:paraId="62D2C2A5" w14:textId="5ADA7AA1" w:rsidR="00151053" w:rsidRPr="00E06CA7" w:rsidRDefault="00151053">
      <w:pPr>
        <w:pStyle w:val="FootnoteText"/>
        <w:rPr>
          <w:szCs w:val="22"/>
        </w:rPr>
      </w:pPr>
      <w:r w:rsidRPr="00E06CA7">
        <w:rPr>
          <w:rStyle w:val="FootnoteReference"/>
          <w:szCs w:val="22"/>
        </w:rPr>
        <w:footnoteRef/>
      </w:r>
      <w:r w:rsidRPr="00E06CA7">
        <w:rPr>
          <w:szCs w:val="22"/>
        </w:rPr>
        <w:t xml:space="preserve"> </w:t>
      </w:r>
      <w:r w:rsidR="00E06CA7">
        <w:rPr>
          <w:szCs w:val="22"/>
        </w:rPr>
        <w:t xml:space="preserve"> </w:t>
      </w:r>
      <w:r w:rsidRPr="00E06CA7">
        <w:rPr>
          <w:szCs w:val="22"/>
        </w:rPr>
        <w:t>CEQA Guidelines, Cal. Code Regs. Title 14 §15384.</w:t>
      </w:r>
    </w:p>
  </w:footnote>
  <w:footnote w:id="79">
    <w:p w14:paraId="454CC11D" w14:textId="61781DF0" w:rsidR="004201A5" w:rsidRPr="00E06CA7" w:rsidRDefault="004201A5">
      <w:pPr>
        <w:pStyle w:val="FootnoteText"/>
        <w:rPr>
          <w:szCs w:val="22"/>
        </w:rPr>
      </w:pPr>
      <w:r w:rsidRPr="00E06CA7">
        <w:rPr>
          <w:rStyle w:val="FootnoteReference"/>
          <w:szCs w:val="22"/>
        </w:rPr>
        <w:footnoteRef/>
      </w:r>
      <w:r w:rsidRPr="00E06CA7">
        <w:rPr>
          <w:szCs w:val="22"/>
        </w:rPr>
        <w:t xml:space="preserve"> </w:t>
      </w:r>
      <w:r w:rsidR="004904B8" w:rsidRPr="00E06CA7">
        <w:rPr>
          <w:szCs w:val="22"/>
        </w:rPr>
        <w:t xml:space="preserve"> </w:t>
      </w:r>
      <w:r w:rsidRPr="00E06CA7">
        <w:rPr>
          <w:szCs w:val="22"/>
        </w:rPr>
        <w:t>FEIR, Volume 1, §5, p. 5-13.</w:t>
      </w:r>
    </w:p>
  </w:footnote>
  <w:footnote w:id="80">
    <w:p w14:paraId="1B952689" w14:textId="2B93A362"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CURE Opening Brief, pp. 10-15.</w:t>
      </w:r>
    </w:p>
  </w:footnote>
  <w:footnote w:id="81">
    <w:p w14:paraId="1D0A16D7" w14:textId="59EFBF8A" w:rsidR="00C27DDE" w:rsidRPr="00E06CA7" w:rsidRDefault="00C27DDE"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FEIR, Volume 3, §2.8 (Master Response 8), p. 2-29 (citing </w:t>
      </w:r>
      <w:r w:rsidR="0085793A" w:rsidRPr="00E06CA7">
        <w:rPr>
          <w:szCs w:val="22"/>
        </w:rPr>
        <w:t>FEIR</w:t>
      </w:r>
      <w:r w:rsidRPr="00E06CA7">
        <w:rPr>
          <w:szCs w:val="22"/>
        </w:rPr>
        <w:t>, Volume 1, p. 4.10-33).</w:t>
      </w:r>
    </w:p>
  </w:footnote>
  <w:footnote w:id="82">
    <w:p w14:paraId="271B084E" w14:textId="5D940246" w:rsidR="00C27DDE" w:rsidRPr="00E06CA7" w:rsidRDefault="00C27DDE"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FEIR, Volume 3, §2.8 (Master Response 8), p. 2-29 (citing </w:t>
      </w:r>
      <w:r w:rsidR="0085793A" w:rsidRPr="00E06CA7">
        <w:rPr>
          <w:szCs w:val="22"/>
        </w:rPr>
        <w:t>FEIR</w:t>
      </w:r>
      <w:r w:rsidRPr="00E06CA7">
        <w:rPr>
          <w:szCs w:val="22"/>
        </w:rPr>
        <w:t>, Volume 1, p. 4.10-33).</w:t>
      </w:r>
    </w:p>
  </w:footnote>
  <w:footnote w:id="83">
    <w:p w14:paraId="531A55C7" w14:textId="6CF9BA8B" w:rsidR="00C27DDE" w:rsidRPr="00E06CA7" w:rsidRDefault="00C27DDE" w:rsidP="00717FF3">
      <w:pPr>
        <w:pStyle w:val="FootnoteText"/>
        <w:rPr>
          <w:szCs w:val="22"/>
        </w:rPr>
      </w:pPr>
      <w:r w:rsidRPr="00E06CA7">
        <w:rPr>
          <w:rStyle w:val="FootnoteReference"/>
          <w:szCs w:val="22"/>
        </w:rPr>
        <w:footnoteRef/>
      </w:r>
      <w:r w:rsidRPr="00E06CA7">
        <w:rPr>
          <w:szCs w:val="22"/>
        </w:rPr>
        <w:t xml:space="preserve"> </w:t>
      </w:r>
      <w:r w:rsidR="00DD426B" w:rsidRPr="00E06CA7">
        <w:rPr>
          <w:szCs w:val="22"/>
        </w:rPr>
        <w:t xml:space="preserve"> </w:t>
      </w:r>
      <w:r w:rsidRPr="00E06CA7">
        <w:rPr>
          <w:szCs w:val="22"/>
        </w:rPr>
        <w:t xml:space="preserve">FEIR, Volume 3, §2.8 (Master Response 8) p. 2-29 (citing </w:t>
      </w:r>
      <w:r w:rsidR="0085793A" w:rsidRPr="00E06CA7">
        <w:rPr>
          <w:szCs w:val="22"/>
        </w:rPr>
        <w:t>FEIR</w:t>
      </w:r>
      <w:r w:rsidRPr="00E06CA7">
        <w:rPr>
          <w:szCs w:val="22"/>
        </w:rPr>
        <w:t>, Volume 1, p. 4.13-30).</w:t>
      </w:r>
    </w:p>
  </w:footnote>
  <w:footnote w:id="84">
    <w:p w14:paraId="34598B09" w14:textId="77777777" w:rsidR="00C27DDE" w:rsidRPr="00E06CA7" w:rsidRDefault="00C27DDE" w:rsidP="00717FF3">
      <w:pPr>
        <w:pStyle w:val="FootnoteText"/>
        <w:rPr>
          <w:szCs w:val="22"/>
        </w:rPr>
      </w:pPr>
      <w:r w:rsidRPr="00E06CA7">
        <w:rPr>
          <w:rStyle w:val="FootnoteReference"/>
          <w:szCs w:val="22"/>
        </w:rPr>
        <w:footnoteRef/>
      </w:r>
      <w:r w:rsidRPr="00E06CA7">
        <w:rPr>
          <w:szCs w:val="22"/>
        </w:rPr>
        <w:t xml:space="preserve">  Applicants’ Opening Brief, pp. 47-49.</w:t>
      </w:r>
    </w:p>
  </w:footnote>
  <w:footnote w:id="85">
    <w:p w14:paraId="686C9A80" w14:textId="44C555C4" w:rsidR="004201A5" w:rsidRPr="00E06CA7" w:rsidRDefault="004201A5">
      <w:pPr>
        <w:pStyle w:val="FootnoteText"/>
        <w:rPr>
          <w:szCs w:val="22"/>
        </w:rPr>
      </w:pPr>
      <w:r w:rsidRPr="00E06CA7">
        <w:rPr>
          <w:rStyle w:val="FootnoteReference"/>
          <w:szCs w:val="22"/>
        </w:rPr>
        <w:footnoteRef/>
      </w:r>
      <w:r w:rsidRPr="00E06CA7">
        <w:rPr>
          <w:szCs w:val="22"/>
        </w:rPr>
        <w:t xml:space="preserve"> </w:t>
      </w:r>
      <w:r w:rsidR="004904B8" w:rsidRPr="00E06CA7">
        <w:rPr>
          <w:szCs w:val="22"/>
        </w:rPr>
        <w:t xml:space="preserve"> </w:t>
      </w:r>
      <w:r w:rsidRPr="00E06CA7">
        <w:rPr>
          <w:i/>
          <w:iCs/>
          <w:szCs w:val="22"/>
        </w:rPr>
        <w:t>Ibid.</w:t>
      </w:r>
    </w:p>
  </w:footnote>
  <w:footnote w:id="86">
    <w:p w14:paraId="6A37A6A4" w14:textId="27C38360" w:rsidR="00C27DDE" w:rsidRPr="00E06CA7" w:rsidRDefault="00C27DDE"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Wallis Reply Testimony (PG&amp;E), p. 4, line 78 through p. 5, line 100.</w:t>
      </w:r>
    </w:p>
  </w:footnote>
  <w:footnote w:id="87">
    <w:p w14:paraId="43F4256B" w14:textId="1293C987"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CURE Opening Brief, pp. 3-8.</w:t>
      </w:r>
    </w:p>
  </w:footnote>
  <w:footnote w:id="88">
    <w:p w14:paraId="084C56F0" w14:textId="4AA6F6BE"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 xml:space="preserve">Claremont Canyon Conservancy v. Regents of University of California </w:t>
      </w:r>
      <w:r w:rsidRPr="00E06CA7">
        <w:rPr>
          <w:szCs w:val="22"/>
        </w:rPr>
        <w:t>(2023) 92 Cal.App.5th 474, 493.</w:t>
      </w:r>
    </w:p>
  </w:footnote>
  <w:footnote w:id="89">
    <w:p w14:paraId="31555BA9" w14:textId="0254A16E"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§3.2 (Responses to Comments), p. 3-333.</w:t>
      </w:r>
    </w:p>
  </w:footnote>
  <w:footnote w:id="90">
    <w:p w14:paraId="6BFFB4FB" w14:textId="03C1BA9A" w:rsidR="00AF7C61" w:rsidRPr="00E06CA7" w:rsidRDefault="00AF7C6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§3.2 (Responses to Comments), p. 3-333.</w:t>
      </w:r>
    </w:p>
  </w:footnote>
  <w:footnote w:id="91">
    <w:p w14:paraId="32AA4108" w14:textId="3A205DEB"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§3.2 (Responses to Comments), pp. 3-333 through 3-334.</w:t>
      </w:r>
    </w:p>
  </w:footnote>
  <w:footnote w:id="92">
    <w:p w14:paraId="488D9331" w14:textId="06BFE525"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§3.2 (Responses to Comments), p. 3-334.</w:t>
      </w:r>
    </w:p>
  </w:footnote>
  <w:footnote w:id="93">
    <w:p w14:paraId="7A549CFB" w14:textId="0AC66C66"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CURE Opening Brief, pp. 4-5.</w:t>
      </w:r>
    </w:p>
  </w:footnote>
  <w:footnote w:id="94">
    <w:p w14:paraId="1B1755C0" w14:textId="7939421E"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CURE Opening Brief, p. 5.</w:t>
      </w:r>
    </w:p>
  </w:footnote>
  <w:footnote w:id="95">
    <w:p w14:paraId="6941774C" w14:textId="24AA7A87"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§3.2 (Responses to Comments), p. 3-343.</w:t>
      </w:r>
    </w:p>
  </w:footnote>
  <w:footnote w:id="96">
    <w:p w14:paraId="0F8A8291" w14:textId="3B2B49CF"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§3.2 (Responses to Comments), p. 3-343.</w:t>
      </w:r>
    </w:p>
  </w:footnote>
  <w:footnote w:id="97">
    <w:p w14:paraId="4FBFB3FD" w14:textId="06BB6FF5"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§3.2 (Responses to Comments), p. 3-343.</w:t>
      </w:r>
    </w:p>
  </w:footnote>
  <w:footnote w:id="98">
    <w:p w14:paraId="0868DD69" w14:textId="77777777"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FEIR, Volume 3, §3.3 (Responses to Comments), p. 3-1434.</w:t>
      </w:r>
    </w:p>
  </w:footnote>
  <w:footnote w:id="99">
    <w:p w14:paraId="3A02B938" w14:textId="77777777"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FEIR, Volume 3, §3.3 (Responses to Comments), p. 3-1435.</w:t>
      </w:r>
    </w:p>
  </w:footnote>
  <w:footnote w:id="100">
    <w:p w14:paraId="15887C67" w14:textId="5FC2B0BD"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Parker Shattuck Neighbors v. Berkeley City Council</w:t>
      </w:r>
      <w:r w:rsidRPr="00E06CA7">
        <w:rPr>
          <w:szCs w:val="22"/>
        </w:rPr>
        <w:t xml:space="preserve"> (2013) 222 Cal.App.4th 468, 782.</w:t>
      </w:r>
    </w:p>
  </w:footnote>
  <w:footnote w:id="101">
    <w:p w14:paraId="301933D7" w14:textId="4B033F57"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Tiburon Open Space Committee v. County of Marin</w:t>
      </w:r>
      <w:r w:rsidRPr="00E06CA7">
        <w:rPr>
          <w:szCs w:val="22"/>
        </w:rPr>
        <w:t xml:space="preserve"> (2022) 78 Cal.App.5th. 700, 778-779 (citing and affirming the Superior Court’s decision).</w:t>
      </w:r>
    </w:p>
  </w:footnote>
  <w:footnote w:id="102">
    <w:p w14:paraId="51E69054" w14:textId="56A1D009"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§4.3.3 (Environmental Setting), pp. 4.3-10 through 4.3-11.</w:t>
      </w:r>
    </w:p>
  </w:footnote>
  <w:footnote w:id="103">
    <w:p w14:paraId="153BBC76" w14:textId="0E78FD19"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§4.3.4 (Air Quality Impact Analysis), p. 4.3-28.</w:t>
      </w:r>
    </w:p>
  </w:footnote>
  <w:footnote w:id="104">
    <w:p w14:paraId="2FB9BB75" w14:textId="529262AD"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§2.14 (Master Response 14), pp. 2.42 through 2.43.</w:t>
      </w:r>
    </w:p>
  </w:footnote>
  <w:footnote w:id="105">
    <w:p w14:paraId="03594103" w14:textId="54E06256"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3, §2.14 (Master Response 14), p 2.43.</w:t>
      </w:r>
    </w:p>
  </w:footnote>
  <w:footnote w:id="106">
    <w:p w14:paraId="121FCAD6" w14:textId="3F294EC4"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FEIR, Volume 1, §4.3.4 (Air Quality Impact Analysis), p. 4.3-28.</w:t>
      </w:r>
    </w:p>
  </w:footnote>
  <w:footnote w:id="107">
    <w:p w14:paraId="68B536CD" w14:textId="2EBF80A8" w:rsidR="00300641" w:rsidRPr="00E06CA7" w:rsidRDefault="00300641"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Gilroy Citizens for Responsible Planning v. City of Gilroy</w:t>
      </w:r>
      <w:r w:rsidRPr="00E06CA7">
        <w:rPr>
          <w:szCs w:val="22"/>
        </w:rPr>
        <w:t xml:space="preserve"> (2006) 140 Cal.App.4th 911, 935</w:t>
      </w:r>
      <w:r w:rsidR="009E2240" w:rsidRPr="00E06CA7">
        <w:rPr>
          <w:szCs w:val="22"/>
        </w:rPr>
        <w:t>.</w:t>
      </w:r>
    </w:p>
  </w:footnote>
  <w:footnote w:id="108">
    <w:p w14:paraId="5102096F" w14:textId="03B78381" w:rsidR="008C0750" w:rsidRPr="00E06CA7" w:rsidRDefault="008C075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CEQA Guidelines, Cal. Code Regs. Title 14 §15093(a).</w:t>
      </w:r>
    </w:p>
  </w:footnote>
  <w:footnote w:id="109">
    <w:p w14:paraId="5630D76A" w14:textId="323C9081" w:rsidR="008C0750" w:rsidRPr="00E06CA7" w:rsidRDefault="008C075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i/>
          <w:iCs/>
          <w:szCs w:val="22"/>
        </w:rPr>
        <w:t>Id.</w:t>
      </w:r>
    </w:p>
  </w:footnote>
  <w:footnote w:id="110">
    <w:p w14:paraId="2AC4F386" w14:textId="588077E2" w:rsidR="008C0750" w:rsidRPr="00E06CA7" w:rsidRDefault="008C075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Hayes Opening Testimony (Horizon West), Attachment A (CAISO 2013-2014 TPP), p. 89; Billington Testimony (CAISO), p. 2, lines 24-25.</w:t>
      </w:r>
    </w:p>
  </w:footnote>
  <w:footnote w:id="111">
    <w:p w14:paraId="60BF1260" w14:textId="5383FCD5" w:rsidR="008C0750" w:rsidRPr="00E06CA7" w:rsidRDefault="008C075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Billington Testimony (CAISO), p. 5, line 23 through p. 6, line 7.</w:t>
      </w:r>
    </w:p>
  </w:footnote>
  <w:footnote w:id="112">
    <w:p w14:paraId="1D30DDA5" w14:textId="09874828" w:rsidR="008C0750" w:rsidRPr="00E06CA7" w:rsidRDefault="008C075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Billington Testimony (CAISO), p. 6, lines 8-14.</w:t>
      </w:r>
    </w:p>
  </w:footnote>
  <w:footnote w:id="113">
    <w:p w14:paraId="76B3C493" w14:textId="25E7D2AA" w:rsidR="008C0750" w:rsidRPr="00E06CA7" w:rsidRDefault="008C075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Billington Testimony (CAISO), p. 7, lines 14-17.</w:t>
      </w:r>
    </w:p>
  </w:footnote>
  <w:footnote w:id="114">
    <w:p w14:paraId="69894019" w14:textId="49899D12" w:rsidR="008C0750" w:rsidRPr="00E06CA7" w:rsidRDefault="008C075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Billington Testimony (CAISO), p. 7, lines 18-24.</w:t>
      </w:r>
    </w:p>
  </w:footnote>
  <w:footnote w:id="115">
    <w:p w14:paraId="516CF34C" w14:textId="6640FAB3" w:rsidR="008C0750" w:rsidRPr="00E06CA7" w:rsidRDefault="008C075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001A55AA" w:rsidRPr="00E06CA7">
        <w:rPr>
          <w:szCs w:val="22"/>
        </w:rPr>
        <w:t>D.</w:t>
      </w:r>
      <w:r w:rsidRPr="00E06CA7">
        <w:rPr>
          <w:szCs w:val="22"/>
        </w:rPr>
        <w:t>20-03-001 (Decision Granting a CPCN for the Riverside Transmission Reliability Project), Conclusion of Law 5 (finding that reliability benefits are overriding considerations that outweigh unavoidable impacts on aesthetics, noise, and transportation and traffic, and the project’s significant contribution to cumulative hydrology and water quality impacts); D.17</w:t>
      </w:r>
      <w:r w:rsidR="004904B8" w:rsidRPr="00E06CA7">
        <w:rPr>
          <w:szCs w:val="22"/>
        </w:rPr>
        <w:noBreakHyphen/>
      </w:r>
      <w:r w:rsidRPr="00E06CA7">
        <w:rPr>
          <w:szCs w:val="22"/>
        </w:rPr>
        <w:t>02</w:t>
      </w:r>
      <w:r w:rsidR="004904B8" w:rsidRPr="00E06CA7">
        <w:rPr>
          <w:szCs w:val="22"/>
        </w:rPr>
        <w:noBreakHyphen/>
      </w:r>
      <w:r w:rsidRPr="00E06CA7">
        <w:rPr>
          <w:szCs w:val="22"/>
        </w:rPr>
        <w:t>015 (Decision Granting a PTC for the Mesa 500</w:t>
      </w:r>
      <w:r w:rsidR="00DC5A1D" w:rsidRPr="00E06CA7">
        <w:rPr>
          <w:szCs w:val="22"/>
        </w:rPr>
        <w:t> kV</w:t>
      </w:r>
      <w:r w:rsidRPr="00E06CA7">
        <w:rPr>
          <w:szCs w:val="22"/>
        </w:rPr>
        <w:t xml:space="preserve"> Substation Facility Project), Finding of Fact 25 (finding that the project’s reliability and other benefits outweigh its significant and unavoidable impacts to aesthetics, air quality, and noise); D.16-12-001 (Decision Addressing the Southern California Edison Company Application for a PTC for the Valley South 115</w:t>
      </w:r>
      <w:r w:rsidR="00DC5A1D" w:rsidRPr="00E06CA7">
        <w:rPr>
          <w:szCs w:val="22"/>
        </w:rPr>
        <w:t> kV</w:t>
      </w:r>
      <w:r w:rsidRPr="00E06CA7">
        <w:rPr>
          <w:szCs w:val="22"/>
        </w:rPr>
        <w:t xml:space="preserve"> </w:t>
      </w:r>
      <w:r w:rsidRPr="00E06CA7">
        <w:rPr>
          <w:szCs w:val="22"/>
        </w:rPr>
        <w:t>Subtransmission Project), pp. 18-19 and Finding of Fact 6 (finding that the project’s reliability benefits outweigh its significant, unavoidable benefits on cultural resources); D.16-08-017 (Decision Granting CPCN for the West of Devers Upgrade Project), p. 34 (finding that the project’s benefits in allowing compliance with generator interconnection requests, and facilitating deliverability for renewable resources, outweighs its unavoidable adverse environmental impacts on air quality, noise, visual resources, and cultural resources); D.16</w:t>
      </w:r>
      <w:r w:rsidR="004904B8" w:rsidRPr="00E06CA7">
        <w:rPr>
          <w:szCs w:val="22"/>
        </w:rPr>
        <w:noBreakHyphen/>
      </w:r>
      <w:r w:rsidRPr="00E06CA7">
        <w:rPr>
          <w:szCs w:val="22"/>
        </w:rPr>
        <w:t>08</w:t>
      </w:r>
      <w:r w:rsidR="004904B8" w:rsidRPr="00E06CA7">
        <w:rPr>
          <w:szCs w:val="22"/>
        </w:rPr>
        <w:noBreakHyphen/>
      </w:r>
      <w:r w:rsidRPr="00E06CA7">
        <w:rPr>
          <w:szCs w:val="22"/>
        </w:rPr>
        <w:t>002 (Decision Granting PTC for the Moorpark-Newbury 66</w:t>
      </w:r>
      <w:r w:rsidR="00DC5A1D" w:rsidRPr="00E06CA7">
        <w:rPr>
          <w:szCs w:val="22"/>
        </w:rPr>
        <w:t> kV</w:t>
      </w:r>
      <w:r w:rsidRPr="00E06CA7">
        <w:rPr>
          <w:szCs w:val="22"/>
        </w:rPr>
        <w:t xml:space="preserve"> Subtransmiss</w:t>
      </w:r>
      <w:r w:rsidR="001A55AA" w:rsidRPr="00E06CA7">
        <w:rPr>
          <w:szCs w:val="22"/>
        </w:rPr>
        <w:t>i</w:t>
      </w:r>
      <w:r w:rsidRPr="00E06CA7">
        <w:rPr>
          <w:szCs w:val="22"/>
        </w:rPr>
        <w:t>on Line Project), pp. 25-26 and Conclusion of Law 3 (finding that the project’s reliability benefits in avoiding a projected violation of applicable reliability criteria outweigh its significant and unavoidable impacts on air quality and noise during project construction); D.16-05-005 (Decision Granting PTC for the Sale Creek Substation Project), pp. 19-20, Findings of Fact 1 and 6 (finding that the project’s reliability benefits in ensuring safe and reliable electric service outweigh its significant and unavoidable impacts on aesthetics, noise, and recreation).</w:t>
      </w:r>
    </w:p>
  </w:footnote>
  <w:footnote w:id="116">
    <w:p w14:paraId="4D39ECD6" w14:textId="3A7559C5" w:rsidR="000D4D5B" w:rsidRPr="00E06CA7" w:rsidRDefault="000D4D5B"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Hayes Opening Testimony (Horizon West), p. 10, lines 16-21.</w:t>
      </w:r>
    </w:p>
  </w:footnote>
  <w:footnote w:id="117">
    <w:p w14:paraId="5BBE79E2" w14:textId="4301A62B" w:rsidR="008C0750" w:rsidRPr="00E06CA7" w:rsidRDefault="008C075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 xml:space="preserve">Memorandum of Understanding Between the California Public Utilities Commission (CPUC), the California Energy Commission (CEC), and the California Independent System Operator (ISO) Regarding Transmission and Resource Planning and Implementation dated as of </w:t>
      </w:r>
      <w:r w:rsidR="00325E91" w:rsidRPr="00E06CA7">
        <w:rPr>
          <w:szCs w:val="22"/>
        </w:rPr>
        <w:t>December </w:t>
      </w:r>
      <w:r w:rsidRPr="00E06CA7">
        <w:rPr>
          <w:szCs w:val="22"/>
        </w:rPr>
        <w:t>2022.</w:t>
      </w:r>
    </w:p>
  </w:footnote>
  <w:footnote w:id="118">
    <w:p w14:paraId="260241CA" w14:textId="713C70CD" w:rsidR="001351B8" w:rsidRPr="00E06CA7" w:rsidRDefault="001351B8"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D.20-03-001, p. 29; D.17.02.015, p. 33; D.16-12-001, p. 16; D.16-08-017, p. 35; D.16</w:t>
      </w:r>
      <w:r w:rsidR="00717FF3" w:rsidRPr="00E06CA7">
        <w:rPr>
          <w:szCs w:val="22"/>
        </w:rPr>
        <w:noBreakHyphen/>
      </w:r>
      <w:r w:rsidRPr="00E06CA7">
        <w:rPr>
          <w:szCs w:val="22"/>
        </w:rPr>
        <w:t>08</w:t>
      </w:r>
      <w:r w:rsidR="00717FF3" w:rsidRPr="00E06CA7">
        <w:rPr>
          <w:szCs w:val="22"/>
        </w:rPr>
        <w:noBreakHyphen/>
      </w:r>
      <w:r w:rsidRPr="00E06CA7">
        <w:rPr>
          <w:szCs w:val="22"/>
        </w:rPr>
        <w:t xml:space="preserve">002, p. 26; D.16-05-005, p. 21; </w:t>
      </w:r>
      <w:r w:rsidRPr="00E06CA7">
        <w:rPr>
          <w:i/>
          <w:iCs/>
          <w:szCs w:val="22"/>
        </w:rPr>
        <w:t>see also</w:t>
      </w:r>
      <w:r w:rsidRPr="00E06CA7">
        <w:rPr>
          <w:szCs w:val="22"/>
        </w:rPr>
        <w:t xml:space="preserve"> D.06-01-042 and D.93-11-013.</w:t>
      </w:r>
    </w:p>
  </w:footnote>
  <w:footnote w:id="119">
    <w:p w14:paraId="65F1BCBE" w14:textId="36C05CD6" w:rsidR="00890130" w:rsidRPr="00E06CA7" w:rsidRDefault="00890130"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D.06-01-042 at 7.</w:t>
      </w:r>
    </w:p>
  </w:footnote>
  <w:footnote w:id="120">
    <w:p w14:paraId="2D443D80" w14:textId="704D20DE" w:rsidR="00660D74" w:rsidRPr="00E06CA7" w:rsidRDefault="00660D74"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0069092A" w:rsidRPr="00E06CA7">
        <w:rPr>
          <w:i/>
          <w:iCs/>
          <w:szCs w:val="22"/>
        </w:rPr>
        <w:t>See</w:t>
      </w:r>
      <w:r w:rsidR="0069092A" w:rsidRPr="00E06CA7">
        <w:rPr>
          <w:szCs w:val="22"/>
        </w:rPr>
        <w:t xml:space="preserve"> </w:t>
      </w:r>
      <w:r w:rsidRPr="00E06CA7">
        <w:rPr>
          <w:szCs w:val="22"/>
        </w:rPr>
        <w:t>attach</w:t>
      </w:r>
      <w:r w:rsidR="00AB7EAB" w:rsidRPr="00E06CA7">
        <w:rPr>
          <w:szCs w:val="22"/>
        </w:rPr>
        <w:t>ment</w:t>
      </w:r>
      <w:r w:rsidRPr="00E06CA7">
        <w:rPr>
          <w:szCs w:val="22"/>
        </w:rPr>
        <w:t xml:space="preserve"> to the opening testimony of Daniel</w:t>
      </w:r>
      <w:r w:rsidR="002273BE" w:rsidRPr="00E06CA7">
        <w:rPr>
          <w:szCs w:val="22"/>
        </w:rPr>
        <w:t> </w:t>
      </w:r>
      <w:r w:rsidRPr="00E06CA7">
        <w:rPr>
          <w:szCs w:val="22"/>
        </w:rPr>
        <w:t>Mayers on behalf of Horizon West</w:t>
      </w:r>
      <w:r w:rsidR="00AB7EAB" w:rsidRPr="00E06CA7">
        <w:rPr>
          <w:szCs w:val="22"/>
        </w:rPr>
        <w:t>.</w:t>
      </w:r>
    </w:p>
  </w:footnote>
  <w:footnote w:id="121">
    <w:p w14:paraId="621E9E56" w14:textId="5678EE8F" w:rsidR="00447803" w:rsidRPr="00E06CA7" w:rsidRDefault="00447803"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Rebuttal Testimony of Daniel</w:t>
      </w:r>
      <w:r w:rsidR="002273BE" w:rsidRPr="00E06CA7">
        <w:rPr>
          <w:szCs w:val="22"/>
        </w:rPr>
        <w:t> </w:t>
      </w:r>
      <w:r w:rsidRPr="00E06CA7">
        <w:rPr>
          <w:szCs w:val="22"/>
        </w:rPr>
        <w:t>Mayers for Horizon West (</w:t>
      </w:r>
      <w:r w:rsidR="00DE36C5" w:rsidRPr="00E06CA7">
        <w:rPr>
          <w:szCs w:val="22"/>
        </w:rPr>
        <w:t>September </w:t>
      </w:r>
      <w:r w:rsidRPr="00E06CA7">
        <w:rPr>
          <w:szCs w:val="22"/>
        </w:rPr>
        <w:t>15, 2023), p. 2, line 16 through</w:t>
      </w:r>
      <w:r w:rsidR="00F16444" w:rsidRPr="00E06CA7">
        <w:rPr>
          <w:szCs w:val="22"/>
        </w:rPr>
        <w:t xml:space="preserve"> </w:t>
      </w:r>
      <w:r w:rsidRPr="00E06CA7">
        <w:rPr>
          <w:szCs w:val="22"/>
        </w:rPr>
        <w:t>p. 3, line 7.</w:t>
      </w:r>
    </w:p>
  </w:footnote>
  <w:footnote w:id="122">
    <w:p w14:paraId="03DFBE6D" w14:textId="017A58D6" w:rsidR="006502B6" w:rsidRPr="00E06CA7" w:rsidRDefault="006502B6"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Mayers Rebuttal Testimony (Horizon West), p. 4, lines 7-13.</w:t>
      </w:r>
    </w:p>
  </w:footnote>
  <w:footnote w:id="123">
    <w:p w14:paraId="3BEDC899" w14:textId="4DAEC2D6" w:rsidR="006502B6" w:rsidRPr="00E06CA7" w:rsidRDefault="006502B6"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124 Chavis Reply Testimony (PG&amp;E), Exhibit 1 (EMF Field Management Plan for Alternative PLR-1A).</w:t>
      </w:r>
    </w:p>
  </w:footnote>
  <w:footnote w:id="124">
    <w:p w14:paraId="0329827A" w14:textId="44757551" w:rsidR="006614D3" w:rsidRPr="00E06CA7" w:rsidRDefault="006614D3"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Chavis Reply Testimony (PG&amp;E), p. 6, line 141 through p. 7, line 148.</w:t>
      </w:r>
    </w:p>
  </w:footnote>
  <w:footnote w:id="125">
    <w:p w14:paraId="0C1D6B48" w14:textId="6922871B" w:rsidR="00A97DEC" w:rsidRPr="00E06CA7" w:rsidRDefault="00A97DEC"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Chavis Reply Testimony (PG&amp;E), p. 7, lines 149-163.</w:t>
      </w:r>
    </w:p>
  </w:footnote>
  <w:footnote w:id="126">
    <w:p w14:paraId="67EA0A3D" w14:textId="6CA5F91D" w:rsidR="00E56763" w:rsidRPr="00E06CA7" w:rsidRDefault="00E56763"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Wallis Reply Testimony (PG&amp;E) (</w:t>
      </w:r>
      <w:r w:rsidR="00DE36C5" w:rsidRPr="00E06CA7">
        <w:rPr>
          <w:szCs w:val="22"/>
        </w:rPr>
        <w:t>September </w:t>
      </w:r>
      <w:r w:rsidRPr="00E06CA7">
        <w:rPr>
          <w:szCs w:val="22"/>
        </w:rPr>
        <w:t>15, 2023), p. 4, lines 72-77.</w:t>
      </w:r>
    </w:p>
  </w:footnote>
  <w:footnote w:id="127">
    <w:p w14:paraId="2304AAEB" w14:textId="3652B35D" w:rsidR="00717C9A" w:rsidRPr="00E06CA7" w:rsidRDefault="00717C9A"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Wallis Reply Testimony (PG&amp;E), p. 4, line 78 through p. 5, line 100.</w:t>
      </w:r>
    </w:p>
  </w:footnote>
  <w:footnote w:id="128">
    <w:p w14:paraId="387EF19E" w14:textId="1DB7CAEF" w:rsidR="00717C9A" w:rsidRPr="00E06CA7" w:rsidRDefault="00717C9A"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Wallis Reply Testimony (PG&amp;E), p. 5, lines 103-112.</w:t>
      </w:r>
    </w:p>
  </w:footnote>
  <w:footnote w:id="129">
    <w:p w14:paraId="0DB7CC3D" w14:textId="2EF0E5A1" w:rsidR="00D07E95" w:rsidRPr="00E06CA7" w:rsidRDefault="00D07E95"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Wallis Reply Testimony (PG&amp;E), p. 6, lines 121-129.</w:t>
      </w:r>
    </w:p>
  </w:footnote>
  <w:footnote w:id="130">
    <w:p w14:paraId="02C83FE3" w14:textId="6AA60ACE" w:rsidR="00D07E95" w:rsidRPr="00E06CA7" w:rsidRDefault="00D07E95" w:rsidP="00717FF3">
      <w:pPr>
        <w:pStyle w:val="FootnoteText"/>
        <w:rPr>
          <w:szCs w:val="22"/>
        </w:rPr>
      </w:pPr>
      <w:r w:rsidRPr="00E06CA7">
        <w:rPr>
          <w:rStyle w:val="FootnoteReference"/>
          <w:szCs w:val="22"/>
        </w:rPr>
        <w:footnoteRef/>
      </w:r>
      <w:r w:rsidRPr="00E06CA7">
        <w:rPr>
          <w:szCs w:val="22"/>
        </w:rPr>
        <w:t xml:space="preserve"> </w:t>
      </w:r>
      <w:r w:rsidR="00717FF3" w:rsidRPr="00E06CA7">
        <w:rPr>
          <w:szCs w:val="22"/>
        </w:rPr>
        <w:t xml:space="preserve"> </w:t>
      </w:r>
      <w:r w:rsidRPr="00E06CA7">
        <w:rPr>
          <w:szCs w:val="22"/>
        </w:rPr>
        <w:t>Mayers Rebuttal Testimony (Horizon West), p. 6, lines 4-14.</w:t>
      </w:r>
    </w:p>
  </w:footnote>
  <w:footnote w:id="131">
    <w:p w14:paraId="542B01E6" w14:textId="436E7E9E" w:rsidR="002376B7" w:rsidRDefault="002376B7">
      <w:pPr>
        <w:pStyle w:val="FootnoteText"/>
      </w:pPr>
      <w:r>
        <w:rPr>
          <w:rStyle w:val="FootnoteReference"/>
        </w:rPr>
        <w:footnoteRef/>
      </w:r>
      <w:r>
        <w:t xml:space="preserve"> </w:t>
      </w:r>
      <w:r w:rsidRPr="002376B7">
        <w:t>April 5, 2024</w:t>
      </w:r>
      <w:r>
        <w:t xml:space="preserve"> ALJ Ruling granted</w:t>
      </w:r>
      <w:r w:rsidRPr="002376B7">
        <w:t xml:space="preserve"> PG&amp;E permission to late-file its comments</w:t>
      </w:r>
      <w:r>
        <w:t>.</w:t>
      </w:r>
    </w:p>
  </w:footnote>
  <w:footnote w:id="132">
    <w:p w14:paraId="382F382C" w14:textId="77777777" w:rsidR="002376B7" w:rsidRDefault="002376B7" w:rsidP="002376B7">
      <w:pPr>
        <w:pStyle w:val="FootnoteText"/>
      </w:pPr>
      <w:r>
        <w:rPr>
          <w:rStyle w:val="FootnoteReference"/>
        </w:rPr>
        <w:footnoteRef/>
      </w:r>
      <w:r>
        <w:t xml:space="preserve"> </w:t>
      </w:r>
      <w:r w:rsidRPr="00E548F9">
        <w:t xml:space="preserve">The cases cited by the comments regarding phasing of projects fundamentally differ from this project, because there is no secondary stage of discretionary approval that would be subject to detailed CEQA for those distribution components.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E3E" w14:textId="2F9A5299" w:rsidR="00177078" w:rsidRPr="00F92385" w:rsidRDefault="00177078"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BC99" w14:textId="4790CC7A" w:rsidR="00177078" w:rsidRDefault="0030780A" w:rsidP="007E0FEE">
    <w:pPr>
      <w:pStyle w:val="Header"/>
      <w:tabs>
        <w:tab w:val="clear" w:pos="4680"/>
      </w:tabs>
      <w:ind w:firstLine="0"/>
      <w:jc w:val="center"/>
      <w:rPr>
        <w:b/>
      </w:rPr>
    </w:pPr>
    <w:r>
      <w:t xml:space="preserve">A.17-01-023  ALJ/KK2/jnf </w:t>
    </w:r>
    <w:r w:rsidR="00177078">
      <w:tab/>
    </w:r>
  </w:p>
  <w:p w14:paraId="2288CACE" w14:textId="77777777" w:rsidR="004904B8" w:rsidRPr="004904B8" w:rsidRDefault="004904B8" w:rsidP="004904B8">
    <w:pPr>
      <w:pStyle w:val="Main"/>
      <w:rPr>
        <w:rFonts w:ascii="Book Antiqua" w:hAnsi="Book Antiqua"/>
        <w:b w:val="0"/>
        <w:bCs/>
      </w:rPr>
    </w:pPr>
  </w:p>
  <w:p w14:paraId="4CC0EC7C" w14:textId="77777777" w:rsidR="004904B8" w:rsidRPr="004904B8" w:rsidRDefault="004904B8" w:rsidP="004904B8">
    <w:pPr>
      <w:spacing w:line="240" w:lineRule="auto"/>
      <w:ind w:firstLine="0"/>
      <w:jc w:val="center"/>
      <w:rPr>
        <w:bCs/>
      </w:rPr>
    </w:pPr>
  </w:p>
  <w:p w14:paraId="0F2FC27A" w14:textId="3F0AF5E9" w:rsidR="00325E91" w:rsidRPr="001E2A62" w:rsidRDefault="00325E91" w:rsidP="00325E91">
    <w:pPr>
      <w:pStyle w:val="Main"/>
      <w:rPr>
        <w:rFonts w:ascii="Book Antiqua" w:hAnsi="Book Antiqua"/>
      </w:rPr>
    </w:pPr>
    <w:r w:rsidRPr="001E2A62">
      <w:rPr>
        <w:rFonts w:ascii="Book Antiqua" w:hAnsi="Book Antiqua"/>
      </w:rPr>
      <w:t>TABLE OF CONTENTS</w:t>
    </w:r>
  </w:p>
  <w:p w14:paraId="51002F9F" w14:textId="7D4ACF0D" w:rsidR="00325E91" w:rsidRPr="00325E91" w:rsidRDefault="00325E91" w:rsidP="00325E91">
    <w:pPr>
      <w:tabs>
        <w:tab w:val="right" w:pos="9360"/>
      </w:tabs>
      <w:ind w:firstLine="0"/>
    </w:pPr>
    <w:r w:rsidRPr="00D50119">
      <w:rPr>
        <w:b/>
      </w:rPr>
      <w:t>Title</w:t>
    </w:r>
    <w:r>
      <w:tab/>
    </w:r>
    <w:r w:rsidRPr="00D50119">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A59" w14:textId="236CFBEB" w:rsidR="00364AF5" w:rsidRPr="004904B8" w:rsidRDefault="00325E91" w:rsidP="004904B8">
    <w:pPr>
      <w:pStyle w:val="Header"/>
      <w:tabs>
        <w:tab w:val="clear" w:pos="4680"/>
      </w:tabs>
      <w:ind w:firstLine="0"/>
      <w:jc w:val="center"/>
      <w:rPr>
        <w:b/>
      </w:rPr>
    </w:pPr>
    <w:r>
      <w:t xml:space="preserve">A.17-01-023  ALJ/KK2/jnf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7299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A7667"/>
    <w:multiLevelType w:val="hybridMultilevel"/>
    <w:tmpl w:val="1F80FA84"/>
    <w:lvl w:ilvl="0" w:tplc="310CF16A">
      <w:numFmt w:val="bullet"/>
      <w:lvlText w:val=""/>
      <w:lvlJc w:val="left"/>
      <w:pPr>
        <w:ind w:left="1300" w:hanging="360"/>
      </w:pPr>
      <w:rPr>
        <w:rFonts w:ascii="Symbol" w:eastAsia="Symbol" w:hAnsi="Symbol" w:cs="Symbol" w:hint="default"/>
        <w:b w:val="0"/>
        <w:bCs w:val="0"/>
        <w:i w:val="0"/>
        <w:iCs w:val="0"/>
        <w:spacing w:val="0"/>
        <w:w w:val="100"/>
        <w:sz w:val="24"/>
        <w:szCs w:val="24"/>
        <w:lang w:val="en-US" w:eastAsia="en-US" w:bidi="ar-SA"/>
      </w:rPr>
    </w:lvl>
    <w:lvl w:ilvl="1" w:tplc="04F22AD0">
      <w:numFmt w:val="bullet"/>
      <w:lvlText w:val="•"/>
      <w:lvlJc w:val="left"/>
      <w:pPr>
        <w:ind w:left="2162" w:hanging="360"/>
      </w:pPr>
      <w:rPr>
        <w:rFonts w:hint="default"/>
        <w:lang w:val="en-US" w:eastAsia="en-US" w:bidi="ar-SA"/>
      </w:rPr>
    </w:lvl>
    <w:lvl w:ilvl="2" w:tplc="F434F9CC">
      <w:numFmt w:val="bullet"/>
      <w:lvlText w:val="•"/>
      <w:lvlJc w:val="left"/>
      <w:pPr>
        <w:ind w:left="3024" w:hanging="360"/>
      </w:pPr>
      <w:rPr>
        <w:rFonts w:hint="default"/>
        <w:lang w:val="en-US" w:eastAsia="en-US" w:bidi="ar-SA"/>
      </w:rPr>
    </w:lvl>
    <w:lvl w:ilvl="3" w:tplc="9438C61C">
      <w:numFmt w:val="bullet"/>
      <w:lvlText w:val="•"/>
      <w:lvlJc w:val="left"/>
      <w:pPr>
        <w:ind w:left="3886" w:hanging="360"/>
      </w:pPr>
      <w:rPr>
        <w:rFonts w:hint="default"/>
        <w:lang w:val="en-US" w:eastAsia="en-US" w:bidi="ar-SA"/>
      </w:rPr>
    </w:lvl>
    <w:lvl w:ilvl="4" w:tplc="BF78E286">
      <w:numFmt w:val="bullet"/>
      <w:lvlText w:val="•"/>
      <w:lvlJc w:val="left"/>
      <w:pPr>
        <w:ind w:left="4748" w:hanging="360"/>
      </w:pPr>
      <w:rPr>
        <w:rFonts w:hint="default"/>
        <w:lang w:val="en-US" w:eastAsia="en-US" w:bidi="ar-SA"/>
      </w:rPr>
    </w:lvl>
    <w:lvl w:ilvl="5" w:tplc="AE6E4EEA">
      <w:numFmt w:val="bullet"/>
      <w:lvlText w:val="•"/>
      <w:lvlJc w:val="left"/>
      <w:pPr>
        <w:ind w:left="5610" w:hanging="360"/>
      </w:pPr>
      <w:rPr>
        <w:rFonts w:hint="default"/>
        <w:lang w:val="en-US" w:eastAsia="en-US" w:bidi="ar-SA"/>
      </w:rPr>
    </w:lvl>
    <w:lvl w:ilvl="6" w:tplc="D40EAB4A">
      <w:numFmt w:val="bullet"/>
      <w:lvlText w:val="•"/>
      <w:lvlJc w:val="left"/>
      <w:pPr>
        <w:ind w:left="6472" w:hanging="360"/>
      </w:pPr>
      <w:rPr>
        <w:rFonts w:hint="default"/>
        <w:lang w:val="en-US" w:eastAsia="en-US" w:bidi="ar-SA"/>
      </w:rPr>
    </w:lvl>
    <w:lvl w:ilvl="7" w:tplc="ABB851CE">
      <w:numFmt w:val="bullet"/>
      <w:lvlText w:val="•"/>
      <w:lvlJc w:val="left"/>
      <w:pPr>
        <w:ind w:left="7334" w:hanging="360"/>
      </w:pPr>
      <w:rPr>
        <w:rFonts w:hint="default"/>
        <w:lang w:val="en-US" w:eastAsia="en-US" w:bidi="ar-SA"/>
      </w:rPr>
    </w:lvl>
    <w:lvl w:ilvl="8" w:tplc="A36E658E">
      <w:numFmt w:val="bullet"/>
      <w:lvlText w:val="•"/>
      <w:lvlJc w:val="left"/>
      <w:pPr>
        <w:ind w:left="8196" w:hanging="360"/>
      </w:pPr>
      <w:rPr>
        <w:rFonts w:hint="default"/>
        <w:lang w:val="en-US" w:eastAsia="en-US" w:bidi="ar-SA"/>
      </w:rPr>
    </w:lvl>
  </w:abstractNum>
  <w:abstractNum w:abstractNumId="2" w15:restartNumberingAfterBreak="0">
    <w:nsid w:val="146C1C14"/>
    <w:multiLevelType w:val="multilevel"/>
    <w:tmpl w:val="18F4A5AC"/>
    <w:styleLink w:val="FoFCoLOP"/>
    <w:lvl w:ilvl="0">
      <w:start w:val="1"/>
      <w:numFmt w:val="decimal"/>
      <w:pStyle w:val="Co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5" w15:restartNumberingAfterBreak="0">
    <w:nsid w:val="40F5329F"/>
    <w:multiLevelType w:val="hybridMultilevel"/>
    <w:tmpl w:val="85C69A5A"/>
    <w:lvl w:ilvl="0" w:tplc="156AF650">
      <w:numFmt w:val="bullet"/>
      <w:lvlText w:val=""/>
      <w:lvlJc w:val="left"/>
      <w:pPr>
        <w:ind w:left="1660" w:hanging="720"/>
      </w:pPr>
      <w:rPr>
        <w:rFonts w:ascii="Symbol" w:eastAsia="Symbol" w:hAnsi="Symbol" w:cs="Symbol" w:hint="default"/>
        <w:b w:val="0"/>
        <w:bCs w:val="0"/>
        <w:i w:val="0"/>
        <w:iCs w:val="0"/>
        <w:spacing w:val="0"/>
        <w:w w:val="100"/>
        <w:sz w:val="24"/>
        <w:szCs w:val="24"/>
        <w:lang w:val="en-US" w:eastAsia="en-US" w:bidi="ar-SA"/>
      </w:rPr>
    </w:lvl>
    <w:lvl w:ilvl="1" w:tplc="0FBAB17E">
      <w:numFmt w:val="bullet"/>
      <w:lvlText w:val=""/>
      <w:lvlJc w:val="left"/>
      <w:pPr>
        <w:ind w:left="2020" w:hanging="360"/>
      </w:pPr>
      <w:rPr>
        <w:rFonts w:ascii="Symbol" w:eastAsia="Symbol" w:hAnsi="Symbol" w:cs="Symbol" w:hint="default"/>
        <w:b w:val="0"/>
        <w:bCs w:val="0"/>
        <w:i w:val="0"/>
        <w:iCs w:val="0"/>
        <w:spacing w:val="0"/>
        <w:w w:val="100"/>
        <w:sz w:val="24"/>
        <w:szCs w:val="24"/>
        <w:lang w:val="en-US" w:eastAsia="en-US" w:bidi="ar-SA"/>
      </w:rPr>
    </w:lvl>
    <w:lvl w:ilvl="2" w:tplc="AD66B0D2">
      <w:numFmt w:val="bullet"/>
      <w:lvlText w:val="•"/>
      <w:lvlJc w:val="left"/>
      <w:pPr>
        <w:ind w:left="2897" w:hanging="360"/>
      </w:pPr>
      <w:rPr>
        <w:rFonts w:hint="default"/>
        <w:lang w:val="en-US" w:eastAsia="en-US" w:bidi="ar-SA"/>
      </w:rPr>
    </w:lvl>
    <w:lvl w:ilvl="3" w:tplc="045453B4">
      <w:numFmt w:val="bullet"/>
      <w:lvlText w:val="•"/>
      <w:lvlJc w:val="left"/>
      <w:pPr>
        <w:ind w:left="3775" w:hanging="360"/>
      </w:pPr>
      <w:rPr>
        <w:rFonts w:hint="default"/>
        <w:lang w:val="en-US" w:eastAsia="en-US" w:bidi="ar-SA"/>
      </w:rPr>
    </w:lvl>
    <w:lvl w:ilvl="4" w:tplc="B80ACC04">
      <w:numFmt w:val="bullet"/>
      <w:lvlText w:val="•"/>
      <w:lvlJc w:val="left"/>
      <w:pPr>
        <w:ind w:left="4653" w:hanging="360"/>
      </w:pPr>
      <w:rPr>
        <w:rFonts w:hint="default"/>
        <w:lang w:val="en-US" w:eastAsia="en-US" w:bidi="ar-SA"/>
      </w:rPr>
    </w:lvl>
    <w:lvl w:ilvl="5" w:tplc="43B6EF9A">
      <w:numFmt w:val="bullet"/>
      <w:lvlText w:val="•"/>
      <w:lvlJc w:val="left"/>
      <w:pPr>
        <w:ind w:left="5531" w:hanging="360"/>
      </w:pPr>
      <w:rPr>
        <w:rFonts w:hint="default"/>
        <w:lang w:val="en-US" w:eastAsia="en-US" w:bidi="ar-SA"/>
      </w:rPr>
    </w:lvl>
    <w:lvl w:ilvl="6" w:tplc="8416B984">
      <w:numFmt w:val="bullet"/>
      <w:lvlText w:val="•"/>
      <w:lvlJc w:val="left"/>
      <w:pPr>
        <w:ind w:left="6408" w:hanging="360"/>
      </w:pPr>
      <w:rPr>
        <w:rFonts w:hint="default"/>
        <w:lang w:val="en-US" w:eastAsia="en-US" w:bidi="ar-SA"/>
      </w:rPr>
    </w:lvl>
    <w:lvl w:ilvl="7" w:tplc="8EAA8FB0">
      <w:numFmt w:val="bullet"/>
      <w:lvlText w:val="•"/>
      <w:lvlJc w:val="left"/>
      <w:pPr>
        <w:ind w:left="7286" w:hanging="360"/>
      </w:pPr>
      <w:rPr>
        <w:rFonts w:hint="default"/>
        <w:lang w:val="en-US" w:eastAsia="en-US" w:bidi="ar-SA"/>
      </w:rPr>
    </w:lvl>
    <w:lvl w:ilvl="8" w:tplc="ED380FC6">
      <w:numFmt w:val="bullet"/>
      <w:lvlText w:val="•"/>
      <w:lvlJc w:val="left"/>
      <w:pPr>
        <w:ind w:left="8164" w:hanging="360"/>
      </w:pPr>
      <w:rPr>
        <w:rFonts w:hint="default"/>
        <w:lang w:val="en-US" w:eastAsia="en-US" w:bidi="ar-SA"/>
      </w:rPr>
    </w:lvl>
  </w:abstractNum>
  <w:abstractNum w:abstractNumId="6" w15:restartNumberingAfterBreak="0">
    <w:nsid w:val="42DC387E"/>
    <w:multiLevelType w:val="multilevel"/>
    <w:tmpl w:val="0E7AA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9D042D7"/>
    <w:multiLevelType w:val="multilevel"/>
    <w:tmpl w:val="18F4A5AC"/>
    <w:numStyleLink w:val="FoFCoLOP"/>
  </w:abstractNum>
  <w:abstractNum w:abstractNumId="8" w15:restartNumberingAfterBreak="0">
    <w:nsid w:val="61A25780"/>
    <w:multiLevelType w:val="multilevel"/>
    <w:tmpl w:val="3C526EDE"/>
    <w:numStyleLink w:val="Headings"/>
  </w:abstractNum>
  <w:abstractNum w:abstractNumId="9" w15:restartNumberingAfterBreak="0">
    <w:nsid w:val="66581D9C"/>
    <w:multiLevelType w:val="hybridMultilevel"/>
    <w:tmpl w:val="F506B1A6"/>
    <w:lvl w:ilvl="0" w:tplc="E618A7D8">
      <w:start w:val="1"/>
      <w:numFmt w:val="upperRoman"/>
      <w:lvlText w:val="%1."/>
      <w:lvlJc w:val="left"/>
      <w:pPr>
        <w:ind w:left="940" w:hanging="720"/>
      </w:pPr>
      <w:rPr>
        <w:rFonts w:ascii="Times New Roman" w:eastAsia="Times New Roman" w:hAnsi="Times New Roman" w:cs="Times New Roman" w:hint="default"/>
        <w:b/>
        <w:bCs/>
        <w:i w:val="0"/>
        <w:iCs w:val="0"/>
        <w:spacing w:val="0"/>
        <w:w w:val="100"/>
        <w:sz w:val="24"/>
        <w:szCs w:val="24"/>
        <w:lang w:val="en-US" w:eastAsia="en-US" w:bidi="ar-SA"/>
      </w:rPr>
    </w:lvl>
    <w:lvl w:ilvl="1" w:tplc="B900B006">
      <w:start w:val="1"/>
      <w:numFmt w:val="upperLetter"/>
      <w:lvlText w:val="%2."/>
      <w:lvlJc w:val="left"/>
      <w:pPr>
        <w:ind w:left="1660" w:hanging="720"/>
      </w:pPr>
      <w:rPr>
        <w:rFonts w:ascii="Times New Roman" w:eastAsia="Times New Roman" w:hAnsi="Times New Roman" w:cs="Times New Roman" w:hint="default"/>
        <w:b/>
        <w:bCs/>
        <w:i w:val="0"/>
        <w:iCs w:val="0"/>
        <w:spacing w:val="-1"/>
        <w:w w:val="100"/>
        <w:sz w:val="24"/>
        <w:szCs w:val="24"/>
        <w:lang w:val="en-US" w:eastAsia="en-US" w:bidi="ar-SA"/>
      </w:rPr>
    </w:lvl>
    <w:lvl w:ilvl="2" w:tplc="E51E54BC">
      <w:start w:val="1"/>
      <w:numFmt w:val="decimal"/>
      <w:lvlText w:val="(%3)"/>
      <w:lvlJc w:val="left"/>
      <w:pPr>
        <w:ind w:left="1660" w:hanging="720"/>
      </w:pPr>
      <w:rPr>
        <w:rFonts w:ascii="Book Antiqua" w:eastAsia="Times New Roman" w:hAnsi="Book Antiqua" w:cs="Times New Roman" w:hint="default"/>
        <w:b w:val="0"/>
        <w:bCs w:val="0"/>
        <w:i w:val="0"/>
        <w:iCs w:val="0"/>
        <w:spacing w:val="-1"/>
        <w:w w:val="100"/>
        <w:sz w:val="26"/>
        <w:szCs w:val="26"/>
        <w:lang w:val="en-US" w:eastAsia="en-US" w:bidi="ar-SA"/>
      </w:rPr>
    </w:lvl>
    <w:lvl w:ilvl="3" w:tplc="53486C0C">
      <w:numFmt w:val="bullet"/>
      <w:lvlText w:val=""/>
      <w:lvlJc w:val="left"/>
      <w:pPr>
        <w:ind w:left="1300" w:hanging="360"/>
      </w:pPr>
      <w:rPr>
        <w:rFonts w:ascii="Symbol" w:eastAsia="Symbol" w:hAnsi="Symbol" w:cs="Symbol" w:hint="default"/>
        <w:b w:val="0"/>
        <w:bCs w:val="0"/>
        <w:i w:val="0"/>
        <w:iCs w:val="0"/>
        <w:spacing w:val="0"/>
        <w:w w:val="100"/>
        <w:sz w:val="24"/>
        <w:szCs w:val="24"/>
        <w:lang w:val="en-US" w:eastAsia="en-US" w:bidi="ar-SA"/>
      </w:rPr>
    </w:lvl>
    <w:lvl w:ilvl="4" w:tplc="86889084">
      <w:numFmt w:val="bullet"/>
      <w:lvlText w:val="•"/>
      <w:lvlJc w:val="left"/>
      <w:pPr>
        <w:ind w:left="3725" w:hanging="360"/>
      </w:pPr>
      <w:rPr>
        <w:rFonts w:hint="default"/>
        <w:lang w:val="en-US" w:eastAsia="en-US" w:bidi="ar-SA"/>
      </w:rPr>
    </w:lvl>
    <w:lvl w:ilvl="5" w:tplc="A3DE26D8">
      <w:numFmt w:val="bullet"/>
      <w:lvlText w:val="•"/>
      <w:lvlJc w:val="left"/>
      <w:pPr>
        <w:ind w:left="4757" w:hanging="360"/>
      </w:pPr>
      <w:rPr>
        <w:rFonts w:hint="default"/>
        <w:lang w:val="en-US" w:eastAsia="en-US" w:bidi="ar-SA"/>
      </w:rPr>
    </w:lvl>
    <w:lvl w:ilvl="6" w:tplc="A7526264">
      <w:numFmt w:val="bullet"/>
      <w:lvlText w:val="•"/>
      <w:lvlJc w:val="left"/>
      <w:pPr>
        <w:ind w:left="5790" w:hanging="360"/>
      </w:pPr>
      <w:rPr>
        <w:rFonts w:hint="default"/>
        <w:lang w:val="en-US" w:eastAsia="en-US" w:bidi="ar-SA"/>
      </w:rPr>
    </w:lvl>
    <w:lvl w:ilvl="7" w:tplc="FAE01D9A">
      <w:numFmt w:val="bullet"/>
      <w:lvlText w:val="•"/>
      <w:lvlJc w:val="left"/>
      <w:pPr>
        <w:ind w:left="6822" w:hanging="360"/>
      </w:pPr>
      <w:rPr>
        <w:rFonts w:hint="default"/>
        <w:lang w:val="en-US" w:eastAsia="en-US" w:bidi="ar-SA"/>
      </w:rPr>
    </w:lvl>
    <w:lvl w:ilvl="8" w:tplc="EDC662E2">
      <w:numFmt w:val="bullet"/>
      <w:lvlText w:val="•"/>
      <w:lvlJc w:val="left"/>
      <w:pPr>
        <w:ind w:left="7855" w:hanging="360"/>
      </w:pPr>
      <w:rPr>
        <w:rFonts w:hint="default"/>
        <w:lang w:val="en-US" w:eastAsia="en-US" w:bidi="ar-SA"/>
      </w:rPr>
    </w:lvl>
  </w:abstractNum>
  <w:abstractNum w:abstractNumId="10" w15:restartNumberingAfterBreak="0">
    <w:nsid w:val="789A0AFE"/>
    <w:multiLevelType w:val="multilevel"/>
    <w:tmpl w:val="18F4A5AC"/>
    <w:numStyleLink w:val="FoFCoLOP"/>
  </w:abstractNum>
  <w:num w:numId="1" w16cid:durableId="140774137">
    <w:abstractNumId w:val="2"/>
  </w:num>
  <w:num w:numId="2" w16cid:durableId="973756952">
    <w:abstractNumId w:val="4"/>
  </w:num>
  <w:num w:numId="3" w16cid:durableId="467403540">
    <w:abstractNumId w:val="6"/>
  </w:num>
  <w:num w:numId="4" w16cid:durableId="1720517631">
    <w:abstractNumId w:val="5"/>
  </w:num>
  <w:num w:numId="5" w16cid:durableId="328212865">
    <w:abstractNumId w:val="1"/>
  </w:num>
  <w:num w:numId="6" w16cid:durableId="1765807992">
    <w:abstractNumId w:val="9"/>
  </w:num>
  <w:num w:numId="7" w16cid:durableId="302514652">
    <w:abstractNumId w:val="3"/>
  </w:num>
  <w:num w:numId="8" w16cid:durableId="128090087">
    <w:abstractNumId w:val="8"/>
    <w:lvlOverride w:ilvl="0">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bCs/>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9" w16cid:durableId="2087411113">
    <w:abstractNumId w:val="0"/>
  </w:num>
  <w:num w:numId="10" w16cid:durableId="1715350545">
    <w:abstractNumId w:val="10"/>
  </w:num>
  <w:num w:numId="11" w16cid:durableId="1126317797">
    <w:abstractNumId w:val="7"/>
  </w:num>
  <w:num w:numId="12" w16cid:durableId="1576628504">
    <w:abstractNumId w:val="2"/>
  </w:num>
  <w:num w:numId="13" w16cid:durableId="1734501178">
    <w:abstractNumId w:val="10"/>
  </w:num>
  <w:num w:numId="14" w16cid:durableId="1092438360">
    <w:abstractNumId w:val="7"/>
  </w:num>
  <w:num w:numId="15" w16cid:durableId="1171064459">
    <w:abstractNumId w:val="10"/>
  </w:num>
  <w:num w:numId="16" w16cid:durableId="1886597552">
    <w:abstractNumId w:val="3"/>
  </w:num>
  <w:num w:numId="17" w16cid:durableId="18089924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BE"/>
    <w:rsid w:val="000004B6"/>
    <w:rsid w:val="00000BDF"/>
    <w:rsid w:val="00000F6A"/>
    <w:rsid w:val="0000138B"/>
    <w:rsid w:val="00001857"/>
    <w:rsid w:val="00001C26"/>
    <w:rsid w:val="00001CB0"/>
    <w:rsid w:val="0000345D"/>
    <w:rsid w:val="000034E8"/>
    <w:rsid w:val="0000570F"/>
    <w:rsid w:val="00011CFB"/>
    <w:rsid w:val="00012680"/>
    <w:rsid w:val="00013C07"/>
    <w:rsid w:val="00013E46"/>
    <w:rsid w:val="00014542"/>
    <w:rsid w:val="00014878"/>
    <w:rsid w:val="00017007"/>
    <w:rsid w:val="0002070C"/>
    <w:rsid w:val="00020BAD"/>
    <w:rsid w:val="000218F0"/>
    <w:rsid w:val="00024894"/>
    <w:rsid w:val="00024B70"/>
    <w:rsid w:val="0002502F"/>
    <w:rsid w:val="00030134"/>
    <w:rsid w:val="00030461"/>
    <w:rsid w:val="00032004"/>
    <w:rsid w:val="0003225F"/>
    <w:rsid w:val="00034FA3"/>
    <w:rsid w:val="0003543E"/>
    <w:rsid w:val="00035893"/>
    <w:rsid w:val="00037784"/>
    <w:rsid w:val="00041EA2"/>
    <w:rsid w:val="00043A06"/>
    <w:rsid w:val="00044C5B"/>
    <w:rsid w:val="0004516B"/>
    <w:rsid w:val="00045D84"/>
    <w:rsid w:val="00046AC9"/>
    <w:rsid w:val="00046ADF"/>
    <w:rsid w:val="00050318"/>
    <w:rsid w:val="000522E0"/>
    <w:rsid w:val="000522E7"/>
    <w:rsid w:val="0005549B"/>
    <w:rsid w:val="00055594"/>
    <w:rsid w:val="000571A5"/>
    <w:rsid w:val="00060D3F"/>
    <w:rsid w:val="00060F53"/>
    <w:rsid w:val="0006111B"/>
    <w:rsid w:val="0006140F"/>
    <w:rsid w:val="0006307B"/>
    <w:rsid w:val="000631ED"/>
    <w:rsid w:val="000669A5"/>
    <w:rsid w:val="00067744"/>
    <w:rsid w:val="00067C31"/>
    <w:rsid w:val="0007032E"/>
    <w:rsid w:val="00070748"/>
    <w:rsid w:val="0007115A"/>
    <w:rsid w:val="000715D3"/>
    <w:rsid w:val="0007245E"/>
    <w:rsid w:val="00072460"/>
    <w:rsid w:val="00072C34"/>
    <w:rsid w:val="00074443"/>
    <w:rsid w:val="00075BE4"/>
    <w:rsid w:val="00077C0F"/>
    <w:rsid w:val="00082109"/>
    <w:rsid w:val="000832A5"/>
    <w:rsid w:val="000846E4"/>
    <w:rsid w:val="000866B7"/>
    <w:rsid w:val="00087B90"/>
    <w:rsid w:val="00090ADA"/>
    <w:rsid w:val="00090D73"/>
    <w:rsid w:val="0009454A"/>
    <w:rsid w:val="00094E9E"/>
    <w:rsid w:val="000958BE"/>
    <w:rsid w:val="000973C8"/>
    <w:rsid w:val="000A08E1"/>
    <w:rsid w:val="000A12CC"/>
    <w:rsid w:val="000A2AA9"/>
    <w:rsid w:val="000A3774"/>
    <w:rsid w:val="000A3899"/>
    <w:rsid w:val="000A4B23"/>
    <w:rsid w:val="000A56F2"/>
    <w:rsid w:val="000A5DB6"/>
    <w:rsid w:val="000A6E05"/>
    <w:rsid w:val="000B0099"/>
    <w:rsid w:val="000B0721"/>
    <w:rsid w:val="000B12FA"/>
    <w:rsid w:val="000B2976"/>
    <w:rsid w:val="000B3D19"/>
    <w:rsid w:val="000B4CDD"/>
    <w:rsid w:val="000B5AD3"/>
    <w:rsid w:val="000B5B44"/>
    <w:rsid w:val="000B6C49"/>
    <w:rsid w:val="000B74EB"/>
    <w:rsid w:val="000B751F"/>
    <w:rsid w:val="000C08BF"/>
    <w:rsid w:val="000C1A0F"/>
    <w:rsid w:val="000C1FEE"/>
    <w:rsid w:val="000C3676"/>
    <w:rsid w:val="000C3B9A"/>
    <w:rsid w:val="000C4A80"/>
    <w:rsid w:val="000C5000"/>
    <w:rsid w:val="000C57CE"/>
    <w:rsid w:val="000D1EFA"/>
    <w:rsid w:val="000D25A8"/>
    <w:rsid w:val="000D3177"/>
    <w:rsid w:val="000D3DA7"/>
    <w:rsid w:val="000D4D5B"/>
    <w:rsid w:val="000D63ED"/>
    <w:rsid w:val="000D6C39"/>
    <w:rsid w:val="000D7173"/>
    <w:rsid w:val="000D76A9"/>
    <w:rsid w:val="000D7BC3"/>
    <w:rsid w:val="000E1197"/>
    <w:rsid w:val="000E1FB9"/>
    <w:rsid w:val="000E262D"/>
    <w:rsid w:val="000E270A"/>
    <w:rsid w:val="000E4C53"/>
    <w:rsid w:val="000E5912"/>
    <w:rsid w:val="000E6978"/>
    <w:rsid w:val="000E6BF9"/>
    <w:rsid w:val="000E7387"/>
    <w:rsid w:val="000F01CD"/>
    <w:rsid w:val="000F049E"/>
    <w:rsid w:val="000F301D"/>
    <w:rsid w:val="000F32FE"/>
    <w:rsid w:val="000F48C6"/>
    <w:rsid w:val="000F51BC"/>
    <w:rsid w:val="000F5463"/>
    <w:rsid w:val="000F6C87"/>
    <w:rsid w:val="000F7071"/>
    <w:rsid w:val="000F72EA"/>
    <w:rsid w:val="000F7BD3"/>
    <w:rsid w:val="00100692"/>
    <w:rsid w:val="0010134F"/>
    <w:rsid w:val="00104BE1"/>
    <w:rsid w:val="00105572"/>
    <w:rsid w:val="00106D4A"/>
    <w:rsid w:val="00107A7F"/>
    <w:rsid w:val="0011004B"/>
    <w:rsid w:val="00111467"/>
    <w:rsid w:val="00111E48"/>
    <w:rsid w:val="00112064"/>
    <w:rsid w:val="00112299"/>
    <w:rsid w:val="001124DF"/>
    <w:rsid w:val="00112813"/>
    <w:rsid w:val="00113CF2"/>
    <w:rsid w:val="001155F1"/>
    <w:rsid w:val="00116145"/>
    <w:rsid w:val="00121089"/>
    <w:rsid w:val="001223F7"/>
    <w:rsid w:val="00122AE5"/>
    <w:rsid w:val="001244B8"/>
    <w:rsid w:val="00125217"/>
    <w:rsid w:val="00126E90"/>
    <w:rsid w:val="001274A1"/>
    <w:rsid w:val="00127C05"/>
    <w:rsid w:val="001321F5"/>
    <w:rsid w:val="00132871"/>
    <w:rsid w:val="0013387E"/>
    <w:rsid w:val="00134686"/>
    <w:rsid w:val="001351B8"/>
    <w:rsid w:val="001355B7"/>
    <w:rsid w:val="0013668C"/>
    <w:rsid w:val="001368ED"/>
    <w:rsid w:val="00136D75"/>
    <w:rsid w:val="00137B82"/>
    <w:rsid w:val="00141E81"/>
    <w:rsid w:val="00143900"/>
    <w:rsid w:val="001440A0"/>
    <w:rsid w:val="001441DF"/>
    <w:rsid w:val="00146117"/>
    <w:rsid w:val="001470F2"/>
    <w:rsid w:val="0014764E"/>
    <w:rsid w:val="00147CD7"/>
    <w:rsid w:val="00151053"/>
    <w:rsid w:val="00151227"/>
    <w:rsid w:val="001512E3"/>
    <w:rsid w:val="00152FB1"/>
    <w:rsid w:val="00153063"/>
    <w:rsid w:val="00153E05"/>
    <w:rsid w:val="00154073"/>
    <w:rsid w:val="001549D2"/>
    <w:rsid w:val="0015638D"/>
    <w:rsid w:val="00156507"/>
    <w:rsid w:val="001565C7"/>
    <w:rsid w:val="00156B71"/>
    <w:rsid w:val="001574E4"/>
    <w:rsid w:val="00157724"/>
    <w:rsid w:val="00157AE6"/>
    <w:rsid w:val="00160FAD"/>
    <w:rsid w:val="0016156B"/>
    <w:rsid w:val="00162387"/>
    <w:rsid w:val="00162F9D"/>
    <w:rsid w:val="00163B20"/>
    <w:rsid w:val="00164F36"/>
    <w:rsid w:val="00165BBE"/>
    <w:rsid w:val="00167A62"/>
    <w:rsid w:val="00167BF9"/>
    <w:rsid w:val="001710E6"/>
    <w:rsid w:val="001720A4"/>
    <w:rsid w:val="00172F45"/>
    <w:rsid w:val="00173C77"/>
    <w:rsid w:val="0017533E"/>
    <w:rsid w:val="00175D47"/>
    <w:rsid w:val="0017612E"/>
    <w:rsid w:val="00176959"/>
    <w:rsid w:val="00176C48"/>
    <w:rsid w:val="00177078"/>
    <w:rsid w:val="00177252"/>
    <w:rsid w:val="0017739B"/>
    <w:rsid w:val="001776BB"/>
    <w:rsid w:val="001776D7"/>
    <w:rsid w:val="00177945"/>
    <w:rsid w:val="00177A7A"/>
    <w:rsid w:val="00180B18"/>
    <w:rsid w:val="00182BBC"/>
    <w:rsid w:val="00183452"/>
    <w:rsid w:val="00183DB0"/>
    <w:rsid w:val="00184307"/>
    <w:rsid w:val="00184A8F"/>
    <w:rsid w:val="00185A07"/>
    <w:rsid w:val="0019018E"/>
    <w:rsid w:val="0019174B"/>
    <w:rsid w:val="001936FD"/>
    <w:rsid w:val="00193E5D"/>
    <w:rsid w:val="00194237"/>
    <w:rsid w:val="0019428D"/>
    <w:rsid w:val="00194848"/>
    <w:rsid w:val="00195C06"/>
    <w:rsid w:val="00196BB2"/>
    <w:rsid w:val="00196F1F"/>
    <w:rsid w:val="0019704A"/>
    <w:rsid w:val="00197203"/>
    <w:rsid w:val="001977EB"/>
    <w:rsid w:val="00197CED"/>
    <w:rsid w:val="00197F00"/>
    <w:rsid w:val="00197F82"/>
    <w:rsid w:val="001A059B"/>
    <w:rsid w:val="001A0D77"/>
    <w:rsid w:val="001A0F19"/>
    <w:rsid w:val="001A1C7A"/>
    <w:rsid w:val="001A341D"/>
    <w:rsid w:val="001A4A1A"/>
    <w:rsid w:val="001A55AA"/>
    <w:rsid w:val="001A5C17"/>
    <w:rsid w:val="001A71BE"/>
    <w:rsid w:val="001A76B2"/>
    <w:rsid w:val="001A7796"/>
    <w:rsid w:val="001B156B"/>
    <w:rsid w:val="001B1BA8"/>
    <w:rsid w:val="001B2493"/>
    <w:rsid w:val="001B4B37"/>
    <w:rsid w:val="001B58E7"/>
    <w:rsid w:val="001B593B"/>
    <w:rsid w:val="001C14B1"/>
    <w:rsid w:val="001C22C6"/>
    <w:rsid w:val="001C27BE"/>
    <w:rsid w:val="001C3218"/>
    <w:rsid w:val="001C363F"/>
    <w:rsid w:val="001C3EE5"/>
    <w:rsid w:val="001C4C59"/>
    <w:rsid w:val="001C7675"/>
    <w:rsid w:val="001D1C35"/>
    <w:rsid w:val="001D2380"/>
    <w:rsid w:val="001D3029"/>
    <w:rsid w:val="001D317D"/>
    <w:rsid w:val="001D5237"/>
    <w:rsid w:val="001D5B62"/>
    <w:rsid w:val="001D746C"/>
    <w:rsid w:val="001D7D66"/>
    <w:rsid w:val="001E12A3"/>
    <w:rsid w:val="001E2A62"/>
    <w:rsid w:val="001E31D7"/>
    <w:rsid w:val="001E5891"/>
    <w:rsid w:val="001E5AA1"/>
    <w:rsid w:val="001E6B6F"/>
    <w:rsid w:val="001E7841"/>
    <w:rsid w:val="001F03EB"/>
    <w:rsid w:val="001F0B52"/>
    <w:rsid w:val="001F0BB2"/>
    <w:rsid w:val="001F1E79"/>
    <w:rsid w:val="001F2819"/>
    <w:rsid w:val="001F55F0"/>
    <w:rsid w:val="001F5E94"/>
    <w:rsid w:val="001F799B"/>
    <w:rsid w:val="0020030D"/>
    <w:rsid w:val="00200BE3"/>
    <w:rsid w:val="00201D03"/>
    <w:rsid w:val="00201DB7"/>
    <w:rsid w:val="002043B1"/>
    <w:rsid w:val="002043EC"/>
    <w:rsid w:val="002067F1"/>
    <w:rsid w:val="00207265"/>
    <w:rsid w:val="00207F7C"/>
    <w:rsid w:val="00210726"/>
    <w:rsid w:val="00210A3C"/>
    <w:rsid w:val="002127FE"/>
    <w:rsid w:val="00213251"/>
    <w:rsid w:val="002136E9"/>
    <w:rsid w:val="0021497C"/>
    <w:rsid w:val="00215AF0"/>
    <w:rsid w:val="00215C49"/>
    <w:rsid w:val="00215DBA"/>
    <w:rsid w:val="00215F8C"/>
    <w:rsid w:val="0021645E"/>
    <w:rsid w:val="0021728A"/>
    <w:rsid w:val="00217721"/>
    <w:rsid w:val="00221234"/>
    <w:rsid w:val="00221F4B"/>
    <w:rsid w:val="00222B7C"/>
    <w:rsid w:val="0022423A"/>
    <w:rsid w:val="00225273"/>
    <w:rsid w:val="0022570B"/>
    <w:rsid w:val="002273BE"/>
    <w:rsid w:val="00230A8D"/>
    <w:rsid w:val="002317DB"/>
    <w:rsid w:val="002318C4"/>
    <w:rsid w:val="00231943"/>
    <w:rsid w:val="002329F5"/>
    <w:rsid w:val="00233576"/>
    <w:rsid w:val="00236016"/>
    <w:rsid w:val="00236378"/>
    <w:rsid w:val="00236D1E"/>
    <w:rsid w:val="002376B7"/>
    <w:rsid w:val="00237CCA"/>
    <w:rsid w:val="00240693"/>
    <w:rsid w:val="00242FD4"/>
    <w:rsid w:val="00243DC0"/>
    <w:rsid w:val="002453B6"/>
    <w:rsid w:val="00245B36"/>
    <w:rsid w:val="00246726"/>
    <w:rsid w:val="00247477"/>
    <w:rsid w:val="002506CC"/>
    <w:rsid w:val="00250E50"/>
    <w:rsid w:val="00251E65"/>
    <w:rsid w:val="002522FA"/>
    <w:rsid w:val="0025238D"/>
    <w:rsid w:val="0025312B"/>
    <w:rsid w:val="002537BD"/>
    <w:rsid w:val="002539B5"/>
    <w:rsid w:val="00253EEB"/>
    <w:rsid w:val="0025478A"/>
    <w:rsid w:val="00261F7E"/>
    <w:rsid w:val="00262079"/>
    <w:rsid w:val="002623C8"/>
    <w:rsid w:val="002629E5"/>
    <w:rsid w:val="00262F48"/>
    <w:rsid w:val="002632B0"/>
    <w:rsid w:val="00263BB0"/>
    <w:rsid w:val="00263F6A"/>
    <w:rsid w:val="00265759"/>
    <w:rsid w:val="00265CDD"/>
    <w:rsid w:val="00265E5D"/>
    <w:rsid w:val="00266B31"/>
    <w:rsid w:val="00267C48"/>
    <w:rsid w:val="00270440"/>
    <w:rsid w:val="002706D5"/>
    <w:rsid w:val="002712D4"/>
    <w:rsid w:val="00271E2E"/>
    <w:rsid w:val="00272110"/>
    <w:rsid w:val="0027250C"/>
    <w:rsid w:val="002727F8"/>
    <w:rsid w:val="00275544"/>
    <w:rsid w:val="00276A4A"/>
    <w:rsid w:val="00276B16"/>
    <w:rsid w:val="00277500"/>
    <w:rsid w:val="00280A83"/>
    <w:rsid w:val="00281871"/>
    <w:rsid w:val="002824AC"/>
    <w:rsid w:val="00282E40"/>
    <w:rsid w:val="00284D8D"/>
    <w:rsid w:val="002852F0"/>
    <w:rsid w:val="00286098"/>
    <w:rsid w:val="00286207"/>
    <w:rsid w:val="00287376"/>
    <w:rsid w:val="00287BC5"/>
    <w:rsid w:val="002931B0"/>
    <w:rsid w:val="0029355F"/>
    <w:rsid w:val="00293DEE"/>
    <w:rsid w:val="0029631F"/>
    <w:rsid w:val="0029708B"/>
    <w:rsid w:val="002973E2"/>
    <w:rsid w:val="00297DB2"/>
    <w:rsid w:val="002A0B5D"/>
    <w:rsid w:val="002A2DFF"/>
    <w:rsid w:val="002A33F1"/>
    <w:rsid w:val="002A384F"/>
    <w:rsid w:val="002A39ED"/>
    <w:rsid w:val="002A40D3"/>
    <w:rsid w:val="002A4396"/>
    <w:rsid w:val="002A46AA"/>
    <w:rsid w:val="002A496D"/>
    <w:rsid w:val="002A5B37"/>
    <w:rsid w:val="002A616B"/>
    <w:rsid w:val="002A7118"/>
    <w:rsid w:val="002B05D2"/>
    <w:rsid w:val="002B1466"/>
    <w:rsid w:val="002B1D17"/>
    <w:rsid w:val="002B1F19"/>
    <w:rsid w:val="002B308B"/>
    <w:rsid w:val="002B3F33"/>
    <w:rsid w:val="002B757A"/>
    <w:rsid w:val="002B7C07"/>
    <w:rsid w:val="002B7CEF"/>
    <w:rsid w:val="002C0992"/>
    <w:rsid w:val="002C0EB8"/>
    <w:rsid w:val="002C1886"/>
    <w:rsid w:val="002C1B6B"/>
    <w:rsid w:val="002C237A"/>
    <w:rsid w:val="002C23A3"/>
    <w:rsid w:val="002C3FC2"/>
    <w:rsid w:val="002C5784"/>
    <w:rsid w:val="002C62C7"/>
    <w:rsid w:val="002C6342"/>
    <w:rsid w:val="002C6DD9"/>
    <w:rsid w:val="002C71F2"/>
    <w:rsid w:val="002C7906"/>
    <w:rsid w:val="002C7FE9"/>
    <w:rsid w:val="002D0184"/>
    <w:rsid w:val="002D0311"/>
    <w:rsid w:val="002D0BD5"/>
    <w:rsid w:val="002D0DC5"/>
    <w:rsid w:val="002D1011"/>
    <w:rsid w:val="002D124E"/>
    <w:rsid w:val="002D1BFB"/>
    <w:rsid w:val="002D27C5"/>
    <w:rsid w:val="002D4EFD"/>
    <w:rsid w:val="002D537E"/>
    <w:rsid w:val="002D587F"/>
    <w:rsid w:val="002D5988"/>
    <w:rsid w:val="002D6EED"/>
    <w:rsid w:val="002E0606"/>
    <w:rsid w:val="002E1112"/>
    <w:rsid w:val="002E1662"/>
    <w:rsid w:val="002E2857"/>
    <w:rsid w:val="002E3056"/>
    <w:rsid w:val="002E49C1"/>
    <w:rsid w:val="002E4A4D"/>
    <w:rsid w:val="002E4FB3"/>
    <w:rsid w:val="002E5462"/>
    <w:rsid w:val="002F0183"/>
    <w:rsid w:val="002F05A1"/>
    <w:rsid w:val="002F083C"/>
    <w:rsid w:val="002F2A0C"/>
    <w:rsid w:val="002F3B86"/>
    <w:rsid w:val="002F79AB"/>
    <w:rsid w:val="00300641"/>
    <w:rsid w:val="003008F4"/>
    <w:rsid w:val="0030140E"/>
    <w:rsid w:val="003033DA"/>
    <w:rsid w:val="00304E67"/>
    <w:rsid w:val="00305559"/>
    <w:rsid w:val="00305F12"/>
    <w:rsid w:val="0030700A"/>
    <w:rsid w:val="00307622"/>
    <w:rsid w:val="0030780A"/>
    <w:rsid w:val="00307A3C"/>
    <w:rsid w:val="00310466"/>
    <w:rsid w:val="00310480"/>
    <w:rsid w:val="00310C83"/>
    <w:rsid w:val="003113A0"/>
    <w:rsid w:val="0031198F"/>
    <w:rsid w:val="0031340C"/>
    <w:rsid w:val="00313584"/>
    <w:rsid w:val="00313595"/>
    <w:rsid w:val="00313DEE"/>
    <w:rsid w:val="003140D2"/>
    <w:rsid w:val="003144E0"/>
    <w:rsid w:val="00314A40"/>
    <w:rsid w:val="00315A97"/>
    <w:rsid w:val="0031606D"/>
    <w:rsid w:val="00316071"/>
    <w:rsid w:val="00316622"/>
    <w:rsid w:val="00316C51"/>
    <w:rsid w:val="0031714E"/>
    <w:rsid w:val="003202C2"/>
    <w:rsid w:val="00321B23"/>
    <w:rsid w:val="00322A8B"/>
    <w:rsid w:val="00323631"/>
    <w:rsid w:val="00325218"/>
    <w:rsid w:val="00325D59"/>
    <w:rsid w:val="00325E91"/>
    <w:rsid w:val="00326FE5"/>
    <w:rsid w:val="00331B14"/>
    <w:rsid w:val="00332290"/>
    <w:rsid w:val="00332A8B"/>
    <w:rsid w:val="00333B1A"/>
    <w:rsid w:val="00334E44"/>
    <w:rsid w:val="00336122"/>
    <w:rsid w:val="0033660C"/>
    <w:rsid w:val="00337E26"/>
    <w:rsid w:val="003406F1"/>
    <w:rsid w:val="00341347"/>
    <w:rsid w:val="00342EC1"/>
    <w:rsid w:val="00342F2D"/>
    <w:rsid w:val="00343007"/>
    <w:rsid w:val="00343673"/>
    <w:rsid w:val="00343A83"/>
    <w:rsid w:val="00343BDF"/>
    <w:rsid w:val="00343E5C"/>
    <w:rsid w:val="00344430"/>
    <w:rsid w:val="0034473D"/>
    <w:rsid w:val="00344FB8"/>
    <w:rsid w:val="0034532C"/>
    <w:rsid w:val="003457E6"/>
    <w:rsid w:val="003519AC"/>
    <w:rsid w:val="00351A34"/>
    <w:rsid w:val="00352F9F"/>
    <w:rsid w:val="00354210"/>
    <w:rsid w:val="003548D3"/>
    <w:rsid w:val="00354E99"/>
    <w:rsid w:val="003562EC"/>
    <w:rsid w:val="00356933"/>
    <w:rsid w:val="003569D4"/>
    <w:rsid w:val="00357F0F"/>
    <w:rsid w:val="0036011A"/>
    <w:rsid w:val="0036017B"/>
    <w:rsid w:val="003601CA"/>
    <w:rsid w:val="0036163C"/>
    <w:rsid w:val="00361E02"/>
    <w:rsid w:val="00362755"/>
    <w:rsid w:val="003632BE"/>
    <w:rsid w:val="00364A59"/>
    <w:rsid w:val="00364AF5"/>
    <w:rsid w:val="00364BBB"/>
    <w:rsid w:val="00365F4D"/>
    <w:rsid w:val="0036639E"/>
    <w:rsid w:val="0036656D"/>
    <w:rsid w:val="0036789D"/>
    <w:rsid w:val="00367F6D"/>
    <w:rsid w:val="0037064A"/>
    <w:rsid w:val="00373B93"/>
    <w:rsid w:val="003756DE"/>
    <w:rsid w:val="00376950"/>
    <w:rsid w:val="003775EA"/>
    <w:rsid w:val="00377B93"/>
    <w:rsid w:val="00380CD1"/>
    <w:rsid w:val="00380EC7"/>
    <w:rsid w:val="00383570"/>
    <w:rsid w:val="0038369F"/>
    <w:rsid w:val="003838ED"/>
    <w:rsid w:val="00384281"/>
    <w:rsid w:val="00384DD5"/>
    <w:rsid w:val="00385704"/>
    <w:rsid w:val="00393537"/>
    <w:rsid w:val="0039403D"/>
    <w:rsid w:val="0039437D"/>
    <w:rsid w:val="00395EA7"/>
    <w:rsid w:val="00397398"/>
    <w:rsid w:val="00397606"/>
    <w:rsid w:val="00397C16"/>
    <w:rsid w:val="003A02CA"/>
    <w:rsid w:val="003A24BA"/>
    <w:rsid w:val="003A38F0"/>
    <w:rsid w:val="003A516A"/>
    <w:rsid w:val="003A52BA"/>
    <w:rsid w:val="003A7B30"/>
    <w:rsid w:val="003B13AE"/>
    <w:rsid w:val="003B13C5"/>
    <w:rsid w:val="003B13EA"/>
    <w:rsid w:val="003B6E8D"/>
    <w:rsid w:val="003B6F4B"/>
    <w:rsid w:val="003B7DAD"/>
    <w:rsid w:val="003C0088"/>
    <w:rsid w:val="003C029B"/>
    <w:rsid w:val="003C1FA0"/>
    <w:rsid w:val="003C22B0"/>
    <w:rsid w:val="003C22BA"/>
    <w:rsid w:val="003C2690"/>
    <w:rsid w:val="003C5363"/>
    <w:rsid w:val="003C5659"/>
    <w:rsid w:val="003C635B"/>
    <w:rsid w:val="003C7465"/>
    <w:rsid w:val="003C751D"/>
    <w:rsid w:val="003C79DA"/>
    <w:rsid w:val="003D231E"/>
    <w:rsid w:val="003D2972"/>
    <w:rsid w:val="003D29B6"/>
    <w:rsid w:val="003D3453"/>
    <w:rsid w:val="003D3BE5"/>
    <w:rsid w:val="003D51CD"/>
    <w:rsid w:val="003D7DBE"/>
    <w:rsid w:val="003E01F6"/>
    <w:rsid w:val="003E324C"/>
    <w:rsid w:val="003E32EE"/>
    <w:rsid w:val="003E7F55"/>
    <w:rsid w:val="003F069A"/>
    <w:rsid w:val="003F2928"/>
    <w:rsid w:val="003F3AEA"/>
    <w:rsid w:val="003F3D96"/>
    <w:rsid w:val="003F4329"/>
    <w:rsid w:val="003F5076"/>
    <w:rsid w:val="003F5605"/>
    <w:rsid w:val="003F573D"/>
    <w:rsid w:val="003F591E"/>
    <w:rsid w:val="003F5BDE"/>
    <w:rsid w:val="003F5FD0"/>
    <w:rsid w:val="003F6293"/>
    <w:rsid w:val="003F72E2"/>
    <w:rsid w:val="00401D64"/>
    <w:rsid w:val="00404A93"/>
    <w:rsid w:val="004063A5"/>
    <w:rsid w:val="0040659D"/>
    <w:rsid w:val="004071D9"/>
    <w:rsid w:val="00407440"/>
    <w:rsid w:val="00410768"/>
    <w:rsid w:val="00412534"/>
    <w:rsid w:val="00412C83"/>
    <w:rsid w:val="00413AE0"/>
    <w:rsid w:val="004147A0"/>
    <w:rsid w:val="00414C5A"/>
    <w:rsid w:val="00415BB7"/>
    <w:rsid w:val="00416EBA"/>
    <w:rsid w:val="0041762E"/>
    <w:rsid w:val="00417B19"/>
    <w:rsid w:val="004201A5"/>
    <w:rsid w:val="004205BE"/>
    <w:rsid w:val="004226E4"/>
    <w:rsid w:val="00423E81"/>
    <w:rsid w:val="00426014"/>
    <w:rsid w:val="0042729A"/>
    <w:rsid w:val="00431A40"/>
    <w:rsid w:val="00433EB5"/>
    <w:rsid w:val="0043479E"/>
    <w:rsid w:val="00441765"/>
    <w:rsid w:val="00441E52"/>
    <w:rsid w:val="004420AF"/>
    <w:rsid w:val="00442A8E"/>
    <w:rsid w:val="00442EEF"/>
    <w:rsid w:val="0044459A"/>
    <w:rsid w:val="00444F70"/>
    <w:rsid w:val="0044617E"/>
    <w:rsid w:val="00446930"/>
    <w:rsid w:val="0044757B"/>
    <w:rsid w:val="0044762A"/>
    <w:rsid w:val="00447803"/>
    <w:rsid w:val="004508D0"/>
    <w:rsid w:val="00450AE8"/>
    <w:rsid w:val="00450FEB"/>
    <w:rsid w:val="00451424"/>
    <w:rsid w:val="0045148D"/>
    <w:rsid w:val="0045223E"/>
    <w:rsid w:val="004522B2"/>
    <w:rsid w:val="0045241D"/>
    <w:rsid w:val="00452A6C"/>
    <w:rsid w:val="00454035"/>
    <w:rsid w:val="00455176"/>
    <w:rsid w:val="0045705F"/>
    <w:rsid w:val="00457D61"/>
    <w:rsid w:val="004601BA"/>
    <w:rsid w:val="0046078B"/>
    <w:rsid w:val="00460B7D"/>
    <w:rsid w:val="00460C1E"/>
    <w:rsid w:val="004624CB"/>
    <w:rsid w:val="00464014"/>
    <w:rsid w:val="00467CBA"/>
    <w:rsid w:val="00470014"/>
    <w:rsid w:val="00470108"/>
    <w:rsid w:val="00470EFC"/>
    <w:rsid w:val="004711AA"/>
    <w:rsid w:val="00471348"/>
    <w:rsid w:val="00472207"/>
    <w:rsid w:val="0047293D"/>
    <w:rsid w:val="004733F1"/>
    <w:rsid w:val="00474606"/>
    <w:rsid w:val="00474BA9"/>
    <w:rsid w:val="00480CB0"/>
    <w:rsid w:val="00481143"/>
    <w:rsid w:val="004815B8"/>
    <w:rsid w:val="00482FBB"/>
    <w:rsid w:val="00483603"/>
    <w:rsid w:val="004843B4"/>
    <w:rsid w:val="004852FE"/>
    <w:rsid w:val="0048737E"/>
    <w:rsid w:val="00487C04"/>
    <w:rsid w:val="004904B8"/>
    <w:rsid w:val="00490869"/>
    <w:rsid w:val="00491B0B"/>
    <w:rsid w:val="004922AE"/>
    <w:rsid w:val="0049261A"/>
    <w:rsid w:val="00494209"/>
    <w:rsid w:val="00494F0E"/>
    <w:rsid w:val="00495387"/>
    <w:rsid w:val="00495A7C"/>
    <w:rsid w:val="00497E3F"/>
    <w:rsid w:val="004A1BEC"/>
    <w:rsid w:val="004A1EAD"/>
    <w:rsid w:val="004A20F0"/>
    <w:rsid w:val="004A2938"/>
    <w:rsid w:val="004A29CC"/>
    <w:rsid w:val="004A40F8"/>
    <w:rsid w:val="004A43F2"/>
    <w:rsid w:val="004A475B"/>
    <w:rsid w:val="004A47BE"/>
    <w:rsid w:val="004A5A60"/>
    <w:rsid w:val="004A6037"/>
    <w:rsid w:val="004A6B3F"/>
    <w:rsid w:val="004A76A6"/>
    <w:rsid w:val="004A77D6"/>
    <w:rsid w:val="004B06DC"/>
    <w:rsid w:val="004B1E14"/>
    <w:rsid w:val="004B2025"/>
    <w:rsid w:val="004B2A91"/>
    <w:rsid w:val="004B34EA"/>
    <w:rsid w:val="004B36F1"/>
    <w:rsid w:val="004B5494"/>
    <w:rsid w:val="004B645B"/>
    <w:rsid w:val="004B683A"/>
    <w:rsid w:val="004B6F38"/>
    <w:rsid w:val="004B7FA0"/>
    <w:rsid w:val="004C0605"/>
    <w:rsid w:val="004C1025"/>
    <w:rsid w:val="004C10E1"/>
    <w:rsid w:val="004C2093"/>
    <w:rsid w:val="004C21E8"/>
    <w:rsid w:val="004C4D5E"/>
    <w:rsid w:val="004C4F49"/>
    <w:rsid w:val="004C6251"/>
    <w:rsid w:val="004C65F9"/>
    <w:rsid w:val="004C6F56"/>
    <w:rsid w:val="004C7A2B"/>
    <w:rsid w:val="004C7B15"/>
    <w:rsid w:val="004C7D3A"/>
    <w:rsid w:val="004C7E94"/>
    <w:rsid w:val="004D05A2"/>
    <w:rsid w:val="004D1480"/>
    <w:rsid w:val="004D33A3"/>
    <w:rsid w:val="004D43B3"/>
    <w:rsid w:val="004D4E41"/>
    <w:rsid w:val="004D4F3A"/>
    <w:rsid w:val="004D72DA"/>
    <w:rsid w:val="004E01E0"/>
    <w:rsid w:val="004E0495"/>
    <w:rsid w:val="004E1B1D"/>
    <w:rsid w:val="004E2CD2"/>
    <w:rsid w:val="004E342E"/>
    <w:rsid w:val="004E471F"/>
    <w:rsid w:val="004E4EFB"/>
    <w:rsid w:val="004E727D"/>
    <w:rsid w:val="004E7ED5"/>
    <w:rsid w:val="004F03B1"/>
    <w:rsid w:val="004F0C59"/>
    <w:rsid w:val="004F140D"/>
    <w:rsid w:val="004F2335"/>
    <w:rsid w:val="004F2A02"/>
    <w:rsid w:val="004F2B71"/>
    <w:rsid w:val="004F3684"/>
    <w:rsid w:val="004F3EED"/>
    <w:rsid w:val="004F3F29"/>
    <w:rsid w:val="004F448E"/>
    <w:rsid w:val="004F44E2"/>
    <w:rsid w:val="004F4E26"/>
    <w:rsid w:val="004F5171"/>
    <w:rsid w:val="004F598E"/>
    <w:rsid w:val="004F6251"/>
    <w:rsid w:val="004F7410"/>
    <w:rsid w:val="004F7B34"/>
    <w:rsid w:val="004F7FE5"/>
    <w:rsid w:val="0050035C"/>
    <w:rsid w:val="005018A8"/>
    <w:rsid w:val="005028B3"/>
    <w:rsid w:val="0050537F"/>
    <w:rsid w:val="00505A39"/>
    <w:rsid w:val="00505FB9"/>
    <w:rsid w:val="00506302"/>
    <w:rsid w:val="00506385"/>
    <w:rsid w:val="00507266"/>
    <w:rsid w:val="0051096A"/>
    <w:rsid w:val="00510CB1"/>
    <w:rsid w:val="00511648"/>
    <w:rsid w:val="00512453"/>
    <w:rsid w:val="0051257A"/>
    <w:rsid w:val="00514005"/>
    <w:rsid w:val="00514E8F"/>
    <w:rsid w:val="00515CC1"/>
    <w:rsid w:val="00520B7B"/>
    <w:rsid w:val="00521658"/>
    <w:rsid w:val="005223F2"/>
    <w:rsid w:val="005226D0"/>
    <w:rsid w:val="00522A51"/>
    <w:rsid w:val="005234D2"/>
    <w:rsid w:val="005237DB"/>
    <w:rsid w:val="005240BF"/>
    <w:rsid w:val="00524E3E"/>
    <w:rsid w:val="0052563D"/>
    <w:rsid w:val="00527198"/>
    <w:rsid w:val="00527413"/>
    <w:rsid w:val="005276F7"/>
    <w:rsid w:val="00527BEC"/>
    <w:rsid w:val="005304BD"/>
    <w:rsid w:val="005306B5"/>
    <w:rsid w:val="00530823"/>
    <w:rsid w:val="005308A3"/>
    <w:rsid w:val="0053120F"/>
    <w:rsid w:val="00531912"/>
    <w:rsid w:val="005337C6"/>
    <w:rsid w:val="005357EB"/>
    <w:rsid w:val="00535C73"/>
    <w:rsid w:val="00535F42"/>
    <w:rsid w:val="005363AE"/>
    <w:rsid w:val="0053661F"/>
    <w:rsid w:val="00537CC6"/>
    <w:rsid w:val="00542828"/>
    <w:rsid w:val="00542AFC"/>
    <w:rsid w:val="005437ED"/>
    <w:rsid w:val="00545075"/>
    <w:rsid w:val="005466C7"/>
    <w:rsid w:val="0054678F"/>
    <w:rsid w:val="00546DB1"/>
    <w:rsid w:val="005474E5"/>
    <w:rsid w:val="00550046"/>
    <w:rsid w:val="00550245"/>
    <w:rsid w:val="00552AD2"/>
    <w:rsid w:val="00554088"/>
    <w:rsid w:val="005543CC"/>
    <w:rsid w:val="0055510D"/>
    <w:rsid w:val="00556709"/>
    <w:rsid w:val="005579CA"/>
    <w:rsid w:val="005600CA"/>
    <w:rsid w:val="00560496"/>
    <w:rsid w:val="005604C3"/>
    <w:rsid w:val="005605A6"/>
    <w:rsid w:val="00562840"/>
    <w:rsid w:val="00563957"/>
    <w:rsid w:val="00563AA7"/>
    <w:rsid w:val="00565082"/>
    <w:rsid w:val="00566F0A"/>
    <w:rsid w:val="00567492"/>
    <w:rsid w:val="00567EAF"/>
    <w:rsid w:val="00570DFD"/>
    <w:rsid w:val="005716EF"/>
    <w:rsid w:val="00571DE0"/>
    <w:rsid w:val="00574085"/>
    <w:rsid w:val="005774F1"/>
    <w:rsid w:val="005813E4"/>
    <w:rsid w:val="00584854"/>
    <w:rsid w:val="00585127"/>
    <w:rsid w:val="00585390"/>
    <w:rsid w:val="00585678"/>
    <w:rsid w:val="00587A84"/>
    <w:rsid w:val="00591CD2"/>
    <w:rsid w:val="00591E7C"/>
    <w:rsid w:val="0059296C"/>
    <w:rsid w:val="005939A5"/>
    <w:rsid w:val="005957BC"/>
    <w:rsid w:val="0059591F"/>
    <w:rsid w:val="00595F11"/>
    <w:rsid w:val="005969E7"/>
    <w:rsid w:val="00596AC2"/>
    <w:rsid w:val="00596D13"/>
    <w:rsid w:val="00596E89"/>
    <w:rsid w:val="0059715B"/>
    <w:rsid w:val="00597658"/>
    <w:rsid w:val="00597D0B"/>
    <w:rsid w:val="005A0CE1"/>
    <w:rsid w:val="005A1024"/>
    <w:rsid w:val="005A1220"/>
    <w:rsid w:val="005A148C"/>
    <w:rsid w:val="005A3E77"/>
    <w:rsid w:val="005A40A5"/>
    <w:rsid w:val="005A4213"/>
    <w:rsid w:val="005A4DFF"/>
    <w:rsid w:val="005A4EEB"/>
    <w:rsid w:val="005A6213"/>
    <w:rsid w:val="005A6A2E"/>
    <w:rsid w:val="005A6D57"/>
    <w:rsid w:val="005B0185"/>
    <w:rsid w:val="005B1988"/>
    <w:rsid w:val="005B2446"/>
    <w:rsid w:val="005B3927"/>
    <w:rsid w:val="005B48C0"/>
    <w:rsid w:val="005B6B4E"/>
    <w:rsid w:val="005B6D11"/>
    <w:rsid w:val="005B7C48"/>
    <w:rsid w:val="005B7E07"/>
    <w:rsid w:val="005C1DCE"/>
    <w:rsid w:val="005C2C62"/>
    <w:rsid w:val="005C319A"/>
    <w:rsid w:val="005C3CB6"/>
    <w:rsid w:val="005C4464"/>
    <w:rsid w:val="005C4E16"/>
    <w:rsid w:val="005C55B4"/>
    <w:rsid w:val="005C5680"/>
    <w:rsid w:val="005C58FA"/>
    <w:rsid w:val="005D038D"/>
    <w:rsid w:val="005D0C2A"/>
    <w:rsid w:val="005D0DD4"/>
    <w:rsid w:val="005D211E"/>
    <w:rsid w:val="005D4497"/>
    <w:rsid w:val="005D480B"/>
    <w:rsid w:val="005D4D1A"/>
    <w:rsid w:val="005D5B04"/>
    <w:rsid w:val="005D6A96"/>
    <w:rsid w:val="005D70DC"/>
    <w:rsid w:val="005D75DD"/>
    <w:rsid w:val="005D7709"/>
    <w:rsid w:val="005E04EE"/>
    <w:rsid w:val="005E1044"/>
    <w:rsid w:val="005E36D6"/>
    <w:rsid w:val="005E370D"/>
    <w:rsid w:val="005E4D8C"/>
    <w:rsid w:val="005E6EB0"/>
    <w:rsid w:val="005F0461"/>
    <w:rsid w:val="005F18B9"/>
    <w:rsid w:val="005F2535"/>
    <w:rsid w:val="005F2961"/>
    <w:rsid w:val="005F608C"/>
    <w:rsid w:val="00601E91"/>
    <w:rsid w:val="00602A86"/>
    <w:rsid w:val="00603238"/>
    <w:rsid w:val="00603327"/>
    <w:rsid w:val="0060521C"/>
    <w:rsid w:val="006053CC"/>
    <w:rsid w:val="00605EEA"/>
    <w:rsid w:val="006065B6"/>
    <w:rsid w:val="00610240"/>
    <w:rsid w:val="00610F9F"/>
    <w:rsid w:val="00611F0A"/>
    <w:rsid w:val="00612C48"/>
    <w:rsid w:val="00615C75"/>
    <w:rsid w:val="006168FA"/>
    <w:rsid w:val="00617D82"/>
    <w:rsid w:val="00620692"/>
    <w:rsid w:val="00623E5B"/>
    <w:rsid w:val="006242F6"/>
    <w:rsid w:val="006256B7"/>
    <w:rsid w:val="006267FC"/>
    <w:rsid w:val="006272D5"/>
    <w:rsid w:val="006277CB"/>
    <w:rsid w:val="00631215"/>
    <w:rsid w:val="00631221"/>
    <w:rsid w:val="00632207"/>
    <w:rsid w:val="00632213"/>
    <w:rsid w:val="00632AF2"/>
    <w:rsid w:val="006340B5"/>
    <w:rsid w:val="0063491C"/>
    <w:rsid w:val="00635C38"/>
    <w:rsid w:val="006371A7"/>
    <w:rsid w:val="006378CA"/>
    <w:rsid w:val="00637ABF"/>
    <w:rsid w:val="00640729"/>
    <w:rsid w:val="00641339"/>
    <w:rsid w:val="006418C6"/>
    <w:rsid w:val="00641A5C"/>
    <w:rsid w:val="00642B0D"/>
    <w:rsid w:val="00642BB5"/>
    <w:rsid w:val="00643D74"/>
    <w:rsid w:val="00644DCA"/>
    <w:rsid w:val="00644FAA"/>
    <w:rsid w:val="00646819"/>
    <w:rsid w:val="006502B6"/>
    <w:rsid w:val="006502DB"/>
    <w:rsid w:val="006508DC"/>
    <w:rsid w:val="00650A0F"/>
    <w:rsid w:val="00651306"/>
    <w:rsid w:val="00652091"/>
    <w:rsid w:val="006523FE"/>
    <w:rsid w:val="00653328"/>
    <w:rsid w:val="00653DCD"/>
    <w:rsid w:val="0065405B"/>
    <w:rsid w:val="006544FF"/>
    <w:rsid w:val="00655C84"/>
    <w:rsid w:val="00660D74"/>
    <w:rsid w:val="006612F5"/>
    <w:rsid w:val="006614D3"/>
    <w:rsid w:val="00661AFE"/>
    <w:rsid w:val="00662E5B"/>
    <w:rsid w:val="00663A5A"/>
    <w:rsid w:val="00664767"/>
    <w:rsid w:val="00664DBE"/>
    <w:rsid w:val="006651ED"/>
    <w:rsid w:val="00665A9E"/>
    <w:rsid w:val="006660C4"/>
    <w:rsid w:val="006660F2"/>
    <w:rsid w:val="006664AE"/>
    <w:rsid w:val="00666532"/>
    <w:rsid w:val="00666F20"/>
    <w:rsid w:val="00666F92"/>
    <w:rsid w:val="00667051"/>
    <w:rsid w:val="00667B76"/>
    <w:rsid w:val="006701EC"/>
    <w:rsid w:val="00670A09"/>
    <w:rsid w:val="00671E28"/>
    <w:rsid w:val="006723B0"/>
    <w:rsid w:val="006726B9"/>
    <w:rsid w:val="00673CEE"/>
    <w:rsid w:val="00676260"/>
    <w:rsid w:val="00676267"/>
    <w:rsid w:val="006766E1"/>
    <w:rsid w:val="00676C4A"/>
    <w:rsid w:val="006772C6"/>
    <w:rsid w:val="006772FE"/>
    <w:rsid w:val="006801B0"/>
    <w:rsid w:val="00680F19"/>
    <w:rsid w:val="006811B4"/>
    <w:rsid w:val="006814EF"/>
    <w:rsid w:val="00682185"/>
    <w:rsid w:val="00683B2C"/>
    <w:rsid w:val="00683EA5"/>
    <w:rsid w:val="006849D1"/>
    <w:rsid w:val="006856D9"/>
    <w:rsid w:val="0068588A"/>
    <w:rsid w:val="00686939"/>
    <w:rsid w:val="00686ACB"/>
    <w:rsid w:val="006876E5"/>
    <w:rsid w:val="0069031E"/>
    <w:rsid w:val="0069092A"/>
    <w:rsid w:val="00690D17"/>
    <w:rsid w:val="00690D7E"/>
    <w:rsid w:val="006916D1"/>
    <w:rsid w:val="006924EC"/>
    <w:rsid w:val="00692DCC"/>
    <w:rsid w:val="00693E24"/>
    <w:rsid w:val="00694029"/>
    <w:rsid w:val="00694BC6"/>
    <w:rsid w:val="00696E47"/>
    <w:rsid w:val="006A3139"/>
    <w:rsid w:val="006A380E"/>
    <w:rsid w:val="006A3AE0"/>
    <w:rsid w:val="006A4779"/>
    <w:rsid w:val="006A4BA1"/>
    <w:rsid w:val="006A4D4E"/>
    <w:rsid w:val="006A7A06"/>
    <w:rsid w:val="006B134A"/>
    <w:rsid w:val="006B1B73"/>
    <w:rsid w:val="006B338E"/>
    <w:rsid w:val="006B34B6"/>
    <w:rsid w:val="006B3FAD"/>
    <w:rsid w:val="006B48B4"/>
    <w:rsid w:val="006B5E1E"/>
    <w:rsid w:val="006B6A71"/>
    <w:rsid w:val="006C0F21"/>
    <w:rsid w:val="006C0FEE"/>
    <w:rsid w:val="006C1693"/>
    <w:rsid w:val="006C1F10"/>
    <w:rsid w:val="006C279B"/>
    <w:rsid w:val="006C2BEF"/>
    <w:rsid w:val="006C2F92"/>
    <w:rsid w:val="006C36F7"/>
    <w:rsid w:val="006C5351"/>
    <w:rsid w:val="006C66CB"/>
    <w:rsid w:val="006C7B6C"/>
    <w:rsid w:val="006D0681"/>
    <w:rsid w:val="006D08FD"/>
    <w:rsid w:val="006D2D4D"/>
    <w:rsid w:val="006D634C"/>
    <w:rsid w:val="006D6BA6"/>
    <w:rsid w:val="006D6F56"/>
    <w:rsid w:val="006D723E"/>
    <w:rsid w:val="006D724C"/>
    <w:rsid w:val="006E0CA9"/>
    <w:rsid w:val="006E1312"/>
    <w:rsid w:val="006E40D3"/>
    <w:rsid w:val="006E52B0"/>
    <w:rsid w:val="006E559F"/>
    <w:rsid w:val="006E5672"/>
    <w:rsid w:val="006E5E28"/>
    <w:rsid w:val="006E6574"/>
    <w:rsid w:val="006E6817"/>
    <w:rsid w:val="006E6C3D"/>
    <w:rsid w:val="006E6E2D"/>
    <w:rsid w:val="006F0011"/>
    <w:rsid w:val="006F2321"/>
    <w:rsid w:val="006F31FE"/>
    <w:rsid w:val="006F4190"/>
    <w:rsid w:val="006F4B71"/>
    <w:rsid w:val="006F6026"/>
    <w:rsid w:val="00700474"/>
    <w:rsid w:val="007012CE"/>
    <w:rsid w:val="00701A7D"/>
    <w:rsid w:val="00703777"/>
    <w:rsid w:val="007043C9"/>
    <w:rsid w:val="00705FAD"/>
    <w:rsid w:val="00706704"/>
    <w:rsid w:val="00706D25"/>
    <w:rsid w:val="007071EA"/>
    <w:rsid w:val="00712D62"/>
    <w:rsid w:val="00714CF2"/>
    <w:rsid w:val="007156B9"/>
    <w:rsid w:val="00715A40"/>
    <w:rsid w:val="00715DA7"/>
    <w:rsid w:val="00716630"/>
    <w:rsid w:val="00717C9A"/>
    <w:rsid w:val="00717FF3"/>
    <w:rsid w:val="007207E6"/>
    <w:rsid w:val="00720817"/>
    <w:rsid w:val="00721539"/>
    <w:rsid w:val="00722226"/>
    <w:rsid w:val="00722850"/>
    <w:rsid w:val="00722D2B"/>
    <w:rsid w:val="0072316E"/>
    <w:rsid w:val="00724185"/>
    <w:rsid w:val="007243F7"/>
    <w:rsid w:val="00725C05"/>
    <w:rsid w:val="00725C72"/>
    <w:rsid w:val="007264C9"/>
    <w:rsid w:val="00727FE4"/>
    <w:rsid w:val="007300F7"/>
    <w:rsid w:val="00731B7B"/>
    <w:rsid w:val="007323BA"/>
    <w:rsid w:val="007326AE"/>
    <w:rsid w:val="0073306E"/>
    <w:rsid w:val="0073353F"/>
    <w:rsid w:val="007345D5"/>
    <w:rsid w:val="00734D36"/>
    <w:rsid w:val="00735A91"/>
    <w:rsid w:val="00736451"/>
    <w:rsid w:val="007370A6"/>
    <w:rsid w:val="007403AC"/>
    <w:rsid w:val="0074097E"/>
    <w:rsid w:val="007418B4"/>
    <w:rsid w:val="00742A3C"/>
    <w:rsid w:val="00742E45"/>
    <w:rsid w:val="007447AF"/>
    <w:rsid w:val="00744E4B"/>
    <w:rsid w:val="007456BB"/>
    <w:rsid w:val="00746CDB"/>
    <w:rsid w:val="00750816"/>
    <w:rsid w:val="007509AD"/>
    <w:rsid w:val="00751471"/>
    <w:rsid w:val="007539A6"/>
    <w:rsid w:val="00753ED5"/>
    <w:rsid w:val="00754371"/>
    <w:rsid w:val="00754B0A"/>
    <w:rsid w:val="00757E50"/>
    <w:rsid w:val="0076557F"/>
    <w:rsid w:val="007655F5"/>
    <w:rsid w:val="0076569A"/>
    <w:rsid w:val="007657C1"/>
    <w:rsid w:val="00765B1E"/>
    <w:rsid w:val="00765D1D"/>
    <w:rsid w:val="00765FCD"/>
    <w:rsid w:val="00767479"/>
    <w:rsid w:val="00767DB1"/>
    <w:rsid w:val="007701FF"/>
    <w:rsid w:val="00772C30"/>
    <w:rsid w:val="00772D5A"/>
    <w:rsid w:val="007734B3"/>
    <w:rsid w:val="00774376"/>
    <w:rsid w:val="00774B88"/>
    <w:rsid w:val="00775CC0"/>
    <w:rsid w:val="0077755F"/>
    <w:rsid w:val="00780101"/>
    <w:rsid w:val="00781F92"/>
    <w:rsid w:val="00782071"/>
    <w:rsid w:val="00783D71"/>
    <w:rsid w:val="00785183"/>
    <w:rsid w:val="00786973"/>
    <w:rsid w:val="00787173"/>
    <w:rsid w:val="00787320"/>
    <w:rsid w:val="00790482"/>
    <w:rsid w:val="00790A82"/>
    <w:rsid w:val="00791F16"/>
    <w:rsid w:val="00792D7E"/>
    <w:rsid w:val="00796565"/>
    <w:rsid w:val="007A067B"/>
    <w:rsid w:val="007A07ED"/>
    <w:rsid w:val="007A24C8"/>
    <w:rsid w:val="007A313D"/>
    <w:rsid w:val="007A36EC"/>
    <w:rsid w:val="007A406D"/>
    <w:rsid w:val="007A4154"/>
    <w:rsid w:val="007A59E7"/>
    <w:rsid w:val="007A5B48"/>
    <w:rsid w:val="007A62B0"/>
    <w:rsid w:val="007B181C"/>
    <w:rsid w:val="007B1C95"/>
    <w:rsid w:val="007B37C4"/>
    <w:rsid w:val="007B3F99"/>
    <w:rsid w:val="007B41FF"/>
    <w:rsid w:val="007B4325"/>
    <w:rsid w:val="007B71D5"/>
    <w:rsid w:val="007C136B"/>
    <w:rsid w:val="007C211A"/>
    <w:rsid w:val="007C27FC"/>
    <w:rsid w:val="007C2969"/>
    <w:rsid w:val="007C29A3"/>
    <w:rsid w:val="007C36F7"/>
    <w:rsid w:val="007C3937"/>
    <w:rsid w:val="007C3A25"/>
    <w:rsid w:val="007C45BE"/>
    <w:rsid w:val="007C4C5A"/>
    <w:rsid w:val="007C5689"/>
    <w:rsid w:val="007C5A0C"/>
    <w:rsid w:val="007C6806"/>
    <w:rsid w:val="007C784F"/>
    <w:rsid w:val="007C79DE"/>
    <w:rsid w:val="007D091B"/>
    <w:rsid w:val="007D112B"/>
    <w:rsid w:val="007D1179"/>
    <w:rsid w:val="007D1DFA"/>
    <w:rsid w:val="007D31A6"/>
    <w:rsid w:val="007D4F0D"/>
    <w:rsid w:val="007D5CEA"/>
    <w:rsid w:val="007D64FB"/>
    <w:rsid w:val="007D6F62"/>
    <w:rsid w:val="007E0FEE"/>
    <w:rsid w:val="007E24A9"/>
    <w:rsid w:val="007E2782"/>
    <w:rsid w:val="007E3BEB"/>
    <w:rsid w:val="007E4592"/>
    <w:rsid w:val="007E4B11"/>
    <w:rsid w:val="007E58E4"/>
    <w:rsid w:val="007E7682"/>
    <w:rsid w:val="007E7D70"/>
    <w:rsid w:val="007E7FD2"/>
    <w:rsid w:val="007F0BF4"/>
    <w:rsid w:val="007F0C82"/>
    <w:rsid w:val="007F10C5"/>
    <w:rsid w:val="007F16E5"/>
    <w:rsid w:val="007F1B36"/>
    <w:rsid w:val="007F1B6A"/>
    <w:rsid w:val="007F1D0C"/>
    <w:rsid w:val="007F2017"/>
    <w:rsid w:val="007F220C"/>
    <w:rsid w:val="007F23F0"/>
    <w:rsid w:val="007F370F"/>
    <w:rsid w:val="007F5290"/>
    <w:rsid w:val="00800A65"/>
    <w:rsid w:val="008011D4"/>
    <w:rsid w:val="008035C9"/>
    <w:rsid w:val="0080390E"/>
    <w:rsid w:val="00804F76"/>
    <w:rsid w:val="00806075"/>
    <w:rsid w:val="00806122"/>
    <w:rsid w:val="00806351"/>
    <w:rsid w:val="008063BC"/>
    <w:rsid w:val="00807C57"/>
    <w:rsid w:val="00807CC2"/>
    <w:rsid w:val="00807F3E"/>
    <w:rsid w:val="008112CE"/>
    <w:rsid w:val="00812A68"/>
    <w:rsid w:val="00813749"/>
    <w:rsid w:val="00814168"/>
    <w:rsid w:val="008159CF"/>
    <w:rsid w:val="008162AA"/>
    <w:rsid w:val="008163FE"/>
    <w:rsid w:val="00816E05"/>
    <w:rsid w:val="00817170"/>
    <w:rsid w:val="00817906"/>
    <w:rsid w:val="00817B49"/>
    <w:rsid w:val="008203C7"/>
    <w:rsid w:val="008205C4"/>
    <w:rsid w:val="00820679"/>
    <w:rsid w:val="00820C59"/>
    <w:rsid w:val="008228E6"/>
    <w:rsid w:val="00822947"/>
    <w:rsid w:val="0082381D"/>
    <w:rsid w:val="00823B17"/>
    <w:rsid w:val="008240FF"/>
    <w:rsid w:val="008255AC"/>
    <w:rsid w:val="008269F2"/>
    <w:rsid w:val="00827D67"/>
    <w:rsid w:val="008305B1"/>
    <w:rsid w:val="00831C12"/>
    <w:rsid w:val="00831FAB"/>
    <w:rsid w:val="00832626"/>
    <w:rsid w:val="00832801"/>
    <w:rsid w:val="008339BB"/>
    <w:rsid w:val="0083433B"/>
    <w:rsid w:val="00835997"/>
    <w:rsid w:val="00836535"/>
    <w:rsid w:val="00836D15"/>
    <w:rsid w:val="00837167"/>
    <w:rsid w:val="008408BC"/>
    <w:rsid w:val="0084211A"/>
    <w:rsid w:val="008421B4"/>
    <w:rsid w:val="00843296"/>
    <w:rsid w:val="00843654"/>
    <w:rsid w:val="008446D0"/>
    <w:rsid w:val="008447E2"/>
    <w:rsid w:val="00844B09"/>
    <w:rsid w:val="00844C82"/>
    <w:rsid w:val="00844F91"/>
    <w:rsid w:val="00845476"/>
    <w:rsid w:val="00845CCD"/>
    <w:rsid w:val="008470E5"/>
    <w:rsid w:val="00847469"/>
    <w:rsid w:val="00847938"/>
    <w:rsid w:val="00850907"/>
    <w:rsid w:val="00850B1F"/>
    <w:rsid w:val="00850C0D"/>
    <w:rsid w:val="00850CDC"/>
    <w:rsid w:val="0085121C"/>
    <w:rsid w:val="00851C99"/>
    <w:rsid w:val="008522D6"/>
    <w:rsid w:val="00852B92"/>
    <w:rsid w:val="00855669"/>
    <w:rsid w:val="00855686"/>
    <w:rsid w:val="0085605D"/>
    <w:rsid w:val="0085651E"/>
    <w:rsid w:val="0085668C"/>
    <w:rsid w:val="0085793A"/>
    <w:rsid w:val="00860D44"/>
    <w:rsid w:val="0086171D"/>
    <w:rsid w:val="00861D4E"/>
    <w:rsid w:val="00861FF4"/>
    <w:rsid w:val="0086419A"/>
    <w:rsid w:val="008643CC"/>
    <w:rsid w:val="0086527B"/>
    <w:rsid w:val="00865EDF"/>
    <w:rsid w:val="00867FD5"/>
    <w:rsid w:val="0087023B"/>
    <w:rsid w:val="00870C72"/>
    <w:rsid w:val="00871045"/>
    <w:rsid w:val="008729A3"/>
    <w:rsid w:val="008739C6"/>
    <w:rsid w:val="00874220"/>
    <w:rsid w:val="008756EE"/>
    <w:rsid w:val="00875E05"/>
    <w:rsid w:val="00876C76"/>
    <w:rsid w:val="00876FAB"/>
    <w:rsid w:val="00880AB7"/>
    <w:rsid w:val="0088136B"/>
    <w:rsid w:val="008830D0"/>
    <w:rsid w:val="00883D0B"/>
    <w:rsid w:val="008846C2"/>
    <w:rsid w:val="008847E1"/>
    <w:rsid w:val="00885F4B"/>
    <w:rsid w:val="00886657"/>
    <w:rsid w:val="008867C3"/>
    <w:rsid w:val="00887A2C"/>
    <w:rsid w:val="00890130"/>
    <w:rsid w:val="0089109A"/>
    <w:rsid w:val="00891FB0"/>
    <w:rsid w:val="0089218C"/>
    <w:rsid w:val="0089395E"/>
    <w:rsid w:val="00894785"/>
    <w:rsid w:val="00895B27"/>
    <w:rsid w:val="00895C9E"/>
    <w:rsid w:val="00895D5B"/>
    <w:rsid w:val="00896493"/>
    <w:rsid w:val="00896AA1"/>
    <w:rsid w:val="00896C4A"/>
    <w:rsid w:val="00896F6A"/>
    <w:rsid w:val="008A037F"/>
    <w:rsid w:val="008A06C7"/>
    <w:rsid w:val="008A08BF"/>
    <w:rsid w:val="008A179F"/>
    <w:rsid w:val="008A189B"/>
    <w:rsid w:val="008A2277"/>
    <w:rsid w:val="008A2E75"/>
    <w:rsid w:val="008A388D"/>
    <w:rsid w:val="008A3BBC"/>
    <w:rsid w:val="008A508D"/>
    <w:rsid w:val="008B00EA"/>
    <w:rsid w:val="008B0864"/>
    <w:rsid w:val="008B175A"/>
    <w:rsid w:val="008B1880"/>
    <w:rsid w:val="008B353A"/>
    <w:rsid w:val="008B358F"/>
    <w:rsid w:val="008B4174"/>
    <w:rsid w:val="008B447E"/>
    <w:rsid w:val="008B4670"/>
    <w:rsid w:val="008B4C04"/>
    <w:rsid w:val="008B5DF7"/>
    <w:rsid w:val="008B6C83"/>
    <w:rsid w:val="008B7C24"/>
    <w:rsid w:val="008C0750"/>
    <w:rsid w:val="008C260B"/>
    <w:rsid w:val="008C2C43"/>
    <w:rsid w:val="008C3CB7"/>
    <w:rsid w:val="008C4D92"/>
    <w:rsid w:val="008C5425"/>
    <w:rsid w:val="008C5477"/>
    <w:rsid w:val="008C6F76"/>
    <w:rsid w:val="008C7413"/>
    <w:rsid w:val="008C7B7E"/>
    <w:rsid w:val="008D067B"/>
    <w:rsid w:val="008D0993"/>
    <w:rsid w:val="008D11EE"/>
    <w:rsid w:val="008D16B7"/>
    <w:rsid w:val="008D1987"/>
    <w:rsid w:val="008D239B"/>
    <w:rsid w:val="008D2CD9"/>
    <w:rsid w:val="008D3718"/>
    <w:rsid w:val="008D3F12"/>
    <w:rsid w:val="008D4273"/>
    <w:rsid w:val="008D4802"/>
    <w:rsid w:val="008D4BAB"/>
    <w:rsid w:val="008D54C9"/>
    <w:rsid w:val="008D7CAA"/>
    <w:rsid w:val="008D7F38"/>
    <w:rsid w:val="008E095A"/>
    <w:rsid w:val="008E11C4"/>
    <w:rsid w:val="008E1647"/>
    <w:rsid w:val="008E1DCE"/>
    <w:rsid w:val="008E3831"/>
    <w:rsid w:val="008E39A6"/>
    <w:rsid w:val="008E3AB6"/>
    <w:rsid w:val="008E3D32"/>
    <w:rsid w:val="008E62B6"/>
    <w:rsid w:val="008E644E"/>
    <w:rsid w:val="008E6A95"/>
    <w:rsid w:val="008E6AE6"/>
    <w:rsid w:val="008E6BA6"/>
    <w:rsid w:val="008E7B46"/>
    <w:rsid w:val="008F0116"/>
    <w:rsid w:val="008F0D57"/>
    <w:rsid w:val="008F1349"/>
    <w:rsid w:val="008F143D"/>
    <w:rsid w:val="008F192D"/>
    <w:rsid w:val="008F1AD3"/>
    <w:rsid w:val="008F2AF4"/>
    <w:rsid w:val="008F4330"/>
    <w:rsid w:val="008F4887"/>
    <w:rsid w:val="008F4D45"/>
    <w:rsid w:val="008F51CE"/>
    <w:rsid w:val="008F5807"/>
    <w:rsid w:val="008F6BC2"/>
    <w:rsid w:val="008F6F40"/>
    <w:rsid w:val="008F7420"/>
    <w:rsid w:val="009014F7"/>
    <w:rsid w:val="00901C18"/>
    <w:rsid w:val="009059A4"/>
    <w:rsid w:val="00907FCF"/>
    <w:rsid w:val="009114DD"/>
    <w:rsid w:val="00912B06"/>
    <w:rsid w:val="00913051"/>
    <w:rsid w:val="00915A8F"/>
    <w:rsid w:val="00915B49"/>
    <w:rsid w:val="00915D6D"/>
    <w:rsid w:val="009160E2"/>
    <w:rsid w:val="0091708F"/>
    <w:rsid w:val="00920B0C"/>
    <w:rsid w:val="0092159B"/>
    <w:rsid w:val="00921A63"/>
    <w:rsid w:val="00921AD4"/>
    <w:rsid w:val="009226E4"/>
    <w:rsid w:val="00922A65"/>
    <w:rsid w:val="00923332"/>
    <w:rsid w:val="00923EB1"/>
    <w:rsid w:val="00924D0F"/>
    <w:rsid w:val="00925721"/>
    <w:rsid w:val="00925D16"/>
    <w:rsid w:val="009268B8"/>
    <w:rsid w:val="00927828"/>
    <w:rsid w:val="00927840"/>
    <w:rsid w:val="00927D88"/>
    <w:rsid w:val="009302D0"/>
    <w:rsid w:val="0093138C"/>
    <w:rsid w:val="00932865"/>
    <w:rsid w:val="00932866"/>
    <w:rsid w:val="0093336C"/>
    <w:rsid w:val="0093369D"/>
    <w:rsid w:val="009340A0"/>
    <w:rsid w:val="00935594"/>
    <w:rsid w:val="00935BCD"/>
    <w:rsid w:val="009366A4"/>
    <w:rsid w:val="009375E5"/>
    <w:rsid w:val="00937B46"/>
    <w:rsid w:val="00937D49"/>
    <w:rsid w:val="00937F20"/>
    <w:rsid w:val="00940251"/>
    <w:rsid w:val="009417BA"/>
    <w:rsid w:val="00943607"/>
    <w:rsid w:val="00943EE4"/>
    <w:rsid w:val="009445FE"/>
    <w:rsid w:val="009459CF"/>
    <w:rsid w:val="00946DE4"/>
    <w:rsid w:val="00950359"/>
    <w:rsid w:val="00951B82"/>
    <w:rsid w:val="00951BC3"/>
    <w:rsid w:val="0095331F"/>
    <w:rsid w:val="00953402"/>
    <w:rsid w:val="009547A5"/>
    <w:rsid w:val="0095693D"/>
    <w:rsid w:val="00957FEA"/>
    <w:rsid w:val="00961B65"/>
    <w:rsid w:val="00961D5E"/>
    <w:rsid w:val="0096306E"/>
    <w:rsid w:val="009647C5"/>
    <w:rsid w:val="009648C4"/>
    <w:rsid w:val="00964FB9"/>
    <w:rsid w:val="009652C8"/>
    <w:rsid w:val="0096540C"/>
    <w:rsid w:val="00965453"/>
    <w:rsid w:val="00966738"/>
    <w:rsid w:val="0096684E"/>
    <w:rsid w:val="009674BC"/>
    <w:rsid w:val="00973F30"/>
    <w:rsid w:val="009745A9"/>
    <w:rsid w:val="00974E79"/>
    <w:rsid w:val="00975393"/>
    <w:rsid w:val="009761FB"/>
    <w:rsid w:val="009763B4"/>
    <w:rsid w:val="009766E9"/>
    <w:rsid w:val="00976F80"/>
    <w:rsid w:val="0097728F"/>
    <w:rsid w:val="009775F4"/>
    <w:rsid w:val="00977FBF"/>
    <w:rsid w:val="0098138E"/>
    <w:rsid w:val="009824A5"/>
    <w:rsid w:val="00983DA5"/>
    <w:rsid w:val="00985350"/>
    <w:rsid w:val="0098537E"/>
    <w:rsid w:val="0098655A"/>
    <w:rsid w:val="009869E0"/>
    <w:rsid w:val="00990F13"/>
    <w:rsid w:val="0099120B"/>
    <w:rsid w:val="00991FAB"/>
    <w:rsid w:val="00992729"/>
    <w:rsid w:val="00992839"/>
    <w:rsid w:val="0099310F"/>
    <w:rsid w:val="009936F6"/>
    <w:rsid w:val="00993873"/>
    <w:rsid w:val="00995524"/>
    <w:rsid w:val="009962EC"/>
    <w:rsid w:val="00997820"/>
    <w:rsid w:val="009A3780"/>
    <w:rsid w:val="009A4C40"/>
    <w:rsid w:val="009A4F14"/>
    <w:rsid w:val="009A4F69"/>
    <w:rsid w:val="009A5A22"/>
    <w:rsid w:val="009A5A72"/>
    <w:rsid w:val="009A6D0B"/>
    <w:rsid w:val="009A6E36"/>
    <w:rsid w:val="009B0B2A"/>
    <w:rsid w:val="009B0B66"/>
    <w:rsid w:val="009B1EC7"/>
    <w:rsid w:val="009B25D6"/>
    <w:rsid w:val="009B59DA"/>
    <w:rsid w:val="009B5BE2"/>
    <w:rsid w:val="009B5E67"/>
    <w:rsid w:val="009C0188"/>
    <w:rsid w:val="009C0B19"/>
    <w:rsid w:val="009C0E70"/>
    <w:rsid w:val="009C27E2"/>
    <w:rsid w:val="009C3617"/>
    <w:rsid w:val="009C5324"/>
    <w:rsid w:val="009C73A5"/>
    <w:rsid w:val="009C7418"/>
    <w:rsid w:val="009C7572"/>
    <w:rsid w:val="009C7742"/>
    <w:rsid w:val="009C7899"/>
    <w:rsid w:val="009C7D05"/>
    <w:rsid w:val="009D08B8"/>
    <w:rsid w:val="009D1695"/>
    <w:rsid w:val="009D21C7"/>
    <w:rsid w:val="009D2857"/>
    <w:rsid w:val="009D2C6A"/>
    <w:rsid w:val="009D352E"/>
    <w:rsid w:val="009D383C"/>
    <w:rsid w:val="009D3E5D"/>
    <w:rsid w:val="009D3FB8"/>
    <w:rsid w:val="009D5643"/>
    <w:rsid w:val="009D68A5"/>
    <w:rsid w:val="009E0C48"/>
    <w:rsid w:val="009E2240"/>
    <w:rsid w:val="009E2637"/>
    <w:rsid w:val="009E4711"/>
    <w:rsid w:val="009E4ABF"/>
    <w:rsid w:val="009E6052"/>
    <w:rsid w:val="009E72AC"/>
    <w:rsid w:val="009E7527"/>
    <w:rsid w:val="009E7B71"/>
    <w:rsid w:val="009E7C0A"/>
    <w:rsid w:val="009E7C7F"/>
    <w:rsid w:val="009F009F"/>
    <w:rsid w:val="009F1DD4"/>
    <w:rsid w:val="009F21D4"/>
    <w:rsid w:val="009F2B80"/>
    <w:rsid w:val="009F2C37"/>
    <w:rsid w:val="009F31BB"/>
    <w:rsid w:val="009F4069"/>
    <w:rsid w:val="009F569F"/>
    <w:rsid w:val="009F605D"/>
    <w:rsid w:val="009F6527"/>
    <w:rsid w:val="009F657C"/>
    <w:rsid w:val="009F7B88"/>
    <w:rsid w:val="00A01E70"/>
    <w:rsid w:val="00A0228A"/>
    <w:rsid w:val="00A0360A"/>
    <w:rsid w:val="00A03D03"/>
    <w:rsid w:val="00A0426F"/>
    <w:rsid w:val="00A05A11"/>
    <w:rsid w:val="00A0672E"/>
    <w:rsid w:val="00A07F5A"/>
    <w:rsid w:val="00A10F32"/>
    <w:rsid w:val="00A1192D"/>
    <w:rsid w:val="00A12214"/>
    <w:rsid w:val="00A12387"/>
    <w:rsid w:val="00A12FFB"/>
    <w:rsid w:val="00A14A86"/>
    <w:rsid w:val="00A15F87"/>
    <w:rsid w:val="00A16171"/>
    <w:rsid w:val="00A170C8"/>
    <w:rsid w:val="00A17CE0"/>
    <w:rsid w:val="00A22361"/>
    <w:rsid w:val="00A22CFB"/>
    <w:rsid w:val="00A2319E"/>
    <w:rsid w:val="00A232C8"/>
    <w:rsid w:val="00A23D48"/>
    <w:rsid w:val="00A24374"/>
    <w:rsid w:val="00A24D6A"/>
    <w:rsid w:val="00A256F4"/>
    <w:rsid w:val="00A25F11"/>
    <w:rsid w:val="00A300B6"/>
    <w:rsid w:val="00A30BD2"/>
    <w:rsid w:val="00A30F05"/>
    <w:rsid w:val="00A31DA9"/>
    <w:rsid w:val="00A31E8F"/>
    <w:rsid w:val="00A32A7B"/>
    <w:rsid w:val="00A3357A"/>
    <w:rsid w:val="00A345CB"/>
    <w:rsid w:val="00A35116"/>
    <w:rsid w:val="00A35392"/>
    <w:rsid w:val="00A36B6B"/>
    <w:rsid w:val="00A40458"/>
    <w:rsid w:val="00A4208D"/>
    <w:rsid w:val="00A42306"/>
    <w:rsid w:val="00A42A33"/>
    <w:rsid w:val="00A42F7B"/>
    <w:rsid w:val="00A4360F"/>
    <w:rsid w:val="00A43C4A"/>
    <w:rsid w:val="00A44CB1"/>
    <w:rsid w:val="00A44D96"/>
    <w:rsid w:val="00A44E8D"/>
    <w:rsid w:val="00A46EA8"/>
    <w:rsid w:val="00A477AC"/>
    <w:rsid w:val="00A478F4"/>
    <w:rsid w:val="00A502BA"/>
    <w:rsid w:val="00A505F9"/>
    <w:rsid w:val="00A50E0F"/>
    <w:rsid w:val="00A50E80"/>
    <w:rsid w:val="00A515CA"/>
    <w:rsid w:val="00A51C07"/>
    <w:rsid w:val="00A523A9"/>
    <w:rsid w:val="00A54482"/>
    <w:rsid w:val="00A5490E"/>
    <w:rsid w:val="00A5534F"/>
    <w:rsid w:val="00A55ACD"/>
    <w:rsid w:val="00A56749"/>
    <w:rsid w:val="00A5765A"/>
    <w:rsid w:val="00A60CED"/>
    <w:rsid w:val="00A617CF"/>
    <w:rsid w:val="00A62048"/>
    <w:rsid w:val="00A62353"/>
    <w:rsid w:val="00A6397C"/>
    <w:rsid w:val="00A65678"/>
    <w:rsid w:val="00A66259"/>
    <w:rsid w:val="00A667A0"/>
    <w:rsid w:val="00A71D67"/>
    <w:rsid w:val="00A7367A"/>
    <w:rsid w:val="00A736EB"/>
    <w:rsid w:val="00A74158"/>
    <w:rsid w:val="00A7477F"/>
    <w:rsid w:val="00A74E2A"/>
    <w:rsid w:val="00A777D7"/>
    <w:rsid w:val="00A80612"/>
    <w:rsid w:val="00A82CF9"/>
    <w:rsid w:val="00A82D0B"/>
    <w:rsid w:val="00A83D73"/>
    <w:rsid w:val="00A83E9D"/>
    <w:rsid w:val="00A8447C"/>
    <w:rsid w:val="00A85562"/>
    <w:rsid w:val="00A85BB3"/>
    <w:rsid w:val="00A85D27"/>
    <w:rsid w:val="00A86143"/>
    <w:rsid w:val="00A8653E"/>
    <w:rsid w:val="00A871E4"/>
    <w:rsid w:val="00A87B49"/>
    <w:rsid w:val="00A9016A"/>
    <w:rsid w:val="00A90842"/>
    <w:rsid w:val="00A9327D"/>
    <w:rsid w:val="00A94EE1"/>
    <w:rsid w:val="00A95556"/>
    <w:rsid w:val="00A95BDC"/>
    <w:rsid w:val="00A972C6"/>
    <w:rsid w:val="00A97357"/>
    <w:rsid w:val="00A97DEC"/>
    <w:rsid w:val="00AA1EB4"/>
    <w:rsid w:val="00AA1FF7"/>
    <w:rsid w:val="00AA4A63"/>
    <w:rsid w:val="00AA5018"/>
    <w:rsid w:val="00AA5E97"/>
    <w:rsid w:val="00AA784C"/>
    <w:rsid w:val="00AB0BE1"/>
    <w:rsid w:val="00AB113B"/>
    <w:rsid w:val="00AB1C39"/>
    <w:rsid w:val="00AB22D9"/>
    <w:rsid w:val="00AB33FF"/>
    <w:rsid w:val="00AB3AD2"/>
    <w:rsid w:val="00AB4D55"/>
    <w:rsid w:val="00AB65CA"/>
    <w:rsid w:val="00AB66C2"/>
    <w:rsid w:val="00AB7875"/>
    <w:rsid w:val="00AB7892"/>
    <w:rsid w:val="00AB7EAB"/>
    <w:rsid w:val="00AC002D"/>
    <w:rsid w:val="00AC085D"/>
    <w:rsid w:val="00AC08F5"/>
    <w:rsid w:val="00AC0FC6"/>
    <w:rsid w:val="00AC0FFC"/>
    <w:rsid w:val="00AC1471"/>
    <w:rsid w:val="00AC1960"/>
    <w:rsid w:val="00AC1B4D"/>
    <w:rsid w:val="00AC1CA4"/>
    <w:rsid w:val="00AC2FE9"/>
    <w:rsid w:val="00AC3604"/>
    <w:rsid w:val="00AC40EC"/>
    <w:rsid w:val="00AC6454"/>
    <w:rsid w:val="00AC68EE"/>
    <w:rsid w:val="00AC7DFD"/>
    <w:rsid w:val="00AD196E"/>
    <w:rsid w:val="00AD23C1"/>
    <w:rsid w:val="00AD2D40"/>
    <w:rsid w:val="00AD3C82"/>
    <w:rsid w:val="00AD45F6"/>
    <w:rsid w:val="00AD4717"/>
    <w:rsid w:val="00AD4C4C"/>
    <w:rsid w:val="00AD50E2"/>
    <w:rsid w:val="00AD6685"/>
    <w:rsid w:val="00AD7414"/>
    <w:rsid w:val="00AE0053"/>
    <w:rsid w:val="00AE07C7"/>
    <w:rsid w:val="00AE1120"/>
    <w:rsid w:val="00AE1388"/>
    <w:rsid w:val="00AE14D3"/>
    <w:rsid w:val="00AE15E1"/>
    <w:rsid w:val="00AE337B"/>
    <w:rsid w:val="00AE4811"/>
    <w:rsid w:val="00AE520B"/>
    <w:rsid w:val="00AE52DB"/>
    <w:rsid w:val="00AE55A2"/>
    <w:rsid w:val="00AE586F"/>
    <w:rsid w:val="00AE6450"/>
    <w:rsid w:val="00AE752C"/>
    <w:rsid w:val="00AE7E0F"/>
    <w:rsid w:val="00AF2B70"/>
    <w:rsid w:val="00AF35D0"/>
    <w:rsid w:val="00AF4077"/>
    <w:rsid w:val="00AF4222"/>
    <w:rsid w:val="00AF429A"/>
    <w:rsid w:val="00AF42AB"/>
    <w:rsid w:val="00AF48C7"/>
    <w:rsid w:val="00AF54CD"/>
    <w:rsid w:val="00AF57E0"/>
    <w:rsid w:val="00AF5A75"/>
    <w:rsid w:val="00AF68E6"/>
    <w:rsid w:val="00AF7A9C"/>
    <w:rsid w:val="00AF7B51"/>
    <w:rsid w:val="00AF7C61"/>
    <w:rsid w:val="00B004A5"/>
    <w:rsid w:val="00B01F7E"/>
    <w:rsid w:val="00B024FA"/>
    <w:rsid w:val="00B02E70"/>
    <w:rsid w:val="00B05753"/>
    <w:rsid w:val="00B06613"/>
    <w:rsid w:val="00B06CD6"/>
    <w:rsid w:val="00B07D02"/>
    <w:rsid w:val="00B10B39"/>
    <w:rsid w:val="00B113A5"/>
    <w:rsid w:val="00B12AE5"/>
    <w:rsid w:val="00B12F53"/>
    <w:rsid w:val="00B13E36"/>
    <w:rsid w:val="00B15783"/>
    <w:rsid w:val="00B16C2A"/>
    <w:rsid w:val="00B16F03"/>
    <w:rsid w:val="00B17364"/>
    <w:rsid w:val="00B17E44"/>
    <w:rsid w:val="00B20792"/>
    <w:rsid w:val="00B21104"/>
    <w:rsid w:val="00B213E1"/>
    <w:rsid w:val="00B22CDA"/>
    <w:rsid w:val="00B243FC"/>
    <w:rsid w:val="00B24618"/>
    <w:rsid w:val="00B24775"/>
    <w:rsid w:val="00B25EEE"/>
    <w:rsid w:val="00B30156"/>
    <w:rsid w:val="00B3050F"/>
    <w:rsid w:val="00B305DD"/>
    <w:rsid w:val="00B3087D"/>
    <w:rsid w:val="00B30C5F"/>
    <w:rsid w:val="00B316BC"/>
    <w:rsid w:val="00B31F33"/>
    <w:rsid w:val="00B31FF6"/>
    <w:rsid w:val="00B33E6C"/>
    <w:rsid w:val="00B33FBD"/>
    <w:rsid w:val="00B34794"/>
    <w:rsid w:val="00B35A3A"/>
    <w:rsid w:val="00B35BF5"/>
    <w:rsid w:val="00B361A4"/>
    <w:rsid w:val="00B366F0"/>
    <w:rsid w:val="00B408BE"/>
    <w:rsid w:val="00B42689"/>
    <w:rsid w:val="00B42E18"/>
    <w:rsid w:val="00B446EA"/>
    <w:rsid w:val="00B4590D"/>
    <w:rsid w:val="00B46A56"/>
    <w:rsid w:val="00B51595"/>
    <w:rsid w:val="00B5311B"/>
    <w:rsid w:val="00B53E3F"/>
    <w:rsid w:val="00B53EA5"/>
    <w:rsid w:val="00B5478A"/>
    <w:rsid w:val="00B549B4"/>
    <w:rsid w:val="00B550C3"/>
    <w:rsid w:val="00B5544B"/>
    <w:rsid w:val="00B558FE"/>
    <w:rsid w:val="00B55E97"/>
    <w:rsid w:val="00B602E1"/>
    <w:rsid w:val="00B60421"/>
    <w:rsid w:val="00B605D2"/>
    <w:rsid w:val="00B60929"/>
    <w:rsid w:val="00B616AB"/>
    <w:rsid w:val="00B624AF"/>
    <w:rsid w:val="00B62A49"/>
    <w:rsid w:val="00B62A75"/>
    <w:rsid w:val="00B62BA0"/>
    <w:rsid w:val="00B6393F"/>
    <w:rsid w:val="00B63C1A"/>
    <w:rsid w:val="00B63CE8"/>
    <w:rsid w:val="00B640BB"/>
    <w:rsid w:val="00B70E08"/>
    <w:rsid w:val="00B7276F"/>
    <w:rsid w:val="00B72DA9"/>
    <w:rsid w:val="00B747A9"/>
    <w:rsid w:val="00B75527"/>
    <w:rsid w:val="00B75C6F"/>
    <w:rsid w:val="00B75DE6"/>
    <w:rsid w:val="00B80135"/>
    <w:rsid w:val="00B81878"/>
    <w:rsid w:val="00B81CF8"/>
    <w:rsid w:val="00B81EB6"/>
    <w:rsid w:val="00B820F7"/>
    <w:rsid w:val="00B8234E"/>
    <w:rsid w:val="00B82BE6"/>
    <w:rsid w:val="00B82BEA"/>
    <w:rsid w:val="00B82CEF"/>
    <w:rsid w:val="00B847B9"/>
    <w:rsid w:val="00B85D95"/>
    <w:rsid w:val="00B87A8D"/>
    <w:rsid w:val="00B87EF9"/>
    <w:rsid w:val="00B905C1"/>
    <w:rsid w:val="00B9166E"/>
    <w:rsid w:val="00B92E57"/>
    <w:rsid w:val="00B94A39"/>
    <w:rsid w:val="00B95F7F"/>
    <w:rsid w:val="00BA0649"/>
    <w:rsid w:val="00BA267C"/>
    <w:rsid w:val="00BA2DFB"/>
    <w:rsid w:val="00BA4D42"/>
    <w:rsid w:val="00BA6963"/>
    <w:rsid w:val="00BA73ED"/>
    <w:rsid w:val="00BA76FF"/>
    <w:rsid w:val="00BA78E6"/>
    <w:rsid w:val="00BA7EB8"/>
    <w:rsid w:val="00BB0243"/>
    <w:rsid w:val="00BB3152"/>
    <w:rsid w:val="00BB3594"/>
    <w:rsid w:val="00BB6C04"/>
    <w:rsid w:val="00BC448D"/>
    <w:rsid w:val="00BC4B7C"/>
    <w:rsid w:val="00BC5134"/>
    <w:rsid w:val="00BC5ED3"/>
    <w:rsid w:val="00BC5F23"/>
    <w:rsid w:val="00BC7C86"/>
    <w:rsid w:val="00BD0458"/>
    <w:rsid w:val="00BD30D8"/>
    <w:rsid w:val="00BD39F9"/>
    <w:rsid w:val="00BD40D3"/>
    <w:rsid w:val="00BD5ABD"/>
    <w:rsid w:val="00BD5DE6"/>
    <w:rsid w:val="00BD67D9"/>
    <w:rsid w:val="00BD7376"/>
    <w:rsid w:val="00BD7FCB"/>
    <w:rsid w:val="00BE0BB5"/>
    <w:rsid w:val="00BE15D3"/>
    <w:rsid w:val="00BE2599"/>
    <w:rsid w:val="00BE39BE"/>
    <w:rsid w:val="00BE3BE3"/>
    <w:rsid w:val="00BE484A"/>
    <w:rsid w:val="00BE4D52"/>
    <w:rsid w:val="00BE54CD"/>
    <w:rsid w:val="00BE61EB"/>
    <w:rsid w:val="00BE7290"/>
    <w:rsid w:val="00BF169F"/>
    <w:rsid w:val="00BF31C0"/>
    <w:rsid w:val="00BF5624"/>
    <w:rsid w:val="00BF64A5"/>
    <w:rsid w:val="00BF6C07"/>
    <w:rsid w:val="00BF759D"/>
    <w:rsid w:val="00BF784B"/>
    <w:rsid w:val="00C009A5"/>
    <w:rsid w:val="00C00AA3"/>
    <w:rsid w:val="00C03870"/>
    <w:rsid w:val="00C03DA4"/>
    <w:rsid w:val="00C0440B"/>
    <w:rsid w:val="00C06DE0"/>
    <w:rsid w:val="00C0702E"/>
    <w:rsid w:val="00C0731A"/>
    <w:rsid w:val="00C10B5F"/>
    <w:rsid w:val="00C11978"/>
    <w:rsid w:val="00C11C7E"/>
    <w:rsid w:val="00C11CBA"/>
    <w:rsid w:val="00C11D2F"/>
    <w:rsid w:val="00C11E7E"/>
    <w:rsid w:val="00C12F17"/>
    <w:rsid w:val="00C1502B"/>
    <w:rsid w:val="00C15F60"/>
    <w:rsid w:val="00C1740D"/>
    <w:rsid w:val="00C17543"/>
    <w:rsid w:val="00C17BAB"/>
    <w:rsid w:val="00C20B1B"/>
    <w:rsid w:val="00C20B95"/>
    <w:rsid w:val="00C2110A"/>
    <w:rsid w:val="00C21211"/>
    <w:rsid w:val="00C214C6"/>
    <w:rsid w:val="00C21581"/>
    <w:rsid w:val="00C22AFA"/>
    <w:rsid w:val="00C23AF7"/>
    <w:rsid w:val="00C25728"/>
    <w:rsid w:val="00C27DDE"/>
    <w:rsid w:val="00C3100D"/>
    <w:rsid w:val="00C31B31"/>
    <w:rsid w:val="00C320DA"/>
    <w:rsid w:val="00C32521"/>
    <w:rsid w:val="00C32C87"/>
    <w:rsid w:val="00C33770"/>
    <w:rsid w:val="00C339E6"/>
    <w:rsid w:val="00C340B2"/>
    <w:rsid w:val="00C35D32"/>
    <w:rsid w:val="00C362F2"/>
    <w:rsid w:val="00C36DF7"/>
    <w:rsid w:val="00C400EB"/>
    <w:rsid w:val="00C407FE"/>
    <w:rsid w:val="00C40C2D"/>
    <w:rsid w:val="00C40CCC"/>
    <w:rsid w:val="00C41922"/>
    <w:rsid w:val="00C43382"/>
    <w:rsid w:val="00C4375D"/>
    <w:rsid w:val="00C4447C"/>
    <w:rsid w:val="00C447BD"/>
    <w:rsid w:val="00C44C35"/>
    <w:rsid w:val="00C4606B"/>
    <w:rsid w:val="00C50262"/>
    <w:rsid w:val="00C52CE1"/>
    <w:rsid w:val="00C53B15"/>
    <w:rsid w:val="00C53C5A"/>
    <w:rsid w:val="00C56847"/>
    <w:rsid w:val="00C56F4D"/>
    <w:rsid w:val="00C57428"/>
    <w:rsid w:val="00C57697"/>
    <w:rsid w:val="00C622A4"/>
    <w:rsid w:val="00C62D75"/>
    <w:rsid w:val="00C6366E"/>
    <w:rsid w:val="00C63FA6"/>
    <w:rsid w:val="00C64391"/>
    <w:rsid w:val="00C64B35"/>
    <w:rsid w:val="00C655D3"/>
    <w:rsid w:val="00C65709"/>
    <w:rsid w:val="00C659FE"/>
    <w:rsid w:val="00C676CF"/>
    <w:rsid w:val="00C67ECB"/>
    <w:rsid w:val="00C70268"/>
    <w:rsid w:val="00C71519"/>
    <w:rsid w:val="00C72ECA"/>
    <w:rsid w:val="00C74482"/>
    <w:rsid w:val="00C76D53"/>
    <w:rsid w:val="00C77840"/>
    <w:rsid w:val="00C77DFF"/>
    <w:rsid w:val="00C81815"/>
    <w:rsid w:val="00C81AF3"/>
    <w:rsid w:val="00C82656"/>
    <w:rsid w:val="00C82A7A"/>
    <w:rsid w:val="00C83728"/>
    <w:rsid w:val="00C83734"/>
    <w:rsid w:val="00C83A79"/>
    <w:rsid w:val="00C840DB"/>
    <w:rsid w:val="00C841CC"/>
    <w:rsid w:val="00C84277"/>
    <w:rsid w:val="00C843B6"/>
    <w:rsid w:val="00C84BE7"/>
    <w:rsid w:val="00C8500C"/>
    <w:rsid w:val="00C85D8F"/>
    <w:rsid w:val="00C86469"/>
    <w:rsid w:val="00C878D5"/>
    <w:rsid w:val="00C901F1"/>
    <w:rsid w:val="00C90249"/>
    <w:rsid w:val="00C9033B"/>
    <w:rsid w:val="00C913A1"/>
    <w:rsid w:val="00C91CD9"/>
    <w:rsid w:val="00C920B4"/>
    <w:rsid w:val="00C92531"/>
    <w:rsid w:val="00C92993"/>
    <w:rsid w:val="00C92996"/>
    <w:rsid w:val="00C94E11"/>
    <w:rsid w:val="00C95B26"/>
    <w:rsid w:val="00C96BA4"/>
    <w:rsid w:val="00C978E7"/>
    <w:rsid w:val="00CA04F8"/>
    <w:rsid w:val="00CA09B7"/>
    <w:rsid w:val="00CA22B6"/>
    <w:rsid w:val="00CA56AD"/>
    <w:rsid w:val="00CA5D2D"/>
    <w:rsid w:val="00CB0F0C"/>
    <w:rsid w:val="00CB1A02"/>
    <w:rsid w:val="00CB20EE"/>
    <w:rsid w:val="00CB2543"/>
    <w:rsid w:val="00CB2DFF"/>
    <w:rsid w:val="00CB301E"/>
    <w:rsid w:val="00CB35BD"/>
    <w:rsid w:val="00CB36E0"/>
    <w:rsid w:val="00CB384C"/>
    <w:rsid w:val="00CB49A2"/>
    <w:rsid w:val="00CB6A9F"/>
    <w:rsid w:val="00CB6EA1"/>
    <w:rsid w:val="00CC0EB1"/>
    <w:rsid w:val="00CC2E82"/>
    <w:rsid w:val="00CC2FFC"/>
    <w:rsid w:val="00CC3287"/>
    <w:rsid w:val="00CC50CC"/>
    <w:rsid w:val="00CC5E9E"/>
    <w:rsid w:val="00CC6A99"/>
    <w:rsid w:val="00CC73A4"/>
    <w:rsid w:val="00CC74E0"/>
    <w:rsid w:val="00CD1308"/>
    <w:rsid w:val="00CD2493"/>
    <w:rsid w:val="00CD2AC1"/>
    <w:rsid w:val="00CD441A"/>
    <w:rsid w:val="00CD6631"/>
    <w:rsid w:val="00CD7008"/>
    <w:rsid w:val="00CD763C"/>
    <w:rsid w:val="00CE01F7"/>
    <w:rsid w:val="00CE0E74"/>
    <w:rsid w:val="00CE1BB3"/>
    <w:rsid w:val="00CE2549"/>
    <w:rsid w:val="00CE259B"/>
    <w:rsid w:val="00CE356F"/>
    <w:rsid w:val="00CE4881"/>
    <w:rsid w:val="00CE4D33"/>
    <w:rsid w:val="00CE52F3"/>
    <w:rsid w:val="00CE5382"/>
    <w:rsid w:val="00CE543C"/>
    <w:rsid w:val="00CE7AC6"/>
    <w:rsid w:val="00CF0F9E"/>
    <w:rsid w:val="00CF12EE"/>
    <w:rsid w:val="00CF2413"/>
    <w:rsid w:val="00CF2AF3"/>
    <w:rsid w:val="00CF2B21"/>
    <w:rsid w:val="00CF3F9D"/>
    <w:rsid w:val="00CF4E7F"/>
    <w:rsid w:val="00CF5FD8"/>
    <w:rsid w:val="00CF6161"/>
    <w:rsid w:val="00CF76E1"/>
    <w:rsid w:val="00D00AA3"/>
    <w:rsid w:val="00D016A4"/>
    <w:rsid w:val="00D0251D"/>
    <w:rsid w:val="00D025E7"/>
    <w:rsid w:val="00D02E30"/>
    <w:rsid w:val="00D034BF"/>
    <w:rsid w:val="00D03823"/>
    <w:rsid w:val="00D03EF5"/>
    <w:rsid w:val="00D04170"/>
    <w:rsid w:val="00D04363"/>
    <w:rsid w:val="00D0437D"/>
    <w:rsid w:val="00D04B57"/>
    <w:rsid w:val="00D0504E"/>
    <w:rsid w:val="00D07A95"/>
    <w:rsid w:val="00D07E95"/>
    <w:rsid w:val="00D07F73"/>
    <w:rsid w:val="00D101F3"/>
    <w:rsid w:val="00D11112"/>
    <w:rsid w:val="00D131E1"/>
    <w:rsid w:val="00D14514"/>
    <w:rsid w:val="00D14844"/>
    <w:rsid w:val="00D14C9E"/>
    <w:rsid w:val="00D160D9"/>
    <w:rsid w:val="00D161E0"/>
    <w:rsid w:val="00D163F9"/>
    <w:rsid w:val="00D16DB1"/>
    <w:rsid w:val="00D2041C"/>
    <w:rsid w:val="00D2072D"/>
    <w:rsid w:val="00D20F4F"/>
    <w:rsid w:val="00D21CF7"/>
    <w:rsid w:val="00D21E4E"/>
    <w:rsid w:val="00D22208"/>
    <w:rsid w:val="00D2244C"/>
    <w:rsid w:val="00D242AB"/>
    <w:rsid w:val="00D2454F"/>
    <w:rsid w:val="00D256BE"/>
    <w:rsid w:val="00D25ADE"/>
    <w:rsid w:val="00D25E1C"/>
    <w:rsid w:val="00D27553"/>
    <w:rsid w:val="00D27B3D"/>
    <w:rsid w:val="00D27D46"/>
    <w:rsid w:val="00D3073F"/>
    <w:rsid w:val="00D31DC4"/>
    <w:rsid w:val="00D33CA1"/>
    <w:rsid w:val="00D352CB"/>
    <w:rsid w:val="00D35BF9"/>
    <w:rsid w:val="00D35CFB"/>
    <w:rsid w:val="00D35D95"/>
    <w:rsid w:val="00D367A8"/>
    <w:rsid w:val="00D36D2C"/>
    <w:rsid w:val="00D3746D"/>
    <w:rsid w:val="00D37622"/>
    <w:rsid w:val="00D37BE9"/>
    <w:rsid w:val="00D37DC5"/>
    <w:rsid w:val="00D40883"/>
    <w:rsid w:val="00D4154F"/>
    <w:rsid w:val="00D417DF"/>
    <w:rsid w:val="00D43297"/>
    <w:rsid w:val="00D44445"/>
    <w:rsid w:val="00D44AAB"/>
    <w:rsid w:val="00D44DB6"/>
    <w:rsid w:val="00D462AB"/>
    <w:rsid w:val="00D462CC"/>
    <w:rsid w:val="00D50032"/>
    <w:rsid w:val="00D50119"/>
    <w:rsid w:val="00D51E13"/>
    <w:rsid w:val="00D5220D"/>
    <w:rsid w:val="00D54131"/>
    <w:rsid w:val="00D60114"/>
    <w:rsid w:val="00D60953"/>
    <w:rsid w:val="00D60F63"/>
    <w:rsid w:val="00D61E77"/>
    <w:rsid w:val="00D621D5"/>
    <w:rsid w:val="00D647B8"/>
    <w:rsid w:val="00D64F6C"/>
    <w:rsid w:val="00D65CFB"/>
    <w:rsid w:val="00D67214"/>
    <w:rsid w:val="00D6761D"/>
    <w:rsid w:val="00D70524"/>
    <w:rsid w:val="00D7160A"/>
    <w:rsid w:val="00D7200D"/>
    <w:rsid w:val="00D725A5"/>
    <w:rsid w:val="00D75673"/>
    <w:rsid w:val="00D75C1D"/>
    <w:rsid w:val="00D808D7"/>
    <w:rsid w:val="00D80E2C"/>
    <w:rsid w:val="00D81D74"/>
    <w:rsid w:val="00D829FD"/>
    <w:rsid w:val="00D82A43"/>
    <w:rsid w:val="00D85BBE"/>
    <w:rsid w:val="00D91DE5"/>
    <w:rsid w:val="00D92920"/>
    <w:rsid w:val="00D94D75"/>
    <w:rsid w:val="00D94DDA"/>
    <w:rsid w:val="00D95400"/>
    <w:rsid w:val="00D95E23"/>
    <w:rsid w:val="00D95E4E"/>
    <w:rsid w:val="00D95FFE"/>
    <w:rsid w:val="00D97810"/>
    <w:rsid w:val="00DA123A"/>
    <w:rsid w:val="00DA16CA"/>
    <w:rsid w:val="00DA4743"/>
    <w:rsid w:val="00DA5F64"/>
    <w:rsid w:val="00DA6FAE"/>
    <w:rsid w:val="00DA6FBF"/>
    <w:rsid w:val="00DA7636"/>
    <w:rsid w:val="00DA7B5D"/>
    <w:rsid w:val="00DB03F6"/>
    <w:rsid w:val="00DB1A2B"/>
    <w:rsid w:val="00DB1A8A"/>
    <w:rsid w:val="00DB1EC4"/>
    <w:rsid w:val="00DB1EEB"/>
    <w:rsid w:val="00DB2493"/>
    <w:rsid w:val="00DB2542"/>
    <w:rsid w:val="00DB2738"/>
    <w:rsid w:val="00DB2C63"/>
    <w:rsid w:val="00DB3C28"/>
    <w:rsid w:val="00DB47AF"/>
    <w:rsid w:val="00DB7681"/>
    <w:rsid w:val="00DC0874"/>
    <w:rsid w:val="00DC0A09"/>
    <w:rsid w:val="00DC19E2"/>
    <w:rsid w:val="00DC1FAB"/>
    <w:rsid w:val="00DC2111"/>
    <w:rsid w:val="00DC268C"/>
    <w:rsid w:val="00DC2DFB"/>
    <w:rsid w:val="00DC30EA"/>
    <w:rsid w:val="00DC3490"/>
    <w:rsid w:val="00DC3A51"/>
    <w:rsid w:val="00DC3E9F"/>
    <w:rsid w:val="00DC52B3"/>
    <w:rsid w:val="00DC59FE"/>
    <w:rsid w:val="00DC5A1D"/>
    <w:rsid w:val="00DC5CCF"/>
    <w:rsid w:val="00DC6674"/>
    <w:rsid w:val="00DC7697"/>
    <w:rsid w:val="00DD054C"/>
    <w:rsid w:val="00DD083B"/>
    <w:rsid w:val="00DD0948"/>
    <w:rsid w:val="00DD0DC2"/>
    <w:rsid w:val="00DD1C22"/>
    <w:rsid w:val="00DD2D8A"/>
    <w:rsid w:val="00DD3539"/>
    <w:rsid w:val="00DD426B"/>
    <w:rsid w:val="00DD5422"/>
    <w:rsid w:val="00DD60F9"/>
    <w:rsid w:val="00DD6505"/>
    <w:rsid w:val="00DD728F"/>
    <w:rsid w:val="00DD766F"/>
    <w:rsid w:val="00DD7E59"/>
    <w:rsid w:val="00DE07C0"/>
    <w:rsid w:val="00DE2F96"/>
    <w:rsid w:val="00DE36C5"/>
    <w:rsid w:val="00DE3C4B"/>
    <w:rsid w:val="00DE42AC"/>
    <w:rsid w:val="00DE4D91"/>
    <w:rsid w:val="00DE5405"/>
    <w:rsid w:val="00DE59A9"/>
    <w:rsid w:val="00DE6688"/>
    <w:rsid w:val="00DE67B0"/>
    <w:rsid w:val="00DE7EF8"/>
    <w:rsid w:val="00DF08CE"/>
    <w:rsid w:val="00DF1028"/>
    <w:rsid w:val="00DF1CEA"/>
    <w:rsid w:val="00DF2718"/>
    <w:rsid w:val="00DF38B8"/>
    <w:rsid w:val="00DF4069"/>
    <w:rsid w:val="00DF58E7"/>
    <w:rsid w:val="00DF60D7"/>
    <w:rsid w:val="00DF751C"/>
    <w:rsid w:val="00DF75DA"/>
    <w:rsid w:val="00DF7A7E"/>
    <w:rsid w:val="00E04355"/>
    <w:rsid w:val="00E048AA"/>
    <w:rsid w:val="00E0518F"/>
    <w:rsid w:val="00E06776"/>
    <w:rsid w:val="00E06CA7"/>
    <w:rsid w:val="00E06D74"/>
    <w:rsid w:val="00E0793F"/>
    <w:rsid w:val="00E106C8"/>
    <w:rsid w:val="00E11327"/>
    <w:rsid w:val="00E11876"/>
    <w:rsid w:val="00E12CCA"/>
    <w:rsid w:val="00E13929"/>
    <w:rsid w:val="00E1433C"/>
    <w:rsid w:val="00E14B03"/>
    <w:rsid w:val="00E14F3D"/>
    <w:rsid w:val="00E15BA9"/>
    <w:rsid w:val="00E15DF8"/>
    <w:rsid w:val="00E1636B"/>
    <w:rsid w:val="00E16CAE"/>
    <w:rsid w:val="00E16E75"/>
    <w:rsid w:val="00E17951"/>
    <w:rsid w:val="00E17E5F"/>
    <w:rsid w:val="00E22B24"/>
    <w:rsid w:val="00E23CBB"/>
    <w:rsid w:val="00E23D3B"/>
    <w:rsid w:val="00E24F12"/>
    <w:rsid w:val="00E2504C"/>
    <w:rsid w:val="00E25524"/>
    <w:rsid w:val="00E261F0"/>
    <w:rsid w:val="00E26B30"/>
    <w:rsid w:val="00E271F2"/>
    <w:rsid w:val="00E300C6"/>
    <w:rsid w:val="00E310C3"/>
    <w:rsid w:val="00E31DA5"/>
    <w:rsid w:val="00E31DD2"/>
    <w:rsid w:val="00E33E87"/>
    <w:rsid w:val="00E3414A"/>
    <w:rsid w:val="00E34284"/>
    <w:rsid w:val="00E342E7"/>
    <w:rsid w:val="00E3531F"/>
    <w:rsid w:val="00E36F0F"/>
    <w:rsid w:val="00E3780C"/>
    <w:rsid w:val="00E37B59"/>
    <w:rsid w:val="00E40ECB"/>
    <w:rsid w:val="00E4136C"/>
    <w:rsid w:val="00E4194C"/>
    <w:rsid w:val="00E41D0E"/>
    <w:rsid w:val="00E42F73"/>
    <w:rsid w:val="00E44090"/>
    <w:rsid w:val="00E4436C"/>
    <w:rsid w:val="00E4592A"/>
    <w:rsid w:val="00E45BFE"/>
    <w:rsid w:val="00E464CD"/>
    <w:rsid w:val="00E467C1"/>
    <w:rsid w:val="00E468D7"/>
    <w:rsid w:val="00E47FF5"/>
    <w:rsid w:val="00E50034"/>
    <w:rsid w:val="00E51D0E"/>
    <w:rsid w:val="00E52572"/>
    <w:rsid w:val="00E53438"/>
    <w:rsid w:val="00E55626"/>
    <w:rsid w:val="00E559D5"/>
    <w:rsid w:val="00E56763"/>
    <w:rsid w:val="00E57918"/>
    <w:rsid w:val="00E60B5D"/>
    <w:rsid w:val="00E6104A"/>
    <w:rsid w:val="00E66DFC"/>
    <w:rsid w:val="00E6712A"/>
    <w:rsid w:val="00E67539"/>
    <w:rsid w:val="00E70F39"/>
    <w:rsid w:val="00E723B7"/>
    <w:rsid w:val="00E725FC"/>
    <w:rsid w:val="00E7268A"/>
    <w:rsid w:val="00E72D38"/>
    <w:rsid w:val="00E73071"/>
    <w:rsid w:val="00E732F9"/>
    <w:rsid w:val="00E7423D"/>
    <w:rsid w:val="00E74585"/>
    <w:rsid w:val="00E74E5F"/>
    <w:rsid w:val="00E750F5"/>
    <w:rsid w:val="00E75272"/>
    <w:rsid w:val="00E76DB6"/>
    <w:rsid w:val="00E80021"/>
    <w:rsid w:val="00E8227A"/>
    <w:rsid w:val="00E82527"/>
    <w:rsid w:val="00E8310A"/>
    <w:rsid w:val="00E8451E"/>
    <w:rsid w:val="00E8452B"/>
    <w:rsid w:val="00E867C4"/>
    <w:rsid w:val="00E87147"/>
    <w:rsid w:val="00E87938"/>
    <w:rsid w:val="00E87E5F"/>
    <w:rsid w:val="00E91685"/>
    <w:rsid w:val="00E916A0"/>
    <w:rsid w:val="00E937CE"/>
    <w:rsid w:val="00E96907"/>
    <w:rsid w:val="00E9795C"/>
    <w:rsid w:val="00EA003A"/>
    <w:rsid w:val="00EA0318"/>
    <w:rsid w:val="00EA1050"/>
    <w:rsid w:val="00EA129E"/>
    <w:rsid w:val="00EA2703"/>
    <w:rsid w:val="00EA280F"/>
    <w:rsid w:val="00EA301F"/>
    <w:rsid w:val="00EA3306"/>
    <w:rsid w:val="00EA36C6"/>
    <w:rsid w:val="00EA39CA"/>
    <w:rsid w:val="00EA3FB1"/>
    <w:rsid w:val="00EA48BB"/>
    <w:rsid w:val="00EA52A2"/>
    <w:rsid w:val="00EA5BFC"/>
    <w:rsid w:val="00EA5FB2"/>
    <w:rsid w:val="00EA73FD"/>
    <w:rsid w:val="00EA7E2A"/>
    <w:rsid w:val="00EB2B5D"/>
    <w:rsid w:val="00EB4FCF"/>
    <w:rsid w:val="00EB5A3A"/>
    <w:rsid w:val="00EB602C"/>
    <w:rsid w:val="00EB617D"/>
    <w:rsid w:val="00EB7059"/>
    <w:rsid w:val="00EC0046"/>
    <w:rsid w:val="00EC03EA"/>
    <w:rsid w:val="00EC236F"/>
    <w:rsid w:val="00EC30F9"/>
    <w:rsid w:val="00EC3D06"/>
    <w:rsid w:val="00EC522F"/>
    <w:rsid w:val="00EC5A42"/>
    <w:rsid w:val="00EC698F"/>
    <w:rsid w:val="00EC6CD4"/>
    <w:rsid w:val="00EC6D61"/>
    <w:rsid w:val="00EC70B3"/>
    <w:rsid w:val="00ED029E"/>
    <w:rsid w:val="00ED04B4"/>
    <w:rsid w:val="00ED0DED"/>
    <w:rsid w:val="00ED289F"/>
    <w:rsid w:val="00ED38DB"/>
    <w:rsid w:val="00ED393D"/>
    <w:rsid w:val="00ED3A7A"/>
    <w:rsid w:val="00ED3AB4"/>
    <w:rsid w:val="00ED481F"/>
    <w:rsid w:val="00ED4C38"/>
    <w:rsid w:val="00ED5725"/>
    <w:rsid w:val="00ED5E0E"/>
    <w:rsid w:val="00ED6BE9"/>
    <w:rsid w:val="00ED6D86"/>
    <w:rsid w:val="00ED7031"/>
    <w:rsid w:val="00ED70E3"/>
    <w:rsid w:val="00ED7578"/>
    <w:rsid w:val="00ED7607"/>
    <w:rsid w:val="00ED7DAF"/>
    <w:rsid w:val="00EE2309"/>
    <w:rsid w:val="00EE28EB"/>
    <w:rsid w:val="00EE3060"/>
    <w:rsid w:val="00EE4315"/>
    <w:rsid w:val="00EE79BE"/>
    <w:rsid w:val="00EF1A81"/>
    <w:rsid w:val="00EF21F0"/>
    <w:rsid w:val="00EF3443"/>
    <w:rsid w:val="00EF3602"/>
    <w:rsid w:val="00EF49E2"/>
    <w:rsid w:val="00EF51A0"/>
    <w:rsid w:val="00EF530B"/>
    <w:rsid w:val="00EF6925"/>
    <w:rsid w:val="00EF7D17"/>
    <w:rsid w:val="00F002F7"/>
    <w:rsid w:val="00F00956"/>
    <w:rsid w:val="00F00E58"/>
    <w:rsid w:val="00F01532"/>
    <w:rsid w:val="00F017A0"/>
    <w:rsid w:val="00F04B9C"/>
    <w:rsid w:val="00F05465"/>
    <w:rsid w:val="00F05A44"/>
    <w:rsid w:val="00F0636C"/>
    <w:rsid w:val="00F0721A"/>
    <w:rsid w:val="00F105A9"/>
    <w:rsid w:val="00F10B50"/>
    <w:rsid w:val="00F110A5"/>
    <w:rsid w:val="00F117B5"/>
    <w:rsid w:val="00F117E0"/>
    <w:rsid w:val="00F11DD2"/>
    <w:rsid w:val="00F12118"/>
    <w:rsid w:val="00F1458A"/>
    <w:rsid w:val="00F14C5B"/>
    <w:rsid w:val="00F15763"/>
    <w:rsid w:val="00F15AFE"/>
    <w:rsid w:val="00F16444"/>
    <w:rsid w:val="00F165A6"/>
    <w:rsid w:val="00F16E8A"/>
    <w:rsid w:val="00F17B20"/>
    <w:rsid w:val="00F202B7"/>
    <w:rsid w:val="00F2036E"/>
    <w:rsid w:val="00F22D17"/>
    <w:rsid w:val="00F23586"/>
    <w:rsid w:val="00F23DF0"/>
    <w:rsid w:val="00F24B7F"/>
    <w:rsid w:val="00F24FC6"/>
    <w:rsid w:val="00F25FC9"/>
    <w:rsid w:val="00F26067"/>
    <w:rsid w:val="00F2661E"/>
    <w:rsid w:val="00F26C21"/>
    <w:rsid w:val="00F26ED3"/>
    <w:rsid w:val="00F332C0"/>
    <w:rsid w:val="00F36721"/>
    <w:rsid w:val="00F40AA8"/>
    <w:rsid w:val="00F4177C"/>
    <w:rsid w:val="00F4248C"/>
    <w:rsid w:val="00F429F1"/>
    <w:rsid w:val="00F43A47"/>
    <w:rsid w:val="00F44A71"/>
    <w:rsid w:val="00F45E91"/>
    <w:rsid w:val="00F46DD1"/>
    <w:rsid w:val="00F471A5"/>
    <w:rsid w:val="00F475AA"/>
    <w:rsid w:val="00F476B5"/>
    <w:rsid w:val="00F50464"/>
    <w:rsid w:val="00F5340A"/>
    <w:rsid w:val="00F53D0C"/>
    <w:rsid w:val="00F544A4"/>
    <w:rsid w:val="00F5494C"/>
    <w:rsid w:val="00F6159C"/>
    <w:rsid w:val="00F61D35"/>
    <w:rsid w:val="00F62083"/>
    <w:rsid w:val="00F621D4"/>
    <w:rsid w:val="00F62439"/>
    <w:rsid w:val="00F62B7A"/>
    <w:rsid w:val="00F6331A"/>
    <w:rsid w:val="00F634F9"/>
    <w:rsid w:val="00F6397D"/>
    <w:rsid w:val="00F64864"/>
    <w:rsid w:val="00F64989"/>
    <w:rsid w:val="00F65BFB"/>
    <w:rsid w:val="00F65E7B"/>
    <w:rsid w:val="00F66829"/>
    <w:rsid w:val="00F67259"/>
    <w:rsid w:val="00F67531"/>
    <w:rsid w:val="00F67942"/>
    <w:rsid w:val="00F67AAD"/>
    <w:rsid w:val="00F709BC"/>
    <w:rsid w:val="00F70B39"/>
    <w:rsid w:val="00F71497"/>
    <w:rsid w:val="00F72076"/>
    <w:rsid w:val="00F7293E"/>
    <w:rsid w:val="00F72FDE"/>
    <w:rsid w:val="00F749ED"/>
    <w:rsid w:val="00F749FF"/>
    <w:rsid w:val="00F7639D"/>
    <w:rsid w:val="00F76650"/>
    <w:rsid w:val="00F8021F"/>
    <w:rsid w:val="00F8103F"/>
    <w:rsid w:val="00F82EBD"/>
    <w:rsid w:val="00F83824"/>
    <w:rsid w:val="00F86249"/>
    <w:rsid w:val="00F86D1F"/>
    <w:rsid w:val="00F86E37"/>
    <w:rsid w:val="00F9187B"/>
    <w:rsid w:val="00F92385"/>
    <w:rsid w:val="00F9329E"/>
    <w:rsid w:val="00F937A0"/>
    <w:rsid w:val="00F940B6"/>
    <w:rsid w:val="00F94621"/>
    <w:rsid w:val="00F958DE"/>
    <w:rsid w:val="00F972D2"/>
    <w:rsid w:val="00F97B22"/>
    <w:rsid w:val="00FA1008"/>
    <w:rsid w:val="00FA1175"/>
    <w:rsid w:val="00FA1B4F"/>
    <w:rsid w:val="00FA1DED"/>
    <w:rsid w:val="00FA2649"/>
    <w:rsid w:val="00FA2983"/>
    <w:rsid w:val="00FA3CE8"/>
    <w:rsid w:val="00FA4B22"/>
    <w:rsid w:val="00FA52C3"/>
    <w:rsid w:val="00FA5C5A"/>
    <w:rsid w:val="00FA6DF8"/>
    <w:rsid w:val="00FB0824"/>
    <w:rsid w:val="00FB1404"/>
    <w:rsid w:val="00FB3504"/>
    <w:rsid w:val="00FB64A1"/>
    <w:rsid w:val="00FB6B78"/>
    <w:rsid w:val="00FC0E34"/>
    <w:rsid w:val="00FC2792"/>
    <w:rsid w:val="00FC3992"/>
    <w:rsid w:val="00FC39F3"/>
    <w:rsid w:val="00FC3C58"/>
    <w:rsid w:val="00FC3E12"/>
    <w:rsid w:val="00FC47F9"/>
    <w:rsid w:val="00FC5639"/>
    <w:rsid w:val="00FC5CDA"/>
    <w:rsid w:val="00FC667D"/>
    <w:rsid w:val="00FC730A"/>
    <w:rsid w:val="00FD041E"/>
    <w:rsid w:val="00FD116F"/>
    <w:rsid w:val="00FD1172"/>
    <w:rsid w:val="00FD1A62"/>
    <w:rsid w:val="00FD23CF"/>
    <w:rsid w:val="00FD35AE"/>
    <w:rsid w:val="00FD4A4B"/>
    <w:rsid w:val="00FD5100"/>
    <w:rsid w:val="00FD5C2C"/>
    <w:rsid w:val="00FD64D8"/>
    <w:rsid w:val="00FD67C1"/>
    <w:rsid w:val="00FE179F"/>
    <w:rsid w:val="00FE2351"/>
    <w:rsid w:val="00FE2A80"/>
    <w:rsid w:val="00FE3056"/>
    <w:rsid w:val="00FE337D"/>
    <w:rsid w:val="00FE34A1"/>
    <w:rsid w:val="00FE3554"/>
    <w:rsid w:val="00FE39BE"/>
    <w:rsid w:val="00FE3D28"/>
    <w:rsid w:val="00FE4EBB"/>
    <w:rsid w:val="00FE4FD0"/>
    <w:rsid w:val="00FE5580"/>
    <w:rsid w:val="00FE76F6"/>
    <w:rsid w:val="00FF110C"/>
    <w:rsid w:val="00FF275B"/>
    <w:rsid w:val="00FF2BEA"/>
    <w:rsid w:val="00FF3C38"/>
    <w:rsid w:val="00FF50C5"/>
    <w:rsid w:val="00FF5921"/>
    <w:rsid w:val="00FF5DE9"/>
    <w:rsid w:val="00FF66F6"/>
    <w:rsid w:val="00FF6ED4"/>
    <w:rsid w:val="00FF7CA3"/>
    <w:rsid w:val="05FF4E95"/>
    <w:rsid w:val="07E90A22"/>
    <w:rsid w:val="090CBEF4"/>
    <w:rsid w:val="0E571CB6"/>
    <w:rsid w:val="1CED1DDD"/>
    <w:rsid w:val="241E7462"/>
    <w:rsid w:val="24A84E08"/>
    <w:rsid w:val="2789727D"/>
    <w:rsid w:val="2D375F31"/>
    <w:rsid w:val="2FE45651"/>
    <w:rsid w:val="32B783BC"/>
    <w:rsid w:val="34F33D46"/>
    <w:rsid w:val="3B6EA4CD"/>
    <w:rsid w:val="41C6FF4B"/>
    <w:rsid w:val="4596A501"/>
    <w:rsid w:val="5604C512"/>
    <w:rsid w:val="5E8F89BE"/>
    <w:rsid w:val="646807BC"/>
    <w:rsid w:val="6575B1FD"/>
    <w:rsid w:val="67284CDB"/>
    <w:rsid w:val="67425B6F"/>
    <w:rsid w:val="6C2BE3A9"/>
    <w:rsid w:val="6C610087"/>
    <w:rsid w:val="6FBDA6DA"/>
    <w:rsid w:val="723E6C8B"/>
    <w:rsid w:val="72693A15"/>
    <w:rsid w:val="7D6128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09D84"/>
  <w15:chartTrackingRefBased/>
  <w15:docId w15:val="{B035B9AB-3D46-4AA4-836F-64913A9DDD6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76B7"/>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5543CC"/>
    <w:pPr>
      <w:numPr>
        <w:numId w:val="8"/>
      </w:numPr>
      <w:ind w:right="2160"/>
    </w:pPr>
    <w:rPr>
      <w:rFonts w:eastAsiaTheme="majorEastAsia" w:cstheme="majorBidi"/>
      <w:szCs w:val="32"/>
    </w:rPr>
  </w:style>
  <w:style w:type="paragraph" w:styleId="Heading2">
    <w:name w:val="heading 2"/>
    <w:basedOn w:val="Dummy"/>
    <w:next w:val="Standard"/>
    <w:link w:val="Heading2Char"/>
    <w:uiPriority w:val="4"/>
    <w:qFormat/>
    <w:rsid w:val="005543CC"/>
    <w:pPr>
      <w:numPr>
        <w:ilvl w:val="1"/>
        <w:numId w:val="8"/>
      </w:numPr>
      <w:ind w:right="2160"/>
      <w:outlineLvl w:val="1"/>
    </w:pPr>
  </w:style>
  <w:style w:type="paragraph" w:styleId="Heading3">
    <w:name w:val="heading 3"/>
    <w:basedOn w:val="Dummy"/>
    <w:next w:val="Standard"/>
    <w:link w:val="Heading3Char"/>
    <w:uiPriority w:val="4"/>
    <w:qFormat/>
    <w:rsid w:val="005543CC"/>
    <w:pPr>
      <w:numPr>
        <w:ilvl w:val="2"/>
        <w:numId w:val="8"/>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5543CC"/>
    <w:pPr>
      <w:numPr>
        <w:ilvl w:val="3"/>
        <w:numId w:val="8"/>
      </w:numPr>
      <w:ind w:right="2160"/>
      <w:outlineLvl w:val="3"/>
    </w:pPr>
    <w:rPr>
      <w:rFonts w:eastAsiaTheme="majorEastAsia" w:cstheme="majorBidi"/>
      <w:iCs/>
    </w:rPr>
  </w:style>
  <w:style w:type="paragraph" w:styleId="Heading5">
    <w:name w:val="heading 5"/>
    <w:basedOn w:val="Dummy"/>
    <w:next w:val="Standard"/>
    <w:link w:val="Heading5Char"/>
    <w:uiPriority w:val="4"/>
    <w:rsid w:val="005543CC"/>
    <w:pPr>
      <w:numPr>
        <w:ilvl w:val="4"/>
        <w:numId w:val="8"/>
      </w:numPr>
      <w:ind w:right="2160"/>
      <w:outlineLvl w:val="4"/>
    </w:pPr>
    <w:rPr>
      <w:rFonts w:eastAsiaTheme="majorEastAsia" w:cstheme="majorBidi"/>
    </w:rPr>
  </w:style>
  <w:style w:type="paragraph" w:styleId="Heading6">
    <w:name w:val="heading 6"/>
    <w:basedOn w:val="Dummy"/>
    <w:next w:val="Standard"/>
    <w:link w:val="Heading6Char"/>
    <w:uiPriority w:val="4"/>
    <w:rsid w:val="005543CC"/>
    <w:pPr>
      <w:numPr>
        <w:ilvl w:val="5"/>
        <w:numId w:val="8"/>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5543CC"/>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5543CC"/>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5543CC"/>
    <w:rPr>
      <w:rFonts w:ascii="Arial" w:hAnsi="Arial" w:cs="Arial"/>
      <w:b/>
      <w:sz w:val="26"/>
      <w:szCs w:val="26"/>
    </w:rPr>
  </w:style>
  <w:style w:type="character" w:customStyle="1" w:styleId="Heading3Char">
    <w:name w:val="Heading 3 Char"/>
    <w:basedOn w:val="DefaultParagraphFont"/>
    <w:link w:val="Heading3"/>
    <w:uiPriority w:val="4"/>
    <w:rsid w:val="005543CC"/>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5543CC"/>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5543CC"/>
    <w:rPr>
      <w:rFonts w:ascii="Arial" w:eastAsiaTheme="majorEastAsia" w:hAnsi="Arial" w:cstheme="majorBidi"/>
      <w:b/>
      <w:sz w:val="26"/>
      <w:szCs w:val="26"/>
    </w:rPr>
  </w:style>
  <w:style w:type="paragraph" w:customStyle="1" w:styleId="Main">
    <w:name w:val="Main"/>
    <w:next w:val="Normal"/>
    <w:uiPriority w:val="19"/>
    <w:rsid w:val="005543CC"/>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5543CC"/>
    <w:pPr>
      <w:spacing w:line="240" w:lineRule="auto"/>
      <w:ind w:left="864" w:right="720" w:hanging="648"/>
    </w:pPr>
    <w:rPr>
      <w:rFonts w:eastAsiaTheme="minorEastAsia" w:cs="Times New Roman"/>
    </w:rPr>
  </w:style>
  <w:style w:type="paragraph" w:styleId="TOC1">
    <w:name w:val="toc 1"/>
    <w:basedOn w:val="Normal"/>
    <w:next w:val="Normal"/>
    <w:uiPriority w:val="39"/>
    <w:unhideWhenUsed/>
    <w:rsid w:val="005543CC"/>
    <w:pPr>
      <w:spacing w:line="240" w:lineRule="auto"/>
      <w:ind w:left="432" w:right="720" w:hanging="432"/>
    </w:pPr>
    <w:rPr>
      <w:rFonts w:eastAsiaTheme="minorEastAsia" w:cs="Times New Roman"/>
    </w:rPr>
  </w:style>
  <w:style w:type="paragraph" w:styleId="TOC3">
    <w:name w:val="toc 3"/>
    <w:basedOn w:val="Normal"/>
    <w:next w:val="Normal"/>
    <w:uiPriority w:val="39"/>
    <w:unhideWhenUsed/>
    <w:rsid w:val="005543CC"/>
    <w:pPr>
      <w:spacing w:line="240" w:lineRule="auto"/>
      <w:ind w:left="1296" w:right="720"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4904B8"/>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5543CC"/>
    <w:pPr>
      <w:tabs>
        <w:tab w:val="center" w:pos="4680"/>
        <w:tab w:val="right" w:pos="9360"/>
      </w:tabs>
      <w:spacing w:line="240" w:lineRule="auto"/>
    </w:pPr>
  </w:style>
  <w:style w:type="character" w:customStyle="1" w:styleId="FooterChar">
    <w:name w:val="Footer Char"/>
    <w:basedOn w:val="DefaultParagraphFont"/>
    <w:link w:val="Footer"/>
    <w:uiPriority w:val="99"/>
    <w:rsid w:val="005543CC"/>
    <w:rPr>
      <w:rFonts w:ascii="Book Antiqua" w:hAnsi="Book Antiqua"/>
      <w:sz w:val="26"/>
    </w:rPr>
  </w:style>
  <w:style w:type="paragraph" w:customStyle="1" w:styleId="BlockQuote">
    <w:name w:val="Block Quote"/>
    <w:basedOn w:val="Standard"/>
    <w:uiPriority w:val="5"/>
    <w:qFormat/>
    <w:rsid w:val="005543CC"/>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4904B8"/>
    <w:pPr>
      <w:numPr>
        <w:numId w:val="14"/>
      </w:numPr>
    </w:pPr>
  </w:style>
  <w:style w:type="paragraph" w:customStyle="1" w:styleId="CoL">
    <w:name w:val="CoL"/>
    <w:basedOn w:val="Standard"/>
    <w:uiPriority w:val="7"/>
    <w:qFormat/>
    <w:rsid w:val="004904B8"/>
    <w:pPr>
      <w:numPr>
        <w:numId w:val="17"/>
      </w:numPr>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4904B8"/>
    <w:pPr>
      <w:numPr>
        <w:numId w:val="15"/>
      </w:numPr>
    </w:pPr>
  </w:style>
  <w:style w:type="paragraph" w:styleId="BalloonText">
    <w:name w:val="Balloon Text"/>
    <w:basedOn w:val="Normal"/>
    <w:link w:val="BalloonTextChar"/>
    <w:uiPriority w:val="99"/>
    <w:semiHidden/>
    <w:unhideWhenUsed/>
    <w:rsid w:val="005543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CC"/>
    <w:rPr>
      <w:rFonts w:ascii="Segoe UI" w:hAnsi="Segoe UI" w:cs="Segoe UI"/>
      <w:sz w:val="18"/>
      <w:szCs w:val="18"/>
    </w:rPr>
  </w:style>
  <w:style w:type="numbering" w:customStyle="1" w:styleId="Headings">
    <w:name w:val="Headings"/>
    <w:uiPriority w:val="99"/>
    <w:rsid w:val="000E270A"/>
    <w:pPr>
      <w:numPr>
        <w:numId w:val="2"/>
      </w:numPr>
    </w:pPr>
  </w:style>
  <w:style w:type="paragraph" w:customStyle="1" w:styleId="Standard">
    <w:name w:val="Standard"/>
    <w:basedOn w:val="Normal"/>
    <w:qFormat/>
    <w:rsid w:val="005543CC"/>
  </w:style>
  <w:style w:type="paragraph" w:customStyle="1" w:styleId="ListAlpha">
    <w:name w:val="List Alpha"/>
    <w:basedOn w:val="Standard"/>
    <w:uiPriority w:val="4"/>
    <w:qFormat/>
    <w:rsid w:val="000E270A"/>
    <w:pPr>
      <w:numPr>
        <w:ilvl w:val="7"/>
        <w:numId w:val="8"/>
      </w:numPr>
      <w:spacing w:after="120" w:line="240" w:lineRule="auto"/>
    </w:pPr>
  </w:style>
  <w:style w:type="paragraph" w:styleId="ListBullet">
    <w:name w:val="List Bullet"/>
    <w:basedOn w:val="Standard"/>
    <w:uiPriority w:val="4"/>
    <w:qFormat/>
    <w:rsid w:val="009652C8"/>
    <w:pPr>
      <w:numPr>
        <w:numId w:val="9"/>
      </w:numPr>
      <w:spacing w:after="120" w:line="240" w:lineRule="auto"/>
      <w:ind w:right="1440"/>
    </w:pPr>
  </w:style>
  <w:style w:type="character" w:customStyle="1" w:styleId="Heading6Char">
    <w:name w:val="Heading 6 Char"/>
    <w:basedOn w:val="DefaultParagraphFont"/>
    <w:link w:val="Heading6"/>
    <w:uiPriority w:val="4"/>
    <w:rsid w:val="005543CC"/>
    <w:rPr>
      <w:rFonts w:ascii="Arial" w:eastAsiaTheme="majorEastAsia" w:hAnsi="Arial" w:cstheme="majorBidi"/>
      <w:b/>
      <w:sz w:val="26"/>
      <w:szCs w:val="26"/>
    </w:rPr>
  </w:style>
  <w:style w:type="paragraph" w:styleId="TOC4">
    <w:name w:val="toc 4"/>
    <w:basedOn w:val="Normal"/>
    <w:next w:val="Normal"/>
    <w:autoRedefine/>
    <w:uiPriority w:val="39"/>
    <w:unhideWhenUsed/>
    <w:rsid w:val="005543CC"/>
    <w:pPr>
      <w:spacing w:line="240" w:lineRule="auto"/>
      <w:ind w:left="1728" w:right="720" w:hanging="1080"/>
    </w:pPr>
  </w:style>
  <w:style w:type="paragraph" w:styleId="TOC5">
    <w:name w:val="toc 5"/>
    <w:basedOn w:val="Normal"/>
    <w:next w:val="Normal"/>
    <w:autoRedefine/>
    <w:uiPriority w:val="39"/>
    <w:unhideWhenUsed/>
    <w:rsid w:val="005543CC"/>
    <w:pPr>
      <w:spacing w:line="240" w:lineRule="auto"/>
      <w:ind w:left="2160" w:right="720" w:hanging="1296"/>
    </w:pPr>
  </w:style>
  <w:style w:type="paragraph" w:styleId="TOC6">
    <w:name w:val="toc 6"/>
    <w:basedOn w:val="Normal"/>
    <w:next w:val="Normal"/>
    <w:autoRedefine/>
    <w:uiPriority w:val="39"/>
    <w:unhideWhenUsed/>
    <w:rsid w:val="005543CC"/>
    <w:pPr>
      <w:spacing w:line="240" w:lineRule="auto"/>
      <w:ind w:left="2592" w:right="720"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B95F7F"/>
    <w:pPr>
      <w:numPr>
        <w:ilvl w:val="6"/>
        <w:numId w:val="8"/>
      </w:numPr>
      <w:spacing w:after="120" w:line="240" w:lineRule="auto"/>
      <w:ind w:right="1440"/>
    </w:pPr>
  </w:style>
  <w:style w:type="character" w:styleId="CommentReference">
    <w:name w:val="annotation reference"/>
    <w:basedOn w:val="DefaultParagraphFont"/>
    <w:uiPriority w:val="99"/>
    <w:semiHidden/>
    <w:unhideWhenUsed/>
    <w:rsid w:val="00775CC0"/>
    <w:rPr>
      <w:sz w:val="16"/>
      <w:szCs w:val="16"/>
    </w:rPr>
  </w:style>
  <w:style w:type="paragraph" w:styleId="CommentText">
    <w:name w:val="annotation text"/>
    <w:basedOn w:val="Normal"/>
    <w:link w:val="CommentTextChar"/>
    <w:uiPriority w:val="99"/>
    <w:unhideWhenUsed/>
    <w:rsid w:val="00775CC0"/>
    <w:pPr>
      <w:spacing w:line="240" w:lineRule="auto"/>
    </w:pPr>
    <w:rPr>
      <w:sz w:val="20"/>
      <w:szCs w:val="20"/>
    </w:rPr>
  </w:style>
  <w:style w:type="character" w:customStyle="1" w:styleId="CommentTextChar">
    <w:name w:val="Comment Text Char"/>
    <w:basedOn w:val="DefaultParagraphFont"/>
    <w:link w:val="CommentText"/>
    <w:uiPriority w:val="99"/>
    <w:rsid w:val="00775CC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75CC0"/>
    <w:rPr>
      <w:b/>
      <w:bCs/>
    </w:rPr>
  </w:style>
  <w:style w:type="character" w:customStyle="1" w:styleId="CommentSubjectChar">
    <w:name w:val="Comment Subject Char"/>
    <w:basedOn w:val="CommentTextChar"/>
    <w:link w:val="CommentSubject"/>
    <w:uiPriority w:val="99"/>
    <w:semiHidden/>
    <w:rsid w:val="00775CC0"/>
    <w:rPr>
      <w:rFonts w:ascii="Book Antiqua" w:hAnsi="Book Antiqua"/>
      <w:b/>
      <w:bCs/>
      <w:sz w:val="20"/>
      <w:szCs w:val="20"/>
    </w:rPr>
  </w:style>
  <w:style w:type="paragraph" w:styleId="BodyText">
    <w:name w:val="Body Text"/>
    <w:basedOn w:val="Normal"/>
    <w:link w:val="BodyTextChar"/>
    <w:uiPriority w:val="1"/>
    <w:qFormat/>
    <w:rsid w:val="00DB2493"/>
    <w:pPr>
      <w:widowControl w:val="0"/>
      <w:autoSpaceDE w:val="0"/>
      <w:autoSpaceDN w:val="0"/>
      <w:spacing w:line="240" w:lineRule="auto"/>
      <w:ind w:left="200" w:firstLine="0"/>
    </w:pPr>
    <w:rPr>
      <w:rFonts w:eastAsia="Book Antiqua" w:cs="Book Antiqua"/>
      <w:szCs w:val="26"/>
    </w:rPr>
  </w:style>
  <w:style w:type="character" w:customStyle="1" w:styleId="BodyTextChar">
    <w:name w:val="Body Text Char"/>
    <w:basedOn w:val="DefaultParagraphFont"/>
    <w:link w:val="BodyText"/>
    <w:uiPriority w:val="1"/>
    <w:rsid w:val="00DB2493"/>
    <w:rPr>
      <w:rFonts w:ascii="Book Antiqua" w:eastAsia="Book Antiqua" w:hAnsi="Book Antiqua" w:cs="Book Antiqua"/>
      <w:sz w:val="26"/>
      <w:szCs w:val="26"/>
    </w:rPr>
  </w:style>
  <w:style w:type="paragraph" w:styleId="Revision">
    <w:name w:val="Revision"/>
    <w:hidden/>
    <w:uiPriority w:val="99"/>
    <w:semiHidden/>
    <w:rsid w:val="002D0BD5"/>
    <w:pPr>
      <w:spacing w:after="0" w:line="240" w:lineRule="auto"/>
    </w:pPr>
    <w:rPr>
      <w:rFonts w:ascii="Book Antiqua" w:hAnsi="Book Antiqua"/>
      <w:sz w:val="26"/>
    </w:rPr>
  </w:style>
  <w:style w:type="paragraph" w:styleId="TOC7">
    <w:name w:val="toc 7"/>
    <w:basedOn w:val="Normal"/>
    <w:uiPriority w:val="1"/>
    <w:qFormat/>
    <w:rsid w:val="00C41922"/>
    <w:pPr>
      <w:widowControl w:val="0"/>
      <w:autoSpaceDE w:val="0"/>
      <w:autoSpaceDN w:val="0"/>
      <w:spacing w:line="240" w:lineRule="auto"/>
      <w:ind w:left="2380" w:firstLine="0"/>
    </w:pPr>
    <w:rPr>
      <w:rFonts w:ascii="Times New Roman" w:eastAsia="Times New Roman" w:hAnsi="Times New Roman" w:cs="Times New Roman"/>
      <w:sz w:val="24"/>
      <w:szCs w:val="24"/>
    </w:rPr>
  </w:style>
  <w:style w:type="paragraph" w:styleId="ListParagraph">
    <w:name w:val="List Paragraph"/>
    <w:basedOn w:val="Normal"/>
    <w:uiPriority w:val="1"/>
    <w:qFormat/>
    <w:rsid w:val="00DC3A51"/>
    <w:pPr>
      <w:widowControl w:val="0"/>
      <w:autoSpaceDE w:val="0"/>
      <w:autoSpaceDN w:val="0"/>
      <w:spacing w:after="120" w:line="240" w:lineRule="auto"/>
      <w:ind w:left="1080" w:right="1440" w:hanging="360"/>
    </w:pPr>
    <w:rPr>
      <w:rFonts w:ascii="Times New Roman" w:eastAsia="Times New Roman" w:hAnsi="Times New Roman" w:cs="Times New Roman"/>
      <w:sz w:val="22"/>
    </w:rPr>
  </w:style>
  <w:style w:type="paragraph" w:customStyle="1" w:styleId="TableParagraph">
    <w:name w:val="Table Paragraph"/>
    <w:basedOn w:val="Normal"/>
    <w:uiPriority w:val="1"/>
    <w:qFormat/>
    <w:rsid w:val="00C41922"/>
    <w:pPr>
      <w:widowControl w:val="0"/>
      <w:autoSpaceDE w:val="0"/>
      <w:autoSpaceDN w:val="0"/>
      <w:spacing w:line="240" w:lineRule="auto"/>
      <w:ind w:left="50" w:firstLine="0"/>
    </w:pPr>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FA4B22"/>
    <w:rPr>
      <w:color w:val="605E5C"/>
      <w:shd w:val="clear" w:color="auto" w:fill="E1DFDD"/>
    </w:rPr>
  </w:style>
  <w:style w:type="character" w:styleId="Mention">
    <w:name w:val="Mention"/>
    <w:basedOn w:val="DefaultParagraphFont"/>
    <w:uiPriority w:val="99"/>
    <w:unhideWhenUsed/>
    <w:rsid w:val="006D08FD"/>
    <w:rPr>
      <w:color w:val="2B579A"/>
      <w:shd w:val="clear" w:color="auto" w:fill="E1DFDD"/>
    </w:rPr>
  </w:style>
  <w:style w:type="paragraph" w:customStyle="1" w:styleId="SigBlockBA-Cmr">
    <w:name w:val="SigBlockBA-Cmr"/>
    <w:basedOn w:val="Normal"/>
    <w:qFormat/>
    <w:rsid w:val="00122AE5"/>
    <w:pPr>
      <w:keepNext/>
      <w:autoSpaceDE w:val="0"/>
      <w:autoSpaceDN w:val="0"/>
      <w:adjustRightInd w:val="0"/>
      <w:spacing w:line="240" w:lineRule="auto"/>
      <w:ind w:left="4320" w:firstLine="0"/>
    </w:pPr>
    <w:rPr>
      <w:rFonts w:eastAsia="Times New Roman" w:cs="Times New Roman"/>
      <w:szCs w:val="20"/>
    </w:rPr>
  </w:style>
  <w:style w:type="paragraph" w:customStyle="1" w:styleId="SigBlockBA-Title">
    <w:name w:val="SigBlockBA-Title"/>
    <w:basedOn w:val="Normal"/>
    <w:qFormat/>
    <w:rsid w:val="00122AE5"/>
    <w:pPr>
      <w:keepNext/>
      <w:autoSpaceDE w:val="0"/>
      <w:autoSpaceDN w:val="0"/>
      <w:adjustRightInd w:val="0"/>
      <w:spacing w:line="240" w:lineRule="auto"/>
      <w:ind w:left="5400" w:firstLine="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110">
      <w:bodyDiv w:val="1"/>
      <w:marLeft w:val="0"/>
      <w:marRight w:val="0"/>
      <w:marTop w:val="0"/>
      <w:marBottom w:val="0"/>
      <w:divBdr>
        <w:top w:val="none" w:sz="0" w:space="0" w:color="auto"/>
        <w:left w:val="none" w:sz="0" w:space="0" w:color="auto"/>
        <w:bottom w:val="none" w:sz="0" w:space="0" w:color="auto"/>
        <w:right w:val="none" w:sz="0" w:space="0" w:color="auto"/>
      </w:divBdr>
    </w:div>
    <w:div w:id="234050233">
      <w:bodyDiv w:val="1"/>
      <w:marLeft w:val="0"/>
      <w:marRight w:val="0"/>
      <w:marTop w:val="0"/>
      <w:marBottom w:val="0"/>
      <w:divBdr>
        <w:top w:val="none" w:sz="0" w:space="0" w:color="auto"/>
        <w:left w:val="none" w:sz="0" w:space="0" w:color="auto"/>
        <w:bottom w:val="none" w:sz="0" w:space="0" w:color="auto"/>
        <w:right w:val="none" w:sz="0" w:space="0" w:color="auto"/>
      </w:divBdr>
    </w:div>
    <w:div w:id="840004558">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oter" Target="footer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docs.cpuc.ca.gov/PublishedDocs/Published/G000/M530/K179/530179502.docx" TargetMode="External" Id="R37186ee45f9840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F2F3AA19FF9418516062AF11C0ACF" ma:contentTypeVersion="16" ma:contentTypeDescription="Create a new document." ma:contentTypeScope="" ma:versionID="a27578060d1acfa04e8e1a454f565535">
  <xsd:schema xmlns:xsd="http://www.w3.org/2001/XMLSchema" xmlns:xs="http://www.w3.org/2001/XMLSchema" xmlns:p="http://schemas.microsoft.com/office/2006/metadata/properties" xmlns:ns2="8114c60f-d572-43b4-ba5f-295801837341" xmlns:ns3="0db3a248-2f3b-4e14-a06e-708bd1cc474a" targetNamespace="http://schemas.microsoft.com/office/2006/metadata/properties" ma:root="true" ma:fieldsID="5476a9bf8491842464712974df1cf1b2" ns2:_="" ns3:_="">
    <xsd:import namespace="8114c60f-d572-43b4-ba5f-295801837341"/>
    <xsd:import namespace="0db3a248-2f3b-4e14-a06e-708bd1cc47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60f-d572-43b4-ba5f-2958018373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468275ae-ef1e-40ba-9e1a-f8e2345e05de}" ma:internalName="TaxCatchAll" ma:showField="CatchAllData" ma:web="8114c60f-d572-43b4-ba5f-2958018373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b3a248-2f3b-4e14-a06e-708bd1cc47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114c60f-d572-43b4-ba5f-295801837341">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TaxCatchAll xmlns="8114c60f-d572-43b4-ba5f-295801837341" xsi:nil="true"/>
    <lcf76f155ced4ddcb4097134ff3c332f xmlns="0db3a248-2f3b-4e14-a06e-708bd1cc47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1B6B2E-5141-45B2-B286-4455DC7C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60f-d572-43b4-ba5f-295801837341"/>
    <ds:schemaRef ds:uri="0db3a248-2f3b-4e14-a06e-708bd1cc4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3.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4.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8114c60f-d572-43b4-ba5f-295801837341"/>
    <ds:schemaRef ds:uri="0db3a248-2f3b-4e14-a06e-708bd1cc474a"/>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100</ap:Pages>
  <ap:Words>23923</ap:Words>
  <ap:Characters>136364</ap:Characters>
  <ap:Application>Microsoft Office Word</ap:Application>
  <ap:DocSecurity>0</ap:DocSecurity>
  <ap:Lines>1136</ap:Lines>
  <ap:Paragraphs>319</ap:Paragraphs>
  <ap:ScaleCrop>false</ap:ScaleCrop>
  <ap:HeadingPairs>
    <vt:vector baseType="variant" size="4">
      <vt:variant>
        <vt:lpstr>Title</vt:lpstr>
      </vt:variant>
      <vt:variant>
        <vt:i4>1</vt:i4>
      </vt:variant>
      <vt:variant>
        <vt:lpstr>Headings</vt:lpstr>
      </vt:variant>
      <vt:variant>
        <vt:i4>27</vt:i4>
      </vt:variant>
    </vt:vector>
  </ap:HeadingPairs>
  <ap:TitlesOfParts>
    <vt:vector baseType="lpstr" size="28">
      <vt:lpstr/>
      <vt:lpstr>DECISION GRANTING JOINT APPLICATION OF HORIZON WEST TRANSMISSION, LLC AND PACIFI</vt:lpstr>
      <vt:lpstr>Summary</vt:lpstr>
      <vt:lpstr>Background</vt:lpstr>
      <vt:lpstr>    Procedural Background</vt:lpstr>
      <vt:lpstr>    Proposed Project (As Proposed)</vt:lpstr>
      <vt:lpstr>    Submission Date</vt:lpstr>
      <vt:lpstr>Legal Framework </vt:lpstr>
      <vt:lpstr>Issues Before the Commission</vt:lpstr>
      <vt:lpstr>Project Components</vt:lpstr>
      <vt:lpstr>    Project Component 1 - Estrella Substation</vt:lpstr>
      <vt:lpstr>    Project Component 2 - New 70 kV Power Line Segment</vt:lpstr>
      <vt:lpstr>    Project Component 3 - 70 kV Line Reconductoring Segment</vt:lpstr>
      <vt:lpstr>    Project Component 4 - Reasonably Foreseeable Distribution Components</vt:lpstr>
      <vt:lpstr>CEQA Compliance</vt:lpstr>
      <vt:lpstr>    Procedural Compliance</vt:lpstr>
      <vt:lpstr>    Project Alternatives Consideration</vt:lpstr>
      <vt:lpstr>        No Project Alternative</vt:lpstr>
      <vt:lpstr>        Alternative Combinations</vt:lpstr>
      <vt:lpstr>    Environmentally Superior Alternative - Alternative Combination #2</vt:lpstr>
      <vt:lpstr>    Reasonably Foreseeable Project Components</vt:lpstr>
      <vt:lpstr>    Briefs Filed in the Proceeding</vt:lpstr>
      <vt:lpstr>    Significant Environmental Impacts </vt:lpstr>
      <vt:lpstr>    Significant Unavoidable Impacts </vt:lpstr>
      <vt:lpstr>    CURE’s Arguments</vt:lpstr>
      <vt:lpstr>        Reasonable Range of Alternatives Argument </vt:lpstr>
      <vt:lpstr>        Project Impact Reduction Argument</vt:lpstr>
      <vt:lpstr>        FEIR Inadequacy Argument </vt:lpstr>
    </vt:vector>
  </ap:TitlesOfParts>
  <ap:Company/>
  <ap:LinksUpToDate>false</ap:LinksUpToDate>
  <ap:CharactersWithSpaces>159968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2024-04-15T21:53:00Z</cp:lastPrinted>
  <dcterms:created xsi:type="dcterms:W3CDTF">2024-04-23T15:39:55Z</dcterms:created>
  <dcterms:modified xsi:type="dcterms:W3CDTF">2024-04-23T15:39:55Z</dcterms:modified>
</cp:coreProperties>
</file>