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82D0C" w:rsidP="006E508A" w:rsidRDefault="00E82D0C" w14:paraId="5CE1FBDC" w14:textId="017B35BC">
      <w:pPr>
        <w:tabs>
          <w:tab w:val="center" w:pos="4680"/>
          <w:tab w:val="right" w:pos="9360"/>
        </w:tabs>
        <w:suppressAutoHyphens/>
        <w:rPr>
          <w:b/>
          <w:bCs/>
          <w:color w:val="000000"/>
        </w:rPr>
      </w:pPr>
      <w:r>
        <w:rPr>
          <w:color w:val="000000"/>
        </w:rPr>
        <w:t>ALJ/CR2/jnf</w:t>
      </w:r>
      <w:r>
        <w:rPr>
          <w:color w:val="000000"/>
        </w:rPr>
        <w:tab/>
      </w:r>
      <w:r>
        <w:rPr>
          <w:b/>
          <w:bCs/>
          <w:color w:val="000000"/>
        </w:rPr>
        <w:tab/>
      </w:r>
      <w:r w:rsidR="006E508A">
        <w:rPr>
          <w:b/>
          <w:bCs/>
          <w:color w:val="000000"/>
        </w:rPr>
        <w:t>Date of Issuance 4/22/2024</w:t>
      </w:r>
    </w:p>
    <w:p w:rsidR="00E82D0C" w:rsidP="00717CC2" w:rsidRDefault="00E82D0C" w14:paraId="276E9133" w14:textId="0CB1D8FB">
      <w:pPr>
        <w:suppressAutoHyphens/>
        <w:jc w:val="right"/>
        <w:rPr>
          <w:b/>
          <w:bCs/>
          <w:color w:val="000000"/>
        </w:rPr>
      </w:pPr>
    </w:p>
    <w:p w:rsidR="00717CC2" w:rsidP="00717CC2" w:rsidRDefault="00717CC2" w14:paraId="2CE90AE4" w14:textId="77777777">
      <w:pPr>
        <w:suppressAutoHyphens/>
        <w:spacing w:line="360" w:lineRule="auto"/>
        <w:jc w:val="right"/>
        <w:rPr>
          <w:b/>
          <w:bCs/>
          <w:color w:val="000000"/>
        </w:rPr>
      </w:pPr>
    </w:p>
    <w:p w:rsidRPr="00570C77" w:rsidR="00A92D0B" w:rsidRDefault="00A92D0B" w14:paraId="5BDA9FD4" w14:textId="68846362">
      <w:pPr>
        <w:suppressAutoHyphens/>
        <w:rPr>
          <w:b/>
          <w:bCs/>
          <w:color w:val="000000"/>
        </w:rPr>
      </w:pPr>
      <w:r w:rsidRPr="007F620E">
        <w:rPr>
          <w:color w:val="000000"/>
        </w:rPr>
        <w:t>Decision</w:t>
      </w:r>
      <w:r w:rsidR="006E508A">
        <w:rPr>
          <w:color w:val="000000"/>
        </w:rPr>
        <w:t> 24-04-027  April 18, 2024</w:t>
      </w:r>
    </w:p>
    <w:p w:rsidRPr="00570C77" w:rsidR="00A92D0B" w:rsidP="0089082D" w:rsidRDefault="00A92D0B" w14:paraId="6D327C87" w14:textId="77777777">
      <w:pPr>
        <w:pStyle w:val="titlebar"/>
        <w:rPr>
          <w:rFonts w:ascii="Times New Roman" w:hAnsi="Times New Roman"/>
          <w:bCs/>
          <w:color w:val="000000"/>
          <w:sz w:val="24"/>
          <w:szCs w:val="24"/>
        </w:rPr>
      </w:pPr>
    </w:p>
    <w:p w:rsidRPr="007F620E" w:rsidR="00A92D0B" w:rsidRDefault="00A92D0B" w14:paraId="44E03231" w14:textId="77777777">
      <w:pPr>
        <w:pStyle w:val="titlebar"/>
        <w:rPr>
          <w:rFonts w:ascii="Times New Roman" w:hAnsi="Times New Roman"/>
          <w:color w:val="000000"/>
          <w:sz w:val="24"/>
          <w:szCs w:val="24"/>
        </w:rPr>
      </w:pPr>
    </w:p>
    <w:p w:rsidRPr="007F620E" w:rsidR="00A92D0B" w:rsidRDefault="00A92D0B" w14:paraId="67F2520C" w14:textId="77777777">
      <w:pPr>
        <w:pStyle w:val="titlebar"/>
        <w:rPr>
          <w:rFonts w:ascii="Times New Roman" w:hAnsi="Times New Roman"/>
          <w:color w:val="000000"/>
          <w:sz w:val="24"/>
          <w:szCs w:val="24"/>
        </w:rPr>
      </w:pPr>
      <w:r w:rsidRPr="007F620E">
        <w:rPr>
          <w:rFonts w:ascii="Times New Roman" w:hAnsi="Times New Roman"/>
          <w:color w:val="000000"/>
          <w:sz w:val="24"/>
          <w:szCs w:val="24"/>
        </w:rPr>
        <w:t>BEFORE THE PUBLIC UTILITIES COMMISSION OF THE STATE OF CALIFORNIA</w:t>
      </w:r>
    </w:p>
    <w:p w:rsidRPr="007F620E" w:rsidR="00A92D0B" w:rsidRDefault="00A92D0B" w14:paraId="564284CD" w14:textId="77777777">
      <w:pPr>
        <w:suppressAutoHyphens/>
        <w:rPr>
          <w:color w:val="000000"/>
        </w:rPr>
      </w:pPr>
    </w:p>
    <w:tbl>
      <w:tblPr>
        <w:tblW w:w="9360" w:type="dxa"/>
        <w:shd w:val="clear" w:color="auto" w:fill="CCFFCC"/>
        <w:tblLayout w:type="fixed"/>
        <w:tblLook w:val="0000" w:firstRow="0" w:lastRow="0" w:firstColumn="0" w:lastColumn="0" w:noHBand="0" w:noVBand="0"/>
      </w:tblPr>
      <w:tblGrid>
        <w:gridCol w:w="4585"/>
        <w:gridCol w:w="4775"/>
      </w:tblGrid>
      <w:tr w:rsidRPr="007F620E" w:rsidR="00A92D0B" w:rsidTr="00570C77" w14:paraId="3942D7B4" w14:textId="77777777">
        <w:tc>
          <w:tcPr>
            <w:tcW w:w="4585" w:type="dxa"/>
            <w:tcBorders>
              <w:bottom w:val="single" w:color="auto" w:sz="4" w:space="0"/>
              <w:right w:val="single" w:color="auto" w:sz="4" w:space="0"/>
            </w:tcBorders>
            <w:shd w:val="clear" w:color="auto" w:fill="auto"/>
            <w:vAlign w:val="center"/>
          </w:tcPr>
          <w:p w:rsidRPr="00B95100" w:rsidR="00B95100" w:rsidP="00B95100" w:rsidRDefault="007C47BB" w14:paraId="4D1D6B76" w14:textId="6D3A7D85">
            <w:pPr>
              <w:tabs>
                <w:tab w:val="left" w:pos="1440"/>
                <w:tab w:val="left" w:pos="3600"/>
              </w:tabs>
              <w:rPr>
                <w:color w:val="000000"/>
              </w:rPr>
            </w:pPr>
            <w:r>
              <w:rPr>
                <w:color w:val="000000"/>
              </w:rPr>
              <w:t>Application of Pacific Gas and Electric Company for Approval of its Electric Vehicle Charge 2 Program</w:t>
            </w:r>
            <w:r w:rsidR="00570C77">
              <w:rPr>
                <w:color w:val="000000"/>
              </w:rPr>
              <w:t>.</w:t>
            </w:r>
            <w:r>
              <w:rPr>
                <w:color w:val="000000"/>
              </w:rPr>
              <w:t xml:space="preserve"> </w:t>
            </w:r>
            <w:r w:rsidR="00570C77">
              <w:rPr>
                <w:color w:val="000000"/>
              </w:rPr>
              <w:t xml:space="preserve"> </w:t>
            </w:r>
            <w:r>
              <w:rPr>
                <w:color w:val="000000"/>
              </w:rPr>
              <w:t>(U39E</w:t>
            </w:r>
            <w:r w:rsidR="00570C77">
              <w:rPr>
                <w:color w:val="000000"/>
              </w:rPr>
              <w:t>.</w:t>
            </w:r>
            <w:r>
              <w:rPr>
                <w:color w:val="000000"/>
              </w:rPr>
              <w:t>)</w:t>
            </w:r>
          </w:p>
          <w:p w:rsidRPr="007F620E" w:rsidR="00A92D0B" w:rsidRDefault="00A92D0B" w14:paraId="47850BD9" w14:textId="77777777">
            <w:pPr>
              <w:rPr>
                <w:color w:val="000000"/>
              </w:rPr>
            </w:pPr>
          </w:p>
        </w:tc>
        <w:tc>
          <w:tcPr>
            <w:tcW w:w="4775" w:type="dxa"/>
            <w:tcBorders>
              <w:left w:val="single" w:color="auto" w:sz="4" w:space="0"/>
            </w:tcBorders>
            <w:shd w:val="clear" w:color="auto" w:fill="auto"/>
            <w:vAlign w:val="center"/>
          </w:tcPr>
          <w:p w:rsidRPr="007F620E" w:rsidR="00A92D0B" w:rsidP="00570C77" w:rsidRDefault="007C47BB" w14:paraId="7EC7277D" w14:textId="3F22ACFC">
            <w:pPr>
              <w:tabs>
                <w:tab w:val="left" w:pos="1440"/>
                <w:tab w:val="left" w:pos="3600"/>
              </w:tabs>
              <w:jc w:val="center"/>
              <w:rPr>
                <w:color w:val="000000"/>
              </w:rPr>
            </w:pPr>
            <w:r>
              <w:rPr>
                <w:color w:val="000000"/>
              </w:rPr>
              <w:t>Application</w:t>
            </w:r>
            <w:r w:rsidR="00570C77">
              <w:rPr>
                <w:color w:val="000000"/>
              </w:rPr>
              <w:t> </w:t>
            </w:r>
            <w:r>
              <w:rPr>
                <w:color w:val="000000"/>
              </w:rPr>
              <w:t>2</w:t>
            </w:r>
            <w:r w:rsidRPr="00B95100" w:rsidR="00B95100">
              <w:rPr>
                <w:color w:val="000000"/>
              </w:rPr>
              <w:t>1-</w:t>
            </w:r>
            <w:r w:rsidR="007320EA">
              <w:rPr>
                <w:color w:val="000000"/>
              </w:rPr>
              <w:t>1</w:t>
            </w:r>
            <w:r>
              <w:rPr>
                <w:color w:val="000000"/>
              </w:rPr>
              <w:t>0</w:t>
            </w:r>
            <w:r w:rsidRPr="00B95100" w:rsidR="00B95100">
              <w:rPr>
                <w:color w:val="000000"/>
              </w:rPr>
              <w:t>-0</w:t>
            </w:r>
            <w:r>
              <w:rPr>
                <w:color w:val="000000"/>
              </w:rPr>
              <w:t>1</w:t>
            </w:r>
            <w:r w:rsidRPr="00B95100" w:rsidR="00B95100">
              <w:rPr>
                <w:color w:val="000000"/>
              </w:rPr>
              <w:t>0</w:t>
            </w:r>
          </w:p>
        </w:tc>
      </w:tr>
    </w:tbl>
    <w:p w:rsidR="001C3872" w:rsidRDefault="001C3872" w14:paraId="2A6D0721" w14:textId="77777777">
      <w:pPr>
        <w:jc w:val="center"/>
        <w:rPr>
          <w:b/>
          <w:color w:val="000000"/>
        </w:rPr>
      </w:pPr>
    </w:p>
    <w:p w:rsidRPr="007F620E" w:rsidR="00570C77" w:rsidRDefault="00570C77" w14:paraId="050CA70D" w14:textId="77777777">
      <w:pPr>
        <w:jc w:val="center"/>
        <w:rPr>
          <w:b/>
          <w:color w:val="000000"/>
        </w:rPr>
      </w:pPr>
    </w:p>
    <w:p w:rsidRPr="00F0294C" w:rsidR="00A92D0B" w:rsidP="00F0294C" w:rsidRDefault="00A92D0B" w14:paraId="17BB0C52" w14:textId="21F7F6CC">
      <w:pPr>
        <w:pStyle w:val="Dummy"/>
        <w:spacing w:after="0"/>
        <w:jc w:val="center"/>
        <w:rPr>
          <w:rFonts w:ascii="Times New Roman" w:hAnsi="Times New Roman" w:cs="Times New Roman"/>
        </w:rPr>
      </w:pPr>
      <w:r w:rsidRPr="00F0294C">
        <w:rPr>
          <w:rFonts w:ascii="Times New Roman" w:hAnsi="Times New Roman" w:cs="Times New Roman"/>
        </w:rPr>
        <w:t>DECISION</w:t>
      </w:r>
      <w:r w:rsidRPr="00F0294C" w:rsidR="00570C77">
        <w:rPr>
          <w:rFonts w:ascii="Times New Roman" w:hAnsi="Times New Roman" w:cs="Times New Roman"/>
        </w:rPr>
        <w:t xml:space="preserve"> GRANTING COMPENSATION TO THE</w:t>
      </w:r>
      <w:r w:rsidRPr="00F0294C" w:rsidR="00570C77">
        <w:rPr>
          <w:rFonts w:ascii="Times New Roman" w:hAnsi="Times New Roman" w:cs="Times New Roman"/>
        </w:rPr>
        <w:br/>
      </w:r>
      <w:r w:rsidRPr="00F0294C" w:rsidR="00C01C13">
        <w:rPr>
          <w:rFonts w:ascii="Times New Roman" w:hAnsi="Times New Roman" w:cs="Times New Roman"/>
        </w:rPr>
        <w:t>GREEN POWER INSTITUTE</w:t>
      </w:r>
      <w:r w:rsidRPr="00F0294C" w:rsidR="00570C77">
        <w:rPr>
          <w:rFonts w:ascii="Times New Roman" w:hAnsi="Times New Roman" w:cs="Times New Roman"/>
        </w:rPr>
        <w:t xml:space="preserve"> FOR SUBSTANTIAL</w:t>
      </w:r>
      <w:r w:rsidRPr="00F0294C" w:rsidR="00570C77">
        <w:rPr>
          <w:rFonts w:ascii="Times New Roman" w:hAnsi="Times New Roman" w:cs="Times New Roman"/>
        </w:rPr>
        <w:br/>
        <w:t>CONTRIBUTION TO DECISION 22-12-054</w:t>
      </w:r>
    </w:p>
    <w:p w:rsidR="00A92D0B" w:rsidRDefault="00A92D0B" w14:paraId="4BEAFF75" w14:textId="77777777">
      <w:pPr>
        <w:suppressAutoHyphens/>
        <w:rPr>
          <w:color w:val="000000"/>
        </w:rPr>
      </w:pPr>
    </w:p>
    <w:p w:rsidRPr="007F620E" w:rsidR="00570C77" w:rsidRDefault="00570C77" w14:paraId="31864831" w14:textId="77777777">
      <w:pPr>
        <w:suppressAutoHyphens/>
        <w:rPr>
          <w:color w:val="000000"/>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78"/>
        <w:gridCol w:w="4982"/>
      </w:tblGrid>
      <w:tr w:rsidRPr="007F620E" w:rsidR="00A92D0B" w:rsidTr="00570C77" w14:paraId="0FE98F62" w14:textId="77777777">
        <w:tc>
          <w:tcPr>
            <w:tcW w:w="4585" w:type="dxa"/>
            <w:shd w:val="clear" w:color="auto" w:fill="auto"/>
          </w:tcPr>
          <w:p w:rsidRPr="00691528" w:rsidR="00A92D0B" w:rsidP="00570C77" w:rsidRDefault="005A63D4" w14:paraId="11570D4A" w14:textId="7D4282A8">
            <w:pPr>
              <w:tabs>
                <w:tab w:val="left" w:pos="1620"/>
                <w:tab w:val="right" w:pos="4500"/>
              </w:tabs>
              <w:spacing w:before="40" w:after="40"/>
              <w:rPr>
                <w:color w:val="000000"/>
              </w:rPr>
            </w:pPr>
            <w:r w:rsidRPr="007F620E">
              <w:rPr>
                <w:b/>
                <w:color w:val="000000"/>
              </w:rPr>
              <w:t>Intervenor</w:t>
            </w:r>
            <w:r w:rsidRPr="007F620E" w:rsidR="00F63C29">
              <w:rPr>
                <w:b/>
                <w:color w:val="000000"/>
              </w:rPr>
              <w:t>:</w:t>
            </w:r>
            <w:r w:rsidR="00691528">
              <w:rPr>
                <w:b/>
                <w:color w:val="000000"/>
              </w:rPr>
              <w:t xml:space="preserve"> </w:t>
            </w:r>
            <w:r w:rsidR="008601C8">
              <w:rPr>
                <w:b/>
                <w:color w:val="000000"/>
              </w:rPr>
              <w:t xml:space="preserve"> </w:t>
            </w:r>
            <w:r w:rsidRPr="00112AFD" w:rsidR="00B95100">
              <w:rPr>
                <w:bCs/>
                <w:color w:val="000000"/>
              </w:rPr>
              <w:t>Green Power Institute</w:t>
            </w:r>
          </w:p>
        </w:tc>
        <w:tc>
          <w:tcPr>
            <w:tcW w:w="5243" w:type="dxa"/>
            <w:shd w:val="clear" w:color="auto" w:fill="auto"/>
          </w:tcPr>
          <w:p w:rsidRPr="007F620E" w:rsidR="00A92D0B" w:rsidP="00570C77" w:rsidRDefault="00A92D0B" w14:paraId="53A584EE" w14:textId="47C0C9BC">
            <w:pPr>
              <w:tabs>
                <w:tab w:val="left" w:pos="1872"/>
                <w:tab w:val="right" w:pos="3672"/>
              </w:tabs>
              <w:spacing w:before="40" w:after="40"/>
              <w:rPr>
                <w:b/>
                <w:color w:val="000000"/>
              </w:rPr>
            </w:pPr>
            <w:r w:rsidRPr="007F620E">
              <w:rPr>
                <w:b/>
                <w:color w:val="000000"/>
              </w:rPr>
              <w:t>For contribution to D</w:t>
            </w:r>
            <w:r w:rsidRPr="007F620E" w:rsidR="00DE3A5D">
              <w:rPr>
                <w:b/>
                <w:color w:val="000000"/>
              </w:rPr>
              <w:t>ecision</w:t>
            </w:r>
            <w:r w:rsidR="008601C8">
              <w:rPr>
                <w:b/>
                <w:color w:val="000000"/>
              </w:rPr>
              <w:t> </w:t>
            </w:r>
            <w:r w:rsidR="007C47BB">
              <w:rPr>
                <w:b/>
                <w:color w:val="000000"/>
              </w:rPr>
              <w:t>D</w:t>
            </w:r>
            <w:r w:rsidR="003A19FB">
              <w:rPr>
                <w:b/>
                <w:color w:val="000000"/>
              </w:rPr>
              <w:t>.2</w:t>
            </w:r>
            <w:r w:rsidR="007C47BB">
              <w:rPr>
                <w:b/>
                <w:color w:val="000000"/>
              </w:rPr>
              <w:t>2-</w:t>
            </w:r>
            <w:r w:rsidR="00F82CC6">
              <w:rPr>
                <w:b/>
                <w:color w:val="000000"/>
              </w:rPr>
              <w:t>1</w:t>
            </w:r>
            <w:r w:rsidR="007C47BB">
              <w:rPr>
                <w:b/>
                <w:color w:val="000000"/>
              </w:rPr>
              <w:t>2</w:t>
            </w:r>
            <w:r w:rsidR="003A19FB">
              <w:rPr>
                <w:b/>
                <w:color w:val="000000"/>
              </w:rPr>
              <w:t>-0</w:t>
            </w:r>
            <w:r w:rsidR="007C47BB">
              <w:rPr>
                <w:b/>
                <w:color w:val="000000"/>
              </w:rPr>
              <w:t>54</w:t>
            </w:r>
            <w:r w:rsidRPr="007F620E" w:rsidR="00DE3A5D">
              <w:rPr>
                <w:b/>
                <w:color w:val="000000"/>
              </w:rPr>
              <w:t xml:space="preserve"> </w:t>
            </w:r>
          </w:p>
        </w:tc>
      </w:tr>
      <w:tr w:rsidRPr="007F620E" w:rsidR="00A92D0B" w:rsidTr="00570C77" w14:paraId="47003B8E" w14:textId="77777777">
        <w:tc>
          <w:tcPr>
            <w:tcW w:w="4585" w:type="dxa"/>
            <w:shd w:val="clear" w:color="auto" w:fill="auto"/>
          </w:tcPr>
          <w:p w:rsidRPr="007B6C25" w:rsidR="007B6C25" w:rsidP="00570C77" w:rsidRDefault="00A92D0B" w14:paraId="0E2E4BD1" w14:textId="46BF1C14">
            <w:pPr>
              <w:tabs>
                <w:tab w:val="left" w:pos="1620"/>
                <w:tab w:val="right" w:pos="4500"/>
              </w:tabs>
              <w:spacing w:before="40" w:after="40"/>
              <w:rPr>
                <w:b/>
                <w:color w:val="000000"/>
              </w:rPr>
            </w:pPr>
            <w:r w:rsidRPr="007F620E">
              <w:rPr>
                <w:b/>
                <w:color w:val="000000"/>
              </w:rPr>
              <w:t>Claimed:</w:t>
            </w:r>
            <w:r w:rsidRPr="007F620E" w:rsidR="00F63C29">
              <w:rPr>
                <w:b/>
                <w:color w:val="000000"/>
              </w:rPr>
              <w:t xml:space="preserve"> </w:t>
            </w:r>
            <w:r w:rsidR="002D21CA">
              <w:rPr>
                <w:b/>
                <w:color w:val="000000"/>
              </w:rPr>
              <w:t xml:space="preserve"> </w:t>
            </w:r>
            <w:r w:rsidRPr="007F620E" w:rsidR="00FC72B7">
              <w:rPr>
                <w:b/>
                <w:color w:val="000000"/>
              </w:rPr>
              <w:t>$</w:t>
            </w:r>
            <w:r w:rsidR="00DD1580">
              <w:rPr>
                <w:b/>
                <w:color w:val="000000"/>
              </w:rPr>
              <w:t xml:space="preserve"> </w:t>
            </w:r>
            <w:r w:rsidRPr="00112AFD" w:rsidR="00157891">
              <w:rPr>
                <w:bCs/>
                <w:color w:val="000000"/>
              </w:rPr>
              <w:t>107,508</w:t>
            </w:r>
          </w:p>
        </w:tc>
        <w:tc>
          <w:tcPr>
            <w:tcW w:w="5243" w:type="dxa"/>
            <w:tcBorders>
              <w:bottom w:val="single" w:color="auto" w:sz="4" w:space="0"/>
            </w:tcBorders>
            <w:shd w:val="clear" w:color="auto" w:fill="auto"/>
          </w:tcPr>
          <w:p w:rsidRPr="007F620E" w:rsidR="00A92D0B" w:rsidP="00570C77" w:rsidRDefault="00A92D0B" w14:paraId="211F40A8" w14:textId="408B8FEE">
            <w:pPr>
              <w:tabs>
                <w:tab w:val="left" w:pos="1872"/>
                <w:tab w:val="right" w:pos="3672"/>
              </w:tabs>
              <w:spacing w:before="40" w:after="40"/>
              <w:rPr>
                <w:b/>
                <w:color w:val="000000"/>
                <w:u w:val="single"/>
              </w:rPr>
            </w:pPr>
            <w:r w:rsidRPr="007F620E">
              <w:rPr>
                <w:b/>
                <w:color w:val="000000"/>
              </w:rPr>
              <w:t>Awarded:</w:t>
            </w:r>
            <w:r w:rsidRPr="007F620E" w:rsidR="00FC72B7">
              <w:rPr>
                <w:b/>
                <w:color w:val="000000"/>
              </w:rPr>
              <w:t xml:space="preserve">  </w:t>
            </w:r>
            <w:r w:rsidRPr="00112AFD" w:rsidR="009A0ADB">
              <w:rPr>
                <w:bCs/>
                <w:color w:val="000000"/>
              </w:rPr>
              <w:t>$47,651.13</w:t>
            </w:r>
          </w:p>
        </w:tc>
      </w:tr>
      <w:tr w:rsidRPr="007F620E" w:rsidR="00A92D0B" w:rsidTr="00570C77" w14:paraId="5C56877D" w14:textId="77777777">
        <w:tc>
          <w:tcPr>
            <w:tcW w:w="4585" w:type="dxa"/>
            <w:shd w:val="clear" w:color="auto" w:fill="auto"/>
          </w:tcPr>
          <w:p w:rsidRPr="00691528" w:rsidR="00A92D0B" w:rsidP="00570C77" w:rsidRDefault="00A92D0B" w14:paraId="6EF99E36" w14:textId="7B9B5BEB">
            <w:pPr>
              <w:tabs>
                <w:tab w:val="left" w:pos="3060"/>
                <w:tab w:val="right" w:pos="4500"/>
              </w:tabs>
              <w:spacing w:before="40" w:after="40"/>
              <w:rPr>
                <w:color w:val="000000"/>
                <w:u w:val="single"/>
              </w:rPr>
            </w:pPr>
            <w:r w:rsidRPr="007F620E">
              <w:rPr>
                <w:b/>
                <w:color w:val="000000"/>
              </w:rPr>
              <w:t xml:space="preserve">Assigned Commissioner: </w:t>
            </w:r>
            <w:r w:rsidR="008601C8">
              <w:rPr>
                <w:b/>
                <w:color w:val="000000"/>
              </w:rPr>
              <w:t xml:space="preserve"> </w:t>
            </w:r>
            <w:r w:rsidRPr="00112AFD" w:rsidR="00A655FD">
              <w:rPr>
                <w:bCs/>
                <w:color w:val="000000"/>
              </w:rPr>
              <w:t>John</w:t>
            </w:r>
            <w:r w:rsidR="00A655FD">
              <w:rPr>
                <w:b/>
                <w:color w:val="000000"/>
              </w:rPr>
              <w:t xml:space="preserve"> </w:t>
            </w:r>
            <w:r w:rsidRPr="00112AFD" w:rsidR="00A655FD">
              <w:rPr>
                <w:bCs/>
                <w:color w:val="000000"/>
              </w:rPr>
              <w:t>Reynolds</w:t>
            </w:r>
            <w:r w:rsidRPr="00112AFD" w:rsidR="00353478">
              <w:rPr>
                <w:rStyle w:val="FootnoteReference"/>
                <w:bCs/>
                <w:color w:val="000000"/>
              </w:rPr>
              <w:footnoteReference w:id="1"/>
            </w:r>
          </w:p>
        </w:tc>
        <w:tc>
          <w:tcPr>
            <w:tcW w:w="5243" w:type="dxa"/>
            <w:shd w:val="clear" w:color="auto" w:fill="auto"/>
          </w:tcPr>
          <w:p w:rsidRPr="00691528" w:rsidR="00A92D0B" w:rsidP="00570C77" w:rsidRDefault="00A92D0B" w14:paraId="79375F78" w14:textId="4A081759">
            <w:pPr>
              <w:tabs>
                <w:tab w:val="left" w:pos="1872"/>
                <w:tab w:val="right" w:pos="3672"/>
              </w:tabs>
              <w:spacing w:before="40" w:after="40"/>
              <w:rPr>
                <w:color w:val="000000"/>
                <w:u w:val="single"/>
              </w:rPr>
            </w:pPr>
            <w:r w:rsidRPr="007F620E">
              <w:rPr>
                <w:b/>
                <w:color w:val="000000"/>
              </w:rPr>
              <w:t>Assigned ALJ:</w:t>
            </w:r>
            <w:r w:rsidRPr="007F620E" w:rsidR="00F63C29">
              <w:rPr>
                <w:b/>
                <w:color w:val="000000"/>
              </w:rPr>
              <w:t xml:space="preserve"> </w:t>
            </w:r>
            <w:r w:rsidR="008601C8">
              <w:rPr>
                <w:b/>
                <w:color w:val="000000"/>
              </w:rPr>
              <w:t xml:space="preserve"> </w:t>
            </w:r>
            <w:r w:rsidRPr="00112AFD" w:rsidR="0026784C">
              <w:rPr>
                <w:bCs/>
                <w:color w:val="000000"/>
              </w:rPr>
              <w:t>Colin Rizzo</w:t>
            </w:r>
            <w:r w:rsidRPr="00112AFD" w:rsidR="00353478">
              <w:rPr>
                <w:rStyle w:val="FootnoteReference"/>
                <w:bCs/>
                <w:color w:val="000000"/>
              </w:rPr>
              <w:footnoteReference w:id="2"/>
            </w:r>
          </w:p>
        </w:tc>
      </w:tr>
    </w:tbl>
    <w:p w:rsidRPr="00F0294C" w:rsidR="00691528" w:rsidP="00F0294C" w:rsidRDefault="00A92D0B" w14:paraId="3CEED871" w14:textId="343D2802">
      <w:pPr>
        <w:pStyle w:val="Dummy"/>
        <w:keepLines w:val="0"/>
        <w:spacing w:before="480" w:after="240"/>
        <w:jc w:val="center"/>
        <w:rPr>
          <w:rFonts w:ascii="Times New Roman" w:hAnsi="Times New Roman" w:cs="Times New Roman"/>
          <w:b w:val="0"/>
          <w:color w:val="000000"/>
        </w:rPr>
      </w:pPr>
      <w:r w:rsidRPr="00F0294C">
        <w:rPr>
          <w:rFonts w:ascii="Times New Roman" w:hAnsi="Times New Roman" w:cs="Times New Roman"/>
          <w:color w:val="000000"/>
        </w:rPr>
        <w:t>PART I:  PROCEDURAL ISSUES</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374"/>
        <w:gridCol w:w="4986"/>
      </w:tblGrid>
      <w:tr w:rsidRPr="007F620E" w:rsidR="00A92D0B" w:rsidTr="00570C77" w14:paraId="3C5C25ED" w14:textId="77777777">
        <w:tc>
          <w:tcPr>
            <w:tcW w:w="4585" w:type="dxa"/>
            <w:shd w:val="clear" w:color="auto" w:fill="auto"/>
          </w:tcPr>
          <w:p w:rsidRPr="007F620E" w:rsidR="00A92D0B" w:rsidP="00570C77" w:rsidRDefault="00A92D0B" w14:paraId="1576A0A6" w14:textId="77777777">
            <w:pPr>
              <w:spacing w:before="40" w:after="40"/>
              <w:rPr>
                <w:b/>
                <w:color w:val="000000"/>
              </w:rPr>
            </w:pPr>
            <w:r w:rsidRPr="007F620E">
              <w:rPr>
                <w:b/>
                <w:color w:val="000000"/>
              </w:rPr>
              <w:t xml:space="preserve">A.  Brief </w:t>
            </w:r>
            <w:r w:rsidRPr="007F620E" w:rsidR="00A319DE">
              <w:rPr>
                <w:b/>
                <w:color w:val="000000"/>
              </w:rPr>
              <w:t>d</w:t>
            </w:r>
            <w:r w:rsidRPr="007F620E">
              <w:rPr>
                <w:b/>
                <w:color w:val="000000"/>
              </w:rPr>
              <w:t xml:space="preserve">escription of Decision: </w:t>
            </w:r>
          </w:p>
        </w:tc>
        <w:tc>
          <w:tcPr>
            <w:tcW w:w="5243" w:type="dxa"/>
            <w:shd w:val="clear" w:color="auto" w:fill="auto"/>
          </w:tcPr>
          <w:p w:rsidRPr="007F620E" w:rsidR="00C02649" w:rsidP="00570C77" w:rsidRDefault="005D4AE2" w14:paraId="67B8ECAA" w14:textId="0ABB39B5">
            <w:pPr>
              <w:tabs>
                <w:tab w:val="left" w:pos="1478"/>
              </w:tabs>
              <w:spacing w:before="40" w:after="40"/>
              <w:rPr>
                <w:color w:val="000000"/>
              </w:rPr>
            </w:pPr>
            <w:r>
              <w:rPr>
                <w:color w:val="000000"/>
              </w:rPr>
              <w:t>Decision D.2</w:t>
            </w:r>
            <w:r w:rsidR="007320EA">
              <w:rPr>
                <w:color w:val="000000"/>
              </w:rPr>
              <w:t>2</w:t>
            </w:r>
            <w:r w:rsidR="00F82CC6">
              <w:rPr>
                <w:color w:val="000000"/>
              </w:rPr>
              <w:t>-1</w:t>
            </w:r>
            <w:r w:rsidR="007C47BB">
              <w:rPr>
                <w:color w:val="000000"/>
              </w:rPr>
              <w:t>2</w:t>
            </w:r>
            <w:r>
              <w:rPr>
                <w:color w:val="000000"/>
              </w:rPr>
              <w:t>-0</w:t>
            </w:r>
            <w:r w:rsidR="007C47BB">
              <w:rPr>
                <w:color w:val="000000"/>
              </w:rPr>
              <w:t>5</w:t>
            </w:r>
            <w:r w:rsidR="00F82CC6">
              <w:rPr>
                <w:color w:val="000000"/>
              </w:rPr>
              <w:t>4</w:t>
            </w:r>
            <w:r>
              <w:rPr>
                <w:color w:val="000000"/>
              </w:rPr>
              <w:t xml:space="preserve"> </w:t>
            </w:r>
            <w:r w:rsidR="007C47BB">
              <w:rPr>
                <w:color w:val="000000"/>
              </w:rPr>
              <w:t>authorizes P</w:t>
            </w:r>
            <w:r w:rsidR="00570C77">
              <w:rPr>
                <w:color w:val="000000"/>
              </w:rPr>
              <w:t xml:space="preserve">acific </w:t>
            </w:r>
            <w:r w:rsidR="007C47BB">
              <w:rPr>
                <w:color w:val="000000"/>
              </w:rPr>
              <w:t>G</w:t>
            </w:r>
            <w:r w:rsidR="00570C77">
              <w:rPr>
                <w:color w:val="000000"/>
              </w:rPr>
              <w:t xml:space="preserve">as and </w:t>
            </w:r>
            <w:r w:rsidR="007C47BB">
              <w:rPr>
                <w:color w:val="000000"/>
              </w:rPr>
              <w:t>E</w:t>
            </w:r>
            <w:r w:rsidR="00570C77">
              <w:rPr>
                <w:color w:val="000000"/>
              </w:rPr>
              <w:t>lectric</w:t>
            </w:r>
            <w:r w:rsidR="007C47BB">
              <w:rPr>
                <w:color w:val="000000"/>
              </w:rPr>
              <w:t xml:space="preserve"> </w:t>
            </w:r>
            <w:r w:rsidR="00570C77">
              <w:rPr>
                <w:color w:val="000000"/>
              </w:rPr>
              <w:t xml:space="preserve">Company’s </w:t>
            </w:r>
            <w:r w:rsidR="00903CCF">
              <w:rPr>
                <w:color w:val="000000"/>
              </w:rPr>
              <w:t>electric vehicle Charge 2 program</w:t>
            </w:r>
            <w:r w:rsidR="00F82CC6">
              <w:rPr>
                <w:color w:val="000000"/>
              </w:rPr>
              <w:t>.</w:t>
            </w:r>
          </w:p>
        </w:tc>
      </w:tr>
    </w:tbl>
    <w:p w:rsidR="00E82D0C" w:rsidRDefault="00E82D0C" w14:paraId="41D5415D" w14:textId="77777777"/>
    <w:p w:rsidR="00E82D0C" w:rsidP="00E82D0C" w:rsidRDefault="00E82D0C" w14:paraId="492DEC43" w14:textId="77777777">
      <w:pPr>
        <w:rPr>
          <w:b/>
          <w:color w:val="000000"/>
        </w:rPr>
      </w:pPr>
    </w:p>
    <w:p w:rsidR="00E82D0C" w:rsidP="00E82D0C" w:rsidRDefault="00E82D0C" w14:paraId="5463C527" w14:textId="77777777">
      <w:pPr>
        <w:rPr>
          <w:b/>
          <w:color w:val="000000"/>
        </w:rPr>
        <w:sectPr w:rsidR="00E82D0C" w:rsidSect="00195274">
          <w:footerReference w:type="default" r:id="rId8"/>
          <w:pgSz w:w="12240" w:h="15840"/>
          <w:pgMar w:top="1728" w:right="1440" w:bottom="1440" w:left="1440" w:header="720" w:footer="720" w:gutter="0"/>
          <w:pgNumType w:fmt="numberInDash" w:start="1"/>
          <w:cols w:space="720"/>
          <w:docGrid w:linePitch="360"/>
        </w:sectPr>
      </w:pPr>
    </w:p>
    <w:p w:rsidRPr="007F620E" w:rsidR="00A92D0B" w:rsidRDefault="005A63D4" w14:paraId="2FBF046C" w14:textId="21F244E3">
      <w:pPr>
        <w:numPr>
          <w:ilvl w:val="0"/>
          <w:numId w:val="5"/>
        </w:numPr>
        <w:rPr>
          <w:b/>
          <w:color w:val="000000"/>
        </w:rPr>
      </w:pPr>
      <w:r w:rsidRPr="007F620E">
        <w:rPr>
          <w:b/>
          <w:color w:val="000000"/>
        </w:rPr>
        <w:lastRenderedPageBreak/>
        <w:t xml:space="preserve">Intervenor </w:t>
      </w:r>
      <w:r w:rsidRPr="007F620E" w:rsidR="00A92D0B">
        <w:rPr>
          <w:b/>
          <w:color w:val="000000"/>
        </w:rPr>
        <w:t xml:space="preserve">must satisfy intervenor compensation </w:t>
      </w:r>
      <w:r w:rsidRPr="007F620E" w:rsidR="00DE3A5D">
        <w:rPr>
          <w:b/>
          <w:color w:val="000000"/>
        </w:rPr>
        <w:t>requirements set forth in Pub. Util.</w:t>
      </w:r>
      <w:r w:rsidRPr="007F620E" w:rsidR="00A92D0B">
        <w:rPr>
          <w:b/>
          <w:color w:val="000000"/>
        </w:rPr>
        <w:t xml:space="preserve"> Code §§ 1801-1812</w:t>
      </w:r>
      <w:r w:rsidR="003B6A1B">
        <w:rPr>
          <w:rStyle w:val="FootnoteReference"/>
          <w:b/>
          <w:color w:val="000000"/>
        </w:rPr>
        <w:footnoteReference w:id="3"/>
      </w:r>
      <w:r w:rsidRPr="007F620E" w:rsidR="00A92D0B">
        <w:rPr>
          <w:b/>
          <w:color w:val="000000"/>
        </w:rPr>
        <w:t>:</w:t>
      </w:r>
    </w:p>
    <w:p w:rsidRPr="007F620E" w:rsidR="00A92D0B" w:rsidRDefault="00A92D0B" w14:paraId="4E196E03" w14:textId="77777777">
      <w:pPr>
        <w:tabs>
          <w:tab w:val="left" w:pos="360"/>
        </w:tabs>
        <w:rPr>
          <w:color w:val="000000"/>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4812"/>
        <w:gridCol w:w="2266"/>
        <w:gridCol w:w="2282"/>
      </w:tblGrid>
      <w:tr w:rsidRPr="007F620E" w:rsidR="00A92D0B" w:rsidTr="009D142A" w14:paraId="640CF70A" w14:textId="77777777">
        <w:trPr>
          <w:tblHeader/>
        </w:trPr>
        <w:tc>
          <w:tcPr>
            <w:tcW w:w="5040" w:type="dxa"/>
            <w:tcBorders>
              <w:bottom w:val="single" w:color="auto" w:sz="4" w:space="0"/>
            </w:tcBorders>
            <w:shd w:val="clear" w:color="auto" w:fill="auto"/>
          </w:tcPr>
          <w:p w:rsidRPr="007F620E" w:rsidR="00A92D0B" w:rsidP="009D142A" w:rsidRDefault="00A92D0B" w14:paraId="409E4D92" w14:textId="77777777">
            <w:pPr>
              <w:tabs>
                <w:tab w:val="left" w:pos="360"/>
              </w:tabs>
              <w:spacing w:before="60" w:after="60"/>
              <w:jc w:val="center"/>
              <w:rPr>
                <w:color w:val="000000"/>
              </w:rPr>
            </w:pPr>
          </w:p>
        </w:tc>
        <w:tc>
          <w:tcPr>
            <w:tcW w:w="2340" w:type="dxa"/>
            <w:tcBorders>
              <w:bottom w:val="single" w:color="auto" w:sz="4" w:space="0"/>
            </w:tcBorders>
            <w:shd w:val="clear" w:color="auto" w:fill="auto"/>
          </w:tcPr>
          <w:p w:rsidRPr="007F620E" w:rsidR="00A92D0B" w:rsidP="009D142A" w:rsidRDefault="005A63D4" w14:paraId="1412A3C6" w14:textId="77777777">
            <w:pPr>
              <w:tabs>
                <w:tab w:val="left" w:pos="360"/>
              </w:tabs>
              <w:spacing w:before="60" w:after="60"/>
              <w:jc w:val="center"/>
              <w:rPr>
                <w:b/>
                <w:color w:val="000000"/>
              </w:rPr>
            </w:pPr>
            <w:r w:rsidRPr="007F620E">
              <w:rPr>
                <w:b/>
                <w:color w:val="000000"/>
              </w:rPr>
              <w:t>Intervenor</w:t>
            </w:r>
          </w:p>
        </w:tc>
        <w:tc>
          <w:tcPr>
            <w:tcW w:w="2340" w:type="dxa"/>
            <w:tcBorders>
              <w:bottom w:val="single" w:color="auto" w:sz="4" w:space="0"/>
            </w:tcBorders>
            <w:shd w:val="clear" w:color="auto" w:fill="auto"/>
          </w:tcPr>
          <w:p w:rsidRPr="007F620E" w:rsidR="00A92D0B" w:rsidP="009D142A" w:rsidRDefault="00A92D0B" w14:paraId="2A218C38" w14:textId="386C9A6A">
            <w:pPr>
              <w:tabs>
                <w:tab w:val="left" w:pos="360"/>
              </w:tabs>
              <w:spacing w:before="60" w:after="60"/>
              <w:jc w:val="center"/>
              <w:rPr>
                <w:b/>
                <w:color w:val="000000"/>
              </w:rPr>
            </w:pPr>
            <w:r w:rsidRPr="007F620E">
              <w:rPr>
                <w:b/>
                <w:color w:val="000000"/>
              </w:rPr>
              <w:t xml:space="preserve">CPUC </w:t>
            </w:r>
            <w:r w:rsidR="0081626F">
              <w:rPr>
                <w:b/>
                <w:color w:val="000000"/>
              </w:rPr>
              <w:t>Verification</w:t>
            </w:r>
          </w:p>
        </w:tc>
      </w:tr>
      <w:tr w:rsidRPr="007F620E" w:rsidR="00A92D0B" w:rsidTr="009D142A" w14:paraId="7D83D00D"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F620E" w:rsidR="00A92D0B" w:rsidP="009D142A" w:rsidRDefault="00A92D0B" w14:paraId="606E2B66" w14:textId="77777777">
            <w:pPr>
              <w:tabs>
                <w:tab w:val="left" w:pos="360"/>
              </w:tabs>
              <w:spacing w:before="60" w:after="60"/>
              <w:jc w:val="center"/>
              <w:rPr>
                <w:b/>
              </w:rPr>
            </w:pPr>
            <w:r w:rsidRPr="007F620E">
              <w:rPr>
                <w:b/>
              </w:rPr>
              <w:t>Timely filing of notice of intent to claim compensation (NOI) (§ 1804(a)):</w:t>
            </w:r>
          </w:p>
        </w:tc>
      </w:tr>
      <w:tr w:rsidRPr="007F620E" w:rsidR="0031501B" w:rsidTr="009D142A" w14:paraId="160E284A" w14:textId="77777777">
        <w:tc>
          <w:tcPr>
            <w:tcW w:w="5040" w:type="dxa"/>
            <w:tcBorders>
              <w:top w:val="single" w:color="auto" w:sz="4" w:space="0"/>
            </w:tcBorders>
            <w:shd w:val="clear" w:color="auto" w:fill="auto"/>
          </w:tcPr>
          <w:p w:rsidRPr="007F620E" w:rsidR="0031501B" w:rsidP="009D142A" w:rsidRDefault="0031501B" w14:paraId="44D1876C" w14:textId="77777777">
            <w:pPr>
              <w:tabs>
                <w:tab w:val="left" w:pos="360"/>
              </w:tabs>
              <w:spacing w:before="60" w:after="60"/>
              <w:ind w:left="360" w:hanging="360"/>
              <w:rPr>
                <w:color w:val="000000"/>
              </w:rPr>
            </w:pPr>
            <w:r w:rsidRPr="007F620E">
              <w:rPr>
                <w:color w:val="000000"/>
              </w:rPr>
              <w:t xml:space="preserve"> 1.  Date of Prehearing Conference:</w:t>
            </w:r>
          </w:p>
        </w:tc>
        <w:tc>
          <w:tcPr>
            <w:tcW w:w="2340" w:type="dxa"/>
            <w:tcBorders>
              <w:top w:val="single" w:color="auto" w:sz="4" w:space="0"/>
            </w:tcBorders>
            <w:shd w:val="clear" w:color="auto" w:fill="auto"/>
          </w:tcPr>
          <w:p w:rsidRPr="007F620E" w:rsidR="0031501B" w:rsidP="009D142A" w:rsidRDefault="0068132F" w14:paraId="35450816" w14:textId="4A1FF117">
            <w:pPr>
              <w:keepNext/>
              <w:keepLines/>
              <w:tabs>
                <w:tab w:val="left" w:pos="360"/>
              </w:tabs>
              <w:spacing w:before="60" w:after="60"/>
              <w:rPr>
                <w:color w:val="000000"/>
              </w:rPr>
            </w:pPr>
            <w:r>
              <w:rPr>
                <w:color w:val="000000"/>
              </w:rPr>
              <w:t>December 1, 2021</w:t>
            </w:r>
          </w:p>
        </w:tc>
        <w:tc>
          <w:tcPr>
            <w:tcW w:w="2340" w:type="dxa"/>
            <w:tcBorders>
              <w:top w:val="single" w:color="auto" w:sz="4" w:space="0"/>
            </w:tcBorders>
            <w:shd w:val="clear" w:color="auto" w:fill="auto"/>
          </w:tcPr>
          <w:p w:rsidRPr="007F620E" w:rsidR="0031501B" w:rsidP="009D142A" w:rsidRDefault="00317AF0" w14:paraId="34540344" w14:textId="49337C05">
            <w:pPr>
              <w:tabs>
                <w:tab w:val="left" w:pos="360"/>
              </w:tabs>
              <w:spacing w:before="60" w:after="60"/>
              <w:jc w:val="both"/>
              <w:rPr>
                <w:color w:val="000000"/>
              </w:rPr>
            </w:pPr>
            <w:r>
              <w:rPr>
                <w:color w:val="000000"/>
              </w:rPr>
              <w:t>Verified</w:t>
            </w:r>
          </w:p>
        </w:tc>
      </w:tr>
      <w:tr w:rsidRPr="007F620E" w:rsidR="00A92D0B" w:rsidTr="009D142A" w14:paraId="24C85564" w14:textId="77777777">
        <w:tc>
          <w:tcPr>
            <w:tcW w:w="5040" w:type="dxa"/>
            <w:shd w:val="clear" w:color="auto" w:fill="auto"/>
          </w:tcPr>
          <w:p w:rsidRPr="007F620E" w:rsidR="00A92D0B" w:rsidP="009D142A" w:rsidRDefault="00FC72B7" w14:paraId="382C5788" w14:textId="77777777">
            <w:pPr>
              <w:tabs>
                <w:tab w:val="left" w:pos="360"/>
              </w:tabs>
              <w:spacing w:before="60" w:after="60"/>
              <w:ind w:left="360" w:hanging="360"/>
              <w:rPr>
                <w:color w:val="000000"/>
              </w:rPr>
            </w:pPr>
            <w:r w:rsidRPr="007F620E">
              <w:rPr>
                <w:color w:val="000000"/>
              </w:rPr>
              <w:t xml:space="preserve"> </w:t>
            </w:r>
            <w:r w:rsidRPr="007F620E" w:rsidR="00A92D0B">
              <w:rPr>
                <w:color w:val="000000"/>
              </w:rPr>
              <w:t xml:space="preserve">2.  Other </w:t>
            </w:r>
            <w:r w:rsidRPr="007F620E" w:rsidR="00A319DE">
              <w:rPr>
                <w:color w:val="000000"/>
              </w:rPr>
              <w:t>s</w:t>
            </w:r>
            <w:r w:rsidRPr="007F620E" w:rsidR="00A92D0B">
              <w:rPr>
                <w:color w:val="000000"/>
              </w:rPr>
              <w:t xml:space="preserve">pecified </w:t>
            </w:r>
            <w:r w:rsidRPr="007F620E" w:rsidR="00A319DE">
              <w:rPr>
                <w:color w:val="000000"/>
              </w:rPr>
              <w:t>d</w:t>
            </w:r>
            <w:r w:rsidRPr="007F620E" w:rsidR="00A92D0B">
              <w:rPr>
                <w:color w:val="000000"/>
              </w:rPr>
              <w:t>ate for NOI:</w:t>
            </w:r>
          </w:p>
        </w:tc>
        <w:tc>
          <w:tcPr>
            <w:tcW w:w="2340" w:type="dxa"/>
            <w:shd w:val="clear" w:color="auto" w:fill="auto"/>
          </w:tcPr>
          <w:p w:rsidRPr="007F620E" w:rsidR="00A92D0B" w:rsidP="009D142A" w:rsidRDefault="00A92D0B" w14:paraId="1826BC2C" w14:textId="77777777">
            <w:pPr>
              <w:keepNext/>
              <w:keepLines/>
              <w:tabs>
                <w:tab w:val="left" w:pos="360"/>
              </w:tabs>
              <w:spacing w:before="60" w:after="60"/>
              <w:ind w:left="360" w:hanging="360"/>
              <w:rPr>
                <w:color w:val="000000"/>
              </w:rPr>
            </w:pPr>
          </w:p>
        </w:tc>
        <w:tc>
          <w:tcPr>
            <w:tcW w:w="2340" w:type="dxa"/>
            <w:shd w:val="clear" w:color="auto" w:fill="auto"/>
          </w:tcPr>
          <w:p w:rsidRPr="007F620E" w:rsidR="00A92D0B" w:rsidP="009D142A" w:rsidRDefault="00A92D0B" w14:paraId="210DAD91" w14:textId="77777777">
            <w:pPr>
              <w:tabs>
                <w:tab w:val="left" w:pos="360"/>
              </w:tabs>
              <w:spacing w:before="60" w:after="60"/>
              <w:jc w:val="both"/>
              <w:rPr>
                <w:color w:val="000000"/>
              </w:rPr>
            </w:pPr>
          </w:p>
        </w:tc>
      </w:tr>
      <w:tr w:rsidRPr="007F620E" w:rsidR="0031501B" w:rsidTr="009D142A" w14:paraId="4836EEA6" w14:textId="77777777">
        <w:tc>
          <w:tcPr>
            <w:tcW w:w="5040" w:type="dxa"/>
            <w:shd w:val="clear" w:color="auto" w:fill="auto"/>
          </w:tcPr>
          <w:p w:rsidRPr="007F620E" w:rsidR="0031501B" w:rsidP="009D142A" w:rsidRDefault="0031501B" w14:paraId="34809C45" w14:textId="77777777">
            <w:pPr>
              <w:tabs>
                <w:tab w:val="left" w:pos="360"/>
              </w:tabs>
              <w:spacing w:before="60" w:after="60"/>
              <w:ind w:left="360" w:hanging="360"/>
              <w:rPr>
                <w:color w:val="000000"/>
              </w:rPr>
            </w:pPr>
            <w:r w:rsidRPr="007F620E">
              <w:rPr>
                <w:color w:val="000000"/>
              </w:rPr>
              <w:t xml:space="preserve"> 3.  Date NOI filed:</w:t>
            </w:r>
          </w:p>
        </w:tc>
        <w:tc>
          <w:tcPr>
            <w:tcW w:w="2340" w:type="dxa"/>
            <w:tcBorders>
              <w:bottom w:val="single" w:color="auto" w:sz="4" w:space="0"/>
            </w:tcBorders>
            <w:shd w:val="clear" w:color="auto" w:fill="auto"/>
          </w:tcPr>
          <w:p w:rsidRPr="007F620E" w:rsidR="0031501B" w:rsidP="009D142A" w:rsidRDefault="005E7EE2" w14:paraId="44F7CCB9" w14:textId="12D68005">
            <w:pPr>
              <w:keepNext/>
              <w:keepLines/>
              <w:tabs>
                <w:tab w:val="left" w:pos="360"/>
              </w:tabs>
              <w:spacing w:before="60" w:after="60"/>
              <w:ind w:left="360" w:hanging="360"/>
              <w:rPr>
                <w:color w:val="000000"/>
              </w:rPr>
            </w:pPr>
            <w:r>
              <w:rPr>
                <w:color w:val="000000"/>
              </w:rPr>
              <w:t>December 27, 2021</w:t>
            </w:r>
          </w:p>
        </w:tc>
        <w:tc>
          <w:tcPr>
            <w:tcW w:w="2340" w:type="dxa"/>
            <w:tcBorders>
              <w:bottom w:val="single" w:color="auto" w:sz="4" w:space="0"/>
            </w:tcBorders>
            <w:shd w:val="clear" w:color="auto" w:fill="auto"/>
          </w:tcPr>
          <w:p w:rsidRPr="007F620E" w:rsidR="0031501B" w:rsidP="009D142A" w:rsidRDefault="00317AF0" w14:paraId="71759DE3" w14:textId="2FEF27B9">
            <w:pPr>
              <w:tabs>
                <w:tab w:val="left" w:pos="360"/>
              </w:tabs>
              <w:spacing w:before="60" w:after="60"/>
              <w:jc w:val="both"/>
              <w:rPr>
                <w:color w:val="000000"/>
              </w:rPr>
            </w:pPr>
            <w:r>
              <w:rPr>
                <w:color w:val="000000"/>
              </w:rPr>
              <w:t>Verified</w:t>
            </w:r>
          </w:p>
        </w:tc>
      </w:tr>
      <w:tr w:rsidRPr="007F620E" w:rsidR="0031501B" w:rsidTr="009D142A" w14:paraId="22BBCDE3" w14:textId="77777777">
        <w:tc>
          <w:tcPr>
            <w:tcW w:w="7380" w:type="dxa"/>
            <w:gridSpan w:val="2"/>
            <w:tcBorders>
              <w:bottom w:val="single" w:color="auto" w:sz="4" w:space="0"/>
            </w:tcBorders>
            <w:shd w:val="clear" w:color="auto" w:fill="auto"/>
          </w:tcPr>
          <w:p w:rsidRPr="007F620E" w:rsidR="0031501B" w:rsidP="009D142A" w:rsidRDefault="0031501B" w14:paraId="7E6E2068" w14:textId="77777777">
            <w:pPr>
              <w:tabs>
                <w:tab w:val="left" w:pos="360"/>
              </w:tabs>
              <w:spacing w:before="60" w:after="60"/>
              <w:ind w:left="360" w:hanging="360"/>
              <w:rPr>
                <w:color w:val="000000"/>
              </w:rPr>
            </w:pPr>
            <w:r w:rsidRPr="007F620E">
              <w:rPr>
                <w:color w:val="000000"/>
              </w:rPr>
              <w:t xml:space="preserve"> 4.  Was the NOI timely filed?</w:t>
            </w:r>
          </w:p>
        </w:tc>
        <w:tc>
          <w:tcPr>
            <w:tcW w:w="2340" w:type="dxa"/>
            <w:tcBorders>
              <w:bottom w:val="single" w:color="auto" w:sz="4" w:space="0"/>
            </w:tcBorders>
            <w:shd w:val="clear" w:color="auto" w:fill="auto"/>
          </w:tcPr>
          <w:p w:rsidRPr="007F620E" w:rsidR="0031501B" w:rsidP="009D142A" w:rsidRDefault="00980579" w14:paraId="61DE2845" w14:textId="7EF2C65F">
            <w:pPr>
              <w:tabs>
                <w:tab w:val="left" w:pos="360"/>
              </w:tabs>
              <w:spacing w:before="60" w:after="60"/>
              <w:rPr>
                <w:color w:val="000000"/>
              </w:rPr>
            </w:pPr>
            <w:r>
              <w:rPr>
                <w:color w:val="000000"/>
              </w:rPr>
              <w:t>Yes</w:t>
            </w:r>
          </w:p>
        </w:tc>
      </w:tr>
      <w:tr w:rsidRPr="007F620E" w:rsidR="0031501B" w:rsidTr="009D142A" w14:paraId="4CD7D46A"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31501B" w:rsidP="009D142A" w:rsidRDefault="0031501B" w14:paraId="19D649BF" w14:textId="77777777">
            <w:pPr>
              <w:keepNext/>
              <w:keepLines/>
              <w:tabs>
                <w:tab w:val="left" w:pos="360"/>
              </w:tabs>
              <w:spacing w:before="60" w:after="60"/>
              <w:jc w:val="center"/>
              <w:rPr>
                <w:b/>
                <w:color w:val="000000"/>
              </w:rPr>
            </w:pPr>
            <w:r w:rsidRPr="007F620E">
              <w:rPr>
                <w:b/>
                <w:color w:val="000000"/>
              </w:rPr>
              <w:t xml:space="preserve">Showing of eligible customer status (§ 1802(b) or eligible local government entity </w:t>
            </w:r>
            <w:r>
              <w:rPr>
                <w:b/>
                <w:color w:val="000000"/>
              </w:rPr>
              <w:t>status</w:t>
            </w:r>
            <w:r w:rsidRPr="007F620E">
              <w:rPr>
                <w:b/>
                <w:color w:val="000000"/>
              </w:rPr>
              <w:br/>
              <w:t>(§§ 1802(d), 1802.4):</w:t>
            </w:r>
          </w:p>
        </w:tc>
      </w:tr>
      <w:tr w:rsidRPr="007F620E" w:rsidR="0031501B" w:rsidTr="009D142A" w14:paraId="259EC227" w14:textId="77777777">
        <w:tc>
          <w:tcPr>
            <w:tcW w:w="5040" w:type="dxa"/>
            <w:tcBorders>
              <w:top w:val="single" w:color="auto" w:sz="4" w:space="0"/>
            </w:tcBorders>
            <w:shd w:val="clear" w:color="auto" w:fill="auto"/>
          </w:tcPr>
          <w:p w:rsidRPr="007F620E" w:rsidR="0031501B" w:rsidP="009D142A" w:rsidRDefault="0031501B" w14:paraId="0EFCD0E9" w14:textId="77777777">
            <w:pPr>
              <w:keepNext/>
              <w:keepLines/>
              <w:spacing w:before="60" w:after="60"/>
              <w:ind w:left="360" w:hanging="360"/>
              <w:rPr>
                <w:color w:val="000000"/>
              </w:rPr>
            </w:pPr>
            <w:r w:rsidRPr="007F620E">
              <w:rPr>
                <w:color w:val="000000"/>
              </w:rPr>
              <w:t xml:space="preserve"> 5.  Based on ALJ ruling issued in proceeding   number:</w:t>
            </w:r>
          </w:p>
        </w:tc>
        <w:tc>
          <w:tcPr>
            <w:tcW w:w="2340" w:type="dxa"/>
            <w:tcBorders>
              <w:top w:val="single" w:color="auto" w:sz="4" w:space="0"/>
            </w:tcBorders>
            <w:shd w:val="clear" w:color="auto" w:fill="auto"/>
          </w:tcPr>
          <w:p w:rsidRPr="007F620E" w:rsidR="0031501B" w:rsidP="009D142A" w:rsidRDefault="004F737B" w14:paraId="13E72B6D" w14:textId="3AA4FBF2">
            <w:pPr>
              <w:keepNext/>
              <w:keepLines/>
              <w:tabs>
                <w:tab w:val="left" w:pos="360"/>
              </w:tabs>
              <w:spacing w:before="60" w:after="60"/>
              <w:ind w:left="360" w:hanging="360"/>
              <w:rPr>
                <w:color w:val="000000"/>
              </w:rPr>
            </w:pPr>
            <w:r>
              <w:rPr>
                <w:color w:val="000000"/>
              </w:rPr>
              <w:t>R.20-05-002</w:t>
            </w:r>
          </w:p>
        </w:tc>
        <w:tc>
          <w:tcPr>
            <w:tcW w:w="2340" w:type="dxa"/>
            <w:tcBorders>
              <w:top w:val="single" w:color="auto" w:sz="4" w:space="0"/>
            </w:tcBorders>
            <w:shd w:val="clear" w:color="auto" w:fill="auto"/>
          </w:tcPr>
          <w:p w:rsidRPr="007F620E" w:rsidR="0031501B" w:rsidP="009D142A" w:rsidRDefault="00317AF0" w14:paraId="2679B197" w14:textId="48B8F4D8">
            <w:pPr>
              <w:keepNext/>
              <w:keepLines/>
              <w:tabs>
                <w:tab w:val="left" w:pos="360"/>
              </w:tabs>
              <w:spacing w:before="60" w:after="60"/>
              <w:rPr>
                <w:color w:val="000000"/>
              </w:rPr>
            </w:pPr>
            <w:r>
              <w:rPr>
                <w:color w:val="000000"/>
              </w:rPr>
              <w:t>Verified</w:t>
            </w:r>
          </w:p>
        </w:tc>
      </w:tr>
      <w:tr w:rsidRPr="007F620E" w:rsidR="0031501B" w:rsidTr="009D142A" w14:paraId="4E0FB3B6" w14:textId="77777777">
        <w:tc>
          <w:tcPr>
            <w:tcW w:w="5040" w:type="dxa"/>
            <w:shd w:val="clear" w:color="auto" w:fill="auto"/>
          </w:tcPr>
          <w:p w:rsidRPr="007F620E" w:rsidR="0031501B" w:rsidP="009D142A" w:rsidRDefault="0031501B" w14:paraId="568B12E8" w14:textId="77777777">
            <w:pPr>
              <w:tabs>
                <w:tab w:val="left" w:pos="360"/>
              </w:tabs>
              <w:spacing w:before="60" w:after="60"/>
              <w:ind w:left="360" w:hanging="360"/>
              <w:rPr>
                <w:color w:val="000000"/>
              </w:rPr>
            </w:pPr>
            <w:r w:rsidRPr="007F620E">
              <w:rPr>
                <w:color w:val="000000"/>
              </w:rPr>
              <w:t xml:space="preserve"> 6.  Date of ALJ ruling:</w:t>
            </w:r>
          </w:p>
        </w:tc>
        <w:tc>
          <w:tcPr>
            <w:tcW w:w="2340" w:type="dxa"/>
            <w:shd w:val="clear" w:color="auto" w:fill="auto"/>
          </w:tcPr>
          <w:p w:rsidRPr="007F620E" w:rsidR="0031501B" w:rsidP="009D142A" w:rsidRDefault="004F737B" w14:paraId="306125B9" w14:textId="33BB6E97">
            <w:pPr>
              <w:tabs>
                <w:tab w:val="left" w:pos="360"/>
              </w:tabs>
              <w:spacing w:before="60" w:after="60"/>
              <w:ind w:left="360" w:hanging="360"/>
              <w:rPr>
                <w:color w:val="000000"/>
              </w:rPr>
            </w:pPr>
            <w:r>
              <w:rPr>
                <w:color w:val="000000"/>
              </w:rPr>
              <w:t>November 20, 2020</w:t>
            </w:r>
          </w:p>
        </w:tc>
        <w:tc>
          <w:tcPr>
            <w:tcW w:w="2340" w:type="dxa"/>
            <w:shd w:val="clear" w:color="auto" w:fill="auto"/>
          </w:tcPr>
          <w:p w:rsidRPr="007F620E" w:rsidR="0031501B" w:rsidP="009D142A" w:rsidRDefault="00317AF0" w14:paraId="19F10313" w14:textId="61EC9779">
            <w:pPr>
              <w:tabs>
                <w:tab w:val="left" w:pos="360"/>
              </w:tabs>
              <w:spacing w:before="60" w:after="60"/>
              <w:rPr>
                <w:color w:val="000000"/>
              </w:rPr>
            </w:pPr>
            <w:r>
              <w:rPr>
                <w:color w:val="000000"/>
              </w:rPr>
              <w:t>Verified</w:t>
            </w:r>
          </w:p>
        </w:tc>
      </w:tr>
      <w:tr w:rsidRPr="007F620E" w:rsidR="0031501B" w:rsidTr="009D142A" w14:paraId="7F6C1E54" w14:textId="77777777">
        <w:tc>
          <w:tcPr>
            <w:tcW w:w="5040" w:type="dxa"/>
            <w:shd w:val="clear" w:color="auto" w:fill="auto"/>
          </w:tcPr>
          <w:p w:rsidRPr="007F620E" w:rsidR="0031501B" w:rsidP="009D142A" w:rsidRDefault="0031501B" w14:paraId="4B6E35B7" w14:textId="77777777">
            <w:pPr>
              <w:tabs>
                <w:tab w:val="left" w:pos="360"/>
              </w:tabs>
              <w:spacing w:before="60" w:after="60"/>
              <w:ind w:left="360" w:hanging="360"/>
              <w:rPr>
                <w:color w:val="000000"/>
              </w:rPr>
            </w:pPr>
            <w:r w:rsidRPr="007F620E">
              <w:rPr>
                <w:color w:val="000000"/>
              </w:rPr>
              <w:t xml:space="preserve"> 7.  Based on another CPUC determination (specify):</w:t>
            </w:r>
          </w:p>
        </w:tc>
        <w:tc>
          <w:tcPr>
            <w:tcW w:w="2340" w:type="dxa"/>
            <w:tcBorders>
              <w:bottom w:val="single" w:color="auto" w:sz="4" w:space="0"/>
            </w:tcBorders>
            <w:shd w:val="clear" w:color="auto" w:fill="auto"/>
          </w:tcPr>
          <w:p w:rsidRPr="007F620E" w:rsidR="0031501B" w:rsidP="009D142A" w:rsidRDefault="0031501B" w14:paraId="5E0F9D32" w14:textId="388E5A11">
            <w:pPr>
              <w:tabs>
                <w:tab w:val="left" w:pos="360"/>
              </w:tabs>
              <w:spacing w:before="60" w:after="60"/>
              <w:ind w:left="360" w:hanging="360"/>
              <w:rPr>
                <w:color w:val="000000"/>
              </w:rPr>
            </w:pPr>
          </w:p>
        </w:tc>
        <w:tc>
          <w:tcPr>
            <w:tcW w:w="2340" w:type="dxa"/>
            <w:tcBorders>
              <w:bottom w:val="single" w:color="auto" w:sz="4" w:space="0"/>
            </w:tcBorders>
            <w:shd w:val="clear" w:color="auto" w:fill="auto"/>
          </w:tcPr>
          <w:p w:rsidRPr="007F620E" w:rsidR="0031501B" w:rsidP="009D142A" w:rsidRDefault="0031501B" w14:paraId="180E80B3" w14:textId="77777777">
            <w:pPr>
              <w:tabs>
                <w:tab w:val="left" w:pos="360"/>
              </w:tabs>
              <w:spacing w:before="60" w:after="60"/>
              <w:rPr>
                <w:color w:val="000000"/>
              </w:rPr>
            </w:pPr>
          </w:p>
        </w:tc>
      </w:tr>
      <w:tr w:rsidRPr="007F620E" w:rsidR="0031501B" w:rsidTr="009D142A" w14:paraId="397CC4AD" w14:textId="77777777">
        <w:tc>
          <w:tcPr>
            <w:tcW w:w="7380" w:type="dxa"/>
            <w:gridSpan w:val="2"/>
            <w:tcBorders>
              <w:bottom w:val="single" w:color="auto" w:sz="4" w:space="0"/>
            </w:tcBorders>
            <w:shd w:val="clear" w:color="auto" w:fill="auto"/>
          </w:tcPr>
          <w:p w:rsidRPr="007F620E" w:rsidR="0031501B" w:rsidP="009D142A" w:rsidRDefault="0031501B" w14:paraId="71D46B68" w14:textId="77777777">
            <w:pPr>
              <w:tabs>
                <w:tab w:val="left" w:pos="360"/>
              </w:tabs>
              <w:spacing w:before="60" w:after="60"/>
              <w:ind w:left="360" w:hanging="360"/>
              <w:rPr>
                <w:color w:val="000000"/>
              </w:rPr>
            </w:pPr>
            <w:r w:rsidRPr="007F620E">
              <w:rPr>
                <w:color w:val="000000"/>
              </w:rPr>
              <w:t xml:space="preserve"> 8.  Has the Intervenor demonstrated </w:t>
            </w:r>
            <w:r w:rsidRPr="00ED6B6B">
              <w:t>customer</w:t>
            </w:r>
            <w:r w:rsidRPr="007F620E">
              <w:rPr>
                <w:color w:val="000000"/>
              </w:rPr>
              <w:t xml:space="preserve"> </w:t>
            </w:r>
            <w:r>
              <w:rPr>
                <w:color w:val="000000"/>
              </w:rPr>
              <w:t>status or eligible government entity status</w:t>
            </w:r>
            <w:r w:rsidRPr="007F620E">
              <w:rPr>
                <w:color w:val="000000"/>
              </w:rPr>
              <w:t>?</w:t>
            </w:r>
          </w:p>
        </w:tc>
        <w:tc>
          <w:tcPr>
            <w:tcW w:w="2340" w:type="dxa"/>
            <w:tcBorders>
              <w:bottom w:val="single" w:color="auto" w:sz="4" w:space="0"/>
            </w:tcBorders>
            <w:shd w:val="clear" w:color="auto" w:fill="auto"/>
          </w:tcPr>
          <w:p w:rsidRPr="007F620E" w:rsidR="0031501B" w:rsidP="009D142A" w:rsidRDefault="00C73CC5" w14:paraId="7D296E63" w14:textId="6715E280">
            <w:pPr>
              <w:tabs>
                <w:tab w:val="left" w:pos="360"/>
              </w:tabs>
              <w:spacing w:before="60" w:after="60"/>
              <w:rPr>
                <w:color w:val="000000"/>
              </w:rPr>
            </w:pPr>
            <w:r>
              <w:rPr>
                <w:color w:val="000000"/>
              </w:rPr>
              <w:t>Yes</w:t>
            </w:r>
          </w:p>
        </w:tc>
      </w:tr>
      <w:tr w:rsidRPr="007F620E" w:rsidR="0031501B" w:rsidTr="009D142A" w14:paraId="33231C71"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31501B" w:rsidP="009D142A" w:rsidRDefault="0031501B" w14:paraId="0291EC4E" w14:textId="77777777">
            <w:pPr>
              <w:tabs>
                <w:tab w:val="left" w:pos="360"/>
              </w:tabs>
              <w:spacing w:before="60" w:after="60"/>
              <w:jc w:val="center"/>
              <w:rPr>
                <w:color w:val="000000"/>
              </w:rPr>
            </w:pPr>
            <w:r w:rsidRPr="007F620E">
              <w:rPr>
                <w:b/>
                <w:color w:val="000000"/>
              </w:rPr>
              <w:t>Showing of “significant financial hardship” (§1802(</w:t>
            </w:r>
            <w:r>
              <w:rPr>
                <w:b/>
                <w:color w:val="000000"/>
              </w:rPr>
              <w:t>h</w:t>
            </w:r>
            <w:r w:rsidRPr="007F620E">
              <w:rPr>
                <w:b/>
                <w:color w:val="000000"/>
              </w:rPr>
              <w:t>) or §1803.1(b))</w:t>
            </w:r>
            <w:r>
              <w:rPr>
                <w:b/>
                <w:color w:val="000000"/>
              </w:rPr>
              <w:t>:</w:t>
            </w:r>
          </w:p>
        </w:tc>
      </w:tr>
      <w:tr w:rsidRPr="007F620E" w:rsidR="00D1569A" w:rsidTr="009D142A" w14:paraId="77F91856" w14:textId="77777777">
        <w:tc>
          <w:tcPr>
            <w:tcW w:w="5040" w:type="dxa"/>
            <w:tcBorders>
              <w:top w:val="single" w:color="auto" w:sz="4" w:space="0"/>
            </w:tcBorders>
            <w:shd w:val="clear" w:color="auto" w:fill="auto"/>
          </w:tcPr>
          <w:p w:rsidRPr="007F620E" w:rsidR="00D1569A" w:rsidP="009D142A" w:rsidRDefault="00D1569A" w14:paraId="6506E60E" w14:textId="77777777">
            <w:pPr>
              <w:tabs>
                <w:tab w:val="left" w:pos="315"/>
              </w:tabs>
              <w:spacing w:before="60" w:after="60"/>
              <w:ind w:left="360" w:hanging="360"/>
              <w:rPr>
                <w:color w:val="000000"/>
              </w:rPr>
            </w:pPr>
            <w:r w:rsidRPr="007F620E">
              <w:rPr>
                <w:color w:val="000000"/>
              </w:rPr>
              <w:t xml:space="preserve"> 9.  Based on ALJ ruling issued in proceeding number:</w:t>
            </w:r>
          </w:p>
        </w:tc>
        <w:tc>
          <w:tcPr>
            <w:tcW w:w="2340" w:type="dxa"/>
            <w:tcBorders>
              <w:top w:val="single" w:color="auto" w:sz="4" w:space="0"/>
            </w:tcBorders>
            <w:shd w:val="clear" w:color="auto" w:fill="auto"/>
          </w:tcPr>
          <w:p w:rsidRPr="007F620E" w:rsidR="00D1569A" w:rsidP="009D142A" w:rsidRDefault="00D1569A" w14:paraId="54B4911C" w14:textId="4AA76F5D">
            <w:pPr>
              <w:keepNext/>
              <w:keepLines/>
              <w:tabs>
                <w:tab w:val="left" w:pos="360"/>
              </w:tabs>
              <w:spacing w:before="60" w:after="60"/>
              <w:ind w:left="360" w:hanging="360"/>
              <w:rPr>
                <w:color w:val="000000"/>
              </w:rPr>
            </w:pPr>
            <w:r>
              <w:rPr>
                <w:color w:val="000000"/>
              </w:rPr>
              <w:t>R.20-05-002</w:t>
            </w:r>
          </w:p>
        </w:tc>
        <w:tc>
          <w:tcPr>
            <w:tcW w:w="2340" w:type="dxa"/>
            <w:tcBorders>
              <w:top w:val="single" w:color="auto" w:sz="4" w:space="0"/>
            </w:tcBorders>
            <w:shd w:val="clear" w:color="auto" w:fill="auto"/>
          </w:tcPr>
          <w:p w:rsidRPr="007F620E" w:rsidR="00D1569A" w:rsidP="009D142A" w:rsidRDefault="00F86A6B" w14:paraId="2E2FB9D6" w14:textId="5E65F258">
            <w:pPr>
              <w:tabs>
                <w:tab w:val="left" w:pos="360"/>
              </w:tabs>
              <w:spacing w:before="60" w:after="60"/>
              <w:rPr>
                <w:color w:val="000000"/>
              </w:rPr>
            </w:pPr>
            <w:r>
              <w:rPr>
                <w:color w:val="000000"/>
              </w:rPr>
              <w:t>Verified</w:t>
            </w:r>
          </w:p>
        </w:tc>
      </w:tr>
      <w:tr w:rsidRPr="007F620E" w:rsidR="00D1569A" w:rsidTr="009D142A" w14:paraId="4AD750C1" w14:textId="77777777">
        <w:tc>
          <w:tcPr>
            <w:tcW w:w="5040" w:type="dxa"/>
            <w:shd w:val="clear" w:color="auto" w:fill="auto"/>
          </w:tcPr>
          <w:p w:rsidRPr="007F620E" w:rsidR="00D1569A" w:rsidP="009D142A" w:rsidRDefault="00D1569A" w14:paraId="2A279407" w14:textId="77777777">
            <w:pPr>
              <w:tabs>
                <w:tab w:val="left" w:pos="315"/>
              </w:tabs>
              <w:spacing w:before="60" w:after="60"/>
              <w:ind w:left="360" w:hanging="360"/>
              <w:rPr>
                <w:color w:val="000000"/>
              </w:rPr>
            </w:pPr>
            <w:r w:rsidRPr="007F620E">
              <w:rPr>
                <w:color w:val="000000"/>
              </w:rPr>
              <w:t>10.</w:t>
            </w:r>
            <w:r w:rsidRPr="007F620E">
              <w:rPr>
                <w:color w:val="000000"/>
              </w:rPr>
              <w:tab/>
              <w:t xml:space="preserve"> Date of ALJ ruling:</w:t>
            </w:r>
          </w:p>
        </w:tc>
        <w:tc>
          <w:tcPr>
            <w:tcW w:w="2340" w:type="dxa"/>
            <w:shd w:val="clear" w:color="auto" w:fill="auto"/>
          </w:tcPr>
          <w:p w:rsidRPr="007F620E" w:rsidR="00D1569A" w:rsidP="009D142A" w:rsidRDefault="00D1569A" w14:paraId="4B66A2E4" w14:textId="188AA5BC">
            <w:pPr>
              <w:tabs>
                <w:tab w:val="left" w:pos="360"/>
              </w:tabs>
              <w:spacing w:before="60" w:after="60"/>
              <w:ind w:left="360" w:hanging="360"/>
              <w:rPr>
                <w:color w:val="000000"/>
              </w:rPr>
            </w:pPr>
            <w:r>
              <w:rPr>
                <w:color w:val="000000"/>
              </w:rPr>
              <w:t>November 20, 2020</w:t>
            </w:r>
          </w:p>
        </w:tc>
        <w:tc>
          <w:tcPr>
            <w:tcW w:w="2340" w:type="dxa"/>
            <w:shd w:val="clear" w:color="auto" w:fill="auto"/>
          </w:tcPr>
          <w:p w:rsidRPr="007F620E" w:rsidR="00D1569A" w:rsidP="009D142A" w:rsidRDefault="00317AF0" w14:paraId="3B83D035" w14:textId="4F101E7E">
            <w:pPr>
              <w:tabs>
                <w:tab w:val="left" w:pos="360"/>
              </w:tabs>
              <w:spacing w:before="60" w:after="60"/>
              <w:rPr>
                <w:color w:val="000000"/>
              </w:rPr>
            </w:pPr>
            <w:r>
              <w:rPr>
                <w:color w:val="000000"/>
              </w:rPr>
              <w:t>Verified</w:t>
            </w:r>
          </w:p>
        </w:tc>
      </w:tr>
      <w:tr w:rsidRPr="007F620E" w:rsidR="00D1569A" w:rsidTr="009D142A" w14:paraId="7C183C5E" w14:textId="77777777">
        <w:tc>
          <w:tcPr>
            <w:tcW w:w="5040" w:type="dxa"/>
            <w:shd w:val="clear" w:color="auto" w:fill="auto"/>
          </w:tcPr>
          <w:p w:rsidRPr="007F620E" w:rsidR="00D1569A" w:rsidP="009D142A" w:rsidRDefault="00D1569A" w14:paraId="4141CB3D" w14:textId="77777777">
            <w:pPr>
              <w:tabs>
                <w:tab w:val="left" w:pos="315"/>
              </w:tabs>
              <w:spacing w:before="60" w:after="60"/>
              <w:ind w:left="360" w:hanging="360"/>
              <w:rPr>
                <w:color w:val="000000"/>
              </w:rPr>
            </w:pPr>
            <w:r w:rsidRPr="007F620E">
              <w:rPr>
                <w:color w:val="000000"/>
              </w:rPr>
              <w:t>11. Based on another CPUC determination (specify):</w:t>
            </w:r>
          </w:p>
        </w:tc>
        <w:tc>
          <w:tcPr>
            <w:tcW w:w="2340" w:type="dxa"/>
            <w:shd w:val="clear" w:color="auto" w:fill="auto"/>
          </w:tcPr>
          <w:p w:rsidRPr="007F620E" w:rsidR="00D1569A" w:rsidP="009D142A" w:rsidRDefault="00D1569A" w14:paraId="141EB5CF" w14:textId="608516BB">
            <w:pPr>
              <w:keepNext/>
              <w:keepLines/>
              <w:tabs>
                <w:tab w:val="left" w:pos="360"/>
              </w:tabs>
              <w:spacing w:before="60" w:after="60"/>
              <w:ind w:left="360" w:hanging="360"/>
              <w:rPr>
                <w:color w:val="000000"/>
              </w:rPr>
            </w:pPr>
          </w:p>
        </w:tc>
        <w:tc>
          <w:tcPr>
            <w:tcW w:w="2340" w:type="dxa"/>
            <w:shd w:val="clear" w:color="auto" w:fill="auto"/>
          </w:tcPr>
          <w:p w:rsidRPr="007F620E" w:rsidR="00D1569A" w:rsidP="009D142A" w:rsidRDefault="00D1569A" w14:paraId="79318715" w14:textId="77777777">
            <w:pPr>
              <w:tabs>
                <w:tab w:val="left" w:pos="360"/>
              </w:tabs>
              <w:spacing w:before="60" w:after="60"/>
              <w:rPr>
                <w:color w:val="000000"/>
              </w:rPr>
            </w:pPr>
          </w:p>
        </w:tc>
      </w:tr>
      <w:tr w:rsidRPr="007F620E" w:rsidR="00D1569A" w:rsidTr="009D142A" w14:paraId="4E8D20BF" w14:textId="77777777">
        <w:tc>
          <w:tcPr>
            <w:tcW w:w="7380" w:type="dxa"/>
            <w:gridSpan w:val="2"/>
            <w:tcBorders>
              <w:bottom w:val="single" w:color="auto" w:sz="4" w:space="0"/>
            </w:tcBorders>
            <w:shd w:val="clear" w:color="auto" w:fill="auto"/>
          </w:tcPr>
          <w:p w:rsidR="00D1569A" w:rsidP="009D142A" w:rsidRDefault="00D1569A" w14:paraId="7C0D6823" w14:textId="33BD4BBC">
            <w:pPr>
              <w:tabs>
                <w:tab w:val="left" w:pos="315"/>
              </w:tabs>
              <w:spacing w:before="60" w:after="60"/>
              <w:ind w:left="360" w:hanging="360"/>
              <w:rPr>
                <w:color w:val="000000"/>
              </w:rPr>
            </w:pPr>
            <w:r w:rsidRPr="007F620E">
              <w:rPr>
                <w:color w:val="000000"/>
              </w:rPr>
              <w:t>12. Has the Intervenor demonstrated significant financial hardship?</w:t>
            </w:r>
          </w:p>
          <w:p w:rsidR="00D1569A" w:rsidP="009D142A" w:rsidRDefault="00D1569A" w14:paraId="0BEB64C2" w14:textId="77777777">
            <w:pPr>
              <w:tabs>
                <w:tab w:val="left" w:pos="360"/>
              </w:tabs>
              <w:spacing w:before="60" w:after="60"/>
              <w:ind w:hanging="360"/>
              <w:rPr>
                <w:color w:val="000000"/>
              </w:rPr>
            </w:pPr>
          </w:p>
          <w:p w:rsidRPr="007F620E" w:rsidR="00D1569A" w:rsidP="009D142A" w:rsidRDefault="00D1569A" w14:paraId="48D0D936" w14:textId="2961118F">
            <w:pPr>
              <w:tabs>
                <w:tab w:val="left" w:pos="360"/>
              </w:tabs>
              <w:spacing w:before="60" w:after="60"/>
              <w:ind w:hanging="360"/>
              <w:rPr>
                <w:color w:val="000000"/>
              </w:rPr>
            </w:pPr>
          </w:p>
        </w:tc>
        <w:tc>
          <w:tcPr>
            <w:tcW w:w="2340" w:type="dxa"/>
            <w:tcBorders>
              <w:bottom w:val="single" w:color="auto" w:sz="4" w:space="0"/>
            </w:tcBorders>
            <w:shd w:val="clear" w:color="auto" w:fill="auto"/>
          </w:tcPr>
          <w:p w:rsidRPr="007F620E" w:rsidR="00D1569A" w:rsidP="009D142A" w:rsidRDefault="00D1569A" w14:paraId="0F29B839" w14:textId="21885A11">
            <w:pPr>
              <w:tabs>
                <w:tab w:val="left" w:pos="360"/>
              </w:tabs>
              <w:spacing w:before="60" w:after="60"/>
              <w:rPr>
                <w:color w:val="000000"/>
              </w:rPr>
            </w:pPr>
            <w:r>
              <w:rPr>
                <w:color w:val="000000"/>
              </w:rPr>
              <w:t>Yes</w:t>
            </w:r>
          </w:p>
        </w:tc>
      </w:tr>
      <w:tr w:rsidRPr="007F620E" w:rsidR="00D1569A" w:rsidTr="009D142A" w14:paraId="60D4FD5C" w14:textId="77777777">
        <w:tc>
          <w:tcPr>
            <w:tcW w:w="9720" w:type="dxa"/>
            <w:gridSpan w:val="3"/>
            <w:tcBorders>
              <w:top w:val="single" w:color="auto" w:sz="4" w:space="0"/>
              <w:left w:val="single" w:color="auto" w:sz="4" w:space="0"/>
              <w:bottom w:val="single" w:color="auto" w:sz="4" w:space="0"/>
              <w:right w:val="single" w:color="auto" w:sz="4" w:space="0"/>
            </w:tcBorders>
            <w:shd w:val="clear" w:color="auto" w:fill="E6E6E6"/>
          </w:tcPr>
          <w:p w:rsidRPr="007F620E" w:rsidR="00D1569A" w:rsidP="009D142A" w:rsidRDefault="00D1569A" w14:paraId="172E2884" w14:textId="77777777">
            <w:pPr>
              <w:keepNext/>
              <w:tabs>
                <w:tab w:val="left" w:pos="360"/>
              </w:tabs>
              <w:spacing w:before="60" w:after="60"/>
              <w:jc w:val="center"/>
              <w:rPr>
                <w:color w:val="000000"/>
              </w:rPr>
            </w:pPr>
            <w:r w:rsidRPr="007F620E">
              <w:rPr>
                <w:b/>
                <w:color w:val="000000"/>
              </w:rPr>
              <w:lastRenderedPageBreak/>
              <w:t>Timely request for compensation (§ 1804(c)):</w:t>
            </w:r>
          </w:p>
        </w:tc>
      </w:tr>
      <w:tr w:rsidRPr="007F620E" w:rsidR="00D1569A" w:rsidTr="009D142A" w14:paraId="3E7938B0" w14:textId="77777777">
        <w:tc>
          <w:tcPr>
            <w:tcW w:w="5040" w:type="dxa"/>
            <w:tcBorders>
              <w:top w:val="single" w:color="auto" w:sz="4" w:space="0"/>
            </w:tcBorders>
            <w:shd w:val="clear" w:color="auto" w:fill="auto"/>
          </w:tcPr>
          <w:p w:rsidRPr="007F620E" w:rsidR="00D1569A" w:rsidP="009D142A" w:rsidRDefault="00D1569A" w14:paraId="66088F1B" w14:textId="77777777">
            <w:pPr>
              <w:keepNext/>
              <w:tabs>
                <w:tab w:val="left" w:pos="612"/>
              </w:tabs>
              <w:spacing w:before="60" w:after="60"/>
              <w:ind w:left="360" w:hanging="360"/>
              <w:rPr>
                <w:color w:val="000000"/>
              </w:rPr>
            </w:pPr>
            <w:r w:rsidRPr="007F620E">
              <w:rPr>
                <w:color w:val="000000"/>
              </w:rPr>
              <w:t>13.  Identify Final Decision:</w:t>
            </w:r>
          </w:p>
        </w:tc>
        <w:tc>
          <w:tcPr>
            <w:tcW w:w="2340" w:type="dxa"/>
            <w:tcBorders>
              <w:top w:val="single" w:color="auto" w:sz="4" w:space="0"/>
            </w:tcBorders>
            <w:shd w:val="clear" w:color="auto" w:fill="auto"/>
          </w:tcPr>
          <w:p w:rsidRPr="007F620E" w:rsidR="00D1569A" w:rsidP="009D142A" w:rsidRDefault="00D1569A" w14:paraId="7166F318" w14:textId="1BC79CAC">
            <w:pPr>
              <w:tabs>
                <w:tab w:val="left" w:pos="360"/>
              </w:tabs>
              <w:spacing w:before="60" w:after="60"/>
              <w:rPr>
                <w:color w:val="000000"/>
              </w:rPr>
            </w:pPr>
            <w:r>
              <w:rPr>
                <w:color w:val="000000"/>
              </w:rPr>
              <w:t>D.22-12-054</w:t>
            </w:r>
          </w:p>
        </w:tc>
        <w:tc>
          <w:tcPr>
            <w:tcW w:w="2340" w:type="dxa"/>
            <w:tcBorders>
              <w:top w:val="single" w:color="auto" w:sz="4" w:space="0"/>
            </w:tcBorders>
            <w:shd w:val="clear" w:color="auto" w:fill="auto"/>
          </w:tcPr>
          <w:p w:rsidRPr="007F620E" w:rsidR="00D1569A" w:rsidP="009D142A" w:rsidRDefault="00317AF0" w14:paraId="1588DC54" w14:textId="07A530ED">
            <w:pPr>
              <w:tabs>
                <w:tab w:val="left" w:pos="360"/>
              </w:tabs>
              <w:spacing w:before="60" w:after="60"/>
              <w:rPr>
                <w:color w:val="000000"/>
              </w:rPr>
            </w:pPr>
            <w:r>
              <w:rPr>
                <w:color w:val="000000"/>
              </w:rPr>
              <w:t>Verified</w:t>
            </w:r>
          </w:p>
        </w:tc>
      </w:tr>
      <w:tr w:rsidRPr="007F620E" w:rsidR="00D1569A" w:rsidTr="009D142A" w14:paraId="6360DE59" w14:textId="77777777">
        <w:tc>
          <w:tcPr>
            <w:tcW w:w="5040" w:type="dxa"/>
            <w:shd w:val="clear" w:color="auto" w:fill="auto"/>
          </w:tcPr>
          <w:p w:rsidRPr="007F620E" w:rsidR="00D1569A" w:rsidP="005177A7" w:rsidRDefault="00D1569A" w14:paraId="4B809E4A" w14:textId="169555B7">
            <w:pPr>
              <w:keepNext/>
              <w:tabs>
                <w:tab w:val="left" w:pos="612"/>
              </w:tabs>
              <w:spacing w:before="60" w:after="60"/>
              <w:ind w:left="420" w:hanging="420"/>
              <w:rPr>
                <w:color w:val="000000"/>
              </w:rPr>
            </w:pPr>
            <w:r w:rsidRPr="007F620E">
              <w:rPr>
                <w:color w:val="000000"/>
              </w:rPr>
              <w:t>14.  Date of issuance of Final Order or</w:t>
            </w:r>
            <w:r w:rsidR="005177A7">
              <w:rPr>
                <w:color w:val="000000"/>
              </w:rPr>
              <w:br/>
            </w:r>
            <w:r w:rsidRPr="007F620E">
              <w:rPr>
                <w:color w:val="000000"/>
              </w:rPr>
              <w:t xml:space="preserve">Decision: </w:t>
            </w:r>
          </w:p>
        </w:tc>
        <w:tc>
          <w:tcPr>
            <w:tcW w:w="2340" w:type="dxa"/>
            <w:shd w:val="clear" w:color="auto" w:fill="auto"/>
          </w:tcPr>
          <w:p w:rsidRPr="007F620E" w:rsidR="00D1569A" w:rsidP="009D142A" w:rsidRDefault="00D1569A" w14:paraId="20455B5F" w14:textId="1E819CD7">
            <w:pPr>
              <w:tabs>
                <w:tab w:val="left" w:pos="360"/>
              </w:tabs>
              <w:spacing w:before="60" w:after="60"/>
              <w:rPr>
                <w:color w:val="000000"/>
              </w:rPr>
            </w:pPr>
            <w:r>
              <w:rPr>
                <w:color w:val="000000"/>
              </w:rPr>
              <w:t>December 19, 2022</w:t>
            </w:r>
          </w:p>
        </w:tc>
        <w:tc>
          <w:tcPr>
            <w:tcW w:w="2340" w:type="dxa"/>
            <w:shd w:val="clear" w:color="auto" w:fill="auto"/>
          </w:tcPr>
          <w:p w:rsidRPr="007F620E" w:rsidR="00D1569A" w:rsidP="009D142A" w:rsidRDefault="00D1569A" w14:paraId="1FCF00DD" w14:textId="77777777">
            <w:pPr>
              <w:tabs>
                <w:tab w:val="left" w:pos="360"/>
              </w:tabs>
              <w:spacing w:before="60" w:after="60"/>
              <w:rPr>
                <w:color w:val="000000"/>
              </w:rPr>
            </w:pPr>
          </w:p>
        </w:tc>
      </w:tr>
      <w:tr w:rsidRPr="007F620E" w:rsidR="00D1569A" w:rsidTr="009D142A" w14:paraId="723259E3" w14:textId="77777777">
        <w:tc>
          <w:tcPr>
            <w:tcW w:w="5040" w:type="dxa"/>
            <w:shd w:val="clear" w:color="auto" w:fill="auto"/>
          </w:tcPr>
          <w:p w:rsidRPr="007F620E" w:rsidR="00D1569A" w:rsidP="009D142A" w:rsidRDefault="00D1569A" w14:paraId="163EE1CA" w14:textId="77777777">
            <w:pPr>
              <w:keepNext/>
              <w:tabs>
                <w:tab w:val="left" w:pos="612"/>
              </w:tabs>
              <w:spacing w:before="60" w:after="60"/>
              <w:ind w:left="360" w:hanging="360"/>
              <w:rPr>
                <w:color w:val="000000"/>
              </w:rPr>
            </w:pPr>
            <w:r w:rsidRPr="007F620E">
              <w:rPr>
                <w:color w:val="000000"/>
              </w:rPr>
              <w:t>15.  File date of compensation request:</w:t>
            </w:r>
          </w:p>
        </w:tc>
        <w:tc>
          <w:tcPr>
            <w:tcW w:w="2340" w:type="dxa"/>
            <w:shd w:val="clear" w:color="auto" w:fill="auto"/>
          </w:tcPr>
          <w:p w:rsidRPr="007F620E" w:rsidR="00D1569A" w:rsidP="009D142A" w:rsidRDefault="00D1569A" w14:paraId="0568B39D" w14:textId="3DC97C0D">
            <w:pPr>
              <w:tabs>
                <w:tab w:val="left" w:pos="360"/>
              </w:tabs>
              <w:spacing w:before="60" w:after="60"/>
              <w:rPr>
                <w:color w:val="000000"/>
              </w:rPr>
            </w:pPr>
            <w:r>
              <w:rPr>
                <w:color w:val="000000"/>
              </w:rPr>
              <w:t>Jan. 27, 2023</w:t>
            </w:r>
          </w:p>
        </w:tc>
        <w:tc>
          <w:tcPr>
            <w:tcW w:w="2340" w:type="dxa"/>
            <w:shd w:val="clear" w:color="auto" w:fill="auto"/>
          </w:tcPr>
          <w:p w:rsidRPr="007F620E" w:rsidR="00D1569A" w:rsidP="009D142A" w:rsidRDefault="00317AF0" w14:paraId="1CBF4E7A" w14:textId="61EAAFE9">
            <w:pPr>
              <w:tabs>
                <w:tab w:val="left" w:pos="360"/>
              </w:tabs>
              <w:spacing w:before="60" w:after="60"/>
              <w:rPr>
                <w:color w:val="000000"/>
              </w:rPr>
            </w:pPr>
            <w:r>
              <w:rPr>
                <w:color w:val="000000"/>
              </w:rPr>
              <w:t>Verified</w:t>
            </w:r>
            <w:r w:rsidR="001E081F">
              <w:rPr>
                <w:color w:val="000000"/>
              </w:rPr>
              <w:t xml:space="preserve">. Also, on </w:t>
            </w:r>
            <w:r w:rsidRPr="003732C5" w:rsidR="001E081F">
              <w:rPr>
                <w:color w:val="000000"/>
              </w:rPr>
              <w:t>May 11, 2023</w:t>
            </w:r>
            <w:r w:rsidR="001E081F">
              <w:rPr>
                <w:color w:val="000000"/>
              </w:rPr>
              <w:t xml:space="preserve"> Green Power Institute (GPI) filed an amended compensation request, adding previously unbilled hours and changing the requested amount. </w:t>
            </w:r>
          </w:p>
        </w:tc>
      </w:tr>
      <w:tr w:rsidRPr="007F620E" w:rsidR="00D1569A" w:rsidTr="009D142A" w14:paraId="406BCA3A" w14:textId="77777777">
        <w:tc>
          <w:tcPr>
            <w:tcW w:w="7380" w:type="dxa"/>
            <w:gridSpan w:val="2"/>
            <w:shd w:val="clear" w:color="auto" w:fill="auto"/>
          </w:tcPr>
          <w:p w:rsidRPr="007F620E" w:rsidR="00D1569A" w:rsidP="009D142A" w:rsidRDefault="00D1569A" w14:paraId="10AF42D1" w14:textId="77777777">
            <w:pPr>
              <w:tabs>
                <w:tab w:val="left" w:pos="360"/>
              </w:tabs>
              <w:spacing w:before="60" w:after="60"/>
              <w:ind w:left="360" w:hanging="360"/>
              <w:rPr>
                <w:color w:val="000000"/>
              </w:rPr>
            </w:pPr>
            <w:r w:rsidRPr="007F620E">
              <w:rPr>
                <w:color w:val="000000"/>
              </w:rPr>
              <w:t>16. Was the request for compensation timely?</w:t>
            </w:r>
          </w:p>
        </w:tc>
        <w:tc>
          <w:tcPr>
            <w:tcW w:w="2340" w:type="dxa"/>
            <w:shd w:val="clear" w:color="auto" w:fill="auto"/>
          </w:tcPr>
          <w:p w:rsidRPr="007F620E" w:rsidR="00D1569A" w:rsidP="009D142A" w:rsidRDefault="009F6B9A" w14:paraId="2EA30E63" w14:textId="3BE763F2">
            <w:pPr>
              <w:tabs>
                <w:tab w:val="left" w:pos="360"/>
              </w:tabs>
              <w:spacing w:before="60" w:after="60"/>
              <w:rPr>
                <w:color w:val="000000"/>
              </w:rPr>
            </w:pPr>
            <w:r>
              <w:rPr>
                <w:color w:val="000000"/>
              </w:rPr>
              <w:t>Yes</w:t>
            </w:r>
          </w:p>
        </w:tc>
      </w:tr>
    </w:tbl>
    <w:p w:rsidRPr="00F0294C" w:rsidR="003B6A1B" w:rsidP="00F0294C" w:rsidRDefault="00A92D0B" w14:paraId="501B5F3D" w14:textId="77777777">
      <w:pPr>
        <w:pStyle w:val="Dummy"/>
        <w:keepLines w:val="0"/>
        <w:spacing w:before="480" w:after="0"/>
        <w:jc w:val="center"/>
        <w:rPr>
          <w:rFonts w:ascii="Times New Roman" w:hAnsi="Times New Roman" w:cs="Times New Roman"/>
          <w:color w:val="000000"/>
        </w:rPr>
      </w:pPr>
      <w:r w:rsidRPr="00F0294C">
        <w:rPr>
          <w:rFonts w:ascii="Times New Roman" w:hAnsi="Times New Roman" w:cs="Times New Roman"/>
          <w:color w:val="000000"/>
        </w:rPr>
        <w:t>PART II:  SUBSTANTIAL CONTRIBUTION</w:t>
      </w:r>
    </w:p>
    <w:p w:rsidRPr="00C02649" w:rsidR="00A92D0B" w:rsidP="009D142A" w:rsidRDefault="00D075B1" w14:paraId="337CC332" w14:textId="2950BF22">
      <w:pPr>
        <w:numPr>
          <w:ilvl w:val="0"/>
          <w:numId w:val="1"/>
        </w:numPr>
        <w:tabs>
          <w:tab w:val="clear" w:pos="900"/>
          <w:tab w:val="num" w:pos="360"/>
        </w:tabs>
        <w:spacing w:before="240" w:after="240"/>
        <w:ind w:left="360"/>
        <w:rPr>
          <w:b/>
          <w:color w:val="000000"/>
        </w:rPr>
      </w:pPr>
      <w:r w:rsidRPr="007F620E">
        <w:rPr>
          <w:b/>
          <w:color w:val="000000"/>
        </w:rPr>
        <w:t xml:space="preserve">Did the </w:t>
      </w:r>
      <w:r w:rsidRPr="007F620E" w:rsidR="005A63D4">
        <w:rPr>
          <w:b/>
          <w:color w:val="000000"/>
        </w:rPr>
        <w:t>Intervenor</w:t>
      </w:r>
      <w:r w:rsidRPr="007F620E">
        <w:rPr>
          <w:b/>
          <w:color w:val="000000"/>
        </w:rPr>
        <w:t xml:space="preserve"> substantially contribute to the final decision</w:t>
      </w:r>
      <w:r w:rsidRPr="007F620E" w:rsidR="00A92D0B">
        <w:rPr>
          <w:b/>
          <w:color w:val="000000"/>
        </w:rPr>
        <w:t xml:space="preserve"> (</w:t>
      </w:r>
      <w:r w:rsidRPr="007F620E" w:rsidR="00A92D0B">
        <w:rPr>
          <w:b/>
          <w:i/>
          <w:color w:val="000000"/>
        </w:rPr>
        <w:t>see</w:t>
      </w:r>
      <w:r w:rsidRPr="007F620E" w:rsidR="00A92D0B">
        <w:rPr>
          <w:b/>
          <w:color w:val="000000"/>
        </w:rPr>
        <w:t xml:space="preserve"> § 1802(</w:t>
      </w:r>
      <w:r w:rsidR="00ED6B6B">
        <w:rPr>
          <w:b/>
          <w:color w:val="000000"/>
        </w:rPr>
        <w:t>j</w:t>
      </w:r>
      <w:r w:rsidRPr="007F620E" w:rsidR="00A92D0B">
        <w:rPr>
          <w:b/>
          <w:color w:val="000000"/>
        </w:rPr>
        <w:t xml:space="preserve">), </w:t>
      </w:r>
      <w:r w:rsidRPr="007F620E" w:rsidR="001E77CF">
        <w:rPr>
          <w:b/>
          <w:color w:val="000000"/>
        </w:rPr>
        <w:br/>
      </w:r>
      <w:r w:rsidRPr="007F620E" w:rsidR="00A92D0B">
        <w:rPr>
          <w:b/>
          <w:color w:val="000000"/>
        </w:rPr>
        <w:t>§ 1803(a)</w:t>
      </w:r>
      <w:r w:rsidRPr="007F620E" w:rsidR="00F30DA8">
        <w:rPr>
          <w:b/>
          <w:color w:val="000000"/>
        </w:rPr>
        <w:t>,</w:t>
      </w:r>
      <w:r w:rsidRPr="007F620E" w:rsidR="00A92D0B">
        <w:rPr>
          <w:b/>
          <w:color w:val="000000"/>
        </w:rPr>
        <w:t xml:space="preserve"> </w:t>
      </w:r>
      <w:r w:rsidR="00ED6B6B">
        <w:rPr>
          <w:b/>
          <w:color w:val="000000"/>
        </w:rPr>
        <w:t xml:space="preserve">1803.1(a) </w:t>
      </w:r>
      <w:r w:rsidRPr="007F620E" w:rsidR="00F30DA8">
        <w:rPr>
          <w:b/>
          <w:color w:val="000000"/>
        </w:rPr>
        <w:t>and</w:t>
      </w:r>
      <w:r w:rsidRPr="007F620E" w:rsidR="00A92D0B">
        <w:rPr>
          <w:b/>
          <w:color w:val="000000"/>
        </w:rPr>
        <w:t xml:space="preserve"> D.98-04-059)</w:t>
      </w:r>
      <w:r w:rsidR="00C02649">
        <w:rPr>
          <w:b/>
          <w:color w:val="000000"/>
        </w:rPr>
        <w:t>:</w:t>
      </w:r>
      <w:r w:rsidRPr="007F620E" w:rsidR="00A92D0B">
        <w:rPr>
          <w:b/>
          <w:color w:val="000000"/>
        </w:rPr>
        <w:t xml:space="preserve">  </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3144"/>
        <w:gridCol w:w="3943"/>
        <w:gridCol w:w="2273"/>
      </w:tblGrid>
      <w:tr w:rsidRPr="007F620E" w:rsidR="00A92D0B" w:rsidTr="009D142A" w14:paraId="67755362" w14:textId="77777777">
        <w:trPr>
          <w:tblHeader/>
        </w:trPr>
        <w:tc>
          <w:tcPr>
            <w:tcW w:w="3258" w:type="dxa"/>
            <w:tcBorders>
              <w:bottom w:val="single" w:color="auto" w:sz="4" w:space="0"/>
            </w:tcBorders>
            <w:shd w:val="pct12" w:color="auto" w:fill="auto"/>
          </w:tcPr>
          <w:p w:rsidRPr="007F620E" w:rsidR="00A92D0B" w:rsidP="00A92D0B" w:rsidRDefault="00D075B1" w14:paraId="7CE2E5BB" w14:textId="77777777">
            <w:pPr>
              <w:spacing w:before="120"/>
              <w:jc w:val="center"/>
              <w:rPr>
                <w:b/>
                <w:color w:val="000000"/>
              </w:rPr>
            </w:pPr>
            <w:r w:rsidRPr="007F620E">
              <w:rPr>
                <w:b/>
                <w:color w:val="000000"/>
              </w:rPr>
              <w:t>Intervenor’s Claimed Contribution(s)</w:t>
            </w:r>
          </w:p>
        </w:tc>
        <w:tc>
          <w:tcPr>
            <w:tcW w:w="4140" w:type="dxa"/>
            <w:tcBorders>
              <w:bottom w:val="single" w:color="auto" w:sz="4" w:space="0"/>
            </w:tcBorders>
            <w:shd w:val="pct12" w:color="auto" w:fill="auto"/>
          </w:tcPr>
          <w:p w:rsidRPr="007F620E" w:rsidR="00A92D0B" w:rsidP="00D075B1" w:rsidRDefault="00A92D0B" w14:paraId="2794272E" w14:textId="77777777">
            <w:pPr>
              <w:spacing w:before="120"/>
              <w:jc w:val="center"/>
              <w:rPr>
                <w:b/>
                <w:color w:val="000000"/>
              </w:rPr>
            </w:pPr>
            <w:r w:rsidRPr="007F620E">
              <w:rPr>
                <w:b/>
                <w:color w:val="000000"/>
              </w:rPr>
              <w:t xml:space="preserve">Specific References to </w:t>
            </w:r>
            <w:r w:rsidRPr="007F620E" w:rsidR="00D075B1">
              <w:rPr>
                <w:b/>
                <w:color w:val="000000"/>
              </w:rPr>
              <w:t>Intervenor’s Claimed Contribution(s)</w:t>
            </w:r>
          </w:p>
        </w:tc>
        <w:tc>
          <w:tcPr>
            <w:tcW w:w="2340" w:type="dxa"/>
            <w:shd w:val="pct12" w:color="auto" w:fill="auto"/>
          </w:tcPr>
          <w:p w:rsidRPr="007F620E" w:rsidR="00A92D0B" w:rsidP="00A92D0B" w:rsidRDefault="00D075B1" w14:paraId="79AFC714" w14:textId="77777777">
            <w:pPr>
              <w:spacing w:before="120"/>
              <w:jc w:val="center"/>
              <w:rPr>
                <w:b/>
                <w:color w:val="000000"/>
              </w:rPr>
            </w:pPr>
            <w:r w:rsidRPr="007F620E">
              <w:rPr>
                <w:b/>
                <w:color w:val="000000"/>
              </w:rPr>
              <w:t>CPUC Discussion</w:t>
            </w:r>
          </w:p>
        </w:tc>
      </w:tr>
      <w:tr w:rsidRPr="007F620E" w:rsidR="0031501B" w:rsidTr="009D142A" w14:paraId="36D90298" w14:textId="77777777">
        <w:tc>
          <w:tcPr>
            <w:tcW w:w="3258" w:type="dxa"/>
            <w:shd w:val="clear" w:color="auto" w:fill="auto"/>
          </w:tcPr>
          <w:p w:rsidRPr="007F620E" w:rsidR="0031501B" w:rsidP="00A92D0B" w:rsidRDefault="0031501B" w14:paraId="24FA28CA" w14:textId="77777777">
            <w:pPr>
              <w:spacing w:before="120"/>
              <w:rPr>
                <w:color w:val="000000"/>
              </w:rPr>
            </w:pPr>
          </w:p>
        </w:tc>
        <w:tc>
          <w:tcPr>
            <w:tcW w:w="4140" w:type="dxa"/>
            <w:shd w:val="clear" w:color="auto" w:fill="auto"/>
          </w:tcPr>
          <w:p w:rsidR="00342A89" w:rsidP="00A92D0B" w:rsidRDefault="0031501B" w14:paraId="747E2514" w14:textId="77777777">
            <w:pPr>
              <w:spacing w:before="120"/>
              <w:rPr>
                <w:color w:val="000000"/>
                <w:sz w:val="22"/>
                <w:szCs w:val="22"/>
              </w:rPr>
            </w:pPr>
            <w:r w:rsidRPr="0031501B">
              <w:rPr>
                <w:color w:val="000000"/>
                <w:sz w:val="22"/>
                <w:szCs w:val="22"/>
              </w:rPr>
              <w:t>(Please note that Attachment 2 includes a list</w:t>
            </w:r>
            <w:r w:rsidRPr="00342A89" w:rsidR="00342A89">
              <w:rPr>
                <w:color w:val="000000"/>
                <w:sz w:val="22"/>
                <w:szCs w:val="22"/>
              </w:rPr>
              <w:t xml:space="preserve"> of</w:t>
            </w:r>
            <w:r w:rsidRPr="0031501B">
              <w:rPr>
                <w:color w:val="000000"/>
                <w:sz w:val="22"/>
                <w:szCs w:val="22"/>
              </w:rPr>
              <w:t xml:space="preserve"> issue areas, and of GPI Pleadings relevant to this Claim.)</w:t>
            </w:r>
          </w:p>
          <w:p w:rsidRPr="00342A89" w:rsidR="00A037DA" w:rsidP="005177A7" w:rsidRDefault="00A037DA" w14:paraId="2BFBA114" w14:textId="67925971">
            <w:pPr>
              <w:rPr>
                <w:color w:val="000000"/>
                <w:sz w:val="22"/>
                <w:szCs w:val="22"/>
              </w:rPr>
            </w:pPr>
          </w:p>
        </w:tc>
        <w:tc>
          <w:tcPr>
            <w:tcW w:w="2340" w:type="dxa"/>
            <w:shd w:val="clear" w:color="auto" w:fill="auto"/>
          </w:tcPr>
          <w:p w:rsidRPr="007F620E" w:rsidR="0031501B" w:rsidP="00A92D0B" w:rsidRDefault="0031501B" w14:paraId="6F5F51FB" w14:textId="77777777">
            <w:pPr>
              <w:spacing w:before="120"/>
              <w:rPr>
                <w:color w:val="000000"/>
              </w:rPr>
            </w:pPr>
          </w:p>
        </w:tc>
      </w:tr>
      <w:tr w:rsidRPr="007F620E" w:rsidR="00A92D0B" w:rsidTr="009D142A" w14:paraId="2E691FFC" w14:textId="77777777">
        <w:tc>
          <w:tcPr>
            <w:tcW w:w="3258" w:type="dxa"/>
            <w:shd w:val="clear" w:color="auto" w:fill="auto"/>
          </w:tcPr>
          <w:p w:rsidRPr="00811559" w:rsidR="006713C9" w:rsidP="00F070BA" w:rsidRDefault="00A92D0B" w14:paraId="57F7860B" w14:textId="350BFD3E">
            <w:pPr>
              <w:spacing w:before="120"/>
            </w:pPr>
            <w:r w:rsidRPr="00811559">
              <w:rPr>
                <w:b/>
                <w:bCs/>
              </w:rPr>
              <w:t>1.</w:t>
            </w:r>
            <w:r w:rsidRPr="00811559" w:rsidR="00E25078">
              <w:t xml:space="preserve"> </w:t>
            </w:r>
            <w:r w:rsidRPr="00811559" w:rsidR="00C17581">
              <w:t xml:space="preserve"> </w:t>
            </w:r>
            <w:r w:rsidRPr="00811559" w:rsidR="005E4EA4">
              <w:rPr>
                <w:b/>
              </w:rPr>
              <w:t>Support for Program</w:t>
            </w:r>
            <w:r w:rsidRPr="00811559" w:rsidR="00342A89">
              <w:t>.</w:t>
            </w:r>
            <w:r w:rsidRPr="00811559" w:rsidR="00C066DB">
              <w:t xml:space="preserve">  </w:t>
            </w:r>
          </w:p>
          <w:p w:rsidRPr="005E4EA4" w:rsidR="00811559" w:rsidP="004B7879" w:rsidRDefault="00811559" w14:paraId="1B0CC007" w14:textId="7B705C09">
            <w:pPr>
              <w:spacing w:before="120"/>
              <w:rPr>
                <w:color w:val="FF0000"/>
              </w:rPr>
            </w:pPr>
            <w:r w:rsidRPr="00811559">
              <w:t>The GPI has consistently supported this PG&amp;E Application from our initial response to the Application to our support for the Proposed Decision</w:t>
            </w:r>
            <w:r w:rsidR="002C3C44">
              <w:t xml:space="preserve"> (PD)</w:t>
            </w:r>
            <w:r w:rsidRPr="00811559">
              <w:t xml:space="preserve">.  We argued for a number of adjustments to the proposal, but consistently provided overall support for the Application </w:t>
            </w:r>
            <w:r w:rsidRPr="00811559">
              <w:lastRenderedPageBreak/>
              <w:t>and its rapid enactment.  GPI made a substantial contribution to D.22-12-054 by constructively supporting the Application with helpful suggestions for improvements.</w:t>
            </w:r>
          </w:p>
        </w:tc>
        <w:tc>
          <w:tcPr>
            <w:tcW w:w="4140" w:type="dxa"/>
            <w:shd w:val="clear" w:color="auto" w:fill="auto"/>
          </w:tcPr>
          <w:p w:rsidRPr="004308AC" w:rsidR="00F070BA" w:rsidP="004308AC" w:rsidRDefault="00F070BA" w14:paraId="4E71849E" w14:textId="5E80F100">
            <w:pPr>
              <w:spacing w:before="120"/>
              <w:rPr>
                <w:b/>
                <w:bCs/>
                <w:color w:val="000000"/>
              </w:rPr>
            </w:pPr>
            <w:bookmarkStart w:name="_Hlk80199156" w:id="0"/>
            <w:r>
              <w:rPr>
                <w:b/>
                <w:bCs/>
                <w:color w:val="000000"/>
              </w:rPr>
              <w:lastRenderedPageBreak/>
              <w:t>Decision D.22-1</w:t>
            </w:r>
            <w:r w:rsidR="005E4EA4">
              <w:rPr>
                <w:b/>
                <w:bCs/>
                <w:color w:val="000000"/>
              </w:rPr>
              <w:t>2</w:t>
            </w:r>
            <w:r>
              <w:rPr>
                <w:b/>
                <w:bCs/>
                <w:color w:val="000000"/>
              </w:rPr>
              <w:t>-0</w:t>
            </w:r>
            <w:r w:rsidR="005E4EA4">
              <w:rPr>
                <w:b/>
                <w:bCs/>
                <w:color w:val="000000"/>
              </w:rPr>
              <w:t>5</w:t>
            </w:r>
            <w:r>
              <w:rPr>
                <w:b/>
                <w:bCs/>
                <w:color w:val="000000"/>
              </w:rPr>
              <w:t>4</w:t>
            </w:r>
          </w:p>
          <w:bookmarkEnd w:id="0"/>
          <w:p w:rsidRPr="005E4EA4" w:rsidR="005E4EA4" w:rsidP="005E4EA4" w:rsidRDefault="005E4EA4" w14:paraId="250ADB95" w14:textId="77777777">
            <w:pPr>
              <w:spacing w:before="120"/>
              <w:rPr>
                <w:color w:val="000000"/>
              </w:rPr>
            </w:pPr>
            <w:r w:rsidRPr="005E4EA4">
              <w:rPr>
                <w:color w:val="000000"/>
              </w:rPr>
              <w:t xml:space="preserve">This decision approves $52,248,000 in funding for Pacific Gas and Electric Company (PG&amp;E) to implement phase 1 of its Electric Vehicle Charge 2 program, from January 1, 2023, to December 31, 2026, and support the installation of approximately 2,822 Level 2 and Direct Current Fast Charger ports at multi-family housing, workplace, and public destination sites </w:t>
            </w:r>
            <w:r w:rsidRPr="005E4EA4">
              <w:rPr>
                <w:color w:val="000000"/>
              </w:rPr>
              <w:lastRenderedPageBreak/>
              <w:t>in PG&amp;E’s service territory.  [D.22-12-054, pg. 1.]</w:t>
            </w:r>
          </w:p>
          <w:p w:rsidRPr="001C029F" w:rsidR="001C029F" w:rsidP="001C029F" w:rsidRDefault="001C029F" w14:paraId="4224CA21" w14:textId="21631EF4">
            <w:pPr>
              <w:spacing w:before="120"/>
              <w:rPr>
                <w:b/>
                <w:color w:val="000000"/>
              </w:rPr>
            </w:pPr>
            <w:r w:rsidRPr="001C029F">
              <w:rPr>
                <w:b/>
                <w:color w:val="000000"/>
              </w:rPr>
              <w:t>Pleadings</w:t>
            </w:r>
          </w:p>
          <w:p w:rsidRPr="005E4EA4" w:rsidR="005E4EA4" w:rsidP="005E4EA4" w:rsidRDefault="005E4EA4" w14:paraId="1155648F" w14:textId="77777777">
            <w:pPr>
              <w:spacing w:before="120"/>
              <w:rPr>
                <w:color w:val="000000"/>
              </w:rPr>
            </w:pPr>
            <w:r w:rsidRPr="005E4EA4">
              <w:rPr>
                <w:color w:val="000000"/>
              </w:rPr>
              <w:t xml:space="preserve">GPI is supportive of PG&amp;E’s EV Charge 2 application, requested budget and proposed focus areas, and agrees it should receive an expedited schedule. We are happy to see PG&amp;E’s previous DCFC pilot, which GPI criticized as far too small, being expanded with this new application in an expedited manner. </w:t>
            </w:r>
            <w:bookmarkStart w:name="_Hlk125039038" w:id="1"/>
            <w:r w:rsidRPr="005E4EA4">
              <w:rPr>
                <w:color w:val="000000"/>
              </w:rPr>
              <w:t>[Comments, 11/29/21, pg. 2.]</w:t>
            </w:r>
          </w:p>
          <w:bookmarkEnd w:id="1"/>
          <w:p w:rsidRPr="005E4EA4" w:rsidR="005E4EA4" w:rsidP="005E4EA4" w:rsidRDefault="005E4EA4" w14:paraId="33847446" w14:textId="77777777">
            <w:pPr>
              <w:spacing w:before="120"/>
              <w:rPr>
                <w:color w:val="000000"/>
              </w:rPr>
            </w:pPr>
            <w:r w:rsidRPr="005E4EA4">
              <w:rPr>
                <w:color w:val="000000"/>
              </w:rPr>
              <w:t>We are happy to see PG&amp;E’s previous DCFC pilot, which GPI criticized as far too small, being expanded with this new application, in an expedited manner. PG&amp;E’s momentum with EVCN, which focused on L2 chargers and was quickly fully subscribed and achieved 200-300 new charger port installs a month “toward the end of the program,” weighs strongly in favor of not losing this momentum with a multi-year pause between EVCN and EVC2.  [</w:t>
            </w:r>
            <w:bookmarkStart w:name="_Hlk125018031" w:id="2"/>
            <w:r w:rsidRPr="005E4EA4">
              <w:rPr>
                <w:color w:val="000000"/>
              </w:rPr>
              <w:t>Testimony, 3/2/22, pg. 3</w:t>
            </w:r>
            <w:bookmarkEnd w:id="2"/>
            <w:r w:rsidRPr="005E4EA4">
              <w:rPr>
                <w:color w:val="000000"/>
              </w:rPr>
              <w:t>.]</w:t>
            </w:r>
          </w:p>
          <w:p w:rsidRPr="00D9481A" w:rsidR="00D9481A" w:rsidP="00D9481A" w:rsidRDefault="00D9481A" w14:paraId="17997EBE" w14:textId="77777777">
            <w:pPr>
              <w:spacing w:before="120"/>
              <w:rPr>
                <w:color w:val="000000"/>
              </w:rPr>
            </w:pPr>
            <w:r w:rsidRPr="00D9481A">
              <w:rPr>
                <w:color w:val="000000"/>
              </w:rPr>
              <w:t>GPI remains strongly supportive of PG&amp;E’s EV Charge 2 Application, including its requested budget (with adjustments below) and proposed focus areas. We believe the Application should be approved on an expedited schedule, as requested by PG&amp;E, in order to maintain continuity with PG&amp;E’s first-round charger installation program (EVCN).  [Brief, 8/24/22, pg. 1.]</w:t>
            </w:r>
          </w:p>
          <w:p w:rsidRPr="00D9481A" w:rsidR="00D9481A" w:rsidP="00D9481A" w:rsidRDefault="00D9481A" w14:paraId="70B6CF37" w14:textId="77777777">
            <w:pPr>
              <w:spacing w:before="120"/>
              <w:rPr>
                <w:color w:val="000000"/>
              </w:rPr>
            </w:pPr>
            <w:r w:rsidRPr="00D9481A">
              <w:rPr>
                <w:color w:val="000000"/>
              </w:rPr>
              <w:t xml:space="preserve">GPI does not support the bifurcation of EVC2 because PG&amp;E, the state’s largest utility, stands alone in having no currently active EV rebate program </w:t>
            </w:r>
            <w:r w:rsidRPr="00D9481A">
              <w:rPr>
                <w:color w:val="000000"/>
              </w:rPr>
              <w:lastRenderedPageBreak/>
              <w:t>and the proposed new 2-year “phase 1” (2023-2025) is inadequate to the scale required for the EV revolution that is already underway.  [Comments, 11/28/22, pg. 2.]</w:t>
            </w:r>
          </w:p>
          <w:p w:rsidRPr="00D9481A" w:rsidR="00D9481A" w:rsidP="00D9481A" w:rsidRDefault="00D9481A" w14:paraId="7BA3A022" w14:textId="02C17BA5">
            <w:pPr>
              <w:spacing w:before="120"/>
              <w:rPr>
                <w:color w:val="000000"/>
              </w:rPr>
            </w:pPr>
            <w:r w:rsidRPr="00D9481A">
              <w:rPr>
                <w:color w:val="000000"/>
              </w:rPr>
              <w:t>GPI agrees with PG&amp;E and numerous other party comments that call for the PD to align</w:t>
            </w:r>
            <w:r>
              <w:rPr>
                <w:color w:val="000000"/>
              </w:rPr>
              <w:t xml:space="preserve"> </w:t>
            </w:r>
            <w:r w:rsidRPr="00D9481A">
              <w:rPr>
                <w:color w:val="000000"/>
              </w:rPr>
              <w:t>with the FC0 grace period established in D.22.11-040, to allow applications to be accepted</w:t>
            </w:r>
            <w:r>
              <w:rPr>
                <w:color w:val="000000"/>
              </w:rPr>
              <w:t xml:space="preserve"> </w:t>
            </w:r>
            <w:r w:rsidRPr="00D9481A">
              <w:rPr>
                <w:color w:val="000000"/>
              </w:rPr>
              <w:t>through December 31, 2026. EVC2 should align with the grace period established in the</w:t>
            </w:r>
            <w:r>
              <w:rPr>
                <w:color w:val="000000"/>
              </w:rPr>
              <w:t xml:space="preserve"> </w:t>
            </w:r>
            <w:r w:rsidRPr="00D9481A">
              <w:rPr>
                <w:color w:val="000000"/>
              </w:rPr>
              <w:t>TEF. This will give more certainty to program participants, reduce the likelihood of program</w:t>
            </w:r>
            <w:r>
              <w:rPr>
                <w:color w:val="000000"/>
              </w:rPr>
              <w:t xml:space="preserve"> </w:t>
            </w:r>
            <w:r w:rsidRPr="00D9481A">
              <w:rPr>
                <w:color w:val="000000"/>
              </w:rPr>
              <w:t>gaps, allow for post-energization ME&amp;O, which is critical to increasing utilization, and</w:t>
            </w:r>
            <w:r>
              <w:rPr>
                <w:color w:val="000000"/>
              </w:rPr>
              <w:t xml:space="preserve"> </w:t>
            </w:r>
            <w:r w:rsidRPr="00D9481A">
              <w:rPr>
                <w:color w:val="000000"/>
              </w:rPr>
              <w:t>make for an overall more efficient program.  [Reply, 12/5/22, pg. 1.]</w:t>
            </w:r>
          </w:p>
          <w:p w:rsidRPr="007F620E" w:rsidR="00A92D0B" w:rsidP="00D9481A" w:rsidRDefault="00A92D0B" w14:paraId="532F95D2" w14:textId="186B2C08">
            <w:pPr>
              <w:spacing w:before="120"/>
              <w:rPr>
                <w:color w:val="000000"/>
              </w:rPr>
            </w:pPr>
          </w:p>
        </w:tc>
        <w:tc>
          <w:tcPr>
            <w:tcW w:w="2340" w:type="dxa"/>
            <w:shd w:val="clear" w:color="auto" w:fill="auto"/>
          </w:tcPr>
          <w:p w:rsidR="00A92D0B" w:rsidP="00A92D0B" w:rsidRDefault="00FD2571" w14:paraId="01F6FB1C" w14:textId="390B33E3">
            <w:pPr>
              <w:spacing w:before="120"/>
              <w:rPr>
                <w:color w:val="000000"/>
              </w:rPr>
            </w:pPr>
            <w:r>
              <w:rPr>
                <w:color w:val="000000"/>
              </w:rPr>
              <w:lastRenderedPageBreak/>
              <w:t>Veri</w:t>
            </w:r>
            <w:r w:rsidR="00031F45">
              <w:rPr>
                <w:color w:val="000000"/>
              </w:rPr>
              <w:t>fied in part.</w:t>
            </w:r>
          </w:p>
          <w:p w:rsidR="00031F45" w:rsidP="00A92D0B" w:rsidRDefault="00031F45" w14:paraId="659E9AC5" w14:textId="77777777">
            <w:pPr>
              <w:spacing w:before="120"/>
              <w:rPr>
                <w:color w:val="000000"/>
              </w:rPr>
            </w:pPr>
          </w:p>
          <w:p w:rsidR="00B064EC" w:rsidP="00B064EC" w:rsidRDefault="00B064EC" w14:paraId="542160F4" w14:textId="28FD4942">
            <w:pPr>
              <w:spacing w:before="120"/>
              <w:rPr>
                <w:color w:val="000000"/>
              </w:rPr>
            </w:pPr>
            <w:r>
              <w:rPr>
                <w:color w:val="000000"/>
              </w:rPr>
              <w:t>GPI’s pleadings do not consistently tie their opinions to the issues scoped within this proceeding.  Absent arguments substantiat</w:t>
            </w:r>
            <w:r w:rsidR="00C10103">
              <w:rPr>
                <w:color w:val="000000"/>
              </w:rPr>
              <w:t>ing</w:t>
            </w:r>
            <w:r>
              <w:rPr>
                <w:color w:val="000000"/>
              </w:rPr>
              <w:t xml:space="preserve"> that proposed actions are just and reasonable</w:t>
            </w:r>
            <w:r w:rsidR="00CE22F9">
              <w:rPr>
                <w:color w:val="000000"/>
              </w:rPr>
              <w:t xml:space="preserve"> </w:t>
            </w:r>
            <w:r w:rsidR="00CE22F9">
              <w:rPr>
                <w:color w:val="000000"/>
              </w:rPr>
              <w:lastRenderedPageBreak/>
              <w:t>or otherwise within scope</w:t>
            </w:r>
            <w:r>
              <w:rPr>
                <w:color w:val="000000"/>
              </w:rPr>
              <w:t>, this input does not contribute to the final decision.</w:t>
            </w:r>
          </w:p>
          <w:p w:rsidR="00B064EC" w:rsidP="00B064EC" w:rsidRDefault="00B064EC" w14:paraId="1530A34E" w14:textId="77777777">
            <w:pPr>
              <w:spacing w:before="120"/>
              <w:rPr>
                <w:color w:val="000000"/>
              </w:rPr>
            </w:pPr>
          </w:p>
          <w:p w:rsidR="00FE120D" w:rsidP="00B064EC" w:rsidRDefault="00FE120D" w14:paraId="2236E19B" w14:textId="706BDC47">
            <w:pPr>
              <w:spacing w:before="120"/>
              <w:rPr>
                <w:color w:val="000000"/>
              </w:rPr>
            </w:pPr>
            <w:r>
              <w:rPr>
                <w:color w:val="000000"/>
              </w:rPr>
              <w:t>Noting that there is a need for a</w:t>
            </w:r>
            <w:r w:rsidR="00354B8E">
              <w:rPr>
                <w:color w:val="000000"/>
              </w:rPr>
              <w:t>n active EV rebate</w:t>
            </w:r>
            <w:r>
              <w:rPr>
                <w:color w:val="000000"/>
              </w:rPr>
              <w:t xml:space="preserve"> program does not </w:t>
            </w:r>
            <w:r w:rsidR="001C3517">
              <w:rPr>
                <w:color w:val="000000"/>
              </w:rPr>
              <w:t xml:space="preserve">provide a rationale for why </w:t>
            </w:r>
            <w:r w:rsidRPr="00DB3530" w:rsidR="001C3517">
              <w:rPr>
                <w:i/>
                <w:iCs/>
                <w:color w:val="000000"/>
              </w:rPr>
              <w:t xml:space="preserve">this </w:t>
            </w:r>
            <w:r w:rsidRPr="00DB3530" w:rsidR="00CE22F9">
              <w:rPr>
                <w:i/>
                <w:iCs/>
                <w:color w:val="000000"/>
              </w:rPr>
              <w:t>program</w:t>
            </w:r>
            <w:r w:rsidRPr="00DB3530" w:rsidR="001C3517">
              <w:rPr>
                <w:i/>
                <w:iCs/>
                <w:color w:val="000000"/>
              </w:rPr>
              <w:t xml:space="preserve"> design </w:t>
            </w:r>
            <w:r w:rsidR="001C3517">
              <w:rPr>
                <w:color w:val="000000"/>
              </w:rPr>
              <w:t>should be supported.</w:t>
            </w:r>
          </w:p>
          <w:p w:rsidR="00FE120D" w:rsidP="00B064EC" w:rsidRDefault="00FE120D" w14:paraId="3E0BED88" w14:textId="77777777">
            <w:pPr>
              <w:spacing w:before="120"/>
              <w:rPr>
                <w:color w:val="000000"/>
              </w:rPr>
            </w:pPr>
          </w:p>
          <w:p w:rsidR="00DC7C91" w:rsidP="00A92D0B" w:rsidRDefault="001511A6" w14:paraId="684E44CD" w14:textId="1C94EFF4">
            <w:pPr>
              <w:spacing w:before="120"/>
              <w:rPr>
                <w:color w:val="000000"/>
              </w:rPr>
            </w:pPr>
            <w:r>
              <w:t>GPI’s consistent support, in</w:t>
            </w:r>
            <w:r>
              <w:rPr>
                <w:spacing w:val="-8"/>
              </w:rPr>
              <w:t xml:space="preserve"> </w:t>
            </w:r>
            <w:r>
              <w:t>and</w:t>
            </w:r>
            <w:r>
              <w:rPr>
                <w:spacing w:val="-8"/>
              </w:rPr>
              <w:t xml:space="preserve"> </w:t>
            </w:r>
            <w:r>
              <w:t>of</w:t>
            </w:r>
            <w:r>
              <w:rPr>
                <w:spacing w:val="-11"/>
              </w:rPr>
              <w:t xml:space="preserve"> </w:t>
            </w:r>
            <w:r>
              <w:t>itself,</w:t>
            </w:r>
            <w:r>
              <w:rPr>
                <w:spacing w:val="-11"/>
              </w:rPr>
              <w:t xml:space="preserve"> </w:t>
            </w:r>
            <w:r>
              <w:t xml:space="preserve">did not comprise a </w:t>
            </w:r>
            <w:r>
              <w:rPr>
                <w:spacing w:val="-2"/>
              </w:rPr>
              <w:t>substantive contribution to the final decision and did not materially supplement, complement, or contribute to the presentation of another party. (See §§ 1801.3 and 1802.5)</w:t>
            </w:r>
          </w:p>
          <w:p w:rsidR="004E3027" w:rsidP="00A92D0B" w:rsidRDefault="004E3027" w14:paraId="1A612BE5" w14:textId="77777777">
            <w:pPr>
              <w:spacing w:before="120"/>
              <w:rPr>
                <w:color w:val="000000"/>
              </w:rPr>
            </w:pPr>
          </w:p>
          <w:p w:rsidR="004E3027" w:rsidP="00A92D0B" w:rsidRDefault="004E3027" w14:paraId="7F131AD2" w14:textId="77777777">
            <w:pPr>
              <w:spacing w:before="120"/>
              <w:rPr>
                <w:color w:val="000000"/>
              </w:rPr>
            </w:pPr>
          </w:p>
          <w:p w:rsidR="004E3027" w:rsidP="00A92D0B" w:rsidRDefault="004E3027" w14:paraId="5C81DBEA" w14:textId="77777777">
            <w:pPr>
              <w:spacing w:before="120"/>
              <w:rPr>
                <w:color w:val="000000"/>
              </w:rPr>
            </w:pPr>
          </w:p>
          <w:p w:rsidR="004E3027" w:rsidP="00A92D0B" w:rsidRDefault="004E3027" w14:paraId="7D62B219" w14:textId="77777777">
            <w:pPr>
              <w:spacing w:before="120"/>
              <w:rPr>
                <w:color w:val="000000"/>
              </w:rPr>
            </w:pPr>
          </w:p>
          <w:p w:rsidR="004C778A" w:rsidP="00A92D0B" w:rsidRDefault="004C778A" w14:paraId="2D3738E8" w14:textId="77777777">
            <w:pPr>
              <w:spacing w:before="120"/>
              <w:rPr>
                <w:color w:val="000000"/>
              </w:rPr>
            </w:pPr>
          </w:p>
          <w:p w:rsidR="004C778A" w:rsidP="00A92D0B" w:rsidRDefault="004C778A" w14:paraId="1A25CDB2" w14:textId="77777777">
            <w:pPr>
              <w:spacing w:before="120"/>
              <w:rPr>
                <w:color w:val="000000"/>
              </w:rPr>
            </w:pPr>
          </w:p>
          <w:p w:rsidR="004C778A" w:rsidP="00A92D0B" w:rsidRDefault="004C778A" w14:paraId="337ECD90" w14:textId="77777777">
            <w:pPr>
              <w:spacing w:before="120"/>
              <w:rPr>
                <w:color w:val="000000"/>
              </w:rPr>
            </w:pPr>
          </w:p>
          <w:p w:rsidR="004C778A" w:rsidP="00A92D0B" w:rsidRDefault="004C778A" w14:paraId="0EE53678" w14:textId="77777777">
            <w:pPr>
              <w:spacing w:before="120"/>
              <w:rPr>
                <w:color w:val="000000"/>
              </w:rPr>
            </w:pPr>
          </w:p>
          <w:p w:rsidR="004C778A" w:rsidP="00A92D0B" w:rsidRDefault="004C778A" w14:paraId="6744A88A" w14:textId="77777777">
            <w:pPr>
              <w:spacing w:before="120"/>
              <w:rPr>
                <w:color w:val="000000"/>
              </w:rPr>
            </w:pPr>
          </w:p>
          <w:p w:rsidR="004E3027" w:rsidP="00A92D0B" w:rsidRDefault="004E3027" w14:paraId="07610A72" w14:textId="77777777">
            <w:pPr>
              <w:spacing w:before="120"/>
              <w:rPr>
                <w:color w:val="000000"/>
              </w:rPr>
            </w:pPr>
          </w:p>
          <w:p w:rsidR="004E3027" w:rsidP="00A92D0B" w:rsidRDefault="004E3027" w14:paraId="487F84C4" w14:textId="77777777">
            <w:pPr>
              <w:spacing w:before="120"/>
              <w:rPr>
                <w:color w:val="000000"/>
              </w:rPr>
            </w:pPr>
          </w:p>
          <w:p w:rsidR="004E3027" w:rsidP="00A92D0B" w:rsidRDefault="004E3027" w14:paraId="4831CA67" w14:textId="77777777">
            <w:pPr>
              <w:spacing w:before="120"/>
              <w:rPr>
                <w:color w:val="000000"/>
              </w:rPr>
            </w:pPr>
          </w:p>
          <w:p w:rsidR="004E3027" w:rsidP="00A92D0B" w:rsidRDefault="004E3027" w14:paraId="50865C77" w14:textId="77777777">
            <w:pPr>
              <w:spacing w:before="120"/>
              <w:rPr>
                <w:color w:val="000000"/>
              </w:rPr>
            </w:pPr>
          </w:p>
          <w:p w:rsidR="004E3027" w:rsidP="00A92D0B" w:rsidRDefault="004E3027" w14:paraId="1206B9CF" w14:textId="77777777">
            <w:pPr>
              <w:spacing w:before="120"/>
              <w:rPr>
                <w:color w:val="000000"/>
              </w:rPr>
            </w:pPr>
          </w:p>
          <w:p w:rsidR="004E3027" w:rsidP="00A92D0B" w:rsidRDefault="004E3027" w14:paraId="1EE3D89D" w14:textId="77777777">
            <w:pPr>
              <w:spacing w:before="120"/>
              <w:rPr>
                <w:color w:val="000000"/>
              </w:rPr>
            </w:pPr>
          </w:p>
          <w:p w:rsidR="004E3027" w:rsidP="00A92D0B" w:rsidRDefault="004E3027" w14:paraId="007B80F5" w14:textId="77777777">
            <w:pPr>
              <w:spacing w:before="120"/>
              <w:rPr>
                <w:color w:val="000000"/>
              </w:rPr>
            </w:pPr>
          </w:p>
          <w:p w:rsidR="004E3027" w:rsidP="00A92D0B" w:rsidRDefault="004E3027" w14:paraId="61855400" w14:textId="77777777">
            <w:pPr>
              <w:spacing w:before="120"/>
              <w:rPr>
                <w:color w:val="000000"/>
              </w:rPr>
            </w:pPr>
          </w:p>
          <w:p w:rsidR="004E3027" w:rsidP="00A92D0B" w:rsidRDefault="004E3027" w14:paraId="05D8EAA0" w14:textId="77777777">
            <w:pPr>
              <w:spacing w:before="120"/>
              <w:rPr>
                <w:color w:val="000000"/>
              </w:rPr>
            </w:pPr>
          </w:p>
          <w:p w:rsidR="004E3027" w:rsidP="00A92D0B" w:rsidRDefault="004E3027" w14:paraId="79B609A1" w14:textId="77777777">
            <w:pPr>
              <w:spacing w:before="120"/>
              <w:rPr>
                <w:color w:val="000000"/>
              </w:rPr>
            </w:pPr>
          </w:p>
          <w:p w:rsidR="004E610D" w:rsidP="00A92D0B" w:rsidRDefault="004E610D" w14:paraId="6ABCE862" w14:textId="77777777">
            <w:pPr>
              <w:spacing w:before="120"/>
              <w:rPr>
                <w:color w:val="000000"/>
              </w:rPr>
            </w:pPr>
          </w:p>
          <w:p w:rsidR="004E610D" w:rsidP="00A92D0B" w:rsidRDefault="004E610D" w14:paraId="68B56638" w14:textId="77777777">
            <w:pPr>
              <w:spacing w:before="120"/>
              <w:rPr>
                <w:color w:val="000000"/>
              </w:rPr>
            </w:pPr>
          </w:p>
          <w:p w:rsidR="004E610D" w:rsidP="00A92D0B" w:rsidRDefault="004E610D" w14:paraId="5A15C691" w14:textId="77777777">
            <w:pPr>
              <w:spacing w:before="120"/>
              <w:rPr>
                <w:color w:val="000000"/>
              </w:rPr>
            </w:pPr>
          </w:p>
          <w:p w:rsidR="004E610D" w:rsidP="00A92D0B" w:rsidRDefault="004E610D" w14:paraId="22B4FF32" w14:textId="77777777">
            <w:pPr>
              <w:spacing w:before="120"/>
              <w:rPr>
                <w:color w:val="000000"/>
              </w:rPr>
            </w:pPr>
          </w:p>
          <w:p w:rsidR="00577568" w:rsidP="00A92D0B" w:rsidRDefault="00577568" w14:paraId="65FC573D" w14:textId="77777777">
            <w:pPr>
              <w:spacing w:before="120"/>
              <w:rPr>
                <w:color w:val="000000"/>
              </w:rPr>
            </w:pPr>
          </w:p>
          <w:p w:rsidR="00577568" w:rsidP="00A92D0B" w:rsidRDefault="00577568" w14:paraId="02385737" w14:textId="77777777">
            <w:pPr>
              <w:spacing w:before="120"/>
              <w:rPr>
                <w:color w:val="000000"/>
              </w:rPr>
            </w:pPr>
          </w:p>
          <w:p w:rsidR="00577568" w:rsidP="00A92D0B" w:rsidRDefault="00577568" w14:paraId="4A763304" w14:textId="77777777">
            <w:pPr>
              <w:spacing w:before="120"/>
              <w:rPr>
                <w:color w:val="000000"/>
              </w:rPr>
            </w:pPr>
          </w:p>
          <w:p w:rsidR="00577568" w:rsidP="00A92D0B" w:rsidRDefault="00577568" w14:paraId="38A0FCF7" w14:textId="77777777">
            <w:pPr>
              <w:spacing w:before="120"/>
              <w:rPr>
                <w:color w:val="000000"/>
              </w:rPr>
            </w:pPr>
          </w:p>
          <w:p w:rsidR="00577568" w:rsidP="00A92D0B" w:rsidRDefault="00577568" w14:paraId="3837CF6F" w14:textId="77777777">
            <w:pPr>
              <w:spacing w:before="120"/>
              <w:rPr>
                <w:color w:val="000000"/>
              </w:rPr>
            </w:pPr>
          </w:p>
          <w:p w:rsidRPr="007F620E" w:rsidR="004639AA" w:rsidP="00A92D0B" w:rsidRDefault="004639AA" w14:paraId="63938BDA" w14:textId="0DA44CC8">
            <w:pPr>
              <w:spacing w:before="120"/>
              <w:rPr>
                <w:color w:val="000000"/>
              </w:rPr>
            </w:pPr>
          </w:p>
        </w:tc>
      </w:tr>
      <w:tr w:rsidRPr="007F620E" w:rsidR="00A92D0B" w:rsidTr="009D142A" w14:paraId="4AAA05AE" w14:textId="77777777">
        <w:tc>
          <w:tcPr>
            <w:tcW w:w="3258" w:type="dxa"/>
            <w:shd w:val="clear" w:color="auto" w:fill="auto"/>
          </w:tcPr>
          <w:p w:rsidR="00C17581" w:rsidP="002C67F6" w:rsidRDefault="00A92D0B" w14:paraId="1D3B7C9A" w14:textId="11D64A62">
            <w:pPr>
              <w:rPr>
                <w:b/>
                <w:bCs/>
                <w:color w:val="000000"/>
              </w:rPr>
            </w:pPr>
            <w:r w:rsidRPr="00D47C6F">
              <w:rPr>
                <w:b/>
                <w:bCs/>
                <w:color w:val="000000"/>
              </w:rPr>
              <w:lastRenderedPageBreak/>
              <w:t>2.</w:t>
            </w:r>
            <w:r w:rsidRPr="00D47C6F" w:rsidR="00E25078">
              <w:rPr>
                <w:b/>
                <w:bCs/>
                <w:color w:val="000000"/>
              </w:rPr>
              <w:t xml:space="preserve"> </w:t>
            </w:r>
            <w:r w:rsidR="00C17581">
              <w:rPr>
                <w:b/>
                <w:bCs/>
                <w:color w:val="000000"/>
              </w:rPr>
              <w:t xml:space="preserve"> </w:t>
            </w:r>
            <w:r w:rsidR="005E4EA4">
              <w:rPr>
                <w:b/>
              </w:rPr>
              <w:t>Load Management</w:t>
            </w:r>
            <w:r w:rsidR="002C67F6">
              <w:rPr>
                <w:b/>
              </w:rPr>
              <w:t>.</w:t>
            </w:r>
            <w:r w:rsidRPr="00C17581" w:rsidR="00C17581">
              <w:rPr>
                <w:b/>
                <w:bCs/>
                <w:color w:val="000000"/>
              </w:rPr>
              <w:t xml:space="preserve"> </w:t>
            </w:r>
          </w:p>
          <w:p w:rsidRPr="00CD725E" w:rsidR="00CB1B1A" w:rsidP="00C17581" w:rsidRDefault="00811559" w14:paraId="22A0B01E" w14:textId="73F9FD15">
            <w:pPr>
              <w:spacing w:before="120"/>
            </w:pPr>
            <w:r w:rsidRPr="00CD725E">
              <w:t>As California moves forward with its</w:t>
            </w:r>
            <w:r w:rsidRPr="00CD725E" w:rsidR="00FF4ECF">
              <w:t xml:space="preserve"> aggressive</w:t>
            </w:r>
            <w:r w:rsidRPr="00CD725E">
              <w:t xml:space="preserve"> vehicle electrification efforts EVs are becoming an increasing fraction </w:t>
            </w:r>
            <w:r w:rsidRPr="00CD725E" w:rsidR="00FF4ECF">
              <w:t xml:space="preserve">of total load on the grid.  Properly managed the EV load can contribute positively to overall grid stability, but ill managed it could exacerbate the afternoon </w:t>
            </w:r>
            <w:r w:rsidRPr="00CD725E" w:rsidR="00CD725E">
              <w:t xml:space="preserve">ramp and the evening peak.  GPI made substantial contributions to </w:t>
            </w:r>
            <w:r w:rsidRPr="00CD725E" w:rsidR="00CD725E">
              <w:lastRenderedPageBreak/>
              <w:t>D.22-12-054 by arguing strongly for the imposition of rules that mandate the application of time-of-use rates at charges funded by the CR2 program, by offerings of low rates during off-peak times in order to allow for affordable charging in DACs, and other measures designed to promote grid operability and stability.</w:t>
            </w:r>
          </w:p>
          <w:p w:rsidRPr="007F620E" w:rsidR="006713C9" w:rsidP="00A92D0B" w:rsidRDefault="006713C9" w14:paraId="11FCCEB5" w14:textId="416A8F64">
            <w:pPr>
              <w:spacing w:before="120"/>
              <w:rPr>
                <w:color w:val="000000"/>
              </w:rPr>
            </w:pPr>
          </w:p>
        </w:tc>
        <w:tc>
          <w:tcPr>
            <w:tcW w:w="4140" w:type="dxa"/>
            <w:shd w:val="clear" w:color="auto" w:fill="auto"/>
          </w:tcPr>
          <w:p w:rsidRPr="002C67F6" w:rsidR="002C67F6" w:rsidP="00C17581" w:rsidRDefault="002C67F6" w14:paraId="36C4D0C3" w14:textId="3F7FB23A">
            <w:pPr>
              <w:spacing w:before="120"/>
              <w:rPr>
                <w:b/>
                <w:bCs/>
                <w:color w:val="000000"/>
              </w:rPr>
            </w:pPr>
            <w:r w:rsidRPr="002C67F6">
              <w:rPr>
                <w:b/>
                <w:bCs/>
                <w:color w:val="000000"/>
              </w:rPr>
              <w:lastRenderedPageBreak/>
              <w:t>Decision D.22-1</w:t>
            </w:r>
            <w:r w:rsidR="00D9481A">
              <w:rPr>
                <w:b/>
                <w:bCs/>
                <w:color w:val="000000"/>
              </w:rPr>
              <w:t>2</w:t>
            </w:r>
            <w:r w:rsidRPr="002C67F6">
              <w:rPr>
                <w:b/>
                <w:bCs/>
                <w:color w:val="000000"/>
              </w:rPr>
              <w:t>-0</w:t>
            </w:r>
            <w:r w:rsidR="00D9481A">
              <w:rPr>
                <w:b/>
                <w:bCs/>
                <w:color w:val="000000"/>
              </w:rPr>
              <w:t>5</w:t>
            </w:r>
            <w:r w:rsidRPr="002C67F6">
              <w:rPr>
                <w:b/>
                <w:bCs/>
                <w:color w:val="000000"/>
              </w:rPr>
              <w:t>4</w:t>
            </w:r>
          </w:p>
          <w:p w:rsidRPr="00D9481A" w:rsidR="00D9481A" w:rsidP="00D9481A" w:rsidRDefault="00D9481A" w14:paraId="00786C34" w14:textId="77777777">
            <w:pPr>
              <w:spacing w:before="120"/>
              <w:rPr>
                <w:color w:val="000000"/>
              </w:rPr>
            </w:pPr>
            <w:r w:rsidRPr="00D9481A">
              <w:rPr>
                <w:color w:val="000000"/>
              </w:rPr>
              <w:t xml:space="preserve">GPI supports PG&amp;E’s proposal, arguing that the EVCN program’s utilization of ALM resulted in cost savings ranging from $30,000 to $200,000.  </w:t>
            </w:r>
            <w:bookmarkStart w:name="_Hlk125119239" w:id="3"/>
            <w:r w:rsidRPr="00D9481A">
              <w:rPr>
                <w:color w:val="000000"/>
              </w:rPr>
              <w:t>[D.22-12-054, pg. 53.]</w:t>
            </w:r>
            <w:bookmarkEnd w:id="3"/>
          </w:p>
          <w:p w:rsidRPr="00D9481A" w:rsidR="00D9481A" w:rsidP="00D9481A" w:rsidRDefault="00D9481A" w14:paraId="06CBE325" w14:textId="505DFCFB">
            <w:pPr>
              <w:spacing w:before="120"/>
              <w:rPr>
                <w:color w:val="000000"/>
              </w:rPr>
            </w:pPr>
            <w:r w:rsidRPr="00D9481A">
              <w:rPr>
                <w:color w:val="000000"/>
              </w:rPr>
              <w:t xml:space="preserve">Resolving Issue 15 in the Scoping Memo, we adopt PG&amp;E’s proposal to utilize ALM, which will help lower program costs and promote efficient use of electric grid infrastructure. We also adopt PG&amp;E’s proposed TOU or real-time rate default requirement, </w:t>
            </w:r>
            <w:r w:rsidRPr="00D9481A">
              <w:rPr>
                <w:color w:val="000000"/>
              </w:rPr>
              <w:lastRenderedPageBreak/>
              <w:t>with the ability to opt out if a participant submits a load management plan. We find that passing through applicable rate price signals as the default arrangement—with an option to opt out—aligns with D.20-08-0</w:t>
            </w:r>
            <w:r w:rsidR="00FD690B">
              <w:rPr>
                <w:color w:val="000000"/>
              </w:rPr>
              <w:t>54</w:t>
            </w:r>
            <w:r w:rsidR="00FD690B">
              <w:rPr>
                <w:rStyle w:val="FootnoteReference"/>
                <w:color w:val="000000"/>
              </w:rPr>
              <w:footnoteReference w:id="4"/>
            </w:r>
            <w:r w:rsidRPr="00D9481A">
              <w:rPr>
                <w:color w:val="000000"/>
              </w:rPr>
              <w:t xml:space="preserve"> and D.20-12-029. We also find the proposal would encourage EV load management, improve utilization of the electric grid, deliver fuel cost savings to customers, and preserve flexibility for site hosts. Finally, we clarify that PG&amp;E should not prohibit the use of BTM storage or other hardware as acceptable ALM or load management solutions, as this is an unnecessary constraint.  [D.22-12-054, pg. 54.]</w:t>
            </w:r>
          </w:p>
          <w:p w:rsidRPr="006E30FB" w:rsidR="002C67F6" w:rsidP="002C67F6" w:rsidRDefault="002C67F6" w14:paraId="06B2F3A6" w14:textId="72CCD489">
            <w:pPr>
              <w:spacing w:before="120"/>
              <w:rPr>
                <w:color w:val="000000"/>
                <w:sz w:val="12"/>
                <w:szCs w:val="12"/>
              </w:rPr>
            </w:pPr>
            <w:bookmarkStart w:name="_Hlk80203049" w:id="4"/>
            <w:r>
              <w:rPr>
                <w:b/>
                <w:color w:val="000000"/>
              </w:rPr>
              <w:t>Pleadings</w:t>
            </w:r>
          </w:p>
          <w:bookmarkEnd w:id="4"/>
          <w:p w:rsidRPr="00D9481A" w:rsidR="00D9481A" w:rsidP="00D9481A" w:rsidRDefault="00D9481A" w14:paraId="66FB7B60" w14:textId="69A553E6">
            <w:pPr>
              <w:spacing w:before="120"/>
              <w:rPr>
                <w:color w:val="000000"/>
              </w:rPr>
            </w:pPr>
            <w:r w:rsidRPr="00D9481A">
              <w:rPr>
                <w:color w:val="000000"/>
              </w:rPr>
              <w:t>Both DCFC and workplace/MFH chargers funded through EVC2 should require pass through of TOU rates that allow inexpensive off-peak charging for at least 10-19 hours per day and night.  For Level 2 chargers, rates of under 20 cents/kWh (roughly equivalent to $2/gallon) should be targeted for daytime and nighttime off-peak charging, so users accessing the EVC2 funded network can have rate equity with single family homeowners. Rates during the 4-9 PM peak time could be set at double these prices or higher.  [Testimony, 3/2/22, pgs. 20-21.]</w:t>
            </w:r>
          </w:p>
          <w:p w:rsidRPr="00D9481A" w:rsidR="00D9481A" w:rsidP="00D9481A" w:rsidRDefault="00D9481A" w14:paraId="4EBDDD86" w14:textId="77777777">
            <w:pPr>
              <w:spacing w:before="120"/>
              <w:rPr>
                <w:color w:val="000000"/>
              </w:rPr>
            </w:pPr>
            <w:r w:rsidRPr="00D9481A">
              <w:rPr>
                <w:color w:val="000000"/>
              </w:rPr>
              <w:t>We highlight also that affordable charging access, particularly at off-peak times, is important and should be contractually required at all EVC2-</w:t>
            </w:r>
            <w:r w:rsidRPr="00D9481A">
              <w:rPr>
                <w:color w:val="000000"/>
              </w:rPr>
              <w:lastRenderedPageBreak/>
              <w:t>funded chargers. This will allow equitable access to lower-cost off-peak EV charging for PG&amp;E customers who can’t access single family home EV rates.  [Brief, 8/24/22, pg. 1.]</w:t>
            </w:r>
          </w:p>
          <w:p w:rsidRPr="00D9481A" w:rsidR="00D9481A" w:rsidP="00D9481A" w:rsidRDefault="00D9481A" w14:paraId="3C6FF1F0" w14:textId="77777777">
            <w:pPr>
              <w:spacing w:before="120"/>
              <w:rPr>
                <w:color w:val="000000"/>
              </w:rPr>
            </w:pPr>
            <w:r w:rsidRPr="00D9481A">
              <w:rPr>
                <w:color w:val="000000"/>
              </w:rPr>
              <w:t>GPI also agrees with NRDC that “the Commission should require time-varying price signals be passed through to drivers by default.” Requiring TOU pricing as a default arrangement is critical to ensuring EVs help rather than hinder the grid.   GPI does not, however, support NRDC’s proposal to allow site hosts to opt-out and implement their own custom pricing arrangements. While we realize this is a harder-line position than many environmental NGOs and business interests take, TOU pricing is a key tool to ensure California’s environmental goals are met and EV charging provides downward pressure on rates more generally.  [Reply Brief, 9/16/22, pg. 3.]</w:t>
            </w:r>
          </w:p>
          <w:p w:rsidRPr="007F620E" w:rsidR="00A92D0B" w:rsidP="006E30FB" w:rsidRDefault="00D9481A" w14:paraId="2A92A629" w14:textId="5F607215">
            <w:pPr>
              <w:spacing w:before="120"/>
              <w:rPr>
                <w:color w:val="000000"/>
              </w:rPr>
            </w:pPr>
            <w:r w:rsidRPr="00D9481A">
              <w:rPr>
                <w:color w:val="000000"/>
              </w:rPr>
              <w:t>SB 350 goals to ensure EVs help and don’t hinder the grid, as well as integrate renewable electricity efficiently, are important considerations for IOU transportation electrification programs. Passing along default TOU pricing is an easy way for EV drivers to be incentivized to charge at times that don’t stress the grid and when renewable energy is plentiful. [Reply, 12/5/22, pg. 5.]</w:t>
            </w:r>
          </w:p>
        </w:tc>
        <w:tc>
          <w:tcPr>
            <w:tcW w:w="2340" w:type="dxa"/>
            <w:shd w:val="clear" w:color="auto" w:fill="auto"/>
          </w:tcPr>
          <w:p w:rsidR="00A92D0B" w:rsidP="00A92D0B" w:rsidRDefault="00A92D0B" w14:paraId="1DF8B9BD" w14:textId="77777777">
            <w:pPr>
              <w:spacing w:before="120"/>
              <w:rPr>
                <w:color w:val="000000"/>
              </w:rPr>
            </w:pPr>
          </w:p>
          <w:p w:rsidR="00BB1511" w:rsidP="00A92D0B" w:rsidRDefault="00BB1511" w14:paraId="0ECC8534" w14:textId="6E0F2295">
            <w:pPr>
              <w:spacing w:before="120"/>
              <w:rPr>
                <w:color w:val="000000"/>
              </w:rPr>
            </w:pPr>
            <w:r>
              <w:rPr>
                <w:color w:val="000000"/>
              </w:rPr>
              <w:t>Verified</w:t>
            </w:r>
            <w:r w:rsidR="0068091E">
              <w:rPr>
                <w:color w:val="000000"/>
              </w:rPr>
              <w:t xml:space="preserve"> in part</w:t>
            </w:r>
            <w:r w:rsidR="00092F77">
              <w:rPr>
                <w:color w:val="000000"/>
              </w:rPr>
              <w:t>.</w:t>
            </w:r>
          </w:p>
          <w:p w:rsidR="00BB1511" w:rsidP="00A92D0B" w:rsidRDefault="00BB1511" w14:paraId="52B5C9F3" w14:textId="77777777">
            <w:pPr>
              <w:spacing w:before="120"/>
              <w:rPr>
                <w:color w:val="000000"/>
              </w:rPr>
            </w:pPr>
          </w:p>
          <w:p w:rsidR="00BB1511" w:rsidP="00A92D0B" w:rsidRDefault="00BB1511" w14:paraId="6C6210B6" w14:textId="77777777">
            <w:pPr>
              <w:spacing w:before="120"/>
              <w:rPr>
                <w:color w:val="000000"/>
              </w:rPr>
            </w:pPr>
          </w:p>
          <w:p w:rsidR="00BB1511" w:rsidP="00A92D0B" w:rsidRDefault="00BB1511" w14:paraId="5E52631F" w14:textId="77777777">
            <w:pPr>
              <w:spacing w:before="120"/>
              <w:rPr>
                <w:color w:val="000000"/>
              </w:rPr>
            </w:pPr>
          </w:p>
          <w:p w:rsidR="00BB1511" w:rsidP="00A92D0B" w:rsidRDefault="00BB1511" w14:paraId="4E2E2572" w14:textId="77777777">
            <w:pPr>
              <w:spacing w:before="120"/>
              <w:rPr>
                <w:color w:val="000000"/>
              </w:rPr>
            </w:pPr>
          </w:p>
          <w:p w:rsidR="00BB1511" w:rsidP="00A92D0B" w:rsidRDefault="00BB1511" w14:paraId="7674FE57" w14:textId="77777777">
            <w:pPr>
              <w:spacing w:before="120"/>
              <w:rPr>
                <w:color w:val="000000"/>
              </w:rPr>
            </w:pPr>
          </w:p>
          <w:p w:rsidR="00BB1511" w:rsidP="00A92D0B" w:rsidRDefault="00BB1511" w14:paraId="33DCEF6F" w14:textId="77777777">
            <w:pPr>
              <w:spacing w:before="120"/>
              <w:rPr>
                <w:color w:val="000000"/>
              </w:rPr>
            </w:pPr>
          </w:p>
          <w:p w:rsidR="00BB1511" w:rsidP="00A92D0B" w:rsidRDefault="00BB1511" w14:paraId="78DA156C" w14:textId="77777777">
            <w:pPr>
              <w:spacing w:before="120"/>
              <w:rPr>
                <w:color w:val="000000"/>
              </w:rPr>
            </w:pPr>
          </w:p>
          <w:p w:rsidR="00BB1511" w:rsidP="00A92D0B" w:rsidRDefault="00BB1511" w14:paraId="59368CD1" w14:textId="77777777">
            <w:pPr>
              <w:spacing w:before="120"/>
              <w:rPr>
                <w:color w:val="000000"/>
              </w:rPr>
            </w:pPr>
          </w:p>
          <w:p w:rsidR="00BB1511" w:rsidP="00A92D0B" w:rsidRDefault="00BB1511" w14:paraId="4DF2D9EF" w14:textId="77777777">
            <w:pPr>
              <w:spacing w:before="120"/>
              <w:rPr>
                <w:color w:val="000000"/>
              </w:rPr>
            </w:pPr>
          </w:p>
          <w:p w:rsidR="00BB1511" w:rsidP="00A92D0B" w:rsidRDefault="00BB1511" w14:paraId="1C1C3579" w14:textId="77777777">
            <w:pPr>
              <w:spacing w:before="120"/>
              <w:rPr>
                <w:color w:val="000000"/>
              </w:rPr>
            </w:pPr>
          </w:p>
          <w:p w:rsidR="00BB1511" w:rsidP="00A92D0B" w:rsidRDefault="00BB1511" w14:paraId="7AB0E0EC" w14:textId="77777777">
            <w:pPr>
              <w:spacing w:before="120"/>
              <w:rPr>
                <w:color w:val="000000"/>
              </w:rPr>
            </w:pPr>
          </w:p>
          <w:p w:rsidR="00BB1511" w:rsidP="00A92D0B" w:rsidRDefault="00BB1511" w14:paraId="32B6CA26" w14:textId="77777777">
            <w:pPr>
              <w:spacing w:before="120"/>
              <w:rPr>
                <w:color w:val="000000"/>
              </w:rPr>
            </w:pPr>
          </w:p>
          <w:p w:rsidR="00BB1511" w:rsidP="00A92D0B" w:rsidRDefault="00BB1511" w14:paraId="2A47BA57" w14:textId="77777777">
            <w:pPr>
              <w:spacing w:before="120"/>
              <w:rPr>
                <w:color w:val="000000"/>
              </w:rPr>
            </w:pPr>
          </w:p>
          <w:p w:rsidR="00BB1511" w:rsidP="00A92D0B" w:rsidRDefault="00BB1511" w14:paraId="380E25C2" w14:textId="77777777">
            <w:pPr>
              <w:spacing w:before="120"/>
              <w:rPr>
                <w:color w:val="000000"/>
              </w:rPr>
            </w:pPr>
          </w:p>
          <w:p w:rsidR="00BB1511" w:rsidP="00A92D0B" w:rsidRDefault="00BB1511" w14:paraId="42183A7A" w14:textId="77777777">
            <w:pPr>
              <w:spacing w:before="120"/>
              <w:rPr>
                <w:color w:val="000000"/>
              </w:rPr>
            </w:pPr>
          </w:p>
          <w:p w:rsidR="00BB1511" w:rsidP="00A92D0B" w:rsidRDefault="00BB1511" w14:paraId="22291BDD" w14:textId="77777777">
            <w:pPr>
              <w:spacing w:before="120"/>
              <w:rPr>
                <w:color w:val="000000"/>
              </w:rPr>
            </w:pPr>
          </w:p>
          <w:p w:rsidR="00BB1511" w:rsidP="00A92D0B" w:rsidRDefault="00BB1511" w14:paraId="18662660" w14:textId="77777777">
            <w:pPr>
              <w:spacing w:before="120"/>
              <w:rPr>
                <w:color w:val="000000"/>
              </w:rPr>
            </w:pPr>
          </w:p>
          <w:p w:rsidR="00BB1511" w:rsidP="00A92D0B" w:rsidRDefault="00BB1511" w14:paraId="68A1BDE5" w14:textId="77777777">
            <w:pPr>
              <w:spacing w:before="120"/>
              <w:rPr>
                <w:color w:val="000000"/>
              </w:rPr>
            </w:pPr>
          </w:p>
          <w:p w:rsidR="00BB1511" w:rsidP="00A92D0B" w:rsidRDefault="00BB1511" w14:paraId="12185A8B" w14:textId="77777777">
            <w:pPr>
              <w:spacing w:before="120"/>
              <w:rPr>
                <w:color w:val="000000"/>
              </w:rPr>
            </w:pPr>
          </w:p>
          <w:p w:rsidR="00BB1511" w:rsidP="00A92D0B" w:rsidRDefault="00BB1511" w14:paraId="66E7B68C" w14:textId="77777777">
            <w:pPr>
              <w:spacing w:before="120"/>
              <w:rPr>
                <w:color w:val="000000"/>
              </w:rPr>
            </w:pPr>
          </w:p>
          <w:p w:rsidR="008673C0" w:rsidP="00A92D0B" w:rsidRDefault="008673C0" w14:paraId="468C7F79" w14:textId="77777777">
            <w:pPr>
              <w:spacing w:before="120"/>
              <w:rPr>
                <w:color w:val="000000"/>
              </w:rPr>
            </w:pPr>
          </w:p>
          <w:p w:rsidR="008673C0" w:rsidP="00A92D0B" w:rsidRDefault="008673C0" w14:paraId="6D205105" w14:textId="77777777">
            <w:pPr>
              <w:spacing w:before="120"/>
              <w:rPr>
                <w:color w:val="000000"/>
              </w:rPr>
            </w:pPr>
          </w:p>
          <w:p w:rsidR="008673C0" w:rsidP="00A92D0B" w:rsidRDefault="008673C0" w14:paraId="72BEAA4D" w14:textId="77777777">
            <w:pPr>
              <w:spacing w:before="120"/>
              <w:rPr>
                <w:color w:val="000000"/>
              </w:rPr>
            </w:pPr>
          </w:p>
          <w:p w:rsidR="008673C0" w:rsidP="00A92D0B" w:rsidRDefault="008673C0" w14:paraId="486D0EFE" w14:textId="77777777">
            <w:pPr>
              <w:spacing w:before="120"/>
              <w:rPr>
                <w:color w:val="000000"/>
              </w:rPr>
            </w:pPr>
          </w:p>
          <w:p w:rsidR="008673C0" w:rsidP="00A92D0B" w:rsidRDefault="008673C0" w14:paraId="60E5ABD0" w14:textId="77777777">
            <w:pPr>
              <w:spacing w:before="120"/>
              <w:rPr>
                <w:color w:val="000000"/>
              </w:rPr>
            </w:pPr>
          </w:p>
          <w:p w:rsidR="008673C0" w:rsidP="00A92D0B" w:rsidRDefault="008673C0" w14:paraId="3FB183D1" w14:textId="77777777">
            <w:pPr>
              <w:spacing w:before="120"/>
              <w:rPr>
                <w:color w:val="000000"/>
              </w:rPr>
            </w:pPr>
          </w:p>
          <w:p w:rsidR="008673C0" w:rsidP="00A92D0B" w:rsidRDefault="008673C0" w14:paraId="5607C6DD" w14:textId="77777777">
            <w:pPr>
              <w:spacing w:before="120"/>
              <w:rPr>
                <w:color w:val="000000"/>
              </w:rPr>
            </w:pPr>
          </w:p>
          <w:p w:rsidR="008673C0" w:rsidP="00A92D0B" w:rsidRDefault="008673C0" w14:paraId="54A5DFB7" w14:textId="77777777">
            <w:pPr>
              <w:spacing w:before="120"/>
              <w:rPr>
                <w:color w:val="000000"/>
              </w:rPr>
            </w:pPr>
          </w:p>
          <w:p w:rsidR="008673C0" w:rsidP="00A92D0B" w:rsidRDefault="008673C0" w14:paraId="3EC44E8F" w14:textId="77777777">
            <w:pPr>
              <w:spacing w:before="120"/>
              <w:rPr>
                <w:color w:val="000000"/>
              </w:rPr>
            </w:pPr>
          </w:p>
          <w:p w:rsidR="001D7F99" w:rsidP="00A92D0B" w:rsidRDefault="001D7F99" w14:paraId="2B5B71B0" w14:textId="77777777">
            <w:pPr>
              <w:spacing w:before="120"/>
              <w:rPr>
                <w:color w:val="000000"/>
              </w:rPr>
            </w:pPr>
          </w:p>
          <w:p w:rsidR="001D7F99" w:rsidP="00A92D0B" w:rsidRDefault="001D7F99" w14:paraId="262A7CB3" w14:textId="77777777">
            <w:pPr>
              <w:spacing w:before="120"/>
              <w:rPr>
                <w:color w:val="000000"/>
              </w:rPr>
            </w:pPr>
          </w:p>
          <w:p w:rsidR="001D7F99" w:rsidP="00A92D0B" w:rsidRDefault="001D7F99" w14:paraId="347CF487" w14:textId="77777777">
            <w:pPr>
              <w:spacing w:before="120"/>
              <w:rPr>
                <w:color w:val="000000"/>
              </w:rPr>
            </w:pPr>
          </w:p>
          <w:p w:rsidR="001D7F99" w:rsidP="00A92D0B" w:rsidRDefault="001D7F99" w14:paraId="623F3E34" w14:textId="77777777">
            <w:pPr>
              <w:spacing w:before="120"/>
              <w:rPr>
                <w:color w:val="000000"/>
              </w:rPr>
            </w:pPr>
          </w:p>
          <w:p w:rsidR="001D7F99" w:rsidP="00A92D0B" w:rsidRDefault="001D7F99" w14:paraId="18A79706" w14:textId="77777777">
            <w:pPr>
              <w:spacing w:before="120"/>
              <w:rPr>
                <w:color w:val="000000"/>
              </w:rPr>
            </w:pPr>
          </w:p>
          <w:p w:rsidR="00F549EB" w:rsidP="00A92D0B" w:rsidRDefault="00F549EB" w14:paraId="7FD2B195" w14:textId="77777777">
            <w:pPr>
              <w:spacing w:before="120"/>
              <w:rPr>
                <w:color w:val="000000"/>
              </w:rPr>
            </w:pPr>
          </w:p>
          <w:p w:rsidR="00F549EB" w:rsidP="00A92D0B" w:rsidRDefault="00F549EB" w14:paraId="2D810BA1" w14:textId="77777777">
            <w:pPr>
              <w:spacing w:before="120"/>
              <w:rPr>
                <w:color w:val="000000"/>
              </w:rPr>
            </w:pPr>
          </w:p>
          <w:p w:rsidR="00F549EB" w:rsidP="00A92D0B" w:rsidRDefault="00F549EB" w14:paraId="244F3427" w14:textId="77777777">
            <w:pPr>
              <w:spacing w:before="120"/>
              <w:rPr>
                <w:color w:val="000000"/>
              </w:rPr>
            </w:pPr>
          </w:p>
          <w:p w:rsidR="00F549EB" w:rsidP="00A92D0B" w:rsidRDefault="00F549EB" w14:paraId="7CC99410" w14:textId="77777777">
            <w:pPr>
              <w:spacing w:before="120"/>
              <w:rPr>
                <w:color w:val="000000"/>
              </w:rPr>
            </w:pPr>
          </w:p>
          <w:p w:rsidR="00F549EB" w:rsidP="00A92D0B" w:rsidRDefault="00F549EB" w14:paraId="6F4A64AE" w14:textId="77777777">
            <w:pPr>
              <w:spacing w:before="120"/>
              <w:rPr>
                <w:color w:val="000000"/>
              </w:rPr>
            </w:pPr>
          </w:p>
          <w:p w:rsidR="00F549EB" w:rsidP="00A92D0B" w:rsidRDefault="00F549EB" w14:paraId="2D2F4CE9" w14:textId="77777777">
            <w:pPr>
              <w:spacing w:before="120"/>
              <w:rPr>
                <w:color w:val="000000"/>
              </w:rPr>
            </w:pPr>
          </w:p>
          <w:p w:rsidR="00F549EB" w:rsidP="00A92D0B" w:rsidRDefault="00F549EB" w14:paraId="29B0FF2A" w14:textId="77777777">
            <w:pPr>
              <w:spacing w:before="120"/>
              <w:rPr>
                <w:color w:val="000000"/>
              </w:rPr>
            </w:pPr>
          </w:p>
          <w:p w:rsidR="00F549EB" w:rsidP="00A92D0B" w:rsidRDefault="00F549EB" w14:paraId="6DAAC7B2" w14:textId="77777777">
            <w:pPr>
              <w:spacing w:before="120"/>
              <w:rPr>
                <w:color w:val="000000"/>
              </w:rPr>
            </w:pPr>
          </w:p>
          <w:p w:rsidR="00F549EB" w:rsidP="00A92D0B" w:rsidRDefault="00F549EB" w14:paraId="0506F2A3" w14:textId="77777777">
            <w:pPr>
              <w:spacing w:before="120"/>
              <w:rPr>
                <w:color w:val="000000"/>
              </w:rPr>
            </w:pPr>
          </w:p>
          <w:p w:rsidR="00F549EB" w:rsidP="00A92D0B" w:rsidRDefault="00F549EB" w14:paraId="1D5684E5" w14:textId="77777777">
            <w:pPr>
              <w:spacing w:before="120"/>
              <w:rPr>
                <w:color w:val="000000"/>
              </w:rPr>
            </w:pPr>
          </w:p>
          <w:p w:rsidR="00F549EB" w:rsidP="00A92D0B" w:rsidRDefault="00F549EB" w14:paraId="5CF7A9FA" w14:textId="77777777">
            <w:pPr>
              <w:spacing w:before="120"/>
              <w:rPr>
                <w:color w:val="000000"/>
              </w:rPr>
            </w:pPr>
          </w:p>
          <w:p w:rsidR="003936E8" w:rsidP="00A92D0B" w:rsidRDefault="003936E8" w14:paraId="03F6542C" w14:textId="77777777">
            <w:pPr>
              <w:spacing w:before="120"/>
              <w:rPr>
                <w:color w:val="000000"/>
              </w:rPr>
            </w:pPr>
          </w:p>
          <w:p w:rsidR="00BA7124" w:rsidP="003936E8" w:rsidRDefault="00BA7124" w14:paraId="32760440" w14:textId="77777777">
            <w:pPr>
              <w:spacing w:before="120"/>
              <w:rPr>
                <w:color w:val="000000"/>
              </w:rPr>
            </w:pPr>
          </w:p>
          <w:p w:rsidR="00BA7124" w:rsidP="003936E8" w:rsidRDefault="00BA7124" w14:paraId="2596C70D" w14:textId="77777777">
            <w:pPr>
              <w:spacing w:before="120"/>
              <w:rPr>
                <w:color w:val="000000"/>
              </w:rPr>
            </w:pPr>
          </w:p>
          <w:p w:rsidR="00BA7124" w:rsidP="003936E8" w:rsidRDefault="00BA7124" w14:paraId="0A92AFEA" w14:textId="77777777">
            <w:pPr>
              <w:spacing w:before="120"/>
              <w:rPr>
                <w:color w:val="000000"/>
              </w:rPr>
            </w:pPr>
          </w:p>
          <w:p w:rsidR="00BA7124" w:rsidP="003936E8" w:rsidRDefault="00BA7124" w14:paraId="0ABD709A" w14:textId="77777777">
            <w:pPr>
              <w:spacing w:before="120"/>
              <w:rPr>
                <w:color w:val="000000"/>
              </w:rPr>
            </w:pPr>
          </w:p>
          <w:p w:rsidRPr="007F620E" w:rsidR="00F549EB" w:rsidP="00A92D0B" w:rsidRDefault="001511A6" w14:paraId="56FD3368" w14:textId="5EEA138E">
            <w:pPr>
              <w:spacing w:before="120"/>
              <w:rPr>
                <w:color w:val="000000"/>
              </w:rPr>
            </w:pPr>
            <w:r>
              <w:t>Noted. See Part III (D).</w:t>
            </w:r>
          </w:p>
        </w:tc>
      </w:tr>
      <w:tr w:rsidRPr="007F620E" w:rsidR="00691528" w:rsidTr="009D142A" w14:paraId="36FF786B" w14:textId="77777777">
        <w:tc>
          <w:tcPr>
            <w:tcW w:w="3258" w:type="dxa"/>
            <w:shd w:val="clear" w:color="auto" w:fill="auto"/>
          </w:tcPr>
          <w:p w:rsidRPr="006E30FB" w:rsidR="006E30FB" w:rsidP="00FE5F4D" w:rsidRDefault="00691528" w14:paraId="0B100226" w14:textId="6F8BE0AD">
            <w:pPr>
              <w:spacing w:before="120"/>
              <w:rPr>
                <w:b/>
                <w:bCs/>
                <w:color w:val="000000"/>
              </w:rPr>
            </w:pPr>
            <w:r w:rsidRPr="004F3B04">
              <w:rPr>
                <w:b/>
                <w:bCs/>
                <w:color w:val="000000"/>
              </w:rPr>
              <w:lastRenderedPageBreak/>
              <w:t>3.</w:t>
            </w:r>
            <w:r w:rsidRPr="004F3B04" w:rsidR="00E25078">
              <w:rPr>
                <w:b/>
                <w:bCs/>
                <w:color w:val="000000"/>
              </w:rPr>
              <w:t xml:space="preserve"> </w:t>
            </w:r>
            <w:r w:rsidR="00C17581">
              <w:rPr>
                <w:b/>
                <w:bCs/>
                <w:color w:val="000000"/>
              </w:rPr>
              <w:t xml:space="preserve"> </w:t>
            </w:r>
            <w:r w:rsidR="005E4EA4">
              <w:rPr>
                <w:b/>
                <w:bCs/>
                <w:color w:val="000000"/>
              </w:rPr>
              <w:t>Cost of High kW Chargers</w:t>
            </w:r>
            <w:r w:rsidRPr="006E30FB" w:rsidR="006E30FB">
              <w:rPr>
                <w:b/>
                <w:bCs/>
                <w:color w:val="000000"/>
              </w:rPr>
              <w:t>.</w:t>
            </w:r>
          </w:p>
          <w:p w:rsidRPr="003311A5" w:rsidR="00FE5F4D" w:rsidP="00B5378C" w:rsidRDefault="00B5378C" w14:paraId="344EB3C9" w14:textId="3BD05E1A">
            <w:pPr>
              <w:spacing w:before="120"/>
            </w:pPr>
            <w:r w:rsidRPr="003311A5">
              <w:t xml:space="preserve">The GPI has long been an advocate for the installation of more high-speed chargers </w:t>
            </w:r>
            <w:r w:rsidRPr="003311A5">
              <w:lastRenderedPageBreak/>
              <w:t xml:space="preserve">in utility buildout programs, and indeed criticized the initial phase of the charge ready program for its inadequate inclusion of high-speed chargers.  That notwithstanding, there is a broad range of technologies available for high-speed charging, and when pushing for the fastest charging possible costs increase disproportionally.  In A.21-10-010 some parties argued </w:t>
            </w:r>
            <w:r w:rsidRPr="003311A5" w:rsidR="003311A5">
              <w:t>for the inclusion in the CR2 program of 100 MW and greater interconnections.  GPI made a substantial contribution to D.22-12-054 by opposing pushing the high-speed charging component of the program too far into areas of unreasonable cost, and the Decision adopted our position.</w:t>
            </w:r>
          </w:p>
          <w:p w:rsidRPr="007F620E" w:rsidR="006713C9" w:rsidP="00A92D0B" w:rsidRDefault="006713C9" w14:paraId="77A8C970" w14:textId="11476E1A">
            <w:pPr>
              <w:spacing w:before="120"/>
              <w:rPr>
                <w:color w:val="000000"/>
              </w:rPr>
            </w:pPr>
          </w:p>
        </w:tc>
        <w:tc>
          <w:tcPr>
            <w:tcW w:w="4140" w:type="dxa"/>
            <w:shd w:val="clear" w:color="auto" w:fill="auto"/>
          </w:tcPr>
          <w:p w:rsidRPr="00FE5F4D" w:rsidR="00FE5F4D" w:rsidP="00C17581" w:rsidRDefault="00FE5F4D" w14:paraId="7EF9C380" w14:textId="76121812">
            <w:pPr>
              <w:spacing w:before="120"/>
              <w:rPr>
                <w:b/>
                <w:color w:val="000000"/>
              </w:rPr>
            </w:pPr>
            <w:r w:rsidRPr="00FE5F4D">
              <w:rPr>
                <w:b/>
                <w:color w:val="000000"/>
              </w:rPr>
              <w:lastRenderedPageBreak/>
              <w:t>Decision D.22-1</w:t>
            </w:r>
            <w:r w:rsidR="00D9481A">
              <w:rPr>
                <w:b/>
                <w:color w:val="000000"/>
              </w:rPr>
              <w:t>2</w:t>
            </w:r>
            <w:r w:rsidRPr="00FE5F4D">
              <w:rPr>
                <w:b/>
                <w:color w:val="000000"/>
              </w:rPr>
              <w:t>-0</w:t>
            </w:r>
            <w:r w:rsidR="00D9481A">
              <w:rPr>
                <w:b/>
                <w:color w:val="000000"/>
              </w:rPr>
              <w:t>5</w:t>
            </w:r>
            <w:r w:rsidRPr="00FE5F4D">
              <w:rPr>
                <w:b/>
                <w:color w:val="000000"/>
              </w:rPr>
              <w:t>4</w:t>
            </w:r>
          </w:p>
          <w:p w:rsidRPr="00D9481A" w:rsidR="00D9481A" w:rsidP="00D9481A" w:rsidRDefault="00D9481A" w14:paraId="631B6667" w14:textId="77777777">
            <w:pPr>
              <w:spacing w:before="120"/>
              <w:rPr>
                <w:bCs/>
                <w:color w:val="000000"/>
              </w:rPr>
            </w:pPr>
            <w:r w:rsidRPr="00D9481A">
              <w:rPr>
                <w:bCs/>
                <w:color w:val="000000"/>
              </w:rPr>
              <w:t>GPI argues that “[w]</w:t>
            </w:r>
            <w:proofErr w:type="spellStart"/>
            <w:r w:rsidRPr="00D9481A">
              <w:rPr>
                <w:bCs/>
                <w:color w:val="000000"/>
              </w:rPr>
              <w:t>hile</w:t>
            </w:r>
            <w:proofErr w:type="spellEnd"/>
            <w:r w:rsidRPr="00D9481A">
              <w:rPr>
                <w:bCs/>
                <w:color w:val="000000"/>
              </w:rPr>
              <w:t xml:space="preserve"> requiring faster chargers may be advantageous to Electrify America’s business model of providing 150 kW and 350 kW </w:t>
            </w:r>
            <w:r w:rsidRPr="00D9481A">
              <w:rPr>
                <w:bCs/>
                <w:color w:val="000000"/>
              </w:rPr>
              <w:lastRenderedPageBreak/>
              <w:t>chargers, these chargers are also much more expensive to construct than slower chargers, including more substantial grid upgrades, and more expensive to operate due to demand charges.”  [D.22-12-054, pg. 50.]</w:t>
            </w:r>
          </w:p>
          <w:p w:rsidRPr="00D9481A" w:rsidR="00D9481A" w:rsidP="00D9481A" w:rsidRDefault="00D9481A" w14:paraId="1ABF2AF3" w14:textId="77777777">
            <w:pPr>
              <w:spacing w:before="120"/>
              <w:rPr>
                <w:bCs/>
                <w:color w:val="000000"/>
              </w:rPr>
            </w:pPr>
            <w:r w:rsidRPr="00D9481A">
              <w:rPr>
                <w:bCs/>
                <w:color w:val="000000"/>
              </w:rPr>
              <w:t xml:space="preserve">We recognize the transition to higher DCFC minimum charging capacities, but we decline to adopt Electrify America’s and </w:t>
            </w:r>
            <w:proofErr w:type="spellStart"/>
            <w:r w:rsidRPr="00D9481A">
              <w:rPr>
                <w:bCs/>
                <w:color w:val="000000"/>
              </w:rPr>
              <w:t>EVgo’s</w:t>
            </w:r>
            <w:proofErr w:type="spellEnd"/>
            <w:r w:rsidRPr="00D9481A">
              <w:rPr>
                <w:bCs/>
                <w:color w:val="000000"/>
              </w:rPr>
              <w:t xml:space="preserve"> proposals. We find PG&amp;E should support higher DCFC charging capacities (i.e., 100 kW and higher) but also have the discretion to support lower charging capacities (i.e., below 100 kW) when reasonable.  [D.22-12-054, pg. 51.]</w:t>
            </w:r>
          </w:p>
          <w:p w:rsidRPr="006E30FB" w:rsidR="00FE5F4D" w:rsidP="00FE5F4D" w:rsidRDefault="00FE5F4D" w14:paraId="3FCC5C45" w14:textId="7AF7BB96">
            <w:pPr>
              <w:spacing w:before="120"/>
              <w:rPr>
                <w:b/>
                <w:color w:val="000000"/>
              </w:rPr>
            </w:pPr>
            <w:r>
              <w:rPr>
                <w:b/>
                <w:color w:val="000000"/>
              </w:rPr>
              <w:t>Pleadings</w:t>
            </w:r>
          </w:p>
          <w:p w:rsidRPr="00D9481A" w:rsidR="00D9481A" w:rsidP="00D9481A" w:rsidRDefault="00D9481A" w14:paraId="12C97B36" w14:textId="77777777">
            <w:pPr>
              <w:spacing w:before="120"/>
              <w:rPr>
                <w:bCs/>
                <w:color w:val="000000"/>
              </w:rPr>
            </w:pPr>
            <w:r w:rsidRPr="00D9481A">
              <w:rPr>
                <w:bCs/>
                <w:color w:val="000000"/>
              </w:rPr>
              <w:t>Electrify America and GPI are both supportive of the DCFC portion of EVC 2. However, GPI is concerned about Electrify America’s suggestion to not require passing through of TOU pricing, and to require 150 kW or higher power DCFCs.  [Reply Brief, 9/16/22, pg. 13.]</w:t>
            </w:r>
          </w:p>
          <w:p w:rsidRPr="007F620E" w:rsidR="00691528" w:rsidP="00D9481A" w:rsidRDefault="00691528" w14:paraId="2144B6BD" w14:textId="77777777">
            <w:pPr>
              <w:spacing w:before="120"/>
              <w:rPr>
                <w:color w:val="000000"/>
              </w:rPr>
            </w:pPr>
          </w:p>
        </w:tc>
        <w:tc>
          <w:tcPr>
            <w:tcW w:w="2340" w:type="dxa"/>
            <w:shd w:val="clear" w:color="auto" w:fill="auto"/>
          </w:tcPr>
          <w:p w:rsidR="00691528" w:rsidP="00A92D0B" w:rsidRDefault="00336608" w14:paraId="59DFB1B9" w14:textId="77777777">
            <w:pPr>
              <w:spacing w:before="120"/>
              <w:rPr>
                <w:color w:val="000000"/>
              </w:rPr>
            </w:pPr>
            <w:r>
              <w:rPr>
                <w:color w:val="000000"/>
              </w:rPr>
              <w:lastRenderedPageBreak/>
              <w:t>Verified</w:t>
            </w:r>
          </w:p>
          <w:p w:rsidR="00336608" w:rsidP="00A92D0B" w:rsidRDefault="00336608" w14:paraId="44BED497" w14:textId="77777777">
            <w:pPr>
              <w:spacing w:before="120"/>
              <w:rPr>
                <w:color w:val="000000"/>
              </w:rPr>
            </w:pPr>
          </w:p>
          <w:p w:rsidR="00336608" w:rsidP="00A92D0B" w:rsidRDefault="00336608" w14:paraId="4459BA82" w14:textId="77777777">
            <w:pPr>
              <w:spacing w:before="120"/>
              <w:rPr>
                <w:color w:val="000000"/>
              </w:rPr>
            </w:pPr>
          </w:p>
          <w:p w:rsidR="00336608" w:rsidP="00A92D0B" w:rsidRDefault="00336608" w14:paraId="702E947C" w14:textId="77777777">
            <w:pPr>
              <w:spacing w:before="120"/>
              <w:rPr>
                <w:color w:val="000000"/>
              </w:rPr>
            </w:pPr>
          </w:p>
          <w:p w:rsidR="00336608" w:rsidP="00A92D0B" w:rsidRDefault="00336608" w14:paraId="0789D4C3" w14:textId="77777777">
            <w:pPr>
              <w:spacing w:before="120"/>
              <w:rPr>
                <w:color w:val="000000"/>
              </w:rPr>
            </w:pPr>
          </w:p>
          <w:p w:rsidR="00336608" w:rsidP="00A92D0B" w:rsidRDefault="00336608" w14:paraId="0B87400F" w14:textId="77777777">
            <w:pPr>
              <w:spacing w:before="120"/>
              <w:rPr>
                <w:color w:val="000000"/>
              </w:rPr>
            </w:pPr>
          </w:p>
          <w:p w:rsidR="00336608" w:rsidP="00A92D0B" w:rsidRDefault="00336608" w14:paraId="4DD36D17" w14:textId="77777777">
            <w:pPr>
              <w:spacing w:before="120"/>
              <w:rPr>
                <w:color w:val="000000"/>
              </w:rPr>
            </w:pPr>
          </w:p>
          <w:p w:rsidR="00336608" w:rsidP="00A92D0B" w:rsidRDefault="00336608" w14:paraId="610F1D58" w14:textId="77777777">
            <w:pPr>
              <w:spacing w:before="120"/>
              <w:rPr>
                <w:color w:val="000000"/>
              </w:rPr>
            </w:pPr>
          </w:p>
          <w:p w:rsidR="009F0949" w:rsidP="00A92D0B" w:rsidRDefault="009F0949" w14:paraId="0F5386C3" w14:textId="77777777">
            <w:pPr>
              <w:spacing w:before="120"/>
              <w:rPr>
                <w:color w:val="000000"/>
              </w:rPr>
            </w:pPr>
          </w:p>
          <w:p w:rsidR="009F0949" w:rsidP="00A92D0B" w:rsidRDefault="009F0949" w14:paraId="5D9355F8" w14:textId="77777777">
            <w:pPr>
              <w:spacing w:before="120"/>
              <w:rPr>
                <w:color w:val="000000"/>
              </w:rPr>
            </w:pPr>
          </w:p>
          <w:p w:rsidR="009F0949" w:rsidP="00A92D0B" w:rsidRDefault="009F0949" w14:paraId="14337FDE" w14:textId="77777777">
            <w:pPr>
              <w:spacing w:before="120"/>
              <w:rPr>
                <w:color w:val="000000"/>
              </w:rPr>
            </w:pPr>
          </w:p>
          <w:p w:rsidR="009F0949" w:rsidP="00A92D0B" w:rsidRDefault="009F0949" w14:paraId="70E01F9F" w14:textId="77777777">
            <w:pPr>
              <w:spacing w:before="120"/>
              <w:rPr>
                <w:color w:val="000000"/>
              </w:rPr>
            </w:pPr>
          </w:p>
          <w:p w:rsidR="009F0949" w:rsidP="00A92D0B" w:rsidRDefault="009F0949" w14:paraId="23A6772C" w14:textId="77777777">
            <w:pPr>
              <w:spacing w:before="120"/>
              <w:rPr>
                <w:color w:val="000000"/>
              </w:rPr>
            </w:pPr>
          </w:p>
          <w:p w:rsidR="009F0949" w:rsidP="00A92D0B" w:rsidRDefault="009F0949" w14:paraId="7F859859" w14:textId="77777777">
            <w:pPr>
              <w:spacing w:before="120"/>
              <w:rPr>
                <w:color w:val="000000"/>
              </w:rPr>
            </w:pPr>
          </w:p>
          <w:p w:rsidR="009F0949" w:rsidP="00A92D0B" w:rsidRDefault="009F0949" w14:paraId="057350DE" w14:textId="77777777">
            <w:pPr>
              <w:spacing w:before="120"/>
              <w:rPr>
                <w:color w:val="000000"/>
              </w:rPr>
            </w:pPr>
          </w:p>
          <w:p w:rsidRPr="007F620E" w:rsidR="009F0949" w:rsidP="00A92D0B" w:rsidRDefault="009F0949" w14:paraId="64233D9C" w14:textId="2ADE0C53">
            <w:pPr>
              <w:spacing w:before="120"/>
              <w:rPr>
                <w:color w:val="000000"/>
              </w:rPr>
            </w:pPr>
          </w:p>
        </w:tc>
      </w:tr>
      <w:tr w:rsidRPr="007F620E" w:rsidR="00DB1932" w:rsidTr="009D142A" w14:paraId="784EA0F6" w14:textId="77777777">
        <w:tc>
          <w:tcPr>
            <w:tcW w:w="3258" w:type="dxa"/>
            <w:shd w:val="clear" w:color="auto" w:fill="auto"/>
          </w:tcPr>
          <w:p w:rsidRPr="006E30FB" w:rsidR="00FA3ADE" w:rsidP="00ED0719" w:rsidRDefault="00FA3ADE" w14:paraId="5AEE0071" w14:textId="7B0E6980">
            <w:pPr>
              <w:spacing w:before="120"/>
              <w:rPr>
                <w:b/>
                <w:bCs/>
                <w:color w:val="000000"/>
              </w:rPr>
            </w:pPr>
            <w:r>
              <w:rPr>
                <w:b/>
                <w:bCs/>
                <w:color w:val="000000"/>
              </w:rPr>
              <w:lastRenderedPageBreak/>
              <w:t>4</w:t>
            </w:r>
            <w:r w:rsidRPr="004F3B04">
              <w:rPr>
                <w:b/>
                <w:bCs/>
                <w:color w:val="000000"/>
              </w:rPr>
              <w:t xml:space="preserve">. </w:t>
            </w:r>
            <w:r>
              <w:rPr>
                <w:b/>
                <w:bCs/>
                <w:color w:val="000000"/>
              </w:rPr>
              <w:t xml:space="preserve"> </w:t>
            </w:r>
            <w:r w:rsidRPr="005E4EA4" w:rsidR="005E4EA4">
              <w:rPr>
                <w:b/>
                <w:bCs/>
                <w:color w:val="000000"/>
              </w:rPr>
              <w:t>Market Education and Outreach (ME&amp;O)</w:t>
            </w:r>
            <w:r w:rsidRPr="006E30FB">
              <w:rPr>
                <w:b/>
                <w:bCs/>
                <w:color w:val="000000"/>
              </w:rPr>
              <w:t>.</w:t>
            </w:r>
          </w:p>
          <w:p w:rsidRPr="005F594C" w:rsidR="005F594C" w:rsidP="00811559" w:rsidRDefault="00811559" w14:paraId="41400836" w14:textId="5F9F2C0F">
            <w:pPr>
              <w:spacing w:before="120"/>
            </w:pPr>
            <w:r w:rsidRPr="00811559">
              <w:t xml:space="preserve">The GPI has long championed the need for strong ME&amp;O in fostering the transition to electrified transportation, and we continued that effort during the </w:t>
            </w:r>
            <w:r w:rsidRPr="005F594C" w:rsidR="003311A5">
              <w:t>deliberations of A.21-10-010 leading to the</w:t>
            </w:r>
            <w:r w:rsidRPr="00811559">
              <w:t xml:space="preserve"> Proposed Decision that </w:t>
            </w:r>
            <w:r w:rsidRPr="005F594C" w:rsidR="003311A5">
              <w:t>is</w:t>
            </w:r>
            <w:r w:rsidRPr="00811559">
              <w:t xml:space="preserve"> the subject of this Claim.  GPI made substantial contributions to Decision D.22-1</w:t>
            </w:r>
            <w:r w:rsidRPr="005F594C" w:rsidR="003311A5">
              <w:t>2</w:t>
            </w:r>
            <w:r w:rsidRPr="00811559">
              <w:t>-0</w:t>
            </w:r>
            <w:r w:rsidRPr="005F594C" w:rsidR="003311A5">
              <w:t>5</w:t>
            </w:r>
            <w:r w:rsidRPr="00811559">
              <w:t xml:space="preserve">4 by advocating </w:t>
            </w:r>
            <w:r w:rsidRPr="00811559">
              <w:lastRenderedPageBreak/>
              <w:t xml:space="preserve">for more funding for ME&amp;O, specifically for funding ME&amp;O at the level of 10 percent of program costs, and for performing ME&amp;O both pre- and post-opening of charging stations </w:t>
            </w:r>
            <w:r w:rsidRPr="005F594C" w:rsidR="003311A5">
              <w:t>that are funded by the CR2 program</w:t>
            </w:r>
            <w:r w:rsidRPr="00811559">
              <w:t xml:space="preserve">.  The Commission did not adopt our 10 percent minimum funding level, but it did acknowledge the need for more robust ME&amp;O, including after charging stations are commissioned.  </w:t>
            </w:r>
            <w:r w:rsidRPr="005F594C" w:rsidR="003311A5">
              <w:t xml:space="preserve">Although all of our positions on ME&amp;O were not adopted in the Decision, where </w:t>
            </w:r>
            <w:r w:rsidRPr="005F594C" w:rsidR="005F594C">
              <w:t>not adopted we made a substantial contribution by enriching the record underlying the Decision.</w:t>
            </w:r>
          </w:p>
          <w:p w:rsidRPr="004F3B04" w:rsidR="00DB1932" w:rsidP="005F594C" w:rsidRDefault="00DB1932" w14:paraId="21EB40AF" w14:textId="54ABCAB9">
            <w:pPr>
              <w:spacing w:before="120"/>
              <w:rPr>
                <w:b/>
                <w:bCs/>
                <w:color w:val="000000"/>
              </w:rPr>
            </w:pPr>
          </w:p>
        </w:tc>
        <w:tc>
          <w:tcPr>
            <w:tcW w:w="4140" w:type="dxa"/>
            <w:shd w:val="clear" w:color="auto" w:fill="auto"/>
          </w:tcPr>
          <w:p w:rsidRPr="0053437D" w:rsidR="0053437D" w:rsidP="00FA3ADE" w:rsidRDefault="0053437D" w14:paraId="4D3432C7" w14:textId="37741084">
            <w:pPr>
              <w:spacing w:before="120"/>
              <w:rPr>
                <w:b/>
                <w:bCs/>
                <w:color w:val="000000"/>
              </w:rPr>
            </w:pPr>
            <w:r w:rsidRPr="0053437D">
              <w:rPr>
                <w:b/>
                <w:bCs/>
                <w:color w:val="000000"/>
              </w:rPr>
              <w:lastRenderedPageBreak/>
              <w:t>Decision D.22-1</w:t>
            </w:r>
            <w:r w:rsidR="00D9481A">
              <w:rPr>
                <w:b/>
                <w:bCs/>
                <w:color w:val="000000"/>
              </w:rPr>
              <w:t>2</w:t>
            </w:r>
            <w:r w:rsidRPr="0053437D">
              <w:rPr>
                <w:b/>
                <w:bCs/>
                <w:color w:val="000000"/>
              </w:rPr>
              <w:t>-0</w:t>
            </w:r>
            <w:r w:rsidR="00D9481A">
              <w:rPr>
                <w:b/>
                <w:bCs/>
                <w:color w:val="000000"/>
              </w:rPr>
              <w:t>5</w:t>
            </w:r>
            <w:r w:rsidRPr="0053437D">
              <w:rPr>
                <w:b/>
                <w:bCs/>
                <w:color w:val="000000"/>
              </w:rPr>
              <w:t>4</w:t>
            </w:r>
          </w:p>
          <w:p w:rsidRPr="00D9481A" w:rsidR="00D9481A" w:rsidP="00D9481A" w:rsidRDefault="00D9481A" w14:paraId="4AE793B7" w14:textId="77777777">
            <w:pPr>
              <w:spacing w:before="120"/>
              <w:rPr>
                <w:color w:val="000000"/>
              </w:rPr>
            </w:pPr>
            <w:r w:rsidRPr="00D9481A">
              <w:rPr>
                <w:color w:val="000000"/>
              </w:rPr>
              <w:t xml:space="preserve">GPI recommends increasing the ME&amp;O budget to 10 percent of the total EVC2 budget “with the entire increase going to provide basic ME&amp;O at all EVC2 sites, enhanced ME&amp;O at MFH and underserved communities sites, and retroactively supporting ME&amp;O for all EVCN sites.” GPI supports additional post-energization ME&amp;O efforts, arguing PG&amp;E’s EVCN data shows that “sites that received post-energization ME&amp;O had three times the utilization </w:t>
            </w:r>
            <w:r w:rsidRPr="00D9481A">
              <w:rPr>
                <w:color w:val="000000"/>
              </w:rPr>
              <w:lastRenderedPageBreak/>
              <w:t>on average than sites that did not have targeted ME&amp;O.” GPI argues that this funding would complement existing, less-targeted ME&amp;O efforts that Electrify America, Veloz, and others are undertaking.  [D.22-12-054, pg. 48.]</w:t>
            </w:r>
          </w:p>
          <w:p w:rsidRPr="00D9481A" w:rsidR="00D9481A" w:rsidP="00D9481A" w:rsidRDefault="00D9481A" w14:paraId="78E0A33F" w14:textId="77777777">
            <w:pPr>
              <w:spacing w:before="120"/>
              <w:rPr>
                <w:color w:val="000000"/>
              </w:rPr>
            </w:pPr>
            <w:r w:rsidRPr="00D9481A">
              <w:rPr>
                <w:color w:val="000000"/>
              </w:rPr>
              <w:t>We recognize that ME&amp;O is an essential component of TE programs, and we do not adopt in its entirety Cal Advocates’ recommendation to decrease the ME&amp;O budget by 54 percent. We also recognize the utilization benefits from post-energization ME&amp;O activities, but PG&amp;E can perform this work under the approved ME&amp;O and equity budgets.  [D.22-12-054, pg. 48.]</w:t>
            </w:r>
          </w:p>
          <w:p w:rsidR="00FA3ADE" w:rsidP="00FA3ADE" w:rsidRDefault="00FA3ADE" w14:paraId="62D87861" w14:textId="668CDED2">
            <w:pPr>
              <w:spacing w:before="120"/>
              <w:rPr>
                <w:b/>
                <w:bCs/>
                <w:color w:val="000000"/>
              </w:rPr>
            </w:pPr>
            <w:r>
              <w:rPr>
                <w:b/>
                <w:bCs/>
                <w:color w:val="000000"/>
              </w:rPr>
              <w:t>Pleadings</w:t>
            </w:r>
          </w:p>
          <w:p w:rsidRPr="00D9481A" w:rsidR="00D9481A" w:rsidP="00D9481A" w:rsidRDefault="00D9481A" w14:paraId="43FA725B" w14:textId="77777777">
            <w:pPr>
              <w:spacing w:before="120"/>
              <w:rPr>
                <w:color w:val="000000"/>
              </w:rPr>
            </w:pPr>
            <w:r w:rsidRPr="00D9481A">
              <w:rPr>
                <w:color w:val="000000"/>
              </w:rPr>
              <w:t>GPI was gratified to see PG&amp;E’s data showing utilization was up to three times higher at sites that had Marketing, Education and Outreach (ME&amp;O) after energization. GPI has on many occasions called for increased ME&amp;O to boost utilization of EV chargers, which will provide much better return on ratepayer investments.  [Comments, 11/29/21, pg. 3.]</w:t>
            </w:r>
          </w:p>
          <w:p w:rsidRPr="00D9481A" w:rsidR="00D9481A" w:rsidP="00D9481A" w:rsidRDefault="00D9481A" w14:paraId="35547F1E" w14:textId="77777777">
            <w:pPr>
              <w:spacing w:before="120"/>
              <w:rPr>
                <w:color w:val="000000"/>
              </w:rPr>
            </w:pPr>
            <w:r w:rsidRPr="00D9481A">
              <w:rPr>
                <w:color w:val="000000"/>
              </w:rPr>
              <w:t>GPI recommends that after energization, all sites that are part of this new program, and also the EVCN program, be the targets of significant ME&amp;O to increase utilization, and AB 841 prioritized communities should receive additional targeted ME&amp;O, which PG&amp;E has already demonstrated can be highly effective in boosting charger utilization.  [Testimony, 3/2/22, pg. 4.]</w:t>
            </w:r>
          </w:p>
          <w:p w:rsidRPr="00D9481A" w:rsidR="00D9481A" w:rsidP="00D9481A" w:rsidRDefault="00D9481A" w14:paraId="03003199" w14:textId="77777777">
            <w:pPr>
              <w:spacing w:before="120"/>
              <w:rPr>
                <w:color w:val="000000"/>
              </w:rPr>
            </w:pPr>
            <w:r w:rsidRPr="00D9481A">
              <w:rPr>
                <w:color w:val="000000"/>
              </w:rPr>
              <w:lastRenderedPageBreak/>
              <w:t>GPI has on many occasions called for increased ME&amp;O to boost utilization of EV chargers, which will provide significantly better return on ratepayer investments as well as higher EV adoption. GPI recommends that after energization, all sites that are part of this new program and the predecessor EVCN program be the targets of significant ME&amp;O to increase utilization.  [Brief, 8/24/22, pg. 1.]</w:t>
            </w:r>
          </w:p>
          <w:p w:rsidRPr="00D9481A" w:rsidR="00D9481A" w:rsidP="00D9481A" w:rsidRDefault="00D9481A" w14:paraId="4FF1FED9" w14:textId="77777777">
            <w:pPr>
              <w:spacing w:before="120"/>
              <w:rPr>
                <w:color w:val="000000"/>
              </w:rPr>
            </w:pPr>
            <w:r w:rsidRPr="00D9481A">
              <w:rPr>
                <w:color w:val="000000"/>
              </w:rPr>
              <w:t>GPI strongly opposes the 50 percent reduction of the ME&amp;O budget since it is precisely targeted post-energization ME&amp;O in underserved communities that is required to ensure that the large sums of ratepayer funds that the Commission is authorizing for these communities is not wasted through under-utilization or non-utilization of chargers.  [Comments, 11/28/22, pg. 2.]</w:t>
            </w:r>
          </w:p>
          <w:p w:rsidRPr="00FA3ADE" w:rsidR="00DB1932" w:rsidP="00D9481A" w:rsidRDefault="00D9481A" w14:paraId="591D3AD6" w14:textId="24759F2B">
            <w:pPr>
              <w:spacing w:before="120"/>
              <w:rPr>
                <w:b/>
                <w:bCs/>
                <w:color w:val="000000"/>
              </w:rPr>
            </w:pPr>
            <w:r w:rsidRPr="00D9481A">
              <w:rPr>
                <w:color w:val="000000"/>
              </w:rPr>
              <w:t>GPI strongly agrees with PG&amp;E that the PD should be modified to allow for an increased ME&amp;O budget and allow post-energization ME&amp;O funding beyond the time of EV infrastructure installment.  [Reply, 12/5/22, pg. 2.]</w:t>
            </w:r>
          </w:p>
        </w:tc>
        <w:tc>
          <w:tcPr>
            <w:tcW w:w="2340" w:type="dxa"/>
            <w:shd w:val="clear" w:color="auto" w:fill="auto"/>
          </w:tcPr>
          <w:p w:rsidR="00DB1932" w:rsidP="00A92D0B" w:rsidRDefault="00DB1932" w14:paraId="177866C9" w14:textId="77777777">
            <w:pPr>
              <w:spacing w:before="120"/>
              <w:rPr>
                <w:color w:val="000000"/>
              </w:rPr>
            </w:pPr>
          </w:p>
          <w:p w:rsidR="00250222" w:rsidP="00A92D0B" w:rsidRDefault="00F71A7F" w14:paraId="6DCE7706" w14:textId="77777777">
            <w:pPr>
              <w:spacing w:before="120"/>
              <w:rPr>
                <w:color w:val="000000"/>
              </w:rPr>
            </w:pPr>
            <w:r>
              <w:rPr>
                <w:color w:val="000000"/>
              </w:rPr>
              <w:t>Verified</w:t>
            </w:r>
          </w:p>
          <w:p w:rsidR="00D16BB7" w:rsidP="00A92D0B" w:rsidRDefault="00D16BB7" w14:paraId="74251288" w14:textId="77777777">
            <w:pPr>
              <w:spacing w:before="120"/>
              <w:rPr>
                <w:color w:val="000000"/>
              </w:rPr>
            </w:pPr>
          </w:p>
          <w:p w:rsidR="00BA7124" w:rsidP="00A92D0B" w:rsidRDefault="00BA7124" w14:paraId="16E6EC2A" w14:textId="77777777">
            <w:pPr>
              <w:spacing w:before="120"/>
              <w:rPr>
                <w:color w:val="000000"/>
              </w:rPr>
            </w:pPr>
          </w:p>
          <w:p w:rsidR="00BA7124" w:rsidP="00A92D0B" w:rsidRDefault="00BA7124" w14:paraId="10930CEB" w14:textId="77777777">
            <w:pPr>
              <w:spacing w:before="120"/>
              <w:rPr>
                <w:color w:val="000000"/>
              </w:rPr>
            </w:pPr>
          </w:p>
          <w:p w:rsidR="00BA7124" w:rsidP="00A92D0B" w:rsidRDefault="00BA7124" w14:paraId="20D276CC" w14:textId="77777777">
            <w:pPr>
              <w:spacing w:before="120"/>
              <w:rPr>
                <w:color w:val="000000"/>
              </w:rPr>
            </w:pPr>
          </w:p>
          <w:p w:rsidR="00BA7124" w:rsidP="00A92D0B" w:rsidRDefault="00BA7124" w14:paraId="19EB5B56" w14:textId="77777777">
            <w:pPr>
              <w:spacing w:before="120"/>
              <w:rPr>
                <w:color w:val="000000"/>
              </w:rPr>
            </w:pPr>
          </w:p>
          <w:p w:rsidR="00BA7124" w:rsidP="00A92D0B" w:rsidRDefault="00BA7124" w14:paraId="40219BFB" w14:textId="77777777">
            <w:pPr>
              <w:spacing w:before="120"/>
              <w:rPr>
                <w:color w:val="000000"/>
              </w:rPr>
            </w:pPr>
          </w:p>
          <w:p w:rsidR="00BA7124" w:rsidP="00A92D0B" w:rsidRDefault="00BA7124" w14:paraId="4AEF8E0E" w14:textId="77777777">
            <w:pPr>
              <w:spacing w:before="120"/>
              <w:rPr>
                <w:color w:val="000000"/>
              </w:rPr>
            </w:pPr>
          </w:p>
          <w:p w:rsidR="00BA7124" w:rsidP="00A92D0B" w:rsidRDefault="00BA7124" w14:paraId="4CBE6F07" w14:textId="77777777">
            <w:pPr>
              <w:spacing w:before="120"/>
              <w:rPr>
                <w:color w:val="000000"/>
              </w:rPr>
            </w:pPr>
          </w:p>
          <w:p w:rsidR="00BA7124" w:rsidP="00A92D0B" w:rsidRDefault="00BA7124" w14:paraId="60B3A51A" w14:textId="77777777">
            <w:pPr>
              <w:spacing w:before="120"/>
              <w:rPr>
                <w:color w:val="000000"/>
              </w:rPr>
            </w:pPr>
          </w:p>
          <w:p w:rsidR="00BA7124" w:rsidP="00A92D0B" w:rsidRDefault="00BA7124" w14:paraId="17759A66" w14:textId="77777777">
            <w:pPr>
              <w:spacing w:before="120"/>
              <w:rPr>
                <w:color w:val="000000"/>
              </w:rPr>
            </w:pPr>
          </w:p>
          <w:p w:rsidR="00BA7124" w:rsidP="00A92D0B" w:rsidRDefault="00BA7124" w14:paraId="64F6CDAA" w14:textId="77777777">
            <w:pPr>
              <w:spacing w:before="120"/>
              <w:rPr>
                <w:color w:val="000000"/>
              </w:rPr>
            </w:pPr>
          </w:p>
          <w:p w:rsidR="00BA7124" w:rsidP="00A92D0B" w:rsidRDefault="00BA7124" w14:paraId="137A71BA" w14:textId="77777777">
            <w:pPr>
              <w:spacing w:before="120"/>
              <w:rPr>
                <w:color w:val="000000"/>
              </w:rPr>
            </w:pPr>
          </w:p>
          <w:p w:rsidR="00BA7124" w:rsidP="00A92D0B" w:rsidRDefault="00BA7124" w14:paraId="05C8E125" w14:textId="77777777">
            <w:pPr>
              <w:spacing w:before="120"/>
              <w:rPr>
                <w:color w:val="000000"/>
              </w:rPr>
            </w:pPr>
          </w:p>
          <w:p w:rsidR="00BA7124" w:rsidP="00A92D0B" w:rsidRDefault="00BA7124" w14:paraId="5CFCE200" w14:textId="77777777">
            <w:pPr>
              <w:spacing w:before="120"/>
              <w:rPr>
                <w:color w:val="000000"/>
              </w:rPr>
            </w:pPr>
          </w:p>
          <w:p w:rsidR="00BA7124" w:rsidP="00A92D0B" w:rsidRDefault="00BA7124" w14:paraId="2BF39F94" w14:textId="77777777">
            <w:pPr>
              <w:spacing w:before="120"/>
              <w:rPr>
                <w:color w:val="000000"/>
              </w:rPr>
            </w:pPr>
          </w:p>
          <w:p w:rsidR="00BA7124" w:rsidP="00A92D0B" w:rsidRDefault="00BA7124" w14:paraId="602566A8" w14:textId="77777777">
            <w:pPr>
              <w:spacing w:before="120"/>
              <w:rPr>
                <w:color w:val="000000"/>
              </w:rPr>
            </w:pPr>
          </w:p>
          <w:p w:rsidR="00BA7124" w:rsidP="00A92D0B" w:rsidRDefault="00BA7124" w14:paraId="78C89553" w14:textId="77777777">
            <w:pPr>
              <w:spacing w:before="120"/>
              <w:rPr>
                <w:color w:val="000000"/>
              </w:rPr>
            </w:pPr>
          </w:p>
          <w:p w:rsidR="00BA7124" w:rsidP="00A92D0B" w:rsidRDefault="00BA7124" w14:paraId="574D76E3" w14:textId="77777777">
            <w:pPr>
              <w:spacing w:before="120"/>
              <w:rPr>
                <w:color w:val="000000"/>
              </w:rPr>
            </w:pPr>
          </w:p>
          <w:p w:rsidR="00BA7124" w:rsidP="00A92D0B" w:rsidRDefault="00BA7124" w14:paraId="391C2A51" w14:textId="77777777">
            <w:pPr>
              <w:spacing w:before="120"/>
              <w:rPr>
                <w:color w:val="000000"/>
              </w:rPr>
            </w:pPr>
          </w:p>
          <w:p w:rsidR="00BA7124" w:rsidP="00A92D0B" w:rsidRDefault="00BA7124" w14:paraId="76EF9174" w14:textId="77777777">
            <w:pPr>
              <w:spacing w:before="120"/>
              <w:rPr>
                <w:color w:val="000000"/>
              </w:rPr>
            </w:pPr>
          </w:p>
          <w:p w:rsidR="00BA7124" w:rsidP="00A92D0B" w:rsidRDefault="00BA7124" w14:paraId="66039E3B" w14:textId="77777777">
            <w:pPr>
              <w:spacing w:before="120"/>
              <w:rPr>
                <w:color w:val="000000"/>
              </w:rPr>
            </w:pPr>
          </w:p>
          <w:p w:rsidR="00BA7124" w:rsidP="00A92D0B" w:rsidRDefault="00BA7124" w14:paraId="51D83D4C" w14:textId="77777777">
            <w:pPr>
              <w:spacing w:before="120"/>
              <w:rPr>
                <w:color w:val="000000"/>
              </w:rPr>
            </w:pPr>
          </w:p>
          <w:p w:rsidR="00BA7124" w:rsidP="00A92D0B" w:rsidRDefault="00BA7124" w14:paraId="78D3640A" w14:textId="77777777">
            <w:pPr>
              <w:spacing w:before="120"/>
              <w:rPr>
                <w:color w:val="000000"/>
              </w:rPr>
            </w:pPr>
          </w:p>
          <w:p w:rsidR="00BA7124" w:rsidP="00A92D0B" w:rsidRDefault="00BA7124" w14:paraId="1E7DA87F" w14:textId="77777777">
            <w:pPr>
              <w:spacing w:before="120"/>
              <w:rPr>
                <w:color w:val="000000"/>
              </w:rPr>
            </w:pPr>
          </w:p>
          <w:p w:rsidR="00BA7124" w:rsidP="00A92D0B" w:rsidRDefault="00BA7124" w14:paraId="39A549A1" w14:textId="77777777">
            <w:pPr>
              <w:spacing w:before="120"/>
              <w:rPr>
                <w:color w:val="000000"/>
              </w:rPr>
            </w:pPr>
          </w:p>
          <w:p w:rsidR="00BA7124" w:rsidP="00A92D0B" w:rsidRDefault="00BA7124" w14:paraId="34F66F33" w14:textId="77777777">
            <w:pPr>
              <w:spacing w:before="120"/>
              <w:rPr>
                <w:color w:val="000000"/>
              </w:rPr>
            </w:pPr>
          </w:p>
          <w:p w:rsidR="00BA7124" w:rsidP="00A92D0B" w:rsidRDefault="00BA7124" w14:paraId="4EC5A1F4" w14:textId="77777777">
            <w:pPr>
              <w:spacing w:before="120"/>
              <w:rPr>
                <w:color w:val="000000"/>
              </w:rPr>
            </w:pPr>
          </w:p>
          <w:p w:rsidR="00BA7124" w:rsidP="00A92D0B" w:rsidRDefault="00BA7124" w14:paraId="057FB8B0" w14:textId="77777777">
            <w:pPr>
              <w:spacing w:before="120"/>
              <w:rPr>
                <w:color w:val="000000"/>
              </w:rPr>
            </w:pPr>
          </w:p>
          <w:p w:rsidR="00BA7124" w:rsidP="00A92D0B" w:rsidRDefault="00BA7124" w14:paraId="2768A864" w14:textId="77777777">
            <w:pPr>
              <w:spacing w:before="120"/>
              <w:rPr>
                <w:color w:val="000000"/>
              </w:rPr>
            </w:pPr>
          </w:p>
          <w:p w:rsidR="00BA7124" w:rsidP="00A92D0B" w:rsidRDefault="00BA7124" w14:paraId="20E3436B" w14:textId="77777777">
            <w:pPr>
              <w:spacing w:before="120"/>
              <w:rPr>
                <w:color w:val="000000"/>
              </w:rPr>
            </w:pPr>
          </w:p>
          <w:p w:rsidR="00BA7124" w:rsidP="00A92D0B" w:rsidRDefault="00BA7124" w14:paraId="544CE17B" w14:textId="77777777">
            <w:pPr>
              <w:spacing w:before="120"/>
              <w:rPr>
                <w:color w:val="000000"/>
              </w:rPr>
            </w:pPr>
          </w:p>
          <w:p w:rsidR="00BA7124" w:rsidP="00A92D0B" w:rsidRDefault="00BA7124" w14:paraId="6CAA6BB6" w14:textId="77777777">
            <w:pPr>
              <w:spacing w:before="120"/>
              <w:rPr>
                <w:color w:val="000000"/>
              </w:rPr>
            </w:pPr>
          </w:p>
          <w:p w:rsidR="00BA7124" w:rsidP="00A92D0B" w:rsidRDefault="00BA7124" w14:paraId="13A056E6" w14:textId="77777777">
            <w:pPr>
              <w:spacing w:before="120"/>
              <w:rPr>
                <w:color w:val="000000"/>
              </w:rPr>
            </w:pPr>
          </w:p>
          <w:p w:rsidR="00BA7124" w:rsidP="00A92D0B" w:rsidRDefault="00BA7124" w14:paraId="73F9C67D" w14:textId="77777777">
            <w:pPr>
              <w:spacing w:before="120"/>
              <w:rPr>
                <w:color w:val="000000"/>
              </w:rPr>
            </w:pPr>
          </w:p>
          <w:p w:rsidR="00A37CF0" w:rsidP="00A92D0B" w:rsidRDefault="00A37CF0" w14:paraId="7261A758" w14:textId="77777777">
            <w:pPr>
              <w:spacing w:before="120"/>
              <w:rPr>
                <w:color w:val="000000"/>
              </w:rPr>
            </w:pPr>
          </w:p>
          <w:p w:rsidR="00A37CF0" w:rsidP="00A92D0B" w:rsidRDefault="00A37CF0" w14:paraId="54C82EA9" w14:textId="77777777">
            <w:pPr>
              <w:spacing w:before="120"/>
              <w:rPr>
                <w:color w:val="000000"/>
              </w:rPr>
            </w:pPr>
          </w:p>
          <w:p w:rsidR="00A37CF0" w:rsidP="00A92D0B" w:rsidRDefault="00A37CF0" w14:paraId="4E9E72BD" w14:textId="77777777">
            <w:pPr>
              <w:spacing w:before="120"/>
              <w:rPr>
                <w:color w:val="000000"/>
              </w:rPr>
            </w:pPr>
          </w:p>
          <w:p w:rsidR="00A37CF0" w:rsidP="00A92D0B" w:rsidRDefault="00A37CF0" w14:paraId="0FE19ACC" w14:textId="77777777">
            <w:pPr>
              <w:spacing w:before="120"/>
              <w:rPr>
                <w:color w:val="000000"/>
              </w:rPr>
            </w:pPr>
          </w:p>
          <w:p w:rsidR="00A37CF0" w:rsidP="00A92D0B" w:rsidRDefault="00A37CF0" w14:paraId="64D6A466" w14:textId="77777777">
            <w:pPr>
              <w:spacing w:before="120"/>
              <w:rPr>
                <w:color w:val="000000"/>
              </w:rPr>
            </w:pPr>
          </w:p>
          <w:p w:rsidR="00A37CF0" w:rsidP="00A92D0B" w:rsidRDefault="00A37CF0" w14:paraId="61C3AA4D" w14:textId="77777777">
            <w:pPr>
              <w:spacing w:before="120"/>
              <w:rPr>
                <w:color w:val="000000"/>
              </w:rPr>
            </w:pPr>
          </w:p>
          <w:p w:rsidR="00A37CF0" w:rsidP="00A92D0B" w:rsidRDefault="00A37CF0" w14:paraId="3F0CBF9B" w14:textId="77777777">
            <w:pPr>
              <w:spacing w:before="120"/>
              <w:rPr>
                <w:color w:val="000000"/>
              </w:rPr>
            </w:pPr>
          </w:p>
          <w:p w:rsidR="00A37CF0" w:rsidP="00A92D0B" w:rsidRDefault="00A37CF0" w14:paraId="2EBE76D6" w14:textId="77777777">
            <w:pPr>
              <w:spacing w:before="120"/>
              <w:rPr>
                <w:color w:val="000000"/>
              </w:rPr>
            </w:pPr>
          </w:p>
          <w:p w:rsidR="00A37CF0" w:rsidP="00A92D0B" w:rsidRDefault="00A37CF0" w14:paraId="434E9880" w14:textId="77777777">
            <w:pPr>
              <w:spacing w:before="120"/>
              <w:rPr>
                <w:color w:val="000000"/>
              </w:rPr>
            </w:pPr>
          </w:p>
          <w:p w:rsidR="00F71A7F" w:rsidP="00A92D0B" w:rsidRDefault="00A87101" w14:paraId="2F44033E" w14:textId="404C1ADA">
            <w:pPr>
              <w:spacing w:before="120"/>
              <w:rPr>
                <w:color w:val="000000"/>
              </w:rPr>
            </w:pPr>
            <w:r>
              <w:rPr>
                <w:color w:val="000000"/>
              </w:rPr>
              <w:t xml:space="preserve">PD </w:t>
            </w:r>
            <w:r w:rsidR="001F527D">
              <w:rPr>
                <w:color w:val="000000"/>
              </w:rPr>
              <w:t>c</w:t>
            </w:r>
            <w:r>
              <w:rPr>
                <w:color w:val="000000"/>
              </w:rPr>
              <w:t>omments and</w:t>
            </w:r>
            <w:r w:rsidR="00DF0537">
              <w:rPr>
                <w:color w:val="000000"/>
              </w:rPr>
              <w:t xml:space="preserve"> </w:t>
            </w:r>
            <w:r w:rsidR="001F527D">
              <w:rPr>
                <w:color w:val="000000"/>
              </w:rPr>
              <w:t xml:space="preserve">reply comments </w:t>
            </w:r>
            <w:r w:rsidR="003936E8">
              <w:rPr>
                <w:color w:val="000000"/>
              </w:rPr>
              <w:t xml:space="preserve">regarding ME&amp;O </w:t>
            </w:r>
            <w:r w:rsidR="001F527D">
              <w:rPr>
                <w:color w:val="000000"/>
              </w:rPr>
              <w:t>a</w:t>
            </w:r>
            <w:r w:rsidR="00DF0537">
              <w:rPr>
                <w:color w:val="000000"/>
              </w:rPr>
              <w:t>re duplicative of</w:t>
            </w:r>
            <w:r w:rsidR="001F527D">
              <w:rPr>
                <w:color w:val="000000"/>
              </w:rPr>
              <w:t xml:space="preserve"> earlier </w:t>
            </w:r>
            <w:r w:rsidR="00FA480B">
              <w:rPr>
                <w:color w:val="000000"/>
              </w:rPr>
              <w:t>GPI pleadings</w:t>
            </w:r>
            <w:r w:rsidR="001F527D">
              <w:rPr>
                <w:color w:val="000000"/>
              </w:rPr>
              <w:t>.</w:t>
            </w:r>
            <w:r w:rsidR="001511A6">
              <w:t xml:space="preserve"> See Part III (D).</w:t>
            </w:r>
          </w:p>
          <w:p w:rsidR="005902CC" w:rsidP="00A92D0B" w:rsidRDefault="005902CC" w14:paraId="48525088" w14:textId="77777777">
            <w:pPr>
              <w:spacing w:before="120"/>
              <w:rPr>
                <w:color w:val="000000"/>
              </w:rPr>
            </w:pPr>
          </w:p>
          <w:p w:rsidR="005902CC" w:rsidP="00A92D0B" w:rsidRDefault="005902CC" w14:paraId="20795A22" w14:textId="77777777">
            <w:pPr>
              <w:spacing w:before="120"/>
              <w:rPr>
                <w:color w:val="000000"/>
              </w:rPr>
            </w:pPr>
          </w:p>
          <w:p w:rsidR="005902CC" w:rsidP="00A92D0B" w:rsidRDefault="005902CC" w14:paraId="53C9654E" w14:textId="77777777">
            <w:pPr>
              <w:spacing w:before="120"/>
              <w:rPr>
                <w:color w:val="000000"/>
              </w:rPr>
            </w:pPr>
          </w:p>
          <w:p w:rsidR="005902CC" w:rsidP="00A92D0B" w:rsidRDefault="005902CC" w14:paraId="6B983A1A" w14:textId="77777777">
            <w:pPr>
              <w:spacing w:before="120"/>
              <w:rPr>
                <w:color w:val="000000"/>
              </w:rPr>
            </w:pPr>
          </w:p>
          <w:p w:rsidR="005902CC" w:rsidP="00A92D0B" w:rsidRDefault="005902CC" w14:paraId="15147343" w14:textId="77777777">
            <w:pPr>
              <w:spacing w:before="120"/>
              <w:rPr>
                <w:color w:val="000000"/>
              </w:rPr>
            </w:pPr>
          </w:p>
          <w:p w:rsidR="005902CC" w:rsidP="00A92D0B" w:rsidRDefault="005902CC" w14:paraId="47522200" w14:textId="77777777">
            <w:pPr>
              <w:spacing w:before="120"/>
              <w:rPr>
                <w:color w:val="000000"/>
              </w:rPr>
            </w:pPr>
          </w:p>
          <w:p w:rsidR="003D726D" w:rsidP="00A92D0B" w:rsidRDefault="003D726D" w14:paraId="0FD8B4CC" w14:textId="77777777">
            <w:pPr>
              <w:spacing w:before="120"/>
              <w:rPr>
                <w:color w:val="000000"/>
              </w:rPr>
            </w:pPr>
          </w:p>
          <w:p w:rsidRPr="007F620E" w:rsidR="003D726D" w:rsidP="00A92D0B" w:rsidRDefault="003D726D" w14:paraId="51670599" w14:textId="1CC19C21">
            <w:pPr>
              <w:spacing w:before="120"/>
              <w:rPr>
                <w:color w:val="000000"/>
              </w:rPr>
            </w:pPr>
          </w:p>
        </w:tc>
      </w:tr>
    </w:tbl>
    <w:p w:rsidRPr="007F620E" w:rsidR="00A92D0B" w:rsidP="009D142A" w:rsidRDefault="00A92D0B" w14:paraId="0D4BCD3A" w14:textId="77777777">
      <w:pPr>
        <w:keepNext/>
        <w:keepLines/>
        <w:numPr>
          <w:ilvl w:val="0"/>
          <w:numId w:val="1"/>
        </w:numPr>
        <w:tabs>
          <w:tab w:val="clear" w:pos="900"/>
          <w:tab w:val="num" w:pos="360"/>
        </w:tabs>
        <w:spacing w:before="240" w:after="240"/>
        <w:ind w:left="360"/>
        <w:rPr>
          <w:b/>
          <w:color w:val="000000"/>
        </w:rPr>
      </w:pPr>
      <w:r w:rsidRPr="007F620E">
        <w:rPr>
          <w:b/>
          <w:color w:val="000000"/>
        </w:rPr>
        <w:lastRenderedPageBreak/>
        <w:t xml:space="preserve">Duplication of Effort (§ 1801.3(f) </w:t>
      </w:r>
      <w:r w:rsidRPr="007F620E" w:rsidR="00F30DA8">
        <w:rPr>
          <w:b/>
          <w:color w:val="000000"/>
        </w:rPr>
        <w:t xml:space="preserve">and § </w:t>
      </w:r>
      <w:r w:rsidR="0022302F">
        <w:rPr>
          <w:b/>
          <w:color w:val="000000"/>
        </w:rPr>
        <w:t>1802.5)</w:t>
      </w:r>
      <w:r w:rsidR="00C02649">
        <w:rPr>
          <w:b/>
          <w:color w:val="000000"/>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5805"/>
        <w:gridCol w:w="1648"/>
        <w:gridCol w:w="1907"/>
      </w:tblGrid>
      <w:tr w:rsidRPr="007F620E" w:rsidR="00A92D0B" w:rsidTr="009D142A" w14:paraId="76F3266C" w14:textId="77777777">
        <w:trPr>
          <w:tblHeader/>
        </w:trPr>
        <w:tc>
          <w:tcPr>
            <w:tcW w:w="6048" w:type="dxa"/>
            <w:shd w:val="clear" w:color="auto" w:fill="D9D9D9" w:themeFill="background1" w:themeFillShade="D9"/>
          </w:tcPr>
          <w:p w:rsidRPr="007F620E" w:rsidR="00A92D0B" w:rsidP="009D142A" w:rsidRDefault="00A92D0B" w14:paraId="300CEDBC" w14:textId="77777777">
            <w:pPr>
              <w:keepNext/>
              <w:keepLines/>
              <w:spacing w:before="60" w:after="60"/>
              <w:rPr>
                <w:color w:val="000000"/>
              </w:rPr>
            </w:pPr>
          </w:p>
        </w:tc>
        <w:tc>
          <w:tcPr>
            <w:tcW w:w="1710" w:type="dxa"/>
            <w:tcBorders>
              <w:bottom w:val="single" w:color="auto" w:sz="4" w:space="0"/>
            </w:tcBorders>
            <w:shd w:val="clear" w:color="auto" w:fill="D9D9D9" w:themeFill="background1" w:themeFillShade="D9"/>
          </w:tcPr>
          <w:p w:rsidRPr="007F620E" w:rsidR="00A92D0B" w:rsidP="009D142A" w:rsidRDefault="005A63D4" w14:paraId="7B091096" w14:textId="77777777">
            <w:pPr>
              <w:keepNext/>
              <w:keepLines/>
              <w:spacing w:before="60" w:after="60"/>
              <w:jc w:val="center"/>
              <w:rPr>
                <w:b/>
                <w:color w:val="000000"/>
              </w:rPr>
            </w:pPr>
            <w:r w:rsidRPr="007F620E">
              <w:rPr>
                <w:b/>
                <w:color w:val="000000"/>
              </w:rPr>
              <w:t>Interveno</w:t>
            </w:r>
            <w:r w:rsidRPr="007F620E" w:rsidR="00204E3A">
              <w:rPr>
                <w:b/>
                <w:color w:val="000000"/>
              </w:rPr>
              <w:t>r</w:t>
            </w:r>
            <w:r w:rsidRPr="007F620E">
              <w:rPr>
                <w:b/>
                <w:color w:val="000000"/>
              </w:rPr>
              <w:t xml:space="preserve">’s </w:t>
            </w:r>
            <w:r w:rsidRPr="007F620E" w:rsidR="00D075B1">
              <w:rPr>
                <w:b/>
                <w:color w:val="000000"/>
              </w:rPr>
              <w:t>Assertion</w:t>
            </w:r>
          </w:p>
        </w:tc>
        <w:tc>
          <w:tcPr>
            <w:tcW w:w="1980" w:type="dxa"/>
            <w:shd w:val="clear" w:color="auto" w:fill="D9D9D9" w:themeFill="background1" w:themeFillShade="D9"/>
          </w:tcPr>
          <w:p w:rsidRPr="007F620E" w:rsidR="00A92D0B" w:rsidP="009D142A" w:rsidRDefault="00A92D0B" w14:paraId="25CE5081" w14:textId="77777777">
            <w:pPr>
              <w:keepNext/>
              <w:keepLines/>
              <w:spacing w:before="60" w:after="60"/>
              <w:jc w:val="center"/>
              <w:rPr>
                <w:b/>
                <w:color w:val="000000"/>
              </w:rPr>
            </w:pPr>
            <w:r w:rsidRPr="007F620E">
              <w:rPr>
                <w:b/>
                <w:color w:val="000000"/>
              </w:rPr>
              <w:t xml:space="preserve">CPUC </w:t>
            </w:r>
            <w:r w:rsidRPr="007F620E" w:rsidR="00D075B1">
              <w:rPr>
                <w:b/>
                <w:color w:val="000000"/>
              </w:rPr>
              <w:t>Discussion</w:t>
            </w:r>
          </w:p>
        </w:tc>
      </w:tr>
      <w:tr w:rsidRPr="007F620E" w:rsidR="00A92D0B" w:rsidTr="009D142A" w14:paraId="24A12BE1" w14:textId="77777777">
        <w:tc>
          <w:tcPr>
            <w:tcW w:w="6048" w:type="dxa"/>
            <w:shd w:val="clear" w:color="auto" w:fill="auto"/>
          </w:tcPr>
          <w:p w:rsidRPr="007F620E" w:rsidR="00A92D0B" w:rsidP="009D142A" w:rsidRDefault="00A92D0B" w14:paraId="6915FAF6" w14:textId="55102672">
            <w:pPr>
              <w:keepNext/>
              <w:keepLines/>
              <w:spacing w:before="60" w:after="60"/>
              <w:ind w:left="360" w:hanging="360"/>
              <w:rPr>
                <w:b/>
                <w:color w:val="000000"/>
              </w:rPr>
            </w:pPr>
            <w:r w:rsidRPr="007F620E">
              <w:rPr>
                <w:b/>
                <w:color w:val="000000"/>
              </w:rPr>
              <w:t>a.</w:t>
            </w:r>
            <w:r w:rsidRPr="007F620E">
              <w:rPr>
                <w:b/>
                <w:color w:val="000000"/>
              </w:rPr>
              <w:tab/>
            </w:r>
            <w:r w:rsidRPr="007F620E">
              <w:rPr>
                <w:b/>
              </w:rPr>
              <w:t xml:space="preserve">Was </w:t>
            </w:r>
            <w:r w:rsidRPr="009E48E4">
              <w:rPr>
                <w:b/>
              </w:rPr>
              <w:t xml:space="preserve">the </w:t>
            </w:r>
            <w:r w:rsidRPr="009E48E4" w:rsidR="009E48E4">
              <w:rPr>
                <w:b/>
                <w:color w:val="000000"/>
                <w:sz w:val="22"/>
                <w:szCs w:val="22"/>
              </w:rPr>
              <w:t>Public Advocate</w:t>
            </w:r>
            <w:r w:rsidR="00621A7C">
              <w:rPr>
                <w:b/>
                <w:color w:val="000000"/>
                <w:sz w:val="22"/>
                <w:szCs w:val="22"/>
              </w:rPr>
              <w:t>’</w:t>
            </w:r>
            <w:r w:rsidRPr="009E48E4" w:rsidR="009E48E4">
              <w:rPr>
                <w:b/>
                <w:color w:val="000000"/>
                <w:sz w:val="22"/>
                <w:szCs w:val="22"/>
              </w:rPr>
              <w:t>s Office of the Public Utilities Commission</w:t>
            </w:r>
            <w:r w:rsidRPr="009E48E4" w:rsidR="009E48E4">
              <w:rPr>
                <w:b/>
              </w:rPr>
              <w:t xml:space="preserve"> </w:t>
            </w:r>
            <w:r w:rsidRPr="00B55D78">
              <w:rPr>
                <w:b/>
                <w:color w:val="000000"/>
                <w:sz w:val="22"/>
                <w:szCs w:val="22"/>
              </w:rPr>
              <w:t>(</w:t>
            </w:r>
            <w:r w:rsidRPr="00B55D78" w:rsidR="00B55D78">
              <w:rPr>
                <w:b/>
                <w:color w:val="000000"/>
                <w:sz w:val="22"/>
                <w:szCs w:val="22"/>
              </w:rPr>
              <w:t>Cal Advocates</w:t>
            </w:r>
            <w:r w:rsidRPr="007F620E">
              <w:rPr>
                <w:b/>
              </w:rPr>
              <w:t>) a party to the proceeding</w:t>
            </w:r>
            <w:r w:rsidRPr="007F620E">
              <w:rPr>
                <w:b/>
                <w:color w:val="000000"/>
              </w:rPr>
              <w:t>?</w:t>
            </w:r>
            <w:r w:rsidR="009E48E4">
              <w:rPr>
                <w:rStyle w:val="FootnoteReference"/>
                <w:b/>
                <w:color w:val="000000"/>
              </w:rPr>
              <w:footnoteReference w:id="5"/>
            </w:r>
          </w:p>
        </w:tc>
        <w:tc>
          <w:tcPr>
            <w:tcW w:w="1710" w:type="dxa"/>
            <w:shd w:val="clear" w:color="auto" w:fill="auto"/>
          </w:tcPr>
          <w:p w:rsidRPr="00E25078" w:rsidR="00A92D0B" w:rsidP="009D142A" w:rsidRDefault="0031501B" w14:paraId="0B49A7C8" w14:textId="134B1CE0">
            <w:pPr>
              <w:keepNext/>
              <w:keepLines/>
              <w:spacing w:before="60" w:after="60"/>
              <w:rPr>
                <w:color w:val="000000"/>
              </w:rPr>
            </w:pPr>
            <w:r>
              <w:rPr>
                <w:color w:val="000000"/>
              </w:rPr>
              <w:t>Yes</w:t>
            </w:r>
          </w:p>
        </w:tc>
        <w:tc>
          <w:tcPr>
            <w:tcW w:w="1980" w:type="dxa"/>
            <w:shd w:val="clear" w:color="auto" w:fill="auto"/>
          </w:tcPr>
          <w:p w:rsidRPr="00E25078" w:rsidR="00A92D0B" w:rsidP="009D142A" w:rsidRDefault="004A1746" w14:paraId="23B6532A" w14:textId="03D553F1">
            <w:pPr>
              <w:keepNext/>
              <w:keepLines/>
              <w:spacing w:before="60" w:after="60"/>
              <w:rPr>
                <w:color w:val="000000"/>
              </w:rPr>
            </w:pPr>
            <w:r>
              <w:rPr>
                <w:color w:val="000000"/>
              </w:rPr>
              <w:t>Noted</w:t>
            </w:r>
          </w:p>
        </w:tc>
      </w:tr>
      <w:tr w:rsidRPr="007F620E" w:rsidR="00A92D0B" w:rsidTr="009D142A" w14:paraId="3317BD71" w14:textId="77777777">
        <w:tc>
          <w:tcPr>
            <w:tcW w:w="6048" w:type="dxa"/>
            <w:shd w:val="clear" w:color="auto" w:fill="auto"/>
          </w:tcPr>
          <w:p w:rsidRPr="007F620E" w:rsidR="00A92D0B" w:rsidP="009D142A" w:rsidRDefault="00A92D0B" w14:paraId="561D245D" w14:textId="77777777">
            <w:pPr>
              <w:tabs>
                <w:tab w:val="left" w:pos="360"/>
              </w:tabs>
              <w:spacing w:before="60" w:after="60"/>
              <w:ind w:left="360" w:hanging="360"/>
              <w:rPr>
                <w:b/>
                <w:color w:val="000000"/>
              </w:rPr>
            </w:pPr>
            <w:r w:rsidRPr="007F620E">
              <w:rPr>
                <w:b/>
                <w:color w:val="000000"/>
              </w:rPr>
              <w:t>b.</w:t>
            </w:r>
            <w:r w:rsidRPr="007F620E">
              <w:rPr>
                <w:b/>
                <w:color w:val="000000"/>
              </w:rPr>
              <w:tab/>
              <w:t xml:space="preserve">Were there other parties to the proceeding with positions similar to yours? </w:t>
            </w:r>
          </w:p>
        </w:tc>
        <w:tc>
          <w:tcPr>
            <w:tcW w:w="1710" w:type="dxa"/>
            <w:shd w:val="clear" w:color="auto" w:fill="auto"/>
          </w:tcPr>
          <w:p w:rsidRPr="00E25078" w:rsidR="00A92D0B" w:rsidP="009D142A" w:rsidRDefault="0031501B" w14:paraId="3708E485" w14:textId="4BE3A0FB">
            <w:pPr>
              <w:spacing w:before="60" w:after="60"/>
              <w:rPr>
                <w:color w:val="000000"/>
              </w:rPr>
            </w:pPr>
            <w:r>
              <w:rPr>
                <w:color w:val="000000"/>
              </w:rPr>
              <w:t>Yes</w:t>
            </w:r>
          </w:p>
        </w:tc>
        <w:tc>
          <w:tcPr>
            <w:tcW w:w="1980" w:type="dxa"/>
            <w:shd w:val="clear" w:color="auto" w:fill="auto"/>
          </w:tcPr>
          <w:p w:rsidRPr="00E25078" w:rsidR="00A92D0B" w:rsidP="009D142A" w:rsidRDefault="004A1746" w14:paraId="6B3388E6" w14:textId="490039C4">
            <w:pPr>
              <w:spacing w:before="60" w:after="60"/>
              <w:rPr>
                <w:color w:val="000000"/>
              </w:rPr>
            </w:pPr>
            <w:r>
              <w:rPr>
                <w:color w:val="000000"/>
              </w:rPr>
              <w:t>Noted</w:t>
            </w:r>
          </w:p>
        </w:tc>
      </w:tr>
      <w:tr w:rsidRPr="007F620E" w:rsidR="00A92D0B" w:rsidTr="009D142A" w14:paraId="0A51B7D4" w14:textId="77777777">
        <w:tc>
          <w:tcPr>
            <w:tcW w:w="7758" w:type="dxa"/>
            <w:gridSpan w:val="2"/>
            <w:shd w:val="clear" w:color="auto" w:fill="auto"/>
          </w:tcPr>
          <w:p w:rsidRPr="00E25078" w:rsidR="00A92D0B" w:rsidP="009D142A" w:rsidRDefault="00A92D0B" w14:paraId="0919176B" w14:textId="7E52BA21">
            <w:pPr>
              <w:spacing w:before="60" w:after="60"/>
              <w:ind w:left="360" w:hanging="360"/>
              <w:rPr>
                <w:color w:val="000000"/>
              </w:rPr>
            </w:pPr>
            <w:r w:rsidRPr="00E25078">
              <w:rPr>
                <w:b/>
                <w:color w:val="000000"/>
              </w:rPr>
              <w:t>c.</w:t>
            </w:r>
            <w:r w:rsidRPr="00E25078">
              <w:rPr>
                <w:b/>
                <w:color w:val="000000"/>
              </w:rPr>
              <w:tab/>
              <w:t>If so, provide name of other parties:</w:t>
            </w:r>
            <w:r w:rsidRPr="00E25078" w:rsidR="00E25078">
              <w:rPr>
                <w:color w:val="000000"/>
              </w:rPr>
              <w:t xml:space="preserve"> </w:t>
            </w:r>
            <w:r w:rsidRPr="0082220A" w:rsidR="001D3F53">
              <w:rPr>
                <w:color w:val="000000"/>
              </w:rPr>
              <w:t xml:space="preserve">TURN, </w:t>
            </w:r>
            <w:r w:rsidRPr="0082220A" w:rsidR="00C241B9">
              <w:rPr>
                <w:color w:val="000000"/>
              </w:rPr>
              <w:t>ChargePoint</w:t>
            </w:r>
            <w:r w:rsidRPr="0082220A" w:rsidR="001D3F53">
              <w:rPr>
                <w:color w:val="000000"/>
              </w:rPr>
              <w:t>,</w:t>
            </w:r>
            <w:r w:rsidRPr="0082220A" w:rsidR="00C241B9">
              <w:rPr>
                <w:color w:val="000000"/>
              </w:rPr>
              <w:t xml:space="preserve"> </w:t>
            </w:r>
            <w:r w:rsidRPr="0082220A" w:rsidR="00DF529A">
              <w:rPr>
                <w:color w:val="000000"/>
              </w:rPr>
              <w:t>NRDC,</w:t>
            </w:r>
            <w:r w:rsidRPr="0082220A" w:rsidR="00C241B9">
              <w:rPr>
                <w:color w:val="000000"/>
              </w:rPr>
              <w:t xml:space="preserve"> </w:t>
            </w:r>
            <w:r w:rsidRPr="0082220A" w:rsidR="00AF2AA0">
              <w:rPr>
                <w:color w:val="000000"/>
              </w:rPr>
              <w:t>Electrify America, SBUA,</w:t>
            </w:r>
            <w:r w:rsidRPr="0082220A" w:rsidR="001D3F53">
              <w:rPr>
                <w:color w:val="000000"/>
              </w:rPr>
              <w:t xml:space="preserve"> and </w:t>
            </w:r>
            <w:r w:rsidRPr="0082220A" w:rsidR="00AF2AA0">
              <w:rPr>
                <w:color w:val="000000"/>
              </w:rPr>
              <w:t>PG&amp;E</w:t>
            </w:r>
            <w:r w:rsidRPr="0082220A" w:rsidR="0031501B">
              <w:rPr>
                <w:color w:val="000000"/>
              </w:rPr>
              <w:t>.</w:t>
            </w:r>
          </w:p>
        </w:tc>
        <w:tc>
          <w:tcPr>
            <w:tcW w:w="1980" w:type="dxa"/>
            <w:shd w:val="clear" w:color="auto" w:fill="auto"/>
          </w:tcPr>
          <w:p w:rsidRPr="00E25078" w:rsidR="00A92D0B" w:rsidP="009D142A" w:rsidRDefault="004A1746" w14:paraId="22A40B49" w14:textId="7E162827">
            <w:pPr>
              <w:spacing w:before="60" w:after="60"/>
              <w:rPr>
                <w:color w:val="000000"/>
              </w:rPr>
            </w:pPr>
            <w:r>
              <w:rPr>
                <w:color w:val="000000"/>
              </w:rPr>
              <w:t>Verified</w:t>
            </w:r>
          </w:p>
        </w:tc>
      </w:tr>
      <w:tr w:rsidRPr="007F620E" w:rsidR="00A92D0B" w:rsidTr="009D142A" w14:paraId="744830F5" w14:textId="77777777">
        <w:tc>
          <w:tcPr>
            <w:tcW w:w="7758" w:type="dxa"/>
            <w:gridSpan w:val="2"/>
            <w:shd w:val="clear" w:color="auto" w:fill="auto"/>
          </w:tcPr>
          <w:p w:rsidRPr="00E25078" w:rsidR="00A92D0B" w:rsidP="009D142A" w:rsidRDefault="00A92D0B" w14:paraId="3228BB07" w14:textId="46BB6CD0">
            <w:pPr>
              <w:tabs>
                <w:tab w:val="left" w:pos="360"/>
              </w:tabs>
              <w:spacing w:before="60" w:after="60"/>
              <w:ind w:left="360" w:hanging="360"/>
              <w:rPr>
                <w:color w:val="000000"/>
              </w:rPr>
            </w:pPr>
            <w:r w:rsidRPr="00E25078">
              <w:rPr>
                <w:b/>
                <w:color w:val="000000"/>
              </w:rPr>
              <w:t>d.</w:t>
            </w:r>
            <w:r w:rsidRPr="00E25078">
              <w:rPr>
                <w:b/>
                <w:color w:val="000000"/>
              </w:rPr>
              <w:tab/>
            </w:r>
            <w:r w:rsidRPr="00E25078" w:rsidR="00D075B1">
              <w:rPr>
                <w:b/>
                <w:color w:val="000000"/>
              </w:rPr>
              <w:t xml:space="preserve">Intervenor’s </w:t>
            </w:r>
            <w:r w:rsidRPr="00E25078" w:rsidR="00A319DE">
              <w:rPr>
                <w:b/>
                <w:color w:val="000000"/>
              </w:rPr>
              <w:t>c</w:t>
            </w:r>
            <w:r w:rsidRPr="00E25078" w:rsidR="00D075B1">
              <w:rPr>
                <w:b/>
                <w:color w:val="000000"/>
              </w:rPr>
              <w:t xml:space="preserve">laim of </w:t>
            </w:r>
            <w:r w:rsidRPr="00E25078" w:rsidR="00A319DE">
              <w:rPr>
                <w:b/>
                <w:color w:val="000000"/>
              </w:rPr>
              <w:t>n</w:t>
            </w:r>
            <w:r w:rsidRPr="00E25078" w:rsidR="00D075B1">
              <w:rPr>
                <w:b/>
                <w:color w:val="000000"/>
              </w:rPr>
              <w:t>on-</w:t>
            </w:r>
            <w:r w:rsidRPr="00E25078" w:rsidR="00A319DE">
              <w:rPr>
                <w:b/>
                <w:color w:val="000000"/>
              </w:rPr>
              <w:t>d</w:t>
            </w:r>
            <w:r w:rsidRPr="00E25078" w:rsidR="00D075B1">
              <w:rPr>
                <w:b/>
                <w:color w:val="000000"/>
              </w:rPr>
              <w:t>uplication:</w:t>
            </w:r>
            <w:r w:rsidRPr="00E25078" w:rsidR="00E25078">
              <w:rPr>
                <w:color w:val="000000"/>
              </w:rPr>
              <w:t xml:space="preserve"> </w:t>
            </w:r>
            <w:r w:rsidRPr="0082220A" w:rsidR="001D3F53">
              <w:rPr>
                <w:color w:val="000000"/>
              </w:rPr>
              <w:t>This proceeding covers a variety of</w:t>
            </w:r>
            <w:r w:rsidRPr="0082220A" w:rsidR="001011F3">
              <w:rPr>
                <w:color w:val="000000"/>
              </w:rPr>
              <w:t xml:space="preserve"> </w:t>
            </w:r>
            <w:r w:rsidRPr="0082220A" w:rsidR="001D3F53">
              <w:rPr>
                <w:color w:val="000000"/>
              </w:rPr>
              <w:t xml:space="preserve">topics related to </w:t>
            </w:r>
            <w:r w:rsidRPr="0082220A" w:rsidR="00AF2AA0">
              <w:rPr>
                <w:color w:val="000000"/>
              </w:rPr>
              <w:t>PG&amp;E</w:t>
            </w:r>
            <w:r w:rsidRPr="0082220A" w:rsidR="001D3F53">
              <w:rPr>
                <w:color w:val="000000"/>
              </w:rPr>
              <w:t xml:space="preserve">’s </w:t>
            </w:r>
            <w:r w:rsidRPr="0082220A" w:rsidR="00C241B9">
              <w:rPr>
                <w:color w:val="000000"/>
              </w:rPr>
              <w:t xml:space="preserve">transportation electrification </w:t>
            </w:r>
            <w:r w:rsidRPr="0082220A" w:rsidR="00AF2AA0">
              <w:rPr>
                <w:color w:val="000000"/>
              </w:rPr>
              <w:t>efforts</w:t>
            </w:r>
            <w:r w:rsidRPr="0082220A" w:rsidR="001D3F53">
              <w:rPr>
                <w:color w:val="000000"/>
              </w:rPr>
              <w:t xml:space="preserve">.  The Green Power Institute has been an active participant in the Commission’s </w:t>
            </w:r>
            <w:r w:rsidRPr="0082220A" w:rsidR="009A77BF">
              <w:rPr>
                <w:color w:val="000000"/>
              </w:rPr>
              <w:t>clean energy</w:t>
            </w:r>
            <w:r w:rsidRPr="0082220A" w:rsidR="001D3F53">
              <w:rPr>
                <w:color w:val="000000"/>
              </w:rPr>
              <w:t xml:space="preserve"> </w:t>
            </w:r>
            <w:r w:rsidRPr="0082220A" w:rsidR="00DF529A">
              <w:rPr>
                <w:color w:val="000000"/>
              </w:rPr>
              <w:t>proceedings and</w:t>
            </w:r>
            <w:r w:rsidRPr="0082220A" w:rsidR="001D3F53">
              <w:rPr>
                <w:color w:val="000000"/>
              </w:rPr>
              <w:t xml:space="preserve"> is continuing these efforts in the </w:t>
            </w:r>
            <w:r w:rsidRPr="0082220A" w:rsidR="009F717A">
              <w:rPr>
                <w:color w:val="000000"/>
              </w:rPr>
              <w:t>current</w:t>
            </w:r>
            <w:r w:rsidRPr="0082220A" w:rsidR="00AF2AA0">
              <w:rPr>
                <w:color w:val="000000"/>
              </w:rPr>
              <w:t xml:space="preserve"> EV</w:t>
            </w:r>
            <w:r w:rsidRPr="0082220A" w:rsidR="001D3F53">
              <w:rPr>
                <w:color w:val="000000"/>
              </w:rPr>
              <w:t xml:space="preserve"> proceeding (R.1</w:t>
            </w:r>
            <w:r w:rsidRPr="0082220A" w:rsidR="00C241B9">
              <w:rPr>
                <w:color w:val="000000"/>
              </w:rPr>
              <w:t>8</w:t>
            </w:r>
            <w:r w:rsidRPr="0082220A" w:rsidR="001D3F53">
              <w:rPr>
                <w:color w:val="000000"/>
              </w:rPr>
              <w:t>-</w:t>
            </w:r>
            <w:r w:rsidRPr="0082220A" w:rsidR="00C241B9">
              <w:rPr>
                <w:color w:val="000000"/>
              </w:rPr>
              <w:t>12</w:t>
            </w:r>
            <w:r w:rsidRPr="0082220A" w:rsidR="001D3F53">
              <w:rPr>
                <w:color w:val="000000"/>
              </w:rPr>
              <w:t>-00</w:t>
            </w:r>
            <w:r w:rsidRPr="0082220A" w:rsidR="00C241B9">
              <w:rPr>
                <w:color w:val="000000"/>
              </w:rPr>
              <w:t>6</w:t>
            </w:r>
            <w:r w:rsidRPr="0082220A" w:rsidR="001D3F53">
              <w:rPr>
                <w:color w:val="000000"/>
              </w:rPr>
              <w:t>).</w:t>
            </w:r>
            <w:r w:rsidRPr="0082220A" w:rsidR="00AF2AA0">
              <w:rPr>
                <w:color w:val="000000"/>
              </w:rPr>
              <w:t xml:space="preserve">  </w:t>
            </w:r>
            <w:r w:rsidRPr="0082220A" w:rsidR="009F717A">
              <w:rPr>
                <w:color w:val="000000"/>
              </w:rPr>
              <w:t>As part of these efforts w</w:t>
            </w:r>
            <w:r w:rsidRPr="0082220A" w:rsidR="00AF2AA0">
              <w:rPr>
                <w:color w:val="000000"/>
              </w:rPr>
              <w:t xml:space="preserve">e have been an active participant in this </w:t>
            </w:r>
            <w:r w:rsidRPr="0082220A" w:rsidR="007D0B20">
              <w:rPr>
                <w:color w:val="000000"/>
              </w:rPr>
              <w:t>Application (A.21-10-010).</w:t>
            </w:r>
            <w:r w:rsidRPr="0082220A" w:rsidR="001D3F53">
              <w:rPr>
                <w:color w:val="000000"/>
              </w:rPr>
              <w:t xml:space="preserve">  The Green Power Institute</w:t>
            </w:r>
            <w:r w:rsidRPr="0082220A" w:rsidR="00C70877">
              <w:rPr>
                <w:color w:val="000000"/>
              </w:rPr>
              <w:t xml:space="preserve"> </w:t>
            </w:r>
            <w:r w:rsidRPr="0082220A" w:rsidR="001D3F53">
              <w:rPr>
                <w:color w:val="000000"/>
              </w:rPr>
              <w:t>coordinated its efforts in this proceeding with other parties in order to avoid duplication of effort,</w:t>
            </w:r>
            <w:r w:rsidRPr="0082220A" w:rsidR="00C70877">
              <w:rPr>
                <w:color w:val="000000"/>
              </w:rPr>
              <w:t xml:space="preserve"> </w:t>
            </w:r>
            <w:r w:rsidRPr="0082220A" w:rsidR="001D3F53">
              <w:t xml:space="preserve">and added significantly to the outcome </w:t>
            </w:r>
            <w:r w:rsidRPr="0082220A" w:rsidR="001D3F53">
              <w:rPr>
                <w:color w:val="000000"/>
              </w:rPr>
              <w:t>of the Commission’s deliberations through our own unique perspective.  Some amount of duplication has occurred in this proceeding on all sides of contentious issues, but Green Power avoided duplication to the extent possible, and tried to minimize it where it was unavoidable.</w:t>
            </w:r>
          </w:p>
        </w:tc>
        <w:tc>
          <w:tcPr>
            <w:tcW w:w="1980" w:type="dxa"/>
            <w:shd w:val="clear" w:color="auto" w:fill="auto"/>
          </w:tcPr>
          <w:p w:rsidRPr="00E25078" w:rsidR="00A92D0B" w:rsidP="009D142A" w:rsidRDefault="004A1746" w14:paraId="5F9BBA55" w14:textId="12DAAB78">
            <w:pPr>
              <w:tabs>
                <w:tab w:val="left" w:pos="360"/>
              </w:tabs>
              <w:spacing w:before="60" w:after="60"/>
              <w:ind w:left="360" w:hanging="360"/>
              <w:rPr>
                <w:color w:val="000000"/>
              </w:rPr>
            </w:pPr>
            <w:r>
              <w:rPr>
                <w:color w:val="000000"/>
              </w:rPr>
              <w:t>Noted</w:t>
            </w:r>
          </w:p>
        </w:tc>
      </w:tr>
    </w:tbl>
    <w:p w:rsidRPr="00F0294C" w:rsidR="00B312DA" w:rsidP="005E3E0A" w:rsidRDefault="00A92D0B" w14:paraId="175C3F89" w14:textId="4E84E4EB">
      <w:pPr>
        <w:pStyle w:val="Dummy"/>
        <w:keepLines w:val="0"/>
        <w:spacing w:before="480" w:after="0"/>
        <w:jc w:val="center"/>
        <w:rPr>
          <w:rFonts w:ascii="Times New Roman" w:hAnsi="Times New Roman" w:cs="Times New Roman"/>
          <w:color w:val="000000"/>
        </w:rPr>
      </w:pPr>
      <w:r w:rsidRPr="00F0294C">
        <w:rPr>
          <w:rFonts w:ascii="Times New Roman" w:hAnsi="Times New Roman" w:cs="Times New Roman"/>
          <w:color w:val="000000"/>
        </w:rPr>
        <w:t>PART III:</w:t>
      </w:r>
      <w:r w:rsidRPr="00F0294C" w:rsidR="009D142A">
        <w:rPr>
          <w:rFonts w:ascii="Times New Roman" w:hAnsi="Times New Roman" w:cs="Times New Roman"/>
          <w:color w:val="000000"/>
        </w:rPr>
        <w:t xml:space="preserve">  </w:t>
      </w:r>
      <w:r w:rsidRPr="00F0294C">
        <w:rPr>
          <w:rFonts w:ascii="Times New Roman" w:hAnsi="Times New Roman" w:cs="Times New Roman"/>
          <w:color w:val="000000"/>
        </w:rPr>
        <w:t>REASONABLENESS OF REQUESTED COMPENSATION</w:t>
      </w:r>
    </w:p>
    <w:p w:rsidRPr="007F620E" w:rsidR="00A92D0B" w:rsidP="009D142A" w:rsidRDefault="00A92D0B" w14:paraId="6F74DAE2" w14:textId="77777777">
      <w:pPr>
        <w:numPr>
          <w:ilvl w:val="0"/>
          <w:numId w:val="2"/>
        </w:numPr>
        <w:tabs>
          <w:tab w:val="clear" w:pos="900"/>
          <w:tab w:val="num" w:pos="360"/>
        </w:tabs>
        <w:spacing w:before="240" w:after="240"/>
        <w:ind w:left="360"/>
        <w:rPr>
          <w:b/>
          <w:color w:val="000000"/>
        </w:rPr>
      </w:pPr>
      <w:r w:rsidRPr="007F620E">
        <w:rPr>
          <w:b/>
          <w:color w:val="000000"/>
        </w:rPr>
        <w:t xml:space="preserve">General Claim of Reasonableness </w:t>
      </w:r>
      <w:r w:rsidRPr="007F620E" w:rsidR="00F30DA8">
        <w:rPr>
          <w:b/>
          <w:color w:val="000000"/>
        </w:rPr>
        <w:t xml:space="preserve">(§ </w:t>
      </w:r>
      <w:r w:rsidRPr="007F620E">
        <w:rPr>
          <w:b/>
          <w:color w:val="000000"/>
        </w:rPr>
        <w:t xml:space="preserve">1801 </w:t>
      </w:r>
      <w:r w:rsidRPr="007F620E" w:rsidR="00F30DA8">
        <w:rPr>
          <w:b/>
          <w:color w:val="000000"/>
        </w:rPr>
        <w:t>and §</w:t>
      </w:r>
      <w:r w:rsidR="0022302F">
        <w:rPr>
          <w:b/>
          <w:color w:val="000000"/>
        </w:rPr>
        <w:t xml:space="preserve"> 1806)</w:t>
      </w:r>
      <w:r w:rsidR="00C02649">
        <w:rPr>
          <w:b/>
          <w:color w:val="000000"/>
        </w:rPr>
        <w: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6872"/>
        <w:gridCol w:w="2488"/>
      </w:tblGrid>
      <w:tr w:rsidRPr="007F620E" w:rsidR="00FE3BAE" w:rsidTr="009D142A" w14:paraId="4078AC87" w14:textId="77777777">
        <w:trPr>
          <w:tblHeader/>
        </w:trPr>
        <w:tc>
          <w:tcPr>
            <w:tcW w:w="7830" w:type="dxa"/>
            <w:tcBorders>
              <w:bottom w:val="single" w:color="auto" w:sz="4" w:space="0"/>
            </w:tcBorders>
            <w:shd w:val="clear" w:color="auto" w:fill="D9D9D9" w:themeFill="background1" w:themeFillShade="D9"/>
          </w:tcPr>
          <w:p w:rsidRPr="007F620E" w:rsidR="00FE3BAE" w:rsidP="009D142A" w:rsidRDefault="00FE3BAE" w14:paraId="70FDF5DA" w14:textId="77777777">
            <w:pPr>
              <w:spacing w:before="60" w:after="60"/>
              <w:jc w:val="center"/>
              <w:rPr>
                <w:b/>
                <w:color w:val="000000"/>
              </w:rPr>
            </w:pPr>
          </w:p>
        </w:tc>
        <w:tc>
          <w:tcPr>
            <w:tcW w:w="2813" w:type="dxa"/>
            <w:shd w:val="clear" w:color="auto" w:fill="D9D9D9" w:themeFill="background1" w:themeFillShade="D9"/>
          </w:tcPr>
          <w:p w:rsidRPr="00FE3BAE" w:rsidR="00FE3BAE" w:rsidP="009D142A" w:rsidRDefault="00FE3BAE" w14:paraId="59CD9FCF" w14:textId="77777777">
            <w:pPr>
              <w:spacing w:before="60" w:after="60"/>
              <w:jc w:val="center"/>
              <w:rPr>
                <w:color w:val="000000"/>
              </w:rPr>
            </w:pPr>
            <w:r w:rsidRPr="007F620E">
              <w:rPr>
                <w:b/>
                <w:color w:val="000000"/>
              </w:rPr>
              <w:t>CPUC Discussion</w:t>
            </w:r>
          </w:p>
        </w:tc>
      </w:tr>
      <w:tr w:rsidRPr="00286ABA" w:rsidR="00FE3BAE" w:rsidTr="009D142A" w14:paraId="5708510E" w14:textId="77777777">
        <w:tc>
          <w:tcPr>
            <w:tcW w:w="7830" w:type="dxa"/>
            <w:tcBorders>
              <w:bottom w:val="single" w:color="auto" w:sz="4" w:space="0"/>
            </w:tcBorders>
            <w:shd w:val="clear" w:color="auto" w:fill="auto"/>
          </w:tcPr>
          <w:p w:rsidRPr="0082220A" w:rsidR="00FE3BAE" w:rsidP="009D142A" w:rsidRDefault="00FE3BAE" w14:paraId="707F9932" w14:textId="24B1B5E0">
            <w:pPr>
              <w:spacing w:before="60" w:after="60"/>
              <w:rPr>
                <w:color w:val="000000"/>
              </w:rPr>
            </w:pPr>
            <w:r w:rsidRPr="0082220A">
              <w:rPr>
                <w:color w:val="000000"/>
              </w:rPr>
              <w:t>a. Intervenor’s claim of cost reasonableness:</w:t>
            </w:r>
            <w:r w:rsidRPr="0082220A" w:rsidR="00E25078">
              <w:rPr>
                <w:color w:val="000000"/>
              </w:rPr>
              <w:t xml:space="preserve"> </w:t>
            </w:r>
          </w:p>
          <w:p w:rsidRPr="0082220A" w:rsidR="0031501B" w:rsidP="009D142A" w:rsidRDefault="0031501B" w14:paraId="32B9A66A" w14:textId="77777777">
            <w:pPr>
              <w:spacing w:before="60" w:after="60"/>
              <w:rPr>
                <w:color w:val="000000"/>
              </w:rPr>
            </w:pPr>
          </w:p>
          <w:p w:rsidRPr="0082220A" w:rsidR="0031501B" w:rsidP="009D142A" w:rsidRDefault="0031501B" w14:paraId="0BAFD35C" w14:textId="1924B3BF">
            <w:pPr>
              <w:spacing w:before="60" w:after="60"/>
              <w:rPr>
                <w:color w:val="000000"/>
              </w:rPr>
            </w:pPr>
            <w:r w:rsidRPr="0082220A">
              <w:rPr>
                <w:color w:val="000000"/>
              </w:rPr>
              <w:t xml:space="preserve">The GPI is providing, in Attachment 2, a listing of all of the pleadings we provided in this Proceeding, </w:t>
            </w:r>
            <w:r w:rsidRPr="0082220A" w:rsidR="007D0B20">
              <w:rPr>
                <w:color w:val="000000"/>
              </w:rPr>
              <w:t>A</w:t>
            </w:r>
            <w:r w:rsidRPr="0082220A">
              <w:rPr>
                <w:color w:val="000000"/>
              </w:rPr>
              <w:t>.</w:t>
            </w:r>
            <w:r w:rsidRPr="0082220A" w:rsidR="007D0B20">
              <w:rPr>
                <w:color w:val="000000"/>
              </w:rPr>
              <w:t>2</w:t>
            </w:r>
            <w:r w:rsidRPr="0082220A">
              <w:rPr>
                <w:color w:val="000000"/>
              </w:rPr>
              <w:t>1-</w:t>
            </w:r>
            <w:r w:rsidRPr="0082220A" w:rsidR="00C241B9">
              <w:rPr>
                <w:color w:val="000000"/>
              </w:rPr>
              <w:t>1</w:t>
            </w:r>
            <w:r w:rsidRPr="0082220A" w:rsidR="007D0B20">
              <w:rPr>
                <w:color w:val="000000"/>
              </w:rPr>
              <w:t>0</w:t>
            </w:r>
            <w:r w:rsidRPr="0082220A">
              <w:rPr>
                <w:color w:val="000000"/>
              </w:rPr>
              <w:t>-0</w:t>
            </w:r>
            <w:r w:rsidRPr="0082220A" w:rsidR="007D0B20">
              <w:rPr>
                <w:color w:val="000000"/>
              </w:rPr>
              <w:t>1</w:t>
            </w:r>
            <w:r w:rsidRPr="0082220A">
              <w:rPr>
                <w:color w:val="000000"/>
              </w:rPr>
              <w:t>0, that are relevant to matters covered by this Claim, and</w:t>
            </w:r>
            <w:r w:rsidRPr="0082220A" w:rsidR="009A77BF">
              <w:rPr>
                <w:color w:val="000000"/>
              </w:rPr>
              <w:t xml:space="preserve"> in Attachment 3</w:t>
            </w:r>
            <w:r w:rsidRPr="0082220A">
              <w:rPr>
                <w:color w:val="000000"/>
              </w:rPr>
              <w:t xml:space="preserve"> a detailed breakdown of GPI staff time spent for work performed that was directly related to our substantial contributions to Decision</w:t>
            </w:r>
            <w:bookmarkStart w:name="_Hlk82447522" w:id="5"/>
            <w:r w:rsidRPr="0082220A" w:rsidR="00FF53A2">
              <w:rPr>
                <w:color w:val="000000"/>
              </w:rPr>
              <w:t xml:space="preserve"> </w:t>
            </w:r>
            <w:r w:rsidRPr="0082220A" w:rsidR="001D3F53">
              <w:rPr>
                <w:color w:val="000000"/>
              </w:rPr>
              <w:t>D.2</w:t>
            </w:r>
            <w:r w:rsidRPr="0082220A" w:rsidR="00DF529A">
              <w:rPr>
                <w:color w:val="000000"/>
              </w:rPr>
              <w:t>2</w:t>
            </w:r>
            <w:r w:rsidRPr="0082220A" w:rsidR="00C241B9">
              <w:rPr>
                <w:color w:val="000000"/>
              </w:rPr>
              <w:t>-</w:t>
            </w:r>
            <w:r w:rsidRPr="0082220A" w:rsidR="009A77BF">
              <w:rPr>
                <w:color w:val="000000"/>
              </w:rPr>
              <w:t>1</w:t>
            </w:r>
            <w:r w:rsidRPr="0082220A" w:rsidR="007D0B20">
              <w:rPr>
                <w:color w:val="000000"/>
              </w:rPr>
              <w:t>2</w:t>
            </w:r>
            <w:r w:rsidRPr="0082220A" w:rsidR="001D3F53">
              <w:rPr>
                <w:color w:val="000000"/>
              </w:rPr>
              <w:t>-0</w:t>
            </w:r>
            <w:r w:rsidRPr="0082220A" w:rsidR="007D0B20">
              <w:rPr>
                <w:color w:val="000000"/>
              </w:rPr>
              <w:t>5</w:t>
            </w:r>
            <w:r w:rsidRPr="0082220A" w:rsidR="00DF529A">
              <w:rPr>
                <w:color w:val="000000"/>
              </w:rPr>
              <w:t>4</w:t>
            </w:r>
            <w:bookmarkEnd w:id="5"/>
            <w:r w:rsidRPr="0082220A">
              <w:rPr>
                <w:color w:val="000000"/>
              </w:rPr>
              <w:t>.</w:t>
            </w:r>
          </w:p>
          <w:p w:rsidRPr="0082220A" w:rsidR="001D3F53" w:rsidP="009D142A" w:rsidRDefault="001D3F53" w14:paraId="6E4BDA0F" w14:textId="77777777">
            <w:pPr>
              <w:spacing w:before="60" w:after="60"/>
              <w:rPr>
                <w:color w:val="000000"/>
              </w:rPr>
            </w:pPr>
          </w:p>
          <w:p w:rsidRPr="0082220A" w:rsidR="0031501B" w:rsidP="009D142A" w:rsidRDefault="0031501B" w14:paraId="734C386D" w14:textId="0D900554">
            <w:pPr>
              <w:spacing w:before="60" w:after="60"/>
              <w:rPr>
                <w:color w:val="000000"/>
              </w:rPr>
            </w:pPr>
            <w:r w:rsidRPr="0082220A">
              <w:rPr>
                <w:color w:val="000000"/>
              </w:rPr>
              <w:t xml:space="preserve">The hours claimed herein in support of Decision </w:t>
            </w:r>
            <w:r w:rsidRPr="0082220A" w:rsidR="00C241B9">
              <w:rPr>
                <w:color w:val="000000"/>
              </w:rPr>
              <w:t>D.2</w:t>
            </w:r>
            <w:r w:rsidRPr="0082220A" w:rsidR="00DF529A">
              <w:rPr>
                <w:color w:val="000000"/>
              </w:rPr>
              <w:t>2</w:t>
            </w:r>
            <w:r w:rsidRPr="0082220A" w:rsidR="00C241B9">
              <w:rPr>
                <w:color w:val="000000"/>
              </w:rPr>
              <w:t>-1</w:t>
            </w:r>
            <w:r w:rsidRPr="0082220A" w:rsidR="007D0B20">
              <w:rPr>
                <w:color w:val="000000"/>
              </w:rPr>
              <w:t>2</w:t>
            </w:r>
            <w:r w:rsidRPr="0082220A" w:rsidR="00C241B9">
              <w:rPr>
                <w:color w:val="000000"/>
              </w:rPr>
              <w:t>-0</w:t>
            </w:r>
            <w:r w:rsidRPr="0082220A" w:rsidR="007D0B20">
              <w:rPr>
                <w:color w:val="000000"/>
              </w:rPr>
              <w:t>5</w:t>
            </w:r>
            <w:r w:rsidRPr="0082220A" w:rsidR="00DF529A">
              <w:rPr>
                <w:color w:val="000000"/>
              </w:rPr>
              <w:t>4</w:t>
            </w:r>
            <w:r w:rsidRPr="0082220A" w:rsidR="00DB1932">
              <w:rPr>
                <w:color w:val="000000"/>
              </w:rPr>
              <w:t xml:space="preserve"> </w:t>
            </w:r>
            <w:r w:rsidRPr="0082220A">
              <w:rPr>
                <w:color w:val="000000"/>
              </w:rPr>
              <w:t xml:space="preserve">are reasonable given the scope of the Proceeding, and the strong participation by the GPI.  GPI staff maintained detailed contemporaneous time records indicating the number of hours devoted to the matters settled by these Decisions in this case.  In preparing Attachment </w:t>
            </w:r>
            <w:r w:rsidRPr="0082220A" w:rsidR="00F82A7F">
              <w:rPr>
                <w:color w:val="000000"/>
              </w:rPr>
              <w:t>3</w:t>
            </w:r>
            <w:r w:rsidRPr="0082220A">
              <w:rPr>
                <w:color w:val="000000"/>
              </w:rPr>
              <w:t>, Dr. Morris reviewed all of the recorded hours devoted to this proceeding, and included only those that were reasonable and contributory to the underlying tasks.  As a result, the GPI submits that all of the hours included in the attachment are reasonable and should be compensated in full.</w:t>
            </w:r>
          </w:p>
          <w:p w:rsidRPr="0082220A" w:rsidR="0031501B" w:rsidP="009D142A" w:rsidRDefault="0031501B" w14:paraId="4E1D9CCA" w14:textId="77777777">
            <w:pPr>
              <w:spacing w:before="60" w:after="60"/>
              <w:rPr>
                <w:color w:val="000000"/>
              </w:rPr>
            </w:pPr>
          </w:p>
          <w:p w:rsidRPr="0082220A" w:rsidR="0031501B" w:rsidP="009D142A" w:rsidRDefault="0031501B" w14:paraId="6114E080" w14:textId="77777777">
            <w:pPr>
              <w:spacing w:before="60" w:after="60"/>
              <w:rPr>
                <w:color w:val="000000"/>
              </w:rPr>
            </w:pPr>
            <w:r w:rsidRPr="0082220A">
              <w:rPr>
                <w:color w:val="000000"/>
              </w:rPr>
              <w:t>Dr. Morris is a renewable energy analyst and consultant with more than 35 years of diversified experience and accomplishments in the energy and environmental fields.  He is a nationally recognized expert on biomass and renewable energy, climate change and greenhouse-gas emissions analysis, integrated resources planning, and analysis of the environmental impacts of electric power generation.  Dr. Morris holds a BA in Natural Science from the University of Pennsylvania, an MSc in Biochemistry from the University of Toronto, and a PhD in Energy and Resources from the University of California, Berkeley.</w:t>
            </w:r>
          </w:p>
          <w:p w:rsidRPr="0082220A" w:rsidR="0031501B" w:rsidP="009D142A" w:rsidRDefault="0031501B" w14:paraId="78F576A6" w14:textId="77777777">
            <w:pPr>
              <w:spacing w:before="60" w:after="60"/>
              <w:rPr>
                <w:color w:val="000000"/>
              </w:rPr>
            </w:pPr>
          </w:p>
          <w:p w:rsidRPr="0082220A" w:rsidR="0031501B" w:rsidP="009D142A" w:rsidRDefault="0031501B" w14:paraId="7BD5AA93" w14:textId="77777777">
            <w:pPr>
              <w:spacing w:before="60" w:after="60"/>
              <w:rPr>
                <w:color w:val="000000"/>
              </w:rPr>
            </w:pPr>
            <w:r w:rsidRPr="0082220A">
              <w:rPr>
                <w:color w:val="000000"/>
              </w:rPr>
              <w:t>Dr. Morris has been actively involved in electric utility restructuring in California throughout the past two decades.  He served as editor and facilitator for the Renewables Working Group to the California Public Utilities Commission in 1996 during the original restructuring effort, consultant to the CEC Renewables Program Committee, consultant to the Governor’s Office of Planning and Research on renewable energy policy during the energy crisis years, and has provided expert testimony in a variety of regulatory and legislative proceedings, as well as in civil litigation.</w:t>
            </w:r>
          </w:p>
          <w:p w:rsidRPr="0082220A" w:rsidR="0031501B" w:rsidP="009D142A" w:rsidRDefault="0031501B" w14:paraId="4EFDB560" w14:textId="77777777">
            <w:pPr>
              <w:spacing w:before="60" w:after="60"/>
              <w:rPr>
                <w:color w:val="000000"/>
              </w:rPr>
            </w:pPr>
          </w:p>
          <w:p w:rsidRPr="0082220A" w:rsidR="0031501B" w:rsidP="009D142A" w:rsidRDefault="0031501B" w14:paraId="7623F3F8" w14:textId="77777777">
            <w:pPr>
              <w:spacing w:before="60" w:after="60"/>
              <w:rPr>
                <w:color w:val="000000"/>
              </w:rPr>
            </w:pPr>
            <w:r w:rsidRPr="0082220A">
              <w:rPr>
                <w:color w:val="000000"/>
              </w:rPr>
              <w:t xml:space="preserve">Mr. Hunt is a renewable energy law and policy expert with substantial experience in California, in local energy planning and in state energy-policy development. He has worked with local governments throughout Southern California, in his current role with Community Renewable Solutions LLC and in his previous role as Energy Program Director for the Community Environmental Council, a well-known non-profit organization based in Santa Barbara. Mr. Hunt was the lead author of the Community Environmental Council's A New Energy Direction, a blueprint for </w:t>
            </w:r>
            <w:r w:rsidRPr="0082220A">
              <w:rPr>
                <w:color w:val="000000"/>
              </w:rPr>
              <w:lastRenderedPageBreak/>
              <w:t>Santa Barbara County to wean itself from fossil fuels by 2030. Mr. Hunt also contributes substantially to state policy, in Sacramento at the Legislature, and in San Francisco at the California Public Utilities Commission, in various proceedings related to renewable energy, energy efficiency, community-scale energy projects, and climate change policy. Mr. Hunt is also a Lecturer in Climate Change Law and Policy at UC Santa Barbara’s Bren School of Environmental Science &amp; Management (a graduate-level program) from 2007-2014. He received his law degree from the UCLA School of Law in 2001, where he was chief managing director of the Journal for International Law and Foreign Affairs. Mr. Hunt is a regular columnist at GreenTechMedia.com.</w:t>
            </w:r>
          </w:p>
          <w:p w:rsidRPr="0082220A" w:rsidR="00342A89" w:rsidP="009D142A" w:rsidRDefault="00342A89" w14:paraId="3ADD0E26" w14:textId="77777777">
            <w:pPr>
              <w:spacing w:before="60" w:after="60"/>
              <w:rPr>
                <w:color w:val="000000"/>
              </w:rPr>
            </w:pPr>
          </w:p>
          <w:p w:rsidRPr="0082220A" w:rsidR="00F05601" w:rsidP="009D142A" w:rsidRDefault="00F05601" w14:paraId="7BD3E646" w14:textId="569A9CFA">
            <w:pPr>
              <w:spacing w:before="60" w:after="60"/>
              <w:rPr>
                <w:color w:val="000000"/>
              </w:rPr>
            </w:pPr>
            <w:r w:rsidRPr="0082220A">
              <w:rPr>
                <w:color w:val="000000"/>
              </w:rPr>
              <w:t xml:space="preserve">Mr. </w:t>
            </w:r>
            <w:proofErr w:type="spellStart"/>
            <w:r w:rsidRPr="0082220A">
              <w:rPr>
                <w:color w:val="000000"/>
              </w:rPr>
              <w:t>Chiacos</w:t>
            </w:r>
            <w:proofErr w:type="spellEnd"/>
            <w:r w:rsidRPr="0082220A">
              <w:rPr>
                <w:color w:val="000000"/>
              </w:rPr>
              <w:t xml:space="preserve"> is the Director of Climate Policy at Community Environmental Council and is a clean energy and electric vehicle expert and consultant with more than 20 years of experience and accomplishments in the electric vehicle and clean energy fields. In 2010, he founded ElectricDrive805, which is the official EV Readiness group for the Central Coast region of Ventura, Santa Barbara, and San Luis Obispo counties. Mr. </w:t>
            </w:r>
            <w:proofErr w:type="spellStart"/>
            <w:r w:rsidRPr="0082220A">
              <w:rPr>
                <w:color w:val="000000"/>
              </w:rPr>
              <w:t>Chiacos</w:t>
            </w:r>
            <w:proofErr w:type="spellEnd"/>
            <w:r w:rsidRPr="0082220A">
              <w:rPr>
                <w:color w:val="000000"/>
              </w:rPr>
              <w:t xml:space="preserve"> has led development of multiple regional EV Readiness Plans, funded by the California Energy Commission, and has worked with dozens of local businesses and governments to develop EV friendly policies and install charging stations. Mr. </w:t>
            </w:r>
            <w:proofErr w:type="spellStart"/>
            <w:r w:rsidRPr="0082220A">
              <w:rPr>
                <w:color w:val="000000"/>
              </w:rPr>
              <w:t>Chiacos</w:t>
            </w:r>
            <w:proofErr w:type="spellEnd"/>
            <w:r w:rsidRPr="0082220A">
              <w:rPr>
                <w:color w:val="000000"/>
              </w:rPr>
              <w:t xml:space="preserve"> has also led dozens of consumer facing EV education events annually such as National Drive Electric Week and the Santa Barbara Green Car Show, which attracts 35,000 people as part of Earth Day and features over 40 EVs and a Ride and Drive. Mr. </w:t>
            </w:r>
            <w:proofErr w:type="spellStart"/>
            <w:r w:rsidRPr="0082220A">
              <w:rPr>
                <w:color w:val="000000"/>
              </w:rPr>
              <w:t>Chiacos</w:t>
            </w:r>
            <w:proofErr w:type="spellEnd"/>
            <w:r w:rsidRPr="0082220A">
              <w:rPr>
                <w:color w:val="000000"/>
              </w:rPr>
              <w:t xml:space="preserve"> also has extensive lived experience with plug-in vehicles, having driven them since 2012.  </w:t>
            </w:r>
          </w:p>
          <w:p w:rsidRPr="0082220A" w:rsidR="00FE3BAE" w:rsidP="009D142A" w:rsidRDefault="00FE3BAE" w14:paraId="2B1A1242" w14:textId="77777777">
            <w:pPr>
              <w:spacing w:before="60" w:after="60"/>
              <w:rPr>
                <w:color w:val="000000"/>
              </w:rPr>
            </w:pPr>
          </w:p>
        </w:tc>
        <w:tc>
          <w:tcPr>
            <w:tcW w:w="2813" w:type="dxa"/>
            <w:shd w:val="clear" w:color="auto" w:fill="auto"/>
          </w:tcPr>
          <w:p w:rsidR="00FE3BAE" w:rsidP="009D142A" w:rsidRDefault="00436674" w14:paraId="5DB47CF1" w14:textId="77777777">
            <w:pPr>
              <w:spacing w:before="60" w:after="60"/>
              <w:rPr>
                <w:color w:val="000000"/>
              </w:rPr>
            </w:pPr>
            <w:r w:rsidRPr="00360C2D">
              <w:rPr>
                <w:color w:val="000000"/>
              </w:rPr>
              <w:lastRenderedPageBreak/>
              <w:t>No</w:t>
            </w:r>
            <w:r w:rsidRPr="00360C2D" w:rsidR="0004564B">
              <w:rPr>
                <w:color w:val="000000"/>
              </w:rPr>
              <w:t>ted</w:t>
            </w:r>
            <w:r w:rsidRPr="00360C2D">
              <w:rPr>
                <w:color w:val="000000"/>
              </w:rPr>
              <w:t xml:space="preserve">, </w:t>
            </w:r>
            <w:r w:rsidR="00360C2D">
              <w:rPr>
                <w:color w:val="000000"/>
              </w:rPr>
              <w:t>however, see Part III.D</w:t>
            </w:r>
            <w:r w:rsidRPr="00360C2D">
              <w:rPr>
                <w:color w:val="000000"/>
              </w:rPr>
              <w:t xml:space="preserve"> CPUC Disallowances and Adjustments</w:t>
            </w:r>
            <w:r w:rsidR="0059732E">
              <w:rPr>
                <w:color w:val="000000"/>
              </w:rPr>
              <w:t>.</w:t>
            </w:r>
          </w:p>
          <w:p w:rsidR="0059732E" w:rsidP="009D142A" w:rsidRDefault="0059732E" w14:paraId="433317C8" w14:textId="77777777">
            <w:pPr>
              <w:spacing w:before="60" w:after="60"/>
              <w:rPr>
                <w:color w:val="000000"/>
              </w:rPr>
            </w:pPr>
          </w:p>
          <w:p w:rsidRPr="00360C2D" w:rsidR="0059732E" w:rsidP="009D142A" w:rsidRDefault="0059732E" w14:paraId="223B4665" w14:textId="4D3A783B">
            <w:pPr>
              <w:spacing w:before="60" w:after="60"/>
              <w:rPr>
                <w:color w:val="000000"/>
              </w:rPr>
            </w:pPr>
          </w:p>
        </w:tc>
      </w:tr>
      <w:tr w:rsidRPr="007F620E" w:rsidR="00FE3BAE" w:rsidTr="009D142A" w14:paraId="5548029C" w14:textId="77777777">
        <w:tc>
          <w:tcPr>
            <w:tcW w:w="7830" w:type="dxa"/>
            <w:shd w:val="clear" w:color="auto" w:fill="auto"/>
          </w:tcPr>
          <w:p w:rsidRPr="00E25078" w:rsidR="00FE3BAE" w:rsidP="009D142A" w:rsidRDefault="00FE3BAE" w14:paraId="751A610C" w14:textId="509B1715">
            <w:pPr>
              <w:spacing w:before="60" w:after="60"/>
              <w:rPr>
                <w:color w:val="000000"/>
              </w:rPr>
            </w:pPr>
            <w:r w:rsidRPr="007F620E">
              <w:rPr>
                <w:b/>
                <w:color w:val="000000"/>
              </w:rPr>
              <w:lastRenderedPageBreak/>
              <w:t>b. Reasonableness of hours claimed:</w:t>
            </w:r>
            <w:r w:rsidRPr="00E25078" w:rsidR="00E25078">
              <w:rPr>
                <w:color w:val="000000"/>
              </w:rPr>
              <w:t xml:space="preserve"> </w:t>
            </w:r>
          </w:p>
          <w:p w:rsidR="00C635D5" w:rsidP="009D142A" w:rsidRDefault="00C635D5" w14:paraId="3FD68D09" w14:textId="77777777">
            <w:pPr>
              <w:spacing w:before="60" w:after="60"/>
              <w:rPr>
                <w:color w:val="000000"/>
                <w:sz w:val="22"/>
                <w:szCs w:val="22"/>
              </w:rPr>
            </w:pPr>
          </w:p>
          <w:p w:rsidRPr="0082220A" w:rsidR="00691528" w:rsidP="009D142A" w:rsidRDefault="0031501B" w14:paraId="694F0B63" w14:textId="3ADF1B78">
            <w:pPr>
              <w:spacing w:before="60" w:after="60"/>
            </w:pPr>
            <w:r w:rsidRPr="0082220A">
              <w:t xml:space="preserve">The GPI made Significant Contributions to </w:t>
            </w:r>
            <w:r w:rsidRPr="0082220A" w:rsidR="001D3F53">
              <w:t xml:space="preserve">Decision </w:t>
            </w:r>
            <w:r w:rsidRPr="0082220A" w:rsidR="00C241B9">
              <w:t>D.2</w:t>
            </w:r>
            <w:r w:rsidRPr="0082220A" w:rsidR="004C2276">
              <w:t>2</w:t>
            </w:r>
            <w:r w:rsidRPr="0082220A" w:rsidR="00C241B9">
              <w:t>-1</w:t>
            </w:r>
            <w:r w:rsidRPr="0082220A" w:rsidR="007D0B20">
              <w:t>2</w:t>
            </w:r>
            <w:r w:rsidRPr="0082220A" w:rsidR="00C241B9">
              <w:t>-0</w:t>
            </w:r>
            <w:r w:rsidRPr="0082220A" w:rsidR="007D0B20">
              <w:t>5</w:t>
            </w:r>
            <w:r w:rsidRPr="0082220A" w:rsidR="004C2276">
              <w:t>4</w:t>
            </w:r>
            <w:r w:rsidRPr="0082220A" w:rsidR="001442A1">
              <w:t xml:space="preserve"> </w:t>
            </w:r>
            <w:r w:rsidRPr="0082220A">
              <w:t>by</w:t>
            </w:r>
            <w:r w:rsidRPr="0082220A" w:rsidR="00605CF6">
              <w:t xml:space="preserve"> actively</w:t>
            </w:r>
            <w:r w:rsidRPr="0082220A">
              <w:t xml:space="preserve"> participating in </w:t>
            </w:r>
            <w:r w:rsidRPr="0082220A" w:rsidR="00346D1E">
              <w:t>evidentiary hearings</w:t>
            </w:r>
            <w:r w:rsidRPr="0082220A">
              <w:t>,</w:t>
            </w:r>
            <w:r w:rsidRPr="0082220A" w:rsidR="00605CF6">
              <w:t xml:space="preserve"> </w:t>
            </w:r>
            <w:r w:rsidRPr="0082220A">
              <w:t xml:space="preserve">and providing a series of Commission filings on the various topics that were under consideration in the Proceeding and are covered by this Claim.  Attachment </w:t>
            </w:r>
            <w:r w:rsidRPr="0082220A" w:rsidR="00D54780">
              <w:t>3</w:t>
            </w:r>
            <w:r w:rsidRPr="0082220A">
              <w:t xml:space="preserve"> provides a detailed breakdown of the hours that were expended in making our Contributions.  The hourly rates and costs claimed are reasonable and consistent with awards to other intervenors with comparable experience and expertise.  The Commission should grant the GPI’s claim in its entirety.</w:t>
            </w:r>
          </w:p>
        </w:tc>
        <w:tc>
          <w:tcPr>
            <w:tcW w:w="2813" w:type="dxa"/>
            <w:shd w:val="clear" w:color="auto" w:fill="auto"/>
          </w:tcPr>
          <w:p w:rsidR="00FE3BAE" w:rsidP="009D142A" w:rsidRDefault="00360C2D" w14:paraId="1D6E72D3" w14:textId="77777777">
            <w:pPr>
              <w:spacing w:before="60" w:after="60"/>
              <w:rPr>
                <w:color w:val="000000"/>
              </w:rPr>
            </w:pPr>
            <w:r w:rsidRPr="00360C2D">
              <w:rPr>
                <w:color w:val="000000"/>
              </w:rPr>
              <w:t xml:space="preserve">Noted, </w:t>
            </w:r>
            <w:r>
              <w:rPr>
                <w:color w:val="000000"/>
              </w:rPr>
              <w:t>however, see Part III.D</w:t>
            </w:r>
            <w:r w:rsidRPr="00360C2D">
              <w:rPr>
                <w:color w:val="000000"/>
              </w:rPr>
              <w:t xml:space="preserve"> CPUC Disallowances and Adjustments</w:t>
            </w:r>
            <w:r w:rsidR="00A67406">
              <w:rPr>
                <w:color w:val="000000"/>
              </w:rPr>
              <w:t>.</w:t>
            </w:r>
          </w:p>
          <w:p w:rsidR="00C2586F" w:rsidP="009D142A" w:rsidRDefault="00C2586F" w14:paraId="4EE67729" w14:textId="77777777">
            <w:pPr>
              <w:spacing w:before="60" w:after="60"/>
              <w:rPr>
                <w:color w:val="000000"/>
              </w:rPr>
            </w:pPr>
          </w:p>
          <w:p w:rsidR="00A67406" w:rsidP="009D142A" w:rsidRDefault="00C21EBC" w14:paraId="392B0F7A" w14:textId="31A09573">
            <w:pPr>
              <w:spacing w:before="60" w:after="60"/>
              <w:rPr>
                <w:color w:val="000000"/>
              </w:rPr>
            </w:pPr>
            <w:r>
              <w:rPr>
                <w:color w:val="000000"/>
              </w:rPr>
              <w:t>E</w:t>
            </w:r>
            <w:r w:rsidR="00A67406">
              <w:rPr>
                <w:color w:val="000000"/>
              </w:rPr>
              <w:t>videntiary hearing transcript</w:t>
            </w:r>
            <w:r w:rsidR="00EE542F">
              <w:rPr>
                <w:color w:val="000000"/>
              </w:rPr>
              <w:t>s</w:t>
            </w:r>
            <w:r w:rsidR="00A67406">
              <w:rPr>
                <w:color w:val="000000"/>
              </w:rPr>
              <w:t xml:space="preserve"> show no indication of </w:t>
            </w:r>
            <w:r>
              <w:rPr>
                <w:color w:val="000000"/>
              </w:rPr>
              <w:t xml:space="preserve">GPI’s </w:t>
            </w:r>
            <w:r w:rsidR="00442A43">
              <w:rPr>
                <w:color w:val="000000"/>
              </w:rPr>
              <w:t>active participation.</w:t>
            </w:r>
            <w:r w:rsidR="00212370">
              <w:rPr>
                <w:color w:val="000000"/>
              </w:rPr>
              <w:t xml:space="preserve">  As such, we disallow </w:t>
            </w:r>
            <w:r w:rsidR="008310AE">
              <w:rPr>
                <w:color w:val="000000"/>
              </w:rPr>
              <w:t>compensation for</w:t>
            </w:r>
            <w:r w:rsidR="00C2586F">
              <w:rPr>
                <w:color w:val="000000"/>
              </w:rPr>
              <w:t xml:space="preserve"> claimed participation </w:t>
            </w:r>
            <w:r w:rsidR="00C2586F">
              <w:rPr>
                <w:color w:val="000000"/>
              </w:rPr>
              <w:lastRenderedPageBreak/>
              <w:t>and claimed preparation for these hearings</w:t>
            </w:r>
            <w:r w:rsidR="00212370">
              <w:rPr>
                <w:color w:val="000000"/>
              </w:rPr>
              <w:t>.</w:t>
            </w:r>
          </w:p>
          <w:p w:rsidR="005060B3" w:rsidP="009D142A" w:rsidRDefault="005060B3" w14:paraId="455131E6" w14:textId="77777777">
            <w:pPr>
              <w:spacing w:before="60" w:after="60"/>
              <w:rPr>
                <w:color w:val="000000"/>
              </w:rPr>
            </w:pPr>
          </w:p>
          <w:p w:rsidR="00212370" w:rsidP="009D142A" w:rsidRDefault="00212370" w14:paraId="387BB171" w14:textId="54151D47">
            <w:pPr>
              <w:spacing w:before="60" w:after="60"/>
              <w:rPr>
                <w:color w:val="000000"/>
              </w:rPr>
            </w:pPr>
            <w:r>
              <w:rPr>
                <w:color w:val="000000"/>
              </w:rPr>
              <w:t xml:space="preserve">Further, </w:t>
            </w:r>
            <w:r w:rsidR="008A61FC">
              <w:rPr>
                <w:color w:val="000000"/>
              </w:rPr>
              <w:t>GPI claims</w:t>
            </w:r>
            <w:r w:rsidR="003901BA">
              <w:rPr>
                <w:color w:val="000000"/>
              </w:rPr>
              <w:t xml:space="preserve"> significant hours for the preparation and review of </w:t>
            </w:r>
            <w:r w:rsidR="00410B72">
              <w:rPr>
                <w:color w:val="000000"/>
              </w:rPr>
              <w:t>their testimony and opening brief.  Given that these documents are nearly identical to the</w:t>
            </w:r>
            <w:r w:rsidR="0062532E">
              <w:rPr>
                <w:color w:val="000000"/>
              </w:rPr>
              <w:t xml:space="preserve">ir initial response to </w:t>
            </w:r>
            <w:r w:rsidR="008310AE">
              <w:rPr>
                <w:color w:val="000000"/>
              </w:rPr>
              <w:t>the application, and the minimal edits do not contribute to D.</w:t>
            </w:r>
            <w:r w:rsidR="00D25A8F">
              <w:rPr>
                <w:color w:val="000000"/>
              </w:rPr>
              <w:t>22-1</w:t>
            </w:r>
            <w:r w:rsidR="00E70173">
              <w:rPr>
                <w:color w:val="000000"/>
              </w:rPr>
              <w:t>2</w:t>
            </w:r>
            <w:r w:rsidR="00D25A8F">
              <w:rPr>
                <w:color w:val="000000"/>
              </w:rPr>
              <w:t>-0</w:t>
            </w:r>
            <w:r w:rsidR="00FD690B">
              <w:rPr>
                <w:color w:val="000000"/>
              </w:rPr>
              <w:t>54</w:t>
            </w:r>
            <w:r w:rsidR="00D25A8F">
              <w:rPr>
                <w:color w:val="000000"/>
              </w:rPr>
              <w:t xml:space="preserve">, </w:t>
            </w:r>
            <w:r w:rsidR="008310AE">
              <w:rPr>
                <w:color w:val="000000"/>
              </w:rPr>
              <w:t xml:space="preserve">we disallow </w:t>
            </w:r>
            <w:r w:rsidR="00D25A8F">
              <w:rPr>
                <w:color w:val="000000"/>
              </w:rPr>
              <w:t xml:space="preserve">compensation for </w:t>
            </w:r>
            <w:r w:rsidR="008310AE">
              <w:rPr>
                <w:color w:val="000000"/>
              </w:rPr>
              <w:t>these hours.</w:t>
            </w:r>
          </w:p>
          <w:p w:rsidR="002572FC" w:rsidP="009D142A" w:rsidRDefault="002572FC" w14:paraId="5839F948" w14:textId="77777777">
            <w:pPr>
              <w:spacing w:before="60" w:after="60"/>
              <w:rPr>
                <w:color w:val="000000"/>
              </w:rPr>
            </w:pPr>
          </w:p>
          <w:p w:rsidRPr="007F620E" w:rsidR="005060B3" w:rsidP="009D142A" w:rsidRDefault="002572FC" w14:paraId="1874D625" w14:textId="3D1BA142">
            <w:pPr>
              <w:spacing w:before="60" w:after="60"/>
              <w:rPr>
                <w:color w:val="000000"/>
              </w:rPr>
            </w:pPr>
            <w:r>
              <w:rPr>
                <w:color w:val="000000"/>
              </w:rPr>
              <w:t xml:space="preserve">Finally, the opening brief </w:t>
            </w:r>
            <w:r w:rsidR="005B3AC6">
              <w:rPr>
                <w:color w:val="000000"/>
              </w:rPr>
              <w:t xml:space="preserve">differs substantively from the initial response </w:t>
            </w:r>
            <w:r w:rsidR="00E70173">
              <w:rPr>
                <w:color w:val="000000"/>
              </w:rPr>
              <w:t xml:space="preserve">only in the inclusion of discovery results.  These </w:t>
            </w:r>
            <w:r w:rsidRPr="001511A6" w:rsidR="001511A6">
              <w:rPr>
                <w:color w:val="000000"/>
              </w:rPr>
              <w:t xml:space="preserve">discovery </w:t>
            </w:r>
            <w:r w:rsidR="00E70173">
              <w:rPr>
                <w:color w:val="000000"/>
              </w:rPr>
              <w:t xml:space="preserve">results do not provide a substantive contribution </w:t>
            </w:r>
            <w:r w:rsidR="00FD690B">
              <w:rPr>
                <w:color w:val="000000"/>
              </w:rPr>
              <w:t xml:space="preserve">to </w:t>
            </w:r>
            <w:r w:rsidR="00E70173">
              <w:rPr>
                <w:color w:val="000000"/>
              </w:rPr>
              <w:t>D.22-12-0</w:t>
            </w:r>
            <w:r w:rsidR="00FD690B">
              <w:rPr>
                <w:color w:val="000000"/>
              </w:rPr>
              <w:t>54</w:t>
            </w:r>
            <w:r w:rsidR="00063711">
              <w:rPr>
                <w:color w:val="000000"/>
              </w:rPr>
              <w:t>.  The compensation for th</w:t>
            </w:r>
            <w:r w:rsidR="001A389F">
              <w:rPr>
                <w:color w:val="000000"/>
              </w:rPr>
              <w:t>e discovery</w:t>
            </w:r>
            <w:r w:rsidR="00063711">
              <w:rPr>
                <w:color w:val="000000"/>
              </w:rPr>
              <w:t xml:space="preserve"> effort is accordingly disallowed.</w:t>
            </w:r>
          </w:p>
        </w:tc>
      </w:tr>
      <w:tr w:rsidRPr="007F620E" w:rsidR="00FE3BAE" w:rsidTr="009D142A" w14:paraId="3FD38B74" w14:textId="77777777">
        <w:tc>
          <w:tcPr>
            <w:tcW w:w="7830" w:type="dxa"/>
            <w:shd w:val="clear" w:color="auto" w:fill="auto"/>
          </w:tcPr>
          <w:p w:rsidRPr="00E25078" w:rsidR="00FE3BAE" w:rsidP="009D142A" w:rsidRDefault="00FE3BAE" w14:paraId="46990B37" w14:textId="569E5E0F">
            <w:pPr>
              <w:spacing w:before="60" w:after="60"/>
              <w:rPr>
                <w:color w:val="000000"/>
              </w:rPr>
            </w:pPr>
            <w:r w:rsidRPr="007F620E">
              <w:rPr>
                <w:b/>
                <w:color w:val="000000"/>
              </w:rPr>
              <w:lastRenderedPageBreak/>
              <w:t>c. Allocation of hours by issue:</w:t>
            </w:r>
            <w:r w:rsidRPr="00E25078" w:rsidR="00E25078">
              <w:rPr>
                <w:color w:val="000000"/>
              </w:rPr>
              <w:t xml:space="preserve"> </w:t>
            </w:r>
          </w:p>
          <w:p w:rsidR="00FE3BAE" w:rsidP="009D142A" w:rsidRDefault="00FE3BAE" w14:paraId="78501013" w14:textId="4AEEB496">
            <w:pPr>
              <w:spacing w:before="60" w:after="60"/>
              <w:rPr>
                <w:color w:val="000000"/>
              </w:rPr>
            </w:pPr>
          </w:p>
          <w:p w:rsidRPr="007B6C25" w:rsidR="00FA3ADE" w:rsidP="009D142A" w:rsidRDefault="00FA3ADE" w14:paraId="778D9D7F" w14:textId="1B834519">
            <w:pPr>
              <w:spacing w:before="60" w:after="60"/>
              <w:ind w:left="245" w:hanging="245"/>
            </w:pPr>
            <w:r w:rsidRPr="00F347B9">
              <w:t xml:space="preserve">1.  </w:t>
            </w:r>
            <w:r w:rsidRPr="007B6C25" w:rsidR="00F347B9">
              <w:t>Support for Program</w:t>
            </w:r>
            <w:r w:rsidRPr="007B6C25" w:rsidR="009A2338">
              <w:t xml:space="preserve">                                  </w:t>
            </w:r>
            <w:r w:rsidRPr="007B6C25" w:rsidR="009A2338">
              <w:rPr>
                <w:sz w:val="32"/>
                <w:szCs w:val="32"/>
              </w:rPr>
              <w:t xml:space="preserve"> </w:t>
            </w:r>
            <w:r w:rsidRPr="007B6C25" w:rsidR="009A2338">
              <w:t xml:space="preserve">  </w:t>
            </w:r>
            <w:r w:rsidRPr="007B6C25">
              <w:t xml:space="preserve"> </w:t>
            </w:r>
            <w:r w:rsidRPr="007B6C25">
              <w:rPr>
                <w:sz w:val="32"/>
                <w:szCs w:val="32"/>
              </w:rPr>
              <w:t xml:space="preserve">   </w:t>
            </w:r>
            <w:r w:rsidRPr="007B6C25">
              <w:t xml:space="preserve">      </w:t>
            </w:r>
            <w:r w:rsidRPr="007B6C25" w:rsidR="007B6C25">
              <w:t>3</w:t>
            </w:r>
            <w:r w:rsidRPr="007B6C25" w:rsidR="00372C24">
              <w:t>5</w:t>
            </w:r>
            <w:r w:rsidRPr="007B6C25">
              <w:rPr>
                <w:sz w:val="21"/>
                <w:szCs w:val="21"/>
              </w:rPr>
              <w:t>%</w:t>
            </w:r>
          </w:p>
          <w:p w:rsidRPr="007B6C25" w:rsidR="00FA3ADE" w:rsidP="009D142A" w:rsidRDefault="00FA3ADE" w14:paraId="421B3835" w14:textId="58C2EC4B">
            <w:pPr>
              <w:spacing w:before="60" w:after="60"/>
            </w:pPr>
            <w:r w:rsidRPr="007B6C25">
              <w:t xml:space="preserve">2.  </w:t>
            </w:r>
            <w:r w:rsidRPr="007B6C25" w:rsidR="00F347B9">
              <w:t>Load Management</w:t>
            </w:r>
            <w:r w:rsidRPr="007B6C25" w:rsidR="009A2338">
              <w:t xml:space="preserve">                  </w:t>
            </w:r>
            <w:r w:rsidRPr="007B6C25">
              <w:t xml:space="preserve">   </w:t>
            </w:r>
            <w:r w:rsidRPr="007B6C25" w:rsidR="00F347B9">
              <w:t xml:space="preserve">         </w:t>
            </w:r>
            <w:r w:rsidRPr="007B6C25">
              <w:t xml:space="preserve">    </w:t>
            </w:r>
            <w:r w:rsidRPr="007B6C25">
              <w:rPr>
                <w:sz w:val="32"/>
                <w:szCs w:val="32"/>
              </w:rPr>
              <w:t xml:space="preserve"> </w:t>
            </w:r>
            <w:r w:rsidRPr="007B6C25">
              <w:t xml:space="preserve">        </w:t>
            </w:r>
            <w:r w:rsidRPr="007B6C25">
              <w:rPr>
                <w:sz w:val="36"/>
                <w:szCs w:val="36"/>
              </w:rPr>
              <w:t xml:space="preserve">  </w:t>
            </w:r>
            <w:r w:rsidRPr="007B6C25">
              <w:t xml:space="preserve">     </w:t>
            </w:r>
            <w:r w:rsidRPr="007B6C25" w:rsidR="007B6C25">
              <w:t>30</w:t>
            </w:r>
            <w:r w:rsidRPr="007B6C25">
              <w:rPr>
                <w:sz w:val="21"/>
                <w:szCs w:val="21"/>
              </w:rPr>
              <w:t>%</w:t>
            </w:r>
          </w:p>
          <w:p w:rsidRPr="007B6C25" w:rsidR="00FA3ADE" w:rsidP="009D142A" w:rsidRDefault="00FA3ADE" w14:paraId="29482D49" w14:textId="4525EFD0">
            <w:pPr>
              <w:spacing w:before="60" w:after="60"/>
            </w:pPr>
            <w:r w:rsidRPr="007B6C25">
              <w:t xml:space="preserve">3.  </w:t>
            </w:r>
            <w:r w:rsidRPr="007B6C25" w:rsidR="00F347B9">
              <w:t>Cost of High kW Chargers</w:t>
            </w:r>
            <w:r w:rsidRPr="007B6C25" w:rsidR="009A2338">
              <w:t xml:space="preserve">  </w:t>
            </w:r>
            <w:r w:rsidRPr="007B6C25" w:rsidR="009A2338">
              <w:rPr>
                <w:sz w:val="32"/>
                <w:szCs w:val="32"/>
              </w:rPr>
              <w:t xml:space="preserve"> </w:t>
            </w:r>
            <w:r w:rsidRPr="007B6C25" w:rsidR="009A2338">
              <w:t xml:space="preserve"> </w:t>
            </w:r>
            <w:r w:rsidRPr="007B6C25" w:rsidR="009A2338">
              <w:rPr>
                <w:sz w:val="32"/>
                <w:szCs w:val="32"/>
              </w:rPr>
              <w:t xml:space="preserve">  </w:t>
            </w:r>
            <w:r w:rsidRPr="007B6C25" w:rsidR="009A2338">
              <w:t xml:space="preserve">     </w:t>
            </w:r>
            <w:r w:rsidRPr="007B6C25">
              <w:t xml:space="preserve">   </w:t>
            </w:r>
            <w:r w:rsidRPr="007B6C25">
              <w:rPr>
                <w:sz w:val="32"/>
                <w:szCs w:val="32"/>
              </w:rPr>
              <w:t xml:space="preserve"> </w:t>
            </w:r>
            <w:r w:rsidRPr="007B6C25">
              <w:t xml:space="preserve"> </w:t>
            </w:r>
            <w:r w:rsidRPr="007B6C25" w:rsidR="00F347B9">
              <w:t xml:space="preserve">             </w:t>
            </w:r>
            <w:r w:rsidRPr="007B6C25">
              <w:t xml:space="preserve">        </w:t>
            </w:r>
            <w:r w:rsidRPr="007B6C25" w:rsidR="007B6C25">
              <w:t xml:space="preserve">  </w:t>
            </w:r>
            <w:r w:rsidRPr="007B6C25" w:rsidR="00372C24">
              <w:t>5</w:t>
            </w:r>
            <w:r w:rsidRPr="007B6C25">
              <w:rPr>
                <w:sz w:val="21"/>
                <w:szCs w:val="21"/>
              </w:rPr>
              <w:t>%</w:t>
            </w:r>
          </w:p>
          <w:p w:rsidRPr="00864777" w:rsidR="00691528" w:rsidP="009D142A" w:rsidRDefault="00FA3ADE" w14:paraId="3285939A" w14:textId="39E37BA5">
            <w:pPr>
              <w:spacing w:before="60" w:after="60"/>
            </w:pPr>
            <w:r w:rsidRPr="007B6C25">
              <w:t>4.</w:t>
            </w:r>
            <w:r w:rsidRPr="007B6C25" w:rsidR="00F347B9">
              <w:t xml:space="preserve">  Market Education and Outreach</w:t>
            </w:r>
            <w:r w:rsidRPr="007B6C25" w:rsidR="009A2338">
              <w:t xml:space="preserve">    </w:t>
            </w:r>
            <w:r w:rsidRPr="007B6C25" w:rsidR="009A2338">
              <w:rPr>
                <w:sz w:val="20"/>
                <w:szCs w:val="20"/>
              </w:rPr>
              <w:t xml:space="preserve">  </w:t>
            </w:r>
            <w:r w:rsidRPr="007B6C25" w:rsidR="009A2338">
              <w:t xml:space="preserve">             </w:t>
            </w:r>
            <w:r w:rsidRPr="007B6C25" w:rsidR="009A2338">
              <w:rPr>
                <w:sz w:val="28"/>
                <w:szCs w:val="28"/>
              </w:rPr>
              <w:t xml:space="preserve"> </w:t>
            </w:r>
            <w:r w:rsidRPr="007B6C25">
              <w:t xml:space="preserve">          </w:t>
            </w:r>
            <w:r w:rsidRPr="007B6C25" w:rsidR="007B6C25">
              <w:t>30</w:t>
            </w:r>
            <w:r w:rsidRPr="007B6C25">
              <w:rPr>
                <w:sz w:val="21"/>
                <w:szCs w:val="21"/>
              </w:rPr>
              <w:t>%</w:t>
            </w:r>
          </w:p>
        </w:tc>
        <w:tc>
          <w:tcPr>
            <w:tcW w:w="2813" w:type="dxa"/>
            <w:shd w:val="clear" w:color="auto" w:fill="auto"/>
          </w:tcPr>
          <w:p w:rsidRPr="007F620E" w:rsidR="00FE3BAE" w:rsidP="009D142A" w:rsidRDefault="00360C2D" w14:paraId="497C4799" w14:textId="35F6CAF6">
            <w:pPr>
              <w:spacing w:before="60" w:after="60"/>
              <w:rPr>
                <w:color w:val="000000"/>
              </w:rPr>
            </w:pPr>
            <w:r w:rsidRPr="00360C2D">
              <w:rPr>
                <w:color w:val="000000"/>
              </w:rPr>
              <w:t xml:space="preserve">Noted, </w:t>
            </w:r>
            <w:r>
              <w:rPr>
                <w:color w:val="000000"/>
              </w:rPr>
              <w:t>however, see Part III.D</w:t>
            </w:r>
            <w:r w:rsidRPr="00360C2D">
              <w:rPr>
                <w:color w:val="000000"/>
              </w:rPr>
              <w:t xml:space="preserve"> CPUC Disallowances and Adjustments</w:t>
            </w:r>
          </w:p>
        </w:tc>
      </w:tr>
    </w:tbl>
    <w:p w:rsidRPr="005044A8" w:rsidR="00E07059" w:rsidP="009D142A" w:rsidRDefault="00A92D0B" w14:paraId="738A409C" w14:textId="1B3086FD">
      <w:pPr>
        <w:pStyle w:val="ListParagraph"/>
        <w:pageBreakBefore/>
        <w:numPr>
          <w:ilvl w:val="0"/>
          <w:numId w:val="2"/>
        </w:numPr>
        <w:spacing w:before="240" w:after="240"/>
        <w:ind w:left="907"/>
        <w:rPr>
          <w:rFonts w:ascii="Times New Roman" w:hAnsi="Times New Roman"/>
          <w:b/>
          <w:bCs/>
          <w:sz w:val="24"/>
          <w:szCs w:val="24"/>
        </w:rPr>
      </w:pPr>
      <w:r w:rsidRPr="005044A8">
        <w:rPr>
          <w:rFonts w:ascii="Times New Roman" w:hAnsi="Times New Roman"/>
          <w:b/>
          <w:bCs/>
          <w:sz w:val="24"/>
          <w:szCs w:val="24"/>
        </w:rPr>
        <w:lastRenderedPageBreak/>
        <w:t>Specific Claim</w:t>
      </w:r>
      <w:r w:rsidRPr="005044A8" w:rsidR="00C02649">
        <w:rPr>
          <w:rFonts w:ascii="Times New Roman" w:hAnsi="Times New Roman"/>
          <w:b/>
          <w:bCs/>
          <w:sz w:val="24"/>
          <w:szCs w:val="24"/>
        </w:rPr>
        <w:t>:</w:t>
      </w:r>
      <w:r w:rsidRPr="005044A8" w:rsidR="00D075B1">
        <w:rPr>
          <w:rFonts w:ascii="Times New Roman" w:hAnsi="Times New Roman"/>
          <w:b/>
          <w:bCs/>
          <w:sz w:val="24"/>
          <w:szCs w:val="24"/>
        </w:rPr>
        <w:t>*</w:t>
      </w:r>
    </w:p>
    <w:tbl>
      <w:tblPr>
        <w:tblW w:w="10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319"/>
        <w:gridCol w:w="774"/>
        <w:gridCol w:w="360"/>
        <w:gridCol w:w="517"/>
        <w:gridCol w:w="895"/>
        <w:gridCol w:w="388"/>
        <w:gridCol w:w="1322"/>
        <w:gridCol w:w="838"/>
        <w:gridCol w:w="270"/>
        <w:gridCol w:w="1142"/>
        <w:gridCol w:w="1260"/>
        <w:gridCol w:w="1351"/>
      </w:tblGrid>
      <w:tr w:rsidRPr="007F620E" w:rsidR="00A92D0B" w:rsidTr="009D142A" w14:paraId="780664A2" w14:textId="77777777">
        <w:trPr>
          <w:tblHeader/>
          <w:jc w:val="center"/>
        </w:trPr>
        <w:tc>
          <w:tcPr>
            <w:tcW w:w="6683" w:type="dxa"/>
            <w:gridSpan w:val="9"/>
            <w:tcBorders>
              <w:bottom w:val="single" w:color="auto" w:sz="4" w:space="0"/>
              <w:right w:val="single" w:color="auto" w:sz="24" w:space="0"/>
            </w:tcBorders>
            <w:shd w:val="clear" w:color="auto" w:fill="auto"/>
          </w:tcPr>
          <w:p w:rsidRPr="007F620E" w:rsidR="00A92D0B" w:rsidP="00DE3A5D" w:rsidRDefault="00A92D0B" w14:paraId="6BFE54DA" w14:textId="77777777">
            <w:pPr>
              <w:keepNext/>
              <w:keepLines/>
              <w:spacing w:before="60" w:after="60"/>
              <w:jc w:val="center"/>
              <w:rPr>
                <w:b/>
                <w:smallCaps/>
                <w:color w:val="000000"/>
              </w:rPr>
            </w:pPr>
            <w:r w:rsidRPr="007F620E">
              <w:rPr>
                <w:b/>
                <w:smallCaps/>
                <w:color w:val="000000"/>
              </w:rPr>
              <w:t>Claimed</w:t>
            </w:r>
          </w:p>
        </w:tc>
        <w:tc>
          <w:tcPr>
            <w:tcW w:w="3753" w:type="dxa"/>
            <w:gridSpan w:val="3"/>
            <w:tcBorders>
              <w:left w:val="single" w:color="auto" w:sz="24" w:space="0"/>
              <w:bottom w:val="single" w:color="auto" w:sz="4" w:space="0"/>
            </w:tcBorders>
            <w:shd w:val="clear" w:color="auto" w:fill="auto"/>
          </w:tcPr>
          <w:p w:rsidRPr="007F620E" w:rsidR="00A92D0B" w:rsidP="00DE3A5D" w:rsidRDefault="00A92D0B" w14:paraId="170A0FA1" w14:textId="77777777">
            <w:pPr>
              <w:keepNext/>
              <w:keepLines/>
              <w:spacing w:before="60" w:after="60"/>
              <w:jc w:val="center"/>
              <w:rPr>
                <w:b/>
                <w:smallCaps/>
                <w:color w:val="000000"/>
              </w:rPr>
            </w:pPr>
            <w:r w:rsidRPr="007F620E">
              <w:rPr>
                <w:b/>
                <w:smallCaps/>
                <w:color w:val="000000"/>
              </w:rPr>
              <w:t>CPUC Award</w:t>
            </w:r>
          </w:p>
        </w:tc>
      </w:tr>
      <w:tr w:rsidRPr="007F620E" w:rsidR="00A92D0B" w:rsidTr="00C635D5" w14:paraId="0F5B6CAA" w14:textId="77777777">
        <w:trPr>
          <w:jc w:val="center"/>
        </w:trPr>
        <w:tc>
          <w:tcPr>
            <w:tcW w:w="10436" w:type="dxa"/>
            <w:gridSpan w:val="12"/>
            <w:tcBorders>
              <w:top w:val="single" w:color="auto" w:sz="4" w:space="0"/>
              <w:left w:val="single" w:color="auto" w:sz="4" w:space="0"/>
              <w:bottom w:val="single" w:color="auto" w:sz="4" w:space="0"/>
              <w:right w:val="single" w:color="auto" w:sz="4" w:space="0"/>
            </w:tcBorders>
            <w:shd w:val="clear" w:color="auto" w:fill="E6E6E6"/>
          </w:tcPr>
          <w:p w:rsidRPr="007F620E" w:rsidR="00A92D0B" w:rsidP="00DE3A5D" w:rsidRDefault="00A92D0B" w14:paraId="284F9031" w14:textId="77777777">
            <w:pPr>
              <w:keepNext/>
              <w:keepLines/>
              <w:spacing w:before="60" w:after="60"/>
              <w:jc w:val="center"/>
              <w:rPr>
                <w:b/>
              </w:rPr>
            </w:pPr>
            <w:r w:rsidRPr="007F620E">
              <w:rPr>
                <w:b/>
              </w:rPr>
              <w:t>ATTORNEY, EXPERT, AND ADVOCATE FEES</w:t>
            </w:r>
          </w:p>
        </w:tc>
      </w:tr>
      <w:tr w:rsidRPr="00260518" w:rsidR="00A92D0B" w:rsidTr="005177A7" w14:paraId="5A70C962" w14:textId="77777777">
        <w:trPr>
          <w:jc w:val="center"/>
        </w:trPr>
        <w:tc>
          <w:tcPr>
            <w:tcW w:w="1319" w:type="dxa"/>
            <w:tcBorders>
              <w:top w:val="single" w:color="auto" w:sz="4" w:space="0"/>
              <w:bottom w:val="single" w:color="auto" w:sz="4" w:space="0"/>
            </w:tcBorders>
            <w:shd w:val="clear" w:color="auto" w:fill="auto"/>
            <w:vAlign w:val="bottom"/>
          </w:tcPr>
          <w:p w:rsidRPr="00260518" w:rsidR="00A92D0B" w:rsidP="003B6A1B" w:rsidRDefault="00A92D0B" w14:paraId="41646676" w14:textId="77777777">
            <w:pPr>
              <w:keepNext/>
              <w:keepLines/>
              <w:spacing w:before="60" w:after="60"/>
              <w:jc w:val="center"/>
              <w:rPr>
                <w:b/>
                <w:color w:val="000000"/>
                <w:sz w:val="22"/>
                <w:szCs w:val="22"/>
              </w:rPr>
            </w:pPr>
            <w:r w:rsidRPr="00260518">
              <w:rPr>
                <w:b/>
                <w:color w:val="000000"/>
                <w:sz w:val="22"/>
                <w:szCs w:val="22"/>
              </w:rPr>
              <w:t>Item</w:t>
            </w:r>
          </w:p>
        </w:tc>
        <w:tc>
          <w:tcPr>
            <w:tcW w:w="774" w:type="dxa"/>
            <w:tcBorders>
              <w:top w:val="single" w:color="auto" w:sz="4" w:space="0"/>
              <w:bottom w:val="single" w:color="auto" w:sz="4" w:space="0"/>
            </w:tcBorders>
            <w:shd w:val="clear" w:color="auto" w:fill="auto"/>
            <w:vAlign w:val="bottom"/>
          </w:tcPr>
          <w:p w:rsidRPr="00260518" w:rsidR="00A92D0B" w:rsidP="003B6A1B" w:rsidRDefault="00A92D0B" w14:paraId="43BB9941" w14:textId="77777777">
            <w:pPr>
              <w:keepNext/>
              <w:keepLines/>
              <w:spacing w:before="60" w:after="60"/>
              <w:jc w:val="center"/>
              <w:rPr>
                <w:b/>
                <w:color w:val="000000"/>
                <w:sz w:val="22"/>
                <w:szCs w:val="22"/>
              </w:rPr>
            </w:pPr>
            <w:r w:rsidRPr="00260518">
              <w:rPr>
                <w:b/>
                <w:color w:val="000000"/>
                <w:sz w:val="22"/>
                <w:szCs w:val="22"/>
              </w:rPr>
              <w:t>Year</w:t>
            </w:r>
          </w:p>
        </w:tc>
        <w:tc>
          <w:tcPr>
            <w:tcW w:w="877" w:type="dxa"/>
            <w:gridSpan w:val="2"/>
            <w:tcBorders>
              <w:top w:val="single" w:color="auto" w:sz="4" w:space="0"/>
              <w:bottom w:val="single" w:color="auto" w:sz="4" w:space="0"/>
            </w:tcBorders>
            <w:shd w:val="clear" w:color="auto" w:fill="auto"/>
            <w:vAlign w:val="bottom"/>
          </w:tcPr>
          <w:p w:rsidRPr="00260518" w:rsidR="00A92D0B" w:rsidP="003B6A1B" w:rsidRDefault="00A92D0B" w14:paraId="0EF32B08" w14:textId="77777777">
            <w:pPr>
              <w:keepNext/>
              <w:keepLines/>
              <w:spacing w:before="60" w:after="60"/>
              <w:jc w:val="center"/>
              <w:rPr>
                <w:b/>
                <w:color w:val="000000"/>
                <w:sz w:val="22"/>
                <w:szCs w:val="22"/>
              </w:rPr>
            </w:pPr>
            <w:r w:rsidRPr="00260518">
              <w:rPr>
                <w:b/>
                <w:color w:val="000000"/>
                <w:sz w:val="22"/>
                <w:szCs w:val="22"/>
              </w:rPr>
              <w:t>Hours</w:t>
            </w:r>
          </w:p>
        </w:tc>
        <w:tc>
          <w:tcPr>
            <w:tcW w:w="895" w:type="dxa"/>
            <w:tcBorders>
              <w:top w:val="single" w:color="auto" w:sz="4" w:space="0"/>
              <w:bottom w:val="single" w:color="auto" w:sz="4" w:space="0"/>
            </w:tcBorders>
            <w:shd w:val="clear" w:color="auto" w:fill="auto"/>
            <w:vAlign w:val="bottom"/>
          </w:tcPr>
          <w:p w:rsidRPr="00260518" w:rsidR="00A92D0B" w:rsidP="003B6A1B" w:rsidRDefault="00A92D0B" w14:paraId="21C69246" w14:textId="77777777">
            <w:pPr>
              <w:keepNext/>
              <w:keepLines/>
              <w:spacing w:before="60" w:after="60"/>
              <w:jc w:val="center"/>
              <w:rPr>
                <w:b/>
                <w:color w:val="000000"/>
                <w:sz w:val="22"/>
                <w:szCs w:val="22"/>
              </w:rPr>
            </w:pPr>
            <w:r w:rsidRPr="00260518">
              <w:rPr>
                <w:b/>
                <w:color w:val="000000"/>
                <w:sz w:val="22"/>
                <w:szCs w:val="22"/>
              </w:rPr>
              <w:t>Rate</w:t>
            </w:r>
            <w:r w:rsidRPr="00260518" w:rsidR="00E3786F">
              <w:rPr>
                <w:b/>
                <w:color w:val="000000"/>
                <w:sz w:val="22"/>
                <w:szCs w:val="22"/>
              </w:rPr>
              <w:t xml:space="preserve"> $</w:t>
            </w:r>
          </w:p>
        </w:tc>
        <w:tc>
          <w:tcPr>
            <w:tcW w:w="1710" w:type="dxa"/>
            <w:gridSpan w:val="2"/>
            <w:tcBorders>
              <w:top w:val="single" w:color="auto" w:sz="4" w:space="0"/>
              <w:bottom w:val="single" w:color="auto" w:sz="4" w:space="0"/>
              <w:right w:val="single" w:color="auto" w:sz="4" w:space="0"/>
            </w:tcBorders>
            <w:shd w:val="clear" w:color="auto" w:fill="auto"/>
            <w:vAlign w:val="bottom"/>
          </w:tcPr>
          <w:p w:rsidRPr="00260518" w:rsidR="00A92D0B" w:rsidP="003B6A1B" w:rsidRDefault="00A92D0B" w14:paraId="59E63C07" w14:textId="77777777">
            <w:pPr>
              <w:keepNext/>
              <w:keepLines/>
              <w:spacing w:before="60" w:after="60"/>
              <w:jc w:val="center"/>
              <w:rPr>
                <w:b/>
                <w:color w:val="000000"/>
                <w:sz w:val="22"/>
                <w:szCs w:val="22"/>
              </w:rPr>
            </w:pPr>
            <w:r w:rsidRPr="00260518">
              <w:rPr>
                <w:b/>
                <w:color w:val="000000"/>
                <w:sz w:val="22"/>
                <w:szCs w:val="22"/>
              </w:rPr>
              <w:t>Basis for Rate*</w:t>
            </w:r>
          </w:p>
        </w:tc>
        <w:tc>
          <w:tcPr>
            <w:tcW w:w="1108" w:type="dxa"/>
            <w:gridSpan w:val="2"/>
            <w:tcBorders>
              <w:top w:val="single" w:color="auto" w:sz="4" w:space="0"/>
              <w:left w:val="single" w:color="auto" w:sz="4" w:space="0"/>
              <w:bottom w:val="single" w:color="auto" w:sz="4" w:space="0"/>
              <w:right w:val="single" w:color="auto" w:sz="24" w:space="0"/>
            </w:tcBorders>
            <w:shd w:val="clear" w:color="auto" w:fill="auto"/>
            <w:vAlign w:val="bottom"/>
          </w:tcPr>
          <w:p w:rsidRPr="00260518" w:rsidR="00A92D0B" w:rsidP="003B6A1B" w:rsidRDefault="00A92D0B" w14:paraId="7099C603" w14:textId="77777777">
            <w:pPr>
              <w:keepNext/>
              <w:keepLines/>
              <w:spacing w:before="60" w:after="60"/>
              <w:jc w:val="center"/>
              <w:rPr>
                <w:b/>
                <w:color w:val="000000"/>
                <w:sz w:val="22"/>
                <w:szCs w:val="22"/>
              </w:rPr>
            </w:pPr>
            <w:r w:rsidRPr="00260518">
              <w:rPr>
                <w:b/>
                <w:color w:val="000000"/>
                <w:sz w:val="22"/>
                <w:szCs w:val="22"/>
              </w:rPr>
              <w:t>Total $</w:t>
            </w:r>
          </w:p>
        </w:tc>
        <w:tc>
          <w:tcPr>
            <w:tcW w:w="1142" w:type="dxa"/>
            <w:tcBorders>
              <w:top w:val="single" w:color="auto" w:sz="4" w:space="0"/>
              <w:left w:val="single" w:color="auto" w:sz="4" w:space="0"/>
            </w:tcBorders>
            <w:shd w:val="clear" w:color="auto" w:fill="auto"/>
            <w:vAlign w:val="bottom"/>
          </w:tcPr>
          <w:p w:rsidRPr="00260518" w:rsidR="00A92D0B" w:rsidP="003B6A1B" w:rsidRDefault="00A92D0B" w14:paraId="564E4964" w14:textId="77777777">
            <w:pPr>
              <w:keepNext/>
              <w:keepLines/>
              <w:spacing w:before="60" w:after="60"/>
              <w:jc w:val="center"/>
              <w:rPr>
                <w:b/>
                <w:color w:val="000000"/>
                <w:sz w:val="22"/>
                <w:szCs w:val="22"/>
              </w:rPr>
            </w:pPr>
            <w:r w:rsidRPr="00260518">
              <w:rPr>
                <w:b/>
                <w:color w:val="000000"/>
                <w:sz w:val="22"/>
                <w:szCs w:val="22"/>
              </w:rPr>
              <w:t>Hours</w:t>
            </w:r>
          </w:p>
        </w:tc>
        <w:tc>
          <w:tcPr>
            <w:tcW w:w="1260" w:type="dxa"/>
            <w:tcBorders>
              <w:top w:val="single" w:color="auto" w:sz="4" w:space="0"/>
            </w:tcBorders>
            <w:shd w:val="clear" w:color="auto" w:fill="auto"/>
            <w:vAlign w:val="bottom"/>
          </w:tcPr>
          <w:p w:rsidRPr="00260518" w:rsidR="00A92D0B" w:rsidP="003B6A1B" w:rsidRDefault="00A92D0B" w14:paraId="1462552D" w14:textId="77777777">
            <w:pPr>
              <w:keepNext/>
              <w:keepLines/>
              <w:spacing w:before="60" w:after="60"/>
              <w:jc w:val="center"/>
              <w:rPr>
                <w:b/>
                <w:color w:val="000000"/>
                <w:sz w:val="22"/>
                <w:szCs w:val="22"/>
              </w:rPr>
            </w:pPr>
            <w:r w:rsidRPr="00260518">
              <w:rPr>
                <w:b/>
                <w:color w:val="000000"/>
                <w:sz w:val="22"/>
                <w:szCs w:val="22"/>
              </w:rPr>
              <w:t>Rate</w:t>
            </w:r>
            <w:r w:rsidRPr="00260518" w:rsidR="00E3786F">
              <w:rPr>
                <w:b/>
                <w:color w:val="000000"/>
                <w:sz w:val="22"/>
                <w:szCs w:val="22"/>
              </w:rPr>
              <w:t xml:space="preserve"> $</w:t>
            </w:r>
          </w:p>
        </w:tc>
        <w:tc>
          <w:tcPr>
            <w:tcW w:w="1351" w:type="dxa"/>
            <w:tcBorders>
              <w:top w:val="single" w:color="auto" w:sz="4" w:space="0"/>
            </w:tcBorders>
            <w:shd w:val="clear" w:color="auto" w:fill="auto"/>
            <w:vAlign w:val="bottom"/>
          </w:tcPr>
          <w:p w:rsidRPr="00260518" w:rsidR="00A92D0B" w:rsidP="003B6A1B" w:rsidRDefault="00A92D0B" w14:paraId="1B6A5CA4" w14:textId="299D52E8">
            <w:pPr>
              <w:keepNext/>
              <w:keepLines/>
              <w:spacing w:before="60" w:after="60"/>
              <w:jc w:val="center"/>
              <w:rPr>
                <w:b/>
                <w:color w:val="000000"/>
                <w:sz w:val="22"/>
                <w:szCs w:val="22"/>
              </w:rPr>
            </w:pPr>
            <w:r w:rsidRPr="00260518">
              <w:rPr>
                <w:b/>
                <w:color w:val="000000"/>
                <w:sz w:val="22"/>
                <w:szCs w:val="22"/>
              </w:rPr>
              <w:t xml:space="preserve">Total </w:t>
            </w:r>
          </w:p>
        </w:tc>
      </w:tr>
      <w:tr w:rsidRPr="007F620E" w:rsidR="00836F2F" w:rsidTr="005177A7" w14:paraId="1530EE7D" w14:textId="77777777">
        <w:trPr>
          <w:jc w:val="center"/>
        </w:trPr>
        <w:tc>
          <w:tcPr>
            <w:tcW w:w="1319" w:type="dxa"/>
            <w:shd w:val="clear" w:color="auto" w:fill="auto"/>
          </w:tcPr>
          <w:p w:rsidR="00836F2F" w:rsidP="00836F2F" w:rsidRDefault="00836F2F" w14:paraId="75D44B76" w14:textId="2AECC844">
            <w:pPr>
              <w:spacing w:before="60" w:after="60"/>
              <w:rPr>
                <w:color w:val="000000"/>
              </w:rPr>
            </w:pPr>
            <w:r>
              <w:rPr>
                <w:color w:val="000000"/>
              </w:rPr>
              <w:t>G. Morris</w:t>
            </w:r>
          </w:p>
        </w:tc>
        <w:tc>
          <w:tcPr>
            <w:tcW w:w="774" w:type="dxa"/>
            <w:shd w:val="clear" w:color="auto" w:fill="auto"/>
          </w:tcPr>
          <w:p w:rsidR="00836F2F" w:rsidP="00F0294C" w:rsidRDefault="00836F2F" w14:paraId="6C5FF52F" w14:textId="5485AC30">
            <w:pPr>
              <w:spacing w:before="60" w:after="60"/>
              <w:jc w:val="center"/>
              <w:rPr>
                <w:color w:val="000000"/>
              </w:rPr>
            </w:pPr>
            <w:r>
              <w:rPr>
                <w:color w:val="000000"/>
              </w:rPr>
              <w:t>2021</w:t>
            </w:r>
          </w:p>
        </w:tc>
        <w:tc>
          <w:tcPr>
            <w:tcW w:w="877" w:type="dxa"/>
            <w:gridSpan w:val="2"/>
            <w:shd w:val="clear" w:color="auto" w:fill="auto"/>
          </w:tcPr>
          <w:p w:rsidR="00836F2F" w:rsidP="00F0294C" w:rsidRDefault="00836F2F" w14:paraId="384E0E13" w14:textId="200EAC43">
            <w:pPr>
              <w:spacing w:before="60" w:after="60"/>
              <w:jc w:val="center"/>
              <w:rPr>
                <w:color w:val="000000"/>
              </w:rPr>
            </w:pPr>
            <w:r>
              <w:rPr>
                <w:color w:val="000000"/>
              </w:rPr>
              <w:t>1.50</w:t>
            </w:r>
          </w:p>
        </w:tc>
        <w:tc>
          <w:tcPr>
            <w:tcW w:w="895" w:type="dxa"/>
            <w:shd w:val="clear" w:color="auto" w:fill="auto"/>
          </w:tcPr>
          <w:p w:rsidR="00836F2F" w:rsidP="005177A7" w:rsidRDefault="005177A7" w14:paraId="257ECE70" w14:textId="07A601AD">
            <w:pPr>
              <w:spacing w:before="60" w:after="60"/>
              <w:jc w:val="right"/>
              <w:rPr>
                <w:color w:val="000000"/>
              </w:rPr>
            </w:pPr>
            <w:r>
              <w:rPr>
                <w:color w:val="000000"/>
              </w:rPr>
              <w:t>$</w:t>
            </w:r>
            <w:r w:rsidR="00836F2F">
              <w:rPr>
                <w:color w:val="000000"/>
              </w:rPr>
              <w:t>450</w:t>
            </w:r>
          </w:p>
        </w:tc>
        <w:tc>
          <w:tcPr>
            <w:tcW w:w="1710" w:type="dxa"/>
            <w:gridSpan w:val="2"/>
            <w:tcBorders>
              <w:right w:val="single" w:color="auto" w:sz="4" w:space="0"/>
            </w:tcBorders>
            <w:shd w:val="clear" w:color="auto" w:fill="auto"/>
          </w:tcPr>
          <w:p w:rsidRPr="00A56A1B" w:rsidR="00836F2F" w:rsidP="00836F2F" w:rsidRDefault="00836F2F" w14:paraId="0CC268DF" w14:textId="42D8F4BF">
            <w:pPr>
              <w:spacing w:before="60" w:after="60"/>
              <w:rPr>
                <w:color w:val="000000"/>
              </w:rPr>
            </w:pPr>
            <w:r>
              <w:rPr>
                <w:color w:val="000000"/>
              </w:rPr>
              <w:t>D.22-06-041</w:t>
            </w:r>
          </w:p>
        </w:tc>
        <w:tc>
          <w:tcPr>
            <w:tcW w:w="1108" w:type="dxa"/>
            <w:gridSpan w:val="2"/>
            <w:tcBorders>
              <w:top w:val="single" w:color="auto" w:sz="4" w:space="0"/>
              <w:left w:val="single" w:color="auto" w:sz="4" w:space="0"/>
              <w:bottom w:val="single" w:color="auto" w:sz="4" w:space="0"/>
              <w:right w:val="single" w:color="auto" w:sz="24" w:space="0"/>
            </w:tcBorders>
            <w:shd w:val="clear" w:color="auto" w:fill="auto"/>
          </w:tcPr>
          <w:p w:rsidR="00836F2F" w:rsidP="00836F2F" w:rsidRDefault="00F0294C" w14:paraId="193DDFBF" w14:textId="0BC5C449">
            <w:pPr>
              <w:spacing w:before="60" w:after="60"/>
              <w:jc w:val="right"/>
              <w:rPr>
                <w:color w:val="000000"/>
              </w:rPr>
            </w:pPr>
            <w:r>
              <w:rPr>
                <w:color w:val="000000"/>
              </w:rPr>
              <w:t>$</w:t>
            </w:r>
            <w:r w:rsidR="00836F2F">
              <w:rPr>
                <w:color w:val="000000"/>
              </w:rPr>
              <w:t>675</w:t>
            </w:r>
          </w:p>
        </w:tc>
        <w:tc>
          <w:tcPr>
            <w:tcW w:w="1142" w:type="dxa"/>
            <w:tcBorders>
              <w:left w:val="single" w:color="auto" w:sz="4" w:space="0"/>
            </w:tcBorders>
            <w:shd w:val="clear" w:color="auto" w:fill="auto"/>
          </w:tcPr>
          <w:p w:rsidRPr="007F620E" w:rsidR="00836F2F" w:rsidP="00F0294C" w:rsidRDefault="00836F2F" w14:paraId="75BD66B8" w14:textId="7A610A30">
            <w:pPr>
              <w:spacing w:before="60" w:after="60"/>
              <w:jc w:val="center"/>
              <w:rPr>
                <w:color w:val="000000"/>
              </w:rPr>
            </w:pPr>
            <w:r>
              <w:rPr>
                <w:color w:val="000000"/>
              </w:rPr>
              <w:t>1.50</w:t>
            </w:r>
          </w:p>
        </w:tc>
        <w:tc>
          <w:tcPr>
            <w:tcW w:w="1260" w:type="dxa"/>
            <w:shd w:val="clear" w:color="auto" w:fill="auto"/>
          </w:tcPr>
          <w:p w:rsidRPr="007F620E" w:rsidR="00836F2F" w:rsidP="005177A7" w:rsidRDefault="00836F2F" w14:paraId="7E1A93DB" w14:textId="5E164762">
            <w:pPr>
              <w:spacing w:before="60" w:after="60"/>
              <w:jc w:val="right"/>
              <w:rPr>
                <w:color w:val="000000"/>
              </w:rPr>
            </w:pPr>
            <w:r>
              <w:rPr>
                <w:color w:val="000000"/>
              </w:rPr>
              <w:t>450[1]</w:t>
            </w:r>
          </w:p>
        </w:tc>
        <w:tc>
          <w:tcPr>
            <w:tcW w:w="1351" w:type="dxa"/>
            <w:shd w:val="clear" w:color="auto" w:fill="auto"/>
          </w:tcPr>
          <w:p w:rsidRPr="007F620E" w:rsidR="00836F2F" w:rsidP="00836F2F" w:rsidRDefault="00836F2F" w14:paraId="5CA731DE" w14:textId="35A93A5C">
            <w:pPr>
              <w:spacing w:before="60" w:after="60"/>
              <w:jc w:val="right"/>
              <w:rPr>
                <w:color w:val="000000"/>
              </w:rPr>
            </w:pPr>
            <w:r w:rsidRPr="003E2D1A">
              <w:t xml:space="preserve"> $675.00 </w:t>
            </w:r>
          </w:p>
        </w:tc>
      </w:tr>
      <w:tr w:rsidRPr="007F620E" w:rsidR="00836F2F" w:rsidTr="005177A7" w14:paraId="5BF6A154" w14:textId="77777777">
        <w:trPr>
          <w:jc w:val="center"/>
        </w:trPr>
        <w:tc>
          <w:tcPr>
            <w:tcW w:w="1319" w:type="dxa"/>
            <w:shd w:val="clear" w:color="auto" w:fill="auto"/>
          </w:tcPr>
          <w:p w:rsidRPr="007F620E" w:rsidR="00836F2F" w:rsidP="00836F2F" w:rsidRDefault="00836F2F" w14:paraId="118506EC" w14:textId="4BF6C498">
            <w:pPr>
              <w:spacing w:before="60" w:after="60"/>
              <w:rPr>
                <w:color w:val="000000"/>
              </w:rPr>
            </w:pPr>
            <w:r>
              <w:rPr>
                <w:color w:val="000000"/>
              </w:rPr>
              <w:t>G. Morris</w:t>
            </w:r>
          </w:p>
        </w:tc>
        <w:tc>
          <w:tcPr>
            <w:tcW w:w="774" w:type="dxa"/>
            <w:shd w:val="clear" w:color="auto" w:fill="auto"/>
          </w:tcPr>
          <w:p w:rsidRPr="007F620E" w:rsidR="00836F2F" w:rsidP="00F0294C" w:rsidRDefault="00836F2F" w14:paraId="3767540B" w14:textId="41D6B428">
            <w:pPr>
              <w:spacing w:before="60" w:after="60"/>
              <w:jc w:val="center"/>
              <w:rPr>
                <w:color w:val="000000"/>
              </w:rPr>
            </w:pPr>
            <w:r>
              <w:rPr>
                <w:color w:val="000000"/>
              </w:rPr>
              <w:t>2022</w:t>
            </w:r>
          </w:p>
        </w:tc>
        <w:tc>
          <w:tcPr>
            <w:tcW w:w="877" w:type="dxa"/>
            <w:gridSpan w:val="2"/>
            <w:shd w:val="clear" w:color="auto" w:fill="auto"/>
          </w:tcPr>
          <w:p w:rsidRPr="007F620E" w:rsidR="00836F2F" w:rsidP="00F0294C" w:rsidRDefault="00836F2F" w14:paraId="120FE857" w14:textId="05E3BC99">
            <w:pPr>
              <w:spacing w:before="60" w:after="60"/>
              <w:jc w:val="center"/>
              <w:rPr>
                <w:color w:val="000000"/>
              </w:rPr>
            </w:pPr>
            <w:r>
              <w:rPr>
                <w:color w:val="000000"/>
              </w:rPr>
              <w:t>62.00</w:t>
            </w:r>
          </w:p>
        </w:tc>
        <w:tc>
          <w:tcPr>
            <w:tcW w:w="895" w:type="dxa"/>
            <w:shd w:val="clear" w:color="auto" w:fill="auto"/>
          </w:tcPr>
          <w:p w:rsidRPr="007F620E" w:rsidR="00836F2F" w:rsidP="005177A7" w:rsidRDefault="005177A7" w14:paraId="075109E1" w14:textId="069AFB61">
            <w:pPr>
              <w:spacing w:before="60" w:after="60"/>
              <w:jc w:val="right"/>
              <w:rPr>
                <w:color w:val="000000"/>
              </w:rPr>
            </w:pPr>
            <w:r>
              <w:rPr>
                <w:color w:val="000000"/>
              </w:rPr>
              <w:t>$</w:t>
            </w:r>
            <w:r w:rsidR="00836F2F">
              <w:rPr>
                <w:color w:val="000000"/>
              </w:rPr>
              <w:t>465</w:t>
            </w:r>
          </w:p>
        </w:tc>
        <w:tc>
          <w:tcPr>
            <w:tcW w:w="1710" w:type="dxa"/>
            <w:gridSpan w:val="2"/>
            <w:tcBorders>
              <w:right w:val="single" w:color="auto" w:sz="4" w:space="0"/>
            </w:tcBorders>
            <w:shd w:val="clear" w:color="auto" w:fill="auto"/>
          </w:tcPr>
          <w:p w:rsidRPr="007F620E" w:rsidR="00836F2F" w:rsidP="00836F2F" w:rsidRDefault="00836F2F" w14:paraId="4AF4C006" w14:textId="1744AD32">
            <w:pPr>
              <w:spacing w:before="60" w:after="60"/>
              <w:rPr>
                <w:color w:val="000000"/>
              </w:rPr>
            </w:pPr>
            <w:r w:rsidRPr="00F0294C">
              <w:rPr>
                <w:i/>
                <w:iCs/>
                <w:color w:val="000000"/>
              </w:rPr>
              <w:t>See</w:t>
            </w:r>
            <w:r w:rsidRPr="00A56A1B">
              <w:rPr>
                <w:color w:val="000000"/>
              </w:rPr>
              <w:t xml:space="preserve"> comment </w:t>
            </w:r>
            <w:r>
              <w:rPr>
                <w:color w:val="000000"/>
              </w:rPr>
              <w:t>1</w:t>
            </w:r>
          </w:p>
        </w:tc>
        <w:tc>
          <w:tcPr>
            <w:tcW w:w="1108"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836F2F" w:rsidP="00836F2F" w:rsidRDefault="00F0294C" w14:paraId="2A77845E" w14:textId="3D07DA18">
            <w:pPr>
              <w:spacing w:before="60" w:after="60"/>
              <w:jc w:val="right"/>
              <w:rPr>
                <w:color w:val="000000"/>
              </w:rPr>
            </w:pPr>
            <w:r>
              <w:rPr>
                <w:color w:val="000000"/>
              </w:rPr>
              <w:t>$</w:t>
            </w:r>
            <w:r w:rsidR="00836F2F">
              <w:rPr>
                <w:color w:val="000000"/>
              </w:rPr>
              <w:t>28,830</w:t>
            </w:r>
          </w:p>
        </w:tc>
        <w:tc>
          <w:tcPr>
            <w:tcW w:w="1142" w:type="dxa"/>
            <w:tcBorders>
              <w:left w:val="single" w:color="auto" w:sz="4" w:space="0"/>
            </w:tcBorders>
            <w:shd w:val="clear" w:color="auto" w:fill="auto"/>
          </w:tcPr>
          <w:p w:rsidRPr="007F620E" w:rsidR="00836F2F" w:rsidP="00F0294C" w:rsidRDefault="00836F2F" w14:paraId="461DC9FD" w14:textId="73E3A93A">
            <w:pPr>
              <w:spacing w:before="60" w:after="60"/>
              <w:jc w:val="center"/>
              <w:rPr>
                <w:color w:val="000000"/>
              </w:rPr>
            </w:pPr>
            <w:r>
              <w:rPr>
                <w:color w:val="000000"/>
              </w:rPr>
              <w:t>15.50  [2], [3]</w:t>
            </w:r>
          </w:p>
        </w:tc>
        <w:tc>
          <w:tcPr>
            <w:tcW w:w="1260" w:type="dxa"/>
            <w:shd w:val="clear" w:color="auto" w:fill="auto"/>
          </w:tcPr>
          <w:p w:rsidRPr="007F620E" w:rsidR="00836F2F" w:rsidP="005177A7" w:rsidRDefault="00836F2F" w14:paraId="7FDABF74" w14:textId="3605B999">
            <w:pPr>
              <w:spacing w:before="60" w:after="60"/>
              <w:jc w:val="right"/>
              <w:rPr>
                <w:color w:val="000000"/>
              </w:rPr>
            </w:pPr>
            <w:r>
              <w:rPr>
                <w:color w:val="000000"/>
              </w:rPr>
              <w:t>465[1]</w:t>
            </w:r>
          </w:p>
        </w:tc>
        <w:tc>
          <w:tcPr>
            <w:tcW w:w="1351" w:type="dxa"/>
            <w:shd w:val="clear" w:color="auto" w:fill="auto"/>
          </w:tcPr>
          <w:p w:rsidRPr="007F620E" w:rsidR="00836F2F" w:rsidP="00836F2F" w:rsidRDefault="00836F2F" w14:paraId="05EFCF76" w14:textId="3830AD78">
            <w:pPr>
              <w:spacing w:before="60" w:after="60"/>
              <w:jc w:val="right"/>
              <w:rPr>
                <w:color w:val="000000"/>
              </w:rPr>
            </w:pPr>
            <w:r w:rsidRPr="003E2D1A">
              <w:t xml:space="preserve"> $7,207.50 </w:t>
            </w:r>
          </w:p>
        </w:tc>
      </w:tr>
      <w:tr w:rsidRPr="007F620E" w:rsidR="00836F2F" w:rsidTr="005177A7" w14:paraId="78FC5ECE" w14:textId="77777777">
        <w:trPr>
          <w:jc w:val="center"/>
        </w:trPr>
        <w:tc>
          <w:tcPr>
            <w:tcW w:w="1319" w:type="dxa"/>
            <w:shd w:val="clear" w:color="auto" w:fill="auto"/>
          </w:tcPr>
          <w:p w:rsidRPr="007F620E" w:rsidR="00836F2F" w:rsidP="00836F2F" w:rsidRDefault="00836F2F" w14:paraId="1F8943E9" w14:textId="77D0A688">
            <w:pPr>
              <w:spacing w:before="60" w:after="60"/>
              <w:rPr>
                <w:color w:val="000000"/>
              </w:rPr>
            </w:pPr>
            <w:r>
              <w:rPr>
                <w:color w:val="000000"/>
              </w:rPr>
              <w:t>T. Hunt</w:t>
            </w:r>
          </w:p>
        </w:tc>
        <w:tc>
          <w:tcPr>
            <w:tcW w:w="774" w:type="dxa"/>
            <w:shd w:val="clear" w:color="auto" w:fill="auto"/>
          </w:tcPr>
          <w:p w:rsidRPr="007F620E" w:rsidR="00836F2F" w:rsidP="00F0294C" w:rsidRDefault="00836F2F" w14:paraId="6FFEFF62" w14:textId="3A759CF9">
            <w:pPr>
              <w:spacing w:before="60" w:after="60"/>
              <w:jc w:val="center"/>
              <w:rPr>
                <w:color w:val="000000"/>
              </w:rPr>
            </w:pPr>
            <w:r>
              <w:rPr>
                <w:color w:val="000000"/>
              </w:rPr>
              <w:t>2021</w:t>
            </w:r>
          </w:p>
        </w:tc>
        <w:tc>
          <w:tcPr>
            <w:tcW w:w="877" w:type="dxa"/>
            <w:gridSpan w:val="2"/>
            <w:shd w:val="clear" w:color="auto" w:fill="auto"/>
          </w:tcPr>
          <w:p w:rsidRPr="007F620E" w:rsidR="00836F2F" w:rsidP="00F0294C" w:rsidRDefault="00836F2F" w14:paraId="24984638" w14:textId="3008C667">
            <w:pPr>
              <w:spacing w:before="60" w:after="60"/>
              <w:jc w:val="center"/>
              <w:rPr>
                <w:color w:val="000000"/>
              </w:rPr>
            </w:pPr>
            <w:r>
              <w:rPr>
                <w:color w:val="000000"/>
              </w:rPr>
              <w:t>16.50</w:t>
            </w:r>
          </w:p>
        </w:tc>
        <w:tc>
          <w:tcPr>
            <w:tcW w:w="895" w:type="dxa"/>
            <w:shd w:val="clear" w:color="auto" w:fill="auto"/>
          </w:tcPr>
          <w:p w:rsidRPr="007F620E" w:rsidR="00836F2F" w:rsidP="005177A7" w:rsidRDefault="005177A7" w14:paraId="00CA9050" w14:textId="02AA6E31">
            <w:pPr>
              <w:spacing w:before="60" w:after="60"/>
              <w:jc w:val="right"/>
              <w:rPr>
                <w:color w:val="000000"/>
              </w:rPr>
            </w:pPr>
            <w:r>
              <w:rPr>
                <w:color w:val="000000"/>
              </w:rPr>
              <w:t>$</w:t>
            </w:r>
            <w:r w:rsidR="00836F2F">
              <w:rPr>
                <w:color w:val="000000"/>
              </w:rPr>
              <w:t>585</w:t>
            </w:r>
          </w:p>
        </w:tc>
        <w:tc>
          <w:tcPr>
            <w:tcW w:w="1710" w:type="dxa"/>
            <w:gridSpan w:val="2"/>
            <w:tcBorders>
              <w:right w:val="single" w:color="auto" w:sz="4" w:space="0"/>
            </w:tcBorders>
            <w:shd w:val="clear" w:color="auto" w:fill="auto"/>
          </w:tcPr>
          <w:p w:rsidRPr="007F620E" w:rsidR="00836F2F" w:rsidP="00836F2F" w:rsidRDefault="00836F2F" w14:paraId="760F08DA" w14:textId="5F30ED49">
            <w:pPr>
              <w:spacing w:before="60" w:after="60"/>
              <w:rPr>
                <w:color w:val="000000"/>
              </w:rPr>
            </w:pPr>
            <w:r>
              <w:rPr>
                <w:color w:val="000000"/>
              </w:rPr>
              <w:t>D.22-06-041</w:t>
            </w:r>
          </w:p>
        </w:tc>
        <w:tc>
          <w:tcPr>
            <w:tcW w:w="1108"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836F2F" w:rsidP="00836F2F" w:rsidRDefault="00F0294C" w14:paraId="39D39174" w14:textId="71469FAF">
            <w:pPr>
              <w:spacing w:before="60" w:after="60"/>
              <w:jc w:val="right"/>
              <w:rPr>
                <w:color w:val="000000"/>
              </w:rPr>
            </w:pPr>
            <w:r>
              <w:rPr>
                <w:color w:val="000000"/>
              </w:rPr>
              <w:t>$</w:t>
            </w:r>
            <w:r w:rsidR="00836F2F">
              <w:rPr>
                <w:color w:val="000000"/>
              </w:rPr>
              <w:t>9,653</w:t>
            </w:r>
          </w:p>
        </w:tc>
        <w:tc>
          <w:tcPr>
            <w:tcW w:w="1142" w:type="dxa"/>
            <w:tcBorders>
              <w:left w:val="single" w:color="auto" w:sz="4" w:space="0"/>
            </w:tcBorders>
            <w:shd w:val="clear" w:color="auto" w:fill="auto"/>
          </w:tcPr>
          <w:p w:rsidRPr="007F620E" w:rsidR="00836F2F" w:rsidP="00F0294C" w:rsidRDefault="00836F2F" w14:paraId="047FD0B5" w14:textId="61EB0470">
            <w:pPr>
              <w:spacing w:before="60" w:after="60"/>
              <w:jc w:val="center"/>
              <w:rPr>
                <w:color w:val="000000"/>
              </w:rPr>
            </w:pPr>
            <w:r>
              <w:rPr>
                <w:color w:val="000000"/>
              </w:rPr>
              <w:t>15.00 [3],[5]</w:t>
            </w:r>
          </w:p>
        </w:tc>
        <w:tc>
          <w:tcPr>
            <w:tcW w:w="1260" w:type="dxa"/>
            <w:shd w:val="clear" w:color="auto" w:fill="auto"/>
          </w:tcPr>
          <w:p w:rsidRPr="007F620E" w:rsidR="00836F2F" w:rsidP="005177A7" w:rsidRDefault="00836F2F" w14:paraId="367660C2" w14:textId="6E705CFB">
            <w:pPr>
              <w:spacing w:before="60" w:after="60"/>
              <w:jc w:val="right"/>
              <w:rPr>
                <w:color w:val="000000"/>
              </w:rPr>
            </w:pPr>
            <w:r>
              <w:rPr>
                <w:color w:val="000000"/>
              </w:rPr>
              <w:t>585 [4]</w:t>
            </w:r>
          </w:p>
        </w:tc>
        <w:tc>
          <w:tcPr>
            <w:tcW w:w="1351" w:type="dxa"/>
            <w:shd w:val="clear" w:color="auto" w:fill="auto"/>
          </w:tcPr>
          <w:p w:rsidRPr="007F620E" w:rsidR="00836F2F" w:rsidP="00836F2F" w:rsidRDefault="00836F2F" w14:paraId="766AC45F" w14:textId="3E7BAA76">
            <w:pPr>
              <w:spacing w:before="60" w:after="60"/>
              <w:jc w:val="right"/>
              <w:rPr>
                <w:color w:val="000000"/>
              </w:rPr>
            </w:pPr>
            <w:r w:rsidRPr="003E2D1A">
              <w:t xml:space="preserve"> $8,775.00 </w:t>
            </w:r>
          </w:p>
        </w:tc>
      </w:tr>
      <w:tr w:rsidRPr="007F620E" w:rsidR="00836F2F" w:rsidTr="005177A7" w14:paraId="185A55F8" w14:textId="77777777">
        <w:trPr>
          <w:jc w:val="center"/>
        </w:trPr>
        <w:tc>
          <w:tcPr>
            <w:tcW w:w="1319" w:type="dxa"/>
            <w:shd w:val="clear" w:color="auto" w:fill="auto"/>
          </w:tcPr>
          <w:p w:rsidR="00836F2F" w:rsidP="00836F2F" w:rsidRDefault="00836F2F" w14:paraId="0A23A78F" w14:textId="16530A8C">
            <w:pPr>
              <w:spacing w:before="60" w:after="60"/>
              <w:rPr>
                <w:color w:val="000000"/>
              </w:rPr>
            </w:pPr>
            <w:r>
              <w:rPr>
                <w:color w:val="000000"/>
              </w:rPr>
              <w:t>T. Hunt</w:t>
            </w:r>
          </w:p>
        </w:tc>
        <w:tc>
          <w:tcPr>
            <w:tcW w:w="774" w:type="dxa"/>
            <w:shd w:val="clear" w:color="auto" w:fill="auto"/>
          </w:tcPr>
          <w:p w:rsidR="00836F2F" w:rsidP="00F0294C" w:rsidRDefault="00836F2F" w14:paraId="14DFC48F" w14:textId="0C675AEA">
            <w:pPr>
              <w:spacing w:before="60" w:after="60"/>
              <w:jc w:val="center"/>
              <w:rPr>
                <w:color w:val="000000"/>
              </w:rPr>
            </w:pPr>
            <w:r>
              <w:rPr>
                <w:color w:val="000000"/>
              </w:rPr>
              <w:t>2022</w:t>
            </w:r>
          </w:p>
        </w:tc>
        <w:tc>
          <w:tcPr>
            <w:tcW w:w="877" w:type="dxa"/>
            <w:gridSpan w:val="2"/>
            <w:shd w:val="clear" w:color="auto" w:fill="auto"/>
          </w:tcPr>
          <w:p w:rsidR="00836F2F" w:rsidP="00F0294C" w:rsidRDefault="00836F2F" w14:paraId="678470D9" w14:textId="7E04AFF2">
            <w:pPr>
              <w:spacing w:before="60" w:after="60"/>
              <w:jc w:val="center"/>
              <w:rPr>
                <w:color w:val="000000"/>
              </w:rPr>
            </w:pPr>
            <w:r>
              <w:rPr>
                <w:color w:val="000000"/>
              </w:rPr>
              <w:t>70.50</w:t>
            </w:r>
          </w:p>
        </w:tc>
        <w:tc>
          <w:tcPr>
            <w:tcW w:w="895" w:type="dxa"/>
            <w:shd w:val="clear" w:color="auto" w:fill="auto"/>
          </w:tcPr>
          <w:p w:rsidR="00836F2F" w:rsidP="005177A7" w:rsidRDefault="005177A7" w14:paraId="5EEA18EF" w14:textId="5F51F8E2">
            <w:pPr>
              <w:spacing w:before="60" w:after="60"/>
              <w:jc w:val="right"/>
              <w:rPr>
                <w:color w:val="000000"/>
              </w:rPr>
            </w:pPr>
            <w:r>
              <w:rPr>
                <w:color w:val="000000"/>
              </w:rPr>
              <w:t>$</w:t>
            </w:r>
            <w:r w:rsidR="00836F2F">
              <w:rPr>
                <w:color w:val="000000"/>
              </w:rPr>
              <w:t>605</w:t>
            </w:r>
          </w:p>
        </w:tc>
        <w:tc>
          <w:tcPr>
            <w:tcW w:w="1710" w:type="dxa"/>
            <w:gridSpan w:val="2"/>
            <w:tcBorders>
              <w:right w:val="single" w:color="auto" w:sz="4" w:space="0"/>
            </w:tcBorders>
            <w:shd w:val="clear" w:color="auto" w:fill="auto"/>
          </w:tcPr>
          <w:p w:rsidR="00836F2F" w:rsidP="00836F2F" w:rsidRDefault="00836F2F" w14:paraId="55CB7C70" w14:textId="03C3B848">
            <w:pPr>
              <w:spacing w:before="60" w:after="60"/>
              <w:rPr>
                <w:color w:val="000000"/>
              </w:rPr>
            </w:pPr>
            <w:r w:rsidRPr="00F0294C">
              <w:rPr>
                <w:i/>
                <w:iCs/>
                <w:color w:val="000000"/>
              </w:rPr>
              <w:t>See</w:t>
            </w:r>
            <w:r w:rsidRPr="00A56A1B">
              <w:rPr>
                <w:color w:val="000000"/>
              </w:rPr>
              <w:t xml:space="preserve"> comment </w:t>
            </w:r>
            <w:r>
              <w:rPr>
                <w:color w:val="000000"/>
              </w:rPr>
              <w:t>2</w:t>
            </w:r>
          </w:p>
        </w:tc>
        <w:tc>
          <w:tcPr>
            <w:tcW w:w="1108" w:type="dxa"/>
            <w:gridSpan w:val="2"/>
            <w:tcBorders>
              <w:top w:val="single" w:color="auto" w:sz="4" w:space="0"/>
              <w:left w:val="single" w:color="auto" w:sz="4" w:space="0"/>
              <w:bottom w:val="single" w:color="auto" w:sz="4" w:space="0"/>
              <w:right w:val="single" w:color="auto" w:sz="24" w:space="0"/>
            </w:tcBorders>
            <w:shd w:val="clear" w:color="auto" w:fill="auto"/>
          </w:tcPr>
          <w:p w:rsidR="00836F2F" w:rsidP="00836F2F" w:rsidRDefault="00F0294C" w14:paraId="7A71B8F0" w14:textId="3D68FC07">
            <w:pPr>
              <w:spacing w:before="60" w:after="60"/>
              <w:jc w:val="right"/>
              <w:rPr>
                <w:color w:val="000000"/>
              </w:rPr>
            </w:pPr>
            <w:r>
              <w:rPr>
                <w:color w:val="000000"/>
              </w:rPr>
              <w:t>$</w:t>
            </w:r>
            <w:r w:rsidR="00836F2F">
              <w:rPr>
                <w:color w:val="000000"/>
              </w:rPr>
              <w:t>42,653</w:t>
            </w:r>
          </w:p>
        </w:tc>
        <w:tc>
          <w:tcPr>
            <w:tcW w:w="1142" w:type="dxa"/>
            <w:tcBorders>
              <w:left w:val="single" w:color="auto" w:sz="4" w:space="0"/>
            </w:tcBorders>
            <w:shd w:val="clear" w:color="auto" w:fill="auto"/>
          </w:tcPr>
          <w:p w:rsidRPr="007F620E" w:rsidR="00836F2F" w:rsidP="00F0294C" w:rsidRDefault="00836F2F" w14:paraId="77D0D0BC" w14:textId="58DB4D2F">
            <w:pPr>
              <w:spacing w:before="60" w:after="60"/>
              <w:jc w:val="center"/>
              <w:rPr>
                <w:color w:val="000000"/>
              </w:rPr>
            </w:pPr>
            <w:r>
              <w:rPr>
                <w:color w:val="000000"/>
              </w:rPr>
              <w:t>24.63 [4]</w:t>
            </w:r>
          </w:p>
        </w:tc>
        <w:tc>
          <w:tcPr>
            <w:tcW w:w="1260" w:type="dxa"/>
            <w:shd w:val="clear" w:color="auto" w:fill="auto"/>
          </w:tcPr>
          <w:p w:rsidRPr="007F620E" w:rsidR="00836F2F" w:rsidP="005177A7" w:rsidRDefault="00836F2F" w14:paraId="20E4BEC0" w14:textId="24CDB75A">
            <w:pPr>
              <w:spacing w:before="60" w:after="60"/>
              <w:jc w:val="right"/>
              <w:rPr>
                <w:color w:val="000000"/>
              </w:rPr>
            </w:pPr>
            <w:r>
              <w:rPr>
                <w:color w:val="000000"/>
              </w:rPr>
              <w:t>605[4]</w:t>
            </w:r>
          </w:p>
        </w:tc>
        <w:tc>
          <w:tcPr>
            <w:tcW w:w="1351" w:type="dxa"/>
            <w:shd w:val="clear" w:color="auto" w:fill="auto"/>
          </w:tcPr>
          <w:p w:rsidRPr="007F620E" w:rsidR="00836F2F" w:rsidP="00836F2F" w:rsidRDefault="00836F2F" w14:paraId="0276885F" w14:textId="294750DA">
            <w:pPr>
              <w:spacing w:before="60" w:after="60"/>
              <w:jc w:val="right"/>
              <w:rPr>
                <w:color w:val="000000"/>
              </w:rPr>
            </w:pPr>
            <w:r w:rsidRPr="003E2D1A">
              <w:t xml:space="preserve"> $14,901.15 </w:t>
            </w:r>
          </w:p>
        </w:tc>
      </w:tr>
      <w:tr w:rsidRPr="007F620E" w:rsidR="00836F2F" w:rsidTr="005177A7" w14:paraId="00A1A27E" w14:textId="77777777">
        <w:trPr>
          <w:jc w:val="center"/>
        </w:trPr>
        <w:tc>
          <w:tcPr>
            <w:tcW w:w="1319" w:type="dxa"/>
            <w:shd w:val="clear" w:color="auto" w:fill="auto"/>
          </w:tcPr>
          <w:p w:rsidRPr="004C2276" w:rsidR="00836F2F" w:rsidP="00836F2F" w:rsidRDefault="00836F2F" w14:paraId="15B28A67" w14:textId="716A2869">
            <w:pPr>
              <w:spacing w:before="60" w:after="60"/>
              <w:rPr>
                <w:color w:val="000000"/>
                <w:sz w:val="23"/>
                <w:szCs w:val="23"/>
              </w:rPr>
            </w:pPr>
            <w:r w:rsidRPr="004C2276">
              <w:rPr>
                <w:color w:val="000000"/>
                <w:sz w:val="23"/>
                <w:szCs w:val="23"/>
              </w:rPr>
              <w:t xml:space="preserve">M. </w:t>
            </w:r>
            <w:proofErr w:type="spellStart"/>
            <w:r w:rsidRPr="004C2276">
              <w:rPr>
                <w:color w:val="000000"/>
                <w:sz w:val="23"/>
                <w:szCs w:val="23"/>
              </w:rPr>
              <w:t>Chiacos</w:t>
            </w:r>
            <w:proofErr w:type="spellEnd"/>
          </w:p>
        </w:tc>
        <w:tc>
          <w:tcPr>
            <w:tcW w:w="774" w:type="dxa"/>
            <w:shd w:val="clear" w:color="auto" w:fill="auto"/>
          </w:tcPr>
          <w:p w:rsidRPr="007F620E" w:rsidR="00836F2F" w:rsidP="00F0294C" w:rsidRDefault="00836F2F" w14:paraId="7D74590C" w14:textId="541DA490">
            <w:pPr>
              <w:spacing w:before="60" w:after="60"/>
              <w:jc w:val="center"/>
              <w:rPr>
                <w:color w:val="000000"/>
              </w:rPr>
            </w:pPr>
            <w:r>
              <w:rPr>
                <w:color w:val="000000"/>
              </w:rPr>
              <w:t>2021</w:t>
            </w:r>
          </w:p>
        </w:tc>
        <w:tc>
          <w:tcPr>
            <w:tcW w:w="877" w:type="dxa"/>
            <w:gridSpan w:val="2"/>
            <w:shd w:val="clear" w:color="auto" w:fill="auto"/>
          </w:tcPr>
          <w:p w:rsidRPr="007F620E" w:rsidR="00836F2F" w:rsidP="00F0294C" w:rsidRDefault="00836F2F" w14:paraId="73891412" w14:textId="5B7CED20">
            <w:pPr>
              <w:spacing w:before="60" w:after="60"/>
              <w:jc w:val="center"/>
              <w:rPr>
                <w:color w:val="000000"/>
              </w:rPr>
            </w:pPr>
            <w:r>
              <w:rPr>
                <w:color w:val="000000"/>
              </w:rPr>
              <w:t>18.75</w:t>
            </w:r>
          </w:p>
        </w:tc>
        <w:tc>
          <w:tcPr>
            <w:tcW w:w="895" w:type="dxa"/>
            <w:shd w:val="clear" w:color="auto" w:fill="auto"/>
          </w:tcPr>
          <w:p w:rsidRPr="007F620E" w:rsidR="00836F2F" w:rsidP="005177A7" w:rsidRDefault="005177A7" w14:paraId="6CD3FA56" w14:textId="66C5E0F3">
            <w:pPr>
              <w:spacing w:before="60" w:after="60"/>
              <w:jc w:val="right"/>
              <w:rPr>
                <w:color w:val="000000"/>
              </w:rPr>
            </w:pPr>
            <w:r>
              <w:rPr>
                <w:color w:val="000000"/>
              </w:rPr>
              <w:t>$</w:t>
            </w:r>
            <w:r w:rsidR="00836F2F">
              <w:rPr>
                <w:color w:val="000000"/>
              </w:rPr>
              <w:t>300</w:t>
            </w:r>
          </w:p>
        </w:tc>
        <w:tc>
          <w:tcPr>
            <w:tcW w:w="1710" w:type="dxa"/>
            <w:gridSpan w:val="2"/>
            <w:tcBorders>
              <w:right w:val="single" w:color="auto" w:sz="4" w:space="0"/>
            </w:tcBorders>
            <w:shd w:val="clear" w:color="auto" w:fill="auto"/>
          </w:tcPr>
          <w:p w:rsidRPr="007F620E" w:rsidR="00836F2F" w:rsidP="00836F2F" w:rsidRDefault="00836F2F" w14:paraId="1B37A291" w14:textId="7B3A6B7B">
            <w:pPr>
              <w:spacing w:before="60" w:after="60"/>
              <w:rPr>
                <w:color w:val="000000"/>
              </w:rPr>
            </w:pPr>
            <w:r w:rsidRPr="00F0294C">
              <w:rPr>
                <w:i/>
                <w:iCs/>
                <w:color w:val="000000"/>
              </w:rPr>
              <w:t>See</w:t>
            </w:r>
            <w:r w:rsidRPr="00A56A1B">
              <w:rPr>
                <w:color w:val="000000"/>
              </w:rPr>
              <w:t xml:space="preserve"> comment 3</w:t>
            </w:r>
          </w:p>
        </w:tc>
        <w:tc>
          <w:tcPr>
            <w:tcW w:w="1108"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836F2F" w:rsidP="00836F2F" w:rsidRDefault="00F0294C" w14:paraId="406448C0" w14:textId="7F997154">
            <w:pPr>
              <w:spacing w:before="60" w:after="60"/>
              <w:jc w:val="right"/>
              <w:rPr>
                <w:color w:val="000000"/>
              </w:rPr>
            </w:pPr>
            <w:r>
              <w:rPr>
                <w:color w:val="000000"/>
              </w:rPr>
              <w:t>$</w:t>
            </w:r>
            <w:r w:rsidR="00836F2F">
              <w:rPr>
                <w:color w:val="000000"/>
              </w:rPr>
              <w:t>5,625</w:t>
            </w:r>
          </w:p>
        </w:tc>
        <w:tc>
          <w:tcPr>
            <w:tcW w:w="1142" w:type="dxa"/>
            <w:tcBorders>
              <w:left w:val="single" w:color="auto" w:sz="4" w:space="0"/>
            </w:tcBorders>
            <w:shd w:val="clear" w:color="auto" w:fill="auto"/>
          </w:tcPr>
          <w:p w:rsidRPr="007F620E" w:rsidR="00836F2F" w:rsidP="00F0294C" w:rsidRDefault="00836F2F" w14:paraId="6247D0CE" w14:textId="7CAF3B65">
            <w:pPr>
              <w:spacing w:before="60" w:after="60"/>
              <w:jc w:val="center"/>
              <w:rPr>
                <w:color w:val="000000"/>
              </w:rPr>
            </w:pPr>
            <w:r>
              <w:rPr>
                <w:color w:val="000000"/>
              </w:rPr>
              <w:t>17.50</w:t>
            </w:r>
            <w:r w:rsidR="00092F77">
              <w:rPr>
                <w:color w:val="000000"/>
              </w:rPr>
              <w:t xml:space="preserve"> [3]</w:t>
            </w:r>
          </w:p>
        </w:tc>
        <w:tc>
          <w:tcPr>
            <w:tcW w:w="1260" w:type="dxa"/>
            <w:shd w:val="clear" w:color="auto" w:fill="auto"/>
          </w:tcPr>
          <w:p w:rsidRPr="007F620E" w:rsidR="00836F2F" w:rsidP="005177A7" w:rsidRDefault="00836F2F" w14:paraId="78224D9E" w14:textId="161D132B">
            <w:pPr>
              <w:spacing w:before="60" w:after="60"/>
              <w:jc w:val="right"/>
              <w:rPr>
                <w:color w:val="000000"/>
              </w:rPr>
            </w:pPr>
            <w:r>
              <w:rPr>
                <w:color w:val="000000"/>
              </w:rPr>
              <w:t>280[6]</w:t>
            </w:r>
          </w:p>
        </w:tc>
        <w:tc>
          <w:tcPr>
            <w:tcW w:w="1351" w:type="dxa"/>
            <w:shd w:val="clear" w:color="auto" w:fill="auto"/>
          </w:tcPr>
          <w:p w:rsidRPr="007F620E" w:rsidR="00836F2F" w:rsidP="00836F2F" w:rsidRDefault="00836F2F" w14:paraId="57089DFC" w14:textId="2FF588D3">
            <w:pPr>
              <w:spacing w:before="60" w:after="60"/>
              <w:jc w:val="right"/>
              <w:rPr>
                <w:color w:val="000000"/>
              </w:rPr>
            </w:pPr>
            <w:r w:rsidRPr="003E2D1A">
              <w:t xml:space="preserve"> $4,900.00 </w:t>
            </w:r>
          </w:p>
        </w:tc>
      </w:tr>
      <w:tr w:rsidRPr="007F620E" w:rsidR="00836F2F" w:rsidTr="005177A7" w14:paraId="7769240F" w14:textId="77777777">
        <w:trPr>
          <w:jc w:val="center"/>
        </w:trPr>
        <w:tc>
          <w:tcPr>
            <w:tcW w:w="1319" w:type="dxa"/>
            <w:shd w:val="clear" w:color="auto" w:fill="auto"/>
          </w:tcPr>
          <w:p w:rsidR="00836F2F" w:rsidP="00836F2F" w:rsidRDefault="00836F2F" w14:paraId="61AD5A08" w14:textId="70C2F9BC">
            <w:pPr>
              <w:spacing w:before="60" w:after="60"/>
              <w:rPr>
                <w:color w:val="000000"/>
              </w:rPr>
            </w:pPr>
            <w:r w:rsidRPr="004C2276">
              <w:rPr>
                <w:color w:val="000000"/>
                <w:sz w:val="23"/>
                <w:szCs w:val="23"/>
              </w:rPr>
              <w:t xml:space="preserve">M. </w:t>
            </w:r>
            <w:proofErr w:type="spellStart"/>
            <w:r w:rsidRPr="004C2276">
              <w:rPr>
                <w:color w:val="000000"/>
                <w:sz w:val="23"/>
                <w:szCs w:val="23"/>
              </w:rPr>
              <w:t>Chiacos</w:t>
            </w:r>
            <w:proofErr w:type="spellEnd"/>
            <w:r>
              <w:rPr>
                <w:color w:val="000000"/>
              </w:rPr>
              <w:t xml:space="preserve"> </w:t>
            </w:r>
          </w:p>
        </w:tc>
        <w:tc>
          <w:tcPr>
            <w:tcW w:w="774" w:type="dxa"/>
            <w:shd w:val="clear" w:color="auto" w:fill="auto"/>
          </w:tcPr>
          <w:p w:rsidR="00836F2F" w:rsidP="00F0294C" w:rsidRDefault="00836F2F" w14:paraId="5263D8D2" w14:textId="5B42A65A">
            <w:pPr>
              <w:spacing w:before="60" w:after="60"/>
              <w:jc w:val="center"/>
              <w:rPr>
                <w:color w:val="000000"/>
              </w:rPr>
            </w:pPr>
            <w:r>
              <w:rPr>
                <w:color w:val="000000"/>
              </w:rPr>
              <w:t>2022</w:t>
            </w:r>
          </w:p>
        </w:tc>
        <w:tc>
          <w:tcPr>
            <w:tcW w:w="877" w:type="dxa"/>
            <w:gridSpan w:val="2"/>
            <w:shd w:val="clear" w:color="auto" w:fill="auto"/>
          </w:tcPr>
          <w:p w:rsidR="00836F2F" w:rsidP="00F0294C" w:rsidRDefault="00836F2F" w14:paraId="5B81CA0D" w14:textId="2DE9BFB0">
            <w:pPr>
              <w:spacing w:before="60" w:after="60"/>
              <w:jc w:val="center"/>
              <w:rPr>
                <w:color w:val="000000"/>
              </w:rPr>
            </w:pPr>
            <w:r>
              <w:rPr>
                <w:color w:val="000000"/>
              </w:rPr>
              <w:t>52.75</w:t>
            </w:r>
          </w:p>
        </w:tc>
        <w:tc>
          <w:tcPr>
            <w:tcW w:w="895" w:type="dxa"/>
            <w:shd w:val="clear" w:color="auto" w:fill="auto"/>
          </w:tcPr>
          <w:p w:rsidRPr="007B000A" w:rsidR="00836F2F" w:rsidP="005177A7" w:rsidRDefault="005177A7" w14:paraId="1D3145CB" w14:textId="5053BBDE">
            <w:pPr>
              <w:spacing w:before="60" w:after="60"/>
              <w:jc w:val="right"/>
              <w:rPr>
                <w:color w:val="000000"/>
              </w:rPr>
            </w:pPr>
            <w:r>
              <w:rPr>
                <w:color w:val="000000"/>
              </w:rPr>
              <w:t>$</w:t>
            </w:r>
            <w:r w:rsidR="00836F2F">
              <w:rPr>
                <w:color w:val="000000"/>
              </w:rPr>
              <w:t>310</w:t>
            </w:r>
          </w:p>
        </w:tc>
        <w:tc>
          <w:tcPr>
            <w:tcW w:w="1710" w:type="dxa"/>
            <w:gridSpan w:val="2"/>
            <w:tcBorders>
              <w:right w:val="single" w:color="auto" w:sz="4" w:space="0"/>
            </w:tcBorders>
            <w:shd w:val="clear" w:color="auto" w:fill="auto"/>
          </w:tcPr>
          <w:p w:rsidR="00836F2F" w:rsidP="00836F2F" w:rsidRDefault="00836F2F" w14:paraId="064F33E6" w14:textId="67F33735">
            <w:pPr>
              <w:spacing w:before="60" w:after="60"/>
              <w:rPr>
                <w:color w:val="000000"/>
              </w:rPr>
            </w:pPr>
            <w:r w:rsidRPr="00F0294C">
              <w:rPr>
                <w:i/>
                <w:iCs/>
                <w:color w:val="000000"/>
              </w:rPr>
              <w:t>See</w:t>
            </w:r>
            <w:r w:rsidRPr="00A56A1B">
              <w:rPr>
                <w:color w:val="000000"/>
              </w:rPr>
              <w:t xml:space="preserve"> comment 3</w:t>
            </w:r>
          </w:p>
        </w:tc>
        <w:tc>
          <w:tcPr>
            <w:tcW w:w="1108" w:type="dxa"/>
            <w:gridSpan w:val="2"/>
            <w:tcBorders>
              <w:top w:val="single" w:color="auto" w:sz="4" w:space="0"/>
              <w:left w:val="single" w:color="auto" w:sz="4" w:space="0"/>
              <w:bottom w:val="single" w:color="auto" w:sz="4" w:space="0"/>
              <w:right w:val="single" w:color="auto" w:sz="24" w:space="0"/>
            </w:tcBorders>
            <w:shd w:val="clear" w:color="auto" w:fill="auto"/>
          </w:tcPr>
          <w:p w:rsidR="00836F2F" w:rsidP="00836F2F" w:rsidRDefault="00F0294C" w14:paraId="2786A60B" w14:textId="3C9DAD16">
            <w:pPr>
              <w:spacing w:before="60" w:after="60"/>
              <w:jc w:val="right"/>
            </w:pPr>
            <w:r>
              <w:rPr>
                <w:color w:val="000000"/>
              </w:rPr>
              <w:t>$</w:t>
            </w:r>
            <w:r w:rsidR="00836F2F">
              <w:rPr>
                <w:color w:val="000000"/>
              </w:rPr>
              <w:t>16,353</w:t>
            </w:r>
          </w:p>
        </w:tc>
        <w:tc>
          <w:tcPr>
            <w:tcW w:w="1142" w:type="dxa"/>
            <w:tcBorders>
              <w:left w:val="single" w:color="auto" w:sz="4" w:space="0"/>
            </w:tcBorders>
            <w:shd w:val="clear" w:color="auto" w:fill="auto"/>
          </w:tcPr>
          <w:p w:rsidRPr="007F620E" w:rsidR="00836F2F" w:rsidP="00F0294C" w:rsidRDefault="00836F2F" w14:paraId="739CC344" w14:textId="617F83DB">
            <w:pPr>
              <w:spacing w:before="60" w:after="60"/>
              <w:jc w:val="center"/>
              <w:rPr>
                <w:color w:val="000000"/>
              </w:rPr>
            </w:pPr>
            <w:r>
              <w:rPr>
                <w:color w:val="000000"/>
              </w:rPr>
              <w:t>28.00 [3], [7]</w:t>
            </w:r>
          </w:p>
        </w:tc>
        <w:tc>
          <w:tcPr>
            <w:tcW w:w="1260" w:type="dxa"/>
            <w:shd w:val="clear" w:color="auto" w:fill="auto"/>
          </w:tcPr>
          <w:p w:rsidRPr="007F620E" w:rsidR="00836F2F" w:rsidP="005177A7" w:rsidRDefault="00836F2F" w14:paraId="5FFC0EA6" w14:textId="6D26FBDA">
            <w:pPr>
              <w:spacing w:before="60" w:after="60"/>
              <w:jc w:val="right"/>
              <w:rPr>
                <w:color w:val="000000"/>
              </w:rPr>
            </w:pPr>
            <w:r>
              <w:rPr>
                <w:color w:val="000000"/>
              </w:rPr>
              <w:t>290[6]</w:t>
            </w:r>
          </w:p>
        </w:tc>
        <w:tc>
          <w:tcPr>
            <w:tcW w:w="1351" w:type="dxa"/>
            <w:shd w:val="clear" w:color="auto" w:fill="auto"/>
          </w:tcPr>
          <w:p w:rsidRPr="007F620E" w:rsidR="00836F2F" w:rsidP="00836F2F" w:rsidRDefault="00836F2F" w14:paraId="63CAD563" w14:textId="798EC105">
            <w:pPr>
              <w:spacing w:before="60" w:after="60"/>
              <w:jc w:val="right"/>
              <w:rPr>
                <w:color w:val="000000"/>
              </w:rPr>
            </w:pPr>
            <w:r w:rsidRPr="003E2D1A">
              <w:t xml:space="preserve"> $8,120.00 </w:t>
            </w:r>
          </w:p>
        </w:tc>
      </w:tr>
      <w:tr w:rsidRPr="007F620E" w:rsidR="00372C24" w:rsidTr="00C635D5" w14:paraId="1B237C11" w14:textId="77777777">
        <w:trPr>
          <w:jc w:val="center"/>
        </w:trPr>
        <w:tc>
          <w:tcPr>
            <w:tcW w:w="6683" w:type="dxa"/>
            <w:gridSpan w:val="9"/>
            <w:tcBorders>
              <w:bottom w:val="single" w:color="auto" w:sz="4" w:space="0"/>
              <w:right w:val="single" w:color="auto" w:sz="24" w:space="0"/>
            </w:tcBorders>
            <w:shd w:val="clear" w:color="auto" w:fill="auto"/>
            <w:vAlign w:val="bottom"/>
          </w:tcPr>
          <w:p w:rsidRPr="00374FD1" w:rsidR="00372C24" w:rsidP="00372C24" w:rsidRDefault="00372C24" w14:paraId="2ECB6744" w14:textId="69AF28A2">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7B6C25">
              <w:rPr>
                <w:b/>
                <w:i/>
                <w:color w:val="000000"/>
              </w:rPr>
              <w:t>1</w:t>
            </w:r>
            <w:r w:rsidR="00157891">
              <w:rPr>
                <w:b/>
                <w:i/>
                <w:color w:val="000000"/>
              </w:rPr>
              <w:t>03</w:t>
            </w:r>
            <w:r>
              <w:rPr>
                <w:b/>
                <w:i/>
                <w:color w:val="000000"/>
              </w:rPr>
              <w:t>,</w:t>
            </w:r>
            <w:r w:rsidR="00157891">
              <w:rPr>
                <w:b/>
                <w:i/>
                <w:color w:val="000000"/>
              </w:rPr>
              <w:t>78</w:t>
            </w:r>
            <w:r w:rsidR="007B6C25">
              <w:rPr>
                <w:b/>
                <w:i/>
                <w:color w:val="000000"/>
              </w:rPr>
              <w:t>8</w:t>
            </w:r>
          </w:p>
        </w:tc>
        <w:tc>
          <w:tcPr>
            <w:tcW w:w="3753" w:type="dxa"/>
            <w:gridSpan w:val="3"/>
            <w:tcBorders>
              <w:left w:val="single" w:color="auto" w:sz="24" w:space="0"/>
              <w:bottom w:val="single" w:color="auto" w:sz="4" w:space="0"/>
            </w:tcBorders>
            <w:shd w:val="clear" w:color="auto" w:fill="auto"/>
            <w:vAlign w:val="bottom"/>
          </w:tcPr>
          <w:p w:rsidRPr="007F620E" w:rsidR="00372C24" w:rsidP="00372C24" w:rsidRDefault="00372C24" w14:paraId="4C4556E5" w14:textId="6A7BFF60">
            <w:pPr>
              <w:tabs>
                <w:tab w:val="left" w:pos="957"/>
              </w:tabs>
              <w:spacing w:before="60" w:after="60"/>
              <w:ind w:right="162"/>
              <w:jc w:val="right"/>
              <w:rPr>
                <w:color w:val="000000"/>
              </w:rPr>
            </w:pPr>
            <w:r w:rsidRPr="007F620E">
              <w:rPr>
                <w:b/>
                <w:i/>
                <w:color w:val="000000"/>
              </w:rPr>
              <w:t xml:space="preserve">Subtotal: </w:t>
            </w:r>
            <w:r w:rsidRPr="00836F2F" w:rsidR="00836F2F">
              <w:rPr>
                <w:b/>
                <w:color w:val="000000"/>
              </w:rPr>
              <w:t>$44,578.65</w:t>
            </w:r>
          </w:p>
        </w:tc>
      </w:tr>
      <w:tr w:rsidRPr="007F620E" w:rsidR="00372C24" w:rsidTr="00C635D5" w14:paraId="4F8FAF05" w14:textId="77777777">
        <w:trPr>
          <w:jc w:val="center"/>
        </w:trPr>
        <w:tc>
          <w:tcPr>
            <w:tcW w:w="10436" w:type="dxa"/>
            <w:gridSpan w:val="12"/>
            <w:tcBorders>
              <w:top w:val="single" w:color="auto" w:sz="4" w:space="0"/>
              <w:left w:val="single" w:color="auto" w:sz="4" w:space="0"/>
              <w:bottom w:val="single" w:color="auto" w:sz="4" w:space="0"/>
              <w:right w:val="single" w:color="auto" w:sz="4" w:space="0"/>
            </w:tcBorders>
            <w:shd w:val="clear" w:color="auto" w:fill="E6E6E6"/>
          </w:tcPr>
          <w:p w:rsidRPr="007F620E" w:rsidR="00372C24" w:rsidP="00372C24" w:rsidRDefault="00372C24" w14:paraId="41FE304C" w14:textId="77777777">
            <w:pPr>
              <w:spacing w:before="60" w:after="60"/>
              <w:jc w:val="center"/>
              <w:rPr>
                <w:color w:val="000000"/>
              </w:rPr>
            </w:pPr>
            <w:r w:rsidRPr="007F620E">
              <w:rPr>
                <w:b/>
                <w:color w:val="000000"/>
              </w:rPr>
              <w:t xml:space="preserve">INTERVENOR COMPENSATION CLAIM PREPARATION </w:t>
            </w:r>
            <w:r w:rsidRPr="007F620E">
              <w:rPr>
                <w:b/>
                <w:smallCaps/>
                <w:color w:val="000000"/>
              </w:rPr>
              <w:t xml:space="preserve"> **</w:t>
            </w:r>
          </w:p>
        </w:tc>
      </w:tr>
      <w:tr w:rsidRPr="00260518" w:rsidR="00372C24" w:rsidTr="005177A7" w14:paraId="48B3E535" w14:textId="77777777">
        <w:trPr>
          <w:jc w:val="center"/>
        </w:trPr>
        <w:tc>
          <w:tcPr>
            <w:tcW w:w="1319" w:type="dxa"/>
            <w:tcBorders>
              <w:top w:val="single" w:color="auto" w:sz="4" w:space="0"/>
              <w:bottom w:val="single" w:color="auto" w:sz="4" w:space="0"/>
            </w:tcBorders>
            <w:shd w:val="clear" w:color="auto" w:fill="auto"/>
          </w:tcPr>
          <w:p w:rsidRPr="00260518" w:rsidR="00372C24" w:rsidP="00372C24" w:rsidRDefault="00372C24" w14:paraId="563A43BB" w14:textId="77777777">
            <w:pPr>
              <w:spacing w:before="60" w:after="60"/>
              <w:jc w:val="center"/>
              <w:rPr>
                <w:b/>
                <w:color w:val="000000"/>
                <w:sz w:val="22"/>
                <w:szCs w:val="22"/>
              </w:rPr>
            </w:pPr>
            <w:r w:rsidRPr="00260518">
              <w:rPr>
                <w:b/>
                <w:color w:val="000000"/>
                <w:sz w:val="22"/>
                <w:szCs w:val="22"/>
              </w:rPr>
              <w:t>Item</w:t>
            </w:r>
          </w:p>
        </w:tc>
        <w:tc>
          <w:tcPr>
            <w:tcW w:w="774" w:type="dxa"/>
            <w:tcBorders>
              <w:top w:val="single" w:color="auto" w:sz="4" w:space="0"/>
              <w:bottom w:val="single" w:color="auto" w:sz="4" w:space="0"/>
            </w:tcBorders>
            <w:shd w:val="clear" w:color="auto" w:fill="auto"/>
          </w:tcPr>
          <w:p w:rsidRPr="00260518" w:rsidR="00372C24" w:rsidP="00372C24" w:rsidRDefault="00372C24" w14:paraId="144552E0" w14:textId="77777777">
            <w:pPr>
              <w:spacing w:before="60" w:after="60"/>
              <w:jc w:val="center"/>
              <w:rPr>
                <w:b/>
                <w:color w:val="000000"/>
                <w:sz w:val="22"/>
                <w:szCs w:val="22"/>
              </w:rPr>
            </w:pPr>
            <w:r w:rsidRPr="00260518">
              <w:rPr>
                <w:b/>
                <w:color w:val="000000"/>
                <w:sz w:val="22"/>
                <w:szCs w:val="22"/>
              </w:rPr>
              <w:t>Year</w:t>
            </w:r>
          </w:p>
        </w:tc>
        <w:tc>
          <w:tcPr>
            <w:tcW w:w="877" w:type="dxa"/>
            <w:gridSpan w:val="2"/>
            <w:tcBorders>
              <w:top w:val="single" w:color="auto" w:sz="4" w:space="0"/>
              <w:bottom w:val="single" w:color="auto" w:sz="4" w:space="0"/>
            </w:tcBorders>
            <w:shd w:val="clear" w:color="auto" w:fill="auto"/>
          </w:tcPr>
          <w:p w:rsidRPr="00260518" w:rsidR="00372C24" w:rsidP="00372C24" w:rsidRDefault="00372C24" w14:paraId="42890B1B" w14:textId="77777777">
            <w:pPr>
              <w:spacing w:before="60" w:after="60"/>
              <w:jc w:val="center"/>
              <w:rPr>
                <w:b/>
                <w:color w:val="000000"/>
                <w:sz w:val="22"/>
                <w:szCs w:val="22"/>
              </w:rPr>
            </w:pPr>
            <w:r w:rsidRPr="00260518">
              <w:rPr>
                <w:b/>
                <w:color w:val="000000"/>
                <w:sz w:val="22"/>
                <w:szCs w:val="22"/>
              </w:rPr>
              <w:t>Hours</w:t>
            </w:r>
          </w:p>
        </w:tc>
        <w:tc>
          <w:tcPr>
            <w:tcW w:w="895" w:type="dxa"/>
            <w:tcBorders>
              <w:top w:val="single" w:color="auto" w:sz="4" w:space="0"/>
              <w:bottom w:val="single" w:color="auto" w:sz="4" w:space="0"/>
            </w:tcBorders>
            <w:shd w:val="clear" w:color="auto" w:fill="auto"/>
          </w:tcPr>
          <w:p w:rsidRPr="00260518" w:rsidR="00372C24" w:rsidP="00372C24" w:rsidRDefault="00372C24" w14:paraId="1E7BD956" w14:textId="77777777">
            <w:pPr>
              <w:spacing w:before="60" w:after="60"/>
              <w:jc w:val="center"/>
              <w:rPr>
                <w:b/>
                <w:color w:val="000000"/>
                <w:sz w:val="22"/>
                <w:szCs w:val="22"/>
              </w:rPr>
            </w:pPr>
            <w:r w:rsidRPr="00260518">
              <w:rPr>
                <w:b/>
                <w:color w:val="000000"/>
                <w:sz w:val="22"/>
                <w:szCs w:val="22"/>
              </w:rPr>
              <w:t xml:space="preserve">Rate $ </w:t>
            </w:r>
          </w:p>
        </w:tc>
        <w:tc>
          <w:tcPr>
            <w:tcW w:w="1710" w:type="dxa"/>
            <w:gridSpan w:val="2"/>
            <w:tcBorders>
              <w:top w:val="single" w:color="auto" w:sz="4" w:space="0"/>
              <w:bottom w:val="single" w:color="auto" w:sz="4" w:space="0"/>
              <w:right w:val="single" w:color="auto" w:sz="4" w:space="0"/>
            </w:tcBorders>
            <w:shd w:val="clear" w:color="auto" w:fill="auto"/>
          </w:tcPr>
          <w:p w:rsidRPr="00260518" w:rsidR="00372C24" w:rsidP="00372C24" w:rsidRDefault="00372C24" w14:paraId="104D7982" w14:textId="77777777">
            <w:pPr>
              <w:spacing w:before="60" w:after="60"/>
              <w:jc w:val="center"/>
              <w:rPr>
                <w:b/>
                <w:color w:val="000000"/>
                <w:sz w:val="22"/>
                <w:szCs w:val="22"/>
              </w:rPr>
            </w:pPr>
            <w:r w:rsidRPr="00260518">
              <w:rPr>
                <w:b/>
                <w:color w:val="000000"/>
                <w:sz w:val="22"/>
                <w:szCs w:val="22"/>
              </w:rPr>
              <w:t>Basis for Rate*</w:t>
            </w:r>
          </w:p>
        </w:tc>
        <w:tc>
          <w:tcPr>
            <w:tcW w:w="1108" w:type="dxa"/>
            <w:gridSpan w:val="2"/>
            <w:tcBorders>
              <w:top w:val="single" w:color="auto" w:sz="4" w:space="0"/>
              <w:left w:val="single" w:color="auto" w:sz="4" w:space="0"/>
              <w:bottom w:val="single" w:color="auto" w:sz="4" w:space="0"/>
              <w:right w:val="single" w:color="auto" w:sz="24" w:space="0"/>
            </w:tcBorders>
            <w:shd w:val="clear" w:color="auto" w:fill="auto"/>
          </w:tcPr>
          <w:p w:rsidRPr="00260518" w:rsidR="00372C24" w:rsidP="00372C24" w:rsidRDefault="00372C24" w14:paraId="073B2BB9" w14:textId="77777777">
            <w:pPr>
              <w:spacing w:before="60" w:after="60"/>
              <w:jc w:val="center"/>
              <w:rPr>
                <w:b/>
                <w:color w:val="000000"/>
                <w:sz w:val="22"/>
                <w:szCs w:val="22"/>
              </w:rPr>
            </w:pPr>
            <w:r w:rsidRPr="00260518">
              <w:rPr>
                <w:b/>
                <w:color w:val="000000"/>
                <w:sz w:val="22"/>
                <w:szCs w:val="22"/>
              </w:rPr>
              <w:t>Total $</w:t>
            </w:r>
          </w:p>
        </w:tc>
        <w:tc>
          <w:tcPr>
            <w:tcW w:w="1142" w:type="dxa"/>
            <w:tcBorders>
              <w:top w:val="single" w:color="auto" w:sz="4" w:space="0"/>
              <w:left w:val="single" w:color="auto" w:sz="4" w:space="0"/>
            </w:tcBorders>
            <w:shd w:val="clear" w:color="auto" w:fill="auto"/>
          </w:tcPr>
          <w:p w:rsidRPr="00260518" w:rsidR="00372C24" w:rsidP="00372C24" w:rsidRDefault="00372C24" w14:paraId="0409143B" w14:textId="77777777">
            <w:pPr>
              <w:spacing w:before="60" w:after="60"/>
              <w:jc w:val="center"/>
              <w:rPr>
                <w:b/>
                <w:color w:val="000000"/>
                <w:sz w:val="22"/>
                <w:szCs w:val="22"/>
              </w:rPr>
            </w:pPr>
            <w:r w:rsidRPr="00260518">
              <w:rPr>
                <w:b/>
                <w:color w:val="000000"/>
                <w:sz w:val="22"/>
                <w:szCs w:val="22"/>
              </w:rPr>
              <w:t>Hours</w:t>
            </w:r>
          </w:p>
        </w:tc>
        <w:tc>
          <w:tcPr>
            <w:tcW w:w="1260" w:type="dxa"/>
            <w:tcBorders>
              <w:top w:val="single" w:color="auto" w:sz="4" w:space="0"/>
            </w:tcBorders>
            <w:shd w:val="clear" w:color="auto" w:fill="auto"/>
          </w:tcPr>
          <w:p w:rsidRPr="00260518" w:rsidR="00372C24" w:rsidP="00372C24" w:rsidRDefault="00372C24" w14:paraId="6B59BB80" w14:textId="77777777">
            <w:pPr>
              <w:spacing w:before="60" w:after="60"/>
              <w:jc w:val="center"/>
              <w:rPr>
                <w:b/>
                <w:color w:val="000000"/>
                <w:sz w:val="22"/>
                <w:szCs w:val="22"/>
              </w:rPr>
            </w:pPr>
            <w:r w:rsidRPr="00260518">
              <w:rPr>
                <w:b/>
                <w:color w:val="000000"/>
                <w:sz w:val="22"/>
                <w:szCs w:val="22"/>
              </w:rPr>
              <w:t xml:space="preserve">Rate </w:t>
            </w:r>
          </w:p>
        </w:tc>
        <w:tc>
          <w:tcPr>
            <w:tcW w:w="1351" w:type="dxa"/>
            <w:tcBorders>
              <w:top w:val="single" w:color="auto" w:sz="4" w:space="0"/>
            </w:tcBorders>
            <w:shd w:val="clear" w:color="auto" w:fill="auto"/>
          </w:tcPr>
          <w:p w:rsidRPr="00260518" w:rsidR="00372C24" w:rsidP="00372C24" w:rsidRDefault="00372C24" w14:paraId="6C7B13CF" w14:textId="13825A09">
            <w:pPr>
              <w:spacing w:before="60" w:after="60"/>
              <w:jc w:val="center"/>
              <w:rPr>
                <w:b/>
                <w:color w:val="000000"/>
                <w:sz w:val="22"/>
                <w:szCs w:val="22"/>
              </w:rPr>
            </w:pPr>
            <w:r w:rsidRPr="00260518">
              <w:rPr>
                <w:b/>
                <w:color w:val="000000"/>
                <w:sz w:val="22"/>
                <w:szCs w:val="22"/>
              </w:rPr>
              <w:t xml:space="preserve">Total </w:t>
            </w:r>
          </w:p>
        </w:tc>
      </w:tr>
      <w:tr w:rsidRPr="007F620E" w:rsidR="00372C24" w:rsidTr="005177A7" w14:paraId="25086E67" w14:textId="77777777">
        <w:trPr>
          <w:jc w:val="center"/>
        </w:trPr>
        <w:tc>
          <w:tcPr>
            <w:tcW w:w="1319" w:type="dxa"/>
            <w:shd w:val="clear" w:color="auto" w:fill="auto"/>
          </w:tcPr>
          <w:p w:rsidRPr="007F620E" w:rsidR="00372C24" w:rsidP="00372C24" w:rsidRDefault="00372C24" w14:paraId="386D0995" w14:textId="1FD3A118">
            <w:pPr>
              <w:spacing w:before="60" w:after="60"/>
              <w:rPr>
                <w:color w:val="000000"/>
              </w:rPr>
            </w:pPr>
            <w:r>
              <w:rPr>
                <w:color w:val="000000"/>
              </w:rPr>
              <w:t>G. Morris</w:t>
            </w:r>
          </w:p>
        </w:tc>
        <w:tc>
          <w:tcPr>
            <w:tcW w:w="774" w:type="dxa"/>
            <w:shd w:val="clear" w:color="auto" w:fill="auto"/>
          </w:tcPr>
          <w:p w:rsidRPr="007F620E" w:rsidR="00372C24" w:rsidP="00F0294C" w:rsidRDefault="00372C24" w14:paraId="4A155F1D" w14:textId="3F67EE91">
            <w:pPr>
              <w:spacing w:before="60" w:after="60"/>
              <w:jc w:val="center"/>
              <w:rPr>
                <w:color w:val="000000"/>
              </w:rPr>
            </w:pPr>
            <w:r>
              <w:rPr>
                <w:color w:val="000000"/>
              </w:rPr>
              <w:t>2022</w:t>
            </w:r>
            <w:r w:rsidR="00DC12E5">
              <w:rPr>
                <w:color w:val="000000"/>
              </w:rPr>
              <w:t>[</w:t>
            </w:r>
            <w:r w:rsidR="0072012A">
              <w:rPr>
                <w:color w:val="000000"/>
              </w:rPr>
              <w:t>8</w:t>
            </w:r>
            <w:r w:rsidR="00DC12E5">
              <w:rPr>
                <w:color w:val="000000"/>
              </w:rPr>
              <w:t>]</w:t>
            </w:r>
          </w:p>
        </w:tc>
        <w:tc>
          <w:tcPr>
            <w:tcW w:w="877" w:type="dxa"/>
            <w:gridSpan w:val="2"/>
            <w:shd w:val="clear" w:color="auto" w:fill="auto"/>
          </w:tcPr>
          <w:p w:rsidRPr="007F620E" w:rsidR="00372C24" w:rsidP="00F0294C" w:rsidRDefault="00372C24" w14:paraId="30EEA80A" w14:textId="6FB35758">
            <w:pPr>
              <w:spacing w:before="60" w:after="60"/>
              <w:jc w:val="center"/>
              <w:rPr>
                <w:color w:val="000000"/>
              </w:rPr>
            </w:pPr>
            <w:r>
              <w:rPr>
                <w:color w:val="000000"/>
              </w:rPr>
              <w:t>1</w:t>
            </w:r>
            <w:r w:rsidR="00157891">
              <w:rPr>
                <w:color w:val="000000"/>
              </w:rPr>
              <w:t>6</w:t>
            </w:r>
            <w:r>
              <w:rPr>
                <w:color w:val="000000"/>
              </w:rPr>
              <w:t>.00</w:t>
            </w:r>
            <w:r w:rsidR="007C2DF3">
              <w:rPr>
                <w:color w:val="000000"/>
              </w:rPr>
              <w:t xml:space="preserve"> [</w:t>
            </w:r>
            <w:r w:rsidR="00EE24B7">
              <w:rPr>
                <w:color w:val="000000"/>
              </w:rPr>
              <w:t>8</w:t>
            </w:r>
            <w:r w:rsidR="007C2DF3">
              <w:rPr>
                <w:color w:val="000000"/>
              </w:rPr>
              <w:t>]</w:t>
            </w:r>
          </w:p>
        </w:tc>
        <w:tc>
          <w:tcPr>
            <w:tcW w:w="895" w:type="dxa"/>
            <w:shd w:val="clear" w:color="auto" w:fill="auto"/>
          </w:tcPr>
          <w:p w:rsidRPr="007F620E" w:rsidR="00372C24" w:rsidP="00372C24" w:rsidRDefault="005177A7" w14:paraId="4EB14C91" w14:textId="375B1B93">
            <w:pPr>
              <w:spacing w:before="60" w:after="60"/>
              <w:jc w:val="center"/>
              <w:rPr>
                <w:color w:val="000000"/>
              </w:rPr>
            </w:pPr>
            <w:r>
              <w:rPr>
                <w:color w:val="000000"/>
              </w:rPr>
              <w:t>$</w:t>
            </w:r>
            <w:r w:rsidR="00372C24">
              <w:rPr>
                <w:color w:val="000000"/>
              </w:rPr>
              <w:t>232.5</w:t>
            </w:r>
          </w:p>
        </w:tc>
        <w:tc>
          <w:tcPr>
            <w:tcW w:w="1710" w:type="dxa"/>
            <w:gridSpan w:val="2"/>
            <w:tcBorders>
              <w:right w:val="single" w:color="auto" w:sz="4" w:space="0"/>
            </w:tcBorders>
            <w:shd w:val="clear" w:color="auto" w:fill="auto"/>
          </w:tcPr>
          <w:p w:rsidRPr="007F620E" w:rsidR="00372C24" w:rsidP="00372C24" w:rsidRDefault="00372C24" w14:paraId="02D334B7" w14:textId="4D1E0E52">
            <w:pPr>
              <w:spacing w:before="60" w:after="60"/>
              <w:rPr>
                <w:color w:val="000000"/>
              </w:rPr>
            </w:pPr>
            <w:r>
              <w:rPr>
                <w:color w:val="000000"/>
              </w:rPr>
              <w:t>½ 2022 rate</w:t>
            </w:r>
          </w:p>
        </w:tc>
        <w:tc>
          <w:tcPr>
            <w:tcW w:w="1108" w:type="dxa"/>
            <w:gridSpan w:val="2"/>
            <w:tcBorders>
              <w:top w:val="single" w:color="auto" w:sz="4" w:space="0"/>
              <w:left w:val="single" w:color="auto" w:sz="4" w:space="0"/>
              <w:bottom w:val="single" w:color="auto" w:sz="4" w:space="0"/>
              <w:right w:val="single" w:color="auto" w:sz="24" w:space="0"/>
            </w:tcBorders>
            <w:shd w:val="clear" w:color="auto" w:fill="auto"/>
          </w:tcPr>
          <w:p w:rsidRPr="007F620E" w:rsidR="00372C24" w:rsidP="00372C24" w:rsidRDefault="005177A7" w14:paraId="7B9A0261" w14:textId="1A58B250">
            <w:pPr>
              <w:spacing w:before="60" w:after="60"/>
              <w:jc w:val="right"/>
              <w:rPr>
                <w:color w:val="000000"/>
              </w:rPr>
            </w:pPr>
            <w:r>
              <w:rPr>
                <w:color w:val="000000"/>
              </w:rPr>
              <w:t>$</w:t>
            </w:r>
            <w:r w:rsidR="00327F13">
              <w:rPr>
                <w:color w:val="000000"/>
              </w:rPr>
              <w:t>3</w:t>
            </w:r>
            <w:r w:rsidR="00372C24">
              <w:rPr>
                <w:color w:val="000000"/>
              </w:rPr>
              <w:t>,</w:t>
            </w:r>
            <w:r w:rsidR="00157891">
              <w:rPr>
                <w:color w:val="000000"/>
              </w:rPr>
              <w:t>720</w:t>
            </w:r>
          </w:p>
        </w:tc>
        <w:tc>
          <w:tcPr>
            <w:tcW w:w="1142" w:type="dxa"/>
            <w:tcBorders>
              <w:left w:val="single" w:color="auto" w:sz="4" w:space="0"/>
              <w:right w:val="single" w:color="auto" w:sz="4" w:space="0"/>
            </w:tcBorders>
            <w:shd w:val="clear" w:color="auto" w:fill="auto"/>
          </w:tcPr>
          <w:p w:rsidRPr="009B0DD2" w:rsidR="00372C24" w:rsidP="00F0294C" w:rsidRDefault="00CA4878" w14:paraId="5E5A4264" w14:textId="0BF7EC73">
            <w:pPr>
              <w:spacing w:before="60" w:after="60"/>
              <w:jc w:val="center"/>
            </w:pPr>
            <w:r>
              <w:t>12.67 [9]</w:t>
            </w:r>
          </w:p>
        </w:tc>
        <w:tc>
          <w:tcPr>
            <w:tcW w:w="1260" w:type="dxa"/>
            <w:tcBorders>
              <w:left w:val="single" w:color="auto" w:sz="4" w:space="0"/>
            </w:tcBorders>
            <w:shd w:val="clear" w:color="auto" w:fill="auto"/>
          </w:tcPr>
          <w:p w:rsidRPr="009B0DD2" w:rsidR="00372C24" w:rsidP="005177A7" w:rsidRDefault="005177A7" w14:paraId="47B1F089" w14:textId="57BD65ED">
            <w:pPr>
              <w:spacing w:before="60" w:after="60"/>
              <w:jc w:val="right"/>
            </w:pPr>
            <w:r>
              <w:t>$</w:t>
            </w:r>
            <w:r w:rsidRPr="009B0DD2" w:rsidR="0079430C">
              <w:t>2</w:t>
            </w:r>
            <w:r w:rsidRPr="009B0DD2" w:rsidR="00774458">
              <w:t>4</w:t>
            </w:r>
            <w:r w:rsidRPr="009B0DD2" w:rsidR="0079430C">
              <w:t>2.5</w:t>
            </w:r>
            <w:r w:rsidR="00C21EBC">
              <w:t>0</w:t>
            </w:r>
            <w:r w:rsidRPr="009B0DD2" w:rsidR="00774458">
              <w:t xml:space="preserve"> [</w:t>
            </w:r>
            <w:r w:rsidR="0072012A">
              <w:t>8</w:t>
            </w:r>
            <w:r w:rsidRPr="009B0DD2" w:rsidR="00774458">
              <w:t>]</w:t>
            </w:r>
          </w:p>
        </w:tc>
        <w:tc>
          <w:tcPr>
            <w:tcW w:w="1351" w:type="dxa"/>
            <w:shd w:val="clear" w:color="auto" w:fill="auto"/>
          </w:tcPr>
          <w:p w:rsidRPr="009B0DD2" w:rsidR="00372C24" w:rsidP="00836F2F" w:rsidRDefault="00836F2F" w14:paraId="10659B6D" w14:textId="54FD0F2B">
            <w:pPr>
              <w:spacing w:before="60" w:after="60"/>
              <w:jc w:val="right"/>
            </w:pPr>
            <w:r w:rsidRPr="00836F2F">
              <w:t>$3,072.48</w:t>
            </w:r>
          </w:p>
        </w:tc>
      </w:tr>
      <w:tr w:rsidRPr="007F620E" w:rsidR="00372C24" w:rsidTr="00F0294C" w14:paraId="266CEDD5" w14:textId="77777777">
        <w:trPr>
          <w:trHeight w:val="440"/>
          <w:jc w:val="center"/>
        </w:trPr>
        <w:tc>
          <w:tcPr>
            <w:tcW w:w="6683" w:type="dxa"/>
            <w:gridSpan w:val="9"/>
            <w:tcBorders>
              <w:bottom w:val="single" w:color="auto" w:sz="4" w:space="0"/>
              <w:right w:val="single" w:color="auto" w:sz="24" w:space="0"/>
            </w:tcBorders>
            <w:shd w:val="clear" w:color="auto" w:fill="auto"/>
            <w:vAlign w:val="bottom"/>
          </w:tcPr>
          <w:p w:rsidRPr="00374FD1" w:rsidR="00372C24" w:rsidP="00372C24" w:rsidRDefault="00372C24" w14:paraId="4A1F5988" w14:textId="5D6D2107">
            <w:pPr>
              <w:tabs>
                <w:tab w:val="left" w:pos="957"/>
              </w:tabs>
              <w:spacing w:before="60" w:after="60"/>
              <w:ind w:right="162"/>
              <w:jc w:val="right"/>
              <w:rPr>
                <w:b/>
                <w:i/>
                <w:color w:val="000000"/>
              </w:rPr>
            </w:pPr>
            <w:r w:rsidRPr="007F620E">
              <w:rPr>
                <w:b/>
                <w:i/>
                <w:color w:val="000000"/>
              </w:rPr>
              <w:t xml:space="preserve">Subtotal: </w:t>
            </w:r>
            <w:r w:rsidRPr="00374FD1">
              <w:rPr>
                <w:b/>
                <w:i/>
                <w:color w:val="000000"/>
              </w:rPr>
              <w:t>$</w:t>
            </w:r>
            <w:r w:rsidR="00327F13">
              <w:rPr>
                <w:b/>
                <w:i/>
                <w:color w:val="000000"/>
              </w:rPr>
              <w:t>3,</w:t>
            </w:r>
            <w:r w:rsidR="00157891">
              <w:rPr>
                <w:b/>
                <w:i/>
                <w:color w:val="000000"/>
              </w:rPr>
              <w:t>720</w:t>
            </w:r>
          </w:p>
        </w:tc>
        <w:tc>
          <w:tcPr>
            <w:tcW w:w="3753" w:type="dxa"/>
            <w:gridSpan w:val="3"/>
            <w:tcBorders>
              <w:left w:val="single" w:color="auto" w:sz="24" w:space="0"/>
              <w:bottom w:val="single" w:color="auto" w:sz="4" w:space="0"/>
            </w:tcBorders>
            <w:shd w:val="clear" w:color="auto" w:fill="auto"/>
            <w:vAlign w:val="bottom"/>
          </w:tcPr>
          <w:p w:rsidRPr="00374FD1" w:rsidR="00372C24" w:rsidP="00372C24" w:rsidRDefault="00372C24" w14:paraId="2FBAA587" w14:textId="7FEA8F86">
            <w:pPr>
              <w:tabs>
                <w:tab w:val="left" w:pos="957"/>
              </w:tabs>
              <w:spacing w:before="60" w:after="60"/>
              <w:ind w:right="162"/>
              <w:jc w:val="right"/>
              <w:rPr>
                <w:b/>
                <w:i/>
                <w:color w:val="000000"/>
              </w:rPr>
            </w:pPr>
            <w:r w:rsidRPr="007F620E">
              <w:rPr>
                <w:b/>
                <w:i/>
                <w:color w:val="000000"/>
              </w:rPr>
              <w:t xml:space="preserve">Subtotal: </w:t>
            </w:r>
            <w:r w:rsidRPr="00836F2F" w:rsidR="00836F2F">
              <w:rPr>
                <w:b/>
                <w:i/>
                <w:color w:val="000000"/>
              </w:rPr>
              <w:t>$3,072.48</w:t>
            </w:r>
          </w:p>
        </w:tc>
      </w:tr>
      <w:tr w:rsidRPr="007F620E" w:rsidR="00372C24" w:rsidTr="00C635D5" w14:paraId="06E7371A" w14:textId="77777777">
        <w:trPr>
          <w:jc w:val="center"/>
        </w:trPr>
        <w:tc>
          <w:tcPr>
            <w:tcW w:w="6683" w:type="dxa"/>
            <w:gridSpan w:val="9"/>
            <w:tcBorders>
              <w:top w:val="single" w:color="auto" w:sz="4" w:space="0"/>
              <w:bottom w:val="single" w:color="auto" w:sz="4" w:space="0"/>
              <w:right w:val="single" w:color="auto" w:sz="24" w:space="0"/>
            </w:tcBorders>
            <w:shd w:val="clear" w:color="auto" w:fill="E6E6E6"/>
            <w:vAlign w:val="bottom"/>
          </w:tcPr>
          <w:p w:rsidRPr="00FE3BAE" w:rsidR="00372C24" w:rsidP="00372C24" w:rsidRDefault="00372C24" w14:paraId="11B3B704" w14:textId="5C96B137">
            <w:pPr>
              <w:tabs>
                <w:tab w:val="left" w:pos="957"/>
              </w:tabs>
              <w:spacing w:before="60" w:after="60"/>
              <w:ind w:right="72"/>
              <w:jc w:val="right"/>
              <w:rPr>
                <w:b/>
                <w:color w:val="000000"/>
              </w:rPr>
            </w:pPr>
            <w:r w:rsidRPr="00374FD1">
              <w:rPr>
                <w:b/>
                <w:i/>
                <w:color w:val="000000"/>
              </w:rPr>
              <w:t>TOTAL REQUEST: $</w:t>
            </w:r>
            <w:r w:rsidR="00157891">
              <w:rPr>
                <w:b/>
                <w:i/>
                <w:color w:val="000000"/>
              </w:rPr>
              <w:t>107,508</w:t>
            </w:r>
          </w:p>
        </w:tc>
        <w:tc>
          <w:tcPr>
            <w:tcW w:w="3753" w:type="dxa"/>
            <w:gridSpan w:val="3"/>
            <w:tcBorders>
              <w:left w:val="single" w:color="auto" w:sz="24" w:space="0"/>
            </w:tcBorders>
            <w:shd w:val="clear" w:color="auto" w:fill="E6E6E6"/>
            <w:vAlign w:val="bottom"/>
          </w:tcPr>
          <w:p w:rsidRPr="00FE3BAE" w:rsidR="00372C24" w:rsidP="00372C24" w:rsidRDefault="00372C24" w14:paraId="3680D139" w14:textId="4E654651">
            <w:pPr>
              <w:tabs>
                <w:tab w:val="left" w:pos="957"/>
              </w:tabs>
              <w:spacing w:before="60" w:after="60"/>
              <w:ind w:right="72"/>
              <w:jc w:val="right"/>
              <w:rPr>
                <w:b/>
                <w:color w:val="000000"/>
              </w:rPr>
            </w:pPr>
            <w:r w:rsidRPr="00374FD1">
              <w:rPr>
                <w:b/>
                <w:i/>
                <w:color w:val="000000"/>
              </w:rPr>
              <w:t xml:space="preserve">TOTAL AWARD: </w:t>
            </w:r>
            <w:r w:rsidRPr="00836F2F" w:rsidR="00836F2F">
              <w:rPr>
                <w:b/>
                <w:i/>
                <w:color w:val="000000"/>
              </w:rPr>
              <w:t xml:space="preserve">$47,651.13 </w:t>
            </w:r>
          </w:p>
        </w:tc>
      </w:tr>
      <w:tr w:rsidRPr="007F620E" w:rsidR="00372C24" w:rsidTr="00C635D5" w14:paraId="6A909BC1" w14:textId="77777777">
        <w:trPr>
          <w:jc w:val="center"/>
        </w:trPr>
        <w:tc>
          <w:tcPr>
            <w:tcW w:w="10436" w:type="dxa"/>
            <w:gridSpan w:val="12"/>
            <w:tcBorders>
              <w:top w:val="single" w:color="auto" w:sz="4" w:space="0"/>
              <w:bottom w:val="single" w:color="auto" w:sz="4" w:space="0"/>
            </w:tcBorders>
            <w:shd w:val="clear" w:color="auto" w:fill="auto"/>
          </w:tcPr>
          <w:p w:rsidRPr="007F620E" w:rsidR="00372C24" w:rsidP="00372C24" w:rsidRDefault="00372C24" w14:paraId="6F39872E" w14:textId="77777777">
            <w:pPr>
              <w:spacing w:before="60" w:after="60"/>
              <w:rPr>
                <w:color w:val="000000"/>
              </w:rPr>
            </w:pPr>
            <w:r w:rsidRPr="007F620E">
              <w:rPr>
                <w:color w:val="000000"/>
              </w:rPr>
              <w:t xml:space="preserve">  *We remind all intervenors that Commission staff may audit </w:t>
            </w:r>
            <w:r>
              <w:t>the records and books of the intervenors to the extent necessary to verify the basis for the award (§1804(d)).  I</w:t>
            </w:r>
            <w:r w:rsidRPr="007F620E">
              <w:rPr>
                <w:color w:val="000000"/>
              </w:rPr>
              <w:t xml:space="preserve">ntervenors must make and retain adequate accounting and other documentation to support all claims for intervenor compensation.  Intervenor’s records should identify specific issues for which it seeks compensation, the actual time spent by each employee or consultant, the applicable hourly rates, fees paid to consultants and any other costs for which compensation was claimed.  The records pertaining to an award of compensation shall be retained for at least three years from the date of the final decision making the award. </w:t>
            </w:r>
          </w:p>
          <w:p w:rsidRPr="007F620E" w:rsidR="00372C24" w:rsidP="00372C24" w:rsidRDefault="00372C24" w14:paraId="0D03EC65" w14:textId="2076AF40">
            <w:pPr>
              <w:spacing w:before="60" w:after="60"/>
              <w:rPr>
                <w:color w:val="000000"/>
              </w:rPr>
            </w:pPr>
            <w:r w:rsidRPr="007F620E">
              <w:rPr>
                <w:color w:val="000000"/>
              </w:rPr>
              <w:t xml:space="preserve">**Travel and Reasonable Claim preparation time </w:t>
            </w:r>
            <w:r>
              <w:rPr>
                <w:color w:val="000000"/>
              </w:rPr>
              <w:t xml:space="preserve">are </w:t>
            </w:r>
            <w:r w:rsidRPr="007F620E">
              <w:rPr>
                <w:color w:val="000000"/>
              </w:rPr>
              <w:t>typically compensated at ½ of preparer’s normal hourly rate</w:t>
            </w:r>
            <w:r w:rsidR="00F0294C">
              <w:rPr>
                <w:color w:val="000000"/>
              </w:rPr>
              <w:t>.</w:t>
            </w:r>
          </w:p>
        </w:tc>
      </w:tr>
      <w:tr w:rsidRPr="007F620E" w:rsidR="00372C24" w:rsidTr="00C635D5" w14:paraId="458B01A4" w14:textId="77777777">
        <w:trPr>
          <w:jc w:val="center"/>
        </w:trPr>
        <w:tc>
          <w:tcPr>
            <w:tcW w:w="10436" w:type="dxa"/>
            <w:gridSpan w:val="12"/>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Pr="007F620E" w:rsidR="00372C24" w:rsidP="009D142A" w:rsidRDefault="00372C24" w14:paraId="48B43CBD" w14:textId="77777777">
            <w:pPr>
              <w:keepNext/>
              <w:spacing w:before="60" w:after="60"/>
              <w:jc w:val="center"/>
              <w:rPr>
                <w:b/>
                <w:smallCaps/>
                <w:color w:val="000000"/>
              </w:rPr>
            </w:pPr>
            <w:r w:rsidRPr="007F620E">
              <w:rPr>
                <w:b/>
                <w:smallCaps/>
                <w:color w:val="000000"/>
              </w:rPr>
              <w:lastRenderedPageBreak/>
              <w:t>ATTORNEY INFORMATION</w:t>
            </w:r>
          </w:p>
        </w:tc>
      </w:tr>
      <w:tr w:rsidRPr="00C16981" w:rsidR="00372C24" w:rsidTr="00C635D5" w14:paraId="790C92C0" w14:textId="77777777">
        <w:trPr>
          <w:trHeight w:val="173"/>
          <w:jc w:val="center"/>
        </w:trPr>
        <w:tc>
          <w:tcPr>
            <w:tcW w:w="2453" w:type="dxa"/>
            <w:gridSpan w:val="3"/>
            <w:tcBorders>
              <w:top w:val="single" w:color="auto" w:sz="4" w:space="0"/>
              <w:bottom w:val="single" w:color="auto" w:sz="4" w:space="0"/>
            </w:tcBorders>
            <w:shd w:val="clear" w:color="auto" w:fill="FFFFFF"/>
          </w:tcPr>
          <w:p w:rsidRPr="00C16981" w:rsidR="00372C24" w:rsidP="00372C24" w:rsidRDefault="00372C24" w14:paraId="00CAC866" w14:textId="77777777">
            <w:pPr>
              <w:keepNext/>
              <w:keepLines/>
              <w:spacing w:before="60" w:after="60"/>
              <w:jc w:val="center"/>
              <w:rPr>
                <w:b/>
                <w:color w:val="000000"/>
                <w:sz w:val="22"/>
                <w:szCs w:val="22"/>
              </w:rPr>
            </w:pPr>
            <w:r w:rsidRPr="00C16981">
              <w:rPr>
                <w:b/>
                <w:sz w:val="22"/>
                <w:szCs w:val="22"/>
              </w:rPr>
              <w:t>Attorney</w:t>
            </w:r>
          </w:p>
        </w:tc>
        <w:tc>
          <w:tcPr>
            <w:tcW w:w="1800" w:type="dxa"/>
            <w:gridSpan w:val="3"/>
            <w:tcBorders>
              <w:top w:val="single" w:color="auto" w:sz="4" w:space="0"/>
              <w:bottom w:val="single" w:color="auto" w:sz="4" w:space="0"/>
            </w:tcBorders>
            <w:shd w:val="clear" w:color="auto" w:fill="FFFFFF"/>
          </w:tcPr>
          <w:p w:rsidRPr="00C16981" w:rsidR="00372C24" w:rsidP="00372C24" w:rsidRDefault="00372C24" w14:paraId="7E76A008" w14:textId="77777777">
            <w:pPr>
              <w:keepNext/>
              <w:keepLines/>
              <w:spacing w:before="60" w:after="60"/>
              <w:jc w:val="center"/>
              <w:rPr>
                <w:b/>
                <w:color w:val="000000"/>
                <w:sz w:val="22"/>
                <w:szCs w:val="22"/>
              </w:rPr>
            </w:pPr>
            <w:r w:rsidRPr="00C16981">
              <w:rPr>
                <w:b/>
                <w:sz w:val="22"/>
                <w:szCs w:val="22"/>
              </w:rPr>
              <w:t>Date Admitted to CA BAR</w:t>
            </w:r>
            <w:r w:rsidRPr="00C16981">
              <w:rPr>
                <w:rStyle w:val="FootnoteReference"/>
                <w:b/>
                <w:sz w:val="22"/>
                <w:szCs w:val="22"/>
              </w:rPr>
              <w:footnoteReference w:id="6"/>
            </w:r>
          </w:p>
        </w:tc>
        <w:tc>
          <w:tcPr>
            <w:tcW w:w="2160" w:type="dxa"/>
            <w:gridSpan w:val="2"/>
            <w:tcBorders>
              <w:top w:val="single" w:color="auto" w:sz="4" w:space="0"/>
              <w:bottom w:val="single" w:color="auto" w:sz="4" w:space="0"/>
            </w:tcBorders>
            <w:shd w:val="clear" w:color="auto" w:fill="FFFFFF"/>
          </w:tcPr>
          <w:p w:rsidRPr="00C16981" w:rsidR="00372C24" w:rsidP="00372C24" w:rsidRDefault="00372C24" w14:paraId="27E64ED7" w14:textId="77777777">
            <w:pPr>
              <w:keepNext/>
              <w:keepLines/>
              <w:spacing w:before="60" w:after="60"/>
              <w:jc w:val="center"/>
              <w:rPr>
                <w:b/>
                <w:color w:val="000000"/>
                <w:sz w:val="22"/>
                <w:szCs w:val="22"/>
              </w:rPr>
            </w:pPr>
            <w:r w:rsidRPr="00C16981">
              <w:rPr>
                <w:b/>
                <w:sz w:val="22"/>
                <w:szCs w:val="22"/>
              </w:rPr>
              <w:t>Member Number</w:t>
            </w:r>
          </w:p>
        </w:tc>
        <w:tc>
          <w:tcPr>
            <w:tcW w:w="4023" w:type="dxa"/>
            <w:gridSpan w:val="4"/>
            <w:tcBorders>
              <w:top w:val="single" w:color="auto" w:sz="4" w:space="0"/>
              <w:bottom w:val="single" w:color="auto" w:sz="4" w:space="0"/>
            </w:tcBorders>
            <w:shd w:val="clear" w:color="auto" w:fill="FFFFFF"/>
          </w:tcPr>
          <w:p w:rsidRPr="00C16981" w:rsidR="00372C24" w:rsidP="00372C24" w:rsidRDefault="00372C24" w14:paraId="496B5DC1" w14:textId="77777777">
            <w:pPr>
              <w:keepNext/>
              <w:keepLines/>
              <w:spacing w:before="60" w:after="60"/>
              <w:jc w:val="center"/>
              <w:rPr>
                <w:b/>
                <w:sz w:val="22"/>
                <w:szCs w:val="22"/>
              </w:rPr>
            </w:pPr>
            <w:r w:rsidRPr="00C16981">
              <w:rPr>
                <w:b/>
                <w:sz w:val="22"/>
                <w:szCs w:val="22"/>
              </w:rPr>
              <w:t>Actions Affecting Eligibility (Yes/No?)</w:t>
            </w:r>
          </w:p>
          <w:p w:rsidRPr="00C16981" w:rsidR="00372C24" w:rsidP="00372C24" w:rsidRDefault="00372C24" w14:paraId="36F8922D" w14:textId="77777777">
            <w:pPr>
              <w:keepNext/>
              <w:keepLines/>
              <w:spacing w:before="60" w:after="60"/>
              <w:jc w:val="center"/>
              <w:rPr>
                <w:b/>
                <w:color w:val="000000"/>
                <w:sz w:val="22"/>
                <w:szCs w:val="22"/>
              </w:rPr>
            </w:pPr>
            <w:r w:rsidRPr="00C16981">
              <w:rPr>
                <w:b/>
                <w:sz w:val="22"/>
                <w:szCs w:val="22"/>
              </w:rPr>
              <w:t>If “Yes”, attach explanation</w:t>
            </w:r>
          </w:p>
        </w:tc>
      </w:tr>
      <w:tr w:rsidRPr="0082220A" w:rsidR="00372C24" w:rsidTr="00BA3ED6" w14:paraId="4DC5EE9B" w14:textId="77777777">
        <w:trPr>
          <w:trHeight w:val="172"/>
          <w:jc w:val="center"/>
        </w:trPr>
        <w:tc>
          <w:tcPr>
            <w:tcW w:w="2453" w:type="dxa"/>
            <w:gridSpan w:val="3"/>
            <w:tcBorders>
              <w:top w:val="single" w:color="auto" w:sz="4" w:space="0"/>
              <w:bottom w:val="single" w:color="auto" w:sz="4" w:space="0"/>
            </w:tcBorders>
            <w:shd w:val="clear" w:color="auto" w:fill="auto"/>
          </w:tcPr>
          <w:p w:rsidRPr="0082220A" w:rsidR="00372C24" w:rsidP="00372C24" w:rsidRDefault="00372C24" w14:paraId="7266B7BF" w14:textId="11FCD315">
            <w:pPr>
              <w:keepNext/>
              <w:keepLines/>
              <w:spacing w:before="60" w:after="60"/>
              <w:jc w:val="center"/>
              <w:rPr>
                <w:color w:val="000000"/>
              </w:rPr>
            </w:pPr>
            <w:r w:rsidRPr="0082220A">
              <w:rPr>
                <w:color w:val="000000"/>
              </w:rPr>
              <w:t>Tamlyn Hunt</w:t>
            </w:r>
          </w:p>
        </w:tc>
        <w:tc>
          <w:tcPr>
            <w:tcW w:w="1800" w:type="dxa"/>
            <w:gridSpan w:val="3"/>
            <w:tcBorders>
              <w:top w:val="single" w:color="auto" w:sz="4" w:space="0"/>
              <w:bottom w:val="single" w:color="auto" w:sz="4" w:space="0"/>
            </w:tcBorders>
            <w:shd w:val="clear" w:color="auto" w:fill="auto"/>
          </w:tcPr>
          <w:p w:rsidRPr="0082220A" w:rsidR="00372C24" w:rsidP="00372C24" w:rsidRDefault="00372C24" w14:paraId="69A41F15" w14:textId="5D32E894">
            <w:pPr>
              <w:keepNext/>
              <w:keepLines/>
              <w:spacing w:before="60" w:after="60"/>
              <w:jc w:val="center"/>
              <w:rPr>
                <w:color w:val="000000"/>
              </w:rPr>
            </w:pPr>
            <w:r w:rsidRPr="0082220A">
              <w:rPr>
                <w:color w:val="000000"/>
              </w:rPr>
              <w:t>November 2001</w:t>
            </w:r>
          </w:p>
        </w:tc>
        <w:tc>
          <w:tcPr>
            <w:tcW w:w="2160" w:type="dxa"/>
            <w:gridSpan w:val="2"/>
            <w:tcBorders>
              <w:top w:val="single" w:color="auto" w:sz="4" w:space="0"/>
              <w:bottom w:val="single" w:color="auto" w:sz="4" w:space="0"/>
            </w:tcBorders>
            <w:shd w:val="clear" w:color="auto" w:fill="auto"/>
          </w:tcPr>
          <w:p w:rsidRPr="0082220A" w:rsidR="00372C24" w:rsidP="00372C24" w:rsidRDefault="00372C24" w14:paraId="58495CD7" w14:textId="0701DE23">
            <w:pPr>
              <w:keepNext/>
              <w:keepLines/>
              <w:spacing w:before="60" w:after="60"/>
              <w:jc w:val="center"/>
              <w:rPr>
                <w:color w:val="000000"/>
              </w:rPr>
            </w:pPr>
            <w:r w:rsidRPr="0082220A">
              <w:rPr>
                <w:color w:val="000000"/>
              </w:rPr>
              <w:t>218673</w:t>
            </w:r>
          </w:p>
        </w:tc>
        <w:tc>
          <w:tcPr>
            <w:tcW w:w="4023" w:type="dxa"/>
            <w:gridSpan w:val="4"/>
            <w:tcBorders>
              <w:top w:val="single" w:color="auto" w:sz="4" w:space="0"/>
              <w:bottom w:val="single" w:color="auto" w:sz="4" w:space="0"/>
            </w:tcBorders>
            <w:shd w:val="clear" w:color="auto" w:fill="auto"/>
          </w:tcPr>
          <w:p w:rsidRPr="0082220A" w:rsidR="00372C24" w:rsidP="00372C24" w:rsidRDefault="00372C24" w14:paraId="117B99BF" w14:textId="10AE9D7B">
            <w:pPr>
              <w:keepNext/>
              <w:keepLines/>
              <w:spacing w:before="60" w:after="60"/>
              <w:jc w:val="center"/>
              <w:rPr>
                <w:color w:val="000000"/>
              </w:rPr>
            </w:pPr>
            <w:r w:rsidRPr="0082220A">
              <w:rPr>
                <w:color w:val="000000"/>
              </w:rPr>
              <w:t>No</w:t>
            </w:r>
          </w:p>
        </w:tc>
      </w:tr>
    </w:tbl>
    <w:p w:rsidR="0022302F" w:rsidP="005177A7" w:rsidRDefault="00A92D0B" w14:paraId="67A6CABA" w14:textId="66C5FE8C">
      <w:pPr>
        <w:keepNext/>
        <w:numPr>
          <w:ilvl w:val="0"/>
          <w:numId w:val="2"/>
        </w:numPr>
        <w:tabs>
          <w:tab w:val="clear" w:pos="900"/>
          <w:tab w:val="num" w:pos="360"/>
        </w:tabs>
        <w:spacing w:before="240"/>
        <w:ind w:left="360"/>
        <w:rPr>
          <w:b/>
          <w:color w:val="000000"/>
        </w:rPr>
      </w:pPr>
      <w:r w:rsidRPr="007F620E">
        <w:rPr>
          <w:b/>
        </w:rPr>
        <w:t>Attachments Documenting Specific Claim and Comments on Part III</w:t>
      </w:r>
      <w:r w:rsidR="00C02649">
        <w:rPr>
          <w:b/>
        </w:rPr>
        <w:t>:</w:t>
      </w:r>
    </w:p>
    <w:p w:rsidRPr="003B6A1B" w:rsidR="00A92D0B" w:rsidP="005177A7" w:rsidRDefault="00A92D0B" w14:paraId="04BC309E" w14:textId="77777777">
      <w:pPr>
        <w:keepNext/>
        <w:spacing w:after="240"/>
        <w:ind w:left="360"/>
        <w:rPr>
          <w:b/>
          <w:i/>
          <w:color w:val="000000"/>
          <w:u w:val="single"/>
        </w:rPr>
      </w:pPr>
      <w:r w:rsidRPr="003B6A1B">
        <w:rPr>
          <w:b/>
          <w:i/>
          <w:color w:val="000000"/>
          <w:u w:val="single"/>
        </w:rPr>
        <w:t>(</w:t>
      </w:r>
      <w:r w:rsidRPr="003B6A1B" w:rsidR="005A63D4">
        <w:rPr>
          <w:b/>
          <w:i/>
          <w:color w:val="000000"/>
          <w:u w:val="single"/>
        </w:rPr>
        <w:t>Intervenor</w:t>
      </w:r>
      <w:r w:rsidRPr="003B6A1B" w:rsidR="00F30DA8">
        <w:rPr>
          <w:b/>
          <w:i/>
          <w:color w:val="000000"/>
          <w:u w:val="single"/>
        </w:rPr>
        <w:t xml:space="preserve"> </w:t>
      </w:r>
      <w:r w:rsidRPr="003B6A1B">
        <w:rPr>
          <w:b/>
          <w:i/>
          <w:color w:val="000000"/>
          <w:u w:val="single"/>
        </w:rPr>
        <w:t xml:space="preserve">completes; attachments </w:t>
      </w:r>
      <w:r w:rsidRPr="003B6A1B" w:rsidR="0022302F">
        <w:rPr>
          <w:b/>
          <w:i/>
          <w:color w:val="000000"/>
          <w:u w:val="single"/>
        </w:rPr>
        <w:t>not attached to final Decision)</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738"/>
        <w:gridCol w:w="7622"/>
      </w:tblGrid>
      <w:tr w:rsidRPr="007F620E" w:rsidR="00A92D0B" w:rsidTr="00F0294C" w14:paraId="0C2B760A" w14:textId="77777777">
        <w:tc>
          <w:tcPr>
            <w:tcW w:w="1800" w:type="dxa"/>
            <w:shd w:val="clear" w:color="auto" w:fill="D9D9D9" w:themeFill="background1" w:themeFillShade="D9"/>
          </w:tcPr>
          <w:p w:rsidRPr="007F620E" w:rsidR="00A92D0B" w:rsidP="005177A7" w:rsidRDefault="00A92D0B" w14:paraId="42A1D838" w14:textId="77777777">
            <w:pPr>
              <w:keepNext/>
              <w:tabs>
                <w:tab w:val="left" w:pos="1260"/>
              </w:tabs>
              <w:spacing w:before="120"/>
              <w:jc w:val="center"/>
              <w:rPr>
                <w:b/>
                <w:color w:val="000000"/>
              </w:rPr>
            </w:pPr>
            <w:r w:rsidRPr="007F620E">
              <w:rPr>
                <w:b/>
                <w:color w:val="000000"/>
              </w:rPr>
              <w:t>Attachment or Comment  #</w:t>
            </w:r>
          </w:p>
        </w:tc>
        <w:tc>
          <w:tcPr>
            <w:tcW w:w="8663" w:type="dxa"/>
            <w:tcBorders>
              <w:bottom w:val="single" w:color="auto" w:sz="4" w:space="0"/>
            </w:tcBorders>
            <w:shd w:val="clear" w:color="auto" w:fill="D9D9D9" w:themeFill="background1" w:themeFillShade="D9"/>
          </w:tcPr>
          <w:p w:rsidRPr="007F620E" w:rsidR="00A92D0B" w:rsidP="005177A7" w:rsidRDefault="00A92D0B" w14:paraId="55F0A65F" w14:textId="77777777">
            <w:pPr>
              <w:keepNext/>
              <w:tabs>
                <w:tab w:val="left" w:pos="1260"/>
              </w:tabs>
              <w:spacing w:before="120"/>
              <w:jc w:val="center"/>
              <w:rPr>
                <w:b/>
                <w:color w:val="000000"/>
              </w:rPr>
            </w:pPr>
            <w:r w:rsidRPr="007F620E">
              <w:rPr>
                <w:b/>
                <w:color w:val="000000"/>
              </w:rPr>
              <w:t>Description/Comment</w:t>
            </w:r>
          </w:p>
        </w:tc>
      </w:tr>
      <w:tr w:rsidRPr="0082220A" w:rsidR="00A92D0B" w:rsidTr="00F0294C" w14:paraId="71F47148" w14:textId="77777777">
        <w:tc>
          <w:tcPr>
            <w:tcW w:w="1800" w:type="dxa"/>
            <w:tcBorders>
              <w:bottom w:val="single" w:color="auto" w:sz="4" w:space="0"/>
            </w:tcBorders>
            <w:shd w:val="clear" w:color="auto" w:fill="auto"/>
          </w:tcPr>
          <w:p w:rsidRPr="0082220A" w:rsidR="00A92D0B" w:rsidP="00B54E04" w:rsidRDefault="003B3608" w14:paraId="7A5C03D8" w14:textId="2A60225B">
            <w:pPr>
              <w:tabs>
                <w:tab w:val="left" w:pos="1260"/>
              </w:tabs>
              <w:spacing w:before="120"/>
              <w:jc w:val="center"/>
              <w:rPr>
                <w:color w:val="000000"/>
              </w:rPr>
            </w:pPr>
            <w:r w:rsidRPr="0082220A">
              <w:rPr>
                <w:color w:val="000000"/>
              </w:rPr>
              <w:t xml:space="preserve">Attachment </w:t>
            </w:r>
            <w:r w:rsidRPr="0082220A" w:rsidR="00A92D0B">
              <w:rPr>
                <w:color w:val="000000"/>
              </w:rPr>
              <w:t>1</w:t>
            </w:r>
          </w:p>
        </w:tc>
        <w:tc>
          <w:tcPr>
            <w:tcW w:w="8663" w:type="dxa"/>
            <w:tcBorders>
              <w:bottom w:val="single" w:color="auto" w:sz="4" w:space="0"/>
            </w:tcBorders>
            <w:shd w:val="clear" w:color="auto" w:fill="auto"/>
          </w:tcPr>
          <w:p w:rsidRPr="0082220A" w:rsidR="00A92D0B" w:rsidP="00A92D0B" w:rsidRDefault="00A92D0B" w14:paraId="370C67BC" w14:textId="77777777">
            <w:pPr>
              <w:tabs>
                <w:tab w:val="left" w:pos="1260"/>
              </w:tabs>
              <w:spacing w:before="120"/>
              <w:rPr>
                <w:color w:val="000000"/>
              </w:rPr>
            </w:pPr>
            <w:r w:rsidRPr="0082220A">
              <w:rPr>
                <w:color w:val="000000"/>
              </w:rPr>
              <w:t>Certificate of Service</w:t>
            </w:r>
          </w:p>
        </w:tc>
      </w:tr>
      <w:tr w:rsidRPr="0082220A" w:rsidR="00A92D0B" w:rsidTr="00F0294C" w14:paraId="72C869B0" w14:textId="77777777">
        <w:tc>
          <w:tcPr>
            <w:tcW w:w="1800" w:type="dxa"/>
            <w:shd w:val="clear" w:color="auto" w:fill="auto"/>
          </w:tcPr>
          <w:p w:rsidRPr="0082220A" w:rsidR="00A92D0B" w:rsidP="00B54E04" w:rsidRDefault="003B3608" w14:paraId="49AADD21" w14:textId="4B605AB7">
            <w:pPr>
              <w:tabs>
                <w:tab w:val="left" w:pos="1260"/>
              </w:tabs>
              <w:spacing w:before="120"/>
              <w:jc w:val="center"/>
              <w:rPr>
                <w:color w:val="000000"/>
              </w:rPr>
            </w:pPr>
            <w:r w:rsidRPr="0082220A">
              <w:rPr>
                <w:color w:val="000000"/>
              </w:rPr>
              <w:t xml:space="preserve">Attachment </w:t>
            </w:r>
            <w:r w:rsidRPr="0082220A" w:rsidR="0022302F">
              <w:rPr>
                <w:color w:val="000000"/>
              </w:rPr>
              <w:t>2</w:t>
            </w:r>
          </w:p>
        </w:tc>
        <w:tc>
          <w:tcPr>
            <w:tcW w:w="8663" w:type="dxa"/>
            <w:shd w:val="clear" w:color="auto" w:fill="auto"/>
          </w:tcPr>
          <w:p w:rsidRPr="0082220A" w:rsidR="00A92D0B" w:rsidP="00471F44" w:rsidRDefault="00471F44" w14:paraId="3AF20C23" w14:textId="38D21F42">
            <w:pPr>
              <w:tabs>
                <w:tab w:val="left" w:pos="1260"/>
              </w:tabs>
              <w:spacing w:before="120"/>
              <w:rPr>
                <w:color w:val="000000"/>
              </w:rPr>
            </w:pPr>
            <w:r w:rsidRPr="0082220A">
              <w:rPr>
                <w:color w:val="000000"/>
              </w:rPr>
              <w:t>Allocation of effort by issue, list of pleadings</w:t>
            </w:r>
            <w:r w:rsidRPr="0082220A" w:rsidR="00F23FCE">
              <w:rPr>
                <w:color w:val="000000"/>
              </w:rPr>
              <w:t xml:space="preserve">, </w:t>
            </w:r>
            <w:r w:rsidRPr="0082220A" w:rsidR="001B7096">
              <w:rPr>
                <w:color w:val="000000"/>
              </w:rPr>
              <w:t>travel receipts</w:t>
            </w:r>
          </w:p>
        </w:tc>
      </w:tr>
      <w:tr w:rsidRPr="0082220A" w:rsidR="00B54E04" w:rsidTr="00F0294C" w14:paraId="63DBC65B" w14:textId="77777777">
        <w:tc>
          <w:tcPr>
            <w:tcW w:w="1800" w:type="dxa"/>
            <w:shd w:val="clear" w:color="auto" w:fill="auto"/>
          </w:tcPr>
          <w:p w:rsidRPr="0082220A" w:rsidR="00B54E04" w:rsidP="00B54E04" w:rsidRDefault="003B3608" w14:paraId="083A726B" w14:textId="0863D50B">
            <w:pPr>
              <w:tabs>
                <w:tab w:val="left" w:pos="1260"/>
              </w:tabs>
              <w:spacing w:before="120"/>
              <w:jc w:val="center"/>
              <w:rPr>
                <w:color w:val="000000"/>
              </w:rPr>
            </w:pPr>
            <w:r w:rsidRPr="0082220A">
              <w:rPr>
                <w:color w:val="000000"/>
              </w:rPr>
              <w:t xml:space="preserve">Attachment </w:t>
            </w:r>
            <w:r w:rsidRPr="0082220A" w:rsidR="00B54E04">
              <w:rPr>
                <w:color w:val="000000"/>
              </w:rPr>
              <w:t>3</w:t>
            </w:r>
          </w:p>
        </w:tc>
        <w:tc>
          <w:tcPr>
            <w:tcW w:w="8663" w:type="dxa"/>
            <w:shd w:val="clear" w:color="auto" w:fill="auto"/>
          </w:tcPr>
          <w:p w:rsidRPr="0082220A" w:rsidR="00B54E04" w:rsidP="00471F44" w:rsidRDefault="00471F44" w14:paraId="45442F6A" w14:textId="4806FF32">
            <w:pPr>
              <w:tabs>
                <w:tab w:val="left" w:pos="1260"/>
              </w:tabs>
              <w:spacing w:before="120"/>
              <w:rPr>
                <w:color w:val="000000"/>
              </w:rPr>
            </w:pPr>
            <w:r w:rsidRPr="0082220A">
              <w:rPr>
                <w:color w:val="000000"/>
              </w:rPr>
              <w:t>Breakdown of hourly efforts by issue category</w:t>
            </w:r>
          </w:p>
        </w:tc>
      </w:tr>
      <w:tr w:rsidRPr="0082220A" w:rsidR="00BE6135" w:rsidTr="00F0294C" w14:paraId="6D2B97EA" w14:textId="77777777">
        <w:tc>
          <w:tcPr>
            <w:tcW w:w="1800" w:type="dxa"/>
            <w:shd w:val="clear" w:color="auto" w:fill="auto"/>
          </w:tcPr>
          <w:p w:rsidRPr="0082220A" w:rsidR="00BE6135" w:rsidP="00B54E04" w:rsidRDefault="00BE6135" w14:paraId="4F1A9040" w14:textId="5ACEED2B">
            <w:pPr>
              <w:tabs>
                <w:tab w:val="left" w:pos="1260"/>
              </w:tabs>
              <w:spacing w:before="120"/>
              <w:jc w:val="center"/>
              <w:rPr>
                <w:color w:val="000000"/>
              </w:rPr>
            </w:pPr>
            <w:r w:rsidRPr="0082220A">
              <w:rPr>
                <w:color w:val="000000"/>
              </w:rPr>
              <w:t>Attachment 4</w:t>
            </w:r>
          </w:p>
        </w:tc>
        <w:tc>
          <w:tcPr>
            <w:tcW w:w="8663" w:type="dxa"/>
            <w:shd w:val="clear" w:color="auto" w:fill="auto"/>
          </w:tcPr>
          <w:p w:rsidRPr="0082220A" w:rsidR="00BE6135" w:rsidP="00471F44" w:rsidRDefault="00BE6135" w14:paraId="491CB3D4" w14:textId="44530AB4">
            <w:pPr>
              <w:tabs>
                <w:tab w:val="left" w:pos="1260"/>
              </w:tabs>
              <w:spacing w:before="120"/>
              <w:rPr>
                <w:color w:val="000000"/>
              </w:rPr>
            </w:pPr>
            <w:r w:rsidRPr="0082220A">
              <w:rPr>
                <w:color w:val="000000"/>
              </w:rPr>
              <w:t xml:space="preserve">Resume for Michael </w:t>
            </w:r>
            <w:proofErr w:type="spellStart"/>
            <w:r w:rsidRPr="0082220A">
              <w:rPr>
                <w:color w:val="000000"/>
              </w:rPr>
              <w:t>Chiacos</w:t>
            </w:r>
            <w:proofErr w:type="spellEnd"/>
          </w:p>
        </w:tc>
      </w:tr>
      <w:tr w:rsidRPr="0082220A" w:rsidR="003B3608" w:rsidTr="00F0294C" w14:paraId="501A06DD" w14:textId="77777777">
        <w:tc>
          <w:tcPr>
            <w:tcW w:w="1800" w:type="dxa"/>
            <w:shd w:val="clear" w:color="auto" w:fill="auto"/>
          </w:tcPr>
          <w:p w:rsidRPr="0082220A" w:rsidR="003B3608" w:rsidP="00B54E04" w:rsidRDefault="003B3608" w14:paraId="542863E8" w14:textId="73E39EA5">
            <w:pPr>
              <w:tabs>
                <w:tab w:val="left" w:pos="1260"/>
              </w:tabs>
              <w:spacing w:before="120"/>
              <w:jc w:val="center"/>
              <w:rPr>
                <w:color w:val="000000"/>
              </w:rPr>
            </w:pPr>
            <w:r w:rsidRPr="0082220A">
              <w:rPr>
                <w:color w:val="000000"/>
              </w:rPr>
              <w:t>Comment 1</w:t>
            </w:r>
          </w:p>
        </w:tc>
        <w:tc>
          <w:tcPr>
            <w:tcW w:w="8663" w:type="dxa"/>
            <w:shd w:val="clear" w:color="auto" w:fill="auto"/>
          </w:tcPr>
          <w:p w:rsidRPr="0082220A" w:rsidR="003B3608" w:rsidP="007B7F12" w:rsidRDefault="00F32AE4" w14:paraId="2C8D9F03" w14:textId="2CC3FC11">
            <w:pPr>
              <w:pStyle w:val="Default"/>
              <w:rPr>
                <w:color w:val="auto"/>
              </w:rPr>
            </w:pPr>
            <w:r w:rsidRPr="0082220A">
              <w:rPr>
                <w:color w:val="auto"/>
              </w:rPr>
              <w:t>The Commission has adopted a 3.31 percent adjustment for rates in the Market Rate Study for converting the 2021 values in the study to 2022 values.  This value can be found on the Escalation tab of the Hourly Rate Chart spreadsheet on the Commission’s web site.  We apply the 3.31 percent escalator to the approved 2021 hourly rate for Morris and round to the nearest 5 per regular Commission practice, which produces a 2022 rate of $465/hr.</w:t>
            </w:r>
          </w:p>
        </w:tc>
      </w:tr>
      <w:tr w:rsidRPr="0082220A" w:rsidR="003B3608" w:rsidTr="00F0294C" w14:paraId="329DDCD0" w14:textId="77777777">
        <w:tc>
          <w:tcPr>
            <w:tcW w:w="1800" w:type="dxa"/>
            <w:shd w:val="clear" w:color="auto" w:fill="auto"/>
          </w:tcPr>
          <w:p w:rsidRPr="0082220A" w:rsidR="003B3608" w:rsidP="00B54E04" w:rsidRDefault="003B3608" w14:paraId="7D3992B6" w14:textId="0EA079F4">
            <w:pPr>
              <w:tabs>
                <w:tab w:val="left" w:pos="1260"/>
              </w:tabs>
              <w:spacing w:before="120"/>
              <w:jc w:val="center"/>
              <w:rPr>
                <w:color w:val="000000"/>
              </w:rPr>
            </w:pPr>
            <w:r w:rsidRPr="0082220A">
              <w:rPr>
                <w:color w:val="000000"/>
              </w:rPr>
              <w:t>Comment 2</w:t>
            </w:r>
          </w:p>
        </w:tc>
        <w:tc>
          <w:tcPr>
            <w:tcW w:w="8663" w:type="dxa"/>
            <w:shd w:val="clear" w:color="auto" w:fill="auto"/>
          </w:tcPr>
          <w:p w:rsidRPr="0082220A" w:rsidR="003B3608" w:rsidP="00437D2F" w:rsidRDefault="00F32AE4" w14:paraId="24BE465B" w14:textId="0E051770">
            <w:pPr>
              <w:pStyle w:val="Default"/>
              <w:rPr>
                <w:color w:val="auto"/>
              </w:rPr>
            </w:pPr>
            <w:r w:rsidRPr="0082220A">
              <w:rPr>
                <w:color w:val="auto"/>
              </w:rPr>
              <w:t>The Commission has adopted a 3.31 percent adjustment for rates in the Market Rate Study for converting the 2021 values in the study to 2022 values.  This value can be found on the Escalation tab of the Hourly Rate Chart spreadsheet on the Commission’s web site.  We apply the 3.31 percent escalator to the approved 2021 hourly rate for Hunt, and round to the nearest 5 per regular Commission practice, which produces a 2022 rate of $605/hr.</w:t>
            </w:r>
          </w:p>
        </w:tc>
      </w:tr>
      <w:tr w:rsidRPr="0082220A" w:rsidR="00226ECC" w:rsidTr="00F0294C" w14:paraId="390CC9D5" w14:textId="77777777">
        <w:tc>
          <w:tcPr>
            <w:tcW w:w="1800" w:type="dxa"/>
            <w:shd w:val="clear" w:color="auto" w:fill="auto"/>
          </w:tcPr>
          <w:p w:rsidRPr="0082220A" w:rsidR="00226ECC" w:rsidP="00B54E04" w:rsidRDefault="00D165BA" w14:paraId="5536FD05" w14:textId="58041750">
            <w:pPr>
              <w:tabs>
                <w:tab w:val="left" w:pos="1260"/>
              </w:tabs>
              <w:spacing w:before="120"/>
              <w:jc w:val="center"/>
              <w:rPr>
                <w:color w:val="000000"/>
              </w:rPr>
            </w:pPr>
            <w:r w:rsidRPr="0082220A">
              <w:rPr>
                <w:color w:val="000000"/>
              </w:rPr>
              <w:t xml:space="preserve">Comment </w:t>
            </w:r>
            <w:r w:rsidRPr="0082220A" w:rsidR="00C02068">
              <w:rPr>
                <w:color w:val="000000"/>
              </w:rPr>
              <w:t>3</w:t>
            </w:r>
          </w:p>
        </w:tc>
        <w:tc>
          <w:tcPr>
            <w:tcW w:w="8663" w:type="dxa"/>
            <w:shd w:val="clear" w:color="auto" w:fill="auto"/>
          </w:tcPr>
          <w:p w:rsidRPr="0082220A" w:rsidR="00226ECC" w:rsidP="00437D2F" w:rsidRDefault="00372C24" w14:paraId="39958B46" w14:textId="6F2C1B7A">
            <w:pPr>
              <w:pStyle w:val="Default"/>
              <w:rPr>
                <w:color w:val="FF0000"/>
              </w:rPr>
            </w:pPr>
            <w:r w:rsidRPr="0082220A">
              <w:t xml:space="preserve">Energy and Resources Expert Michael </w:t>
            </w:r>
            <w:proofErr w:type="spellStart"/>
            <w:r w:rsidRPr="0082220A">
              <w:t>Chiacos</w:t>
            </w:r>
            <w:proofErr w:type="spellEnd"/>
            <w:r w:rsidRPr="0082220A">
              <w:t xml:space="preserve"> qualifies as Level V in the Commission’s 2021 hourly rate chart, with more than </w:t>
            </w:r>
            <w:r w:rsidRPr="0082220A" w:rsidR="00D912C3">
              <w:t>20</w:t>
            </w:r>
            <w:r w:rsidRPr="0082220A">
              <w:t xml:space="preserve"> years of experience</w:t>
            </w:r>
            <w:r w:rsidRPr="0082220A" w:rsidR="00D912C3">
              <w:t xml:space="preserve"> (see attachment 4, </w:t>
            </w:r>
            <w:proofErr w:type="spellStart"/>
            <w:r w:rsidRPr="0082220A" w:rsidR="00D912C3">
              <w:t>Chiacos</w:t>
            </w:r>
            <w:proofErr w:type="spellEnd"/>
            <w:r w:rsidRPr="0082220A" w:rsidR="00D912C3">
              <w:t xml:space="preserve"> resume)</w:t>
            </w:r>
            <w:r w:rsidRPr="0082220A">
              <w:t xml:space="preserve">. </w:t>
            </w:r>
            <w:r w:rsidRPr="0082220A" w:rsidR="00D912C3">
              <w:t xml:space="preserve"> Energy and Resources Specialist</w:t>
            </w:r>
            <w:r w:rsidRPr="0082220A">
              <w:t xml:space="preserve"> Level V has an hourly rate range of $</w:t>
            </w:r>
            <w:r w:rsidRPr="0082220A" w:rsidR="00D912C3">
              <w:t>1</w:t>
            </w:r>
            <w:r w:rsidRPr="0082220A">
              <w:t>69</w:t>
            </w:r>
            <w:r w:rsidRPr="0082220A" w:rsidR="00D912C3">
              <w:t>-357</w:t>
            </w:r>
            <w:r w:rsidRPr="0082220A">
              <w:t>, with a median rate of $</w:t>
            </w:r>
            <w:r w:rsidRPr="0082220A" w:rsidR="00D912C3">
              <w:t>241</w:t>
            </w:r>
            <w:r w:rsidRPr="0082220A">
              <w:t>.</w:t>
            </w:r>
            <w:r w:rsidRPr="0082220A" w:rsidR="00D912C3">
              <w:t xml:space="preserve"> </w:t>
            </w:r>
            <w:r w:rsidRPr="0082220A">
              <w:t xml:space="preserve"> </w:t>
            </w:r>
            <w:r w:rsidRPr="0082220A" w:rsidR="00D912C3">
              <w:t xml:space="preserve">Mr. </w:t>
            </w:r>
            <w:proofErr w:type="spellStart"/>
            <w:r w:rsidRPr="0082220A" w:rsidR="00D912C3">
              <w:t>Chiacos</w:t>
            </w:r>
            <w:proofErr w:type="spellEnd"/>
            <w:r w:rsidRPr="0082220A" w:rsidR="00D912C3">
              <w:t xml:space="preserve"> has an approved 2020 rate of $280.</w:t>
            </w:r>
            <w:r w:rsidRPr="0082220A">
              <w:t xml:space="preserve"> </w:t>
            </w:r>
            <w:r w:rsidRPr="0082220A" w:rsidR="00D912C3">
              <w:t xml:space="preserve"> </w:t>
            </w:r>
            <w:r w:rsidRPr="0082220A">
              <w:t xml:space="preserve">We are asking for an hourly rate for </w:t>
            </w:r>
            <w:r w:rsidRPr="0082220A" w:rsidR="00D912C3">
              <w:t>M</w:t>
            </w:r>
            <w:r w:rsidRPr="0082220A">
              <w:t xml:space="preserve">r. </w:t>
            </w:r>
            <w:r w:rsidRPr="0082220A" w:rsidR="00D912C3">
              <w:t>Chicos</w:t>
            </w:r>
            <w:r w:rsidRPr="0082220A">
              <w:t xml:space="preserve"> for 2021 of $</w:t>
            </w:r>
            <w:r w:rsidRPr="0082220A" w:rsidR="00D912C3">
              <w:t>30</w:t>
            </w:r>
            <w:r w:rsidRPr="0082220A">
              <w:t xml:space="preserve">0, which is well within the bounds of the Commission’s adopted </w:t>
            </w:r>
            <w:r w:rsidRPr="0082220A" w:rsidR="00D912C3">
              <w:t xml:space="preserve">market </w:t>
            </w:r>
            <w:r w:rsidRPr="0082220A">
              <w:t xml:space="preserve">rate study for practitioners with </w:t>
            </w:r>
            <w:r w:rsidRPr="0082220A" w:rsidR="00D912C3">
              <w:t>M</w:t>
            </w:r>
            <w:r w:rsidRPr="0082220A">
              <w:t xml:space="preserve">r. </w:t>
            </w:r>
            <w:proofErr w:type="spellStart"/>
            <w:r w:rsidRPr="0082220A" w:rsidR="00D912C3">
              <w:t>Chiacos</w:t>
            </w:r>
            <w:proofErr w:type="spellEnd"/>
            <w:r w:rsidRPr="0082220A">
              <w:t xml:space="preserve">’ expertise and experience.  </w:t>
            </w:r>
            <w:r w:rsidRPr="0082220A" w:rsidR="00D912C3">
              <w:rPr>
                <w:color w:val="auto"/>
              </w:rPr>
              <w:t xml:space="preserve">We apply the 3.31 percent escalator to the requested 2021 hourly rate for </w:t>
            </w:r>
            <w:proofErr w:type="spellStart"/>
            <w:r w:rsidRPr="0082220A" w:rsidR="00D912C3">
              <w:rPr>
                <w:color w:val="auto"/>
              </w:rPr>
              <w:t>Chiacos</w:t>
            </w:r>
            <w:proofErr w:type="spellEnd"/>
            <w:r w:rsidRPr="0082220A" w:rsidR="00D912C3">
              <w:rPr>
                <w:color w:val="auto"/>
              </w:rPr>
              <w:t xml:space="preserve"> and round to the nearest 5 per regular Commission practice, which produces a 2022 rate of $310/hr.</w:t>
            </w:r>
          </w:p>
        </w:tc>
      </w:tr>
    </w:tbl>
    <w:p w:rsidRPr="007F620E" w:rsidR="00A92D0B" w:rsidP="005177A7" w:rsidRDefault="00F81778" w14:paraId="0D8B7003" w14:textId="33AFC55C">
      <w:pPr>
        <w:keepNext/>
        <w:spacing w:before="240" w:after="240"/>
        <w:ind w:left="540" w:hanging="540"/>
        <w:rPr>
          <w:b/>
          <w:color w:val="000000"/>
        </w:rPr>
      </w:pPr>
      <w:r w:rsidRPr="007F620E">
        <w:rPr>
          <w:b/>
          <w:color w:val="000000"/>
        </w:rPr>
        <w:lastRenderedPageBreak/>
        <w:t xml:space="preserve">D.  </w:t>
      </w:r>
      <w:r w:rsidRPr="007F620E" w:rsidR="00A92D0B">
        <w:rPr>
          <w:b/>
          <w:color w:val="000000"/>
        </w:rPr>
        <w:t xml:space="preserve">CPUC </w:t>
      </w:r>
      <w:r w:rsidR="008C09F7">
        <w:rPr>
          <w:b/>
          <w:color w:val="000000"/>
        </w:rPr>
        <w:t xml:space="preserve">Comments, </w:t>
      </w:r>
      <w:r w:rsidRPr="007F620E" w:rsidR="00A92D0B">
        <w:rPr>
          <w:b/>
          <w:color w:val="000000"/>
        </w:rPr>
        <w:t>Disallowances</w:t>
      </w:r>
      <w:r w:rsidR="008C09F7">
        <w:rPr>
          <w:b/>
          <w:color w:val="000000"/>
        </w:rPr>
        <w:t>,</w:t>
      </w:r>
      <w:r w:rsidRPr="007F620E" w:rsidR="00D075B1">
        <w:rPr>
          <w:b/>
          <w:color w:val="000000"/>
        </w:rPr>
        <w:t xml:space="preserve"> </w:t>
      </w:r>
      <w:r w:rsidRPr="007F620E" w:rsidR="00A319DE">
        <w:rPr>
          <w:b/>
          <w:color w:val="000000"/>
        </w:rPr>
        <w:t>and</w:t>
      </w:r>
      <w:r w:rsidRPr="007F620E" w:rsidR="00D075B1">
        <w:rPr>
          <w:b/>
          <w:color w:val="000000"/>
        </w:rPr>
        <w:t xml:space="preserve"> </w:t>
      </w:r>
      <w:r w:rsidRPr="007F620E" w:rsidR="00A92D0B">
        <w:rPr>
          <w:b/>
          <w:color w:val="000000"/>
        </w:rPr>
        <w:t>Adjustments</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65"/>
        <w:gridCol w:w="7295"/>
      </w:tblGrid>
      <w:tr w:rsidRPr="007F620E" w:rsidR="00A92D0B" w:rsidTr="005177A7" w14:paraId="52CD0603" w14:textId="77777777">
        <w:trPr>
          <w:tblHeader/>
        </w:trPr>
        <w:tc>
          <w:tcPr>
            <w:tcW w:w="2065" w:type="dxa"/>
            <w:shd w:val="pct12" w:color="auto" w:fill="auto"/>
          </w:tcPr>
          <w:p w:rsidRPr="007F620E" w:rsidR="00A92D0B" w:rsidP="005177A7" w:rsidRDefault="00072C81" w14:paraId="3954EC4C" w14:textId="77777777">
            <w:pPr>
              <w:keepNext/>
              <w:tabs>
                <w:tab w:val="left" w:pos="1440"/>
              </w:tabs>
              <w:spacing w:before="60" w:after="60"/>
              <w:jc w:val="center"/>
              <w:rPr>
                <w:b/>
                <w:color w:val="000000"/>
              </w:rPr>
            </w:pPr>
            <w:r w:rsidRPr="007F620E">
              <w:rPr>
                <w:b/>
                <w:color w:val="000000"/>
              </w:rPr>
              <w:t>Item</w:t>
            </w:r>
          </w:p>
        </w:tc>
        <w:tc>
          <w:tcPr>
            <w:tcW w:w="7295" w:type="dxa"/>
            <w:shd w:val="pct12" w:color="auto" w:fill="auto"/>
          </w:tcPr>
          <w:p w:rsidRPr="007F620E" w:rsidR="00A92D0B" w:rsidP="005177A7" w:rsidRDefault="00A92D0B" w14:paraId="09F9E4D9" w14:textId="77777777">
            <w:pPr>
              <w:keepNext/>
              <w:tabs>
                <w:tab w:val="left" w:pos="1440"/>
              </w:tabs>
              <w:spacing w:before="60" w:after="60"/>
              <w:jc w:val="center"/>
              <w:rPr>
                <w:b/>
                <w:color w:val="000000"/>
              </w:rPr>
            </w:pPr>
            <w:r w:rsidRPr="007F620E">
              <w:rPr>
                <w:b/>
                <w:color w:val="000000"/>
              </w:rPr>
              <w:t>Reason</w:t>
            </w:r>
          </w:p>
        </w:tc>
      </w:tr>
      <w:tr w:rsidRPr="007F620E" w:rsidR="00A92D0B" w:rsidTr="005177A7" w14:paraId="69DEE01C" w14:textId="77777777">
        <w:tc>
          <w:tcPr>
            <w:tcW w:w="2065" w:type="dxa"/>
            <w:shd w:val="clear" w:color="auto" w:fill="auto"/>
          </w:tcPr>
          <w:p w:rsidRPr="007F620E" w:rsidR="00A92D0B" w:rsidP="00F0294C" w:rsidRDefault="0087315C" w14:paraId="1E6C8F3D" w14:textId="017075DF">
            <w:pPr>
              <w:tabs>
                <w:tab w:val="left" w:pos="1440"/>
              </w:tabs>
              <w:spacing w:before="60" w:after="60"/>
              <w:rPr>
                <w:color w:val="000000"/>
              </w:rPr>
            </w:pPr>
            <w:r>
              <w:rPr>
                <w:color w:val="000000"/>
              </w:rPr>
              <w:t>[1]</w:t>
            </w:r>
            <w:r w:rsidR="00693322">
              <w:rPr>
                <w:color w:val="000000"/>
              </w:rPr>
              <w:t xml:space="preserve"> G. Morris </w:t>
            </w:r>
            <w:r w:rsidR="00F00AC2">
              <w:rPr>
                <w:color w:val="000000"/>
              </w:rPr>
              <w:t>2021 and 2022 R</w:t>
            </w:r>
            <w:r w:rsidR="00693322">
              <w:rPr>
                <w:color w:val="000000"/>
              </w:rPr>
              <w:t>ate</w:t>
            </w:r>
          </w:p>
        </w:tc>
        <w:tc>
          <w:tcPr>
            <w:tcW w:w="7295" w:type="dxa"/>
            <w:shd w:val="clear" w:color="auto" w:fill="auto"/>
          </w:tcPr>
          <w:p w:rsidRPr="007F620E" w:rsidR="00A92D0B" w:rsidP="00F0294C" w:rsidRDefault="00951CCA" w14:paraId="45BFCB16" w14:textId="2243CFD0">
            <w:pPr>
              <w:tabs>
                <w:tab w:val="left" w:pos="1440"/>
              </w:tabs>
              <w:spacing w:before="60" w:after="60"/>
              <w:rPr>
                <w:color w:val="000000"/>
              </w:rPr>
            </w:pPr>
            <w:r>
              <w:rPr>
                <w:color w:val="000000"/>
              </w:rPr>
              <w:t>D.22-06-041</w:t>
            </w:r>
            <w:r w:rsidR="007F6A77">
              <w:rPr>
                <w:color w:val="000000"/>
              </w:rPr>
              <w:t xml:space="preserve"> </w:t>
            </w:r>
            <w:r>
              <w:rPr>
                <w:color w:val="000000"/>
              </w:rPr>
              <w:t>and D.23-11-036</w:t>
            </w:r>
            <w:r w:rsidR="00393FB7">
              <w:rPr>
                <w:color w:val="000000"/>
              </w:rPr>
              <w:t xml:space="preserve"> </w:t>
            </w:r>
            <w:r w:rsidR="00DB1A67">
              <w:rPr>
                <w:color w:val="000000"/>
              </w:rPr>
              <w:t>verified a 2021 and 2022 rate of $450.00 and $465.00. We apply the same rates here.</w:t>
            </w:r>
            <w:r w:rsidDel="00DB1A67" w:rsidR="00DB1A67">
              <w:rPr>
                <w:color w:val="000000"/>
              </w:rPr>
              <w:t xml:space="preserve"> </w:t>
            </w:r>
          </w:p>
        </w:tc>
      </w:tr>
      <w:tr w:rsidRPr="007F620E" w:rsidR="00A92D0B" w:rsidTr="005177A7" w14:paraId="52155EFC" w14:textId="77777777">
        <w:tc>
          <w:tcPr>
            <w:tcW w:w="2065" w:type="dxa"/>
            <w:shd w:val="clear" w:color="auto" w:fill="auto"/>
          </w:tcPr>
          <w:p w:rsidRPr="007F620E" w:rsidR="00A92D0B" w:rsidP="00F0294C" w:rsidRDefault="0087315C" w14:paraId="26487933" w14:textId="7D824B21">
            <w:pPr>
              <w:tabs>
                <w:tab w:val="left" w:pos="1440"/>
              </w:tabs>
              <w:spacing w:before="60" w:after="60"/>
              <w:rPr>
                <w:color w:val="000000"/>
              </w:rPr>
            </w:pPr>
            <w:r>
              <w:rPr>
                <w:color w:val="000000"/>
              </w:rPr>
              <w:t>[2]</w:t>
            </w:r>
            <w:r w:rsidR="00693322">
              <w:rPr>
                <w:color w:val="000000"/>
              </w:rPr>
              <w:t xml:space="preserve"> </w:t>
            </w:r>
            <w:r w:rsidR="00BB48C7">
              <w:rPr>
                <w:color w:val="000000"/>
              </w:rPr>
              <w:t>G</w:t>
            </w:r>
            <w:r w:rsidR="00FE096E">
              <w:rPr>
                <w:color w:val="000000"/>
              </w:rPr>
              <w:t>.</w:t>
            </w:r>
            <w:r w:rsidR="00BB48C7">
              <w:rPr>
                <w:color w:val="000000"/>
              </w:rPr>
              <w:t xml:space="preserve"> Morris 2022 Hours -</w:t>
            </w:r>
            <w:r w:rsidR="00693322">
              <w:rPr>
                <w:color w:val="000000"/>
              </w:rPr>
              <w:t xml:space="preserve"> </w:t>
            </w:r>
            <w:r w:rsidR="00BD697B">
              <w:rPr>
                <w:color w:val="000000"/>
              </w:rPr>
              <w:t>D</w:t>
            </w:r>
            <w:r w:rsidR="00693322">
              <w:rPr>
                <w:color w:val="000000"/>
              </w:rPr>
              <w:t>isallowance</w:t>
            </w:r>
            <w:r w:rsidR="00BD697B">
              <w:rPr>
                <w:color w:val="000000"/>
              </w:rPr>
              <w:t xml:space="preserve"> for motions</w:t>
            </w:r>
            <w:r w:rsidR="00A64DD2">
              <w:rPr>
                <w:color w:val="000000"/>
              </w:rPr>
              <w:t xml:space="preserve"> and </w:t>
            </w:r>
            <w:r w:rsidR="002C54F4">
              <w:rPr>
                <w:color w:val="000000"/>
              </w:rPr>
              <w:t xml:space="preserve">lack of </w:t>
            </w:r>
            <w:r w:rsidR="00A64DD2">
              <w:rPr>
                <w:color w:val="000000"/>
              </w:rPr>
              <w:t xml:space="preserve">contribution to </w:t>
            </w:r>
            <w:r w:rsidR="008B25D8">
              <w:rPr>
                <w:color w:val="000000"/>
              </w:rPr>
              <w:t>decision making process.</w:t>
            </w:r>
          </w:p>
        </w:tc>
        <w:tc>
          <w:tcPr>
            <w:tcW w:w="7295" w:type="dxa"/>
            <w:shd w:val="clear" w:color="auto" w:fill="auto"/>
          </w:tcPr>
          <w:p w:rsidRPr="007F620E" w:rsidR="00A92D0B" w:rsidP="00F0294C" w:rsidRDefault="00DB1A67" w14:paraId="455E6A00" w14:textId="01F3E9F1">
            <w:pPr>
              <w:tabs>
                <w:tab w:val="left" w:pos="1440"/>
              </w:tabs>
              <w:spacing w:before="60" w:after="60"/>
              <w:rPr>
                <w:color w:val="000000"/>
              </w:rPr>
            </w:pPr>
            <w:r>
              <w:rPr>
                <w:color w:val="000000"/>
              </w:rPr>
              <w:t xml:space="preserve">Submitted timesheets </w:t>
            </w:r>
            <w:r w:rsidR="00036425">
              <w:rPr>
                <w:color w:val="000000"/>
              </w:rPr>
              <w:t xml:space="preserve">reflect </w:t>
            </w:r>
            <w:r w:rsidR="008612B9">
              <w:rPr>
                <w:color w:val="000000"/>
              </w:rPr>
              <w:t>6</w:t>
            </w:r>
            <w:r w:rsidR="00036425">
              <w:rPr>
                <w:color w:val="000000"/>
              </w:rPr>
              <w:t xml:space="preserve"> hours spent </w:t>
            </w:r>
            <w:r w:rsidR="007A3CEF">
              <w:rPr>
                <w:color w:val="000000"/>
              </w:rPr>
              <w:t xml:space="preserve">on </w:t>
            </w:r>
            <w:r w:rsidR="00AE019C">
              <w:rPr>
                <w:color w:val="000000"/>
              </w:rPr>
              <w:t>July 20</w:t>
            </w:r>
            <w:r w:rsidR="00DB5467">
              <w:rPr>
                <w:color w:val="000000"/>
              </w:rPr>
              <w:t xml:space="preserve"> and 25,</w:t>
            </w:r>
            <w:r w:rsidR="00AE019C">
              <w:rPr>
                <w:color w:val="000000"/>
              </w:rPr>
              <w:t xml:space="preserve"> and</w:t>
            </w:r>
            <w:r w:rsidR="00DB5467">
              <w:rPr>
                <w:color w:val="000000"/>
              </w:rPr>
              <w:t xml:space="preserve"> on</w:t>
            </w:r>
            <w:r w:rsidR="00AE019C">
              <w:rPr>
                <w:color w:val="000000"/>
              </w:rPr>
              <w:t xml:space="preserve"> August 9, 202</w:t>
            </w:r>
            <w:r w:rsidR="007F6A77">
              <w:rPr>
                <w:color w:val="000000"/>
              </w:rPr>
              <w:t>2</w:t>
            </w:r>
            <w:r w:rsidR="00AE019C">
              <w:rPr>
                <w:color w:val="000000"/>
              </w:rPr>
              <w:t xml:space="preserve"> </w:t>
            </w:r>
            <w:r w:rsidR="00036425">
              <w:rPr>
                <w:color w:val="000000"/>
              </w:rPr>
              <w:t xml:space="preserve">preparing motions </w:t>
            </w:r>
            <w:r w:rsidR="008612B9">
              <w:rPr>
                <w:color w:val="000000"/>
              </w:rPr>
              <w:t xml:space="preserve">and correspondence </w:t>
            </w:r>
            <w:r w:rsidR="00036425">
              <w:rPr>
                <w:color w:val="000000"/>
              </w:rPr>
              <w:t xml:space="preserve">that would </w:t>
            </w:r>
            <w:r w:rsidR="00F7708B">
              <w:rPr>
                <w:color w:val="000000"/>
              </w:rPr>
              <w:t>not have</w:t>
            </w:r>
            <w:r w:rsidR="00036425">
              <w:rPr>
                <w:color w:val="000000"/>
              </w:rPr>
              <w:t xml:space="preserve"> been necessary if GPI had submitted their exhibits in accordance with established processes.  The hours awarded for the preparation of these motions are disallowed</w:t>
            </w:r>
            <w:r w:rsidR="00AD5D8F">
              <w:rPr>
                <w:color w:val="000000"/>
              </w:rPr>
              <w:t>.</w:t>
            </w:r>
            <w:r w:rsidR="00012D2F">
              <w:rPr>
                <w:color w:val="000000"/>
              </w:rPr>
              <w:t xml:space="preserve">  Finally, activities</w:t>
            </w:r>
            <w:r w:rsidR="001E6242">
              <w:rPr>
                <w:color w:val="000000"/>
              </w:rPr>
              <w:t xml:space="preserve"> such as</w:t>
            </w:r>
            <w:r w:rsidR="00554329">
              <w:rPr>
                <w:color w:val="000000"/>
              </w:rPr>
              <w:t>, for example,</w:t>
            </w:r>
            <w:r w:rsidR="001E6242">
              <w:rPr>
                <w:color w:val="000000"/>
              </w:rPr>
              <w:t xml:space="preserve"> conference calls with PG&amp;E</w:t>
            </w:r>
            <w:r w:rsidR="00012D2F">
              <w:rPr>
                <w:color w:val="000000"/>
              </w:rPr>
              <w:t xml:space="preserve"> that</w:t>
            </w:r>
            <w:r w:rsidR="00252444">
              <w:rPr>
                <w:color w:val="000000"/>
              </w:rPr>
              <w:t xml:space="preserve"> did not make a substantial contribution to the </w:t>
            </w:r>
            <w:r w:rsidR="006167D4">
              <w:rPr>
                <w:color w:val="000000"/>
              </w:rPr>
              <w:t>D.22-12-0</w:t>
            </w:r>
            <w:r w:rsidR="00FD690B">
              <w:rPr>
                <w:color w:val="000000"/>
              </w:rPr>
              <w:t>54</w:t>
            </w:r>
            <w:r w:rsidR="006167D4">
              <w:rPr>
                <w:color w:val="000000"/>
              </w:rPr>
              <w:t xml:space="preserve"> are disallowed.</w:t>
            </w:r>
            <w:r w:rsidR="006167D4">
              <w:rPr>
                <w:rStyle w:val="FootnoteReference"/>
                <w:color w:val="000000"/>
              </w:rPr>
              <w:footnoteReference w:id="7"/>
            </w:r>
            <w:r w:rsidR="00F006DB">
              <w:rPr>
                <w:color w:val="000000"/>
              </w:rPr>
              <w:t xml:space="preserve">  The total reduction due to these disallowances </w:t>
            </w:r>
            <w:r w:rsidR="006E4EF3">
              <w:rPr>
                <w:color w:val="000000"/>
              </w:rPr>
              <w:t>is 9.5 hours, all in 2022.</w:t>
            </w:r>
          </w:p>
        </w:tc>
      </w:tr>
      <w:tr w:rsidRPr="007F620E" w:rsidR="00EE24B7" w:rsidTr="005177A7" w14:paraId="1FB50F4E" w14:textId="77777777">
        <w:tc>
          <w:tcPr>
            <w:tcW w:w="2065" w:type="dxa"/>
            <w:shd w:val="clear" w:color="auto" w:fill="auto"/>
          </w:tcPr>
          <w:p w:rsidRPr="003479E0" w:rsidR="00063711" w:rsidP="00F0294C" w:rsidRDefault="00063711" w14:paraId="4FE6D48C" w14:textId="69F926EF">
            <w:pPr>
              <w:tabs>
                <w:tab w:val="left" w:pos="1440"/>
              </w:tabs>
              <w:spacing w:before="60" w:after="60"/>
              <w:rPr>
                <w:color w:val="000000"/>
              </w:rPr>
            </w:pPr>
            <w:r>
              <w:rPr>
                <w:color w:val="000000"/>
              </w:rPr>
              <w:t>[</w:t>
            </w:r>
            <w:r w:rsidR="009B7E1F">
              <w:rPr>
                <w:color w:val="000000"/>
              </w:rPr>
              <w:t>3</w:t>
            </w:r>
            <w:r>
              <w:rPr>
                <w:color w:val="000000"/>
              </w:rPr>
              <w:t>]</w:t>
            </w:r>
            <w:r w:rsidR="00DF2F74">
              <w:rPr>
                <w:color w:val="000000"/>
              </w:rPr>
              <w:t xml:space="preserve"> </w:t>
            </w:r>
            <w:r w:rsidR="002E6CDC">
              <w:rPr>
                <w:color w:val="000000"/>
              </w:rPr>
              <w:t xml:space="preserve">All Party </w:t>
            </w:r>
            <w:r w:rsidR="00610511">
              <w:rPr>
                <w:color w:val="000000"/>
              </w:rPr>
              <w:t>– Disallowance</w:t>
            </w:r>
            <w:r w:rsidR="00DF2F74">
              <w:rPr>
                <w:color w:val="000000"/>
              </w:rPr>
              <w:t xml:space="preserve"> for</w:t>
            </w:r>
            <w:r w:rsidR="00682A1E">
              <w:rPr>
                <w:color w:val="000000"/>
              </w:rPr>
              <w:t xml:space="preserve"> lack of contribution to the decision making process</w:t>
            </w:r>
            <w:r w:rsidR="00DF2F74">
              <w:rPr>
                <w:color w:val="000000"/>
              </w:rPr>
              <w:t xml:space="preserve"> </w:t>
            </w:r>
          </w:p>
        </w:tc>
        <w:tc>
          <w:tcPr>
            <w:tcW w:w="7295" w:type="dxa"/>
            <w:shd w:val="clear" w:color="auto" w:fill="auto"/>
          </w:tcPr>
          <w:p w:rsidRPr="00554329" w:rsidR="00513646" w:rsidP="00F0294C" w:rsidRDefault="00682A1E" w14:paraId="278872AA" w14:textId="0B3BC3A2">
            <w:pPr>
              <w:tabs>
                <w:tab w:val="left" w:pos="1440"/>
              </w:tabs>
              <w:spacing w:before="60" w:after="60"/>
            </w:pPr>
            <w:r w:rsidRPr="00554329">
              <w:t xml:space="preserve">As noted in </w:t>
            </w:r>
            <w:r w:rsidRPr="00554329" w:rsidR="0034226D">
              <w:t xml:space="preserve">3.A.b. above, </w:t>
            </w:r>
            <w:r w:rsidRPr="001511A6" w:rsidR="001511A6">
              <w:t>three</w:t>
            </w:r>
            <w:r w:rsidRPr="00554329" w:rsidR="00917F4A">
              <w:t xml:space="preserve"> of</w:t>
            </w:r>
            <w:r w:rsidRPr="00554329" w:rsidR="0034226D">
              <w:t xml:space="preserve"> the pleadings in this proceeding were </w:t>
            </w:r>
            <w:r w:rsidRPr="00554329" w:rsidR="00E646AC">
              <w:t>very similar in content</w:t>
            </w:r>
            <w:r w:rsidRPr="00554329" w:rsidR="006E6DEF">
              <w:t xml:space="preserve">.  </w:t>
            </w:r>
            <w:r w:rsidRPr="00554329" w:rsidR="00984374">
              <w:t xml:space="preserve">Where differences occurred between these documents, they were slightly altered wording </w:t>
            </w:r>
            <w:r w:rsidRPr="00554329" w:rsidR="00337BEB">
              <w:t>in the first sentence of paragraphs, added bolding,</w:t>
            </w:r>
            <w:r w:rsidRPr="00554329" w:rsidR="00513646">
              <w:t xml:space="preserve"> numerical changes that aligned GPI’s position with other intervenors, and citation to discovery efforts</w:t>
            </w:r>
            <w:r w:rsidRPr="00554329" w:rsidR="00E646AC">
              <w:t xml:space="preserve">.  None of these alterations </w:t>
            </w:r>
            <w:r w:rsidRPr="00554329" w:rsidR="00513646">
              <w:t>provide</w:t>
            </w:r>
            <w:r w:rsidRPr="00554329" w:rsidR="00E646AC">
              <w:t>d additional</w:t>
            </w:r>
            <w:r w:rsidRPr="00554329" w:rsidR="00513646">
              <w:t xml:space="preserve"> substantive contributions.</w:t>
            </w:r>
          </w:p>
          <w:p w:rsidRPr="00554329" w:rsidR="00063711" w:rsidP="00F0294C" w:rsidRDefault="006E6DEF" w14:paraId="132C728A" w14:textId="059F7F9C">
            <w:pPr>
              <w:tabs>
                <w:tab w:val="left" w:pos="1440"/>
              </w:tabs>
              <w:spacing w:before="60" w:after="60"/>
            </w:pPr>
            <w:r w:rsidRPr="00554329">
              <w:t>Despite th</w:t>
            </w:r>
            <w:r w:rsidRPr="00554329" w:rsidR="000367D1">
              <w:t>e modest changes</w:t>
            </w:r>
            <w:r w:rsidRPr="00554329" w:rsidR="000E5545">
              <w:t xml:space="preserve"> in content</w:t>
            </w:r>
            <w:r w:rsidRPr="00554329">
              <w:t xml:space="preserve">, the level of effort claimed for the </w:t>
            </w:r>
            <w:r w:rsidRPr="00554329" w:rsidR="007C5395">
              <w:t xml:space="preserve">preparation and review of the subsequent </w:t>
            </w:r>
            <w:r w:rsidRPr="00554329" w:rsidR="000367D1">
              <w:t xml:space="preserve">documents is </w:t>
            </w:r>
            <w:r w:rsidRPr="00554329" w:rsidR="000C2426">
              <w:t>substantial</w:t>
            </w:r>
            <w:r w:rsidRPr="00554329" w:rsidR="000367D1">
              <w:t>.</w:t>
            </w:r>
            <w:r w:rsidRPr="00554329" w:rsidR="00917F4A">
              <w:t xml:space="preserve">  These efforts are disallowed</w:t>
            </w:r>
            <w:r w:rsidRPr="00554329" w:rsidR="008F6C4D">
              <w:t xml:space="preserve"> a</w:t>
            </w:r>
            <w:r w:rsidRPr="00554329" w:rsidR="00423C98">
              <w:t>s (1) they do not contribute to the decision and (2)</w:t>
            </w:r>
            <w:r w:rsidRPr="00554329" w:rsidR="000B686A">
              <w:t xml:space="preserve"> </w:t>
            </w:r>
            <w:r w:rsidRPr="00554329" w:rsidR="00423C98">
              <w:t xml:space="preserve">the quantity of </w:t>
            </w:r>
            <w:r w:rsidRPr="00554329" w:rsidR="00681CE5">
              <w:t xml:space="preserve">hours indicate </w:t>
            </w:r>
            <w:r w:rsidRPr="00554329" w:rsidR="005646B1">
              <w:t xml:space="preserve">unproductive or excessive effort.  This disallowance results in </w:t>
            </w:r>
            <w:r w:rsidRPr="00554329" w:rsidR="00917F4A">
              <w:t xml:space="preserve">the following </w:t>
            </w:r>
            <w:r w:rsidRPr="00554329" w:rsidR="00F10F84">
              <w:t>reduction in hours</w:t>
            </w:r>
            <w:r w:rsidRPr="00554329" w:rsidR="0023624B">
              <w:t>, all occurring in 2022</w:t>
            </w:r>
            <w:r w:rsidRPr="00554329" w:rsidR="00F10F84">
              <w:t>.</w:t>
            </w:r>
          </w:p>
          <w:p w:rsidRPr="00554329" w:rsidR="006E4EF3" w:rsidP="00F0294C" w:rsidRDefault="006E4EF3" w14:paraId="67247F62" w14:textId="1B5A6B96">
            <w:pPr>
              <w:tabs>
                <w:tab w:val="left" w:pos="1440"/>
              </w:tabs>
              <w:spacing w:before="60" w:after="60"/>
            </w:pPr>
            <w:r w:rsidRPr="00554329">
              <w:t xml:space="preserve">G. Morris: </w:t>
            </w:r>
            <w:r w:rsidRPr="00554329" w:rsidR="00A035C1">
              <w:t>7.5</w:t>
            </w:r>
          </w:p>
          <w:p w:rsidRPr="00554329" w:rsidR="00A035C1" w:rsidP="00F0294C" w:rsidRDefault="00A035C1" w14:paraId="45268D79" w14:textId="03CA0232">
            <w:pPr>
              <w:tabs>
                <w:tab w:val="left" w:pos="1440"/>
              </w:tabs>
              <w:spacing w:before="60" w:after="60"/>
            </w:pPr>
            <w:r w:rsidRPr="00554329">
              <w:t>T. Hunt: 14.75</w:t>
            </w:r>
          </w:p>
          <w:p w:rsidRPr="00554329" w:rsidR="00030D09" w:rsidP="00F0294C" w:rsidRDefault="00030D09" w14:paraId="2A88B3D9" w14:textId="6C388A35">
            <w:pPr>
              <w:tabs>
                <w:tab w:val="left" w:pos="1440"/>
              </w:tabs>
              <w:spacing w:before="60" w:after="60"/>
            </w:pPr>
            <w:r w:rsidRPr="00554329">
              <w:t xml:space="preserve">M. </w:t>
            </w:r>
            <w:proofErr w:type="spellStart"/>
            <w:r w:rsidRPr="00554329">
              <w:t>Chiacos</w:t>
            </w:r>
            <w:proofErr w:type="spellEnd"/>
            <w:r w:rsidRPr="00554329">
              <w:t xml:space="preserve">: </w:t>
            </w:r>
            <w:r w:rsidRPr="00554329" w:rsidR="0023624B">
              <w:t>2.5</w:t>
            </w:r>
          </w:p>
          <w:p w:rsidRPr="00554329" w:rsidR="000B686A" w:rsidP="00F0294C" w:rsidRDefault="000B686A" w14:paraId="73450C8E" w14:textId="645EBFFA">
            <w:pPr>
              <w:tabs>
                <w:tab w:val="left" w:pos="1440"/>
              </w:tabs>
              <w:spacing w:before="60" w:after="60"/>
            </w:pPr>
            <w:r w:rsidRPr="00554329">
              <w:t xml:space="preserve">Further, </w:t>
            </w:r>
            <w:r w:rsidRPr="00554329" w:rsidR="00A30866">
              <w:t xml:space="preserve">there is no indication in the record that </w:t>
            </w:r>
            <w:r w:rsidRPr="00554329" w:rsidR="00DE1B7D">
              <w:t xml:space="preserve">GPI </w:t>
            </w:r>
            <w:r w:rsidRPr="00554329" w:rsidR="00A30866">
              <w:t>provided substantive contribution t</w:t>
            </w:r>
            <w:r w:rsidRPr="00554329" w:rsidR="00F575A3">
              <w:t xml:space="preserve">hrough </w:t>
            </w:r>
            <w:r w:rsidRPr="00554329" w:rsidR="00395E1A">
              <w:t xml:space="preserve">preparation or </w:t>
            </w:r>
            <w:r w:rsidRPr="00554329" w:rsidR="006F418C">
              <w:t xml:space="preserve">active participation in the </w:t>
            </w:r>
            <w:r w:rsidRPr="00554329" w:rsidR="00F575A3">
              <w:t>evidentiar</w:t>
            </w:r>
            <w:r w:rsidRPr="00554329" w:rsidR="006F418C">
              <w:t>y</w:t>
            </w:r>
            <w:r w:rsidRPr="00554329" w:rsidR="00F575A3">
              <w:t xml:space="preserve"> hear</w:t>
            </w:r>
            <w:r w:rsidRPr="00554329" w:rsidR="006F418C">
              <w:t>ing</w:t>
            </w:r>
            <w:r w:rsidRPr="00554329" w:rsidR="002D57DE">
              <w:t>, or that their discovery</w:t>
            </w:r>
            <w:r w:rsidRPr="00554329" w:rsidR="00671428">
              <w:t xml:space="preserve"> provided the basis for </w:t>
            </w:r>
            <w:r w:rsidRPr="00554329" w:rsidR="0023624B">
              <w:t xml:space="preserve">any </w:t>
            </w:r>
            <w:r w:rsidRPr="00554329" w:rsidR="00671428">
              <w:t>such contribution</w:t>
            </w:r>
            <w:r w:rsidRPr="00554329" w:rsidR="006F418C">
              <w:t>.</w:t>
            </w:r>
            <w:r w:rsidRPr="00554329" w:rsidR="00430F27">
              <w:t xml:space="preserve">  </w:t>
            </w:r>
            <w:r w:rsidRPr="001511A6" w:rsidR="001511A6">
              <w:t>With respect to the hearing, given the limited value of GPI’s preparation and follow up, and the fact that its testimony before the evidentiary hearing and its opening brief after it were not materially different, we do not credit any activities outside of the attendance. We do allow all of Morris’s attendance at the hearing. As such, the request for compensation for these efforts is in part disallowed</w:t>
            </w:r>
            <w:r w:rsidR="001511A6">
              <w:t>.</w:t>
            </w:r>
          </w:p>
          <w:p w:rsidRPr="00554329" w:rsidR="0023624B" w:rsidP="00F0294C" w:rsidRDefault="0023624B" w14:paraId="0454E7DA" w14:textId="4D1E4412">
            <w:pPr>
              <w:tabs>
                <w:tab w:val="left" w:pos="1440"/>
              </w:tabs>
              <w:spacing w:before="60" w:after="60"/>
            </w:pPr>
            <w:r w:rsidRPr="00554329">
              <w:t>G. Morris</w:t>
            </w:r>
            <w:r w:rsidRPr="00554329" w:rsidR="005577FA">
              <w:t xml:space="preserve"> (2022)</w:t>
            </w:r>
            <w:r w:rsidRPr="00554329">
              <w:t xml:space="preserve">: </w:t>
            </w:r>
            <w:r w:rsidRPr="00554329" w:rsidR="00D44CAA">
              <w:t>29</w:t>
            </w:r>
          </w:p>
          <w:p w:rsidRPr="00554329" w:rsidR="0023624B" w:rsidP="00F0294C" w:rsidRDefault="0023624B" w14:paraId="484F36A4" w14:textId="040A1A91">
            <w:pPr>
              <w:tabs>
                <w:tab w:val="left" w:pos="1440"/>
              </w:tabs>
              <w:spacing w:before="60" w:after="60"/>
            </w:pPr>
            <w:r w:rsidRPr="00554329">
              <w:t>T. Hunt</w:t>
            </w:r>
            <w:r w:rsidRPr="00554329" w:rsidR="00AC1B5E">
              <w:t xml:space="preserve"> (2021)</w:t>
            </w:r>
            <w:r w:rsidRPr="00554329">
              <w:t xml:space="preserve">: </w:t>
            </w:r>
            <w:r w:rsidRPr="00554329" w:rsidR="00AC1B5E">
              <w:t>1</w:t>
            </w:r>
            <w:r w:rsidRPr="00554329" w:rsidR="00D44CAA">
              <w:t>.5</w:t>
            </w:r>
          </w:p>
          <w:p w:rsidRPr="00554329" w:rsidR="00AC1B5E" w:rsidP="00F0294C" w:rsidRDefault="00AC1B5E" w14:paraId="7AB76291" w14:textId="21F7C1E6">
            <w:pPr>
              <w:tabs>
                <w:tab w:val="left" w:pos="1440"/>
              </w:tabs>
              <w:spacing w:before="60" w:after="60"/>
            </w:pPr>
            <w:r w:rsidRPr="00554329">
              <w:lastRenderedPageBreak/>
              <w:t>T. Hunt (202</w:t>
            </w:r>
            <w:r w:rsidR="001511A6">
              <w:t>2</w:t>
            </w:r>
            <w:r w:rsidRPr="00554329">
              <w:t>): 1</w:t>
            </w:r>
            <w:r w:rsidRPr="00554329" w:rsidR="00903888">
              <w:t>9</w:t>
            </w:r>
          </w:p>
          <w:p w:rsidRPr="00554329" w:rsidR="00917F9F" w:rsidP="00F0294C" w:rsidRDefault="00917F9F" w14:paraId="2D1D54E6" w14:textId="1B132077">
            <w:pPr>
              <w:tabs>
                <w:tab w:val="left" w:pos="1440"/>
              </w:tabs>
              <w:spacing w:before="60" w:after="60"/>
            </w:pPr>
            <w:r w:rsidRPr="00554329">
              <w:t xml:space="preserve">M. </w:t>
            </w:r>
            <w:proofErr w:type="spellStart"/>
            <w:r w:rsidRPr="00554329">
              <w:t>Chiacos</w:t>
            </w:r>
            <w:proofErr w:type="spellEnd"/>
            <w:r w:rsidRPr="00554329">
              <w:t xml:space="preserve"> (2021)</w:t>
            </w:r>
            <w:r w:rsidRPr="00554329" w:rsidR="00ED2FB2">
              <w:t>: 1.25</w:t>
            </w:r>
          </w:p>
          <w:p w:rsidR="001011F3" w:rsidP="00F0294C" w:rsidRDefault="0023624B" w14:paraId="72939615" w14:textId="72195B50">
            <w:pPr>
              <w:tabs>
                <w:tab w:val="left" w:pos="1440"/>
              </w:tabs>
              <w:spacing w:before="60" w:after="60"/>
            </w:pPr>
            <w:r w:rsidRPr="00554329">
              <w:t xml:space="preserve">M. </w:t>
            </w:r>
            <w:proofErr w:type="spellStart"/>
            <w:r w:rsidRPr="00554329">
              <w:t>Chiacos</w:t>
            </w:r>
            <w:proofErr w:type="spellEnd"/>
            <w:r w:rsidR="00092F77">
              <w:t xml:space="preserve"> (2022)</w:t>
            </w:r>
            <w:r w:rsidRPr="00554329">
              <w:t xml:space="preserve">: </w:t>
            </w:r>
            <w:r w:rsidRPr="00554329" w:rsidR="00ED2FB2">
              <w:t>18.75</w:t>
            </w:r>
          </w:p>
          <w:p w:rsidRPr="00554329" w:rsidR="00C01151" w:rsidP="00F0294C" w:rsidRDefault="00C01151" w14:paraId="4903AD0E" w14:textId="22F19FA3">
            <w:pPr>
              <w:tabs>
                <w:tab w:val="left" w:pos="1440"/>
              </w:tabs>
              <w:spacing w:before="60" w:after="60"/>
            </w:pPr>
            <w:r w:rsidRPr="00554329">
              <w:t xml:space="preserve">Finally, </w:t>
            </w:r>
            <w:r w:rsidRPr="00554329" w:rsidR="006B5105">
              <w:t xml:space="preserve">several sections of </w:t>
            </w:r>
            <w:r w:rsidRPr="00554329">
              <w:t xml:space="preserve">GPI’s opening comments do not </w:t>
            </w:r>
            <w:r w:rsidRPr="00554329" w:rsidR="00E877C6">
              <w:t>connect</w:t>
            </w:r>
            <w:r w:rsidRPr="00554329">
              <w:t xml:space="preserve"> their professed opinions to the scope of this proceeding. We remind GPI that mere advocacy does not constitute a substantive contribution and adjust the hours eligible for compensation by 50%.  This adjustment results in the following reduction in hours, all occurring in 2022.</w:t>
            </w:r>
          </w:p>
          <w:p w:rsidRPr="00554329" w:rsidR="00C01151" w:rsidP="00F0294C" w:rsidRDefault="00C01151" w14:paraId="21BF73C4" w14:textId="5DB0CE33">
            <w:pPr>
              <w:tabs>
                <w:tab w:val="left" w:pos="1440"/>
              </w:tabs>
              <w:spacing w:before="60" w:after="60"/>
            </w:pPr>
            <w:r w:rsidRPr="00554329">
              <w:t>G. Morris: 0.5</w:t>
            </w:r>
          </w:p>
          <w:p w:rsidRPr="00554329" w:rsidR="00FF0059" w:rsidP="00F0294C" w:rsidRDefault="00C01151" w14:paraId="6574F039" w14:textId="2A85FB5F">
            <w:pPr>
              <w:tabs>
                <w:tab w:val="left" w:pos="1440"/>
              </w:tabs>
              <w:spacing w:before="60" w:after="60"/>
            </w:pPr>
            <w:r w:rsidRPr="00554329">
              <w:t xml:space="preserve">T. Hunt: </w:t>
            </w:r>
            <w:r w:rsidRPr="00554329" w:rsidR="00271890">
              <w:t>6.13</w:t>
            </w:r>
          </w:p>
        </w:tc>
      </w:tr>
      <w:tr w:rsidRPr="007F620E" w:rsidR="000D3B09" w:rsidTr="005177A7" w14:paraId="6F7A7043" w14:textId="77777777">
        <w:tc>
          <w:tcPr>
            <w:tcW w:w="2065" w:type="dxa"/>
            <w:shd w:val="clear" w:color="auto" w:fill="auto"/>
          </w:tcPr>
          <w:p w:rsidR="000D3B09" w:rsidP="00F0294C" w:rsidRDefault="000D3B09" w14:paraId="59232D2F" w14:textId="68A81316">
            <w:pPr>
              <w:tabs>
                <w:tab w:val="left" w:pos="1440"/>
              </w:tabs>
              <w:spacing w:before="60" w:after="60"/>
              <w:rPr>
                <w:color w:val="000000"/>
              </w:rPr>
            </w:pPr>
            <w:r w:rsidRPr="003479E0">
              <w:rPr>
                <w:color w:val="000000"/>
              </w:rPr>
              <w:lastRenderedPageBreak/>
              <w:t>[</w:t>
            </w:r>
            <w:r w:rsidR="00A036D1">
              <w:rPr>
                <w:color w:val="000000"/>
              </w:rPr>
              <w:t>4</w:t>
            </w:r>
            <w:r w:rsidRPr="003479E0">
              <w:rPr>
                <w:color w:val="000000"/>
              </w:rPr>
              <w:t>] T. Hunt rate</w:t>
            </w:r>
          </w:p>
        </w:tc>
        <w:tc>
          <w:tcPr>
            <w:tcW w:w="7295" w:type="dxa"/>
            <w:shd w:val="clear" w:color="auto" w:fill="auto"/>
          </w:tcPr>
          <w:p w:rsidR="000D3B09" w:rsidP="00F0294C" w:rsidRDefault="000D3B09" w14:paraId="35894DCD" w14:textId="0E28D5F4">
            <w:pPr>
              <w:tabs>
                <w:tab w:val="left" w:pos="1440"/>
              </w:tabs>
              <w:spacing w:before="60" w:after="60"/>
              <w:rPr>
                <w:color w:val="000000"/>
              </w:rPr>
            </w:pPr>
            <w:r>
              <w:rPr>
                <w:color w:val="000000"/>
              </w:rPr>
              <w:t xml:space="preserve">D.22-06-041 and D.23-11-036 </w:t>
            </w:r>
            <w:r w:rsidR="00DB1A67">
              <w:rPr>
                <w:color w:val="000000"/>
              </w:rPr>
              <w:t xml:space="preserve">verified a 2021 and 2022 rate of $585.00 and $605.00 for T. Hunt. We apply the same rates here. </w:t>
            </w:r>
          </w:p>
        </w:tc>
      </w:tr>
      <w:tr w:rsidRPr="001011F3" w:rsidR="001011F3" w:rsidTr="005177A7" w14:paraId="291C439F" w14:textId="77777777">
        <w:tc>
          <w:tcPr>
            <w:tcW w:w="2065" w:type="dxa"/>
            <w:shd w:val="clear" w:color="auto" w:fill="auto"/>
          </w:tcPr>
          <w:p w:rsidRPr="001011F3" w:rsidR="000D3B09" w:rsidP="00F0294C" w:rsidRDefault="000D3B09" w14:paraId="71993EE8" w14:textId="0707B54D">
            <w:pPr>
              <w:tabs>
                <w:tab w:val="left" w:pos="1440"/>
              </w:tabs>
              <w:spacing w:before="60" w:after="60"/>
            </w:pPr>
            <w:r w:rsidRPr="001011F3">
              <w:t>[</w:t>
            </w:r>
            <w:r w:rsidRPr="001011F3" w:rsidR="00A036D1">
              <w:t>5</w:t>
            </w:r>
            <w:r w:rsidRPr="001011F3">
              <w:t>]</w:t>
            </w:r>
            <w:r w:rsidRPr="001011F3" w:rsidR="005223E8">
              <w:t xml:space="preserve"> T. Hunt 2022 </w:t>
            </w:r>
            <w:r w:rsidRPr="001011F3" w:rsidR="00AA7CBE">
              <w:t>Ho</w:t>
            </w:r>
            <w:r w:rsidRPr="001011F3" w:rsidR="005223E8">
              <w:t>urs</w:t>
            </w:r>
            <w:r w:rsidRPr="001011F3" w:rsidR="00AA7CBE">
              <w:t xml:space="preserve"> – Disallowance due to </w:t>
            </w:r>
            <w:r w:rsidRPr="001011F3" w:rsidR="003A3DF2">
              <w:t>inefficient preparation, duplicate effort, and lac</w:t>
            </w:r>
            <w:r w:rsidRPr="001011F3" w:rsidR="00BD697B">
              <w:t xml:space="preserve">k of </w:t>
            </w:r>
            <w:r w:rsidRPr="001011F3" w:rsidR="002C54F4">
              <w:t>contribution to decision making process.</w:t>
            </w:r>
          </w:p>
        </w:tc>
        <w:tc>
          <w:tcPr>
            <w:tcW w:w="7295" w:type="dxa"/>
            <w:shd w:val="clear" w:color="auto" w:fill="auto"/>
          </w:tcPr>
          <w:p w:rsidRPr="001011F3" w:rsidR="00FD5752" w:rsidP="00F0294C" w:rsidRDefault="00A9621A" w14:paraId="4387EC4C" w14:textId="122FFBCC">
            <w:pPr>
              <w:tabs>
                <w:tab w:val="left" w:pos="1440"/>
              </w:tabs>
              <w:spacing w:before="60" w:after="60"/>
            </w:pPr>
            <w:r w:rsidRPr="001011F3">
              <w:t>T. Hun</w:t>
            </w:r>
            <w:r w:rsidRPr="001011F3" w:rsidR="00FE2634">
              <w:t xml:space="preserve">t’s </w:t>
            </w:r>
            <w:r w:rsidRPr="001011F3" w:rsidR="006B5105">
              <w:t xml:space="preserve">2022 </w:t>
            </w:r>
            <w:r w:rsidRPr="001011F3" w:rsidR="00FE2634">
              <w:t xml:space="preserve">hours </w:t>
            </w:r>
            <w:r w:rsidRPr="001011F3" w:rsidR="00062E5B">
              <w:t>are</w:t>
            </w:r>
            <w:r w:rsidRPr="001011F3" w:rsidR="001C19D9">
              <w:t xml:space="preserve"> </w:t>
            </w:r>
            <w:r w:rsidRPr="001011F3" w:rsidR="00062E5B">
              <w:t xml:space="preserve">reduced </w:t>
            </w:r>
            <w:r w:rsidRPr="001011F3" w:rsidR="00D27F1C">
              <w:t xml:space="preserve">in consideration of </w:t>
            </w:r>
            <w:r w:rsidRPr="001011F3" w:rsidR="00891B6B">
              <w:t xml:space="preserve">duplicate </w:t>
            </w:r>
            <w:r w:rsidRPr="001011F3" w:rsidR="00CE7705">
              <w:t>efforts</w:t>
            </w:r>
            <w:r w:rsidRPr="001011F3" w:rsidR="00463278">
              <w:t xml:space="preserve"> on</w:t>
            </w:r>
            <w:r w:rsidRPr="001011F3" w:rsidR="000312BF">
              <w:t xml:space="preserve"> external</w:t>
            </w:r>
            <w:r w:rsidRPr="001011F3" w:rsidR="00463278">
              <w:t xml:space="preserve"> calls</w:t>
            </w:r>
            <w:r w:rsidRPr="001011F3" w:rsidR="006734ED">
              <w:t xml:space="preserve"> </w:t>
            </w:r>
            <w:r w:rsidRPr="001011F3" w:rsidR="00463278">
              <w:t>and meetings</w:t>
            </w:r>
            <w:r w:rsidRPr="001011F3" w:rsidR="005A1F31">
              <w:t xml:space="preserve"> (e.g. settlement, meet and confer, PD review with PG&amp;E, etc.) </w:t>
            </w:r>
            <w:r w:rsidRPr="001011F3" w:rsidR="00463278">
              <w:t xml:space="preserve"> where </w:t>
            </w:r>
            <w:r w:rsidRPr="001011F3" w:rsidR="000B3168">
              <w:t xml:space="preserve">more senior </w:t>
            </w:r>
            <w:r w:rsidRPr="001011F3" w:rsidR="002E1257">
              <w:t>GPI staff</w:t>
            </w:r>
            <w:r w:rsidRPr="001011F3" w:rsidR="00463278">
              <w:t xml:space="preserve"> </w:t>
            </w:r>
            <w:r w:rsidRPr="001011F3" w:rsidR="002B5458">
              <w:t>we</w:t>
            </w:r>
            <w:r w:rsidRPr="001011F3" w:rsidR="00463278">
              <w:t xml:space="preserve">re </w:t>
            </w:r>
            <w:r w:rsidRPr="001011F3" w:rsidR="008F0613">
              <w:t>present</w:t>
            </w:r>
            <w:r w:rsidR="00092F77">
              <w:t>.</w:t>
            </w:r>
            <w:r w:rsidRPr="001011F3" w:rsidR="00A4358A">
              <w:rPr>
                <w:rStyle w:val="FootnoteReference"/>
              </w:rPr>
              <w:footnoteReference w:id="8"/>
            </w:r>
            <w:r w:rsidRPr="001011F3" w:rsidR="001F492A">
              <w:t xml:space="preserve">  This results in a reduction of </w:t>
            </w:r>
            <w:r w:rsidRPr="001011F3" w:rsidR="000621CF">
              <w:t>2.5</w:t>
            </w:r>
            <w:r w:rsidRPr="001011F3" w:rsidR="00D91CA3">
              <w:t xml:space="preserve"> hours in 2022.</w:t>
            </w:r>
          </w:p>
          <w:p w:rsidRPr="001011F3" w:rsidR="00062E5B" w:rsidP="00F0294C" w:rsidRDefault="00A94EDD" w14:paraId="1F0F4D7C" w14:textId="3A6D4619">
            <w:pPr>
              <w:tabs>
                <w:tab w:val="left" w:pos="1440"/>
              </w:tabs>
              <w:spacing w:before="60" w:after="60"/>
            </w:pPr>
            <w:r w:rsidRPr="001011F3">
              <w:t xml:space="preserve">Finally, </w:t>
            </w:r>
            <w:r w:rsidRPr="001011F3" w:rsidR="00AA52B3">
              <w:t xml:space="preserve">submitted timesheets reflect </w:t>
            </w:r>
            <w:r w:rsidRPr="001011F3" w:rsidR="00694050">
              <w:t xml:space="preserve">two hours spent </w:t>
            </w:r>
            <w:r w:rsidRPr="001011F3" w:rsidR="00A563CC">
              <w:t>to “attend PG&amp;E webinar on charge ready 2 application</w:t>
            </w:r>
            <w:r w:rsidR="00092F77">
              <w:t>,</w:t>
            </w:r>
            <w:r w:rsidRPr="001011F3" w:rsidR="0017629A">
              <w:t>”</w:t>
            </w:r>
            <w:r w:rsidRPr="001011F3" w:rsidR="00A563CC">
              <w:t xml:space="preserve"> on </w:t>
            </w:r>
            <w:r w:rsidRPr="001011F3" w:rsidR="0052608D">
              <w:t>3/2/2022.</w:t>
            </w:r>
            <w:r w:rsidRPr="001011F3">
              <w:t xml:space="preserve"> </w:t>
            </w:r>
            <w:r w:rsidRPr="001011F3" w:rsidR="0054009E">
              <w:t xml:space="preserve"> </w:t>
            </w:r>
            <w:r w:rsidRPr="001011F3" w:rsidR="00E622CD">
              <w:t xml:space="preserve">The content of </w:t>
            </w:r>
            <w:r w:rsidRPr="001011F3" w:rsidR="002518CD">
              <w:t>this webinar is d</w:t>
            </w:r>
            <w:r w:rsidRPr="001011F3" w:rsidR="000C3036">
              <w:t>u</w:t>
            </w:r>
            <w:r w:rsidRPr="001011F3" w:rsidR="002518CD">
              <w:t>p</w:t>
            </w:r>
            <w:r w:rsidRPr="001011F3" w:rsidR="000C3036">
              <w:t xml:space="preserve">licative of information </w:t>
            </w:r>
            <w:r w:rsidRPr="001011F3" w:rsidR="0017629A">
              <w:t>within</w:t>
            </w:r>
            <w:r w:rsidRPr="001011F3" w:rsidR="000C3036">
              <w:t xml:space="preserve"> </w:t>
            </w:r>
            <w:r w:rsidRPr="001011F3" w:rsidR="0017629A">
              <w:t>A.21-10-010</w:t>
            </w:r>
            <w:r w:rsidRPr="001011F3" w:rsidR="000C3036">
              <w:t>.</w:t>
            </w:r>
            <w:r w:rsidRPr="001011F3" w:rsidR="006956EF">
              <w:t xml:space="preserve">  </w:t>
            </w:r>
            <w:r w:rsidRPr="001011F3" w:rsidR="00845945">
              <w:t xml:space="preserve">Additionally, the Commission has established that </w:t>
            </w:r>
            <w:r w:rsidRPr="001011F3" w:rsidR="00273CA4">
              <w:t>participation in a</w:t>
            </w:r>
            <w:r w:rsidRPr="001011F3" w:rsidR="0054009E">
              <w:t xml:space="preserve"> meeting intended for public rather than party participation</w:t>
            </w:r>
            <w:r w:rsidRPr="001011F3" w:rsidR="00273CA4">
              <w:t xml:space="preserve"> is not compensabl</w:t>
            </w:r>
            <w:r w:rsidRPr="001011F3" w:rsidR="00EE1443">
              <w:t>e</w:t>
            </w:r>
            <w:r w:rsidRPr="001011F3" w:rsidR="0054009E">
              <w:t>.</w:t>
            </w:r>
            <w:r w:rsidRPr="001011F3" w:rsidR="0054009E">
              <w:rPr>
                <w:rStyle w:val="FootnoteReference"/>
              </w:rPr>
              <w:footnoteReference w:id="9"/>
            </w:r>
            <w:r w:rsidRPr="001011F3" w:rsidR="00EE1443">
              <w:t xml:space="preserve"> </w:t>
            </w:r>
            <w:r w:rsidRPr="001011F3" w:rsidR="000B7A57">
              <w:t xml:space="preserve">With regards to the public participation portion of this meeting, the Commission </w:t>
            </w:r>
            <w:r w:rsidRPr="001011F3" w:rsidR="005B3915">
              <w:t>has found that while “</w:t>
            </w:r>
            <w:r w:rsidRPr="001011F3" w:rsidR="00377431">
              <w:t xml:space="preserve">information obtained at such meetings may assist the intervenor in its participation in our proceedings, its connection is too attenuated to be considered </w:t>
            </w:r>
            <w:r w:rsidRPr="001011F3" w:rsidR="00F278EB">
              <w:t>‘</w:t>
            </w:r>
            <w:r w:rsidRPr="001011F3" w:rsidR="00377431">
              <w:t>preparation</w:t>
            </w:r>
            <w:r w:rsidRPr="001011F3" w:rsidR="003307FA">
              <w:t>’</w:t>
            </w:r>
            <w:r w:rsidRPr="001011F3" w:rsidR="00377431">
              <w:t xml:space="preserve"> for them</w:t>
            </w:r>
            <w:r w:rsidRPr="001011F3" w:rsidR="00ED2A7C">
              <w:t>”</w:t>
            </w:r>
            <w:r w:rsidRPr="001011F3" w:rsidR="002E1EBF">
              <w:t>.</w:t>
            </w:r>
            <w:r w:rsidRPr="001011F3" w:rsidR="0017629A">
              <w:rPr>
                <w:rStyle w:val="FootnoteReference"/>
              </w:rPr>
              <w:footnoteReference w:id="10"/>
            </w:r>
            <w:r w:rsidRPr="001011F3" w:rsidR="002E1EBF">
              <w:t xml:space="preserve">  </w:t>
            </w:r>
            <w:r w:rsidRPr="001011F3" w:rsidR="00EE1443">
              <w:t xml:space="preserve">For the above reasons, we find that </w:t>
            </w:r>
            <w:r w:rsidRPr="001011F3" w:rsidR="00EA265D">
              <w:t xml:space="preserve">this effort did not make a </w:t>
            </w:r>
            <w:r w:rsidRPr="001011F3" w:rsidR="00D06330">
              <w:t xml:space="preserve">substantial </w:t>
            </w:r>
            <w:r w:rsidRPr="001011F3" w:rsidR="00EA265D">
              <w:t>contribut</w:t>
            </w:r>
            <w:r w:rsidRPr="001011F3" w:rsidR="00D06330">
              <w:t>ion to D.22-12-054 and dis</w:t>
            </w:r>
            <w:r w:rsidRPr="001011F3" w:rsidR="002B6262">
              <w:t>allow the</w:t>
            </w:r>
            <w:r w:rsidRPr="001011F3" w:rsidR="002821DD">
              <w:t xml:space="preserve"> associated</w:t>
            </w:r>
            <w:r w:rsidRPr="001011F3" w:rsidR="002B6262">
              <w:t xml:space="preserve"> hours.</w:t>
            </w:r>
          </w:p>
        </w:tc>
      </w:tr>
      <w:tr w:rsidRPr="007F620E" w:rsidR="000D3B09" w:rsidTr="005177A7" w14:paraId="6CC594E6" w14:textId="77777777">
        <w:tc>
          <w:tcPr>
            <w:tcW w:w="2065" w:type="dxa"/>
            <w:shd w:val="clear" w:color="auto" w:fill="auto"/>
          </w:tcPr>
          <w:p w:rsidRPr="002A25DC" w:rsidR="000D3B09" w:rsidP="00F0294C" w:rsidRDefault="000D3B09" w14:paraId="5A4FF395" w14:textId="14A7B387">
            <w:pPr>
              <w:tabs>
                <w:tab w:val="left" w:pos="1440"/>
              </w:tabs>
              <w:spacing w:before="60" w:after="60"/>
              <w:rPr>
                <w:color w:val="000000" w:themeColor="text1"/>
              </w:rPr>
            </w:pPr>
            <w:r w:rsidRPr="002A25DC">
              <w:rPr>
                <w:color w:val="000000" w:themeColor="text1"/>
              </w:rPr>
              <w:t>[</w:t>
            </w:r>
            <w:r w:rsidR="00751DE5">
              <w:rPr>
                <w:color w:val="000000" w:themeColor="text1"/>
              </w:rPr>
              <w:t>6</w:t>
            </w:r>
            <w:r w:rsidRPr="002A25DC">
              <w:rPr>
                <w:color w:val="000000" w:themeColor="text1"/>
              </w:rPr>
              <w:t xml:space="preserve">] M. </w:t>
            </w:r>
            <w:proofErr w:type="spellStart"/>
            <w:r w:rsidRPr="002A25DC">
              <w:rPr>
                <w:color w:val="000000" w:themeColor="text1"/>
              </w:rPr>
              <w:t>Chiacos</w:t>
            </w:r>
            <w:proofErr w:type="spellEnd"/>
            <w:r w:rsidR="00F00AC2">
              <w:rPr>
                <w:color w:val="000000" w:themeColor="text1"/>
              </w:rPr>
              <w:t xml:space="preserve"> 2021 and 2022</w:t>
            </w:r>
            <w:r w:rsidRPr="002A25DC">
              <w:rPr>
                <w:color w:val="000000" w:themeColor="text1"/>
              </w:rPr>
              <w:t xml:space="preserve"> </w:t>
            </w:r>
            <w:r w:rsidR="00F00AC2">
              <w:rPr>
                <w:color w:val="000000" w:themeColor="text1"/>
              </w:rPr>
              <w:t>R</w:t>
            </w:r>
            <w:r w:rsidRPr="002A25DC">
              <w:rPr>
                <w:color w:val="000000" w:themeColor="text1"/>
              </w:rPr>
              <w:t>ate</w:t>
            </w:r>
          </w:p>
        </w:tc>
        <w:tc>
          <w:tcPr>
            <w:tcW w:w="7295" w:type="dxa"/>
            <w:shd w:val="clear" w:color="auto" w:fill="auto"/>
          </w:tcPr>
          <w:p w:rsidR="000D3B09" w:rsidP="00F0294C" w:rsidRDefault="000D3B09" w14:paraId="0FC0C760" w14:textId="088032B8">
            <w:pPr>
              <w:tabs>
                <w:tab w:val="left" w:pos="1440"/>
              </w:tabs>
              <w:spacing w:before="60" w:after="60"/>
              <w:rPr>
                <w:color w:val="000000" w:themeColor="text1"/>
              </w:rPr>
            </w:pPr>
            <w:r w:rsidRPr="002A25DC">
              <w:rPr>
                <w:color w:val="000000" w:themeColor="text1"/>
              </w:rPr>
              <w:t xml:space="preserve">M. </w:t>
            </w:r>
            <w:proofErr w:type="spellStart"/>
            <w:r w:rsidRPr="002A25DC">
              <w:rPr>
                <w:color w:val="000000" w:themeColor="text1"/>
              </w:rPr>
              <w:t>Chiacos</w:t>
            </w:r>
            <w:proofErr w:type="spellEnd"/>
            <w:r w:rsidRPr="002A25DC">
              <w:rPr>
                <w:color w:val="000000" w:themeColor="text1"/>
              </w:rPr>
              <w:t xml:space="preserve">’ </w:t>
            </w:r>
            <w:r w:rsidRPr="002A25DC" w:rsidR="006A6D31">
              <w:rPr>
                <w:color w:val="000000" w:themeColor="text1"/>
              </w:rPr>
              <w:t xml:space="preserve">2020 </w:t>
            </w:r>
            <w:r w:rsidRPr="002A25DC">
              <w:rPr>
                <w:color w:val="000000" w:themeColor="text1"/>
              </w:rPr>
              <w:t>hourly rate of $280</w:t>
            </w:r>
            <w:r w:rsidRPr="002A25DC" w:rsidR="003A787B">
              <w:rPr>
                <w:color w:val="000000" w:themeColor="text1"/>
              </w:rPr>
              <w:t xml:space="preserve"> approved in D.21-12-047 is based upon </w:t>
            </w:r>
            <w:r w:rsidRPr="002A25DC" w:rsidR="009A7484">
              <w:rPr>
                <w:color w:val="000000" w:themeColor="text1"/>
              </w:rPr>
              <w:t>14 year</w:t>
            </w:r>
            <w:r w:rsidRPr="002A25DC" w:rsidR="00FD456D">
              <w:rPr>
                <w:color w:val="000000" w:themeColor="text1"/>
              </w:rPr>
              <w:t>s</w:t>
            </w:r>
            <w:r w:rsidRPr="002A25DC" w:rsidR="000A7C98">
              <w:rPr>
                <w:color w:val="000000" w:themeColor="text1"/>
              </w:rPr>
              <w:t xml:space="preserve"> of relevant experience.</w:t>
            </w:r>
            <w:r w:rsidRPr="002A25DC" w:rsidR="008765CB">
              <w:rPr>
                <w:color w:val="000000" w:themeColor="text1"/>
              </w:rPr>
              <w:t xml:space="preserve">  </w:t>
            </w:r>
            <w:r w:rsidR="00DB1A67">
              <w:rPr>
                <w:color w:val="000000" w:themeColor="text1"/>
              </w:rPr>
              <w:t xml:space="preserve">M. </w:t>
            </w:r>
            <w:proofErr w:type="spellStart"/>
            <w:r w:rsidR="00DB1A67">
              <w:rPr>
                <w:color w:val="000000" w:themeColor="text1"/>
              </w:rPr>
              <w:t>Chiacos</w:t>
            </w:r>
            <w:proofErr w:type="spellEnd"/>
            <w:r w:rsidR="00DB1A67">
              <w:rPr>
                <w:color w:val="000000" w:themeColor="text1"/>
              </w:rPr>
              <w:t>’</w:t>
            </w:r>
            <w:r w:rsidRPr="002A25DC" w:rsidR="00DB1A67">
              <w:rPr>
                <w:color w:val="000000" w:themeColor="text1"/>
              </w:rPr>
              <w:t xml:space="preserve"> </w:t>
            </w:r>
            <w:r w:rsidRPr="002A25DC" w:rsidR="008765CB">
              <w:rPr>
                <w:color w:val="000000" w:themeColor="text1"/>
              </w:rPr>
              <w:t xml:space="preserve">15 </w:t>
            </w:r>
            <w:r w:rsidRPr="002A25DC" w:rsidR="00FD456D">
              <w:rPr>
                <w:color w:val="000000" w:themeColor="text1"/>
              </w:rPr>
              <w:t>years</w:t>
            </w:r>
            <w:r w:rsidR="00DB1A67">
              <w:rPr>
                <w:color w:val="000000" w:themeColor="text1"/>
              </w:rPr>
              <w:t xml:space="preserve"> of</w:t>
            </w:r>
            <w:r w:rsidRPr="002A25DC" w:rsidR="008765CB">
              <w:rPr>
                <w:color w:val="000000" w:themeColor="text1"/>
              </w:rPr>
              <w:t xml:space="preserve"> relevant experience in </w:t>
            </w:r>
            <w:r w:rsidR="0023391E">
              <w:rPr>
                <w:color w:val="000000" w:themeColor="text1"/>
              </w:rPr>
              <w:t>2022</w:t>
            </w:r>
            <w:r w:rsidRPr="002A25DC" w:rsidR="0023391E">
              <w:rPr>
                <w:color w:val="000000" w:themeColor="text1"/>
              </w:rPr>
              <w:t xml:space="preserve"> </w:t>
            </w:r>
            <w:r w:rsidRPr="002A25DC" w:rsidR="008765CB">
              <w:rPr>
                <w:color w:val="000000" w:themeColor="text1"/>
              </w:rPr>
              <w:t xml:space="preserve">qualifies him for the </w:t>
            </w:r>
            <w:r w:rsidRPr="002A25DC" w:rsidR="00B92228">
              <w:rPr>
                <w:color w:val="000000" w:themeColor="text1"/>
              </w:rPr>
              <w:t>E</w:t>
            </w:r>
            <w:r w:rsidRPr="002A25DC" w:rsidR="007E40DF">
              <w:rPr>
                <w:color w:val="000000" w:themeColor="text1"/>
              </w:rPr>
              <w:t>xpert – Energy &amp; Resources Expert – V range</w:t>
            </w:r>
            <w:r w:rsidR="00DB1A67">
              <w:rPr>
                <w:color w:val="000000" w:themeColor="text1"/>
              </w:rPr>
              <w:t xml:space="preserve"> with a 2022 rate range of $177.02 - $365.14</w:t>
            </w:r>
            <w:r w:rsidRPr="002A25DC" w:rsidR="005254AB">
              <w:rPr>
                <w:color w:val="000000" w:themeColor="text1"/>
              </w:rPr>
              <w:t xml:space="preserve">.  </w:t>
            </w:r>
            <w:r w:rsidRPr="002A25DC" w:rsidR="006B395C">
              <w:rPr>
                <w:color w:val="000000" w:themeColor="text1"/>
              </w:rPr>
              <w:t xml:space="preserve">Based on </w:t>
            </w:r>
            <w:proofErr w:type="spellStart"/>
            <w:r w:rsidRPr="002A25DC" w:rsidR="006B395C">
              <w:rPr>
                <w:color w:val="000000" w:themeColor="text1"/>
              </w:rPr>
              <w:t>Chiacos</w:t>
            </w:r>
            <w:proofErr w:type="spellEnd"/>
            <w:r w:rsidRPr="002A25DC" w:rsidR="006B395C">
              <w:rPr>
                <w:color w:val="000000" w:themeColor="text1"/>
              </w:rPr>
              <w:t>’ relevant experienc</w:t>
            </w:r>
            <w:r w:rsidRPr="002A25DC" w:rsidR="00491F56">
              <w:rPr>
                <w:color w:val="000000" w:themeColor="text1"/>
              </w:rPr>
              <w:t>e</w:t>
            </w:r>
            <w:r w:rsidRPr="002A25DC" w:rsidR="00222AEF">
              <w:rPr>
                <w:color w:val="000000" w:themeColor="text1"/>
              </w:rPr>
              <w:t xml:space="preserve">, we find </w:t>
            </w:r>
            <w:r w:rsidR="00DB1A67">
              <w:rPr>
                <w:color w:val="000000" w:themeColor="text1"/>
              </w:rPr>
              <w:t xml:space="preserve">a </w:t>
            </w:r>
            <w:r w:rsidRPr="002A25DC" w:rsidR="00491F56">
              <w:rPr>
                <w:color w:val="000000" w:themeColor="text1"/>
              </w:rPr>
              <w:t>202</w:t>
            </w:r>
            <w:r w:rsidRPr="002A25DC" w:rsidR="00537269">
              <w:rPr>
                <w:color w:val="000000" w:themeColor="text1"/>
              </w:rPr>
              <w:t>1</w:t>
            </w:r>
            <w:r w:rsidR="00DB1A67">
              <w:rPr>
                <w:color w:val="000000" w:themeColor="text1"/>
              </w:rPr>
              <w:t xml:space="preserve"> </w:t>
            </w:r>
            <w:r w:rsidRPr="002A25DC" w:rsidR="0039422F">
              <w:rPr>
                <w:color w:val="000000" w:themeColor="text1"/>
              </w:rPr>
              <w:t>rate</w:t>
            </w:r>
            <w:r w:rsidRPr="002A25DC" w:rsidR="00537269">
              <w:rPr>
                <w:color w:val="000000" w:themeColor="text1"/>
              </w:rPr>
              <w:t xml:space="preserve"> </w:t>
            </w:r>
            <w:r w:rsidR="00DB1A67">
              <w:rPr>
                <w:color w:val="000000" w:themeColor="text1"/>
              </w:rPr>
              <w:t>of</w:t>
            </w:r>
            <w:r w:rsidRPr="002A25DC" w:rsidR="00537269">
              <w:rPr>
                <w:color w:val="000000" w:themeColor="text1"/>
              </w:rPr>
              <w:t xml:space="preserve"> $280</w:t>
            </w:r>
            <w:r w:rsidR="00DB1A67">
              <w:rPr>
                <w:color w:val="000000" w:themeColor="text1"/>
              </w:rPr>
              <w:t>.00 reasonable, putting his rate above the median of $249.38.</w:t>
            </w:r>
          </w:p>
          <w:p w:rsidR="005B794E" w:rsidP="00F0294C" w:rsidRDefault="00DB1A67" w14:paraId="5BB056A2" w14:textId="65EA6269">
            <w:pPr>
              <w:tabs>
                <w:tab w:val="left" w:pos="1440"/>
              </w:tabs>
              <w:spacing w:before="60" w:after="60"/>
              <w:rPr>
                <w:color w:val="000000" w:themeColor="text1"/>
              </w:rPr>
            </w:pPr>
            <w:r>
              <w:rPr>
                <w:color w:val="000000" w:themeColor="text1"/>
              </w:rPr>
              <w:t>Based on the approved 2021 rate of $280.00 above, using our calculation methodology and including the 3.31% escalation factor and rounding to the nearest $5 increment:</w:t>
            </w:r>
          </w:p>
          <w:p w:rsidR="00DB1A67" w:rsidP="00F0294C" w:rsidRDefault="00DB1A67" w14:paraId="0B23A50A" w14:textId="77777777">
            <w:pPr>
              <w:tabs>
                <w:tab w:val="left" w:pos="1440"/>
              </w:tabs>
              <w:spacing w:before="60" w:after="60"/>
              <w:rPr>
                <w:color w:val="000000" w:themeColor="text1"/>
              </w:rPr>
            </w:pPr>
            <w:r>
              <w:rPr>
                <w:color w:val="000000" w:themeColor="text1"/>
              </w:rPr>
              <w:lastRenderedPageBreak/>
              <w:t>2021: $280.00</w:t>
            </w:r>
          </w:p>
          <w:p w:rsidR="00DB1A67" w:rsidP="00F0294C" w:rsidRDefault="00DB1A67" w14:paraId="5C56C785" w14:textId="77777777">
            <w:pPr>
              <w:tabs>
                <w:tab w:val="left" w:pos="1440"/>
              </w:tabs>
              <w:spacing w:before="60" w:after="60"/>
              <w:rPr>
                <w:color w:val="000000" w:themeColor="text1"/>
              </w:rPr>
            </w:pPr>
            <w:r>
              <w:rPr>
                <w:color w:val="000000" w:themeColor="text1"/>
              </w:rPr>
              <w:t xml:space="preserve">2022: $280.00 x 1.0331 = </w:t>
            </w:r>
            <w:r w:rsidR="00F00AC2">
              <w:rPr>
                <w:color w:val="000000" w:themeColor="text1"/>
              </w:rPr>
              <w:t>$290.00</w:t>
            </w:r>
          </w:p>
          <w:p w:rsidRPr="002A25DC" w:rsidR="00F00AC2" w:rsidP="00F0294C" w:rsidRDefault="00F00AC2" w14:paraId="48407B43" w14:textId="1681A1B3">
            <w:pPr>
              <w:tabs>
                <w:tab w:val="left" w:pos="1440"/>
              </w:tabs>
              <w:spacing w:before="60" w:after="60"/>
              <w:rPr>
                <w:color w:val="000000" w:themeColor="text1"/>
              </w:rPr>
            </w:pPr>
            <w:r>
              <w:rPr>
                <w:color w:val="000000" w:themeColor="text1"/>
              </w:rPr>
              <w:t>We find a 2022 rate of $290.00 reasonable and adopt it here.</w:t>
            </w:r>
          </w:p>
        </w:tc>
      </w:tr>
      <w:tr w:rsidRPr="002C3C44" w:rsidR="002C3C44" w:rsidTr="005177A7" w14:paraId="30992B00" w14:textId="77777777">
        <w:tc>
          <w:tcPr>
            <w:tcW w:w="2065" w:type="dxa"/>
            <w:shd w:val="clear" w:color="auto" w:fill="auto"/>
          </w:tcPr>
          <w:p w:rsidRPr="002C3C44" w:rsidR="000D3B09" w:rsidP="00F0294C" w:rsidRDefault="000D3B09" w14:paraId="3057CA96" w14:textId="638E748D">
            <w:pPr>
              <w:tabs>
                <w:tab w:val="left" w:pos="1440"/>
              </w:tabs>
              <w:spacing w:before="60" w:after="60"/>
            </w:pPr>
            <w:r w:rsidRPr="002C3C44">
              <w:lastRenderedPageBreak/>
              <w:t>[</w:t>
            </w:r>
            <w:r w:rsidRPr="002C3C44" w:rsidR="00751DE5">
              <w:t>7</w:t>
            </w:r>
            <w:r w:rsidRPr="002C3C44">
              <w:t xml:space="preserve">] M. </w:t>
            </w:r>
            <w:proofErr w:type="spellStart"/>
            <w:r w:rsidRPr="002C3C44">
              <w:t>Chiacos</w:t>
            </w:r>
            <w:proofErr w:type="spellEnd"/>
            <w:r w:rsidRPr="002C3C44" w:rsidR="005B794E">
              <w:t xml:space="preserve"> 2022 hours</w:t>
            </w:r>
          </w:p>
        </w:tc>
        <w:tc>
          <w:tcPr>
            <w:tcW w:w="7295" w:type="dxa"/>
            <w:shd w:val="clear" w:color="auto" w:fill="auto"/>
          </w:tcPr>
          <w:p w:rsidRPr="002C3C44" w:rsidR="000D3B09" w:rsidP="00F0294C" w:rsidRDefault="005B794E" w14:paraId="3303B73B" w14:textId="6589C973">
            <w:pPr>
              <w:tabs>
                <w:tab w:val="left" w:pos="1440"/>
              </w:tabs>
              <w:spacing w:before="60" w:after="60"/>
            </w:pPr>
            <w:r w:rsidRPr="002C3C44">
              <w:t xml:space="preserve">M. </w:t>
            </w:r>
            <w:proofErr w:type="spellStart"/>
            <w:r w:rsidRPr="002C3C44">
              <w:t>Chiacos</w:t>
            </w:r>
            <w:proofErr w:type="spellEnd"/>
            <w:r w:rsidRPr="002C3C44" w:rsidR="00F9148F">
              <w:t>’</w:t>
            </w:r>
            <w:r w:rsidRPr="002C3C44">
              <w:t xml:space="preserve"> hours are reduced</w:t>
            </w:r>
            <w:r w:rsidRPr="002C3C44" w:rsidR="00E7363B">
              <w:t xml:space="preserve"> </w:t>
            </w:r>
            <w:r w:rsidRPr="002C3C44" w:rsidR="00CC45B0">
              <w:t xml:space="preserve">by 2.25 </w:t>
            </w:r>
            <w:r w:rsidRPr="002C3C44" w:rsidR="00E7363B">
              <w:t>due</w:t>
            </w:r>
            <w:r w:rsidR="007A328D">
              <w:t xml:space="preserve"> to</w:t>
            </w:r>
            <w:r w:rsidRPr="002C3C44" w:rsidR="00E7363B">
              <w:t xml:space="preserve"> </w:t>
            </w:r>
            <w:r w:rsidRPr="002C3C44" w:rsidR="002B5458">
              <w:t xml:space="preserve">duplicate efforts on external calls and meetings where </w:t>
            </w:r>
            <w:r w:rsidRPr="002C3C44" w:rsidR="00652AE9">
              <w:t xml:space="preserve">more senior </w:t>
            </w:r>
            <w:r w:rsidRPr="002C3C44" w:rsidR="002B5458">
              <w:t xml:space="preserve">GPI staff </w:t>
            </w:r>
            <w:r w:rsidRPr="002C3C44" w:rsidR="000511C9">
              <w:t>were</w:t>
            </w:r>
            <w:r w:rsidRPr="002C3C44" w:rsidR="002B5458">
              <w:t xml:space="preserve"> present.</w:t>
            </w:r>
            <w:r w:rsidRPr="002C3C44" w:rsidR="002A5272">
              <w:rPr>
                <w:rStyle w:val="FootnoteReference"/>
              </w:rPr>
              <w:footnoteReference w:id="11"/>
            </w:r>
            <w:r w:rsidRPr="002C3C44" w:rsidR="00820C2E">
              <w:t xml:space="preserve"> </w:t>
            </w:r>
          </w:p>
        </w:tc>
      </w:tr>
      <w:tr w:rsidRPr="002C3C44" w:rsidR="002C3C44" w:rsidTr="005177A7" w14:paraId="499B3B65" w14:textId="77777777">
        <w:tc>
          <w:tcPr>
            <w:tcW w:w="2065" w:type="dxa"/>
            <w:shd w:val="clear" w:color="auto" w:fill="auto"/>
          </w:tcPr>
          <w:p w:rsidRPr="002C3C44" w:rsidR="00AE3741" w:rsidP="00F0294C" w:rsidRDefault="00AE3741" w14:paraId="7B943278" w14:textId="7147748D">
            <w:pPr>
              <w:tabs>
                <w:tab w:val="left" w:pos="1440"/>
              </w:tabs>
              <w:spacing w:before="60" w:after="60"/>
            </w:pPr>
            <w:r w:rsidRPr="002C3C44">
              <w:t>[</w:t>
            </w:r>
            <w:r w:rsidRPr="002C3C44" w:rsidR="00751DE5">
              <w:t>8</w:t>
            </w:r>
            <w:r w:rsidRPr="002C3C44">
              <w:t xml:space="preserve">] G. Morris </w:t>
            </w:r>
            <w:r w:rsidRPr="002C3C44" w:rsidR="00F00AC2">
              <w:t>2023 R</w:t>
            </w:r>
            <w:r w:rsidRPr="002C3C44">
              <w:t>ate</w:t>
            </w:r>
            <w:r w:rsidRPr="002C3C44" w:rsidR="0008213C">
              <w:t xml:space="preserve"> and hours</w:t>
            </w:r>
          </w:p>
        </w:tc>
        <w:tc>
          <w:tcPr>
            <w:tcW w:w="7295" w:type="dxa"/>
            <w:shd w:val="clear" w:color="auto" w:fill="auto"/>
          </w:tcPr>
          <w:p w:rsidRPr="002C3C44" w:rsidR="00DC4C92" w:rsidP="00F0294C" w:rsidRDefault="00DC4C92" w14:paraId="70A470ED" w14:textId="545227A3">
            <w:pPr>
              <w:tabs>
                <w:tab w:val="left" w:pos="1440"/>
              </w:tabs>
              <w:spacing w:before="60" w:after="60"/>
            </w:pPr>
            <w:r w:rsidRPr="002C3C44">
              <w:t>Submitted timesheets reflect Intervenor Compensation claim preparation was performed in 2023. G. Morris’ approved hourly rate of $465 from 202</w:t>
            </w:r>
            <w:r w:rsidRPr="002C3C44" w:rsidR="00094EDA">
              <w:t>2</w:t>
            </w:r>
            <w:r w:rsidRPr="002C3C44">
              <w:t xml:space="preserve"> is escalated by the 4.46% rate to arrive at a 2023 rate of $485. Half of this rate is $242.50.</w:t>
            </w:r>
          </w:p>
          <w:p w:rsidRPr="002C3C44" w:rsidR="00DC4C92" w:rsidP="00F0294C" w:rsidRDefault="00DC4C92" w14:paraId="6F8D1979" w14:textId="77777777">
            <w:pPr>
              <w:tabs>
                <w:tab w:val="left" w:pos="1440"/>
              </w:tabs>
              <w:spacing w:before="60" w:after="60"/>
            </w:pPr>
            <w:r w:rsidRPr="002C3C44">
              <w:t>D.23-11-036 verified a 2022 rate of $465.00. Using our calculation methodology, based on the approved 2022 rate of $465.00, the 4.46% 2023 escalation factor and rounding to the nearest $5 increment:</w:t>
            </w:r>
          </w:p>
          <w:p w:rsidRPr="002C3C44" w:rsidR="00DC4C92" w:rsidP="00F0294C" w:rsidRDefault="00DC4C92" w14:paraId="13172E05" w14:textId="697AAA25">
            <w:pPr>
              <w:tabs>
                <w:tab w:val="left" w:pos="1440"/>
              </w:tabs>
              <w:spacing w:before="60" w:after="60"/>
            </w:pPr>
            <w:r w:rsidRPr="002C3C44">
              <w:t>2023: $465 x 1.0446 = $485.00</w:t>
            </w:r>
          </w:p>
          <w:p w:rsidRPr="002C3C44" w:rsidR="00DC4C92" w:rsidP="00F0294C" w:rsidRDefault="00DC4C92" w14:paraId="21685644" w14:textId="444B9E74">
            <w:pPr>
              <w:tabs>
                <w:tab w:val="left" w:pos="1440"/>
              </w:tabs>
              <w:spacing w:before="60" w:after="60"/>
            </w:pPr>
            <w:r w:rsidRPr="002C3C44">
              <w:t xml:space="preserve">We find the 2023 rate of $485.00 reasonable and adopt it here. Intervenor Compensation claim preparation is rated at ½ preparer’s normal rate, bringing </w:t>
            </w:r>
            <w:r w:rsidRPr="002C3C44" w:rsidR="0008213C">
              <w:t xml:space="preserve">the </w:t>
            </w:r>
            <w:r w:rsidRPr="002C3C44">
              <w:t>claim preparation</w:t>
            </w:r>
            <w:r w:rsidRPr="002C3C44" w:rsidR="0008213C">
              <w:t xml:space="preserve"> rate</w:t>
            </w:r>
            <w:r w:rsidRPr="002C3C44">
              <w:t xml:space="preserve"> to $242.50.</w:t>
            </w:r>
          </w:p>
          <w:p w:rsidRPr="002C3C44" w:rsidR="00AE3741" w:rsidP="00F0294C" w:rsidRDefault="0008213C" w14:paraId="7F610F77" w14:textId="207BF4A6">
            <w:pPr>
              <w:tabs>
                <w:tab w:val="left" w:pos="1440"/>
              </w:tabs>
              <w:spacing w:before="60" w:after="60"/>
            </w:pPr>
            <w:r w:rsidRPr="002C3C44">
              <w:t>Submitted timesheets also reflect 19 hours</w:t>
            </w:r>
            <w:r w:rsidRPr="002C3C44" w:rsidR="00EE24B7">
              <w:t xml:space="preserve"> spent on this task rather than the 16 hours input by GPI into </w:t>
            </w:r>
            <w:r w:rsidRPr="002C3C44" w:rsidR="001777EC">
              <w:t>3.B.</w:t>
            </w:r>
          </w:p>
        </w:tc>
      </w:tr>
      <w:tr w:rsidRPr="007F620E" w:rsidR="00EE24B7" w:rsidTr="005177A7" w14:paraId="76C33558" w14:textId="77777777">
        <w:tc>
          <w:tcPr>
            <w:tcW w:w="2065" w:type="dxa"/>
            <w:shd w:val="clear" w:color="auto" w:fill="auto"/>
          </w:tcPr>
          <w:p w:rsidR="00D91CA3" w:rsidP="00F0294C" w:rsidRDefault="00751DE5" w14:paraId="2409CEB7" w14:textId="4BBD9C7E">
            <w:pPr>
              <w:tabs>
                <w:tab w:val="left" w:pos="1440"/>
              </w:tabs>
              <w:spacing w:before="60" w:after="60"/>
              <w:rPr>
                <w:color w:val="000000"/>
              </w:rPr>
            </w:pPr>
            <w:r>
              <w:rPr>
                <w:color w:val="000000"/>
              </w:rPr>
              <w:t>[9]</w:t>
            </w:r>
            <w:r w:rsidR="00097736">
              <w:rPr>
                <w:color w:val="000000"/>
              </w:rPr>
              <w:t xml:space="preserve"> G. Morris 2023 </w:t>
            </w:r>
            <w:r w:rsidR="002E6CDC">
              <w:rPr>
                <w:color w:val="000000"/>
              </w:rPr>
              <w:t xml:space="preserve">– Disallowance for </w:t>
            </w:r>
            <w:r w:rsidR="00C645E7">
              <w:rPr>
                <w:color w:val="000000"/>
              </w:rPr>
              <w:t>excessive claim preparation hours</w:t>
            </w:r>
          </w:p>
        </w:tc>
        <w:tc>
          <w:tcPr>
            <w:tcW w:w="7295" w:type="dxa"/>
            <w:shd w:val="clear" w:color="auto" w:fill="auto"/>
          </w:tcPr>
          <w:p w:rsidR="00D91CA3" w:rsidP="00F0294C" w:rsidRDefault="00D91CA3" w14:paraId="274BFF40" w14:textId="4D461EC0">
            <w:pPr>
              <w:tabs>
                <w:tab w:val="left" w:pos="1440"/>
              </w:tabs>
              <w:spacing w:before="60" w:after="60"/>
              <w:rPr>
                <w:color w:val="000000"/>
              </w:rPr>
            </w:pPr>
            <w:r>
              <w:rPr>
                <w:color w:val="000000"/>
              </w:rPr>
              <w:t>G</w:t>
            </w:r>
            <w:r w:rsidR="00550B43">
              <w:rPr>
                <w:color w:val="000000"/>
              </w:rPr>
              <w:t>PI’s</w:t>
            </w:r>
            <w:r>
              <w:rPr>
                <w:color w:val="000000"/>
              </w:rPr>
              <w:t xml:space="preserve"> intervenor compensation </w:t>
            </w:r>
            <w:r w:rsidR="00BC7208">
              <w:rPr>
                <w:color w:val="000000"/>
              </w:rPr>
              <w:t xml:space="preserve">request </w:t>
            </w:r>
            <w:r>
              <w:rPr>
                <w:color w:val="000000"/>
              </w:rPr>
              <w:t>prep</w:t>
            </w:r>
            <w:r w:rsidR="00C645E7">
              <w:rPr>
                <w:color w:val="000000"/>
              </w:rPr>
              <w:t>aration hours</w:t>
            </w:r>
            <w:r>
              <w:rPr>
                <w:color w:val="000000"/>
              </w:rPr>
              <w:t xml:space="preserve"> </w:t>
            </w:r>
            <w:r w:rsidR="00C645E7">
              <w:rPr>
                <w:color w:val="000000"/>
              </w:rPr>
              <w:t xml:space="preserve">total 19, </w:t>
            </w:r>
            <w:r w:rsidR="00550B43">
              <w:rPr>
                <w:color w:val="000000"/>
              </w:rPr>
              <w:t xml:space="preserve">greater than any other party </w:t>
            </w:r>
            <w:r w:rsidR="00C645E7">
              <w:rPr>
                <w:color w:val="000000"/>
              </w:rPr>
              <w:t xml:space="preserve">in this proceeding.  </w:t>
            </w:r>
            <w:r w:rsidR="009756ED">
              <w:rPr>
                <w:color w:val="000000"/>
              </w:rPr>
              <w:t xml:space="preserve">This </w:t>
            </w:r>
            <w:r w:rsidR="00BC7208">
              <w:rPr>
                <w:color w:val="000000"/>
              </w:rPr>
              <w:t xml:space="preserve">request includes </w:t>
            </w:r>
            <w:r w:rsidR="006F402C">
              <w:rPr>
                <w:color w:val="000000"/>
              </w:rPr>
              <w:t xml:space="preserve">line items such as </w:t>
            </w:r>
            <w:r w:rsidR="00AE1B9C">
              <w:rPr>
                <w:color w:val="000000"/>
              </w:rPr>
              <w:t xml:space="preserve">attending webinars and having </w:t>
            </w:r>
            <w:r w:rsidR="00C73DFE">
              <w:rPr>
                <w:color w:val="000000"/>
              </w:rPr>
              <w:t>the full team attend meetings that could be efficiently addressed by the project lead</w:t>
            </w:r>
            <w:r w:rsidR="00E9231B">
              <w:rPr>
                <w:color w:val="000000"/>
              </w:rPr>
              <w:t xml:space="preserve">.  </w:t>
            </w:r>
            <w:r w:rsidR="005A77E3">
              <w:rPr>
                <w:color w:val="000000"/>
              </w:rPr>
              <w:t xml:space="preserve">The number of hours </w:t>
            </w:r>
            <w:r w:rsidR="00AC0217">
              <w:rPr>
                <w:color w:val="000000"/>
              </w:rPr>
              <w:t>is</w:t>
            </w:r>
            <w:r w:rsidR="005A77E3">
              <w:rPr>
                <w:color w:val="000000"/>
              </w:rPr>
              <w:t xml:space="preserve"> excessive </w:t>
            </w:r>
            <w:r w:rsidR="00C21EBC">
              <w:rPr>
                <w:color w:val="000000"/>
              </w:rPr>
              <w:t xml:space="preserve">given </w:t>
            </w:r>
            <w:r w:rsidR="005A77E3">
              <w:rPr>
                <w:color w:val="000000"/>
              </w:rPr>
              <w:t>the diligence of the review</w:t>
            </w:r>
            <w:r w:rsidR="00C21EBC">
              <w:rPr>
                <w:color w:val="000000"/>
              </w:rPr>
              <w:t xml:space="preserve"> by the intervenor of this claim</w:t>
            </w:r>
            <w:r w:rsidR="005A77E3">
              <w:rPr>
                <w:color w:val="000000"/>
              </w:rPr>
              <w:t xml:space="preserve"> and the level of contribution of this party.</w:t>
            </w:r>
            <w:r w:rsidR="00DD3C63">
              <w:rPr>
                <w:color w:val="000000"/>
              </w:rPr>
              <w:t xml:space="preserve">  The total number of hours is adjusted</w:t>
            </w:r>
            <w:r w:rsidR="002107B9">
              <w:rPr>
                <w:color w:val="000000"/>
              </w:rPr>
              <w:t xml:space="preserve"> downward</w:t>
            </w:r>
            <w:r w:rsidR="00DD3C63">
              <w:rPr>
                <w:color w:val="000000"/>
              </w:rPr>
              <w:t xml:space="preserve"> by one third, re</w:t>
            </w:r>
            <w:r w:rsidR="002107B9">
              <w:rPr>
                <w:color w:val="000000"/>
              </w:rPr>
              <w:t xml:space="preserve">ducing G. Morris’ </w:t>
            </w:r>
            <w:r w:rsidR="00783E99">
              <w:rPr>
                <w:color w:val="000000"/>
              </w:rPr>
              <w:t xml:space="preserve">2023 total hours to </w:t>
            </w:r>
            <w:r w:rsidR="008B4BD4">
              <w:rPr>
                <w:color w:val="000000"/>
              </w:rPr>
              <w:t>12.67</w:t>
            </w:r>
            <w:r w:rsidR="00F365BE">
              <w:rPr>
                <w:color w:val="000000"/>
              </w:rPr>
              <w:t>.</w:t>
            </w:r>
          </w:p>
        </w:tc>
      </w:tr>
    </w:tbl>
    <w:p w:rsidRPr="00F0294C" w:rsidR="00A92D0B" w:rsidP="005E3E0A" w:rsidRDefault="00A92D0B" w14:paraId="18E9D359" w14:textId="05494811">
      <w:pPr>
        <w:pStyle w:val="Dummy"/>
        <w:keepLines w:val="0"/>
        <w:spacing w:before="480" w:after="0"/>
        <w:jc w:val="center"/>
        <w:rPr>
          <w:rFonts w:ascii="Times New Roman" w:hAnsi="Times New Roman" w:cs="Times New Roman"/>
          <w:color w:val="000000"/>
        </w:rPr>
      </w:pPr>
      <w:r w:rsidRPr="00F0294C">
        <w:rPr>
          <w:rFonts w:ascii="Times New Roman" w:hAnsi="Times New Roman" w:cs="Times New Roman"/>
          <w:color w:val="000000"/>
        </w:rPr>
        <w:t>PART IV:</w:t>
      </w:r>
      <w:r w:rsidRPr="00F0294C" w:rsidR="00F0294C">
        <w:rPr>
          <w:rFonts w:ascii="Times New Roman" w:hAnsi="Times New Roman" w:cs="Times New Roman"/>
          <w:color w:val="000000"/>
        </w:rPr>
        <w:t xml:space="preserve">  </w:t>
      </w:r>
      <w:r w:rsidRPr="00F0294C">
        <w:rPr>
          <w:rFonts w:ascii="Times New Roman" w:hAnsi="Times New Roman" w:cs="Times New Roman"/>
          <w:color w:val="000000"/>
        </w:rPr>
        <w:t>OPPOSITIONS AND COMMENTS</w:t>
      </w:r>
    </w:p>
    <w:p w:rsidRPr="007F620E" w:rsidR="00A92D0B" w:rsidP="005E3E0A" w:rsidRDefault="00A92D0B" w14:paraId="5D5DC317" w14:textId="244611EA">
      <w:pPr>
        <w:keepNext/>
        <w:jc w:val="center"/>
        <w:rPr>
          <w:b/>
          <w:color w:val="000000"/>
        </w:rPr>
      </w:pPr>
      <w:r w:rsidRPr="007F620E">
        <w:rPr>
          <w:b/>
          <w:color w:val="000000"/>
        </w:rPr>
        <w:t>Within 30 days after service of this Claim, Commission Staff</w:t>
      </w:r>
      <w:r w:rsidR="00F20061">
        <w:rPr>
          <w:b/>
          <w:color w:val="000000"/>
        </w:rPr>
        <w:t xml:space="preserve"> </w:t>
      </w:r>
      <w:r w:rsidRPr="007F620E">
        <w:rPr>
          <w:b/>
          <w:color w:val="000000"/>
        </w:rPr>
        <w:t>or any other</w:t>
      </w:r>
      <w:r w:rsidR="00F0294C">
        <w:rPr>
          <w:b/>
          <w:color w:val="000000"/>
        </w:rPr>
        <w:br/>
      </w:r>
      <w:r w:rsidRPr="007F620E">
        <w:rPr>
          <w:b/>
          <w:color w:val="000000"/>
        </w:rPr>
        <w:t>party may file a response to the Claim (</w:t>
      </w:r>
      <w:r w:rsidRPr="007F620E">
        <w:rPr>
          <w:b/>
          <w:i/>
          <w:color w:val="000000"/>
        </w:rPr>
        <w:t>see</w:t>
      </w:r>
      <w:r w:rsidRPr="007F620E">
        <w:rPr>
          <w:b/>
          <w:color w:val="000000"/>
        </w:rPr>
        <w:t xml:space="preserve"> § 1804(c))</w:t>
      </w:r>
    </w:p>
    <w:p w:rsidRPr="007F620E" w:rsidR="00A92D0B" w:rsidP="005E3E0A" w:rsidRDefault="00A92D0B" w14:paraId="71122750" w14:textId="77777777">
      <w:pPr>
        <w:keepNext/>
        <w:tabs>
          <w:tab w:val="left" w:pos="1260"/>
        </w:tabs>
        <w:spacing w:before="60"/>
        <w:ind w:left="1267" w:hanging="1267"/>
        <w:jc w:val="center"/>
        <w:rPr>
          <w:color w:val="000000"/>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7555"/>
        <w:gridCol w:w="1805"/>
      </w:tblGrid>
      <w:tr w:rsidRPr="007F620E" w:rsidR="00A92D0B" w:rsidTr="00F0294C" w14:paraId="46A51699" w14:textId="77777777">
        <w:tc>
          <w:tcPr>
            <w:tcW w:w="7555" w:type="dxa"/>
            <w:shd w:val="clear" w:color="auto" w:fill="auto"/>
          </w:tcPr>
          <w:p w:rsidRPr="007F620E" w:rsidR="00A92D0B" w:rsidP="005E3E0A" w:rsidRDefault="00A92D0B" w14:paraId="607B1FB9" w14:textId="77777777">
            <w:pPr>
              <w:keepNext/>
              <w:spacing w:after="240"/>
              <w:rPr>
                <w:color w:val="000000"/>
              </w:rPr>
            </w:pPr>
            <w:r w:rsidRPr="007F620E">
              <w:rPr>
                <w:b/>
                <w:color w:val="000000"/>
              </w:rPr>
              <w:t>A.  Opposition:  Did any party oppose the Claim?</w:t>
            </w:r>
          </w:p>
        </w:tc>
        <w:tc>
          <w:tcPr>
            <w:tcW w:w="1805" w:type="dxa"/>
            <w:shd w:val="clear" w:color="auto" w:fill="auto"/>
          </w:tcPr>
          <w:p w:rsidRPr="007F620E" w:rsidR="00A92D0B" w:rsidP="005A238F" w:rsidRDefault="001B15BD" w14:paraId="6E7CD931" w14:textId="2396D29C">
            <w:pPr>
              <w:keepNext/>
              <w:spacing w:after="240"/>
              <w:jc w:val="center"/>
              <w:rPr>
                <w:color w:val="000000"/>
              </w:rPr>
            </w:pPr>
            <w:r>
              <w:rPr>
                <w:color w:val="000000"/>
              </w:rPr>
              <w:t>No</w:t>
            </w:r>
          </w:p>
        </w:tc>
      </w:tr>
    </w:tbl>
    <w:p w:rsidRPr="007F620E" w:rsidR="00A92D0B" w:rsidP="005E3E0A" w:rsidRDefault="00A92D0B" w14:paraId="23420BFC" w14:textId="77777777">
      <w:pPr>
        <w:keepNext/>
        <w:tabs>
          <w:tab w:val="left" w:pos="1260"/>
        </w:tabs>
        <w:spacing w:before="60"/>
        <w:ind w:left="1267" w:hanging="1267"/>
        <w:jc w:val="center"/>
        <w:rPr>
          <w:color w:val="000000"/>
        </w:rPr>
      </w:pP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8" w:type="dxa"/>
          <w:bottom w:w="58" w:type="dxa"/>
        </w:tblCellMar>
        <w:tblLook w:val="01E0" w:firstRow="1" w:lastRow="1" w:firstColumn="1" w:lastColumn="1" w:noHBand="0" w:noVBand="0"/>
      </w:tblPr>
      <w:tblGrid>
        <w:gridCol w:w="7555"/>
        <w:gridCol w:w="1805"/>
      </w:tblGrid>
      <w:tr w:rsidRPr="007F620E" w:rsidR="00D7353B" w:rsidTr="005A238F" w14:paraId="23D45A1A" w14:textId="77777777">
        <w:tc>
          <w:tcPr>
            <w:tcW w:w="7555" w:type="dxa"/>
            <w:shd w:val="clear" w:color="auto" w:fill="auto"/>
          </w:tcPr>
          <w:p w:rsidRPr="007F620E" w:rsidR="00D7353B" w:rsidP="007C413E" w:rsidRDefault="00D7353B" w14:paraId="10B66456" w14:textId="77777777">
            <w:pPr>
              <w:ind w:left="360" w:hanging="360"/>
              <w:rPr>
                <w:color w:val="000000"/>
              </w:rPr>
            </w:pPr>
            <w:r w:rsidRPr="007F620E">
              <w:rPr>
                <w:b/>
                <w:color w:val="000000"/>
              </w:rPr>
              <w:t>B.</w:t>
            </w:r>
            <w:r>
              <w:rPr>
                <w:b/>
                <w:color w:val="000000"/>
              </w:rPr>
              <w:tab/>
            </w:r>
            <w:r w:rsidRPr="007F620E">
              <w:rPr>
                <w:b/>
                <w:color w:val="000000"/>
              </w:rPr>
              <w:t>Comment Period:  Was the 30-day comment period waived (</w:t>
            </w:r>
            <w:r w:rsidRPr="007F620E">
              <w:rPr>
                <w:b/>
                <w:i/>
                <w:color w:val="000000"/>
              </w:rPr>
              <w:t>see</w:t>
            </w:r>
            <w:r>
              <w:rPr>
                <w:b/>
                <w:color w:val="000000"/>
              </w:rPr>
              <w:t> </w:t>
            </w:r>
            <w:r w:rsidRPr="007F620E">
              <w:rPr>
                <w:b/>
                <w:color w:val="000000"/>
              </w:rPr>
              <w:t>Rule 14.6(c)(6))?</w:t>
            </w:r>
          </w:p>
        </w:tc>
        <w:tc>
          <w:tcPr>
            <w:tcW w:w="1805" w:type="dxa"/>
            <w:shd w:val="clear" w:color="auto" w:fill="auto"/>
          </w:tcPr>
          <w:p w:rsidRPr="007F620E" w:rsidR="00D7353B" w:rsidP="007C413E" w:rsidRDefault="00D7353B" w14:paraId="4033F1E9" w14:textId="77777777">
            <w:pPr>
              <w:keepNext/>
              <w:keepLines/>
              <w:spacing w:after="240"/>
              <w:jc w:val="center"/>
              <w:rPr>
                <w:color w:val="000000"/>
              </w:rPr>
            </w:pPr>
            <w:r>
              <w:rPr>
                <w:color w:val="000000"/>
              </w:rPr>
              <w:t>No</w:t>
            </w:r>
          </w:p>
        </w:tc>
      </w:tr>
    </w:tbl>
    <w:p w:rsidR="00D7353B" w:rsidP="00D7353B" w:rsidRDefault="00D7353B" w14:paraId="249164D9" w14:textId="77777777">
      <w:pPr>
        <w:keepNext/>
        <w:keepLines/>
        <w:spacing w:after="240"/>
        <w:ind w:firstLine="907"/>
        <w:rPr>
          <w:color w:val="000000"/>
        </w:rPr>
      </w:pPr>
      <w:r w:rsidRPr="007F620E">
        <w:rPr>
          <w:color w:val="000000"/>
        </w:rPr>
        <w:lastRenderedPageBreak/>
        <w:t>If not:</w:t>
      </w:r>
    </w:p>
    <w:tbl>
      <w:tblPr>
        <w:tblW w:w="9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251"/>
        <w:gridCol w:w="4011"/>
        <w:gridCol w:w="4098"/>
      </w:tblGrid>
      <w:tr w:rsidRPr="00D7353B" w:rsidR="00D7353B" w:rsidTr="005A238F" w14:paraId="175FC3B1" w14:textId="77777777">
        <w:tc>
          <w:tcPr>
            <w:tcW w:w="1260" w:type="dxa"/>
            <w:shd w:val="pct12" w:color="auto" w:fill="auto"/>
          </w:tcPr>
          <w:p w:rsidRPr="00D7353B" w:rsidR="00D7353B" w:rsidP="00D7353B" w:rsidRDefault="00D7353B" w14:paraId="443EDA48" w14:textId="77777777">
            <w:pPr>
              <w:keepNext/>
              <w:keepLines/>
              <w:widowControl w:val="0"/>
              <w:autoSpaceDE w:val="0"/>
              <w:autoSpaceDN w:val="0"/>
              <w:spacing w:before="120"/>
              <w:jc w:val="center"/>
              <w:rPr>
                <w:b/>
                <w:color w:val="000000"/>
                <w:sz w:val="22"/>
                <w:szCs w:val="22"/>
              </w:rPr>
            </w:pPr>
            <w:bookmarkStart w:name="_Hlk161647177" w:id="6"/>
            <w:r w:rsidRPr="00D7353B">
              <w:rPr>
                <w:b/>
                <w:color w:val="000000"/>
                <w:sz w:val="22"/>
                <w:szCs w:val="22"/>
              </w:rPr>
              <w:t>Party</w:t>
            </w:r>
          </w:p>
        </w:tc>
        <w:tc>
          <w:tcPr>
            <w:tcW w:w="4050" w:type="dxa"/>
            <w:shd w:val="pct12" w:color="auto" w:fill="auto"/>
          </w:tcPr>
          <w:p w:rsidRPr="00D7353B" w:rsidR="00D7353B" w:rsidP="00D7353B" w:rsidRDefault="00D7353B" w14:paraId="3A48C523" w14:textId="77777777">
            <w:pPr>
              <w:keepNext/>
              <w:keepLines/>
              <w:widowControl w:val="0"/>
              <w:autoSpaceDE w:val="0"/>
              <w:autoSpaceDN w:val="0"/>
              <w:spacing w:before="120"/>
              <w:jc w:val="center"/>
              <w:rPr>
                <w:color w:val="000000"/>
                <w:sz w:val="22"/>
                <w:szCs w:val="22"/>
              </w:rPr>
            </w:pPr>
            <w:r w:rsidRPr="00D7353B">
              <w:rPr>
                <w:b/>
                <w:color w:val="000000"/>
                <w:sz w:val="22"/>
                <w:szCs w:val="22"/>
              </w:rPr>
              <w:t>Comment</w:t>
            </w:r>
          </w:p>
        </w:tc>
        <w:tc>
          <w:tcPr>
            <w:tcW w:w="4140" w:type="dxa"/>
            <w:shd w:val="pct12" w:color="auto" w:fill="auto"/>
          </w:tcPr>
          <w:p w:rsidRPr="00D7353B" w:rsidR="00D7353B" w:rsidP="00D7353B" w:rsidRDefault="00D7353B" w14:paraId="14BFA669" w14:textId="77777777">
            <w:pPr>
              <w:keepNext/>
              <w:keepLines/>
              <w:widowControl w:val="0"/>
              <w:autoSpaceDE w:val="0"/>
              <w:autoSpaceDN w:val="0"/>
              <w:spacing w:before="120"/>
              <w:jc w:val="center"/>
              <w:rPr>
                <w:color w:val="000000"/>
                <w:sz w:val="22"/>
                <w:szCs w:val="22"/>
              </w:rPr>
            </w:pPr>
            <w:r w:rsidRPr="00D7353B">
              <w:rPr>
                <w:b/>
                <w:color w:val="000000"/>
                <w:sz w:val="22"/>
                <w:szCs w:val="22"/>
              </w:rPr>
              <w:t>CPUC Discussion</w:t>
            </w:r>
          </w:p>
        </w:tc>
      </w:tr>
      <w:tr w:rsidRPr="00D7353B" w:rsidR="00D7353B" w:rsidTr="005A238F" w14:paraId="67698948" w14:textId="77777777">
        <w:tc>
          <w:tcPr>
            <w:tcW w:w="1260" w:type="dxa"/>
            <w:shd w:val="clear" w:color="auto" w:fill="auto"/>
          </w:tcPr>
          <w:p w:rsidRPr="00D7353B" w:rsidR="00D7353B" w:rsidP="00D7353B" w:rsidRDefault="00D7353B" w14:paraId="4FE323F5" w14:textId="77777777">
            <w:pPr>
              <w:keepNext/>
              <w:keepLines/>
              <w:widowControl w:val="0"/>
              <w:autoSpaceDE w:val="0"/>
              <w:autoSpaceDN w:val="0"/>
              <w:spacing w:before="120"/>
              <w:rPr>
                <w:color w:val="000000"/>
                <w:sz w:val="22"/>
                <w:szCs w:val="22"/>
              </w:rPr>
            </w:pPr>
            <w:r w:rsidRPr="00D7353B">
              <w:rPr>
                <w:color w:val="000000"/>
                <w:sz w:val="22"/>
                <w:szCs w:val="22"/>
              </w:rPr>
              <w:t>GPI</w:t>
            </w:r>
          </w:p>
        </w:tc>
        <w:tc>
          <w:tcPr>
            <w:tcW w:w="4050" w:type="dxa"/>
            <w:shd w:val="clear" w:color="auto" w:fill="auto"/>
          </w:tcPr>
          <w:p w:rsidRPr="00D7353B" w:rsidR="00D7353B" w:rsidP="00D7353B" w:rsidRDefault="00D7353B" w14:paraId="57E752DB" w14:textId="77777777">
            <w:pPr>
              <w:widowControl w:val="0"/>
              <w:autoSpaceDE w:val="0"/>
              <w:autoSpaceDN w:val="0"/>
              <w:ind w:right="170"/>
              <w:rPr>
                <w:szCs w:val="22"/>
              </w:rPr>
            </w:pPr>
            <w:r w:rsidRPr="00D7353B">
              <w:rPr>
                <w:color w:val="000000"/>
                <w:sz w:val="22"/>
                <w:szCs w:val="22"/>
              </w:rPr>
              <w:t>GPI disagrees with the proposed decision’s (PD) findings that “</w:t>
            </w:r>
            <w:r w:rsidRPr="00D7353B">
              <w:rPr>
                <w:szCs w:val="22"/>
              </w:rPr>
              <w:t>GPI’s pleadings do not consistently tie their opinions to</w:t>
            </w:r>
            <w:r w:rsidRPr="00D7353B">
              <w:rPr>
                <w:spacing w:val="-1"/>
                <w:szCs w:val="22"/>
              </w:rPr>
              <w:t xml:space="preserve"> </w:t>
            </w:r>
            <w:r w:rsidRPr="00D7353B">
              <w:rPr>
                <w:szCs w:val="22"/>
              </w:rPr>
              <w:t>the issues</w:t>
            </w:r>
            <w:r w:rsidRPr="00D7353B">
              <w:rPr>
                <w:spacing w:val="-15"/>
                <w:szCs w:val="22"/>
              </w:rPr>
              <w:t xml:space="preserve"> </w:t>
            </w:r>
            <w:r w:rsidRPr="00D7353B">
              <w:rPr>
                <w:szCs w:val="22"/>
              </w:rPr>
              <w:t>scoped</w:t>
            </w:r>
            <w:r w:rsidRPr="00D7353B">
              <w:rPr>
                <w:spacing w:val="-15"/>
                <w:szCs w:val="22"/>
              </w:rPr>
              <w:t xml:space="preserve"> </w:t>
            </w:r>
            <w:r w:rsidRPr="00D7353B">
              <w:rPr>
                <w:szCs w:val="22"/>
              </w:rPr>
              <w:t>within this proceeding” and that “[a]</w:t>
            </w:r>
            <w:proofErr w:type="spellStart"/>
            <w:r w:rsidRPr="00D7353B">
              <w:rPr>
                <w:szCs w:val="22"/>
              </w:rPr>
              <w:t>bsent</w:t>
            </w:r>
            <w:proofErr w:type="spellEnd"/>
            <w:r w:rsidRPr="00D7353B">
              <w:rPr>
                <w:szCs w:val="22"/>
              </w:rPr>
              <w:t xml:space="preserve"> argument substantiating that proposed actions are just and reasonable or otherwise within scope, this input does not contribute to the final decision.”</w:t>
            </w:r>
          </w:p>
          <w:p w:rsidRPr="00D7353B" w:rsidR="00D7353B" w:rsidP="00D7353B" w:rsidRDefault="00D7353B" w14:paraId="60628821" w14:textId="77777777">
            <w:pPr>
              <w:keepNext/>
              <w:keepLines/>
              <w:widowControl w:val="0"/>
              <w:autoSpaceDE w:val="0"/>
              <w:autoSpaceDN w:val="0"/>
              <w:spacing w:before="120"/>
              <w:rPr>
                <w:color w:val="000000"/>
                <w:sz w:val="22"/>
                <w:szCs w:val="22"/>
              </w:rPr>
            </w:pPr>
            <w:r w:rsidRPr="00D7353B">
              <w:rPr>
                <w:color w:val="000000"/>
                <w:sz w:val="22"/>
                <w:szCs w:val="22"/>
              </w:rPr>
              <w:t xml:space="preserve">Making a substantial contribution to a proceeding has not confined an intervenor to only performing tasks that are clearly defined in the scoping memo. Proceedings routinely engage in matters that are supporting of the activities included, in the scoping memo, but not explicitly included. </w:t>
            </w:r>
          </w:p>
        </w:tc>
        <w:tc>
          <w:tcPr>
            <w:tcW w:w="4140" w:type="dxa"/>
            <w:shd w:val="clear" w:color="auto" w:fill="auto"/>
          </w:tcPr>
          <w:p w:rsidRPr="00D7353B" w:rsidR="00D7353B" w:rsidP="00D7353B" w:rsidRDefault="00D7353B" w14:paraId="3F0D3B65" w14:textId="77777777">
            <w:pPr>
              <w:keepNext/>
              <w:keepLines/>
              <w:widowControl w:val="0"/>
              <w:autoSpaceDE w:val="0"/>
              <w:autoSpaceDN w:val="0"/>
              <w:spacing w:before="120"/>
              <w:rPr>
                <w:color w:val="000000"/>
                <w:sz w:val="22"/>
                <w:szCs w:val="22"/>
              </w:rPr>
            </w:pPr>
          </w:p>
          <w:p w:rsidRPr="00D7353B" w:rsidR="00D7353B" w:rsidP="00D7353B" w:rsidRDefault="00D7353B" w14:paraId="79AC709F" w14:textId="77777777">
            <w:pPr>
              <w:keepNext/>
              <w:keepLines/>
              <w:widowControl w:val="0"/>
              <w:autoSpaceDE w:val="0"/>
              <w:autoSpaceDN w:val="0"/>
              <w:spacing w:before="120"/>
              <w:rPr>
                <w:color w:val="000000"/>
                <w:sz w:val="22"/>
                <w:szCs w:val="22"/>
              </w:rPr>
            </w:pPr>
            <w:r w:rsidRPr="00D7353B">
              <w:rPr>
                <w:color w:val="000000"/>
                <w:sz w:val="22"/>
                <w:szCs w:val="22"/>
              </w:rPr>
              <w:t>While matters supportive of the proceeding but not explicitly scoped can be compensable, those in GPI’s pleadings did not contribute to the final decision.  Compensation was provided for preparation of the pleadings to the extent that they addressed scoped issues and/or were utilized in the final decision.  Reductions to claimed compensation reflect inefficiencies in preparation or lack of utilization of the contents of said pleadings.</w:t>
            </w:r>
          </w:p>
        </w:tc>
      </w:tr>
      <w:tr w:rsidRPr="00D7353B" w:rsidR="00D7353B" w:rsidTr="005A238F" w14:paraId="0125C7F5" w14:textId="77777777">
        <w:tc>
          <w:tcPr>
            <w:tcW w:w="1260" w:type="dxa"/>
            <w:shd w:val="clear" w:color="auto" w:fill="auto"/>
          </w:tcPr>
          <w:p w:rsidRPr="00D7353B" w:rsidR="00D7353B" w:rsidP="00D7353B" w:rsidRDefault="00D7353B" w14:paraId="56C4835E" w14:textId="77777777">
            <w:pPr>
              <w:widowControl w:val="0"/>
              <w:autoSpaceDE w:val="0"/>
              <w:autoSpaceDN w:val="0"/>
              <w:spacing w:before="120"/>
              <w:rPr>
                <w:color w:val="000000"/>
                <w:sz w:val="22"/>
                <w:szCs w:val="22"/>
              </w:rPr>
            </w:pPr>
          </w:p>
        </w:tc>
        <w:tc>
          <w:tcPr>
            <w:tcW w:w="4050" w:type="dxa"/>
            <w:shd w:val="clear" w:color="auto" w:fill="auto"/>
          </w:tcPr>
          <w:p w:rsidRPr="00D7353B" w:rsidR="00D7353B" w:rsidP="00D7353B" w:rsidRDefault="00D7353B" w14:paraId="4BF0A2C9" w14:textId="77777777">
            <w:pPr>
              <w:widowControl w:val="0"/>
              <w:autoSpaceDE w:val="0"/>
              <w:autoSpaceDN w:val="0"/>
              <w:spacing w:before="120"/>
              <w:rPr>
                <w:color w:val="000000"/>
                <w:sz w:val="22"/>
                <w:szCs w:val="22"/>
              </w:rPr>
            </w:pPr>
            <w:r w:rsidRPr="00D7353B">
              <w:rPr>
                <w:color w:val="000000"/>
                <w:sz w:val="22"/>
                <w:szCs w:val="22"/>
              </w:rPr>
              <w:t>The PD incorrectly finds that consistent support, in and of itself, does not comprise a substantial contribution.</w:t>
            </w:r>
          </w:p>
        </w:tc>
        <w:tc>
          <w:tcPr>
            <w:tcW w:w="4140" w:type="dxa"/>
            <w:shd w:val="clear" w:color="auto" w:fill="auto"/>
          </w:tcPr>
          <w:p w:rsidRPr="00D7353B" w:rsidR="00D7353B" w:rsidP="00D7353B" w:rsidRDefault="00D7353B" w14:paraId="69A1D99A" w14:textId="77777777">
            <w:pPr>
              <w:widowControl w:val="0"/>
              <w:autoSpaceDE w:val="0"/>
              <w:autoSpaceDN w:val="0"/>
              <w:spacing w:before="120"/>
              <w:rPr>
                <w:color w:val="000000"/>
                <w:sz w:val="22"/>
                <w:szCs w:val="22"/>
              </w:rPr>
            </w:pPr>
            <w:r w:rsidRPr="00D7353B">
              <w:rPr>
                <w:color w:val="000000"/>
                <w:sz w:val="22"/>
                <w:szCs w:val="22"/>
              </w:rPr>
              <w:t>Generally supporting an existing program does not inform the questions of law and fact that are at issue in this proceeding. It also duplicates, but does not materially supplement, complement, or contribute to the presentations made by other parties that substantially contributed to the final decision (see §§ 1801.3(f), 1802.5).</w:t>
            </w:r>
          </w:p>
        </w:tc>
      </w:tr>
      <w:tr w:rsidRPr="00D7353B" w:rsidR="00D7353B" w:rsidTr="005A238F" w14:paraId="223A7C68" w14:textId="77777777">
        <w:tc>
          <w:tcPr>
            <w:tcW w:w="1260" w:type="dxa"/>
            <w:shd w:val="clear" w:color="auto" w:fill="auto"/>
          </w:tcPr>
          <w:p w:rsidRPr="00D7353B" w:rsidR="00D7353B" w:rsidP="00D7353B" w:rsidRDefault="00D7353B" w14:paraId="2174C1C5" w14:textId="77777777">
            <w:pPr>
              <w:widowControl w:val="0"/>
              <w:autoSpaceDE w:val="0"/>
              <w:autoSpaceDN w:val="0"/>
              <w:spacing w:before="120"/>
              <w:rPr>
                <w:color w:val="000000"/>
                <w:sz w:val="22"/>
                <w:szCs w:val="22"/>
              </w:rPr>
            </w:pPr>
          </w:p>
        </w:tc>
        <w:tc>
          <w:tcPr>
            <w:tcW w:w="4050" w:type="dxa"/>
            <w:shd w:val="clear" w:color="auto" w:fill="auto"/>
          </w:tcPr>
          <w:p w:rsidRPr="00D7353B" w:rsidR="00D7353B" w:rsidP="00D7353B" w:rsidRDefault="00D7353B" w14:paraId="173A6C26" w14:textId="77777777">
            <w:pPr>
              <w:widowControl w:val="0"/>
              <w:autoSpaceDE w:val="0"/>
              <w:autoSpaceDN w:val="0"/>
              <w:spacing w:before="120"/>
              <w:rPr>
                <w:color w:val="000000"/>
                <w:sz w:val="22"/>
                <w:szCs w:val="22"/>
              </w:rPr>
            </w:pPr>
            <w:r w:rsidRPr="00D7353B">
              <w:rPr>
                <w:color w:val="000000"/>
                <w:sz w:val="22"/>
                <w:szCs w:val="22"/>
              </w:rPr>
              <w:t xml:space="preserve">The PD incorrectly disallows activities such as conference calls with PG&amp;E and other parties. Such activities are the mechanism by which GPI coordinates its activities with other parties, in order to avoid unproductive duplication of efforts. </w:t>
            </w:r>
          </w:p>
        </w:tc>
        <w:tc>
          <w:tcPr>
            <w:tcW w:w="4140" w:type="dxa"/>
            <w:shd w:val="clear" w:color="auto" w:fill="auto"/>
          </w:tcPr>
          <w:p w:rsidRPr="00D7353B" w:rsidR="00D7353B" w:rsidP="00D7353B" w:rsidRDefault="00D7353B" w14:paraId="3753BB05" w14:textId="77777777">
            <w:pPr>
              <w:widowControl w:val="0"/>
              <w:autoSpaceDE w:val="0"/>
              <w:autoSpaceDN w:val="0"/>
              <w:spacing w:before="120"/>
              <w:rPr>
                <w:color w:val="000000"/>
                <w:sz w:val="22"/>
                <w:szCs w:val="22"/>
              </w:rPr>
            </w:pPr>
            <w:r w:rsidRPr="00D7353B">
              <w:rPr>
                <w:color w:val="000000"/>
                <w:sz w:val="22"/>
                <w:szCs w:val="22"/>
              </w:rPr>
              <w:t>Calls that are disallowed occurred after the publication of the Proposed Decision or were in support of efforts that did not substantially contribute to the decision.  Other disallowed activity was participation in a public information webinar by PG&amp;E that presented no new information and was not a part of the record.  The content of these discussions did not inform the final decision.</w:t>
            </w:r>
          </w:p>
        </w:tc>
      </w:tr>
      <w:tr w:rsidRPr="00D7353B" w:rsidR="00D7353B" w:rsidTr="005A238F" w14:paraId="4AB9C2EC" w14:textId="77777777">
        <w:tc>
          <w:tcPr>
            <w:tcW w:w="1260" w:type="dxa"/>
            <w:shd w:val="clear" w:color="auto" w:fill="auto"/>
          </w:tcPr>
          <w:p w:rsidRPr="00D7353B" w:rsidR="00D7353B" w:rsidP="00D7353B" w:rsidRDefault="00D7353B" w14:paraId="38C36BD0" w14:textId="77777777">
            <w:pPr>
              <w:widowControl w:val="0"/>
              <w:autoSpaceDE w:val="0"/>
              <w:autoSpaceDN w:val="0"/>
              <w:spacing w:before="120"/>
              <w:rPr>
                <w:color w:val="000000"/>
                <w:sz w:val="22"/>
                <w:szCs w:val="22"/>
              </w:rPr>
            </w:pPr>
          </w:p>
        </w:tc>
        <w:tc>
          <w:tcPr>
            <w:tcW w:w="4050" w:type="dxa"/>
            <w:shd w:val="clear" w:color="auto" w:fill="auto"/>
          </w:tcPr>
          <w:p w:rsidRPr="00D7353B" w:rsidR="00D7353B" w:rsidP="00D7353B" w:rsidRDefault="00D7353B" w14:paraId="3C0BCFB9" w14:textId="77777777">
            <w:pPr>
              <w:widowControl w:val="0"/>
              <w:autoSpaceDE w:val="0"/>
              <w:autoSpaceDN w:val="0"/>
              <w:spacing w:before="120"/>
              <w:rPr>
                <w:color w:val="000000"/>
                <w:sz w:val="22"/>
                <w:szCs w:val="22"/>
              </w:rPr>
            </w:pPr>
            <w:r w:rsidRPr="00D7353B">
              <w:rPr>
                <w:color w:val="000000"/>
                <w:sz w:val="22"/>
                <w:szCs w:val="22"/>
              </w:rPr>
              <w:t>The PD inappropriately reduces the claim because GPI’s pleadings duplicated its earlier filings.</w:t>
            </w:r>
          </w:p>
        </w:tc>
        <w:tc>
          <w:tcPr>
            <w:tcW w:w="4140" w:type="dxa"/>
            <w:shd w:val="clear" w:color="auto" w:fill="auto"/>
          </w:tcPr>
          <w:p w:rsidRPr="00D7353B" w:rsidR="00D7353B" w:rsidP="00D7353B" w:rsidRDefault="00D7353B" w14:paraId="2C2CB8C9" w14:textId="77777777">
            <w:pPr>
              <w:widowControl w:val="0"/>
              <w:autoSpaceDE w:val="0"/>
              <w:autoSpaceDN w:val="0"/>
              <w:spacing w:before="120"/>
              <w:rPr>
                <w:color w:val="000000"/>
                <w:sz w:val="22"/>
                <w:szCs w:val="22"/>
              </w:rPr>
            </w:pPr>
            <w:r w:rsidRPr="00D7353B">
              <w:rPr>
                <w:color w:val="000000"/>
                <w:sz w:val="22"/>
                <w:szCs w:val="22"/>
              </w:rPr>
              <w:t xml:space="preserve">The relevant wording of the decision was changed, to clarify these disallowances. </w:t>
            </w:r>
          </w:p>
        </w:tc>
      </w:tr>
      <w:tr w:rsidRPr="00D7353B" w:rsidR="00D7353B" w:rsidTr="005A238F" w14:paraId="3DB3DBAD" w14:textId="77777777">
        <w:tc>
          <w:tcPr>
            <w:tcW w:w="1260" w:type="dxa"/>
            <w:shd w:val="clear" w:color="auto" w:fill="auto"/>
          </w:tcPr>
          <w:p w:rsidRPr="00D7353B" w:rsidR="00D7353B" w:rsidP="00D7353B" w:rsidRDefault="00D7353B" w14:paraId="5377B1A6" w14:textId="77777777">
            <w:pPr>
              <w:widowControl w:val="0"/>
              <w:autoSpaceDE w:val="0"/>
              <w:autoSpaceDN w:val="0"/>
              <w:spacing w:before="120"/>
              <w:rPr>
                <w:color w:val="000000"/>
                <w:sz w:val="22"/>
                <w:szCs w:val="22"/>
              </w:rPr>
            </w:pPr>
          </w:p>
        </w:tc>
        <w:tc>
          <w:tcPr>
            <w:tcW w:w="4050" w:type="dxa"/>
            <w:shd w:val="clear" w:color="auto" w:fill="auto"/>
          </w:tcPr>
          <w:p w:rsidRPr="00D7353B" w:rsidR="00D7353B" w:rsidP="00D7353B" w:rsidRDefault="00D7353B" w14:paraId="31E705F2" w14:textId="77777777">
            <w:pPr>
              <w:widowControl w:val="0"/>
              <w:autoSpaceDE w:val="0"/>
              <w:autoSpaceDN w:val="0"/>
              <w:spacing w:before="120"/>
              <w:rPr>
                <w:color w:val="000000"/>
                <w:sz w:val="22"/>
                <w:szCs w:val="22"/>
              </w:rPr>
            </w:pPr>
            <w:r w:rsidRPr="00D7353B">
              <w:rPr>
                <w:color w:val="000000"/>
                <w:sz w:val="22"/>
                <w:szCs w:val="22"/>
              </w:rPr>
              <w:t xml:space="preserve">The PD errs in disallowing hours of attending evidential hearing. Utility’s representatives, for example, bring their lawyers most of whom do not actively participate; however, they presumably </w:t>
            </w:r>
            <w:r w:rsidRPr="00D7353B">
              <w:rPr>
                <w:color w:val="000000"/>
                <w:sz w:val="22"/>
                <w:szCs w:val="22"/>
              </w:rPr>
              <w:lastRenderedPageBreak/>
              <w:t>bring their observations from the hearing to the utility’s subsequent briefs and other filings.</w:t>
            </w:r>
          </w:p>
        </w:tc>
        <w:tc>
          <w:tcPr>
            <w:tcW w:w="4140" w:type="dxa"/>
            <w:shd w:val="clear" w:color="auto" w:fill="auto"/>
          </w:tcPr>
          <w:p w:rsidRPr="00D7353B" w:rsidR="00D7353B" w:rsidP="00D7353B" w:rsidRDefault="00D7353B" w14:paraId="06DBEA30" w14:textId="77777777">
            <w:pPr>
              <w:widowControl w:val="0"/>
              <w:autoSpaceDE w:val="0"/>
              <w:autoSpaceDN w:val="0"/>
              <w:spacing w:before="120"/>
              <w:rPr>
                <w:color w:val="000000"/>
                <w:sz w:val="22"/>
                <w:szCs w:val="22"/>
              </w:rPr>
            </w:pPr>
            <w:r w:rsidRPr="00D7353B">
              <w:rPr>
                <w:color w:val="000000"/>
                <w:sz w:val="22"/>
                <w:szCs w:val="22"/>
              </w:rPr>
              <w:lastRenderedPageBreak/>
              <w:t xml:space="preserve">The hours used for attendance of the evidentiary hearings by the principal attorney were allowed.  The hours claimed in preparation were inefficient and disproportionate to any contribution to the </w:t>
            </w:r>
            <w:r w:rsidRPr="00D7353B">
              <w:rPr>
                <w:color w:val="000000"/>
                <w:sz w:val="22"/>
                <w:szCs w:val="22"/>
              </w:rPr>
              <w:lastRenderedPageBreak/>
              <w:t>final decision and thusly disallowed.</w:t>
            </w:r>
          </w:p>
        </w:tc>
      </w:tr>
      <w:tr w:rsidRPr="00D7353B" w:rsidR="00D7353B" w:rsidTr="005A238F" w14:paraId="421DC863" w14:textId="77777777">
        <w:tc>
          <w:tcPr>
            <w:tcW w:w="1260" w:type="dxa"/>
            <w:shd w:val="clear" w:color="auto" w:fill="auto"/>
          </w:tcPr>
          <w:p w:rsidRPr="00D7353B" w:rsidR="00D7353B" w:rsidP="00D7353B" w:rsidRDefault="00D7353B" w14:paraId="37FF4414" w14:textId="77777777">
            <w:pPr>
              <w:widowControl w:val="0"/>
              <w:autoSpaceDE w:val="0"/>
              <w:autoSpaceDN w:val="0"/>
              <w:spacing w:before="120"/>
              <w:rPr>
                <w:color w:val="000000"/>
                <w:sz w:val="22"/>
                <w:szCs w:val="22"/>
              </w:rPr>
            </w:pPr>
          </w:p>
        </w:tc>
        <w:tc>
          <w:tcPr>
            <w:tcW w:w="4050" w:type="dxa"/>
            <w:shd w:val="clear" w:color="auto" w:fill="auto"/>
          </w:tcPr>
          <w:p w:rsidRPr="00D7353B" w:rsidR="00D7353B" w:rsidP="00D7353B" w:rsidRDefault="00D7353B" w14:paraId="56E39100" w14:textId="77777777">
            <w:pPr>
              <w:widowControl w:val="0"/>
              <w:autoSpaceDE w:val="0"/>
              <w:autoSpaceDN w:val="0"/>
              <w:spacing w:before="120"/>
              <w:rPr>
                <w:color w:val="000000"/>
                <w:sz w:val="22"/>
                <w:szCs w:val="22"/>
              </w:rPr>
            </w:pPr>
            <w:r w:rsidRPr="00D7353B">
              <w:rPr>
                <w:color w:val="000000"/>
                <w:sz w:val="22"/>
                <w:szCs w:val="22"/>
              </w:rPr>
              <w:t>The PD errs in reducing the claim for having more than one staff person present at any event. Having junior staff present at the events represents a crucial part of their training, and absolutely should be compensated.</w:t>
            </w:r>
          </w:p>
        </w:tc>
        <w:tc>
          <w:tcPr>
            <w:tcW w:w="4140" w:type="dxa"/>
            <w:shd w:val="clear" w:color="auto" w:fill="auto"/>
          </w:tcPr>
          <w:p w:rsidRPr="00D7353B" w:rsidR="00D7353B" w:rsidP="00D7353B" w:rsidRDefault="00D7353B" w14:paraId="733E8FC1" w14:textId="77777777">
            <w:pPr>
              <w:widowControl w:val="0"/>
              <w:autoSpaceDE w:val="0"/>
              <w:autoSpaceDN w:val="0"/>
              <w:spacing w:before="120"/>
              <w:rPr>
                <w:color w:val="000000"/>
                <w:sz w:val="22"/>
                <w:szCs w:val="22"/>
              </w:rPr>
            </w:pPr>
            <w:r w:rsidRPr="00D7353B">
              <w:rPr>
                <w:color w:val="000000"/>
                <w:sz w:val="22"/>
                <w:szCs w:val="22"/>
              </w:rPr>
              <w:t>The comments provide no explanation as to why compensating a training of the intervenor’s representatives is a reasonable or just use of ratepayer funds.</w:t>
            </w:r>
          </w:p>
        </w:tc>
      </w:tr>
      <w:tr w:rsidRPr="00D7353B" w:rsidR="00D7353B" w:rsidTr="005A238F" w14:paraId="613C181D" w14:textId="77777777">
        <w:tc>
          <w:tcPr>
            <w:tcW w:w="1260" w:type="dxa"/>
            <w:shd w:val="clear" w:color="auto" w:fill="auto"/>
          </w:tcPr>
          <w:p w:rsidRPr="00D7353B" w:rsidR="00D7353B" w:rsidP="00D7353B" w:rsidRDefault="00D7353B" w14:paraId="0B9D5FC0" w14:textId="77777777">
            <w:pPr>
              <w:widowControl w:val="0"/>
              <w:autoSpaceDE w:val="0"/>
              <w:autoSpaceDN w:val="0"/>
              <w:spacing w:before="120"/>
              <w:rPr>
                <w:color w:val="000000"/>
                <w:sz w:val="22"/>
                <w:szCs w:val="22"/>
              </w:rPr>
            </w:pPr>
          </w:p>
        </w:tc>
        <w:tc>
          <w:tcPr>
            <w:tcW w:w="4050" w:type="dxa"/>
            <w:shd w:val="clear" w:color="auto" w:fill="auto"/>
          </w:tcPr>
          <w:p w:rsidRPr="00D7353B" w:rsidR="00D7353B" w:rsidP="00D7353B" w:rsidRDefault="00D7353B" w14:paraId="2F6EFDCD" w14:textId="77777777">
            <w:pPr>
              <w:widowControl w:val="0"/>
              <w:autoSpaceDE w:val="0"/>
              <w:autoSpaceDN w:val="0"/>
              <w:spacing w:before="120"/>
              <w:rPr>
                <w:color w:val="000000"/>
                <w:sz w:val="22"/>
                <w:szCs w:val="22"/>
              </w:rPr>
            </w:pPr>
            <w:r w:rsidRPr="00D7353B">
              <w:rPr>
                <w:color w:val="000000"/>
                <w:sz w:val="22"/>
                <w:szCs w:val="22"/>
              </w:rPr>
              <w:t xml:space="preserve">The PD errs in disallowing the time allocated to the discovery requests. The discovery effort was stipulated by the parties to forego cross-examination of the parties’ witnesses. </w:t>
            </w:r>
          </w:p>
        </w:tc>
        <w:tc>
          <w:tcPr>
            <w:tcW w:w="4140" w:type="dxa"/>
            <w:shd w:val="clear" w:color="auto" w:fill="auto"/>
          </w:tcPr>
          <w:p w:rsidRPr="00D7353B" w:rsidR="00D7353B" w:rsidP="00D7353B" w:rsidRDefault="00D7353B" w14:paraId="500B6C07" w14:textId="77777777">
            <w:pPr>
              <w:widowControl w:val="0"/>
              <w:autoSpaceDE w:val="0"/>
              <w:autoSpaceDN w:val="0"/>
              <w:spacing w:before="120"/>
              <w:rPr>
                <w:color w:val="000000"/>
                <w:sz w:val="22"/>
                <w:szCs w:val="22"/>
              </w:rPr>
            </w:pPr>
            <w:r w:rsidRPr="00D7353B">
              <w:rPr>
                <w:color w:val="000000"/>
                <w:sz w:val="22"/>
                <w:szCs w:val="22"/>
              </w:rPr>
              <w:t>There was no substantial contribution to the final decision that resulted from this discovery.  As such, it is not compensable.</w:t>
            </w:r>
          </w:p>
        </w:tc>
      </w:tr>
      <w:bookmarkEnd w:id="6"/>
    </w:tbl>
    <w:p w:rsidRPr="007F620E" w:rsidR="00D7353B" w:rsidP="005A238F" w:rsidRDefault="00D7353B" w14:paraId="2F7A1691" w14:textId="77777777">
      <w:pPr>
        <w:keepNext/>
        <w:keepLines/>
        <w:spacing w:after="240"/>
        <w:rPr>
          <w:color w:val="000000"/>
        </w:rPr>
      </w:pPr>
    </w:p>
    <w:p w:rsidR="00FE3BAE" w:rsidRDefault="00FE3BAE" w14:paraId="42B16330" w14:textId="77777777">
      <w:pPr>
        <w:jc w:val="center"/>
        <w:rPr>
          <w:b/>
          <w:color w:val="000000"/>
          <w:u w:val="single"/>
        </w:rPr>
      </w:pPr>
    </w:p>
    <w:p w:rsidRPr="007F620E" w:rsidR="003D359B" w:rsidRDefault="003D359B" w14:paraId="2A36EEA6" w14:textId="77777777">
      <w:pPr>
        <w:jc w:val="center"/>
        <w:rPr>
          <w:b/>
          <w:color w:val="000000"/>
          <w:u w:val="single"/>
        </w:rPr>
      </w:pPr>
    </w:p>
    <w:p w:rsidRPr="005E3E0A" w:rsidR="00A92D0B" w:rsidP="005E3E0A" w:rsidRDefault="00A92D0B" w14:paraId="186E115A" w14:textId="77777777">
      <w:pPr>
        <w:pStyle w:val="Dummy"/>
        <w:spacing w:before="480" w:after="240"/>
        <w:jc w:val="center"/>
        <w:rPr>
          <w:rFonts w:ascii="Times New Roman" w:hAnsi="Times New Roman" w:cs="Times New Roman"/>
          <w:b w:val="0"/>
          <w:color w:val="000000"/>
          <w:u w:val="single"/>
        </w:rPr>
      </w:pPr>
      <w:r w:rsidRPr="005E3E0A">
        <w:rPr>
          <w:rFonts w:ascii="Times New Roman" w:hAnsi="Times New Roman" w:cs="Times New Roman"/>
          <w:color w:val="000000"/>
          <w:u w:val="single"/>
        </w:rPr>
        <w:t>FINDINGS OF FACT</w:t>
      </w:r>
    </w:p>
    <w:p w:rsidRPr="00242F91" w:rsidR="00A92D0B" w:rsidP="00F0294C" w:rsidRDefault="00124533" w14:paraId="7772A9DC" w14:textId="417C18DD">
      <w:pPr>
        <w:keepNext/>
        <w:numPr>
          <w:ilvl w:val="0"/>
          <w:numId w:val="3"/>
        </w:numPr>
        <w:tabs>
          <w:tab w:val="clear" w:pos="900"/>
          <w:tab w:val="num" w:pos="540"/>
        </w:tabs>
        <w:ind w:left="547" w:hanging="547"/>
      </w:pPr>
      <w:bookmarkStart w:name="_Hlk56088668" w:id="7"/>
      <w:r w:rsidRPr="00242F91">
        <w:t>Green Power Institute</w:t>
      </w:r>
      <w:r w:rsidRPr="007F620E" w:rsidR="00FE3BAE">
        <w:t xml:space="preserve"> </w:t>
      </w:r>
      <w:bookmarkEnd w:id="7"/>
      <w:r w:rsidRPr="007F620E" w:rsidR="00A92D0B">
        <w:t>has</w:t>
      </w:r>
      <w:r w:rsidR="00242F91">
        <w:t xml:space="preserve"> </w:t>
      </w:r>
      <w:r w:rsidRPr="007F620E" w:rsidR="00A92D0B">
        <w:t>made a substantia</w:t>
      </w:r>
      <w:r w:rsidRPr="007F620E" w:rsidR="00DE3A5D">
        <w:t xml:space="preserve">l contribution </w:t>
      </w:r>
      <w:r w:rsidRPr="00242F91" w:rsidR="00DE3A5D">
        <w:t>to D.</w:t>
      </w:r>
      <w:r w:rsidRPr="00242F91" w:rsidR="00C241B9">
        <w:t>2</w:t>
      </w:r>
      <w:r w:rsidRPr="00242F91" w:rsidR="000804C0">
        <w:t>2</w:t>
      </w:r>
      <w:r w:rsidRPr="00242F91" w:rsidR="00C241B9">
        <w:t>-1</w:t>
      </w:r>
      <w:r w:rsidRPr="00242F91" w:rsidR="00FE5CB1">
        <w:t>2</w:t>
      </w:r>
      <w:r w:rsidRPr="00242F91" w:rsidR="00C241B9">
        <w:t>-0</w:t>
      </w:r>
      <w:r w:rsidRPr="00242F91" w:rsidR="00FE5CB1">
        <w:t>5</w:t>
      </w:r>
      <w:r w:rsidRPr="00242F91" w:rsidR="000804C0">
        <w:t>4</w:t>
      </w:r>
      <w:r w:rsidRPr="00242F91" w:rsidR="00586700">
        <w:t>.</w:t>
      </w:r>
    </w:p>
    <w:p w:rsidRPr="007F620E" w:rsidR="00A92D0B" w:rsidRDefault="00A92D0B" w14:paraId="04EB50FD" w14:textId="07A3A5CE">
      <w:pPr>
        <w:numPr>
          <w:ilvl w:val="0"/>
          <w:numId w:val="3"/>
        </w:numPr>
        <w:tabs>
          <w:tab w:val="clear" w:pos="900"/>
          <w:tab w:val="num" w:pos="540"/>
        </w:tabs>
        <w:spacing w:before="240"/>
        <w:ind w:left="547" w:hanging="547"/>
      </w:pPr>
      <w:r w:rsidRPr="007F620E">
        <w:t>The reque</w:t>
      </w:r>
      <w:r w:rsidRPr="00A7688C">
        <w:t>sted hourly rates for</w:t>
      </w:r>
      <w:r w:rsidRPr="00A7688C" w:rsidR="003B6A1B">
        <w:t xml:space="preserve"> </w:t>
      </w:r>
      <w:r w:rsidRPr="00A7688C" w:rsidR="00124533">
        <w:t>Green Power Institute</w:t>
      </w:r>
      <w:r w:rsidRPr="00A7688C" w:rsidR="005A63D4">
        <w:t xml:space="preserve">’s </w:t>
      </w:r>
      <w:r w:rsidRPr="00A7688C">
        <w:t>representatives,</w:t>
      </w:r>
      <w:r w:rsidRPr="00A7688C" w:rsidR="003B5EAC">
        <w:t xml:space="preserve"> </w:t>
      </w:r>
      <w:r w:rsidRPr="00A7688C">
        <w:t>as adjusted herein, are</w:t>
      </w:r>
      <w:r w:rsidRPr="00242F91">
        <w:t xml:space="preserve"> comparable to market rates</w:t>
      </w:r>
      <w:r w:rsidRPr="007F620E">
        <w:t xml:space="preserve"> paid to experts and advocates having comparable training and experience and offering similar services.</w:t>
      </w:r>
    </w:p>
    <w:p w:rsidRPr="007F620E" w:rsidR="00A92D0B" w:rsidRDefault="00A92D0B" w14:paraId="528EBB52" w14:textId="5FF21FA0">
      <w:pPr>
        <w:numPr>
          <w:ilvl w:val="0"/>
          <w:numId w:val="3"/>
        </w:numPr>
        <w:tabs>
          <w:tab w:val="clear" w:pos="900"/>
          <w:tab w:val="num" w:pos="540"/>
        </w:tabs>
        <w:spacing w:before="240"/>
        <w:ind w:left="547" w:hanging="547"/>
      </w:pPr>
      <w:r w:rsidRPr="007F620E">
        <w:t>The claimed costs and expenses,</w:t>
      </w:r>
      <w:r w:rsidR="003B5EAC">
        <w:t xml:space="preserve"> </w:t>
      </w:r>
      <w:r w:rsidRPr="007F620E">
        <w:t xml:space="preserve">as adjusted herein, are reasonable and commensurate with the work performed. </w:t>
      </w:r>
    </w:p>
    <w:p w:rsidRPr="007F620E" w:rsidR="00A92D0B" w:rsidRDefault="00A92D0B" w14:paraId="48B52895" w14:textId="0B524524">
      <w:pPr>
        <w:numPr>
          <w:ilvl w:val="0"/>
          <w:numId w:val="3"/>
        </w:numPr>
        <w:tabs>
          <w:tab w:val="clear" w:pos="900"/>
          <w:tab w:val="num" w:pos="540"/>
        </w:tabs>
        <w:spacing w:before="240"/>
        <w:ind w:left="547" w:hanging="547"/>
      </w:pPr>
      <w:r w:rsidRPr="007F620E">
        <w:t xml:space="preserve">The total of reasonable </w:t>
      </w:r>
      <w:r w:rsidRPr="007F620E" w:rsidR="003C608A">
        <w:t xml:space="preserve">compensation </w:t>
      </w:r>
      <w:r w:rsidRPr="007F620E">
        <w:t xml:space="preserve">is </w:t>
      </w:r>
      <w:r w:rsidRPr="00836F2F" w:rsidR="00836F2F">
        <w:t>$47,651.13</w:t>
      </w:r>
      <w:r w:rsidR="0088683A">
        <w:t>.</w:t>
      </w:r>
    </w:p>
    <w:p w:rsidRPr="005E3E0A" w:rsidR="00A92D0B" w:rsidP="005E3E0A" w:rsidRDefault="00A92D0B" w14:paraId="5C773C3F" w14:textId="77777777">
      <w:pPr>
        <w:pStyle w:val="Dummy"/>
        <w:spacing w:before="480" w:after="240"/>
        <w:jc w:val="center"/>
        <w:rPr>
          <w:rFonts w:ascii="Times New Roman" w:hAnsi="Times New Roman" w:cs="Times New Roman"/>
          <w:color w:val="000000"/>
          <w:u w:val="single"/>
        </w:rPr>
      </w:pPr>
      <w:r w:rsidRPr="005E3E0A">
        <w:rPr>
          <w:rFonts w:ascii="Times New Roman" w:hAnsi="Times New Roman" w:cs="Times New Roman"/>
          <w:color w:val="000000"/>
          <w:u w:val="single"/>
        </w:rPr>
        <w:t>CONCLUSION OF LAW</w:t>
      </w:r>
    </w:p>
    <w:p w:rsidRPr="007F620E" w:rsidR="00A92D0B" w:rsidP="0089082D" w:rsidRDefault="00A92D0B" w14:paraId="654F2C27" w14:textId="21240923">
      <w:pPr>
        <w:keepNext/>
        <w:numPr>
          <w:ilvl w:val="0"/>
          <w:numId w:val="11"/>
        </w:numPr>
        <w:tabs>
          <w:tab w:val="clear" w:pos="900"/>
        </w:tabs>
        <w:ind w:left="540" w:hanging="540"/>
        <w:rPr>
          <w:color w:val="000000"/>
        </w:rPr>
      </w:pPr>
      <w:r w:rsidRPr="007F620E">
        <w:rPr>
          <w:color w:val="000000"/>
        </w:rPr>
        <w:t>The Claim, with any adjustment set forth above, satisfies</w:t>
      </w:r>
      <w:r w:rsidRPr="007F620E" w:rsidR="00DE3A5D">
        <w:rPr>
          <w:color w:val="000000"/>
        </w:rPr>
        <w:t xml:space="preserve"> all requirements of Pub. Util.</w:t>
      </w:r>
      <w:r w:rsidRPr="007F620E">
        <w:rPr>
          <w:color w:val="000000"/>
        </w:rPr>
        <w:t xml:space="preserve"> Code §§ 1801-1812.</w:t>
      </w:r>
    </w:p>
    <w:p w:rsidRPr="005E3E0A" w:rsidR="00A92D0B" w:rsidP="005E3E0A" w:rsidRDefault="00A92D0B" w14:paraId="0E2503A5" w14:textId="77777777">
      <w:pPr>
        <w:pStyle w:val="Dummy"/>
        <w:spacing w:before="480" w:after="240"/>
        <w:jc w:val="center"/>
        <w:rPr>
          <w:rFonts w:ascii="Times New Roman" w:hAnsi="Times New Roman" w:cs="Times New Roman"/>
          <w:color w:val="000000"/>
          <w:u w:val="single"/>
        </w:rPr>
      </w:pPr>
      <w:r w:rsidRPr="005E3E0A">
        <w:rPr>
          <w:rFonts w:ascii="Times New Roman" w:hAnsi="Times New Roman" w:cs="Times New Roman"/>
          <w:color w:val="000000"/>
          <w:u w:val="single"/>
        </w:rPr>
        <w:t>ORDER</w:t>
      </w:r>
    </w:p>
    <w:p w:rsidRPr="007F620E" w:rsidR="00A92D0B" w:rsidRDefault="00124533" w14:paraId="33FB4E15" w14:textId="7278A6B7">
      <w:pPr>
        <w:numPr>
          <w:ilvl w:val="0"/>
          <w:numId w:val="4"/>
        </w:numPr>
        <w:tabs>
          <w:tab w:val="clear" w:pos="900"/>
          <w:tab w:val="num" w:pos="540"/>
        </w:tabs>
        <w:ind w:left="540" w:hanging="540"/>
        <w:rPr>
          <w:color w:val="000000"/>
        </w:rPr>
      </w:pPr>
      <w:r w:rsidRPr="001A19C8">
        <w:t>Green Power Institute</w:t>
      </w:r>
      <w:r w:rsidRPr="00FE3BAE" w:rsidR="00FE3BAE">
        <w:t xml:space="preserve"> shall be</w:t>
      </w:r>
      <w:r w:rsidRPr="00FE3BAE" w:rsidR="00A92D0B">
        <w:rPr>
          <w:color w:val="000000"/>
        </w:rPr>
        <w:t xml:space="preserve"> awarded </w:t>
      </w:r>
      <w:r w:rsidRPr="00836F2F" w:rsidR="00836F2F">
        <w:t>$47,651.13</w:t>
      </w:r>
      <w:r w:rsidRPr="007F620E" w:rsidR="00A92D0B">
        <w:rPr>
          <w:color w:val="000000"/>
        </w:rPr>
        <w:t>.</w:t>
      </w:r>
    </w:p>
    <w:p w:rsidR="00A92D0B" w:rsidRDefault="00A92D0B" w14:paraId="4AEF5671" w14:textId="40D9C43C">
      <w:pPr>
        <w:numPr>
          <w:ilvl w:val="0"/>
          <w:numId w:val="4"/>
        </w:numPr>
        <w:tabs>
          <w:tab w:val="clear" w:pos="900"/>
          <w:tab w:val="num" w:pos="540"/>
        </w:tabs>
        <w:spacing w:before="240"/>
        <w:ind w:left="547" w:hanging="547"/>
      </w:pPr>
      <w:r w:rsidRPr="007F620E">
        <w:t>Within 30 days of the effective date of this decision,</w:t>
      </w:r>
      <w:r w:rsidR="00242F91">
        <w:t xml:space="preserve"> Pacific Gas and Electric</w:t>
      </w:r>
      <w:r w:rsidRPr="007F620E">
        <w:t xml:space="preserve"> </w:t>
      </w:r>
      <w:r w:rsidR="00EE63FB">
        <w:t xml:space="preserve">Company </w:t>
      </w:r>
      <w:r w:rsidRPr="007F620E">
        <w:t xml:space="preserve">shall </w:t>
      </w:r>
      <w:r w:rsidRPr="00242F91">
        <w:t xml:space="preserve">pay </w:t>
      </w:r>
      <w:r w:rsidRPr="00242F91" w:rsidR="00124533">
        <w:t>Green Power Institute</w:t>
      </w:r>
      <w:r w:rsidRPr="0022302F" w:rsidR="00FE3BAE">
        <w:t xml:space="preserve"> </w:t>
      </w:r>
      <w:r w:rsidRPr="0022302F">
        <w:t xml:space="preserve">the </w:t>
      </w:r>
      <w:r w:rsidRPr="007F620E">
        <w:t>total award.  Payment of the award shall include</w:t>
      </w:r>
      <w:r w:rsidRPr="007F620E" w:rsidR="004E3939">
        <w:t xml:space="preserve"> compound </w:t>
      </w:r>
      <w:r w:rsidRPr="007F620E">
        <w:t xml:space="preserve">interest at the rate earned on prime, three-month </w:t>
      </w:r>
      <w:r w:rsidRPr="007F620E" w:rsidR="00214B22">
        <w:t xml:space="preserve">non-financial </w:t>
      </w:r>
      <w:r w:rsidRPr="007F620E">
        <w:t xml:space="preserve">commercial </w:t>
      </w:r>
      <w:r w:rsidRPr="007F620E">
        <w:lastRenderedPageBreak/>
        <w:t>paper as reported in Federal Reserve Statistical Release H.15, beginning</w:t>
      </w:r>
      <w:r w:rsidRPr="007F620E" w:rsidR="00357F1A">
        <w:t xml:space="preserve"> </w:t>
      </w:r>
      <w:r w:rsidR="002A2FF5">
        <w:t>July 25, 2023</w:t>
      </w:r>
      <w:r w:rsidRPr="007F620E" w:rsidR="00357F1A">
        <w:t xml:space="preserve">, </w:t>
      </w:r>
      <w:r w:rsidRPr="007F620E">
        <w:t>the 75</w:t>
      </w:r>
      <w:r w:rsidRPr="007F620E">
        <w:rPr>
          <w:vertAlign w:val="superscript"/>
        </w:rPr>
        <w:t>th</w:t>
      </w:r>
      <w:r w:rsidRPr="007F620E">
        <w:t xml:space="preserve"> day after the filing </w:t>
      </w:r>
      <w:r w:rsidRPr="00242F91">
        <w:t xml:space="preserve">of </w:t>
      </w:r>
      <w:r w:rsidRPr="00242F91" w:rsidR="00124533">
        <w:t>Green Power Institute</w:t>
      </w:r>
      <w:r w:rsidRPr="00242F91" w:rsidR="00FE3BAE">
        <w:t>’s</w:t>
      </w:r>
      <w:r w:rsidRPr="003B6A1B" w:rsidR="00FE3BAE">
        <w:rPr>
          <w:b/>
        </w:rPr>
        <w:t xml:space="preserve"> </w:t>
      </w:r>
      <w:r w:rsidRPr="007F620E">
        <w:t>request, and continuing until full payment is made.</w:t>
      </w:r>
    </w:p>
    <w:p w:rsidRPr="00DE29F8" w:rsidR="00A92D0B" w:rsidP="00DE3A5D" w:rsidRDefault="00A92D0B" w14:paraId="5AD40C95" w14:textId="6F402D3D">
      <w:pPr>
        <w:keepNext/>
        <w:keepLines/>
        <w:numPr>
          <w:ilvl w:val="0"/>
          <w:numId w:val="4"/>
        </w:numPr>
        <w:tabs>
          <w:tab w:val="clear" w:pos="900"/>
          <w:tab w:val="num" w:pos="540"/>
        </w:tabs>
        <w:spacing w:before="240"/>
        <w:ind w:left="547" w:hanging="547"/>
      </w:pPr>
      <w:r w:rsidRPr="00DE29F8">
        <w:t xml:space="preserve">The comment period for today’s decision is </w:t>
      </w:r>
      <w:r w:rsidRPr="00DE29F8" w:rsidR="00DE5988">
        <w:t xml:space="preserve">not </w:t>
      </w:r>
      <w:r w:rsidRPr="00DE29F8">
        <w:t>waived.</w:t>
      </w:r>
    </w:p>
    <w:p w:rsidRPr="007F620E" w:rsidR="00A92D0B" w:rsidP="00EE63FB" w:rsidRDefault="00A92D0B" w14:paraId="13F3A0AD" w14:textId="77777777">
      <w:pPr>
        <w:keepNext/>
        <w:keepLines/>
        <w:spacing w:before="240"/>
        <w:ind w:left="547"/>
        <w:rPr>
          <w:color w:val="000000"/>
        </w:rPr>
      </w:pPr>
      <w:r w:rsidRPr="007F620E">
        <w:rPr>
          <w:color w:val="000000"/>
        </w:rPr>
        <w:t>This decision is effective today.</w:t>
      </w:r>
    </w:p>
    <w:p w:rsidRPr="006E508A" w:rsidR="00A92D0B" w:rsidP="00EE63FB" w:rsidRDefault="00A92D0B" w14:paraId="0467B995" w14:textId="5FB76B03">
      <w:pPr>
        <w:keepNext/>
        <w:keepLines/>
        <w:spacing w:before="240"/>
        <w:ind w:firstLine="547"/>
        <w:rPr>
          <w:color w:val="000000"/>
        </w:rPr>
      </w:pPr>
      <w:r w:rsidRPr="006E508A">
        <w:rPr>
          <w:color w:val="000000"/>
        </w:rPr>
        <w:t xml:space="preserve">Dated </w:t>
      </w:r>
      <w:r w:rsidR="006E508A">
        <w:rPr>
          <w:color w:val="000000"/>
        </w:rPr>
        <w:t>April 18, 2024</w:t>
      </w:r>
      <w:r w:rsidRPr="006E508A">
        <w:rPr>
          <w:color w:val="000000"/>
        </w:rPr>
        <w:t xml:space="preserve">, at </w:t>
      </w:r>
      <w:r w:rsidRPr="006E508A" w:rsidR="002133A4">
        <w:rPr>
          <w:color w:val="000000"/>
        </w:rPr>
        <w:t>Sa</w:t>
      </w:r>
      <w:r w:rsidRPr="006E508A" w:rsidR="00717CC2">
        <w:rPr>
          <w:color w:val="000000"/>
        </w:rPr>
        <w:t>cramento</w:t>
      </w:r>
      <w:r w:rsidRPr="006E508A" w:rsidR="002133A4">
        <w:rPr>
          <w:color w:val="000000"/>
        </w:rPr>
        <w:t>,</w:t>
      </w:r>
      <w:r w:rsidRPr="006E508A">
        <w:rPr>
          <w:color w:val="000000"/>
        </w:rPr>
        <w:t xml:space="preserve"> California.</w:t>
      </w:r>
    </w:p>
    <w:p w:rsidRPr="006E508A" w:rsidR="00F0294C" w:rsidP="00EE63FB" w:rsidRDefault="00F0294C" w14:paraId="5C7C7D08" w14:textId="77777777">
      <w:pPr>
        <w:keepNext/>
        <w:keepLines/>
        <w:spacing w:before="240"/>
        <w:ind w:firstLine="547"/>
        <w:rPr>
          <w:color w:val="000000"/>
        </w:rPr>
      </w:pPr>
    </w:p>
    <w:p w:rsidRPr="006E508A" w:rsidR="006E508A" w:rsidP="009155C9" w:rsidRDefault="006E508A" w14:paraId="0284B32F" w14:textId="77777777">
      <w:pPr>
        <w:pStyle w:val="SigBlockBA-Cmr"/>
        <w:rPr>
          <w:rFonts w:ascii="Times New Roman" w:hAnsi="Times New Roman"/>
          <w:sz w:val="28"/>
          <w:szCs w:val="28"/>
        </w:rPr>
      </w:pPr>
      <w:r w:rsidRPr="006E508A">
        <w:rPr>
          <w:rFonts w:ascii="Times New Roman" w:hAnsi="Times New Roman"/>
          <w:sz w:val="28"/>
          <w:szCs w:val="28"/>
        </w:rPr>
        <w:t>ALICE REYNOLDS</w:t>
      </w:r>
    </w:p>
    <w:p w:rsidRPr="006E508A" w:rsidR="006E508A" w:rsidP="009155C9" w:rsidRDefault="006E508A" w14:paraId="37DACD45" w14:textId="77777777">
      <w:pPr>
        <w:pStyle w:val="SigBlockBA-Title"/>
        <w:rPr>
          <w:rFonts w:ascii="Times New Roman" w:hAnsi="Times New Roman"/>
          <w:sz w:val="28"/>
          <w:szCs w:val="28"/>
        </w:rPr>
      </w:pPr>
      <w:r w:rsidRPr="006E508A">
        <w:rPr>
          <w:rFonts w:ascii="Times New Roman" w:hAnsi="Times New Roman"/>
          <w:sz w:val="28"/>
          <w:szCs w:val="28"/>
        </w:rPr>
        <w:t>President</w:t>
      </w:r>
    </w:p>
    <w:p w:rsidRPr="006E508A" w:rsidR="006E508A" w:rsidP="009155C9" w:rsidRDefault="006E508A" w14:paraId="60019693" w14:textId="77777777">
      <w:pPr>
        <w:pStyle w:val="SigBlockBA-Cmr"/>
        <w:rPr>
          <w:rFonts w:ascii="Times New Roman" w:hAnsi="Times New Roman"/>
          <w:sz w:val="28"/>
          <w:szCs w:val="28"/>
        </w:rPr>
      </w:pPr>
      <w:r w:rsidRPr="006E508A">
        <w:rPr>
          <w:rFonts w:ascii="Times New Roman" w:hAnsi="Times New Roman"/>
          <w:sz w:val="28"/>
          <w:szCs w:val="28"/>
        </w:rPr>
        <w:t>DARCIE L. HOUCK</w:t>
      </w:r>
    </w:p>
    <w:p w:rsidRPr="006E508A" w:rsidR="006E508A" w:rsidP="009155C9" w:rsidRDefault="006E508A" w14:paraId="37FA7353" w14:textId="77777777">
      <w:pPr>
        <w:pStyle w:val="SigBlockBA-Cmr"/>
        <w:rPr>
          <w:rFonts w:ascii="Times New Roman" w:hAnsi="Times New Roman"/>
          <w:sz w:val="28"/>
          <w:szCs w:val="28"/>
        </w:rPr>
      </w:pPr>
      <w:r w:rsidRPr="006E508A">
        <w:rPr>
          <w:rFonts w:ascii="Times New Roman" w:hAnsi="Times New Roman"/>
          <w:sz w:val="28"/>
          <w:szCs w:val="28"/>
        </w:rPr>
        <w:t>JOHN REYNOLDS</w:t>
      </w:r>
    </w:p>
    <w:p w:rsidRPr="006E508A" w:rsidR="006E508A" w:rsidP="009155C9" w:rsidRDefault="006E508A" w14:paraId="1E26FC8A" w14:textId="77777777">
      <w:pPr>
        <w:pStyle w:val="SigBlockBA-Cmr"/>
        <w:rPr>
          <w:rFonts w:ascii="Times New Roman" w:hAnsi="Times New Roman"/>
          <w:sz w:val="28"/>
          <w:szCs w:val="28"/>
        </w:rPr>
      </w:pPr>
      <w:r w:rsidRPr="006E508A">
        <w:rPr>
          <w:rFonts w:ascii="Times New Roman" w:hAnsi="Times New Roman"/>
          <w:sz w:val="28"/>
          <w:szCs w:val="28"/>
        </w:rPr>
        <w:t>KAREN DOUGLAS</w:t>
      </w:r>
    </w:p>
    <w:p w:rsidRPr="006E508A" w:rsidR="006E508A" w:rsidP="009155C9" w:rsidRDefault="006E508A" w14:paraId="58B2F540" w14:textId="77777777">
      <w:pPr>
        <w:pStyle w:val="SigBlockBA-Title"/>
        <w:rPr>
          <w:rFonts w:ascii="Times New Roman" w:hAnsi="Times New Roman"/>
          <w:sz w:val="28"/>
          <w:szCs w:val="28"/>
        </w:rPr>
      </w:pPr>
      <w:r w:rsidRPr="006E508A">
        <w:rPr>
          <w:rFonts w:ascii="Times New Roman" w:hAnsi="Times New Roman"/>
          <w:sz w:val="28"/>
          <w:szCs w:val="28"/>
        </w:rPr>
        <w:t>Commissioners</w:t>
      </w:r>
    </w:p>
    <w:p w:rsidRPr="006E508A" w:rsidR="006E508A" w:rsidP="009155C9" w:rsidRDefault="006E508A" w14:paraId="64777E27" w14:textId="77777777">
      <w:pPr>
        <w:pStyle w:val="SigBlockBA-Cmr"/>
        <w:spacing w:line="360" w:lineRule="auto"/>
        <w:ind w:left="3600"/>
        <w:rPr>
          <w:rFonts w:ascii="Times New Roman" w:hAnsi="Times New Roman"/>
        </w:rPr>
      </w:pPr>
    </w:p>
    <w:p w:rsidRPr="006E508A" w:rsidR="006E508A" w:rsidP="009155C9" w:rsidRDefault="006E508A" w14:paraId="572F7934" w14:textId="616E8AFA">
      <w:pPr>
        <w:pStyle w:val="SigBlockBA-Cmr"/>
        <w:tabs>
          <w:tab w:val="left" w:pos="4320"/>
        </w:tabs>
        <w:rPr>
          <w:rFonts w:ascii="Times New Roman" w:hAnsi="Times New Roman"/>
          <w:szCs w:val="26"/>
        </w:rPr>
      </w:pPr>
      <w:r w:rsidRPr="006E508A">
        <w:rPr>
          <w:rFonts w:ascii="Times New Roman" w:hAnsi="Times New Roman"/>
          <w:szCs w:val="26"/>
        </w:rPr>
        <w:t>Commissioner Matthew Baker</w:t>
      </w:r>
      <w:r w:rsidR="009155C9">
        <w:rPr>
          <w:rFonts w:ascii="Times New Roman" w:hAnsi="Times New Roman"/>
          <w:szCs w:val="26"/>
        </w:rPr>
        <w:t xml:space="preserve"> </w:t>
      </w:r>
      <w:r w:rsidRPr="006E508A">
        <w:rPr>
          <w:rFonts w:ascii="Times New Roman" w:hAnsi="Times New Roman"/>
          <w:szCs w:val="26"/>
        </w:rPr>
        <w:t>recused</w:t>
      </w:r>
      <w:r w:rsidR="009155C9">
        <w:rPr>
          <w:rFonts w:ascii="Times New Roman" w:hAnsi="Times New Roman"/>
          <w:szCs w:val="26"/>
        </w:rPr>
        <w:br/>
      </w:r>
      <w:r w:rsidRPr="006E508A">
        <w:rPr>
          <w:rFonts w:ascii="Times New Roman" w:hAnsi="Times New Roman"/>
          <w:szCs w:val="26"/>
        </w:rPr>
        <w:t>himself from this agenda</w:t>
      </w:r>
      <w:r w:rsidR="009155C9">
        <w:rPr>
          <w:rFonts w:ascii="Times New Roman" w:hAnsi="Times New Roman"/>
          <w:szCs w:val="26"/>
        </w:rPr>
        <w:t xml:space="preserve"> </w:t>
      </w:r>
      <w:r w:rsidRPr="006E508A">
        <w:rPr>
          <w:rFonts w:ascii="Times New Roman" w:hAnsi="Times New Roman"/>
          <w:szCs w:val="26"/>
        </w:rPr>
        <w:t>item and was</w:t>
      </w:r>
      <w:r w:rsidR="009155C9">
        <w:rPr>
          <w:rFonts w:ascii="Times New Roman" w:hAnsi="Times New Roman"/>
          <w:szCs w:val="26"/>
        </w:rPr>
        <w:br/>
      </w:r>
      <w:r w:rsidRPr="006E508A">
        <w:rPr>
          <w:rFonts w:ascii="Times New Roman" w:hAnsi="Times New Roman"/>
          <w:szCs w:val="26"/>
        </w:rPr>
        <w:t>not part of the</w:t>
      </w:r>
      <w:r w:rsidR="009155C9">
        <w:rPr>
          <w:rFonts w:ascii="Times New Roman" w:hAnsi="Times New Roman"/>
          <w:szCs w:val="26"/>
        </w:rPr>
        <w:t xml:space="preserve"> </w:t>
      </w:r>
      <w:r w:rsidRPr="006E508A">
        <w:rPr>
          <w:rFonts w:ascii="Times New Roman" w:hAnsi="Times New Roman"/>
          <w:szCs w:val="26"/>
        </w:rPr>
        <w:t>quorum in its consideration.</w:t>
      </w:r>
    </w:p>
    <w:p w:rsidRPr="006E508A" w:rsidR="006E508A" w:rsidP="006E508A" w:rsidRDefault="006E508A" w14:paraId="5349B454" w14:textId="77777777">
      <w:pPr>
        <w:keepNext/>
      </w:pPr>
    </w:p>
    <w:p w:rsidRPr="006E508A" w:rsidR="00F0294C" w:rsidP="00EE63FB" w:rsidRDefault="00F0294C" w14:paraId="50911559" w14:textId="77777777">
      <w:pPr>
        <w:keepNext/>
        <w:keepLines/>
        <w:spacing w:before="240"/>
        <w:ind w:firstLine="547"/>
        <w:rPr>
          <w:color w:val="000000"/>
        </w:rPr>
      </w:pPr>
    </w:p>
    <w:p w:rsidRPr="007F620E" w:rsidR="00F0294C" w:rsidP="00EE63FB" w:rsidRDefault="00F0294C" w14:paraId="60F04D58" w14:textId="77777777">
      <w:pPr>
        <w:keepNext/>
        <w:keepLines/>
        <w:spacing w:before="240"/>
        <w:ind w:firstLine="547"/>
        <w:rPr>
          <w:color w:val="000000"/>
        </w:rPr>
      </w:pPr>
    </w:p>
    <w:p w:rsidR="00F0294C" w:rsidRDefault="00F0294C" w14:paraId="0FDE47AF" w14:textId="77777777">
      <w:pPr>
        <w:sectPr w:rsidR="00F0294C" w:rsidSect="00195274">
          <w:headerReference w:type="default" r:id="rId9"/>
          <w:footerReference w:type="default" r:id="rId10"/>
          <w:pgSz w:w="12240" w:h="15840"/>
          <w:pgMar w:top="1728" w:right="1440" w:bottom="1440" w:left="1440" w:header="720" w:footer="720" w:gutter="0"/>
          <w:pgNumType w:fmt="numberInDash"/>
          <w:cols w:space="720"/>
          <w:docGrid w:linePitch="360"/>
        </w:sectPr>
      </w:pPr>
    </w:p>
    <w:p w:rsidR="00FE3BAE" w:rsidP="00FE3BAE" w:rsidRDefault="00FE3BAE" w14:paraId="1EBE0041" w14:textId="77777777"/>
    <w:p w:rsidRPr="005E3E0A" w:rsidR="00FE3BAE" w:rsidP="005E3E0A" w:rsidRDefault="00FE3BAE" w14:paraId="7A1C7043" w14:textId="77777777">
      <w:pPr>
        <w:pStyle w:val="Dummy"/>
        <w:jc w:val="center"/>
        <w:rPr>
          <w:rFonts w:ascii="Times New Roman" w:hAnsi="Times New Roman" w:cs="Times New Roman"/>
          <w:color w:val="000000"/>
          <w:sz w:val="28"/>
          <w:szCs w:val="28"/>
          <w:u w:val="single"/>
        </w:rPr>
      </w:pPr>
      <w:r w:rsidRPr="005E3E0A">
        <w:rPr>
          <w:rFonts w:ascii="Times New Roman" w:hAnsi="Times New Roman" w:cs="Times New Roman"/>
          <w:color w:val="000000"/>
          <w:sz w:val="28"/>
          <w:szCs w:val="28"/>
        </w:rPr>
        <w:t>APPENDIX</w:t>
      </w:r>
    </w:p>
    <w:p w:rsidRPr="005E3E0A" w:rsidR="00FE3BAE" w:rsidP="005E3E0A" w:rsidRDefault="00FE3BAE" w14:paraId="300BB274" w14:textId="77777777">
      <w:pPr>
        <w:pStyle w:val="standard"/>
        <w:ind w:firstLine="0"/>
        <w:jc w:val="center"/>
        <w:rPr>
          <w:rFonts w:ascii="Times New Roman" w:hAnsi="Times New Roman"/>
          <w:szCs w:val="26"/>
        </w:rPr>
      </w:pPr>
      <w:r w:rsidRPr="005E3E0A">
        <w:rPr>
          <w:rFonts w:ascii="Times New Roman" w:hAnsi="Times New Roman"/>
          <w:b/>
          <w:bCs/>
          <w:szCs w:val="26"/>
        </w:rPr>
        <w:t>Compensation Decision Summary Information</w:t>
      </w: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880"/>
        <w:gridCol w:w="3735"/>
        <w:gridCol w:w="2475"/>
        <w:gridCol w:w="1260"/>
      </w:tblGrid>
      <w:tr w:rsidR="00FE3BAE" w:rsidTr="00342A89" w14:paraId="062C592A"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342A89" w:rsidRDefault="00FE3BAE" w14:paraId="4BC9C636" w14:textId="77777777">
            <w:r>
              <w:t>Compensation Decision:</w:t>
            </w:r>
          </w:p>
        </w:tc>
        <w:tc>
          <w:tcPr>
            <w:tcW w:w="3735" w:type="dxa"/>
            <w:tcBorders>
              <w:top w:val="single" w:color="auto" w:sz="4" w:space="0"/>
              <w:left w:val="single" w:color="auto" w:sz="4" w:space="0"/>
              <w:bottom w:val="single" w:color="auto" w:sz="4" w:space="0"/>
              <w:right w:val="single" w:color="auto" w:sz="4" w:space="0"/>
            </w:tcBorders>
          </w:tcPr>
          <w:p w:rsidR="00FE3BAE" w:rsidP="00342A89" w:rsidRDefault="006E508A" w14:paraId="16C5D6B1" w14:textId="27EB16CE">
            <w:r>
              <w:t>D2404027</w:t>
            </w:r>
          </w:p>
        </w:tc>
        <w:tc>
          <w:tcPr>
            <w:tcW w:w="2475" w:type="dxa"/>
            <w:tcBorders>
              <w:top w:val="single" w:color="auto" w:sz="4" w:space="0"/>
              <w:left w:val="single" w:color="auto" w:sz="4" w:space="0"/>
              <w:bottom w:val="single" w:color="auto" w:sz="4" w:space="0"/>
              <w:right w:val="single" w:color="auto" w:sz="4" w:space="0"/>
            </w:tcBorders>
            <w:hideMark/>
          </w:tcPr>
          <w:p w:rsidR="00FE3BAE" w:rsidP="00342A89" w:rsidRDefault="00FE3BAE" w14:paraId="3ECA0C4F" w14:textId="77777777">
            <w:r>
              <w:t xml:space="preserve">Modifies Decision? </w:t>
            </w:r>
          </w:p>
        </w:tc>
        <w:tc>
          <w:tcPr>
            <w:tcW w:w="1260" w:type="dxa"/>
            <w:tcBorders>
              <w:top w:val="single" w:color="auto" w:sz="4" w:space="0"/>
              <w:left w:val="single" w:color="auto" w:sz="4" w:space="0"/>
              <w:bottom w:val="single" w:color="auto" w:sz="4" w:space="0"/>
              <w:right w:val="single" w:color="auto" w:sz="4" w:space="0"/>
            </w:tcBorders>
          </w:tcPr>
          <w:p w:rsidR="00FE3BAE" w:rsidP="00342A89" w:rsidRDefault="00EE63FB" w14:paraId="6846FB87" w14:textId="0CD1226A">
            <w:pPr>
              <w:jc w:val="center"/>
            </w:pPr>
            <w:r>
              <w:t>No</w:t>
            </w:r>
          </w:p>
        </w:tc>
      </w:tr>
      <w:tr w:rsidR="00FE3BAE" w:rsidTr="008321FE" w14:paraId="3E0218AD"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342A89" w:rsidRDefault="00FE3BAE" w14:paraId="6E65620B" w14:textId="77777777">
            <w:r>
              <w:t>Contribution Decision(s):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00FE3BAE" w:rsidP="00342A89" w:rsidRDefault="00593CF6" w14:paraId="426F2C45" w14:textId="07B3489B">
            <w:r w:rsidRPr="00593CF6">
              <w:t>D</w:t>
            </w:r>
            <w:r w:rsidRPr="007F143D" w:rsidR="007F143D">
              <w:t>2</w:t>
            </w:r>
            <w:r w:rsidR="000804C0">
              <w:t>2</w:t>
            </w:r>
            <w:r w:rsidRPr="007F143D" w:rsidR="007F143D">
              <w:t>1</w:t>
            </w:r>
            <w:r w:rsidR="00FE5CB1">
              <w:t>2</w:t>
            </w:r>
            <w:r w:rsidRPr="007F143D" w:rsidR="007F143D">
              <w:t>0</w:t>
            </w:r>
            <w:r w:rsidR="00FE5CB1">
              <w:t>5</w:t>
            </w:r>
            <w:r w:rsidR="000804C0">
              <w:t>4</w:t>
            </w:r>
          </w:p>
        </w:tc>
      </w:tr>
      <w:tr w:rsidR="00FE3BAE" w:rsidTr="008321FE" w14:paraId="2808C576"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342A89" w:rsidRDefault="00FE3BAE" w14:paraId="717974DE" w14:textId="77777777">
            <w:r>
              <w:t>Proceeding(s):</w:t>
            </w:r>
          </w:p>
        </w:tc>
        <w:tc>
          <w:tcPr>
            <w:tcW w:w="7470" w:type="dxa"/>
            <w:gridSpan w:val="3"/>
            <w:tcBorders>
              <w:top w:val="single" w:color="auto" w:sz="4" w:space="0"/>
              <w:left w:val="single" w:color="auto" w:sz="4" w:space="0"/>
              <w:bottom w:val="single" w:color="auto" w:sz="4" w:space="0"/>
              <w:right w:val="single" w:color="auto" w:sz="4" w:space="0"/>
            </w:tcBorders>
            <w:shd w:val="clear" w:color="auto" w:fill="auto"/>
            <w:hideMark/>
          </w:tcPr>
          <w:p w:rsidR="00FE3BAE" w:rsidP="00342A89" w:rsidRDefault="00FE5CB1" w14:paraId="5B85688D" w14:textId="418EE9C9">
            <w:r>
              <w:t>A2</w:t>
            </w:r>
            <w:r w:rsidR="006F2F2A">
              <w:t>1</w:t>
            </w:r>
            <w:r w:rsidR="007F143D">
              <w:t>1</w:t>
            </w:r>
            <w:r>
              <w:t>0</w:t>
            </w:r>
            <w:r w:rsidR="006F2F2A">
              <w:t>0</w:t>
            </w:r>
            <w:r>
              <w:t>1</w:t>
            </w:r>
            <w:r w:rsidR="006F2F2A">
              <w:t>0</w:t>
            </w:r>
          </w:p>
        </w:tc>
      </w:tr>
      <w:tr w:rsidR="00FE3BAE" w:rsidTr="00342A89" w14:paraId="66779179" w14:textId="77777777">
        <w:trPr>
          <w:trHeight w:val="288"/>
        </w:trPr>
        <w:tc>
          <w:tcPr>
            <w:tcW w:w="2880" w:type="dxa"/>
            <w:tcBorders>
              <w:top w:val="single" w:color="auto" w:sz="4" w:space="0"/>
              <w:left w:val="single" w:color="auto" w:sz="4" w:space="0"/>
              <w:bottom w:val="single" w:color="auto" w:sz="4" w:space="0"/>
              <w:right w:val="single" w:color="auto" w:sz="4" w:space="0"/>
            </w:tcBorders>
            <w:hideMark/>
          </w:tcPr>
          <w:p w:rsidR="00FE3BAE" w:rsidP="00342A89" w:rsidRDefault="00FE3BAE" w14:paraId="738C0A58" w14:textId="77777777">
            <w:r>
              <w:t>Author:</w:t>
            </w:r>
          </w:p>
        </w:tc>
        <w:tc>
          <w:tcPr>
            <w:tcW w:w="7470" w:type="dxa"/>
            <w:gridSpan w:val="3"/>
            <w:tcBorders>
              <w:top w:val="single" w:color="auto" w:sz="4" w:space="0"/>
              <w:left w:val="single" w:color="auto" w:sz="4" w:space="0"/>
              <w:bottom w:val="single" w:color="auto" w:sz="4" w:space="0"/>
              <w:right w:val="single" w:color="auto" w:sz="4" w:space="0"/>
            </w:tcBorders>
            <w:hideMark/>
          </w:tcPr>
          <w:p w:rsidR="00FE3BAE" w:rsidP="00342A89" w:rsidRDefault="004A17C1" w14:paraId="5E75C0F0" w14:textId="5F7EFE06">
            <w:r>
              <w:t xml:space="preserve">ALJ </w:t>
            </w:r>
            <w:r w:rsidR="00EE63FB">
              <w:t>Rizzo</w:t>
            </w:r>
          </w:p>
        </w:tc>
      </w:tr>
      <w:tr w:rsidR="00FE3BAE" w:rsidTr="00342A89" w14:paraId="305F69F4" w14:textId="77777777">
        <w:trPr>
          <w:trHeight w:val="278"/>
        </w:trPr>
        <w:tc>
          <w:tcPr>
            <w:tcW w:w="2880" w:type="dxa"/>
            <w:tcBorders>
              <w:top w:val="single" w:color="auto" w:sz="4" w:space="0"/>
              <w:left w:val="single" w:color="auto" w:sz="4" w:space="0"/>
              <w:bottom w:val="single" w:color="auto" w:sz="4" w:space="0"/>
              <w:right w:val="single" w:color="auto" w:sz="4" w:space="0"/>
            </w:tcBorders>
            <w:hideMark/>
          </w:tcPr>
          <w:p w:rsidR="00FE3BAE" w:rsidP="00342A89" w:rsidRDefault="00FE3BAE" w14:paraId="1414CA71" w14:textId="77777777">
            <w:r>
              <w:t>Payer(s):</w:t>
            </w:r>
          </w:p>
        </w:tc>
        <w:tc>
          <w:tcPr>
            <w:tcW w:w="7470" w:type="dxa"/>
            <w:gridSpan w:val="3"/>
            <w:tcBorders>
              <w:top w:val="single" w:color="auto" w:sz="4" w:space="0"/>
              <w:left w:val="single" w:color="auto" w:sz="4" w:space="0"/>
              <w:bottom w:val="single" w:color="auto" w:sz="4" w:space="0"/>
              <w:right w:val="single" w:color="auto" w:sz="4" w:space="0"/>
            </w:tcBorders>
            <w:hideMark/>
          </w:tcPr>
          <w:p w:rsidR="00FE3BAE" w:rsidP="00342A89" w:rsidRDefault="00FA6371" w14:paraId="7CA711B6" w14:textId="0142F7F6">
            <w:r>
              <w:t>P</w:t>
            </w:r>
            <w:r w:rsidR="004A17C1">
              <w:t>acific Gas and Electric</w:t>
            </w:r>
            <w:r w:rsidR="00EE63FB">
              <w:t xml:space="preserve"> Company</w:t>
            </w:r>
          </w:p>
        </w:tc>
      </w:tr>
    </w:tbl>
    <w:p w:rsidR="00FE3BAE" w:rsidP="00FE3BAE" w:rsidRDefault="00FE3BAE" w14:paraId="577092C6" w14:textId="77777777"/>
    <w:p w:rsidR="00FE3BAE" w:rsidP="00FE3BAE" w:rsidRDefault="00FE3BAE" w14:paraId="14BBADAB" w14:textId="77777777"/>
    <w:p w:rsidRPr="005E3E0A" w:rsidR="00FE3BAE" w:rsidP="005E3E0A" w:rsidRDefault="00FE3BAE" w14:paraId="12F6E9ED" w14:textId="267ADBE8">
      <w:pPr>
        <w:pStyle w:val="standard"/>
        <w:ind w:firstLine="0"/>
        <w:jc w:val="center"/>
        <w:rPr>
          <w:rFonts w:ascii="Times New Roman" w:hAnsi="Times New Roman"/>
          <w:b/>
          <w:bCs/>
          <w:szCs w:val="26"/>
        </w:rPr>
      </w:pPr>
      <w:r w:rsidRPr="005E3E0A">
        <w:rPr>
          <w:rFonts w:ascii="Times New Roman" w:hAnsi="Times New Roman"/>
          <w:b/>
          <w:bCs/>
          <w:szCs w:val="26"/>
        </w:rPr>
        <w:t>Intervenor Information</w:t>
      </w:r>
    </w:p>
    <w:tbl>
      <w:tblPr>
        <w:tblW w:w="10327"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044"/>
        <w:gridCol w:w="1376"/>
        <w:gridCol w:w="1530"/>
        <w:gridCol w:w="1603"/>
        <w:gridCol w:w="1296"/>
        <w:gridCol w:w="2478"/>
      </w:tblGrid>
      <w:tr w:rsidR="00FE3BAE" w:rsidTr="0081626F" w14:paraId="6CDB318E" w14:textId="77777777">
        <w:tc>
          <w:tcPr>
            <w:tcW w:w="2044" w:type="dxa"/>
            <w:tcBorders>
              <w:top w:val="single" w:color="auto" w:sz="4" w:space="0"/>
              <w:left w:val="single" w:color="auto" w:sz="4" w:space="0"/>
              <w:bottom w:val="single" w:color="auto" w:sz="4" w:space="0"/>
              <w:right w:val="single" w:color="auto" w:sz="4" w:space="0"/>
            </w:tcBorders>
            <w:hideMark/>
          </w:tcPr>
          <w:p w:rsidR="00FE3BAE" w:rsidP="00342A89" w:rsidRDefault="00FE3BAE" w14:paraId="2578F35B" w14:textId="77777777">
            <w:pPr>
              <w:jc w:val="center"/>
            </w:pPr>
            <w:r>
              <w:t>Intervenor</w:t>
            </w:r>
          </w:p>
        </w:tc>
        <w:tc>
          <w:tcPr>
            <w:tcW w:w="1376" w:type="dxa"/>
            <w:tcBorders>
              <w:top w:val="single" w:color="auto" w:sz="4" w:space="0"/>
              <w:left w:val="single" w:color="auto" w:sz="4" w:space="0"/>
              <w:bottom w:val="single" w:color="auto" w:sz="4" w:space="0"/>
              <w:right w:val="single" w:color="auto" w:sz="4" w:space="0"/>
            </w:tcBorders>
            <w:hideMark/>
          </w:tcPr>
          <w:p w:rsidR="00FE3BAE" w:rsidP="00342A89" w:rsidRDefault="0081626F" w14:paraId="2C1C9DC3" w14:textId="23D0CF49">
            <w:pPr>
              <w:jc w:val="center"/>
            </w:pPr>
            <w:r>
              <w:t>Date Claim Filed</w:t>
            </w:r>
          </w:p>
        </w:tc>
        <w:tc>
          <w:tcPr>
            <w:tcW w:w="1530" w:type="dxa"/>
            <w:tcBorders>
              <w:top w:val="single" w:color="auto" w:sz="4" w:space="0"/>
              <w:left w:val="single" w:color="auto" w:sz="4" w:space="0"/>
              <w:bottom w:val="single" w:color="auto" w:sz="4" w:space="0"/>
              <w:right w:val="single" w:color="auto" w:sz="4" w:space="0"/>
            </w:tcBorders>
            <w:hideMark/>
          </w:tcPr>
          <w:p w:rsidR="00FE3BAE" w:rsidP="00342A89" w:rsidRDefault="00FE3BAE" w14:paraId="60DD020D" w14:textId="77777777">
            <w:pPr>
              <w:jc w:val="center"/>
            </w:pPr>
            <w:r>
              <w:t>Amount Requested</w:t>
            </w:r>
          </w:p>
        </w:tc>
        <w:tc>
          <w:tcPr>
            <w:tcW w:w="1603" w:type="dxa"/>
            <w:tcBorders>
              <w:top w:val="single" w:color="auto" w:sz="4" w:space="0"/>
              <w:left w:val="single" w:color="auto" w:sz="4" w:space="0"/>
              <w:bottom w:val="single" w:color="auto" w:sz="4" w:space="0"/>
              <w:right w:val="single" w:color="auto" w:sz="4" w:space="0"/>
            </w:tcBorders>
            <w:hideMark/>
          </w:tcPr>
          <w:p w:rsidR="00FE3BAE" w:rsidP="00342A89" w:rsidRDefault="00FE3BAE" w14:paraId="19A4A01D" w14:textId="77777777">
            <w:pPr>
              <w:jc w:val="center"/>
            </w:pPr>
            <w:r>
              <w:t>Amount Awarded</w:t>
            </w:r>
          </w:p>
        </w:tc>
        <w:tc>
          <w:tcPr>
            <w:tcW w:w="1296" w:type="dxa"/>
            <w:tcBorders>
              <w:top w:val="single" w:color="auto" w:sz="4" w:space="0"/>
              <w:left w:val="single" w:color="auto" w:sz="4" w:space="0"/>
              <w:bottom w:val="single" w:color="auto" w:sz="4" w:space="0"/>
              <w:right w:val="single" w:color="auto" w:sz="4" w:space="0"/>
            </w:tcBorders>
            <w:hideMark/>
          </w:tcPr>
          <w:p w:rsidR="00FE3BAE" w:rsidP="00342A89" w:rsidRDefault="00FE3BAE" w14:paraId="5B9F47E2" w14:textId="77777777">
            <w:pPr>
              <w:jc w:val="center"/>
            </w:pPr>
            <w:r>
              <w:t>Multiplier?</w:t>
            </w:r>
          </w:p>
        </w:tc>
        <w:tc>
          <w:tcPr>
            <w:tcW w:w="2478" w:type="dxa"/>
            <w:tcBorders>
              <w:top w:val="single" w:color="auto" w:sz="4" w:space="0"/>
              <w:left w:val="single" w:color="auto" w:sz="4" w:space="0"/>
              <w:bottom w:val="single" w:color="auto" w:sz="4" w:space="0"/>
              <w:right w:val="single" w:color="auto" w:sz="4" w:space="0"/>
            </w:tcBorders>
            <w:hideMark/>
          </w:tcPr>
          <w:p w:rsidR="00FE3BAE" w:rsidP="00342A89" w:rsidRDefault="00FE3BAE" w14:paraId="089590A8" w14:textId="77777777">
            <w:pPr>
              <w:jc w:val="center"/>
            </w:pPr>
            <w:r>
              <w:t>Reason Change/Disallowance</w:t>
            </w:r>
          </w:p>
        </w:tc>
      </w:tr>
      <w:tr w:rsidR="00FE3BAE" w:rsidTr="00E67F28" w14:paraId="080524E3" w14:textId="77777777">
        <w:trPr>
          <w:trHeight w:val="872"/>
        </w:trPr>
        <w:tc>
          <w:tcPr>
            <w:tcW w:w="2044" w:type="dxa"/>
            <w:tcBorders>
              <w:top w:val="single" w:color="auto" w:sz="4" w:space="0"/>
              <w:left w:val="single" w:color="auto" w:sz="4" w:space="0"/>
              <w:bottom w:val="single" w:color="auto" w:sz="4" w:space="0"/>
              <w:right w:val="single" w:color="auto" w:sz="4" w:space="0"/>
            </w:tcBorders>
            <w:shd w:val="clear" w:color="auto" w:fill="auto"/>
            <w:hideMark/>
          </w:tcPr>
          <w:p w:rsidRPr="008321FE" w:rsidR="00FE3BAE" w:rsidP="00E67F28" w:rsidRDefault="006F2F2A" w14:paraId="3008FB17" w14:textId="3F8EA03D">
            <w:pPr>
              <w:jc w:val="center"/>
            </w:pPr>
            <w:r w:rsidRPr="008321FE">
              <w:t>Green Power Institute</w:t>
            </w:r>
          </w:p>
        </w:tc>
        <w:tc>
          <w:tcPr>
            <w:tcW w:w="1376" w:type="dxa"/>
            <w:tcBorders>
              <w:top w:val="single" w:color="auto" w:sz="4" w:space="0"/>
              <w:left w:val="single" w:color="auto" w:sz="4" w:space="0"/>
              <w:bottom w:val="single" w:color="auto" w:sz="4" w:space="0"/>
              <w:right w:val="single" w:color="auto" w:sz="4" w:space="0"/>
            </w:tcBorders>
            <w:shd w:val="clear" w:color="auto" w:fill="auto"/>
            <w:hideMark/>
          </w:tcPr>
          <w:p w:rsidRPr="00E67F28" w:rsidR="00FE3BAE" w:rsidP="00342A89" w:rsidRDefault="00BB7B92" w14:paraId="63956769" w14:textId="2CA4B55B">
            <w:pPr>
              <w:jc w:val="center"/>
            </w:pPr>
            <w:r w:rsidRPr="00E67F28">
              <w:t xml:space="preserve">Jan. </w:t>
            </w:r>
            <w:r w:rsidRPr="00E67F28" w:rsidR="008146C0">
              <w:t>27</w:t>
            </w:r>
            <w:r w:rsidRPr="00E67F28">
              <w:t>, 2023</w:t>
            </w:r>
          </w:p>
        </w:tc>
        <w:tc>
          <w:tcPr>
            <w:tcW w:w="1530" w:type="dxa"/>
            <w:tcBorders>
              <w:top w:val="single" w:color="auto" w:sz="4" w:space="0"/>
              <w:left w:val="single" w:color="auto" w:sz="4" w:space="0"/>
              <w:bottom w:val="single" w:color="auto" w:sz="4" w:space="0"/>
              <w:right w:val="single" w:color="auto" w:sz="4" w:space="0"/>
            </w:tcBorders>
            <w:shd w:val="clear" w:color="auto" w:fill="auto"/>
            <w:hideMark/>
          </w:tcPr>
          <w:p w:rsidRPr="00E67F28" w:rsidR="00FE3BAE" w:rsidP="00342A89" w:rsidRDefault="006F2F2A" w14:paraId="75AD20FA" w14:textId="44A2F6D7">
            <w:pPr>
              <w:jc w:val="center"/>
            </w:pPr>
            <w:r w:rsidRPr="00E67F28">
              <w:t>$</w:t>
            </w:r>
            <w:r w:rsidRPr="00E67F28" w:rsidR="00157891">
              <w:t>107,508</w:t>
            </w:r>
          </w:p>
        </w:tc>
        <w:tc>
          <w:tcPr>
            <w:tcW w:w="1603" w:type="dxa"/>
            <w:tcBorders>
              <w:top w:val="single" w:color="auto" w:sz="4" w:space="0"/>
              <w:left w:val="single" w:color="auto" w:sz="4" w:space="0"/>
              <w:bottom w:val="single" w:color="auto" w:sz="4" w:space="0"/>
              <w:right w:val="single" w:color="auto" w:sz="4" w:space="0"/>
            </w:tcBorders>
            <w:hideMark/>
          </w:tcPr>
          <w:p w:rsidRPr="00C65615" w:rsidR="00FE3BAE" w:rsidP="00342A89" w:rsidRDefault="00836F2F" w14:paraId="0DD6FE00" w14:textId="0E88D996">
            <w:pPr>
              <w:jc w:val="center"/>
            </w:pPr>
            <w:r w:rsidRPr="00836F2F">
              <w:t>$47,651.13</w:t>
            </w:r>
          </w:p>
        </w:tc>
        <w:tc>
          <w:tcPr>
            <w:tcW w:w="1296" w:type="dxa"/>
            <w:tcBorders>
              <w:top w:val="single" w:color="auto" w:sz="4" w:space="0"/>
              <w:left w:val="single" w:color="auto" w:sz="4" w:space="0"/>
              <w:bottom w:val="single" w:color="auto" w:sz="4" w:space="0"/>
              <w:right w:val="single" w:color="auto" w:sz="4" w:space="0"/>
            </w:tcBorders>
            <w:hideMark/>
          </w:tcPr>
          <w:p w:rsidRPr="00C65615" w:rsidR="00FE3BAE" w:rsidP="00342A89" w:rsidRDefault="00FE3BAE" w14:paraId="0BDAFE20" w14:textId="77777777">
            <w:pPr>
              <w:jc w:val="center"/>
            </w:pPr>
            <w:r w:rsidRPr="00C65615">
              <w:t>N/A</w:t>
            </w:r>
          </w:p>
        </w:tc>
        <w:tc>
          <w:tcPr>
            <w:tcW w:w="2478" w:type="dxa"/>
            <w:tcBorders>
              <w:top w:val="single" w:color="auto" w:sz="4" w:space="0"/>
              <w:left w:val="single" w:color="auto" w:sz="4" w:space="0"/>
              <w:bottom w:val="single" w:color="auto" w:sz="4" w:space="0"/>
              <w:right w:val="single" w:color="auto" w:sz="4" w:space="0"/>
            </w:tcBorders>
            <w:hideMark/>
          </w:tcPr>
          <w:p w:rsidRPr="00C65615" w:rsidR="00FE3BAE" w:rsidP="00C65615" w:rsidRDefault="00C65615" w14:paraId="6B53C6F9" w14:textId="54E77D7A">
            <w:pPr>
              <w:pStyle w:val="Default"/>
              <w:rPr>
                <w:sz w:val="23"/>
                <w:szCs w:val="23"/>
              </w:rPr>
            </w:pPr>
            <w:r w:rsidRPr="00C65615">
              <w:rPr>
                <w:i/>
                <w:iCs/>
                <w:sz w:val="23"/>
                <w:szCs w:val="23"/>
              </w:rPr>
              <w:t xml:space="preserve">See </w:t>
            </w:r>
            <w:r w:rsidRPr="00C65615">
              <w:rPr>
                <w:sz w:val="23"/>
                <w:szCs w:val="23"/>
              </w:rPr>
              <w:t xml:space="preserve">Part III.D, CPUC Comments, Disallowances, and Adjustments above. </w:t>
            </w:r>
          </w:p>
        </w:tc>
      </w:tr>
    </w:tbl>
    <w:p w:rsidR="00FE3BAE" w:rsidP="00FE3BAE" w:rsidRDefault="00FE3BAE" w14:paraId="4864D7A1" w14:textId="77777777"/>
    <w:p w:rsidRPr="005E3E0A" w:rsidR="00FE3BAE" w:rsidP="00FE3BAE" w:rsidRDefault="00FE3BAE" w14:paraId="5FB11A0C" w14:textId="77777777">
      <w:pPr>
        <w:rPr>
          <w:b/>
          <w:bCs/>
        </w:rPr>
      </w:pPr>
    </w:p>
    <w:p w:rsidRPr="005E3E0A" w:rsidR="00FE3BAE" w:rsidP="005E3E0A" w:rsidRDefault="0022302F" w14:paraId="659D5EF0" w14:textId="3A009845">
      <w:pPr>
        <w:pStyle w:val="standard"/>
        <w:ind w:firstLine="0"/>
        <w:jc w:val="center"/>
        <w:rPr>
          <w:rFonts w:ascii="Times New Roman" w:hAnsi="Times New Roman"/>
          <w:b/>
          <w:bCs/>
          <w:szCs w:val="26"/>
        </w:rPr>
      </w:pPr>
      <w:r w:rsidRPr="005E3E0A">
        <w:rPr>
          <w:rFonts w:ascii="Times New Roman" w:hAnsi="Times New Roman"/>
          <w:b/>
          <w:bCs/>
          <w:szCs w:val="26"/>
        </w:rPr>
        <w:t>Hourly Fee</w:t>
      </w:r>
      <w:r w:rsidRPr="005E3E0A" w:rsidR="00FE3BAE">
        <w:rPr>
          <w:rFonts w:ascii="Times New Roman" w:hAnsi="Times New Roman"/>
          <w:b/>
          <w:bCs/>
          <w:szCs w:val="26"/>
        </w:rPr>
        <w:t xml:space="preserve"> Information</w:t>
      </w:r>
    </w:p>
    <w:tbl>
      <w:tblPr>
        <w:tblW w:w="10350" w:type="dxa"/>
        <w:tblInd w:w="-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710"/>
        <w:gridCol w:w="1770"/>
        <w:gridCol w:w="1920"/>
        <w:gridCol w:w="1620"/>
        <w:gridCol w:w="1710"/>
        <w:gridCol w:w="1620"/>
      </w:tblGrid>
      <w:tr w:rsidR="00C02649" w:rsidTr="00C02649" w14:paraId="7CF2F0CA" w14:textId="77777777">
        <w:trPr>
          <w:trHeight w:val="288"/>
        </w:trPr>
        <w:tc>
          <w:tcPr>
            <w:tcW w:w="171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61500303" w14:textId="77777777">
            <w:pPr>
              <w:jc w:val="center"/>
            </w:pPr>
            <w:r w:rsidRPr="00C02649">
              <w:t>First Name</w:t>
            </w:r>
          </w:p>
        </w:tc>
        <w:tc>
          <w:tcPr>
            <w:tcW w:w="177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55908486" w14:textId="77777777">
            <w:pPr>
              <w:jc w:val="center"/>
            </w:pPr>
            <w:r w:rsidRPr="00C02649">
              <w:t>Last Name</w:t>
            </w:r>
          </w:p>
        </w:tc>
        <w:tc>
          <w:tcPr>
            <w:tcW w:w="19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171EBF" w14:paraId="2438DAE1" w14:textId="77777777">
            <w:pPr>
              <w:ind w:left="12" w:firstLine="12"/>
              <w:jc w:val="center"/>
            </w:pPr>
            <w:r w:rsidRPr="00C02649">
              <w:t>Attorney, Expert, or Advocate</w:t>
            </w:r>
          </w:p>
        </w:tc>
        <w:tc>
          <w:tcPr>
            <w:tcW w:w="16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3431A72E" w14:textId="77777777">
            <w:pPr>
              <w:jc w:val="center"/>
            </w:pPr>
            <w:r w:rsidRPr="00C02649">
              <w:t>Hourly Fee Requested</w:t>
            </w:r>
          </w:p>
        </w:tc>
        <w:tc>
          <w:tcPr>
            <w:tcW w:w="171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6FE76773" w14:textId="77777777">
            <w:pPr>
              <w:jc w:val="center"/>
            </w:pPr>
            <w:r w:rsidRPr="00C02649">
              <w:t>Year Hourly Fee Requested</w:t>
            </w:r>
          </w:p>
        </w:tc>
        <w:tc>
          <w:tcPr>
            <w:tcW w:w="1620" w:type="dxa"/>
            <w:tcBorders>
              <w:top w:val="single" w:color="auto" w:sz="4" w:space="0"/>
              <w:left w:val="single" w:color="auto" w:sz="4" w:space="0"/>
              <w:bottom w:val="single" w:color="auto" w:sz="4" w:space="0"/>
              <w:right w:val="single" w:color="auto" w:sz="4" w:space="0"/>
            </w:tcBorders>
            <w:hideMark/>
          </w:tcPr>
          <w:p w:rsidRPr="00C02649" w:rsidR="003B6A1B" w:rsidP="00C02649" w:rsidRDefault="003B6A1B" w14:paraId="1B789B85" w14:textId="77777777">
            <w:pPr>
              <w:jc w:val="center"/>
            </w:pPr>
            <w:r w:rsidRPr="00C02649">
              <w:t>Hourly Fee Adopted</w:t>
            </w:r>
          </w:p>
        </w:tc>
      </w:tr>
      <w:tr w:rsidR="0036639A" w:rsidTr="00E67F28" w14:paraId="55BB18E4"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36639A" w:rsidP="0036639A" w:rsidRDefault="0036639A" w14:paraId="394C4BEB" w14:textId="1DB12D32">
            <w:pPr>
              <w:jc w:val="center"/>
              <w:rPr>
                <w:color w:val="000000"/>
              </w:rPr>
            </w:pPr>
            <w:r>
              <w:rPr>
                <w:color w:val="000000"/>
              </w:rPr>
              <w:t>Gregg</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36639A" w:rsidP="0036639A" w:rsidRDefault="0036639A" w14:paraId="3F09584E" w14:textId="2D893194">
            <w:pPr>
              <w:jc w:val="center"/>
              <w:rPr>
                <w:color w:val="000000"/>
              </w:rPr>
            </w:pPr>
            <w:r>
              <w:rPr>
                <w:color w:val="000000"/>
              </w:rPr>
              <w:t>Morris</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E67F28" w:rsidR="0036639A" w:rsidP="008321FE" w:rsidRDefault="0036639A" w14:paraId="648D6B52" w14:textId="3EF91ADE">
            <w:pPr>
              <w:jc w:val="center"/>
              <w:rPr>
                <w:shd w:val="clear" w:color="auto" w:fill="CCFFCC"/>
              </w:rPr>
            </w:pPr>
            <w:r w:rsidRPr="008321FE">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36639A" w:rsidP="0036639A" w:rsidRDefault="0036639A" w14:paraId="205B1177" w14:textId="23369864">
            <w:pPr>
              <w:jc w:val="center"/>
            </w:pPr>
            <w:r>
              <w:t>450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36639A" w:rsidP="0036639A" w:rsidRDefault="0036639A" w14:paraId="60B9D28D" w14:textId="366CD41E">
            <w:pPr>
              <w:jc w:val="center"/>
            </w:pPr>
            <w:r>
              <w:t>2021</w:t>
            </w:r>
          </w:p>
        </w:tc>
        <w:tc>
          <w:tcPr>
            <w:tcW w:w="1620" w:type="dxa"/>
            <w:tcBorders>
              <w:top w:val="single" w:color="auto" w:sz="4" w:space="0"/>
              <w:left w:val="single" w:color="auto" w:sz="4" w:space="0"/>
              <w:bottom w:val="single" w:color="auto" w:sz="4" w:space="0"/>
              <w:right w:val="single" w:color="auto" w:sz="4" w:space="0"/>
            </w:tcBorders>
          </w:tcPr>
          <w:p w:rsidR="0036639A" w:rsidP="0036639A" w:rsidRDefault="0036639A" w14:paraId="53CF60A2" w14:textId="4695911D">
            <w:pPr>
              <w:jc w:val="center"/>
            </w:pPr>
            <w:r>
              <w:t>450</w:t>
            </w:r>
          </w:p>
        </w:tc>
      </w:tr>
      <w:tr w:rsidR="0036639A" w:rsidTr="00E67F28" w14:paraId="4752DA4B"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36639A" w:rsidP="0036639A" w:rsidRDefault="0036639A" w14:paraId="00D3FC4B" w14:textId="621F1BF4">
            <w:pPr>
              <w:jc w:val="center"/>
              <w:rPr>
                <w:color w:val="000000"/>
              </w:rPr>
            </w:pPr>
            <w:r>
              <w:rPr>
                <w:color w:val="000000"/>
              </w:rPr>
              <w:t>Gregg</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36639A" w:rsidP="0036639A" w:rsidRDefault="0036639A" w14:paraId="5F827A53" w14:textId="0EB30D89">
            <w:pPr>
              <w:jc w:val="center"/>
              <w:rPr>
                <w:color w:val="000000"/>
              </w:rPr>
            </w:pPr>
            <w:r>
              <w:rPr>
                <w:color w:val="000000"/>
              </w:rPr>
              <w:t>Morris</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E67F28" w:rsidR="0036639A" w:rsidP="008321FE" w:rsidRDefault="008321FE" w14:paraId="2B9B9B05" w14:textId="5330C96E">
            <w:pPr>
              <w:jc w:val="center"/>
              <w:rPr>
                <w:shd w:val="clear" w:color="auto" w:fill="CCFFCC"/>
              </w:rPr>
            </w:pPr>
            <w:r w:rsidRPr="008321FE">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36639A" w:rsidP="0036639A" w:rsidRDefault="0036639A" w14:paraId="0B96DE18" w14:textId="4EFD71F6">
            <w:pPr>
              <w:jc w:val="center"/>
            </w:pPr>
            <w:r>
              <w:t>465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36639A" w:rsidP="0036639A" w:rsidRDefault="0036639A" w14:paraId="35D2F8F0" w14:textId="403147D2">
            <w:pPr>
              <w:jc w:val="center"/>
            </w:pPr>
            <w:r>
              <w:t>2022</w:t>
            </w:r>
          </w:p>
        </w:tc>
        <w:tc>
          <w:tcPr>
            <w:tcW w:w="1620" w:type="dxa"/>
            <w:tcBorders>
              <w:top w:val="single" w:color="auto" w:sz="4" w:space="0"/>
              <w:left w:val="single" w:color="auto" w:sz="4" w:space="0"/>
              <w:bottom w:val="single" w:color="auto" w:sz="4" w:space="0"/>
              <w:right w:val="single" w:color="auto" w:sz="4" w:space="0"/>
            </w:tcBorders>
          </w:tcPr>
          <w:p w:rsidR="0036639A" w:rsidP="0036639A" w:rsidRDefault="0036639A" w14:paraId="79A4EE32" w14:textId="72ECF16E">
            <w:pPr>
              <w:jc w:val="center"/>
            </w:pPr>
            <w:r>
              <w:t>465</w:t>
            </w:r>
          </w:p>
        </w:tc>
      </w:tr>
      <w:tr w:rsidR="00435224" w:rsidTr="00E67F28" w14:paraId="355C0E0E"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35FFD44C" w14:textId="733DA474">
            <w:pPr>
              <w:jc w:val="center"/>
              <w:rPr>
                <w:color w:val="000000"/>
              </w:rPr>
            </w:pPr>
            <w:r>
              <w:rPr>
                <w:color w:val="000000"/>
              </w:rPr>
              <w:t>Gregg</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32802B45" w14:textId="1EDAF047">
            <w:pPr>
              <w:jc w:val="center"/>
              <w:rPr>
                <w:color w:val="000000"/>
              </w:rPr>
            </w:pPr>
            <w:r>
              <w:rPr>
                <w:color w:val="000000"/>
              </w:rPr>
              <w:t>Morris</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8321FE" w:rsidR="00435224" w:rsidP="00435224" w:rsidRDefault="00435224" w14:paraId="7A08D0BA" w14:textId="50408A44">
            <w:pPr>
              <w:jc w:val="center"/>
            </w:pPr>
            <w:r w:rsidRPr="008321FE">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3F3C6788" w14:textId="46CD70FB">
            <w:pPr>
              <w:jc w:val="center"/>
            </w:pPr>
            <w:r>
              <w:t>-</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0B5C9EE8" w14:textId="47101033">
            <w:pPr>
              <w:jc w:val="center"/>
            </w:pPr>
            <w:r>
              <w:t>2023</w:t>
            </w:r>
          </w:p>
        </w:tc>
        <w:tc>
          <w:tcPr>
            <w:tcW w:w="1620" w:type="dxa"/>
            <w:tcBorders>
              <w:top w:val="single" w:color="auto" w:sz="4" w:space="0"/>
              <w:left w:val="single" w:color="auto" w:sz="4" w:space="0"/>
              <w:bottom w:val="single" w:color="auto" w:sz="4" w:space="0"/>
              <w:right w:val="single" w:color="auto" w:sz="4" w:space="0"/>
            </w:tcBorders>
          </w:tcPr>
          <w:p w:rsidR="00435224" w:rsidP="00435224" w:rsidRDefault="00435224" w14:paraId="7B48DD3B" w14:textId="571FBB0C">
            <w:pPr>
              <w:jc w:val="center"/>
            </w:pPr>
            <w:r>
              <w:t>485</w:t>
            </w:r>
          </w:p>
        </w:tc>
      </w:tr>
      <w:tr w:rsidR="00435224" w:rsidTr="00E67F28" w14:paraId="29AE6932"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Pr="00FE3BAE" w:rsidR="00435224" w:rsidP="00435224" w:rsidRDefault="00435224" w14:paraId="360AC496" w14:textId="47C622AC">
            <w:pPr>
              <w:jc w:val="center"/>
              <w:rPr>
                <w:shd w:val="clear" w:color="auto" w:fill="CCFFCC"/>
              </w:rPr>
            </w:pPr>
            <w:r>
              <w:rPr>
                <w:color w:val="000000"/>
              </w:rPr>
              <w:t>Tamlyn</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Pr="00FE3BAE" w:rsidR="00435224" w:rsidP="00435224" w:rsidRDefault="00435224" w14:paraId="56248722" w14:textId="129F3046">
            <w:pPr>
              <w:jc w:val="center"/>
              <w:rPr>
                <w:shd w:val="clear" w:color="auto" w:fill="CCFFCC"/>
              </w:rPr>
            </w:pPr>
            <w:r>
              <w:rPr>
                <w:color w:val="000000"/>
              </w:rPr>
              <w:t>Hunt</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E67F28" w:rsidR="00435224" w:rsidP="00435224" w:rsidRDefault="00435224" w14:paraId="5260F89F" w14:textId="59DD5432">
            <w:pPr>
              <w:jc w:val="center"/>
              <w:rPr>
                <w:shd w:val="clear" w:color="auto" w:fill="CCFFCC"/>
              </w:rPr>
            </w:pPr>
            <w:r w:rsidRPr="008321FE">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6D2EBA5C" w14:textId="28D79D37">
            <w:pPr>
              <w:jc w:val="center"/>
            </w:pPr>
            <w:r>
              <w:t>585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34B04A04" w14:textId="42AD48CA">
            <w:pPr>
              <w:jc w:val="center"/>
            </w:pPr>
            <w:r>
              <w:t>2021</w:t>
            </w:r>
          </w:p>
        </w:tc>
        <w:tc>
          <w:tcPr>
            <w:tcW w:w="1620" w:type="dxa"/>
            <w:tcBorders>
              <w:top w:val="single" w:color="auto" w:sz="4" w:space="0"/>
              <w:left w:val="single" w:color="auto" w:sz="4" w:space="0"/>
              <w:bottom w:val="single" w:color="auto" w:sz="4" w:space="0"/>
              <w:right w:val="single" w:color="auto" w:sz="4" w:space="0"/>
            </w:tcBorders>
          </w:tcPr>
          <w:p w:rsidR="00435224" w:rsidP="00435224" w:rsidRDefault="00435224" w14:paraId="6A145930" w14:textId="06F6F862">
            <w:pPr>
              <w:jc w:val="center"/>
            </w:pPr>
            <w:r>
              <w:t>585</w:t>
            </w:r>
          </w:p>
        </w:tc>
      </w:tr>
      <w:tr w:rsidR="00435224" w:rsidTr="00E67F28" w14:paraId="738E7246"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3F258BE1" w14:textId="2A6524BB">
            <w:pPr>
              <w:jc w:val="center"/>
              <w:rPr>
                <w:color w:val="000000"/>
              </w:rPr>
            </w:pPr>
            <w:r>
              <w:rPr>
                <w:color w:val="000000"/>
              </w:rPr>
              <w:t>Tamlyn</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1E741394" w14:textId="1776E01C">
            <w:pPr>
              <w:jc w:val="center"/>
              <w:rPr>
                <w:color w:val="000000"/>
              </w:rPr>
            </w:pPr>
            <w:r>
              <w:rPr>
                <w:color w:val="000000"/>
              </w:rPr>
              <w:t>Hunt</w:t>
            </w:r>
          </w:p>
        </w:tc>
        <w:tc>
          <w:tcPr>
            <w:tcW w:w="1920" w:type="dxa"/>
            <w:tcBorders>
              <w:top w:val="single" w:color="auto" w:sz="4" w:space="0"/>
              <w:left w:val="single" w:color="auto" w:sz="4" w:space="0"/>
              <w:bottom w:val="single" w:color="auto" w:sz="4" w:space="0"/>
              <w:right w:val="single" w:color="auto" w:sz="4" w:space="0"/>
            </w:tcBorders>
            <w:shd w:val="clear" w:color="auto" w:fill="auto"/>
          </w:tcPr>
          <w:p w:rsidRPr="00E67F28" w:rsidR="00435224" w:rsidP="00435224" w:rsidRDefault="00435224" w14:paraId="661FCA43" w14:textId="4AC60628">
            <w:pPr>
              <w:jc w:val="center"/>
              <w:rPr>
                <w:shd w:val="clear" w:color="auto" w:fill="CCFFCC"/>
              </w:rPr>
            </w:pPr>
            <w:r w:rsidRPr="008321FE">
              <w:t>Attorney</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6C9F60B3" w14:textId="34C29CEE">
            <w:pPr>
              <w:jc w:val="center"/>
            </w:pPr>
            <w:r>
              <w:t>605</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394DB69A" w14:textId="00482133">
            <w:pPr>
              <w:jc w:val="center"/>
            </w:pPr>
            <w:r>
              <w:t>2022</w:t>
            </w:r>
          </w:p>
        </w:tc>
        <w:tc>
          <w:tcPr>
            <w:tcW w:w="1620" w:type="dxa"/>
            <w:tcBorders>
              <w:top w:val="single" w:color="auto" w:sz="4" w:space="0"/>
              <w:left w:val="single" w:color="auto" w:sz="4" w:space="0"/>
              <w:bottom w:val="single" w:color="auto" w:sz="4" w:space="0"/>
              <w:right w:val="single" w:color="auto" w:sz="4" w:space="0"/>
            </w:tcBorders>
          </w:tcPr>
          <w:p w:rsidR="00435224" w:rsidP="00435224" w:rsidRDefault="00435224" w14:paraId="75630A48" w14:textId="4BA37EF9">
            <w:pPr>
              <w:jc w:val="center"/>
            </w:pPr>
            <w:r>
              <w:t>605</w:t>
            </w:r>
          </w:p>
        </w:tc>
      </w:tr>
      <w:tr w:rsidR="00435224" w:rsidTr="00E67F28" w14:paraId="5787488B"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35DF399D" w14:textId="4F13B6B1">
            <w:pPr>
              <w:jc w:val="center"/>
              <w:rPr>
                <w:color w:val="000000"/>
              </w:rPr>
            </w:pPr>
            <w:r>
              <w:rPr>
                <w:color w:val="000000"/>
              </w:rPr>
              <w:t>Michael</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4FB20670" w14:textId="581AD67A">
            <w:pPr>
              <w:jc w:val="center"/>
            </w:pPr>
            <w:proofErr w:type="spellStart"/>
            <w:r>
              <w:t>Chiacos</w:t>
            </w:r>
            <w:proofErr w:type="spellEnd"/>
          </w:p>
        </w:tc>
        <w:tc>
          <w:tcPr>
            <w:tcW w:w="192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7BADDEAF" w14:textId="42AEF06C">
            <w:pPr>
              <w:jc w:val="center"/>
              <w:rPr>
                <w:szCs w:val="26"/>
              </w:rPr>
            </w:pPr>
            <w:r>
              <w:rPr>
                <w:szCs w:val="26"/>
              </w:rPr>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5844E445" w14:textId="29FF7320">
            <w:pPr>
              <w:jc w:val="center"/>
            </w:pPr>
            <w:r>
              <w:t>300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65F61F47" w14:textId="09A62E7C">
            <w:pPr>
              <w:jc w:val="center"/>
            </w:pPr>
            <w:r>
              <w:t>2021</w:t>
            </w:r>
          </w:p>
        </w:tc>
        <w:tc>
          <w:tcPr>
            <w:tcW w:w="1620" w:type="dxa"/>
            <w:tcBorders>
              <w:top w:val="single" w:color="auto" w:sz="4" w:space="0"/>
              <w:left w:val="single" w:color="auto" w:sz="4" w:space="0"/>
              <w:bottom w:val="single" w:color="auto" w:sz="4" w:space="0"/>
              <w:right w:val="single" w:color="auto" w:sz="4" w:space="0"/>
            </w:tcBorders>
          </w:tcPr>
          <w:p w:rsidR="00435224" w:rsidP="00435224" w:rsidRDefault="00435224" w14:paraId="2E1ADC6F" w14:textId="5372008F">
            <w:pPr>
              <w:jc w:val="center"/>
            </w:pPr>
            <w:r>
              <w:t>280</w:t>
            </w:r>
          </w:p>
        </w:tc>
      </w:tr>
      <w:tr w:rsidR="00435224" w:rsidTr="00E67F28" w14:paraId="38F583CB" w14:textId="77777777">
        <w:trPr>
          <w:trHeight w:val="288"/>
        </w:trPr>
        <w:tc>
          <w:tcPr>
            <w:tcW w:w="171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3DE58EFD" w14:textId="3B107AE0">
            <w:pPr>
              <w:jc w:val="center"/>
              <w:rPr>
                <w:color w:val="000000"/>
              </w:rPr>
            </w:pPr>
            <w:r>
              <w:rPr>
                <w:color w:val="000000"/>
              </w:rPr>
              <w:t>Michael</w:t>
            </w:r>
          </w:p>
        </w:tc>
        <w:tc>
          <w:tcPr>
            <w:tcW w:w="177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2AAB4419" w14:textId="35F9BCC3">
            <w:pPr>
              <w:jc w:val="center"/>
              <w:rPr>
                <w:color w:val="000000"/>
              </w:rPr>
            </w:pPr>
            <w:proofErr w:type="spellStart"/>
            <w:r>
              <w:t>Chiacos</w:t>
            </w:r>
            <w:proofErr w:type="spellEnd"/>
          </w:p>
        </w:tc>
        <w:tc>
          <w:tcPr>
            <w:tcW w:w="192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076031CD" w14:textId="7DCECF10">
            <w:pPr>
              <w:jc w:val="center"/>
              <w:rPr>
                <w:szCs w:val="26"/>
              </w:rPr>
            </w:pPr>
            <w:r>
              <w:rPr>
                <w:szCs w:val="26"/>
              </w:rPr>
              <w:t>Expert</w:t>
            </w:r>
          </w:p>
        </w:tc>
        <w:tc>
          <w:tcPr>
            <w:tcW w:w="162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10633A3A" w14:textId="7F364A87">
            <w:pPr>
              <w:jc w:val="center"/>
            </w:pPr>
            <w:r>
              <w:t>310</w:t>
            </w:r>
          </w:p>
        </w:tc>
        <w:tc>
          <w:tcPr>
            <w:tcW w:w="1710" w:type="dxa"/>
            <w:tcBorders>
              <w:top w:val="single" w:color="auto" w:sz="4" w:space="0"/>
              <w:left w:val="single" w:color="auto" w:sz="4" w:space="0"/>
              <w:bottom w:val="single" w:color="auto" w:sz="4" w:space="0"/>
              <w:right w:val="single" w:color="auto" w:sz="4" w:space="0"/>
            </w:tcBorders>
            <w:shd w:val="clear" w:color="auto" w:fill="auto"/>
          </w:tcPr>
          <w:p w:rsidR="00435224" w:rsidP="00435224" w:rsidRDefault="00435224" w14:paraId="49BD71C0" w14:textId="15E4871D">
            <w:pPr>
              <w:jc w:val="center"/>
            </w:pPr>
            <w:r>
              <w:t>2022</w:t>
            </w:r>
          </w:p>
        </w:tc>
        <w:tc>
          <w:tcPr>
            <w:tcW w:w="1620" w:type="dxa"/>
            <w:tcBorders>
              <w:top w:val="single" w:color="auto" w:sz="4" w:space="0"/>
              <w:left w:val="single" w:color="auto" w:sz="4" w:space="0"/>
              <w:bottom w:val="single" w:color="auto" w:sz="4" w:space="0"/>
              <w:right w:val="single" w:color="auto" w:sz="4" w:space="0"/>
            </w:tcBorders>
          </w:tcPr>
          <w:p w:rsidR="00435224" w:rsidP="00435224" w:rsidRDefault="00435224" w14:paraId="03C1B2D0" w14:textId="71ECB9C8">
            <w:pPr>
              <w:jc w:val="center"/>
            </w:pPr>
            <w:r>
              <w:t>290</w:t>
            </w:r>
          </w:p>
        </w:tc>
      </w:tr>
    </w:tbl>
    <w:p w:rsidR="0022302F" w:rsidP="00FE3BAE" w:rsidRDefault="0022302F" w14:paraId="330D3693" w14:textId="77777777">
      <w:pPr>
        <w:spacing w:line="360" w:lineRule="auto"/>
        <w:rPr>
          <w:b/>
        </w:rPr>
      </w:pPr>
    </w:p>
    <w:p w:rsidR="0022302F" w:rsidP="00FE3BAE" w:rsidRDefault="0022302F" w14:paraId="439C0840" w14:textId="77777777">
      <w:pPr>
        <w:spacing w:line="360" w:lineRule="auto"/>
        <w:rPr>
          <w:b/>
        </w:rPr>
      </w:pPr>
    </w:p>
    <w:p w:rsidR="00FE3BAE" w:rsidP="00FE3BAE" w:rsidRDefault="00FE3BAE" w14:paraId="53F54635" w14:textId="77777777">
      <w:pPr>
        <w:jc w:val="center"/>
      </w:pPr>
      <w:r>
        <w:rPr>
          <w:rFonts w:ascii="Helvetica" w:hAnsi="Helvetica"/>
          <w:b/>
        </w:rPr>
        <w:t xml:space="preserve">(END OF </w:t>
      </w:r>
      <w:r>
        <w:rPr>
          <w:rFonts w:ascii="Helvetica" w:hAnsi="Helvetica"/>
          <w:b/>
          <w:szCs w:val="26"/>
        </w:rPr>
        <w:t>APPENDIX</w:t>
      </w:r>
      <w:r>
        <w:rPr>
          <w:rFonts w:ascii="Helvetica" w:hAnsi="Helvetica"/>
          <w:b/>
        </w:rPr>
        <w:t>)</w:t>
      </w:r>
    </w:p>
    <w:sectPr w:rsidR="00FE3BAE" w:rsidSect="00195274">
      <w:footerReference w:type="default" r:id="rId11"/>
      <w:pgSz w:w="12240" w:h="15840"/>
      <w:pgMar w:top="1728"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9C2CB" w14:textId="77777777" w:rsidR="00195274" w:rsidRDefault="00195274" w:rsidP="00885956">
      <w:r>
        <w:separator/>
      </w:r>
    </w:p>
  </w:endnote>
  <w:endnote w:type="continuationSeparator" w:id="0">
    <w:p w14:paraId="5E912FAE" w14:textId="77777777" w:rsidR="00195274" w:rsidRDefault="00195274" w:rsidP="0088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8503087"/>
      <w:docPartObj>
        <w:docPartGallery w:val="Page Numbers (Bottom of Page)"/>
        <w:docPartUnique/>
      </w:docPartObj>
    </w:sdtPr>
    <w:sdtEndPr>
      <w:rPr>
        <w:noProof/>
      </w:rPr>
    </w:sdtEndPr>
    <w:sdtContent>
      <w:p w14:paraId="3E7DDA6A" w14:textId="12047185" w:rsidR="00E82D0C" w:rsidRDefault="006A1BE2" w:rsidP="00E82D0C">
        <w:pPr>
          <w:pStyle w:val="Footer"/>
        </w:pPr>
        <w:r w:rsidRPr="006A1BE2">
          <w:rPr>
            <w:sz w:val="16"/>
            <w:szCs w:val="16"/>
          </w:rPr>
          <w:t>530174255</w:t>
        </w:r>
        <w:r w:rsidR="00E82D0C">
          <w:tab/>
        </w:r>
        <w:r w:rsidR="00E82D0C">
          <w:fldChar w:fldCharType="begin"/>
        </w:r>
        <w:r w:rsidR="00E82D0C">
          <w:instrText xml:space="preserve"> PAGE   \* MERGEFORMAT </w:instrText>
        </w:r>
        <w:r w:rsidR="00E82D0C">
          <w:fldChar w:fldCharType="separate"/>
        </w:r>
        <w:r w:rsidR="00E82D0C">
          <w:rPr>
            <w:noProof/>
          </w:rPr>
          <w:t>- 1 -</w:t>
        </w:r>
        <w:r w:rsidR="00E82D0C">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6381256"/>
      <w:docPartObj>
        <w:docPartGallery w:val="Page Numbers (Bottom of Page)"/>
        <w:docPartUnique/>
      </w:docPartObj>
    </w:sdtPr>
    <w:sdtEndPr>
      <w:rPr>
        <w:noProof/>
      </w:rPr>
    </w:sdtEndPr>
    <w:sdtContent>
      <w:p w14:paraId="717EE009" w14:textId="2B65BE45" w:rsidR="005177A7" w:rsidRDefault="005177A7" w:rsidP="00E82D0C">
        <w:pPr>
          <w:pStyle w:val="Footer"/>
        </w:pPr>
        <w:r>
          <w:tab/>
        </w:r>
        <w:r>
          <w:fldChar w:fldCharType="begin"/>
        </w:r>
        <w:r>
          <w:instrText xml:space="preserve"> PAGE   \* MERGEFORMAT </w:instrText>
        </w:r>
        <w:r>
          <w:fldChar w:fldCharType="separate"/>
        </w:r>
        <w:r>
          <w:rPr>
            <w:noProof/>
          </w:rPr>
          <w:t>- 1 -</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3430781"/>
      <w:docPartObj>
        <w:docPartGallery w:val="Page Numbers (Bottom of Page)"/>
        <w:docPartUnique/>
      </w:docPartObj>
    </w:sdtPr>
    <w:sdtEndPr>
      <w:rPr>
        <w:noProof/>
      </w:rPr>
    </w:sdtEndPr>
    <w:sdtContent>
      <w:p w14:paraId="3A024481" w14:textId="040AD25F" w:rsidR="005E3E0A" w:rsidRDefault="005E3E0A" w:rsidP="00E82D0C">
        <w:pPr>
          <w:pStyle w:val="Footer"/>
        </w:pP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CFE66" w14:textId="77777777" w:rsidR="00195274" w:rsidRDefault="00195274" w:rsidP="00885956">
      <w:r>
        <w:separator/>
      </w:r>
    </w:p>
  </w:footnote>
  <w:footnote w:type="continuationSeparator" w:id="0">
    <w:p w14:paraId="671190D0" w14:textId="77777777" w:rsidR="00195274" w:rsidRDefault="00195274" w:rsidP="00885956">
      <w:r>
        <w:continuationSeparator/>
      </w:r>
    </w:p>
  </w:footnote>
  <w:footnote w:id="1">
    <w:p w14:paraId="17743A16" w14:textId="3214EBF0" w:rsidR="00353478" w:rsidRPr="0089082D" w:rsidRDefault="00353478" w:rsidP="008601C8">
      <w:pPr>
        <w:pStyle w:val="FootnoteText"/>
        <w:spacing w:after="120"/>
        <w:rPr>
          <w:lang w:val="en-ZW"/>
        </w:rPr>
      </w:pPr>
      <w:r w:rsidRPr="0089082D">
        <w:rPr>
          <w:rStyle w:val="FootnoteReference"/>
        </w:rPr>
        <w:footnoteRef/>
      </w:r>
      <w:r w:rsidRPr="0089082D">
        <w:t xml:space="preserve"> </w:t>
      </w:r>
      <w:r w:rsidR="009D142A" w:rsidRPr="0089082D">
        <w:t xml:space="preserve"> </w:t>
      </w:r>
      <w:r w:rsidR="00A655FD" w:rsidRPr="0089082D">
        <w:t xml:space="preserve">This proceeding was reassigned to Commissioner </w:t>
      </w:r>
      <w:r w:rsidR="0089082D">
        <w:t xml:space="preserve">John </w:t>
      </w:r>
      <w:r w:rsidR="00A655FD" w:rsidRPr="0089082D">
        <w:t xml:space="preserve">Reynolds on </w:t>
      </w:r>
      <w:r w:rsidR="00E53908" w:rsidRPr="0089082D">
        <w:t>January 30, 2023</w:t>
      </w:r>
      <w:r w:rsidR="008601C8" w:rsidRPr="0089082D">
        <w:t>.</w:t>
      </w:r>
    </w:p>
  </w:footnote>
  <w:footnote w:id="2">
    <w:p w14:paraId="226A71BB" w14:textId="7583AABA" w:rsidR="00353478" w:rsidRPr="0089082D" w:rsidRDefault="00353478" w:rsidP="008601C8">
      <w:pPr>
        <w:pStyle w:val="FootnoteText"/>
        <w:spacing w:after="120"/>
        <w:rPr>
          <w:lang w:val="en-ZW"/>
        </w:rPr>
      </w:pPr>
      <w:r w:rsidRPr="0089082D">
        <w:rPr>
          <w:rStyle w:val="FootnoteReference"/>
        </w:rPr>
        <w:footnoteRef/>
      </w:r>
      <w:r w:rsidRPr="0089082D">
        <w:t xml:space="preserve"> </w:t>
      </w:r>
      <w:r w:rsidR="009D142A" w:rsidRPr="0089082D">
        <w:t xml:space="preserve"> </w:t>
      </w:r>
      <w:r w:rsidR="00E53908" w:rsidRPr="0089082D">
        <w:t>This proceeding was reassigned to ALJ Colin Rizzo</w:t>
      </w:r>
      <w:r w:rsidR="004B3B5B" w:rsidRPr="0089082D">
        <w:t xml:space="preserve"> on February 15, 2023</w:t>
      </w:r>
      <w:r w:rsidR="008601C8" w:rsidRPr="0089082D">
        <w:t>.</w:t>
      </w:r>
    </w:p>
  </w:footnote>
  <w:footnote w:id="3">
    <w:p w14:paraId="7CAF0DDD" w14:textId="5739A2D2" w:rsidR="00286ABA" w:rsidRPr="0089082D" w:rsidRDefault="00286ABA" w:rsidP="008601C8">
      <w:pPr>
        <w:pStyle w:val="FootnoteText"/>
        <w:spacing w:after="120"/>
      </w:pPr>
      <w:r w:rsidRPr="0089082D">
        <w:rPr>
          <w:rStyle w:val="FootnoteReference"/>
        </w:rPr>
        <w:footnoteRef/>
      </w:r>
      <w:r w:rsidRPr="0089082D">
        <w:t xml:space="preserve"> </w:t>
      </w:r>
      <w:r w:rsidR="009D142A" w:rsidRPr="0089082D">
        <w:t xml:space="preserve"> </w:t>
      </w:r>
      <w:r w:rsidRPr="0089082D">
        <w:t>All statutory references are to California Public Utilities Code unless indicated otherwise.</w:t>
      </w:r>
    </w:p>
  </w:footnote>
  <w:footnote w:id="4">
    <w:p w14:paraId="40BF0B91" w14:textId="592838DD" w:rsidR="00FD690B" w:rsidRPr="0089082D" w:rsidRDefault="00FD690B" w:rsidP="008601C8">
      <w:pPr>
        <w:pStyle w:val="FootnoteText"/>
        <w:spacing w:after="120"/>
      </w:pPr>
      <w:r w:rsidRPr="0089082D">
        <w:rPr>
          <w:rStyle w:val="FootnoteReference"/>
        </w:rPr>
        <w:footnoteRef/>
      </w:r>
      <w:r w:rsidRPr="0089082D">
        <w:t xml:space="preserve"> </w:t>
      </w:r>
      <w:r w:rsidR="009D142A" w:rsidRPr="0089082D">
        <w:t xml:space="preserve"> </w:t>
      </w:r>
      <w:r w:rsidRPr="0089082D">
        <w:t xml:space="preserve">Decision number in the claim has been corrected here from D.20-08-045 to D.20-08-054. </w:t>
      </w:r>
    </w:p>
  </w:footnote>
  <w:footnote w:id="5">
    <w:p w14:paraId="067A050B" w14:textId="525C9DFE" w:rsidR="00286ABA" w:rsidRPr="0089082D" w:rsidRDefault="00286ABA" w:rsidP="008601C8">
      <w:pPr>
        <w:pStyle w:val="NormalWeb"/>
        <w:spacing w:after="120"/>
        <w:rPr>
          <w:sz w:val="20"/>
          <w:szCs w:val="20"/>
        </w:rPr>
      </w:pPr>
      <w:r w:rsidRPr="0089082D">
        <w:rPr>
          <w:rStyle w:val="FootnoteReference"/>
          <w:sz w:val="20"/>
          <w:szCs w:val="20"/>
        </w:rPr>
        <w:footnoteRef/>
      </w:r>
      <w:r w:rsidRPr="0089082D">
        <w:rPr>
          <w:sz w:val="20"/>
          <w:szCs w:val="20"/>
        </w:rPr>
        <w:t xml:space="preserve"> </w:t>
      </w:r>
      <w:r w:rsidR="009D142A" w:rsidRPr="0089082D">
        <w:rPr>
          <w:sz w:val="20"/>
          <w:szCs w:val="20"/>
        </w:rPr>
        <w:t xml:space="preserve"> </w:t>
      </w:r>
      <w:r w:rsidRPr="0089082D">
        <w:rPr>
          <w:color w:val="000000"/>
          <w:sz w:val="20"/>
          <w:szCs w:val="20"/>
        </w:rPr>
        <w:t>The Office of Ratepayer Advocates was renamed the Public Advocate’s Office of the Public Utilities Commission pursuant to Senate Bill No.</w:t>
      </w:r>
      <w:r w:rsidR="0089082D">
        <w:rPr>
          <w:color w:val="000000"/>
          <w:sz w:val="20"/>
          <w:szCs w:val="20"/>
        </w:rPr>
        <w:t> </w:t>
      </w:r>
      <w:r w:rsidRPr="0089082D">
        <w:rPr>
          <w:color w:val="000000"/>
          <w:sz w:val="20"/>
          <w:szCs w:val="20"/>
        </w:rPr>
        <w:t>854, which the Governor approved on June</w:t>
      </w:r>
      <w:r w:rsidR="009D142A" w:rsidRPr="0089082D">
        <w:rPr>
          <w:color w:val="000000"/>
          <w:sz w:val="20"/>
          <w:szCs w:val="20"/>
        </w:rPr>
        <w:t> </w:t>
      </w:r>
      <w:r w:rsidRPr="0089082D">
        <w:rPr>
          <w:color w:val="000000"/>
          <w:sz w:val="20"/>
          <w:szCs w:val="20"/>
        </w:rPr>
        <w:t>27, 2018. </w:t>
      </w:r>
    </w:p>
  </w:footnote>
  <w:footnote w:id="6">
    <w:p w14:paraId="2A44723A" w14:textId="348174A9" w:rsidR="00372C24" w:rsidRPr="0089082D" w:rsidRDefault="00372C24" w:rsidP="008601C8">
      <w:pPr>
        <w:pStyle w:val="ListParagraph"/>
        <w:spacing w:after="120"/>
        <w:ind w:left="0"/>
        <w:rPr>
          <w:rFonts w:ascii="Times New Roman" w:hAnsi="Times New Roman"/>
          <w:sz w:val="20"/>
          <w:szCs w:val="20"/>
        </w:rPr>
      </w:pPr>
      <w:r w:rsidRPr="0089082D">
        <w:rPr>
          <w:rStyle w:val="FootnoteReference"/>
          <w:rFonts w:ascii="Times New Roman" w:hAnsi="Times New Roman"/>
          <w:sz w:val="20"/>
          <w:szCs w:val="20"/>
        </w:rPr>
        <w:footnoteRef/>
      </w:r>
      <w:r w:rsidRPr="0089082D">
        <w:rPr>
          <w:rFonts w:ascii="Times New Roman" w:hAnsi="Times New Roman"/>
          <w:sz w:val="20"/>
          <w:szCs w:val="20"/>
        </w:rPr>
        <w:t xml:space="preserve"> </w:t>
      </w:r>
      <w:r w:rsidR="009D142A" w:rsidRPr="0089082D">
        <w:rPr>
          <w:rFonts w:ascii="Times New Roman" w:hAnsi="Times New Roman"/>
          <w:sz w:val="20"/>
          <w:szCs w:val="20"/>
        </w:rPr>
        <w:t xml:space="preserve"> </w:t>
      </w:r>
      <w:r w:rsidRPr="0089082D">
        <w:rPr>
          <w:rFonts w:ascii="Times New Roman" w:hAnsi="Times New Roman"/>
          <w:sz w:val="20"/>
          <w:szCs w:val="20"/>
        </w:rPr>
        <w:t xml:space="preserve">This information may be </w:t>
      </w:r>
      <w:r w:rsidRPr="0089082D">
        <w:rPr>
          <w:rFonts w:ascii="Times New Roman" w:hAnsi="Times New Roman"/>
          <w:color w:val="000000"/>
          <w:sz w:val="20"/>
          <w:szCs w:val="20"/>
        </w:rPr>
        <w:t>obtained through the State Bar of California’s website at</w:t>
      </w:r>
      <w:r w:rsidR="009D142A" w:rsidRPr="0089082D">
        <w:rPr>
          <w:rFonts w:ascii="Times New Roman" w:hAnsi="Times New Roman"/>
          <w:color w:val="000000"/>
          <w:sz w:val="20"/>
          <w:szCs w:val="20"/>
        </w:rPr>
        <w:t xml:space="preserve">: </w:t>
      </w:r>
      <w:hyperlink r:id="rId1" w:history="1">
        <w:r w:rsidR="009D142A" w:rsidRPr="0089082D">
          <w:rPr>
            <w:rStyle w:val="Hyperlink"/>
            <w:rFonts w:ascii="Times New Roman" w:hAnsi="Times New Roman"/>
            <w:sz w:val="20"/>
            <w:szCs w:val="20"/>
          </w:rPr>
          <w:t>http://members.calbar.ca.gov/fal/MemberSearch/QuickSearch</w:t>
        </w:r>
      </w:hyperlink>
      <w:r w:rsidRPr="0089082D">
        <w:rPr>
          <w:rFonts w:ascii="Times New Roman" w:hAnsi="Times New Roman"/>
          <w:color w:val="000000"/>
          <w:sz w:val="20"/>
          <w:szCs w:val="20"/>
        </w:rPr>
        <w:t>.</w:t>
      </w:r>
    </w:p>
  </w:footnote>
  <w:footnote w:id="7">
    <w:p w14:paraId="08759636" w14:textId="68028990" w:rsidR="006167D4" w:rsidRPr="0089082D" w:rsidRDefault="006167D4" w:rsidP="008601C8">
      <w:pPr>
        <w:pStyle w:val="FootnoteText"/>
        <w:spacing w:after="120"/>
        <w:rPr>
          <w:lang w:val="en-ZW"/>
        </w:rPr>
      </w:pPr>
      <w:r w:rsidRPr="0089082D">
        <w:rPr>
          <w:rStyle w:val="FootnoteReference"/>
        </w:rPr>
        <w:footnoteRef/>
      </w:r>
      <w:r w:rsidRPr="0089082D">
        <w:t xml:space="preserve"> </w:t>
      </w:r>
      <w:r w:rsidR="007921DE" w:rsidRPr="0089082D">
        <w:rPr>
          <w:lang w:val="en-ZW"/>
        </w:rPr>
        <w:t xml:space="preserve">Hours that fail to make a substantive contribution are </w:t>
      </w:r>
      <w:r w:rsidR="00A451B7" w:rsidRPr="0089082D">
        <w:rPr>
          <w:lang w:val="en-ZW"/>
        </w:rPr>
        <w:t>disallowed pursuant to</w:t>
      </w:r>
      <w:r w:rsidR="00B57CE9" w:rsidRPr="0089082D">
        <w:rPr>
          <w:lang w:val="en-ZW"/>
        </w:rPr>
        <w:t xml:space="preserve"> D.16-03-023, D.15</w:t>
      </w:r>
      <w:r w:rsidR="009D142A" w:rsidRPr="0089082D">
        <w:rPr>
          <w:lang w:val="en-ZW"/>
        </w:rPr>
        <w:noBreakHyphen/>
      </w:r>
      <w:r w:rsidR="00B57CE9" w:rsidRPr="0089082D">
        <w:rPr>
          <w:lang w:val="en-ZW"/>
        </w:rPr>
        <w:t>11-018, D.15</w:t>
      </w:r>
      <w:r w:rsidR="00F0294C" w:rsidRPr="0089082D">
        <w:rPr>
          <w:lang w:val="en-ZW"/>
        </w:rPr>
        <w:noBreakHyphen/>
      </w:r>
      <w:r w:rsidR="00B57CE9" w:rsidRPr="0089082D">
        <w:rPr>
          <w:lang w:val="en-ZW"/>
        </w:rPr>
        <w:t>11</w:t>
      </w:r>
      <w:r w:rsidR="00F0294C" w:rsidRPr="0089082D">
        <w:rPr>
          <w:lang w:val="en-ZW"/>
        </w:rPr>
        <w:noBreakHyphen/>
      </w:r>
      <w:r w:rsidR="00B57CE9" w:rsidRPr="0089082D">
        <w:rPr>
          <w:lang w:val="en-ZW"/>
        </w:rPr>
        <w:t>019, and D.10-04-024</w:t>
      </w:r>
      <w:r w:rsidR="00F74BE0" w:rsidRPr="0089082D">
        <w:rPr>
          <w:lang w:val="en-ZW"/>
        </w:rPr>
        <w:t>.</w:t>
      </w:r>
    </w:p>
  </w:footnote>
  <w:footnote w:id="8">
    <w:p w14:paraId="6937D2EC" w14:textId="453C54DB" w:rsidR="00A4358A" w:rsidRPr="0089082D" w:rsidRDefault="00A4358A" w:rsidP="008601C8">
      <w:pPr>
        <w:pStyle w:val="FootnoteText"/>
        <w:spacing w:after="120"/>
        <w:rPr>
          <w:lang w:val="en-ZW"/>
        </w:rPr>
      </w:pPr>
      <w:r w:rsidRPr="0089082D">
        <w:rPr>
          <w:rStyle w:val="FootnoteReference"/>
        </w:rPr>
        <w:footnoteRef/>
      </w:r>
      <w:r w:rsidRPr="0089082D">
        <w:t xml:space="preserve"> </w:t>
      </w:r>
      <w:r w:rsidRPr="0089082D">
        <w:rPr>
          <w:lang w:val="en-ZW"/>
        </w:rPr>
        <w:t xml:space="preserve">Internal duplication of effort is disallowed pursuant to </w:t>
      </w:r>
      <w:r w:rsidR="00EB28FC" w:rsidRPr="0089082D">
        <w:rPr>
          <w:lang w:val="en-ZW"/>
        </w:rPr>
        <w:t>D.17-01-017, D.12-03-024, and D.07</w:t>
      </w:r>
      <w:r w:rsidR="009D142A" w:rsidRPr="0089082D">
        <w:rPr>
          <w:lang w:val="en-ZW"/>
        </w:rPr>
        <w:noBreakHyphen/>
      </w:r>
      <w:r w:rsidR="00EB28FC" w:rsidRPr="0089082D">
        <w:rPr>
          <w:lang w:val="en-ZW"/>
        </w:rPr>
        <w:t>12</w:t>
      </w:r>
      <w:r w:rsidR="009D142A" w:rsidRPr="0089082D">
        <w:rPr>
          <w:lang w:val="en-ZW"/>
        </w:rPr>
        <w:noBreakHyphen/>
      </w:r>
      <w:r w:rsidR="00EB28FC" w:rsidRPr="0089082D">
        <w:rPr>
          <w:lang w:val="en-ZW"/>
        </w:rPr>
        <w:t>007</w:t>
      </w:r>
      <w:r w:rsidR="00F74BE0" w:rsidRPr="0089082D">
        <w:rPr>
          <w:lang w:val="en-ZW"/>
        </w:rPr>
        <w:t>.</w:t>
      </w:r>
    </w:p>
  </w:footnote>
  <w:footnote w:id="9">
    <w:p w14:paraId="00CFF9A6" w14:textId="3DE1A49F" w:rsidR="0054009E" w:rsidRPr="0089082D" w:rsidRDefault="0054009E" w:rsidP="008601C8">
      <w:pPr>
        <w:pStyle w:val="FootnoteText"/>
        <w:spacing w:after="120"/>
        <w:rPr>
          <w:lang w:val="en-ZW"/>
        </w:rPr>
      </w:pPr>
      <w:r w:rsidRPr="0089082D">
        <w:rPr>
          <w:rStyle w:val="FootnoteReference"/>
        </w:rPr>
        <w:footnoteRef/>
      </w:r>
      <w:r w:rsidRPr="0089082D">
        <w:t xml:space="preserve"> Time attending these types of meetings is disallowed pursuant to D.10-04-024, D.04-09-050,</w:t>
      </w:r>
      <w:r w:rsidR="003C1867" w:rsidRPr="0089082D">
        <w:t xml:space="preserve"> and </w:t>
      </w:r>
      <w:r w:rsidRPr="0089082D">
        <w:t>D.04-08-091</w:t>
      </w:r>
      <w:r w:rsidR="003C1867" w:rsidRPr="0089082D">
        <w:t>.</w:t>
      </w:r>
    </w:p>
  </w:footnote>
  <w:footnote w:id="10">
    <w:p w14:paraId="3795281F" w14:textId="58C3339D" w:rsidR="0017629A" w:rsidRPr="0089082D" w:rsidRDefault="0017629A" w:rsidP="008601C8">
      <w:pPr>
        <w:pStyle w:val="FootnoteText"/>
        <w:spacing w:after="120"/>
        <w:rPr>
          <w:lang w:val="en-ZW"/>
        </w:rPr>
      </w:pPr>
      <w:r w:rsidRPr="0089082D">
        <w:rPr>
          <w:rStyle w:val="FootnoteReference"/>
        </w:rPr>
        <w:footnoteRef/>
      </w:r>
      <w:r w:rsidRPr="0089082D">
        <w:t xml:space="preserve"> D</w:t>
      </w:r>
      <w:r w:rsidR="000B7A57" w:rsidRPr="0089082D">
        <w:t>.96-08-040</w:t>
      </w:r>
      <w:r w:rsidR="00F74BE0" w:rsidRPr="0089082D">
        <w:t>.</w:t>
      </w:r>
    </w:p>
  </w:footnote>
  <w:footnote w:id="11">
    <w:p w14:paraId="792E854C" w14:textId="2FDDD61B" w:rsidR="002A5272" w:rsidRPr="0089082D" w:rsidRDefault="002A5272" w:rsidP="008601C8">
      <w:pPr>
        <w:pStyle w:val="FootnoteText"/>
        <w:spacing w:after="120"/>
        <w:rPr>
          <w:lang w:val="en-ZW"/>
        </w:rPr>
      </w:pPr>
      <w:r w:rsidRPr="0089082D">
        <w:rPr>
          <w:rStyle w:val="FootnoteReference"/>
        </w:rPr>
        <w:footnoteRef/>
      </w:r>
      <w:r w:rsidRPr="0089082D">
        <w:t xml:space="preserve"> </w:t>
      </w:r>
      <w:r w:rsidRPr="0089082D">
        <w:rPr>
          <w:lang w:val="en-ZW"/>
        </w:rPr>
        <w:t>Internal duplication of effort is disallowed pursuant to D.17-01-017, D.12-03-024, and D.07</w:t>
      </w:r>
      <w:r w:rsidR="009D142A" w:rsidRPr="0089082D">
        <w:rPr>
          <w:lang w:val="en-ZW"/>
        </w:rPr>
        <w:noBreakHyphen/>
      </w:r>
      <w:r w:rsidRPr="0089082D">
        <w:rPr>
          <w:lang w:val="en-ZW"/>
        </w:rPr>
        <w:t>12</w:t>
      </w:r>
      <w:r w:rsidR="009D142A" w:rsidRPr="0089082D">
        <w:rPr>
          <w:lang w:val="en-ZW"/>
        </w:rPr>
        <w:noBreakHyphen/>
      </w:r>
      <w:r w:rsidRPr="0089082D">
        <w:rPr>
          <w:lang w:val="en-ZW"/>
        </w:rPr>
        <w:t>007</w:t>
      </w:r>
      <w:r w:rsidR="002C3C44" w:rsidRPr="0089082D">
        <w:rPr>
          <w:lang w:val="en-ZW"/>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5D75" w14:textId="5D6ECCBC" w:rsidR="005E3E0A" w:rsidRPr="005177A7" w:rsidRDefault="00E82D0C" w:rsidP="005177A7">
    <w:pPr>
      <w:pStyle w:val="Header"/>
      <w:tabs>
        <w:tab w:val="clear" w:pos="4680"/>
      </w:tabs>
      <w:rPr>
        <w:iCs/>
        <w:sz w:val="26"/>
        <w:szCs w:val="26"/>
      </w:rPr>
    </w:pPr>
    <w:r>
      <w:rPr>
        <w:iCs/>
        <w:sz w:val="26"/>
        <w:szCs w:val="26"/>
      </w:rPr>
      <w:t>A.21-10-010  ALJ/CR2/</w:t>
    </w:r>
    <w:r w:rsidR="005E3E0A">
      <w:rPr>
        <w:iCs/>
        <w:sz w:val="26"/>
        <w:szCs w:val="26"/>
      </w:rPr>
      <w:t>jnf</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15178"/>
    <w:multiLevelType w:val="hybridMultilevel"/>
    <w:tmpl w:val="4540F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9B5AE7"/>
    <w:multiLevelType w:val="hybridMultilevel"/>
    <w:tmpl w:val="9BCA226C"/>
    <w:lvl w:ilvl="0" w:tplc="7B3657A2">
      <w:start w:val="1"/>
      <w:numFmt w:val="upp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D2672A8"/>
    <w:multiLevelType w:val="hybridMultilevel"/>
    <w:tmpl w:val="BCA47DF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C321E6"/>
    <w:multiLevelType w:val="hybridMultilevel"/>
    <w:tmpl w:val="26C0DFD0"/>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02E60CD"/>
    <w:multiLevelType w:val="hybridMultilevel"/>
    <w:tmpl w:val="A5FC35B8"/>
    <w:lvl w:ilvl="0" w:tplc="DAA6AB9C">
      <w:start w:val="2"/>
      <w:numFmt w:val="upperLetter"/>
      <w:lvlText w:val="%1."/>
      <w:lvlJc w:val="left"/>
      <w:pPr>
        <w:tabs>
          <w:tab w:val="num" w:pos="360"/>
        </w:tabs>
        <w:ind w:left="36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49104FC"/>
    <w:multiLevelType w:val="hybridMultilevel"/>
    <w:tmpl w:val="AF42F70C"/>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15:restartNumberingAfterBreak="0">
    <w:nsid w:val="57EE0BC7"/>
    <w:multiLevelType w:val="hybridMultilevel"/>
    <w:tmpl w:val="17C8B27A"/>
    <w:lvl w:ilvl="0" w:tplc="0409000F">
      <w:start w:val="1"/>
      <w:numFmt w:val="decimal"/>
      <w:lvlText w:val="%1."/>
      <w:lvlJc w:val="left"/>
      <w:pPr>
        <w:tabs>
          <w:tab w:val="num" w:pos="1620"/>
        </w:tabs>
        <w:ind w:left="1620" w:hanging="360"/>
      </w:pPr>
    </w:lvl>
    <w:lvl w:ilvl="1" w:tplc="A2982BDA">
      <w:start w:val="1"/>
      <w:numFmt w:val="upperLetter"/>
      <w:lvlText w:val="%2."/>
      <w:lvlJc w:val="left"/>
      <w:pPr>
        <w:tabs>
          <w:tab w:val="num" w:pos="2340"/>
        </w:tabs>
        <w:ind w:left="2340" w:hanging="36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15:restartNumberingAfterBreak="0">
    <w:nsid w:val="5E425781"/>
    <w:multiLevelType w:val="hybridMultilevel"/>
    <w:tmpl w:val="7932D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49E5A67"/>
    <w:multiLevelType w:val="hybridMultilevel"/>
    <w:tmpl w:val="C01813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8737B1"/>
    <w:multiLevelType w:val="hybridMultilevel"/>
    <w:tmpl w:val="6E5AF590"/>
    <w:lvl w:ilvl="0" w:tplc="58ECDC58">
      <w:start w:val="1"/>
      <w:numFmt w:val="upperLetter"/>
      <w:lvlText w:val="%1."/>
      <w:lvlJc w:val="left"/>
      <w:pPr>
        <w:tabs>
          <w:tab w:val="num" w:pos="900"/>
        </w:tabs>
        <w:ind w:left="900" w:hanging="360"/>
      </w:pPr>
      <w:rPr>
        <w:rFonts w:hint="default"/>
        <w:i w:val="0"/>
      </w:rPr>
    </w:lvl>
    <w:lvl w:ilvl="1" w:tplc="EC9EF088">
      <w:start w:val="1"/>
      <w:numFmt w:val="decimal"/>
      <w:lvlText w:val="%2."/>
      <w:lvlJc w:val="left"/>
      <w:pPr>
        <w:tabs>
          <w:tab w:val="num" w:pos="1620"/>
        </w:tabs>
        <w:ind w:left="1620" w:hanging="5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A8179A5"/>
    <w:multiLevelType w:val="hybridMultilevel"/>
    <w:tmpl w:val="26C0DFD0"/>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462189527">
    <w:abstractNumId w:val="9"/>
  </w:num>
  <w:num w:numId="2" w16cid:durableId="648482729">
    <w:abstractNumId w:val="1"/>
  </w:num>
  <w:num w:numId="3" w16cid:durableId="1951817209">
    <w:abstractNumId w:val="10"/>
  </w:num>
  <w:num w:numId="4" w16cid:durableId="1554345691">
    <w:abstractNumId w:val="5"/>
  </w:num>
  <w:num w:numId="5" w16cid:durableId="1149521983">
    <w:abstractNumId w:val="4"/>
  </w:num>
  <w:num w:numId="6" w16cid:durableId="1091700180">
    <w:abstractNumId w:val="6"/>
  </w:num>
  <w:num w:numId="7" w16cid:durableId="1435052566">
    <w:abstractNumId w:val="8"/>
  </w:num>
  <w:num w:numId="8" w16cid:durableId="866679289">
    <w:abstractNumId w:val="2"/>
  </w:num>
  <w:num w:numId="9" w16cid:durableId="412508616">
    <w:abstractNumId w:val="0"/>
  </w:num>
  <w:num w:numId="10" w16cid:durableId="771587699">
    <w:abstractNumId w:val="7"/>
  </w:num>
  <w:num w:numId="11" w16cid:durableId="6443539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F83"/>
    <w:rsid w:val="00000493"/>
    <w:rsid w:val="00003A49"/>
    <w:rsid w:val="00010CC9"/>
    <w:rsid w:val="00012D2F"/>
    <w:rsid w:val="00022104"/>
    <w:rsid w:val="00026A15"/>
    <w:rsid w:val="00026B91"/>
    <w:rsid w:val="0003037D"/>
    <w:rsid w:val="00030D09"/>
    <w:rsid w:val="000312BF"/>
    <w:rsid w:val="00031F45"/>
    <w:rsid w:val="00034492"/>
    <w:rsid w:val="00036425"/>
    <w:rsid w:val="000367D1"/>
    <w:rsid w:val="00036F54"/>
    <w:rsid w:val="00037883"/>
    <w:rsid w:val="000430BE"/>
    <w:rsid w:val="0004564B"/>
    <w:rsid w:val="00045A2F"/>
    <w:rsid w:val="000503DF"/>
    <w:rsid w:val="00050D72"/>
    <w:rsid w:val="000511C9"/>
    <w:rsid w:val="000621CF"/>
    <w:rsid w:val="00062E5B"/>
    <w:rsid w:val="00063711"/>
    <w:rsid w:val="00065397"/>
    <w:rsid w:val="00065E22"/>
    <w:rsid w:val="0006636C"/>
    <w:rsid w:val="0006636F"/>
    <w:rsid w:val="00067E0F"/>
    <w:rsid w:val="000708B1"/>
    <w:rsid w:val="00072C81"/>
    <w:rsid w:val="000804C0"/>
    <w:rsid w:val="0008213C"/>
    <w:rsid w:val="00083831"/>
    <w:rsid w:val="0008561C"/>
    <w:rsid w:val="00085FA7"/>
    <w:rsid w:val="00092F77"/>
    <w:rsid w:val="000936EA"/>
    <w:rsid w:val="00094866"/>
    <w:rsid w:val="00094EDA"/>
    <w:rsid w:val="00097736"/>
    <w:rsid w:val="000A5649"/>
    <w:rsid w:val="000A68EC"/>
    <w:rsid w:val="000A78B9"/>
    <w:rsid w:val="000A7C98"/>
    <w:rsid w:val="000B3168"/>
    <w:rsid w:val="000B686A"/>
    <w:rsid w:val="000B7A57"/>
    <w:rsid w:val="000C2426"/>
    <w:rsid w:val="000C3036"/>
    <w:rsid w:val="000C7D25"/>
    <w:rsid w:val="000D3B09"/>
    <w:rsid w:val="000D6CA0"/>
    <w:rsid w:val="000D6DF8"/>
    <w:rsid w:val="000D7E58"/>
    <w:rsid w:val="000E41D9"/>
    <w:rsid w:val="000E5545"/>
    <w:rsid w:val="000E6ABD"/>
    <w:rsid w:val="000E7CDD"/>
    <w:rsid w:val="000F595C"/>
    <w:rsid w:val="000F7670"/>
    <w:rsid w:val="001011F3"/>
    <w:rsid w:val="0010480F"/>
    <w:rsid w:val="00105E49"/>
    <w:rsid w:val="00110D89"/>
    <w:rsid w:val="00111D30"/>
    <w:rsid w:val="00112AFD"/>
    <w:rsid w:val="00114251"/>
    <w:rsid w:val="001154FF"/>
    <w:rsid w:val="00123103"/>
    <w:rsid w:val="00124533"/>
    <w:rsid w:val="00125492"/>
    <w:rsid w:val="00125D60"/>
    <w:rsid w:val="00132AED"/>
    <w:rsid w:val="001346EB"/>
    <w:rsid w:val="00141A4E"/>
    <w:rsid w:val="001442A1"/>
    <w:rsid w:val="00144866"/>
    <w:rsid w:val="00144A86"/>
    <w:rsid w:val="0014611C"/>
    <w:rsid w:val="00150B2E"/>
    <w:rsid w:val="001511A6"/>
    <w:rsid w:val="00151AA8"/>
    <w:rsid w:val="00152F94"/>
    <w:rsid w:val="00157891"/>
    <w:rsid w:val="00161B00"/>
    <w:rsid w:val="00163A77"/>
    <w:rsid w:val="00171EBF"/>
    <w:rsid w:val="00175865"/>
    <w:rsid w:val="00175EE4"/>
    <w:rsid w:val="001760F9"/>
    <w:rsid w:val="0017629A"/>
    <w:rsid w:val="001777EC"/>
    <w:rsid w:val="00180E8C"/>
    <w:rsid w:val="00195274"/>
    <w:rsid w:val="001962EB"/>
    <w:rsid w:val="001A19C8"/>
    <w:rsid w:val="001A3327"/>
    <w:rsid w:val="001A389F"/>
    <w:rsid w:val="001B15BD"/>
    <w:rsid w:val="001B7096"/>
    <w:rsid w:val="001C029F"/>
    <w:rsid w:val="001C0DD1"/>
    <w:rsid w:val="001C148B"/>
    <w:rsid w:val="001C19D9"/>
    <w:rsid w:val="001C21AE"/>
    <w:rsid w:val="001C251F"/>
    <w:rsid w:val="001C3517"/>
    <w:rsid w:val="001C3872"/>
    <w:rsid w:val="001C3A59"/>
    <w:rsid w:val="001C6999"/>
    <w:rsid w:val="001C6FD8"/>
    <w:rsid w:val="001D134E"/>
    <w:rsid w:val="001D3ED2"/>
    <w:rsid w:val="001D3F53"/>
    <w:rsid w:val="001D4230"/>
    <w:rsid w:val="001D7F99"/>
    <w:rsid w:val="001E081F"/>
    <w:rsid w:val="001E450E"/>
    <w:rsid w:val="001E4F4C"/>
    <w:rsid w:val="001E6242"/>
    <w:rsid w:val="001E732C"/>
    <w:rsid w:val="001E77CF"/>
    <w:rsid w:val="001F238E"/>
    <w:rsid w:val="001F406F"/>
    <w:rsid w:val="001F492A"/>
    <w:rsid w:val="001F4D57"/>
    <w:rsid w:val="001F527D"/>
    <w:rsid w:val="001F7AB3"/>
    <w:rsid w:val="0020288F"/>
    <w:rsid w:val="00204E3A"/>
    <w:rsid w:val="002055B7"/>
    <w:rsid w:val="00205A96"/>
    <w:rsid w:val="00205BC6"/>
    <w:rsid w:val="00207A17"/>
    <w:rsid w:val="002107B9"/>
    <w:rsid w:val="00212370"/>
    <w:rsid w:val="00212E10"/>
    <w:rsid w:val="002133A4"/>
    <w:rsid w:val="00213CDF"/>
    <w:rsid w:val="00214240"/>
    <w:rsid w:val="00214B22"/>
    <w:rsid w:val="00214F73"/>
    <w:rsid w:val="00216D41"/>
    <w:rsid w:val="00217224"/>
    <w:rsid w:val="00222AEF"/>
    <w:rsid w:val="0022302F"/>
    <w:rsid w:val="00226ECC"/>
    <w:rsid w:val="00230392"/>
    <w:rsid w:val="0023391E"/>
    <w:rsid w:val="00234F40"/>
    <w:rsid w:val="0023624B"/>
    <w:rsid w:val="002415DC"/>
    <w:rsid w:val="00242F91"/>
    <w:rsid w:val="002466F8"/>
    <w:rsid w:val="002478E2"/>
    <w:rsid w:val="00250222"/>
    <w:rsid w:val="002518CD"/>
    <w:rsid w:val="00252444"/>
    <w:rsid w:val="00256F00"/>
    <w:rsid w:val="002572FC"/>
    <w:rsid w:val="00260518"/>
    <w:rsid w:val="00261BA2"/>
    <w:rsid w:val="00264333"/>
    <w:rsid w:val="0026784C"/>
    <w:rsid w:val="00270DCF"/>
    <w:rsid w:val="00270E01"/>
    <w:rsid w:val="00270E2E"/>
    <w:rsid w:val="00271890"/>
    <w:rsid w:val="00273208"/>
    <w:rsid w:val="00273CA4"/>
    <w:rsid w:val="002821DD"/>
    <w:rsid w:val="00286ABA"/>
    <w:rsid w:val="00287351"/>
    <w:rsid w:val="002908E7"/>
    <w:rsid w:val="00291F95"/>
    <w:rsid w:val="00293810"/>
    <w:rsid w:val="00297914"/>
    <w:rsid w:val="002A25DC"/>
    <w:rsid w:val="002A2FF5"/>
    <w:rsid w:val="002A320B"/>
    <w:rsid w:val="002A5272"/>
    <w:rsid w:val="002A6C07"/>
    <w:rsid w:val="002B5458"/>
    <w:rsid w:val="002B6262"/>
    <w:rsid w:val="002C0F83"/>
    <w:rsid w:val="002C35B1"/>
    <w:rsid w:val="002C3C44"/>
    <w:rsid w:val="002C54F4"/>
    <w:rsid w:val="002C67F6"/>
    <w:rsid w:val="002C77CD"/>
    <w:rsid w:val="002D21CA"/>
    <w:rsid w:val="002D2466"/>
    <w:rsid w:val="002D53AA"/>
    <w:rsid w:val="002D57DE"/>
    <w:rsid w:val="002D6538"/>
    <w:rsid w:val="002D7668"/>
    <w:rsid w:val="002E1257"/>
    <w:rsid w:val="002E1EBF"/>
    <w:rsid w:val="002E5F83"/>
    <w:rsid w:val="002E61BF"/>
    <w:rsid w:val="002E6CDC"/>
    <w:rsid w:val="002E77D8"/>
    <w:rsid w:val="002F2EBD"/>
    <w:rsid w:val="002F5504"/>
    <w:rsid w:val="002F6F84"/>
    <w:rsid w:val="0030001D"/>
    <w:rsid w:val="00303C2B"/>
    <w:rsid w:val="0031501B"/>
    <w:rsid w:val="00317AF0"/>
    <w:rsid w:val="00320087"/>
    <w:rsid w:val="0032349E"/>
    <w:rsid w:val="00327F13"/>
    <w:rsid w:val="003307FA"/>
    <w:rsid w:val="003311A5"/>
    <w:rsid w:val="00332B3D"/>
    <w:rsid w:val="00336608"/>
    <w:rsid w:val="00337BEB"/>
    <w:rsid w:val="0034149C"/>
    <w:rsid w:val="0034226D"/>
    <w:rsid w:val="00342A89"/>
    <w:rsid w:val="00346D1E"/>
    <w:rsid w:val="003479E0"/>
    <w:rsid w:val="003501DD"/>
    <w:rsid w:val="00353478"/>
    <w:rsid w:val="00354B8E"/>
    <w:rsid w:val="00357F1A"/>
    <w:rsid w:val="00360C2D"/>
    <w:rsid w:val="0036639A"/>
    <w:rsid w:val="0036770E"/>
    <w:rsid w:val="0036779D"/>
    <w:rsid w:val="00367D7B"/>
    <w:rsid w:val="00372C24"/>
    <w:rsid w:val="003732C5"/>
    <w:rsid w:val="00374FD1"/>
    <w:rsid w:val="00375925"/>
    <w:rsid w:val="00376DB7"/>
    <w:rsid w:val="00377431"/>
    <w:rsid w:val="00377884"/>
    <w:rsid w:val="00380703"/>
    <w:rsid w:val="003901BA"/>
    <w:rsid w:val="003936E8"/>
    <w:rsid w:val="00393FB7"/>
    <w:rsid w:val="0039422F"/>
    <w:rsid w:val="00395E1A"/>
    <w:rsid w:val="003A19FB"/>
    <w:rsid w:val="003A3C3C"/>
    <w:rsid w:val="003A3DF2"/>
    <w:rsid w:val="003A592F"/>
    <w:rsid w:val="003A787B"/>
    <w:rsid w:val="003A7ECD"/>
    <w:rsid w:val="003B1782"/>
    <w:rsid w:val="003B3608"/>
    <w:rsid w:val="003B39DF"/>
    <w:rsid w:val="003B5EAC"/>
    <w:rsid w:val="003B62EF"/>
    <w:rsid w:val="003B6A1B"/>
    <w:rsid w:val="003B7496"/>
    <w:rsid w:val="003C1867"/>
    <w:rsid w:val="003C608A"/>
    <w:rsid w:val="003C62B8"/>
    <w:rsid w:val="003D2497"/>
    <w:rsid w:val="003D2C4C"/>
    <w:rsid w:val="003D359B"/>
    <w:rsid w:val="003D4455"/>
    <w:rsid w:val="003D726D"/>
    <w:rsid w:val="003E34FD"/>
    <w:rsid w:val="00410B72"/>
    <w:rsid w:val="00413E51"/>
    <w:rsid w:val="0042109C"/>
    <w:rsid w:val="00423C98"/>
    <w:rsid w:val="00423CB2"/>
    <w:rsid w:val="0042675B"/>
    <w:rsid w:val="004308AC"/>
    <w:rsid w:val="00430F27"/>
    <w:rsid w:val="004344DF"/>
    <w:rsid w:val="00435224"/>
    <w:rsid w:val="00436674"/>
    <w:rsid w:val="00436ACD"/>
    <w:rsid w:val="00437D2F"/>
    <w:rsid w:val="00442A43"/>
    <w:rsid w:val="00445A91"/>
    <w:rsid w:val="004534E7"/>
    <w:rsid w:val="00460F60"/>
    <w:rsid w:val="00461686"/>
    <w:rsid w:val="00463278"/>
    <w:rsid w:val="004639AA"/>
    <w:rsid w:val="00464A5B"/>
    <w:rsid w:val="00466D90"/>
    <w:rsid w:val="00467244"/>
    <w:rsid w:val="00467DB5"/>
    <w:rsid w:val="00471F44"/>
    <w:rsid w:val="00480BF6"/>
    <w:rsid w:val="004826E2"/>
    <w:rsid w:val="004836A4"/>
    <w:rsid w:val="004840D2"/>
    <w:rsid w:val="00486284"/>
    <w:rsid w:val="0048791F"/>
    <w:rsid w:val="00491F56"/>
    <w:rsid w:val="00495981"/>
    <w:rsid w:val="00496D16"/>
    <w:rsid w:val="004979DB"/>
    <w:rsid w:val="00497C0B"/>
    <w:rsid w:val="004A0157"/>
    <w:rsid w:val="004A1746"/>
    <w:rsid w:val="004A17C1"/>
    <w:rsid w:val="004A659A"/>
    <w:rsid w:val="004B3B5B"/>
    <w:rsid w:val="004B5035"/>
    <w:rsid w:val="004B7879"/>
    <w:rsid w:val="004C0961"/>
    <w:rsid w:val="004C2276"/>
    <w:rsid w:val="004C39A1"/>
    <w:rsid w:val="004C778A"/>
    <w:rsid w:val="004D06FC"/>
    <w:rsid w:val="004D13E1"/>
    <w:rsid w:val="004D1673"/>
    <w:rsid w:val="004D2E8E"/>
    <w:rsid w:val="004D4DC5"/>
    <w:rsid w:val="004D58A9"/>
    <w:rsid w:val="004D6B6D"/>
    <w:rsid w:val="004D779D"/>
    <w:rsid w:val="004D7DEA"/>
    <w:rsid w:val="004E0395"/>
    <w:rsid w:val="004E284F"/>
    <w:rsid w:val="004E3027"/>
    <w:rsid w:val="004E3939"/>
    <w:rsid w:val="004E3D93"/>
    <w:rsid w:val="004E43E9"/>
    <w:rsid w:val="004E610D"/>
    <w:rsid w:val="004E75C6"/>
    <w:rsid w:val="004F2EEA"/>
    <w:rsid w:val="004F3B04"/>
    <w:rsid w:val="004F737B"/>
    <w:rsid w:val="00500F8B"/>
    <w:rsid w:val="005044A8"/>
    <w:rsid w:val="00504948"/>
    <w:rsid w:val="005053BF"/>
    <w:rsid w:val="005060B3"/>
    <w:rsid w:val="0051002D"/>
    <w:rsid w:val="005108DB"/>
    <w:rsid w:val="005135E3"/>
    <w:rsid w:val="00513646"/>
    <w:rsid w:val="00513D36"/>
    <w:rsid w:val="005149A8"/>
    <w:rsid w:val="00516CE7"/>
    <w:rsid w:val="005177A7"/>
    <w:rsid w:val="005215EF"/>
    <w:rsid w:val="00521B86"/>
    <w:rsid w:val="005223E8"/>
    <w:rsid w:val="00524651"/>
    <w:rsid w:val="005254AB"/>
    <w:rsid w:val="0052608D"/>
    <w:rsid w:val="00526FB0"/>
    <w:rsid w:val="00527FDB"/>
    <w:rsid w:val="00532049"/>
    <w:rsid w:val="00533373"/>
    <w:rsid w:val="0053437D"/>
    <w:rsid w:val="00537269"/>
    <w:rsid w:val="0054009E"/>
    <w:rsid w:val="00541F30"/>
    <w:rsid w:val="00545537"/>
    <w:rsid w:val="00547145"/>
    <w:rsid w:val="00550B43"/>
    <w:rsid w:val="00551967"/>
    <w:rsid w:val="0055228B"/>
    <w:rsid w:val="00554329"/>
    <w:rsid w:val="005577FA"/>
    <w:rsid w:val="005646B1"/>
    <w:rsid w:val="00567F29"/>
    <w:rsid w:val="00570C77"/>
    <w:rsid w:val="00575C91"/>
    <w:rsid w:val="0057671F"/>
    <w:rsid w:val="00577568"/>
    <w:rsid w:val="00577E1D"/>
    <w:rsid w:val="005808DE"/>
    <w:rsid w:val="0058534C"/>
    <w:rsid w:val="005866B8"/>
    <w:rsid w:val="00586700"/>
    <w:rsid w:val="005902CC"/>
    <w:rsid w:val="005912FA"/>
    <w:rsid w:val="00593CF6"/>
    <w:rsid w:val="00594E66"/>
    <w:rsid w:val="005966D4"/>
    <w:rsid w:val="0059732E"/>
    <w:rsid w:val="00597579"/>
    <w:rsid w:val="005A1F31"/>
    <w:rsid w:val="005A238F"/>
    <w:rsid w:val="005A53AB"/>
    <w:rsid w:val="005A53F1"/>
    <w:rsid w:val="005A63D4"/>
    <w:rsid w:val="005A65C2"/>
    <w:rsid w:val="005A77E3"/>
    <w:rsid w:val="005A7864"/>
    <w:rsid w:val="005B15FC"/>
    <w:rsid w:val="005B3915"/>
    <w:rsid w:val="005B3AC6"/>
    <w:rsid w:val="005B794E"/>
    <w:rsid w:val="005C327F"/>
    <w:rsid w:val="005C5A1E"/>
    <w:rsid w:val="005D27EB"/>
    <w:rsid w:val="005D4AE2"/>
    <w:rsid w:val="005D530A"/>
    <w:rsid w:val="005E0E4D"/>
    <w:rsid w:val="005E3E0A"/>
    <w:rsid w:val="005E4EA4"/>
    <w:rsid w:val="005E7EE2"/>
    <w:rsid w:val="005F4D82"/>
    <w:rsid w:val="005F594C"/>
    <w:rsid w:val="00601211"/>
    <w:rsid w:val="00602BB9"/>
    <w:rsid w:val="00605CF6"/>
    <w:rsid w:val="00610511"/>
    <w:rsid w:val="00614289"/>
    <w:rsid w:val="006165DF"/>
    <w:rsid w:val="006167D4"/>
    <w:rsid w:val="00617020"/>
    <w:rsid w:val="00621A7C"/>
    <w:rsid w:val="0062314F"/>
    <w:rsid w:val="0062532E"/>
    <w:rsid w:val="006309A3"/>
    <w:rsid w:val="00630D71"/>
    <w:rsid w:val="0063157A"/>
    <w:rsid w:val="006360A7"/>
    <w:rsid w:val="00645D98"/>
    <w:rsid w:val="0064624F"/>
    <w:rsid w:val="00647BCE"/>
    <w:rsid w:val="0065087E"/>
    <w:rsid w:val="00652AE9"/>
    <w:rsid w:val="00652DEA"/>
    <w:rsid w:val="006541C9"/>
    <w:rsid w:val="0065456A"/>
    <w:rsid w:val="00656D28"/>
    <w:rsid w:val="00660D7E"/>
    <w:rsid w:val="00662B24"/>
    <w:rsid w:val="006637D2"/>
    <w:rsid w:val="0066442B"/>
    <w:rsid w:val="006713C9"/>
    <w:rsid w:val="00671428"/>
    <w:rsid w:val="006734ED"/>
    <w:rsid w:val="00673595"/>
    <w:rsid w:val="00673EB1"/>
    <w:rsid w:val="00676264"/>
    <w:rsid w:val="0068091E"/>
    <w:rsid w:val="0068132F"/>
    <w:rsid w:val="00681CE5"/>
    <w:rsid w:val="00682A1E"/>
    <w:rsid w:val="00684C22"/>
    <w:rsid w:val="00691528"/>
    <w:rsid w:val="00692738"/>
    <w:rsid w:val="00693322"/>
    <w:rsid w:val="00694050"/>
    <w:rsid w:val="00695136"/>
    <w:rsid w:val="006956EF"/>
    <w:rsid w:val="006A1BE2"/>
    <w:rsid w:val="006A2F26"/>
    <w:rsid w:val="006A6D31"/>
    <w:rsid w:val="006A7272"/>
    <w:rsid w:val="006B3127"/>
    <w:rsid w:val="006B395C"/>
    <w:rsid w:val="006B3AB7"/>
    <w:rsid w:val="006B5105"/>
    <w:rsid w:val="006B7375"/>
    <w:rsid w:val="006C6BDC"/>
    <w:rsid w:val="006C6EA8"/>
    <w:rsid w:val="006D0E2F"/>
    <w:rsid w:val="006D1BE0"/>
    <w:rsid w:val="006D4B0E"/>
    <w:rsid w:val="006D7291"/>
    <w:rsid w:val="006E30FB"/>
    <w:rsid w:val="006E4EF3"/>
    <w:rsid w:val="006E508A"/>
    <w:rsid w:val="006E6DEF"/>
    <w:rsid w:val="006F2F2A"/>
    <w:rsid w:val="006F402C"/>
    <w:rsid w:val="006F418C"/>
    <w:rsid w:val="006F5C14"/>
    <w:rsid w:val="00702C3F"/>
    <w:rsid w:val="0070306F"/>
    <w:rsid w:val="00703D5A"/>
    <w:rsid w:val="0070747B"/>
    <w:rsid w:val="007148EF"/>
    <w:rsid w:val="00717CC2"/>
    <w:rsid w:val="0072012A"/>
    <w:rsid w:val="00726A71"/>
    <w:rsid w:val="00726EC4"/>
    <w:rsid w:val="007320EA"/>
    <w:rsid w:val="00741326"/>
    <w:rsid w:val="00742E01"/>
    <w:rsid w:val="00744FB8"/>
    <w:rsid w:val="0074620B"/>
    <w:rsid w:val="00751DE5"/>
    <w:rsid w:val="0075482D"/>
    <w:rsid w:val="00757B44"/>
    <w:rsid w:val="007736CA"/>
    <w:rsid w:val="00774458"/>
    <w:rsid w:val="00777F4E"/>
    <w:rsid w:val="00780206"/>
    <w:rsid w:val="00780C7B"/>
    <w:rsid w:val="00781C7E"/>
    <w:rsid w:val="00783E99"/>
    <w:rsid w:val="00785514"/>
    <w:rsid w:val="007917F0"/>
    <w:rsid w:val="007921DE"/>
    <w:rsid w:val="0079430C"/>
    <w:rsid w:val="007A328D"/>
    <w:rsid w:val="007A3CEF"/>
    <w:rsid w:val="007A3EB2"/>
    <w:rsid w:val="007A3FCC"/>
    <w:rsid w:val="007A72B2"/>
    <w:rsid w:val="007B000A"/>
    <w:rsid w:val="007B47C0"/>
    <w:rsid w:val="007B6C25"/>
    <w:rsid w:val="007B7F12"/>
    <w:rsid w:val="007C1B69"/>
    <w:rsid w:val="007C2DF3"/>
    <w:rsid w:val="007C47BB"/>
    <w:rsid w:val="007C5395"/>
    <w:rsid w:val="007D0B20"/>
    <w:rsid w:val="007D512A"/>
    <w:rsid w:val="007D6808"/>
    <w:rsid w:val="007E40DF"/>
    <w:rsid w:val="007E69C8"/>
    <w:rsid w:val="007E71C3"/>
    <w:rsid w:val="007F143D"/>
    <w:rsid w:val="007F620E"/>
    <w:rsid w:val="007F6A77"/>
    <w:rsid w:val="007F6CF5"/>
    <w:rsid w:val="008005D0"/>
    <w:rsid w:val="00800E59"/>
    <w:rsid w:val="00802101"/>
    <w:rsid w:val="00802701"/>
    <w:rsid w:val="00811559"/>
    <w:rsid w:val="008146C0"/>
    <w:rsid w:val="008156BC"/>
    <w:rsid w:val="00815F1F"/>
    <w:rsid w:val="0081626F"/>
    <w:rsid w:val="008200F1"/>
    <w:rsid w:val="00820C2E"/>
    <w:rsid w:val="0082220A"/>
    <w:rsid w:val="00825069"/>
    <w:rsid w:val="008310AE"/>
    <w:rsid w:val="008321FE"/>
    <w:rsid w:val="0083350A"/>
    <w:rsid w:val="00833573"/>
    <w:rsid w:val="00836F2F"/>
    <w:rsid w:val="008404ED"/>
    <w:rsid w:val="00845945"/>
    <w:rsid w:val="00850F5D"/>
    <w:rsid w:val="00852B41"/>
    <w:rsid w:val="00855FD0"/>
    <w:rsid w:val="00855FD7"/>
    <w:rsid w:val="0085610C"/>
    <w:rsid w:val="00856CB0"/>
    <w:rsid w:val="00856CE8"/>
    <w:rsid w:val="008601C8"/>
    <w:rsid w:val="008612B9"/>
    <w:rsid w:val="00864777"/>
    <w:rsid w:val="0086723C"/>
    <w:rsid w:val="008673C0"/>
    <w:rsid w:val="008702E4"/>
    <w:rsid w:val="00872878"/>
    <w:rsid w:val="00872AF7"/>
    <w:rsid w:val="0087315C"/>
    <w:rsid w:val="008765CB"/>
    <w:rsid w:val="00880F5D"/>
    <w:rsid w:val="008844B6"/>
    <w:rsid w:val="00885956"/>
    <w:rsid w:val="0088683A"/>
    <w:rsid w:val="00886869"/>
    <w:rsid w:val="0089082D"/>
    <w:rsid w:val="00891B6B"/>
    <w:rsid w:val="008A61FC"/>
    <w:rsid w:val="008A64FF"/>
    <w:rsid w:val="008B004A"/>
    <w:rsid w:val="008B25D8"/>
    <w:rsid w:val="008B4BD4"/>
    <w:rsid w:val="008B4E54"/>
    <w:rsid w:val="008B54BC"/>
    <w:rsid w:val="008B67E2"/>
    <w:rsid w:val="008C09F7"/>
    <w:rsid w:val="008C0C92"/>
    <w:rsid w:val="008C2208"/>
    <w:rsid w:val="008D0858"/>
    <w:rsid w:val="008E01A2"/>
    <w:rsid w:val="008E3450"/>
    <w:rsid w:val="008E4336"/>
    <w:rsid w:val="008F0613"/>
    <w:rsid w:val="008F0918"/>
    <w:rsid w:val="008F356D"/>
    <w:rsid w:val="008F6C4D"/>
    <w:rsid w:val="00900AAE"/>
    <w:rsid w:val="00902628"/>
    <w:rsid w:val="00903888"/>
    <w:rsid w:val="00903CCF"/>
    <w:rsid w:val="00914DE5"/>
    <w:rsid w:val="00915118"/>
    <w:rsid w:val="009155C9"/>
    <w:rsid w:val="00917F4A"/>
    <w:rsid w:val="00917F9F"/>
    <w:rsid w:val="00922FAE"/>
    <w:rsid w:val="00925FAB"/>
    <w:rsid w:val="00941910"/>
    <w:rsid w:val="00945524"/>
    <w:rsid w:val="00951CCA"/>
    <w:rsid w:val="00961655"/>
    <w:rsid w:val="00961768"/>
    <w:rsid w:val="00963EEF"/>
    <w:rsid w:val="009654B8"/>
    <w:rsid w:val="00972219"/>
    <w:rsid w:val="009756ED"/>
    <w:rsid w:val="00977BC2"/>
    <w:rsid w:val="00980579"/>
    <w:rsid w:val="00984374"/>
    <w:rsid w:val="00984DD6"/>
    <w:rsid w:val="00985239"/>
    <w:rsid w:val="00995E4D"/>
    <w:rsid w:val="009A056D"/>
    <w:rsid w:val="009A0ADB"/>
    <w:rsid w:val="009A18CF"/>
    <w:rsid w:val="009A1A8F"/>
    <w:rsid w:val="009A2338"/>
    <w:rsid w:val="009A62F6"/>
    <w:rsid w:val="009A7484"/>
    <w:rsid w:val="009A77BF"/>
    <w:rsid w:val="009B0B9F"/>
    <w:rsid w:val="009B0DD2"/>
    <w:rsid w:val="009B1AB9"/>
    <w:rsid w:val="009B25C3"/>
    <w:rsid w:val="009B4BB8"/>
    <w:rsid w:val="009B7E1F"/>
    <w:rsid w:val="009C07F7"/>
    <w:rsid w:val="009C16E4"/>
    <w:rsid w:val="009C6063"/>
    <w:rsid w:val="009D142A"/>
    <w:rsid w:val="009E2576"/>
    <w:rsid w:val="009E48E4"/>
    <w:rsid w:val="009E72AD"/>
    <w:rsid w:val="009F0949"/>
    <w:rsid w:val="009F341A"/>
    <w:rsid w:val="009F6B9A"/>
    <w:rsid w:val="009F717A"/>
    <w:rsid w:val="00A035C1"/>
    <w:rsid w:val="00A036D1"/>
    <w:rsid w:val="00A037DA"/>
    <w:rsid w:val="00A045B0"/>
    <w:rsid w:val="00A04A66"/>
    <w:rsid w:val="00A064FC"/>
    <w:rsid w:val="00A07A96"/>
    <w:rsid w:val="00A111A4"/>
    <w:rsid w:val="00A12979"/>
    <w:rsid w:val="00A1320F"/>
    <w:rsid w:val="00A14E57"/>
    <w:rsid w:val="00A1525D"/>
    <w:rsid w:val="00A16962"/>
    <w:rsid w:val="00A17343"/>
    <w:rsid w:val="00A30866"/>
    <w:rsid w:val="00A319DE"/>
    <w:rsid w:val="00A31DD8"/>
    <w:rsid w:val="00A37CF0"/>
    <w:rsid w:val="00A4358A"/>
    <w:rsid w:val="00A442DF"/>
    <w:rsid w:val="00A451B7"/>
    <w:rsid w:val="00A46E37"/>
    <w:rsid w:val="00A50253"/>
    <w:rsid w:val="00A563CC"/>
    <w:rsid w:val="00A56A1B"/>
    <w:rsid w:val="00A63B88"/>
    <w:rsid w:val="00A64DD2"/>
    <w:rsid w:val="00A64E8F"/>
    <w:rsid w:val="00A655FD"/>
    <w:rsid w:val="00A66354"/>
    <w:rsid w:val="00A67406"/>
    <w:rsid w:val="00A67E89"/>
    <w:rsid w:val="00A701CE"/>
    <w:rsid w:val="00A7032D"/>
    <w:rsid w:val="00A71A5C"/>
    <w:rsid w:val="00A745F9"/>
    <w:rsid w:val="00A74E53"/>
    <w:rsid w:val="00A75D2D"/>
    <w:rsid w:val="00A7688C"/>
    <w:rsid w:val="00A86988"/>
    <w:rsid w:val="00A869CE"/>
    <w:rsid w:val="00A87101"/>
    <w:rsid w:val="00A90D16"/>
    <w:rsid w:val="00A910F1"/>
    <w:rsid w:val="00A917E9"/>
    <w:rsid w:val="00A920B1"/>
    <w:rsid w:val="00A92D0B"/>
    <w:rsid w:val="00A94EDD"/>
    <w:rsid w:val="00A9621A"/>
    <w:rsid w:val="00A96284"/>
    <w:rsid w:val="00AA0773"/>
    <w:rsid w:val="00AA1254"/>
    <w:rsid w:val="00AA1740"/>
    <w:rsid w:val="00AA5163"/>
    <w:rsid w:val="00AA52B3"/>
    <w:rsid w:val="00AA7CBE"/>
    <w:rsid w:val="00AB191D"/>
    <w:rsid w:val="00AB2F7F"/>
    <w:rsid w:val="00AB3510"/>
    <w:rsid w:val="00AB424C"/>
    <w:rsid w:val="00AB4E04"/>
    <w:rsid w:val="00AC0217"/>
    <w:rsid w:val="00AC09C5"/>
    <w:rsid w:val="00AC1B5E"/>
    <w:rsid w:val="00AC5A4B"/>
    <w:rsid w:val="00AD0373"/>
    <w:rsid w:val="00AD0520"/>
    <w:rsid w:val="00AD35E9"/>
    <w:rsid w:val="00AD5797"/>
    <w:rsid w:val="00AD5D8F"/>
    <w:rsid w:val="00AD742A"/>
    <w:rsid w:val="00AE019C"/>
    <w:rsid w:val="00AE1A02"/>
    <w:rsid w:val="00AE1B9C"/>
    <w:rsid w:val="00AE3741"/>
    <w:rsid w:val="00AE3C4A"/>
    <w:rsid w:val="00AE404F"/>
    <w:rsid w:val="00AE428B"/>
    <w:rsid w:val="00AE429F"/>
    <w:rsid w:val="00AE6AD2"/>
    <w:rsid w:val="00AF2AA0"/>
    <w:rsid w:val="00B00BCD"/>
    <w:rsid w:val="00B03003"/>
    <w:rsid w:val="00B064EC"/>
    <w:rsid w:val="00B1593B"/>
    <w:rsid w:val="00B17102"/>
    <w:rsid w:val="00B172DC"/>
    <w:rsid w:val="00B312DA"/>
    <w:rsid w:val="00B31565"/>
    <w:rsid w:val="00B3752F"/>
    <w:rsid w:val="00B40C84"/>
    <w:rsid w:val="00B41A36"/>
    <w:rsid w:val="00B51C2B"/>
    <w:rsid w:val="00B52D6B"/>
    <w:rsid w:val="00B5378C"/>
    <w:rsid w:val="00B54991"/>
    <w:rsid w:val="00B54E04"/>
    <w:rsid w:val="00B55C65"/>
    <w:rsid w:val="00B55C87"/>
    <w:rsid w:val="00B55CCD"/>
    <w:rsid w:val="00B55D78"/>
    <w:rsid w:val="00B56D55"/>
    <w:rsid w:val="00B57CE9"/>
    <w:rsid w:val="00B62057"/>
    <w:rsid w:val="00B62AC0"/>
    <w:rsid w:val="00B66CF5"/>
    <w:rsid w:val="00B73FC2"/>
    <w:rsid w:val="00B765D9"/>
    <w:rsid w:val="00B92228"/>
    <w:rsid w:val="00B928C2"/>
    <w:rsid w:val="00B95100"/>
    <w:rsid w:val="00B964E9"/>
    <w:rsid w:val="00B9785F"/>
    <w:rsid w:val="00BA3ED6"/>
    <w:rsid w:val="00BA548C"/>
    <w:rsid w:val="00BA7124"/>
    <w:rsid w:val="00BB1511"/>
    <w:rsid w:val="00BB48C7"/>
    <w:rsid w:val="00BB49BB"/>
    <w:rsid w:val="00BB7B92"/>
    <w:rsid w:val="00BC5382"/>
    <w:rsid w:val="00BC7208"/>
    <w:rsid w:val="00BD697B"/>
    <w:rsid w:val="00BD6C87"/>
    <w:rsid w:val="00BE45D0"/>
    <w:rsid w:val="00BE6135"/>
    <w:rsid w:val="00BE7C65"/>
    <w:rsid w:val="00BF2F45"/>
    <w:rsid w:val="00C01151"/>
    <w:rsid w:val="00C01C13"/>
    <w:rsid w:val="00C02068"/>
    <w:rsid w:val="00C02649"/>
    <w:rsid w:val="00C045C9"/>
    <w:rsid w:val="00C0471D"/>
    <w:rsid w:val="00C05CA0"/>
    <w:rsid w:val="00C066DB"/>
    <w:rsid w:val="00C10103"/>
    <w:rsid w:val="00C12F41"/>
    <w:rsid w:val="00C13B3F"/>
    <w:rsid w:val="00C1439E"/>
    <w:rsid w:val="00C16981"/>
    <w:rsid w:val="00C17581"/>
    <w:rsid w:val="00C21EBC"/>
    <w:rsid w:val="00C241B9"/>
    <w:rsid w:val="00C2586F"/>
    <w:rsid w:val="00C26725"/>
    <w:rsid w:val="00C26D4A"/>
    <w:rsid w:val="00C3406B"/>
    <w:rsid w:val="00C35B77"/>
    <w:rsid w:val="00C372E0"/>
    <w:rsid w:val="00C40467"/>
    <w:rsid w:val="00C42D4A"/>
    <w:rsid w:val="00C45327"/>
    <w:rsid w:val="00C53625"/>
    <w:rsid w:val="00C635D5"/>
    <w:rsid w:val="00C645E7"/>
    <w:rsid w:val="00C65615"/>
    <w:rsid w:val="00C6619B"/>
    <w:rsid w:val="00C70877"/>
    <w:rsid w:val="00C71CFE"/>
    <w:rsid w:val="00C71D13"/>
    <w:rsid w:val="00C728FB"/>
    <w:rsid w:val="00C73CC5"/>
    <w:rsid w:val="00C73DFE"/>
    <w:rsid w:val="00C742D7"/>
    <w:rsid w:val="00C74408"/>
    <w:rsid w:val="00C765A2"/>
    <w:rsid w:val="00C80771"/>
    <w:rsid w:val="00C80F73"/>
    <w:rsid w:val="00C81855"/>
    <w:rsid w:val="00C83659"/>
    <w:rsid w:val="00C86DE1"/>
    <w:rsid w:val="00C9716E"/>
    <w:rsid w:val="00CA4878"/>
    <w:rsid w:val="00CA5E84"/>
    <w:rsid w:val="00CB1B1A"/>
    <w:rsid w:val="00CB3080"/>
    <w:rsid w:val="00CC3CC7"/>
    <w:rsid w:val="00CC45B0"/>
    <w:rsid w:val="00CC4B40"/>
    <w:rsid w:val="00CD5E09"/>
    <w:rsid w:val="00CD5FD5"/>
    <w:rsid w:val="00CD6886"/>
    <w:rsid w:val="00CD725E"/>
    <w:rsid w:val="00CD7D17"/>
    <w:rsid w:val="00CE19E3"/>
    <w:rsid w:val="00CE1D7B"/>
    <w:rsid w:val="00CE22F9"/>
    <w:rsid w:val="00CE7705"/>
    <w:rsid w:val="00CF1129"/>
    <w:rsid w:val="00CF1F11"/>
    <w:rsid w:val="00CF1FBB"/>
    <w:rsid w:val="00D00916"/>
    <w:rsid w:val="00D05283"/>
    <w:rsid w:val="00D06330"/>
    <w:rsid w:val="00D075B1"/>
    <w:rsid w:val="00D10372"/>
    <w:rsid w:val="00D1569A"/>
    <w:rsid w:val="00D165BA"/>
    <w:rsid w:val="00D16BB7"/>
    <w:rsid w:val="00D16D2D"/>
    <w:rsid w:val="00D227C7"/>
    <w:rsid w:val="00D227E5"/>
    <w:rsid w:val="00D25A8F"/>
    <w:rsid w:val="00D27D5F"/>
    <w:rsid w:val="00D27F1C"/>
    <w:rsid w:val="00D30039"/>
    <w:rsid w:val="00D30C4F"/>
    <w:rsid w:val="00D3285A"/>
    <w:rsid w:val="00D32CD0"/>
    <w:rsid w:val="00D36884"/>
    <w:rsid w:val="00D36927"/>
    <w:rsid w:val="00D44CAA"/>
    <w:rsid w:val="00D44FC0"/>
    <w:rsid w:val="00D47C6F"/>
    <w:rsid w:val="00D5318B"/>
    <w:rsid w:val="00D54780"/>
    <w:rsid w:val="00D55BB9"/>
    <w:rsid w:val="00D56235"/>
    <w:rsid w:val="00D56BCA"/>
    <w:rsid w:val="00D57DB5"/>
    <w:rsid w:val="00D7353B"/>
    <w:rsid w:val="00D74F4E"/>
    <w:rsid w:val="00D75107"/>
    <w:rsid w:val="00D80BFC"/>
    <w:rsid w:val="00D84F94"/>
    <w:rsid w:val="00D8769E"/>
    <w:rsid w:val="00D912C3"/>
    <w:rsid w:val="00D91CA3"/>
    <w:rsid w:val="00D9481A"/>
    <w:rsid w:val="00D949E8"/>
    <w:rsid w:val="00D960F8"/>
    <w:rsid w:val="00DA3AEE"/>
    <w:rsid w:val="00DB1932"/>
    <w:rsid w:val="00DB1A67"/>
    <w:rsid w:val="00DB2B70"/>
    <w:rsid w:val="00DB3530"/>
    <w:rsid w:val="00DB36E0"/>
    <w:rsid w:val="00DB5467"/>
    <w:rsid w:val="00DB758F"/>
    <w:rsid w:val="00DC12E5"/>
    <w:rsid w:val="00DC4C92"/>
    <w:rsid w:val="00DC7C91"/>
    <w:rsid w:val="00DD1580"/>
    <w:rsid w:val="00DD2FD2"/>
    <w:rsid w:val="00DD3C63"/>
    <w:rsid w:val="00DD52BB"/>
    <w:rsid w:val="00DD7BC4"/>
    <w:rsid w:val="00DE1B7D"/>
    <w:rsid w:val="00DE29F8"/>
    <w:rsid w:val="00DE3A5D"/>
    <w:rsid w:val="00DE5988"/>
    <w:rsid w:val="00DE639C"/>
    <w:rsid w:val="00DF0537"/>
    <w:rsid w:val="00DF2F74"/>
    <w:rsid w:val="00DF529A"/>
    <w:rsid w:val="00DF6BF2"/>
    <w:rsid w:val="00E00990"/>
    <w:rsid w:val="00E00FCE"/>
    <w:rsid w:val="00E01F78"/>
    <w:rsid w:val="00E07059"/>
    <w:rsid w:val="00E15DC3"/>
    <w:rsid w:val="00E21EA5"/>
    <w:rsid w:val="00E22707"/>
    <w:rsid w:val="00E25078"/>
    <w:rsid w:val="00E33AC8"/>
    <w:rsid w:val="00E3786F"/>
    <w:rsid w:val="00E40140"/>
    <w:rsid w:val="00E45581"/>
    <w:rsid w:val="00E47EC2"/>
    <w:rsid w:val="00E52992"/>
    <w:rsid w:val="00E53908"/>
    <w:rsid w:val="00E54E38"/>
    <w:rsid w:val="00E60942"/>
    <w:rsid w:val="00E622CD"/>
    <w:rsid w:val="00E64073"/>
    <w:rsid w:val="00E643F9"/>
    <w:rsid w:val="00E646AC"/>
    <w:rsid w:val="00E65109"/>
    <w:rsid w:val="00E67F28"/>
    <w:rsid w:val="00E70173"/>
    <w:rsid w:val="00E7363B"/>
    <w:rsid w:val="00E75E09"/>
    <w:rsid w:val="00E7766B"/>
    <w:rsid w:val="00E82D0C"/>
    <w:rsid w:val="00E848AA"/>
    <w:rsid w:val="00E877C6"/>
    <w:rsid w:val="00E9231B"/>
    <w:rsid w:val="00E92DEC"/>
    <w:rsid w:val="00E9366A"/>
    <w:rsid w:val="00E959A0"/>
    <w:rsid w:val="00E95E50"/>
    <w:rsid w:val="00EA265D"/>
    <w:rsid w:val="00EB28FC"/>
    <w:rsid w:val="00EB6583"/>
    <w:rsid w:val="00EC0531"/>
    <w:rsid w:val="00EC1D3F"/>
    <w:rsid w:val="00EC1E76"/>
    <w:rsid w:val="00ED0719"/>
    <w:rsid w:val="00ED2A7C"/>
    <w:rsid w:val="00ED2FB2"/>
    <w:rsid w:val="00ED65E2"/>
    <w:rsid w:val="00ED6B6B"/>
    <w:rsid w:val="00EE1443"/>
    <w:rsid w:val="00EE24B7"/>
    <w:rsid w:val="00EE542F"/>
    <w:rsid w:val="00EE63FB"/>
    <w:rsid w:val="00EF2E10"/>
    <w:rsid w:val="00F006DB"/>
    <w:rsid w:val="00F00AC2"/>
    <w:rsid w:val="00F0294C"/>
    <w:rsid w:val="00F04904"/>
    <w:rsid w:val="00F05601"/>
    <w:rsid w:val="00F070BA"/>
    <w:rsid w:val="00F10F84"/>
    <w:rsid w:val="00F152EE"/>
    <w:rsid w:val="00F20061"/>
    <w:rsid w:val="00F2124D"/>
    <w:rsid w:val="00F23FCE"/>
    <w:rsid w:val="00F26371"/>
    <w:rsid w:val="00F278EB"/>
    <w:rsid w:val="00F27C9F"/>
    <w:rsid w:val="00F30DA8"/>
    <w:rsid w:val="00F310AC"/>
    <w:rsid w:val="00F32AE4"/>
    <w:rsid w:val="00F347B9"/>
    <w:rsid w:val="00F34C1F"/>
    <w:rsid w:val="00F365BE"/>
    <w:rsid w:val="00F3772B"/>
    <w:rsid w:val="00F41582"/>
    <w:rsid w:val="00F42683"/>
    <w:rsid w:val="00F47E87"/>
    <w:rsid w:val="00F524A9"/>
    <w:rsid w:val="00F53E1F"/>
    <w:rsid w:val="00F549EB"/>
    <w:rsid w:val="00F575A3"/>
    <w:rsid w:val="00F62FB8"/>
    <w:rsid w:val="00F63C29"/>
    <w:rsid w:val="00F650AE"/>
    <w:rsid w:val="00F6603D"/>
    <w:rsid w:val="00F66568"/>
    <w:rsid w:val="00F706FF"/>
    <w:rsid w:val="00F71A7F"/>
    <w:rsid w:val="00F74585"/>
    <w:rsid w:val="00F74BE0"/>
    <w:rsid w:val="00F7708B"/>
    <w:rsid w:val="00F81778"/>
    <w:rsid w:val="00F82A7F"/>
    <w:rsid w:val="00F82CC6"/>
    <w:rsid w:val="00F83158"/>
    <w:rsid w:val="00F86A6B"/>
    <w:rsid w:val="00F90A6A"/>
    <w:rsid w:val="00F90CF6"/>
    <w:rsid w:val="00F9148F"/>
    <w:rsid w:val="00F91723"/>
    <w:rsid w:val="00F918F1"/>
    <w:rsid w:val="00FA32AC"/>
    <w:rsid w:val="00FA3ADE"/>
    <w:rsid w:val="00FA4732"/>
    <w:rsid w:val="00FA480B"/>
    <w:rsid w:val="00FA6371"/>
    <w:rsid w:val="00FB0F3B"/>
    <w:rsid w:val="00FB226E"/>
    <w:rsid w:val="00FB3B07"/>
    <w:rsid w:val="00FB3F7A"/>
    <w:rsid w:val="00FC1252"/>
    <w:rsid w:val="00FC3AF0"/>
    <w:rsid w:val="00FC72B7"/>
    <w:rsid w:val="00FD2571"/>
    <w:rsid w:val="00FD456D"/>
    <w:rsid w:val="00FD5752"/>
    <w:rsid w:val="00FD6822"/>
    <w:rsid w:val="00FD690B"/>
    <w:rsid w:val="00FE096E"/>
    <w:rsid w:val="00FE120D"/>
    <w:rsid w:val="00FE23AD"/>
    <w:rsid w:val="00FE2634"/>
    <w:rsid w:val="00FE3BAE"/>
    <w:rsid w:val="00FE5CB1"/>
    <w:rsid w:val="00FE5F4D"/>
    <w:rsid w:val="00FF0059"/>
    <w:rsid w:val="00FF390F"/>
    <w:rsid w:val="00FF4ECF"/>
    <w:rsid w:val="00FF53A2"/>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099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bar">
    <w:name w:val="title bar"/>
    <w:basedOn w:val="Normal"/>
    <w:pPr>
      <w:keepNext/>
      <w:suppressAutoHyphens/>
      <w:jc w:val="center"/>
    </w:pPr>
    <w:rPr>
      <w:rFonts w:ascii="Helvetica" w:hAnsi="Helvetica"/>
      <w:b/>
      <w:sz w:val="26"/>
      <w:szCs w:val="20"/>
    </w:rPr>
  </w:style>
  <w:style w:type="character" w:styleId="Hyperlink">
    <w:name w:val="Hyperlink"/>
    <w:rsid w:val="00885956"/>
    <w:rPr>
      <w:color w:val="3754D4"/>
      <w:u w:val="single"/>
    </w:rPr>
  </w:style>
  <w:style w:type="paragraph" w:styleId="FootnoteText">
    <w:name w:val="footnote text"/>
    <w:basedOn w:val="Normal"/>
    <w:link w:val="FootnoteTextChar"/>
    <w:uiPriority w:val="99"/>
    <w:rsid w:val="00885956"/>
    <w:rPr>
      <w:sz w:val="20"/>
      <w:szCs w:val="20"/>
    </w:rPr>
  </w:style>
  <w:style w:type="character" w:customStyle="1" w:styleId="FootnoteTextChar">
    <w:name w:val="Footnote Text Char"/>
    <w:basedOn w:val="DefaultParagraphFont"/>
    <w:link w:val="FootnoteText"/>
    <w:uiPriority w:val="99"/>
    <w:rsid w:val="00885956"/>
  </w:style>
  <w:style w:type="character" w:styleId="FootnoteReference">
    <w:name w:val="footnote reference"/>
    <w:uiPriority w:val="99"/>
    <w:rsid w:val="00885956"/>
    <w:rPr>
      <w:vertAlign w:val="superscript"/>
    </w:rPr>
  </w:style>
  <w:style w:type="paragraph" w:styleId="ListParagraph">
    <w:name w:val="List Paragraph"/>
    <w:basedOn w:val="Normal"/>
    <w:uiPriority w:val="34"/>
    <w:qFormat/>
    <w:rsid w:val="00885956"/>
    <w:pPr>
      <w:ind w:left="720"/>
    </w:pPr>
    <w:rPr>
      <w:rFonts w:ascii="Calibri" w:eastAsia="Calibri" w:hAnsi="Calibri"/>
      <w:sz w:val="22"/>
      <w:szCs w:val="22"/>
    </w:rPr>
  </w:style>
  <w:style w:type="character" w:styleId="FollowedHyperlink">
    <w:name w:val="FollowedHyperlink"/>
    <w:rsid w:val="00885956"/>
    <w:rPr>
      <w:color w:val="800080"/>
      <w:u w:val="single"/>
    </w:rPr>
  </w:style>
  <w:style w:type="paragraph" w:styleId="Header">
    <w:name w:val="header"/>
    <w:basedOn w:val="Normal"/>
    <w:link w:val="HeaderChar"/>
    <w:uiPriority w:val="99"/>
    <w:rsid w:val="00B00BCD"/>
    <w:pPr>
      <w:tabs>
        <w:tab w:val="center" w:pos="4680"/>
        <w:tab w:val="right" w:pos="9360"/>
      </w:tabs>
    </w:pPr>
  </w:style>
  <w:style w:type="character" w:customStyle="1" w:styleId="HeaderChar">
    <w:name w:val="Header Char"/>
    <w:link w:val="Header"/>
    <w:uiPriority w:val="99"/>
    <w:rsid w:val="00B00BCD"/>
    <w:rPr>
      <w:sz w:val="24"/>
      <w:szCs w:val="24"/>
    </w:rPr>
  </w:style>
  <w:style w:type="paragraph" w:styleId="Footer">
    <w:name w:val="footer"/>
    <w:basedOn w:val="Normal"/>
    <w:link w:val="FooterChar"/>
    <w:uiPriority w:val="99"/>
    <w:rsid w:val="00B00BCD"/>
    <w:pPr>
      <w:tabs>
        <w:tab w:val="center" w:pos="4680"/>
        <w:tab w:val="right" w:pos="9360"/>
      </w:tabs>
    </w:pPr>
  </w:style>
  <w:style w:type="character" w:customStyle="1" w:styleId="FooterChar">
    <w:name w:val="Footer Char"/>
    <w:link w:val="Footer"/>
    <w:uiPriority w:val="99"/>
    <w:rsid w:val="00B00BCD"/>
    <w:rPr>
      <w:sz w:val="24"/>
      <w:szCs w:val="24"/>
    </w:rPr>
  </w:style>
  <w:style w:type="paragraph" w:styleId="BalloonText">
    <w:name w:val="Balloon Text"/>
    <w:basedOn w:val="Normal"/>
    <w:link w:val="BalloonTextChar"/>
    <w:rsid w:val="00B00BCD"/>
    <w:rPr>
      <w:rFonts w:ascii="Tahoma" w:hAnsi="Tahoma" w:cs="Tahoma"/>
      <w:sz w:val="16"/>
      <w:szCs w:val="16"/>
    </w:rPr>
  </w:style>
  <w:style w:type="character" w:customStyle="1" w:styleId="BalloonTextChar">
    <w:name w:val="Balloon Text Char"/>
    <w:link w:val="BalloonText"/>
    <w:rsid w:val="00B00BCD"/>
    <w:rPr>
      <w:rFonts w:ascii="Tahoma" w:hAnsi="Tahoma" w:cs="Tahoma"/>
      <w:sz w:val="16"/>
      <w:szCs w:val="16"/>
    </w:rPr>
  </w:style>
  <w:style w:type="paragraph" w:styleId="Revision">
    <w:name w:val="Revision"/>
    <w:hidden/>
    <w:uiPriority w:val="99"/>
    <w:semiHidden/>
    <w:rsid w:val="00B55CCD"/>
    <w:rPr>
      <w:sz w:val="24"/>
      <w:szCs w:val="24"/>
    </w:rPr>
  </w:style>
  <w:style w:type="character" w:styleId="CommentReference">
    <w:name w:val="annotation reference"/>
    <w:rsid w:val="00963EEF"/>
    <w:rPr>
      <w:sz w:val="16"/>
      <w:szCs w:val="16"/>
    </w:rPr>
  </w:style>
  <w:style w:type="paragraph" w:styleId="CommentText">
    <w:name w:val="annotation text"/>
    <w:basedOn w:val="Normal"/>
    <w:link w:val="CommentTextChar"/>
    <w:rsid w:val="00963EEF"/>
    <w:rPr>
      <w:sz w:val="20"/>
      <w:szCs w:val="20"/>
    </w:rPr>
  </w:style>
  <w:style w:type="character" w:customStyle="1" w:styleId="CommentTextChar">
    <w:name w:val="Comment Text Char"/>
    <w:basedOn w:val="DefaultParagraphFont"/>
    <w:link w:val="CommentText"/>
    <w:rsid w:val="00963EEF"/>
  </w:style>
  <w:style w:type="paragraph" w:styleId="CommentSubject">
    <w:name w:val="annotation subject"/>
    <w:basedOn w:val="CommentText"/>
    <w:next w:val="CommentText"/>
    <w:link w:val="CommentSubjectChar"/>
    <w:rsid w:val="00963EEF"/>
    <w:rPr>
      <w:b/>
      <w:bCs/>
    </w:rPr>
  </w:style>
  <w:style w:type="character" w:customStyle="1" w:styleId="CommentSubjectChar">
    <w:name w:val="Comment Subject Char"/>
    <w:link w:val="CommentSubject"/>
    <w:rsid w:val="00963EEF"/>
    <w:rPr>
      <w:b/>
      <w:bCs/>
    </w:rPr>
  </w:style>
  <w:style w:type="character" w:styleId="PlaceholderText">
    <w:name w:val="Placeholder Text"/>
    <w:uiPriority w:val="99"/>
    <w:semiHidden/>
    <w:rsid w:val="00BE45D0"/>
    <w:rPr>
      <w:color w:val="808080"/>
    </w:rPr>
  </w:style>
  <w:style w:type="character" w:customStyle="1" w:styleId="standardChar">
    <w:name w:val="standard Char"/>
    <w:link w:val="standard"/>
    <w:locked/>
    <w:rsid w:val="00FE3BAE"/>
    <w:rPr>
      <w:rFonts w:ascii="Palatino" w:hAnsi="Palatino"/>
      <w:sz w:val="26"/>
    </w:rPr>
  </w:style>
  <w:style w:type="paragraph" w:customStyle="1" w:styleId="standard">
    <w:name w:val="standard"/>
    <w:basedOn w:val="Normal"/>
    <w:link w:val="standardChar"/>
    <w:rsid w:val="00FE3BAE"/>
    <w:pPr>
      <w:spacing w:line="360" w:lineRule="auto"/>
      <w:ind w:firstLine="720"/>
    </w:pPr>
    <w:rPr>
      <w:rFonts w:ascii="Palatino" w:hAnsi="Palatino"/>
      <w:sz w:val="26"/>
      <w:szCs w:val="20"/>
    </w:rPr>
  </w:style>
  <w:style w:type="paragraph" w:styleId="NormalWeb">
    <w:name w:val="Normal (Web)"/>
    <w:basedOn w:val="Normal"/>
    <w:uiPriority w:val="99"/>
    <w:unhideWhenUsed/>
    <w:rsid w:val="009E48E4"/>
    <w:rPr>
      <w:rFonts w:eastAsiaTheme="minorHAnsi"/>
    </w:rPr>
  </w:style>
  <w:style w:type="paragraph" w:customStyle="1" w:styleId="Default">
    <w:name w:val="Default"/>
    <w:rsid w:val="00471F44"/>
    <w:pPr>
      <w:autoSpaceDE w:val="0"/>
      <w:autoSpaceDN w:val="0"/>
      <w:adjustRightInd w:val="0"/>
    </w:pPr>
    <w:rPr>
      <w:color w:val="000000"/>
      <w:sz w:val="24"/>
      <w:szCs w:val="24"/>
    </w:rPr>
  </w:style>
  <w:style w:type="table" w:styleId="MediumShading1-Accent5">
    <w:name w:val="Medium Shading 1 Accent 5"/>
    <w:basedOn w:val="TableNormal"/>
    <w:uiPriority w:val="63"/>
    <w:rsid w:val="00744FB8"/>
    <w:rPr>
      <w:rFonts w:asciiTheme="minorHAnsi" w:eastAsiaTheme="minorHAnsi" w:hAnsiTheme="minorHAnsi" w:cstheme="minorBidi"/>
      <w:sz w:val="22"/>
      <w:szCs w:val="22"/>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character" w:styleId="UnresolvedMention">
    <w:name w:val="Unresolved Mention"/>
    <w:basedOn w:val="DefaultParagraphFont"/>
    <w:uiPriority w:val="99"/>
    <w:semiHidden/>
    <w:unhideWhenUsed/>
    <w:rsid w:val="009D142A"/>
    <w:rPr>
      <w:color w:val="605E5C"/>
      <w:shd w:val="clear" w:color="auto" w:fill="E1DFDD"/>
    </w:rPr>
  </w:style>
  <w:style w:type="paragraph" w:customStyle="1" w:styleId="Dummy">
    <w:name w:val="Dummy"/>
    <w:next w:val="Normal"/>
    <w:uiPriority w:val="19"/>
    <w:rsid w:val="00F0294C"/>
    <w:pPr>
      <w:keepNext/>
      <w:keepLines/>
      <w:spacing w:after="120"/>
      <w:outlineLvl w:val="0"/>
    </w:pPr>
    <w:rPr>
      <w:rFonts w:ascii="Arial" w:eastAsiaTheme="minorHAnsi" w:hAnsi="Arial" w:cs="Arial"/>
      <w:b/>
      <w:sz w:val="26"/>
      <w:szCs w:val="26"/>
    </w:rPr>
  </w:style>
  <w:style w:type="paragraph" w:customStyle="1" w:styleId="SigBlockBA-Cmr">
    <w:name w:val="SigBlockBA-Cmr"/>
    <w:basedOn w:val="Normal"/>
    <w:qFormat/>
    <w:rsid w:val="006E508A"/>
    <w:pPr>
      <w:keepNext/>
      <w:autoSpaceDE w:val="0"/>
      <w:autoSpaceDN w:val="0"/>
      <w:adjustRightInd w:val="0"/>
      <w:ind w:left="4320"/>
    </w:pPr>
    <w:rPr>
      <w:rFonts w:ascii="Book Antiqua" w:hAnsi="Book Antiqua"/>
      <w:sz w:val="26"/>
      <w:szCs w:val="20"/>
    </w:rPr>
  </w:style>
  <w:style w:type="paragraph" w:customStyle="1" w:styleId="SigBlockBA-Title">
    <w:name w:val="SigBlockBA-Title"/>
    <w:basedOn w:val="Normal"/>
    <w:qFormat/>
    <w:rsid w:val="006E508A"/>
    <w:pPr>
      <w:keepNext/>
      <w:autoSpaceDE w:val="0"/>
      <w:autoSpaceDN w:val="0"/>
      <w:adjustRightInd w:val="0"/>
      <w:ind w:left="5400"/>
    </w:pPr>
    <w:rPr>
      <w:rFonts w:ascii="Book Antiqua" w:hAnsi="Book Antiqua"/>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884399">
      <w:bodyDiv w:val="1"/>
      <w:marLeft w:val="0"/>
      <w:marRight w:val="0"/>
      <w:marTop w:val="0"/>
      <w:marBottom w:val="0"/>
      <w:divBdr>
        <w:top w:val="none" w:sz="0" w:space="0" w:color="auto"/>
        <w:left w:val="none" w:sz="0" w:space="0" w:color="auto"/>
        <w:bottom w:val="none" w:sz="0" w:space="0" w:color="auto"/>
        <w:right w:val="none" w:sz="0" w:space="0" w:color="auto"/>
      </w:divBdr>
      <w:divsChild>
        <w:div w:id="963267730">
          <w:marLeft w:val="0"/>
          <w:marRight w:val="0"/>
          <w:marTop w:val="0"/>
          <w:marBottom w:val="0"/>
          <w:divBdr>
            <w:top w:val="none" w:sz="0" w:space="0" w:color="auto"/>
            <w:left w:val="none" w:sz="0" w:space="0" w:color="auto"/>
            <w:bottom w:val="none" w:sz="0" w:space="0" w:color="auto"/>
            <w:right w:val="none" w:sz="0" w:space="0" w:color="auto"/>
          </w:divBdr>
          <w:divsChild>
            <w:div w:id="1528642676">
              <w:marLeft w:val="0"/>
              <w:marRight w:val="0"/>
              <w:marTop w:val="0"/>
              <w:marBottom w:val="0"/>
              <w:divBdr>
                <w:top w:val="none" w:sz="0" w:space="0" w:color="auto"/>
                <w:left w:val="none" w:sz="0" w:space="0" w:color="auto"/>
                <w:bottom w:val="none" w:sz="0" w:space="0" w:color="auto"/>
                <w:right w:val="none" w:sz="0" w:space="0" w:color="auto"/>
              </w:divBdr>
              <w:divsChild>
                <w:div w:id="5706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4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members.calbar.ca.gov/fal/MemberSearch/Quick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46AF57-A618-47D2-81A6-4DCC377A891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0</ap:TotalTime>
  <ap:Pages>23</ap:Pages>
  <ap:Words>5996</ap:Words>
  <ap:Characters>34180</ap:Characters>
  <ap:Application>Microsoft Office Word</ap:Application>
  <ap:DocSecurity>0</ap:DocSecurity>
  <ap:Lines>284</ap:Lines>
  <ap:Paragraphs>80</ap:Paragraphs>
  <ap:ScaleCrop>false</ap:ScaleCrop>
  <ap:HeadingPairs>
    <vt:vector baseType="variant" size="2">
      <vt:variant>
        <vt:lpstr>Title</vt:lpstr>
      </vt:variant>
      <vt:variant>
        <vt:i4>1</vt:i4>
      </vt:variant>
    </vt:vector>
  </ap:HeadingPairs>
  <ap:TitlesOfParts>
    <vt:vector baseType="lpstr" size="1">
      <vt:lpstr>Icomp Claim Form</vt:lpstr>
    </vt:vector>
  </ap:TitlesOfParts>
  <ap:Company/>
  <ap:LinksUpToDate>false</ap:LinksUpToDate>
  <ap:CharactersWithSpaces>40096</ap:CharactersWithSpaces>
  <ap:SharedDoc>false</ap:SharedDoc>
  <ap:HyperlinkBase/>
  <ap:HLinks>
    <vt:vector baseType="variant" size="12">
      <vt:variant>
        <vt:i4>2031738</vt:i4>
      </vt:variant>
      <vt:variant>
        <vt:i4>0</vt:i4>
      </vt:variant>
      <vt:variant>
        <vt:i4>0</vt:i4>
      </vt:variant>
      <vt:variant>
        <vt:i4>5</vt:i4>
      </vt:variant>
      <vt:variant>
        <vt:lpwstr>mailto:Icompcoordinator@cpuc.ca.gov</vt:lpwstr>
      </vt:variant>
      <vt:variant>
        <vt:lpwstr/>
      </vt:variant>
      <vt:variant>
        <vt:i4>5963790</vt:i4>
      </vt:variant>
      <vt:variant>
        <vt:i4>0</vt:i4>
      </vt:variant>
      <vt:variant>
        <vt:i4>0</vt:i4>
      </vt:variant>
      <vt:variant>
        <vt:i4>5</vt:i4>
      </vt:variant>
      <vt:variant>
        <vt:lpwstr>http://members.calbar.ca.gov/fal/MemberSearch/QuickSearch</vt:lpwstr>
      </vt:variant>
      <vt:variant>
        <vt:lpwstr/>
      </vt:variant>
    </vt:vector>
  </ap:HLinks>
  <ap:HyperlinksChanged>false</ap:HyperlinksChanged>
  <ap:AppVersion>12.0000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lastPrinted>2023-12-18T23:04:00Z</cp:lastPrinted>
  <dcterms:created xsi:type="dcterms:W3CDTF">2024-04-23T15:42:48Z</dcterms:created>
  <dcterms:modified xsi:type="dcterms:W3CDTF">2024-04-23T15:42:48Z</dcterms:modified>
</cp:coreProperties>
</file>