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F08" w:rsidP="002214BB" w:rsidRDefault="003F5F08" w14:paraId="57E931CC" w14:textId="77777777">
      <w:pPr>
        <w:spacing w:after="0" w:line="240" w:lineRule="auto"/>
        <w:jc w:val="center"/>
        <w:rPr>
          <w:rFonts w:ascii="Book Antiqua" w:hAnsi="Book Antiqua" w:eastAsia="Calibri" w:cs="Times New Roman"/>
          <w:sz w:val="48"/>
          <w:szCs w:val="48"/>
        </w:rPr>
      </w:pPr>
    </w:p>
    <w:p w:rsidR="003F5F08" w:rsidP="002214BB" w:rsidRDefault="003F5F08" w14:paraId="282854D3" w14:textId="77777777">
      <w:pPr>
        <w:spacing w:after="0" w:line="240" w:lineRule="auto"/>
        <w:jc w:val="center"/>
        <w:rPr>
          <w:rFonts w:ascii="Book Antiqua" w:hAnsi="Book Antiqua" w:eastAsia="Calibri" w:cs="Times New Roman"/>
          <w:sz w:val="48"/>
          <w:szCs w:val="48"/>
        </w:rPr>
      </w:pPr>
    </w:p>
    <w:p w:rsidR="003F5F08" w:rsidP="002214BB" w:rsidRDefault="003F5F08" w14:paraId="0A1389FF" w14:textId="77777777">
      <w:pPr>
        <w:spacing w:after="0" w:line="240" w:lineRule="auto"/>
        <w:jc w:val="center"/>
        <w:rPr>
          <w:rFonts w:ascii="Book Antiqua" w:hAnsi="Book Antiqua" w:eastAsia="Calibri" w:cs="Times New Roman"/>
          <w:sz w:val="48"/>
          <w:szCs w:val="48"/>
        </w:rPr>
      </w:pPr>
    </w:p>
    <w:p w:rsidR="002214BB" w:rsidP="002214BB" w:rsidRDefault="002214BB" w14:paraId="4C1A8527" w14:textId="77777777">
      <w:pPr>
        <w:spacing w:after="0" w:line="240" w:lineRule="auto"/>
        <w:jc w:val="center"/>
        <w:rPr>
          <w:rFonts w:ascii="Book Antiqua" w:hAnsi="Book Antiqua" w:eastAsia="Calibri" w:cs="Times New Roman"/>
          <w:sz w:val="48"/>
          <w:szCs w:val="48"/>
        </w:rPr>
      </w:pPr>
    </w:p>
    <w:p w:rsidR="002214BB" w:rsidP="002214BB" w:rsidRDefault="002214BB" w14:paraId="483B8A68" w14:textId="77777777">
      <w:pPr>
        <w:spacing w:after="0" w:line="240" w:lineRule="auto"/>
        <w:jc w:val="center"/>
        <w:rPr>
          <w:rFonts w:ascii="Book Antiqua" w:hAnsi="Book Antiqua" w:eastAsia="Calibri" w:cs="Times New Roman"/>
          <w:sz w:val="48"/>
          <w:szCs w:val="48"/>
        </w:rPr>
      </w:pPr>
    </w:p>
    <w:p w:rsidRPr="00CB2156" w:rsidR="002214BB" w:rsidP="002214BB" w:rsidRDefault="002214BB" w14:paraId="4DC27BE0" w14:textId="77777777">
      <w:pPr>
        <w:spacing w:after="0" w:line="240" w:lineRule="auto"/>
        <w:jc w:val="center"/>
        <w:rPr>
          <w:rFonts w:ascii="Book Antiqua" w:hAnsi="Book Antiqua" w:eastAsia="Calibri" w:cs="Times New Roman"/>
          <w:sz w:val="48"/>
          <w:szCs w:val="48"/>
        </w:rPr>
      </w:pPr>
    </w:p>
    <w:p w:rsidR="003F5F08" w:rsidP="002214BB" w:rsidRDefault="003F5F08" w14:paraId="2AA1BBC7" w14:textId="77777777">
      <w:pPr>
        <w:spacing w:after="0" w:line="240" w:lineRule="auto"/>
        <w:jc w:val="center"/>
        <w:rPr>
          <w:rFonts w:ascii="Book Antiqua" w:hAnsi="Book Antiqua" w:eastAsia="Calibri" w:cs="Times New Roman"/>
          <w:sz w:val="48"/>
          <w:szCs w:val="48"/>
        </w:rPr>
      </w:pPr>
    </w:p>
    <w:p w:rsidRPr="00CB2156" w:rsidR="00321DB8" w:rsidP="002214BB" w:rsidRDefault="00321DB8" w14:paraId="0B810815" w14:textId="77777777">
      <w:pPr>
        <w:spacing w:after="0" w:line="240" w:lineRule="auto"/>
        <w:jc w:val="center"/>
        <w:rPr>
          <w:rFonts w:ascii="Book Antiqua" w:hAnsi="Book Antiqua" w:eastAsia="Calibri" w:cs="Times New Roman"/>
          <w:sz w:val="48"/>
          <w:szCs w:val="48"/>
        </w:rPr>
      </w:pPr>
    </w:p>
    <w:p w:rsidRPr="00CB2156" w:rsidR="003F5F08" w:rsidP="002214BB" w:rsidRDefault="003F5F08" w14:paraId="19AD875B" w14:textId="1FC2F213">
      <w:pPr>
        <w:spacing w:after="0" w:line="240" w:lineRule="auto"/>
        <w:jc w:val="center"/>
        <w:rPr>
          <w:rFonts w:ascii="Book Antiqua" w:hAnsi="Book Antiqua" w:eastAsia="Calibri" w:cs="Times New Roman"/>
          <w:sz w:val="48"/>
          <w:szCs w:val="48"/>
        </w:rPr>
      </w:pPr>
      <w:r w:rsidRPr="00CB2156">
        <w:rPr>
          <w:rFonts w:ascii="Book Antiqua" w:hAnsi="Book Antiqua" w:eastAsia="Calibri" w:cs="Times New Roman"/>
          <w:sz w:val="48"/>
          <w:szCs w:val="48"/>
        </w:rPr>
        <w:t>ATTACHMENT A</w:t>
      </w:r>
    </w:p>
    <w:p w:rsidRPr="00CB2156" w:rsidR="003F5F08" w:rsidP="002214BB" w:rsidRDefault="003F5F08" w14:paraId="312E5B2B" w14:textId="77777777">
      <w:pPr>
        <w:spacing w:after="0" w:line="240" w:lineRule="auto"/>
        <w:jc w:val="center"/>
        <w:rPr>
          <w:rFonts w:ascii="Book Antiqua" w:hAnsi="Book Antiqua" w:eastAsia="Calibri" w:cs="Times New Roman"/>
          <w:sz w:val="48"/>
          <w:szCs w:val="48"/>
        </w:rPr>
      </w:pPr>
      <w:r w:rsidRPr="00CB2156">
        <w:rPr>
          <w:rFonts w:ascii="Book Antiqua" w:hAnsi="Book Antiqua" w:eastAsia="Calibri" w:cs="Times New Roman"/>
          <w:sz w:val="48"/>
          <w:szCs w:val="48"/>
        </w:rPr>
        <w:t>Deregistration Process</w:t>
      </w:r>
    </w:p>
    <w:p w:rsidR="003F5F08" w:rsidP="006225AF" w:rsidRDefault="003F5F08" w14:paraId="4D4196C4" w14:textId="77777777">
      <w:pPr>
        <w:spacing w:after="0" w:line="240" w:lineRule="auto"/>
        <w:jc w:val="center"/>
        <w:rPr>
          <w:rFonts w:ascii="Arial" w:hAnsi="Arial" w:cs="Arial"/>
          <w:b/>
          <w:bCs/>
          <w:sz w:val="36"/>
          <w:szCs w:val="36"/>
        </w:rPr>
        <w:sectPr w:rsidR="003F5F08" w:rsidSect="00AB02E1">
          <w:headerReference w:type="default" r:id="rId11"/>
          <w:footerReference w:type="default" r:id="rId12"/>
          <w:pgSz w:w="12240" w:h="15840"/>
          <w:pgMar w:top="1728" w:right="1440" w:bottom="1440" w:left="1440" w:header="720" w:footer="720" w:gutter="0"/>
          <w:pgNumType w:start="1"/>
          <w:cols w:space="720"/>
          <w:docGrid w:linePitch="360"/>
        </w:sectPr>
      </w:pPr>
    </w:p>
    <w:p w:rsidRPr="00641596" w:rsidR="00C1241E" w:rsidP="006225AF" w:rsidRDefault="00C1241E" w14:paraId="6EEC548A" w14:textId="1B2208E5">
      <w:pPr>
        <w:spacing w:after="0" w:line="240" w:lineRule="auto"/>
        <w:jc w:val="center"/>
        <w:rPr>
          <w:rFonts w:ascii="Arial" w:hAnsi="Arial" w:cs="Arial"/>
          <w:b/>
          <w:bCs/>
          <w:sz w:val="36"/>
          <w:szCs w:val="36"/>
        </w:rPr>
      </w:pPr>
      <w:r w:rsidRPr="00641596">
        <w:rPr>
          <w:rFonts w:ascii="Arial" w:hAnsi="Arial" w:cs="Arial"/>
          <w:b/>
          <w:bCs/>
          <w:sz w:val="36"/>
          <w:szCs w:val="36"/>
        </w:rPr>
        <w:lastRenderedPageBreak/>
        <w:t xml:space="preserve">Deregistration </w:t>
      </w:r>
      <w:r w:rsidRPr="00641596" w:rsidR="00051850">
        <w:rPr>
          <w:rFonts w:ascii="Arial" w:hAnsi="Arial" w:cs="Arial"/>
          <w:b/>
          <w:bCs/>
          <w:sz w:val="36"/>
          <w:szCs w:val="36"/>
        </w:rPr>
        <w:t>Process</w:t>
      </w:r>
    </w:p>
    <w:p w:rsidR="00F64DD2" w:rsidP="006225AF" w:rsidRDefault="00F64DD2" w14:paraId="0C4751D8" w14:textId="77777777">
      <w:pPr>
        <w:spacing w:after="0" w:line="240" w:lineRule="auto"/>
        <w:jc w:val="left"/>
        <w:rPr>
          <w:rFonts w:ascii="Book Antiqua" w:hAnsi="Book Antiqua" w:cstheme="minorHAnsi"/>
          <w:sz w:val="24"/>
          <w:szCs w:val="24"/>
        </w:rPr>
      </w:pPr>
    </w:p>
    <w:p w:rsidRPr="00400112" w:rsidR="00C1241E" w:rsidP="006225AF" w:rsidRDefault="00C1241E" w14:paraId="7B74266B" w14:textId="7426B6FF">
      <w:pPr>
        <w:spacing w:after="0" w:line="240" w:lineRule="auto"/>
        <w:jc w:val="left"/>
        <w:rPr>
          <w:rFonts w:ascii="Book Antiqua" w:hAnsi="Book Antiqua" w:cstheme="minorHAnsi"/>
          <w:sz w:val="26"/>
          <w:szCs w:val="26"/>
        </w:rPr>
      </w:pPr>
      <w:r w:rsidRPr="00400112">
        <w:rPr>
          <w:rFonts w:ascii="Book Antiqua" w:hAnsi="Book Antiqua" w:cstheme="minorHAnsi"/>
          <w:sz w:val="26"/>
          <w:szCs w:val="26"/>
        </w:rPr>
        <w:t>This document serves as a procedural checklist for Load Serving Entities (LSEs</w:t>
      </w:r>
      <w:r w:rsidRPr="00400112" w:rsidR="00260885">
        <w:rPr>
          <w:rFonts w:ascii="Book Antiqua" w:hAnsi="Book Antiqua" w:cstheme="minorHAnsi"/>
          <w:sz w:val="26"/>
          <w:szCs w:val="26"/>
        </w:rPr>
        <w:t>)</w:t>
      </w:r>
      <w:r w:rsidRPr="00400112">
        <w:rPr>
          <w:rFonts w:ascii="Book Antiqua" w:hAnsi="Book Antiqua" w:cstheme="minorHAnsi"/>
          <w:sz w:val="26"/>
          <w:szCs w:val="26"/>
        </w:rPr>
        <w:t xml:space="preserve"> operating in California to outline the steps they need to take to safely deregister and return customers to the Provider of Last Resort (POLR) while maintaining compliance with all CPUC programs. </w:t>
      </w:r>
    </w:p>
    <w:p w:rsidRPr="00400112" w:rsidR="006225AF" w:rsidP="006225AF" w:rsidRDefault="006225AF" w14:paraId="49CA8DFF" w14:textId="77777777">
      <w:pPr>
        <w:spacing w:after="0" w:line="240" w:lineRule="auto"/>
        <w:jc w:val="left"/>
        <w:rPr>
          <w:rFonts w:ascii="Book Antiqua" w:hAnsi="Book Antiqua" w:cstheme="minorHAnsi"/>
          <w:sz w:val="26"/>
          <w:szCs w:val="26"/>
        </w:rPr>
      </w:pPr>
    </w:p>
    <w:p w:rsidRPr="00400112" w:rsidR="00C1241E" w:rsidP="006225AF" w:rsidRDefault="67A21513" w14:paraId="31F2D37A" w14:textId="023CC0AC">
      <w:pPr>
        <w:spacing w:after="0" w:line="240" w:lineRule="auto"/>
        <w:jc w:val="left"/>
        <w:rPr>
          <w:rFonts w:ascii="Book Antiqua" w:hAnsi="Book Antiqua"/>
          <w:sz w:val="26"/>
          <w:szCs w:val="26"/>
        </w:rPr>
      </w:pPr>
      <w:r w:rsidRPr="00400112">
        <w:rPr>
          <w:rFonts w:ascii="Book Antiqua" w:hAnsi="Book Antiqua"/>
          <w:sz w:val="26"/>
          <w:szCs w:val="26"/>
        </w:rPr>
        <w:t>All steps in the process will apply to both Community Choice Aggregators (CCA) and Electric Service Providers (ESP) if they initiate a</w:t>
      </w:r>
      <w:r w:rsidRPr="00400112" w:rsidR="00C30163">
        <w:rPr>
          <w:rFonts w:ascii="Book Antiqua" w:hAnsi="Book Antiqua"/>
          <w:sz w:val="26"/>
          <w:szCs w:val="26"/>
        </w:rPr>
        <w:t>n</w:t>
      </w:r>
      <w:r w:rsidRPr="00400112" w:rsidR="00935510">
        <w:rPr>
          <w:rFonts w:ascii="Book Antiqua" w:hAnsi="Book Antiqua"/>
          <w:sz w:val="26"/>
          <w:szCs w:val="26"/>
        </w:rPr>
        <w:t xml:space="preserve"> </w:t>
      </w:r>
      <w:r w:rsidR="00BB15F8">
        <w:rPr>
          <w:rFonts w:ascii="Book Antiqua" w:hAnsi="Book Antiqua"/>
          <w:sz w:val="26"/>
          <w:szCs w:val="26"/>
        </w:rPr>
        <w:t>U</w:t>
      </w:r>
      <w:r w:rsidRPr="00400112" w:rsidR="00BB15F8">
        <w:rPr>
          <w:rFonts w:ascii="Book Antiqua" w:hAnsi="Book Antiqua"/>
          <w:sz w:val="26"/>
          <w:szCs w:val="26"/>
        </w:rPr>
        <w:t xml:space="preserve">nplanned </w:t>
      </w:r>
      <w:r w:rsidR="00BB15F8">
        <w:rPr>
          <w:rFonts w:ascii="Book Antiqua" w:hAnsi="Book Antiqua"/>
          <w:sz w:val="26"/>
          <w:szCs w:val="26"/>
        </w:rPr>
        <w:t xml:space="preserve">Deregistration </w:t>
      </w:r>
      <w:r w:rsidR="0028416B">
        <w:rPr>
          <w:rFonts w:ascii="Book Antiqua" w:hAnsi="Book Antiqua"/>
          <w:sz w:val="26"/>
          <w:szCs w:val="26"/>
        </w:rPr>
        <w:t xml:space="preserve">or involuntary return </w:t>
      </w:r>
      <w:r w:rsidRPr="00400112">
        <w:rPr>
          <w:rFonts w:ascii="Book Antiqua" w:hAnsi="Book Antiqua"/>
          <w:sz w:val="26"/>
          <w:szCs w:val="26"/>
        </w:rPr>
        <w:t xml:space="preserve">of customers to the POLR. If an ESP deregisters but their customers all transfer to other non-POLR LSEs, the ESP is only required to implement the steps as indicated below. </w:t>
      </w:r>
      <w:r w:rsidRPr="00400112" w:rsidR="65CBBB3D">
        <w:rPr>
          <w:rFonts w:ascii="Book Antiqua" w:hAnsi="Book Antiqua"/>
          <w:sz w:val="26"/>
          <w:szCs w:val="26"/>
        </w:rPr>
        <w:t>A</w:t>
      </w:r>
      <w:r w:rsidRPr="00400112" w:rsidR="79E4AC8E">
        <w:rPr>
          <w:rFonts w:ascii="Book Antiqua" w:hAnsi="Book Antiqua"/>
          <w:sz w:val="26"/>
          <w:szCs w:val="26"/>
        </w:rPr>
        <w:t xml:space="preserve"> list of defined</w:t>
      </w:r>
      <w:r w:rsidRPr="00400112">
        <w:rPr>
          <w:rFonts w:ascii="Book Antiqua" w:hAnsi="Book Antiqua"/>
          <w:sz w:val="26"/>
          <w:szCs w:val="26"/>
        </w:rPr>
        <w:t xml:space="preserve"> terms used in this checklist</w:t>
      </w:r>
      <w:r w:rsidRPr="00400112" w:rsidR="65CBBB3D">
        <w:rPr>
          <w:rFonts w:ascii="Book Antiqua" w:hAnsi="Book Antiqua"/>
          <w:sz w:val="26"/>
          <w:szCs w:val="26"/>
        </w:rPr>
        <w:t xml:space="preserve"> is provided at the end of Attachment A.</w:t>
      </w:r>
    </w:p>
    <w:p w:rsidRPr="00400112" w:rsidR="00C1241E" w:rsidP="006225AF" w:rsidRDefault="00C1241E" w14:paraId="7F4476E8" w14:textId="77777777">
      <w:pPr>
        <w:spacing w:after="0" w:line="240" w:lineRule="auto"/>
        <w:rPr>
          <w:rFonts w:ascii="Book Antiqua" w:hAnsi="Book Antiqua" w:cstheme="minorHAnsi"/>
          <w:sz w:val="26"/>
          <w:szCs w:val="26"/>
        </w:rPr>
      </w:pPr>
    </w:p>
    <w:p w:rsidRPr="00641596" w:rsidR="00C1241E" w:rsidP="002F46B5" w:rsidRDefault="00C1241E" w14:paraId="0092A722" w14:textId="77777777">
      <w:pPr>
        <w:pStyle w:val="ListParagraph"/>
        <w:numPr>
          <w:ilvl w:val="0"/>
          <w:numId w:val="6"/>
        </w:numPr>
        <w:spacing w:after="120" w:line="240" w:lineRule="auto"/>
        <w:jc w:val="left"/>
        <w:rPr>
          <w:rStyle w:val="Hyperlink"/>
          <w:rFonts w:ascii="Arial" w:hAnsi="Arial" w:cs="Arial"/>
          <w:b/>
          <w:bCs/>
          <w:color w:val="000000" w:themeColor="text1"/>
          <w:sz w:val="26"/>
          <w:szCs w:val="26"/>
        </w:rPr>
      </w:pPr>
      <w:r w:rsidRPr="00641596">
        <w:rPr>
          <w:rStyle w:val="Hyperlink"/>
          <w:rFonts w:ascii="Arial" w:hAnsi="Arial" w:cs="Arial"/>
          <w:b/>
          <w:bCs/>
          <w:color w:val="000000" w:themeColor="text1"/>
          <w:sz w:val="26"/>
          <w:szCs w:val="26"/>
        </w:rPr>
        <w:t>Initial Consultation with Energy Division</w:t>
      </w:r>
    </w:p>
    <w:p w:rsidRPr="00400112" w:rsidR="00C1241E" w:rsidP="006225AF" w:rsidRDefault="67A21513" w14:paraId="152278C7" w14:textId="19DF998B">
      <w:p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 xml:space="preserve">The CCA or ESP should informally notify Energy Division </w:t>
      </w:r>
      <w:r w:rsidRPr="00400112" w:rsidR="7A1AA449">
        <w:rPr>
          <w:rStyle w:val="Hyperlink"/>
          <w:rFonts w:ascii="Book Antiqua" w:hAnsi="Book Antiqua"/>
          <w:color w:val="000000" w:themeColor="text1"/>
          <w:sz w:val="26"/>
          <w:szCs w:val="26"/>
          <w:u w:val="none"/>
        </w:rPr>
        <w:t>S</w:t>
      </w:r>
      <w:r w:rsidRPr="00400112">
        <w:rPr>
          <w:rStyle w:val="Hyperlink"/>
          <w:rFonts w:ascii="Book Antiqua" w:hAnsi="Book Antiqua"/>
          <w:color w:val="000000" w:themeColor="text1"/>
          <w:sz w:val="26"/>
          <w:szCs w:val="26"/>
          <w:u w:val="none"/>
        </w:rPr>
        <w:t xml:space="preserve">taff as early as possible if the LSE is considering deregistration. </w:t>
      </w:r>
      <w:r w:rsidRPr="00400112" w:rsidR="2691806B">
        <w:rPr>
          <w:rStyle w:val="Hyperlink"/>
          <w:rFonts w:ascii="Book Antiqua" w:hAnsi="Book Antiqua"/>
          <w:color w:val="000000" w:themeColor="text1"/>
          <w:sz w:val="26"/>
          <w:szCs w:val="26"/>
          <w:u w:val="none"/>
        </w:rPr>
        <w:t>T</w:t>
      </w:r>
      <w:r w:rsidRPr="00400112" w:rsidR="4E3B4E41">
        <w:rPr>
          <w:rStyle w:val="Hyperlink"/>
          <w:rFonts w:ascii="Book Antiqua" w:hAnsi="Book Antiqua"/>
          <w:color w:val="000000" w:themeColor="text1"/>
          <w:sz w:val="26"/>
          <w:szCs w:val="26"/>
          <w:u w:val="none"/>
        </w:rPr>
        <w:t>he</w:t>
      </w:r>
      <w:r w:rsidRPr="00400112">
        <w:rPr>
          <w:rStyle w:val="Hyperlink"/>
          <w:rFonts w:ascii="Book Antiqua" w:hAnsi="Book Antiqua"/>
          <w:color w:val="000000" w:themeColor="text1"/>
          <w:sz w:val="26"/>
          <w:szCs w:val="26"/>
          <w:u w:val="none"/>
        </w:rPr>
        <w:t xml:space="preserve"> LSE </w:t>
      </w:r>
      <w:r w:rsidRPr="00400112" w:rsidR="030364E1">
        <w:rPr>
          <w:rStyle w:val="Hyperlink"/>
          <w:rFonts w:ascii="Book Antiqua" w:hAnsi="Book Antiqua"/>
          <w:color w:val="000000" w:themeColor="text1"/>
          <w:sz w:val="26"/>
          <w:szCs w:val="26"/>
          <w:u w:val="none"/>
        </w:rPr>
        <w:t>is required to provide</w:t>
      </w:r>
      <w:r w:rsidRPr="00400112">
        <w:rPr>
          <w:rStyle w:val="Hyperlink"/>
          <w:rFonts w:ascii="Book Antiqua" w:hAnsi="Book Antiqua"/>
          <w:color w:val="000000" w:themeColor="text1"/>
          <w:sz w:val="26"/>
          <w:szCs w:val="26"/>
          <w:u w:val="none"/>
        </w:rPr>
        <w:t xml:space="preserve"> at least </w:t>
      </w:r>
      <w:r w:rsidRPr="00400112" w:rsidR="26337B7F">
        <w:rPr>
          <w:rStyle w:val="Hyperlink"/>
          <w:rFonts w:ascii="Book Antiqua" w:hAnsi="Book Antiqua"/>
          <w:color w:val="000000" w:themeColor="text1"/>
          <w:sz w:val="26"/>
          <w:szCs w:val="26"/>
          <w:u w:val="none"/>
        </w:rPr>
        <w:t xml:space="preserve">six (6) </w:t>
      </w:r>
      <w:r w:rsidRPr="00400112">
        <w:rPr>
          <w:rStyle w:val="Hyperlink"/>
          <w:rFonts w:ascii="Book Antiqua" w:hAnsi="Book Antiqua"/>
          <w:color w:val="000000" w:themeColor="text1"/>
          <w:sz w:val="26"/>
          <w:szCs w:val="26"/>
          <w:u w:val="none"/>
        </w:rPr>
        <w:t xml:space="preserve">months’ Notice of Intent to Deregister for </w:t>
      </w:r>
      <w:r w:rsidRPr="00400112" w:rsidR="030364E1">
        <w:rPr>
          <w:rStyle w:val="Hyperlink"/>
          <w:rFonts w:ascii="Book Antiqua" w:hAnsi="Book Antiqua"/>
          <w:color w:val="000000" w:themeColor="text1"/>
          <w:sz w:val="26"/>
          <w:szCs w:val="26"/>
          <w:u w:val="none"/>
        </w:rPr>
        <w:t xml:space="preserve">a </w:t>
      </w:r>
      <w:r w:rsidRPr="00400112" w:rsidR="00732238">
        <w:rPr>
          <w:rStyle w:val="Hyperlink"/>
          <w:rFonts w:ascii="Book Antiqua" w:hAnsi="Book Antiqua"/>
          <w:color w:val="000000" w:themeColor="text1"/>
          <w:sz w:val="26"/>
          <w:szCs w:val="26"/>
          <w:u w:val="none"/>
        </w:rPr>
        <w:t xml:space="preserve">planned </w:t>
      </w:r>
      <w:r w:rsidRPr="00400112">
        <w:rPr>
          <w:rStyle w:val="Hyperlink"/>
          <w:rFonts w:ascii="Book Antiqua" w:hAnsi="Book Antiqua"/>
          <w:color w:val="000000" w:themeColor="text1"/>
          <w:sz w:val="26"/>
          <w:szCs w:val="26"/>
          <w:u w:val="none"/>
        </w:rPr>
        <w:t>transition</w:t>
      </w:r>
      <w:r w:rsidRPr="00400112" w:rsidR="0DD7C0CF">
        <w:rPr>
          <w:rStyle w:val="Hyperlink"/>
          <w:rFonts w:ascii="Book Antiqua" w:hAnsi="Book Antiqua"/>
          <w:color w:val="000000" w:themeColor="text1"/>
          <w:sz w:val="26"/>
          <w:szCs w:val="26"/>
          <w:u w:val="none"/>
        </w:rPr>
        <w:t xml:space="preserve"> and are encouraged to provide </w:t>
      </w:r>
      <w:r w:rsidRPr="00400112" w:rsidR="1C85D515">
        <w:rPr>
          <w:rStyle w:val="Hyperlink"/>
          <w:rFonts w:ascii="Book Antiqua" w:hAnsi="Book Antiqua"/>
          <w:color w:val="000000" w:themeColor="text1"/>
          <w:sz w:val="26"/>
          <w:szCs w:val="26"/>
          <w:u w:val="none"/>
        </w:rPr>
        <w:t xml:space="preserve">up to </w:t>
      </w:r>
      <w:r w:rsidRPr="00400112" w:rsidR="35F27D32">
        <w:rPr>
          <w:rStyle w:val="Hyperlink"/>
          <w:rFonts w:ascii="Book Antiqua" w:hAnsi="Book Antiqua"/>
          <w:color w:val="000000" w:themeColor="text1"/>
          <w:sz w:val="26"/>
          <w:szCs w:val="26"/>
          <w:u w:val="none"/>
        </w:rPr>
        <w:t>twelve</w:t>
      </w:r>
      <w:r w:rsidRPr="00400112" w:rsidR="1C85D515">
        <w:rPr>
          <w:rStyle w:val="Hyperlink"/>
          <w:rFonts w:ascii="Book Antiqua" w:hAnsi="Book Antiqua"/>
          <w:color w:val="000000" w:themeColor="text1"/>
          <w:sz w:val="26"/>
          <w:szCs w:val="26"/>
          <w:u w:val="none"/>
        </w:rPr>
        <w:t xml:space="preserve"> </w:t>
      </w:r>
      <w:r w:rsidRPr="00400112" w:rsidR="11DC97B8">
        <w:rPr>
          <w:rStyle w:val="Hyperlink"/>
          <w:rFonts w:ascii="Book Antiqua" w:hAnsi="Book Antiqua"/>
          <w:color w:val="000000" w:themeColor="text1"/>
          <w:sz w:val="26"/>
          <w:szCs w:val="26"/>
          <w:u w:val="none"/>
        </w:rPr>
        <w:t xml:space="preserve">(12) </w:t>
      </w:r>
      <w:r w:rsidRPr="00400112" w:rsidR="1C85D515">
        <w:rPr>
          <w:rStyle w:val="Hyperlink"/>
          <w:rFonts w:ascii="Book Antiqua" w:hAnsi="Book Antiqua"/>
          <w:color w:val="000000" w:themeColor="text1"/>
          <w:sz w:val="26"/>
          <w:szCs w:val="26"/>
          <w:u w:val="none"/>
        </w:rPr>
        <w:t>months’ notice.</w:t>
      </w:r>
    </w:p>
    <w:p w:rsidRPr="00400112" w:rsidR="00C1241E" w:rsidP="006225AF" w:rsidRDefault="00C1241E" w14:paraId="66803153" w14:textId="77777777">
      <w:pPr>
        <w:spacing w:after="0" w:line="240" w:lineRule="auto"/>
        <w:jc w:val="left"/>
        <w:rPr>
          <w:rStyle w:val="Hyperlink"/>
          <w:rFonts w:ascii="Book Antiqua" w:hAnsi="Book Antiqua" w:cstheme="minorHAnsi"/>
          <w:color w:val="000000" w:themeColor="text1"/>
          <w:sz w:val="26"/>
          <w:szCs w:val="26"/>
        </w:rPr>
      </w:pPr>
    </w:p>
    <w:p w:rsidRPr="00641596" w:rsidR="00C1241E" w:rsidP="002F46B5" w:rsidRDefault="00C1241E" w14:paraId="5EF129FC" w14:textId="77777777">
      <w:pPr>
        <w:pStyle w:val="ListParagraph"/>
        <w:numPr>
          <w:ilvl w:val="0"/>
          <w:numId w:val="6"/>
        </w:numPr>
        <w:spacing w:after="120" w:line="240" w:lineRule="auto"/>
        <w:jc w:val="left"/>
        <w:rPr>
          <w:rStyle w:val="Hyperlink"/>
          <w:rFonts w:ascii="Arial" w:hAnsi="Arial" w:cs="Arial"/>
          <w:b/>
          <w:bCs/>
          <w:color w:val="000000" w:themeColor="text1"/>
          <w:sz w:val="26"/>
          <w:szCs w:val="26"/>
        </w:rPr>
      </w:pPr>
      <w:r w:rsidRPr="00641596">
        <w:rPr>
          <w:rStyle w:val="Hyperlink"/>
          <w:rFonts w:ascii="Arial" w:hAnsi="Arial" w:cs="Arial"/>
          <w:b/>
          <w:bCs/>
          <w:color w:val="000000" w:themeColor="text1"/>
          <w:sz w:val="26"/>
          <w:szCs w:val="26"/>
        </w:rPr>
        <w:t>LSE and POLR Coordination</w:t>
      </w:r>
    </w:p>
    <w:p w:rsidRPr="00400112" w:rsidR="00C1241E" w:rsidP="006225AF" w:rsidRDefault="67A21513" w14:paraId="64E48F32" w14:textId="38898213">
      <w:pPr>
        <w:spacing w:after="0" w:line="240" w:lineRule="auto"/>
        <w:jc w:val="left"/>
        <w:rPr>
          <w:rStyle w:val="Hyperlink"/>
          <w:rFonts w:ascii="Book Antiqua" w:hAnsi="Book Antiqua"/>
          <w:b/>
          <w:bCs/>
          <w:color w:val="000000" w:themeColor="text1"/>
          <w:sz w:val="26"/>
          <w:szCs w:val="26"/>
          <w:u w:val="none"/>
        </w:rPr>
      </w:pPr>
      <w:r w:rsidRPr="00400112">
        <w:rPr>
          <w:rStyle w:val="Hyperlink"/>
          <w:rFonts w:ascii="Book Antiqua" w:hAnsi="Book Antiqua"/>
          <w:color w:val="000000" w:themeColor="text1"/>
          <w:sz w:val="26"/>
          <w:szCs w:val="26"/>
          <w:u w:val="none"/>
        </w:rPr>
        <w:t xml:space="preserve">The deregistering CCA or ESP shall coordinate with the POLR to determine </w:t>
      </w:r>
      <w:r w:rsidRPr="00400112" w:rsidR="541D5E19">
        <w:rPr>
          <w:rStyle w:val="Hyperlink"/>
          <w:rFonts w:ascii="Book Antiqua" w:hAnsi="Book Antiqua"/>
          <w:color w:val="000000" w:themeColor="text1"/>
          <w:sz w:val="26"/>
          <w:szCs w:val="26"/>
          <w:u w:val="none"/>
        </w:rPr>
        <w:t xml:space="preserve">the </w:t>
      </w:r>
      <w:r w:rsidRPr="00400112">
        <w:rPr>
          <w:rStyle w:val="Hyperlink"/>
          <w:rFonts w:ascii="Book Antiqua" w:hAnsi="Book Antiqua"/>
          <w:color w:val="000000" w:themeColor="text1"/>
          <w:sz w:val="26"/>
          <w:szCs w:val="26"/>
          <w:u w:val="none"/>
        </w:rPr>
        <w:t xml:space="preserve">most appropriate schedule for </w:t>
      </w:r>
      <w:r w:rsidRPr="00400112" w:rsidR="07F1A159">
        <w:rPr>
          <w:rStyle w:val="Hyperlink"/>
          <w:rFonts w:ascii="Book Antiqua" w:hAnsi="Book Antiqua"/>
          <w:color w:val="000000" w:themeColor="text1"/>
          <w:sz w:val="26"/>
          <w:szCs w:val="26"/>
          <w:u w:val="none"/>
        </w:rPr>
        <w:t xml:space="preserve">the </w:t>
      </w:r>
      <w:r w:rsidRPr="00400112">
        <w:rPr>
          <w:rStyle w:val="Hyperlink"/>
          <w:rFonts w:ascii="Book Antiqua" w:hAnsi="Book Antiqua"/>
          <w:color w:val="000000" w:themeColor="text1"/>
          <w:sz w:val="26"/>
          <w:szCs w:val="26"/>
          <w:u w:val="none"/>
        </w:rPr>
        <w:t>return of customers</w:t>
      </w:r>
      <w:r w:rsidRPr="00400112" w:rsidR="501A0F55">
        <w:rPr>
          <w:rStyle w:val="Hyperlink"/>
          <w:rFonts w:ascii="Book Antiqua" w:hAnsi="Book Antiqua"/>
          <w:color w:val="000000" w:themeColor="text1"/>
          <w:sz w:val="26"/>
          <w:szCs w:val="26"/>
          <w:u w:val="none"/>
        </w:rPr>
        <w:t>,</w:t>
      </w:r>
      <w:r w:rsidRPr="00400112">
        <w:rPr>
          <w:rStyle w:val="Hyperlink"/>
          <w:rFonts w:ascii="Book Antiqua" w:hAnsi="Book Antiqua"/>
          <w:color w:val="000000" w:themeColor="text1"/>
          <w:sz w:val="26"/>
          <w:szCs w:val="26"/>
          <w:u w:val="none"/>
        </w:rPr>
        <w:t xml:space="preserve"> with specific regard to: </w:t>
      </w:r>
    </w:p>
    <w:p w:rsidRPr="00400112" w:rsidR="00C1241E" w:rsidP="006225AF" w:rsidRDefault="00C1241E" w14:paraId="2F566B86" w14:textId="7A1A4E46">
      <w:pPr>
        <w:pStyle w:val="ListParagraph"/>
        <w:numPr>
          <w:ilvl w:val="0"/>
          <w:numId w:val="8"/>
        </w:numPr>
        <w:spacing w:after="0" w:line="240" w:lineRule="auto"/>
        <w:jc w:val="left"/>
        <w:rPr>
          <w:rStyle w:val="Hyperlink"/>
          <w:rFonts w:ascii="Book Antiqua" w:hAnsi="Book Antiqua" w:cstheme="minorHAnsi"/>
          <w:color w:val="000000" w:themeColor="text1"/>
          <w:sz w:val="26"/>
          <w:szCs w:val="26"/>
          <w:u w:val="none"/>
        </w:rPr>
      </w:pPr>
      <w:r w:rsidRPr="00400112">
        <w:rPr>
          <w:rStyle w:val="Hyperlink"/>
          <w:rFonts w:ascii="Book Antiqua" w:hAnsi="Book Antiqua" w:cstheme="minorHAnsi"/>
          <w:color w:val="000000" w:themeColor="text1"/>
          <w:sz w:val="26"/>
          <w:szCs w:val="26"/>
          <w:u w:val="none"/>
        </w:rPr>
        <w:t>The month in which Resource Adequacy (RA) obligations will be transferred to the POLR</w:t>
      </w:r>
      <w:r w:rsidRPr="00400112" w:rsidR="003D157B">
        <w:rPr>
          <w:rStyle w:val="Hyperlink"/>
          <w:rFonts w:ascii="Book Antiqua" w:hAnsi="Book Antiqua" w:cstheme="minorHAnsi"/>
          <w:color w:val="000000" w:themeColor="text1"/>
          <w:sz w:val="26"/>
          <w:szCs w:val="26"/>
          <w:u w:val="none"/>
        </w:rPr>
        <w:t>;</w:t>
      </w:r>
    </w:p>
    <w:p w:rsidRPr="00400112" w:rsidR="00C1241E" w:rsidP="006225AF" w:rsidRDefault="6674AE5D" w14:paraId="2167BEE9" w14:textId="694558F2">
      <w:pPr>
        <w:pStyle w:val="ListParagraph"/>
        <w:numPr>
          <w:ilvl w:val="0"/>
          <w:numId w:val="8"/>
        </w:num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 xml:space="preserve">The </w:t>
      </w:r>
      <w:r w:rsidRPr="00400112" w:rsidR="2715436A">
        <w:rPr>
          <w:rStyle w:val="Hyperlink"/>
          <w:rFonts w:ascii="Book Antiqua" w:hAnsi="Book Antiqua"/>
          <w:color w:val="000000" w:themeColor="text1"/>
          <w:sz w:val="26"/>
          <w:szCs w:val="26"/>
          <w:u w:val="none"/>
        </w:rPr>
        <w:t>s</w:t>
      </w:r>
      <w:r w:rsidRPr="00400112" w:rsidR="15D3F71B">
        <w:rPr>
          <w:rStyle w:val="Hyperlink"/>
          <w:rFonts w:ascii="Book Antiqua" w:hAnsi="Book Antiqua"/>
          <w:color w:val="000000" w:themeColor="text1"/>
          <w:sz w:val="26"/>
          <w:szCs w:val="26"/>
          <w:u w:val="none"/>
        </w:rPr>
        <w:t>chedul</w:t>
      </w:r>
      <w:r w:rsidRPr="00400112" w:rsidR="6E0213B3">
        <w:rPr>
          <w:rStyle w:val="Hyperlink"/>
          <w:rFonts w:ascii="Book Antiqua" w:hAnsi="Book Antiqua"/>
          <w:color w:val="000000" w:themeColor="text1"/>
          <w:sz w:val="26"/>
          <w:szCs w:val="26"/>
          <w:u w:val="none"/>
        </w:rPr>
        <w:t>e</w:t>
      </w:r>
      <w:r w:rsidRPr="00400112" w:rsidR="00C1241E">
        <w:rPr>
          <w:rStyle w:val="Hyperlink"/>
          <w:rFonts w:ascii="Book Antiqua" w:hAnsi="Book Antiqua"/>
          <w:color w:val="000000" w:themeColor="text1"/>
          <w:sz w:val="26"/>
          <w:szCs w:val="26"/>
          <w:u w:val="none"/>
        </w:rPr>
        <w:t xml:space="preserve"> for </w:t>
      </w:r>
      <w:r w:rsidRPr="00400112" w:rsidR="0318A3DF">
        <w:rPr>
          <w:rStyle w:val="Hyperlink"/>
          <w:rFonts w:ascii="Book Antiqua" w:hAnsi="Book Antiqua"/>
          <w:color w:val="000000" w:themeColor="text1"/>
          <w:sz w:val="26"/>
          <w:szCs w:val="26"/>
          <w:u w:val="none"/>
        </w:rPr>
        <w:t>transfer</w:t>
      </w:r>
      <w:r w:rsidRPr="00400112" w:rsidR="5E58A827">
        <w:rPr>
          <w:rStyle w:val="Hyperlink"/>
          <w:rFonts w:ascii="Book Antiqua" w:hAnsi="Book Antiqua"/>
          <w:color w:val="000000" w:themeColor="text1"/>
          <w:sz w:val="26"/>
          <w:szCs w:val="26"/>
          <w:u w:val="none"/>
        </w:rPr>
        <w:t>r</w:t>
      </w:r>
      <w:r w:rsidRPr="00400112" w:rsidR="0318A3DF">
        <w:rPr>
          <w:rStyle w:val="Hyperlink"/>
          <w:rFonts w:ascii="Book Antiqua" w:hAnsi="Book Antiqua"/>
          <w:color w:val="000000" w:themeColor="text1"/>
          <w:sz w:val="26"/>
          <w:szCs w:val="26"/>
          <w:u w:val="none"/>
        </w:rPr>
        <w:t xml:space="preserve">ing </w:t>
      </w:r>
      <w:r w:rsidRPr="00400112" w:rsidR="15D3F71B">
        <w:rPr>
          <w:rStyle w:val="Hyperlink"/>
          <w:rFonts w:ascii="Book Antiqua" w:hAnsi="Book Antiqua"/>
          <w:color w:val="000000" w:themeColor="text1"/>
          <w:sz w:val="26"/>
          <w:szCs w:val="26"/>
          <w:u w:val="none"/>
        </w:rPr>
        <w:t>customer</w:t>
      </w:r>
      <w:r w:rsidRPr="00400112" w:rsidR="2B86DBE2">
        <w:rPr>
          <w:rStyle w:val="Hyperlink"/>
          <w:rFonts w:ascii="Book Antiqua" w:hAnsi="Book Antiqua"/>
          <w:color w:val="000000" w:themeColor="text1"/>
          <w:sz w:val="26"/>
          <w:szCs w:val="26"/>
          <w:u w:val="none"/>
        </w:rPr>
        <w:t>s</w:t>
      </w:r>
      <w:r w:rsidRPr="00400112" w:rsidR="00C1241E">
        <w:rPr>
          <w:rStyle w:val="Hyperlink"/>
          <w:rFonts w:ascii="Book Antiqua" w:hAnsi="Book Antiqua"/>
          <w:color w:val="000000" w:themeColor="text1"/>
          <w:sz w:val="26"/>
          <w:szCs w:val="26"/>
          <w:u w:val="none"/>
        </w:rPr>
        <w:t xml:space="preserve"> into the POLR billing system</w:t>
      </w:r>
      <w:r w:rsidRPr="00400112" w:rsidR="003D157B">
        <w:rPr>
          <w:rStyle w:val="Hyperlink"/>
          <w:rFonts w:ascii="Book Antiqua" w:hAnsi="Book Antiqua"/>
          <w:color w:val="000000" w:themeColor="text1"/>
          <w:sz w:val="26"/>
          <w:szCs w:val="26"/>
          <w:u w:val="none"/>
        </w:rPr>
        <w:t>;</w:t>
      </w:r>
    </w:p>
    <w:p w:rsidRPr="00400112" w:rsidR="00C1241E" w:rsidP="006225AF" w:rsidRDefault="34DE3853" w14:paraId="2413B235" w14:textId="79277A3D">
      <w:pPr>
        <w:pStyle w:val="ListParagraph"/>
        <w:numPr>
          <w:ilvl w:val="0"/>
          <w:numId w:val="8"/>
        </w:num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 xml:space="preserve">The </w:t>
      </w:r>
      <w:r w:rsidRPr="00400112" w:rsidR="44978075">
        <w:rPr>
          <w:rStyle w:val="Hyperlink"/>
          <w:rFonts w:ascii="Book Antiqua" w:hAnsi="Book Antiqua"/>
          <w:color w:val="000000" w:themeColor="text1"/>
          <w:sz w:val="26"/>
          <w:szCs w:val="26"/>
          <w:u w:val="none"/>
        </w:rPr>
        <w:t>d</w:t>
      </w:r>
      <w:r w:rsidRPr="00400112" w:rsidR="15D3F71B">
        <w:rPr>
          <w:rStyle w:val="Hyperlink"/>
          <w:rFonts w:ascii="Book Antiqua" w:hAnsi="Book Antiqua"/>
          <w:color w:val="000000" w:themeColor="text1"/>
          <w:sz w:val="26"/>
          <w:szCs w:val="26"/>
          <w:u w:val="none"/>
        </w:rPr>
        <w:t>ate</w:t>
      </w:r>
      <w:r w:rsidRPr="00400112" w:rsidR="00C1241E">
        <w:rPr>
          <w:rStyle w:val="Hyperlink"/>
          <w:rFonts w:ascii="Book Antiqua" w:hAnsi="Book Antiqua"/>
          <w:color w:val="000000" w:themeColor="text1"/>
          <w:sz w:val="26"/>
          <w:szCs w:val="26"/>
          <w:u w:val="none"/>
        </w:rPr>
        <w:t xml:space="preserve"> of transfer to the POLR’s scheduling coordinator.</w:t>
      </w:r>
    </w:p>
    <w:p w:rsidRPr="00400112" w:rsidR="007F74F0" w:rsidP="007F74F0" w:rsidRDefault="007F74F0" w14:paraId="59CCBF11" w14:textId="77777777">
      <w:pPr>
        <w:pStyle w:val="ListParagraph"/>
        <w:spacing w:after="0" w:line="240" w:lineRule="auto"/>
        <w:jc w:val="left"/>
        <w:rPr>
          <w:rStyle w:val="Hyperlink"/>
          <w:rFonts w:ascii="Book Antiqua" w:hAnsi="Book Antiqua"/>
          <w:color w:val="000000" w:themeColor="text1"/>
          <w:sz w:val="26"/>
          <w:szCs w:val="26"/>
          <w:u w:val="none"/>
        </w:rPr>
      </w:pPr>
    </w:p>
    <w:p w:rsidRPr="00400112" w:rsidR="00C1241E" w:rsidP="006225AF" w:rsidRDefault="00C1241E" w14:paraId="22A8729F" w14:textId="77777777">
      <w:p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The deregistering LSE and the POLR should continue to coordinate throughout the Deregistration Period to determine the following:</w:t>
      </w:r>
    </w:p>
    <w:p w:rsidRPr="00400112" w:rsidR="00C1241E" w:rsidP="006225AF" w:rsidRDefault="00C1241E" w14:paraId="33420FA9" w14:textId="3311E2EC">
      <w:pPr>
        <w:pStyle w:val="ListParagraph"/>
        <w:numPr>
          <w:ilvl w:val="0"/>
          <w:numId w:val="8"/>
        </w:num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 xml:space="preserve">Whether to suspend </w:t>
      </w:r>
      <w:r w:rsidRPr="00400112" w:rsidR="006C3A22">
        <w:rPr>
          <w:rStyle w:val="Hyperlink"/>
          <w:rFonts w:ascii="Book Antiqua" w:hAnsi="Book Antiqua"/>
          <w:color w:val="000000" w:themeColor="text1"/>
          <w:sz w:val="26"/>
          <w:szCs w:val="26"/>
          <w:u w:val="none"/>
        </w:rPr>
        <w:t xml:space="preserve">planned </w:t>
      </w:r>
      <w:r w:rsidRPr="00400112">
        <w:rPr>
          <w:rStyle w:val="Hyperlink"/>
          <w:rFonts w:ascii="Book Antiqua" w:hAnsi="Book Antiqua"/>
          <w:color w:val="000000" w:themeColor="text1"/>
          <w:sz w:val="26"/>
          <w:szCs w:val="26"/>
          <w:u w:val="none"/>
        </w:rPr>
        <w:t>returns during the Deregistration Period</w:t>
      </w:r>
      <w:r w:rsidRPr="00400112" w:rsidR="0117A7F5">
        <w:rPr>
          <w:rStyle w:val="Hyperlink"/>
          <w:rFonts w:ascii="Book Antiqua" w:hAnsi="Book Antiqua"/>
          <w:color w:val="000000" w:themeColor="text1"/>
          <w:sz w:val="26"/>
          <w:szCs w:val="26"/>
          <w:u w:val="none"/>
        </w:rPr>
        <w:t xml:space="preserve"> in order</w:t>
      </w:r>
      <w:r w:rsidRPr="00400112">
        <w:rPr>
          <w:rStyle w:val="Hyperlink"/>
          <w:rFonts w:ascii="Book Antiqua" w:hAnsi="Book Antiqua"/>
          <w:color w:val="000000" w:themeColor="text1"/>
          <w:sz w:val="26"/>
          <w:szCs w:val="26"/>
          <w:u w:val="none"/>
        </w:rPr>
        <w:t xml:space="preserve"> to protect customers from market rate exposure </w:t>
      </w:r>
      <w:r w:rsidRPr="00400112" w:rsidR="1C0ACE64">
        <w:rPr>
          <w:rStyle w:val="Hyperlink"/>
          <w:rFonts w:ascii="Book Antiqua" w:hAnsi="Book Antiqua"/>
          <w:color w:val="000000" w:themeColor="text1"/>
          <w:sz w:val="26"/>
          <w:szCs w:val="26"/>
          <w:u w:val="none"/>
        </w:rPr>
        <w:t xml:space="preserve">associated with being placed on </w:t>
      </w:r>
      <w:r w:rsidRPr="00400112" w:rsidR="05B8718B">
        <w:rPr>
          <w:rStyle w:val="Hyperlink"/>
          <w:rFonts w:ascii="Book Antiqua" w:hAnsi="Book Antiqua"/>
          <w:color w:val="000000" w:themeColor="text1"/>
          <w:sz w:val="26"/>
          <w:szCs w:val="26"/>
          <w:u w:val="none"/>
        </w:rPr>
        <w:t xml:space="preserve">a </w:t>
      </w:r>
      <w:r w:rsidRPr="00400112">
        <w:rPr>
          <w:rStyle w:val="Hyperlink"/>
          <w:rFonts w:ascii="Book Antiqua" w:hAnsi="Book Antiqua"/>
          <w:color w:val="000000" w:themeColor="text1"/>
          <w:sz w:val="26"/>
          <w:szCs w:val="26"/>
          <w:u w:val="none"/>
        </w:rPr>
        <w:t>Transitional Bundled Service rate</w:t>
      </w:r>
      <w:r w:rsidRPr="00400112" w:rsidR="003D157B">
        <w:rPr>
          <w:rStyle w:val="Hyperlink"/>
          <w:rFonts w:ascii="Book Antiqua" w:hAnsi="Book Antiqua"/>
          <w:color w:val="000000" w:themeColor="text1"/>
          <w:sz w:val="26"/>
          <w:szCs w:val="26"/>
          <w:u w:val="none"/>
        </w:rPr>
        <w:t>; and</w:t>
      </w:r>
    </w:p>
    <w:p w:rsidRPr="00400112" w:rsidR="00C1241E" w:rsidP="006225AF" w:rsidRDefault="00C1241E" w14:paraId="085F8E54" w14:textId="121356A8">
      <w:pPr>
        <w:pStyle w:val="ListParagraph"/>
        <w:numPr>
          <w:ilvl w:val="0"/>
          <w:numId w:val="8"/>
        </w:num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If any of the LSE</w:t>
      </w:r>
      <w:r w:rsidRPr="00400112" w:rsidR="009D1530">
        <w:rPr>
          <w:rStyle w:val="Hyperlink"/>
          <w:rFonts w:ascii="Book Antiqua" w:hAnsi="Book Antiqua"/>
          <w:color w:val="000000" w:themeColor="text1"/>
          <w:sz w:val="26"/>
          <w:szCs w:val="26"/>
          <w:u w:val="none"/>
        </w:rPr>
        <w:t>’s existing</w:t>
      </w:r>
      <w:r w:rsidRPr="00400112">
        <w:rPr>
          <w:rStyle w:val="Hyperlink"/>
          <w:rFonts w:ascii="Book Antiqua" w:hAnsi="Book Antiqua"/>
          <w:color w:val="000000" w:themeColor="text1"/>
          <w:sz w:val="26"/>
          <w:szCs w:val="26"/>
          <w:u w:val="none"/>
        </w:rPr>
        <w:t xml:space="preserve"> procurement contracts (to meet energy, RA, Integrated Resource Planning (IRP) or Renewable Portfolio Standard (RPS) obligations) should be assigned to the POLR.</w:t>
      </w:r>
    </w:p>
    <w:p w:rsidR="0026082D" w:rsidP="006225AF" w:rsidRDefault="0026082D" w14:paraId="75547422" w14:textId="77777777">
      <w:pPr>
        <w:spacing w:after="0" w:line="240" w:lineRule="auto"/>
        <w:jc w:val="left"/>
        <w:rPr>
          <w:rStyle w:val="Hyperlink"/>
          <w:rFonts w:ascii="Book Antiqua" w:hAnsi="Book Antiqua" w:cstheme="minorHAnsi"/>
          <w:color w:val="000000" w:themeColor="text1"/>
          <w:sz w:val="26"/>
          <w:szCs w:val="26"/>
        </w:rPr>
      </w:pPr>
    </w:p>
    <w:p w:rsidR="00641596" w:rsidP="006225AF" w:rsidRDefault="00641596" w14:paraId="75313B33" w14:textId="77777777">
      <w:pPr>
        <w:spacing w:after="0" w:line="240" w:lineRule="auto"/>
        <w:jc w:val="left"/>
        <w:rPr>
          <w:rStyle w:val="Hyperlink"/>
          <w:rFonts w:ascii="Book Antiqua" w:hAnsi="Book Antiqua" w:cstheme="minorHAnsi"/>
          <w:color w:val="000000" w:themeColor="text1"/>
          <w:sz w:val="26"/>
          <w:szCs w:val="26"/>
        </w:rPr>
      </w:pPr>
    </w:p>
    <w:p w:rsidRPr="00400112" w:rsidR="00641596" w:rsidP="006225AF" w:rsidRDefault="00641596" w14:paraId="6314403B" w14:textId="77777777">
      <w:pPr>
        <w:spacing w:after="0" w:line="240" w:lineRule="auto"/>
        <w:jc w:val="left"/>
        <w:rPr>
          <w:rStyle w:val="Hyperlink"/>
          <w:rFonts w:ascii="Book Antiqua" w:hAnsi="Book Antiqua" w:cstheme="minorHAnsi"/>
          <w:color w:val="000000" w:themeColor="text1"/>
          <w:sz w:val="26"/>
          <w:szCs w:val="26"/>
        </w:rPr>
      </w:pPr>
    </w:p>
    <w:p w:rsidRPr="00641596" w:rsidR="00C1241E" w:rsidP="002F46B5" w:rsidRDefault="00C1241E" w14:paraId="473CCC1D" w14:textId="77777777">
      <w:pPr>
        <w:pStyle w:val="ListParagraph"/>
        <w:numPr>
          <w:ilvl w:val="0"/>
          <w:numId w:val="6"/>
        </w:numPr>
        <w:spacing w:after="120" w:line="240" w:lineRule="auto"/>
        <w:jc w:val="left"/>
        <w:rPr>
          <w:rStyle w:val="Hyperlink"/>
          <w:rFonts w:ascii="Arial" w:hAnsi="Arial" w:cs="Arial"/>
          <w:b/>
          <w:color w:val="000000" w:themeColor="text1"/>
          <w:sz w:val="26"/>
          <w:szCs w:val="26"/>
        </w:rPr>
      </w:pPr>
      <w:r w:rsidRPr="00641596">
        <w:rPr>
          <w:rStyle w:val="Hyperlink"/>
          <w:rFonts w:ascii="Arial" w:hAnsi="Arial" w:cs="Arial"/>
          <w:b/>
          <w:color w:val="000000" w:themeColor="text1"/>
          <w:sz w:val="26"/>
          <w:szCs w:val="26"/>
        </w:rPr>
        <w:lastRenderedPageBreak/>
        <w:t>Notice of Intent to Deregister</w:t>
      </w:r>
    </w:p>
    <w:p w:rsidRPr="00400112" w:rsidR="00C1241E" w:rsidP="006225AF" w:rsidRDefault="67A21513" w14:paraId="026F5C51" w14:textId="6FB836BC">
      <w:p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 xml:space="preserve">For </w:t>
      </w:r>
      <w:r w:rsidRPr="00400112" w:rsidR="243D3154">
        <w:rPr>
          <w:rStyle w:val="Hyperlink"/>
          <w:rFonts w:ascii="Book Antiqua" w:hAnsi="Book Antiqua"/>
          <w:color w:val="000000" w:themeColor="text1"/>
          <w:sz w:val="26"/>
          <w:szCs w:val="26"/>
          <w:u w:val="none"/>
        </w:rPr>
        <w:t xml:space="preserve">a </w:t>
      </w:r>
      <w:r w:rsidRPr="00400112" w:rsidR="002463CC">
        <w:rPr>
          <w:rStyle w:val="Hyperlink"/>
          <w:rFonts w:ascii="Book Antiqua" w:hAnsi="Book Antiqua"/>
          <w:color w:val="000000" w:themeColor="text1"/>
          <w:sz w:val="26"/>
          <w:szCs w:val="26"/>
          <w:u w:val="none"/>
        </w:rPr>
        <w:t>planned</w:t>
      </w:r>
      <w:r w:rsidRPr="00400112">
        <w:rPr>
          <w:rStyle w:val="Hyperlink"/>
          <w:rFonts w:ascii="Book Antiqua" w:hAnsi="Book Antiqua"/>
          <w:color w:val="000000" w:themeColor="text1"/>
          <w:sz w:val="26"/>
          <w:szCs w:val="26"/>
          <w:u w:val="none"/>
        </w:rPr>
        <w:t xml:space="preserve"> economic deregistration, the LSE shall submit their Notice of Intent to Deregister at least </w:t>
      </w:r>
      <w:r w:rsidRPr="00400112" w:rsidR="37646845">
        <w:rPr>
          <w:rStyle w:val="Hyperlink"/>
          <w:rFonts w:ascii="Book Antiqua" w:hAnsi="Book Antiqua"/>
          <w:color w:val="000000" w:themeColor="text1"/>
          <w:sz w:val="26"/>
          <w:szCs w:val="26"/>
          <w:u w:val="none"/>
        </w:rPr>
        <w:t>six</w:t>
      </w:r>
      <w:r w:rsidRPr="00400112" w:rsidR="11DC97B8">
        <w:rPr>
          <w:rStyle w:val="Hyperlink"/>
          <w:rFonts w:ascii="Book Antiqua" w:hAnsi="Book Antiqua"/>
          <w:color w:val="000000" w:themeColor="text1"/>
          <w:sz w:val="26"/>
          <w:szCs w:val="26"/>
          <w:u w:val="none"/>
        </w:rPr>
        <w:t xml:space="preserve"> (</w:t>
      </w:r>
      <w:r w:rsidRPr="00400112" w:rsidR="37646845">
        <w:rPr>
          <w:rStyle w:val="Hyperlink"/>
          <w:rFonts w:ascii="Book Antiqua" w:hAnsi="Book Antiqua"/>
          <w:color w:val="000000" w:themeColor="text1"/>
          <w:sz w:val="26"/>
          <w:szCs w:val="26"/>
          <w:u w:val="none"/>
        </w:rPr>
        <w:t>6</w:t>
      </w:r>
      <w:r w:rsidRPr="00400112" w:rsidR="11DC97B8">
        <w:rPr>
          <w:rStyle w:val="Hyperlink"/>
          <w:rFonts w:ascii="Book Antiqua" w:hAnsi="Book Antiqua"/>
          <w:color w:val="000000" w:themeColor="text1"/>
          <w:sz w:val="26"/>
          <w:szCs w:val="26"/>
          <w:u w:val="none"/>
        </w:rPr>
        <w:t>)</w:t>
      </w:r>
      <w:r w:rsidRPr="00400112" w:rsidR="7F9F9EEC">
        <w:rPr>
          <w:rStyle w:val="Hyperlink"/>
          <w:rFonts w:ascii="Book Antiqua" w:hAnsi="Book Antiqua"/>
          <w:color w:val="000000" w:themeColor="text1"/>
          <w:sz w:val="26"/>
          <w:szCs w:val="26"/>
          <w:u w:val="none"/>
        </w:rPr>
        <w:t xml:space="preserve"> </w:t>
      </w:r>
      <w:r w:rsidRPr="00400112">
        <w:rPr>
          <w:rStyle w:val="Hyperlink"/>
          <w:rFonts w:ascii="Book Antiqua" w:hAnsi="Book Antiqua"/>
          <w:color w:val="000000" w:themeColor="text1"/>
          <w:sz w:val="26"/>
          <w:szCs w:val="26"/>
          <w:u w:val="none"/>
        </w:rPr>
        <w:t>months prior to the Deregistration Date</w:t>
      </w:r>
      <w:r w:rsidRPr="00400112" w:rsidR="219CD0D7">
        <w:rPr>
          <w:rStyle w:val="Hyperlink"/>
          <w:rFonts w:ascii="Book Antiqua" w:hAnsi="Book Antiqua"/>
          <w:color w:val="000000" w:themeColor="text1"/>
          <w:sz w:val="26"/>
          <w:szCs w:val="26"/>
          <w:u w:val="none"/>
        </w:rPr>
        <w:t xml:space="preserve"> and meet its year-ahead RA requirements</w:t>
      </w:r>
      <w:r w:rsidRPr="00400112" w:rsidR="30AA0238">
        <w:rPr>
          <w:rStyle w:val="Hyperlink"/>
          <w:rFonts w:ascii="Book Antiqua" w:hAnsi="Book Antiqua"/>
          <w:color w:val="000000" w:themeColor="text1"/>
          <w:sz w:val="26"/>
          <w:szCs w:val="26"/>
          <w:u w:val="none"/>
        </w:rPr>
        <w:t xml:space="preserve">, in order to </w:t>
      </w:r>
      <w:r w:rsidR="00CA6F6E">
        <w:rPr>
          <w:rStyle w:val="Hyperlink"/>
          <w:rFonts w:ascii="Book Antiqua" w:hAnsi="Book Antiqua"/>
          <w:color w:val="000000" w:themeColor="text1"/>
          <w:sz w:val="26"/>
          <w:szCs w:val="26"/>
          <w:u w:val="none"/>
        </w:rPr>
        <w:t>minimize</w:t>
      </w:r>
      <w:r w:rsidRPr="00400112" w:rsidR="00CA6F6E">
        <w:rPr>
          <w:rStyle w:val="Hyperlink"/>
          <w:rFonts w:ascii="Book Antiqua" w:hAnsi="Book Antiqua"/>
          <w:color w:val="000000" w:themeColor="text1"/>
          <w:sz w:val="26"/>
          <w:szCs w:val="26"/>
          <w:u w:val="none"/>
        </w:rPr>
        <w:t xml:space="preserve"> </w:t>
      </w:r>
      <w:r w:rsidRPr="00400112" w:rsidR="5A877512">
        <w:rPr>
          <w:rStyle w:val="Hyperlink"/>
          <w:rFonts w:ascii="Book Antiqua" w:hAnsi="Book Antiqua"/>
          <w:color w:val="000000" w:themeColor="text1"/>
          <w:sz w:val="26"/>
          <w:szCs w:val="26"/>
          <w:u w:val="none"/>
        </w:rPr>
        <w:t xml:space="preserve">all </w:t>
      </w:r>
      <w:r w:rsidRPr="00400112" w:rsidR="428E8C90">
        <w:rPr>
          <w:rStyle w:val="Hyperlink"/>
          <w:rFonts w:ascii="Book Antiqua" w:hAnsi="Book Antiqua"/>
          <w:color w:val="000000" w:themeColor="text1"/>
          <w:sz w:val="26"/>
          <w:szCs w:val="26"/>
          <w:u w:val="none"/>
        </w:rPr>
        <w:t>re-entry</w:t>
      </w:r>
      <w:r w:rsidRPr="00400112" w:rsidR="05308D0F">
        <w:rPr>
          <w:rStyle w:val="Hyperlink"/>
          <w:rFonts w:ascii="Book Antiqua" w:hAnsi="Book Antiqua"/>
          <w:color w:val="000000" w:themeColor="text1"/>
          <w:sz w:val="26"/>
          <w:szCs w:val="26"/>
          <w:u w:val="none"/>
        </w:rPr>
        <w:t xml:space="preserve"> fees</w:t>
      </w:r>
      <w:r w:rsidRPr="00400112">
        <w:rPr>
          <w:rStyle w:val="Hyperlink"/>
          <w:rFonts w:ascii="Book Antiqua" w:hAnsi="Book Antiqua"/>
          <w:color w:val="000000" w:themeColor="text1"/>
          <w:sz w:val="26"/>
          <w:szCs w:val="26"/>
          <w:u w:val="none"/>
        </w:rPr>
        <w:t xml:space="preserve">. </w:t>
      </w:r>
      <w:r w:rsidRPr="00400112" w:rsidR="37646845">
        <w:rPr>
          <w:rStyle w:val="Hyperlink"/>
          <w:rFonts w:ascii="Book Antiqua" w:hAnsi="Book Antiqua"/>
          <w:color w:val="000000" w:themeColor="text1"/>
          <w:sz w:val="26"/>
          <w:szCs w:val="26"/>
          <w:u w:val="none"/>
        </w:rPr>
        <w:t xml:space="preserve">However, as noted in Step 8, the deregistering LSE is responsible for meeting its year ahead RA requirements, and it is recommended to provide at least </w:t>
      </w:r>
      <w:r w:rsidRPr="00400112" w:rsidR="007F74F0">
        <w:rPr>
          <w:rStyle w:val="Hyperlink"/>
          <w:rFonts w:ascii="Book Antiqua" w:hAnsi="Book Antiqua"/>
          <w:color w:val="000000" w:themeColor="text1"/>
          <w:sz w:val="26"/>
          <w:szCs w:val="26"/>
          <w:u w:val="none"/>
        </w:rPr>
        <w:t>twelve (</w:t>
      </w:r>
      <w:r w:rsidRPr="00400112" w:rsidR="37646845">
        <w:rPr>
          <w:rStyle w:val="Hyperlink"/>
          <w:rFonts w:ascii="Book Antiqua" w:hAnsi="Book Antiqua"/>
          <w:color w:val="000000" w:themeColor="text1"/>
          <w:sz w:val="26"/>
          <w:szCs w:val="26"/>
          <w:u w:val="none"/>
        </w:rPr>
        <w:t>12</w:t>
      </w:r>
      <w:r w:rsidRPr="00400112" w:rsidR="007F74F0">
        <w:rPr>
          <w:rStyle w:val="Hyperlink"/>
          <w:rFonts w:ascii="Book Antiqua" w:hAnsi="Book Antiqua"/>
          <w:color w:val="000000" w:themeColor="text1"/>
          <w:sz w:val="26"/>
          <w:szCs w:val="26"/>
          <w:u w:val="none"/>
        </w:rPr>
        <w:t>)</w:t>
      </w:r>
      <w:r w:rsidRPr="00400112" w:rsidR="37646845">
        <w:rPr>
          <w:rStyle w:val="Hyperlink"/>
          <w:rFonts w:ascii="Book Antiqua" w:hAnsi="Book Antiqua"/>
          <w:color w:val="000000" w:themeColor="text1"/>
          <w:sz w:val="26"/>
          <w:szCs w:val="26"/>
          <w:u w:val="none"/>
        </w:rPr>
        <w:t xml:space="preserve"> months of notice of deregistration</w:t>
      </w:r>
      <w:r w:rsidRPr="00400112" w:rsidR="064BBD05">
        <w:rPr>
          <w:rStyle w:val="Hyperlink"/>
          <w:rFonts w:ascii="Book Antiqua" w:hAnsi="Book Antiqua"/>
          <w:color w:val="000000" w:themeColor="text1"/>
          <w:sz w:val="26"/>
          <w:szCs w:val="26"/>
          <w:u w:val="none"/>
        </w:rPr>
        <w:t xml:space="preserve"> </w:t>
      </w:r>
      <w:r w:rsidRPr="00400112" w:rsidR="37646845">
        <w:rPr>
          <w:rStyle w:val="Hyperlink"/>
          <w:rFonts w:ascii="Book Antiqua" w:hAnsi="Book Antiqua"/>
          <w:color w:val="000000" w:themeColor="text1"/>
          <w:sz w:val="26"/>
          <w:szCs w:val="26"/>
          <w:u w:val="none"/>
        </w:rPr>
        <w:t xml:space="preserve">to continue to generate the revenues to cover the year ahead RA costs.  </w:t>
      </w:r>
    </w:p>
    <w:p w:rsidRPr="00400112" w:rsidR="00995271" w:rsidP="006225AF" w:rsidRDefault="00995271" w14:paraId="696136E5" w14:textId="77777777">
      <w:pPr>
        <w:spacing w:after="0" w:line="240" w:lineRule="auto"/>
        <w:jc w:val="left"/>
        <w:rPr>
          <w:rStyle w:val="Hyperlink"/>
          <w:rFonts w:ascii="Book Antiqua" w:hAnsi="Book Antiqua"/>
          <w:color w:val="000000" w:themeColor="text1"/>
          <w:sz w:val="26"/>
          <w:szCs w:val="26"/>
          <w:u w:val="none"/>
        </w:rPr>
      </w:pPr>
    </w:p>
    <w:p w:rsidRPr="00400112" w:rsidR="005F1FAF" w:rsidP="006225AF" w:rsidRDefault="67A21513" w14:paraId="6CD1711C" w14:textId="529236FA">
      <w:p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 xml:space="preserve">After the LSE and POLR have agreed to </w:t>
      </w:r>
      <w:r w:rsidRPr="00400112" w:rsidR="768D5460">
        <w:rPr>
          <w:rStyle w:val="Hyperlink"/>
          <w:rFonts w:ascii="Book Antiqua" w:hAnsi="Book Antiqua"/>
          <w:color w:val="000000" w:themeColor="text1"/>
          <w:sz w:val="26"/>
          <w:szCs w:val="26"/>
          <w:u w:val="none"/>
        </w:rPr>
        <w:t xml:space="preserve">the Deregistration Date, thereby setting </w:t>
      </w:r>
      <w:r w:rsidRPr="00400112" w:rsidR="1431939F">
        <w:rPr>
          <w:rStyle w:val="Hyperlink"/>
          <w:rFonts w:ascii="Book Antiqua" w:hAnsi="Book Antiqua"/>
          <w:color w:val="000000" w:themeColor="text1"/>
          <w:sz w:val="26"/>
          <w:szCs w:val="26"/>
          <w:u w:val="none"/>
        </w:rPr>
        <w:t>the</w:t>
      </w:r>
      <w:r w:rsidRPr="00400112">
        <w:rPr>
          <w:rStyle w:val="Hyperlink"/>
          <w:rFonts w:ascii="Book Antiqua" w:hAnsi="Book Antiqua"/>
          <w:color w:val="000000" w:themeColor="text1"/>
          <w:sz w:val="26"/>
          <w:szCs w:val="26"/>
          <w:u w:val="none"/>
        </w:rPr>
        <w:t xml:space="preserve"> timeline for returning all customers to the POLR, the deregistering LSE must submit </w:t>
      </w:r>
      <w:r w:rsidRPr="00400112" w:rsidR="2C6C297B">
        <w:rPr>
          <w:rStyle w:val="Hyperlink"/>
          <w:rFonts w:ascii="Book Antiqua" w:hAnsi="Book Antiqua"/>
          <w:color w:val="000000" w:themeColor="text1"/>
          <w:sz w:val="26"/>
          <w:szCs w:val="26"/>
          <w:u w:val="none"/>
        </w:rPr>
        <w:t>the</w:t>
      </w:r>
      <w:r w:rsidRPr="00400112" w:rsidR="71C68AAE">
        <w:rPr>
          <w:rStyle w:val="Hyperlink"/>
          <w:rFonts w:ascii="Book Antiqua" w:hAnsi="Book Antiqua"/>
          <w:color w:val="000000" w:themeColor="text1"/>
          <w:sz w:val="26"/>
          <w:szCs w:val="26"/>
          <w:u w:val="none"/>
        </w:rPr>
        <w:t xml:space="preserve"> previously mentioned</w:t>
      </w:r>
      <w:r w:rsidRPr="00400112" w:rsidR="2C6C297B">
        <w:rPr>
          <w:rStyle w:val="Hyperlink"/>
          <w:rFonts w:ascii="Book Antiqua" w:hAnsi="Book Antiqua"/>
          <w:color w:val="000000" w:themeColor="text1"/>
          <w:sz w:val="26"/>
          <w:szCs w:val="26"/>
          <w:u w:val="none"/>
        </w:rPr>
        <w:t xml:space="preserve"> </w:t>
      </w:r>
      <w:r w:rsidRPr="00400112">
        <w:rPr>
          <w:rStyle w:val="Hyperlink"/>
          <w:rFonts w:ascii="Book Antiqua" w:hAnsi="Book Antiqua"/>
          <w:color w:val="000000" w:themeColor="text1"/>
          <w:sz w:val="26"/>
          <w:szCs w:val="26"/>
          <w:u w:val="none"/>
        </w:rPr>
        <w:t xml:space="preserve">Notice of Intent to Deregister Letter to the CPUC. This Notice must be emailed to the Deputy Executive Director of Energy Division and </w:t>
      </w:r>
      <w:r w:rsidRPr="00400112" w:rsidR="22716BE8">
        <w:rPr>
          <w:rStyle w:val="Hyperlink"/>
          <w:rFonts w:ascii="Book Antiqua" w:hAnsi="Book Antiqua"/>
          <w:color w:val="000000" w:themeColor="text1"/>
          <w:sz w:val="26"/>
          <w:szCs w:val="26"/>
          <w:u w:val="none"/>
        </w:rPr>
        <w:t>served on the</w:t>
      </w:r>
      <w:r w:rsidRPr="00400112">
        <w:rPr>
          <w:rStyle w:val="Hyperlink"/>
          <w:rFonts w:ascii="Book Antiqua" w:hAnsi="Book Antiqua"/>
          <w:color w:val="000000" w:themeColor="text1"/>
          <w:sz w:val="26"/>
          <w:szCs w:val="26"/>
          <w:u w:val="none"/>
        </w:rPr>
        <w:t xml:space="preserve"> dockets of proceedings in which they have </w:t>
      </w:r>
      <w:r w:rsidRPr="00400112" w:rsidR="064BBD05">
        <w:rPr>
          <w:rStyle w:val="Hyperlink"/>
          <w:rFonts w:ascii="Book Antiqua" w:hAnsi="Book Antiqua"/>
          <w:color w:val="000000" w:themeColor="text1"/>
          <w:sz w:val="26"/>
          <w:szCs w:val="26"/>
          <w:u w:val="none"/>
        </w:rPr>
        <w:t xml:space="preserve">procurement and </w:t>
      </w:r>
      <w:r w:rsidRPr="00400112">
        <w:rPr>
          <w:rStyle w:val="Hyperlink"/>
          <w:rFonts w:ascii="Book Antiqua" w:hAnsi="Book Antiqua"/>
          <w:color w:val="000000" w:themeColor="text1"/>
          <w:sz w:val="26"/>
          <w:szCs w:val="26"/>
          <w:u w:val="none"/>
        </w:rPr>
        <w:t>compliance obligations, including RA, IRP, and RPS</w:t>
      </w:r>
      <w:r w:rsidRPr="00400112" w:rsidR="00D831AF">
        <w:rPr>
          <w:rStyle w:val="Hyperlink"/>
          <w:rFonts w:ascii="Book Antiqua" w:hAnsi="Book Antiqua"/>
          <w:color w:val="000000" w:themeColor="text1"/>
          <w:sz w:val="26"/>
          <w:szCs w:val="26"/>
          <w:u w:val="none"/>
        </w:rPr>
        <w:t xml:space="preserve"> proceedings</w:t>
      </w:r>
      <w:r w:rsidRPr="00400112">
        <w:rPr>
          <w:rStyle w:val="Hyperlink"/>
          <w:rFonts w:ascii="Book Antiqua" w:hAnsi="Book Antiqua"/>
          <w:color w:val="000000" w:themeColor="text1"/>
          <w:sz w:val="26"/>
          <w:szCs w:val="26"/>
          <w:u w:val="none"/>
        </w:rPr>
        <w:t xml:space="preserve">. </w:t>
      </w:r>
    </w:p>
    <w:p w:rsidRPr="00400112" w:rsidR="005F1FAF" w:rsidP="006225AF" w:rsidRDefault="005F1FAF" w14:paraId="7F2BB1AF" w14:textId="77777777">
      <w:pPr>
        <w:spacing w:after="0" w:line="240" w:lineRule="auto"/>
        <w:jc w:val="left"/>
        <w:rPr>
          <w:rStyle w:val="Hyperlink"/>
          <w:rFonts w:ascii="Book Antiqua" w:hAnsi="Book Antiqua"/>
          <w:color w:val="000000" w:themeColor="text1"/>
          <w:sz w:val="26"/>
          <w:szCs w:val="26"/>
          <w:u w:val="none"/>
        </w:rPr>
      </w:pPr>
    </w:p>
    <w:p w:rsidRPr="00400112" w:rsidR="00C1241E" w:rsidP="006225AF" w:rsidRDefault="005A0862" w14:paraId="4C29BBB9" w14:textId="41A4E6D2">
      <w:p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This obligation a</w:t>
      </w:r>
      <w:r w:rsidRPr="00400112" w:rsidR="00C1241E">
        <w:rPr>
          <w:rStyle w:val="Hyperlink"/>
          <w:rFonts w:ascii="Book Antiqua" w:hAnsi="Book Antiqua"/>
          <w:color w:val="000000" w:themeColor="text1"/>
          <w:sz w:val="26"/>
          <w:szCs w:val="26"/>
          <w:u w:val="none"/>
        </w:rPr>
        <w:t>pplies to ESPs if they have any current RA, IRP or RPS obligations, regardless of customer return to the POLR.</w:t>
      </w:r>
    </w:p>
    <w:p w:rsidRPr="00400112" w:rsidR="00C1241E" w:rsidP="006225AF" w:rsidRDefault="00C1241E" w14:paraId="781388DD" w14:textId="77777777">
      <w:pPr>
        <w:spacing w:after="0" w:line="240" w:lineRule="auto"/>
        <w:jc w:val="left"/>
        <w:rPr>
          <w:rStyle w:val="Hyperlink"/>
          <w:rFonts w:ascii="Book Antiqua" w:hAnsi="Book Antiqua" w:cstheme="minorHAnsi"/>
          <w:color w:val="000000" w:themeColor="text1"/>
          <w:sz w:val="26"/>
          <w:szCs w:val="26"/>
        </w:rPr>
      </w:pPr>
    </w:p>
    <w:p w:rsidRPr="00641596" w:rsidR="00C1241E" w:rsidP="002F46B5" w:rsidRDefault="00C1241E" w14:paraId="20766C44" w14:textId="193E208A">
      <w:pPr>
        <w:pStyle w:val="ListParagraph"/>
        <w:numPr>
          <w:ilvl w:val="0"/>
          <w:numId w:val="6"/>
        </w:numPr>
        <w:spacing w:after="120" w:line="240" w:lineRule="auto"/>
        <w:jc w:val="left"/>
        <w:rPr>
          <w:rStyle w:val="Hyperlink"/>
          <w:rFonts w:ascii="Arial" w:hAnsi="Arial" w:cs="Arial"/>
          <w:b/>
          <w:bCs/>
          <w:color w:val="000000" w:themeColor="text1"/>
          <w:sz w:val="26"/>
          <w:szCs w:val="26"/>
        </w:rPr>
      </w:pPr>
      <w:r w:rsidRPr="00641596">
        <w:rPr>
          <w:rStyle w:val="Hyperlink"/>
          <w:rFonts w:ascii="Arial" w:hAnsi="Arial" w:cs="Arial"/>
          <w:b/>
          <w:bCs/>
          <w:color w:val="000000" w:themeColor="text1"/>
          <w:sz w:val="26"/>
          <w:szCs w:val="26"/>
        </w:rPr>
        <w:t xml:space="preserve">POLR </w:t>
      </w:r>
      <w:r w:rsidRPr="00641596" w:rsidR="00A57EA9">
        <w:rPr>
          <w:rStyle w:val="Hyperlink"/>
          <w:rFonts w:ascii="Arial" w:hAnsi="Arial" w:cs="Arial"/>
          <w:b/>
          <w:bCs/>
          <w:color w:val="000000" w:themeColor="text1"/>
          <w:sz w:val="26"/>
          <w:szCs w:val="26"/>
        </w:rPr>
        <w:t>F</w:t>
      </w:r>
      <w:r w:rsidRPr="00641596">
        <w:rPr>
          <w:rStyle w:val="Hyperlink"/>
          <w:rFonts w:ascii="Arial" w:hAnsi="Arial" w:cs="Arial"/>
          <w:b/>
          <w:bCs/>
          <w:color w:val="000000" w:themeColor="text1"/>
          <w:sz w:val="26"/>
          <w:szCs w:val="26"/>
        </w:rPr>
        <w:t>iles Advice Letter to set Re</w:t>
      </w:r>
      <w:r w:rsidRPr="00641596" w:rsidR="008524F5">
        <w:rPr>
          <w:rStyle w:val="Hyperlink"/>
          <w:rFonts w:ascii="Arial" w:hAnsi="Arial" w:cs="Arial"/>
          <w:b/>
          <w:bCs/>
          <w:color w:val="000000" w:themeColor="text1"/>
          <w:sz w:val="26"/>
          <w:szCs w:val="26"/>
        </w:rPr>
        <w:t>-</w:t>
      </w:r>
      <w:r w:rsidRPr="00641596">
        <w:rPr>
          <w:rStyle w:val="Hyperlink"/>
          <w:rFonts w:ascii="Arial" w:hAnsi="Arial" w:cs="Arial"/>
          <w:b/>
          <w:bCs/>
          <w:color w:val="000000" w:themeColor="text1"/>
          <w:sz w:val="26"/>
          <w:szCs w:val="26"/>
        </w:rPr>
        <w:t>entry Fees</w:t>
      </w:r>
    </w:p>
    <w:p w:rsidRPr="00400112" w:rsidR="00C1241E" w:rsidP="006225AF" w:rsidRDefault="00C1241E" w14:paraId="7A24286B" w14:textId="6B9A3002">
      <w:pPr>
        <w:spacing w:after="0" w:line="240" w:lineRule="auto"/>
        <w:jc w:val="left"/>
        <w:rPr>
          <w:rStyle w:val="Hyperlink"/>
          <w:rFonts w:ascii="Book Antiqua" w:hAnsi="Book Antiqua" w:cstheme="minorHAnsi"/>
          <w:color w:val="000000" w:themeColor="text1"/>
          <w:sz w:val="26"/>
          <w:szCs w:val="26"/>
          <w:u w:val="none"/>
        </w:rPr>
      </w:pPr>
      <w:r w:rsidRPr="00400112">
        <w:rPr>
          <w:rStyle w:val="Hyperlink"/>
          <w:rFonts w:ascii="Book Antiqua" w:hAnsi="Book Antiqua" w:cstheme="minorHAnsi"/>
          <w:color w:val="000000" w:themeColor="text1"/>
          <w:sz w:val="26"/>
          <w:szCs w:val="26"/>
          <w:u w:val="none"/>
        </w:rPr>
        <w:t xml:space="preserve">The POLR shall file a Tier 1 </w:t>
      </w:r>
      <w:r w:rsidRPr="00400112" w:rsidR="008524F5">
        <w:rPr>
          <w:rStyle w:val="Hyperlink"/>
          <w:rFonts w:ascii="Book Antiqua" w:hAnsi="Book Antiqua" w:cstheme="minorHAnsi"/>
          <w:color w:val="000000" w:themeColor="text1"/>
          <w:sz w:val="26"/>
          <w:szCs w:val="26"/>
          <w:u w:val="none"/>
        </w:rPr>
        <w:t>advice letter (</w:t>
      </w:r>
      <w:r w:rsidRPr="00400112">
        <w:rPr>
          <w:rStyle w:val="Hyperlink"/>
          <w:rFonts w:ascii="Book Antiqua" w:hAnsi="Book Antiqua" w:cstheme="minorHAnsi"/>
          <w:color w:val="000000" w:themeColor="text1"/>
          <w:sz w:val="26"/>
          <w:szCs w:val="26"/>
          <w:u w:val="none"/>
        </w:rPr>
        <w:t>AL</w:t>
      </w:r>
      <w:r w:rsidRPr="00400112" w:rsidR="008524F5">
        <w:rPr>
          <w:rStyle w:val="Hyperlink"/>
          <w:rFonts w:ascii="Book Antiqua" w:hAnsi="Book Antiqua" w:cstheme="minorHAnsi"/>
          <w:color w:val="000000" w:themeColor="text1"/>
          <w:sz w:val="26"/>
          <w:szCs w:val="26"/>
          <w:u w:val="none"/>
        </w:rPr>
        <w:t>)</w:t>
      </w:r>
      <w:r w:rsidRPr="00400112">
        <w:rPr>
          <w:rStyle w:val="Hyperlink"/>
          <w:rFonts w:ascii="Book Antiqua" w:hAnsi="Book Antiqua" w:cstheme="minorHAnsi"/>
          <w:color w:val="000000" w:themeColor="text1"/>
          <w:sz w:val="26"/>
          <w:szCs w:val="26"/>
          <w:u w:val="none"/>
        </w:rPr>
        <w:t xml:space="preserve"> within 30 days following the Notice of Intent to Deregister, with an initial estimate of </w:t>
      </w:r>
      <w:r w:rsidRPr="00400112" w:rsidR="00B8427F">
        <w:rPr>
          <w:rStyle w:val="Hyperlink"/>
          <w:rFonts w:ascii="Book Antiqua" w:hAnsi="Book Antiqua" w:cstheme="minorHAnsi"/>
          <w:color w:val="000000" w:themeColor="text1"/>
          <w:sz w:val="26"/>
          <w:szCs w:val="26"/>
          <w:u w:val="none"/>
        </w:rPr>
        <w:t xml:space="preserve">the </w:t>
      </w:r>
      <w:r w:rsidRPr="00400112" w:rsidR="008861E4">
        <w:rPr>
          <w:rStyle w:val="Hyperlink"/>
          <w:rFonts w:ascii="Book Antiqua" w:hAnsi="Book Antiqua" w:cstheme="minorHAnsi"/>
          <w:color w:val="000000" w:themeColor="text1"/>
          <w:sz w:val="26"/>
          <w:szCs w:val="26"/>
          <w:u w:val="none"/>
        </w:rPr>
        <w:t>re-entry</w:t>
      </w:r>
      <w:r w:rsidRPr="00400112">
        <w:rPr>
          <w:rStyle w:val="Hyperlink"/>
          <w:rFonts w:ascii="Book Antiqua" w:hAnsi="Book Antiqua" w:cstheme="minorHAnsi"/>
          <w:color w:val="000000" w:themeColor="text1"/>
          <w:sz w:val="26"/>
          <w:szCs w:val="26"/>
          <w:u w:val="none"/>
        </w:rPr>
        <w:t xml:space="preserve"> fees. Re</w:t>
      </w:r>
      <w:r w:rsidRPr="00400112" w:rsidR="002F4FA1">
        <w:rPr>
          <w:rStyle w:val="Hyperlink"/>
          <w:rFonts w:ascii="Book Antiqua" w:hAnsi="Book Antiqua" w:cstheme="minorHAnsi"/>
          <w:color w:val="000000" w:themeColor="text1"/>
          <w:sz w:val="26"/>
          <w:szCs w:val="26"/>
          <w:u w:val="none"/>
        </w:rPr>
        <w:t>-</w:t>
      </w:r>
      <w:r w:rsidRPr="00400112">
        <w:rPr>
          <w:rStyle w:val="Hyperlink"/>
          <w:rFonts w:ascii="Book Antiqua" w:hAnsi="Book Antiqua" w:cstheme="minorHAnsi"/>
          <w:color w:val="000000" w:themeColor="text1"/>
          <w:sz w:val="26"/>
          <w:szCs w:val="26"/>
          <w:u w:val="none"/>
        </w:rPr>
        <w:t>entry fees shall be calculated based on the following:</w:t>
      </w:r>
    </w:p>
    <w:p w:rsidRPr="00400112" w:rsidR="00C1241E" w:rsidP="006225AF" w:rsidRDefault="67A21513" w14:paraId="582F8828" w14:textId="53A8649B">
      <w:pPr>
        <w:pStyle w:val="ListParagraph"/>
        <w:numPr>
          <w:ilvl w:val="0"/>
          <w:numId w:val="16"/>
        </w:num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If the LSE is following a</w:t>
      </w:r>
      <w:r w:rsidRPr="00400112" w:rsidR="19FCFDEE">
        <w:rPr>
          <w:rStyle w:val="Hyperlink"/>
          <w:rFonts w:ascii="Book Antiqua" w:hAnsi="Book Antiqua"/>
          <w:color w:val="000000" w:themeColor="text1"/>
          <w:sz w:val="26"/>
          <w:szCs w:val="26"/>
          <w:u w:val="none"/>
        </w:rPr>
        <w:t xml:space="preserve"> </w:t>
      </w:r>
      <w:r w:rsidRPr="00400112" w:rsidR="002463CC">
        <w:rPr>
          <w:rStyle w:val="Hyperlink"/>
          <w:rFonts w:ascii="Book Antiqua" w:hAnsi="Book Antiqua"/>
          <w:color w:val="000000" w:themeColor="text1"/>
          <w:sz w:val="26"/>
          <w:szCs w:val="26"/>
          <w:u w:val="none"/>
        </w:rPr>
        <w:t xml:space="preserve">planned </w:t>
      </w:r>
      <w:r w:rsidRPr="00400112">
        <w:rPr>
          <w:rStyle w:val="Hyperlink"/>
          <w:rFonts w:ascii="Book Antiqua" w:hAnsi="Book Antiqua"/>
          <w:color w:val="000000" w:themeColor="text1"/>
          <w:sz w:val="26"/>
          <w:szCs w:val="26"/>
          <w:u w:val="none"/>
        </w:rPr>
        <w:t xml:space="preserve">deregistration schedule, then the </w:t>
      </w:r>
      <w:r w:rsidRPr="00400112" w:rsidR="428E8C90">
        <w:rPr>
          <w:rStyle w:val="Hyperlink"/>
          <w:rFonts w:ascii="Book Antiqua" w:hAnsi="Book Antiqua"/>
          <w:color w:val="000000" w:themeColor="text1"/>
          <w:sz w:val="26"/>
          <w:szCs w:val="26"/>
          <w:u w:val="none"/>
        </w:rPr>
        <w:t>re-entry</w:t>
      </w:r>
      <w:r w:rsidRPr="00400112" w:rsidR="3BC8D4A6">
        <w:rPr>
          <w:rStyle w:val="Hyperlink"/>
          <w:rFonts w:ascii="Book Antiqua" w:hAnsi="Book Antiqua"/>
          <w:color w:val="000000" w:themeColor="text1"/>
          <w:sz w:val="26"/>
          <w:szCs w:val="26"/>
          <w:u w:val="none"/>
        </w:rPr>
        <w:t xml:space="preserve"> fee </w:t>
      </w:r>
      <w:r w:rsidRPr="00400112" w:rsidR="5B1FAAB1">
        <w:rPr>
          <w:rStyle w:val="Hyperlink"/>
          <w:rFonts w:ascii="Book Antiqua" w:hAnsi="Book Antiqua"/>
          <w:color w:val="000000" w:themeColor="text1"/>
          <w:sz w:val="26"/>
          <w:szCs w:val="26"/>
          <w:u w:val="none"/>
        </w:rPr>
        <w:t>calculation will be on</w:t>
      </w:r>
      <w:r w:rsidR="00085CA4">
        <w:rPr>
          <w:rStyle w:val="Hyperlink"/>
          <w:rFonts w:ascii="Book Antiqua" w:hAnsi="Book Antiqua"/>
          <w:color w:val="000000" w:themeColor="text1"/>
          <w:sz w:val="26"/>
          <w:szCs w:val="26"/>
          <w:u w:val="none"/>
        </w:rPr>
        <w:t xml:space="preserve"> the</w:t>
      </w:r>
      <w:r w:rsidRPr="00400112">
        <w:rPr>
          <w:rStyle w:val="Hyperlink"/>
          <w:rFonts w:ascii="Book Antiqua" w:hAnsi="Book Antiqua"/>
          <w:color w:val="000000" w:themeColor="text1"/>
          <w:sz w:val="26"/>
          <w:szCs w:val="26"/>
          <w:u w:val="none"/>
        </w:rPr>
        <w:t xml:space="preserve"> month following the submission of the Notice of Intent to Deregister</w:t>
      </w:r>
      <w:r w:rsidRPr="00400112" w:rsidR="008C5450">
        <w:rPr>
          <w:rStyle w:val="Hyperlink"/>
          <w:rFonts w:ascii="Book Antiqua" w:hAnsi="Book Antiqua"/>
          <w:color w:val="000000" w:themeColor="text1"/>
          <w:sz w:val="26"/>
          <w:szCs w:val="26"/>
          <w:u w:val="none"/>
        </w:rPr>
        <w:t>.</w:t>
      </w:r>
    </w:p>
    <w:p w:rsidRPr="00400112" w:rsidR="00C1241E" w:rsidP="006225AF" w:rsidRDefault="00C1241E" w14:paraId="328746F7" w14:textId="0918C99B">
      <w:pPr>
        <w:pStyle w:val="ListParagraph"/>
        <w:numPr>
          <w:ilvl w:val="0"/>
          <w:numId w:val="16"/>
        </w:num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 xml:space="preserve">If the LSE </w:t>
      </w:r>
      <w:r w:rsidRPr="00400112" w:rsidR="004C7CD6">
        <w:rPr>
          <w:rStyle w:val="Hyperlink"/>
          <w:rFonts w:ascii="Book Antiqua" w:hAnsi="Book Antiqua"/>
          <w:color w:val="000000" w:themeColor="text1"/>
          <w:sz w:val="26"/>
          <w:szCs w:val="26"/>
          <w:u w:val="none"/>
        </w:rPr>
        <w:t>must</w:t>
      </w:r>
      <w:r w:rsidRPr="00400112" w:rsidR="00C7232D">
        <w:rPr>
          <w:rStyle w:val="Hyperlink"/>
          <w:rFonts w:ascii="Book Antiqua" w:hAnsi="Book Antiqua"/>
          <w:color w:val="000000" w:themeColor="text1"/>
          <w:sz w:val="26"/>
          <w:szCs w:val="26"/>
          <w:u w:val="none"/>
        </w:rPr>
        <w:t xml:space="preserve"> initiate an </w:t>
      </w:r>
      <w:r w:rsidR="00107FBA">
        <w:rPr>
          <w:rStyle w:val="Hyperlink"/>
          <w:rFonts w:ascii="Book Antiqua" w:hAnsi="Book Antiqua"/>
          <w:color w:val="000000" w:themeColor="text1"/>
          <w:sz w:val="26"/>
          <w:szCs w:val="26"/>
          <w:u w:val="none"/>
        </w:rPr>
        <w:t xml:space="preserve">involuntary </w:t>
      </w:r>
      <w:r w:rsidR="00C163D1">
        <w:rPr>
          <w:rStyle w:val="Hyperlink"/>
          <w:rFonts w:ascii="Book Antiqua" w:hAnsi="Book Antiqua"/>
          <w:color w:val="000000" w:themeColor="text1"/>
          <w:sz w:val="26"/>
          <w:szCs w:val="26"/>
          <w:u w:val="none"/>
        </w:rPr>
        <w:t xml:space="preserve">return </w:t>
      </w:r>
      <w:r w:rsidR="00107FBA">
        <w:rPr>
          <w:rStyle w:val="Hyperlink"/>
          <w:rFonts w:ascii="Book Antiqua" w:hAnsi="Book Antiqua"/>
          <w:color w:val="000000" w:themeColor="text1"/>
          <w:sz w:val="26"/>
          <w:szCs w:val="26"/>
          <w:u w:val="none"/>
        </w:rPr>
        <w:t xml:space="preserve">or </w:t>
      </w:r>
      <w:r w:rsidR="004C7318">
        <w:rPr>
          <w:rStyle w:val="Hyperlink"/>
          <w:rFonts w:ascii="Book Antiqua" w:hAnsi="Book Antiqua"/>
          <w:color w:val="000000" w:themeColor="text1"/>
          <w:sz w:val="26"/>
          <w:szCs w:val="26"/>
          <w:u w:val="none"/>
        </w:rPr>
        <w:t xml:space="preserve">Unplanned </w:t>
      </w:r>
      <w:r w:rsidRPr="00400112" w:rsidR="007018D1">
        <w:rPr>
          <w:rStyle w:val="Hyperlink"/>
          <w:rFonts w:ascii="Book Antiqua" w:hAnsi="Book Antiqua"/>
          <w:color w:val="000000" w:themeColor="text1"/>
          <w:sz w:val="26"/>
          <w:szCs w:val="26"/>
          <w:u w:val="none"/>
        </w:rPr>
        <w:t xml:space="preserve">Deregistration </w:t>
      </w:r>
      <w:r w:rsidRPr="00400112" w:rsidR="00C7232D">
        <w:rPr>
          <w:rStyle w:val="Hyperlink"/>
          <w:rFonts w:ascii="Book Antiqua" w:hAnsi="Book Antiqua"/>
          <w:color w:val="000000" w:themeColor="text1"/>
          <w:sz w:val="26"/>
          <w:szCs w:val="26"/>
          <w:u w:val="none"/>
        </w:rPr>
        <w:t xml:space="preserve">with less than </w:t>
      </w:r>
      <w:r w:rsidRPr="00400112" w:rsidR="002A7385">
        <w:rPr>
          <w:rStyle w:val="Hyperlink"/>
          <w:rFonts w:ascii="Book Antiqua" w:hAnsi="Book Antiqua"/>
          <w:color w:val="000000" w:themeColor="text1"/>
          <w:sz w:val="26"/>
          <w:szCs w:val="26"/>
          <w:u w:val="none"/>
        </w:rPr>
        <w:t>six</w:t>
      </w:r>
      <w:r w:rsidRPr="00400112" w:rsidR="003C27E4">
        <w:rPr>
          <w:rStyle w:val="Hyperlink"/>
          <w:rFonts w:ascii="Book Antiqua" w:hAnsi="Book Antiqua"/>
          <w:color w:val="000000" w:themeColor="text1"/>
          <w:sz w:val="26"/>
          <w:szCs w:val="26"/>
          <w:u w:val="none"/>
        </w:rPr>
        <w:t xml:space="preserve"> </w:t>
      </w:r>
      <w:r w:rsidRPr="00400112" w:rsidR="002A7385">
        <w:rPr>
          <w:rStyle w:val="Hyperlink"/>
          <w:rFonts w:ascii="Book Antiqua" w:hAnsi="Book Antiqua"/>
          <w:color w:val="000000" w:themeColor="text1"/>
          <w:sz w:val="26"/>
          <w:szCs w:val="26"/>
          <w:u w:val="none"/>
        </w:rPr>
        <w:t>(6)</w:t>
      </w:r>
      <w:r w:rsidRPr="00400112" w:rsidR="003C27E4">
        <w:rPr>
          <w:rStyle w:val="Hyperlink"/>
          <w:rFonts w:ascii="Book Antiqua" w:hAnsi="Book Antiqua"/>
          <w:color w:val="000000" w:themeColor="text1"/>
          <w:sz w:val="26"/>
          <w:szCs w:val="26"/>
          <w:u w:val="none"/>
        </w:rPr>
        <w:t xml:space="preserve"> months advance notic</w:t>
      </w:r>
      <w:r w:rsidRPr="00400112" w:rsidR="00554C4A">
        <w:rPr>
          <w:rStyle w:val="Hyperlink"/>
          <w:rFonts w:ascii="Book Antiqua" w:hAnsi="Book Antiqua"/>
          <w:color w:val="000000" w:themeColor="text1"/>
          <w:sz w:val="26"/>
          <w:szCs w:val="26"/>
          <w:u w:val="none"/>
        </w:rPr>
        <w:t>e</w:t>
      </w:r>
      <w:r w:rsidRPr="00400112">
        <w:rPr>
          <w:rStyle w:val="Hyperlink"/>
          <w:rFonts w:ascii="Book Antiqua" w:hAnsi="Book Antiqua"/>
          <w:color w:val="000000" w:themeColor="text1"/>
          <w:sz w:val="26"/>
          <w:szCs w:val="26"/>
          <w:u w:val="none"/>
        </w:rPr>
        <w:t xml:space="preserve">, then </w:t>
      </w:r>
      <w:r w:rsidRPr="00400112" w:rsidR="0034410C">
        <w:rPr>
          <w:rStyle w:val="Hyperlink"/>
          <w:rFonts w:ascii="Book Antiqua" w:hAnsi="Book Antiqua"/>
          <w:color w:val="000000" w:themeColor="text1"/>
          <w:sz w:val="26"/>
          <w:szCs w:val="26"/>
          <w:u w:val="none"/>
        </w:rPr>
        <w:t xml:space="preserve">the POLR may collect the </w:t>
      </w:r>
      <w:r w:rsidRPr="00400112" w:rsidR="008861E4">
        <w:rPr>
          <w:rStyle w:val="Hyperlink"/>
          <w:rFonts w:ascii="Book Antiqua" w:hAnsi="Book Antiqua"/>
          <w:color w:val="000000" w:themeColor="text1"/>
          <w:sz w:val="26"/>
          <w:szCs w:val="26"/>
          <w:u w:val="none"/>
        </w:rPr>
        <w:t>re-entry</w:t>
      </w:r>
      <w:r w:rsidRPr="00400112" w:rsidR="0034410C">
        <w:rPr>
          <w:rStyle w:val="Hyperlink"/>
          <w:rFonts w:ascii="Book Antiqua" w:hAnsi="Book Antiqua"/>
          <w:color w:val="000000" w:themeColor="text1"/>
          <w:sz w:val="26"/>
          <w:szCs w:val="26"/>
          <w:u w:val="none"/>
        </w:rPr>
        <w:t xml:space="preserve"> fees based on the </w:t>
      </w:r>
      <w:r w:rsidRPr="00400112" w:rsidR="007C75D9">
        <w:rPr>
          <w:rStyle w:val="Hyperlink"/>
          <w:rFonts w:ascii="Book Antiqua" w:hAnsi="Book Antiqua"/>
          <w:color w:val="000000" w:themeColor="text1"/>
          <w:sz w:val="26"/>
          <w:szCs w:val="26"/>
          <w:u w:val="none"/>
        </w:rPr>
        <w:t xml:space="preserve">initial estimate of </w:t>
      </w:r>
      <w:r w:rsidRPr="00400112" w:rsidR="008861E4">
        <w:rPr>
          <w:rStyle w:val="Hyperlink"/>
          <w:rFonts w:ascii="Book Antiqua" w:hAnsi="Book Antiqua"/>
          <w:color w:val="000000" w:themeColor="text1"/>
          <w:sz w:val="26"/>
          <w:szCs w:val="26"/>
          <w:u w:val="none"/>
        </w:rPr>
        <w:t>re-entry</w:t>
      </w:r>
      <w:r w:rsidRPr="00400112" w:rsidR="007C75D9">
        <w:rPr>
          <w:rStyle w:val="Hyperlink"/>
          <w:rFonts w:ascii="Book Antiqua" w:hAnsi="Book Antiqua"/>
          <w:color w:val="000000" w:themeColor="text1"/>
          <w:sz w:val="26"/>
          <w:szCs w:val="26"/>
          <w:u w:val="none"/>
        </w:rPr>
        <w:t xml:space="preserve"> fees and </w:t>
      </w:r>
      <w:r w:rsidRPr="00400112" w:rsidR="00F6527C">
        <w:rPr>
          <w:rStyle w:val="Hyperlink"/>
          <w:rFonts w:ascii="Book Antiqua" w:hAnsi="Book Antiqua"/>
          <w:color w:val="000000" w:themeColor="text1"/>
          <w:sz w:val="26"/>
          <w:szCs w:val="26"/>
          <w:u w:val="none"/>
        </w:rPr>
        <w:t>will submit</w:t>
      </w:r>
      <w:r w:rsidRPr="00400112" w:rsidR="00EC783E">
        <w:rPr>
          <w:rStyle w:val="Hyperlink"/>
          <w:rFonts w:ascii="Book Antiqua" w:hAnsi="Book Antiqua"/>
          <w:color w:val="000000" w:themeColor="text1"/>
          <w:sz w:val="26"/>
          <w:szCs w:val="26"/>
          <w:u w:val="none"/>
        </w:rPr>
        <w:t xml:space="preserve"> </w:t>
      </w:r>
      <w:r w:rsidRPr="00400112" w:rsidR="3ADCAD9B">
        <w:rPr>
          <w:rStyle w:val="Hyperlink"/>
          <w:rFonts w:ascii="Book Antiqua" w:hAnsi="Book Antiqua"/>
          <w:color w:val="000000" w:themeColor="text1"/>
          <w:sz w:val="26"/>
          <w:szCs w:val="26"/>
          <w:u w:val="none"/>
        </w:rPr>
        <w:t>a</w:t>
      </w:r>
      <w:r w:rsidRPr="00400112" w:rsidR="40C77E0F">
        <w:rPr>
          <w:rStyle w:val="Hyperlink"/>
          <w:rFonts w:ascii="Book Antiqua" w:hAnsi="Book Antiqua"/>
          <w:color w:val="000000" w:themeColor="text1"/>
          <w:sz w:val="26"/>
          <w:szCs w:val="26"/>
          <w:u w:val="none"/>
        </w:rPr>
        <w:t>n</w:t>
      </w:r>
      <w:r w:rsidRPr="00400112" w:rsidR="6DEF35B1">
        <w:rPr>
          <w:rStyle w:val="Hyperlink"/>
          <w:rFonts w:ascii="Book Antiqua" w:hAnsi="Book Antiqua"/>
          <w:color w:val="000000" w:themeColor="text1"/>
          <w:sz w:val="26"/>
          <w:szCs w:val="26"/>
          <w:u w:val="none"/>
        </w:rPr>
        <w:t xml:space="preserve"> </w:t>
      </w:r>
      <w:r w:rsidRPr="00400112" w:rsidR="659E808E">
        <w:rPr>
          <w:rStyle w:val="Hyperlink"/>
          <w:rFonts w:ascii="Book Antiqua" w:hAnsi="Book Antiqua"/>
          <w:color w:val="000000" w:themeColor="text1"/>
          <w:sz w:val="26"/>
          <w:szCs w:val="26"/>
          <w:u w:val="none"/>
        </w:rPr>
        <w:t>additional</w:t>
      </w:r>
      <w:r w:rsidRPr="00400112" w:rsidR="003F321E">
        <w:rPr>
          <w:rStyle w:val="Hyperlink"/>
          <w:rFonts w:ascii="Book Antiqua" w:hAnsi="Book Antiqua"/>
          <w:color w:val="000000" w:themeColor="text1"/>
          <w:sz w:val="26"/>
          <w:szCs w:val="26"/>
          <w:u w:val="none"/>
        </w:rPr>
        <w:t xml:space="preserve"> </w:t>
      </w:r>
      <w:r w:rsidR="00FC129D">
        <w:rPr>
          <w:rStyle w:val="Hyperlink"/>
          <w:rFonts w:ascii="Book Antiqua" w:hAnsi="Book Antiqua"/>
          <w:color w:val="000000" w:themeColor="text1"/>
          <w:sz w:val="26"/>
          <w:szCs w:val="26"/>
          <w:u w:val="none"/>
        </w:rPr>
        <w:t xml:space="preserve">AL </w:t>
      </w:r>
      <w:r w:rsidRPr="00400112" w:rsidR="7622CA26">
        <w:rPr>
          <w:rStyle w:val="Hyperlink"/>
          <w:rFonts w:ascii="Book Antiqua" w:hAnsi="Book Antiqua"/>
          <w:color w:val="000000" w:themeColor="text1"/>
          <w:sz w:val="26"/>
          <w:szCs w:val="26"/>
          <w:u w:val="none"/>
        </w:rPr>
        <w:t xml:space="preserve">with the </w:t>
      </w:r>
      <w:r w:rsidRPr="00400112" w:rsidR="003F321E">
        <w:rPr>
          <w:rStyle w:val="Hyperlink"/>
          <w:rFonts w:ascii="Book Antiqua" w:hAnsi="Book Antiqua"/>
          <w:color w:val="000000" w:themeColor="text1"/>
          <w:sz w:val="26"/>
          <w:szCs w:val="26"/>
          <w:u w:val="none"/>
        </w:rPr>
        <w:t xml:space="preserve">final </w:t>
      </w:r>
      <w:r w:rsidRPr="00400112" w:rsidR="008861E4">
        <w:rPr>
          <w:rStyle w:val="Hyperlink"/>
          <w:rFonts w:ascii="Book Antiqua" w:hAnsi="Book Antiqua"/>
          <w:color w:val="000000" w:themeColor="text1"/>
          <w:sz w:val="26"/>
          <w:szCs w:val="26"/>
          <w:u w:val="none"/>
        </w:rPr>
        <w:t>re-entry</w:t>
      </w:r>
      <w:r w:rsidRPr="00400112" w:rsidR="003F321E">
        <w:rPr>
          <w:rStyle w:val="Hyperlink"/>
          <w:rFonts w:ascii="Book Antiqua" w:hAnsi="Book Antiqua"/>
          <w:color w:val="000000" w:themeColor="text1"/>
          <w:sz w:val="26"/>
          <w:szCs w:val="26"/>
          <w:u w:val="none"/>
        </w:rPr>
        <w:t xml:space="preserve"> fee </w:t>
      </w:r>
      <w:r w:rsidRPr="00400112" w:rsidR="2E8B911A">
        <w:rPr>
          <w:rStyle w:val="Hyperlink"/>
          <w:rFonts w:ascii="Book Antiqua" w:hAnsi="Book Antiqua"/>
          <w:color w:val="000000" w:themeColor="text1"/>
          <w:sz w:val="26"/>
          <w:szCs w:val="26"/>
          <w:u w:val="none"/>
        </w:rPr>
        <w:t xml:space="preserve">amount </w:t>
      </w:r>
      <w:r w:rsidRPr="00400112" w:rsidR="00EC783E">
        <w:rPr>
          <w:rStyle w:val="Hyperlink"/>
          <w:rFonts w:ascii="Book Antiqua" w:hAnsi="Book Antiqua"/>
          <w:color w:val="000000" w:themeColor="text1"/>
          <w:sz w:val="26"/>
          <w:szCs w:val="26"/>
          <w:u w:val="none"/>
        </w:rPr>
        <w:t>at the date of deregistration</w:t>
      </w:r>
      <w:r w:rsidRPr="00400112" w:rsidR="003E7E91">
        <w:rPr>
          <w:rStyle w:val="Hyperlink"/>
          <w:rFonts w:ascii="Book Antiqua" w:hAnsi="Book Antiqua"/>
          <w:color w:val="000000" w:themeColor="text1"/>
          <w:sz w:val="26"/>
          <w:szCs w:val="26"/>
          <w:u w:val="none"/>
        </w:rPr>
        <w:t>.</w:t>
      </w:r>
    </w:p>
    <w:p w:rsidRPr="00400112" w:rsidR="005F1FAF" w:rsidP="005F1FAF" w:rsidRDefault="005F1FAF" w14:paraId="724BEF86" w14:textId="77777777">
      <w:pPr>
        <w:pStyle w:val="ListParagraph"/>
        <w:spacing w:after="0" w:line="240" w:lineRule="auto"/>
        <w:jc w:val="left"/>
        <w:rPr>
          <w:rStyle w:val="Hyperlink"/>
          <w:rFonts w:ascii="Book Antiqua" w:hAnsi="Book Antiqua"/>
          <w:color w:val="000000" w:themeColor="text1"/>
          <w:sz w:val="26"/>
          <w:szCs w:val="26"/>
          <w:u w:val="none"/>
        </w:rPr>
      </w:pPr>
    </w:p>
    <w:p w:rsidRPr="00400112" w:rsidR="00C1241E" w:rsidP="006225AF" w:rsidRDefault="00C1241E" w14:paraId="0ABA42CE" w14:textId="77777777">
      <w:pPr>
        <w:spacing w:after="0" w:line="240" w:lineRule="auto"/>
        <w:jc w:val="left"/>
        <w:rPr>
          <w:rStyle w:val="Hyperlink"/>
          <w:rFonts w:ascii="Book Antiqua" w:hAnsi="Book Antiqua" w:cstheme="minorHAnsi"/>
          <w:color w:val="000000" w:themeColor="text1"/>
          <w:sz w:val="26"/>
          <w:szCs w:val="26"/>
          <w:u w:val="none"/>
        </w:rPr>
      </w:pPr>
      <w:r w:rsidRPr="00400112">
        <w:rPr>
          <w:rStyle w:val="Hyperlink"/>
          <w:rFonts w:ascii="Book Antiqua" w:hAnsi="Book Antiqua" w:cstheme="minorHAnsi"/>
          <w:color w:val="000000" w:themeColor="text1"/>
          <w:sz w:val="26"/>
          <w:szCs w:val="26"/>
          <w:u w:val="none"/>
        </w:rPr>
        <w:t xml:space="preserve">Steps 4-6 only apply to an ESP if customers need to be involuntarily returned to the POLR. </w:t>
      </w:r>
    </w:p>
    <w:p w:rsidRPr="00400112" w:rsidR="00C1241E" w:rsidP="006225AF" w:rsidRDefault="00C1241E" w14:paraId="26A1A0D8" w14:textId="77777777">
      <w:pPr>
        <w:spacing w:after="0" w:line="240" w:lineRule="auto"/>
        <w:jc w:val="left"/>
        <w:rPr>
          <w:rFonts w:ascii="Book Antiqua" w:hAnsi="Book Antiqua" w:cstheme="minorHAnsi"/>
          <w:sz w:val="26"/>
          <w:szCs w:val="26"/>
        </w:rPr>
      </w:pPr>
    </w:p>
    <w:p w:rsidRPr="00641596" w:rsidR="00C1241E" w:rsidP="002F46B5" w:rsidRDefault="00C1241E" w14:paraId="21A4474D" w14:textId="796AD6D7">
      <w:pPr>
        <w:pStyle w:val="ListParagraph"/>
        <w:numPr>
          <w:ilvl w:val="0"/>
          <w:numId w:val="6"/>
        </w:numPr>
        <w:spacing w:after="120" w:line="240" w:lineRule="auto"/>
        <w:jc w:val="left"/>
        <w:rPr>
          <w:rStyle w:val="Hyperlink"/>
          <w:rFonts w:ascii="Arial" w:hAnsi="Arial" w:cs="Arial"/>
          <w:b/>
          <w:bCs/>
          <w:color w:val="000000" w:themeColor="text1"/>
          <w:sz w:val="26"/>
          <w:szCs w:val="26"/>
        </w:rPr>
      </w:pPr>
      <w:r w:rsidRPr="00641596">
        <w:rPr>
          <w:rStyle w:val="Hyperlink"/>
          <w:rFonts w:ascii="Arial" w:hAnsi="Arial" w:cs="Arial"/>
          <w:b/>
          <w:bCs/>
          <w:color w:val="000000" w:themeColor="text1"/>
          <w:sz w:val="26"/>
          <w:szCs w:val="26"/>
        </w:rPr>
        <w:t xml:space="preserve">LSE </w:t>
      </w:r>
      <w:r w:rsidRPr="00641596" w:rsidR="00A57EA9">
        <w:rPr>
          <w:rStyle w:val="Hyperlink"/>
          <w:rFonts w:ascii="Arial" w:hAnsi="Arial" w:cs="Arial"/>
          <w:b/>
          <w:bCs/>
          <w:color w:val="000000" w:themeColor="text1"/>
          <w:sz w:val="26"/>
          <w:szCs w:val="26"/>
        </w:rPr>
        <w:t>I</w:t>
      </w:r>
      <w:r w:rsidRPr="00641596">
        <w:rPr>
          <w:rStyle w:val="Hyperlink"/>
          <w:rFonts w:ascii="Arial" w:hAnsi="Arial" w:cs="Arial"/>
          <w:b/>
          <w:bCs/>
          <w:color w:val="000000" w:themeColor="text1"/>
          <w:sz w:val="26"/>
          <w:szCs w:val="26"/>
        </w:rPr>
        <w:t xml:space="preserve">nforms POLR of Payment Plan for </w:t>
      </w:r>
      <w:r w:rsidRPr="00641596" w:rsidR="008861E4">
        <w:rPr>
          <w:rStyle w:val="Hyperlink"/>
          <w:rFonts w:ascii="Arial" w:hAnsi="Arial" w:cs="Arial"/>
          <w:b/>
          <w:bCs/>
          <w:color w:val="000000" w:themeColor="text1"/>
          <w:sz w:val="26"/>
          <w:szCs w:val="26"/>
        </w:rPr>
        <w:t>Re-entry</w:t>
      </w:r>
      <w:r w:rsidRPr="00641596">
        <w:rPr>
          <w:rStyle w:val="Hyperlink"/>
          <w:rFonts w:ascii="Arial" w:hAnsi="Arial" w:cs="Arial"/>
          <w:b/>
          <w:bCs/>
          <w:color w:val="000000" w:themeColor="text1"/>
          <w:sz w:val="26"/>
          <w:szCs w:val="26"/>
        </w:rPr>
        <w:t xml:space="preserve"> Fees</w:t>
      </w:r>
    </w:p>
    <w:p w:rsidRPr="00400112" w:rsidR="00C1241E" w:rsidP="006225AF" w:rsidRDefault="00C1241E" w14:paraId="36501DBB" w14:textId="3F8990C1">
      <w:p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lastRenderedPageBreak/>
        <w:t xml:space="preserve">Within </w:t>
      </w:r>
      <w:r w:rsidRPr="00400112" w:rsidR="009B7CB3">
        <w:rPr>
          <w:rStyle w:val="Hyperlink"/>
          <w:rFonts w:ascii="Book Antiqua" w:hAnsi="Book Antiqua"/>
          <w:color w:val="000000" w:themeColor="text1"/>
          <w:sz w:val="26"/>
          <w:szCs w:val="26"/>
          <w:u w:val="none"/>
        </w:rPr>
        <w:t>fifteen (</w:t>
      </w:r>
      <w:r w:rsidRPr="00400112">
        <w:rPr>
          <w:rStyle w:val="Hyperlink"/>
          <w:rFonts w:ascii="Book Antiqua" w:hAnsi="Book Antiqua"/>
          <w:color w:val="000000" w:themeColor="text1"/>
          <w:sz w:val="26"/>
          <w:szCs w:val="26"/>
          <w:u w:val="none"/>
        </w:rPr>
        <w:t>15</w:t>
      </w:r>
      <w:r w:rsidRPr="00400112" w:rsidR="009B7CB3">
        <w:rPr>
          <w:rStyle w:val="Hyperlink"/>
          <w:rFonts w:ascii="Book Antiqua" w:hAnsi="Book Antiqua"/>
          <w:color w:val="000000" w:themeColor="text1"/>
          <w:sz w:val="26"/>
          <w:szCs w:val="26"/>
          <w:u w:val="none"/>
        </w:rPr>
        <w:t>)</w:t>
      </w:r>
      <w:r w:rsidRPr="00400112">
        <w:rPr>
          <w:rStyle w:val="Hyperlink"/>
          <w:rFonts w:ascii="Book Antiqua" w:hAnsi="Book Antiqua"/>
          <w:color w:val="000000" w:themeColor="text1"/>
          <w:sz w:val="26"/>
          <w:szCs w:val="26"/>
          <w:u w:val="none"/>
        </w:rPr>
        <w:t xml:space="preserve"> days of the POLR’s AL submission to establish the </w:t>
      </w:r>
      <w:r w:rsidRPr="00400112" w:rsidR="008861E4">
        <w:rPr>
          <w:rStyle w:val="Hyperlink"/>
          <w:rFonts w:ascii="Book Antiqua" w:hAnsi="Book Antiqua"/>
          <w:color w:val="000000" w:themeColor="text1"/>
          <w:sz w:val="26"/>
          <w:szCs w:val="26"/>
          <w:u w:val="none"/>
        </w:rPr>
        <w:t>re-entry</w:t>
      </w:r>
      <w:r w:rsidRPr="00400112">
        <w:rPr>
          <w:rStyle w:val="Hyperlink"/>
          <w:rFonts w:ascii="Book Antiqua" w:hAnsi="Book Antiqua"/>
          <w:color w:val="000000" w:themeColor="text1"/>
          <w:sz w:val="26"/>
          <w:szCs w:val="26"/>
          <w:u w:val="none"/>
        </w:rPr>
        <w:t xml:space="preserve"> fees, the deregistering LSE will inform the POLR how it will pay the </w:t>
      </w:r>
      <w:r w:rsidRPr="00400112" w:rsidR="008861E4">
        <w:rPr>
          <w:rStyle w:val="Hyperlink"/>
          <w:rFonts w:ascii="Book Antiqua" w:hAnsi="Book Antiqua"/>
          <w:color w:val="000000" w:themeColor="text1"/>
          <w:sz w:val="26"/>
          <w:szCs w:val="26"/>
          <w:u w:val="none"/>
        </w:rPr>
        <w:t>re-entry</w:t>
      </w:r>
      <w:r w:rsidRPr="00400112">
        <w:rPr>
          <w:rStyle w:val="Hyperlink"/>
          <w:rFonts w:ascii="Book Antiqua" w:hAnsi="Book Antiqua"/>
          <w:color w:val="000000" w:themeColor="text1"/>
          <w:sz w:val="26"/>
          <w:szCs w:val="26"/>
          <w:u w:val="none"/>
        </w:rPr>
        <w:t xml:space="preserve"> fees. </w:t>
      </w:r>
    </w:p>
    <w:p w:rsidRPr="00641596" w:rsidR="00C1241E" w:rsidP="002F46B5" w:rsidRDefault="00C1241E" w14:paraId="73D28F1D" w14:textId="10F7F7F7">
      <w:pPr>
        <w:pStyle w:val="ListParagraph"/>
        <w:numPr>
          <w:ilvl w:val="0"/>
          <w:numId w:val="6"/>
        </w:numPr>
        <w:spacing w:after="120" w:line="240" w:lineRule="auto"/>
        <w:jc w:val="left"/>
        <w:rPr>
          <w:rStyle w:val="Hyperlink"/>
          <w:rFonts w:ascii="Arial" w:hAnsi="Arial" w:cs="Arial"/>
          <w:b/>
          <w:bCs/>
          <w:color w:val="000000" w:themeColor="text1"/>
          <w:sz w:val="26"/>
          <w:szCs w:val="26"/>
        </w:rPr>
      </w:pPr>
      <w:r w:rsidRPr="00641596">
        <w:rPr>
          <w:rStyle w:val="Hyperlink"/>
          <w:rFonts w:ascii="Arial" w:hAnsi="Arial" w:cs="Arial"/>
          <w:b/>
          <w:bCs/>
          <w:color w:val="000000" w:themeColor="text1"/>
          <w:sz w:val="26"/>
          <w:szCs w:val="26"/>
        </w:rPr>
        <w:t xml:space="preserve">POLR Collects Funds </w:t>
      </w:r>
      <w:r w:rsidRPr="00641596" w:rsidR="00A57EA9">
        <w:rPr>
          <w:rStyle w:val="Hyperlink"/>
          <w:rFonts w:ascii="Arial" w:hAnsi="Arial" w:cs="Arial"/>
          <w:b/>
          <w:bCs/>
          <w:color w:val="000000" w:themeColor="text1"/>
          <w:sz w:val="26"/>
          <w:szCs w:val="26"/>
        </w:rPr>
        <w:t>F</w:t>
      </w:r>
      <w:r w:rsidRPr="00641596">
        <w:rPr>
          <w:rStyle w:val="Hyperlink"/>
          <w:rFonts w:ascii="Arial" w:hAnsi="Arial" w:cs="Arial"/>
          <w:b/>
          <w:bCs/>
          <w:color w:val="000000" w:themeColor="text1"/>
          <w:sz w:val="26"/>
          <w:szCs w:val="26"/>
        </w:rPr>
        <w:t>rom LSE</w:t>
      </w:r>
    </w:p>
    <w:p w:rsidRPr="00400112" w:rsidR="0037752D" w:rsidP="006225AF" w:rsidRDefault="0037752D" w14:paraId="36B8F8D0" w14:textId="49CBE38B">
      <w:pPr>
        <w:spacing w:after="0" w:line="240" w:lineRule="auto"/>
        <w:jc w:val="left"/>
        <w:rPr>
          <w:rFonts w:ascii="Book Antiqua" w:hAnsi="Book Antiqua"/>
          <w:sz w:val="26"/>
          <w:szCs w:val="26"/>
        </w:rPr>
      </w:pPr>
      <w:r w:rsidRPr="00400112">
        <w:rPr>
          <w:rFonts w:ascii="Book Antiqua" w:hAnsi="Book Antiqua"/>
          <w:sz w:val="26"/>
          <w:szCs w:val="26"/>
        </w:rPr>
        <w:t xml:space="preserve">If the LSE has not provided </w:t>
      </w:r>
      <w:r w:rsidRPr="00400112" w:rsidR="00A37571">
        <w:rPr>
          <w:rFonts w:ascii="Book Antiqua" w:hAnsi="Book Antiqua"/>
          <w:sz w:val="26"/>
          <w:szCs w:val="26"/>
        </w:rPr>
        <w:t>payment to the IOU POLR</w:t>
      </w:r>
      <w:r w:rsidRPr="00400112" w:rsidR="009B7CB3">
        <w:rPr>
          <w:rFonts w:ascii="Book Antiqua" w:hAnsi="Book Antiqua"/>
          <w:sz w:val="26"/>
          <w:szCs w:val="26"/>
        </w:rPr>
        <w:t xml:space="preserve"> within fifteen (15) </w:t>
      </w:r>
      <w:r w:rsidRPr="00400112" w:rsidR="00413E5E">
        <w:rPr>
          <w:rFonts w:ascii="Book Antiqua" w:hAnsi="Book Antiqua"/>
          <w:sz w:val="26"/>
          <w:szCs w:val="26"/>
        </w:rPr>
        <w:t>days</w:t>
      </w:r>
      <w:r w:rsidRPr="00400112" w:rsidR="009B7CB3">
        <w:rPr>
          <w:rFonts w:ascii="Book Antiqua" w:hAnsi="Book Antiqua"/>
          <w:sz w:val="26"/>
          <w:szCs w:val="26"/>
        </w:rPr>
        <w:t xml:space="preserve"> following </w:t>
      </w:r>
      <w:r w:rsidRPr="00400112" w:rsidR="00B3005E">
        <w:rPr>
          <w:rFonts w:ascii="Book Antiqua" w:hAnsi="Book Antiqua"/>
          <w:sz w:val="26"/>
          <w:szCs w:val="26"/>
        </w:rPr>
        <w:t xml:space="preserve">the IOU POLR’s demand for payment </w:t>
      </w:r>
      <w:r w:rsidRPr="00400112" w:rsidR="6C0940A7">
        <w:rPr>
          <w:rFonts w:ascii="Book Antiqua" w:hAnsi="Book Antiqua"/>
          <w:sz w:val="26"/>
          <w:szCs w:val="26"/>
        </w:rPr>
        <w:t xml:space="preserve">of </w:t>
      </w:r>
      <w:r w:rsidRPr="00400112" w:rsidR="00B3005E">
        <w:rPr>
          <w:rFonts w:ascii="Book Antiqua" w:hAnsi="Book Antiqua"/>
          <w:sz w:val="26"/>
          <w:szCs w:val="26"/>
        </w:rPr>
        <w:t xml:space="preserve">the re-entry fees, </w:t>
      </w:r>
      <w:r w:rsidRPr="00400112" w:rsidR="00076D71">
        <w:rPr>
          <w:rFonts w:ascii="Book Antiqua" w:hAnsi="Book Antiqua"/>
          <w:sz w:val="26"/>
          <w:szCs w:val="26"/>
        </w:rPr>
        <w:t xml:space="preserve">then the IOU POLR </w:t>
      </w:r>
      <w:r w:rsidRPr="00400112" w:rsidR="005806E8">
        <w:rPr>
          <w:rFonts w:ascii="Book Antiqua" w:hAnsi="Book Antiqua"/>
          <w:sz w:val="26"/>
          <w:szCs w:val="26"/>
        </w:rPr>
        <w:t>is authorized to</w:t>
      </w:r>
      <w:r w:rsidRPr="00400112" w:rsidR="00076D71">
        <w:rPr>
          <w:rFonts w:ascii="Book Antiqua" w:hAnsi="Book Antiqua"/>
          <w:sz w:val="26"/>
          <w:szCs w:val="26"/>
        </w:rPr>
        <w:t xml:space="preserve"> draw upon the LSE’s posted financial security requirement (FSR) instrument</w:t>
      </w:r>
      <w:r w:rsidRPr="00400112" w:rsidR="001A7F30">
        <w:rPr>
          <w:rFonts w:ascii="Book Antiqua" w:hAnsi="Book Antiqua"/>
          <w:sz w:val="26"/>
          <w:szCs w:val="26"/>
        </w:rPr>
        <w:t xml:space="preserve">.  The FSR may be drawn upon even if there is a protest to the IOU POLR’s </w:t>
      </w:r>
      <w:r w:rsidRPr="00400112" w:rsidR="009B6A14">
        <w:rPr>
          <w:rFonts w:ascii="Book Antiqua" w:hAnsi="Book Antiqua"/>
          <w:sz w:val="26"/>
          <w:szCs w:val="26"/>
        </w:rPr>
        <w:t xml:space="preserve">Tier 1 AL filing. </w:t>
      </w:r>
    </w:p>
    <w:p w:rsidRPr="00400112" w:rsidR="005F1FAF" w:rsidP="006225AF" w:rsidRDefault="005F1FAF" w14:paraId="7B4B514B" w14:textId="77777777">
      <w:pPr>
        <w:spacing w:after="0" w:line="240" w:lineRule="auto"/>
        <w:jc w:val="left"/>
        <w:rPr>
          <w:rFonts w:ascii="Book Antiqua" w:hAnsi="Book Antiqua"/>
          <w:sz w:val="26"/>
          <w:szCs w:val="26"/>
        </w:rPr>
      </w:pPr>
    </w:p>
    <w:p w:rsidRPr="00400112" w:rsidR="00B70889" w:rsidP="006225AF" w:rsidRDefault="00F56673" w14:paraId="773F169F" w14:textId="3C053705">
      <w:pPr>
        <w:spacing w:after="0" w:line="240" w:lineRule="auto"/>
        <w:rPr>
          <w:rFonts w:ascii="Book Antiqua" w:hAnsi="Book Antiqua"/>
          <w:sz w:val="26"/>
          <w:szCs w:val="26"/>
          <w:highlight w:val="yellow"/>
        </w:rPr>
      </w:pPr>
      <w:r w:rsidRPr="00400112">
        <w:rPr>
          <w:rFonts w:ascii="Book Antiqua" w:hAnsi="Book Antiqua"/>
          <w:sz w:val="26"/>
          <w:szCs w:val="26"/>
        </w:rPr>
        <w:t>In the event the IOU POLR</w:t>
      </w:r>
      <w:r w:rsidRPr="00400112" w:rsidR="004A44DA">
        <w:rPr>
          <w:rFonts w:ascii="Book Antiqua" w:hAnsi="Book Antiqua"/>
          <w:sz w:val="26"/>
          <w:szCs w:val="26"/>
        </w:rPr>
        <w:t xml:space="preserve"> </w:t>
      </w:r>
      <w:r w:rsidRPr="00400112" w:rsidR="00F9730C">
        <w:rPr>
          <w:rFonts w:ascii="Book Antiqua" w:hAnsi="Book Antiqua"/>
          <w:sz w:val="26"/>
          <w:szCs w:val="26"/>
        </w:rPr>
        <w:t xml:space="preserve">establishes one or more </w:t>
      </w:r>
      <w:r w:rsidRPr="00400112" w:rsidR="00EC5E6F">
        <w:rPr>
          <w:rFonts w:ascii="Book Antiqua" w:hAnsi="Book Antiqua"/>
          <w:sz w:val="26"/>
          <w:szCs w:val="26"/>
        </w:rPr>
        <w:t>memorandum</w:t>
      </w:r>
      <w:r w:rsidRPr="00400112" w:rsidR="00F9730C">
        <w:rPr>
          <w:rFonts w:ascii="Book Antiqua" w:hAnsi="Book Antiqua"/>
          <w:sz w:val="26"/>
          <w:szCs w:val="26"/>
        </w:rPr>
        <w:t xml:space="preserve"> accounts to track actual re-entry fees during a mass </w:t>
      </w:r>
      <w:r w:rsidR="00107FBA">
        <w:rPr>
          <w:rFonts w:ascii="Book Antiqua" w:hAnsi="Book Antiqua"/>
          <w:sz w:val="26"/>
          <w:szCs w:val="26"/>
        </w:rPr>
        <w:t>return of customers</w:t>
      </w:r>
      <w:r w:rsidRPr="00400112" w:rsidR="00F9730C">
        <w:rPr>
          <w:rFonts w:ascii="Book Antiqua" w:hAnsi="Book Antiqua"/>
          <w:sz w:val="26"/>
          <w:szCs w:val="26"/>
        </w:rPr>
        <w:t xml:space="preserve"> to POLR service, </w:t>
      </w:r>
      <w:r w:rsidRPr="00400112" w:rsidR="00317332">
        <w:rPr>
          <w:rFonts w:ascii="Book Antiqua" w:hAnsi="Book Antiqua"/>
          <w:sz w:val="26"/>
          <w:szCs w:val="26"/>
        </w:rPr>
        <w:t>each respective IOU shall have the burden of demonstrating that the recorded costs are just, reasonable, and directly associated with the incremental costs to serve returning customers</w:t>
      </w:r>
      <w:r w:rsidRPr="00400112" w:rsidR="00881279">
        <w:rPr>
          <w:rFonts w:ascii="Book Antiqua" w:hAnsi="Book Antiqua"/>
          <w:sz w:val="26"/>
          <w:szCs w:val="26"/>
        </w:rPr>
        <w:t xml:space="preserve"> for Commission consideration through a formal application process.</w:t>
      </w:r>
    </w:p>
    <w:p w:rsidRPr="00400112" w:rsidR="005F1FAF" w:rsidP="006225AF" w:rsidRDefault="005F1FAF" w14:paraId="638AF3DD" w14:textId="77777777">
      <w:pPr>
        <w:pStyle w:val="ListParagraph"/>
        <w:spacing w:after="0" w:line="240" w:lineRule="auto"/>
        <w:jc w:val="left"/>
        <w:rPr>
          <w:rStyle w:val="Hyperlink"/>
          <w:rFonts w:ascii="Book Antiqua" w:hAnsi="Book Antiqua"/>
          <w:color w:val="auto"/>
          <w:sz w:val="26"/>
          <w:szCs w:val="26"/>
        </w:rPr>
      </w:pPr>
    </w:p>
    <w:p w:rsidRPr="00641596" w:rsidR="00C1241E" w:rsidP="00FB394D" w:rsidRDefault="00C1241E" w14:paraId="59469BE4" w14:textId="77777777">
      <w:pPr>
        <w:pStyle w:val="ListParagraph"/>
        <w:numPr>
          <w:ilvl w:val="0"/>
          <w:numId w:val="6"/>
        </w:numPr>
        <w:spacing w:after="120" w:line="240" w:lineRule="auto"/>
        <w:jc w:val="left"/>
        <w:rPr>
          <w:rStyle w:val="Hyperlink"/>
          <w:rFonts w:ascii="Arial" w:hAnsi="Arial" w:cs="Arial"/>
          <w:b/>
          <w:bCs/>
          <w:color w:val="000000" w:themeColor="text1"/>
          <w:sz w:val="26"/>
          <w:szCs w:val="26"/>
        </w:rPr>
      </w:pPr>
      <w:r w:rsidRPr="00641596">
        <w:rPr>
          <w:rStyle w:val="Hyperlink"/>
          <w:rFonts w:ascii="Arial" w:hAnsi="Arial" w:cs="Arial"/>
          <w:b/>
          <w:bCs/>
          <w:color w:val="000000" w:themeColor="text1"/>
          <w:sz w:val="26"/>
          <w:szCs w:val="26"/>
        </w:rPr>
        <w:t>Customer Notification</w:t>
      </w:r>
    </w:p>
    <w:p w:rsidRPr="00400112" w:rsidR="00C1241E" w:rsidP="00304EF7" w:rsidRDefault="00E23500" w14:paraId="04D75B8A" w14:textId="149C9E40">
      <w:pPr>
        <w:spacing w:after="0" w:line="240" w:lineRule="auto"/>
        <w:jc w:val="left"/>
        <w:rPr>
          <w:rStyle w:val="Hyperlink"/>
          <w:rFonts w:ascii="Book Antiqua" w:hAnsi="Book Antiqua"/>
          <w:color w:val="000000" w:themeColor="text1"/>
          <w:sz w:val="26"/>
          <w:szCs w:val="26"/>
          <w:u w:val="none"/>
        </w:rPr>
      </w:pPr>
      <w:r w:rsidRPr="00E23500">
        <w:rPr>
          <w:rStyle w:val="Hyperlink"/>
          <w:rFonts w:ascii="Book Antiqua" w:hAnsi="Book Antiqua"/>
          <w:color w:val="000000" w:themeColor="text1"/>
          <w:sz w:val="26"/>
          <w:szCs w:val="26"/>
          <w:u w:val="none"/>
        </w:rPr>
        <w:t>Within two weeks of filing the notice of intent to register,</w:t>
      </w:r>
      <w:r>
        <w:rPr>
          <w:rStyle w:val="Hyperlink"/>
          <w:rFonts w:ascii="Book Antiqua" w:hAnsi="Book Antiqua"/>
          <w:color w:val="000000" w:themeColor="text1"/>
          <w:sz w:val="26"/>
          <w:szCs w:val="26"/>
          <w:u w:val="none"/>
        </w:rPr>
        <w:t xml:space="preserve"> t</w:t>
      </w:r>
      <w:r w:rsidRPr="00400112" w:rsidR="00C1241E">
        <w:rPr>
          <w:rStyle w:val="Hyperlink"/>
          <w:rFonts w:ascii="Book Antiqua" w:hAnsi="Book Antiqua"/>
          <w:color w:val="000000" w:themeColor="text1"/>
          <w:sz w:val="26"/>
          <w:szCs w:val="26"/>
          <w:u w:val="none"/>
        </w:rPr>
        <w:t xml:space="preserve">he deregistering LSE shall consult with Energy Division and coordinate with the POLR to develop and implement a </w:t>
      </w:r>
      <w:r w:rsidRPr="006319AC" w:rsidR="006319AC">
        <w:rPr>
          <w:rStyle w:val="Hyperlink"/>
          <w:rFonts w:ascii="Book Antiqua" w:hAnsi="Book Antiqua"/>
          <w:color w:val="000000" w:themeColor="text1"/>
          <w:sz w:val="26"/>
          <w:szCs w:val="26"/>
          <w:u w:val="none"/>
        </w:rPr>
        <w:t>mutually agreed upon</w:t>
      </w:r>
      <w:r w:rsidR="006319AC">
        <w:rPr>
          <w:rStyle w:val="Hyperlink"/>
          <w:rFonts w:ascii="Book Antiqua" w:hAnsi="Book Antiqua"/>
          <w:color w:val="000000" w:themeColor="text1"/>
          <w:sz w:val="26"/>
          <w:szCs w:val="26"/>
          <w:u w:val="none"/>
        </w:rPr>
        <w:t xml:space="preserve"> </w:t>
      </w:r>
      <w:r w:rsidRPr="00400112" w:rsidR="00C1241E">
        <w:rPr>
          <w:rStyle w:val="Hyperlink"/>
          <w:rFonts w:ascii="Book Antiqua" w:hAnsi="Book Antiqua"/>
          <w:color w:val="000000" w:themeColor="text1"/>
          <w:sz w:val="26"/>
          <w:szCs w:val="26"/>
          <w:u w:val="none"/>
        </w:rPr>
        <w:t>customer notification plan</w:t>
      </w:r>
      <w:r w:rsidRPr="00304EF7" w:rsidR="00304EF7">
        <w:t xml:space="preserve"> </w:t>
      </w:r>
      <w:r w:rsidRPr="00304EF7" w:rsidR="00304EF7">
        <w:rPr>
          <w:rStyle w:val="Hyperlink"/>
          <w:rFonts w:ascii="Book Antiqua" w:hAnsi="Book Antiqua"/>
          <w:color w:val="000000" w:themeColor="text1"/>
          <w:sz w:val="26"/>
          <w:szCs w:val="26"/>
          <w:u w:val="none"/>
        </w:rPr>
        <w:t>to be executed by the deregistering LSE</w:t>
      </w:r>
      <w:r w:rsidR="00304EF7">
        <w:rPr>
          <w:rStyle w:val="Hyperlink"/>
          <w:rFonts w:ascii="Book Antiqua" w:hAnsi="Book Antiqua"/>
          <w:color w:val="000000" w:themeColor="text1"/>
          <w:sz w:val="26"/>
          <w:szCs w:val="26"/>
          <w:u w:val="none"/>
        </w:rPr>
        <w:t xml:space="preserve"> </w:t>
      </w:r>
      <w:r w:rsidRPr="00304EF7" w:rsidR="00304EF7">
        <w:rPr>
          <w:rStyle w:val="Hyperlink"/>
          <w:rFonts w:ascii="Book Antiqua" w:hAnsi="Book Antiqua"/>
          <w:color w:val="000000" w:themeColor="text1"/>
          <w:sz w:val="26"/>
          <w:szCs w:val="26"/>
          <w:u w:val="none"/>
        </w:rPr>
        <w:t>during the Deregistration Period</w:t>
      </w:r>
      <w:r w:rsidRPr="00400112" w:rsidR="00C1241E">
        <w:rPr>
          <w:rStyle w:val="Hyperlink"/>
          <w:rFonts w:ascii="Book Antiqua" w:hAnsi="Book Antiqua"/>
          <w:color w:val="000000" w:themeColor="text1"/>
          <w:sz w:val="26"/>
          <w:szCs w:val="26"/>
          <w:u w:val="none"/>
        </w:rPr>
        <w:t>. The customer notification plan must include:</w:t>
      </w:r>
    </w:p>
    <w:p w:rsidRPr="00400112" w:rsidR="00C1241E" w:rsidP="006225AF" w:rsidRDefault="00C1241E" w14:paraId="54DF6B36" w14:textId="2A6B5A0E">
      <w:pPr>
        <w:pStyle w:val="ListParagraph"/>
        <w:numPr>
          <w:ilvl w:val="0"/>
          <w:numId w:val="12"/>
        </w:numPr>
        <w:spacing w:after="0" w:line="240" w:lineRule="auto"/>
        <w:jc w:val="left"/>
        <w:rPr>
          <w:rStyle w:val="Hyperlink"/>
          <w:rFonts w:ascii="Book Antiqua" w:hAnsi="Book Antiqua" w:cstheme="minorHAnsi"/>
          <w:color w:val="000000" w:themeColor="text1"/>
          <w:sz w:val="26"/>
          <w:szCs w:val="26"/>
          <w:u w:val="none"/>
        </w:rPr>
      </w:pPr>
      <w:r w:rsidRPr="00400112">
        <w:rPr>
          <w:rStyle w:val="Hyperlink"/>
          <w:rFonts w:ascii="Book Antiqua" w:hAnsi="Book Antiqua" w:cstheme="minorHAnsi"/>
          <w:color w:val="000000" w:themeColor="text1"/>
          <w:sz w:val="26"/>
          <w:szCs w:val="26"/>
          <w:u w:val="none"/>
        </w:rPr>
        <w:t>An approach to directly contact all customers</w:t>
      </w:r>
      <w:r w:rsidRPr="00400112" w:rsidR="00100C58">
        <w:rPr>
          <w:rStyle w:val="Hyperlink"/>
          <w:rFonts w:ascii="Book Antiqua" w:hAnsi="Book Antiqua" w:cstheme="minorHAnsi"/>
          <w:color w:val="000000" w:themeColor="text1"/>
          <w:sz w:val="26"/>
          <w:szCs w:val="26"/>
          <w:u w:val="none"/>
        </w:rPr>
        <w:t>;</w:t>
      </w:r>
    </w:p>
    <w:p w:rsidRPr="00400112" w:rsidR="00C1241E" w:rsidP="006225AF" w:rsidRDefault="00C1241E" w14:paraId="1A20EBA8" w14:textId="179D3DD5">
      <w:pPr>
        <w:pStyle w:val="ListParagraph"/>
        <w:numPr>
          <w:ilvl w:val="0"/>
          <w:numId w:val="12"/>
        </w:numPr>
        <w:spacing w:after="0" w:line="240" w:lineRule="auto"/>
        <w:jc w:val="left"/>
        <w:rPr>
          <w:rStyle w:val="Hyperlink"/>
          <w:rFonts w:ascii="Book Antiqua" w:hAnsi="Book Antiqua" w:cstheme="minorHAnsi"/>
          <w:color w:val="000000" w:themeColor="text1"/>
          <w:sz w:val="26"/>
          <w:szCs w:val="26"/>
          <w:u w:val="none"/>
        </w:rPr>
      </w:pPr>
      <w:r w:rsidRPr="00400112">
        <w:rPr>
          <w:rStyle w:val="Hyperlink"/>
          <w:rFonts w:ascii="Book Antiqua" w:hAnsi="Book Antiqua" w:cstheme="minorHAnsi"/>
          <w:color w:val="000000" w:themeColor="text1"/>
          <w:sz w:val="26"/>
          <w:szCs w:val="26"/>
          <w:u w:val="none"/>
        </w:rPr>
        <w:t>Coordinate</w:t>
      </w:r>
      <w:r w:rsidRPr="00400112" w:rsidR="00F325E4">
        <w:rPr>
          <w:rStyle w:val="Hyperlink"/>
          <w:rFonts w:ascii="Book Antiqua" w:hAnsi="Book Antiqua" w:cstheme="minorHAnsi"/>
          <w:color w:val="000000" w:themeColor="text1"/>
          <w:sz w:val="26"/>
          <w:szCs w:val="26"/>
          <w:u w:val="none"/>
        </w:rPr>
        <w:t>d</w:t>
      </w:r>
      <w:r w:rsidRPr="00400112">
        <w:rPr>
          <w:rStyle w:val="Hyperlink"/>
          <w:rFonts w:ascii="Book Antiqua" w:hAnsi="Book Antiqua" w:cstheme="minorHAnsi"/>
          <w:color w:val="000000" w:themeColor="text1"/>
          <w:sz w:val="26"/>
          <w:szCs w:val="26"/>
          <w:u w:val="none"/>
        </w:rPr>
        <w:t xml:space="preserve"> responses for both POLR and CCA call centers</w:t>
      </w:r>
      <w:r w:rsidRPr="00400112" w:rsidR="00100C58">
        <w:rPr>
          <w:rStyle w:val="Hyperlink"/>
          <w:rFonts w:ascii="Book Antiqua" w:hAnsi="Book Antiqua" w:cstheme="minorHAnsi"/>
          <w:color w:val="000000" w:themeColor="text1"/>
          <w:sz w:val="26"/>
          <w:szCs w:val="26"/>
          <w:u w:val="none"/>
        </w:rPr>
        <w:t>; and</w:t>
      </w:r>
      <w:r w:rsidRPr="00400112">
        <w:rPr>
          <w:rStyle w:val="Hyperlink"/>
          <w:rFonts w:ascii="Book Antiqua" w:hAnsi="Book Antiqua" w:cstheme="minorHAnsi"/>
          <w:color w:val="000000" w:themeColor="text1"/>
          <w:sz w:val="26"/>
          <w:szCs w:val="26"/>
          <w:u w:val="none"/>
        </w:rPr>
        <w:t xml:space="preserve"> </w:t>
      </w:r>
    </w:p>
    <w:p w:rsidRPr="00400112" w:rsidR="00C1241E" w:rsidP="006225AF" w:rsidRDefault="002351BC" w14:paraId="7BFD5B3A" w14:textId="65745DBD">
      <w:pPr>
        <w:pStyle w:val="ListParagraph"/>
        <w:numPr>
          <w:ilvl w:val="0"/>
          <w:numId w:val="12"/>
        </w:numPr>
        <w:spacing w:after="0" w:line="240" w:lineRule="auto"/>
        <w:jc w:val="left"/>
        <w:rPr>
          <w:rStyle w:val="Hyperlink"/>
          <w:rFonts w:ascii="Book Antiqua" w:hAnsi="Book Antiqua" w:cstheme="minorHAnsi"/>
          <w:color w:val="000000" w:themeColor="text1"/>
          <w:sz w:val="26"/>
          <w:szCs w:val="26"/>
          <w:u w:val="none"/>
        </w:rPr>
      </w:pPr>
      <w:r w:rsidRPr="00400112">
        <w:rPr>
          <w:rStyle w:val="Hyperlink"/>
          <w:rFonts w:ascii="Book Antiqua" w:hAnsi="Book Antiqua" w:cstheme="minorHAnsi"/>
          <w:color w:val="000000" w:themeColor="text1"/>
          <w:sz w:val="26"/>
          <w:szCs w:val="26"/>
          <w:u w:val="none"/>
        </w:rPr>
        <w:t>A</w:t>
      </w:r>
      <w:r w:rsidRPr="00400112" w:rsidR="00C1241E">
        <w:rPr>
          <w:rStyle w:val="Hyperlink"/>
          <w:rFonts w:ascii="Book Antiqua" w:hAnsi="Book Antiqua" w:cstheme="minorHAnsi"/>
          <w:color w:val="000000" w:themeColor="text1"/>
          <w:sz w:val="26"/>
          <w:szCs w:val="26"/>
          <w:u w:val="none"/>
        </w:rPr>
        <w:t xml:space="preserve"> coordinated message for media outreach and press inquiries with POLR and Energy Division.</w:t>
      </w:r>
    </w:p>
    <w:p w:rsidRPr="00400112" w:rsidR="00C1241E" w:rsidP="006225AF" w:rsidRDefault="00C1241E" w14:paraId="41A1C00C" w14:textId="77777777">
      <w:pPr>
        <w:pStyle w:val="ListParagraph"/>
        <w:spacing w:after="0" w:line="240" w:lineRule="auto"/>
        <w:jc w:val="left"/>
        <w:rPr>
          <w:rStyle w:val="Hyperlink"/>
          <w:rFonts w:ascii="Book Antiqua" w:hAnsi="Book Antiqua" w:cstheme="minorHAnsi"/>
          <w:color w:val="000000" w:themeColor="text1"/>
          <w:sz w:val="26"/>
          <w:szCs w:val="26"/>
        </w:rPr>
      </w:pPr>
    </w:p>
    <w:p w:rsidRPr="00641596" w:rsidR="00C1241E" w:rsidP="00FB394D" w:rsidRDefault="00C1241E" w14:paraId="75516F7D" w14:textId="6316A5DE">
      <w:pPr>
        <w:pStyle w:val="ListParagraph"/>
        <w:numPr>
          <w:ilvl w:val="0"/>
          <w:numId w:val="6"/>
        </w:numPr>
        <w:spacing w:after="120" w:line="240" w:lineRule="auto"/>
        <w:jc w:val="left"/>
        <w:rPr>
          <w:rStyle w:val="Hyperlink"/>
          <w:rFonts w:ascii="Arial" w:hAnsi="Arial" w:cs="Arial"/>
          <w:b/>
          <w:bCs/>
          <w:color w:val="000000" w:themeColor="text1"/>
          <w:sz w:val="26"/>
          <w:szCs w:val="26"/>
        </w:rPr>
      </w:pPr>
      <w:r w:rsidRPr="00641596">
        <w:rPr>
          <w:rStyle w:val="Hyperlink"/>
          <w:rFonts w:ascii="Arial" w:hAnsi="Arial" w:cs="Arial"/>
          <w:b/>
          <w:bCs/>
          <w:color w:val="000000" w:themeColor="text1"/>
          <w:sz w:val="26"/>
          <w:szCs w:val="26"/>
        </w:rPr>
        <w:t xml:space="preserve">LSE </w:t>
      </w:r>
      <w:r w:rsidRPr="00641596" w:rsidR="00E92C92">
        <w:rPr>
          <w:rStyle w:val="Hyperlink"/>
          <w:rFonts w:ascii="Arial" w:hAnsi="Arial" w:cs="Arial"/>
          <w:b/>
          <w:bCs/>
          <w:color w:val="000000" w:themeColor="text1"/>
          <w:sz w:val="26"/>
          <w:szCs w:val="26"/>
        </w:rPr>
        <w:t>Continues to Meet RA Requirements</w:t>
      </w:r>
    </w:p>
    <w:p w:rsidRPr="00400112" w:rsidR="00C1241E" w:rsidP="006225AF" w:rsidRDefault="00C1241E" w14:paraId="502EF42A" w14:textId="77777777">
      <w:pPr>
        <w:spacing w:after="0" w:line="240" w:lineRule="auto"/>
        <w:jc w:val="left"/>
        <w:rPr>
          <w:rFonts w:ascii="Book Antiqua" w:hAnsi="Book Antiqua"/>
          <w:sz w:val="26"/>
          <w:szCs w:val="26"/>
        </w:rPr>
      </w:pPr>
      <w:r w:rsidRPr="00400112">
        <w:rPr>
          <w:rFonts w:ascii="Book Antiqua" w:hAnsi="Book Antiqua"/>
          <w:sz w:val="26"/>
          <w:szCs w:val="26"/>
        </w:rPr>
        <w:t>The LSE is responsible for meeting RA requirements, up through their Deregistration Date, as posted in the most up to date RA filing requirements guide:</w:t>
      </w:r>
      <w:r w:rsidRPr="00400112">
        <w:rPr>
          <w:rStyle w:val="FootnoteReference"/>
          <w:rFonts w:ascii="Book Antiqua" w:hAnsi="Book Antiqua"/>
          <w:sz w:val="26"/>
          <w:szCs w:val="26"/>
        </w:rPr>
        <w:footnoteReference w:id="2"/>
      </w:r>
      <w:r w:rsidRPr="00400112">
        <w:rPr>
          <w:rFonts w:ascii="Book Antiqua" w:hAnsi="Book Antiqua"/>
          <w:sz w:val="26"/>
          <w:szCs w:val="26"/>
        </w:rPr>
        <w:t xml:space="preserve"> (</w:t>
      </w:r>
      <w:r w:rsidRPr="00400112">
        <w:rPr>
          <w:rStyle w:val="Hyperlink"/>
          <w:rFonts w:ascii="Book Antiqua" w:hAnsi="Book Antiqua"/>
          <w:color w:val="000000" w:themeColor="text1"/>
          <w:sz w:val="26"/>
          <w:szCs w:val="26"/>
          <w:u w:val="none"/>
        </w:rPr>
        <w:t>Applies to any ESP that has served load in the previous 18 months regardless of customer return to POLR.)</w:t>
      </w:r>
    </w:p>
    <w:p w:rsidRPr="00400112" w:rsidR="00C1241E" w:rsidP="006225AF" w:rsidRDefault="00C1241E" w14:paraId="3459BC83" w14:textId="77777777">
      <w:pPr>
        <w:pStyle w:val="ListParagraph"/>
        <w:numPr>
          <w:ilvl w:val="0"/>
          <w:numId w:val="1"/>
        </w:numPr>
        <w:spacing w:after="0" w:line="240" w:lineRule="auto"/>
        <w:jc w:val="left"/>
        <w:rPr>
          <w:rFonts w:ascii="Book Antiqua" w:hAnsi="Book Antiqua" w:cstheme="minorHAnsi"/>
          <w:sz w:val="26"/>
          <w:szCs w:val="26"/>
        </w:rPr>
      </w:pPr>
      <w:r w:rsidRPr="00400112">
        <w:rPr>
          <w:rFonts w:ascii="Book Antiqua" w:hAnsi="Book Antiqua" w:cstheme="minorHAnsi"/>
          <w:sz w:val="26"/>
          <w:szCs w:val="26"/>
        </w:rPr>
        <w:t>LSEs must meet their Year-Ahead (YA) RA requirement that applies up to the period of deregistration.</w:t>
      </w:r>
      <w:r w:rsidRPr="00400112" w:rsidDel="00F0284E">
        <w:rPr>
          <w:rFonts w:ascii="Book Antiqua" w:hAnsi="Book Antiqua" w:cstheme="minorHAnsi"/>
          <w:sz w:val="26"/>
          <w:szCs w:val="26"/>
        </w:rPr>
        <w:t xml:space="preserve"> </w:t>
      </w:r>
    </w:p>
    <w:p w:rsidRPr="00400112" w:rsidR="00C1241E" w:rsidP="006225AF" w:rsidRDefault="00C1241E" w14:paraId="71A1AB7A" w14:textId="77777777">
      <w:pPr>
        <w:pStyle w:val="ListParagraph"/>
        <w:numPr>
          <w:ilvl w:val="1"/>
          <w:numId w:val="1"/>
        </w:numPr>
        <w:spacing w:after="0" w:line="240" w:lineRule="auto"/>
        <w:jc w:val="left"/>
        <w:rPr>
          <w:rFonts w:ascii="Book Antiqua" w:hAnsi="Book Antiqua"/>
          <w:sz w:val="26"/>
          <w:szCs w:val="26"/>
        </w:rPr>
      </w:pPr>
      <w:r w:rsidRPr="00400112">
        <w:rPr>
          <w:rFonts w:ascii="Book Antiqua" w:hAnsi="Book Antiqua"/>
          <w:sz w:val="26"/>
          <w:szCs w:val="26"/>
        </w:rPr>
        <w:lastRenderedPageBreak/>
        <w:t xml:space="preserve">The LSE must update their load forecast to zero load by the August RA deadline to be relieved of the YA RA requirement for the following year. </w:t>
      </w:r>
    </w:p>
    <w:p w:rsidRPr="00400112" w:rsidR="00C1241E" w:rsidP="006225AF" w:rsidRDefault="00C1241E" w14:paraId="623C68DF" w14:textId="77777777">
      <w:pPr>
        <w:pStyle w:val="ListParagraph"/>
        <w:numPr>
          <w:ilvl w:val="1"/>
          <w:numId w:val="1"/>
        </w:numPr>
        <w:spacing w:after="0" w:line="240" w:lineRule="auto"/>
        <w:jc w:val="left"/>
        <w:rPr>
          <w:rFonts w:ascii="Book Antiqua" w:hAnsi="Book Antiqua"/>
          <w:sz w:val="26"/>
          <w:szCs w:val="26"/>
        </w:rPr>
      </w:pPr>
      <w:r w:rsidRPr="00400112">
        <w:rPr>
          <w:rFonts w:ascii="Book Antiqua" w:hAnsi="Book Antiqua"/>
          <w:sz w:val="26"/>
          <w:szCs w:val="26"/>
        </w:rPr>
        <w:t>If the LSE submits a Notice of Intent to Deregister following this deadline, the LSE is obligated to meet its YA obligations for the following year. The LSE may negotiate a transition plan with the POLR that enables the most efficient manner to avoid collective deficiency in the CAISO system, which may include a transfer of LSE RA contracts to the POLR following deregistration, an extended deregistration schedule, or a negotiated agreement to cover procurement periods.</w:t>
      </w:r>
    </w:p>
    <w:p w:rsidRPr="00400112" w:rsidR="00C1241E" w:rsidP="006225AF" w:rsidRDefault="00C1241E" w14:paraId="42900F19" w14:textId="3142A1E1">
      <w:pPr>
        <w:pStyle w:val="ListParagraph"/>
        <w:numPr>
          <w:ilvl w:val="1"/>
          <w:numId w:val="1"/>
        </w:numPr>
        <w:spacing w:after="0" w:line="240" w:lineRule="auto"/>
        <w:jc w:val="left"/>
        <w:rPr>
          <w:rFonts w:ascii="Book Antiqua" w:hAnsi="Book Antiqua"/>
          <w:sz w:val="26"/>
          <w:szCs w:val="26"/>
        </w:rPr>
      </w:pPr>
      <w:r w:rsidRPr="00400112">
        <w:rPr>
          <w:rFonts w:ascii="Book Antiqua" w:hAnsi="Book Antiqua"/>
          <w:sz w:val="26"/>
          <w:szCs w:val="26"/>
        </w:rPr>
        <w:t xml:space="preserve">If the LSE and POLR are unable to reach an agreement to meet the RA obligations, then the obligation lies with the deregistering LSE. To the extent that the LSE is unable to meet the RA obligation, the RA cost will be applied to </w:t>
      </w:r>
      <w:r w:rsidRPr="00400112" w:rsidR="008861E4">
        <w:rPr>
          <w:rFonts w:ascii="Book Antiqua" w:hAnsi="Book Antiqua"/>
          <w:sz w:val="26"/>
          <w:szCs w:val="26"/>
        </w:rPr>
        <w:t>re-entry</w:t>
      </w:r>
      <w:r w:rsidRPr="00400112">
        <w:rPr>
          <w:rFonts w:ascii="Book Antiqua" w:hAnsi="Book Antiqua"/>
          <w:sz w:val="26"/>
          <w:szCs w:val="26"/>
        </w:rPr>
        <w:t xml:space="preserve"> fees. </w:t>
      </w:r>
    </w:p>
    <w:p w:rsidRPr="00400112" w:rsidR="005F1FAF" w:rsidP="005F1FAF" w:rsidRDefault="005F1FAF" w14:paraId="5D3BE4EF" w14:textId="77777777">
      <w:pPr>
        <w:pStyle w:val="ListParagraph"/>
        <w:spacing w:after="0" w:line="240" w:lineRule="auto"/>
        <w:ind w:left="1440"/>
        <w:jc w:val="left"/>
        <w:rPr>
          <w:rFonts w:ascii="Book Antiqua" w:hAnsi="Book Antiqua"/>
          <w:sz w:val="26"/>
          <w:szCs w:val="26"/>
        </w:rPr>
      </w:pPr>
    </w:p>
    <w:p w:rsidRPr="00400112" w:rsidR="00C1241E" w:rsidP="006225AF" w:rsidRDefault="00C1241E" w14:paraId="2BA014FD" w14:textId="77777777">
      <w:pPr>
        <w:pStyle w:val="ListParagraph"/>
        <w:numPr>
          <w:ilvl w:val="0"/>
          <w:numId w:val="1"/>
        </w:numPr>
        <w:spacing w:after="0" w:line="240" w:lineRule="auto"/>
        <w:jc w:val="left"/>
        <w:rPr>
          <w:rFonts w:ascii="Book Antiqua" w:hAnsi="Book Antiqua"/>
          <w:sz w:val="26"/>
          <w:szCs w:val="26"/>
        </w:rPr>
      </w:pPr>
      <w:r w:rsidRPr="00400112">
        <w:rPr>
          <w:rFonts w:ascii="Book Antiqua" w:hAnsi="Book Antiqua"/>
          <w:sz w:val="26"/>
          <w:szCs w:val="26"/>
        </w:rPr>
        <w:t>The</w:t>
      </w:r>
      <w:r w:rsidRPr="00400112" w:rsidDel="00BC4300">
        <w:rPr>
          <w:rFonts w:ascii="Book Antiqua" w:hAnsi="Book Antiqua"/>
          <w:sz w:val="26"/>
          <w:szCs w:val="26"/>
        </w:rPr>
        <w:t xml:space="preserve"> deregistering LSE is obligated to meet </w:t>
      </w:r>
      <w:r w:rsidRPr="00400112" w:rsidDel="00221970">
        <w:rPr>
          <w:rFonts w:ascii="Book Antiqua" w:hAnsi="Book Antiqua"/>
          <w:sz w:val="26"/>
          <w:szCs w:val="26"/>
        </w:rPr>
        <w:t xml:space="preserve">Month-Ahead (MA) </w:t>
      </w:r>
      <w:r w:rsidRPr="00400112" w:rsidDel="00BC4300">
        <w:rPr>
          <w:rFonts w:ascii="Book Antiqua" w:hAnsi="Book Antiqua"/>
          <w:sz w:val="26"/>
          <w:szCs w:val="26"/>
        </w:rPr>
        <w:t xml:space="preserve">RA obligations </w:t>
      </w:r>
      <w:r w:rsidRPr="00400112">
        <w:rPr>
          <w:rFonts w:ascii="Book Antiqua" w:hAnsi="Book Antiqua"/>
          <w:sz w:val="26"/>
          <w:szCs w:val="26"/>
        </w:rPr>
        <w:t>and filing requirements up until</w:t>
      </w:r>
      <w:r w:rsidRPr="00400112" w:rsidDel="00BC4300">
        <w:rPr>
          <w:rFonts w:ascii="Book Antiqua" w:hAnsi="Book Antiqua"/>
          <w:sz w:val="26"/>
          <w:szCs w:val="26"/>
        </w:rPr>
        <w:t xml:space="preserve"> the compliance month </w:t>
      </w:r>
      <w:r w:rsidRPr="00400112">
        <w:rPr>
          <w:rFonts w:ascii="Book Antiqua" w:hAnsi="Book Antiqua"/>
          <w:sz w:val="26"/>
          <w:szCs w:val="26"/>
        </w:rPr>
        <w:t>of</w:t>
      </w:r>
      <w:r w:rsidRPr="00400112" w:rsidDel="00BC4300">
        <w:rPr>
          <w:rFonts w:ascii="Book Antiqua" w:hAnsi="Book Antiqua"/>
          <w:sz w:val="26"/>
          <w:szCs w:val="26"/>
        </w:rPr>
        <w:t xml:space="preserve"> the date </w:t>
      </w:r>
      <w:r w:rsidRPr="00400112">
        <w:rPr>
          <w:rFonts w:ascii="Book Antiqua" w:hAnsi="Book Antiqua"/>
          <w:sz w:val="26"/>
          <w:szCs w:val="26"/>
        </w:rPr>
        <w:t>that the LSE</w:t>
      </w:r>
      <w:r w:rsidRPr="00400112" w:rsidDel="00BC4300">
        <w:rPr>
          <w:rFonts w:ascii="Book Antiqua" w:hAnsi="Book Antiqua"/>
          <w:sz w:val="26"/>
          <w:szCs w:val="26"/>
        </w:rPr>
        <w:t xml:space="preserve"> </w:t>
      </w:r>
      <w:r w:rsidRPr="00400112">
        <w:rPr>
          <w:rFonts w:ascii="Book Antiqua" w:hAnsi="Book Antiqua"/>
          <w:sz w:val="26"/>
          <w:szCs w:val="26"/>
        </w:rPr>
        <w:t>ceases operations:</w:t>
      </w:r>
    </w:p>
    <w:p w:rsidRPr="00400112" w:rsidR="00C1241E" w:rsidDel="007C7F7A" w:rsidP="006225AF" w:rsidRDefault="00C1241E" w14:paraId="3751FEC2" w14:textId="77777777">
      <w:pPr>
        <w:pStyle w:val="ListParagraph"/>
        <w:numPr>
          <w:ilvl w:val="1"/>
          <w:numId w:val="1"/>
        </w:numPr>
        <w:spacing w:after="0" w:line="240" w:lineRule="auto"/>
        <w:jc w:val="left"/>
        <w:rPr>
          <w:rFonts w:ascii="Book Antiqua" w:hAnsi="Book Antiqua"/>
          <w:sz w:val="26"/>
          <w:szCs w:val="26"/>
        </w:rPr>
      </w:pPr>
      <w:r w:rsidRPr="00400112">
        <w:rPr>
          <w:rFonts w:ascii="Book Antiqua" w:hAnsi="Book Antiqua"/>
          <w:sz w:val="26"/>
          <w:szCs w:val="26"/>
        </w:rPr>
        <w:t>The</w:t>
      </w:r>
      <w:r w:rsidRPr="00400112" w:rsidDel="007C7F7A">
        <w:rPr>
          <w:rFonts w:ascii="Book Antiqua" w:hAnsi="Book Antiqua"/>
          <w:sz w:val="26"/>
          <w:szCs w:val="26"/>
        </w:rPr>
        <w:t xml:space="preserve"> deregistering LSE must file a revised </w:t>
      </w:r>
      <w:r w:rsidRPr="00400112">
        <w:rPr>
          <w:rFonts w:ascii="Book Antiqua" w:hAnsi="Book Antiqua"/>
          <w:sz w:val="26"/>
          <w:szCs w:val="26"/>
        </w:rPr>
        <w:t xml:space="preserve">MA </w:t>
      </w:r>
      <w:r w:rsidRPr="00400112" w:rsidDel="007C7F7A">
        <w:rPr>
          <w:rFonts w:ascii="Book Antiqua" w:hAnsi="Book Antiqua"/>
          <w:sz w:val="26"/>
          <w:szCs w:val="26"/>
        </w:rPr>
        <w:t xml:space="preserve">load forecast showing a zero-load forecast 75 days prior to the beginning of the compliance month in which the LSE has zero customers and ceases operations. </w:t>
      </w:r>
    </w:p>
    <w:p w:rsidRPr="00400112" w:rsidR="00C1241E" w:rsidDel="007C7F7A" w:rsidP="006225AF" w:rsidRDefault="00C1241E" w14:paraId="5FA731F0" w14:textId="77777777">
      <w:pPr>
        <w:pStyle w:val="ListParagraph"/>
        <w:numPr>
          <w:ilvl w:val="1"/>
          <w:numId w:val="1"/>
        </w:numPr>
        <w:spacing w:after="0" w:line="240" w:lineRule="auto"/>
        <w:jc w:val="left"/>
        <w:rPr>
          <w:rFonts w:ascii="Book Antiqua" w:hAnsi="Book Antiqua"/>
          <w:sz w:val="26"/>
          <w:szCs w:val="26"/>
        </w:rPr>
      </w:pPr>
      <w:r w:rsidRPr="00400112">
        <w:rPr>
          <w:rFonts w:ascii="Book Antiqua" w:hAnsi="Book Antiqua"/>
          <w:sz w:val="26"/>
          <w:szCs w:val="26"/>
        </w:rPr>
        <w:t xml:space="preserve">LSEs shall continue to file any load forecasts and compliance filings that are due during their Deregistration Period, unless the POLR agreed to take on those filing and compliance requirements on behalf of the LSE in step 2 of the deregistration process. </w:t>
      </w:r>
    </w:p>
    <w:p w:rsidRPr="00400112" w:rsidR="00C1241E" w:rsidP="006225AF" w:rsidRDefault="00C1241E" w14:paraId="2C33BFBF" w14:textId="77777777">
      <w:pPr>
        <w:pStyle w:val="ListParagraph"/>
        <w:numPr>
          <w:ilvl w:val="0"/>
          <w:numId w:val="1"/>
        </w:numPr>
        <w:spacing w:after="0" w:line="240" w:lineRule="auto"/>
        <w:jc w:val="left"/>
        <w:rPr>
          <w:rFonts w:ascii="Book Antiqua" w:hAnsi="Book Antiqua"/>
          <w:sz w:val="26"/>
          <w:szCs w:val="26"/>
        </w:rPr>
      </w:pPr>
      <w:r w:rsidRPr="00400112" w:rsidDel="008502A4">
        <w:rPr>
          <w:rFonts w:ascii="Book Antiqua" w:hAnsi="Book Antiqua"/>
          <w:sz w:val="26"/>
          <w:szCs w:val="26"/>
        </w:rPr>
        <w:t xml:space="preserve">The LSE shall </w:t>
      </w:r>
      <w:r w:rsidRPr="00400112">
        <w:rPr>
          <w:rFonts w:ascii="Book Antiqua" w:hAnsi="Book Antiqua"/>
          <w:sz w:val="26"/>
          <w:szCs w:val="26"/>
        </w:rPr>
        <w:t>submit a compliance filing</w:t>
      </w:r>
      <w:r w:rsidRPr="00400112" w:rsidDel="008502A4">
        <w:rPr>
          <w:rFonts w:ascii="Book Antiqua" w:hAnsi="Book Antiqua"/>
          <w:sz w:val="26"/>
          <w:szCs w:val="26"/>
        </w:rPr>
        <w:t xml:space="preserve"> to the RA docket confirming the </w:t>
      </w:r>
      <w:r w:rsidRPr="00400112">
        <w:rPr>
          <w:rFonts w:ascii="Book Antiqua" w:hAnsi="Book Antiqua"/>
          <w:sz w:val="26"/>
          <w:szCs w:val="26"/>
        </w:rPr>
        <w:t>Deregistration Date</w:t>
      </w:r>
      <w:r w:rsidRPr="00400112" w:rsidDel="008502A4">
        <w:rPr>
          <w:rFonts w:ascii="Book Antiqua" w:hAnsi="Book Antiqua"/>
          <w:sz w:val="26"/>
          <w:szCs w:val="26"/>
        </w:rPr>
        <w:t xml:space="preserve"> and proposing a </w:t>
      </w:r>
      <w:r w:rsidRPr="00400112">
        <w:rPr>
          <w:rFonts w:ascii="Book Antiqua" w:hAnsi="Book Antiqua"/>
          <w:sz w:val="26"/>
          <w:szCs w:val="26"/>
        </w:rPr>
        <w:t xml:space="preserve">transition plan for meeting RA obligations.  </w:t>
      </w:r>
    </w:p>
    <w:p w:rsidRPr="00400112" w:rsidR="007F74F0" w:rsidP="007F74F0" w:rsidRDefault="007F74F0" w14:paraId="0011453D" w14:textId="77777777">
      <w:pPr>
        <w:pStyle w:val="ListParagraph"/>
        <w:spacing w:after="0" w:line="240" w:lineRule="auto"/>
        <w:jc w:val="left"/>
        <w:rPr>
          <w:rFonts w:ascii="Book Antiqua" w:hAnsi="Book Antiqua"/>
          <w:sz w:val="26"/>
          <w:szCs w:val="26"/>
        </w:rPr>
      </w:pPr>
    </w:p>
    <w:p w:rsidRPr="00AB7EA6" w:rsidR="00C1241E" w:rsidP="006225AF" w:rsidRDefault="0067515E" w14:paraId="584FCA04" w14:textId="13BB6657">
      <w:pPr>
        <w:spacing w:after="0" w:line="240" w:lineRule="auto"/>
        <w:jc w:val="left"/>
        <w:rPr>
          <w:rFonts w:ascii="Book Antiqua" w:hAnsi="Book Antiqua" w:cstheme="minorHAnsi"/>
          <w:i/>
          <w:iCs/>
          <w:sz w:val="26"/>
          <w:szCs w:val="26"/>
          <w:u w:val="single"/>
        </w:rPr>
      </w:pPr>
      <w:r w:rsidRPr="00AB7EA6">
        <w:rPr>
          <w:rFonts w:ascii="Book Antiqua" w:hAnsi="Book Antiqua" w:cstheme="minorHAnsi"/>
          <w:i/>
          <w:iCs/>
          <w:sz w:val="26"/>
          <w:szCs w:val="26"/>
          <w:u w:val="single"/>
        </w:rPr>
        <w:t xml:space="preserve">RA </w:t>
      </w:r>
      <w:r w:rsidRPr="00AB7EA6" w:rsidR="00C1241E">
        <w:rPr>
          <w:rFonts w:ascii="Book Antiqua" w:hAnsi="Book Antiqua" w:cstheme="minorHAnsi"/>
          <w:i/>
          <w:iCs/>
          <w:sz w:val="26"/>
          <w:szCs w:val="26"/>
          <w:u w:val="single"/>
        </w:rPr>
        <w:t>Penalties &amp; Waivers Process:</w:t>
      </w:r>
    </w:p>
    <w:p w:rsidRPr="00400112" w:rsidR="00C1241E" w:rsidP="006225AF" w:rsidRDefault="67A21513" w14:paraId="0805EE2C" w14:textId="6E177FD4">
      <w:pPr>
        <w:pStyle w:val="ListParagraph"/>
        <w:numPr>
          <w:ilvl w:val="0"/>
          <w:numId w:val="1"/>
        </w:numPr>
        <w:spacing w:after="0" w:line="240" w:lineRule="auto"/>
        <w:jc w:val="left"/>
        <w:rPr>
          <w:rFonts w:ascii="Book Antiqua" w:hAnsi="Book Antiqua"/>
          <w:sz w:val="26"/>
          <w:szCs w:val="26"/>
        </w:rPr>
      </w:pPr>
      <w:r w:rsidRPr="00400112">
        <w:rPr>
          <w:rFonts w:ascii="Book Antiqua" w:hAnsi="Book Antiqua"/>
          <w:sz w:val="26"/>
          <w:szCs w:val="26"/>
        </w:rPr>
        <w:t xml:space="preserve">A deregistering LSE is subject to penalties for uncured deficiencies for obligations up to the Deregistration Date. </w:t>
      </w:r>
    </w:p>
    <w:p w:rsidRPr="00400112" w:rsidR="00C1241E" w:rsidP="006225AF" w:rsidRDefault="00C1241E" w14:paraId="668EC4FB" w14:textId="0EE12F54">
      <w:pPr>
        <w:pStyle w:val="ListParagraph"/>
        <w:numPr>
          <w:ilvl w:val="0"/>
          <w:numId w:val="1"/>
        </w:numPr>
        <w:spacing w:after="0" w:line="240" w:lineRule="auto"/>
        <w:jc w:val="left"/>
        <w:rPr>
          <w:rFonts w:ascii="Book Antiqua" w:hAnsi="Book Antiqua"/>
          <w:sz w:val="26"/>
          <w:szCs w:val="26"/>
          <w:u w:val="single"/>
        </w:rPr>
      </w:pPr>
      <w:r w:rsidRPr="00400112">
        <w:rPr>
          <w:rFonts w:ascii="Book Antiqua" w:hAnsi="Book Antiqua"/>
          <w:sz w:val="26"/>
          <w:szCs w:val="26"/>
        </w:rPr>
        <w:t xml:space="preserve">Beginning with the 2020 Year Ahead filing process, the deregistering LSE shall submit any local RA waiver requests via a Tier 2 </w:t>
      </w:r>
      <w:r w:rsidR="00D209F2">
        <w:rPr>
          <w:rFonts w:ascii="Book Antiqua" w:hAnsi="Book Antiqua"/>
          <w:sz w:val="26"/>
          <w:szCs w:val="26"/>
        </w:rPr>
        <w:t>AL</w:t>
      </w:r>
      <w:r w:rsidRPr="00400112">
        <w:rPr>
          <w:rFonts w:ascii="Book Antiqua" w:hAnsi="Book Antiqua"/>
          <w:sz w:val="26"/>
          <w:szCs w:val="26"/>
        </w:rPr>
        <w:t xml:space="preserve"> to the service list (in redacted form, if necessary) of the RA proceeding open at the time of the request. </w:t>
      </w:r>
    </w:p>
    <w:p w:rsidRPr="00400112" w:rsidR="005F1FAF" w:rsidP="005F1FAF" w:rsidRDefault="005F1FAF" w14:paraId="4055444C" w14:textId="77777777">
      <w:pPr>
        <w:pStyle w:val="ListParagraph"/>
        <w:spacing w:after="0" w:line="240" w:lineRule="auto"/>
        <w:jc w:val="left"/>
        <w:rPr>
          <w:rFonts w:ascii="Book Antiqua" w:hAnsi="Book Antiqua"/>
          <w:sz w:val="26"/>
          <w:szCs w:val="26"/>
          <w:u w:val="single"/>
        </w:rPr>
      </w:pPr>
    </w:p>
    <w:p w:rsidRPr="00400112" w:rsidR="00C1241E" w:rsidP="006225AF" w:rsidRDefault="008149EB" w14:paraId="7BFE4460" w14:textId="0AE06C1E">
      <w:pPr>
        <w:pStyle w:val="ListParagraph"/>
        <w:numPr>
          <w:ilvl w:val="0"/>
          <w:numId w:val="11"/>
        </w:numPr>
        <w:spacing w:after="0" w:line="240" w:lineRule="auto"/>
        <w:jc w:val="left"/>
        <w:rPr>
          <w:rFonts w:ascii="Book Antiqua" w:hAnsi="Book Antiqua" w:eastAsia="Times New Roman"/>
          <w:sz w:val="26"/>
          <w:szCs w:val="26"/>
        </w:rPr>
      </w:pPr>
      <w:r w:rsidRPr="00400112">
        <w:rPr>
          <w:rFonts w:ascii="Book Antiqua" w:hAnsi="Book Antiqua"/>
          <w:sz w:val="26"/>
          <w:szCs w:val="26"/>
        </w:rPr>
        <w:t xml:space="preserve">In the event of an </w:t>
      </w:r>
      <w:r w:rsidR="00850459">
        <w:rPr>
          <w:rFonts w:ascii="Book Antiqua" w:hAnsi="Book Antiqua"/>
          <w:sz w:val="26"/>
          <w:szCs w:val="26"/>
        </w:rPr>
        <w:t>Unplanned</w:t>
      </w:r>
      <w:r w:rsidRPr="00400112" w:rsidR="00850459">
        <w:rPr>
          <w:rFonts w:ascii="Book Antiqua" w:hAnsi="Book Antiqua"/>
          <w:sz w:val="26"/>
          <w:szCs w:val="26"/>
        </w:rPr>
        <w:t xml:space="preserve"> </w:t>
      </w:r>
      <w:r w:rsidR="00D9237F">
        <w:rPr>
          <w:rFonts w:ascii="Book Antiqua" w:hAnsi="Book Antiqua"/>
          <w:sz w:val="26"/>
          <w:szCs w:val="26"/>
        </w:rPr>
        <w:t>Deregistration</w:t>
      </w:r>
      <w:r w:rsidR="0028416B">
        <w:rPr>
          <w:rFonts w:ascii="Book Antiqua" w:hAnsi="Book Antiqua"/>
          <w:sz w:val="26"/>
          <w:szCs w:val="26"/>
        </w:rPr>
        <w:t xml:space="preserve"> or involuntary return of customers to the POLR</w:t>
      </w:r>
      <w:r w:rsidRPr="00400112">
        <w:rPr>
          <w:rFonts w:ascii="Book Antiqua" w:hAnsi="Book Antiqua"/>
          <w:sz w:val="26"/>
          <w:szCs w:val="26"/>
        </w:rPr>
        <w:t xml:space="preserve">, the </w:t>
      </w:r>
      <w:r w:rsidRPr="00400112" w:rsidR="00C1241E">
        <w:rPr>
          <w:rFonts w:ascii="Book Antiqua" w:hAnsi="Book Antiqua" w:eastAsia="Times New Roman"/>
          <w:sz w:val="26"/>
          <w:szCs w:val="26"/>
        </w:rPr>
        <w:t xml:space="preserve">POLR may submit a request for RA Waiver </w:t>
      </w:r>
      <w:r w:rsidRPr="00400112" w:rsidR="00C1241E">
        <w:rPr>
          <w:rFonts w:ascii="Book Antiqua" w:hAnsi="Book Antiqua" w:eastAsia="Times New Roman"/>
          <w:sz w:val="26"/>
          <w:szCs w:val="26"/>
        </w:rPr>
        <w:lastRenderedPageBreak/>
        <w:t xml:space="preserve">through a Tier 2 </w:t>
      </w:r>
      <w:r w:rsidR="00D209F2">
        <w:rPr>
          <w:rFonts w:ascii="Book Antiqua" w:hAnsi="Book Antiqua" w:eastAsia="Times New Roman"/>
          <w:sz w:val="26"/>
          <w:szCs w:val="26"/>
        </w:rPr>
        <w:t>AL</w:t>
      </w:r>
      <w:r w:rsidRPr="00400112" w:rsidR="00C1241E">
        <w:rPr>
          <w:rFonts w:ascii="Book Antiqua" w:hAnsi="Book Antiqua" w:eastAsia="Times New Roman"/>
          <w:sz w:val="26"/>
          <w:szCs w:val="26"/>
        </w:rPr>
        <w:t xml:space="preserve">.  POLR may be eligible for a limited system or flexible RA waiver for instances in which retail load is: </w:t>
      </w:r>
    </w:p>
    <w:p w:rsidRPr="00400112" w:rsidR="00C1241E" w:rsidP="006225AF" w:rsidRDefault="00C1241E" w14:paraId="6491FFFF" w14:textId="77777777">
      <w:pPr>
        <w:pStyle w:val="ListParagraph"/>
        <w:numPr>
          <w:ilvl w:val="0"/>
          <w:numId w:val="9"/>
        </w:numPr>
        <w:spacing w:after="0" w:line="240" w:lineRule="auto"/>
        <w:jc w:val="left"/>
        <w:rPr>
          <w:rFonts w:ascii="Book Antiqua" w:hAnsi="Book Antiqua" w:eastAsia="Times New Roman" w:cstheme="minorHAnsi"/>
          <w:sz w:val="26"/>
          <w:szCs w:val="26"/>
        </w:rPr>
      </w:pPr>
      <w:r w:rsidRPr="00400112">
        <w:rPr>
          <w:rFonts w:ascii="Book Antiqua" w:hAnsi="Book Antiqua" w:eastAsia="Times New Roman" w:cstheme="minorHAnsi"/>
          <w:sz w:val="26"/>
          <w:szCs w:val="26"/>
        </w:rPr>
        <w:t xml:space="preserve">returned to the POLR with insufficient time to meet the RA requirement, or </w:t>
      </w:r>
    </w:p>
    <w:p w:rsidRPr="00400112" w:rsidR="00C1241E" w:rsidP="006225AF" w:rsidRDefault="00C1241E" w14:paraId="5016D3D8" w14:textId="77777777">
      <w:pPr>
        <w:pStyle w:val="ListParagraph"/>
        <w:numPr>
          <w:ilvl w:val="0"/>
          <w:numId w:val="9"/>
        </w:numPr>
        <w:spacing w:after="0" w:line="240" w:lineRule="auto"/>
        <w:jc w:val="left"/>
        <w:rPr>
          <w:rFonts w:ascii="Book Antiqua" w:hAnsi="Book Antiqua" w:eastAsia="Times New Roman"/>
          <w:sz w:val="26"/>
          <w:szCs w:val="26"/>
        </w:rPr>
      </w:pPr>
      <w:r w:rsidRPr="00400112">
        <w:rPr>
          <w:rFonts w:ascii="Book Antiqua" w:hAnsi="Book Antiqua" w:eastAsia="Times New Roman"/>
          <w:sz w:val="26"/>
          <w:szCs w:val="26"/>
        </w:rPr>
        <w:t xml:space="preserve">not transferred from the POLR to another LSE as planned as a result of action or inaction by the LSE. </w:t>
      </w:r>
    </w:p>
    <w:p w:rsidRPr="00641596" w:rsidR="00C1241E" w:rsidP="00FB394D" w:rsidRDefault="00C1241E" w14:paraId="592B6494" w14:textId="0B2643BF">
      <w:pPr>
        <w:pStyle w:val="ListParagraph"/>
        <w:numPr>
          <w:ilvl w:val="0"/>
          <w:numId w:val="6"/>
        </w:numPr>
        <w:spacing w:after="120" w:line="240" w:lineRule="auto"/>
        <w:jc w:val="left"/>
        <w:rPr>
          <w:rStyle w:val="Hyperlink"/>
          <w:rFonts w:ascii="Arial" w:hAnsi="Arial" w:cs="Arial"/>
          <w:b/>
          <w:bCs/>
          <w:color w:val="000000" w:themeColor="text1"/>
          <w:sz w:val="26"/>
          <w:szCs w:val="26"/>
        </w:rPr>
      </w:pPr>
      <w:r w:rsidRPr="00641596">
        <w:rPr>
          <w:rStyle w:val="Hyperlink"/>
          <w:rFonts w:ascii="Arial" w:hAnsi="Arial" w:cs="Arial"/>
          <w:b/>
          <w:bCs/>
          <w:color w:val="000000" w:themeColor="text1"/>
          <w:sz w:val="26"/>
          <w:szCs w:val="26"/>
        </w:rPr>
        <w:t xml:space="preserve">LSE files Notice of Transfer of IRP </w:t>
      </w:r>
      <w:r w:rsidRPr="00641596" w:rsidR="00A57EA9">
        <w:rPr>
          <w:rStyle w:val="Hyperlink"/>
          <w:rFonts w:ascii="Arial" w:hAnsi="Arial" w:cs="Arial"/>
          <w:b/>
          <w:bCs/>
          <w:color w:val="000000" w:themeColor="text1"/>
          <w:sz w:val="26"/>
          <w:szCs w:val="26"/>
        </w:rPr>
        <w:t>O</w:t>
      </w:r>
      <w:r w:rsidRPr="00641596">
        <w:rPr>
          <w:rStyle w:val="Hyperlink"/>
          <w:rFonts w:ascii="Arial" w:hAnsi="Arial" w:cs="Arial"/>
          <w:b/>
          <w:bCs/>
          <w:color w:val="000000" w:themeColor="text1"/>
          <w:sz w:val="26"/>
          <w:szCs w:val="26"/>
        </w:rPr>
        <w:t xml:space="preserve">bligations to POLR </w:t>
      </w:r>
    </w:p>
    <w:p w:rsidRPr="00400112" w:rsidR="00C1241E" w:rsidP="006225AF" w:rsidRDefault="67A21513" w14:paraId="70BE5AB4" w14:textId="498FF586">
      <w:pPr>
        <w:spacing w:after="0" w:line="240" w:lineRule="auto"/>
        <w:jc w:val="left"/>
        <w:rPr>
          <w:rFonts w:ascii="Book Antiqua" w:hAnsi="Book Antiqua"/>
          <w:sz w:val="26"/>
          <w:szCs w:val="26"/>
        </w:rPr>
      </w:pPr>
      <w:r w:rsidRPr="00400112">
        <w:rPr>
          <w:rFonts w:ascii="Book Antiqua" w:hAnsi="Book Antiqua"/>
          <w:sz w:val="26"/>
          <w:szCs w:val="26"/>
        </w:rPr>
        <w:t xml:space="preserve">LSE must take the following steps to ensure they continue to meet their IRP compliance obligations: </w:t>
      </w:r>
      <w:r w:rsidRPr="00D209F2">
        <w:rPr>
          <w:rFonts w:ascii="Book Antiqua" w:hAnsi="Book Antiqua"/>
          <w:i/>
          <w:iCs/>
          <w:sz w:val="26"/>
          <w:szCs w:val="26"/>
        </w:rPr>
        <w:t>(</w:t>
      </w:r>
      <w:r w:rsidRPr="00D209F2">
        <w:rPr>
          <w:rStyle w:val="Hyperlink"/>
          <w:rFonts w:ascii="Book Antiqua" w:hAnsi="Book Antiqua"/>
          <w:color w:val="000000" w:themeColor="text1"/>
          <w:sz w:val="26"/>
          <w:szCs w:val="26"/>
          <w:u w:val="none"/>
        </w:rPr>
        <w:t>Applies to any ESP that has been assigned IRP obligations regardless of customer return to POLR.)</w:t>
      </w:r>
    </w:p>
    <w:p w:rsidRPr="00400112" w:rsidR="00C1241E" w:rsidP="006225AF" w:rsidRDefault="00C1241E" w14:paraId="51AA9C88" w14:textId="77777777">
      <w:pPr>
        <w:pStyle w:val="ListParagraph"/>
        <w:numPr>
          <w:ilvl w:val="0"/>
          <w:numId w:val="5"/>
        </w:numPr>
        <w:spacing w:after="0" w:line="240" w:lineRule="auto"/>
        <w:jc w:val="left"/>
        <w:rPr>
          <w:rFonts w:ascii="Book Antiqua" w:hAnsi="Book Antiqua"/>
          <w:color w:val="000000" w:themeColor="text1"/>
          <w:sz w:val="26"/>
          <w:szCs w:val="26"/>
        </w:rPr>
      </w:pPr>
      <w:r w:rsidRPr="00400112">
        <w:rPr>
          <w:rFonts w:ascii="Book Antiqua" w:hAnsi="Book Antiqua"/>
          <w:color w:val="000000" w:themeColor="text1"/>
          <w:sz w:val="26"/>
          <w:szCs w:val="26"/>
        </w:rPr>
        <w:t>LSEs must continue to meet their IRP procurement requirements during the Deregistration Period. If they are financially unable to meet their obligations, a backstop procurement order may be initiated, and the LSE may be subject to penalties.</w:t>
      </w:r>
    </w:p>
    <w:p w:rsidRPr="00400112" w:rsidR="00C1241E" w:rsidP="006225AF" w:rsidRDefault="00C1241E" w14:paraId="1943F20A" w14:textId="4003FDA7">
      <w:pPr>
        <w:pStyle w:val="ListParagraph"/>
        <w:numPr>
          <w:ilvl w:val="0"/>
          <w:numId w:val="5"/>
        </w:numPr>
        <w:spacing w:after="0" w:line="240" w:lineRule="auto"/>
        <w:jc w:val="left"/>
        <w:rPr>
          <w:rFonts w:ascii="Book Antiqua" w:hAnsi="Book Antiqua" w:eastAsiaTheme="minorHAnsi" w:cstheme="minorHAnsi"/>
          <w:color w:val="000000" w:themeColor="text1"/>
          <w:sz w:val="26"/>
          <w:szCs w:val="26"/>
        </w:rPr>
      </w:pPr>
      <w:r w:rsidRPr="00400112">
        <w:rPr>
          <w:rFonts w:ascii="Book Antiqua" w:hAnsi="Book Antiqua" w:cstheme="minorHAnsi"/>
          <w:color w:val="000000" w:themeColor="text1"/>
          <w:sz w:val="26"/>
          <w:szCs w:val="26"/>
        </w:rPr>
        <w:t>LSE shall submit a transition plan filing on the IRP docket to notify the Commission of their</w:t>
      </w:r>
      <w:r w:rsidRPr="00400112">
        <w:rPr>
          <w:rFonts w:ascii="Book Antiqua" w:hAnsi="Book Antiqua" w:cstheme="minorHAnsi"/>
          <w:b/>
          <w:bCs/>
          <w:color w:val="000000" w:themeColor="text1"/>
          <w:sz w:val="26"/>
          <w:szCs w:val="26"/>
        </w:rPr>
        <w:t xml:space="preserve"> </w:t>
      </w:r>
      <w:r w:rsidRPr="00400112">
        <w:rPr>
          <w:rFonts w:ascii="Book Antiqua" w:hAnsi="Book Antiqua" w:cstheme="minorHAnsi"/>
          <w:color w:val="000000" w:themeColor="text1"/>
          <w:sz w:val="26"/>
          <w:szCs w:val="26"/>
        </w:rPr>
        <w:t>progress toward meeting procurement obligations, all contract sales, transfers of contracts to other LSEs and any</w:t>
      </w:r>
      <w:r w:rsidRPr="00400112">
        <w:rPr>
          <w:rFonts w:ascii="Book Antiqua" w:hAnsi="Book Antiqua" w:eastAsia="Times New Roman" w:cstheme="minorHAnsi"/>
          <w:color w:val="000000" w:themeColor="text1"/>
          <w:sz w:val="26"/>
          <w:szCs w:val="26"/>
        </w:rPr>
        <w:t xml:space="preserve"> project defaults, and progress toward preparing and submitting any upcoming IRP filings, including any filing re-submission requests that may have been issued by Energy Division </w:t>
      </w:r>
      <w:r w:rsidRPr="00400112" w:rsidR="00F64DD2">
        <w:rPr>
          <w:rFonts w:ascii="Book Antiqua" w:hAnsi="Book Antiqua" w:eastAsia="Times New Roman" w:cstheme="minorHAnsi"/>
          <w:color w:val="000000" w:themeColor="text1"/>
          <w:sz w:val="26"/>
          <w:szCs w:val="26"/>
        </w:rPr>
        <w:t>S</w:t>
      </w:r>
      <w:r w:rsidRPr="00400112">
        <w:rPr>
          <w:rFonts w:ascii="Book Antiqua" w:hAnsi="Book Antiqua" w:eastAsia="Times New Roman" w:cstheme="minorHAnsi"/>
          <w:color w:val="000000" w:themeColor="text1"/>
          <w:sz w:val="26"/>
          <w:szCs w:val="26"/>
        </w:rPr>
        <w:t xml:space="preserve">taff. </w:t>
      </w:r>
    </w:p>
    <w:p w:rsidRPr="00400112" w:rsidR="00591989" w:rsidP="00591989" w:rsidRDefault="00C1241E" w14:paraId="7B10D38B" w14:textId="111EE5A3">
      <w:pPr>
        <w:pStyle w:val="ListParagraph"/>
        <w:numPr>
          <w:ilvl w:val="0"/>
          <w:numId w:val="5"/>
        </w:numPr>
        <w:spacing w:after="0" w:line="240" w:lineRule="auto"/>
        <w:jc w:val="left"/>
        <w:rPr>
          <w:rFonts w:ascii="Book Antiqua" w:hAnsi="Book Antiqua"/>
          <w:color w:val="000000" w:themeColor="text1"/>
          <w:sz w:val="26"/>
          <w:szCs w:val="26"/>
        </w:rPr>
      </w:pPr>
      <w:r w:rsidRPr="00400112">
        <w:rPr>
          <w:rFonts w:ascii="Book Antiqua" w:hAnsi="Book Antiqua" w:eastAsia="Times New Roman"/>
          <w:sz w:val="26"/>
          <w:szCs w:val="26"/>
        </w:rPr>
        <w:t xml:space="preserve">The deregistering LSE must continue to submit any filings that are due during the LSE’s Deregistration Period. The LSE may coordinate with Energy Division to determine the specific information needed in the required filings during the Deregistration Period or </w:t>
      </w:r>
      <w:r w:rsidRPr="00400112" w:rsidR="0099015E">
        <w:rPr>
          <w:rFonts w:ascii="Book Antiqua" w:hAnsi="Book Antiqua" w:eastAsia="Times New Roman"/>
          <w:sz w:val="26"/>
          <w:szCs w:val="26"/>
        </w:rPr>
        <w:t xml:space="preserve">the LSE and the POLR may jointly </w:t>
      </w:r>
      <w:r w:rsidRPr="00400112">
        <w:rPr>
          <w:rFonts w:ascii="Book Antiqua" w:hAnsi="Book Antiqua" w:eastAsia="Times New Roman"/>
          <w:sz w:val="26"/>
          <w:szCs w:val="26"/>
        </w:rPr>
        <w:t xml:space="preserve">submit a request </w:t>
      </w:r>
      <w:r w:rsidRPr="00400112" w:rsidR="0054251F">
        <w:rPr>
          <w:rFonts w:ascii="Book Antiqua" w:hAnsi="Book Antiqua" w:eastAsia="Times New Roman"/>
          <w:sz w:val="26"/>
          <w:szCs w:val="26"/>
        </w:rPr>
        <w:t xml:space="preserve">that </w:t>
      </w:r>
      <w:r w:rsidRPr="00400112">
        <w:rPr>
          <w:rFonts w:ascii="Book Antiqua" w:hAnsi="Book Antiqua" w:eastAsia="Times New Roman"/>
          <w:sz w:val="26"/>
          <w:szCs w:val="26"/>
        </w:rPr>
        <w:t xml:space="preserve">the requirement be </w:t>
      </w:r>
      <w:r w:rsidRPr="00400112" w:rsidR="0054251F">
        <w:rPr>
          <w:rFonts w:ascii="Book Antiqua" w:hAnsi="Book Antiqua" w:eastAsia="Times New Roman"/>
          <w:sz w:val="26"/>
          <w:szCs w:val="26"/>
        </w:rPr>
        <w:t xml:space="preserve">transferred </w:t>
      </w:r>
      <w:r w:rsidRPr="00400112" w:rsidR="007619A9">
        <w:rPr>
          <w:rFonts w:ascii="Book Antiqua" w:hAnsi="Book Antiqua" w:eastAsia="Times New Roman"/>
          <w:sz w:val="26"/>
          <w:szCs w:val="26"/>
        </w:rPr>
        <w:t>in advance o</w:t>
      </w:r>
      <w:r w:rsidRPr="00400112" w:rsidR="00302A47">
        <w:rPr>
          <w:rFonts w:ascii="Book Antiqua" w:hAnsi="Book Antiqua" w:eastAsia="Times New Roman"/>
          <w:sz w:val="26"/>
          <w:szCs w:val="26"/>
        </w:rPr>
        <w:t xml:space="preserve">f or </w:t>
      </w:r>
      <w:r w:rsidRPr="00400112" w:rsidR="00E572F7">
        <w:rPr>
          <w:rFonts w:ascii="Book Antiqua" w:hAnsi="Book Antiqua" w:eastAsia="Times New Roman"/>
          <w:sz w:val="26"/>
          <w:szCs w:val="26"/>
        </w:rPr>
        <w:t>in tandem with the customer transfer</w:t>
      </w:r>
      <w:r w:rsidRPr="00400112">
        <w:rPr>
          <w:rFonts w:ascii="Book Antiqua" w:hAnsi="Book Antiqua" w:eastAsia="Times New Roman"/>
          <w:sz w:val="26"/>
          <w:szCs w:val="26"/>
        </w:rPr>
        <w:t>. Filings include:</w:t>
      </w:r>
    </w:p>
    <w:p w:rsidRPr="00400112" w:rsidR="00591989" w:rsidP="00591989" w:rsidRDefault="00C1241E" w14:paraId="4655F657" w14:textId="77777777">
      <w:pPr>
        <w:pStyle w:val="ListParagraph"/>
        <w:numPr>
          <w:ilvl w:val="1"/>
          <w:numId w:val="5"/>
        </w:numPr>
        <w:spacing w:after="0" w:line="240" w:lineRule="auto"/>
        <w:jc w:val="left"/>
        <w:rPr>
          <w:rFonts w:ascii="Book Antiqua" w:hAnsi="Book Antiqua"/>
          <w:color w:val="000000" w:themeColor="text1"/>
          <w:sz w:val="26"/>
          <w:szCs w:val="26"/>
        </w:rPr>
      </w:pPr>
      <w:r w:rsidRPr="00400112">
        <w:rPr>
          <w:rFonts w:ascii="Book Antiqua" w:hAnsi="Book Antiqua" w:eastAsia="Times New Roman" w:cstheme="minorHAnsi"/>
          <w:sz w:val="26"/>
          <w:szCs w:val="26"/>
        </w:rPr>
        <w:t>I</w:t>
      </w:r>
      <w:r w:rsidRPr="00400112">
        <w:rPr>
          <w:rFonts w:ascii="Book Antiqua" w:hAnsi="Book Antiqua" w:cstheme="minorHAnsi"/>
          <w:color w:val="000000" w:themeColor="text1"/>
          <w:sz w:val="26"/>
          <w:szCs w:val="26"/>
        </w:rPr>
        <w:t>ndividual IRP Plans</w:t>
      </w:r>
    </w:p>
    <w:p w:rsidRPr="00400112" w:rsidR="00591989" w:rsidP="00591989" w:rsidRDefault="00C1241E" w14:paraId="6C3D9275" w14:textId="77777777">
      <w:pPr>
        <w:pStyle w:val="ListParagraph"/>
        <w:numPr>
          <w:ilvl w:val="1"/>
          <w:numId w:val="5"/>
        </w:numPr>
        <w:spacing w:after="0" w:line="240" w:lineRule="auto"/>
        <w:jc w:val="left"/>
        <w:rPr>
          <w:rFonts w:ascii="Book Antiqua" w:hAnsi="Book Antiqua"/>
          <w:color w:val="000000" w:themeColor="text1"/>
          <w:sz w:val="26"/>
          <w:szCs w:val="26"/>
        </w:rPr>
      </w:pPr>
      <w:r w:rsidRPr="00400112">
        <w:rPr>
          <w:rFonts w:ascii="Book Antiqua" w:hAnsi="Book Antiqua" w:cstheme="minorHAnsi"/>
          <w:color w:val="000000" w:themeColor="text1"/>
          <w:sz w:val="26"/>
          <w:szCs w:val="26"/>
        </w:rPr>
        <w:t>IRP</w:t>
      </w:r>
      <w:r w:rsidRPr="00400112">
        <w:rPr>
          <w:rFonts w:ascii="Book Antiqua" w:hAnsi="Book Antiqua" w:eastAsia="Times New Roman" w:cstheme="minorHAnsi"/>
          <w:sz w:val="26"/>
          <w:szCs w:val="26"/>
        </w:rPr>
        <w:t xml:space="preserve"> Procurement Compliance Filings and Data Requests </w:t>
      </w:r>
    </w:p>
    <w:p w:rsidRPr="00400112" w:rsidR="00C1241E" w:rsidP="00591989" w:rsidRDefault="00C1241E" w14:paraId="3CA79744" w14:textId="57C87298">
      <w:pPr>
        <w:pStyle w:val="ListParagraph"/>
        <w:numPr>
          <w:ilvl w:val="1"/>
          <w:numId w:val="5"/>
        </w:numPr>
        <w:spacing w:after="0" w:line="240" w:lineRule="auto"/>
        <w:jc w:val="left"/>
        <w:rPr>
          <w:rFonts w:ascii="Book Antiqua" w:hAnsi="Book Antiqua"/>
          <w:color w:val="000000" w:themeColor="text1"/>
          <w:sz w:val="26"/>
          <w:szCs w:val="26"/>
        </w:rPr>
      </w:pPr>
      <w:r w:rsidRPr="00400112">
        <w:rPr>
          <w:rFonts w:ascii="Book Antiqua" w:hAnsi="Book Antiqua" w:eastAsia="Times New Roman" w:cstheme="minorHAnsi"/>
          <w:sz w:val="26"/>
          <w:szCs w:val="26"/>
        </w:rPr>
        <w:t xml:space="preserve">Any other data requests or filing re-submissions issued by IRP </w:t>
      </w:r>
      <w:r w:rsidRPr="00400112" w:rsidR="00591989">
        <w:rPr>
          <w:rFonts w:ascii="Book Antiqua" w:hAnsi="Book Antiqua" w:eastAsia="Times New Roman" w:cstheme="minorHAnsi"/>
          <w:sz w:val="26"/>
          <w:szCs w:val="26"/>
        </w:rPr>
        <w:t>S</w:t>
      </w:r>
      <w:r w:rsidRPr="00400112">
        <w:rPr>
          <w:rFonts w:ascii="Book Antiqua" w:hAnsi="Book Antiqua" w:eastAsia="Times New Roman" w:cstheme="minorHAnsi"/>
          <w:sz w:val="26"/>
          <w:szCs w:val="26"/>
        </w:rPr>
        <w:t>taff</w:t>
      </w:r>
    </w:p>
    <w:p w:rsidRPr="00400112" w:rsidR="00591989" w:rsidP="006225AF" w:rsidRDefault="00591989" w14:paraId="370D74A6" w14:textId="77777777">
      <w:pPr>
        <w:tabs>
          <w:tab w:val="left" w:pos="1080"/>
        </w:tabs>
        <w:spacing w:after="0" w:line="240" w:lineRule="auto"/>
        <w:ind w:left="360"/>
        <w:jc w:val="left"/>
        <w:rPr>
          <w:rFonts w:ascii="Book Antiqua" w:hAnsi="Book Antiqua" w:cstheme="minorHAnsi"/>
          <w:color w:val="000000" w:themeColor="text1"/>
          <w:sz w:val="26"/>
          <w:szCs w:val="26"/>
          <w:u w:val="single"/>
        </w:rPr>
      </w:pPr>
    </w:p>
    <w:p w:rsidRPr="00AB7EA6" w:rsidR="00C1241E" w:rsidP="006225AF" w:rsidRDefault="00A57EA9" w14:paraId="0462F0DC" w14:textId="711C57A0">
      <w:pPr>
        <w:tabs>
          <w:tab w:val="left" w:pos="1080"/>
        </w:tabs>
        <w:spacing w:after="0" w:line="240" w:lineRule="auto"/>
        <w:ind w:left="360"/>
        <w:jc w:val="left"/>
        <w:rPr>
          <w:rFonts w:ascii="Book Antiqua" w:hAnsi="Book Antiqua" w:cstheme="minorHAnsi"/>
          <w:i/>
          <w:iCs/>
          <w:color w:val="000000" w:themeColor="text1"/>
          <w:sz w:val="26"/>
          <w:szCs w:val="26"/>
        </w:rPr>
      </w:pPr>
      <w:r w:rsidRPr="00AB7EA6">
        <w:rPr>
          <w:rFonts w:ascii="Book Antiqua" w:hAnsi="Book Antiqua" w:cstheme="minorHAnsi"/>
          <w:i/>
          <w:iCs/>
          <w:color w:val="000000" w:themeColor="text1"/>
          <w:sz w:val="26"/>
          <w:szCs w:val="26"/>
        </w:rPr>
        <w:t xml:space="preserve">IRP </w:t>
      </w:r>
      <w:r w:rsidRPr="00AB7EA6" w:rsidR="00C1241E">
        <w:rPr>
          <w:rFonts w:ascii="Book Antiqua" w:hAnsi="Book Antiqua" w:cstheme="minorHAnsi"/>
          <w:i/>
          <w:iCs/>
          <w:color w:val="000000" w:themeColor="text1"/>
          <w:sz w:val="26"/>
          <w:szCs w:val="26"/>
        </w:rPr>
        <w:t>Penalties and Waivers</w:t>
      </w:r>
      <w:r w:rsidR="00AB7EA6">
        <w:rPr>
          <w:rFonts w:ascii="Book Antiqua" w:hAnsi="Book Antiqua" w:cstheme="minorHAnsi"/>
          <w:i/>
          <w:iCs/>
          <w:color w:val="000000" w:themeColor="text1"/>
          <w:sz w:val="26"/>
          <w:szCs w:val="26"/>
        </w:rPr>
        <w:t>:</w:t>
      </w:r>
    </w:p>
    <w:p w:rsidRPr="00400112" w:rsidR="00C1241E" w:rsidP="006225AF" w:rsidRDefault="67A21513" w14:paraId="62BEE3A3" w14:textId="36A64D6C">
      <w:pPr>
        <w:pStyle w:val="ListParagraph"/>
        <w:numPr>
          <w:ilvl w:val="0"/>
          <w:numId w:val="13"/>
        </w:numPr>
        <w:tabs>
          <w:tab w:val="left" w:pos="1080"/>
        </w:tabs>
        <w:spacing w:after="0" w:line="240" w:lineRule="auto"/>
        <w:ind w:left="720"/>
        <w:jc w:val="left"/>
        <w:rPr>
          <w:rFonts w:ascii="Book Antiqua" w:hAnsi="Book Antiqua"/>
          <w:color w:val="000000" w:themeColor="text1"/>
          <w:sz w:val="26"/>
          <w:szCs w:val="26"/>
        </w:rPr>
      </w:pPr>
      <w:r w:rsidRPr="00400112">
        <w:rPr>
          <w:rFonts w:ascii="Book Antiqua" w:hAnsi="Book Antiqua"/>
          <w:color w:val="000000" w:themeColor="text1"/>
          <w:sz w:val="26"/>
          <w:szCs w:val="26"/>
        </w:rPr>
        <w:t xml:space="preserve">Energy Division will review the transition plan and determine whether </w:t>
      </w:r>
      <w:r w:rsidRPr="00400112" w:rsidR="787B4C47">
        <w:rPr>
          <w:rFonts w:ascii="Book Antiqua" w:hAnsi="Book Antiqua"/>
          <w:color w:val="000000" w:themeColor="text1"/>
          <w:sz w:val="26"/>
          <w:szCs w:val="26"/>
        </w:rPr>
        <w:t xml:space="preserve">backstop procurement </w:t>
      </w:r>
      <w:r w:rsidRPr="00400112" w:rsidR="7A762141">
        <w:rPr>
          <w:rFonts w:ascii="Book Antiqua" w:hAnsi="Book Antiqua"/>
          <w:color w:val="000000" w:themeColor="text1"/>
          <w:sz w:val="26"/>
          <w:szCs w:val="26"/>
        </w:rPr>
        <w:t>is necessary</w:t>
      </w:r>
      <w:r w:rsidRPr="00400112" w:rsidR="004D7FA2">
        <w:rPr>
          <w:rFonts w:ascii="Book Antiqua" w:hAnsi="Book Antiqua"/>
          <w:color w:val="000000" w:themeColor="text1"/>
          <w:sz w:val="26"/>
          <w:szCs w:val="26"/>
        </w:rPr>
        <w:t>.</w:t>
      </w:r>
    </w:p>
    <w:p w:rsidR="00C1241E" w:rsidP="006225AF" w:rsidRDefault="00C1241E" w14:paraId="502FDB80" w14:textId="77777777">
      <w:pPr>
        <w:pStyle w:val="ListParagraph"/>
        <w:numPr>
          <w:ilvl w:val="0"/>
          <w:numId w:val="13"/>
        </w:numPr>
        <w:tabs>
          <w:tab w:val="left" w:pos="1080"/>
        </w:tabs>
        <w:spacing w:after="0" w:line="240" w:lineRule="auto"/>
        <w:ind w:left="720"/>
        <w:jc w:val="left"/>
        <w:rPr>
          <w:rFonts w:ascii="Book Antiqua" w:hAnsi="Book Antiqua" w:cstheme="minorHAnsi"/>
          <w:color w:val="000000" w:themeColor="text1"/>
          <w:sz w:val="26"/>
          <w:szCs w:val="26"/>
        </w:rPr>
      </w:pPr>
      <w:r w:rsidRPr="00400112">
        <w:rPr>
          <w:rFonts w:ascii="Book Antiqua" w:hAnsi="Book Antiqua" w:cstheme="minorHAnsi"/>
          <w:color w:val="000000" w:themeColor="text1"/>
          <w:sz w:val="26"/>
          <w:szCs w:val="26"/>
        </w:rPr>
        <w:t xml:space="preserve">Issues regarding the backstop procurement and cost recovery in the event of customer return to POLR are currently in scope of the IRP proceeding, and thus the IRP procurement process may be subject to change if warranted. </w:t>
      </w:r>
    </w:p>
    <w:p w:rsidR="00A0156B" w:rsidP="006225AF" w:rsidRDefault="00A0156B" w14:paraId="2765438E" w14:textId="77777777">
      <w:pPr>
        <w:pStyle w:val="ListParagraph"/>
        <w:tabs>
          <w:tab w:val="left" w:pos="1080"/>
        </w:tabs>
        <w:spacing w:after="0" w:line="240" w:lineRule="auto"/>
        <w:ind w:left="2160"/>
        <w:jc w:val="left"/>
        <w:rPr>
          <w:rFonts w:ascii="Book Antiqua" w:hAnsi="Book Antiqua" w:cstheme="minorHAnsi"/>
          <w:color w:val="333333"/>
          <w:sz w:val="26"/>
          <w:szCs w:val="26"/>
        </w:rPr>
      </w:pPr>
    </w:p>
    <w:p w:rsidRPr="00641596" w:rsidR="00C1241E" w:rsidP="00FB394D" w:rsidRDefault="00C1241E" w14:paraId="672BAAE5" w14:textId="10372A6E">
      <w:pPr>
        <w:pStyle w:val="ListParagraph"/>
        <w:numPr>
          <w:ilvl w:val="0"/>
          <w:numId w:val="6"/>
        </w:numPr>
        <w:spacing w:after="120" w:line="240" w:lineRule="auto"/>
        <w:jc w:val="left"/>
        <w:rPr>
          <w:rStyle w:val="Hyperlink"/>
          <w:rFonts w:ascii="Arial" w:hAnsi="Arial" w:cs="Arial"/>
          <w:b/>
          <w:bCs/>
          <w:color w:val="000000" w:themeColor="text1"/>
          <w:sz w:val="26"/>
          <w:szCs w:val="26"/>
        </w:rPr>
      </w:pPr>
      <w:r w:rsidRPr="00641596">
        <w:rPr>
          <w:rStyle w:val="Hyperlink"/>
          <w:rFonts w:ascii="Arial" w:hAnsi="Arial" w:cs="Arial"/>
          <w:b/>
          <w:bCs/>
          <w:color w:val="000000" w:themeColor="text1"/>
          <w:sz w:val="26"/>
          <w:szCs w:val="26"/>
        </w:rPr>
        <w:lastRenderedPageBreak/>
        <w:t>LSE File</w:t>
      </w:r>
      <w:r w:rsidRPr="00641596" w:rsidR="23746D41">
        <w:rPr>
          <w:rStyle w:val="Hyperlink"/>
          <w:rFonts w:ascii="Arial" w:hAnsi="Arial" w:cs="Arial"/>
          <w:b/>
          <w:bCs/>
          <w:color w:val="000000" w:themeColor="text1"/>
          <w:sz w:val="26"/>
          <w:szCs w:val="26"/>
        </w:rPr>
        <w:t>s</w:t>
      </w:r>
      <w:r w:rsidRPr="00641596">
        <w:rPr>
          <w:rStyle w:val="Hyperlink"/>
          <w:rFonts w:ascii="Arial" w:hAnsi="Arial" w:cs="Arial"/>
          <w:b/>
          <w:bCs/>
          <w:color w:val="000000" w:themeColor="text1"/>
          <w:sz w:val="26"/>
          <w:szCs w:val="26"/>
        </w:rPr>
        <w:t xml:space="preserve"> Annual </w:t>
      </w:r>
      <w:r w:rsidRPr="00641596" w:rsidR="2A8531A6">
        <w:rPr>
          <w:rStyle w:val="Hyperlink"/>
          <w:rFonts w:ascii="Arial" w:hAnsi="Arial" w:cs="Arial"/>
          <w:b/>
          <w:bCs/>
          <w:color w:val="000000" w:themeColor="text1"/>
          <w:sz w:val="26"/>
          <w:szCs w:val="26"/>
        </w:rPr>
        <w:t>RPS Compliance Reports,</w:t>
      </w:r>
      <w:r w:rsidRPr="00641596">
        <w:rPr>
          <w:rStyle w:val="Hyperlink"/>
          <w:rFonts w:ascii="Arial" w:hAnsi="Arial" w:cs="Arial"/>
          <w:b/>
          <w:bCs/>
          <w:color w:val="000000" w:themeColor="text1"/>
          <w:sz w:val="26"/>
          <w:szCs w:val="26"/>
        </w:rPr>
        <w:t xml:space="preserve"> Final RPS Compliance Report</w:t>
      </w:r>
      <w:r w:rsidRPr="00641596" w:rsidR="465B2E81">
        <w:rPr>
          <w:rStyle w:val="Hyperlink"/>
          <w:rFonts w:ascii="Arial" w:hAnsi="Arial" w:cs="Arial"/>
          <w:b/>
          <w:bCs/>
          <w:color w:val="000000" w:themeColor="text1"/>
          <w:sz w:val="26"/>
          <w:szCs w:val="26"/>
        </w:rPr>
        <w:t>,</w:t>
      </w:r>
      <w:r w:rsidRPr="00641596" w:rsidR="787D8D54">
        <w:rPr>
          <w:rStyle w:val="Hyperlink"/>
          <w:rFonts w:ascii="Arial" w:hAnsi="Arial" w:cs="Arial"/>
          <w:b/>
          <w:bCs/>
          <w:color w:val="000000" w:themeColor="text1"/>
          <w:sz w:val="26"/>
          <w:szCs w:val="26"/>
        </w:rPr>
        <w:t xml:space="preserve"> and </w:t>
      </w:r>
      <w:r w:rsidRPr="00641596" w:rsidR="3BA5B92A">
        <w:rPr>
          <w:rStyle w:val="Hyperlink"/>
          <w:rFonts w:ascii="Arial" w:hAnsi="Arial" w:cs="Arial"/>
          <w:b/>
          <w:bCs/>
          <w:color w:val="000000" w:themeColor="text1"/>
          <w:sz w:val="26"/>
          <w:szCs w:val="26"/>
        </w:rPr>
        <w:t xml:space="preserve">Annual </w:t>
      </w:r>
      <w:r w:rsidRPr="00641596" w:rsidR="512C79A2">
        <w:rPr>
          <w:rStyle w:val="Hyperlink"/>
          <w:rFonts w:ascii="Arial" w:hAnsi="Arial" w:cs="Arial"/>
          <w:b/>
          <w:bCs/>
          <w:color w:val="000000" w:themeColor="text1"/>
          <w:sz w:val="26"/>
          <w:szCs w:val="26"/>
        </w:rPr>
        <w:t>RPS Procurement</w:t>
      </w:r>
      <w:r w:rsidRPr="00641596" w:rsidR="3BA5B92A">
        <w:rPr>
          <w:rStyle w:val="Hyperlink"/>
          <w:rFonts w:ascii="Arial" w:hAnsi="Arial" w:cs="Arial"/>
          <w:b/>
          <w:bCs/>
          <w:color w:val="000000" w:themeColor="text1"/>
          <w:sz w:val="26"/>
          <w:szCs w:val="26"/>
        </w:rPr>
        <w:t xml:space="preserve"> </w:t>
      </w:r>
      <w:r w:rsidRPr="00641596" w:rsidR="512C79A2">
        <w:rPr>
          <w:rStyle w:val="Hyperlink"/>
          <w:rFonts w:ascii="Arial" w:hAnsi="Arial" w:cs="Arial"/>
          <w:b/>
          <w:bCs/>
          <w:color w:val="000000" w:themeColor="text1"/>
          <w:sz w:val="26"/>
          <w:szCs w:val="26"/>
        </w:rPr>
        <w:t>Plans</w:t>
      </w:r>
      <w:r w:rsidRPr="00641596" w:rsidR="4AC66904">
        <w:rPr>
          <w:rStyle w:val="Hyperlink"/>
          <w:rFonts w:ascii="Arial" w:hAnsi="Arial" w:cs="Arial"/>
          <w:b/>
          <w:bCs/>
          <w:color w:val="000000" w:themeColor="text1"/>
          <w:sz w:val="26"/>
          <w:szCs w:val="26"/>
        </w:rPr>
        <w:t xml:space="preserve">, </w:t>
      </w:r>
      <w:r w:rsidRPr="00641596" w:rsidR="6452864B">
        <w:rPr>
          <w:rStyle w:val="Hyperlink"/>
          <w:rFonts w:ascii="Arial" w:hAnsi="Arial" w:cs="Arial"/>
          <w:b/>
          <w:bCs/>
          <w:color w:val="000000" w:themeColor="text1"/>
          <w:sz w:val="26"/>
          <w:szCs w:val="26"/>
        </w:rPr>
        <w:t xml:space="preserve">as well as </w:t>
      </w:r>
      <w:r w:rsidRPr="00641596" w:rsidR="00A57EA9">
        <w:rPr>
          <w:rStyle w:val="Hyperlink"/>
          <w:rFonts w:ascii="Arial" w:hAnsi="Arial" w:cs="Arial"/>
          <w:b/>
          <w:bCs/>
          <w:color w:val="000000" w:themeColor="text1"/>
          <w:sz w:val="26"/>
          <w:szCs w:val="26"/>
        </w:rPr>
        <w:t>S</w:t>
      </w:r>
      <w:r w:rsidRPr="00641596" w:rsidR="4AC66904">
        <w:rPr>
          <w:rStyle w:val="Hyperlink"/>
          <w:rFonts w:ascii="Arial" w:hAnsi="Arial" w:cs="Arial"/>
          <w:b/>
          <w:bCs/>
          <w:color w:val="000000" w:themeColor="text1"/>
          <w:sz w:val="26"/>
          <w:szCs w:val="26"/>
        </w:rPr>
        <w:t xml:space="preserve">erves </w:t>
      </w:r>
      <w:r w:rsidRPr="00641596" w:rsidR="1DD73C97">
        <w:rPr>
          <w:rStyle w:val="Hyperlink"/>
          <w:rFonts w:ascii="Arial" w:hAnsi="Arial" w:cs="Arial"/>
          <w:b/>
          <w:bCs/>
          <w:color w:val="000000" w:themeColor="text1"/>
          <w:sz w:val="26"/>
          <w:szCs w:val="26"/>
        </w:rPr>
        <w:t xml:space="preserve">Final </w:t>
      </w:r>
      <w:r w:rsidRPr="00641596" w:rsidR="4AC66904">
        <w:rPr>
          <w:rStyle w:val="Hyperlink"/>
          <w:rFonts w:ascii="Arial" w:hAnsi="Arial" w:cs="Arial"/>
          <w:b/>
          <w:bCs/>
          <w:color w:val="000000" w:themeColor="text1"/>
          <w:sz w:val="26"/>
          <w:szCs w:val="26"/>
        </w:rPr>
        <w:t>Notice of Deregistration</w:t>
      </w:r>
    </w:p>
    <w:p w:rsidRPr="00400112" w:rsidR="00C1241E" w:rsidP="006225AF" w:rsidRDefault="00C1241E" w14:paraId="38411424" w14:textId="486DA3F0">
      <w:pPr>
        <w:spacing w:after="0" w:line="240" w:lineRule="auto"/>
        <w:jc w:val="left"/>
        <w:rPr>
          <w:rStyle w:val="Hyperlink"/>
          <w:rFonts w:ascii="Book Antiqua" w:hAnsi="Book Antiqua"/>
          <w:color w:val="000000" w:themeColor="text1"/>
          <w:sz w:val="26"/>
          <w:szCs w:val="26"/>
          <w:u w:val="none"/>
        </w:rPr>
      </w:pPr>
      <w:r w:rsidRPr="00400112">
        <w:rPr>
          <w:rStyle w:val="Hyperlink"/>
          <w:rFonts w:ascii="Book Antiqua" w:hAnsi="Book Antiqua"/>
          <w:color w:val="000000" w:themeColor="text1"/>
          <w:sz w:val="26"/>
          <w:szCs w:val="26"/>
          <w:u w:val="none"/>
        </w:rPr>
        <w:t xml:space="preserve">The deregistering LSE must meet its RPS obligation through the </w:t>
      </w:r>
      <w:r w:rsidRPr="00400112" w:rsidR="0ED721D9">
        <w:rPr>
          <w:rStyle w:val="Hyperlink"/>
          <w:rFonts w:ascii="Book Antiqua" w:hAnsi="Book Antiqua"/>
          <w:color w:val="000000" w:themeColor="text1"/>
          <w:sz w:val="26"/>
          <w:szCs w:val="26"/>
          <w:u w:val="none"/>
        </w:rPr>
        <w:t>C</w:t>
      </w:r>
      <w:r w:rsidRPr="00400112" w:rsidR="0B7E822B">
        <w:rPr>
          <w:rStyle w:val="Hyperlink"/>
          <w:rFonts w:ascii="Book Antiqua" w:hAnsi="Book Antiqua"/>
          <w:color w:val="000000" w:themeColor="text1"/>
          <w:sz w:val="26"/>
          <w:szCs w:val="26"/>
          <w:u w:val="none"/>
        </w:rPr>
        <w:t>ompliance</w:t>
      </w:r>
      <w:r w:rsidRPr="00400112" w:rsidR="521983AA">
        <w:rPr>
          <w:rStyle w:val="Hyperlink"/>
          <w:rFonts w:ascii="Book Antiqua" w:hAnsi="Book Antiqua"/>
          <w:color w:val="000000" w:themeColor="text1"/>
          <w:sz w:val="26"/>
          <w:szCs w:val="26"/>
          <w:u w:val="none"/>
        </w:rPr>
        <w:t xml:space="preserve"> </w:t>
      </w:r>
      <w:r w:rsidRPr="00400112" w:rsidR="21813048">
        <w:rPr>
          <w:rStyle w:val="Hyperlink"/>
          <w:rFonts w:ascii="Book Antiqua" w:hAnsi="Book Antiqua"/>
          <w:color w:val="000000" w:themeColor="text1"/>
          <w:sz w:val="26"/>
          <w:szCs w:val="26"/>
          <w:u w:val="none"/>
        </w:rPr>
        <w:t>P</w:t>
      </w:r>
      <w:r w:rsidRPr="00400112">
        <w:rPr>
          <w:rStyle w:val="Hyperlink"/>
          <w:rFonts w:ascii="Book Antiqua" w:hAnsi="Book Antiqua"/>
          <w:color w:val="000000" w:themeColor="text1"/>
          <w:sz w:val="26"/>
          <w:szCs w:val="26"/>
          <w:u w:val="none"/>
        </w:rPr>
        <w:t xml:space="preserve">eriod in which it operates. However, since the RPS program has multi-year </w:t>
      </w:r>
      <w:r w:rsidRPr="00400112" w:rsidR="44D6E8BB">
        <w:rPr>
          <w:rStyle w:val="Hyperlink"/>
          <w:rFonts w:ascii="Book Antiqua" w:hAnsi="Book Antiqua"/>
          <w:color w:val="000000" w:themeColor="text1"/>
          <w:sz w:val="26"/>
          <w:szCs w:val="26"/>
          <w:u w:val="none"/>
        </w:rPr>
        <w:t>C</w:t>
      </w:r>
      <w:r w:rsidRPr="00400112" w:rsidR="521983AA">
        <w:rPr>
          <w:rStyle w:val="Hyperlink"/>
          <w:rFonts w:ascii="Book Antiqua" w:hAnsi="Book Antiqua"/>
          <w:color w:val="000000" w:themeColor="text1"/>
          <w:sz w:val="26"/>
          <w:szCs w:val="26"/>
          <w:u w:val="none"/>
        </w:rPr>
        <w:t xml:space="preserve">ompliance </w:t>
      </w:r>
      <w:r w:rsidRPr="00400112" w:rsidR="5670855A">
        <w:rPr>
          <w:rStyle w:val="Hyperlink"/>
          <w:rFonts w:ascii="Book Antiqua" w:hAnsi="Book Antiqua"/>
          <w:color w:val="000000" w:themeColor="text1"/>
          <w:sz w:val="26"/>
          <w:szCs w:val="26"/>
          <w:u w:val="none"/>
        </w:rPr>
        <w:t>P</w:t>
      </w:r>
      <w:r w:rsidRPr="00400112">
        <w:rPr>
          <w:rStyle w:val="Hyperlink"/>
          <w:rFonts w:ascii="Book Antiqua" w:hAnsi="Book Antiqua"/>
          <w:color w:val="000000" w:themeColor="text1"/>
          <w:sz w:val="26"/>
          <w:szCs w:val="26"/>
          <w:u w:val="none"/>
        </w:rPr>
        <w:t xml:space="preserve">eriod requirements that must be reviewed at the conclusion of the period, the LSE will continue to have compliance filing obligations for the remaining years of the Compliance Period in which they served load. The California Energy Commission (CEC) will conduct the RPS claims verification after the end of the </w:t>
      </w:r>
      <w:r w:rsidRPr="00400112" w:rsidR="30E1DDA0">
        <w:rPr>
          <w:rStyle w:val="Hyperlink"/>
          <w:rFonts w:ascii="Book Antiqua" w:hAnsi="Book Antiqua"/>
          <w:color w:val="000000" w:themeColor="text1"/>
          <w:sz w:val="26"/>
          <w:szCs w:val="26"/>
          <w:u w:val="none"/>
        </w:rPr>
        <w:t>C</w:t>
      </w:r>
      <w:r w:rsidRPr="00400112" w:rsidR="521983AA">
        <w:rPr>
          <w:rStyle w:val="Hyperlink"/>
          <w:rFonts w:ascii="Book Antiqua" w:hAnsi="Book Antiqua"/>
          <w:color w:val="000000" w:themeColor="text1"/>
          <w:sz w:val="26"/>
          <w:szCs w:val="26"/>
          <w:u w:val="none"/>
        </w:rPr>
        <w:t xml:space="preserve">ompliance </w:t>
      </w:r>
      <w:r w:rsidRPr="00400112" w:rsidR="4BD2454E">
        <w:rPr>
          <w:rStyle w:val="Hyperlink"/>
          <w:rFonts w:ascii="Book Antiqua" w:hAnsi="Book Antiqua"/>
          <w:color w:val="000000" w:themeColor="text1"/>
          <w:sz w:val="26"/>
          <w:szCs w:val="26"/>
          <w:u w:val="none"/>
        </w:rPr>
        <w:t>P</w:t>
      </w:r>
      <w:r w:rsidRPr="00400112" w:rsidR="521983AA">
        <w:rPr>
          <w:rStyle w:val="Hyperlink"/>
          <w:rFonts w:ascii="Book Antiqua" w:hAnsi="Book Antiqua"/>
          <w:color w:val="000000" w:themeColor="text1"/>
          <w:sz w:val="26"/>
          <w:szCs w:val="26"/>
          <w:u w:val="none"/>
        </w:rPr>
        <w:t>eriod.</w:t>
      </w:r>
      <w:r w:rsidRPr="00400112">
        <w:rPr>
          <w:rStyle w:val="Hyperlink"/>
          <w:rFonts w:ascii="Book Antiqua" w:hAnsi="Book Antiqua"/>
          <w:color w:val="000000" w:themeColor="text1"/>
          <w:sz w:val="26"/>
          <w:szCs w:val="26"/>
          <w:u w:val="none"/>
        </w:rPr>
        <w:t xml:space="preserve"> After the CEC completes its verification, the CPUC will be able to make a compliance determination for the </w:t>
      </w:r>
      <w:r w:rsidRPr="00400112" w:rsidR="154A6916">
        <w:rPr>
          <w:rStyle w:val="Hyperlink"/>
          <w:rFonts w:ascii="Book Antiqua" w:hAnsi="Book Antiqua"/>
          <w:color w:val="000000" w:themeColor="text1"/>
          <w:sz w:val="26"/>
          <w:szCs w:val="26"/>
          <w:u w:val="none"/>
        </w:rPr>
        <w:t>C</w:t>
      </w:r>
      <w:r w:rsidRPr="00400112" w:rsidR="521983AA">
        <w:rPr>
          <w:rStyle w:val="Hyperlink"/>
          <w:rFonts w:ascii="Book Antiqua" w:hAnsi="Book Antiqua"/>
          <w:color w:val="000000" w:themeColor="text1"/>
          <w:sz w:val="26"/>
          <w:szCs w:val="26"/>
          <w:u w:val="none"/>
        </w:rPr>
        <w:t xml:space="preserve">ompliance </w:t>
      </w:r>
      <w:r w:rsidRPr="00400112" w:rsidR="78E080C3">
        <w:rPr>
          <w:rStyle w:val="Hyperlink"/>
          <w:rFonts w:ascii="Book Antiqua" w:hAnsi="Book Antiqua"/>
          <w:color w:val="000000" w:themeColor="text1"/>
          <w:sz w:val="26"/>
          <w:szCs w:val="26"/>
          <w:u w:val="none"/>
        </w:rPr>
        <w:t>P</w:t>
      </w:r>
      <w:r w:rsidRPr="00400112">
        <w:rPr>
          <w:rStyle w:val="Hyperlink"/>
          <w:rFonts w:ascii="Book Antiqua" w:hAnsi="Book Antiqua"/>
          <w:color w:val="000000" w:themeColor="text1"/>
          <w:sz w:val="26"/>
          <w:szCs w:val="26"/>
          <w:u w:val="none"/>
        </w:rPr>
        <w:t xml:space="preserve">eriod and then </w:t>
      </w:r>
      <w:r w:rsidRPr="00400112" w:rsidR="4B3D7F1F">
        <w:rPr>
          <w:rStyle w:val="Hyperlink"/>
          <w:rFonts w:ascii="Book Antiqua" w:hAnsi="Book Antiqua"/>
          <w:color w:val="000000" w:themeColor="text1"/>
          <w:sz w:val="26"/>
          <w:szCs w:val="26"/>
          <w:u w:val="none"/>
        </w:rPr>
        <w:t xml:space="preserve">issue </w:t>
      </w:r>
      <w:r w:rsidRPr="00400112" w:rsidR="521983AA">
        <w:rPr>
          <w:rStyle w:val="Hyperlink"/>
          <w:rFonts w:ascii="Book Antiqua" w:hAnsi="Book Antiqua"/>
          <w:color w:val="000000" w:themeColor="text1"/>
          <w:sz w:val="26"/>
          <w:szCs w:val="26"/>
          <w:u w:val="none"/>
        </w:rPr>
        <w:t>penal</w:t>
      </w:r>
      <w:r w:rsidRPr="00400112" w:rsidR="016C625D">
        <w:rPr>
          <w:rStyle w:val="Hyperlink"/>
          <w:rFonts w:ascii="Book Antiqua" w:hAnsi="Book Antiqua"/>
          <w:color w:val="000000" w:themeColor="text1"/>
          <w:sz w:val="26"/>
          <w:szCs w:val="26"/>
          <w:u w:val="none"/>
        </w:rPr>
        <w:t>t</w:t>
      </w:r>
      <w:r w:rsidRPr="00400112" w:rsidR="521983AA">
        <w:rPr>
          <w:rStyle w:val="Hyperlink"/>
          <w:rFonts w:ascii="Book Antiqua" w:hAnsi="Book Antiqua"/>
          <w:color w:val="000000" w:themeColor="text1"/>
          <w:sz w:val="26"/>
          <w:szCs w:val="26"/>
          <w:u w:val="none"/>
        </w:rPr>
        <w:t>i</w:t>
      </w:r>
      <w:r w:rsidRPr="00400112" w:rsidR="016C625D">
        <w:rPr>
          <w:rStyle w:val="Hyperlink"/>
          <w:rFonts w:ascii="Book Antiqua" w:hAnsi="Book Antiqua"/>
          <w:color w:val="000000" w:themeColor="text1"/>
          <w:sz w:val="26"/>
          <w:szCs w:val="26"/>
          <w:u w:val="none"/>
        </w:rPr>
        <w:t>es</w:t>
      </w:r>
      <w:r w:rsidRPr="00400112">
        <w:rPr>
          <w:rStyle w:val="Hyperlink"/>
          <w:rFonts w:ascii="Book Antiqua" w:hAnsi="Book Antiqua"/>
          <w:color w:val="000000" w:themeColor="text1"/>
          <w:sz w:val="26"/>
          <w:szCs w:val="26"/>
          <w:u w:val="none"/>
        </w:rPr>
        <w:t xml:space="preserve"> for any RPS deficiencies. The LSE, including member cities of a deregistered CCA</w:t>
      </w:r>
      <w:r w:rsidRPr="00400112" w:rsidR="00737C05">
        <w:rPr>
          <w:rStyle w:val="Hyperlink"/>
          <w:rFonts w:ascii="Book Antiqua" w:hAnsi="Book Antiqua"/>
          <w:color w:val="000000" w:themeColor="text1"/>
          <w:sz w:val="26"/>
          <w:szCs w:val="26"/>
          <w:u w:val="none"/>
        </w:rPr>
        <w:t>,</w:t>
      </w:r>
      <w:r w:rsidRPr="00400112">
        <w:rPr>
          <w:rStyle w:val="Hyperlink"/>
          <w:rFonts w:ascii="Book Antiqua" w:hAnsi="Book Antiqua"/>
          <w:color w:val="000000" w:themeColor="text1"/>
          <w:sz w:val="26"/>
          <w:szCs w:val="26"/>
          <w:u w:val="none"/>
        </w:rPr>
        <w:t xml:space="preserve"> may be subject to penalties in the event of RPS deficiencies. (Applies to ESPs regardless of customer return to POLR.)</w:t>
      </w:r>
    </w:p>
    <w:p w:rsidRPr="00400112" w:rsidR="0073172A" w:rsidP="006225AF" w:rsidRDefault="0073172A" w14:paraId="7B050D07" w14:textId="77777777">
      <w:pPr>
        <w:spacing w:after="0" w:line="240" w:lineRule="auto"/>
        <w:jc w:val="left"/>
        <w:rPr>
          <w:rStyle w:val="Hyperlink"/>
          <w:rFonts w:ascii="Book Antiqua" w:hAnsi="Book Antiqua"/>
          <w:i/>
          <w:iCs/>
          <w:color w:val="000000" w:themeColor="text1"/>
          <w:sz w:val="26"/>
          <w:szCs w:val="26"/>
          <w:u w:val="none"/>
        </w:rPr>
      </w:pPr>
    </w:p>
    <w:p w:rsidRPr="00400112" w:rsidR="00C1241E" w:rsidP="006225AF" w:rsidRDefault="7FCDC147" w14:paraId="11480190" w14:textId="59D245E2">
      <w:pPr>
        <w:spacing w:after="0" w:line="240" w:lineRule="auto"/>
        <w:jc w:val="left"/>
        <w:rPr>
          <w:rStyle w:val="Hyperlink"/>
          <w:rFonts w:ascii="Book Antiqua" w:hAnsi="Book Antiqua"/>
          <w:i/>
          <w:color w:val="000000" w:themeColor="text1"/>
          <w:sz w:val="26"/>
          <w:szCs w:val="26"/>
          <w:u w:val="none"/>
        </w:rPr>
      </w:pPr>
      <w:r w:rsidRPr="00400112">
        <w:rPr>
          <w:rStyle w:val="Hyperlink"/>
          <w:rFonts w:ascii="Book Antiqua" w:hAnsi="Book Antiqua"/>
          <w:color w:val="000000" w:themeColor="text1"/>
          <w:sz w:val="26"/>
          <w:szCs w:val="26"/>
          <w:u w:val="none"/>
        </w:rPr>
        <w:t xml:space="preserve">The </w:t>
      </w:r>
      <w:r w:rsidRPr="00400112" w:rsidR="78C9F071">
        <w:rPr>
          <w:rStyle w:val="Hyperlink"/>
          <w:rFonts w:ascii="Book Antiqua" w:hAnsi="Book Antiqua"/>
          <w:color w:val="000000" w:themeColor="text1"/>
          <w:sz w:val="26"/>
          <w:szCs w:val="26"/>
          <w:u w:val="none"/>
        </w:rPr>
        <w:t xml:space="preserve">deregistering </w:t>
      </w:r>
      <w:r w:rsidRPr="00400112">
        <w:rPr>
          <w:rStyle w:val="Hyperlink"/>
          <w:rFonts w:ascii="Book Antiqua" w:hAnsi="Book Antiqua"/>
          <w:color w:val="000000" w:themeColor="text1"/>
          <w:sz w:val="26"/>
          <w:szCs w:val="26"/>
          <w:u w:val="none"/>
        </w:rPr>
        <w:t>LSE</w:t>
      </w:r>
      <w:r w:rsidRPr="00400112" w:rsidR="4AA74714">
        <w:rPr>
          <w:rStyle w:val="Hyperlink"/>
          <w:rFonts w:ascii="Book Antiqua" w:hAnsi="Book Antiqua"/>
          <w:color w:val="000000" w:themeColor="text1"/>
          <w:sz w:val="26"/>
          <w:szCs w:val="26"/>
          <w:u w:val="none"/>
        </w:rPr>
        <w:t xml:space="preserve"> must also continue submitting annual RPS Procurement Plans</w:t>
      </w:r>
      <w:r w:rsidRPr="00400112">
        <w:rPr>
          <w:rStyle w:val="Hyperlink"/>
          <w:rFonts w:ascii="Book Antiqua" w:hAnsi="Book Antiqua"/>
          <w:color w:val="000000" w:themeColor="text1"/>
          <w:sz w:val="26"/>
          <w:szCs w:val="26"/>
          <w:u w:val="none"/>
        </w:rPr>
        <w:t xml:space="preserve"> </w:t>
      </w:r>
      <w:r w:rsidRPr="00400112" w:rsidR="0A5C6D16">
        <w:rPr>
          <w:rFonts w:ascii="Book Antiqua" w:hAnsi="Book Antiqua"/>
          <w:sz w:val="26"/>
          <w:szCs w:val="26"/>
        </w:rPr>
        <w:t xml:space="preserve">until Energy Division formally approves the request for deregistration, unless a </w:t>
      </w:r>
      <w:r w:rsidRPr="00400112" w:rsidR="060AE693">
        <w:rPr>
          <w:rFonts w:ascii="Book Antiqua" w:hAnsi="Book Antiqua"/>
          <w:sz w:val="26"/>
          <w:szCs w:val="26"/>
        </w:rPr>
        <w:t>w</w:t>
      </w:r>
      <w:r w:rsidRPr="00400112" w:rsidR="0A5C6D16">
        <w:rPr>
          <w:rFonts w:ascii="Book Antiqua" w:hAnsi="Book Antiqua"/>
          <w:sz w:val="26"/>
          <w:szCs w:val="26"/>
        </w:rPr>
        <w:t>aiver from its RPS Procurement Plan filings is granted</w:t>
      </w:r>
      <w:r w:rsidRPr="00400112" w:rsidR="0044576B">
        <w:rPr>
          <w:rFonts w:ascii="Book Antiqua" w:hAnsi="Book Antiqua"/>
          <w:sz w:val="26"/>
          <w:szCs w:val="26"/>
        </w:rPr>
        <w:t>.</w:t>
      </w:r>
    </w:p>
    <w:p w:rsidRPr="00400112" w:rsidR="0073172A" w:rsidP="006225AF" w:rsidRDefault="0073172A" w14:paraId="09262784" w14:textId="77777777">
      <w:pPr>
        <w:spacing w:after="0" w:line="240" w:lineRule="auto"/>
        <w:jc w:val="left"/>
        <w:rPr>
          <w:rStyle w:val="Hyperlink"/>
          <w:rFonts w:ascii="Book Antiqua" w:hAnsi="Book Antiqua" w:cstheme="minorHAnsi"/>
          <w:color w:val="000000" w:themeColor="text1"/>
          <w:sz w:val="26"/>
          <w:szCs w:val="26"/>
          <w:u w:val="none"/>
        </w:rPr>
      </w:pPr>
    </w:p>
    <w:p w:rsidRPr="00400112" w:rsidR="00C1241E" w:rsidP="006225AF" w:rsidRDefault="00C1241E" w14:paraId="1270BA25" w14:textId="39844BCD">
      <w:pPr>
        <w:spacing w:after="0" w:line="240" w:lineRule="auto"/>
        <w:jc w:val="left"/>
        <w:rPr>
          <w:rFonts w:ascii="Book Antiqua" w:hAnsi="Book Antiqua" w:cstheme="minorHAnsi"/>
          <w:color w:val="000000" w:themeColor="text1"/>
          <w:sz w:val="26"/>
          <w:szCs w:val="26"/>
        </w:rPr>
      </w:pPr>
      <w:r w:rsidRPr="00400112">
        <w:rPr>
          <w:rStyle w:val="Hyperlink"/>
          <w:rFonts w:ascii="Book Antiqua" w:hAnsi="Book Antiqua" w:cstheme="minorHAnsi"/>
          <w:color w:val="000000" w:themeColor="text1"/>
          <w:sz w:val="26"/>
          <w:szCs w:val="26"/>
          <w:u w:val="none"/>
        </w:rPr>
        <w:t>The LSE must submit the following</w:t>
      </w:r>
      <w:r w:rsidRPr="00400112" w:rsidR="0073172A">
        <w:rPr>
          <w:rStyle w:val="Hyperlink"/>
          <w:rFonts w:ascii="Book Antiqua" w:hAnsi="Book Antiqua" w:cstheme="minorHAnsi"/>
          <w:color w:val="000000" w:themeColor="text1"/>
          <w:sz w:val="26"/>
          <w:szCs w:val="26"/>
          <w:u w:val="none"/>
        </w:rPr>
        <w:t>:</w:t>
      </w:r>
      <w:r w:rsidRPr="00400112">
        <w:rPr>
          <w:rStyle w:val="Hyperlink"/>
          <w:rFonts w:ascii="Book Antiqua" w:hAnsi="Book Antiqua" w:cstheme="minorHAnsi"/>
          <w:color w:val="000000" w:themeColor="text1"/>
          <w:sz w:val="26"/>
          <w:szCs w:val="26"/>
        </w:rPr>
        <w:t xml:space="preserve"> </w:t>
      </w:r>
    </w:p>
    <w:p w:rsidRPr="00400112" w:rsidR="00C1241E" w:rsidP="006225AF" w:rsidRDefault="00C1241E" w14:paraId="09A1E633" w14:textId="4A01A71C">
      <w:pPr>
        <w:numPr>
          <w:ilvl w:val="0"/>
          <w:numId w:val="2"/>
        </w:numPr>
        <w:spacing w:after="0" w:line="240" w:lineRule="auto"/>
        <w:jc w:val="left"/>
        <w:rPr>
          <w:rFonts w:ascii="Book Antiqua" w:hAnsi="Book Antiqua"/>
          <w:b/>
          <w:sz w:val="26"/>
          <w:szCs w:val="26"/>
        </w:rPr>
      </w:pPr>
      <w:r w:rsidRPr="00400112">
        <w:rPr>
          <w:rFonts w:ascii="Book Antiqua" w:hAnsi="Book Antiqua"/>
          <w:b/>
          <w:sz w:val="26"/>
          <w:szCs w:val="26"/>
        </w:rPr>
        <w:t>Annual RPS Compliance Reports:</w:t>
      </w:r>
      <w:r w:rsidRPr="00400112">
        <w:rPr>
          <w:rFonts w:ascii="Book Antiqua" w:hAnsi="Book Antiqua"/>
          <w:sz w:val="26"/>
          <w:szCs w:val="26"/>
        </w:rPr>
        <w:t xml:space="preserve"> The LSE shall continue to submit Annual RPS Compliance Reports for each year of the final </w:t>
      </w:r>
      <w:r w:rsidRPr="00400112" w:rsidR="037BCDED">
        <w:rPr>
          <w:rFonts w:ascii="Book Antiqua" w:hAnsi="Book Antiqua"/>
          <w:sz w:val="26"/>
          <w:szCs w:val="26"/>
        </w:rPr>
        <w:t>C</w:t>
      </w:r>
      <w:r w:rsidRPr="00400112" w:rsidR="521983AA">
        <w:rPr>
          <w:rFonts w:ascii="Book Antiqua" w:hAnsi="Book Antiqua"/>
          <w:sz w:val="26"/>
          <w:szCs w:val="26"/>
        </w:rPr>
        <w:t xml:space="preserve">ompliance </w:t>
      </w:r>
      <w:r w:rsidRPr="00400112" w:rsidR="5B764749">
        <w:rPr>
          <w:rFonts w:ascii="Book Antiqua" w:hAnsi="Book Antiqua"/>
          <w:sz w:val="26"/>
          <w:szCs w:val="26"/>
        </w:rPr>
        <w:t>P</w:t>
      </w:r>
      <w:r w:rsidRPr="00400112">
        <w:rPr>
          <w:rFonts w:ascii="Book Antiqua" w:hAnsi="Book Antiqua"/>
          <w:sz w:val="26"/>
          <w:szCs w:val="26"/>
        </w:rPr>
        <w:t>eriod in which they served load (</w:t>
      </w:r>
      <w:r w:rsidRPr="00BF29C4">
        <w:rPr>
          <w:rFonts w:ascii="Book Antiqua" w:hAnsi="Book Antiqua"/>
          <w:i/>
          <w:iCs/>
          <w:sz w:val="26"/>
          <w:szCs w:val="26"/>
        </w:rPr>
        <w:t>e.g.</w:t>
      </w:r>
      <w:r w:rsidR="00BF29C4">
        <w:rPr>
          <w:rFonts w:ascii="Book Antiqua" w:hAnsi="Book Antiqua"/>
          <w:sz w:val="26"/>
          <w:szCs w:val="26"/>
        </w:rPr>
        <w:t xml:space="preserve">, </w:t>
      </w:r>
      <w:r w:rsidRPr="00400112">
        <w:rPr>
          <w:rFonts w:ascii="Book Antiqua" w:hAnsi="Book Antiqua"/>
          <w:sz w:val="26"/>
          <w:szCs w:val="26"/>
        </w:rPr>
        <w:t>file reports in 2023</w:t>
      </w:r>
      <w:r w:rsidRPr="00400112" w:rsidR="693963E1">
        <w:rPr>
          <w:rFonts w:ascii="Book Antiqua" w:hAnsi="Book Antiqua"/>
          <w:sz w:val="26"/>
          <w:szCs w:val="26"/>
        </w:rPr>
        <w:t xml:space="preserve"> and</w:t>
      </w:r>
      <w:r w:rsidRPr="00400112">
        <w:rPr>
          <w:rFonts w:ascii="Book Antiqua" w:hAnsi="Book Antiqua"/>
          <w:sz w:val="26"/>
          <w:szCs w:val="26"/>
        </w:rPr>
        <w:t xml:space="preserve"> 2024 for load served in 2021-2022</w:t>
      </w:r>
      <w:r w:rsidRPr="00400112" w:rsidR="521983AA">
        <w:rPr>
          <w:rFonts w:ascii="Book Antiqua" w:hAnsi="Book Antiqua"/>
          <w:sz w:val="26"/>
          <w:szCs w:val="26"/>
        </w:rPr>
        <w:t>)</w:t>
      </w:r>
      <w:r w:rsidRPr="00400112" w:rsidR="6732E002">
        <w:rPr>
          <w:rFonts w:ascii="Book Antiqua" w:hAnsi="Book Antiqua"/>
          <w:sz w:val="26"/>
          <w:szCs w:val="26"/>
        </w:rPr>
        <w:t>.</w:t>
      </w:r>
    </w:p>
    <w:p w:rsidRPr="00400112" w:rsidR="00C1241E" w:rsidP="006225AF" w:rsidRDefault="00C1241E" w14:paraId="2308F451" w14:textId="08CA3AFF">
      <w:pPr>
        <w:numPr>
          <w:ilvl w:val="0"/>
          <w:numId w:val="3"/>
        </w:numPr>
        <w:tabs>
          <w:tab w:val="num" w:pos="720"/>
        </w:tabs>
        <w:spacing w:after="0" w:line="240" w:lineRule="auto"/>
        <w:jc w:val="left"/>
        <w:rPr>
          <w:rFonts w:ascii="Book Antiqua" w:hAnsi="Book Antiqua"/>
          <w:sz w:val="26"/>
          <w:szCs w:val="26"/>
        </w:rPr>
      </w:pPr>
      <w:r w:rsidRPr="00400112">
        <w:rPr>
          <w:rFonts w:ascii="Book Antiqua" w:hAnsi="Book Antiqua"/>
          <w:sz w:val="26"/>
          <w:szCs w:val="26"/>
        </w:rPr>
        <w:t xml:space="preserve">The LSE must submit full reports for every year that the LSE served load, including the year in which they deregistered.  </w:t>
      </w:r>
      <w:r w:rsidRPr="00400112" w:rsidR="00FE7783">
        <w:rPr>
          <w:rFonts w:ascii="Book Antiqua" w:hAnsi="Book Antiqua"/>
          <w:sz w:val="26"/>
          <w:szCs w:val="26"/>
        </w:rPr>
        <w:t>The r</w:t>
      </w:r>
      <w:r w:rsidRPr="00400112">
        <w:rPr>
          <w:rFonts w:ascii="Book Antiqua" w:hAnsi="Book Antiqua"/>
          <w:sz w:val="26"/>
          <w:szCs w:val="26"/>
        </w:rPr>
        <w:t xml:space="preserve">eport </w:t>
      </w:r>
      <w:r w:rsidRPr="00400112" w:rsidR="00F838F1">
        <w:rPr>
          <w:rFonts w:ascii="Book Antiqua" w:hAnsi="Book Antiqua"/>
          <w:sz w:val="26"/>
          <w:szCs w:val="26"/>
        </w:rPr>
        <w:t xml:space="preserve">must </w:t>
      </w:r>
      <w:r w:rsidRPr="00400112">
        <w:rPr>
          <w:rFonts w:ascii="Book Antiqua" w:hAnsi="Book Antiqua"/>
          <w:sz w:val="26"/>
          <w:szCs w:val="26"/>
        </w:rPr>
        <w:t>identify the date in which the LSE ceased to serve load.</w:t>
      </w:r>
    </w:p>
    <w:p w:rsidRPr="00400112" w:rsidR="00C1241E" w:rsidP="006225AF" w:rsidRDefault="00C1241E" w14:paraId="29918D56" w14:textId="5145F106">
      <w:pPr>
        <w:numPr>
          <w:ilvl w:val="0"/>
          <w:numId w:val="3"/>
        </w:numPr>
        <w:tabs>
          <w:tab w:val="num" w:pos="720"/>
        </w:tabs>
        <w:spacing w:after="0" w:line="240" w:lineRule="auto"/>
        <w:jc w:val="left"/>
        <w:rPr>
          <w:rFonts w:ascii="Book Antiqua" w:hAnsi="Book Antiqua"/>
          <w:sz w:val="26"/>
          <w:szCs w:val="26"/>
        </w:rPr>
      </w:pPr>
      <w:r w:rsidRPr="00400112">
        <w:rPr>
          <w:rFonts w:ascii="Book Antiqua" w:hAnsi="Book Antiqua"/>
          <w:sz w:val="26"/>
          <w:szCs w:val="26"/>
        </w:rPr>
        <w:t xml:space="preserve">For all subsequent annual RPS Compliance reports, a representative on behalf of the deregistered LSE may submit abbreviated reports stating that the LSE has not served load for the </w:t>
      </w:r>
      <w:r w:rsidRPr="00400112" w:rsidR="2A7C71D2">
        <w:rPr>
          <w:rFonts w:ascii="Book Antiqua" w:hAnsi="Book Antiqua"/>
          <w:sz w:val="26"/>
          <w:szCs w:val="26"/>
        </w:rPr>
        <w:t>reporting</w:t>
      </w:r>
      <w:r w:rsidRPr="00400112">
        <w:rPr>
          <w:rFonts w:ascii="Book Antiqua" w:hAnsi="Book Antiqua"/>
          <w:sz w:val="26"/>
          <w:szCs w:val="26"/>
        </w:rPr>
        <w:t xml:space="preserve"> year. </w:t>
      </w:r>
    </w:p>
    <w:p w:rsidRPr="00400112" w:rsidR="00BE301B" w:rsidP="00BE301B" w:rsidRDefault="00BE301B" w14:paraId="26E9D9F1" w14:textId="77777777">
      <w:pPr>
        <w:spacing w:after="0" w:line="240" w:lineRule="auto"/>
        <w:ind w:left="1080"/>
        <w:jc w:val="left"/>
        <w:rPr>
          <w:rFonts w:ascii="Book Antiqua" w:hAnsi="Book Antiqua"/>
          <w:sz w:val="26"/>
          <w:szCs w:val="26"/>
        </w:rPr>
      </w:pPr>
    </w:p>
    <w:p w:rsidRPr="00400112" w:rsidR="007D5417" w:rsidP="006225AF" w:rsidRDefault="00C1241E" w14:paraId="1FFD893A" w14:textId="6347E0DE">
      <w:pPr>
        <w:numPr>
          <w:ilvl w:val="0"/>
          <w:numId w:val="4"/>
        </w:numPr>
        <w:spacing w:after="0" w:line="240" w:lineRule="auto"/>
        <w:jc w:val="left"/>
        <w:rPr>
          <w:rFonts w:ascii="Book Antiqua" w:hAnsi="Book Antiqua"/>
          <w:sz w:val="26"/>
          <w:szCs w:val="26"/>
        </w:rPr>
      </w:pPr>
      <w:r w:rsidRPr="00400112">
        <w:rPr>
          <w:rFonts w:ascii="Book Antiqua" w:hAnsi="Book Antiqua"/>
          <w:b/>
          <w:sz w:val="26"/>
          <w:szCs w:val="26"/>
        </w:rPr>
        <w:t>Final RPS Compliance Report:</w:t>
      </w:r>
      <w:r w:rsidRPr="00400112">
        <w:rPr>
          <w:rFonts w:ascii="Book Antiqua" w:hAnsi="Book Antiqua"/>
          <w:sz w:val="26"/>
          <w:szCs w:val="26"/>
        </w:rPr>
        <w:t xml:space="preserve"> After the CEC completes its Compliance Period </w:t>
      </w:r>
      <w:r w:rsidRPr="00400112" w:rsidR="78B15161">
        <w:rPr>
          <w:rFonts w:ascii="Book Antiqua" w:hAnsi="Book Antiqua"/>
          <w:sz w:val="26"/>
          <w:szCs w:val="26"/>
        </w:rPr>
        <w:t xml:space="preserve">procurement </w:t>
      </w:r>
      <w:r w:rsidRPr="00400112">
        <w:rPr>
          <w:rFonts w:ascii="Book Antiqua" w:hAnsi="Book Antiqua"/>
          <w:sz w:val="26"/>
          <w:szCs w:val="26"/>
        </w:rPr>
        <w:t>verification</w:t>
      </w:r>
      <w:r w:rsidRPr="00400112" w:rsidR="7F3CB43E">
        <w:rPr>
          <w:rFonts w:ascii="Book Antiqua" w:hAnsi="Book Antiqua"/>
          <w:sz w:val="26"/>
          <w:szCs w:val="26"/>
        </w:rPr>
        <w:t xml:space="preserve"> for the LSE</w:t>
      </w:r>
      <w:r w:rsidRPr="00400112">
        <w:rPr>
          <w:rFonts w:ascii="Book Antiqua" w:hAnsi="Book Antiqua"/>
          <w:sz w:val="26"/>
          <w:szCs w:val="26"/>
        </w:rPr>
        <w:t xml:space="preserve">, a representative on behalf of the deregistered LSE shall file a final RPS compliance report within </w:t>
      </w:r>
      <w:r w:rsidR="00BF29C4">
        <w:rPr>
          <w:rFonts w:ascii="Book Antiqua" w:hAnsi="Book Antiqua"/>
          <w:sz w:val="26"/>
          <w:szCs w:val="26"/>
        </w:rPr>
        <w:t>thirty (</w:t>
      </w:r>
      <w:r w:rsidRPr="00400112">
        <w:rPr>
          <w:rFonts w:ascii="Book Antiqua" w:hAnsi="Book Antiqua"/>
          <w:sz w:val="26"/>
          <w:szCs w:val="26"/>
        </w:rPr>
        <w:t>30</w:t>
      </w:r>
      <w:r w:rsidR="00BF29C4">
        <w:rPr>
          <w:rFonts w:ascii="Book Antiqua" w:hAnsi="Book Antiqua"/>
          <w:sz w:val="26"/>
          <w:szCs w:val="26"/>
        </w:rPr>
        <w:t>)</w:t>
      </w:r>
      <w:r w:rsidRPr="00400112">
        <w:rPr>
          <w:rFonts w:ascii="Book Antiqua" w:hAnsi="Book Antiqua"/>
          <w:sz w:val="26"/>
          <w:szCs w:val="26"/>
        </w:rPr>
        <w:t xml:space="preserve"> days.</w:t>
      </w:r>
    </w:p>
    <w:p w:rsidRPr="00400112" w:rsidR="00C1241E" w:rsidP="007D5417" w:rsidRDefault="00C1241E" w14:paraId="4FE7E1C6" w14:textId="424D0675">
      <w:pPr>
        <w:spacing w:after="0" w:line="240" w:lineRule="auto"/>
        <w:ind w:left="720"/>
        <w:jc w:val="left"/>
        <w:rPr>
          <w:rFonts w:ascii="Book Antiqua" w:hAnsi="Book Antiqua"/>
          <w:sz w:val="26"/>
          <w:szCs w:val="26"/>
        </w:rPr>
      </w:pPr>
      <w:r w:rsidRPr="00400112">
        <w:rPr>
          <w:rFonts w:ascii="Book Antiqua" w:hAnsi="Book Antiqua"/>
          <w:sz w:val="26"/>
          <w:szCs w:val="26"/>
        </w:rPr>
        <w:t> </w:t>
      </w:r>
    </w:p>
    <w:p w:rsidRPr="00400112" w:rsidR="04D801DD" w:rsidP="006225AF" w:rsidRDefault="04D801DD" w14:paraId="03ED52C0" w14:textId="594A7229">
      <w:pPr>
        <w:numPr>
          <w:ilvl w:val="0"/>
          <w:numId w:val="4"/>
        </w:numPr>
        <w:spacing w:after="0" w:line="240" w:lineRule="auto"/>
        <w:jc w:val="left"/>
        <w:rPr>
          <w:rFonts w:ascii="Book Antiqua" w:hAnsi="Book Antiqua"/>
          <w:sz w:val="26"/>
          <w:szCs w:val="26"/>
        </w:rPr>
      </w:pPr>
      <w:r w:rsidRPr="00400112">
        <w:rPr>
          <w:rFonts w:ascii="Book Antiqua" w:hAnsi="Book Antiqua"/>
          <w:b/>
          <w:sz w:val="26"/>
          <w:szCs w:val="26"/>
        </w:rPr>
        <w:t>Annual RP</w:t>
      </w:r>
      <w:r w:rsidRPr="00400112" w:rsidR="0C4C012A">
        <w:rPr>
          <w:rFonts w:ascii="Book Antiqua" w:hAnsi="Book Antiqua"/>
          <w:b/>
          <w:sz w:val="26"/>
          <w:szCs w:val="26"/>
        </w:rPr>
        <w:t xml:space="preserve">S </w:t>
      </w:r>
      <w:r w:rsidRPr="00400112" w:rsidR="6C7D1483">
        <w:rPr>
          <w:rFonts w:ascii="Book Antiqua" w:hAnsi="Book Antiqua"/>
          <w:b/>
          <w:sz w:val="26"/>
          <w:szCs w:val="26"/>
        </w:rPr>
        <w:t>Procurement Plan:</w:t>
      </w:r>
      <w:r w:rsidRPr="00400112" w:rsidR="6C7D1483">
        <w:rPr>
          <w:rFonts w:ascii="Book Antiqua" w:hAnsi="Book Antiqua"/>
          <w:sz w:val="26"/>
          <w:szCs w:val="26"/>
        </w:rPr>
        <w:t xml:space="preserve"> The LSE shall continue to submit </w:t>
      </w:r>
      <w:r w:rsidRPr="00400112" w:rsidR="2B21F9B5">
        <w:rPr>
          <w:rFonts w:ascii="Book Antiqua" w:hAnsi="Book Antiqua"/>
          <w:sz w:val="26"/>
          <w:szCs w:val="26"/>
        </w:rPr>
        <w:t>an a</w:t>
      </w:r>
      <w:r w:rsidRPr="00400112" w:rsidR="6C7D1483">
        <w:rPr>
          <w:rFonts w:ascii="Book Antiqua" w:hAnsi="Book Antiqua"/>
          <w:sz w:val="26"/>
          <w:szCs w:val="26"/>
        </w:rPr>
        <w:t>nnual RPS</w:t>
      </w:r>
      <w:r w:rsidRPr="00400112" w:rsidR="425C1BAB">
        <w:rPr>
          <w:rFonts w:ascii="Book Antiqua" w:hAnsi="Book Antiqua"/>
          <w:sz w:val="26"/>
          <w:szCs w:val="26"/>
        </w:rPr>
        <w:t xml:space="preserve"> Procurement Plan</w:t>
      </w:r>
      <w:r w:rsidRPr="00400112" w:rsidR="1B61CCA4">
        <w:rPr>
          <w:rFonts w:ascii="Book Antiqua" w:hAnsi="Book Antiqua"/>
          <w:sz w:val="26"/>
          <w:szCs w:val="26"/>
        </w:rPr>
        <w:t xml:space="preserve"> until Energy Division formally approves the </w:t>
      </w:r>
      <w:r w:rsidRPr="00400112" w:rsidR="1B61CCA4">
        <w:rPr>
          <w:rFonts w:ascii="Book Antiqua" w:hAnsi="Book Antiqua"/>
          <w:sz w:val="26"/>
          <w:szCs w:val="26"/>
        </w:rPr>
        <w:lastRenderedPageBreak/>
        <w:t>request for deregi</w:t>
      </w:r>
      <w:r w:rsidRPr="00400112" w:rsidR="425C1BAB">
        <w:rPr>
          <w:rFonts w:ascii="Book Antiqua" w:hAnsi="Book Antiqua"/>
          <w:sz w:val="26"/>
          <w:szCs w:val="26"/>
        </w:rPr>
        <w:t>s</w:t>
      </w:r>
      <w:r w:rsidRPr="00400112" w:rsidR="76591C67">
        <w:rPr>
          <w:rFonts w:ascii="Book Antiqua" w:hAnsi="Book Antiqua"/>
          <w:sz w:val="26"/>
          <w:szCs w:val="26"/>
        </w:rPr>
        <w:t>tration</w:t>
      </w:r>
      <w:r w:rsidRPr="00400112" w:rsidR="389FAB8D">
        <w:rPr>
          <w:rFonts w:ascii="Book Antiqua" w:hAnsi="Book Antiqua"/>
          <w:sz w:val="26"/>
          <w:szCs w:val="26"/>
        </w:rPr>
        <w:t>,</w:t>
      </w:r>
      <w:r w:rsidRPr="00400112" w:rsidR="4D966DED">
        <w:rPr>
          <w:rFonts w:ascii="Book Antiqua" w:hAnsi="Book Antiqua"/>
          <w:sz w:val="26"/>
          <w:szCs w:val="26"/>
        </w:rPr>
        <w:t xml:space="preserve"> unless a </w:t>
      </w:r>
      <w:r w:rsidRPr="00400112" w:rsidR="79800111">
        <w:rPr>
          <w:rFonts w:ascii="Book Antiqua" w:hAnsi="Book Antiqua"/>
          <w:sz w:val="26"/>
          <w:szCs w:val="26"/>
        </w:rPr>
        <w:t>w</w:t>
      </w:r>
      <w:r w:rsidRPr="00400112" w:rsidR="4D966DED">
        <w:rPr>
          <w:rFonts w:ascii="Book Antiqua" w:hAnsi="Book Antiqua"/>
          <w:sz w:val="26"/>
          <w:szCs w:val="26"/>
        </w:rPr>
        <w:t>aiver from its RPS Procurement Plan filings is granted in a CPUC decision</w:t>
      </w:r>
      <w:r w:rsidRPr="00400112" w:rsidR="6B8AFAAF">
        <w:rPr>
          <w:rFonts w:ascii="Book Antiqua" w:hAnsi="Book Antiqua"/>
          <w:sz w:val="26"/>
          <w:szCs w:val="26"/>
        </w:rPr>
        <w:t>.</w:t>
      </w:r>
    </w:p>
    <w:p w:rsidRPr="00400112" w:rsidR="4D966DED" w:rsidP="006225AF" w:rsidRDefault="4D966DED" w14:paraId="5AE9C392" w14:textId="180A61C5">
      <w:pPr>
        <w:pStyle w:val="ListParagraph"/>
        <w:numPr>
          <w:ilvl w:val="0"/>
          <w:numId w:val="18"/>
        </w:numPr>
        <w:spacing w:after="0" w:line="240" w:lineRule="auto"/>
        <w:jc w:val="left"/>
        <w:rPr>
          <w:rFonts w:ascii="Book Antiqua" w:hAnsi="Book Antiqua"/>
          <w:sz w:val="26"/>
          <w:szCs w:val="26"/>
        </w:rPr>
      </w:pPr>
      <w:r w:rsidRPr="00400112">
        <w:rPr>
          <w:rFonts w:ascii="Book Antiqua" w:hAnsi="Book Antiqua"/>
          <w:sz w:val="26"/>
          <w:szCs w:val="26"/>
        </w:rPr>
        <w:t>The LSE ma</w:t>
      </w:r>
      <w:r w:rsidRPr="00400112" w:rsidR="4E8968B9">
        <w:rPr>
          <w:rFonts w:ascii="Book Antiqua" w:hAnsi="Book Antiqua"/>
          <w:sz w:val="26"/>
          <w:szCs w:val="26"/>
        </w:rPr>
        <w:t xml:space="preserve">y </w:t>
      </w:r>
      <w:r w:rsidRPr="00400112">
        <w:rPr>
          <w:rFonts w:ascii="Book Antiqua" w:hAnsi="Book Antiqua"/>
          <w:sz w:val="26"/>
          <w:szCs w:val="26"/>
        </w:rPr>
        <w:t xml:space="preserve">request a Waiver from its RPS Procurement Plan filings by filing a Motion for </w:t>
      </w:r>
      <w:r w:rsidRPr="00400112" w:rsidR="693ABF63">
        <w:rPr>
          <w:rFonts w:ascii="Book Antiqua" w:hAnsi="Book Antiqua"/>
          <w:sz w:val="26"/>
          <w:szCs w:val="26"/>
        </w:rPr>
        <w:t>w</w:t>
      </w:r>
      <w:r w:rsidRPr="00400112">
        <w:rPr>
          <w:rFonts w:ascii="Book Antiqua" w:hAnsi="Book Antiqua"/>
          <w:sz w:val="26"/>
          <w:szCs w:val="26"/>
        </w:rPr>
        <w:t>aiver in the RPS proceeding.</w:t>
      </w:r>
    </w:p>
    <w:p w:rsidRPr="00400112" w:rsidR="00BE301B" w:rsidP="00BE301B" w:rsidRDefault="00BE301B" w14:paraId="556F22E7" w14:textId="77777777">
      <w:pPr>
        <w:pStyle w:val="ListParagraph"/>
        <w:spacing w:after="0" w:line="240" w:lineRule="auto"/>
        <w:ind w:left="1440"/>
        <w:jc w:val="left"/>
        <w:rPr>
          <w:rFonts w:ascii="Book Antiqua" w:hAnsi="Book Antiqua"/>
          <w:sz w:val="26"/>
          <w:szCs w:val="26"/>
        </w:rPr>
      </w:pPr>
    </w:p>
    <w:p w:rsidRPr="00400112" w:rsidR="26792FB4" w:rsidP="006225AF" w:rsidRDefault="0F9CDC44" w14:paraId="5EDED3DF" w14:textId="4FB7848E">
      <w:pPr>
        <w:pStyle w:val="ListParagraph"/>
        <w:numPr>
          <w:ilvl w:val="0"/>
          <w:numId w:val="19"/>
        </w:numPr>
        <w:spacing w:after="0" w:line="240" w:lineRule="auto"/>
        <w:jc w:val="left"/>
        <w:rPr>
          <w:rFonts w:ascii="Book Antiqua" w:hAnsi="Book Antiqua"/>
          <w:sz w:val="26"/>
          <w:szCs w:val="26"/>
        </w:rPr>
      </w:pPr>
      <w:r w:rsidRPr="00400112">
        <w:rPr>
          <w:rFonts w:ascii="Book Antiqua" w:hAnsi="Book Antiqua"/>
          <w:b/>
          <w:bCs/>
          <w:sz w:val="26"/>
          <w:szCs w:val="26"/>
        </w:rPr>
        <w:t xml:space="preserve">Final Notice of Deregistration </w:t>
      </w:r>
      <w:r w:rsidR="00123655">
        <w:rPr>
          <w:rFonts w:ascii="Book Antiqua" w:hAnsi="Book Antiqua"/>
          <w:b/>
          <w:bCs/>
          <w:sz w:val="26"/>
          <w:szCs w:val="26"/>
        </w:rPr>
        <w:t>S</w:t>
      </w:r>
      <w:r w:rsidRPr="00400112">
        <w:rPr>
          <w:rFonts w:ascii="Book Antiqua" w:hAnsi="Book Antiqua"/>
          <w:b/>
          <w:bCs/>
          <w:sz w:val="26"/>
          <w:szCs w:val="26"/>
        </w:rPr>
        <w:t>erved to the RPS proceeding:</w:t>
      </w:r>
    </w:p>
    <w:p w:rsidRPr="00400112" w:rsidR="77B83C77" w:rsidP="006225AF" w:rsidRDefault="0FC18050" w14:paraId="5BA1B9BA" w14:textId="7BA1A26A">
      <w:pPr>
        <w:pStyle w:val="ListParagraph"/>
        <w:numPr>
          <w:ilvl w:val="0"/>
          <w:numId w:val="17"/>
        </w:numPr>
        <w:spacing w:after="0" w:line="240" w:lineRule="auto"/>
        <w:jc w:val="left"/>
        <w:rPr>
          <w:rFonts w:ascii="Book Antiqua" w:hAnsi="Book Antiqua"/>
          <w:sz w:val="26"/>
          <w:szCs w:val="26"/>
        </w:rPr>
      </w:pPr>
      <w:r w:rsidRPr="00400112">
        <w:rPr>
          <w:rFonts w:ascii="Book Antiqua" w:hAnsi="Book Antiqua"/>
          <w:sz w:val="26"/>
          <w:szCs w:val="26"/>
        </w:rPr>
        <w:t>For</w:t>
      </w:r>
      <w:r w:rsidRPr="00400112" w:rsidR="475D6032">
        <w:rPr>
          <w:rFonts w:ascii="Book Antiqua" w:hAnsi="Book Antiqua"/>
          <w:sz w:val="26"/>
          <w:szCs w:val="26"/>
        </w:rPr>
        <w:t xml:space="preserve"> LSE</w:t>
      </w:r>
      <w:r w:rsidRPr="00400112" w:rsidR="71C0E6AD">
        <w:rPr>
          <w:rFonts w:ascii="Book Antiqua" w:hAnsi="Book Antiqua"/>
          <w:sz w:val="26"/>
          <w:szCs w:val="26"/>
        </w:rPr>
        <w:t>s</w:t>
      </w:r>
      <w:r w:rsidRPr="00400112" w:rsidR="475D6032">
        <w:rPr>
          <w:rFonts w:ascii="Book Antiqua" w:hAnsi="Book Antiqua"/>
          <w:sz w:val="26"/>
          <w:szCs w:val="26"/>
        </w:rPr>
        <w:t xml:space="preserve"> that ha</w:t>
      </w:r>
      <w:r w:rsidRPr="00400112" w:rsidR="684EB031">
        <w:rPr>
          <w:rFonts w:ascii="Book Antiqua" w:hAnsi="Book Antiqua"/>
          <w:sz w:val="26"/>
          <w:szCs w:val="26"/>
        </w:rPr>
        <w:t>ve</w:t>
      </w:r>
      <w:r w:rsidRPr="00400112" w:rsidR="475D6032">
        <w:rPr>
          <w:rFonts w:ascii="Book Antiqua" w:hAnsi="Book Antiqua"/>
          <w:sz w:val="26"/>
          <w:szCs w:val="26"/>
        </w:rPr>
        <w:t xml:space="preserve"> </w:t>
      </w:r>
      <w:r w:rsidRPr="00400112" w:rsidR="475D6032">
        <w:rPr>
          <w:rFonts w:ascii="Book Antiqua" w:hAnsi="Book Antiqua"/>
          <w:b/>
          <w:i/>
          <w:sz w:val="26"/>
          <w:szCs w:val="26"/>
        </w:rPr>
        <w:t>never</w:t>
      </w:r>
      <w:r w:rsidRPr="00400112" w:rsidR="475D6032">
        <w:rPr>
          <w:rFonts w:ascii="Book Antiqua" w:hAnsi="Book Antiqua"/>
          <w:sz w:val="26"/>
          <w:szCs w:val="26"/>
        </w:rPr>
        <w:t xml:space="preserve"> served </w:t>
      </w:r>
      <w:r w:rsidRPr="00400112" w:rsidR="47B0CF71">
        <w:rPr>
          <w:rFonts w:ascii="Book Antiqua" w:hAnsi="Book Antiqua"/>
          <w:sz w:val="26"/>
          <w:szCs w:val="26"/>
        </w:rPr>
        <w:t>load in California</w:t>
      </w:r>
      <w:r w:rsidRPr="00400112" w:rsidR="7CAED64B">
        <w:rPr>
          <w:rFonts w:ascii="Book Antiqua" w:hAnsi="Book Antiqua"/>
          <w:sz w:val="26"/>
          <w:szCs w:val="26"/>
        </w:rPr>
        <w:t xml:space="preserve">: </w:t>
      </w:r>
      <w:r w:rsidRPr="00400112" w:rsidR="3DD974F1">
        <w:rPr>
          <w:rFonts w:ascii="Book Antiqua" w:hAnsi="Book Antiqua"/>
          <w:sz w:val="26"/>
          <w:szCs w:val="26"/>
        </w:rPr>
        <w:t>The LSE shall serve a final notice of deregistration to the RPS proceeding a</w:t>
      </w:r>
      <w:r w:rsidRPr="00400112" w:rsidR="7CAED64B">
        <w:rPr>
          <w:rFonts w:ascii="Book Antiqua" w:hAnsi="Book Antiqua"/>
          <w:sz w:val="26"/>
          <w:szCs w:val="26"/>
        </w:rPr>
        <w:t xml:space="preserve">fter </w:t>
      </w:r>
      <w:r w:rsidRPr="00400112" w:rsidR="172DA2C8">
        <w:rPr>
          <w:rFonts w:ascii="Book Antiqua" w:hAnsi="Book Antiqua"/>
          <w:sz w:val="26"/>
          <w:szCs w:val="26"/>
        </w:rPr>
        <w:t>it</w:t>
      </w:r>
      <w:r w:rsidRPr="00400112" w:rsidR="7CAED64B">
        <w:rPr>
          <w:rFonts w:ascii="Book Antiqua" w:hAnsi="Book Antiqua"/>
          <w:sz w:val="26"/>
          <w:szCs w:val="26"/>
        </w:rPr>
        <w:t xml:space="preserve"> receives a letter from </w:t>
      </w:r>
      <w:r w:rsidRPr="00400112" w:rsidR="6FFAD01A">
        <w:rPr>
          <w:rFonts w:ascii="Book Antiqua" w:hAnsi="Book Antiqua"/>
          <w:sz w:val="26"/>
          <w:szCs w:val="26"/>
        </w:rPr>
        <w:t xml:space="preserve">Energy Division </w:t>
      </w:r>
      <w:r w:rsidRPr="00400112" w:rsidR="7E63830A">
        <w:rPr>
          <w:rFonts w:ascii="Book Antiqua" w:hAnsi="Book Antiqua"/>
          <w:sz w:val="26"/>
          <w:szCs w:val="26"/>
        </w:rPr>
        <w:t>that</w:t>
      </w:r>
      <w:r w:rsidRPr="00400112" w:rsidR="6FFAD01A">
        <w:rPr>
          <w:rFonts w:ascii="Book Antiqua" w:hAnsi="Book Antiqua"/>
          <w:sz w:val="26"/>
          <w:szCs w:val="26"/>
        </w:rPr>
        <w:t xml:space="preserve"> confirm</w:t>
      </w:r>
      <w:r w:rsidRPr="00400112" w:rsidR="63BC0853">
        <w:rPr>
          <w:rFonts w:ascii="Book Antiqua" w:hAnsi="Book Antiqua"/>
          <w:sz w:val="26"/>
          <w:szCs w:val="26"/>
        </w:rPr>
        <w:t>s</w:t>
      </w:r>
      <w:r w:rsidRPr="00400112" w:rsidR="6FFAD01A">
        <w:rPr>
          <w:rFonts w:ascii="Book Antiqua" w:hAnsi="Book Antiqua"/>
          <w:sz w:val="26"/>
          <w:szCs w:val="26"/>
        </w:rPr>
        <w:t xml:space="preserve"> </w:t>
      </w:r>
      <w:r w:rsidRPr="00400112" w:rsidR="61DD3A3C">
        <w:rPr>
          <w:rFonts w:ascii="Book Antiqua" w:hAnsi="Book Antiqua"/>
          <w:sz w:val="26"/>
          <w:szCs w:val="26"/>
        </w:rPr>
        <w:t xml:space="preserve">that the LSE is deregistered and </w:t>
      </w:r>
      <w:r w:rsidRPr="00400112" w:rsidR="2ACC6757">
        <w:rPr>
          <w:rFonts w:ascii="Book Antiqua" w:hAnsi="Book Antiqua"/>
          <w:sz w:val="26"/>
          <w:szCs w:val="26"/>
        </w:rPr>
        <w:t xml:space="preserve">that </w:t>
      </w:r>
      <w:r w:rsidRPr="00400112" w:rsidR="415D826E">
        <w:rPr>
          <w:rFonts w:ascii="Book Antiqua" w:hAnsi="Book Antiqua"/>
          <w:sz w:val="26"/>
          <w:szCs w:val="26"/>
        </w:rPr>
        <w:t>demonstrat</w:t>
      </w:r>
      <w:r w:rsidRPr="00400112" w:rsidR="515586A8">
        <w:rPr>
          <w:rFonts w:ascii="Book Antiqua" w:hAnsi="Book Antiqua"/>
          <w:sz w:val="26"/>
          <w:szCs w:val="26"/>
        </w:rPr>
        <w:t>es</w:t>
      </w:r>
      <w:r w:rsidRPr="00400112" w:rsidR="61DD3A3C">
        <w:rPr>
          <w:rFonts w:ascii="Book Antiqua" w:hAnsi="Book Antiqua"/>
          <w:sz w:val="26"/>
          <w:szCs w:val="26"/>
        </w:rPr>
        <w:t xml:space="preserve"> that the LSE does not need to file an annual RPS </w:t>
      </w:r>
      <w:r w:rsidRPr="00400112" w:rsidR="4B335B6F">
        <w:rPr>
          <w:rFonts w:ascii="Book Antiqua" w:hAnsi="Book Antiqua"/>
          <w:sz w:val="26"/>
          <w:szCs w:val="26"/>
        </w:rPr>
        <w:t>Procurement</w:t>
      </w:r>
      <w:r w:rsidRPr="00400112" w:rsidR="61DD3A3C">
        <w:rPr>
          <w:rFonts w:ascii="Book Antiqua" w:hAnsi="Book Antiqua"/>
          <w:sz w:val="26"/>
          <w:szCs w:val="26"/>
        </w:rPr>
        <w:t xml:space="preserve"> Plan</w:t>
      </w:r>
      <w:r w:rsidRPr="00400112" w:rsidR="79D733E5">
        <w:rPr>
          <w:rFonts w:ascii="Book Antiqua" w:hAnsi="Book Antiqua"/>
          <w:sz w:val="26"/>
          <w:szCs w:val="26"/>
        </w:rPr>
        <w:t xml:space="preserve"> or annual/final RPS Compliance Report</w:t>
      </w:r>
      <w:r w:rsidRPr="00400112" w:rsidR="17B64F5F">
        <w:rPr>
          <w:rFonts w:ascii="Book Antiqua" w:hAnsi="Book Antiqua"/>
          <w:sz w:val="26"/>
          <w:szCs w:val="26"/>
        </w:rPr>
        <w:t>s</w:t>
      </w:r>
      <w:r w:rsidRPr="00400112" w:rsidR="63ED7443">
        <w:rPr>
          <w:rFonts w:ascii="Book Antiqua" w:hAnsi="Book Antiqua"/>
          <w:sz w:val="26"/>
          <w:szCs w:val="26"/>
        </w:rPr>
        <w:t xml:space="preserve">, </w:t>
      </w:r>
      <w:r w:rsidRPr="00400112" w:rsidR="79D733E5">
        <w:rPr>
          <w:rFonts w:ascii="Book Antiqua" w:hAnsi="Book Antiqua"/>
          <w:sz w:val="26"/>
          <w:szCs w:val="26"/>
        </w:rPr>
        <w:t>given that the LSE never served load</w:t>
      </w:r>
      <w:r w:rsidRPr="00400112" w:rsidR="53095DD5">
        <w:rPr>
          <w:rFonts w:ascii="Book Antiqua" w:hAnsi="Book Antiqua"/>
          <w:sz w:val="26"/>
          <w:szCs w:val="26"/>
        </w:rPr>
        <w:t>.</w:t>
      </w:r>
    </w:p>
    <w:p w:rsidRPr="00400112" w:rsidR="5DF1A277" w:rsidP="006225AF" w:rsidRDefault="30229C95" w14:paraId="0DF2A178" w14:textId="7F4C1206">
      <w:pPr>
        <w:pStyle w:val="ListParagraph"/>
        <w:numPr>
          <w:ilvl w:val="0"/>
          <w:numId w:val="17"/>
        </w:numPr>
        <w:spacing w:after="0" w:line="240" w:lineRule="auto"/>
        <w:jc w:val="left"/>
        <w:rPr>
          <w:rFonts w:ascii="Book Antiqua" w:hAnsi="Book Antiqua"/>
          <w:sz w:val="26"/>
          <w:szCs w:val="26"/>
        </w:rPr>
      </w:pPr>
      <w:r w:rsidRPr="00400112">
        <w:rPr>
          <w:rFonts w:ascii="Book Antiqua" w:hAnsi="Book Antiqua"/>
          <w:sz w:val="26"/>
          <w:szCs w:val="26"/>
        </w:rPr>
        <w:t>For</w:t>
      </w:r>
      <w:r w:rsidRPr="00400112" w:rsidR="7BA9B4C7">
        <w:rPr>
          <w:rFonts w:ascii="Book Antiqua" w:hAnsi="Book Antiqua"/>
          <w:sz w:val="26"/>
          <w:szCs w:val="26"/>
        </w:rPr>
        <w:t xml:space="preserve"> LSE</w:t>
      </w:r>
      <w:r w:rsidRPr="00400112" w:rsidR="7850F797">
        <w:rPr>
          <w:rFonts w:ascii="Book Antiqua" w:hAnsi="Book Antiqua"/>
          <w:sz w:val="26"/>
          <w:szCs w:val="26"/>
        </w:rPr>
        <w:t>s</w:t>
      </w:r>
      <w:r w:rsidRPr="00400112" w:rsidR="7BA9B4C7">
        <w:rPr>
          <w:rFonts w:ascii="Book Antiqua" w:hAnsi="Book Antiqua"/>
          <w:sz w:val="26"/>
          <w:szCs w:val="26"/>
        </w:rPr>
        <w:t xml:space="preserve"> that </w:t>
      </w:r>
      <w:r w:rsidRPr="00400112" w:rsidR="7BA9B4C7">
        <w:rPr>
          <w:rFonts w:ascii="Book Antiqua" w:hAnsi="Book Antiqua"/>
          <w:b/>
          <w:bCs/>
          <w:i/>
          <w:iCs/>
          <w:sz w:val="26"/>
          <w:szCs w:val="26"/>
        </w:rPr>
        <w:t>ha</w:t>
      </w:r>
      <w:r w:rsidRPr="00400112" w:rsidR="1910C030">
        <w:rPr>
          <w:rFonts w:ascii="Book Antiqua" w:hAnsi="Book Antiqua"/>
          <w:b/>
          <w:bCs/>
          <w:i/>
          <w:iCs/>
          <w:sz w:val="26"/>
          <w:szCs w:val="26"/>
        </w:rPr>
        <w:t>ve</w:t>
      </w:r>
      <w:r w:rsidRPr="00400112" w:rsidR="7BA9B4C7">
        <w:rPr>
          <w:rFonts w:ascii="Book Antiqua" w:hAnsi="Book Antiqua"/>
          <w:sz w:val="26"/>
          <w:szCs w:val="26"/>
        </w:rPr>
        <w:t xml:space="preserve"> served load in California: </w:t>
      </w:r>
      <w:r w:rsidRPr="00400112" w:rsidR="30F79807">
        <w:rPr>
          <w:rFonts w:ascii="Book Antiqua" w:hAnsi="Book Antiqua"/>
          <w:sz w:val="26"/>
          <w:szCs w:val="26"/>
        </w:rPr>
        <w:t>The LSE shall serve a final notice of deregistration to the RPS proceeding a</w:t>
      </w:r>
      <w:r w:rsidRPr="00400112" w:rsidR="7BA9B4C7">
        <w:rPr>
          <w:rFonts w:ascii="Book Antiqua" w:hAnsi="Book Antiqua"/>
          <w:sz w:val="26"/>
          <w:szCs w:val="26"/>
        </w:rPr>
        <w:t xml:space="preserve">fter </w:t>
      </w:r>
      <w:r w:rsidRPr="00400112" w:rsidR="5A27A9A7">
        <w:rPr>
          <w:rFonts w:ascii="Book Antiqua" w:hAnsi="Book Antiqua"/>
          <w:sz w:val="26"/>
          <w:szCs w:val="26"/>
        </w:rPr>
        <w:t>(1)</w:t>
      </w:r>
      <w:r w:rsidRPr="00400112" w:rsidR="7BA9B4C7">
        <w:rPr>
          <w:rFonts w:ascii="Book Antiqua" w:hAnsi="Book Antiqua"/>
          <w:sz w:val="26"/>
          <w:szCs w:val="26"/>
        </w:rPr>
        <w:t xml:space="preserve"> the LSE</w:t>
      </w:r>
      <w:r w:rsidRPr="00400112" w:rsidR="6280A5FA">
        <w:rPr>
          <w:rFonts w:ascii="Book Antiqua" w:hAnsi="Book Antiqua"/>
          <w:sz w:val="26"/>
          <w:szCs w:val="26"/>
        </w:rPr>
        <w:t xml:space="preserve"> </w:t>
      </w:r>
      <w:r w:rsidRPr="00400112" w:rsidR="7BA9B4C7">
        <w:rPr>
          <w:rFonts w:ascii="Book Antiqua" w:hAnsi="Book Antiqua"/>
          <w:sz w:val="26"/>
          <w:szCs w:val="26"/>
        </w:rPr>
        <w:t xml:space="preserve">receives a letter from Energy </w:t>
      </w:r>
      <w:r w:rsidRPr="00400112" w:rsidR="3F75EC11">
        <w:rPr>
          <w:rFonts w:ascii="Book Antiqua" w:hAnsi="Book Antiqua"/>
          <w:sz w:val="26"/>
          <w:szCs w:val="26"/>
        </w:rPr>
        <w:t>D</w:t>
      </w:r>
      <w:r w:rsidRPr="00400112" w:rsidR="7BA9B4C7">
        <w:rPr>
          <w:rFonts w:ascii="Book Antiqua" w:hAnsi="Book Antiqua"/>
          <w:sz w:val="26"/>
          <w:szCs w:val="26"/>
        </w:rPr>
        <w:t>ivision that confirms that the LSE is deregistered and that demonstrates that the LSE does not need to file an annual RPS Procurement Plan</w:t>
      </w:r>
      <w:r w:rsidRPr="00400112" w:rsidR="3C31614A">
        <w:rPr>
          <w:rFonts w:ascii="Book Antiqua" w:hAnsi="Book Antiqua"/>
          <w:sz w:val="26"/>
          <w:szCs w:val="26"/>
        </w:rPr>
        <w:t xml:space="preserve">, and </w:t>
      </w:r>
      <w:r w:rsidRPr="00400112" w:rsidR="48AEEEA9">
        <w:rPr>
          <w:rFonts w:ascii="Book Antiqua" w:hAnsi="Book Antiqua"/>
          <w:sz w:val="26"/>
          <w:szCs w:val="26"/>
        </w:rPr>
        <w:t>after</w:t>
      </w:r>
      <w:r w:rsidRPr="00400112" w:rsidR="3C31614A">
        <w:rPr>
          <w:rFonts w:ascii="Book Antiqua" w:hAnsi="Book Antiqua"/>
          <w:sz w:val="26"/>
          <w:szCs w:val="26"/>
        </w:rPr>
        <w:t xml:space="preserve"> (2) </w:t>
      </w:r>
      <w:r w:rsidRPr="00400112" w:rsidR="5322C964">
        <w:rPr>
          <w:rFonts w:ascii="Book Antiqua" w:hAnsi="Book Antiqua"/>
          <w:sz w:val="26"/>
          <w:szCs w:val="26"/>
        </w:rPr>
        <w:t xml:space="preserve">the LSE receives a Final </w:t>
      </w:r>
      <w:r w:rsidRPr="00400112" w:rsidR="7BA9B4C7">
        <w:rPr>
          <w:rFonts w:ascii="Book Antiqua" w:hAnsi="Book Antiqua"/>
          <w:sz w:val="26"/>
          <w:szCs w:val="26"/>
        </w:rPr>
        <w:t xml:space="preserve">Compliance </w:t>
      </w:r>
      <w:r w:rsidRPr="00400112" w:rsidR="31C4B6ED">
        <w:rPr>
          <w:rFonts w:ascii="Book Antiqua" w:hAnsi="Book Antiqua"/>
          <w:sz w:val="26"/>
          <w:szCs w:val="26"/>
        </w:rPr>
        <w:t>Determination Letter from</w:t>
      </w:r>
      <w:r w:rsidRPr="00400112" w:rsidR="7BA9B4C7">
        <w:rPr>
          <w:rFonts w:ascii="Book Antiqua" w:hAnsi="Book Antiqua"/>
          <w:sz w:val="26"/>
          <w:szCs w:val="26"/>
        </w:rPr>
        <w:t xml:space="preserve"> </w:t>
      </w:r>
      <w:r w:rsidRPr="00400112" w:rsidR="71129AB9">
        <w:rPr>
          <w:rFonts w:ascii="Book Antiqua" w:hAnsi="Book Antiqua"/>
          <w:sz w:val="26"/>
          <w:szCs w:val="26"/>
        </w:rPr>
        <w:t xml:space="preserve">Energy Division demonstrating that </w:t>
      </w:r>
      <w:r w:rsidRPr="00400112" w:rsidR="00EA2D19">
        <w:rPr>
          <w:rFonts w:ascii="Book Antiqua" w:hAnsi="Book Antiqua"/>
          <w:sz w:val="26"/>
          <w:szCs w:val="26"/>
        </w:rPr>
        <w:t>it</w:t>
      </w:r>
      <w:r w:rsidRPr="00400112" w:rsidR="71129AB9">
        <w:rPr>
          <w:rFonts w:ascii="Book Antiqua" w:hAnsi="Book Antiqua"/>
          <w:sz w:val="26"/>
          <w:szCs w:val="26"/>
        </w:rPr>
        <w:t xml:space="preserve"> either met </w:t>
      </w:r>
      <w:r w:rsidRPr="00400112" w:rsidR="00EA2D19">
        <w:rPr>
          <w:rFonts w:ascii="Book Antiqua" w:hAnsi="Book Antiqua"/>
          <w:sz w:val="26"/>
          <w:szCs w:val="26"/>
        </w:rPr>
        <w:t>its</w:t>
      </w:r>
      <w:r w:rsidRPr="00400112" w:rsidR="71129AB9">
        <w:rPr>
          <w:rFonts w:ascii="Book Antiqua" w:hAnsi="Book Antiqua"/>
          <w:sz w:val="26"/>
          <w:szCs w:val="26"/>
        </w:rPr>
        <w:t xml:space="preserve"> RPS Compliance Period requirements</w:t>
      </w:r>
      <w:r w:rsidRPr="00400112" w:rsidR="7BA9B4C7">
        <w:rPr>
          <w:rFonts w:ascii="Book Antiqua" w:hAnsi="Book Antiqua"/>
          <w:sz w:val="26"/>
          <w:szCs w:val="26"/>
        </w:rPr>
        <w:t xml:space="preserve"> </w:t>
      </w:r>
      <w:r w:rsidRPr="00400112" w:rsidR="71129AB9">
        <w:rPr>
          <w:rFonts w:ascii="Book Antiqua" w:hAnsi="Book Antiqua"/>
          <w:sz w:val="26"/>
          <w:szCs w:val="26"/>
        </w:rPr>
        <w:t xml:space="preserve">or </w:t>
      </w:r>
      <w:r w:rsidRPr="00400112" w:rsidR="001C5839">
        <w:rPr>
          <w:rFonts w:ascii="Book Antiqua" w:hAnsi="Book Antiqua"/>
          <w:sz w:val="26"/>
          <w:szCs w:val="26"/>
        </w:rPr>
        <w:t>is</w:t>
      </w:r>
      <w:r w:rsidRPr="00400112" w:rsidR="71129AB9">
        <w:rPr>
          <w:rFonts w:ascii="Book Antiqua" w:hAnsi="Book Antiqua"/>
          <w:sz w:val="26"/>
          <w:szCs w:val="26"/>
        </w:rPr>
        <w:t xml:space="preserve"> responsible for penalties</w:t>
      </w:r>
      <w:r w:rsidRPr="00400112" w:rsidR="55C7A4C8">
        <w:rPr>
          <w:rFonts w:ascii="Book Antiqua" w:hAnsi="Book Antiqua"/>
          <w:sz w:val="26"/>
          <w:szCs w:val="26"/>
        </w:rPr>
        <w:t>.</w:t>
      </w:r>
    </w:p>
    <w:p w:rsidRPr="00400112" w:rsidR="003E7F02" w:rsidP="006225AF" w:rsidRDefault="003E7F02" w14:paraId="23329706" w14:textId="77777777">
      <w:pPr>
        <w:spacing w:after="0" w:line="240" w:lineRule="auto"/>
        <w:ind w:left="360"/>
        <w:jc w:val="left"/>
        <w:rPr>
          <w:rFonts w:ascii="Book Antiqua" w:hAnsi="Book Antiqua"/>
          <w:sz w:val="26"/>
          <w:szCs w:val="26"/>
          <w:u w:val="single"/>
        </w:rPr>
      </w:pPr>
    </w:p>
    <w:p w:rsidRPr="000D5784" w:rsidR="00C1241E" w:rsidP="006225AF" w:rsidRDefault="00A57EA9" w14:paraId="0DCD585A" w14:textId="58E224FA">
      <w:pPr>
        <w:spacing w:after="0" w:line="240" w:lineRule="auto"/>
        <w:ind w:left="360"/>
        <w:jc w:val="left"/>
        <w:rPr>
          <w:rFonts w:ascii="Book Antiqua" w:hAnsi="Book Antiqua"/>
          <w:i/>
          <w:iCs/>
          <w:sz w:val="26"/>
          <w:szCs w:val="26"/>
        </w:rPr>
      </w:pPr>
      <w:r w:rsidRPr="000D5784">
        <w:rPr>
          <w:rFonts w:ascii="Book Antiqua" w:hAnsi="Book Antiqua"/>
          <w:i/>
          <w:iCs/>
          <w:sz w:val="26"/>
          <w:szCs w:val="26"/>
        </w:rPr>
        <w:t xml:space="preserve">RPS </w:t>
      </w:r>
      <w:r w:rsidRPr="000D5784" w:rsidR="00C1241E">
        <w:rPr>
          <w:rFonts w:ascii="Book Antiqua" w:hAnsi="Book Antiqua"/>
          <w:i/>
          <w:iCs/>
          <w:sz w:val="26"/>
          <w:szCs w:val="26"/>
        </w:rPr>
        <w:t>Penalt</w:t>
      </w:r>
      <w:r w:rsidRPr="000D5784">
        <w:rPr>
          <w:rFonts w:ascii="Book Antiqua" w:hAnsi="Book Antiqua"/>
          <w:i/>
          <w:iCs/>
          <w:sz w:val="26"/>
          <w:szCs w:val="26"/>
        </w:rPr>
        <w:t>ies</w:t>
      </w:r>
      <w:r w:rsidRPr="000D5784" w:rsidR="00C1241E">
        <w:rPr>
          <w:rFonts w:ascii="Book Antiqua" w:hAnsi="Book Antiqua"/>
          <w:i/>
          <w:iCs/>
          <w:sz w:val="26"/>
          <w:szCs w:val="26"/>
        </w:rPr>
        <w:t xml:space="preserve"> Process:</w:t>
      </w:r>
    </w:p>
    <w:p w:rsidRPr="00400112" w:rsidR="00C1241E" w:rsidP="006225AF" w:rsidRDefault="07B64950" w14:paraId="6926F059" w14:textId="72D85E5E">
      <w:pPr>
        <w:numPr>
          <w:ilvl w:val="0"/>
          <w:numId w:val="4"/>
        </w:numPr>
        <w:spacing w:after="0" w:line="240" w:lineRule="auto"/>
        <w:jc w:val="left"/>
        <w:rPr>
          <w:rFonts w:ascii="Book Antiqua" w:hAnsi="Book Antiqua"/>
          <w:sz w:val="26"/>
          <w:szCs w:val="26"/>
        </w:rPr>
      </w:pPr>
      <w:r w:rsidRPr="00400112">
        <w:rPr>
          <w:rFonts w:ascii="Book Antiqua" w:hAnsi="Book Antiqua"/>
          <w:sz w:val="26"/>
          <w:szCs w:val="26"/>
        </w:rPr>
        <w:t xml:space="preserve"> If the deregistering LSE expects that it will not be in compliance with RPS Compliance Period requirements, the LSE may request a waiver of its penalty 30 days after the CEC issues its procurement verification for the LSE though a </w:t>
      </w:r>
      <w:r w:rsidR="00666106">
        <w:rPr>
          <w:rFonts w:ascii="Book Antiqua" w:hAnsi="Book Antiqua"/>
          <w:sz w:val="26"/>
          <w:szCs w:val="26"/>
        </w:rPr>
        <w:t>m</w:t>
      </w:r>
      <w:r w:rsidRPr="00400112">
        <w:rPr>
          <w:rFonts w:ascii="Book Antiqua" w:hAnsi="Book Antiqua"/>
          <w:sz w:val="26"/>
          <w:szCs w:val="26"/>
        </w:rPr>
        <w:t xml:space="preserve">otion filed in the current RPS proceeding. Once a </w:t>
      </w:r>
      <w:r w:rsidR="00666106">
        <w:rPr>
          <w:rFonts w:ascii="Book Antiqua" w:hAnsi="Book Antiqua"/>
          <w:sz w:val="26"/>
          <w:szCs w:val="26"/>
        </w:rPr>
        <w:t>d</w:t>
      </w:r>
      <w:r w:rsidRPr="00400112">
        <w:rPr>
          <w:rFonts w:ascii="Book Antiqua" w:hAnsi="Book Antiqua"/>
          <w:sz w:val="26"/>
          <w:szCs w:val="26"/>
        </w:rPr>
        <w:t>ecision is issued on the Motion, the LSE must pay its penalty, if ordered to, and serve the final notice of deregistration to the RPS proceeding.</w:t>
      </w:r>
      <w:r w:rsidR="00666106">
        <w:rPr>
          <w:rFonts w:ascii="Book Antiqua" w:hAnsi="Book Antiqua"/>
          <w:sz w:val="26"/>
          <w:szCs w:val="26"/>
        </w:rPr>
        <w:t xml:space="preserve"> </w:t>
      </w:r>
      <w:r w:rsidRPr="00400112">
        <w:rPr>
          <w:rFonts w:ascii="Book Antiqua" w:hAnsi="Book Antiqua"/>
          <w:sz w:val="26"/>
          <w:szCs w:val="26"/>
        </w:rPr>
        <w:t>Alternatively, the LSE must pay the assessed penalty for its noncompliance and then serve its final notice of deregistration to the RPS proceeding.</w:t>
      </w:r>
    </w:p>
    <w:p w:rsidRPr="00400112" w:rsidR="00C1241E" w:rsidP="006225AF" w:rsidRDefault="00C1241E" w14:paraId="7192ABD8" w14:textId="632E1064">
      <w:pPr>
        <w:spacing w:after="0" w:line="240" w:lineRule="auto"/>
        <w:ind w:left="720"/>
        <w:jc w:val="left"/>
        <w:rPr>
          <w:rFonts w:ascii="Book Antiqua" w:hAnsi="Book Antiqua"/>
          <w:sz w:val="26"/>
          <w:szCs w:val="26"/>
        </w:rPr>
      </w:pPr>
    </w:p>
    <w:p w:rsidRPr="00641596" w:rsidR="00C1241E" w:rsidP="00FB394D" w:rsidRDefault="00C1241E" w14:paraId="22D75ECD" w14:textId="18C0DC4C">
      <w:pPr>
        <w:pStyle w:val="ListParagraph"/>
        <w:numPr>
          <w:ilvl w:val="0"/>
          <w:numId w:val="6"/>
        </w:numPr>
        <w:spacing w:after="120" w:line="240" w:lineRule="auto"/>
        <w:jc w:val="left"/>
        <w:rPr>
          <w:rStyle w:val="Hyperlink"/>
          <w:rFonts w:ascii="Arial" w:hAnsi="Arial" w:cs="Arial"/>
          <w:b/>
          <w:bCs/>
          <w:color w:val="000000" w:themeColor="text1"/>
          <w:sz w:val="26"/>
          <w:szCs w:val="26"/>
        </w:rPr>
      </w:pPr>
      <w:r w:rsidRPr="00641596">
        <w:rPr>
          <w:rStyle w:val="Hyperlink"/>
          <w:rFonts w:ascii="Arial" w:hAnsi="Arial" w:cs="Arial"/>
          <w:b/>
          <w:bCs/>
          <w:color w:val="000000" w:themeColor="text1"/>
          <w:sz w:val="26"/>
          <w:szCs w:val="26"/>
        </w:rPr>
        <w:t xml:space="preserve">LSE Customer Privacy Requirements </w:t>
      </w:r>
      <w:r w:rsidRPr="00641596" w:rsidR="00A57EA9">
        <w:rPr>
          <w:rStyle w:val="Hyperlink"/>
          <w:rFonts w:ascii="Arial" w:hAnsi="Arial" w:cs="Arial"/>
          <w:b/>
          <w:bCs/>
          <w:color w:val="000000" w:themeColor="text1"/>
          <w:sz w:val="26"/>
          <w:szCs w:val="26"/>
        </w:rPr>
        <w:t>D</w:t>
      </w:r>
      <w:r w:rsidRPr="00641596">
        <w:rPr>
          <w:rStyle w:val="Hyperlink"/>
          <w:rFonts w:ascii="Arial" w:hAnsi="Arial" w:cs="Arial"/>
          <w:b/>
          <w:bCs/>
          <w:color w:val="000000" w:themeColor="text1"/>
          <w:sz w:val="26"/>
          <w:szCs w:val="26"/>
        </w:rPr>
        <w:t>uring Deregistration</w:t>
      </w:r>
    </w:p>
    <w:p w:rsidRPr="00400112" w:rsidR="00C1241E" w:rsidP="006225AF" w:rsidRDefault="00C1241E" w14:paraId="3B5CB684" w14:textId="70F43AFE">
      <w:pPr>
        <w:spacing w:after="0" w:line="240" w:lineRule="auto"/>
        <w:jc w:val="left"/>
        <w:rPr>
          <w:rFonts w:ascii="Book Antiqua" w:hAnsi="Book Antiqua" w:cstheme="minorHAnsi"/>
          <w:sz w:val="26"/>
          <w:szCs w:val="26"/>
          <w:u w:val="single"/>
        </w:rPr>
      </w:pPr>
      <w:r w:rsidRPr="00400112">
        <w:rPr>
          <w:rFonts w:ascii="Book Antiqua" w:hAnsi="Book Antiqua" w:cstheme="minorHAnsi"/>
          <w:sz w:val="26"/>
          <w:szCs w:val="26"/>
        </w:rPr>
        <w:t>The deregistering LSE must meet their Customer Data Privacy compliance obligations in the Smart Grid Rulemaking (R.) 08-12-009 for the years in which they serve load. There are two compliance obligations:</w:t>
      </w:r>
    </w:p>
    <w:p w:rsidRPr="00400112" w:rsidR="00C1241E" w:rsidP="006225AF" w:rsidRDefault="00C1241E" w14:paraId="6ED2A9D6" w14:textId="77777777">
      <w:pPr>
        <w:pStyle w:val="ListParagraph"/>
        <w:numPr>
          <w:ilvl w:val="0"/>
          <w:numId w:val="14"/>
        </w:numPr>
        <w:spacing w:after="0" w:line="240" w:lineRule="auto"/>
        <w:jc w:val="left"/>
        <w:rPr>
          <w:rFonts w:ascii="Book Antiqua" w:hAnsi="Book Antiqua" w:cstheme="minorHAnsi"/>
          <w:sz w:val="26"/>
          <w:szCs w:val="26"/>
        </w:rPr>
      </w:pPr>
      <w:r w:rsidRPr="00400112">
        <w:rPr>
          <w:rFonts w:ascii="Book Antiqua" w:hAnsi="Book Antiqua" w:cstheme="minorHAnsi"/>
          <w:sz w:val="26"/>
          <w:szCs w:val="26"/>
        </w:rPr>
        <w:t>Annual Data Privacy Report.</w:t>
      </w:r>
    </w:p>
    <w:p w:rsidRPr="00400112" w:rsidR="00C1241E" w:rsidP="006225AF" w:rsidRDefault="00C1241E" w14:paraId="22CA6650" w14:textId="77777777">
      <w:pPr>
        <w:pStyle w:val="ListParagraph"/>
        <w:numPr>
          <w:ilvl w:val="0"/>
          <w:numId w:val="14"/>
        </w:numPr>
        <w:spacing w:after="0" w:line="240" w:lineRule="auto"/>
        <w:jc w:val="left"/>
        <w:rPr>
          <w:rFonts w:ascii="Book Antiqua" w:hAnsi="Book Antiqua" w:cstheme="minorHAnsi"/>
          <w:sz w:val="26"/>
          <w:szCs w:val="26"/>
        </w:rPr>
      </w:pPr>
      <w:r w:rsidRPr="00400112">
        <w:rPr>
          <w:rFonts w:ascii="Book Antiqua" w:hAnsi="Book Antiqua" w:cstheme="minorHAnsi"/>
          <w:sz w:val="26"/>
          <w:szCs w:val="26"/>
        </w:rPr>
        <w:t>Triannual Independent Data Privacy and Security Practice Audit.</w:t>
      </w:r>
    </w:p>
    <w:p w:rsidRPr="00400112" w:rsidR="00C70116" w:rsidP="00C70116" w:rsidRDefault="00C70116" w14:paraId="6A14915D" w14:textId="77777777">
      <w:pPr>
        <w:pStyle w:val="ListParagraph"/>
        <w:spacing w:after="0" w:line="240" w:lineRule="auto"/>
        <w:jc w:val="left"/>
        <w:rPr>
          <w:rFonts w:ascii="Book Antiqua" w:hAnsi="Book Antiqua" w:cstheme="minorHAnsi"/>
          <w:sz w:val="26"/>
          <w:szCs w:val="26"/>
        </w:rPr>
      </w:pPr>
    </w:p>
    <w:p w:rsidRPr="00400112" w:rsidR="006225AF" w:rsidP="006225AF" w:rsidRDefault="00C1241E" w14:paraId="32E3E738" w14:textId="4655EC4A">
      <w:pPr>
        <w:spacing w:after="0" w:line="240" w:lineRule="auto"/>
        <w:jc w:val="left"/>
        <w:rPr>
          <w:rFonts w:ascii="Book Antiqua" w:hAnsi="Book Antiqua" w:cstheme="minorHAnsi"/>
          <w:sz w:val="26"/>
          <w:szCs w:val="26"/>
        </w:rPr>
      </w:pPr>
      <w:r w:rsidRPr="00400112">
        <w:rPr>
          <w:rFonts w:ascii="Book Antiqua" w:hAnsi="Book Antiqua" w:cstheme="minorHAnsi"/>
          <w:sz w:val="26"/>
          <w:szCs w:val="26"/>
        </w:rPr>
        <w:lastRenderedPageBreak/>
        <w:t xml:space="preserve">Both audits are due April 30th the following calendar year that the LSE served load. Because LSEs can deregister any time during the year, </w:t>
      </w:r>
      <w:r w:rsidRPr="00400112" w:rsidR="00885612">
        <w:rPr>
          <w:rFonts w:ascii="Book Antiqua" w:hAnsi="Book Antiqua" w:cstheme="minorHAnsi"/>
          <w:sz w:val="26"/>
          <w:szCs w:val="26"/>
        </w:rPr>
        <w:t>Energy Division</w:t>
      </w:r>
      <w:r w:rsidRPr="00400112">
        <w:rPr>
          <w:rFonts w:ascii="Book Antiqua" w:hAnsi="Book Antiqua" w:cstheme="minorHAnsi"/>
          <w:sz w:val="26"/>
          <w:szCs w:val="26"/>
        </w:rPr>
        <w:t xml:space="preserve"> </w:t>
      </w:r>
      <w:r w:rsidRPr="00400112" w:rsidR="00885612">
        <w:rPr>
          <w:rFonts w:ascii="Book Antiqua" w:hAnsi="Book Antiqua" w:cstheme="minorHAnsi"/>
          <w:sz w:val="26"/>
          <w:szCs w:val="26"/>
        </w:rPr>
        <w:t>S</w:t>
      </w:r>
      <w:r w:rsidRPr="00400112">
        <w:rPr>
          <w:rFonts w:ascii="Book Antiqua" w:hAnsi="Book Antiqua" w:cstheme="minorHAnsi"/>
          <w:sz w:val="26"/>
          <w:szCs w:val="26"/>
        </w:rPr>
        <w:t>taff recommends that the LSE must file its Annual Data Privacy Report before deregistering. The LSE may file the report prior to its deregistration.  Requests for exemption may be considered.</w:t>
      </w:r>
    </w:p>
    <w:p w:rsidR="006225AF" w:rsidP="006225AF" w:rsidRDefault="006225AF" w14:paraId="4F1A1186" w14:textId="77777777">
      <w:pPr>
        <w:spacing w:after="0" w:line="240" w:lineRule="auto"/>
        <w:jc w:val="left"/>
        <w:rPr>
          <w:rFonts w:ascii="Book Antiqua" w:hAnsi="Book Antiqua" w:cstheme="minorHAnsi"/>
          <w:sz w:val="26"/>
          <w:szCs w:val="26"/>
        </w:rPr>
      </w:pPr>
    </w:p>
    <w:p w:rsidRPr="00641596" w:rsidR="00C1241E" w:rsidP="00FB394D" w:rsidRDefault="00C1241E" w14:paraId="781DA706" w14:textId="7D52464E">
      <w:pPr>
        <w:pStyle w:val="ListParagraph"/>
        <w:numPr>
          <w:ilvl w:val="0"/>
          <w:numId w:val="6"/>
        </w:numPr>
        <w:spacing w:after="120" w:line="240" w:lineRule="auto"/>
        <w:jc w:val="left"/>
        <w:rPr>
          <w:rFonts w:ascii="Arial" w:hAnsi="Arial" w:cs="Arial"/>
          <w:b/>
          <w:sz w:val="26"/>
          <w:szCs w:val="26"/>
          <w:u w:val="single"/>
        </w:rPr>
      </w:pPr>
      <w:r w:rsidRPr="00641596">
        <w:rPr>
          <w:rFonts w:ascii="Arial" w:hAnsi="Arial" w:cs="Arial"/>
          <w:b/>
          <w:sz w:val="26"/>
          <w:szCs w:val="26"/>
          <w:u w:val="single"/>
        </w:rPr>
        <w:t xml:space="preserve">POLR files Advice Letter to set Final </w:t>
      </w:r>
      <w:r w:rsidRPr="00641596" w:rsidR="008861E4">
        <w:rPr>
          <w:rFonts w:ascii="Arial" w:hAnsi="Arial" w:cs="Arial"/>
          <w:b/>
          <w:sz w:val="26"/>
          <w:szCs w:val="26"/>
          <w:u w:val="single"/>
        </w:rPr>
        <w:t>Re-entry</w:t>
      </w:r>
      <w:r w:rsidRPr="00641596">
        <w:rPr>
          <w:rFonts w:ascii="Arial" w:hAnsi="Arial" w:cs="Arial"/>
          <w:b/>
          <w:sz w:val="26"/>
          <w:szCs w:val="26"/>
          <w:u w:val="single"/>
        </w:rPr>
        <w:t xml:space="preserve"> Fee Collection or Reimbursement if </w:t>
      </w:r>
      <w:r w:rsidRPr="00641596" w:rsidR="00A57EA9">
        <w:rPr>
          <w:rFonts w:ascii="Arial" w:hAnsi="Arial" w:cs="Arial"/>
          <w:b/>
          <w:sz w:val="26"/>
          <w:szCs w:val="26"/>
          <w:u w:val="single"/>
        </w:rPr>
        <w:t>N</w:t>
      </w:r>
      <w:r w:rsidRPr="00641596">
        <w:rPr>
          <w:rFonts w:ascii="Arial" w:hAnsi="Arial" w:cs="Arial"/>
          <w:b/>
          <w:sz w:val="26"/>
          <w:szCs w:val="26"/>
          <w:u w:val="single"/>
        </w:rPr>
        <w:t xml:space="preserve">eeded </w:t>
      </w:r>
    </w:p>
    <w:p w:rsidRPr="00400112" w:rsidR="00C1241E" w:rsidP="006225AF" w:rsidRDefault="00C1241E" w14:paraId="249D7B35" w14:textId="2CB215E7">
      <w:pPr>
        <w:spacing w:after="0" w:line="240" w:lineRule="auto"/>
        <w:jc w:val="left"/>
        <w:rPr>
          <w:rFonts w:ascii="Book Antiqua" w:hAnsi="Book Antiqua"/>
          <w:sz w:val="26"/>
          <w:szCs w:val="26"/>
        </w:rPr>
      </w:pPr>
      <w:r w:rsidRPr="00400112">
        <w:rPr>
          <w:rFonts w:ascii="Book Antiqua" w:hAnsi="Book Antiqua"/>
          <w:sz w:val="26"/>
          <w:szCs w:val="26"/>
        </w:rPr>
        <w:t xml:space="preserve">The POLR shall file a second AL to set the final </w:t>
      </w:r>
      <w:r w:rsidRPr="00400112" w:rsidR="008861E4">
        <w:rPr>
          <w:rFonts w:ascii="Book Antiqua" w:hAnsi="Book Antiqua"/>
          <w:sz w:val="26"/>
          <w:szCs w:val="26"/>
        </w:rPr>
        <w:t>re-entry</w:t>
      </w:r>
      <w:r w:rsidRPr="00400112">
        <w:rPr>
          <w:rFonts w:ascii="Book Antiqua" w:hAnsi="Book Antiqua"/>
          <w:sz w:val="26"/>
          <w:szCs w:val="26"/>
        </w:rPr>
        <w:t xml:space="preserve"> fee collection or reimbursement if the </w:t>
      </w:r>
      <w:r w:rsidRPr="00400112" w:rsidR="008861E4">
        <w:rPr>
          <w:rFonts w:ascii="Book Antiqua" w:hAnsi="Book Antiqua"/>
          <w:sz w:val="26"/>
          <w:szCs w:val="26"/>
        </w:rPr>
        <w:t>re-entry</w:t>
      </w:r>
      <w:r w:rsidRPr="00400112">
        <w:rPr>
          <w:rFonts w:ascii="Book Antiqua" w:hAnsi="Book Antiqua"/>
          <w:sz w:val="26"/>
          <w:szCs w:val="26"/>
        </w:rPr>
        <w:t xml:space="preserve"> fees</w:t>
      </w:r>
      <w:r w:rsidRPr="00400112" w:rsidR="4B9E1B77">
        <w:rPr>
          <w:rFonts w:ascii="Book Antiqua" w:hAnsi="Book Antiqua"/>
          <w:sz w:val="26"/>
          <w:szCs w:val="26"/>
        </w:rPr>
        <w:t>.</w:t>
      </w:r>
      <w:r w:rsidRPr="00400112">
        <w:rPr>
          <w:rFonts w:ascii="Book Antiqua" w:hAnsi="Book Antiqua"/>
          <w:sz w:val="26"/>
          <w:szCs w:val="26"/>
        </w:rPr>
        <w:t xml:space="preserve"> Adjustment to final collection or reimbursement may result from:</w:t>
      </w:r>
    </w:p>
    <w:p w:rsidRPr="00400112" w:rsidR="00C1241E" w:rsidP="006225AF" w:rsidRDefault="00C1241E" w14:paraId="488C54A1" w14:textId="03440229">
      <w:pPr>
        <w:pStyle w:val="ListParagraph"/>
        <w:numPr>
          <w:ilvl w:val="0"/>
          <w:numId w:val="14"/>
        </w:numPr>
        <w:spacing w:after="0" w:line="240" w:lineRule="auto"/>
        <w:jc w:val="left"/>
        <w:rPr>
          <w:rFonts w:ascii="Book Antiqua" w:hAnsi="Book Antiqua"/>
          <w:sz w:val="26"/>
          <w:szCs w:val="26"/>
        </w:rPr>
      </w:pPr>
      <w:r w:rsidRPr="00400112">
        <w:rPr>
          <w:rFonts w:ascii="Book Antiqua" w:hAnsi="Book Antiqua"/>
          <w:sz w:val="26"/>
          <w:szCs w:val="26"/>
        </w:rPr>
        <w:t xml:space="preserve">FSR is insufficient to cover the cost of the </w:t>
      </w:r>
      <w:r w:rsidRPr="00400112" w:rsidR="008861E4">
        <w:rPr>
          <w:rFonts w:ascii="Book Antiqua" w:hAnsi="Book Antiqua"/>
          <w:sz w:val="26"/>
          <w:szCs w:val="26"/>
        </w:rPr>
        <w:t>re-entry</w:t>
      </w:r>
      <w:r w:rsidRPr="00400112">
        <w:rPr>
          <w:rFonts w:ascii="Book Antiqua" w:hAnsi="Book Antiqua"/>
          <w:sz w:val="26"/>
          <w:szCs w:val="26"/>
        </w:rPr>
        <w:t xml:space="preserve"> fees, and </w:t>
      </w:r>
      <w:r w:rsidRPr="00400112" w:rsidR="7894A384">
        <w:rPr>
          <w:rFonts w:ascii="Book Antiqua" w:hAnsi="Book Antiqua"/>
          <w:sz w:val="26"/>
          <w:szCs w:val="26"/>
        </w:rPr>
        <w:t xml:space="preserve">the </w:t>
      </w:r>
      <w:r w:rsidRPr="00400112">
        <w:rPr>
          <w:rFonts w:ascii="Book Antiqua" w:hAnsi="Book Antiqua"/>
          <w:sz w:val="26"/>
          <w:szCs w:val="26"/>
        </w:rPr>
        <w:t>difference must be collected directly from returning customers</w:t>
      </w:r>
      <w:r w:rsidRPr="00400112" w:rsidR="006664D8">
        <w:rPr>
          <w:rFonts w:ascii="Book Antiqua" w:hAnsi="Book Antiqua"/>
          <w:sz w:val="26"/>
          <w:szCs w:val="26"/>
        </w:rPr>
        <w:t>;</w:t>
      </w:r>
    </w:p>
    <w:p w:rsidRPr="00400112" w:rsidR="25AD975C" w:rsidP="006225AF" w:rsidRDefault="25AD975C" w14:paraId="7BC4180B" w14:textId="631398F6">
      <w:pPr>
        <w:pStyle w:val="ListParagraph"/>
        <w:numPr>
          <w:ilvl w:val="0"/>
          <w:numId w:val="14"/>
        </w:numPr>
        <w:spacing w:after="0" w:line="240" w:lineRule="auto"/>
        <w:jc w:val="left"/>
        <w:rPr>
          <w:rFonts w:ascii="Book Antiqua" w:hAnsi="Book Antiqua"/>
          <w:sz w:val="26"/>
          <w:szCs w:val="26"/>
        </w:rPr>
      </w:pPr>
      <w:r w:rsidRPr="00400112">
        <w:rPr>
          <w:rFonts w:ascii="Book Antiqua" w:hAnsi="Book Antiqua"/>
          <w:sz w:val="26"/>
          <w:szCs w:val="26"/>
        </w:rPr>
        <w:t>The initially assessed reentry fee is greater than the final calculated amount and the POLR over-collected</w:t>
      </w:r>
      <w:r w:rsidRPr="00400112" w:rsidR="006664D8">
        <w:rPr>
          <w:rFonts w:ascii="Book Antiqua" w:hAnsi="Book Antiqua"/>
          <w:sz w:val="26"/>
          <w:szCs w:val="26"/>
        </w:rPr>
        <w:t>;</w:t>
      </w:r>
    </w:p>
    <w:p w:rsidRPr="00400112" w:rsidR="00C1241E" w:rsidP="006225AF" w:rsidRDefault="00C1241E" w14:paraId="4A977D0E" w14:textId="01E00CCF">
      <w:pPr>
        <w:pStyle w:val="ListParagraph"/>
        <w:numPr>
          <w:ilvl w:val="0"/>
          <w:numId w:val="14"/>
        </w:numPr>
        <w:spacing w:after="0" w:line="240" w:lineRule="auto"/>
        <w:jc w:val="left"/>
        <w:rPr>
          <w:rFonts w:ascii="Book Antiqua" w:hAnsi="Book Antiqua" w:cstheme="minorHAnsi"/>
          <w:sz w:val="26"/>
          <w:szCs w:val="26"/>
        </w:rPr>
      </w:pPr>
      <w:r w:rsidRPr="00400112">
        <w:rPr>
          <w:rFonts w:ascii="Book Antiqua" w:hAnsi="Book Antiqua"/>
          <w:sz w:val="26"/>
          <w:szCs w:val="26"/>
        </w:rPr>
        <w:t>Original AL is protested and modified by resolution or disposition</w:t>
      </w:r>
      <w:r w:rsidRPr="00400112" w:rsidR="006664D8">
        <w:rPr>
          <w:rFonts w:ascii="Book Antiqua" w:hAnsi="Book Antiqua"/>
          <w:sz w:val="26"/>
          <w:szCs w:val="26"/>
        </w:rPr>
        <w:t>;</w:t>
      </w:r>
    </w:p>
    <w:p w:rsidRPr="00400112" w:rsidR="00C1241E" w:rsidP="006225AF" w:rsidRDefault="00C1241E" w14:paraId="30A55063" w14:textId="0B5819D9">
      <w:pPr>
        <w:pStyle w:val="ListParagraph"/>
        <w:numPr>
          <w:ilvl w:val="0"/>
          <w:numId w:val="14"/>
        </w:numPr>
        <w:spacing w:after="0" w:line="240" w:lineRule="auto"/>
        <w:jc w:val="left"/>
        <w:rPr>
          <w:rFonts w:ascii="Book Antiqua" w:hAnsi="Book Antiqua" w:cstheme="minorHAnsi"/>
          <w:b/>
          <w:sz w:val="26"/>
          <w:szCs w:val="26"/>
        </w:rPr>
      </w:pPr>
      <w:r w:rsidRPr="00400112">
        <w:rPr>
          <w:rFonts w:ascii="Book Antiqua" w:hAnsi="Book Antiqua"/>
          <w:sz w:val="26"/>
          <w:szCs w:val="26"/>
        </w:rPr>
        <w:t xml:space="preserve">Other adjustments are necessary to the final incremental cost of </w:t>
      </w:r>
      <w:r w:rsidRPr="00400112" w:rsidR="008861E4">
        <w:rPr>
          <w:rFonts w:ascii="Book Antiqua" w:hAnsi="Book Antiqua"/>
          <w:sz w:val="26"/>
          <w:szCs w:val="26"/>
        </w:rPr>
        <w:t>re-entry</w:t>
      </w:r>
      <w:r w:rsidRPr="00400112">
        <w:rPr>
          <w:rFonts w:ascii="Book Antiqua" w:hAnsi="Book Antiqua"/>
          <w:sz w:val="26"/>
          <w:szCs w:val="26"/>
        </w:rPr>
        <w:t xml:space="preserve"> fees resulting from bankruptcy claims, adjustments to incremental costs or other factors approved by Commission</w:t>
      </w:r>
      <w:r w:rsidRPr="00400112" w:rsidR="006664D8">
        <w:rPr>
          <w:rFonts w:ascii="Book Antiqua" w:hAnsi="Book Antiqua"/>
          <w:sz w:val="26"/>
          <w:szCs w:val="26"/>
        </w:rPr>
        <w:t>.</w:t>
      </w:r>
    </w:p>
    <w:p w:rsidRPr="00400112" w:rsidR="00C1241E" w:rsidP="006225AF" w:rsidRDefault="00C1241E" w14:paraId="5109B8AF" w14:textId="77777777">
      <w:pPr>
        <w:pStyle w:val="ListParagraph"/>
        <w:spacing w:after="0" w:line="240" w:lineRule="auto"/>
        <w:jc w:val="left"/>
        <w:rPr>
          <w:rFonts w:ascii="Book Antiqua" w:hAnsi="Book Antiqua" w:cstheme="minorHAnsi"/>
          <w:b/>
          <w:sz w:val="26"/>
          <w:szCs w:val="26"/>
        </w:rPr>
      </w:pPr>
    </w:p>
    <w:p w:rsidRPr="0022058F" w:rsidR="00C1241E" w:rsidP="00FB394D" w:rsidRDefault="00C1241E" w14:paraId="7CFEFFCA" w14:textId="77777777">
      <w:pPr>
        <w:pStyle w:val="ListParagraph"/>
        <w:numPr>
          <w:ilvl w:val="0"/>
          <w:numId w:val="6"/>
        </w:numPr>
        <w:spacing w:after="120" w:line="240" w:lineRule="auto"/>
        <w:jc w:val="left"/>
        <w:rPr>
          <w:rFonts w:ascii="Arial" w:hAnsi="Arial" w:cs="Arial"/>
          <w:b/>
          <w:sz w:val="26"/>
          <w:szCs w:val="26"/>
          <w:u w:val="single"/>
        </w:rPr>
      </w:pPr>
      <w:r w:rsidRPr="0022058F">
        <w:rPr>
          <w:rFonts w:ascii="Arial" w:hAnsi="Arial" w:eastAsia="Times New Roman" w:cs="Arial"/>
          <w:b/>
          <w:bCs/>
          <w:sz w:val="26"/>
          <w:szCs w:val="26"/>
          <w:u w:val="single"/>
        </w:rPr>
        <w:t>Letter</w:t>
      </w:r>
      <w:r w:rsidRPr="0022058F">
        <w:rPr>
          <w:rFonts w:ascii="Arial" w:hAnsi="Arial" w:eastAsia="Times New Roman" w:cs="Arial"/>
          <w:b/>
          <w:sz w:val="26"/>
          <w:szCs w:val="26"/>
          <w:u w:val="single"/>
        </w:rPr>
        <w:t xml:space="preserve"> Confirming LSE Deregistration</w:t>
      </w:r>
    </w:p>
    <w:p w:rsidRPr="00400112" w:rsidR="00C1241E" w:rsidP="006225AF" w:rsidRDefault="67A21513" w14:paraId="0EAF2784" w14:textId="7B7E7FEE">
      <w:pPr>
        <w:spacing w:after="0" w:line="240" w:lineRule="auto"/>
        <w:jc w:val="left"/>
        <w:rPr>
          <w:rFonts w:ascii="Book Antiqua" w:hAnsi="Book Antiqua"/>
          <w:sz w:val="26"/>
          <w:szCs w:val="26"/>
        </w:rPr>
      </w:pPr>
      <w:r w:rsidRPr="00400112">
        <w:rPr>
          <w:rFonts w:ascii="Book Antiqua" w:hAnsi="Book Antiqua"/>
          <w:sz w:val="26"/>
          <w:szCs w:val="26"/>
        </w:rPr>
        <w:t xml:space="preserve">At the end of the deregistration process, the LSE shall send a letter to CPUC Energy Division’s Deputy Executive Director confirming the dates </w:t>
      </w:r>
      <w:r w:rsidRPr="00400112" w:rsidR="48589595">
        <w:rPr>
          <w:rFonts w:ascii="Book Antiqua" w:hAnsi="Book Antiqua"/>
          <w:sz w:val="26"/>
          <w:szCs w:val="26"/>
        </w:rPr>
        <w:t xml:space="preserve">when </w:t>
      </w:r>
      <w:r w:rsidRPr="00400112">
        <w:rPr>
          <w:rFonts w:ascii="Book Antiqua" w:hAnsi="Book Antiqua"/>
          <w:sz w:val="26"/>
          <w:szCs w:val="26"/>
        </w:rPr>
        <w:t xml:space="preserve">all of the compliance obligations listed above have been met. With this letter, the Energy Division will issue a letter to confirm that the LSE is deregistered and that all obligations, with the exception of </w:t>
      </w:r>
      <w:r w:rsidRPr="00400112" w:rsidR="48589595">
        <w:rPr>
          <w:rFonts w:ascii="Book Antiqua" w:hAnsi="Book Antiqua"/>
          <w:sz w:val="26"/>
          <w:szCs w:val="26"/>
        </w:rPr>
        <w:t xml:space="preserve">the </w:t>
      </w:r>
      <w:r w:rsidRPr="00400112" w:rsidR="32BE2BEA">
        <w:rPr>
          <w:rFonts w:ascii="Book Antiqua" w:hAnsi="Book Antiqua"/>
          <w:sz w:val="26"/>
          <w:szCs w:val="26"/>
        </w:rPr>
        <w:t>ongoing</w:t>
      </w:r>
      <w:r w:rsidRPr="00400112" w:rsidR="48589595">
        <w:rPr>
          <w:rFonts w:ascii="Book Antiqua" w:hAnsi="Book Antiqua"/>
          <w:sz w:val="26"/>
          <w:szCs w:val="26"/>
        </w:rPr>
        <w:t xml:space="preserve"> RPS</w:t>
      </w:r>
      <w:r w:rsidRPr="00400112" w:rsidR="32BE2BEA">
        <w:rPr>
          <w:rFonts w:ascii="Book Antiqua" w:hAnsi="Book Antiqua"/>
          <w:sz w:val="26"/>
          <w:szCs w:val="26"/>
        </w:rPr>
        <w:t xml:space="preserve"> </w:t>
      </w:r>
      <w:r w:rsidRPr="00400112" w:rsidR="7F90CE7A">
        <w:rPr>
          <w:rFonts w:ascii="Book Antiqua" w:hAnsi="Book Antiqua"/>
          <w:sz w:val="26"/>
          <w:szCs w:val="26"/>
        </w:rPr>
        <w:t>C</w:t>
      </w:r>
      <w:r w:rsidRPr="00400112" w:rsidR="32BE2BEA">
        <w:rPr>
          <w:rFonts w:ascii="Book Antiqua" w:hAnsi="Book Antiqua"/>
          <w:sz w:val="26"/>
          <w:szCs w:val="26"/>
        </w:rPr>
        <w:t xml:space="preserve">ompliance </w:t>
      </w:r>
      <w:r w:rsidRPr="00400112" w:rsidR="454FBF56">
        <w:rPr>
          <w:rFonts w:ascii="Book Antiqua" w:hAnsi="Book Antiqua"/>
          <w:sz w:val="26"/>
          <w:szCs w:val="26"/>
        </w:rPr>
        <w:t>P</w:t>
      </w:r>
      <w:r w:rsidRPr="00400112">
        <w:rPr>
          <w:rFonts w:ascii="Book Antiqua" w:hAnsi="Book Antiqua"/>
          <w:sz w:val="26"/>
          <w:szCs w:val="26"/>
        </w:rPr>
        <w:t xml:space="preserve">eriod requirements, have been met. </w:t>
      </w:r>
      <w:r w:rsidRPr="00400112" w:rsidR="00C1241E">
        <w:rPr>
          <w:rFonts w:ascii="Book Antiqua" w:hAnsi="Book Antiqua"/>
          <w:sz w:val="26"/>
          <w:szCs w:val="26"/>
        </w:rPr>
        <w:br w:type="page"/>
      </w:r>
    </w:p>
    <w:p w:rsidRPr="0022058F" w:rsidR="00C1241E" w:rsidP="006225AF" w:rsidRDefault="00C1241E" w14:paraId="708B9B90" w14:textId="33DDDAE1">
      <w:pPr>
        <w:pStyle w:val="Heading1"/>
        <w:spacing w:before="0" w:after="0" w:line="240" w:lineRule="auto"/>
        <w:jc w:val="center"/>
        <w:rPr>
          <w:rFonts w:ascii="Arial" w:hAnsi="Arial" w:cs="Arial"/>
          <w:b/>
          <w:bCs/>
          <w:caps/>
          <w:color w:val="auto"/>
          <w:sz w:val="26"/>
          <w:szCs w:val="26"/>
          <w:u w:val="single"/>
        </w:rPr>
      </w:pPr>
      <w:r w:rsidRPr="0022058F">
        <w:rPr>
          <w:rFonts w:ascii="Arial" w:hAnsi="Arial" w:cs="Arial"/>
          <w:b/>
          <w:bCs/>
          <w:color w:val="auto"/>
          <w:sz w:val="26"/>
          <w:szCs w:val="26"/>
          <w:u w:val="single"/>
        </w:rPr>
        <w:lastRenderedPageBreak/>
        <w:t>Definition of Terms</w:t>
      </w:r>
    </w:p>
    <w:p w:rsidRPr="00400112" w:rsidR="00C1241E" w:rsidP="006225AF" w:rsidRDefault="00C1241E" w14:paraId="36DBCE63" w14:textId="77777777">
      <w:pPr>
        <w:spacing w:after="0" w:line="240" w:lineRule="auto"/>
        <w:rPr>
          <w:rFonts w:ascii="Book Antiqua" w:hAnsi="Book Antiqua"/>
          <w:sz w:val="26"/>
          <w:szCs w:val="26"/>
        </w:rPr>
      </w:pPr>
    </w:p>
    <w:p w:rsidRPr="00400112" w:rsidR="00C1241E" w:rsidP="004D7FA2" w:rsidRDefault="00C1241E" w14:paraId="2989752C" w14:textId="3524E1EE">
      <w:pPr>
        <w:spacing w:after="120" w:line="240" w:lineRule="auto"/>
        <w:ind w:left="720" w:hanging="720"/>
        <w:rPr>
          <w:rFonts w:ascii="Book Antiqua" w:hAnsi="Book Antiqua"/>
          <w:sz w:val="26"/>
          <w:szCs w:val="26"/>
        </w:rPr>
      </w:pPr>
      <w:r w:rsidRPr="00400112">
        <w:rPr>
          <w:rFonts w:ascii="Book Antiqua" w:hAnsi="Book Antiqua"/>
          <w:b/>
          <w:bCs/>
          <w:sz w:val="26"/>
          <w:szCs w:val="26"/>
        </w:rPr>
        <w:t>Deregistration Dat</w:t>
      </w:r>
      <w:r w:rsidRPr="00400112" w:rsidR="004D7FA2">
        <w:rPr>
          <w:rFonts w:ascii="Book Antiqua" w:hAnsi="Book Antiqua"/>
          <w:b/>
          <w:bCs/>
          <w:sz w:val="26"/>
          <w:szCs w:val="26"/>
        </w:rPr>
        <w:t xml:space="preserve">e: </w:t>
      </w:r>
      <w:r w:rsidRPr="00400112">
        <w:rPr>
          <w:rFonts w:ascii="Book Antiqua" w:hAnsi="Book Antiqua"/>
          <w:sz w:val="26"/>
          <w:szCs w:val="26"/>
        </w:rPr>
        <w:t>The date upon which the LSE ceases to serve load and transfers its final remaining customers to the POLR.</w:t>
      </w:r>
    </w:p>
    <w:p w:rsidRPr="00400112" w:rsidR="00C1241E" w:rsidP="004D7FA2" w:rsidRDefault="00C1241E" w14:paraId="1960DE39" w14:textId="58D66D1D">
      <w:pPr>
        <w:spacing w:after="120" w:line="240" w:lineRule="auto"/>
        <w:ind w:left="720" w:hanging="720"/>
        <w:rPr>
          <w:rFonts w:ascii="Book Antiqua" w:hAnsi="Book Antiqua"/>
          <w:sz w:val="26"/>
          <w:szCs w:val="26"/>
        </w:rPr>
      </w:pPr>
      <w:r w:rsidRPr="00400112">
        <w:rPr>
          <w:rFonts w:ascii="Book Antiqua" w:hAnsi="Book Antiqua"/>
          <w:b/>
          <w:bCs/>
          <w:sz w:val="26"/>
          <w:szCs w:val="26"/>
        </w:rPr>
        <w:t>Notice of Intent to Deregiste</w:t>
      </w:r>
      <w:r w:rsidRPr="00400112" w:rsidR="004D7FA2">
        <w:rPr>
          <w:rFonts w:ascii="Book Antiqua" w:hAnsi="Book Antiqua"/>
          <w:b/>
          <w:bCs/>
          <w:sz w:val="26"/>
          <w:szCs w:val="26"/>
        </w:rPr>
        <w:t xml:space="preserve">r: </w:t>
      </w:r>
      <w:r w:rsidRPr="00400112">
        <w:rPr>
          <w:rFonts w:ascii="Book Antiqua" w:hAnsi="Book Antiqua"/>
          <w:sz w:val="26"/>
          <w:szCs w:val="26"/>
        </w:rPr>
        <w:t xml:space="preserve">The notice filed to the service list that establishes the date of the CCA’s deregistration. </w:t>
      </w:r>
    </w:p>
    <w:p w:rsidRPr="00400112" w:rsidR="00C1241E" w:rsidP="004D7FA2" w:rsidRDefault="58C3963D" w14:paraId="3439DDE4" w14:textId="62FC2C9E">
      <w:pPr>
        <w:spacing w:after="120" w:line="240" w:lineRule="auto"/>
        <w:ind w:left="720" w:hanging="720"/>
        <w:rPr>
          <w:rFonts w:ascii="Book Antiqua" w:hAnsi="Book Antiqua"/>
          <w:sz w:val="26"/>
          <w:szCs w:val="26"/>
        </w:rPr>
      </w:pPr>
      <w:r w:rsidRPr="00400112">
        <w:rPr>
          <w:rFonts w:ascii="Book Antiqua" w:hAnsi="Book Antiqua"/>
          <w:b/>
          <w:bCs/>
          <w:sz w:val="26"/>
          <w:szCs w:val="26"/>
        </w:rPr>
        <w:t xml:space="preserve">Planned </w:t>
      </w:r>
      <w:r w:rsidRPr="00400112" w:rsidR="67A21513">
        <w:rPr>
          <w:rFonts w:ascii="Book Antiqua" w:hAnsi="Book Antiqua"/>
          <w:b/>
          <w:bCs/>
          <w:sz w:val="26"/>
          <w:szCs w:val="26"/>
        </w:rPr>
        <w:t>Deregistration</w:t>
      </w:r>
      <w:r w:rsidRPr="00400112" w:rsidR="004D7FA2">
        <w:rPr>
          <w:rFonts w:ascii="Book Antiqua" w:hAnsi="Book Antiqua"/>
          <w:b/>
          <w:bCs/>
          <w:sz w:val="26"/>
          <w:szCs w:val="26"/>
        </w:rPr>
        <w:t xml:space="preserve">: </w:t>
      </w:r>
      <w:r w:rsidRPr="00400112" w:rsidR="67A21513">
        <w:rPr>
          <w:rFonts w:ascii="Book Antiqua" w:hAnsi="Book Antiqua"/>
          <w:sz w:val="26"/>
          <w:szCs w:val="26"/>
        </w:rPr>
        <w:t xml:space="preserve">An LSE </w:t>
      </w:r>
      <w:r w:rsidRPr="00400112" w:rsidR="69247476">
        <w:rPr>
          <w:rFonts w:ascii="Book Antiqua" w:hAnsi="Book Antiqua"/>
          <w:sz w:val="26"/>
          <w:szCs w:val="26"/>
        </w:rPr>
        <w:t xml:space="preserve">that provides the Commission </w:t>
      </w:r>
      <w:r w:rsidRPr="00400112" w:rsidR="7E387F2F">
        <w:rPr>
          <w:rFonts w:ascii="Book Antiqua" w:hAnsi="Book Antiqua"/>
          <w:sz w:val="26"/>
          <w:szCs w:val="26"/>
        </w:rPr>
        <w:t xml:space="preserve">and </w:t>
      </w:r>
      <w:r w:rsidRPr="00400112" w:rsidR="65F94524">
        <w:rPr>
          <w:rFonts w:ascii="Book Antiqua" w:hAnsi="Book Antiqua"/>
          <w:sz w:val="26"/>
          <w:szCs w:val="26"/>
        </w:rPr>
        <w:t xml:space="preserve">the </w:t>
      </w:r>
      <w:r w:rsidRPr="00400112" w:rsidR="7E387F2F">
        <w:rPr>
          <w:rFonts w:ascii="Book Antiqua" w:hAnsi="Book Antiqua"/>
          <w:sz w:val="26"/>
          <w:szCs w:val="26"/>
        </w:rPr>
        <w:t xml:space="preserve">POLR </w:t>
      </w:r>
      <w:r w:rsidRPr="00400112" w:rsidR="69247476">
        <w:rPr>
          <w:rFonts w:ascii="Book Antiqua" w:hAnsi="Book Antiqua"/>
          <w:sz w:val="26"/>
          <w:szCs w:val="26"/>
        </w:rPr>
        <w:t xml:space="preserve">with at least </w:t>
      </w:r>
      <w:r w:rsidRPr="00400112" w:rsidR="7E387F2F">
        <w:rPr>
          <w:rFonts w:ascii="Book Antiqua" w:hAnsi="Book Antiqua"/>
          <w:sz w:val="26"/>
          <w:szCs w:val="26"/>
        </w:rPr>
        <w:t xml:space="preserve">six (6) </w:t>
      </w:r>
      <w:r w:rsidRPr="00400112" w:rsidR="65F94524">
        <w:rPr>
          <w:rFonts w:ascii="Book Antiqua" w:hAnsi="Book Antiqua"/>
          <w:sz w:val="26"/>
          <w:szCs w:val="26"/>
        </w:rPr>
        <w:t>months’ notice</w:t>
      </w:r>
      <w:r w:rsidRPr="00400112" w:rsidR="7E387F2F">
        <w:rPr>
          <w:rFonts w:ascii="Book Antiqua" w:hAnsi="Book Antiqua"/>
          <w:sz w:val="26"/>
          <w:szCs w:val="26"/>
        </w:rPr>
        <w:t xml:space="preserve"> prior to de</w:t>
      </w:r>
      <w:r w:rsidRPr="00400112" w:rsidR="65F94524">
        <w:rPr>
          <w:rFonts w:ascii="Book Antiqua" w:hAnsi="Book Antiqua"/>
          <w:sz w:val="26"/>
          <w:szCs w:val="26"/>
        </w:rPr>
        <w:t xml:space="preserve">registering.  </w:t>
      </w:r>
      <w:r w:rsidRPr="00400112" w:rsidR="4FDA8D91">
        <w:rPr>
          <w:rFonts w:ascii="Book Antiqua" w:hAnsi="Book Antiqua"/>
          <w:sz w:val="26"/>
          <w:szCs w:val="26"/>
        </w:rPr>
        <w:t xml:space="preserve">While a minimum of six </w:t>
      </w:r>
      <w:r w:rsidRPr="00400112" w:rsidR="51D4CA2E">
        <w:rPr>
          <w:rFonts w:ascii="Book Antiqua" w:hAnsi="Book Antiqua"/>
          <w:sz w:val="26"/>
          <w:szCs w:val="26"/>
        </w:rPr>
        <w:t>months’ notice</w:t>
      </w:r>
      <w:r w:rsidRPr="00400112" w:rsidR="4FDA8D91">
        <w:rPr>
          <w:rFonts w:ascii="Book Antiqua" w:hAnsi="Book Antiqua"/>
          <w:sz w:val="26"/>
          <w:szCs w:val="26"/>
        </w:rPr>
        <w:t xml:space="preserve"> is required, LSEs who </w:t>
      </w:r>
      <w:r w:rsidRPr="00400112" w:rsidR="516CBCD0">
        <w:rPr>
          <w:rFonts w:ascii="Book Antiqua" w:hAnsi="Book Antiqua"/>
          <w:sz w:val="26"/>
          <w:szCs w:val="26"/>
        </w:rPr>
        <w:t xml:space="preserve">elect to deregister are encouraged to provide </w:t>
      </w:r>
      <w:r w:rsidRPr="00400112" w:rsidR="63146013">
        <w:rPr>
          <w:rFonts w:ascii="Book Antiqua" w:hAnsi="Book Antiqua"/>
          <w:sz w:val="26"/>
          <w:szCs w:val="26"/>
        </w:rPr>
        <w:t>a</w:t>
      </w:r>
      <w:r w:rsidRPr="00400112" w:rsidR="577D090B">
        <w:rPr>
          <w:rFonts w:ascii="Book Antiqua" w:hAnsi="Book Antiqua"/>
          <w:sz w:val="26"/>
          <w:szCs w:val="26"/>
        </w:rPr>
        <w:t>s</w:t>
      </w:r>
      <w:r w:rsidRPr="00400112" w:rsidR="63146013">
        <w:rPr>
          <w:rFonts w:ascii="Book Antiqua" w:hAnsi="Book Antiqua"/>
          <w:sz w:val="26"/>
          <w:szCs w:val="26"/>
        </w:rPr>
        <w:t xml:space="preserve"> much advance notice as possible. </w:t>
      </w:r>
    </w:p>
    <w:p w:rsidRPr="00400112" w:rsidR="00C1241E" w:rsidP="004D7FA2" w:rsidRDefault="00850459" w14:paraId="2B023B9C" w14:textId="4E188F21">
      <w:pPr>
        <w:spacing w:after="120" w:line="240" w:lineRule="auto"/>
        <w:ind w:left="720" w:hanging="720"/>
        <w:rPr>
          <w:rFonts w:ascii="Book Antiqua" w:hAnsi="Book Antiqua"/>
          <w:sz w:val="26"/>
          <w:szCs w:val="26"/>
        </w:rPr>
      </w:pPr>
      <w:r>
        <w:rPr>
          <w:rFonts w:ascii="Book Antiqua" w:hAnsi="Book Antiqua"/>
          <w:b/>
          <w:bCs/>
          <w:sz w:val="26"/>
          <w:szCs w:val="26"/>
        </w:rPr>
        <w:t>Unplanned</w:t>
      </w:r>
      <w:r w:rsidRPr="00400112">
        <w:rPr>
          <w:rFonts w:ascii="Book Antiqua" w:hAnsi="Book Antiqua"/>
          <w:b/>
          <w:bCs/>
          <w:sz w:val="26"/>
          <w:szCs w:val="26"/>
        </w:rPr>
        <w:t xml:space="preserve"> </w:t>
      </w:r>
      <w:r w:rsidRPr="00400112" w:rsidR="00C1241E">
        <w:rPr>
          <w:rFonts w:ascii="Book Antiqua" w:hAnsi="Book Antiqua"/>
          <w:b/>
          <w:bCs/>
          <w:sz w:val="26"/>
          <w:szCs w:val="26"/>
        </w:rPr>
        <w:t>Deregistration</w:t>
      </w:r>
      <w:r w:rsidRPr="00400112" w:rsidR="004D7FA2">
        <w:rPr>
          <w:rFonts w:ascii="Book Antiqua" w:hAnsi="Book Antiqua"/>
          <w:sz w:val="26"/>
          <w:szCs w:val="26"/>
        </w:rPr>
        <w:t xml:space="preserve">: </w:t>
      </w:r>
      <w:r w:rsidRPr="00400112" w:rsidR="00C1241E">
        <w:rPr>
          <w:rFonts w:ascii="Book Antiqua" w:hAnsi="Book Antiqua"/>
          <w:sz w:val="26"/>
          <w:szCs w:val="26"/>
        </w:rPr>
        <w:t xml:space="preserve">An LSE </w:t>
      </w:r>
      <w:r w:rsidR="00C81380">
        <w:rPr>
          <w:rFonts w:ascii="Book Antiqua" w:hAnsi="Book Antiqua"/>
          <w:sz w:val="26"/>
          <w:szCs w:val="26"/>
        </w:rPr>
        <w:t xml:space="preserve">that </w:t>
      </w:r>
      <w:r w:rsidR="00107FBA">
        <w:rPr>
          <w:rFonts w:ascii="Book Antiqua" w:hAnsi="Book Antiqua"/>
          <w:sz w:val="26"/>
          <w:szCs w:val="26"/>
        </w:rPr>
        <w:t xml:space="preserve">voluntarily terminates service </w:t>
      </w:r>
      <w:r w:rsidR="00C81380">
        <w:rPr>
          <w:rFonts w:ascii="Book Antiqua" w:hAnsi="Book Antiqua"/>
          <w:sz w:val="26"/>
          <w:szCs w:val="26"/>
        </w:rPr>
        <w:t xml:space="preserve">and provides </w:t>
      </w:r>
      <w:r w:rsidR="00107FBA">
        <w:rPr>
          <w:rFonts w:ascii="Book Antiqua" w:hAnsi="Book Antiqua"/>
          <w:sz w:val="26"/>
          <w:szCs w:val="26"/>
        </w:rPr>
        <w:t>the Commission and the POLR with less than six (6) months’ notice prior to deregistering.</w:t>
      </w:r>
    </w:p>
    <w:p w:rsidRPr="00400112" w:rsidR="00C1241E" w:rsidP="004D7FA2" w:rsidRDefault="00C1241E" w14:paraId="0FB5A9F7" w14:textId="10CC508F">
      <w:pPr>
        <w:spacing w:after="120" w:line="240" w:lineRule="auto"/>
        <w:ind w:left="720" w:hanging="720"/>
        <w:rPr>
          <w:rFonts w:ascii="Book Antiqua" w:hAnsi="Book Antiqua"/>
          <w:sz w:val="26"/>
          <w:szCs w:val="26"/>
        </w:rPr>
      </w:pPr>
      <w:r w:rsidRPr="00400112">
        <w:rPr>
          <w:rFonts w:ascii="Book Antiqua" w:hAnsi="Book Antiqua"/>
          <w:b/>
          <w:bCs/>
          <w:sz w:val="26"/>
          <w:szCs w:val="26"/>
        </w:rPr>
        <w:t>Deregistration Period</w:t>
      </w:r>
      <w:r w:rsidRPr="00400112" w:rsidR="004D7FA2">
        <w:rPr>
          <w:rFonts w:ascii="Book Antiqua" w:hAnsi="Book Antiqua"/>
          <w:sz w:val="26"/>
          <w:szCs w:val="26"/>
        </w:rPr>
        <w:t xml:space="preserve">: </w:t>
      </w:r>
      <w:r w:rsidRPr="00400112">
        <w:rPr>
          <w:rFonts w:ascii="Book Antiqua" w:hAnsi="Book Antiqua"/>
          <w:sz w:val="26"/>
          <w:szCs w:val="26"/>
        </w:rPr>
        <w:t>The period from when the CCA issues a Notice of Intent to Deregister and the date of their actual deregistration</w:t>
      </w:r>
      <w:r w:rsidRPr="00400112" w:rsidR="001F66AD">
        <w:rPr>
          <w:rFonts w:ascii="Book Antiqua" w:hAnsi="Book Antiqua"/>
          <w:sz w:val="26"/>
          <w:szCs w:val="26"/>
        </w:rPr>
        <w:t>.</w:t>
      </w:r>
    </w:p>
    <w:p w:rsidRPr="00400112" w:rsidR="00C1241E" w:rsidP="004D7FA2" w:rsidRDefault="00C1241E" w14:paraId="7FEAC45F" w14:textId="34EE45A9">
      <w:pPr>
        <w:spacing w:after="120" w:line="240" w:lineRule="auto"/>
        <w:ind w:left="720" w:hanging="720"/>
        <w:rPr>
          <w:rFonts w:ascii="Book Antiqua" w:hAnsi="Book Antiqua"/>
          <w:sz w:val="26"/>
          <w:szCs w:val="26"/>
        </w:rPr>
      </w:pPr>
      <w:r w:rsidRPr="00400112">
        <w:rPr>
          <w:rFonts w:ascii="Book Antiqua" w:hAnsi="Book Antiqua"/>
          <w:b/>
          <w:bCs/>
          <w:sz w:val="26"/>
          <w:szCs w:val="26"/>
        </w:rPr>
        <w:t>Transition Period</w:t>
      </w:r>
      <w:r w:rsidRPr="00400112" w:rsidR="004D7FA2">
        <w:rPr>
          <w:rFonts w:ascii="Book Antiqua" w:hAnsi="Book Antiqua"/>
          <w:b/>
          <w:bCs/>
          <w:sz w:val="26"/>
          <w:szCs w:val="26"/>
        </w:rPr>
        <w:t xml:space="preserve">: </w:t>
      </w:r>
      <w:r w:rsidRPr="00400112">
        <w:rPr>
          <w:rFonts w:ascii="Book Antiqua" w:hAnsi="Book Antiqua"/>
          <w:sz w:val="26"/>
          <w:szCs w:val="26"/>
        </w:rPr>
        <w:t xml:space="preserve">The six-month period that the </w:t>
      </w:r>
      <w:r w:rsidRPr="00400112" w:rsidR="008861E4">
        <w:rPr>
          <w:rFonts w:ascii="Book Antiqua" w:hAnsi="Book Antiqua"/>
          <w:sz w:val="26"/>
          <w:szCs w:val="26"/>
        </w:rPr>
        <w:t>re-entry</w:t>
      </w:r>
      <w:r w:rsidRPr="00400112">
        <w:rPr>
          <w:rFonts w:ascii="Book Antiqua" w:hAnsi="Book Antiqua"/>
          <w:sz w:val="26"/>
          <w:szCs w:val="26"/>
        </w:rPr>
        <w:t xml:space="preserve"> fees are expected to cover. </w:t>
      </w:r>
    </w:p>
    <w:p w:rsidRPr="00BA7D31" w:rsidR="00C1241E" w:rsidP="006225AF" w:rsidRDefault="00C1241E" w14:paraId="6C7C73DC" w14:textId="77777777">
      <w:pPr>
        <w:spacing w:after="0" w:line="240" w:lineRule="auto"/>
        <w:ind w:left="720" w:hanging="720"/>
        <w:rPr>
          <w:rFonts w:ascii="Book Antiqua" w:hAnsi="Book Antiqua"/>
          <w:sz w:val="24"/>
          <w:szCs w:val="24"/>
        </w:rPr>
      </w:pPr>
    </w:p>
    <w:p w:rsidRPr="00BA7D31" w:rsidR="00C1241E" w:rsidP="006225AF" w:rsidRDefault="00C1241E" w14:paraId="7D75A8CB" w14:textId="77777777">
      <w:pPr>
        <w:spacing w:after="0" w:line="240" w:lineRule="auto"/>
        <w:jc w:val="left"/>
        <w:rPr>
          <w:rFonts w:ascii="Book Antiqua" w:hAnsi="Book Antiqua" w:cstheme="minorHAnsi"/>
          <w:sz w:val="24"/>
          <w:szCs w:val="24"/>
        </w:rPr>
      </w:pPr>
    </w:p>
    <w:p w:rsidR="003F5F08" w:rsidP="006225AF" w:rsidRDefault="003F5F08" w14:paraId="0AD4B2C2" w14:textId="77777777">
      <w:pPr>
        <w:spacing w:after="0" w:line="240" w:lineRule="auto"/>
        <w:rPr>
          <w:rFonts w:ascii="Book Antiqua" w:hAnsi="Book Antiqua"/>
        </w:rPr>
        <w:sectPr w:rsidR="003F5F08" w:rsidSect="00AB02E1">
          <w:headerReference w:type="default" r:id="rId13"/>
          <w:footerReference w:type="default" r:id="rId14"/>
          <w:pgSz w:w="12240" w:h="15840"/>
          <w:pgMar w:top="1440" w:right="1440" w:bottom="1440" w:left="1440" w:header="720" w:footer="720" w:gutter="0"/>
          <w:pgNumType w:start="1"/>
          <w:cols w:space="720"/>
          <w:docGrid w:linePitch="360"/>
        </w:sectPr>
      </w:pPr>
    </w:p>
    <w:p w:rsidR="003F5F08" w:rsidP="003F5F08" w:rsidRDefault="003F5F08" w14:paraId="6E264150" w14:textId="77777777">
      <w:pPr>
        <w:spacing w:after="0" w:line="360" w:lineRule="auto"/>
        <w:jc w:val="center"/>
        <w:rPr>
          <w:rFonts w:ascii="Book Antiqua" w:hAnsi="Book Antiqua"/>
          <w:b/>
          <w:bCs/>
          <w:sz w:val="26"/>
          <w:szCs w:val="26"/>
        </w:rPr>
      </w:pPr>
    </w:p>
    <w:p w:rsidR="003F5F08" w:rsidP="003F5F08" w:rsidRDefault="003F5F08" w14:paraId="4CA47FE4" w14:textId="77777777">
      <w:pPr>
        <w:spacing w:after="0" w:line="360" w:lineRule="auto"/>
        <w:jc w:val="center"/>
        <w:rPr>
          <w:rFonts w:ascii="Book Antiqua" w:hAnsi="Book Antiqua"/>
          <w:b/>
          <w:bCs/>
          <w:sz w:val="26"/>
          <w:szCs w:val="26"/>
        </w:rPr>
      </w:pPr>
    </w:p>
    <w:p w:rsidRPr="00CB2156" w:rsidR="003F5F08" w:rsidP="003F5F08" w:rsidRDefault="003F5F08" w14:paraId="5DCB21F9" w14:textId="77777777">
      <w:pPr>
        <w:spacing w:after="0" w:line="360" w:lineRule="auto"/>
        <w:jc w:val="center"/>
        <w:rPr>
          <w:rFonts w:ascii="Book Antiqua" w:hAnsi="Book Antiqua"/>
          <w:b/>
          <w:bCs/>
          <w:sz w:val="26"/>
          <w:szCs w:val="26"/>
        </w:rPr>
      </w:pPr>
      <w:r>
        <w:rPr>
          <w:rFonts w:ascii="Book Antiqua" w:hAnsi="Book Antiqua"/>
          <w:b/>
          <w:bCs/>
          <w:sz w:val="26"/>
          <w:szCs w:val="26"/>
        </w:rPr>
        <w:t>(END OF ATTACHMENT A)</w:t>
      </w:r>
    </w:p>
    <w:p w:rsidRPr="00BA7D31" w:rsidR="00C1241E" w:rsidP="006225AF" w:rsidRDefault="00C1241E" w14:paraId="790E5E72" w14:textId="77777777">
      <w:pPr>
        <w:spacing w:after="0" w:line="240" w:lineRule="auto"/>
        <w:rPr>
          <w:rFonts w:ascii="Book Antiqua" w:hAnsi="Book Antiqua"/>
        </w:rPr>
      </w:pPr>
    </w:p>
    <w:sectPr w:rsidRPr="00BA7D31" w:rsidR="00C1241E" w:rsidSect="00AB02E1">
      <w:headerReference w:type="default" r:id="rId15"/>
      <w:footerReference w:type="default" r:id="rId16"/>
      <w:pgSz w:w="12240" w:h="15840"/>
      <w:pgMar w:top="1728"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2AAEC" w14:textId="77777777" w:rsidR="00AB02E1" w:rsidRDefault="00AB02E1" w:rsidP="00C1241E">
      <w:pPr>
        <w:spacing w:after="0" w:line="240" w:lineRule="auto"/>
      </w:pPr>
      <w:r>
        <w:separator/>
      </w:r>
    </w:p>
  </w:endnote>
  <w:endnote w:type="continuationSeparator" w:id="0">
    <w:p w14:paraId="04D96C06" w14:textId="77777777" w:rsidR="00AB02E1" w:rsidRDefault="00AB02E1" w:rsidP="00C1241E">
      <w:pPr>
        <w:spacing w:after="0" w:line="240" w:lineRule="auto"/>
      </w:pPr>
      <w:r>
        <w:continuationSeparator/>
      </w:r>
    </w:p>
  </w:endnote>
  <w:endnote w:type="continuationNotice" w:id="1">
    <w:p w14:paraId="5DCAE258" w14:textId="77777777" w:rsidR="00AB02E1" w:rsidRDefault="00AB0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CFE9" w14:textId="21EA0DC5" w:rsidR="008B5B01" w:rsidRDefault="008B5B01" w:rsidP="003F5F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66708"/>
      <w:docPartObj>
        <w:docPartGallery w:val="Page Numbers (Bottom of Page)"/>
        <w:docPartUnique/>
      </w:docPartObj>
    </w:sdtPr>
    <w:sdtEndPr>
      <w:rPr>
        <w:rFonts w:ascii="Book Antiqua" w:hAnsi="Book Antiqua"/>
        <w:noProof/>
      </w:rPr>
    </w:sdtEndPr>
    <w:sdtContent>
      <w:p w14:paraId="6170D6C8" w14:textId="77777777" w:rsidR="003F5F08" w:rsidRPr="00F40EFA" w:rsidRDefault="003F5F08">
        <w:pPr>
          <w:pStyle w:val="Footer"/>
          <w:jc w:val="center"/>
          <w:rPr>
            <w:rFonts w:ascii="Book Antiqua" w:hAnsi="Book Antiqua"/>
          </w:rPr>
        </w:pPr>
        <w:r w:rsidRPr="00F40EFA">
          <w:rPr>
            <w:rFonts w:ascii="Book Antiqua" w:hAnsi="Book Antiqua"/>
            <w:color w:val="2B579A"/>
            <w:shd w:val="clear" w:color="auto" w:fill="E6E6E6"/>
          </w:rPr>
          <w:fldChar w:fldCharType="begin"/>
        </w:r>
        <w:r w:rsidRPr="00F40EFA">
          <w:rPr>
            <w:rFonts w:ascii="Book Antiqua" w:hAnsi="Book Antiqua"/>
          </w:rPr>
          <w:instrText xml:space="preserve"> PAGE   \* MERGEFORMAT </w:instrText>
        </w:r>
        <w:r w:rsidRPr="00F40EFA">
          <w:rPr>
            <w:rFonts w:ascii="Book Antiqua" w:hAnsi="Book Antiqua"/>
            <w:color w:val="2B579A"/>
            <w:shd w:val="clear" w:color="auto" w:fill="E6E6E6"/>
          </w:rPr>
          <w:fldChar w:fldCharType="separate"/>
        </w:r>
        <w:r w:rsidRPr="00F40EFA">
          <w:rPr>
            <w:rFonts w:ascii="Book Antiqua" w:hAnsi="Book Antiqua"/>
            <w:noProof/>
          </w:rPr>
          <w:t>2</w:t>
        </w:r>
        <w:r w:rsidRPr="00F40EFA">
          <w:rPr>
            <w:rFonts w:ascii="Book Antiqua" w:hAnsi="Book Antiqua"/>
            <w:color w:val="2B579A"/>
            <w:shd w:val="clear" w:color="auto" w:fill="E6E6E6"/>
          </w:rPr>
          <w:fldChar w:fldCharType="end"/>
        </w:r>
      </w:p>
    </w:sdtContent>
  </w:sdt>
  <w:p w14:paraId="40ECA673" w14:textId="77777777" w:rsidR="003F5F08" w:rsidRDefault="003F5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CA88" w14:textId="77777777" w:rsidR="00253A8B" w:rsidRDefault="00253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D7A8C" w14:textId="77777777" w:rsidR="00AB02E1" w:rsidRDefault="00AB02E1" w:rsidP="00C1241E">
      <w:pPr>
        <w:spacing w:after="0" w:line="240" w:lineRule="auto"/>
      </w:pPr>
      <w:r>
        <w:separator/>
      </w:r>
    </w:p>
  </w:footnote>
  <w:footnote w:type="continuationSeparator" w:id="0">
    <w:p w14:paraId="71C9D75A" w14:textId="77777777" w:rsidR="00AB02E1" w:rsidRDefault="00AB02E1" w:rsidP="00C1241E">
      <w:pPr>
        <w:spacing w:after="0" w:line="240" w:lineRule="auto"/>
      </w:pPr>
      <w:r>
        <w:continuationSeparator/>
      </w:r>
    </w:p>
  </w:footnote>
  <w:footnote w:type="continuationNotice" w:id="1">
    <w:p w14:paraId="24883A08" w14:textId="77777777" w:rsidR="00AB02E1" w:rsidRDefault="00AB02E1">
      <w:pPr>
        <w:spacing w:after="0" w:line="240" w:lineRule="auto"/>
      </w:pPr>
    </w:p>
  </w:footnote>
  <w:footnote w:id="2">
    <w:p w14:paraId="659EE48F" w14:textId="77777777" w:rsidR="00C1241E" w:rsidRPr="0039334F" w:rsidRDefault="00C1241E" w:rsidP="00C1241E">
      <w:pPr>
        <w:pStyle w:val="FootnoteText"/>
        <w:rPr>
          <w:rFonts w:ascii="Garamond" w:hAnsi="Garamond"/>
        </w:rPr>
      </w:pPr>
      <w:r w:rsidRPr="0039334F">
        <w:rPr>
          <w:rStyle w:val="FootnoteReference"/>
          <w:rFonts w:ascii="Garamond" w:hAnsi="Garamond"/>
        </w:rPr>
        <w:footnoteRef/>
      </w:r>
      <w:r w:rsidRPr="0039334F">
        <w:rPr>
          <w:rFonts w:ascii="Garamond" w:hAnsi="Garamond"/>
        </w:rPr>
        <w:t xml:space="preserve"> </w:t>
      </w:r>
      <w:r>
        <w:rPr>
          <w:rFonts w:ascii="Garamond" w:hAnsi="Garamond"/>
        </w:rPr>
        <w:t>2023 RA Filing Guide can be found at:</w:t>
      </w:r>
      <w:r w:rsidRPr="0039334F">
        <w:rPr>
          <w:rFonts w:ascii="Garamond" w:hAnsi="Garamond"/>
        </w:rPr>
        <w:t xml:space="preserve"> </w:t>
      </w:r>
      <w:hyperlink r:id="rId1" w:history="1">
        <w:r w:rsidRPr="0039334F">
          <w:rPr>
            <w:rStyle w:val="Hyperlink"/>
            <w:rFonts w:ascii="Garamond" w:hAnsi="Garamond"/>
          </w:rPr>
          <w:t>final-2023-ra-guide-clean-93022.pdf (ca.gov)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E4DF" w14:textId="29B38533" w:rsidR="008B5B01" w:rsidRDefault="003F5F08">
    <w:pPr>
      <w:pStyle w:val="Header"/>
      <w:rPr>
        <w:rFonts w:ascii="Book Antiqua" w:eastAsia="Calibri" w:hAnsi="Book Antiqua" w:cs="Times New Roman"/>
        <w:sz w:val="26"/>
        <w:szCs w:val="26"/>
      </w:rPr>
    </w:pPr>
    <w:r w:rsidRPr="003F5F08">
      <w:rPr>
        <w:rFonts w:ascii="Book Antiqua" w:eastAsia="Calibri" w:hAnsi="Book Antiqua" w:cs="Times New Roman"/>
        <w:sz w:val="26"/>
        <w:szCs w:val="26"/>
      </w:rPr>
      <w:t>R.21-03-011  COM/DH7/jnf</w:t>
    </w:r>
  </w:p>
  <w:p w14:paraId="28BF1BEE" w14:textId="77777777" w:rsidR="003F5F08" w:rsidRPr="003F5F08" w:rsidRDefault="003F5F08">
    <w:pPr>
      <w:pStyle w:val="Head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3F5F08" w14:paraId="4B68D1ED" w14:textId="77777777" w:rsidTr="00B772D4">
      <w:tc>
        <w:tcPr>
          <w:tcW w:w="3120" w:type="dxa"/>
        </w:tcPr>
        <w:p w14:paraId="67E2F520" w14:textId="77777777" w:rsidR="003F5F08" w:rsidRDefault="003F5F08" w:rsidP="00B772D4">
          <w:pPr>
            <w:pStyle w:val="Header"/>
            <w:ind w:left="-115"/>
            <w:jc w:val="left"/>
          </w:pPr>
        </w:p>
      </w:tc>
      <w:tc>
        <w:tcPr>
          <w:tcW w:w="3120" w:type="dxa"/>
        </w:tcPr>
        <w:p w14:paraId="08E2BBF9" w14:textId="77777777" w:rsidR="003F5F08" w:rsidRDefault="003F5F08" w:rsidP="00B772D4">
          <w:pPr>
            <w:pStyle w:val="Header"/>
            <w:jc w:val="center"/>
          </w:pPr>
        </w:p>
      </w:tc>
      <w:tc>
        <w:tcPr>
          <w:tcW w:w="3120" w:type="dxa"/>
        </w:tcPr>
        <w:p w14:paraId="7D51EFC8" w14:textId="77777777" w:rsidR="003F5F08" w:rsidRDefault="003F5F08" w:rsidP="00B772D4">
          <w:pPr>
            <w:pStyle w:val="Header"/>
            <w:ind w:right="-115"/>
            <w:jc w:val="right"/>
          </w:pPr>
        </w:p>
      </w:tc>
    </w:tr>
  </w:tbl>
  <w:p w14:paraId="0F4A5E1F" w14:textId="77777777" w:rsidR="003F5F08" w:rsidRDefault="003F5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3269F" w14:textId="77777777" w:rsidR="00253A8B" w:rsidRDefault="00000000">
    <w:pPr>
      <w:pStyle w:val="Header"/>
    </w:pPr>
    <w:r w:rsidRPr="00CB2156">
      <w:rPr>
        <w:rFonts w:ascii="Book Antiqua" w:eastAsia="Calibri" w:hAnsi="Book Antiqua" w:cs="Times New Roman"/>
        <w:sz w:val="26"/>
      </w:rPr>
      <w:t>R.21-03-011  COM/DH7/jnf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B66"/>
    <w:multiLevelType w:val="hybridMultilevel"/>
    <w:tmpl w:val="28E2D8C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4A1772"/>
    <w:multiLevelType w:val="multilevel"/>
    <w:tmpl w:val="6882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85F46"/>
    <w:multiLevelType w:val="multilevel"/>
    <w:tmpl w:val="8F4258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6645C8"/>
    <w:multiLevelType w:val="hybridMultilevel"/>
    <w:tmpl w:val="7060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85131"/>
    <w:multiLevelType w:val="hybridMultilevel"/>
    <w:tmpl w:val="2280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3111E"/>
    <w:multiLevelType w:val="multilevel"/>
    <w:tmpl w:val="9F224B6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6" w15:restartNumberingAfterBreak="0">
    <w:nsid w:val="1C8A23F3"/>
    <w:multiLevelType w:val="hybridMultilevel"/>
    <w:tmpl w:val="D36C8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F7644E"/>
    <w:multiLevelType w:val="hybridMultilevel"/>
    <w:tmpl w:val="CFCEB432"/>
    <w:lvl w:ilvl="0" w:tplc="A91658EE">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F1BA7"/>
    <w:multiLevelType w:val="hybridMultilevel"/>
    <w:tmpl w:val="FFFFFFFF"/>
    <w:lvl w:ilvl="0" w:tplc="7F6E08B4">
      <w:start w:val="1"/>
      <w:numFmt w:val="bullet"/>
      <w:lvlText w:val=""/>
      <w:lvlJc w:val="left"/>
      <w:pPr>
        <w:ind w:left="720" w:hanging="360"/>
      </w:pPr>
      <w:rPr>
        <w:rFonts w:ascii="Symbol" w:hAnsi="Symbol" w:hint="default"/>
      </w:rPr>
    </w:lvl>
    <w:lvl w:ilvl="1" w:tplc="2A8A54AC">
      <w:start w:val="1"/>
      <w:numFmt w:val="bullet"/>
      <w:lvlText w:val="o"/>
      <w:lvlJc w:val="left"/>
      <w:pPr>
        <w:ind w:left="1440" w:hanging="360"/>
      </w:pPr>
      <w:rPr>
        <w:rFonts w:ascii="Courier New" w:hAnsi="Courier New" w:hint="default"/>
      </w:rPr>
    </w:lvl>
    <w:lvl w:ilvl="2" w:tplc="A4609F66">
      <w:start w:val="1"/>
      <w:numFmt w:val="bullet"/>
      <w:lvlText w:val=""/>
      <w:lvlJc w:val="left"/>
      <w:pPr>
        <w:ind w:left="2160" w:hanging="360"/>
      </w:pPr>
      <w:rPr>
        <w:rFonts w:ascii="Wingdings" w:hAnsi="Wingdings" w:hint="default"/>
      </w:rPr>
    </w:lvl>
    <w:lvl w:ilvl="3" w:tplc="859C2E32">
      <w:start w:val="1"/>
      <w:numFmt w:val="bullet"/>
      <w:lvlText w:val=""/>
      <w:lvlJc w:val="left"/>
      <w:pPr>
        <w:ind w:left="2880" w:hanging="360"/>
      </w:pPr>
      <w:rPr>
        <w:rFonts w:ascii="Symbol" w:hAnsi="Symbol" w:hint="default"/>
      </w:rPr>
    </w:lvl>
    <w:lvl w:ilvl="4" w:tplc="C3423CF4">
      <w:start w:val="1"/>
      <w:numFmt w:val="bullet"/>
      <w:lvlText w:val="o"/>
      <w:lvlJc w:val="left"/>
      <w:pPr>
        <w:ind w:left="3600" w:hanging="360"/>
      </w:pPr>
      <w:rPr>
        <w:rFonts w:ascii="Courier New" w:hAnsi="Courier New" w:hint="default"/>
      </w:rPr>
    </w:lvl>
    <w:lvl w:ilvl="5" w:tplc="F0327590">
      <w:start w:val="1"/>
      <w:numFmt w:val="bullet"/>
      <w:lvlText w:val=""/>
      <w:lvlJc w:val="left"/>
      <w:pPr>
        <w:ind w:left="4320" w:hanging="360"/>
      </w:pPr>
      <w:rPr>
        <w:rFonts w:ascii="Wingdings" w:hAnsi="Wingdings" w:hint="default"/>
      </w:rPr>
    </w:lvl>
    <w:lvl w:ilvl="6" w:tplc="8DA4542E">
      <w:start w:val="1"/>
      <w:numFmt w:val="bullet"/>
      <w:lvlText w:val=""/>
      <w:lvlJc w:val="left"/>
      <w:pPr>
        <w:ind w:left="5040" w:hanging="360"/>
      </w:pPr>
      <w:rPr>
        <w:rFonts w:ascii="Symbol" w:hAnsi="Symbol" w:hint="default"/>
      </w:rPr>
    </w:lvl>
    <w:lvl w:ilvl="7" w:tplc="ECD66F34">
      <w:start w:val="1"/>
      <w:numFmt w:val="bullet"/>
      <w:lvlText w:val="o"/>
      <w:lvlJc w:val="left"/>
      <w:pPr>
        <w:ind w:left="5760" w:hanging="360"/>
      </w:pPr>
      <w:rPr>
        <w:rFonts w:ascii="Courier New" w:hAnsi="Courier New" w:hint="default"/>
      </w:rPr>
    </w:lvl>
    <w:lvl w:ilvl="8" w:tplc="9B86F9C0">
      <w:start w:val="1"/>
      <w:numFmt w:val="bullet"/>
      <w:lvlText w:val=""/>
      <w:lvlJc w:val="left"/>
      <w:pPr>
        <w:ind w:left="6480" w:hanging="360"/>
      </w:pPr>
      <w:rPr>
        <w:rFonts w:ascii="Wingdings" w:hAnsi="Wingdings" w:hint="default"/>
      </w:rPr>
    </w:lvl>
  </w:abstractNum>
  <w:abstractNum w:abstractNumId="9" w15:restartNumberingAfterBreak="0">
    <w:nsid w:val="3E4924B8"/>
    <w:multiLevelType w:val="hybridMultilevel"/>
    <w:tmpl w:val="BA5E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D31A1"/>
    <w:multiLevelType w:val="hybridMultilevel"/>
    <w:tmpl w:val="FFFFFFFF"/>
    <w:lvl w:ilvl="0" w:tplc="77BA75E4">
      <w:start w:val="1"/>
      <w:numFmt w:val="bullet"/>
      <w:lvlText w:val=""/>
      <w:lvlJc w:val="left"/>
      <w:pPr>
        <w:ind w:left="720" w:hanging="360"/>
      </w:pPr>
      <w:rPr>
        <w:rFonts w:ascii="Symbol" w:hAnsi="Symbol" w:hint="default"/>
      </w:rPr>
    </w:lvl>
    <w:lvl w:ilvl="1" w:tplc="325662FA">
      <w:start w:val="1"/>
      <w:numFmt w:val="bullet"/>
      <w:lvlText w:val="o"/>
      <w:lvlJc w:val="left"/>
      <w:pPr>
        <w:ind w:left="1440" w:hanging="360"/>
      </w:pPr>
      <w:rPr>
        <w:rFonts w:ascii="Courier New" w:hAnsi="Courier New" w:hint="default"/>
      </w:rPr>
    </w:lvl>
    <w:lvl w:ilvl="2" w:tplc="86C80C6A">
      <w:start w:val="1"/>
      <w:numFmt w:val="bullet"/>
      <w:lvlText w:val=""/>
      <w:lvlJc w:val="left"/>
      <w:pPr>
        <w:ind w:left="2160" w:hanging="360"/>
      </w:pPr>
      <w:rPr>
        <w:rFonts w:ascii="Wingdings" w:hAnsi="Wingdings" w:hint="default"/>
      </w:rPr>
    </w:lvl>
    <w:lvl w:ilvl="3" w:tplc="B81EEEA2">
      <w:start w:val="1"/>
      <w:numFmt w:val="bullet"/>
      <w:lvlText w:val=""/>
      <w:lvlJc w:val="left"/>
      <w:pPr>
        <w:ind w:left="2880" w:hanging="360"/>
      </w:pPr>
      <w:rPr>
        <w:rFonts w:ascii="Symbol" w:hAnsi="Symbol" w:hint="default"/>
      </w:rPr>
    </w:lvl>
    <w:lvl w:ilvl="4" w:tplc="636A4E7A">
      <w:start w:val="1"/>
      <w:numFmt w:val="bullet"/>
      <w:lvlText w:val="o"/>
      <w:lvlJc w:val="left"/>
      <w:pPr>
        <w:ind w:left="3600" w:hanging="360"/>
      </w:pPr>
      <w:rPr>
        <w:rFonts w:ascii="Courier New" w:hAnsi="Courier New" w:hint="default"/>
      </w:rPr>
    </w:lvl>
    <w:lvl w:ilvl="5" w:tplc="041CFF3A">
      <w:start w:val="1"/>
      <w:numFmt w:val="bullet"/>
      <w:lvlText w:val=""/>
      <w:lvlJc w:val="left"/>
      <w:pPr>
        <w:ind w:left="4320" w:hanging="360"/>
      </w:pPr>
      <w:rPr>
        <w:rFonts w:ascii="Wingdings" w:hAnsi="Wingdings" w:hint="default"/>
      </w:rPr>
    </w:lvl>
    <w:lvl w:ilvl="6" w:tplc="21C4D37A">
      <w:start w:val="1"/>
      <w:numFmt w:val="bullet"/>
      <w:lvlText w:val=""/>
      <w:lvlJc w:val="left"/>
      <w:pPr>
        <w:ind w:left="5040" w:hanging="360"/>
      </w:pPr>
      <w:rPr>
        <w:rFonts w:ascii="Symbol" w:hAnsi="Symbol" w:hint="default"/>
      </w:rPr>
    </w:lvl>
    <w:lvl w:ilvl="7" w:tplc="90BAAE3E">
      <w:start w:val="1"/>
      <w:numFmt w:val="bullet"/>
      <w:lvlText w:val="o"/>
      <w:lvlJc w:val="left"/>
      <w:pPr>
        <w:ind w:left="5760" w:hanging="360"/>
      </w:pPr>
      <w:rPr>
        <w:rFonts w:ascii="Courier New" w:hAnsi="Courier New" w:hint="default"/>
      </w:rPr>
    </w:lvl>
    <w:lvl w:ilvl="8" w:tplc="07EA0CB2">
      <w:start w:val="1"/>
      <w:numFmt w:val="bullet"/>
      <w:lvlText w:val=""/>
      <w:lvlJc w:val="left"/>
      <w:pPr>
        <w:ind w:left="6480" w:hanging="360"/>
      </w:pPr>
      <w:rPr>
        <w:rFonts w:ascii="Wingdings" w:hAnsi="Wingdings" w:hint="default"/>
      </w:rPr>
    </w:lvl>
  </w:abstractNum>
  <w:abstractNum w:abstractNumId="11" w15:restartNumberingAfterBreak="0">
    <w:nsid w:val="48162BCF"/>
    <w:multiLevelType w:val="hybridMultilevel"/>
    <w:tmpl w:val="C53AB4F2"/>
    <w:lvl w:ilvl="0" w:tplc="030674F4">
      <w:start w:val="1"/>
      <w:numFmt w:val="bullet"/>
      <w:lvlText w:val=""/>
      <w:lvlJc w:val="left"/>
      <w:pPr>
        <w:tabs>
          <w:tab w:val="num" w:pos="1080"/>
        </w:tabs>
        <w:ind w:left="720" w:hanging="360"/>
      </w:pPr>
      <w:rPr>
        <w:rFonts w:ascii="Symbol" w:hAnsi="Symbol" w:hint="default"/>
        <w:sz w:val="20"/>
      </w:rPr>
    </w:lvl>
    <w:lvl w:ilvl="1" w:tplc="122CA580">
      <w:start w:val="1"/>
      <w:numFmt w:val="bullet"/>
      <w:lvlText w:val="o"/>
      <w:lvlJc w:val="left"/>
      <w:pPr>
        <w:tabs>
          <w:tab w:val="num" w:pos="1800"/>
        </w:tabs>
        <w:ind w:left="1440" w:hanging="360"/>
      </w:pPr>
      <w:rPr>
        <w:rFonts w:ascii="Courier New" w:hAnsi="Courier New" w:hint="default"/>
        <w:sz w:val="20"/>
      </w:rPr>
    </w:lvl>
    <w:lvl w:ilvl="2" w:tplc="C4487644" w:tentative="1">
      <w:start w:val="1"/>
      <w:numFmt w:val="bullet"/>
      <w:lvlText w:val=""/>
      <w:lvlJc w:val="left"/>
      <w:pPr>
        <w:tabs>
          <w:tab w:val="num" w:pos="2520"/>
        </w:tabs>
        <w:ind w:left="2160" w:hanging="360"/>
      </w:pPr>
      <w:rPr>
        <w:rFonts w:ascii="Wingdings" w:hAnsi="Wingdings" w:hint="default"/>
        <w:sz w:val="20"/>
      </w:rPr>
    </w:lvl>
    <w:lvl w:ilvl="3" w:tplc="7AAEDBDC" w:tentative="1">
      <w:start w:val="1"/>
      <w:numFmt w:val="bullet"/>
      <w:lvlText w:val=""/>
      <w:lvlJc w:val="left"/>
      <w:pPr>
        <w:tabs>
          <w:tab w:val="num" w:pos="3240"/>
        </w:tabs>
        <w:ind w:left="2880" w:hanging="360"/>
      </w:pPr>
      <w:rPr>
        <w:rFonts w:ascii="Symbol" w:hAnsi="Symbol" w:hint="default"/>
        <w:sz w:val="20"/>
      </w:rPr>
    </w:lvl>
    <w:lvl w:ilvl="4" w:tplc="18DC0C46" w:tentative="1">
      <w:start w:val="1"/>
      <w:numFmt w:val="bullet"/>
      <w:lvlText w:val="o"/>
      <w:lvlJc w:val="left"/>
      <w:pPr>
        <w:tabs>
          <w:tab w:val="num" w:pos="3960"/>
        </w:tabs>
        <w:ind w:left="3600" w:hanging="360"/>
      </w:pPr>
      <w:rPr>
        <w:rFonts w:ascii="Courier New" w:hAnsi="Courier New" w:hint="default"/>
        <w:sz w:val="20"/>
      </w:rPr>
    </w:lvl>
    <w:lvl w:ilvl="5" w:tplc="56B283A4" w:tentative="1">
      <w:start w:val="1"/>
      <w:numFmt w:val="bullet"/>
      <w:lvlText w:val=""/>
      <w:lvlJc w:val="left"/>
      <w:pPr>
        <w:tabs>
          <w:tab w:val="num" w:pos="4680"/>
        </w:tabs>
        <w:ind w:left="4320" w:hanging="360"/>
      </w:pPr>
      <w:rPr>
        <w:rFonts w:ascii="Wingdings" w:hAnsi="Wingdings" w:hint="default"/>
        <w:sz w:val="20"/>
      </w:rPr>
    </w:lvl>
    <w:lvl w:ilvl="6" w:tplc="9440CB58" w:tentative="1">
      <w:start w:val="1"/>
      <w:numFmt w:val="bullet"/>
      <w:lvlText w:val=""/>
      <w:lvlJc w:val="left"/>
      <w:pPr>
        <w:tabs>
          <w:tab w:val="num" w:pos="5400"/>
        </w:tabs>
        <w:ind w:left="5040" w:hanging="360"/>
      </w:pPr>
      <w:rPr>
        <w:rFonts w:ascii="Symbol" w:hAnsi="Symbol" w:hint="default"/>
        <w:sz w:val="20"/>
      </w:rPr>
    </w:lvl>
    <w:lvl w:ilvl="7" w:tplc="7C6231CC" w:tentative="1">
      <w:start w:val="1"/>
      <w:numFmt w:val="bullet"/>
      <w:lvlText w:val="o"/>
      <w:lvlJc w:val="left"/>
      <w:pPr>
        <w:tabs>
          <w:tab w:val="num" w:pos="6120"/>
        </w:tabs>
        <w:ind w:left="5760" w:hanging="360"/>
      </w:pPr>
      <w:rPr>
        <w:rFonts w:ascii="Courier New" w:hAnsi="Courier New" w:hint="default"/>
        <w:sz w:val="20"/>
      </w:rPr>
    </w:lvl>
    <w:lvl w:ilvl="8" w:tplc="ADF05250" w:tentative="1">
      <w:start w:val="1"/>
      <w:numFmt w:val="bullet"/>
      <w:lvlText w:val=""/>
      <w:lvlJc w:val="left"/>
      <w:pPr>
        <w:tabs>
          <w:tab w:val="num" w:pos="6840"/>
        </w:tabs>
        <w:ind w:left="6480" w:hanging="360"/>
      </w:pPr>
      <w:rPr>
        <w:rFonts w:ascii="Wingdings" w:hAnsi="Wingdings" w:hint="default"/>
        <w:sz w:val="20"/>
      </w:rPr>
    </w:lvl>
  </w:abstractNum>
  <w:abstractNum w:abstractNumId="12" w15:restartNumberingAfterBreak="0">
    <w:nsid w:val="491448BE"/>
    <w:multiLevelType w:val="hybridMultilevel"/>
    <w:tmpl w:val="FFFFFFFF"/>
    <w:lvl w:ilvl="0" w:tplc="88BE50F2">
      <w:start w:val="1"/>
      <w:numFmt w:val="bullet"/>
      <w:lvlText w:val=""/>
      <w:lvlJc w:val="left"/>
      <w:pPr>
        <w:ind w:left="720" w:hanging="360"/>
      </w:pPr>
      <w:rPr>
        <w:rFonts w:ascii="Symbol" w:hAnsi="Symbol" w:hint="default"/>
      </w:rPr>
    </w:lvl>
    <w:lvl w:ilvl="1" w:tplc="EAE6F9D6">
      <w:start w:val="1"/>
      <w:numFmt w:val="bullet"/>
      <w:lvlText w:val="o"/>
      <w:lvlJc w:val="left"/>
      <w:pPr>
        <w:ind w:left="1440" w:hanging="360"/>
      </w:pPr>
      <w:rPr>
        <w:rFonts w:ascii="Courier New" w:hAnsi="Courier New" w:hint="default"/>
      </w:rPr>
    </w:lvl>
    <w:lvl w:ilvl="2" w:tplc="3998F3FA">
      <w:start w:val="1"/>
      <w:numFmt w:val="bullet"/>
      <w:lvlText w:val=""/>
      <w:lvlJc w:val="left"/>
      <w:pPr>
        <w:ind w:left="2160" w:hanging="360"/>
      </w:pPr>
      <w:rPr>
        <w:rFonts w:ascii="Wingdings" w:hAnsi="Wingdings" w:hint="default"/>
      </w:rPr>
    </w:lvl>
    <w:lvl w:ilvl="3" w:tplc="88F8148C">
      <w:start w:val="1"/>
      <w:numFmt w:val="bullet"/>
      <w:lvlText w:val=""/>
      <w:lvlJc w:val="left"/>
      <w:pPr>
        <w:ind w:left="2880" w:hanging="360"/>
      </w:pPr>
      <w:rPr>
        <w:rFonts w:ascii="Symbol" w:hAnsi="Symbol" w:hint="default"/>
      </w:rPr>
    </w:lvl>
    <w:lvl w:ilvl="4" w:tplc="C04E078A">
      <w:start w:val="1"/>
      <w:numFmt w:val="bullet"/>
      <w:lvlText w:val="o"/>
      <w:lvlJc w:val="left"/>
      <w:pPr>
        <w:ind w:left="3600" w:hanging="360"/>
      </w:pPr>
      <w:rPr>
        <w:rFonts w:ascii="Courier New" w:hAnsi="Courier New" w:hint="default"/>
      </w:rPr>
    </w:lvl>
    <w:lvl w:ilvl="5" w:tplc="736C95A6">
      <w:start w:val="1"/>
      <w:numFmt w:val="bullet"/>
      <w:lvlText w:val=""/>
      <w:lvlJc w:val="left"/>
      <w:pPr>
        <w:ind w:left="4320" w:hanging="360"/>
      </w:pPr>
      <w:rPr>
        <w:rFonts w:ascii="Wingdings" w:hAnsi="Wingdings" w:hint="default"/>
      </w:rPr>
    </w:lvl>
    <w:lvl w:ilvl="6" w:tplc="82FCA664">
      <w:start w:val="1"/>
      <w:numFmt w:val="bullet"/>
      <w:lvlText w:val=""/>
      <w:lvlJc w:val="left"/>
      <w:pPr>
        <w:ind w:left="5040" w:hanging="360"/>
      </w:pPr>
      <w:rPr>
        <w:rFonts w:ascii="Symbol" w:hAnsi="Symbol" w:hint="default"/>
      </w:rPr>
    </w:lvl>
    <w:lvl w:ilvl="7" w:tplc="EA22B38C">
      <w:start w:val="1"/>
      <w:numFmt w:val="bullet"/>
      <w:lvlText w:val="o"/>
      <w:lvlJc w:val="left"/>
      <w:pPr>
        <w:ind w:left="5760" w:hanging="360"/>
      </w:pPr>
      <w:rPr>
        <w:rFonts w:ascii="Courier New" w:hAnsi="Courier New" w:hint="default"/>
      </w:rPr>
    </w:lvl>
    <w:lvl w:ilvl="8" w:tplc="87E6F546">
      <w:start w:val="1"/>
      <w:numFmt w:val="bullet"/>
      <w:lvlText w:val=""/>
      <w:lvlJc w:val="left"/>
      <w:pPr>
        <w:ind w:left="6480" w:hanging="360"/>
      </w:pPr>
      <w:rPr>
        <w:rFonts w:ascii="Wingdings" w:hAnsi="Wingdings" w:hint="default"/>
      </w:rPr>
    </w:lvl>
  </w:abstractNum>
  <w:abstractNum w:abstractNumId="13" w15:restartNumberingAfterBreak="0">
    <w:nsid w:val="5408AA3D"/>
    <w:multiLevelType w:val="hybridMultilevel"/>
    <w:tmpl w:val="5E1A9540"/>
    <w:lvl w:ilvl="0" w:tplc="47E484E6">
      <w:start w:val="1"/>
      <w:numFmt w:val="bullet"/>
      <w:lvlText w:val="o"/>
      <w:lvlJc w:val="left"/>
      <w:pPr>
        <w:ind w:left="1080" w:hanging="360"/>
      </w:pPr>
      <w:rPr>
        <w:rFonts w:ascii="Courier New" w:hAnsi="Courier New" w:hint="default"/>
      </w:rPr>
    </w:lvl>
    <w:lvl w:ilvl="1" w:tplc="ECC29762">
      <w:start w:val="1"/>
      <w:numFmt w:val="bullet"/>
      <w:lvlText w:val="o"/>
      <w:lvlJc w:val="left"/>
      <w:pPr>
        <w:ind w:left="1800" w:hanging="360"/>
      </w:pPr>
      <w:rPr>
        <w:rFonts w:ascii="Courier New" w:hAnsi="Courier New" w:hint="default"/>
      </w:rPr>
    </w:lvl>
    <w:lvl w:ilvl="2" w:tplc="129684D6">
      <w:start w:val="1"/>
      <w:numFmt w:val="bullet"/>
      <w:lvlText w:val=""/>
      <w:lvlJc w:val="left"/>
      <w:pPr>
        <w:ind w:left="2520" w:hanging="360"/>
      </w:pPr>
      <w:rPr>
        <w:rFonts w:ascii="Wingdings" w:hAnsi="Wingdings" w:hint="default"/>
      </w:rPr>
    </w:lvl>
    <w:lvl w:ilvl="3" w:tplc="9E7A4EB6">
      <w:start w:val="1"/>
      <w:numFmt w:val="bullet"/>
      <w:lvlText w:val=""/>
      <w:lvlJc w:val="left"/>
      <w:pPr>
        <w:ind w:left="3240" w:hanging="360"/>
      </w:pPr>
      <w:rPr>
        <w:rFonts w:ascii="Symbol" w:hAnsi="Symbol" w:hint="default"/>
      </w:rPr>
    </w:lvl>
    <w:lvl w:ilvl="4" w:tplc="0E206270">
      <w:start w:val="1"/>
      <w:numFmt w:val="bullet"/>
      <w:lvlText w:val="o"/>
      <w:lvlJc w:val="left"/>
      <w:pPr>
        <w:ind w:left="3960" w:hanging="360"/>
      </w:pPr>
      <w:rPr>
        <w:rFonts w:ascii="Courier New" w:hAnsi="Courier New" w:hint="default"/>
      </w:rPr>
    </w:lvl>
    <w:lvl w:ilvl="5" w:tplc="E5802124">
      <w:start w:val="1"/>
      <w:numFmt w:val="bullet"/>
      <w:lvlText w:val=""/>
      <w:lvlJc w:val="left"/>
      <w:pPr>
        <w:ind w:left="4680" w:hanging="360"/>
      </w:pPr>
      <w:rPr>
        <w:rFonts w:ascii="Wingdings" w:hAnsi="Wingdings" w:hint="default"/>
      </w:rPr>
    </w:lvl>
    <w:lvl w:ilvl="6" w:tplc="CC067720">
      <w:start w:val="1"/>
      <w:numFmt w:val="bullet"/>
      <w:lvlText w:val=""/>
      <w:lvlJc w:val="left"/>
      <w:pPr>
        <w:ind w:left="5400" w:hanging="360"/>
      </w:pPr>
      <w:rPr>
        <w:rFonts w:ascii="Symbol" w:hAnsi="Symbol" w:hint="default"/>
      </w:rPr>
    </w:lvl>
    <w:lvl w:ilvl="7" w:tplc="88FE03FA">
      <w:start w:val="1"/>
      <w:numFmt w:val="bullet"/>
      <w:lvlText w:val="o"/>
      <w:lvlJc w:val="left"/>
      <w:pPr>
        <w:ind w:left="6120" w:hanging="360"/>
      </w:pPr>
      <w:rPr>
        <w:rFonts w:ascii="Courier New" w:hAnsi="Courier New" w:hint="default"/>
      </w:rPr>
    </w:lvl>
    <w:lvl w:ilvl="8" w:tplc="FF0E5FA6">
      <w:start w:val="1"/>
      <w:numFmt w:val="bullet"/>
      <w:lvlText w:val=""/>
      <w:lvlJc w:val="left"/>
      <w:pPr>
        <w:ind w:left="6840" w:hanging="360"/>
      </w:pPr>
      <w:rPr>
        <w:rFonts w:ascii="Wingdings" w:hAnsi="Wingdings" w:hint="default"/>
      </w:rPr>
    </w:lvl>
  </w:abstractNum>
  <w:abstractNum w:abstractNumId="14" w15:restartNumberingAfterBreak="0">
    <w:nsid w:val="55724572"/>
    <w:multiLevelType w:val="hybridMultilevel"/>
    <w:tmpl w:val="FFFFFFFF"/>
    <w:lvl w:ilvl="0" w:tplc="B532EB32">
      <w:start w:val="1"/>
      <w:numFmt w:val="bullet"/>
      <w:lvlText w:val=""/>
      <w:lvlJc w:val="left"/>
      <w:pPr>
        <w:ind w:left="1080" w:hanging="360"/>
      </w:pPr>
      <w:rPr>
        <w:rFonts w:ascii="Symbol" w:hAnsi="Symbol" w:hint="default"/>
      </w:rPr>
    </w:lvl>
    <w:lvl w:ilvl="1" w:tplc="A57C0CA4">
      <w:start w:val="1"/>
      <w:numFmt w:val="bullet"/>
      <w:lvlText w:val="o"/>
      <w:lvlJc w:val="left"/>
      <w:pPr>
        <w:ind w:left="1800" w:hanging="360"/>
      </w:pPr>
      <w:rPr>
        <w:rFonts w:ascii="Courier New" w:hAnsi="Courier New" w:hint="default"/>
      </w:rPr>
    </w:lvl>
    <w:lvl w:ilvl="2" w:tplc="64E628DA">
      <w:start w:val="1"/>
      <w:numFmt w:val="bullet"/>
      <w:lvlText w:val=""/>
      <w:lvlJc w:val="left"/>
      <w:pPr>
        <w:ind w:left="2520" w:hanging="360"/>
      </w:pPr>
      <w:rPr>
        <w:rFonts w:ascii="Wingdings" w:hAnsi="Wingdings" w:hint="default"/>
      </w:rPr>
    </w:lvl>
    <w:lvl w:ilvl="3" w:tplc="AAA86458">
      <w:start w:val="1"/>
      <w:numFmt w:val="bullet"/>
      <w:lvlText w:val=""/>
      <w:lvlJc w:val="left"/>
      <w:pPr>
        <w:ind w:left="3240" w:hanging="360"/>
      </w:pPr>
      <w:rPr>
        <w:rFonts w:ascii="Symbol" w:hAnsi="Symbol" w:hint="default"/>
      </w:rPr>
    </w:lvl>
    <w:lvl w:ilvl="4" w:tplc="1174E18C">
      <w:start w:val="1"/>
      <w:numFmt w:val="bullet"/>
      <w:lvlText w:val="o"/>
      <w:lvlJc w:val="left"/>
      <w:pPr>
        <w:ind w:left="3960" w:hanging="360"/>
      </w:pPr>
      <w:rPr>
        <w:rFonts w:ascii="Courier New" w:hAnsi="Courier New" w:hint="default"/>
      </w:rPr>
    </w:lvl>
    <w:lvl w:ilvl="5" w:tplc="41D87A0C">
      <w:start w:val="1"/>
      <w:numFmt w:val="bullet"/>
      <w:lvlText w:val=""/>
      <w:lvlJc w:val="left"/>
      <w:pPr>
        <w:ind w:left="4680" w:hanging="360"/>
      </w:pPr>
      <w:rPr>
        <w:rFonts w:ascii="Wingdings" w:hAnsi="Wingdings" w:hint="default"/>
      </w:rPr>
    </w:lvl>
    <w:lvl w:ilvl="6" w:tplc="A890053A">
      <w:start w:val="1"/>
      <w:numFmt w:val="bullet"/>
      <w:lvlText w:val=""/>
      <w:lvlJc w:val="left"/>
      <w:pPr>
        <w:ind w:left="5400" w:hanging="360"/>
      </w:pPr>
      <w:rPr>
        <w:rFonts w:ascii="Symbol" w:hAnsi="Symbol" w:hint="default"/>
      </w:rPr>
    </w:lvl>
    <w:lvl w:ilvl="7" w:tplc="F21A608A">
      <w:start w:val="1"/>
      <w:numFmt w:val="bullet"/>
      <w:lvlText w:val="o"/>
      <w:lvlJc w:val="left"/>
      <w:pPr>
        <w:ind w:left="6120" w:hanging="360"/>
      </w:pPr>
      <w:rPr>
        <w:rFonts w:ascii="Courier New" w:hAnsi="Courier New" w:hint="default"/>
      </w:rPr>
    </w:lvl>
    <w:lvl w:ilvl="8" w:tplc="F8D47AD8">
      <w:start w:val="1"/>
      <w:numFmt w:val="bullet"/>
      <w:lvlText w:val=""/>
      <w:lvlJc w:val="left"/>
      <w:pPr>
        <w:ind w:left="6840" w:hanging="360"/>
      </w:pPr>
      <w:rPr>
        <w:rFonts w:ascii="Wingdings" w:hAnsi="Wingdings" w:hint="default"/>
      </w:rPr>
    </w:lvl>
  </w:abstractNum>
  <w:abstractNum w:abstractNumId="15" w15:restartNumberingAfterBreak="0">
    <w:nsid w:val="56D861BE"/>
    <w:multiLevelType w:val="hybridMultilevel"/>
    <w:tmpl w:val="00E6F660"/>
    <w:lvl w:ilvl="0" w:tplc="78885570">
      <w:start w:val="1"/>
      <w:numFmt w:val="bullet"/>
      <w:lvlText w:val=""/>
      <w:lvlJc w:val="left"/>
      <w:pPr>
        <w:ind w:left="1440" w:hanging="360"/>
      </w:pPr>
      <w:rPr>
        <w:rFonts w:ascii="Symbol" w:hAnsi="Symbol" w:hint="default"/>
      </w:rPr>
    </w:lvl>
    <w:lvl w:ilvl="1" w:tplc="FCCA8DFA">
      <w:start w:val="1"/>
      <w:numFmt w:val="bullet"/>
      <w:lvlText w:val="o"/>
      <w:lvlJc w:val="left"/>
      <w:pPr>
        <w:ind w:left="2160" w:hanging="360"/>
      </w:pPr>
      <w:rPr>
        <w:rFonts w:ascii="Courier New" w:hAnsi="Courier New" w:hint="default"/>
      </w:rPr>
    </w:lvl>
    <w:lvl w:ilvl="2" w:tplc="24A89914" w:tentative="1">
      <w:start w:val="1"/>
      <w:numFmt w:val="bullet"/>
      <w:lvlText w:val=""/>
      <w:lvlJc w:val="left"/>
      <w:pPr>
        <w:ind w:left="2880" w:hanging="360"/>
      </w:pPr>
      <w:rPr>
        <w:rFonts w:ascii="Wingdings" w:hAnsi="Wingdings" w:hint="default"/>
      </w:rPr>
    </w:lvl>
    <w:lvl w:ilvl="3" w:tplc="0C1A7C1C" w:tentative="1">
      <w:start w:val="1"/>
      <w:numFmt w:val="bullet"/>
      <w:lvlText w:val=""/>
      <w:lvlJc w:val="left"/>
      <w:pPr>
        <w:ind w:left="3600" w:hanging="360"/>
      </w:pPr>
      <w:rPr>
        <w:rFonts w:ascii="Symbol" w:hAnsi="Symbol" w:hint="default"/>
      </w:rPr>
    </w:lvl>
    <w:lvl w:ilvl="4" w:tplc="99862640" w:tentative="1">
      <w:start w:val="1"/>
      <w:numFmt w:val="bullet"/>
      <w:lvlText w:val="o"/>
      <w:lvlJc w:val="left"/>
      <w:pPr>
        <w:ind w:left="4320" w:hanging="360"/>
      </w:pPr>
      <w:rPr>
        <w:rFonts w:ascii="Courier New" w:hAnsi="Courier New" w:hint="default"/>
      </w:rPr>
    </w:lvl>
    <w:lvl w:ilvl="5" w:tplc="D37E44E8" w:tentative="1">
      <w:start w:val="1"/>
      <w:numFmt w:val="bullet"/>
      <w:lvlText w:val=""/>
      <w:lvlJc w:val="left"/>
      <w:pPr>
        <w:ind w:left="5040" w:hanging="360"/>
      </w:pPr>
      <w:rPr>
        <w:rFonts w:ascii="Wingdings" w:hAnsi="Wingdings" w:hint="default"/>
      </w:rPr>
    </w:lvl>
    <w:lvl w:ilvl="6" w:tplc="DC0E8A90" w:tentative="1">
      <w:start w:val="1"/>
      <w:numFmt w:val="bullet"/>
      <w:lvlText w:val=""/>
      <w:lvlJc w:val="left"/>
      <w:pPr>
        <w:ind w:left="5760" w:hanging="360"/>
      </w:pPr>
      <w:rPr>
        <w:rFonts w:ascii="Symbol" w:hAnsi="Symbol" w:hint="default"/>
      </w:rPr>
    </w:lvl>
    <w:lvl w:ilvl="7" w:tplc="587A9884" w:tentative="1">
      <w:start w:val="1"/>
      <w:numFmt w:val="bullet"/>
      <w:lvlText w:val="o"/>
      <w:lvlJc w:val="left"/>
      <w:pPr>
        <w:ind w:left="6480" w:hanging="360"/>
      </w:pPr>
      <w:rPr>
        <w:rFonts w:ascii="Courier New" w:hAnsi="Courier New" w:hint="default"/>
      </w:rPr>
    </w:lvl>
    <w:lvl w:ilvl="8" w:tplc="9FD07A36" w:tentative="1">
      <w:start w:val="1"/>
      <w:numFmt w:val="bullet"/>
      <w:lvlText w:val=""/>
      <w:lvlJc w:val="left"/>
      <w:pPr>
        <w:ind w:left="7200" w:hanging="360"/>
      </w:pPr>
      <w:rPr>
        <w:rFonts w:ascii="Wingdings" w:hAnsi="Wingdings" w:hint="default"/>
      </w:rPr>
    </w:lvl>
  </w:abstractNum>
  <w:abstractNum w:abstractNumId="16" w15:restartNumberingAfterBreak="0">
    <w:nsid w:val="68C34773"/>
    <w:multiLevelType w:val="hybridMultilevel"/>
    <w:tmpl w:val="9384B060"/>
    <w:lvl w:ilvl="0" w:tplc="09A07AEE">
      <w:start w:val="1"/>
      <w:numFmt w:val="decimal"/>
      <w:lvlText w:val="%1."/>
      <w:lvlJc w:val="left"/>
      <w:pPr>
        <w:tabs>
          <w:tab w:val="num" w:pos="1080"/>
        </w:tabs>
        <w:ind w:left="360" w:hanging="360"/>
      </w:pPr>
      <w:rPr>
        <w:rFonts w:ascii="Arial" w:hAnsi="Arial" w:cs="Arial" w:hint="default"/>
        <w:sz w:val="26"/>
        <w:szCs w:val="26"/>
      </w:rPr>
    </w:lvl>
    <w:lvl w:ilvl="1" w:tplc="C7106AFE">
      <w:start w:val="1"/>
      <w:numFmt w:val="lowerLetter"/>
      <w:lvlText w:val="%2."/>
      <w:lvlJc w:val="left"/>
      <w:pPr>
        <w:tabs>
          <w:tab w:val="num" w:pos="1800"/>
        </w:tabs>
        <w:ind w:left="1080" w:hanging="360"/>
      </w:pPr>
      <w:rPr>
        <w:sz w:val="20"/>
      </w:rPr>
    </w:lvl>
    <w:lvl w:ilvl="2" w:tplc="FDD6B5D0" w:tentative="1">
      <w:start w:val="1"/>
      <w:numFmt w:val="lowerRoman"/>
      <w:lvlText w:val="%3."/>
      <w:lvlJc w:val="right"/>
      <w:pPr>
        <w:tabs>
          <w:tab w:val="num" w:pos="2520"/>
        </w:tabs>
        <w:ind w:left="1800" w:hanging="180"/>
      </w:pPr>
      <w:rPr>
        <w:sz w:val="20"/>
      </w:rPr>
    </w:lvl>
    <w:lvl w:ilvl="3" w:tplc="8360694E" w:tentative="1">
      <w:start w:val="1"/>
      <w:numFmt w:val="decimal"/>
      <w:lvlText w:val="%4."/>
      <w:lvlJc w:val="left"/>
      <w:pPr>
        <w:tabs>
          <w:tab w:val="num" w:pos="3240"/>
        </w:tabs>
        <w:ind w:left="2520" w:hanging="360"/>
      </w:pPr>
      <w:rPr>
        <w:sz w:val="20"/>
      </w:rPr>
    </w:lvl>
    <w:lvl w:ilvl="4" w:tplc="300C8A4A" w:tentative="1">
      <w:start w:val="1"/>
      <w:numFmt w:val="lowerLetter"/>
      <w:lvlText w:val="%5."/>
      <w:lvlJc w:val="left"/>
      <w:pPr>
        <w:tabs>
          <w:tab w:val="num" w:pos="3960"/>
        </w:tabs>
        <w:ind w:left="3240" w:hanging="360"/>
      </w:pPr>
      <w:rPr>
        <w:sz w:val="20"/>
      </w:rPr>
    </w:lvl>
    <w:lvl w:ilvl="5" w:tplc="C082C71A" w:tentative="1">
      <w:start w:val="1"/>
      <w:numFmt w:val="lowerRoman"/>
      <w:lvlText w:val="%6."/>
      <w:lvlJc w:val="right"/>
      <w:pPr>
        <w:tabs>
          <w:tab w:val="num" w:pos="4680"/>
        </w:tabs>
        <w:ind w:left="3960" w:hanging="180"/>
      </w:pPr>
      <w:rPr>
        <w:sz w:val="20"/>
      </w:rPr>
    </w:lvl>
    <w:lvl w:ilvl="6" w:tplc="E6D2A7C2" w:tentative="1">
      <w:start w:val="1"/>
      <w:numFmt w:val="decimal"/>
      <w:lvlText w:val="%7."/>
      <w:lvlJc w:val="left"/>
      <w:pPr>
        <w:tabs>
          <w:tab w:val="num" w:pos="5400"/>
        </w:tabs>
        <w:ind w:left="4680" w:hanging="360"/>
      </w:pPr>
      <w:rPr>
        <w:sz w:val="20"/>
      </w:rPr>
    </w:lvl>
    <w:lvl w:ilvl="7" w:tplc="6CD21CD2" w:tentative="1">
      <w:start w:val="1"/>
      <w:numFmt w:val="lowerLetter"/>
      <w:lvlText w:val="%8."/>
      <w:lvlJc w:val="left"/>
      <w:pPr>
        <w:tabs>
          <w:tab w:val="num" w:pos="6120"/>
        </w:tabs>
        <w:ind w:left="5400" w:hanging="360"/>
      </w:pPr>
      <w:rPr>
        <w:sz w:val="20"/>
      </w:rPr>
    </w:lvl>
    <w:lvl w:ilvl="8" w:tplc="1478A624" w:tentative="1">
      <w:start w:val="1"/>
      <w:numFmt w:val="lowerRoman"/>
      <w:lvlText w:val="%9."/>
      <w:lvlJc w:val="right"/>
      <w:pPr>
        <w:tabs>
          <w:tab w:val="num" w:pos="6840"/>
        </w:tabs>
        <w:ind w:left="6120" w:hanging="180"/>
      </w:pPr>
      <w:rPr>
        <w:sz w:val="20"/>
      </w:rPr>
    </w:lvl>
  </w:abstractNum>
  <w:abstractNum w:abstractNumId="17" w15:restartNumberingAfterBreak="0">
    <w:nsid w:val="7A125C6E"/>
    <w:multiLevelType w:val="hybridMultilevel"/>
    <w:tmpl w:val="FFFFFFFF"/>
    <w:lvl w:ilvl="0" w:tplc="26D4F1CC">
      <w:start w:val="1"/>
      <w:numFmt w:val="lowerLetter"/>
      <w:lvlText w:val="(%1)"/>
      <w:lvlJc w:val="left"/>
      <w:pPr>
        <w:ind w:left="1080" w:hanging="360"/>
      </w:pPr>
    </w:lvl>
    <w:lvl w:ilvl="1" w:tplc="D65E5CB2">
      <w:start w:val="1"/>
      <w:numFmt w:val="lowerLetter"/>
      <w:lvlText w:val="%2."/>
      <w:lvlJc w:val="left"/>
      <w:pPr>
        <w:ind w:left="1800" w:hanging="360"/>
      </w:pPr>
    </w:lvl>
    <w:lvl w:ilvl="2" w:tplc="B6A0A278">
      <w:start w:val="1"/>
      <w:numFmt w:val="lowerRoman"/>
      <w:lvlText w:val="%3."/>
      <w:lvlJc w:val="right"/>
      <w:pPr>
        <w:ind w:left="2520" w:hanging="180"/>
      </w:pPr>
    </w:lvl>
    <w:lvl w:ilvl="3" w:tplc="5F023C00">
      <w:start w:val="1"/>
      <w:numFmt w:val="decimal"/>
      <w:lvlText w:val="%4."/>
      <w:lvlJc w:val="left"/>
      <w:pPr>
        <w:ind w:left="3240" w:hanging="360"/>
      </w:pPr>
    </w:lvl>
    <w:lvl w:ilvl="4" w:tplc="459E4E10">
      <w:start w:val="1"/>
      <w:numFmt w:val="lowerLetter"/>
      <w:lvlText w:val="%5."/>
      <w:lvlJc w:val="left"/>
      <w:pPr>
        <w:ind w:left="3960" w:hanging="360"/>
      </w:pPr>
    </w:lvl>
    <w:lvl w:ilvl="5" w:tplc="2F064684">
      <w:start w:val="1"/>
      <w:numFmt w:val="lowerRoman"/>
      <w:lvlText w:val="%6."/>
      <w:lvlJc w:val="right"/>
      <w:pPr>
        <w:ind w:left="4680" w:hanging="180"/>
      </w:pPr>
    </w:lvl>
    <w:lvl w:ilvl="6" w:tplc="8744E612">
      <w:start w:val="1"/>
      <w:numFmt w:val="decimal"/>
      <w:lvlText w:val="%7."/>
      <w:lvlJc w:val="left"/>
      <w:pPr>
        <w:ind w:left="5400" w:hanging="360"/>
      </w:pPr>
    </w:lvl>
    <w:lvl w:ilvl="7" w:tplc="CB76E2AC">
      <w:start w:val="1"/>
      <w:numFmt w:val="lowerLetter"/>
      <w:lvlText w:val="%8."/>
      <w:lvlJc w:val="left"/>
      <w:pPr>
        <w:ind w:left="6120" w:hanging="360"/>
      </w:pPr>
    </w:lvl>
    <w:lvl w:ilvl="8" w:tplc="8F2292F8">
      <w:start w:val="1"/>
      <w:numFmt w:val="lowerRoman"/>
      <w:lvlText w:val="%9."/>
      <w:lvlJc w:val="right"/>
      <w:pPr>
        <w:ind w:left="6840" w:hanging="180"/>
      </w:pPr>
    </w:lvl>
  </w:abstractNum>
  <w:abstractNum w:abstractNumId="18" w15:restartNumberingAfterBreak="0">
    <w:nsid w:val="7CE4FBAA"/>
    <w:multiLevelType w:val="hybridMultilevel"/>
    <w:tmpl w:val="9A761A4C"/>
    <w:lvl w:ilvl="0" w:tplc="D5BC1468">
      <w:start w:val="1"/>
      <w:numFmt w:val="bullet"/>
      <w:lvlText w:val="o"/>
      <w:lvlJc w:val="left"/>
      <w:pPr>
        <w:ind w:left="1440" w:hanging="360"/>
      </w:pPr>
      <w:rPr>
        <w:rFonts w:ascii="Courier New" w:hAnsi="Courier New" w:hint="default"/>
      </w:rPr>
    </w:lvl>
    <w:lvl w:ilvl="1" w:tplc="35989806">
      <w:start w:val="1"/>
      <w:numFmt w:val="bullet"/>
      <w:lvlText w:val="o"/>
      <w:lvlJc w:val="left"/>
      <w:pPr>
        <w:ind w:left="2160" w:hanging="360"/>
      </w:pPr>
      <w:rPr>
        <w:rFonts w:ascii="Courier New" w:hAnsi="Courier New" w:hint="default"/>
      </w:rPr>
    </w:lvl>
    <w:lvl w:ilvl="2" w:tplc="9E583ACE">
      <w:start w:val="1"/>
      <w:numFmt w:val="bullet"/>
      <w:lvlText w:val=""/>
      <w:lvlJc w:val="left"/>
      <w:pPr>
        <w:ind w:left="2880" w:hanging="360"/>
      </w:pPr>
      <w:rPr>
        <w:rFonts w:ascii="Wingdings" w:hAnsi="Wingdings" w:hint="default"/>
      </w:rPr>
    </w:lvl>
    <w:lvl w:ilvl="3" w:tplc="81EE2B84">
      <w:start w:val="1"/>
      <w:numFmt w:val="bullet"/>
      <w:lvlText w:val=""/>
      <w:lvlJc w:val="left"/>
      <w:pPr>
        <w:ind w:left="3600" w:hanging="360"/>
      </w:pPr>
      <w:rPr>
        <w:rFonts w:ascii="Symbol" w:hAnsi="Symbol" w:hint="default"/>
      </w:rPr>
    </w:lvl>
    <w:lvl w:ilvl="4" w:tplc="D46E2F94">
      <w:start w:val="1"/>
      <w:numFmt w:val="bullet"/>
      <w:lvlText w:val="o"/>
      <w:lvlJc w:val="left"/>
      <w:pPr>
        <w:ind w:left="4320" w:hanging="360"/>
      </w:pPr>
      <w:rPr>
        <w:rFonts w:ascii="Courier New" w:hAnsi="Courier New" w:hint="default"/>
      </w:rPr>
    </w:lvl>
    <w:lvl w:ilvl="5" w:tplc="C5748FF2">
      <w:start w:val="1"/>
      <w:numFmt w:val="bullet"/>
      <w:lvlText w:val=""/>
      <w:lvlJc w:val="left"/>
      <w:pPr>
        <w:ind w:left="5040" w:hanging="360"/>
      </w:pPr>
      <w:rPr>
        <w:rFonts w:ascii="Wingdings" w:hAnsi="Wingdings" w:hint="default"/>
      </w:rPr>
    </w:lvl>
    <w:lvl w:ilvl="6" w:tplc="CE1A343E">
      <w:start w:val="1"/>
      <w:numFmt w:val="bullet"/>
      <w:lvlText w:val=""/>
      <w:lvlJc w:val="left"/>
      <w:pPr>
        <w:ind w:left="5760" w:hanging="360"/>
      </w:pPr>
      <w:rPr>
        <w:rFonts w:ascii="Symbol" w:hAnsi="Symbol" w:hint="default"/>
      </w:rPr>
    </w:lvl>
    <w:lvl w:ilvl="7" w:tplc="97ECA948">
      <w:start w:val="1"/>
      <w:numFmt w:val="bullet"/>
      <w:lvlText w:val="o"/>
      <w:lvlJc w:val="left"/>
      <w:pPr>
        <w:ind w:left="6480" w:hanging="360"/>
      </w:pPr>
      <w:rPr>
        <w:rFonts w:ascii="Courier New" w:hAnsi="Courier New" w:hint="default"/>
      </w:rPr>
    </w:lvl>
    <w:lvl w:ilvl="8" w:tplc="981AAD8A">
      <w:start w:val="1"/>
      <w:numFmt w:val="bullet"/>
      <w:lvlText w:val=""/>
      <w:lvlJc w:val="left"/>
      <w:pPr>
        <w:ind w:left="7200" w:hanging="360"/>
      </w:pPr>
      <w:rPr>
        <w:rFonts w:ascii="Wingdings" w:hAnsi="Wingdings" w:hint="default"/>
      </w:rPr>
    </w:lvl>
  </w:abstractNum>
  <w:abstractNum w:abstractNumId="19" w15:restartNumberingAfterBreak="0">
    <w:nsid w:val="7D10BF1F"/>
    <w:multiLevelType w:val="hybridMultilevel"/>
    <w:tmpl w:val="252EA366"/>
    <w:lvl w:ilvl="0" w:tplc="1360AED8">
      <w:start w:val="1"/>
      <w:numFmt w:val="bullet"/>
      <w:lvlText w:val=""/>
      <w:lvlJc w:val="left"/>
      <w:pPr>
        <w:ind w:left="720" w:hanging="360"/>
      </w:pPr>
      <w:rPr>
        <w:rFonts w:ascii="Symbol" w:hAnsi="Symbol" w:hint="default"/>
      </w:rPr>
    </w:lvl>
    <w:lvl w:ilvl="1" w:tplc="15F0E508">
      <w:start w:val="1"/>
      <w:numFmt w:val="bullet"/>
      <w:lvlText w:val="o"/>
      <w:lvlJc w:val="left"/>
      <w:pPr>
        <w:ind w:left="1440" w:hanging="360"/>
      </w:pPr>
      <w:rPr>
        <w:rFonts w:ascii="Courier New" w:hAnsi="Courier New" w:hint="default"/>
      </w:rPr>
    </w:lvl>
    <w:lvl w:ilvl="2" w:tplc="F418ECB4">
      <w:start w:val="1"/>
      <w:numFmt w:val="bullet"/>
      <w:lvlText w:val=""/>
      <w:lvlJc w:val="left"/>
      <w:pPr>
        <w:ind w:left="2160" w:hanging="360"/>
      </w:pPr>
      <w:rPr>
        <w:rFonts w:ascii="Wingdings" w:hAnsi="Wingdings" w:hint="default"/>
      </w:rPr>
    </w:lvl>
    <w:lvl w:ilvl="3" w:tplc="7EBA2C14">
      <w:start w:val="1"/>
      <w:numFmt w:val="bullet"/>
      <w:lvlText w:val=""/>
      <w:lvlJc w:val="left"/>
      <w:pPr>
        <w:ind w:left="2880" w:hanging="360"/>
      </w:pPr>
      <w:rPr>
        <w:rFonts w:ascii="Symbol" w:hAnsi="Symbol" w:hint="default"/>
      </w:rPr>
    </w:lvl>
    <w:lvl w:ilvl="4" w:tplc="4074F186">
      <w:start w:val="1"/>
      <w:numFmt w:val="bullet"/>
      <w:lvlText w:val="o"/>
      <w:lvlJc w:val="left"/>
      <w:pPr>
        <w:ind w:left="3600" w:hanging="360"/>
      </w:pPr>
      <w:rPr>
        <w:rFonts w:ascii="Courier New" w:hAnsi="Courier New" w:hint="default"/>
      </w:rPr>
    </w:lvl>
    <w:lvl w:ilvl="5" w:tplc="5FBAE424">
      <w:start w:val="1"/>
      <w:numFmt w:val="bullet"/>
      <w:lvlText w:val=""/>
      <w:lvlJc w:val="left"/>
      <w:pPr>
        <w:ind w:left="4320" w:hanging="360"/>
      </w:pPr>
      <w:rPr>
        <w:rFonts w:ascii="Wingdings" w:hAnsi="Wingdings" w:hint="default"/>
      </w:rPr>
    </w:lvl>
    <w:lvl w:ilvl="6" w:tplc="CEBC797E">
      <w:start w:val="1"/>
      <w:numFmt w:val="bullet"/>
      <w:lvlText w:val=""/>
      <w:lvlJc w:val="left"/>
      <w:pPr>
        <w:ind w:left="5040" w:hanging="360"/>
      </w:pPr>
      <w:rPr>
        <w:rFonts w:ascii="Symbol" w:hAnsi="Symbol" w:hint="default"/>
      </w:rPr>
    </w:lvl>
    <w:lvl w:ilvl="7" w:tplc="3CDAD6C4">
      <w:start w:val="1"/>
      <w:numFmt w:val="bullet"/>
      <w:lvlText w:val="o"/>
      <w:lvlJc w:val="left"/>
      <w:pPr>
        <w:ind w:left="5760" w:hanging="360"/>
      </w:pPr>
      <w:rPr>
        <w:rFonts w:ascii="Courier New" w:hAnsi="Courier New" w:hint="default"/>
      </w:rPr>
    </w:lvl>
    <w:lvl w:ilvl="8" w:tplc="9D8A425E">
      <w:start w:val="1"/>
      <w:numFmt w:val="bullet"/>
      <w:lvlText w:val=""/>
      <w:lvlJc w:val="left"/>
      <w:pPr>
        <w:ind w:left="6480" w:hanging="360"/>
      </w:pPr>
      <w:rPr>
        <w:rFonts w:ascii="Wingdings" w:hAnsi="Wingdings" w:hint="default"/>
      </w:rPr>
    </w:lvl>
  </w:abstractNum>
  <w:num w:numId="1" w16cid:durableId="1609119052">
    <w:abstractNumId w:val="7"/>
  </w:num>
  <w:num w:numId="2" w16cid:durableId="1535119361">
    <w:abstractNumId w:val="1"/>
  </w:num>
  <w:num w:numId="3" w16cid:durableId="983506613">
    <w:abstractNumId w:val="5"/>
  </w:num>
  <w:num w:numId="4" w16cid:durableId="948270255">
    <w:abstractNumId w:val="2"/>
  </w:num>
  <w:num w:numId="5" w16cid:durableId="1067534734">
    <w:abstractNumId w:val="11"/>
  </w:num>
  <w:num w:numId="6" w16cid:durableId="354431">
    <w:abstractNumId w:val="16"/>
  </w:num>
  <w:num w:numId="7" w16cid:durableId="591620485">
    <w:abstractNumId w:val="14"/>
  </w:num>
  <w:num w:numId="8" w16cid:durableId="1607078204">
    <w:abstractNumId w:val="10"/>
  </w:num>
  <w:num w:numId="9" w16cid:durableId="1338775938">
    <w:abstractNumId w:val="17"/>
  </w:num>
  <w:num w:numId="10" w16cid:durableId="1158888986">
    <w:abstractNumId w:val="12"/>
  </w:num>
  <w:num w:numId="11" w16cid:durableId="796678510">
    <w:abstractNumId w:val="3"/>
  </w:num>
  <w:num w:numId="12" w16cid:durableId="301271356">
    <w:abstractNumId w:val="4"/>
  </w:num>
  <w:num w:numId="13" w16cid:durableId="2112628936">
    <w:abstractNumId w:val="15"/>
  </w:num>
  <w:num w:numId="14" w16cid:durableId="1121923181">
    <w:abstractNumId w:val="0"/>
  </w:num>
  <w:num w:numId="15" w16cid:durableId="1725443886">
    <w:abstractNumId w:val="9"/>
  </w:num>
  <w:num w:numId="16" w16cid:durableId="441463696">
    <w:abstractNumId w:val="8"/>
  </w:num>
  <w:num w:numId="17" w16cid:durableId="1759399993">
    <w:abstractNumId w:val="13"/>
  </w:num>
  <w:num w:numId="18" w16cid:durableId="471559321">
    <w:abstractNumId w:val="18"/>
  </w:num>
  <w:num w:numId="19" w16cid:durableId="1853838177">
    <w:abstractNumId w:val="19"/>
  </w:num>
  <w:num w:numId="20" w16cid:durableId="18737614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1E"/>
    <w:rsid w:val="000003D1"/>
    <w:rsid w:val="000044EC"/>
    <w:rsid w:val="00004B8F"/>
    <w:rsid w:val="00006249"/>
    <w:rsid w:val="00011E26"/>
    <w:rsid w:val="000124D5"/>
    <w:rsid w:val="000130D8"/>
    <w:rsid w:val="00013570"/>
    <w:rsid w:val="00013A07"/>
    <w:rsid w:val="000152AD"/>
    <w:rsid w:val="00020544"/>
    <w:rsid w:val="00020A3C"/>
    <w:rsid w:val="00021187"/>
    <w:rsid w:val="00021207"/>
    <w:rsid w:val="000215C2"/>
    <w:rsid w:val="0002409F"/>
    <w:rsid w:val="00033191"/>
    <w:rsid w:val="00035FA2"/>
    <w:rsid w:val="00037B49"/>
    <w:rsid w:val="00040ED0"/>
    <w:rsid w:val="000421CB"/>
    <w:rsid w:val="00051850"/>
    <w:rsid w:val="0005194C"/>
    <w:rsid w:val="00053224"/>
    <w:rsid w:val="00053C1C"/>
    <w:rsid w:val="00053D44"/>
    <w:rsid w:val="00055130"/>
    <w:rsid w:val="000604F2"/>
    <w:rsid w:val="00062159"/>
    <w:rsid w:val="0006404C"/>
    <w:rsid w:val="000731D5"/>
    <w:rsid w:val="00075D4C"/>
    <w:rsid w:val="00076346"/>
    <w:rsid w:val="00076D71"/>
    <w:rsid w:val="0007743E"/>
    <w:rsid w:val="0008374F"/>
    <w:rsid w:val="00085CA4"/>
    <w:rsid w:val="0009026E"/>
    <w:rsid w:val="000916D3"/>
    <w:rsid w:val="00092984"/>
    <w:rsid w:val="00093426"/>
    <w:rsid w:val="00093D57"/>
    <w:rsid w:val="00094262"/>
    <w:rsid w:val="00095A63"/>
    <w:rsid w:val="000A15EE"/>
    <w:rsid w:val="000B0169"/>
    <w:rsid w:val="000B5B97"/>
    <w:rsid w:val="000B7569"/>
    <w:rsid w:val="000B7BC1"/>
    <w:rsid w:val="000C18C9"/>
    <w:rsid w:val="000C2066"/>
    <w:rsid w:val="000C2145"/>
    <w:rsid w:val="000C43B0"/>
    <w:rsid w:val="000C73EF"/>
    <w:rsid w:val="000D2446"/>
    <w:rsid w:val="000D5678"/>
    <w:rsid w:val="000D5784"/>
    <w:rsid w:val="000E28EA"/>
    <w:rsid w:val="000E43F3"/>
    <w:rsid w:val="000E4621"/>
    <w:rsid w:val="000E52F8"/>
    <w:rsid w:val="000F06EA"/>
    <w:rsid w:val="000F3AA1"/>
    <w:rsid w:val="000F57A2"/>
    <w:rsid w:val="000F76DE"/>
    <w:rsid w:val="000F79B9"/>
    <w:rsid w:val="000F7DED"/>
    <w:rsid w:val="001008E4"/>
    <w:rsid w:val="00100C58"/>
    <w:rsid w:val="0010192B"/>
    <w:rsid w:val="00107BBC"/>
    <w:rsid w:val="00107FBA"/>
    <w:rsid w:val="00116B57"/>
    <w:rsid w:val="00123655"/>
    <w:rsid w:val="00123DBA"/>
    <w:rsid w:val="001315D3"/>
    <w:rsid w:val="001332A8"/>
    <w:rsid w:val="0013356F"/>
    <w:rsid w:val="00134B93"/>
    <w:rsid w:val="001372DD"/>
    <w:rsid w:val="001410FB"/>
    <w:rsid w:val="00143BF3"/>
    <w:rsid w:val="00144345"/>
    <w:rsid w:val="00150B51"/>
    <w:rsid w:val="00152AE4"/>
    <w:rsid w:val="001539A0"/>
    <w:rsid w:val="001547A7"/>
    <w:rsid w:val="00155110"/>
    <w:rsid w:val="001561C3"/>
    <w:rsid w:val="00156643"/>
    <w:rsid w:val="00163D10"/>
    <w:rsid w:val="001651D6"/>
    <w:rsid w:val="00166AC7"/>
    <w:rsid w:val="001711C7"/>
    <w:rsid w:val="001724C1"/>
    <w:rsid w:val="001750DF"/>
    <w:rsid w:val="00176D53"/>
    <w:rsid w:val="00180158"/>
    <w:rsid w:val="00181EDA"/>
    <w:rsid w:val="00183B49"/>
    <w:rsid w:val="00190772"/>
    <w:rsid w:val="00192907"/>
    <w:rsid w:val="0019584E"/>
    <w:rsid w:val="001A7F30"/>
    <w:rsid w:val="001B0457"/>
    <w:rsid w:val="001B288A"/>
    <w:rsid w:val="001B2B15"/>
    <w:rsid w:val="001C1344"/>
    <w:rsid w:val="001C4A21"/>
    <w:rsid w:val="001C5839"/>
    <w:rsid w:val="001C5842"/>
    <w:rsid w:val="001CC654"/>
    <w:rsid w:val="001E220C"/>
    <w:rsid w:val="001F0EDB"/>
    <w:rsid w:val="001F2E61"/>
    <w:rsid w:val="001F430E"/>
    <w:rsid w:val="001F4C08"/>
    <w:rsid w:val="001F532A"/>
    <w:rsid w:val="001F66AD"/>
    <w:rsid w:val="002001E3"/>
    <w:rsid w:val="00201A48"/>
    <w:rsid w:val="002049D4"/>
    <w:rsid w:val="00206D9D"/>
    <w:rsid w:val="00210C6C"/>
    <w:rsid w:val="0021406E"/>
    <w:rsid w:val="0022058F"/>
    <w:rsid w:val="002214BB"/>
    <w:rsid w:val="00223303"/>
    <w:rsid w:val="00225C2B"/>
    <w:rsid w:val="00233D2D"/>
    <w:rsid w:val="002351BC"/>
    <w:rsid w:val="00236E57"/>
    <w:rsid w:val="00245890"/>
    <w:rsid w:val="002463CC"/>
    <w:rsid w:val="00246D15"/>
    <w:rsid w:val="00247311"/>
    <w:rsid w:val="0025015F"/>
    <w:rsid w:val="00253A8B"/>
    <w:rsid w:val="002602D9"/>
    <w:rsid w:val="0026082D"/>
    <w:rsid w:val="00260885"/>
    <w:rsid w:val="002632B6"/>
    <w:rsid w:val="00267C2C"/>
    <w:rsid w:val="00267ED3"/>
    <w:rsid w:val="00273291"/>
    <w:rsid w:val="002820BE"/>
    <w:rsid w:val="0028416B"/>
    <w:rsid w:val="002857A8"/>
    <w:rsid w:val="00290625"/>
    <w:rsid w:val="00292975"/>
    <w:rsid w:val="00294EBB"/>
    <w:rsid w:val="002A6613"/>
    <w:rsid w:val="002A700F"/>
    <w:rsid w:val="002A7385"/>
    <w:rsid w:val="002A7B0D"/>
    <w:rsid w:val="002B4FE4"/>
    <w:rsid w:val="002C167D"/>
    <w:rsid w:val="002C1E56"/>
    <w:rsid w:val="002C2AE9"/>
    <w:rsid w:val="002C5636"/>
    <w:rsid w:val="002C6472"/>
    <w:rsid w:val="002D487F"/>
    <w:rsid w:val="002D501D"/>
    <w:rsid w:val="002D5F31"/>
    <w:rsid w:val="002E0AC6"/>
    <w:rsid w:val="002E18B9"/>
    <w:rsid w:val="002E3C33"/>
    <w:rsid w:val="002E3D20"/>
    <w:rsid w:val="002E556B"/>
    <w:rsid w:val="002F3B40"/>
    <w:rsid w:val="002F4287"/>
    <w:rsid w:val="002F46B5"/>
    <w:rsid w:val="002F4FA1"/>
    <w:rsid w:val="002F7344"/>
    <w:rsid w:val="0030233E"/>
    <w:rsid w:val="00302A47"/>
    <w:rsid w:val="00304EF7"/>
    <w:rsid w:val="003073EE"/>
    <w:rsid w:val="0030743A"/>
    <w:rsid w:val="00317332"/>
    <w:rsid w:val="003207DD"/>
    <w:rsid w:val="00321DB8"/>
    <w:rsid w:val="00322466"/>
    <w:rsid w:val="00324EB1"/>
    <w:rsid w:val="0032572D"/>
    <w:rsid w:val="00325EF1"/>
    <w:rsid w:val="00326AFE"/>
    <w:rsid w:val="00327560"/>
    <w:rsid w:val="003347B2"/>
    <w:rsid w:val="00334E6F"/>
    <w:rsid w:val="003350EC"/>
    <w:rsid w:val="00336428"/>
    <w:rsid w:val="0034410C"/>
    <w:rsid w:val="00345825"/>
    <w:rsid w:val="003550FE"/>
    <w:rsid w:val="00355A90"/>
    <w:rsid w:val="00357DB3"/>
    <w:rsid w:val="00357E07"/>
    <w:rsid w:val="00362766"/>
    <w:rsid w:val="0037705E"/>
    <w:rsid w:val="0037752D"/>
    <w:rsid w:val="0038279E"/>
    <w:rsid w:val="00382E30"/>
    <w:rsid w:val="003831A5"/>
    <w:rsid w:val="0038426D"/>
    <w:rsid w:val="00384BE2"/>
    <w:rsid w:val="00386450"/>
    <w:rsid w:val="003915A6"/>
    <w:rsid w:val="00392680"/>
    <w:rsid w:val="003953A9"/>
    <w:rsid w:val="003A6A62"/>
    <w:rsid w:val="003B211E"/>
    <w:rsid w:val="003B2141"/>
    <w:rsid w:val="003C27E4"/>
    <w:rsid w:val="003C413B"/>
    <w:rsid w:val="003C4716"/>
    <w:rsid w:val="003C5B52"/>
    <w:rsid w:val="003C61BD"/>
    <w:rsid w:val="003C6F12"/>
    <w:rsid w:val="003D157B"/>
    <w:rsid w:val="003D282E"/>
    <w:rsid w:val="003D2A1D"/>
    <w:rsid w:val="003D60B7"/>
    <w:rsid w:val="003D6EFA"/>
    <w:rsid w:val="003E2FE2"/>
    <w:rsid w:val="003E3BB0"/>
    <w:rsid w:val="003E7E91"/>
    <w:rsid w:val="003E7F02"/>
    <w:rsid w:val="003F321E"/>
    <w:rsid w:val="003F3CFA"/>
    <w:rsid w:val="003F5F08"/>
    <w:rsid w:val="003F7166"/>
    <w:rsid w:val="00400112"/>
    <w:rsid w:val="004014AF"/>
    <w:rsid w:val="004075FA"/>
    <w:rsid w:val="00407D33"/>
    <w:rsid w:val="004106B5"/>
    <w:rsid w:val="0041115E"/>
    <w:rsid w:val="00413E5E"/>
    <w:rsid w:val="004159A7"/>
    <w:rsid w:val="00416D25"/>
    <w:rsid w:val="00417DFA"/>
    <w:rsid w:val="0042713A"/>
    <w:rsid w:val="0042741A"/>
    <w:rsid w:val="004377BD"/>
    <w:rsid w:val="00437841"/>
    <w:rsid w:val="00440262"/>
    <w:rsid w:val="00440AD1"/>
    <w:rsid w:val="0044102B"/>
    <w:rsid w:val="0044576B"/>
    <w:rsid w:val="00446211"/>
    <w:rsid w:val="00447BA8"/>
    <w:rsid w:val="00447DBB"/>
    <w:rsid w:val="004517D9"/>
    <w:rsid w:val="00451E74"/>
    <w:rsid w:val="00453F52"/>
    <w:rsid w:val="00457E53"/>
    <w:rsid w:val="0046336F"/>
    <w:rsid w:val="00471BED"/>
    <w:rsid w:val="00472117"/>
    <w:rsid w:val="004729AF"/>
    <w:rsid w:val="00477D88"/>
    <w:rsid w:val="00481119"/>
    <w:rsid w:val="00482232"/>
    <w:rsid w:val="00485E5C"/>
    <w:rsid w:val="00487B1A"/>
    <w:rsid w:val="00490925"/>
    <w:rsid w:val="00490FFC"/>
    <w:rsid w:val="00493BF3"/>
    <w:rsid w:val="0049716B"/>
    <w:rsid w:val="00497D4C"/>
    <w:rsid w:val="004A44DA"/>
    <w:rsid w:val="004A466E"/>
    <w:rsid w:val="004A48A7"/>
    <w:rsid w:val="004A7F37"/>
    <w:rsid w:val="004B0042"/>
    <w:rsid w:val="004B2732"/>
    <w:rsid w:val="004B34EF"/>
    <w:rsid w:val="004B5DB3"/>
    <w:rsid w:val="004B6D2E"/>
    <w:rsid w:val="004B7EC1"/>
    <w:rsid w:val="004B7FF9"/>
    <w:rsid w:val="004C0496"/>
    <w:rsid w:val="004C0C3F"/>
    <w:rsid w:val="004C1137"/>
    <w:rsid w:val="004C161D"/>
    <w:rsid w:val="004C1874"/>
    <w:rsid w:val="004C7318"/>
    <w:rsid w:val="004C7CD6"/>
    <w:rsid w:val="004D584E"/>
    <w:rsid w:val="004D5ED2"/>
    <w:rsid w:val="004D7C85"/>
    <w:rsid w:val="004D7FA2"/>
    <w:rsid w:val="004E49A8"/>
    <w:rsid w:val="004F0F4D"/>
    <w:rsid w:val="004F4A10"/>
    <w:rsid w:val="004F593A"/>
    <w:rsid w:val="00503F46"/>
    <w:rsid w:val="00505920"/>
    <w:rsid w:val="00505CCC"/>
    <w:rsid w:val="00511A08"/>
    <w:rsid w:val="005173DC"/>
    <w:rsid w:val="005177E7"/>
    <w:rsid w:val="00520418"/>
    <w:rsid w:val="0052325F"/>
    <w:rsid w:val="00524966"/>
    <w:rsid w:val="00527779"/>
    <w:rsid w:val="00527DB8"/>
    <w:rsid w:val="00532965"/>
    <w:rsid w:val="00533566"/>
    <w:rsid w:val="005359AA"/>
    <w:rsid w:val="0054251F"/>
    <w:rsid w:val="0054418B"/>
    <w:rsid w:val="00554C4A"/>
    <w:rsid w:val="00555E6B"/>
    <w:rsid w:val="00563F07"/>
    <w:rsid w:val="00577D92"/>
    <w:rsid w:val="005806E8"/>
    <w:rsid w:val="00584233"/>
    <w:rsid w:val="00587497"/>
    <w:rsid w:val="00587E11"/>
    <w:rsid w:val="00587F9A"/>
    <w:rsid w:val="00591989"/>
    <w:rsid w:val="00595DF8"/>
    <w:rsid w:val="005A0862"/>
    <w:rsid w:val="005A15A5"/>
    <w:rsid w:val="005A24A1"/>
    <w:rsid w:val="005A2D3A"/>
    <w:rsid w:val="005A3E97"/>
    <w:rsid w:val="005A783C"/>
    <w:rsid w:val="005B0253"/>
    <w:rsid w:val="005B61E1"/>
    <w:rsid w:val="005C0B1B"/>
    <w:rsid w:val="005C45A0"/>
    <w:rsid w:val="005D0715"/>
    <w:rsid w:val="005D1648"/>
    <w:rsid w:val="005D1C4C"/>
    <w:rsid w:val="005D1CF1"/>
    <w:rsid w:val="005D3199"/>
    <w:rsid w:val="005E2156"/>
    <w:rsid w:val="005E7AE4"/>
    <w:rsid w:val="005F1EAC"/>
    <w:rsid w:val="005F1FAF"/>
    <w:rsid w:val="005F33BA"/>
    <w:rsid w:val="005F399B"/>
    <w:rsid w:val="0060136D"/>
    <w:rsid w:val="00602B6F"/>
    <w:rsid w:val="00610F09"/>
    <w:rsid w:val="006115D6"/>
    <w:rsid w:val="006207E0"/>
    <w:rsid w:val="0062183F"/>
    <w:rsid w:val="00621B79"/>
    <w:rsid w:val="006225AF"/>
    <w:rsid w:val="006262E0"/>
    <w:rsid w:val="006319AC"/>
    <w:rsid w:val="006339CC"/>
    <w:rsid w:val="0063519C"/>
    <w:rsid w:val="00635ACA"/>
    <w:rsid w:val="0063754B"/>
    <w:rsid w:val="00641596"/>
    <w:rsid w:val="00643A99"/>
    <w:rsid w:val="006561B0"/>
    <w:rsid w:val="006564E4"/>
    <w:rsid w:val="006606F8"/>
    <w:rsid w:val="006613E3"/>
    <w:rsid w:val="00666106"/>
    <w:rsid w:val="006664D8"/>
    <w:rsid w:val="00670305"/>
    <w:rsid w:val="00670C87"/>
    <w:rsid w:val="00671972"/>
    <w:rsid w:val="0067515E"/>
    <w:rsid w:val="00675E1A"/>
    <w:rsid w:val="006778D3"/>
    <w:rsid w:val="00680DF3"/>
    <w:rsid w:val="00681748"/>
    <w:rsid w:val="00684374"/>
    <w:rsid w:val="00695406"/>
    <w:rsid w:val="00696376"/>
    <w:rsid w:val="00696A11"/>
    <w:rsid w:val="00697746"/>
    <w:rsid w:val="006A11FF"/>
    <w:rsid w:val="006A3365"/>
    <w:rsid w:val="006A3B14"/>
    <w:rsid w:val="006A3F36"/>
    <w:rsid w:val="006A4971"/>
    <w:rsid w:val="006A56DC"/>
    <w:rsid w:val="006B12FD"/>
    <w:rsid w:val="006B76BB"/>
    <w:rsid w:val="006C21CD"/>
    <w:rsid w:val="006C3545"/>
    <w:rsid w:val="006C3899"/>
    <w:rsid w:val="006C3A22"/>
    <w:rsid w:val="006C7107"/>
    <w:rsid w:val="006D1634"/>
    <w:rsid w:val="006D6CD4"/>
    <w:rsid w:val="006D79A8"/>
    <w:rsid w:val="006E0315"/>
    <w:rsid w:val="006E195D"/>
    <w:rsid w:val="006E2422"/>
    <w:rsid w:val="006E2E60"/>
    <w:rsid w:val="006E445B"/>
    <w:rsid w:val="006E4FD8"/>
    <w:rsid w:val="006E6013"/>
    <w:rsid w:val="006F077C"/>
    <w:rsid w:val="006F1740"/>
    <w:rsid w:val="006F2033"/>
    <w:rsid w:val="006F3725"/>
    <w:rsid w:val="0070058F"/>
    <w:rsid w:val="007018D1"/>
    <w:rsid w:val="00705DED"/>
    <w:rsid w:val="00706C1A"/>
    <w:rsid w:val="00707602"/>
    <w:rsid w:val="00707E78"/>
    <w:rsid w:val="00707EA3"/>
    <w:rsid w:val="007104D8"/>
    <w:rsid w:val="007111D8"/>
    <w:rsid w:val="00720654"/>
    <w:rsid w:val="00723CA4"/>
    <w:rsid w:val="00724FE3"/>
    <w:rsid w:val="00730EAF"/>
    <w:rsid w:val="0073172A"/>
    <w:rsid w:val="00732238"/>
    <w:rsid w:val="00734BEC"/>
    <w:rsid w:val="00737C05"/>
    <w:rsid w:val="00740734"/>
    <w:rsid w:val="00745252"/>
    <w:rsid w:val="00757410"/>
    <w:rsid w:val="0076045B"/>
    <w:rsid w:val="007605C0"/>
    <w:rsid w:val="00761147"/>
    <w:rsid w:val="007619A9"/>
    <w:rsid w:val="00761B8A"/>
    <w:rsid w:val="00764C28"/>
    <w:rsid w:val="00765127"/>
    <w:rsid w:val="007659F3"/>
    <w:rsid w:val="00781CC5"/>
    <w:rsid w:val="0078523B"/>
    <w:rsid w:val="007852E7"/>
    <w:rsid w:val="007865EC"/>
    <w:rsid w:val="0079261E"/>
    <w:rsid w:val="00792F4C"/>
    <w:rsid w:val="00792F50"/>
    <w:rsid w:val="00796A7C"/>
    <w:rsid w:val="007A0F0D"/>
    <w:rsid w:val="007B2598"/>
    <w:rsid w:val="007B3139"/>
    <w:rsid w:val="007B400A"/>
    <w:rsid w:val="007B673E"/>
    <w:rsid w:val="007B7EF7"/>
    <w:rsid w:val="007C057D"/>
    <w:rsid w:val="007C13BD"/>
    <w:rsid w:val="007C142C"/>
    <w:rsid w:val="007C6112"/>
    <w:rsid w:val="007C75D9"/>
    <w:rsid w:val="007C7F42"/>
    <w:rsid w:val="007D09CA"/>
    <w:rsid w:val="007D405E"/>
    <w:rsid w:val="007D4545"/>
    <w:rsid w:val="007D4E91"/>
    <w:rsid w:val="007D5417"/>
    <w:rsid w:val="007D54EC"/>
    <w:rsid w:val="007D5A45"/>
    <w:rsid w:val="007D5E89"/>
    <w:rsid w:val="007E0934"/>
    <w:rsid w:val="007E1D00"/>
    <w:rsid w:val="007E1DB1"/>
    <w:rsid w:val="007E1EA7"/>
    <w:rsid w:val="007E37BE"/>
    <w:rsid w:val="007E6314"/>
    <w:rsid w:val="007F0D76"/>
    <w:rsid w:val="007F2FE8"/>
    <w:rsid w:val="007F3DDF"/>
    <w:rsid w:val="007F5F07"/>
    <w:rsid w:val="007F6540"/>
    <w:rsid w:val="007F74F0"/>
    <w:rsid w:val="00800259"/>
    <w:rsid w:val="0080153C"/>
    <w:rsid w:val="00803F32"/>
    <w:rsid w:val="0080448B"/>
    <w:rsid w:val="008131E5"/>
    <w:rsid w:val="008149EB"/>
    <w:rsid w:val="00814F4B"/>
    <w:rsid w:val="00815115"/>
    <w:rsid w:val="00825508"/>
    <w:rsid w:val="00826467"/>
    <w:rsid w:val="00826B69"/>
    <w:rsid w:val="008360BF"/>
    <w:rsid w:val="008413D6"/>
    <w:rsid w:val="00842FDB"/>
    <w:rsid w:val="00845418"/>
    <w:rsid w:val="00850459"/>
    <w:rsid w:val="00850A58"/>
    <w:rsid w:val="008524F5"/>
    <w:rsid w:val="00852FE9"/>
    <w:rsid w:val="00854567"/>
    <w:rsid w:val="0085571A"/>
    <w:rsid w:val="00855F67"/>
    <w:rsid w:val="008567A8"/>
    <w:rsid w:val="008569B1"/>
    <w:rsid w:val="00861E27"/>
    <w:rsid w:val="008631F5"/>
    <w:rsid w:val="00864C23"/>
    <w:rsid w:val="008657CF"/>
    <w:rsid w:val="00865F0A"/>
    <w:rsid w:val="008661BF"/>
    <w:rsid w:val="0086B396"/>
    <w:rsid w:val="008713BA"/>
    <w:rsid w:val="00871D33"/>
    <w:rsid w:val="00872048"/>
    <w:rsid w:val="0087221B"/>
    <w:rsid w:val="00881279"/>
    <w:rsid w:val="008836F7"/>
    <w:rsid w:val="00885612"/>
    <w:rsid w:val="008861E4"/>
    <w:rsid w:val="008913CA"/>
    <w:rsid w:val="00894D9C"/>
    <w:rsid w:val="00896929"/>
    <w:rsid w:val="00897603"/>
    <w:rsid w:val="008A421A"/>
    <w:rsid w:val="008B0F92"/>
    <w:rsid w:val="008B153E"/>
    <w:rsid w:val="008B1D02"/>
    <w:rsid w:val="008B2E10"/>
    <w:rsid w:val="008B5B01"/>
    <w:rsid w:val="008B71C4"/>
    <w:rsid w:val="008C125D"/>
    <w:rsid w:val="008C1E1B"/>
    <w:rsid w:val="008C5450"/>
    <w:rsid w:val="008C5C0D"/>
    <w:rsid w:val="008D053F"/>
    <w:rsid w:val="008D1CB9"/>
    <w:rsid w:val="008D4313"/>
    <w:rsid w:val="008D7796"/>
    <w:rsid w:val="008D7D7F"/>
    <w:rsid w:val="008E5700"/>
    <w:rsid w:val="008E7FF5"/>
    <w:rsid w:val="008F2644"/>
    <w:rsid w:val="008F342D"/>
    <w:rsid w:val="008F7D29"/>
    <w:rsid w:val="00900F67"/>
    <w:rsid w:val="0090329B"/>
    <w:rsid w:val="00903A88"/>
    <w:rsid w:val="00904925"/>
    <w:rsid w:val="009128AF"/>
    <w:rsid w:val="00912DEA"/>
    <w:rsid w:val="009203C4"/>
    <w:rsid w:val="00920999"/>
    <w:rsid w:val="00923366"/>
    <w:rsid w:val="00924A53"/>
    <w:rsid w:val="00924D1C"/>
    <w:rsid w:val="00924F90"/>
    <w:rsid w:val="00925005"/>
    <w:rsid w:val="00925B28"/>
    <w:rsid w:val="0093310A"/>
    <w:rsid w:val="00935510"/>
    <w:rsid w:val="009360DC"/>
    <w:rsid w:val="00936F84"/>
    <w:rsid w:val="00941398"/>
    <w:rsid w:val="00942C17"/>
    <w:rsid w:val="0094557E"/>
    <w:rsid w:val="00946191"/>
    <w:rsid w:val="009537A2"/>
    <w:rsid w:val="009558ED"/>
    <w:rsid w:val="009579AF"/>
    <w:rsid w:val="00960FF3"/>
    <w:rsid w:val="0096253E"/>
    <w:rsid w:val="00970E61"/>
    <w:rsid w:val="009738B1"/>
    <w:rsid w:val="0098209F"/>
    <w:rsid w:val="00984D92"/>
    <w:rsid w:val="00985497"/>
    <w:rsid w:val="009860AF"/>
    <w:rsid w:val="0099015E"/>
    <w:rsid w:val="00990186"/>
    <w:rsid w:val="009944C8"/>
    <w:rsid w:val="00994F0B"/>
    <w:rsid w:val="00995271"/>
    <w:rsid w:val="009A31CA"/>
    <w:rsid w:val="009A3E12"/>
    <w:rsid w:val="009A503F"/>
    <w:rsid w:val="009B10DD"/>
    <w:rsid w:val="009B5E93"/>
    <w:rsid w:val="009B6A14"/>
    <w:rsid w:val="009B7CB3"/>
    <w:rsid w:val="009C0825"/>
    <w:rsid w:val="009C200B"/>
    <w:rsid w:val="009C3B7F"/>
    <w:rsid w:val="009C3BC9"/>
    <w:rsid w:val="009C4066"/>
    <w:rsid w:val="009D0603"/>
    <w:rsid w:val="009D1530"/>
    <w:rsid w:val="009D168C"/>
    <w:rsid w:val="009D34E1"/>
    <w:rsid w:val="009D406C"/>
    <w:rsid w:val="009D703D"/>
    <w:rsid w:val="009E045A"/>
    <w:rsid w:val="009E3F73"/>
    <w:rsid w:val="009E5823"/>
    <w:rsid w:val="009E5C1A"/>
    <w:rsid w:val="009F0DFA"/>
    <w:rsid w:val="009F1344"/>
    <w:rsid w:val="009F7E52"/>
    <w:rsid w:val="00A0156B"/>
    <w:rsid w:val="00A06E15"/>
    <w:rsid w:val="00A06FCC"/>
    <w:rsid w:val="00A10A84"/>
    <w:rsid w:val="00A124C9"/>
    <w:rsid w:val="00A203DB"/>
    <w:rsid w:val="00A20F5B"/>
    <w:rsid w:val="00A213B0"/>
    <w:rsid w:val="00A27E17"/>
    <w:rsid w:val="00A32EBB"/>
    <w:rsid w:val="00A3392D"/>
    <w:rsid w:val="00A33D6A"/>
    <w:rsid w:val="00A344DD"/>
    <w:rsid w:val="00A36C92"/>
    <w:rsid w:val="00A37571"/>
    <w:rsid w:val="00A44277"/>
    <w:rsid w:val="00A45CCF"/>
    <w:rsid w:val="00A54020"/>
    <w:rsid w:val="00A54302"/>
    <w:rsid w:val="00A57EA9"/>
    <w:rsid w:val="00A62F75"/>
    <w:rsid w:val="00A66E77"/>
    <w:rsid w:val="00A66FF0"/>
    <w:rsid w:val="00A70364"/>
    <w:rsid w:val="00A707C2"/>
    <w:rsid w:val="00A70B46"/>
    <w:rsid w:val="00A86559"/>
    <w:rsid w:val="00A96FEF"/>
    <w:rsid w:val="00A97860"/>
    <w:rsid w:val="00AA12BF"/>
    <w:rsid w:val="00AA1E5B"/>
    <w:rsid w:val="00AA2562"/>
    <w:rsid w:val="00AA4606"/>
    <w:rsid w:val="00AA5A78"/>
    <w:rsid w:val="00AA648D"/>
    <w:rsid w:val="00AB02E1"/>
    <w:rsid w:val="00AB05BE"/>
    <w:rsid w:val="00AB13F4"/>
    <w:rsid w:val="00AB3C29"/>
    <w:rsid w:val="00AB7EA6"/>
    <w:rsid w:val="00AC3480"/>
    <w:rsid w:val="00AC39F5"/>
    <w:rsid w:val="00AC64D8"/>
    <w:rsid w:val="00AD1727"/>
    <w:rsid w:val="00AD3468"/>
    <w:rsid w:val="00AD68C2"/>
    <w:rsid w:val="00AE5AA9"/>
    <w:rsid w:val="00AE7445"/>
    <w:rsid w:val="00AE79CC"/>
    <w:rsid w:val="00AE79FC"/>
    <w:rsid w:val="00AF0E97"/>
    <w:rsid w:val="00AF16E3"/>
    <w:rsid w:val="00AF1AC4"/>
    <w:rsid w:val="00AF1CBA"/>
    <w:rsid w:val="00AF2BBD"/>
    <w:rsid w:val="00B00ABF"/>
    <w:rsid w:val="00B044C5"/>
    <w:rsid w:val="00B10E1A"/>
    <w:rsid w:val="00B11E89"/>
    <w:rsid w:val="00B208E8"/>
    <w:rsid w:val="00B267DA"/>
    <w:rsid w:val="00B3005E"/>
    <w:rsid w:val="00B31D51"/>
    <w:rsid w:val="00B33D0F"/>
    <w:rsid w:val="00B424B3"/>
    <w:rsid w:val="00B43497"/>
    <w:rsid w:val="00B501B0"/>
    <w:rsid w:val="00B5299A"/>
    <w:rsid w:val="00B52BC0"/>
    <w:rsid w:val="00B557E2"/>
    <w:rsid w:val="00B579DD"/>
    <w:rsid w:val="00B616F7"/>
    <w:rsid w:val="00B62707"/>
    <w:rsid w:val="00B63358"/>
    <w:rsid w:val="00B649D8"/>
    <w:rsid w:val="00B67C4B"/>
    <w:rsid w:val="00B70001"/>
    <w:rsid w:val="00B70889"/>
    <w:rsid w:val="00B739E1"/>
    <w:rsid w:val="00B772D4"/>
    <w:rsid w:val="00B777EC"/>
    <w:rsid w:val="00B833B7"/>
    <w:rsid w:val="00B8427F"/>
    <w:rsid w:val="00B87091"/>
    <w:rsid w:val="00B90829"/>
    <w:rsid w:val="00B931BA"/>
    <w:rsid w:val="00B96E28"/>
    <w:rsid w:val="00B97F5F"/>
    <w:rsid w:val="00BA128B"/>
    <w:rsid w:val="00BA2E81"/>
    <w:rsid w:val="00BA5000"/>
    <w:rsid w:val="00BA7D31"/>
    <w:rsid w:val="00BB0278"/>
    <w:rsid w:val="00BB114C"/>
    <w:rsid w:val="00BB15F8"/>
    <w:rsid w:val="00BB2119"/>
    <w:rsid w:val="00BB4256"/>
    <w:rsid w:val="00BB45FA"/>
    <w:rsid w:val="00BB541D"/>
    <w:rsid w:val="00BC4680"/>
    <w:rsid w:val="00BC7C1C"/>
    <w:rsid w:val="00BD6D80"/>
    <w:rsid w:val="00BE301B"/>
    <w:rsid w:val="00BE4C0D"/>
    <w:rsid w:val="00BE53D8"/>
    <w:rsid w:val="00BE7717"/>
    <w:rsid w:val="00BF281A"/>
    <w:rsid w:val="00BF29C4"/>
    <w:rsid w:val="00BF4076"/>
    <w:rsid w:val="00BF5D09"/>
    <w:rsid w:val="00C00A91"/>
    <w:rsid w:val="00C05013"/>
    <w:rsid w:val="00C052B1"/>
    <w:rsid w:val="00C07A23"/>
    <w:rsid w:val="00C1241E"/>
    <w:rsid w:val="00C163D1"/>
    <w:rsid w:val="00C17231"/>
    <w:rsid w:val="00C17F81"/>
    <w:rsid w:val="00C25685"/>
    <w:rsid w:val="00C30110"/>
    <w:rsid w:val="00C30163"/>
    <w:rsid w:val="00C3273D"/>
    <w:rsid w:val="00C37E0D"/>
    <w:rsid w:val="00C4040E"/>
    <w:rsid w:val="00C45453"/>
    <w:rsid w:val="00C46412"/>
    <w:rsid w:val="00C46FE3"/>
    <w:rsid w:val="00C55AE0"/>
    <w:rsid w:val="00C5606F"/>
    <w:rsid w:val="00C56404"/>
    <w:rsid w:val="00C57B51"/>
    <w:rsid w:val="00C605A8"/>
    <w:rsid w:val="00C64543"/>
    <w:rsid w:val="00C66184"/>
    <w:rsid w:val="00C66A74"/>
    <w:rsid w:val="00C67B2A"/>
    <w:rsid w:val="00C70116"/>
    <w:rsid w:val="00C719EB"/>
    <w:rsid w:val="00C7232D"/>
    <w:rsid w:val="00C74C58"/>
    <w:rsid w:val="00C752E3"/>
    <w:rsid w:val="00C81380"/>
    <w:rsid w:val="00C846B3"/>
    <w:rsid w:val="00C8575D"/>
    <w:rsid w:val="00C93B02"/>
    <w:rsid w:val="00CA0434"/>
    <w:rsid w:val="00CA1156"/>
    <w:rsid w:val="00CA41E2"/>
    <w:rsid w:val="00CA6127"/>
    <w:rsid w:val="00CA6F6E"/>
    <w:rsid w:val="00CB1407"/>
    <w:rsid w:val="00CB2C4D"/>
    <w:rsid w:val="00CB61EE"/>
    <w:rsid w:val="00CB787B"/>
    <w:rsid w:val="00CB7CB9"/>
    <w:rsid w:val="00CC20DE"/>
    <w:rsid w:val="00CC2A98"/>
    <w:rsid w:val="00CC3F3B"/>
    <w:rsid w:val="00CD0A2D"/>
    <w:rsid w:val="00CD0BC0"/>
    <w:rsid w:val="00CF08CA"/>
    <w:rsid w:val="00CF1241"/>
    <w:rsid w:val="00CF12D1"/>
    <w:rsid w:val="00CF15D0"/>
    <w:rsid w:val="00CF295C"/>
    <w:rsid w:val="00CF3D40"/>
    <w:rsid w:val="00D13FDD"/>
    <w:rsid w:val="00D15657"/>
    <w:rsid w:val="00D209F2"/>
    <w:rsid w:val="00D23908"/>
    <w:rsid w:val="00D26026"/>
    <w:rsid w:val="00D305F9"/>
    <w:rsid w:val="00D30A5A"/>
    <w:rsid w:val="00D358A6"/>
    <w:rsid w:val="00D456CF"/>
    <w:rsid w:val="00D45BB9"/>
    <w:rsid w:val="00D45D12"/>
    <w:rsid w:val="00D5321D"/>
    <w:rsid w:val="00D57157"/>
    <w:rsid w:val="00D6191D"/>
    <w:rsid w:val="00D61C0C"/>
    <w:rsid w:val="00D61EB8"/>
    <w:rsid w:val="00D62BCA"/>
    <w:rsid w:val="00D63B96"/>
    <w:rsid w:val="00D65F73"/>
    <w:rsid w:val="00D663AB"/>
    <w:rsid w:val="00D735E5"/>
    <w:rsid w:val="00D754DE"/>
    <w:rsid w:val="00D75561"/>
    <w:rsid w:val="00D760FD"/>
    <w:rsid w:val="00D77652"/>
    <w:rsid w:val="00D831AF"/>
    <w:rsid w:val="00D83743"/>
    <w:rsid w:val="00D91506"/>
    <w:rsid w:val="00D92019"/>
    <w:rsid w:val="00D9237F"/>
    <w:rsid w:val="00D954B1"/>
    <w:rsid w:val="00D96E3B"/>
    <w:rsid w:val="00D97556"/>
    <w:rsid w:val="00DA0058"/>
    <w:rsid w:val="00DA2285"/>
    <w:rsid w:val="00DA32E4"/>
    <w:rsid w:val="00DA6B74"/>
    <w:rsid w:val="00DA7D93"/>
    <w:rsid w:val="00DB0497"/>
    <w:rsid w:val="00DB2BFA"/>
    <w:rsid w:val="00DB7BA5"/>
    <w:rsid w:val="00DC0729"/>
    <w:rsid w:val="00DC5392"/>
    <w:rsid w:val="00DC720E"/>
    <w:rsid w:val="00DC784F"/>
    <w:rsid w:val="00DD0FD6"/>
    <w:rsid w:val="00DD2572"/>
    <w:rsid w:val="00DD3B5A"/>
    <w:rsid w:val="00DE10CF"/>
    <w:rsid w:val="00DE65F3"/>
    <w:rsid w:val="00DE7FE0"/>
    <w:rsid w:val="00DF025F"/>
    <w:rsid w:val="00DF24B3"/>
    <w:rsid w:val="00DF3E31"/>
    <w:rsid w:val="00DF41DF"/>
    <w:rsid w:val="00DF74F0"/>
    <w:rsid w:val="00E029CD"/>
    <w:rsid w:val="00E23500"/>
    <w:rsid w:val="00E261C8"/>
    <w:rsid w:val="00E3162A"/>
    <w:rsid w:val="00E330EE"/>
    <w:rsid w:val="00E34072"/>
    <w:rsid w:val="00E4009B"/>
    <w:rsid w:val="00E451BE"/>
    <w:rsid w:val="00E47E6B"/>
    <w:rsid w:val="00E54068"/>
    <w:rsid w:val="00E557FA"/>
    <w:rsid w:val="00E55B7B"/>
    <w:rsid w:val="00E55D9D"/>
    <w:rsid w:val="00E572F7"/>
    <w:rsid w:val="00E63F01"/>
    <w:rsid w:val="00E65955"/>
    <w:rsid w:val="00E66726"/>
    <w:rsid w:val="00E71535"/>
    <w:rsid w:val="00E80C79"/>
    <w:rsid w:val="00E839C2"/>
    <w:rsid w:val="00E83EEB"/>
    <w:rsid w:val="00E86346"/>
    <w:rsid w:val="00E87DBC"/>
    <w:rsid w:val="00E91AAD"/>
    <w:rsid w:val="00E92C92"/>
    <w:rsid w:val="00EA2D19"/>
    <w:rsid w:val="00EB03E4"/>
    <w:rsid w:val="00EB230D"/>
    <w:rsid w:val="00EB532E"/>
    <w:rsid w:val="00EB7071"/>
    <w:rsid w:val="00EC4B84"/>
    <w:rsid w:val="00EC5AD0"/>
    <w:rsid w:val="00EC5E6F"/>
    <w:rsid w:val="00EC6306"/>
    <w:rsid w:val="00EC6690"/>
    <w:rsid w:val="00EC783E"/>
    <w:rsid w:val="00ED0C7A"/>
    <w:rsid w:val="00ED30F3"/>
    <w:rsid w:val="00ED5A84"/>
    <w:rsid w:val="00ED659E"/>
    <w:rsid w:val="00ED676D"/>
    <w:rsid w:val="00EE5042"/>
    <w:rsid w:val="00EE7703"/>
    <w:rsid w:val="00EF2B66"/>
    <w:rsid w:val="00EF3D77"/>
    <w:rsid w:val="00EF4D16"/>
    <w:rsid w:val="00EF718D"/>
    <w:rsid w:val="00F023BA"/>
    <w:rsid w:val="00F06A24"/>
    <w:rsid w:val="00F06FBF"/>
    <w:rsid w:val="00F078E1"/>
    <w:rsid w:val="00F14601"/>
    <w:rsid w:val="00F14A34"/>
    <w:rsid w:val="00F16B3B"/>
    <w:rsid w:val="00F175D1"/>
    <w:rsid w:val="00F217AC"/>
    <w:rsid w:val="00F23751"/>
    <w:rsid w:val="00F23A75"/>
    <w:rsid w:val="00F25CFB"/>
    <w:rsid w:val="00F27C43"/>
    <w:rsid w:val="00F30188"/>
    <w:rsid w:val="00F325E4"/>
    <w:rsid w:val="00F40EFA"/>
    <w:rsid w:val="00F41140"/>
    <w:rsid w:val="00F46BCA"/>
    <w:rsid w:val="00F46DCD"/>
    <w:rsid w:val="00F472B6"/>
    <w:rsid w:val="00F51999"/>
    <w:rsid w:val="00F56673"/>
    <w:rsid w:val="00F64DD2"/>
    <w:rsid w:val="00F6527C"/>
    <w:rsid w:val="00F6533C"/>
    <w:rsid w:val="00F73488"/>
    <w:rsid w:val="00F76C7F"/>
    <w:rsid w:val="00F838F1"/>
    <w:rsid w:val="00F84102"/>
    <w:rsid w:val="00F87431"/>
    <w:rsid w:val="00F87E37"/>
    <w:rsid w:val="00F9000D"/>
    <w:rsid w:val="00F92940"/>
    <w:rsid w:val="00F96E34"/>
    <w:rsid w:val="00F9730C"/>
    <w:rsid w:val="00FA1989"/>
    <w:rsid w:val="00FA1D9F"/>
    <w:rsid w:val="00FA48DF"/>
    <w:rsid w:val="00FA561A"/>
    <w:rsid w:val="00FA608E"/>
    <w:rsid w:val="00FB3520"/>
    <w:rsid w:val="00FB394D"/>
    <w:rsid w:val="00FB3E91"/>
    <w:rsid w:val="00FB45BA"/>
    <w:rsid w:val="00FB4C92"/>
    <w:rsid w:val="00FC129D"/>
    <w:rsid w:val="00FE36C2"/>
    <w:rsid w:val="00FE6808"/>
    <w:rsid w:val="00FE6EFD"/>
    <w:rsid w:val="00FE7783"/>
    <w:rsid w:val="00FE79CB"/>
    <w:rsid w:val="00FF18F6"/>
    <w:rsid w:val="00FF1B00"/>
    <w:rsid w:val="00FF34A5"/>
    <w:rsid w:val="00FF4808"/>
    <w:rsid w:val="00FF6E89"/>
    <w:rsid w:val="0117A7F5"/>
    <w:rsid w:val="015E9AC2"/>
    <w:rsid w:val="016C625D"/>
    <w:rsid w:val="019B4C06"/>
    <w:rsid w:val="01C5B9D2"/>
    <w:rsid w:val="0227D432"/>
    <w:rsid w:val="02364C82"/>
    <w:rsid w:val="02C9FE7E"/>
    <w:rsid w:val="02CAC4CF"/>
    <w:rsid w:val="02CB80EA"/>
    <w:rsid w:val="02CE4973"/>
    <w:rsid w:val="02EB717A"/>
    <w:rsid w:val="030364E1"/>
    <w:rsid w:val="0318A3DF"/>
    <w:rsid w:val="032428BD"/>
    <w:rsid w:val="037BCDED"/>
    <w:rsid w:val="04D801DD"/>
    <w:rsid w:val="0514BB8E"/>
    <w:rsid w:val="05308D0F"/>
    <w:rsid w:val="054EDE2F"/>
    <w:rsid w:val="0556F0F1"/>
    <w:rsid w:val="056D0333"/>
    <w:rsid w:val="05A96411"/>
    <w:rsid w:val="05B8718B"/>
    <w:rsid w:val="060AE693"/>
    <w:rsid w:val="060CAD61"/>
    <w:rsid w:val="0630B6A6"/>
    <w:rsid w:val="0641CA3F"/>
    <w:rsid w:val="064BBD05"/>
    <w:rsid w:val="067124A6"/>
    <w:rsid w:val="06DD8A6C"/>
    <w:rsid w:val="06DE20E9"/>
    <w:rsid w:val="06FCA61B"/>
    <w:rsid w:val="0716E73D"/>
    <w:rsid w:val="071AE077"/>
    <w:rsid w:val="07B1993D"/>
    <w:rsid w:val="07B64950"/>
    <w:rsid w:val="07C4FF23"/>
    <w:rsid w:val="07F1A159"/>
    <w:rsid w:val="08069E89"/>
    <w:rsid w:val="08A30052"/>
    <w:rsid w:val="08F1F24B"/>
    <w:rsid w:val="0945B15C"/>
    <w:rsid w:val="0957DB47"/>
    <w:rsid w:val="09A4CA54"/>
    <w:rsid w:val="09AA58FF"/>
    <w:rsid w:val="09CF9CC7"/>
    <w:rsid w:val="09EF1E18"/>
    <w:rsid w:val="0A5C6D16"/>
    <w:rsid w:val="0AE32D96"/>
    <w:rsid w:val="0AEECBA7"/>
    <w:rsid w:val="0AF3ABA8"/>
    <w:rsid w:val="0B52C618"/>
    <w:rsid w:val="0B7E822B"/>
    <w:rsid w:val="0C2BD8AA"/>
    <w:rsid w:val="0C4C012A"/>
    <w:rsid w:val="0C767E21"/>
    <w:rsid w:val="0C9A4146"/>
    <w:rsid w:val="0C9C1353"/>
    <w:rsid w:val="0D04131E"/>
    <w:rsid w:val="0D242F24"/>
    <w:rsid w:val="0D2F9159"/>
    <w:rsid w:val="0D594C02"/>
    <w:rsid w:val="0DC9473A"/>
    <w:rsid w:val="0DD25E36"/>
    <w:rsid w:val="0DD7C0CF"/>
    <w:rsid w:val="0DEA3177"/>
    <w:rsid w:val="0E266C69"/>
    <w:rsid w:val="0EB22078"/>
    <w:rsid w:val="0ED721D9"/>
    <w:rsid w:val="0F18CB99"/>
    <w:rsid w:val="0F75A328"/>
    <w:rsid w:val="0F9A58E2"/>
    <w:rsid w:val="0F9CDC44"/>
    <w:rsid w:val="0FC18050"/>
    <w:rsid w:val="0FD1271B"/>
    <w:rsid w:val="0FD1683A"/>
    <w:rsid w:val="0FDACAB2"/>
    <w:rsid w:val="1018D135"/>
    <w:rsid w:val="108E1455"/>
    <w:rsid w:val="10B72BB0"/>
    <w:rsid w:val="10FD8365"/>
    <w:rsid w:val="1122C72D"/>
    <w:rsid w:val="1188A033"/>
    <w:rsid w:val="11909A53"/>
    <w:rsid w:val="11DC97B8"/>
    <w:rsid w:val="12354EBD"/>
    <w:rsid w:val="1237BAB3"/>
    <w:rsid w:val="12E6C420"/>
    <w:rsid w:val="12F9DD8C"/>
    <w:rsid w:val="13E1B4E8"/>
    <w:rsid w:val="1408B385"/>
    <w:rsid w:val="142316CD"/>
    <w:rsid w:val="1431939F"/>
    <w:rsid w:val="145FF795"/>
    <w:rsid w:val="146D40F5"/>
    <w:rsid w:val="14722E8B"/>
    <w:rsid w:val="1485D1DA"/>
    <w:rsid w:val="148CF517"/>
    <w:rsid w:val="152C3586"/>
    <w:rsid w:val="154A6916"/>
    <w:rsid w:val="1553353E"/>
    <w:rsid w:val="1577ABA0"/>
    <w:rsid w:val="15AF62F4"/>
    <w:rsid w:val="15D3F71B"/>
    <w:rsid w:val="16643B4A"/>
    <w:rsid w:val="1705A7C3"/>
    <w:rsid w:val="172DA2C8"/>
    <w:rsid w:val="172EF137"/>
    <w:rsid w:val="17682ED0"/>
    <w:rsid w:val="1777C69B"/>
    <w:rsid w:val="17B64F5F"/>
    <w:rsid w:val="17DA7505"/>
    <w:rsid w:val="1833FCA5"/>
    <w:rsid w:val="18362108"/>
    <w:rsid w:val="1873E23B"/>
    <w:rsid w:val="18BFC53D"/>
    <w:rsid w:val="18FBBE73"/>
    <w:rsid w:val="1910C030"/>
    <w:rsid w:val="1927B1F4"/>
    <w:rsid w:val="194CD8E0"/>
    <w:rsid w:val="1992B5F9"/>
    <w:rsid w:val="19D838CD"/>
    <w:rsid w:val="19DCFE1E"/>
    <w:rsid w:val="19E5B4FE"/>
    <w:rsid w:val="19FCFDEE"/>
    <w:rsid w:val="1A291856"/>
    <w:rsid w:val="1A779AFA"/>
    <w:rsid w:val="1AA82FE4"/>
    <w:rsid w:val="1AD1C8CF"/>
    <w:rsid w:val="1AFD49ED"/>
    <w:rsid w:val="1B0471AE"/>
    <w:rsid w:val="1B329C3A"/>
    <w:rsid w:val="1B61CCA4"/>
    <w:rsid w:val="1B786553"/>
    <w:rsid w:val="1BABA02E"/>
    <w:rsid w:val="1BE3AB52"/>
    <w:rsid w:val="1C0ACE64"/>
    <w:rsid w:val="1C85D515"/>
    <w:rsid w:val="1C93033B"/>
    <w:rsid w:val="1D0F4DAA"/>
    <w:rsid w:val="1D212A91"/>
    <w:rsid w:val="1D4B65E4"/>
    <w:rsid w:val="1D5E999C"/>
    <w:rsid w:val="1DD73C97"/>
    <w:rsid w:val="1E3D1827"/>
    <w:rsid w:val="1E529BFA"/>
    <w:rsid w:val="1ED02E07"/>
    <w:rsid w:val="1EDDF697"/>
    <w:rsid w:val="1F0946F4"/>
    <w:rsid w:val="1F2F6FFD"/>
    <w:rsid w:val="1F67FDB8"/>
    <w:rsid w:val="205C3897"/>
    <w:rsid w:val="206760E9"/>
    <w:rsid w:val="20D44003"/>
    <w:rsid w:val="21813048"/>
    <w:rsid w:val="21951C93"/>
    <w:rsid w:val="219CD0D7"/>
    <w:rsid w:val="21B59912"/>
    <w:rsid w:val="22314076"/>
    <w:rsid w:val="22716BE8"/>
    <w:rsid w:val="22D52A57"/>
    <w:rsid w:val="234AB7AC"/>
    <w:rsid w:val="23746D41"/>
    <w:rsid w:val="2385B26B"/>
    <w:rsid w:val="23CCBE3E"/>
    <w:rsid w:val="243D3154"/>
    <w:rsid w:val="244D412A"/>
    <w:rsid w:val="2464FB7E"/>
    <w:rsid w:val="247670F5"/>
    <w:rsid w:val="247CC0F5"/>
    <w:rsid w:val="24CC1A54"/>
    <w:rsid w:val="252FF084"/>
    <w:rsid w:val="25AD975C"/>
    <w:rsid w:val="25B82292"/>
    <w:rsid w:val="26337B7F"/>
    <w:rsid w:val="267267F1"/>
    <w:rsid w:val="26792FB4"/>
    <w:rsid w:val="26841207"/>
    <w:rsid w:val="2691806B"/>
    <w:rsid w:val="26F5982A"/>
    <w:rsid w:val="2715436A"/>
    <w:rsid w:val="272EB026"/>
    <w:rsid w:val="27C2F307"/>
    <w:rsid w:val="27DE21EF"/>
    <w:rsid w:val="27DFA495"/>
    <w:rsid w:val="280FD681"/>
    <w:rsid w:val="281190A3"/>
    <w:rsid w:val="283694E0"/>
    <w:rsid w:val="2844C08E"/>
    <w:rsid w:val="28992CE7"/>
    <w:rsid w:val="28C5F798"/>
    <w:rsid w:val="2936A7E9"/>
    <w:rsid w:val="2943C26C"/>
    <w:rsid w:val="2956D5E2"/>
    <w:rsid w:val="29C3D225"/>
    <w:rsid w:val="2A7C71D2"/>
    <w:rsid w:val="2A8531A6"/>
    <w:rsid w:val="2ACC6757"/>
    <w:rsid w:val="2B005C01"/>
    <w:rsid w:val="2B06EED1"/>
    <w:rsid w:val="2B21F9B5"/>
    <w:rsid w:val="2B7F1960"/>
    <w:rsid w:val="2B86DBE2"/>
    <w:rsid w:val="2BBF2D30"/>
    <w:rsid w:val="2BF392BB"/>
    <w:rsid w:val="2C289306"/>
    <w:rsid w:val="2C3C9F9D"/>
    <w:rsid w:val="2C5A7194"/>
    <w:rsid w:val="2C6C297B"/>
    <w:rsid w:val="2C6E48AB"/>
    <w:rsid w:val="2D583072"/>
    <w:rsid w:val="2D705CB0"/>
    <w:rsid w:val="2D91FF16"/>
    <w:rsid w:val="2E8B911A"/>
    <w:rsid w:val="2EB88A7B"/>
    <w:rsid w:val="2ECD5D40"/>
    <w:rsid w:val="2ECD8F16"/>
    <w:rsid w:val="2EDE9C5E"/>
    <w:rsid w:val="2F3796FC"/>
    <w:rsid w:val="2F661D7D"/>
    <w:rsid w:val="2F74568A"/>
    <w:rsid w:val="2FCB4F15"/>
    <w:rsid w:val="3002456C"/>
    <w:rsid w:val="30229C95"/>
    <w:rsid w:val="30AA0238"/>
    <w:rsid w:val="30AB6209"/>
    <w:rsid w:val="30E1DDA0"/>
    <w:rsid w:val="30E76F53"/>
    <w:rsid w:val="30E935BB"/>
    <w:rsid w:val="30F79807"/>
    <w:rsid w:val="31042385"/>
    <w:rsid w:val="31C167D9"/>
    <w:rsid w:val="31C4B6ED"/>
    <w:rsid w:val="31DEBE1B"/>
    <w:rsid w:val="32863411"/>
    <w:rsid w:val="329F197C"/>
    <w:rsid w:val="32BE2BEA"/>
    <w:rsid w:val="32FCEEDA"/>
    <w:rsid w:val="3321ED6B"/>
    <w:rsid w:val="33A3F591"/>
    <w:rsid w:val="33AB553C"/>
    <w:rsid w:val="343B3A64"/>
    <w:rsid w:val="34528EC4"/>
    <w:rsid w:val="34A75342"/>
    <w:rsid w:val="34DE3853"/>
    <w:rsid w:val="34E473C5"/>
    <w:rsid w:val="35269D95"/>
    <w:rsid w:val="35A5BD1C"/>
    <w:rsid w:val="35ACD1FD"/>
    <w:rsid w:val="35B7AEB0"/>
    <w:rsid w:val="35F27D32"/>
    <w:rsid w:val="363AFA9E"/>
    <w:rsid w:val="366ADB6A"/>
    <w:rsid w:val="37130063"/>
    <w:rsid w:val="3748A25E"/>
    <w:rsid w:val="37646845"/>
    <w:rsid w:val="378483E8"/>
    <w:rsid w:val="37FDF4F7"/>
    <w:rsid w:val="381AE894"/>
    <w:rsid w:val="382E19A7"/>
    <w:rsid w:val="389FAB8D"/>
    <w:rsid w:val="38B592BE"/>
    <w:rsid w:val="38EA3CA0"/>
    <w:rsid w:val="3921DC9A"/>
    <w:rsid w:val="39B27DF5"/>
    <w:rsid w:val="3A6F67C0"/>
    <w:rsid w:val="3AA281C8"/>
    <w:rsid w:val="3ADCAD9B"/>
    <w:rsid w:val="3BA5B92A"/>
    <w:rsid w:val="3BC8D4A6"/>
    <w:rsid w:val="3BDE07CE"/>
    <w:rsid w:val="3BE4C664"/>
    <w:rsid w:val="3C259F9F"/>
    <w:rsid w:val="3C31614A"/>
    <w:rsid w:val="3C5AE887"/>
    <w:rsid w:val="3C8EA819"/>
    <w:rsid w:val="3CC9EAD0"/>
    <w:rsid w:val="3D1B97BF"/>
    <w:rsid w:val="3DB37DFC"/>
    <w:rsid w:val="3DD5F73D"/>
    <w:rsid w:val="3DD974F1"/>
    <w:rsid w:val="3E1A9F25"/>
    <w:rsid w:val="3EE7A95C"/>
    <w:rsid w:val="3F4B5FE3"/>
    <w:rsid w:val="3F577851"/>
    <w:rsid w:val="3F5B5E35"/>
    <w:rsid w:val="3F75EC11"/>
    <w:rsid w:val="3FCB1267"/>
    <w:rsid w:val="3FD4413C"/>
    <w:rsid w:val="3FE0A032"/>
    <w:rsid w:val="401458EF"/>
    <w:rsid w:val="40734098"/>
    <w:rsid w:val="40C77E0F"/>
    <w:rsid w:val="415D826E"/>
    <w:rsid w:val="417DB7DD"/>
    <w:rsid w:val="41871C54"/>
    <w:rsid w:val="4199534A"/>
    <w:rsid w:val="41A52484"/>
    <w:rsid w:val="41DFB547"/>
    <w:rsid w:val="41ECC289"/>
    <w:rsid w:val="425C1BAB"/>
    <w:rsid w:val="42659DCB"/>
    <w:rsid w:val="42842F73"/>
    <w:rsid w:val="428E8C90"/>
    <w:rsid w:val="42A34942"/>
    <w:rsid w:val="42BA13BF"/>
    <w:rsid w:val="436C7630"/>
    <w:rsid w:val="437DFDA9"/>
    <w:rsid w:val="438239F6"/>
    <w:rsid w:val="43FA49F2"/>
    <w:rsid w:val="44978075"/>
    <w:rsid w:val="44A7DB15"/>
    <w:rsid w:val="44D6E8BB"/>
    <w:rsid w:val="454FBF56"/>
    <w:rsid w:val="45774C3E"/>
    <w:rsid w:val="4577D28A"/>
    <w:rsid w:val="45E14455"/>
    <w:rsid w:val="46512900"/>
    <w:rsid w:val="465653FF"/>
    <w:rsid w:val="465B2E81"/>
    <w:rsid w:val="46A17111"/>
    <w:rsid w:val="4731EAB4"/>
    <w:rsid w:val="4751075E"/>
    <w:rsid w:val="475D6032"/>
    <w:rsid w:val="47B0CF71"/>
    <w:rsid w:val="48156037"/>
    <w:rsid w:val="48589595"/>
    <w:rsid w:val="48713AF3"/>
    <w:rsid w:val="487AB07D"/>
    <w:rsid w:val="48AEEEA9"/>
    <w:rsid w:val="48DFF093"/>
    <w:rsid w:val="4902840F"/>
    <w:rsid w:val="49135830"/>
    <w:rsid w:val="4962C9A2"/>
    <w:rsid w:val="49C266E2"/>
    <w:rsid w:val="4A064CBE"/>
    <w:rsid w:val="4A31E97A"/>
    <w:rsid w:val="4A520243"/>
    <w:rsid w:val="4A80C62D"/>
    <w:rsid w:val="4A8D5026"/>
    <w:rsid w:val="4AA74714"/>
    <w:rsid w:val="4AC66904"/>
    <w:rsid w:val="4AEF9370"/>
    <w:rsid w:val="4B10DA2E"/>
    <w:rsid w:val="4B15090E"/>
    <w:rsid w:val="4B2675BB"/>
    <w:rsid w:val="4B335B6F"/>
    <w:rsid w:val="4B3D7F1F"/>
    <w:rsid w:val="4B53A60E"/>
    <w:rsid w:val="4B5C5CE2"/>
    <w:rsid w:val="4B5E87F1"/>
    <w:rsid w:val="4B9E1B77"/>
    <w:rsid w:val="4BD2454E"/>
    <w:rsid w:val="4CA0B963"/>
    <w:rsid w:val="4CA8BA13"/>
    <w:rsid w:val="4CB6C31A"/>
    <w:rsid w:val="4D2851F3"/>
    <w:rsid w:val="4D65CB96"/>
    <w:rsid w:val="4D6F2C83"/>
    <w:rsid w:val="4D966DED"/>
    <w:rsid w:val="4DF99D36"/>
    <w:rsid w:val="4E3B4E41"/>
    <w:rsid w:val="4E5A1CCC"/>
    <w:rsid w:val="4E8968B9"/>
    <w:rsid w:val="4ED34EC2"/>
    <w:rsid w:val="4EFAD11C"/>
    <w:rsid w:val="4FDA8D91"/>
    <w:rsid w:val="501A0F55"/>
    <w:rsid w:val="503C1E43"/>
    <w:rsid w:val="503F0606"/>
    <w:rsid w:val="509B8353"/>
    <w:rsid w:val="50AA4679"/>
    <w:rsid w:val="511EA65F"/>
    <w:rsid w:val="512C79A2"/>
    <w:rsid w:val="515586A8"/>
    <w:rsid w:val="516CBCD0"/>
    <w:rsid w:val="51ACE75E"/>
    <w:rsid w:val="51D4CA2E"/>
    <w:rsid w:val="51DBDD1E"/>
    <w:rsid w:val="521983AA"/>
    <w:rsid w:val="52903DF8"/>
    <w:rsid w:val="52D95304"/>
    <w:rsid w:val="52E605E7"/>
    <w:rsid w:val="53095DD5"/>
    <w:rsid w:val="5322C964"/>
    <w:rsid w:val="53738A32"/>
    <w:rsid w:val="541D5E19"/>
    <w:rsid w:val="5444C6F3"/>
    <w:rsid w:val="5482D13F"/>
    <w:rsid w:val="54D4A9FC"/>
    <w:rsid w:val="54F423CD"/>
    <w:rsid w:val="550D6CC3"/>
    <w:rsid w:val="557AF610"/>
    <w:rsid w:val="55A2C893"/>
    <w:rsid w:val="55C1B26C"/>
    <w:rsid w:val="55C4104C"/>
    <w:rsid w:val="55C7A4C8"/>
    <w:rsid w:val="55F21782"/>
    <w:rsid w:val="561E433B"/>
    <w:rsid w:val="56519497"/>
    <w:rsid w:val="565B478A"/>
    <w:rsid w:val="5670855A"/>
    <w:rsid w:val="56BCFD43"/>
    <w:rsid w:val="56C73183"/>
    <w:rsid w:val="56CD092A"/>
    <w:rsid w:val="56D06DC1"/>
    <w:rsid w:val="56FC8132"/>
    <w:rsid w:val="5741FD8B"/>
    <w:rsid w:val="577D090B"/>
    <w:rsid w:val="58493A06"/>
    <w:rsid w:val="5863B502"/>
    <w:rsid w:val="5865E52E"/>
    <w:rsid w:val="5872DBF5"/>
    <w:rsid w:val="5883D3B4"/>
    <w:rsid w:val="589BFE2B"/>
    <w:rsid w:val="58C3963D"/>
    <w:rsid w:val="58E288B1"/>
    <w:rsid w:val="58F47D5D"/>
    <w:rsid w:val="593AA81D"/>
    <w:rsid w:val="597ABD09"/>
    <w:rsid w:val="5993EF03"/>
    <w:rsid w:val="59F7C435"/>
    <w:rsid w:val="5A27A9A7"/>
    <w:rsid w:val="5A842712"/>
    <w:rsid w:val="5A877512"/>
    <w:rsid w:val="5ADEA348"/>
    <w:rsid w:val="5B1FAAB1"/>
    <w:rsid w:val="5B23A114"/>
    <w:rsid w:val="5B764749"/>
    <w:rsid w:val="5B7CF07B"/>
    <w:rsid w:val="5B863E58"/>
    <w:rsid w:val="5C1FF773"/>
    <w:rsid w:val="5C345887"/>
    <w:rsid w:val="5CC536D1"/>
    <w:rsid w:val="5D2AE331"/>
    <w:rsid w:val="5D3BF39C"/>
    <w:rsid w:val="5D7FE0D7"/>
    <w:rsid w:val="5DC04ED7"/>
    <w:rsid w:val="5DD8ACEB"/>
    <w:rsid w:val="5DF170A1"/>
    <w:rsid w:val="5DF1A277"/>
    <w:rsid w:val="5DF82E3C"/>
    <w:rsid w:val="5E2F1182"/>
    <w:rsid w:val="5E58A827"/>
    <w:rsid w:val="5EB9C8AE"/>
    <w:rsid w:val="5ED71EF0"/>
    <w:rsid w:val="5EE23E3C"/>
    <w:rsid w:val="5F2E2597"/>
    <w:rsid w:val="5F48E27C"/>
    <w:rsid w:val="5F506838"/>
    <w:rsid w:val="5FB6753C"/>
    <w:rsid w:val="60875CE9"/>
    <w:rsid w:val="612AA4FA"/>
    <w:rsid w:val="61460500"/>
    <w:rsid w:val="615B9C4A"/>
    <w:rsid w:val="615C67D9"/>
    <w:rsid w:val="61A64C5E"/>
    <w:rsid w:val="61B88DEC"/>
    <w:rsid w:val="61CFEFE1"/>
    <w:rsid w:val="61DD3A3C"/>
    <w:rsid w:val="61E38898"/>
    <w:rsid w:val="62792C3F"/>
    <w:rsid w:val="627A148A"/>
    <w:rsid w:val="6280A5FA"/>
    <w:rsid w:val="62A98E58"/>
    <w:rsid w:val="62B6E9C6"/>
    <w:rsid w:val="62DEA09E"/>
    <w:rsid w:val="63146013"/>
    <w:rsid w:val="632A084C"/>
    <w:rsid w:val="635B535A"/>
    <w:rsid w:val="63684F65"/>
    <w:rsid w:val="639B1BA4"/>
    <w:rsid w:val="63AA5E3D"/>
    <w:rsid w:val="63B379B8"/>
    <w:rsid w:val="63B4B09E"/>
    <w:rsid w:val="63BC0853"/>
    <w:rsid w:val="63D2FB09"/>
    <w:rsid w:val="63ED7443"/>
    <w:rsid w:val="642766DC"/>
    <w:rsid w:val="6452864B"/>
    <w:rsid w:val="64647D65"/>
    <w:rsid w:val="646FF3C3"/>
    <w:rsid w:val="647EE2E1"/>
    <w:rsid w:val="64B62CB0"/>
    <w:rsid w:val="659DFE93"/>
    <w:rsid w:val="659E808E"/>
    <w:rsid w:val="65CBBB3D"/>
    <w:rsid w:val="65F55F49"/>
    <w:rsid w:val="65F94524"/>
    <w:rsid w:val="661F501C"/>
    <w:rsid w:val="666105AF"/>
    <w:rsid w:val="6674AE5D"/>
    <w:rsid w:val="669D0810"/>
    <w:rsid w:val="6728D627"/>
    <w:rsid w:val="6732E002"/>
    <w:rsid w:val="67A0FE28"/>
    <w:rsid w:val="67A108C0"/>
    <w:rsid w:val="67A21513"/>
    <w:rsid w:val="67A40BAD"/>
    <w:rsid w:val="67AC98CA"/>
    <w:rsid w:val="67DE45F5"/>
    <w:rsid w:val="67E273DA"/>
    <w:rsid w:val="67FB8337"/>
    <w:rsid w:val="681362D3"/>
    <w:rsid w:val="6835493B"/>
    <w:rsid w:val="684B4CD0"/>
    <w:rsid w:val="684EB031"/>
    <w:rsid w:val="688069AE"/>
    <w:rsid w:val="68CAB2DA"/>
    <w:rsid w:val="691B6D27"/>
    <w:rsid w:val="691C6D56"/>
    <w:rsid w:val="69247476"/>
    <w:rsid w:val="693963E1"/>
    <w:rsid w:val="693ABF63"/>
    <w:rsid w:val="69AD34CC"/>
    <w:rsid w:val="69BEDB36"/>
    <w:rsid w:val="6A1263C9"/>
    <w:rsid w:val="6A15AE4A"/>
    <w:rsid w:val="6A167ECD"/>
    <w:rsid w:val="6AC08F6B"/>
    <w:rsid w:val="6ADBAC6F"/>
    <w:rsid w:val="6AFAAE4D"/>
    <w:rsid w:val="6B8AFAAF"/>
    <w:rsid w:val="6C0940A7"/>
    <w:rsid w:val="6C225FE3"/>
    <w:rsid w:val="6C5365F6"/>
    <w:rsid w:val="6C7506C3"/>
    <w:rsid w:val="6C777CD0"/>
    <w:rsid w:val="6C7D1483"/>
    <w:rsid w:val="6CB745C3"/>
    <w:rsid w:val="6CEE5BDA"/>
    <w:rsid w:val="6D241030"/>
    <w:rsid w:val="6D4A29E0"/>
    <w:rsid w:val="6D54A51A"/>
    <w:rsid w:val="6D625321"/>
    <w:rsid w:val="6DDF8E1C"/>
    <w:rsid w:val="6DEF35B1"/>
    <w:rsid w:val="6E0213B3"/>
    <w:rsid w:val="6E6D745B"/>
    <w:rsid w:val="6EA72A9D"/>
    <w:rsid w:val="6F0B8891"/>
    <w:rsid w:val="6F6D5C00"/>
    <w:rsid w:val="6F9C7365"/>
    <w:rsid w:val="6FCF8000"/>
    <w:rsid w:val="6FFAD01A"/>
    <w:rsid w:val="706E2551"/>
    <w:rsid w:val="711204DA"/>
    <w:rsid w:val="71129AB9"/>
    <w:rsid w:val="7189F945"/>
    <w:rsid w:val="718FAF14"/>
    <w:rsid w:val="71A4E5FA"/>
    <w:rsid w:val="71C0E6AD"/>
    <w:rsid w:val="71C68AAE"/>
    <w:rsid w:val="720C6226"/>
    <w:rsid w:val="72228697"/>
    <w:rsid w:val="72D0753D"/>
    <w:rsid w:val="73836D0B"/>
    <w:rsid w:val="738AC16B"/>
    <w:rsid w:val="742237C0"/>
    <w:rsid w:val="747D2EE3"/>
    <w:rsid w:val="74B8389E"/>
    <w:rsid w:val="74F1E5DB"/>
    <w:rsid w:val="7559CC9C"/>
    <w:rsid w:val="7572529C"/>
    <w:rsid w:val="75A91FB7"/>
    <w:rsid w:val="75DA4C19"/>
    <w:rsid w:val="75E90C6A"/>
    <w:rsid w:val="75FF406A"/>
    <w:rsid w:val="760B8313"/>
    <w:rsid w:val="7622CA26"/>
    <w:rsid w:val="76591C67"/>
    <w:rsid w:val="7661E791"/>
    <w:rsid w:val="768D5460"/>
    <w:rsid w:val="77245602"/>
    <w:rsid w:val="775619DC"/>
    <w:rsid w:val="77B83C77"/>
    <w:rsid w:val="77BA2F77"/>
    <w:rsid w:val="77C283D7"/>
    <w:rsid w:val="77C3F69E"/>
    <w:rsid w:val="780A9CC4"/>
    <w:rsid w:val="7850F797"/>
    <w:rsid w:val="787342E9"/>
    <w:rsid w:val="787B4C47"/>
    <w:rsid w:val="787D8D54"/>
    <w:rsid w:val="7894A384"/>
    <w:rsid w:val="78B15161"/>
    <w:rsid w:val="78C9F071"/>
    <w:rsid w:val="78E080C3"/>
    <w:rsid w:val="793B9BF1"/>
    <w:rsid w:val="79800111"/>
    <w:rsid w:val="79D733E5"/>
    <w:rsid w:val="79E4AC8E"/>
    <w:rsid w:val="79F45756"/>
    <w:rsid w:val="7A1AA449"/>
    <w:rsid w:val="7A762141"/>
    <w:rsid w:val="7ABB533E"/>
    <w:rsid w:val="7ABE43F5"/>
    <w:rsid w:val="7AC058D9"/>
    <w:rsid w:val="7AC2A4AB"/>
    <w:rsid w:val="7AF1D039"/>
    <w:rsid w:val="7B42F254"/>
    <w:rsid w:val="7BA9B4C7"/>
    <w:rsid w:val="7BC0B739"/>
    <w:rsid w:val="7BC4F1FC"/>
    <w:rsid w:val="7BCC6ACF"/>
    <w:rsid w:val="7BEA506D"/>
    <w:rsid w:val="7CAED64B"/>
    <w:rsid w:val="7CE52591"/>
    <w:rsid w:val="7D165C8B"/>
    <w:rsid w:val="7D6E21E8"/>
    <w:rsid w:val="7DD4D68B"/>
    <w:rsid w:val="7E387F2F"/>
    <w:rsid w:val="7E63830A"/>
    <w:rsid w:val="7E7BC079"/>
    <w:rsid w:val="7E8A06D5"/>
    <w:rsid w:val="7EF327CC"/>
    <w:rsid w:val="7F3CB43E"/>
    <w:rsid w:val="7F89BE65"/>
    <w:rsid w:val="7F90CE7A"/>
    <w:rsid w:val="7F9F9EEC"/>
    <w:rsid w:val="7FCDC1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2D87D"/>
  <w15:chartTrackingRefBased/>
  <w15:docId w15:val="{2CF2A714-2021-4AF4-B91D-A3A504C73652}"/>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1E"/>
    <w:pPr>
      <w:spacing w:line="252" w:lineRule="auto"/>
      <w:jc w:val="both"/>
    </w:pPr>
    <w:rPr>
      <w:rFonts w:eastAsiaTheme="minorEastAsia"/>
      <w:kern w:val="0"/>
      <w:sz w:val="22"/>
      <w:szCs w:val="22"/>
      <w14:ligatures w14:val="none"/>
    </w:rPr>
  </w:style>
  <w:style w:type="paragraph" w:styleId="Heading1">
    <w:name w:val="heading 1"/>
    <w:basedOn w:val="Normal"/>
    <w:next w:val="Normal"/>
    <w:link w:val="Heading1Char"/>
    <w:uiPriority w:val="9"/>
    <w:qFormat/>
    <w:rsid w:val="00C1241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1241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241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241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241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241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241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241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241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41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241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241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241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241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241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241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241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241E"/>
    <w:rPr>
      <w:rFonts w:eastAsiaTheme="majorEastAsia" w:cstheme="majorBidi"/>
      <w:color w:val="272727" w:themeColor="text1" w:themeTint="D8"/>
    </w:rPr>
  </w:style>
  <w:style w:type="paragraph" w:styleId="Title">
    <w:name w:val="Title"/>
    <w:basedOn w:val="Normal"/>
    <w:next w:val="Normal"/>
    <w:link w:val="TitleChar"/>
    <w:uiPriority w:val="10"/>
    <w:qFormat/>
    <w:rsid w:val="00C1241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24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241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241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241E"/>
    <w:pPr>
      <w:spacing w:before="160"/>
      <w:jc w:val="center"/>
    </w:pPr>
    <w:rPr>
      <w:i/>
      <w:iCs/>
      <w:color w:val="404040" w:themeColor="text1" w:themeTint="BF"/>
    </w:rPr>
  </w:style>
  <w:style w:type="character" w:customStyle="1" w:styleId="QuoteChar">
    <w:name w:val="Quote Char"/>
    <w:basedOn w:val="DefaultParagraphFont"/>
    <w:link w:val="Quote"/>
    <w:uiPriority w:val="29"/>
    <w:rsid w:val="00C1241E"/>
    <w:rPr>
      <w:i/>
      <w:iCs/>
      <w:color w:val="404040" w:themeColor="text1" w:themeTint="BF"/>
    </w:rPr>
  </w:style>
  <w:style w:type="paragraph" w:styleId="ListParagraph">
    <w:name w:val="List Paragraph"/>
    <w:basedOn w:val="Normal"/>
    <w:uiPriority w:val="34"/>
    <w:qFormat/>
    <w:rsid w:val="00C1241E"/>
    <w:pPr>
      <w:ind w:left="720"/>
      <w:contextualSpacing/>
    </w:pPr>
  </w:style>
  <w:style w:type="character" w:styleId="IntenseEmphasis">
    <w:name w:val="Intense Emphasis"/>
    <w:basedOn w:val="DefaultParagraphFont"/>
    <w:uiPriority w:val="21"/>
    <w:qFormat/>
    <w:rsid w:val="00C1241E"/>
    <w:rPr>
      <w:i/>
      <w:iCs/>
      <w:color w:val="0F4761" w:themeColor="accent1" w:themeShade="BF"/>
    </w:rPr>
  </w:style>
  <w:style w:type="paragraph" w:styleId="IntenseQuote">
    <w:name w:val="Intense Quote"/>
    <w:basedOn w:val="Normal"/>
    <w:next w:val="Normal"/>
    <w:link w:val="IntenseQuoteChar"/>
    <w:uiPriority w:val="30"/>
    <w:qFormat/>
    <w:rsid w:val="00C1241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241E"/>
    <w:rPr>
      <w:i/>
      <w:iCs/>
      <w:color w:val="0F4761" w:themeColor="accent1" w:themeShade="BF"/>
    </w:rPr>
  </w:style>
  <w:style w:type="character" w:styleId="IntenseReference">
    <w:name w:val="Intense Reference"/>
    <w:basedOn w:val="DefaultParagraphFont"/>
    <w:uiPriority w:val="32"/>
    <w:qFormat/>
    <w:rsid w:val="00C1241E"/>
    <w:rPr>
      <w:b/>
      <w:bCs/>
      <w:smallCaps/>
      <w:color w:val="0F4761" w:themeColor="accent1" w:themeShade="BF"/>
      <w:spacing w:val="5"/>
    </w:rPr>
  </w:style>
  <w:style w:type="character" w:styleId="Hyperlink">
    <w:name w:val="Hyperlink"/>
    <w:basedOn w:val="DefaultParagraphFont"/>
    <w:uiPriority w:val="99"/>
    <w:unhideWhenUsed/>
    <w:rsid w:val="00C1241E"/>
    <w:rPr>
      <w:color w:val="467886" w:themeColor="hyperlink"/>
      <w:u w:val="single"/>
    </w:rPr>
  </w:style>
  <w:style w:type="paragraph" w:styleId="FootnoteText">
    <w:name w:val="footnote text"/>
    <w:basedOn w:val="Normal"/>
    <w:link w:val="FootnoteTextChar"/>
    <w:uiPriority w:val="99"/>
    <w:semiHidden/>
    <w:unhideWhenUsed/>
    <w:rsid w:val="00C124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41E"/>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C1241E"/>
    <w:rPr>
      <w:vertAlign w:val="superscript"/>
    </w:rPr>
  </w:style>
  <w:style w:type="paragraph" w:styleId="Header">
    <w:name w:val="header"/>
    <w:basedOn w:val="Normal"/>
    <w:link w:val="HeaderChar"/>
    <w:uiPriority w:val="99"/>
    <w:unhideWhenUsed/>
    <w:rsid w:val="00C1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1E"/>
    <w:rPr>
      <w:rFonts w:eastAsiaTheme="minorEastAsia"/>
      <w:kern w:val="0"/>
      <w:sz w:val="22"/>
      <w:szCs w:val="22"/>
      <w14:ligatures w14:val="none"/>
    </w:rPr>
  </w:style>
  <w:style w:type="paragraph" w:styleId="Footer">
    <w:name w:val="footer"/>
    <w:basedOn w:val="Normal"/>
    <w:link w:val="FooterChar"/>
    <w:uiPriority w:val="99"/>
    <w:unhideWhenUsed/>
    <w:rsid w:val="00C12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1E"/>
    <w:rPr>
      <w:rFonts w:eastAsiaTheme="minorEastAsia"/>
      <w:kern w:val="0"/>
      <w:sz w:val="22"/>
      <w:szCs w:val="22"/>
      <w14:ligatures w14:val="none"/>
    </w:rPr>
  </w:style>
  <w:style w:type="paragraph" w:styleId="Revision">
    <w:name w:val="Revision"/>
    <w:hidden/>
    <w:uiPriority w:val="99"/>
    <w:semiHidden/>
    <w:rsid w:val="00C1241E"/>
    <w:pPr>
      <w:spacing w:after="0" w:line="240" w:lineRule="auto"/>
    </w:pPr>
    <w:rPr>
      <w:rFonts w:eastAsiaTheme="minorEastAsia"/>
      <w:kern w:val="0"/>
      <w:sz w:val="22"/>
      <w:szCs w:val="22"/>
      <w14:ligatures w14:val="none"/>
    </w:rPr>
  </w:style>
  <w:style w:type="character" w:styleId="CommentReference">
    <w:name w:val="annotation reference"/>
    <w:basedOn w:val="DefaultParagraphFont"/>
    <w:uiPriority w:val="99"/>
    <w:semiHidden/>
    <w:unhideWhenUsed/>
    <w:rsid w:val="00D83743"/>
    <w:rPr>
      <w:sz w:val="16"/>
      <w:szCs w:val="16"/>
    </w:rPr>
  </w:style>
  <w:style w:type="paragraph" w:styleId="CommentText">
    <w:name w:val="annotation text"/>
    <w:basedOn w:val="Normal"/>
    <w:link w:val="CommentTextChar"/>
    <w:uiPriority w:val="99"/>
    <w:unhideWhenUsed/>
    <w:rsid w:val="00D83743"/>
    <w:pPr>
      <w:spacing w:line="240" w:lineRule="auto"/>
    </w:pPr>
    <w:rPr>
      <w:sz w:val="20"/>
      <w:szCs w:val="20"/>
    </w:rPr>
  </w:style>
  <w:style w:type="character" w:customStyle="1" w:styleId="CommentTextChar">
    <w:name w:val="Comment Text Char"/>
    <w:basedOn w:val="DefaultParagraphFont"/>
    <w:link w:val="CommentText"/>
    <w:uiPriority w:val="99"/>
    <w:rsid w:val="00D83743"/>
    <w:rPr>
      <w:rFonts w:eastAsiaTheme="minorEastAsia"/>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83743"/>
    <w:rPr>
      <w:b/>
      <w:bCs/>
    </w:rPr>
  </w:style>
  <w:style w:type="character" w:customStyle="1" w:styleId="CommentSubjectChar">
    <w:name w:val="Comment Subject Char"/>
    <w:basedOn w:val="CommentTextChar"/>
    <w:link w:val="CommentSubject"/>
    <w:uiPriority w:val="99"/>
    <w:semiHidden/>
    <w:rsid w:val="00D83743"/>
    <w:rPr>
      <w:rFonts w:eastAsiaTheme="minorEastAsia"/>
      <w:b/>
      <w:bCs/>
      <w:kern w:val="0"/>
      <w:sz w:val="20"/>
      <w:szCs w:val="20"/>
      <w14:ligatures w14:val="none"/>
    </w:rPr>
  </w:style>
  <w:style w:type="character" w:styleId="Mention">
    <w:name w:val="Mention"/>
    <w:basedOn w:val="DefaultParagraphFont"/>
    <w:uiPriority w:val="99"/>
    <w:unhideWhenUsed/>
    <w:rsid w:val="0015511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media/cpuc-website/divisions/energy-division/documents/resource-adequacy-homepage/resource-adequacy-compliance-materials/final-2023-ra-guide-clean-93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250cf3-b7a9-4bd5-b2fe-054899bfcf6b" xsi:nil="true"/>
    <lcf76f155ced4ddcb4097134ff3c332f xmlns="7cb2a228-4759-4c83-a324-c804b069c66c">
      <Terms xmlns="http://schemas.microsoft.com/office/infopath/2007/PartnerControls"/>
    </lcf76f155ced4ddcb4097134ff3c332f>
    <SharedWithUsers xmlns="a2250cf3-b7a9-4bd5-b2fe-054899bfcf6b">
      <UserInfo>
        <DisplayName>Singh, Amanda</DisplayName>
        <AccountId>62</AccountId>
        <AccountType/>
      </UserInfo>
      <UserInfo>
        <DisplayName>Houck, Darcie L.</DisplayName>
        <AccountId>328</AccountId>
        <AccountType/>
      </UserInfo>
      <UserInfo>
        <DisplayName>Smith, Victor</DisplayName>
        <AccountId>1235</AccountId>
        <AccountType/>
      </UserInfo>
      <UserInfo>
        <DisplayName>Seybert, Ehren</DisplayName>
        <AccountId>608</AccountId>
        <AccountType/>
      </UserInfo>
      <UserInfo>
        <DisplayName>Jacobs-Smith, Aaron</DisplayName>
        <AccountId>99</AccountId>
        <AccountType/>
      </UserInfo>
      <UserInfo>
        <DisplayName>Mackin, Dina S.</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C800782F333A4EAFBA4B072CEFA62A" ma:contentTypeVersion="15" ma:contentTypeDescription="Create a new document." ma:contentTypeScope="" ma:versionID="e010ea501aa44e66a1dc31efa5828bec">
  <xsd:schema xmlns:xsd="http://www.w3.org/2001/XMLSchema" xmlns:xs="http://www.w3.org/2001/XMLSchema" xmlns:p="http://schemas.microsoft.com/office/2006/metadata/properties" xmlns:ns2="7cb2a228-4759-4c83-a324-c804b069c66c" xmlns:ns3="a2250cf3-b7a9-4bd5-b2fe-054899bfcf6b" targetNamespace="http://schemas.microsoft.com/office/2006/metadata/properties" ma:root="true" ma:fieldsID="5df29929154fb4c4188520d036fdb5f0" ns2:_="" ns3:_="">
    <xsd:import namespace="7cb2a228-4759-4c83-a324-c804b069c66c"/>
    <xsd:import namespace="a2250cf3-b7a9-4bd5-b2fe-054899bfcf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2a228-4759-4c83-a324-c804b069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50cf3-b7a9-4bd5-b2fe-054899bfcf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6802d5e-6910-4e4a-b6d3-01f118fce12e}" ma:internalName="TaxCatchAll" ma:showField="CatchAllData" ma:web="a2250cf3-b7a9-4bd5-b2fe-054899bfcf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0682-227B-48BB-9E36-947A153C07A1}">
  <ds:schemaRefs>
    <ds:schemaRef ds:uri="http://schemas.microsoft.com/sharepoint/v3/contenttype/forms"/>
  </ds:schemaRefs>
</ds:datastoreItem>
</file>

<file path=customXml/itemProps2.xml><?xml version="1.0" encoding="utf-8"?>
<ds:datastoreItem xmlns:ds="http://schemas.openxmlformats.org/officeDocument/2006/customXml" ds:itemID="{2A130F41-64B9-4044-8B94-AAF351F44092}">
  <ds:schemaRefs>
    <ds:schemaRef ds:uri="http://schemas.microsoft.com/office/2006/metadata/properties"/>
    <ds:schemaRef ds:uri="http://schemas.microsoft.com/office/infopath/2007/PartnerControls"/>
    <ds:schemaRef ds:uri="a2250cf3-b7a9-4bd5-b2fe-054899bfcf6b"/>
    <ds:schemaRef ds:uri="7cb2a228-4759-4c83-a324-c804b069c66c"/>
  </ds:schemaRefs>
</ds:datastoreItem>
</file>

<file path=customXml/itemProps3.xml><?xml version="1.0" encoding="utf-8"?>
<ds:datastoreItem xmlns:ds="http://schemas.openxmlformats.org/officeDocument/2006/customXml" ds:itemID="{44BBA3D1-3BD9-40F3-A3D2-FFF6B2E12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2a228-4759-4c83-a324-c804b069c66c"/>
    <ds:schemaRef ds:uri="a2250cf3-b7a9-4bd5-b2fe-054899bfc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39AB4-A681-4188-B8D2-38B8EC3B394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2570</ap:Words>
  <ap:Characters>14653</ap:Characters>
  <ap:Application>Microsoft Office Word</ap:Application>
  <ap:DocSecurity>0</ap:DocSecurity>
  <ap:Lines>122</ap:Lines>
  <ap:Paragraphs>34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17189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2024-04-23T16:15:25Z</dcterms:created>
  <dcterms:modified xsi:type="dcterms:W3CDTF">2024-04-23T16:15:25Z</dcterms:modified>
</cp:coreProperties>
</file>